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79AA4" w14:textId="77777777" w:rsidR="000B0589" w:rsidRDefault="000B0589" w:rsidP="00BC2702">
      <w:pPr>
        <w:pStyle w:val="Conditions1"/>
        <w:numPr>
          <w:ilvl w:val="0"/>
          <w:numId w:val="0"/>
        </w:numPr>
      </w:pPr>
      <w:r>
        <w:rPr>
          <w:noProof/>
        </w:rPr>
        <w:drawing>
          <wp:inline distT="0" distB="0" distL="0" distR="0" wp14:anchorId="62FF3770" wp14:editId="13D9D493">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3194839C" w14:textId="77777777" w:rsidR="000B0589" w:rsidRDefault="000B0589" w:rsidP="00A5760C"/>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D978C3" w:rsidRPr="00D978C3" w14:paraId="7757D668" w14:textId="77777777" w:rsidTr="00F86618">
        <w:trPr>
          <w:cantSplit/>
          <w:trHeight w:val="23"/>
        </w:trPr>
        <w:tc>
          <w:tcPr>
            <w:tcW w:w="9356" w:type="dxa"/>
            <w:shd w:val="clear" w:color="auto" w:fill="auto"/>
          </w:tcPr>
          <w:p w14:paraId="2479FFD2" w14:textId="6621C97D" w:rsidR="000B0589" w:rsidRPr="00D978C3" w:rsidRDefault="00F86618" w:rsidP="002E2646">
            <w:pPr>
              <w:spacing w:before="120"/>
              <w:ind w:left="-108" w:right="34"/>
              <w:rPr>
                <w:b/>
                <w:sz w:val="40"/>
                <w:szCs w:val="40"/>
              </w:rPr>
            </w:pPr>
            <w:bookmarkStart w:id="0" w:name="bmkTable00"/>
            <w:bookmarkEnd w:id="0"/>
            <w:r w:rsidRPr="00D978C3">
              <w:rPr>
                <w:b/>
                <w:sz w:val="40"/>
                <w:szCs w:val="40"/>
              </w:rPr>
              <w:t>Costs Decision</w:t>
            </w:r>
          </w:p>
        </w:tc>
      </w:tr>
      <w:tr w:rsidR="00D978C3" w:rsidRPr="00D978C3" w14:paraId="30615A30" w14:textId="77777777" w:rsidTr="00F86618">
        <w:trPr>
          <w:cantSplit/>
          <w:trHeight w:val="23"/>
        </w:trPr>
        <w:tc>
          <w:tcPr>
            <w:tcW w:w="9356" w:type="dxa"/>
            <w:shd w:val="clear" w:color="auto" w:fill="auto"/>
            <w:vAlign w:val="center"/>
          </w:tcPr>
          <w:p w14:paraId="65B6C99C" w14:textId="345B9280" w:rsidR="000B0589" w:rsidRPr="00D978C3" w:rsidRDefault="00F86618" w:rsidP="00052B85">
            <w:pPr>
              <w:spacing w:before="60"/>
              <w:ind w:left="-108" w:right="34"/>
              <w:rPr>
                <w:szCs w:val="22"/>
              </w:rPr>
            </w:pPr>
            <w:r w:rsidRPr="00D978C3">
              <w:rPr>
                <w:szCs w:val="22"/>
              </w:rPr>
              <w:t xml:space="preserve">Inquiry </w:t>
            </w:r>
            <w:r w:rsidR="00052B85" w:rsidRPr="00D978C3">
              <w:rPr>
                <w:szCs w:val="22"/>
              </w:rPr>
              <w:t>op</w:t>
            </w:r>
            <w:r w:rsidRPr="00D978C3">
              <w:rPr>
                <w:szCs w:val="22"/>
              </w:rPr>
              <w:t>e</w:t>
            </w:r>
            <w:r w:rsidR="00052B85" w:rsidRPr="00D978C3">
              <w:rPr>
                <w:szCs w:val="22"/>
              </w:rPr>
              <w:t>ne</w:t>
            </w:r>
            <w:r w:rsidRPr="00D978C3">
              <w:rPr>
                <w:szCs w:val="22"/>
              </w:rPr>
              <w:t>d on</w:t>
            </w:r>
            <w:r w:rsidR="00052B85" w:rsidRPr="00D978C3">
              <w:rPr>
                <w:szCs w:val="22"/>
              </w:rPr>
              <w:t xml:space="preserve"> 1</w:t>
            </w:r>
            <w:r w:rsidR="00D978C3">
              <w:rPr>
                <w:szCs w:val="22"/>
              </w:rPr>
              <w:t>9</w:t>
            </w:r>
            <w:r w:rsidR="00052B85" w:rsidRPr="00D978C3">
              <w:rPr>
                <w:szCs w:val="22"/>
              </w:rPr>
              <w:t xml:space="preserve"> J</w:t>
            </w:r>
            <w:r w:rsidR="00D978C3">
              <w:rPr>
                <w:szCs w:val="22"/>
              </w:rPr>
              <w:t>an</w:t>
            </w:r>
            <w:r w:rsidR="00052B85" w:rsidRPr="00D978C3">
              <w:rPr>
                <w:szCs w:val="22"/>
              </w:rPr>
              <w:t>u</w:t>
            </w:r>
            <w:r w:rsidR="00D978C3">
              <w:rPr>
                <w:szCs w:val="22"/>
              </w:rPr>
              <w:t>ar</w:t>
            </w:r>
            <w:r w:rsidR="00052B85" w:rsidRPr="00D978C3">
              <w:rPr>
                <w:szCs w:val="22"/>
              </w:rPr>
              <w:t>y 20</w:t>
            </w:r>
            <w:r w:rsidR="00D978C3">
              <w:rPr>
                <w:szCs w:val="22"/>
              </w:rPr>
              <w:t>2</w:t>
            </w:r>
            <w:r w:rsidR="00052B85" w:rsidRPr="00D978C3">
              <w:rPr>
                <w:szCs w:val="22"/>
              </w:rPr>
              <w:t>1</w:t>
            </w:r>
            <w:r w:rsidRPr="00D978C3">
              <w:rPr>
                <w:szCs w:val="22"/>
              </w:rPr>
              <w:t xml:space="preserve"> </w:t>
            </w:r>
          </w:p>
        </w:tc>
      </w:tr>
      <w:tr w:rsidR="00580D94" w:rsidRPr="00580D94" w14:paraId="69BB62CE" w14:textId="77777777" w:rsidTr="00F86618">
        <w:trPr>
          <w:cantSplit/>
          <w:trHeight w:val="23"/>
        </w:trPr>
        <w:tc>
          <w:tcPr>
            <w:tcW w:w="9356" w:type="dxa"/>
            <w:shd w:val="clear" w:color="auto" w:fill="auto"/>
          </w:tcPr>
          <w:p w14:paraId="21CDA839" w14:textId="103730CC" w:rsidR="000B0589" w:rsidRPr="00D978C3" w:rsidRDefault="00F86618" w:rsidP="00F86618">
            <w:pPr>
              <w:spacing w:before="180"/>
              <w:ind w:left="-108" w:right="34"/>
              <w:rPr>
                <w:b/>
                <w:sz w:val="16"/>
                <w:szCs w:val="22"/>
              </w:rPr>
            </w:pPr>
            <w:r w:rsidRPr="00D978C3">
              <w:rPr>
                <w:b/>
                <w:szCs w:val="22"/>
              </w:rPr>
              <w:t>by Heidi Cruickshank</w:t>
            </w:r>
            <w:r w:rsidR="00746E6C">
              <w:rPr>
                <w:b/>
                <w:szCs w:val="22"/>
              </w:rPr>
              <w:t xml:space="preserve"> </w:t>
            </w:r>
            <w:r w:rsidRPr="00D978C3">
              <w:rPr>
                <w:b/>
                <w:szCs w:val="22"/>
              </w:rPr>
              <w:t>BSc, MSc (Hons), MIPROW</w:t>
            </w:r>
          </w:p>
        </w:tc>
      </w:tr>
      <w:tr w:rsidR="00580D94" w:rsidRPr="00580D94" w14:paraId="71D25D02" w14:textId="77777777" w:rsidTr="00F86618">
        <w:trPr>
          <w:cantSplit/>
          <w:trHeight w:val="23"/>
        </w:trPr>
        <w:tc>
          <w:tcPr>
            <w:tcW w:w="9356" w:type="dxa"/>
            <w:shd w:val="clear" w:color="auto" w:fill="auto"/>
          </w:tcPr>
          <w:p w14:paraId="54CA5958" w14:textId="77777777" w:rsidR="000B0589" w:rsidRPr="00D978C3" w:rsidRDefault="00F86618" w:rsidP="002E2646">
            <w:pPr>
              <w:spacing w:before="120"/>
              <w:ind w:left="-108" w:right="34"/>
              <w:rPr>
                <w:b/>
                <w:sz w:val="16"/>
                <w:szCs w:val="16"/>
              </w:rPr>
            </w:pPr>
            <w:r w:rsidRPr="00D978C3">
              <w:rPr>
                <w:b/>
                <w:sz w:val="16"/>
                <w:szCs w:val="16"/>
              </w:rPr>
              <w:t>an Inspector appointed by the Secretary of State for Environment, Food and Rural Affairs</w:t>
            </w:r>
          </w:p>
        </w:tc>
      </w:tr>
      <w:tr w:rsidR="00580D94" w:rsidRPr="00580D94" w14:paraId="74D6E32C" w14:textId="77777777" w:rsidTr="00F86618">
        <w:trPr>
          <w:cantSplit/>
          <w:trHeight w:val="23"/>
        </w:trPr>
        <w:tc>
          <w:tcPr>
            <w:tcW w:w="9356" w:type="dxa"/>
            <w:shd w:val="clear" w:color="auto" w:fill="auto"/>
          </w:tcPr>
          <w:p w14:paraId="2E46FFFA" w14:textId="3359F43D" w:rsidR="000B0589" w:rsidRPr="00D978C3" w:rsidRDefault="000B0589" w:rsidP="002E2646">
            <w:pPr>
              <w:spacing w:before="120"/>
              <w:ind w:left="-108" w:right="176"/>
              <w:rPr>
                <w:b/>
                <w:sz w:val="16"/>
                <w:szCs w:val="16"/>
              </w:rPr>
            </w:pPr>
            <w:r w:rsidRPr="00D978C3">
              <w:rPr>
                <w:b/>
                <w:sz w:val="16"/>
                <w:szCs w:val="16"/>
              </w:rPr>
              <w:t>Decision date:</w:t>
            </w:r>
            <w:r w:rsidR="005B1FF5">
              <w:rPr>
                <w:b/>
                <w:sz w:val="16"/>
                <w:szCs w:val="16"/>
              </w:rPr>
              <w:t xml:space="preserve"> 3 November 2021</w:t>
            </w:r>
          </w:p>
        </w:tc>
      </w:tr>
    </w:tbl>
    <w:p w14:paraId="72D60884" w14:textId="77777777" w:rsidR="00F86618" w:rsidRPr="00FD6952" w:rsidRDefault="00F86618" w:rsidP="000B0589"/>
    <w:tbl>
      <w:tblPr>
        <w:tblW w:w="0" w:type="auto"/>
        <w:tblLayout w:type="fixed"/>
        <w:tblLook w:val="0000" w:firstRow="0" w:lastRow="0" w:firstColumn="0" w:lastColumn="0" w:noHBand="0" w:noVBand="0"/>
      </w:tblPr>
      <w:tblGrid>
        <w:gridCol w:w="9520"/>
      </w:tblGrid>
      <w:tr w:rsidR="00FD6952" w:rsidRPr="00FD6952" w14:paraId="4BD0D925" w14:textId="77777777" w:rsidTr="00F86618">
        <w:tc>
          <w:tcPr>
            <w:tcW w:w="9520" w:type="dxa"/>
            <w:shd w:val="clear" w:color="auto" w:fill="auto"/>
          </w:tcPr>
          <w:p w14:paraId="7777D91B" w14:textId="74C2046C" w:rsidR="00F86618" w:rsidRPr="00FD6952" w:rsidRDefault="00F86618" w:rsidP="00CA220F">
            <w:pPr>
              <w:rPr>
                <w:b/>
              </w:rPr>
            </w:pPr>
            <w:r w:rsidRPr="00FD6952">
              <w:rPr>
                <w:b/>
              </w:rPr>
              <w:t xml:space="preserve">Costs application in relation to </w:t>
            </w:r>
            <w:r w:rsidR="00052B85" w:rsidRPr="00FD6952">
              <w:rPr>
                <w:b/>
              </w:rPr>
              <w:t>Order</w:t>
            </w:r>
            <w:r w:rsidRPr="00FD6952">
              <w:rPr>
                <w:b/>
              </w:rPr>
              <w:t xml:space="preserve"> Ref: </w:t>
            </w:r>
            <w:r w:rsidR="00CA220F" w:rsidRPr="00FD6952">
              <w:rPr>
                <w:b/>
              </w:rPr>
              <w:t>ROW</w:t>
            </w:r>
            <w:r w:rsidRPr="00FD6952">
              <w:rPr>
                <w:b/>
              </w:rPr>
              <w:t>/</w:t>
            </w:r>
            <w:r w:rsidR="00CA220F" w:rsidRPr="00FD6952">
              <w:rPr>
                <w:b/>
              </w:rPr>
              <w:t>3</w:t>
            </w:r>
            <w:r w:rsidR="00CF39B9" w:rsidRPr="00FD6952">
              <w:rPr>
                <w:b/>
              </w:rPr>
              <w:t>20</w:t>
            </w:r>
            <w:r w:rsidR="009063BC" w:rsidRPr="00FD6952">
              <w:rPr>
                <w:b/>
              </w:rPr>
              <w:t>7992</w:t>
            </w:r>
          </w:p>
        </w:tc>
      </w:tr>
      <w:tr w:rsidR="00FD6952" w:rsidRPr="00FD6952" w14:paraId="4855C073" w14:textId="77777777" w:rsidTr="00F86618">
        <w:tc>
          <w:tcPr>
            <w:tcW w:w="9520" w:type="dxa"/>
            <w:shd w:val="clear" w:color="auto" w:fill="auto"/>
          </w:tcPr>
          <w:p w14:paraId="26272F7E" w14:textId="3A524285" w:rsidR="00F86618" w:rsidRPr="00FD6952" w:rsidRDefault="00C76558" w:rsidP="00176D1E">
            <w:pPr>
              <w:pStyle w:val="TBullet"/>
              <w:spacing w:before="180"/>
              <w:ind w:left="357" w:hanging="357"/>
              <w:rPr>
                <w:color w:val="auto"/>
              </w:rPr>
            </w:pPr>
            <w:r w:rsidRPr="00FD6952">
              <w:rPr>
                <w:color w:val="auto"/>
              </w:rPr>
              <w:t>The application is made under the Highways Act 1980, Schedule 6 (as amended), and the Local Government Act 1972, section 250(5).</w:t>
            </w:r>
            <w:r w:rsidR="00746E6C">
              <w:rPr>
                <w:color w:val="auto"/>
              </w:rPr>
              <w:t xml:space="preserve">                                                            </w:t>
            </w:r>
            <w:r w:rsidRPr="00FD6952">
              <w:rPr>
                <w:color w:val="auto"/>
              </w:rPr>
              <w:t xml:space="preserve"> </w:t>
            </w:r>
          </w:p>
        </w:tc>
      </w:tr>
      <w:tr w:rsidR="00FD6952" w:rsidRPr="00FD6952" w14:paraId="48E481CF" w14:textId="77777777" w:rsidTr="00F86618">
        <w:tc>
          <w:tcPr>
            <w:tcW w:w="9520" w:type="dxa"/>
            <w:shd w:val="clear" w:color="auto" w:fill="auto"/>
          </w:tcPr>
          <w:p w14:paraId="1CC4E727" w14:textId="46C7390C" w:rsidR="00F86618" w:rsidRPr="00FD6952" w:rsidRDefault="00F86618" w:rsidP="008C3846">
            <w:pPr>
              <w:pStyle w:val="TBullet"/>
              <w:spacing w:before="120"/>
              <w:ind w:left="357" w:hanging="357"/>
              <w:rPr>
                <w:color w:val="auto"/>
              </w:rPr>
            </w:pPr>
            <w:r w:rsidRPr="00FD6952">
              <w:rPr>
                <w:color w:val="auto"/>
              </w:rPr>
              <w:t xml:space="preserve">The application is made </w:t>
            </w:r>
            <w:r w:rsidR="001631CE" w:rsidRPr="00FD6952">
              <w:rPr>
                <w:color w:val="auto"/>
              </w:rPr>
              <w:t xml:space="preserve">on </w:t>
            </w:r>
            <w:r w:rsidRPr="00FD6952">
              <w:rPr>
                <w:color w:val="auto"/>
              </w:rPr>
              <w:t>b</w:t>
            </w:r>
            <w:r w:rsidR="001631CE" w:rsidRPr="00FD6952">
              <w:rPr>
                <w:color w:val="auto"/>
              </w:rPr>
              <w:t xml:space="preserve">ehalf </w:t>
            </w:r>
            <w:r w:rsidR="00180AF6" w:rsidRPr="00FD6952">
              <w:rPr>
                <w:color w:val="auto"/>
              </w:rPr>
              <w:t>of Speltho</w:t>
            </w:r>
            <w:r w:rsidR="00BA5540" w:rsidRPr="00FD6952">
              <w:rPr>
                <w:color w:val="auto"/>
              </w:rPr>
              <w:t>rn</w:t>
            </w:r>
            <w:r w:rsidR="00180AF6" w:rsidRPr="00FD6952">
              <w:rPr>
                <w:color w:val="auto"/>
              </w:rPr>
              <w:t>e Borough Counci</w:t>
            </w:r>
            <w:r w:rsidR="00BA5540" w:rsidRPr="00FD6952">
              <w:rPr>
                <w:color w:val="auto"/>
              </w:rPr>
              <w:t>l</w:t>
            </w:r>
            <w:r w:rsidR="00180AF6" w:rsidRPr="00FD6952">
              <w:rPr>
                <w:color w:val="auto"/>
              </w:rPr>
              <w:t xml:space="preserve"> </w:t>
            </w:r>
            <w:r w:rsidRPr="00FD6952">
              <w:rPr>
                <w:color w:val="auto"/>
              </w:rPr>
              <w:t xml:space="preserve">for a </w:t>
            </w:r>
            <w:r w:rsidR="00180AF6" w:rsidRPr="00FD6952">
              <w:rPr>
                <w:color w:val="auto"/>
              </w:rPr>
              <w:t xml:space="preserve">partial </w:t>
            </w:r>
            <w:r w:rsidRPr="00FD6952">
              <w:rPr>
                <w:color w:val="auto"/>
              </w:rPr>
              <w:t xml:space="preserve">award of costs against </w:t>
            </w:r>
            <w:r w:rsidR="00180AF6" w:rsidRPr="00FD6952">
              <w:rPr>
                <w:color w:val="auto"/>
              </w:rPr>
              <w:t>Ne</w:t>
            </w:r>
            <w:r w:rsidR="00BA5540" w:rsidRPr="00FD6952">
              <w:rPr>
                <w:color w:val="auto"/>
              </w:rPr>
              <w:t>t</w:t>
            </w:r>
            <w:r w:rsidR="00180AF6" w:rsidRPr="00FD6952">
              <w:rPr>
                <w:color w:val="auto"/>
              </w:rPr>
              <w:t>w</w:t>
            </w:r>
            <w:r w:rsidR="00BA5540" w:rsidRPr="00FD6952">
              <w:rPr>
                <w:color w:val="auto"/>
              </w:rPr>
              <w:t>o</w:t>
            </w:r>
            <w:r w:rsidR="00180AF6" w:rsidRPr="00FD6952">
              <w:rPr>
                <w:color w:val="auto"/>
              </w:rPr>
              <w:t>rk R</w:t>
            </w:r>
            <w:r w:rsidR="00BA5540" w:rsidRPr="00FD6952">
              <w:rPr>
                <w:color w:val="auto"/>
              </w:rPr>
              <w:t>ail</w:t>
            </w:r>
            <w:r w:rsidRPr="00FD6952">
              <w:rPr>
                <w:color w:val="auto"/>
              </w:rPr>
              <w:t>.</w:t>
            </w:r>
          </w:p>
        </w:tc>
      </w:tr>
      <w:tr w:rsidR="00FD6952" w:rsidRPr="00FD6952" w14:paraId="29E42723" w14:textId="77777777" w:rsidTr="00F86618">
        <w:tc>
          <w:tcPr>
            <w:tcW w:w="9520" w:type="dxa"/>
            <w:shd w:val="clear" w:color="auto" w:fill="auto"/>
          </w:tcPr>
          <w:p w14:paraId="0154B659" w14:textId="5C1FA37E" w:rsidR="00F86618" w:rsidRPr="00FD6952" w:rsidRDefault="00B766F7" w:rsidP="008C3846">
            <w:pPr>
              <w:pStyle w:val="TBullet"/>
              <w:spacing w:before="120"/>
              <w:ind w:left="357" w:hanging="357"/>
              <w:rPr>
                <w:color w:val="auto"/>
              </w:rPr>
            </w:pPr>
            <w:r w:rsidRPr="00FD6952">
              <w:rPr>
                <w:color w:val="auto"/>
              </w:rPr>
              <w:t xml:space="preserve">The Inquiry was held in connection with </w:t>
            </w:r>
            <w:r w:rsidR="00FD6952" w:rsidRPr="00FD6952">
              <w:rPr>
                <w:color w:val="auto"/>
              </w:rPr>
              <w:t xml:space="preserve">the (Footpath 18, Parish of Staines) Borough of Spelthorne, Surrey Rail Crossing Extinguishment </w:t>
            </w:r>
            <w:r w:rsidR="00FD6952" w:rsidRPr="00492DFC">
              <w:rPr>
                <w:color w:val="auto"/>
              </w:rPr>
              <w:t>Order 20</w:t>
            </w:r>
            <w:r w:rsidR="00492DFC">
              <w:rPr>
                <w:color w:val="auto"/>
              </w:rPr>
              <w:t>2</w:t>
            </w:r>
            <w:r w:rsidR="00FD6952" w:rsidRPr="00492DFC">
              <w:rPr>
                <w:color w:val="auto"/>
              </w:rPr>
              <w:t>1</w:t>
            </w:r>
            <w:r w:rsidR="00492DFC">
              <w:rPr>
                <w:rStyle w:val="FootnoteReference"/>
                <w:color w:val="auto"/>
              </w:rPr>
              <w:footnoteReference w:id="1"/>
            </w:r>
            <w:r w:rsidR="00FD6952" w:rsidRPr="00492DFC">
              <w:rPr>
                <w:color w:val="auto"/>
              </w:rPr>
              <w:t>.</w:t>
            </w:r>
          </w:p>
        </w:tc>
      </w:tr>
      <w:tr w:rsidR="00FD6952" w:rsidRPr="00FD6952" w14:paraId="0952F3E4" w14:textId="77777777" w:rsidTr="00F86618">
        <w:tc>
          <w:tcPr>
            <w:tcW w:w="9520" w:type="dxa"/>
            <w:tcBorders>
              <w:bottom w:val="single" w:sz="6" w:space="0" w:color="000000"/>
            </w:tcBorders>
            <w:shd w:val="clear" w:color="auto" w:fill="auto"/>
          </w:tcPr>
          <w:p w14:paraId="30BE230A" w14:textId="77777777" w:rsidR="00F86618" w:rsidRPr="00FD6952" w:rsidRDefault="00F86618" w:rsidP="00F86618">
            <w:pPr>
              <w:rPr>
                <w:b/>
                <w:sz w:val="4"/>
              </w:rPr>
            </w:pPr>
          </w:p>
        </w:tc>
      </w:tr>
    </w:tbl>
    <w:p w14:paraId="4C208FD4" w14:textId="70C02FA3" w:rsidR="00F86618" w:rsidRPr="000D15EC" w:rsidRDefault="00F86618" w:rsidP="00F86618">
      <w:pPr>
        <w:pStyle w:val="Heading6blackfont"/>
        <w:rPr>
          <w:color w:val="auto"/>
        </w:rPr>
      </w:pPr>
      <w:r w:rsidRPr="000D15EC">
        <w:rPr>
          <w:color w:val="auto"/>
        </w:rPr>
        <w:t>Decision</w:t>
      </w:r>
    </w:p>
    <w:p w14:paraId="11F3F8D2" w14:textId="55148F82" w:rsidR="002D4258" w:rsidRPr="000D15EC" w:rsidRDefault="002D4258" w:rsidP="002D4258">
      <w:pPr>
        <w:pStyle w:val="Style1"/>
        <w:numPr>
          <w:ilvl w:val="0"/>
          <w:numId w:val="6"/>
        </w:numPr>
        <w:spacing w:before="140"/>
        <w:ind w:left="431" w:hanging="431"/>
        <w:rPr>
          <w:color w:val="auto"/>
        </w:rPr>
      </w:pPr>
      <w:r w:rsidRPr="000D15EC">
        <w:rPr>
          <w:color w:val="auto"/>
        </w:rPr>
        <w:t xml:space="preserve">The </w:t>
      </w:r>
      <w:r w:rsidR="000D15EC">
        <w:rPr>
          <w:color w:val="auto"/>
        </w:rPr>
        <w:t>a</w:t>
      </w:r>
      <w:r w:rsidRPr="000D15EC">
        <w:rPr>
          <w:color w:val="auto"/>
        </w:rPr>
        <w:t xml:space="preserve">pplication </w:t>
      </w:r>
      <w:r w:rsidR="000D15EC">
        <w:rPr>
          <w:color w:val="auto"/>
        </w:rPr>
        <w:t xml:space="preserve">for an award of </w:t>
      </w:r>
      <w:r w:rsidR="00C7431A" w:rsidRPr="000D15EC">
        <w:rPr>
          <w:color w:val="auto"/>
        </w:rPr>
        <w:t>c</w:t>
      </w:r>
      <w:r w:rsidR="000D15EC">
        <w:rPr>
          <w:color w:val="auto"/>
        </w:rPr>
        <w:t>ost</w:t>
      </w:r>
      <w:r w:rsidRPr="000D15EC">
        <w:rPr>
          <w:color w:val="auto"/>
        </w:rPr>
        <w:t>s</w:t>
      </w:r>
      <w:r w:rsidR="00C7431A" w:rsidRPr="000D15EC">
        <w:rPr>
          <w:color w:val="auto"/>
        </w:rPr>
        <w:t xml:space="preserve"> </w:t>
      </w:r>
      <w:r w:rsidR="000D15EC">
        <w:rPr>
          <w:color w:val="auto"/>
        </w:rPr>
        <w:t xml:space="preserve">is </w:t>
      </w:r>
      <w:r w:rsidR="00C7431A" w:rsidRPr="000D15EC">
        <w:rPr>
          <w:color w:val="auto"/>
        </w:rPr>
        <w:t>r</w:t>
      </w:r>
      <w:r w:rsidR="000D15EC">
        <w:rPr>
          <w:color w:val="auto"/>
        </w:rPr>
        <w:t>efuse</w:t>
      </w:r>
      <w:r w:rsidRPr="000D15EC">
        <w:rPr>
          <w:color w:val="auto"/>
        </w:rPr>
        <w:t>d.</w:t>
      </w:r>
    </w:p>
    <w:p w14:paraId="47B4A2EA" w14:textId="7F76371A" w:rsidR="00653491" w:rsidRPr="00580D94" w:rsidRDefault="00653491" w:rsidP="00653491">
      <w:pPr>
        <w:pStyle w:val="Heading6blackfont"/>
        <w:spacing w:before="120"/>
        <w:rPr>
          <w:color w:val="7030A0"/>
        </w:rPr>
      </w:pPr>
      <w:r w:rsidRPr="00BC4856">
        <w:rPr>
          <w:color w:val="auto"/>
        </w:rPr>
        <w:t xml:space="preserve">The submissions </w:t>
      </w:r>
      <w:r w:rsidR="00033857">
        <w:rPr>
          <w:color w:val="auto"/>
        </w:rPr>
        <w:t xml:space="preserve">by Mr J Darby </w:t>
      </w:r>
      <w:r w:rsidR="00BC4856" w:rsidRPr="00BC4856">
        <w:rPr>
          <w:color w:val="auto"/>
        </w:rPr>
        <w:t xml:space="preserve">for </w:t>
      </w:r>
      <w:r w:rsidRPr="00BC4856">
        <w:rPr>
          <w:color w:val="auto"/>
        </w:rPr>
        <w:t>S</w:t>
      </w:r>
      <w:r w:rsidR="00BC4856" w:rsidRPr="00BC4856">
        <w:rPr>
          <w:color w:val="auto"/>
        </w:rPr>
        <w:t>pe</w:t>
      </w:r>
      <w:r w:rsidRPr="00BC4856">
        <w:rPr>
          <w:color w:val="auto"/>
        </w:rPr>
        <w:t>l</w:t>
      </w:r>
      <w:r w:rsidR="00BC4856" w:rsidRPr="00BC4856">
        <w:rPr>
          <w:color w:val="auto"/>
        </w:rPr>
        <w:t>tho</w:t>
      </w:r>
      <w:r w:rsidRPr="00BC4856">
        <w:rPr>
          <w:color w:val="auto"/>
        </w:rPr>
        <w:t>r</w:t>
      </w:r>
      <w:r w:rsidR="00BC4856" w:rsidRPr="00BC4856">
        <w:rPr>
          <w:color w:val="auto"/>
        </w:rPr>
        <w:t>ne Borough Council</w:t>
      </w:r>
    </w:p>
    <w:p w14:paraId="3BBBDC6E" w14:textId="2662A35E" w:rsidR="008C1237" w:rsidRPr="00F2164B" w:rsidRDefault="00510263" w:rsidP="008C1237">
      <w:pPr>
        <w:pStyle w:val="Style1"/>
        <w:numPr>
          <w:ilvl w:val="0"/>
          <w:numId w:val="6"/>
        </w:numPr>
        <w:spacing w:before="140"/>
        <w:ind w:left="431" w:hanging="431"/>
        <w:rPr>
          <w:color w:val="auto"/>
        </w:rPr>
      </w:pPr>
      <w:r w:rsidRPr="00F2164B">
        <w:rPr>
          <w:color w:val="auto"/>
        </w:rPr>
        <w:t>The</w:t>
      </w:r>
      <w:r w:rsidR="008C1237" w:rsidRPr="00F2164B">
        <w:rPr>
          <w:color w:val="auto"/>
        </w:rPr>
        <w:t xml:space="preserve"> application</w:t>
      </w:r>
      <w:r w:rsidR="00524492" w:rsidRPr="00F2164B">
        <w:rPr>
          <w:color w:val="auto"/>
        </w:rPr>
        <w:t xml:space="preserve"> for costs </w:t>
      </w:r>
      <w:r w:rsidR="008C1237" w:rsidRPr="00F2164B">
        <w:rPr>
          <w:color w:val="auto"/>
        </w:rPr>
        <w:t xml:space="preserve">was </w:t>
      </w:r>
      <w:r w:rsidRPr="00F2164B">
        <w:rPr>
          <w:color w:val="auto"/>
        </w:rPr>
        <w:t xml:space="preserve">submitted </w:t>
      </w:r>
      <w:r w:rsidR="008C1237" w:rsidRPr="00F2164B">
        <w:rPr>
          <w:color w:val="auto"/>
        </w:rPr>
        <w:t>by email dated 2</w:t>
      </w:r>
      <w:r w:rsidR="00524492" w:rsidRPr="00F2164B">
        <w:rPr>
          <w:color w:val="auto"/>
        </w:rPr>
        <w:t xml:space="preserve"> Fe</w:t>
      </w:r>
      <w:r w:rsidR="008C1237" w:rsidRPr="00F2164B">
        <w:rPr>
          <w:color w:val="auto"/>
        </w:rPr>
        <w:t>br</w:t>
      </w:r>
      <w:r w:rsidR="00524492" w:rsidRPr="00F2164B">
        <w:rPr>
          <w:color w:val="auto"/>
        </w:rPr>
        <w:t>uary</w:t>
      </w:r>
      <w:r w:rsidR="009569A0" w:rsidRPr="00F2164B">
        <w:rPr>
          <w:vertAlign w:val="superscript"/>
        </w:rPr>
        <w:footnoteReference w:id="2"/>
      </w:r>
      <w:r w:rsidR="00FA3FD6" w:rsidRPr="00F2164B">
        <w:rPr>
          <w:color w:val="auto"/>
        </w:rPr>
        <w:t xml:space="preserve"> with </w:t>
      </w:r>
      <w:r w:rsidR="008C1237" w:rsidRPr="00F2164B">
        <w:rPr>
          <w:color w:val="auto"/>
        </w:rPr>
        <w:t xml:space="preserve">the formal application made orally at the close of the Inquiry, on </w:t>
      </w:r>
      <w:r w:rsidR="00FA3FD6" w:rsidRPr="00F2164B">
        <w:rPr>
          <w:color w:val="auto"/>
        </w:rPr>
        <w:t>3 February</w:t>
      </w:r>
      <w:r w:rsidR="007C6791" w:rsidRPr="00F2164B">
        <w:rPr>
          <w:color w:val="auto"/>
        </w:rPr>
        <w:t xml:space="preserve"> 2021</w:t>
      </w:r>
      <w:r w:rsidR="008C1237" w:rsidRPr="00F2164B">
        <w:rPr>
          <w:color w:val="auto"/>
        </w:rPr>
        <w:t>.</w:t>
      </w:r>
    </w:p>
    <w:p w14:paraId="129D259F" w14:textId="77777777" w:rsidR="00DC5F7D" w:rsidRPr="00F2164B" w:rsidRDefault="00DC5F7D" w:rsidP="00DC5F7D">
      <w:pPr>
        <w:pStyle w:val="ListParagraph"/>
        <w:autoSpaceDE w:val="0"/>
        <w:autoSpaceDN w:val="0"/>
        <w:adjustRightInd w:val="0"/>
        <w:ind w:left="432"/>
        <w:rPr>
          <w:kern w:val="28"/>
        </w:rPr>
      </w:pPr>
    </w:p>
    <w:p w14:paraId="5AE35226" w14:textId="2913811A" w:rsidR="00046F5F" w:rsidRPr="00F2164B" w:rsidRDefault="00DC5F7D" w:rsidP="00E61E94">
      <w:pPr>
        <w:pStyle w:val="ListParagraph"/>
        <w:numPr>
          <w:ilvl w:val="0"/>
          <w:numId w:val="6"/>
        </w:numPr>
        <w:autoSpaceDE w:val="0"/>
        <w:autoSpaceDN w:val="0"/>
        <w:adjustRightInd w:val="0"/>
        <w:rPr>
          <w:kern w:val="28"/>
        </w:rPr>
      </w:pPr>
      <w:r w:rsidRPr="00F2164B">
        <w:rPr>
          <w:kern w:val="28"/>
        </w:rPr>
        <w:t xml:space="preserve">The application was for a partial award of costs against Network Rail (NR) </w:t>
      </w:r>
      <w:r w:rsidR="00033857" w:rsidRPr="00F2164B">
        <w:rPr>
          <w:kern w:val="28"/>
        </w:rPr>
        <w:t>o</w:t>
      </w:r>
      <w:r w:rsidRPr="00F2164B">
        <w:rPr>
          <w:kern w:val="28"/>
        </w:rPr>
        <w:t xml:space="preserve">n </w:t>
      </w:r>
      <w:r w:rsidR="000C365E" w:rsidRPr="00F2164B">
        <w:rPr>
          <w:kern w:val="28"/>
        </w:rPr>
        <w:t xml:space="preserve">the grounds that they had acted unreasonably </w:t>
      </w:r>
      <w:r w:rsidR="00C273DD" w:rsidRPr="00F2164B">
        <w:rPr>
          <w:kern w:val="28"/>
        </w:rPr>
        <w:t>as set out below.</w:t>
      </w:r>
      <w:r w:rsidR="00140C2F" w:rsidRPr="00F2164B">
        <w:rPr>
          <w:kern w:val="28"/>
        </w:rPr>
        <w:t xml:space="preserve"> </w:t>
      </w:r>
    </w:p>
    <w:p w14:paraId="791F5313" w14:textId="314E7431" w:rsidR="00C273DD" w:rsidRPr="00F2164B" w:rsidRDefault="00C273DD" w:rsidP="00F2164B">
      <w:pPr>
        <w:autoSpaceDE w:val="0"/>
        <w:autoSpaceDN w:val="0"/>
        <w:adjustRightInd w:val="0"/>
        <w:spacing w:before="120"/>
        <w:rPr>
          <w:i/>
          <w:iCs/>
          <w:kern w:val="28"/>
        </w:rPr>
      </w:pPr>
      <w:r w:rsidRPr="00F2164B">
        <w:rPr>
          <w:i/>
          <w:iCs/>
          <w:kern w:val="28"/>
        </w:rPr>
        <w:t>Delay in providing information and otherwise fai</w:t>
      </w:r>
      <w:r w:rsidR="006C7962" w:rsidRPr="00F2164B">
        <w:rPr>
          <w:i/>
          <w:iCs/>
          <w:kern w:val="28"/>
        </w:rPr>
        <w:t xml:space="preserve">ling </w:t>
      </w:r>
      <w:r w:rsidRPr="00F2164B">
        <w:rPr>
          <w:i/>
          <w:iCs/>
          <w:kern w:val="28"/>
        </w:rPr>
        <w:t xml:space="preserve">to adhere to deadlines </w:t>
      </w:r>
    </w:p>
    <w:p w14:paraId="20B50DF3" w14:textId="3C134F5C" w:rsidR="00C273DD" w:rsidRPr="00C273DD" w:rsidRDefault="006C7962" w:rsidP="0086590F">
      <w:pPr>
        <w:pStyle w:val="Style1"/>
        <w:numPr>
          <w:ilvl w:val="0"/>
          <w:numId w:val="6"/>
        </w:numPr>
        <w:spacing w:before="140"/>
        <w:ind w:left="431" w:hanging="431"/>
        <w:rPr>
          <w:color w:val="auto"/>
        </w:rPr>
      </w:pPr>
      <w:r w:rsidRPr="00F2164B">
        <w:rPr>
          <w:color w:val="auto"/>
        </w:rPr>
        <w:t>T</w:t>
      </w:r>
      <w:r w:rsidR="00C273DD" w:rsidRPr="00C273DD">
        <w:rPr>
          <w:color w:val="auto"/>
        </w:rPr>
        <w:t>he</w:t>
      </w:r>
      <w:r w:rsidRPr="006C7962">
        <w:rPr>
          <w:color w:val="auto"/>
        </w:rPr>
        <w:t xml:space="preserve"> Planning</w:t>
      </w:r>
      <w:r w:rsidR="00C273DD" w:rsidRPr="00C273DD">
        <w:rPr>
          <w:color w:val="auto"/>
        </w:rPr>
        <w:t xml:space="preserve"> Inspectorate requested the submission of Proofs of Evidence</w:t>
      </w:r>
      <w:r w:rsidR="00690F99">
        <w:rPr>
          <w:color w:val="auto"/>
        </w:rPr>
        <w:t xml:space="preserve"> (PoE)</w:t>
      </w:r>
      <w:r w:rsidR="00C273DD" w:rsidRPr="00C273DD">
        <w:rPr>
          <w:color w:val="auto"/>
        </w:rPr>
        <w:t xml:space="preserve"> by 22 December 2020. </w:t>
      </w:r>
      <w:r w:rsidRPr="006C7962">
        <w:rPr>
          <w:color w:val="auto"/>
        </w:rPr>
        <w:t>W</w:t>
      </w:r>
      <w:r w:rsidR="00C273DD" w:rsidRPr="00C273DD">
        <w:rPr>
          <w:color w:val="auto"/>
        </w:rPr>
        <w:t>here</w:t>
      </w:r>
      <w:r w:rsidR="00B26AFC">
        <w:rPr>
          <w:color w:val="auto"/>
        </w:rPr>
        <w:t xml:space="preserve"> a</w:t>
      </w:r>
      <w:r w:rsidR="00C273DD" w:rsidRPr="00C273DD">
        <w:rPr>
          <w:color w:val="auto"/>
        </w:rPr>
        <w:t xml:space="preserve"> PoE exceed</w:t>
      </w:r>
      <w:r w:rsidR="00B26AFC">
        <w:rPr>
          <w:color w:val="auto"/>
        </w:rPr>
        <w:t>s</w:t>
      </w:r>
      <w:r w:rsidR="00C273DD" w:rsidRPr="00C273DD">
        <w:rPr>
          <w:color w:val="auto"/>
        </w:rPr>
        <w:t xml:space="preserve"> 1,500 words, parties are required to provide summaries of no more than 1,500 words.</w:t>
      </w:r>
      <w:r w:rsidRPr="006C7962">
        <w:rPr>
          <w:color w:val="auto"/>
        </w:rPr>
        <w:t xml:space="preserve"> </w:t>
      </w:r>
      <w:r w:rsidR="00C273DD" w:rsidRPr="00C273DD">
        <w:rPr>
          <w:color w:val="auto"/>
        </w:rPr>
        <w:t>NR provided two PoE in compliance with the deadline</w:t>
      </w:r>
      <w:r w:rsidR="006116F1">
        <w:rPr>
          <w:color w:val="auto"/>
        </w:rPr>
        <w:t>, b</w:t>
      </w:r>
      <w:r w:rsidR="00C273DD" w:rsidRPr="00C273DD">
        <w:rPr>
          <w:color w:val="auto"/>
        </w:rPr>
        <w:t>oth exceed</w:t>
      </w:r>
      <w:r w:rsidR="006116F1">
        <w:rPr>
          <w:color w:val="auto"/>
        </w:rPr>
        <w:t>ing</w:t>
      </w:r>
      <w:r w:rsidR="00C273DD" w:rsidRPr="00C273DD">
        <w:rPr>
          <w:color w:val="auto"/>
        </w:rPr>
        <w:t xml:space="preserve"> 1,500 words by a considerable margin, but without summaries. This was raised at the pre-Inquiry event held on 7 January 2021</w:t>
      </w:r>
      <w:r w:rsidR="007D4B4E">
        <w:rPr>
          <w:color w:val="auto"/>
        </w:rPr>
        <w:t xml:space="preserve"> bu</w:t>
      </w:r>
      <w:r w:rsidR="00C273DD" w:rsidRPr="00C273DD">
        <w:rPr>
          <w:color w:val="auto"/>
        </w:rPr>
        <w:t>t</w:t>
      </w:r>
      <w:r w:rsidR="007D4B4E">
        <w:rPr>
          <w:color w:val="auto"/>
        </w:rPr>
        <w:t xml:space="preserve"> </w:t>
      </w:r>
      <w:r w:rsidR="00C273DD" w:rsidRPr="00C273DD">
        <w:rPr>
          <w:color w:val="auto"/>
        </w:rPr>
        <w:t xml:space="preserve">summary </w:t>
      </w:r>
      <w:proofErr w:type="spellStart"/>
      <w:r w:rsidR="00E410EE">
        <w:rPr>
          <w:color w:val="auto"/>
        </w:rPr>
        <w:t>P</w:t>
      </w:r>
      <w:r w:rsidR="001442E0">
        <w:rPr>
          <w:color w:val="auto"/>
        </w:rPr>
        <w:t>o</w:t>
      </w:r>
      <w:r w:rsidR="00E410EE">
        <w:rPr>
          <w:color w:val="auto"/>
        </w:rPr>
        <w:t>E</w:t>
      </w:r>
      <w:r w:rsidR="00C273DD" w:rsidRPr="00C273DD">
        <w:rPr>
          <w:color w:val="auto"/>
        </w:rPr>
        <w:t>s</w:t>
      </w:r>
      <w:proofErr w:type="spellEnd"/>
      <w:r w:rsidR="00C273DD" w:rsidRPr="00C273DD">
        <w:rPr>
          <w:color w:val="auto"/>
        </w:rPr>
        <w:t xml:space="preserve"> were only provided on 13 January 2021. </w:t>
      </w:r>
    </w:p>
    <w:p w14:paraId="0E7DA605" w14:textId="3C6E65A5" w:rsidR="00C273DD" w:rsidRPr="00370FE4" w:rsidRDefault="00DE3BBB" w:rsidP="004D7440">
      <w:pPr>
        <w:pStyle w:val="Style1"/>
        <w:numPr>
          <w:ilvl w:val="0"/>
          <w:numId w:val="6"/>
        </w:numPr>
        <w:spacing w:before="140"/>
        <w:ind w:left="431" w:hanging="431"/>
        <w:rPr>
          <w:color w:val="auto"/>
        </w:rPr>
      </w:pPr>
      <w:r w:rsidRPr="00370FE4">
        <w:rPr>
          <w:color w:val="auto"/>
        </w:rPr>
        <w:t>A</w:t>
      </w:r>
      <w:r w:rsidR="00C273DD" w:rsidRPr="00370FE4">
        <w:rPr>
          <w:color w:val="auto"/>
        </w:rPr>
        <w:t xml:space="preserve">t the pre-Inquiry event reference was made </w:t>
      </w:r>
      <w:r w:rsidR="00DE32A6" w:rsidRPr="00370FE4">
        <w:rPr>
          <w:color w:val="auto"/>
        </w:rPr>
        <w:t>t</w:t>
      </w:r>
      <w:r w:rsidR="00C273DD" w:rsidRPr="00370FE4">
        <w:rPr>
          <w:color w:val="auto"/>
        </w:rPr>
        <w:t xml:space="preserve">o a third PoE. </w:t>
      </w:r>
      <w:r w:rsidR="000A00F3" w:rsidRPr="00370FE4">
        <w:rPr>
          <w:color w:val="auto"/>
        </w:rPr>
        <w:t>T</w:t>
      </w:r>
      <w:r w:rsidR="00C273DD" w:rsidRPr="00370FE4">
        <w:rPr>
          <w:color w:val="auto"/>
        </w:rPr>
        <w:t xml:space="preserve">hat PoE had not been provided by 22 December 2020 and was only provided to </w:t>
      </w:r>
      <w:r w:rsidR="00DE32A6" w:rsidRPr="00370FE4">
        <w:rPr>
          <w:color w:val="auto"/>
        </w:rPr>
        <w:t>Spelt</w:t>
      </w:r>
      <w:r w:rsidR="00C273DD" w:rsidRPr="00370FE4">
        <w:rPr>
          <w:color w:val="auto"/>
        </w:rPr>
        <w:t>h</w:t>
      </w:r>
      <w:r w:rsidR="00DE32A6" w:rsidRPr="00370FE4">
        <w:rPr>
          <w:color w:val="auto"/>
        </w:rPr>
        <w:t>orn</w:t>
      </w:r>
      <w:r w:rsidR="00C273DD" w:rsidRPr="00370FE4">
        <w:rPr>
          <w:color w:val="auto"/>
        </w:rPr>
        <w:t>e Borough Council</w:t>
      </w:r>
      <w:r w:rsidR="00DE32A6" w:rsidRPr="00370FE4">
        <w:rPr>
          <w:color w:val="auto"/>
        </w:rPr>
        <w:t xml:space="preserve"> (SBC)</w:t>
      </w:r>
      <w:r w:rsidR="00C273DD" w:rsidRPr="00370FE4">
        <w:rPr>
          <w:color w:val="auto"/>
        </w:rPr>
        <w:t xml:space="preserve"> as part of a larger bundle of documents on 14 January 2021 (at 18:13hrs). </w:t>
      </w:r>
      <w:r w:rsidR="00DE32A6" w:rsidRPr="00370FE4">
        <w:rPr>
          <w:color w:val="auto"/>
        </w:rPr>
        <w:t>T</w:t>
      </w:r>
      <w:r w:rsidR="00C273DD" w:rsidRPr="00370FE4">
        <w:rPr>
          <w:color w:val="auto"/>
        </w:rPr>
        <w:t xml:space="preserve">he late provision of summary </w:t>
      </w:r>
      <w:proofErr w:type="spellStart"/>
      <w:r w:rsidR="00C273DD" w:rsidRPr="00370FE4">
        <w:rPr>
          <w:color w:val="auto"/>
        </w:rPr>
        <w:t>PoE</w:t>
      </w:r>
      <w:r w:rsidR="000A00F3" w:rsidRPr="00370FE4">
        <w:rPr>
          <w:color w:val="auto"/>
        </w:rPr>
        <w:t>s</w:t>
      </w:r>
      <w:proofErr w:type="spellEnd"/>
      <w:r w:rsidR="00C273DD" w:rsidRPr="00370FE4">
        <w:rPr>
          <w:color w:val="auto"/>
        </w:rPr>
        <w:t xml:space="preserve"> and</w:t>
      </w:r>
      <w:r w:rsidR="00854BF4" w:rsidRPr="00370FE4">
        <w:rPr>
          <w:color w:val="auto"/>
        </w:rPr>
        <w:t xml:space="preserve"> a</w:t>
      </w:r>
      <w:r w:rsidR="00C273DD" w:rsidRPr="00370FE4">
        <w:rPr>
          <w:color w:val="auto"/>
        </w:rPr>
        <w:t xml:space="preserve"> new</w:t>
      </w:r>
      <w:r w:rsidR="00854BF4" w:rsidRPr="00370FE4">
        <w:rPr>
          <w:color w:val="auto"/>
        </w:rPr>
        <w:t xml:space="preserve"> </w:t>
      </w:r>
      <w:r w:rsidR="00C273DD" w:rsidRPr="00370FE4">
        <w:rPr>
          <w:color w:val="auto"/>
        </w:rPr>
        <w:t xml:space="preserve">PoE was neither in compliance with the timetable nor reasonable. </w:t>
      </w:r>
      <w:r w:rsidR="003423FB" w:rsidRPr="00370FE4">
        <w:rPr>
          <w:color w:val="auto"/>
        </w:rPr>
        <w:t>T</w:t>
      </w:r>
      <w:r w:rsidR="00C273DD" w:rsidRPr="00370FE4">
        <w:rPr>
          <w:color w:val="auto"/>
        </w:rPr>
        <w:t>h</w:t>
      </w:r>
      <w:r w:rsidR="003423FB" w:rsidRPr="00370FE4">
        <w:rPr>
          <w:color w:val="auto"/>
        </w:rPr>
        <w:t>is</w:t>
      </w:r>
      <w:r w:rsidR="00C273DD" w:rsidRPr="00370FE4">
        <w:rPr>
          <w:color w:val="auto"/>
        </w:rPr>
        <w:t xml:space="preserve"> put </w:t>
      </w:r>
      <w:r w:rsidR="00EE2E6D" w:rsidRPr="00370FE4">
        <w:rPr>
          <w:color w:val="auto"/>
        </w:rPr>
        <w:t>S</w:t>
      </w:r>
      <w:r w:rsidR="00C273DD" w:rsidRPr="00370FE4">
        <w:rPr>
          <w:color w:val="auto"/>
        </w:rPr>
        <w:t>BC to additional time and expense</w:t>
      </w:r>
      <w:r w:rsidR="00240B13" w:rsidRPr="00370FE4">
        <w:rPr>
          <w:color w:val="auto"/>
        </w:rPr>
        <w:t xml:space="preserve"> </w:t>
      </w:r>
      <w:r w:rsidR="00C273DD" w:rsidRPr="00370FE4">
        <w:rPr>
          <w:color w:val="auto"/>
        </w:rPr>
        <w:t>as</w:t>
      </w:r>
      <w:r w:rsidR="00240B13" w:rsidRPr="00370FE4">
        <w:rPr>
          <w:color w:val="auto"/>
        </w:rPr>
        <w:t>,</w:t>
      </w:r>
      <w:r w:rsidR="00C273DD" w:rsidRPr="00370FE4">
        <w:rPr>
          <w:color w:val="auto"/>
        </w:rPr>
        <w:t xml:space="preserve"> be</w:t>
      </w:r>
      <w:r w:rsidR="00240B13" w:rsidRPr="00370FE4">
        <w:rPr>
          <w:color w:val="auto"/>
        </w:rPr>
        <w:t xml:space="preserve">ing </w:t>
      </w:r>
      <w:r w:rsidR="00C273DD" w:rsidRPr="00370FE4">
        <w:rPr>
          <w:color w:val="auto"/>
        </w:rPr>
        <w:t xml:space="preserve">outside the anticipated timeline, </w:t>
      </w:r>
      <w:r w:rsidR="00370FE4">
        <w:rPr>
          <w:color w:val="auto"/>
        </w:rPr>
        <w:t xml:space="preserve">it </w:t>
      </w:r>
      <w:r w:rsidR="00C273DD" w:rsidRPr="00370FE4">
        <w:rPr>
          <w:color w:val="auto"/>
        </w:rPr>
        <w:t>requir</w:t>
      </w:r>
      <w:r w:rsidR="00240B13" w:rsidRPr="00370FE4">
        <w:rPr>
          <w:color w:val="auto"/>
        </w:rPr>
        <w:t>ed</w:t>
      </w:r>
      <w:r w:rsidR="00C273DD" w:rsidRPr="00370FE4">
        <w:rPr>
          <w:color w:val="auto"/>
        </w:rPr>
        <w:t xml:space="preserve"> </w:t>
      </w:r>
      <w:r w:rsidR="00EE2E6D" w:rsidRPr="00370FE4">
        <w:rPr>
          <w:color w:val="auto"/>
        </w:rPr>
        <w:t>S</w:t>
      </w:r>
      <w:r w:rsidR="00C273DD" w:rsidRPr="00370FE4">
        <w:rPr>
          <w:color w:val="auto"/>
        </w:rPr>
        <w:t xml:space="preserve">BC to revisit issues in preparation in an inconvenient manner. </w:t>
      </w:r>
    </w:p>
    <w:p w14:paraId="2B833A50" w14:textId="736114B7" w:rsidR="00C273DD" w:rsidRPr="00C273DD" w:rsidRDefault="00C273DD" w:rsidP="000E5ECA">
      <w:pPr>
        <w:pStyle w:val="Style1"/>
        <w:numPr>
          <w:ilvl w:val="0"/>
          <w:numId w:val="6"/>
        </w:numPr>
        <w:spacing w:before="140"/>
        <w:ind w:left="431" w:hanging="431"/>
        <w:rPr>
          <w:color w:val="auto"/>
        </w:rPr>
      </w:pPr>
      <w:r w:rsidRPr="00C273DD">
        <w:rPr>
          <w:color w:val="auto"/>
        </w:rPr>
        <w:t>In accordance with the Inquiry timetable, NR</w:t>
      </w:r>
      <w:r w:rsidR="000E5ECA">
        <w:rPr>
          <w:color w:val="auto"/>
        </w:rPr>
        <w:t xml:space="preserve"> </w:t>
      </w:r>
      <w:r w:rsidRPr="00C273DD">
        <w:rPr>
          <w:color w:val="auto"/>
        </w:rPr>
        <w:t>was required to submit its Statement of Case</w:t>
      </w:r>
      <w:r w:rsidR="00727055">
        <w:rPr>
          <w:color w:val="auto"/>
        </w:rPr>
        <w:t xml:space="preserve"> (</w:t>
      </w:r>
      <w:r w:rsidR="00CD31C2">
        <w:rPr>
          <w:color w:val="auto"/>
        </w:rPr>
        <w:t>S</w:t>
      </w:r>
      <w:r w:rsidR="00814D7C">
        <w:rPr>
          <w:color w:val="auto"/>
        </w:rPr>
        <w:t>o</w:t>
      </w:r>
      <w:r w:rsidR="00CD31C2">
        <w:rPr>
          <w:color w:val="auto"/>
        </w:rPr>
        <w:t>C</w:t>
      </w:r>
      <w:r w:rsidR="00727055">
        <w:rPr>
          <w:color w:val="auto"/>
        </w:rPr>
        <w:t>) a</w:t>
      </w:r>
      <w:r w:rsidRPr="00C273DD">
        <w:rPr>
          <w:color w:val="auto"/>
        </w:rPr>
        <w:t>nd supporting documentation on 13 October 2020. At</w:t>
      </w:r>
      <w:r w:rsidR="000E5ECA">
        <w:rPr>
          <w:color w:val="auto"/>
        </w:rPr>
        <w:t xml:space="preserve"> </w:t>
      </w:r>
      <w:r w:rsidRPr="00C273DD">
        <w:rPr>
          <w:color w:val="auto"/>
        </w:rPr>
        <w:t xml:space="preserve">that stage, the only risk assessment documentation that was made available by NR dated back to 2015; itself a document that was later – and somewhat ironically - described by </w:t>
      </w:r>
      <w:r w:rsidR="00F00747">
        <w:rPr>
          <w:color w:val="auto"/>
        </w:rPr>
        <w:t>NR</w:t>
      </w:r>
      <w:r w:rsidRPr="00C273DD">
        <w:rPr>
          <w:color w:val="auto"/>
        </w:rPr>
        <w:t xml:space="preserve"> during cross examination as not being</w:t>
      </w:r>
      <w:r w:rsidR="00F00747">
        <w:rPr>
          <w:color w:val="auto"/>
        </w:rPr>
        <w:t xml:space="preserve"> </w:t>
      </w:r>
      <w:r w:rsidRPr="00C273DD">
        <w:rPr>
          <w:color w:val="auto"/>
        </w:rPr>
        <w:t>t</w:t>
      </w:r>
      <w:r w:rsidR="00F00747">
        <w:rPr>
          <w:color w:val="auto"/>
        </w:rPr>
        <w:t>hei</w:t>
      </w:r>
      <w:r w:rsidRPr="00C273DD">
        <w:rPr>
          <w:color w:val="auto"/>
        </w:rPr>
        <w:t xml:space="preserve">r finest work. It is relevant to note that no documentation whatsoever had been </w:t>
      </w:r>
      <w:r w:rsidRPr="00C273DD">
        <w:rPr>
          <w:color w:val="auto"/>
        </w:rPr>
        <w:lastRenderedPageBreak/>
        <w:t>provided to support NR’s historical (</w:t>
      </w:r>
      <w:proofErr w:type="gramStart"/>
      <w:r w:rsidRPr="00C273DD">
        <w:rPr>
          <w:color w:val="auto"/>
        </w:rPr>
        <w:t>i.e.</w:t>
      </w:r>
      <w:proofErr w:type="gramEnd"/>
      <w:r w:rsidRPr="00C273DD">
        <w:rPr>
          <w:color w:val="auto"/>
        </w:rPr>
        <w:t xml:space="preserve"> pre-2014) decision-making, despite the nature of </w:t>
      </w:r>
      <w:r w:rsidR="00F00747">
        <w:rPr>
          <w:color w:val="auto"/>
        </w:rPr>
        <w:t>S</w:t>
      </w:r>
      <w:r w:rsidRPr="00C273DD">
        <w:rPr>
          <w:color w:val="auto"/>
        </w:rPr>
        <w:t xml:space="preserve">BC’s objection. </w:t>
      </w:r>
    </w:p>
    <w:p w14:paraId="74553D47" w14:textId="0D3A3315" w:rsidR="00C273DD" w:rsidRDefault="008D2409" w:rsidP="00C273DD">
      <w:pPr>
        <w:pStyle w:val="Style1"/>
        <w:numPr>
          <w:ilvl w:val="0"/>
          <w:numId w:val="6"/>
        </w:numPr>
        <w:spacing w:before="140"/>
        <w:ind w:left="431" w:hanging="431"/>
        <w:rPr>
          <w:color w:val="auto"/>
        </w:rPr>
      </w:pPr>
      <w:r>
        <w:rPr>
          <w:color w:val="auto"/>
        </w:rPr>
        <w:t>N</w:t>
      </w:r>
      <w:r w:rsidR="00C273DD" w:rsidRPr="00C273DD">
        <w:rPr>
          <w:color w:val="auto"/>
        </w:rPr>
        <w:t xml:space="preserve">o ‘new’ documentation should accompany the submission of </w:t>
      </w:r>
      <w:proofErr w:type="spellStart"/>
      <w:r w:rsidR="00C273DD" w:rsidRPr="00C273DD">
        <w:rPr>
          <w:color w:val="auto"/>
        </w:rPr>
        <w:t>PoE</w:t>
      </w:r>
      <w:r>
        <w:rPr>
          <w:color w:val="auto"/>
        </w:rPr>
        <w:t>s</w:t>
      </w:r>
      <w:proofErr w:type="spellEnd"/>
      <w:r w:rsidR="00C273DD" w:rsidRPr="00C273DD">
        <w:rPr>
          <w:color w:val="auto"/>
        </w:rPr>
        <w:t>. However, NR provided a lengthy, and highly relevant, Narrative Risk Assessment</w:t>
      </w:r>
      <w:r w:rsidR="00BC4252">
        <w:rPr>
          <w:color w:val="auto"/>
        </w:rPr>
        <w:t xml:space="preserve"> (NRA)</w:t>
      </w:r>
      <w:r w:rsidR="00C273DD" w:rsidRPr="00C273DD">
        <w:rPr>
          <w:color w:val="auto"/>
        </w:rPr>
        <w:t xml:space="preserve"> (dated December 2020), at the same time as its submission of the two </w:t>
      </w:r>
      <w:proofErr w:type="spellStart"/>
      <w:r w:rsidR="00C273DD" w:rsidRPr="00C273DD">
        <w:rPr>
          <w:color w:val="auto"/>
        </w:rPr>
        <w:t>PoE</w:t>
      </w:r>
      <w:r>
        <w:rPr>
          <w:color w:val="auto"/>
        </w:rPr>
        <w:t>s</w:t>
      </w:r>
      <w:proofErr w:type="spellEnd"/>
      <w:r w:rsidR="00C273DD" w:rsidRPr="00C273DD">
        <w:rPr>
          <w:color w:val="auto"/>
        </w:rPr>
        <w:t xml:space="preserve"> referred to above. </w:t>
      </w:r>
      <w:r>
        <w:rPr>
          <w:color w:val="auto"/>
        </w:rPr>
        <w:t>Th</w:t>
      </w:r>
      <w:r w:rsidR="00C273DD" w:rsidRPr="00C273DD">
        <w:rPr>
          <w:color w:val="auto"/>
        </w:rPr>
        <w:t xml:space="preserve">e late provision of this document required </w:t>
      </w:r>
      <w:r>
        <w:rPr>
          <w:color w:val="auto"/>
        </w:rPr>
        <w:t>S</w:t>
      </w:r>
      <w:r w:rsidR="00C273DD" w:rsidRPr="00C273DD">
        <w:rPr>
          <w:color w:val="auto"/>
        </w:rPr>
        <w:t xml:space="preserve">BC to revisit issues in an inconvenient and duplicative manner, after the point at which it could have addressed relevant issues in its own PoE. </w:t>
      </w:r>
    </w:p>
    <w:p w14:paraId="02E9EC01" w14:textId="2F928F1D" w:rsidR="00FC2961" w:rsidRDefault="001B6BF4" w:rsidP="00FC2961">
      <w:pPr>
        <w:pStyle w:val="Style1"/>
        <w:numPr>
          <w:ilvl w:val="0"/>
          <w:numId w:val="6"/>
        </w:numPr>
        <w:spacing w:before="140"/>
        <w:rPr>
          <w:color w:val="auto"/>
        </w:rPr>
      </w:pPr>
      <w:proofErr w:type="gramStart"/>
      <w:r>
        <w:rPr>
          <w:color w:val="auto"/>
        </w:rPr>
        <w:t>Furthermore</w:t>
      </w:r>
      <w:proofErr w:type="gramEnd"/>
      <w:r>
        <w:rPr>
          <w:color w:val="auto"/>
        </w:rPr>
        <w:t xml:space="preserve"> it </w:t>
      </w:r>
      <w:r w:rsidR="00FC2961">
        <w:rPr>
          <w:color w:val="auto"/>
        </w:rPr>
        <w:t>w</w:t>
      </w:r>
      <w:r>
        <w:rPr>
          <w:color w:val="auto"/>
        </w:rPr>
        <w:t>as</w:t>
      </w:r>
      <w:r w:rsidR="00FC2961">
        <w:rPr>
          <w:color w:val="auto"/>
        </w:rPr>
        <w:t xml:space="preserve"> know</w:t>
      </w:r>
      <w:r>
        <w:rPr>
          <w:color w:val="auto"/>
        </w:rPr>
        <w:t>n</w:t>
      </w:r>
      <w:r w:rsidR="00FC2961">
        <w:rPr>
          <w:color w:val="auto"/>
        </w:rPr>
        <w:t xml:space="preserve"> from </w:t>
      </w:r>
      <w:r>
        <w:rPr>
          <w:color w:val="auto"/>
        </w:rPr>
        <w:t>th</w:t>
      </w:r>
      <w:r w:rsidR="00FC2961">
        <w:rPr>
          <w:color w:val="auto"/>
        </w:rPr>
        <w:t>e</w:t>
      </w:r>
      <w:r>
        <w:rPr>
          <w:color w:val="auto"/>
        </w:rPr>
        <w:t xml:space="preserve"> </w:t>
      </w:r>
      <w:r w:rsidR="00FC2961">
        <w:rPr>
          <w:color w:val="auto"/>
        </w:rPr>
        <w:t xml:space="preserve">PoE </w:t>
      </w:r>
      <w:r w:rsidR="00616174">
        <w:rPr>
          <w:color w:val="auto"/>
        </w:rPr>
        <w:t xml:space="preserve">of Mr Pead </w:t>
      </w:r>
      <w:r w:rsidR="00FC2961">
        <w:rPr>
          <w:color w:val="auto"/>
        </w:rPr>
        <w:t>that</w:t>
      </w:r>
      <w:r w:rsidR="00616174">
        <w:rPr>
          <w:color w:val="auto"/>
        </w:rPr>
        <w:t xml:space="preserve"> there was</w:t>
      </w:r>
      <w:r w:rsidR="00CE6940">
        <w:rPr>
          <w:color w:val="auto"/>
        </w:rPr>
        <w:t xml:space="preserve"> an NRA dating from</w:t>
      </w:r>
      <w:r w:rsidR="00FC2961">
        <w:rPr>
          <w:color w:val="auto"/>
        </w:rPr>
        <w:t xml:space="preserve"> April 2020, </w:t>
      </w:r>
      <w:r w:rsidR="00CE6940">
        <w:rPr>
          <w:color w:val="auto"/>
        </w:rPr>
        <w:t xml:space="preserve">which was </w:t>
      </w:r>
      <w:r w:rsidR="00FC2961">
        <w:rPr>
          <w:color w:val="auto"/>
        </w:rPr>
        <w:t>clearly available but not provided</w:t>
      </w:r>
      <w:r w:rsidR="00CE6940">
        <w:rPr>
          <w:color w:val="auto"/>
        </w:rPr>
        <w:t xml:space="preserve">. </w:t>
      </w:r>
      <w:r w:rsidR="00015CA8">
        <w:rPr>
          <w:color w:val="auto"/>
        </w:rPr>
        <w:t xml:space="preserve">When the bundles were provided the NRA attached was the April 2020. </w:t>
      </w:r>
      <w:r w:rsidR="0053730E">
        <w:rPr>
          <w:color w:val="auto"/>
        </w:rPr>
        <w:t>It would b</w:t>
      </w:r>
      <w:r w:rsidR="00CE6940">
        <w:rPr>
          <w:color w:val="auto"/>
        </w:rPr>
        <w:t xml:space="preserve">e </w:t>
      </w:r>
      <w:r w:rsidR="00FC2961">
        <w:rPr>
          <w:color w:val="auto"/>
        </w:rPr>
        <w:t>expect</w:t>
      </w:r>
      <w:r w:rsidR="0053730E">
        <w:rPr>
          <w:color w:val="auto"/>
        </w:rPr>
        <w:t xml:space="preserve">ed that the </w:t>
      </w:r>
      <w:r w:rsidR="00FC2961">
        <w:rPr>
          <w:color w:val="auto"/>
        </w:rPr>
        <w:t xml:space="preserve">version </w:t>
      </w:r>
      <w:r w:rsidR="0053730E">
        <w:rPr>
          <w:color w:val="auto"/>
        </w:rPr>
        <w:t xml:space="preserve">being </w:t>
      </w:r>
      <w:r w:rsidR="00FC2961">
        <w:rPr>
          <w:color w:val="auto"/>
        </w:rPr>
        <w:t>rel</w:t>
      </w:r>
      <w:r w:rsidR="0053730E">
        <w:rPr>
          <w:color w:val="auto"/>
        </w:rPr>
        <w:t>ied</w:t>
      </w:r>
      <w:r w:rsidR="00FC2961">
        <w:rPr>
          <w:color w:val="auto"/>
        </w:rPr>
        <w:t xml:space="preserve"> on </w:t>
      </w:r>
      <w:r w:rsidR="0053730E">
        <w:rPr>
          <w:color w:val="auto"/>
        </w:rPr>
        <w:t xml:space="preserve">was submitted </w:t>
      </w:r>
      <w:r w:rsidR="00FC2961">
        <w:rPr>
          <w:color w:val="auto"/>
        </w:rPr>
        <w:t xml:space="preserve">at </w:t>
      </w:r>
      <w:r w:rsidR="0053730E">
        <w:rPr>
          <w:color w:val="auto"/>
        </w:rPr>
        <w:t xml:space="preserve">the </w:t>
      </w:r>
      <w:r w:rsidR="00FC2961">
        <w:rPr>
          <w:color w:val="auto"/>
        </w:rPr>
        <w:t xml:space="preserve">earliest stage possible. </w:t>
      </w:r>
      <w:r w:rsidR="005174AC">
        <w:rPr>
          <w:color w:val="auto"/>
        </w:rPr>
        <w:t>This c</w:t>
      </w:r>
      <w:r w:rsidR="00FC2961">
        <w:rPr>
          <w:color w:val="auto"/>
        </w:rPr>
        <w:t xml:space="preserve">learly </w:t>
      </w:r>
      <w:r w:rsidR="005174AC">
        <w:rPr>
          <w:color w:val="auto"/>
        </w:rPr>
        <w:t>ca</w:t>
      </w:r>
      <w:r w:rsidR="00FC2961">
        <w:rPr>
          <w:color w:val="auto"/>
        </w:rPr>
        <w:t>u</w:t>
      </w:r>
      <w:r w:rsidR="005174AC">
        <w:rPr>
          <w:color w:val="auto"/>
        </w:rPr>
        <w:t>sed</w:t>
      </w:r>
      <w:r w:rsidR="00FC2961">
        <w:rPr>
          <w:color w:val="auto"/>
        </w:rPr>
        <w:t xml:space="preserve"> additional work</w:t>
      </w:r>
      <w:r w:rsidR="005174AC">
        <w:rPr>
          <w:color w:val="auto"/>
        </w:rPr>
        <w:t>,</w:t>
      </w:r>
      <w:r w:rsidR="00FC2961">
        <w:rPr>
          <w:color w:val="auto"/>
        </w:rPr>
        <w:t xml:space="preserve"> as </w:t>
      </w:r>
      <w:r w:rsidR="005174AC">
        <w:rPr>
          <w:color w:val="auto"/>
        </w:rPr>
        <w:t xml:space="preserve">it was </w:t>
      </w:r>
      <w:r w:rsidR="00FC2961">
        <w:rPr>
          <w:color w:val="auto"/>
        </w:rPr>
        <w:t xml:space="preserve">only </w:t>
      </w:r>
      <w:r w:rsidR="005174AC">
        <w:rPr>
          <w:color w:val="auto"/>
        </w:rPr>
        <w:t xml:space="preserve">SBC </w:t>
      </w:r>
      <w:r w:rsidR="00FC2961">
        <w:rPr>
          <w:color w:val="auto"/>
        </w:rPr>
        <w:t xml:space="preserve">who identified </w:t>
      </w:r>
      <w:r w:rsidR="005174AC">
        <w:rPr>
          <w:color w:val="auto"/>
        </w:rPr>
        <w:t xml:space="preserve">the inclusion of the </w:t>
      </w:r>
      <w:r w:rsidR="00FC2961">
        <w:rPr>
          <w:color w:val="auto"/>
        </w:rPr>
        <w:t>wrong document.</w:t>
      </w:r>
    </w:p>
    <w:p w14:paraId="1031B01C" w14:textId="6B7F29B3" w:rsidR="00C273DD" w:rsidRPr="00C273DD" w:rsidRDefault="00C273DD" w:rsidP="00671301">
      <w:pPr>
        <w:pStyle w:val="Style1"/>
        <w:numPr>
          <w:ilvl w:val="0"/>
          <w:numId w:val="6"/>
        </w:numPr>
        <w:spacing w:before="140"/>
        <w:ind w:left="431" w:hanging="431"/>
        <w:rPr>
          <w:color w:val="auto"/>
        </w:rPr>
      </w:pPr>
      <w:r w:rsidRPr="00C273DD">
        <w:rPr>
          <w:color w:val="auto"/>
        </w:rPr>
        <w:t xml:space="preserve">At the pre-Inquiry event on 7 January 2021, NR undertook to provide bundles to the Inquiry. Unfortunately, NR’s efforts in this regard </w:t>
      </w:r>
      <w:r w:rsidR="00033EC2" w:rsidRPr="00033EC2">
        <w:rPr>
          <w:color w:val="auto"/>
        </w:rPr>
        <w:t>w</w:t>
      </w:r>
      <w:r w:rsidRPr="00C273DD">
        <w:rPr>
          <w:color w:val="auto"/>
        </w:rPr>
        <w:t>e</w:t>
      </w:r>
      <w:r w:rsidR="00033EC2" w:rsidRPr="00033EC2">
        <w:rPr>
          <w:color w:val="auto"/>
        </w:rPr>
        <w:t>r</w:t>
      </w:r>
      <w:r w:rsidRPr="00C273DD">
        <w:rPr>
          <w:color w:val="auto"/>
        </w:rPr>
        <w:t>e woefully inadequate and materially hindered efficient document management efforts.</w:t>
      </w:r>
      <w:r w:rsidR="00033EC2" w:rsidRPr="00033EC2">
        <w:rPr>
          <w:color w:val="auto"/>
        </w:rPr>
        <w:t xml:space="preserve"> </w:t>
      </w:r>
      <w:r w:rsidRPr="00C273DD">
        <w:rPr>
          <w:color w:val="auto"/>
        </w:rPr>
        <w:t xml:space="preserve">On 14 January 2021 (at 18.13hrs), </w:t>
      </w:r>
      <w:r w:rsidR="00033EC2">
        <w:rPr>
          <w:color w:val="auto"/>
        </w:rPr>
        <w:t>S</w:t>
      </w:r>
      <w:r w:rsidRPr="00C273DD">
        <w:rPr>
          <w:color w:val="auto"/>
        </w:rPr>
        <w:t xml:space="preserve">BC received a bundle from NR, which </w:t>
      </w:r>
      <w:proofErr w:type="spellStart"/>
      <w:r w:rsidRPr="00C273DD">
        <w:rPr>
          <w:color w:val="auto"/>
        </w:rPr>
        <w:t>i</w:t>
      </w:r>
      <w:proofErr w:type="spellEnd"/>
      <w:r w:rsidRPr="00C273DD">
        <w:rPr>
          <w:color w:val="auto"/>
        </w:rPr>
        <w:t xml:space="preserve">) was split across multiple pdf files; ii) was lacking any pagination or useable index; and iii) contained </w:t>
      </w:r>
      <w:proofErr w:type="gramStart"/>
      <w:r w:rsidRPr="00C273DD">
        <w:rPr>
          <w:color w:val="auto"/>
        </w:rPr>
        <w:t>a number of</w:t>
      </w:r>
      <w:proofErr w:type="gramEnd"/>
      <w:r w:rsidRPr="00C273DD">
        <w:rPr>
          <w:color w:val="auto"/>
        </w:rPr>
        <w:t xml:space="preserve"> documents that </w:t>
      </w:r>
      <w:r w:rsidR="00E62E16">
        <w:rPr>
          <w:color w:val="auto"/>
        </w:rPr>
        <w:t>S</w:t>
      </w:r>
      <w:r w:rsidRPr="00C273DD">
        <w:rPr>
          <w:color w:val="auto"/>
        </w:rPr>
        <w:t xml:space="preserve">BC had not seen previously. </w:t>
      </w:r>
    </w:p>
    <w:p w14:paraId="6A3D3941" w14:textId="7A6490EF" w:rsidR="00D336C3" w:rsidRPr="003460F3" w:rsidRDefault="00E62E16" w:rsidP="0066443F">
      <w:pPr>
        <w:pStyle w:val="Style1"/>
        <w:numPr>
          <w:ilvl w:val="0"/>
          <w:numId w:val="6"/>
        </w:numPr>
        <w:spacing w:before="140"/>
        <w:ind w:left="431" w:hanging="431"/>
        <w:rPr>
          <w:color w:val="auto"/>
        </w:rPr>
      </w:pPr>
      <w:r w:rsidRPr="003460F3">
        <w:rPr>
          <w:color w:val="auto"/>
        </w:rPr>
        <w:t>S</w:t>
      </w:r>
      <w:r w:rsidR="00C273DD" w:rsidRPr="00C273DD">
        <w:rPr>
          <w:color w:val="auto"/>
        </w:rPr>
        <w:t xml:space="preserve">BC raised these concerns with NR’s representative by email dated 15 January 2021 (at 12.03hrs). Notwithstanding those </w:t>
      </w:r>
      <w:proofErr w:type="gramStart"/>
      <w:r w:rsidR="00C273DD" w:rsidRPr="00C273DD">
        <w:rPr>
          <w:color w:val="auto"/>
        </w:rPr>
        <w:t>concerns, and</w:t>
      </w:r>
      <w:proofErr w:type="gramEnd"/>
      <w:r w:rsidR="00C273DD" w:rsidRPr="00C273DD">
        <w:rPr>
          <w:color w:val="auto"/>
        </w:rPr>
        <w:t xml:space="preserve"> given the timing of NR’s provision of the bundles, </w:t>
      </w:r>
      <w:r w:rsidR="003460F3" w:rsidRPr="003460F3">
        <w:rPr>
          <w:color w:val="auto"/>
        </w:rPr>
        <w:t>S</w:t>
      </w:r>
      <w:r w:rsidR="00C273DD" w:rsidRPr="00C273DD">
        <w:rPr>
          <w:color w:val="auto"/>
        </w:rPr>
        <w:t>B</w:t>
      </w:r>
      <w:r w:rsidR="00D336C3" w:rsidRPr="003460F3">
        <w:rPr>
          <w:color w:val="auto"/>
        </w:rPr>
        <w:t>C had to prepare for the Inquiry on the basis of th</w:t>
      </w:r>
      <w:r w:rsidR="001E10A2">
        <w:rPr>
          <w:color w:val="auto"/>
        </w:rPr>
        <w:t>os</w:t>
      </w:r>
      <w:r w:rsidR="00D336C3" w:rsidRPr="003460F3">
        <w:rPr>
          <w:color w:val="auto"/>
        </w:rPr>
        <w:t xml:space="preserve">e documents. In the absence of pagination or </w:t>
      </w:r>
      <w:r w:rsidR="001F5E7F">
        <w:rPr>
          <w:color w:val="auto"/>
        </w:rPr>
        <w:t>an</w:t>
      </w:r>
      <w:r w:rsidR="00D336C3" w:rsidRPr="003460F3">
        <w:rPr>
          <w:color w:val="auto"/>
        </w:rPr>
        <w:t xml:space="preserve"> index, navigating those documents took much longer than ought to have been the case. </w:t>
      </w:r>
    </w:p>
    <w:p w14:paraId="736A92B6" w14:textId="7C1DA5A7" w:rsidR="00D336C3" w:rsidRPr="00C273DD" w:rsidRDefault="00D336C3" w:rsidP="00C273DD">
      <w:pPr>
        <w:pStyle w:val="Style1"/>
        <w:numPr>
          <w:ilvl w:val="0"/>
          <w:numId w:val="6"/>
        </w:numPr>
        <w:spacing w:before="140"/>
        <w:ind w:left="431" w:hanging="431"/>
        <w:rPr>
          <w:color w:val="auto"/>
        </w:rPr>
      </w:pPr>
      <w:r w:rsidRPr="00C273DD">
        <w:rPr>
          <w:color w:val="auto"/>
        </w:rPr>
        <w:t xml:space="preserve">NR’s representative responded by email dated 15 January 2021 (at 20.55hrs), </w:t>
      </w:r>
      <w:proofErr w:type="gramStart"/>
      <w:r w:rsidRPr="00C273DD">
        <w:rPr>
          <w:color w:val="auto"/>
        </w:rPr>
        <w:t>in an attempt to</w:t>
      </w:r>
      <w:proofErr w:type="gramEnd"/>
      <w:r w:rsidRPr="00C273DD">
        <w:rPr>
          <w:color w:val="auto"/>
        </w:rPr>
        <w:t xml:space="preserve"> clarify the position in respect of the documents referred to above. </w:t>
      </w:r>
      <w:r w:rsidR="000871B5">
        <w:rPr>
          <w:color w:val="auto"/>
        </w:rPr>
        <w:t xml:space="preserve">The clarification was </w:t>
      </w:r>
      <w:proofErr w:type="gramStart"/>
      <w:r w:rsidR="000871B5">
        <w:rPr>
          <w:color w:val="auto"/>
        </w:rPr>
        <w:t>welcome</w:t>
      </w:r>
      <w:proofErr w:type="gramEnd"/>
      <w:r w:rsidR="000871B5">
        <w:rPr>
          <w:color w:val="auto"/>
        </w:rPr>
        <w:t xml:space="preserve"> but it came too late, </w:t>
      </w:r>
      <w:r w:rsidRPr="00C273DD">
        <w:rPr>
          <w:color w:val="auto"/>
        </w:rPr>
        <w:t xml:space="preserve">being on a Friday evening outside of working hours, </w:t>
      </w:r>
      <w:r w:rsidR="000871B5">
        <w:rPr>
          <w:color w:val="auto"/>
        </w:rPr>
        <w:t xml:space="preserve">which </w:t>
      </w:r>
      <w:r w:rsidRPr="00C273DD">
        <w:rPr>
          <w:color w:val="auto"/>
        </w:rPr>
        <w:t xml:space="preserve">gave rise to difficulties with regards to </w:t>
      </w:r>
      <w:r w:rsidR="00120776">
        <w:rPr>
          <w:color w:val="auto"/>
        </w:rPr>
        <w:t>S</w:t>
      </w:r>
      <w:r w:rsidRPr="00C273DD">
        <w:rPr>
          <w:color w:val="auto"/>
        </w:rPr>
        <w:t>BC providing further instructions to its own representative.</w:t>
      </w:r>
      <w:r w:rsidR="00F87267">
        <w:rPr>
          <w:color w:val="auto"/>
        </w:rPr>
        <w:t xml:space="preserve"> </w:t>
      </w:r>
    </w:p>
    <w:p w14:paraId="2C89D7A4" w14:textId="2EDD4EF1" w:rsidR="00D336C3" w:rsidRPr="00C273DD" w:rsidRDefault="00D336C3" w:rsidP="00C273DD">
      <w:pPr>
        <w:pStyle w:val="Style1"/>
        <w:numPr>
          <w:ilvl w:val="0"/>
          <w:numId w:val="6"/>
        </w:numPr>
        <w:spacing w:before="140"/>
        <w:ind w:left="431" w:hanging="431"/>
        <w:rPr>
          <w:color w:val="auto"/>
        </w:rPr>
      </w:pPr>
      <w:r w:rsidRPr="00C273DD">
        <w:rPr>
          <w:color w:val="auto"/>
        </w:rPr>
        <w:t xml:space="preserve">On 18 January 2021 (at 00.33hrs), NR informed the </w:t>
      </w:r>
      <w:r w:rsidR="00196209">
        <w:rPr>
          <w:color w:val="auto"/>
        </w:rPr>
        <w:t xml:space="preserve">Planning </w:t>
      </w:r>
      <w:r w:rsidRPr="00C273DD">
        <w:rPr>
          <w:color w:val="auto"/>
        </w:rPr>
        <w:t>Inspectora</w:t>
      </w:r>
      <w:r w:rsidR="00196209">
        <w:rPr>
          <w:color w:val="auto"/>
        </w:rPr>
        <w:t>t</w:t>
      </w:r>
      <w:r w:rsidRPr="00C273DD">
        <w:rPr>
          <w:color w:val="auto"/>
        </w:rPr>
        <w:t>e that the bundle “</w:t>
      </w:r>
      <w:r w:rsidRPr="00196209">
        <w:rPr>
          <w:i/>
          <w:iCs/>
          <w:color w:val="auto"/>
        </w:rPr>
        <w:t xml:space="preserve">include[d] some documents that are either strictly confidential in nature (and must please be discarded) or irrelevant to this </w:t>
      </w:r>
      <w:proofErr w:type="gramStart"/>
      <w:r w:rsidRPr="00196209">
        <w:rPr>
          <w:i/>
          <w:iCs/>
          <w:color w:val="auto"/>
        </w:rPr>
        <w:t>Inquiry,</w:t>
      </w:r>
      <w:r w:rsidR="00B303E3">
        <w:rPr>
          <w:i/>
          <w:iCs/>
          <w:color w:val="auto"/>
        </w:rPr>
        <w:t xml:space="preserve"> </w:t>
      </w:r>
      <w:r w:rsidRPr="00196209">
        <w:rPr>
          <w:i/>
          <w:iCs/>
          <w:color w:val="auto"/>
        </w:rPr>
        <w:t>and</w:t>
      </w:r>
      <w:proofErr w:type="gramEnd"/>
      <w:r w:rsidRPr="00196209">
        <w:rPr>
          <w:i/>
          <w:iCs/>
          <w:color w:val="auto"/>
        </w:rPr>
        <w:t xml:space="preserve"> should equally be discarded</w:t>
      </w:r>
      <w:r w:rsidRPr="00C273DD">
        <w:rPr>
          <w:color w:val="auto"/>
        </w:rPr>
        <w:t xml:space="preserve">”. However, given the proximity of the Inquiry and although unsure as to their relevance, </w:t>
      </w:r>
      <w:r w:rsidR="009E1A5D">
        <w:rPr>
          <w:color w:val="auto"/>
        </w:rPr>
        <w:t>S</w:t>
      </w:r>
      <w:r w:rsidRPr="00C273DD">
        <w:rPr>
          <w:color w:val="auto"/>
        </w:rPr>
        <w:t xml:space="preserve">BC had already wasted time considering those documents. </w:t>
      </w:r>
      <w:r w:rsidR="009E1A5D">
        <w:rPr>
          <w:color w:val="auto"/>
        </w:rPr>
        <w:t>NR</w:t>
      </w:r>
      <w:r w:rsidRPr="00C273DD">
        <w:rPr>
          <w:color w:val="auto"/>
        </w:rPr>
        <w:t xml:space="preserve"> then indicated what appeared to be a non-exhaustive list of such documents (</w:t>
      </w:r>
      <w:proofErr w:type="gramStart"/>
      <w:r w:rsidRPr="00C273DD">
        <w:rPr>
          <w:color w:val="auto"/>
        </w:rPr>
        <w:t>i.e.</w:t>
      </w:r>
      <w:proofErr w:type="gramEnd"/>
      <w:r w:rsidRPr="00C273DD">
        <w:rPr>
          <w:color w:val="auto"/>
        </w:rPr>
        <w:t xml:space="preserve"> by preceding </w:t>
      </w:r>
      <w:r w:rsidR="00074DD4">
        <w:rPr>
          <w:color w:val="auto"/>
        </w:rPr>
        <w:t>t</w:t>
      </w:r>
      <w:r w:rsidRPr="00C273DD">
        <w:rPr>
          <w:color w:val="auto"/>
        </w:rPr>
        <w:t>h</w:t>
      </w:r>
      <w:r w:rsidR="00074DD4">
        <w:rPr>
          <w:color w:val="auto"/>
        </w:rPr>
        <w:t>e</w:t>
      </w:r>
      <w:r w:rsidRPr="00C273DD">
        <w:rPr>
          <w:color w:val="auto"/>
        </w:rPr>
        <w:t xml:space="preserve"> list with “especially…”), before also indicating that at least two other documents had been included in error. </w:t>
      </w:r>
      <w:r w:rsidR="00074DD4">
        <w:rPr>
          <w:color w:val="auto"/>
        </w:rPr>
        <w:t xml:space="preserve">NR </w:t>
      </w:r>
      <w:r w:rsidRPr="00C273DD">
        <w:rPr>
          <w:color w:val="auto"/>
        </w:rPr>
        <w:t>confirmed that a “</w:t>
      </w:r>
      <w:r w:rsidRPr="00074DD4">
        <w:rPr>
          <w:i/>
          <w:iCs/>
          <w:color w:val="auto"/>
        </w:rPr>
        <w:t>new, updated version of the Inquiry Bundle will be circulated later today, reflecting the above changes</w:t>
      </w:r>
      <w:r w:rsidRPr="00C273DD">
        <w:rPr>
          <w:color w:val="auto"/>
        </w:rPr>
        <w:t>”, without specifying the time by which that updated bundle would be circulated.</w:t>
      </w:r>
      <w:r w:rsidR="009E2035">
        <w:rPr>
          <w:color w:val="auto"/>
        </w:rPr>
        <w:t xml:space="preserve"> </w:t>
      </w:r>
      <w:r w:rsidR="00B303E3">
        <w:rPr>
          <w:color w:val="auto"/>
        </w:rPr>
        <w:t>T</w:t>
      </w:r>
      <w:r w:rsidR="009E2035">
        <w:rPr>
          <w:color w:val="auto"/>
        </w:rPr>
        <w:t>his was the day before the Inquiry open</w:t>
      </w:r>
      <w:r w:rsidR="00244081">
        <w:rPr>
          <w:color w:val="auto"/>
        </w:rPr>
        <w:t>ing</w:t>
      </w:r>
      <w:r w:rsidR="009E2035">
        <w:rPr>
          <w:color w:val="auto"/>
        </w:rPr>
        <w:t xml:space="preserve"> and </w:t>
      </w:r>
      <w:r w:rsidR="008A7CB9">
        <w:rPr>
          <w:color w:val="auto"/>
        </w:rPr>
        <w:t>11 days after the test event.</w:t>
      </w:r>
      <w:r w:rsidRPr="00C273DD">
        <w:rPr>
          <w:color w:val="auto"/>
        </w:rPr>
        <w:t xml:space="preserve"> </w:t>
      </w:r>
    </w:p>
    <w:p w14:paraId="270F8E21" w14:textId="2C0C064A" w:rsidR="00D336C3" w:rsidRPr="00C273DD" w:rsidRDefault="00074DD4" w:rsidP="00C273DD">
      <w:pPr>
        <w:pStyle w:val="Style1"/>
        <w:numPr>
          <w:ilvl w:val="0"/>
          <w:numId w:val="6"/>
        </w:numPr>
        <w:spacing w:before="140"/>
        <w:ind w:left="431" w:hanging="431"/>
        <w:rPr>
          <w:color w:val="auto"/>
        </w:rPr>
      </w:pPr>
      <w:r>
        <w:rPr>
          <w:color w:val="auto"/>
        </w:rPr>
        <w:t>T</w:t>
      </w:r>
      <w:r w:rsidR="00D336C3" w:rsidRPr="00C273DD">
        <w:rPr>
          <w:color w:val="auto"/>
        </w:rPr>
        <w:t xml:space="preserve">he updated bundle was only received by </w:t>
      </w:r>
      <w:r>
        <w:rPr>
          <w:color w:val="auto"/>
        </w:rPr>
        <w:t>S</w:t>
      </w:r>
      <w:r w:rsidR="00D336C3" w:rsidRPr="00C273DD">
        <w:rPr>
          <w:color w:val="auto"/>
        </w:rPr>
        <w:t xml:space="preserve">BC on Monday 18 January (at 17.11hrs) and then only sent to a limited sub-set of </w:t>
      </w:r>
      <w:r>
        <w:rPr>
          <w:color w:val="auto"/>
        </w:rPr>
        <w:t>S</w:t>
      </w:r>
      <w:r w:rsidR="00D336C3" w:rsidRPr="00C273DD">
        <w:rPr>
          <w:color w:val="auto"/>
        </w:rPr>
        <w:t xml:space="preserve">BC’s </w:t>
      </w:r>
      <w:proofErr w:type="gramStart"/>
      <w:r w:rsidR="00D336C3" w:rsidRPr="00C273DD">
        <w:rPr>
          <w:color w:val="auto"/>
        </w:rPr>
        <w:t>team</w:t>
      </w:r>
      <w:proofErr w:type="gramEnd"/>
      <w:r w:rsidR="00D336C3" w:rsidRPr="00C273DD">
        <w:rPr>
          <w:color w:val="auto"/>
        </w:rPr>
        <w:t xml:space="preserve">, which clearly provided very limited time for preparation in advance of the Inquiry opening at 10.00hrs on 19 January 2021 (all of which necessarily fell outside of usual office hours). </w:t>
      </w:r>
      <w:r w:rsidR="00295FA2">
        <w:rPr>
          <w:color w:val="auto"/>
        </w:rPr>
        <w:t>T</w:t>
      </w:r>
      <w:r w:rsidR="00D336C3" w:rsidRPr="00C273DD">
        <w:rPr>
          <w:color w:val="auto"/>
        </w:rPr>
        <w:t>he updated bundle was again split across multiple pdf files</w:t>
      </w:r>
      <w:r w:rsidR="00A04239">
        <w:rPr>
          <w:color w:val="auto"/>
        </w:rPr>
        <w:t xml:space="preserve"> and </w:t>
      </w:r>
      <w:r w:rsidR="00D336C3" w:rsidRPr="00C273DD">
        <w:rPr>
          <w:color w:val="auto"/>
        </w:rPr>
        <w:t xml:space="preserve">lacking any pagination or useable index. </w:t>
      </w:r>
    </w:p>
    <w:p w14:paraId="0FBD319F" w14:textId="0F3D37C7" w:rsidR="008E13AE" w:rsidRPr="00C273DD" w:rsidRDefault="00244081" w:rsidP="00C273DD">
      <w:pPr>
        <w:pStyle w:val="Style1"/>
        <w:numPr>
          <w:ilvl w:val="0"/>
          <w:numId w:val="6"/>
        </w:numPr>
        <w:spacing w:before="140"/>
        <w:ind w:left="431" w:hanging="431"/>
        <w:rPr>
          <w:color w:val="auto"/>
        </w:rPr>
      </w:pPr>
      <w:r>
        <w:rPr>
          <w:color w:val="auto"/>
        </w:rPr>
        <w:lastRenderedPageBreak/>
        <w:t>W</w:t>
      </w:r>
      <w:r w:rsidR="008E13AE" w:rsidRPr="00C273DD">
        <w:rPr>
          <w:color w:val="auto"/>
        </w:rPr>
        <w:t xml:space="preserve">hen </w:t>
      </w:r>
      <w:r w:rsidR="00A04239">
        <w:rPr>
          <w:color w:val="auto"/>
        </w:rPr>
        <w:t>S</w:t>
      </w:r>
      <w:r w:rsidR="008E13AE" w:rsidRPr="00C273DD">
        <w:rPr>
          <w:color w:val="auto"/>
        </w:rPr>
        <w:t xml:space="preserve">BC reviewed the updated bundle, it became evident that it was not only the ‘erroneous’ documents that had been removed, but other documents were also missing. Such (unexplained) discrepancies were noted during the opening exchanges at the Inquiry on 19 January 2021, whereupon it became evident that NR’s representative was unaware that other documents were </w:t>
      </w:r>
      <w:proofErr w:type="gramStart"/>
      <w:r w:rsidR="008E13AE" w:rsidRPr="00C273DD">
        <w:rPr>
          <w:color w:val="auto"/>
        </w:rPr>
        <w:t>missing</w:t>
      </w:r>
      <w:proofErr w:type="gramEnd"/>
      <w:r w:rsidR="008E13AE" w:rsidRPr="00C273DD">
        <w:rPr>
          <w:color w:val="auto"/>
        </w:rPr>
        <w:t xml:space="preserve"> and he was working from a different (assumed to be the earlier) bundle instead. </w:t>
      </w:r>
    </w:p>
    <w:p w14:paraId="79D2E8B4" w14:textId="232F5BB4" w:rsidR="008E13AE" w:rsidRPr="00E52913" w:rsidRDefault="00046F5F" w:rsidP="00675BAB">
      <w:pPr>
        <w:pStyle w:val="Style1"/>
        <w:numPr>
          <w:ilvl w:val="0"/>
          <w:numId w:val="6"/>
        </w:numPr>
        <w:spacing w:before="140"/>
        <w:ind w:left="431" w:hanging="431"/>
        <w:rPr>
          <w:color w:val="auto"/>
        </w:rPr>
      </w:pPr>
      <w:r w:rsidRPr="00E52913">
        <w:rPr>
          <w:color w:val="auto"/>
        </w:rPr>
        <w:t>I</w:t>
      </w:r>
      <w:r w:rsidR="008E13AE" w:rsidRPr="00E52913">
        <w:rPr>
          <w:color w:val="auto"/>
        </w:rPr>
        <w:t xml:space="preserve">t is unreasonable that these discrepancies and errors occurred on more than one occasion; not least because NR offered to provide a bundle on </w:t>
      </w:r>
      <w:r w:rsidR="00204E83" w:rsidRPr="00E52913">
        <w:rPr>
          <w:color w:val="auto"/>
        </w:rPr>
        <w:t>7 January but</w:t>
      </w:r>
      <w:r w:rsidR="008E13AE" w:rsidRPr="00E52913">
        <w:rPr>
          <w:color w:val="auto"/>
        </w:rPr>
        <w:t xml:space="preserve"> did not manage to do so until late on 18 January 2021 and even </w:t>
      </w:r>
      <w:proofErr w:type="gramStart"/>
      <w:r w:rsidR="008E13AE" w:rsidRPr="00E52913">
        <w:rPr>
          <w:color w:val="auto"/>
        </w:rPr>
        <w:t>then</w:t>
      </w:r>
      <w:proofErr w:type="gramEnd"/>
      <w:r w:rsidR="008E13AE" w:rsidRPr="00E52913">
        <w:rPr>
          <w:color w:val="auto"/>
        </w:rPr>
        <w:t xml:space="preserve"> did so in a manner that was riddled with errors that were only identified by </w:t>
      </w:r>
      <w:r w:rsidRPr="00E52913">
        <w:rPr>
          <w:color w:val="auto"/>
        </w:rPr>
        <w:t>S</w:t>
      </w:r>
      <w:r w:rsidR="008E13AE" w:rsidRPr="00E52913">
        <w:rPr>
          <w:color w:val="auto"/>
        </w:rPr>
        <w:t>BC.</w:t>
      </w:r>
      <w:r w:rsidR="00303B10" w:rsidRPr="00E52913">
        <w:rPr>
          <w:color w:val="auto"/>
        </w:rPr>
        <w:t xml:space="preserve"> Whilst NR indicate that the bundles were volunteered rather than being required</w:t>
      </w:r>
      <w:r w:rsidR="00E52913" w:rsidRPr="00E52913">
        <w:rPr>
          <w:color w:val="auto"/>
        </w:rPr>
        <w:t>, t</w:t>
      </w:r>
      <w:r w:rsidR="00303B10" w:rsidRPr="00E52913">
        <w:rPr>
          <w:color w:val="auto"/>
        </w:rPr>
        <w:t>h</w:t>
      </w:r>
      <w:r w:rsidR="00E52913" w:rsidRPr="00E52913">
        <w:rPr>
          <w:color w:val="auto"/>
        </w:rPr>
        <w:t xml:space="preserve">ere </w:t>
      </w:r>
      <w:r w:rsidR="00303B10" w:rsidRPr="00E52913">
        <w:rPr>
          <w:color w:val="auto"/>
        </w:rPr>
        <w:t>is</w:t>
      </w:r>
      <w:r w:rsidR="00E52913" w:rsidRPr="00E52913">
        <w:rPr>
          <w:color w:val="auto"/>
        </w:rPr>
        <w:t xml:space="preserve"> a</w:t>
      </w:r>
      <w:r w:rsidR="00303B10" w:rsidRPr="00E52913">
        <w:rPr>
          <w:color w:val="auto"/>
        </w:rPr>
        <w:t xml:space="preserve"> reasonable expectation that once offered they would be provided soon thereafter and suitable for use. </w:t>
      </w:r>
      <w:r w:rsidR="00E52913" w:rsidRPr="00E52913">
        <w:rPr>
          <w:color w:val="auto"/>
        </w:rPr>
        <w:t>As they were no</w:t>
      </w:r>
      <w:r w:rsidR="00303B10" w:rsidRPr="00E52913">
        <w:rPr>
          <w:color w:val="auto"/>
        </w:rPr>
        <w:t xml:space="preserve">t </w:t>
      </w:r>
      <w:r w:rsidR="00E52913" w:rsidRPr="00E52913">
        <w:rPr>
          <w:color w:val="auto"/>
        </w:rPr>
        <w:t xml:space="preserve">NR </w:t>
      </w:r>
      <w:r w:rsidR="008E13AE" w:rsidRPr="00E52913">
        <w:rPr>
          <w:color w:val="auto"/>
        </w:rPr>
        <w:t>clearly gave rise to unnecessary and wasted expense</w:t>
      </w:r>
      <w:r w:rsidRPr="00E52913">
        <w:rPr>
          <w:color w:val="auto"/>
        </w:rPr>
        <w:t xml:space="preserve">, </w:t>
      </w:r>
      <w:r w:rsidR="008E13AE" w:rsidRPr="00E52913">
        <w:rPr>
          <w:color w:val="auto"/>
        </w:rPr>
        <w:t xml:space="preserve">including abortive work. </w:t>
      </w:r>
    </w:p>
    <w:p w14:paraId="74AB2113" w14:textId="713F9C01" w:rsidR="00B14E0C" w:rsidRPr="00B14E0C" w:rsidRDefault="00046F5F" w:rsidP="00B14E0C">
      <w:pPr>
        <w:autoSpaceDE w:val="0"/>
        <w:autoSpaceDN w:val="0"/>
        <w:adjustRightInd w:val="0"/>
        <w:spacing w:before="120"/>
        <w:rPr>
          <w:i/>
          <w:iCs/>
          <w:kern w:val="28"/>
        </w:rPr>
      </w:pPr>
      <w:r w:rsidRPr="00F2164B">
        <w:rPr>
          <w:i/>
          <w:iCs/>
          <w:kern w:val="28"/>
        </w:rPr>
        <w:t>O</w:t>
      </w:r>
      <w:r w:rsidR="006C26E8" w:rsidRPr="00F2164B">
        <w:rPr>
          <w:i/>
          <w:iCs/>
          <w:kern w:val="28"/>
        </w:rPr>
        <w:t>nly suppl</w:t>
      </w:r>
      <w:r w:rsidR="00587C0A">
        <w:rPr>
          <w:i/>
          <w:iCs/>
          <w:kern w:val="28"/>
        </w:rPr>
        <w:t>y</w:t>
      </w:r>
      <w:r w:rsidR="006C26E8" w:rsidRPr="00F2164B">
        <w:rPr>
          <w:i/>
          <w:iCs/>
          <w:kern w:val="28"/>
        </w:rPr>
        <w:t>i</w:t>
      </w:r>
      <w:r w:rsidR="00587C0A">
        <w:rPr>
          <w:i/>
          <w:iCs/>
          <w:kern w:val="28"/>
        </w:rPr>
        <w:t>ng</w:t>
      </w:r>
      <w:r w:rsidR="006C26E8" w:rsidRPr="00F2164B">
        <w:rPr>
          <w:i/>
          <w:iCs/>
          <w:kern w:val="28"/>
        </w:rPr>
        <w:t xml:space="preserve"> relevant information during the Inquiry when it was requested,</w:t>
      </w:r>
      <w:r w:rsidR="007D587F">
        <w:rPr>
          <w:i/>
          <w:iCs/>
          <w:kern w:val="28"/>
        </w:rPr>
        <w:t xml:space="preserve"> </w:t>
      </w:r>
      <w:r w:rsidR="006C26E8" w:rsidRPr="00F2164B">
        <w:rPr>
          <w:i/>
          <w:iCs/>
          <w:kern w:val="28"/>
        </w:rPr>
        <w:t>but</w:t>
      </w:r>
      <w:r w:rsidR="006F2D0A">
        <w:rPr>
          <w:i/>
          <w:iCs/>
          <w:kern w:val="28"/>
        </w:rPr>
        <w:t xml:space="preserve"> </w:t>
      </w:r>
      <w:r w:rsidR="006C26E8" w:rsidRPr="00F2164B">
        <w:rPr>
          <w:i/>
          <w:iCs/>
          <w:kern w:val="28"/>
        </w:rPr>
        <w:t xml:space="preserve">not provided, at an earlier stage </w:t>
      </w:r>
      <w:r w:rsidR="00B14E0C">
        <w:rPr>
          <w:i/>
          <w:iCs/>
          <w:kern w:val="28"/>
        </w:rPr>
        <w:t>and i</w:t>
      </w:r>
      <w:r w:rsidR="00B14E0C" w:rsidRPr="00B14E0C">
        <w:rPr>
          <w:i/>
          <w:iCs/>
          <w:kern w:val="28"/>
        </w:rPr>
        <w:t>ntroduc</w:t>
      </w:r>
      <w:r w:rsidR="00B14E0C">
        <w:rPr>
          <w:i/>
          <w:iCs/>
          <w:kern w:val="28"/>
        </w:rPr>
        <w:t>ing</w:t>
      </w:r>
      <w:r w:rsidR="00B14E0C" w:rsidRPr="00B14E0C">
        <w:rPr>
          <w:i/>
          <w:iCs/>
          <w:kern w:val="28"/>
        </w:rPr>
        <w:t xml:space="preserve"> fresh and substantial evidence (and documentation more generally) at a late stage necessitating extra expense for preparatory work that would not otherwise have arisen. </w:t>
      </w:r>
    </w:p>
    <w:p w14:paraId="48623E4B" w14:textId="178BD8A6" w:rsidR="00C67901" w:rsidRPr="00C67901" w:rsidRDefault="001C0E11" w:rsidP="00E17B31">
      <w:pPr>
        <w:pStyle w:val="Style1"/>
        <w:numPr>
          <w:ilvl w:val="0"/>
          <w:numId w:val="6"/>
        </w:numPr>
        <w:spacing w:before="140"/>
        <w:rPr>
          <w:color w:val="auto"/>
        </w:rPr>
      </w:pPr>
      <w:r w:rsidRPr="00C67901">
        <w:rPr>
          <w:color w:val="auto"/>
        </w:rPr>
        <w:t>As noted in Opening Submissions</w:t>
      </w:r>
      <w:r w:rsidR="007D587F">
        <w:rPr>
          <w:rStyle w:val="FootnoteReference"/>
          <w:color w:val="auto"/>
        </w:rPr>
        <w:footnoteReference w:id="3"/>
      </w:r>
      <w:r w:rsidRPr="00C67901">
        <w:rPr>
          <w:color w:val="auto"/>
        </w:rPr>
        <w:t xml:space="preserve">, </w:t>
      </w:r>
      <w:r w:rsidR="007D587F" w:rsidRPr="00C67901">
        <w:rPr>
          <w:color w:val="auto"/>
        </w:rPr>
        <w:t>S</w:t>
      </w:r>
      <w:r w:rsidRPr="00C67901">
        <w:rPr>
          <w:color w:val="auto"/>
        </w:rPr>
        <w:t>BC’s objection focused largely upon NR’s consideration of available safety mitigation options and the proposed alternative routes.</w:t>
      </w:r>
      <w:r w:rsidR="00C67901" w:rsidRPr="00C67901">
        <w:rPr>
          <w:color w:val="auto"/>
        </w:rPr>
        <w:t xml:space="preserve"> It should be noted that SBC did not offer support for closure</w:t>
      </w:r>
      <w:r w:rsidR="00455592">
        <w:rPr>
          <w:color w:val="auto"/>
        </w:rPr>
        <w:t xml:space="preserve"> at the outset, as suggested</w:t>
      </w:r>
      <w:r w:rsidR="00CD31C2">
        <w:rPr>
          <w:color w:val="auto"/>
        </w:rPr>
        <w:t>; i</w:t>
      </w:r>
      <w:r w:rsidR="00455592">
        <w:rPr>
          <w:color w:val="auto"/>
        </w:rPr>
        <w:t>t is only the case that</w:t>
      </w:r>
      <w:r w:rsidR="00C67901" w:rsidRPr="00C67901">
        <w:rPr>
          <w:color w:val="auto"/>
        </w:rPr>
        <w:t xml:space="preserve"> </w:t>
      </w:r>
      <w:r w:rsidR="00455592">
        <w:rPr>
          <w:color w:val="auto"/>
        </w:rPr>
        <w:t>at o</w:t>
      </w:r>
      <w:r w:rsidR="00C67901" w:rsidRPr="00C67901">
        <w:rPr>
          <w:color w:val="auto"/>
        </w:rPr>
        <w:t>fficer level no objection</w:t>
      </w:r>
      <w:r w:rsidR="00455592">
        <w:rPr>
          <w:color w:val="auto"/>
        </w:rPr>
        <w:t xml:space="preserve"> to closure</w:t>
      </w:r>
      <w:r w:rsidR="00C67901" w:rsidRPr="00C67901">
        <w:rPr>
          <w:color w:val="auto"/>
        </w:rPr>
        <w:t xml:space="preserve"> </w:t>
      </w:r>
      <w:r w:rsidR="00455592">
        <w:rPr>
          <w:color w:val="auto"/>
        </w:rPr>
        <w:t xml:space="preserve">was </w:t>
      </w:r>
      <w:r w:rsidR="00C67901" w:rsidRPr="00C67901">
        <w:rPr>
          <w:color w:val="auto"/>
        </w:rPr>
        <w:t xml:space="preserve">raised. </w:t>
      </w:r>
    </w:p>
    <w:p w14:paraId="5ECEA2AB" w14:textId="28005991" w:rsidR="001C0E11" w:rsidRPr="001C0E11" w:rsidRDefault="001C0E11" w:rsidP="004D7AB3">
      <w:pPr>
        <w:pStyle w:val="Style1"/>
        <w:numPr>
          <w:ilvl w:val="0"/>
          <w:numId w:val="6"/>
        </w:numPr>
        <w:spacing w:before="140"/>
        <w:ind w:left="431" w:hanging="431"/>
        <w:rPr>
          <w:color w:val="auto"/>
        </w:rPr>
      </w:pPr>
      <w:r w:rsidRPr="001C0E11">
        <w:rPr>
          <w:color w:val="auto"/>
        </w:rPr>
        <w:t xml:space="preserve">The substance of </w:t>
      </w:r>
      <w:r w:rsidR="0099156D" w:rsidRPr="001158A2">
        <w:rPr>
          <w:color w:val="auto"/>
        </w:rPr>
        <w:t>S</w:t>
      </w:r>
      <w:r w:rsidRPr="001C0E11">
        <w:rPr>
          <w:color w:val="auto"/>
        </w:rPr>
        <w:t xml:space="preserve">BC’s objection </w:t>
      </w:r>
      <w:r w:rsidR="0099156D" w:rsidRPr="001158A2">
        <w:rPr>
          <w:color w:val="auto"/>
        </w:rPr>
        <w:t>w</w:t>
      </w:r>
      <w:r w:rsidRPr="001C0E11">
        <w:rPr>
          <w:color w:val="auto"/>
        </w:rPr>
        <w:t>i</w:t>
      </w:r>
      <w:r w:rsidR="0099156D" w:rsidRPr="001158A2">
        <w:rPr>
          <w:color w:val="auto"/>
        </w:rPr>
        <w:t>t</w:t>
      </w:r>
      <w:r w:rsidRPr="001C0E11">
        <w:rPr>
          <w:color w:val="auto"/>
        </w:rPr>
        <w:t>h regard</w:t>
      </w:r>
      <w:r w:rsidR="0099156D" w:rsidRPr="001158A2">
        <w:rPr>
          <w:color w:val="auto"/>
        </w:rPr>
        <w:t xml:space="preserve"> to optioneering</w:t>
      </w:r>
      <w:r w:rsidRPr="001C0E11">
        <w:rPr>
          <w:color w:val="auto"/>
        </w:rPr>
        <w:t xml:space="preserve"> was s</w:t>
      </w:r>
      <w:r w:rsidR="00D62BEC">
        <w:rPr>
          <w:color w:val="auto"/>
        </w:rPr>
        <w:t>e</w:t>
      </w:r>
      <w:r w:rsidRPr="001C0E11">
        <w:rPr>
          <w:color w:val="auto"/>
        </w:rPr>
        <w:t>t</w:t>
      </w:r>
      <w:r w:rsidR="00D62BEC">
        <w:rPr>
          <w:color w:val="auto"/>
        </w:rPr>
        <w:t xml:space="preserve"> ou</w:t>
      </w:r>
      <w:r w:rsidRPr="001C0E11">
        <w:rPr>
          <w:color w:val="auto"/>
        </w:rPr>
        <w:t>t in t</w:t>
      </w:r>
      <w:r w:rsidR="005C1F22" w:rsidRPr="001158A2">
        <w:rPr>
          <w:color w:val="auto"/>
        </w:rPr>
        <w:t>he</w:t>
      </w:r>
      <w:r w:rsidRPr="001C0E11">
        <w:rPr>
          <w:color w:val="auto"/>
        </w:rPr>
        <w:t xml:space="preserve"> </w:t>
      </w:r>
      <w:r w:rsidR="00CD31C2">
        <w:rPr>
          <w:color w:val="auto"/>
        </w:rPr>
        <w:t>S</w:t>
      </w:r>
      <w:r w:rsidR="00814D7C">
        <w:rPr>
          <w:color w:val="auto"/>
        </w:rPr>
        <w:t>o</w:t>
      </w:r>
      <w:r w:rsidR="00CD31C2">
        <w:rPr>
          <w:color w:val="auto"/>
        </w:rPr>
        <w:t>C</w:t>
      </w:r>
      <w:r w:rsidRPr="001C0E11">
        <w:rPr>
          <w:color w:val="auto"/>
        </w:rPr>
        <w:t xml:space="preserve"> (</w:t>
      </w:r>
      <w:proofErr w:type="gramStart"/>
      <w:r w:rsidRPr="001C0E11">
        <w:rPr>
          <w:color w:val="auto"/>
        </w:rPr>
        <w:t>e.g.</w:t>
      </w:r>
      <w:proofErr w:type="gramEnd"/>
      <w:r w:rsidRPr="001C0E11">
        <w:rPr>
          <w:color w:val="auto"/>
        </w:rPr>
        <w:t xml:space="preserve"> paras 4.7 – 4.18) and PoE (e.g. paras 1.11 – 1.21); the essence being that </w:t>
      </w:r>
      <w:r w:rsidR="00683511" w:rsidRPr="001158A2">
        <w:rPr>
          <w:color w:val="auto"/>
        </w:rPr>
        <w:t>S</w:t>
      </w:r>
      <w:r w:rsidRPr="001C0E11">
        <w:rPr>
          <w:color w:val="auto"/>
        </w:rPr>
        <w:t xml:space="preserve">BC has long held concerns in relation to the transparency of NR’s options analysis and decision-making processes. In particular, </w:t>
      </w:r>
      <w:r w:rsidR="007E0B6E" w:rsidRPr="001158A2">
        <w:rPr>
          <w:color w:val="auto"/>
        </w:rPr>
        <w:t>S</w:t>
      </w:r>
      <w:r w:rsidRPr="001C0E11">
        <w:rPr>
          <w:color w:val="auto"/>
        </w:rPr>
        <w:t xml:space="preserve">BC was concerned that NR had not fully considered alternative safety mitigation options, including those that came to be described during the Inquiry as ‘S1-type </w:t>
      </w:r>
      <w:proofErr w:type="gramStart"/>
      <w:r w:rsidRPr="001C0E11">
        <w:rPr>
          <w:color w:val="auto"/>
        </w:rPr>
        <w:t>interventions’</w:t>
      </w:r>
      <w:proofErr w:type="gramEnd"/>
      <w:r w:rsidRPr="001C0E11">
        <w:rPr>
          <w:color w:val="auto"/>
        </w:rPr>
        <w:t xml:space="preserve">. In doing so, </w:t>
      </w:r>
      <w:r w:rsidR="001158A2" w:rsidRPr="001158A2">
        <w:rPr>
          <w:color w:val="auto"/>
        </w:rPr>
        <w:t>S</w:t>
      </w:r>
      <w:r w:rsidRPr="001C0E11">
        <w:rPr>
          <w:color w:val="auto"/>
        </w:rPr>
        <w:t>BC noted the work that had</w:t>
      </w:r>
      <w:r w:rsidR="001158A2">
        <w:rPr>
          <w:color w:val="auto"/>
        </w:rPr>
        <w:t xml:space="preserve"> </w:t>
      </w:r>
      <w:r w:rsidRPr="001C0E11">
        <w:rPr>
          <w:color w:val="auto"/>
        </w:rPr>
        <w:t>recently been carried out at an apparently similar crossing at Moor Farm</w:t>
      </w:r>
      <w:r w:rsidR="00E05467">
        <w:rPr>
          <w:color w:val="auto"/>
        </w:rPr>
        <w:t xml:space="preserve"> /</w:t>
      </w:r>
      <w:r w:rsidR="00F8351D">
        <w:rPr>
          <w:color w:val="auto"/>
        </w:rPr>
        <w:t xml:space="preserve"> Footpath</w:t>
      </w:r>
      <w:r w:rsidR="0075721C">
        <w:rPr>
          <w:color w:val="auto"/>
        </w:rPr>
        <w:t xml:space="preserve"> </w:t>
      </w:r>
      <w:r w:rsidRPr="001C0E11">
        <w:rPr>
          <w:color w:val="auto"/>
        </w:rPr>
        <w:t>13 (</w:t>
      </w:r>
      <w:proofErr w:type="gramStart"/>
      <w:r w:rsidRPr="001C0E11">
        <w:rPr>
          <w:color w:val="auto"/>
        </w:rPr>
        <w:t>e.g.</w:t>
      </w:r>
      <w:proofErr w:type="gramEnd"/>
      <w:r w:rsidRPr="001C0E11">
        <w:rPr>
          <w:color w:val="auto"/>
        </w:rPr>
        <w:t xml:space="preserve"> </w:t>
      </w:r>
      <w:r w:rsidR="00CD31C2">
        <w:rPr>
          <w:color w:val="auto"/>
        </w:rPr>
        <w:t>S</w:t>
      </w:r>
      <w:r w:rsidR="00814D7C">
        <w:rPr>
          <w:color w:val="auto"/>
        </w:rPr>
        <w:t>o</w:t>
      </w:r>
      <w:r w:rsidR="00CD31C2">
        <w:rPr>
          <w:color w:val="auto"/>
        </w:rPr>
        <w:t>C</w:t>
      </w:r>
      <w:r w:rsidRPr="001C0E11">
        <w:rPr>
          <w:color w:val="auto"/>
        </w:rPr>
        <w:t>, para 4.8; 4.12 and 4.13)</w:t>
      </w:r>
      <w:r w:rsidR="003A36FC">
        <w:rPr>
          <w:color w:val="auto"/>
        </w:rPr>
        <w:t xml:space="preserve"> (the Moor Farm crossing)</w:t>
      </w:r>
      <w:r w:rsidRPr="001C0E11">
        <w:rPr>
          <w:color w:val="auto"/>
        </w:rPr>
        <w:t xml:space="preserve">. </w:t>
      </w:r>
    </w:p>
    <w:p w14:paraId="0CA4F743" w14:textId="39EC2AB0" w:rsidR="001C0E11" w:rsidRPr="001C0E11" w:rsidRDefault="001C0E11" w:rsidP="006C7962">
      <w:pPr>
        <w:pStyle w:val="Style1"/>
        <w:numPr>
          <w:ilvl w:val="0"/>
          <w:numId w:val="6"/>
        </w:numPr>
        <w:spacing w:before="140"/>
        <w:ind w:left="431" w:hanging="431"/>
        <w:rPr>
          <w:color w:val="auto"/>
        </w:rPr>
      </w:pPr>
      <w:r w:rsidRPr="001C0E11">
        <w:rPr>
          <w:color w:val="auto"/>
        </w:rPr>
        <w:t xml:space="preserve">Neither NR’s </w:t>
      </w:r>
      <w:r w:rsidR="00CD31C2">
        <w:rPr>
          <w:color w:val="auto"/>
        </w:rPr>
        <w:t>S</w:t>
      </w:r>
      <w:r w:rsidR="00814D7C">
        <w:rPr>
          <w:color w:val="auto"/>
        </w:rPr>
        <w:t>o</w:t>
      </w:r>
      <w:r w:rsidR="00CD31C2">
        <w:rPr>
          <w:color w:val="auto"/>
        </w:rPr>
        <w:t>C</w:t>
      </w:r>
      <w:r w:rsidRPr="001C0E11">
        <w:rPr>
          <w:color w:val="auto"/>
        </w:rPr>
        <w:t xml:space="preserve"> nor the evidence filed on its behalf addressed either of these points in any proper detail, still less was any underlying documentation supplied to substantiate NR’s case, which was only developed further during evidence. Indeed, and as acknowledged by </w:t>
      </w:r>
      <w:r w:rsidR="00ED0454">
        <w:rPr>
          <w:color w:val="auto"/>
        </w:rPr>
        <w:t xml:space="preserve">NR’s witnesses </w:t>
      </w:r>
      <w:r w:rsidRPr="001C0E11">
        <w:rPr>
          <w:color w:val="auto"/>
        </w:rPr>
        <w:t>during cross examination, NR took the decision to rely upon what it considered to be a sufficient, but clearly limited, set of documents alongside the three PoE</w:t>
      </w:r>
      <w:r w:rsidR="00ED0454">
        <w:rPr>
          <w:color w:val="auto"/>
        </w:rPr>
        <w:t>’s</w:t>
      </w:r>
      <w:r w:rsidRPr="001C0E11">
        <w:rPr>
          <w:color w:val="auto"/>
        </w:rPr>
        <w:t xml:space="preserve"> discussed above. </w:t>
      </w:r>
    </w:p>
    <w:p w14:paraId="55CA9FAA" w14:textId="0FFCE0DE" w:rsidR="001C0E11" w:rsidRPr="001C0E11" w:rsidRDefault="001C0E11" w:rsidP="006C7962">
      <w:pPr>
        <w:pStyle w:val="Style1"/>
        <w:numPr>
          <w:ilvl w:val="0"/>
          <w:numId w:val="6"/>
        </w:numPr>
        <w:spacing w:before="140"/>
        <w:ind w:left="431" w:hanging="431"/>
        <w:rPr>
          <w:color w:val="auto"/>
        </w:rPr>
      </w:pPr>
      <w:r w:rsidRPr="001C0E11">
        <w:rPr>
          <w:color w:val="auto"/>
        </w:rPr>
        <w:t xml:space="preserve">In the same vein (and one assumes on the basis that </w:t>
      </w:r>
      <w:r w:rsidR="00336C28">
        <w:rPr>
          <w:color w:val="auto"/>
        </w:rPr>
        <w:t>S</w:t>
      </w:r>
      <w:r w:rsidRPr="001C0E11">
        <w:rPr>
          <w:color w:val="auto"/>
        </w:rPr>
        <w:t>BC had noted the apparent similarities between the</w:t>
      </w:r>
      <w:r w:rsidR="00BD1C26">
        <w:rPr>
          <w:color w:val="auto"/>
        </w:rPr>
        <w:t xml:space="preserve"> draft</w:t>
      </w:r>
      <w:r w:rsidRPr="001C0E11">
        <w:rPr>
          <w:color w:val="auto"/>
        </w:rPr>
        <w:t xml:space="preserve"> </w:t>
      </w:r>
      <w:r w:rsidR="00BD1C26">
        <w:rPr>
          <w:color w:val="auto"/>
        </w:rPr>
        <w:t>Order c</w:t>
      </w:r>
      <w:r w:rsidRPr="001C0E11">
        <w:rPr>
          <w:color w:val="auto"/>
        </w:rPr>
        <w:t xml:space="preserve">rossing and the </w:t>
      </w:r>
      <w:r w:rsidR="00BC4252">
        <w:rPr>
          <w:color w:val="auto"/>
        </w:rPr>
        <w:t xml:space="preserve">Moor Farm </w:t>
      </w:r>
      <w:r w:rsidRPr="001C0E11">
        <w:rPr>
          <w:color w:val="auto"/>
        </w:rPr>
        <w:t>crossing</w:t>
      </w:r>
      <w:r w:rsidR="00BC4252">
        <w:rPr>
          <w:color w:val="auto"/>
        </w:rPr>
        <w:t>)</w:t>
      </w:r>
      <w:r w:rsidRPr="001C0E11">
        <w:rPr>
          <w:color w:val="auto"/>
        </w:rPr>
        <w:t xml:space="preserve">, on 12 January 2021 the Inspector requested that NR provide a copy of its NRA for the </w:t>
      </w:r>
      <w:r w:rsidR="00BC4252" w:rsidRPr="001C0E11">
        <w:rPr>
          <w:color w:val="auto"/>
        </w:rPr>
        <w:t xml:space="preserve">Moor Farm </w:t>
      </w:r>
      <w:r w:rsidRPr="001C0E11">
        <w:rPr>
          <w:color w:val="auto"/>
        </w:rPr>
        <w:t xml:space="preserve">crossing. However, NR only supplied that document on 14 January 2021 (at 18:13hrs). </w:t>
      </w:r>
      <w:r w:rsidR="009712FA">
        <w:rPr>
          <w:color w:val="auto"/>
        </w:rPr>
        <w:t>T</w:t>
      </w:r>
      <w:r w:rsidRPr="001C0E11">
        <w:rPr>
          <w:color w:val="auto"/>
        </w:rPr>
        <w:t xml:space="preserve">he document is dated 2 October 2019, and </w:t>
      </w:r>
      <w:r w:rsidR="009712FA">
        <w:rPr>
          <w:color w:val="auto"/>
        </w:rPr>
        <w:t>s</w:t>
      </w:r>
      <w:r w:rsidRPr="001C0E11">
        <w:rPr>
          <w:color w:val="auto"/>
        </w:rPr>
        <w:t>o was clearly already available when the Inspector first requested it. No explanation was provided as to the delay in its provision, nor as to why NR</w:t>
      </w:r>
      <w:r w:rsidR="006E54FF">
        <w:rPr>
          <w:color w:val="auto"/>
        </w:rPr>
        <w:t xml:space="preserve"> </w:t>
      </w:r>
      <w:r w:rsidRPr="001C0E11">
        <w:rPr>
          <w:color w:val="auto"/>
        </w:rPr>
        <w:t xml:space="preserve">considered the two crossings to be distinguishable from one another. </w:t>
      </w:r>
    </w:p>
    <w:p w14:paraId="41BF0691" w14:textId="3DE421EF" w:rsidR="002A0742" w:rsidRPr="002A0742" w:rsidRDefault="001C0E11" w:rsidP="000A2EAA">
      <w:pPr>
        <w:pStyle w:val="Style1"/>
        <w:numPr>
          <w:ilvl w:val="0"/>
          <w:numId w:val="6"/>
        </w:numPr>
        <w:spacing w:before="140"/>
        <w:ind w:left="431" w:hanging="431"/>
        <w:rPr>
          <w:color w:val="auto"/>
        </w:rPr>
      </w:pPr>
      <w:r w:rsidRPr="001C0E11">
        <w:rPr>
          <w:color w:val="auto"/>
        </w:rPr>
        <w:lastRenderedPageBreak/>
        <w:t>NR’s evidence on both points</w:t>
      </w:r>
      <w:r w:rsidR="004E77BC">
        <w:rPr>
          <w:rStyle w:val="FootnoteReference"/>
          <w:color w:val="auto"/>
        </w:rPr>
        <w:footnoteReference w:id="4"/>
      </w:r>
      <w:r w:rsidRPr="001C0E11">
        <w:rPr>
          <w:color w:val="auto"/>
        </w:rPr>
        <w:t xml:space="preserve"> developed during cross examination, before </w:t>
      </w:r>
      <w:r w:rsidR="004125FD" w:rsidRPr="00D8797F">
        <w:rPr>
          <w:color w:val="auto"/>
        </w:rPr>
        <w:t xml:space="preserve">a NR witness </w:t>
      </w:r>
      <w:r w:rsidRPr="001C0E11">
        <w:rPr>
          <w:color w:val="auto"/>
        </w:rPr>
        <w:t xml:space="preserve">suggested that there were an (unspecified) number of (hitherto unmentioned and undisclosed) ‘reports’ behind NR’s historical options analysis and decision-making process. When those ‘reports’ were requested by </w:t>
      </w:r>
      <w:r w:rsidR="001C0E2A" w:rsidRPr="00D8797F">
        <w:rPr>
          <w:color w:val="auto"/>
        </w:rPr>
        <w:t>S</w:t>
      </w:r>
      <w:r w:rsidRPr="001C0E11">
        <w:rPr>
          <w:color w:val="auto"/>
        </w:rPr>
        <w:t>BC</w:t>
      </w:r>
      <w:r w:rsidR="001C0E2A" w:rsidRPr="00D8797F">
        <w:rPr>
          <w:color w:val="auto"/>
        </w:rPr>
        <w:t xml:space="preserve"> NR w</w:t>
      </w:r>
      <w:r w:rsidRPr="001C0E11">
        <w:rPr>
          <w:color w:val="auto"/>
        </w:rPr>
        <w:t xml:space="preserve">ithdrew </w:t>
      </w:r>
      <w:r w:rsidR="00D8797F" w:rsidRPr="00D8797F">
        <w:rPr>
          <w:color w:val="auto"/>
        </w:rPr>
        <w:t>t</w:t>
      </w:r>
      <w:r w:rsidRPr="001C0E11">
        <w:rPr>
          <w:color w:val="auto"/>
        </w:rPr>
        <w:t>h</w:t>
      </w:r>
      <w:r w:rsidR="00D8797F" w:rsidRPr="00D8797F">
        <w:rPr>
          <w:color w:val="auto"/>
        </w:rPr>
        <w:t>e</w:t>
      </w:r>
      <w:r w:rsidRPr="001C0E11">
        <w:rPr>
          <w:color w:val="auto"/>
        </w:rPr>
        <w:t xml:space="preserve"> characterisation of th</w:t>
      </w:r>
      <w:r w:rsidR="00D8797F" w:rsidRPr="00D8797F">
        <w:rPr>
          <w:color w:val="auto"/>
        </w:rPr>
        <w:t>o</w:t>
      </w:r>
      <w:r w:rsidRPr="001C0E11">
        <w:rPr>
          <w:color w:val="auto"/>
        </w:rPr>
        <w:t xml:space="preserve">se documents as ‘reports’, but nevertheless maintained that there would be a ‘range’ of emails and notes of meetings that would be available to </w:t>
      </w:r>
      <w:r w:rsidR="002A0742" w:rsidRPr="002A0742">
        <w:rPr>
          <w:color w:val="auto"/>
        </w:rPr>
        <w:t xml:space="preserve">substantiate NR’s position. </w:t>
      </w:r>
      <w:r w:rsidR="00D8797F">
        <w:rPr>
          <w:color w:val="auto"/>
        </w:rPr>
        <w:t>S</w:t>
      </w:r>
      <w:r w:rsidR="002A0742" w:rsidRPr="002A0742">
        <w:rPr>
          <w:color w:val="auto"/>
        </w:rPr>
        <w:t xml:space="preserve">BC repeated its request that those documents be provided to the Inquiry in a timely fashion, before raising the same issue with </w:t>
      </w:r>
      <w:r w:rsidR="00D8797F">
        <w:rPr>
          <w:color w:val="auto"/>
        </w:rPr>
        <w:t>another NR witness</w:t>
      </w:r>
      <w:r w:rsidR="002A0742" w:rsidRPr="002A0742">
        <w:rPr>
          <w:color w:val="auto"/>
        </w:rPr>
        <w:t xml:space="preserve"> during cross examination. </w:t>
      </w:r>
    </w:p>
    <w:p w14:paraId="3B177C59" w14:textId="59A7A117" w:rsidR="002A0742" w:rsidRPr="002A0742" w:rsidRDefault="002A0742" w:rsidP="006C7962">
      <w:pPr>
        <w:pStyle w:val="Style1"/>
        <w:numPr>
          <w:ilvl w:val="0"/>
          <w:numId w:val="6"/>
        </w:numPr>
        <w:spacing w:before="140"/>
        <w:ind w:left="431" w:hanging="431"/>
        <w:rPr>
          <w:color w:val="auto"/>
        </w:rPr>
      </w:pPr>
      <w:r w:rsidRPr="002A0742">
        <w:rPr>
          <w:color w:val="auto"/>
        </w:rPr>
        <w:t xml:space="preserve">On 25 January 2021 (at 15.15hrs), NR belatedly circulated </w:t>
      </w:r>
      <w:proofErr w:type="gramStart"/>
      <w:r w:rsidRPr="002A0742">
        <w:rPr>
          <w:color w:val="auto"/>
        </w:rPr>
        <w:t>a number of</w:t>
      </w:r>
      <w:proofErr w:type="gramEnd"/>
      <w:r w:rsidRPr="002A0742">
        <w:rPr>
          <w:color w:val="auto"/>
        </w:rPr>
        <w:t xml:space="preserve"> additional documents, including a Note on the Consideration of Various Options at the Crossing (NR7)</w:t>
      </w:r>
      <w:r w:rsidR="00D8797F">
        <w:rPr>
          <w:rStyle w:val="FootnoteReference"/>
          <w:color w:val="auto"/>
        </w:rPr>
        <w:footnoteReference w:id="5"/>
      </w:r>
      <w:r w:rsidRPr="002A0742">
        <w:rPr>
          <w:color w:val="auto"/>
        </w:rPr>
        <w:t xml:space="preserve">. The late production of those documents both in terms of when they were received in the Inquiry process and the time of the day in question, placed </w:t>
      </w:r>
      <w:r w:rsidR="008F35B8">
        <w:rPr>
          <w:color w:val="auto"/>
        </w:rPr>
        <w:t>S</w:t>
      </w:r>
      <w:r w:rsidRPr="002A0742">
        <w:rPr>
          <w:color w:val="auto"/>
        </w:rPr>
        <w:t xml:space="preserve">BC in difficulty as it meant that they had to be reviewed outside of usual office hours, with instructions then only capable of being provided immediately prior to the Inquiry re-opening on 26 January 2021 at 09.30hrs. Despite best endeavours, it was not possible for </w:t>
      </w:r>
      <w:r w:rsidR="00416F9A">
        <w:rPr>
          <w:color w:val="auto"/>
        </w:rPr>
        <w:t>S</w:t>
      </w:r>
      <w:r w:rsidRPr="002A0742">
        <w:rPr>
          <w:color w:val="auto"/>
        </w:rPr>
        <w:t xml:space="preserve">BC to complete that process in time and, therefore, additional time had to be set aside by the </w:t>
      </w:r>
      <w:r w:rsidR="00416F9A">
        <w:rPr>
          <w:color w:val="auto"/>
        </w:rPr>
        <w:t>S</w:t>
      </w:r>
      <w:r w:rsidRPr="002A0742">
        <w:rPr>
          <w:color w:val="auto"/>
        </w:rPr>
        <w:t>B</w:t>
      </w:r>
      <w:r w:rsidR="00416F9A">
        <w:rPr>
          <w:color w:val="auto"/>
        </w:rPr>
        <w:t>C</w:t>
      </w:r>
      <w:r w:rsidRPr="002A0742">
        <w:rPr>
          <w:color w:val="auto"/>
        </w:rPr>
        <w:t xml:space="preserve"> team prior to the Inquiry re-opening on 29 January 2021. </w:t>
      </w:r>
    </w:p>
    <w:p w14:paraId="14B38CAE" w14:textId="26C9EDD8" w:rsidR="002A0742" w:rsidRPr="002A0742" w:rsidRDefault="002A0742" w:rsidP="006C7962">
      <w:pPr>
        <w:pStyle w:val="Style1"/>
        <w:numPr>
          <w:ilvl w:val="0"/>
          <w:numId w:val="6"/>
        </w:numPr>
        <w:spacing w:before="140"/>
        <w:ind w:left="431" w:hanging="431"/>
        <w:rPr>
          <w:color w:val="auto"/>
        </w:rPr>
      </w:pPr>
      <w:r w:rsidRPr="002A0742">
        <w:rPr>
          <w:color w:val="auto"/>
        </w:rPr>
        <w:t xml:space="preserve">Upon having had a proper opportunity to review those documents and to consider their implications in combination with the evidence heard by the Inquiry, </w:t>
      </w:r>
      <w:r w:rsidR="00F71B07">
        <w:rPr>
          <w:color w:val="auto"/>
        </w:rPr>
        <w:t>S</w:t>
      </w:r>
      <w:r w:rsidRPr="002A0742">
        <w:rPr>
          <w:color w:val="auto"/>
        </w:rPr>
        <w:t>BC withdrew its objection</w:t>
      </w:r>
      <w:r w:rsidR="00F71B07">
        <w:rPr>
          <w:rStyle w:val="FootnoteReference"/>
          <w:color w:val="auto"/>
        </w:rPr>
        <w:footnoteReference w:id="6"/>
      </w:r>
      <w:r w:rsidRPr="002A0742">
        <w:rPr>
          <w:color w:val="auto"/>
        </w:rPr>
        <w:t xml:space="preserve">. </w:t>
      </w:r>
    </w:p>
    <w:p w14:paraId="7D97045D" w14:textId="70E3E16E" w:rsidR="002A0742" w:rsidRPr="002A0742" w:rsidRDefault="00F71B07" w:rsidP="006C7962">
      <w:pPr>
        <w:pStyle w:val="Style1"/>
        <w:numPr>
          <w:ilvl w:val="0"/>
          <w:numId w:val="6"/>
        </w:numPr>
        <w:spacing w:before="140"/>
        <w:ind w:left="431" w:hanging="431"/>
        <w:rPr>
          <w:color w:val="auto"/>
        </w:rPr>
      </w:pPr>
      <w:r>
        <w:rPr>
          <w:color w:val="auto"/>
        </w:rPr>
        <w:t>S</w:t>
      </w:r>
      <w:r w:rsidR="002A0742" w:rsidRPr="002A0742">
        <w:rPr>
          <w:color w:val="auto"/>
        </w:rPr>
        <w:t xml:space="preserve">BC considers that those documents gave rise to </w:t>
      </w:r>
      <w:proofErr w:type="gramStart"/>
      <w:r w:rsidR="002A0742" w:rsidRPr="002A0742">
        <w:rPr>
          <w:color w:val="auto"/>
        </w:rPr>
        <w:t>a number of</w:t>
      </w:r>
      <w:proofErr w:type="gramEnd"/>
      <w:r w:rsidR="002A0742" w:rsidRPr="002A0742">
        <w:rPr>
          <w:color w:val="auto"/>
        </w:rPr>
        <w:t xml:space="preserve"> issues that rendered NR’s conduct unreasonable</w:t>
      </w:r>
      <w:r w:rsidR="00D34093">
        <w:rPr>
          <w:color w:val="auto"/>
        </w:rPr>
        <w:t xml:space="preserve">, </w:t>
      </w:r>
      <w:r w:rsidR="002A0742" w:rsidRPr="002A0742">
        <w:rPr>
          <w:color w:val="auto"/>
        </w:rPr>
        <w:t>in addition to the lateness of their provision</w:t>
      </w:r>
      <w:r w:rsidR="00D34093">
        <w:rPr>
          <w:color w:val="auto"/>
        </w:rPr>
        <w:t>. A</w:t>
      </w:r>
      <w:r w:rsidR="002A0742" w:rsidRPr="002A0742">
        <w:rPr>
          <w:color w:val="auto"/>
        </w:rPr>
        <w:t xml:space="preserve"> number were supplied under cover of generic ‘notes to the Inquiry’, rather than as addendums or </w:t>
      </w:r>
      <w:proofErr w:type="gramStart"/>
      <w:r w:rsidR="002A0742" w:rsidRPr="002A0742">
        <w:rPr>
          <w:color w:val="auto"/>
        </w:rPr>
        <w:t>similar to</w:t>
      </w:r>
      <w:proofErr w:type="gramEnd"/>
      <w:r w:rsidR="002A0742" w:rsidRPr="002A0742">
        <w:rPr>
          <w:color w:val="auto"/>
        </w:rPr>
        <w:t xml:space="preserve"> any particular PoE</w:t>
      </w:r>
      <w:r w:rsidR="00A370E6">
        <w:rPr>
          <w:color w:val="auto"/>
        </w:rPr>
        <w:t>. T</w:t>
      </w:r>
      <w:r w:rsidR="002A0742" w:rsidRPr="002A0742">
        <w:rPr>
          <w:color w:val="auto"/>
        </w:rPr>
        <w:t>hey were not produced or formatted in a manner that enabled the ready comprehension of the supporting documents</w:t>
      </w:r>
      <w:r w:rsidR="00A370E6">
        <w:rPr>
          <w:color w:val="auto"/>
        </w:rPr>
        <w:t>. W</w:t>
      </w:r>
      <w:r w:rsidR="002A0742" w:rsidRPr="002A0742">
        <w:rPr>
          <w:color w:val="auto"/>
        </w:rPr>
        <w:t>ith reference to NR7 in particular, it listed and appended a set of the documents that clearly was not the comprehensive set of emails and meeting minutes that had previously</w:t>
      </w:r>
      <w:r w:rsidR="00EC11E0">
        <w:rPr>
          <w:color w:val="auto"/>
        </w:rPr>
        <w:t xml:space="preserve"> been</w:t>
      </w:r>
      <w:r w:rsidR="002A0742" w:rsidRPr="002A0742">
        <w:rPr>
          <w:color w:val="auto"/>
        </w:rPr>
        <w:t xml:space="preserve"> referenced</w:t>
      </w:r>
      <w:r w:rsidR="00A370E6">
        <w:rPr>
          <w:color w:val="auto"/>
        </w:rPr>
        <w:t>, f</w:t>
      </w:r>
      <w:r w:rsidR="002A0742" w:rsidRPr="002A0742">
        <w:rPr>
          <w:color w:val="auto"/>
        </w:rPr>
        <w:t xml:space="preserve">or example, the documents appended to NR7 barely referenced any alternatives that might properly be described as ‘S1-type </w:t>
      </w:r>
      <w:proofErr w:type="gramStart"/>
      <w:r w:rsidR="002A0742" w:rsidRPr="002A0742">
        <w:rPr>
          <w:color w:val="auto"/>
        </w:rPr>
        <w:t>interventions’</w:t>
      </w:r>
      <w:proofErr w:type="gramEnd"/>
      <w:r w:rsidR="002A0742" w:rsidRPr="002A0742">
        <w:rPr>
          <w:color w:val="auto"/>
        </w:rPr>
        <w:t xml:space="preserve">. </w:t>
      </w:r>
    </w:p>
    <w:p w14:paraId="1247BF65" w14:textId="274D5987" w:rsidR="002A0742" w:rsidRDefault="002A0742" w:rsidP="006C7962">
      <w:pPr>
        <w:pStyle w:val="Style1"/>
        <w:numPr>
          <w:ilvl w:val="0"/>
          <w:numId w:val="6"/>
        </w:numPr>
        <w:spacing w:before="140"/>
        <w:ind w:left="431" w:hanging="431"/>
        <w:rPr>
          <w:color w:val="auto"/>
        </w:rPr>
      </w:pPr>
      <w:proofErr w:type="gramStart"/>
      <w:r w:rsidRPr="002A0742">
        <w:rPr>
          <w:color w:val="auto"/>
        </w:rPr>
        <w:t>All of</w:t>
      </w:r>
      <w:proofErr w:type="gramEnd"/>
      <w:r w:rsidRPr="002A0742">
        <w:rPr>
          <w:color w:val="auto"/>
        </w:rPr>
        <w:t xml:space="preserve"> the above issues gave rise to additional work on the part of </w:t>
      </w:r>
      <w:r w:rsidR="00A370E6">
        <w:rPr>
          <w:color w:val="auto"/>
        </w:rPr>
        <w:t>S</w:t>
      </w:r>
      <w:r w:rsidRPr="002A0742">
        <w:rPr>
          <w:color w:val="auto"/>
        </w:rPr>
        <w:t>B</w:t>
      </w:r>
      <w:r w:rsidR="00A370E6">
        <w:rPr>
          <w:color w:val="auto"/>
        </w:rPr>
        <w:t>C</w:t>
      </w:r>
      <w:r w:rsidRPr="002A0742">
        <w:rPr>
          <w:color w:val="auto"/>
        </w:rPr>
        <w:t xml:space="preserve">. Moreover, and given the nature of </w:t>
      </w:r>
      <w:r w:rsidR="00A370E6">
        <w:rPr>
          <w:color w:val="auto"/>
        </w:rPr>
        <w:t>S</w:t>
      </w:r>
      <w:r w:rsidRPr="002A0742">
        <w:rPr>
          <w:color w:val="auto"/>
        </w:rPr>
        <w:t>BC’s objection, it is difficult to understand why NR7 and the documents appended thereto were not provided in a proper format at a much earlier stage</w:t>
      </w:r>
      <w:r w:rsidR="00A370E6">
        <w:rPr>
          <w:color w:val="auto"/>
        </w:rPr>
        <w:t>,</w:t>
      </w:r>
      <w:r w:rsidRPr="002A0742">
        <w:rPr>
          <w:color w:val="auto"/>
        </w:rPr>
        <w:t xml:space="preserve"> for example, as part of NR’s </w:t>
      </w:r>
      <w:r w:rsidR="00CD31C2">
        <w:rPr>
          <w:color w:val="auto"/>
        </w:rPr>
        <w:t>S</w:t>
      </w:r>
      <w:r w:rsidR="00814D7C">
        <w:rPr>
          <w:color w:val="auto"/>
        </w:rPr>
        <w:t>o</w:t>
      </w:r>
      <w:r w:rsidR="00CD31C2">
        <w:rPr>
          <w:color w:val="auto"/>
        </w:rPr>
        <w:t>C</w:t>
      </w:r>
      <w:r w:rsidRPr="002A0742">
        <w:rPr>
          <w:color w:val="auto"/>
        </w:rPr>
        <w:t xml:space="preserve"> or even a PoE responding to what was known to be an important part of </w:t>
      </w:r>
      <w:r w:rsidR="00A370E6">
        <w:rPr>
          <w:color w:val="auto"/>
        </w:rPr>
        <w:t>S</w:t>
      </w:r>
      <w:r w:rsidRPr="002A0742">
        <w:rPr>
          <w:color w:val="auto"/>
        </w:rPr>
        <w:t xml:space="preserve">BC’s objection. Had NR done so, then there is a realistic prospect that </w:t>
      </w:r>
      <w:r w:rsidR="00A370E6">
        <w:rPr>
          <w:color w:val="auto"/>
        </w:rPr>
        <w:t>S</w:t>
      </w:r>
      <w:r w:rsidRPr="002A0742">
        <w:rPr>
          <w:color w:val="auto"/>
        </w:rPr>
        <w:t xml:space="preserve">BC may have adopted a different position with regards to the proposed closure at an earlier stage. </w:t>
      </w:r>
    </w:p>
    <w:p w14:paraId="06D4ACCC" w14:textId="1D734305" w:rsidR="00940735" w:rsidRDefault="00990071" w:rsidP="006C7962">
      <w:pPr>
        <w:pStyle w:val="Style1"/>
        <w:numPr>
          <w:ilvl w:val="0"/>
          <w:numId w:val="6"/>
        </w:numPr>
        <w:spacing w:before="140"/>
        <w:ind w:left="431" w:hanging="431"/>
        <w:rPr>
          <w:color w:val="auto"/>
        </w:rPr>
      </w:pPr>
      <w:r>
        <w:rPr>
          <w:color w:val="auto"/>
        </w:rPr>
        <w:t>To address a matter which may be argued</w:t>
      </w:r>
      <w:r w:rsidR="00301847">
        <w:rPr>
          <w:color w:val="auto"/>
        </w:rPr>
        <w:t xml:space="preserve"> </w:t>
      </w:r>
      <w:r w:rsidR="0013022B">
        <w:rPr>
          <w:color w:val="auto"/>
        </w:rPr>
        <w:t>to</w:t>
      </w:r>
      <w:r w:rsidR="00150290">
        <w:rPr>
          <w:color w:val="auto"/>
        </w:rPr>
        <w:t xml:space="preserve"> caution</w:t>
      </w:r>
      <w:r w:rsidR="0013022B">
        <w:rPr>
          <w:color w:val="auto"/>
        </w:rPr>
        <w:t xml:space="preserve"> a</w:t>
      </w:r>
      <w:r w:rsidR="00301847">
        <w:rPr>
          <w:color w:val="auto"/>
        </w:rPr>
        <w:t>g</w:t>
      </w:r>
      <w:r w:rsidR="0013022B">
        <w:rPr>
          <w:color w:val="auto"/>
        </w:rPr>
        <w:t>ainst</w:t>
      </w:r>
      <w:r w:rsidR="00150290">
        <w:rPr>
          <w:color w:val="auto"/>
        </w:rPr>
        <w:t xml:space="preserve"> requiring parties to submit all documents behind their case</w:t>
      </w:r>
      <w:r w:rsidR="009034EA">
        <w:rPr>
          <w:color w:val="auto"/>
        </w:rPr>
        <w:t xml:space="preserve">, </w:t>
      </w:r>
      <w:r w:rsidR="008A0644">
        <w:rPr>
          <w:color w:val="auto"/>
        </w:rPr>
        <w:t>SBC’s c</w:t>
      </w:r>
      <w:r w:rsidR="0013022B">
        <w:rPr>
          <w:color w:val="auto"/>
        </w:rPr>
        <w:t>ompl</w:t>
      </w:r>
      <w:r w:rsidR="008A0644">
        <w:rPr>
          <w:color w:val="auto"/>
        </w:rPr>
        <w:t>a</w:t>
      </w:r>
      <w:r w:rsidR="0013022B">
        <w:rPr>
          <w:color w:val="auto"/>
        </w:rPr>
        <w:t>int</w:t>
      </w:r>
      <w:r w:rsidR="008A0644">
        <w:rPr>
          <w:color w:val="auto"/>
        </w:rPr>
        <w:t xml:space="preserve"> is not limited to simply that we raised this </w:t>
      </w:r>
      <w:r w:rsidR="00C1534B">
        <w:rPr>
          <w:color w:val="auto"/>
        </w:rPr>
        <w:t xml:space="preserve">as part </w:t>
      </w:r>
      <w:r w:rsidR="008A0644">
        <w:rPr>
          <w:color w:val="auto"/>
        </w:rPr>
        <w:t>o</w:t>
      </w:r>
      <w:r w:rsidR="00C1534B">
        <w:rPr>
          <w:color w:val="auto"/>
        </w:rPr>
        <w:t xml:space="preserve">f </w:t>
      </w:r>
      <w:r w:rsidR="008A0644">
        <w:rPr>
          <w:color w:val="auto"/>
        </w:rPr>
        <w:t>c</w:t>
      </w:r>
      <w:r w:rsidR="00C1534B">
        <w:rPr>
          <w:color w:val="auto"/>
        </w:rPr>
        <w:t>ase</w:t>
      </w:r>
      <w:r w:rsidR="008A0644">
        <w:rPr>
          <w:color w:val="auto"/>
        </w:rPr>
        <w:t xml:space="preserve"> and</w:t>
      </w:r>
      <w:r w:rsidR="0058098F">
        <w:rPr>
          <w:color w:val="auto"/>
        </w:rPr>
        <w:t xml:space="preserve"> deserve a response</w:t>
      </w:r>
      <w:r w:rsidR="002C537F">
        <w:rPr>
          <w:color w:val="auto"/>
        </w:rPr>
        <w:t>. If</w:t>
      </w:r>
      <w:r w:rsidR="0058098F">
        <w:rPr>
          <w:color w:val="auto"/>
        </w:rPr>
        <w:t xml:space="preserve"> NR </w:t>
      </w:r>
      <w:r w:rsidR="002C537F">
        <w:rPr>
          <w:color w:val="auto"/>
        </w:rPr>
        <w:t xml:space="preserve">felt that this was obvious from the evidence before </w:t>
      </w:r>
      <w:proofErr w:type="gramStart"/>
      <w:r w:rsidR="002C537F">
        <w:rPr>
          <w:color w:val="auto"/>
        </w:rPr>
        <w:t>us</w:t>
      </w:r>
      <w:proofErr w:type="gramEnd"/>
      <w:r w:rsidR="002C537F">
        <w:rPr>
          <w:color w:val="auto"/>
        </w:rPr>
        <w:t xml:space="preserve"> they </w:t>
      </w:r>
      <w:r w:rsidR="0058098F">
        <w:rPr>
          <w:color w:val="auto"/>
        </w:rPr>
        <w:t>could have said that at a much earlier stage.</w:t>
      </w:r>
      <w:r w:rsidR="008A0644">
        <w:rPr>
          <w:color w:val="auto"/>
        </w:rPr>
        <w:t xml:space="preserve"> </w:t>
      </w:r>
      <w:r w:rsidR="00D166D4">
        <w:rPr>
          <w:color w:val="auto"/>
        </w:rPr>
        <w:t>The first we heard of any of th</w:t>
      </w:r>
      <w:r w:rsidR="002C537F">
        <w:rPr>
          <w:color w:val="auto"/>
        </w:rPr>
        <w:t>e b</w:t>
      </w:r>
      <w:r w:rsidR="00D166D4">
        <w:rPr>
          <w:color w:val="auto"/>
        </w:rPr>
        <w:t>a</w:t>
      </w:r>
      <w:r w:rsidR="002C537F">
        <w:rPr>
          <w:color w:val="auto"/>
        </w:rPr>
        <w:t>ckground documen</w:t>
      </w:r>
      <w:r w:rsidR="00D166D4">
        <w:rPr>
          <w:color w:val="auto"/>
        </w:rPr>
        <w:t>t</w:t>
      </w:r>
      <w:r w:rsidR="002C537F">
        <w:rPr>
          <w:color w:val="auto"/>
        </w:rPr>
        <w:t>s</w:t>
      </w:r>
      <w:r w:rsidR="00D166D4">
        <w:rPr>
          <w:color w:val="auto"/>
        </w:rPr>
        <w:t xml:space="preserve"> was in cross-examination</w:t>
      </w:r>
      <w:r w:rsidR="002B7D15">
        <w:rPr>
          <w:color w:val="auto"/>
        </w:rPr>
        <w:t>. The re</w:t>
      </w:r>
      <w:r w:rsidR="00D166D4">
        <w:rPr>
          <w:color w:val="auto"/>
        </w:rPr>
        <w:t>a</w:t>
      </w:r>
      <w:r w:rsidR="002B7D15">
        <w:rPr>
          <w:color w:val="auto"/>
        </w:rPr>
        <w:t>l complai</w:t>
      </w:r>
      <w:r w:rsidR="00940735">
        <w:rPr>
          <w:color w:val="auto"/>
        </w:rPr>
        <w:t>n</w:t>
      </w:r>
      <w:r w:rsidR="002B7D15">
        <w:rPr>
          <w:color w:val="auto"/>
        </w:rPr>
        <w:t>t relates to manner of pro</w:t>
      </w:r>
      <w:r w:rsidR="00D166D4">
        <w:rPr>
          <w:color w:val="auto"/>
        </w:rPr>
        <w:t>d</w:t>
      </w:r>
      <w:r w:rsidR="002B7D15">
        <w:rPr>
          <w:color w:val="auto"/>
        </w:rPr>
        <w:t xml:space="preserve">uction, </w:t>
      </w:r>
      <w:r w:rsidR="00D166D4">
        <w:rPr>
          <w:color w:val="auto"/>
        </w:rPr>
        <w:t xml:space="preserve">formatting and </w:t>
      </w:r>
      <w:r w:rsidR="00913BA4">
        <w:rPr>
          <w:color w:val="auto"/>
        </w:rPr>
        <w:t xml:space="preserve">timing </w:t>
      </w:r>
      <w:r w:rsidR="00940735">
        <w:rPr>
          <w:color w:val="auto"/>
        </w:rPr>
        <w:t xml:space="preserve">which </w:t>
      </w:r>
      <w:r w:rsidR="00913BA4">
        <w:rPr>
          <w:color w:val="auto"/>
        </w:rPr>
        <w:t xml:space="preserve">was unhelpful giving rise to abortive work for SBC. </w:t>
      </w:r>
    </w:p>
    <w:p w14:paraId="1E6FDEA1" w14:textId="019E7D00" w:rsidR="008A6229" w:rsidRDefault="00D16958" w:rsidP="006C7962">
      <w:pPr>
        <w:pStyle w:val="Style1"/>
        <w:numPr>
          <w:ilvl w:val="0"/>
          <w:numId w:val="6"/>
        </w:numPr>
        <w:spacing w:before="140"/>
        <w:ind w:left="431" w:hanging="431"/>
        <w:rPr>
          <w:color w:val="auto"/>
        </w:rPr>
      </w:pPr>
      <w:proofErr w:type="gramStart"/>
      <w:r>
        <w:rPr>
          <w:color w:val="auto"/>
        </w:rPr>
        <w:lastRenderedPageBreak/>
        <w:t xml:space="preserve">With </w:t>
      </w:r>
      <w:r w:rsidR="00913BA4">
        <w:rPr>
          <w:color w:val="auto"/>
        </w:rPr>
        <w:t xml:space="preserve">regard </w:t>
      </w:r>
      <w:r>
        <w:rPr>
          <w:color w:val="auto"/>
        </w:rPr>
        <w:t>t</w:t>
      </w:r>
      <w:r w:rsidR="00913BA4">
        <w:rPr>
          <w:color w:val="auto"/>
        </w:rPr>
        <w:t>o</w:t>
      </w:r>
      <w:proofErr w:type="gramEnd"/>
      <w:r w:rsidR="00913BA4">
        <w:rPr>
          <w:color w:val="auto"/>
        </w:rPr>
        <w:t xml:space="preserve"> historical recording of </w:t>
      </w:r>
      <w:r>
        <w:rPr>
          <w:color w:val="auto"/>
        </w:rPr>
        <w:t xml:space="preserve">decision-making in </w:t>
      </w:r>
      <w:r w:rsidR="00913BA4">
        <w:rPr>
          <w:color w:val="auto"/>
        </w:rPr>
        <w:t>these documents</w:t>
      </w:r>
      <w:r w:rsidR="00B86EE3">
        <w:rPr>
          <w:color w:val="auto"/>
        </w:rPr>
        <w:t>,</w:t>
      </w:r>
      <w:r w:rsidR="00913BA4">
        <w:rPr>
          <w:color w:val="auto"/>
        </w:rPr>
        <w:t xml:space="preserve"> it is p</w:t>
      </w:r>
      <w:r w:rsidR="00940735">
        <w:rPr>
          <w:color w:val="auto"/>
        </w:rPr>
        <w:t>ar</w:t>
      </w:r>
      <w:r w:rsidR="00913BA4">
        <w:rPr>
          <w:color w:val="auto"/>
        </w:rPr>
        <w:t>t of Inquiry to</w:t>
      </w:r>
      <w:r w:rsidR="00940735">
        <w:rPr>
          <w:color w:val="auto"/>
        </w:rPr>
        <w:t xml:space="preserve"> test and explore the</w:t>
      </w:r>
      <w:r w:rsidR="00913BA4">
        <w:rPr>
          <w:color w:val="auto"/>
        </w:rPr>
        <w:t xml:space="preserve"> </w:t>
      </w:r>
      <w:r>
        <w:rPr>
          <w:color w:val="auto"/>
        </w:rPr>
        <w:t xml:space="preserve">transparency </w:t>
      </w:r>
      <w:r w:rsidR="00913BA4">
        <w:rPr>
          <w:color w:val="auto"/>
        </w:rPr>
        <w:t xml:space="preserve">of </w:t>
      </w:r>
      <w:r>
        <w:rPr>
          <w:color w:val="auto"/>
        </w:rPr>
        <w:t>decision-making. For SBC and other objectors</w:t>
      </w:r>
      <w:r w:rsidR="00940735">
        <w:rPr>
          <w:color w:val="auto"/>
        </w:rPr>
        <w:t xml:space="preserve"> to make their case they needed to know NR</w:t>
      </w:r>
      <w:r w:rsidR="00EF17A6">
        <w:rPr>
          <w:color w:val="auto"/>
        </w:rPr>
        <w:t>’s</w:t>
      </w:r>
      <w:r w:rsidR="00940735">
        <w:rPr>
          <w:color w:val="auto"/>
        </w:rPr>
        <w:t xml:space="preserve"> evidential basis. It may be said no positive</w:t>
      </w:r>
      <w:r w:rsidR="00EF17A6">
        <w:rPr>
          <w:color w:val="auto"/>
        </w:rPr>
        <w:t xml:space="preserve"> suggestions or points have been made but that </w:t>
      </w:r>
      <w:r w:rsidR="009C7FB3">
        <w:rPr>
          <w:color w:val="auto"/>
        </w:rPr>
        <w:t>does not assist NR. To run a positive case objectors needed to see the documents of the scoping exercise, which did not happen until partway through the Inquiry.</w:t>
      </w:r>
      <w:r w:rsidR="00940735">
        <w:rPr>
          <w:color w:val="auto"/>
        </w:rPr>
        <w:t xml:space="preserve">  </w:t>
      </w:r>
      <w:r>
        <w:rPr>
          <w:color w:val="auto"/>
        </w:rPr>
        <w:t xml:space="preserve"> </w:t>
      </w:r>
      <w:r w:rsidR="00D166D4">
        <w:rPr>
          <w:color w:val="auto"/>
        </w:rPr>
        <w:t xml:space="preserve"> </w:t>
      </w:r>
    </w:p>
    <w:p w14:paraId="5565D12F" w14:textId="7281F6EF" w:rsidR="00EA2337" w:rsidRDefault="006C7962" w:rsidP="00EA2337">
      <w:pPr>
        <w:pStyle w:val="Style1"/>
        <w:numPr>
          <w:ilvl w:val="0"/>
          <w:numId w:val="6"/>
        </w:numPr>
        <w:spacing w:before="140"/>
        <w:ind w:left="431" w:hanging="431"/>
        <w:rPr>
          <w:color w:val="auto"/>
        </w:rPr>
      </w:pPr>
      <w:r w:rsidRPr="006C7962">
        <w:rPr>
          <w:color w:val="auto"/>
        </w:rPr>
        <w:t xml:space="preserve">Although said by NR to have always been ‘on the table’, nothing </w:t>
      </w:r>
      <w:r w:rsidR="00CF77D3">
        <w:rPr>
          <w:color w:val="auto"/>
        </w:rPr>
        <w:t>w</w:t>
      </w:r>
      <w:r w:rsidRPr="006C7962">
        <w:rPr>
          <w:color w:val="auto"/>
        </w:rPr>
        <w:t>a</w:t>
      </w:r>
      <w:r w:rsidR="00CF77D3">
        <w:rPr>
          <w:color w:val="auto"/>
        </w:rPr>
        <w:t>s</w:t>
      </w:r>
      <w:r w:rsidRPr="006C7962">
        <w:rPr>
          <w:color w:val="auto"/>
        </w:rPr>
        <w:t xml:space="preserve"> previously committed to writing in relation the proposed </w:t>
      </w:r>
      <w:r w:rsidR="004F4CA1">
        <w:rPr>
          <w:color w:val="auto"/>
        </w:rPr>
        <w:t xml:space="preserve">alternative route </w:t>
      </w:r>
      <w:r w:rsidRPr="006C7962">
        <w:rPr>
          <w:color w:val="auto"/>
        </w:rPr>
        <w:t>improvement works</w:t>
      </w:r>
      <w:r w:rsidR="005F3434">
        <w:rPr>
          <w:color w:val="auto"/>
        </w:rPr>
        <w:t xml:space="preserve"> </w:t>
      </w:r>
      <w:r w:rsidRPr="006C7962">
        <w:rPr>
          <w:color w:val="auto"/>
        </w:rPr>
        <w:t xml:space="preserve">in a legally enforceable manner. </w:t>
      </w:r>
      <w:r w:rsidR="00120447">
        <w:rPr>
          <w:color w:val="auto"/>
        </w:rPr>
        <w:t>S</w:t>
      </w:r>
      <w:r w:rsidRPr="006C7962">
        <w:rPr>
          <w:color w:val="auto"/>
        </w:rPr>
        <w:t xml:space="preserve">BC is pleased to note that </w:t>
      </w:r>
      <w:r w:rsidR="00120447">
        <w:rPr>
          <w:color w:val="auto"/>
        </w:rPr>
        <w:t>p</w:t>
      </w:r>
      <w:r w:rsidRPr="006C7962">
        <w:rPr>
          <w:color w:val="auto"/>
        </w:rPr>
        <w:t xml:space="preserve">rogress has been made during this Inquiry, with the scope of those works, as well as their funding, now appearing to be guaranteed. </w:t>
      </w:r>
      <w:r w:rsidR="00885434">
        <w:rPr>
          <w:color w:val="auto"/>
        </w:rPr>
        <w:t>H</w:t>
      </w:r>
      <w:r w:rsidRPr="006C7962">
        <w:rPr>
          <w:color w:val="auto"/>
        </w:rPr>
        <w:t xml:space="preserve">owever, given the nature of </w:t>
      </w:r>
      <w:r w:rsidR="00885434">
        <w:rPr>
          <w:color w:val="auto"/>
        </w:rPr>
        <w:t>S</w:t>
      </w:r>
      <w:r w:rsidRPr="006C7962">
        <w:rPr>
          <w:color w:val="auto"/>
        </w:rPr>
        <w:t xml:space="preserve">BC’s objection, it is difficult to understand why the letter of undertaking and funding agreement were not provided to </w:t>
      </w:r>
      <w:r w:rsidR="00885434">
        <w:rPr>
          <w:color w:val="auto"/>
        </w:rPr>
        <w:t xml:space="preserve">Surrey </w:t>
      </w:r>
      <w:r w:rsidRPr="006C7962">
        <w:rPr>
          <w:color w:val="auto"/>
        </w:rPr>
        <w:t>County Council</w:t>
      </w:r>
      <w:r w:rsidR="00A82789">
        <w:rPr>
          <w:color w:val="auto"/>
        </w:rPr>
        <w:t xml:space="preserve"> (SCC)</w:t>
      </w:r>
      <w:r w:rsidRPr="006C7962">
        <w:rPr>
          <w:color w:val="auto"/>
        </w:rPr>
        <w:t xml:space="preserve"> at a much earlier stage. Had NR done so, then there is a realistic prospect that </w:t>
      </w:r>
      <w:r w:rsidR="00885434">
        <w:rPr>
          <w:color w:val="auto"/>
        </w:rPr>
        <w:t>S</w:t>
      </w:r>
      <w:r w:rsidRPr="006C7962">
        <w:rPr>
          <w:color w:val="auto"/>
        </w:rPr>
        <w:t xml:space="preserve">BC may have adopted a different position </w:t>
      </w:r>
      <w:proofErr w:type="gramStart"/>
      <w:r w:rsidRPr="006C7962">
        <w:rPr>
          <w:color w:val="auto"/>
        </w:rPr>
        <w:t>with regard to</w:t>
      </w:r>
      <w:proofErr w:type="gramEnd"/>
      <w:r w:rsidRPr="006C7962">
        <w:rPr>
          <w:color w:val="auto"/>
        </w:rPr>
        <w:t xml:space="preserve"> the suitability of the alternative routes at an earlier stage. </w:t>
      </w:r>
      <w:r w:rsidR="006327C7">
        <w:rPr>
          <w:color w:val="auto"/>
        </w:rPr>
        <w:t xml:space="preserve">The nature and scope </w:t>
      </w:r>
      <w:r w:rsidR="0022160D">
        <w:rPr>
          <w:color w:val="auto"/>
        </w:rPr>
        <w:t xml:space="preserve">of the agreement and funding could have been dealt with in </w:t>
      </w:r>
      <w:r w:rsidR="0022160D" w:rsidRPr="007108BA">
        <w:rPr>
          <w:color w:val="auto"/>
        </w:rPr>
        <w:t xml:space="preserve">the SBC </w:t>
      </w:r>
      <w:r w:rsidR="005E6207" w:rsidRPr="007108BA">
        <w:rPr>
          <w:color w:val="auto"/>
        </w:rPr>
        <w:t>witness’s</w:t>
      </w:r>
      <w:r w:rsidR="0022160D" w:rsidRPr="007108BA">
        <w:rPr>
          <w:color w:val="auto"/>
        </w:rPr>
        <w:t xml:space="preserve"> evidence</w:t>
      </w:r>
      <w:r w:rsidR="0022160D">
        <w:rPr>
          <w:color w:val="auto"/>
        </w:rPr>
        <w:t>.</w:t>
      </w:r>
    </w:p>
    <w:p w14:paraId="5EEC2F0B" w14:textId="03213EC9" w:rsidR="00BE7209" w:rsidRPr="00EA2337" w:rsidRDefault="00EA2337" w:rsidP="00EA2337">
      <w:pPr>
        <w:pStyle w:val="Style1"/>
        <w:numPr>
          <w:ilvl w:val="0"/>
          <w:numId w:val="6"/>
        </w:numPr>
        <w:spacing w:before="140"/>
        <w:ind w:left="431" w:hanging="431"/>
        <w:rPr>
          <w:color w:val="auto"/>
        </w:rPr>
      </w:pPr>
      <w:r>
        <w:rPr>
          <w:color w:val="auto"/>
        </w:rPr>
        <w:t>In relation t</w:t>
      </w:r>
      <w:r w:rsidR="005325FF" w:rsidRPr="00EA2337">
        <w:rPr>
          <w:color w:val="auto"/>
        </w:rPr>
        <w:t>o</w:t>
      </w:r>
      <w:r>
        <w:rPr>
          <w:color w:val="auto"/>
        </w:rPr>
        <w:t xml:space="preserve"> all </w:t>
      </w:r>
      <w:r w:rsidR="005325FF" w:rsidRPr="00EA2337">
        <w:rPr>
          <w:color w:val="auto"/>
        </w:rPr>
        <w:t>t</w:t>
      </w:r>
      <w:r>
        <w:rPr>
          <w:color w:val="auto"/>
        </w:rPr>
        <w:t>h</w:t>
      </w:r>
      <w:r w:rsidR="005325FF" w:rsidRPr="00EA2337">
        <w:rPr>
          <w:color w:val="auto"/>
        </w:rPr>
        <w:t>e</w:t>
      </w:r>
      <w:r>
        <w:rPr>
          <w:color w:val="auto"/>
        </w:rPr>
        <w:t xml:space="preserve"> docume</w:t>
      </w:r>
      <w:r w:rsidR="005325FF" w:rsidRPr="00EA2337">
        <w:rPr>
          <w:color w:val="auto"/>
        </w:rPr>
        <w:t xml:space="preserve">nts </w:t>
      </w:r>
      <w:r>
        <w:rPr>
          <w:color w:val="auto"/>
        </w:rPr>
        <w:t>i</w:t>
      </w:r>
      <w:r w:rsidR="005325FF" w:rsidRPr="00EA2337">
        <w:rPr>
          <w:color w:val="auto"/>
        </w:rPr>
        <w:t>t</w:t>
      </w:r>
      <w:r>
        <w:rPr>
          <w:color w:val="auto"/>
        </w:rPr>
        <w:t xml:space="preserve"> i</w:t>
      </w:r>
      <w:r w:rsidR="005325FF" w:rsidRPr="00EA2337">
        <w:rPr>
          <w:color w:val="auto"/>
        </w:rPr>
        <w:t xml:space="preserve">s not just </w:t>
      </w:r>
      <w:r w:rsidR="00DF5E91">
        <w:rPr>
          <w:color w:val="auto"/>
        </w:rPr>
        <w:t>the</w:t>
      </w:r>
      <w:r w:rsidR="00861ED2">
        <w:rPr>
          <w:color w:val="auto"/>
        </w:rPr>
        <w:t>ir</w:t>
      </w:r>
      <w:r w:rsidR="00DF5E91">
        <w:rPr>
          <w:color w:val="auto"/>
        </w:rPr>
        <w:t xml:space="preserve"> </w:t>
      </w:r>
      <w:r w:rsidR="005325FF" w:rsidRPr="00EA2337">
        <w:rPr>
          <w:color w:val="auto"/>
        </w:rPr>
        <w:t>substance</w:t>
      </w:r>
      <w:r w:rsidR="00DF5E91">
        <w:rPr>
          <w:color w:val="auto"/>
        </w:rPr>
        <w:t xml:space="preserve"> </w:t>
      </w:r>
      <w:r w:rsidR="005325FF" w:rsidRPr="00EA2337">
        <w:rPr>
          <w:color w:val="auto"/>
        </w:rPr>
        <w:t xml:space="preserve">but </w:t>
      </w:r>
      <w:r w:rsidR="00DF5E91">
        <w:rPr>
          <w:color w:val="auto"/>
        </w:rPr>
        <w:t xml:space="preserve">a </w:t>
      </w:r>
      <w:r w:rsidR="005325FF" w:rsidRPr="00EA2337">
        <w:rPr>
          <w:color w:val="auto"/>
        </w:rPr>
        <w:t>rea</w:t>
      </w:r>
      <w:r w:rsidR="00052176" w:rsidRPr="00EA2337">
        <w:rPr>
          <w:color w:val="auto"/>
        </w:rPr>
        <w:t>s</w:t>
      </w:r>
      <w:r w:rsidR="005325FF" w:rsidRPr="00EA2337">
        <w:rPr>
          <w:color w:val="auto"/>
        </w:rPr>
        <w:t>on</w:t>
      </w:r>
      <w:r w:rsidR="00052176" w:rsidRPr="00EA2337">
        <w:rPr>
          <w:color w:val="auto"/>
        </w:rPr>
        <w:t>a</w:t>
      </w:r>
      <w:r w:rsidR="005325FF" w:rsidRPr="00EA2337">
        <w:rPr>
          <w:color w:val="auto"/>
        </w:rPr>
        <w:t xml:space="preserve">ble </w:t>
      </w:r>
      <w:r w:rsidR="00DF5E91">
        <w:rPr>
          <w:color w:val="auto"/>
        </w:rPr>
        <w:t xml:space="preserve">expectation </w:t>
      </w:r>
      <w:r w:rsidR="005325FF" w:rsidRPr="00EA2337">
        <w:rPr>
          <w:color w:val="auto"/>
        </w:rPr>
        <w:t xml:space="preserve">that </w:t>
      </w:r>
      <w:r w:rsidR="00DF5E91">
        <w:rPr>
          <w:color w:val="auto"/>
        </w:rPr>
        <w:t>t</w:t>
      </w:r>
      <w:r w:rsidR="00BF4DC0">
        <w:rPr>
          <w:color w:val="auto"/>
        </w:rPr>
        <w:t>hey</w:t>
      </w:r>
      <w:r w:rsidR="00DF5E91">
        <w:rPr>
          <w:color w:val="auto"/>
        </w:rPr>
        <w:t xml:space="preserve"> </w:t>
      </w:r>
      <w:r w:rsidR="005325FF" w:rsidRPr="00EA2337">
        <w:rPr>
          <w:color w:val="auto"/>
        </w:rPr>
        <w:t xml:space="preserve">will be </w:t>
      </w:r>
      <w:r w:rsidR="00F32B1E" w:rsidRPr="00EA2337">
        <w:rPr>
          <w:color w:val="auto"/>
        </w:rPr>
        <w:t>easy to digest</w:t>
      </w:r>
      <w:r w:rsidR="000C4D08">
        <w:rPr>
          <w:color w:val="auto"/>
        </w:rPr>
        <w:t xml:space="preserve">, with </w:t>
      </w:r>
      <w:r w:rsidR="000C4D08" w:rsidRPr="00EA2337">
        <w:rPr>
          <w:color w:val="auto"/>
        </w:rPr>
        <w:t>pagination</w:t>
      </w:r>
      <w:r w:rsidR="000C4D08">
        <w:rPr>
          <w:color w:val="auto"/>
        </w:rPr>
        <w:t xml:space="preserve"> a</w:t>
      </w:r>
      <w:r w:rsidR="000C4D08" w:rsidRPr="00EA2337">
        <w:rPr>
          <w:color w:val="auto"/>
        </w:rPr>
        <w:t>n</w:t>
      </w:r>
      <w:r w:rsidR="000C4D08">
        <w:rPr>
          <w:color w:val="auto"/>
        </w:rPr>
        <w:t>d an</w:t>
      </w:r>
      <w:r w:rsidR="000C4D08" w:rsidRPr="00EA2337">
        <w:rPr>
          <w:color w:val="auto"/>
        </w:rPr>
        <w:t xml:space="preserve"> index </w:t>
      </w:r>
      <w:r w:rsidR="00F32B1E" w:rsidRPr="00EA2337">
        <w:rPr>
          <w:color w:val="auto"/>
        </w:rPr>
        <w:t xml:space="preserve">and </w:t>
      </w:r>
      <w:r w:rsidR="000C4D08">
        <w:rPr>
          <w:color w:val="auto"/>
        </w:rPr>
        <w:t xml:space="preserve">not provided so </w:t>
      </w:r>
      <w:r w:rsidR="00F32B1E" w:rsidRPr="00EA2337">
        <w:rPr>
          <w:color w:val="auto"/>
        </w:rPr>
        <w:t xml:space="preserve">late in day. </w:t>
      </w:r>
      <w:r w:rsidR="00B563D0">
        <w:rPr>
          <w:color w:val="auto"/>
        </w:rPr>
        <w:t>Their production wa</w:t>
      </w:r>
      <w:r w:rsidR="00F32B1E" w:rsidRPr="00EA2337">
        <w:rPr>
          <w:color w:val="auto"/>
        </w:rPr>
        <w:t>s unreasonable</w:t>
      </w:r>
      <w:r w:rsidR="00B563D0">
        <w:rPr>
          <w:color w:val="auto"/>
        </w:rPr>
        <w:t xml:space="preserve">, giving rise to </w:t>
      </w:r>
      <w:r w:rsidR="00F32B1E" w:rsidRPr="00EA2337">
        <w:rPr>
          <w:color w:val="auto"/>
        </w:rPr>
        <w:t>ad</w:t>
      </w:r>
      <w:r w:rsidR="00A25D4C" w:rsidRPr="00EA2337">
        <w:rPr>
          <w:color w:val="auto"/>
        </w:rPr>
        <w:t>d</w:t>
      </w:r>
      <w:r w:rsidR="00F32B1E" w:rsidRPr="00EA2337">
        <w:rPr>
          <w:color w:val="auto"/>
        </w:rPr>
        <w:t>itional work</w:t>
      </w:r>
      <w:r w:rsidR="00B563D0">
        <w:rPr>
          <w:color w:val="auto"/>
        </w:rPr>
        <w:t>, with</w:t>
      </w:r>
      <w:r w:rsidR="00F32B1E" w:rsidRPr="00EA2337">
        <w:rPr>
          <w:color w:val="auto"/>
        </w:rPr>
        <w:t>o</w:t>
      </w:r>
      <w:r w:rsidR="00B563D0">
        <w:rPr>
          <w:color w:val="auto"/>
        </w:rPr>
        <w:t>ut which it</w:t>
      </w:r>
      <w:r w:rsidR="00F32B1E" w:rsidRPr="00EA2337">
        <w:rPr>
          <w:color w:val="auto"/>
        </w:rPr>
        <w:t xml:space="preserve"> would not have </w:t>
      </w:r>
      <w:r w:rsidR="00B563D0">
        <w:rPr>
          <w:color w:val="auto"/>
        </w:rPr>
        <w:t xml:space="preserve">been </w:t>
      </w:r>
      <w:r w:rsidR="00F32B1E" w:rsidRPr="00EA2337">
        <w:rPr>
          <w:color w:val="auto"/>
        </w:rPr>
        <w:t xml:space="preserve">known </w:t>
      </w:r>
      <w:r w:rsidR="00B563D0">
        <w:rPr>
          <w:color w:val="auto"/>
        </w:rPr>
        <w:t xml:space="preserve">that </w:t>
      </w:r>
      <w:r w:rsidR="00861ED2">
        <w:rPr>
          <w:color w:val="auto"/>
        </w:rPr>
        <w:t>t</w:t>
      </w:r>
      <w:r w:rsidR="00B563D0">
        <w:rPr>
          <w:color w:val="auto"/>
        </w:rPr>
        <w:t xml:space="preserve">here were </w:t>
      </w:r>
      <w:r w:rsidR="00F32B1E" w:rsidRPr="00EA2337">
        <w:rPr>
          <w:color w:val="auto"/>
        </w:rPr>
        <w:t>erroneous doc</w:t>
      </w:r>
      <w:r w:rsidR="00B563D0">
        <w:rPr>
          <w:color w:val="auto"/>
        </w:rPr>
        <w:t>ument</w:t>
      </w:r>
      <w:r w:rsidR="00F32B1E" w:rsidRPr="00EA2337">
        <w:rPr>
          <w:color w:val="auto"/>
        </w:rPr>
        <w:t>s</w:t>
      </w:r>
      <w:r w:rsidR="00BE7209" w:rsidRPr="00EA2337">
        <w:rPr>
          <w:color w:val="auto"/>
        </w:rPr>
        <w:t xml:space="preserve"> until asking questions on the</w:t>
      </w:r>
      <w:r w:rsidR="00861ED2">
        <w:rPr>
          <w:color w:val="auto"/>
        </w:rPr>
        <w:t xml:space="preserve"> </w:t>
      </w:r>
      <w:r w:rsidR="00BE7209" w:rsidRPr="00EA2337">
        <w:rPr>
          <w:color w:val="auto"/>
        </w:rPr>
        <w:t>first day of</w:t>
      </w:r>
      <w:r w:rsidR="00861ED2">
        <w:rPr>
          <w:color w:val="auto"/>
        </w:rPr>
        <w:t xml:space="preserve"> the</w:t>
      </w:r>
      <w:r w:rsidR="00BE7209" w:rsidRPr="00EA2337">
        <w:rPr>
          <w:color w:val="auto"/>
        </w:rPr>
        <w:t xml:space="preserve"> Inquiry</w:t>
      </w:r>
      <w:r w:rsidR="00F32B1E" w:rsidRPr="00EA2337">
        <w:rPr>
          <w:color w:val="auto"/>
        </w:rPr>
        <w:t>.</w:t>
      </w:r>
    </w:p>
    <w:p w14:paraId="1F7D856A" w14:textId="534CF4F4" w:rsidR="00653491" w:rsidRPr="00033857" w:rsidRDefault="00653491" w:rsidP="00653491">
      <w:pPr>
        <w:pStyle w:val="Heading6blackfont"/>
        <w:spacing w:before="120"/>
        <w:rPr>
          <w:color w:val="auto"/>
        </w:rPr>
      </w:pPr>
      <w:r w:rsidRPr="00033857">
        <w:rPr>
          <w:color w:val="auto"/>
        </w:rPr>
        <w:t xml:space="preserve">The submissions by Mr </w:t>
      </w:r>
      <w:r w:rsidR="00033857" w:rsidRPr="00033857">
        <w:rPr>
          <w:color w:val="auto"/>
        </w:rPr>
        <w:t>J L</w:t>
      </w:r>
      <w:r w:rsidR="008C1237" w:rsidRPr="00033857">
        <w:rPr>
          <w:color w:val="auto"/>
        </w:rPr>
        <w:t>o</w:t>
      </w:r>
      <w:r w:rsidR="00033857" w:rsidRPr="00033857">
        <w:rPr>
          <w:color w:val="auto"/>
        </w:rPr>
        <w:t>pez</w:t>
      </w:r>
      <w:r w:rsidR="008C1237" w:rsidRPr="00033857">
        <w:rPr>
          <w:color w:val="auto"/>
        </w:rPr>
        <w:t xml:space="preserve"> for </w:t>
      </w:r>
      <w:r w:rsidR="00746E6C" w:rsidRPr="00033857">
        <w:rPr>
          <w:color w:val="auto"/>
        </w:rPr>
        <w:t>Network Rail</w:t>
      </w:r>
    </w:p>
    <w:p w14:paraId="68BECF76" w14:textId="102FFE08" w:rsidR="009912FD" w:rsidRPr="00D82F6E" w:rsidRDefault="009912FD" w:rsidP="00AE4C6A">
      <w:pPr>
        <w:pStyle w:val="Style1"/>
        <w:numPr>
          <w:ilvl w:val="0"/>
          <w:numId w:val="6"/>
        </w:numPr>
        <w:spacing w:before="140"/>
        <w:ind w:left="431" w:hanging="431"/>
        <w:rPr>
          <w:color w:val="auto"/>
        </w:rPr>
      </w:pPr>
      <w:r w:rsidRPr="00D82F6E">
        <w:rPr>
          <w:color w:val="auto"/>
        </w:rPr>
        <w:t xml:space="preserve">There has been no failure to adhere to </w:t>
      </w:r>
      <w:r w:rsidR="00E05159">
        <w:rPr>
          <w:color w:val="auto"/>
        </w:rPr>
        <w:t>I</w:t>
      </w:r>
      <w:r w:rsidRPr="00D82F6E">
        <w:rPr>
          <w:color w:val="auto"/>
        </w:rPr>
        <w:t>nquiry submission</w:t>
      </w:r>
      <w:r w:rsidR="006E2757" w:rsidRPr="00D82F6E">
        <w:rPr>
          <w:color w:val="auto"/>
        </w:rPr>
        <w:t xml:space="preserve"> </w:t>
      </w:r>
      <w:r w:rsidRPr="00D82F6E">
        <w:rPr>
          <w:color w:val="auto"/>
        </w:rPr>
        <w:t>“deadlines”: all deadlines were met</w:t>
      </w:r>
      <w:r w:rsidR="00E05159">
        <w:rPr>
          <w:color w:val="auto"/>
        </w:rPr>
        <w:t xml:space="preserve">, </w:t>
      </w:r>
      <w:r w:rsidRPr="00D82F6E">
        <w:rPr>
          <w:color w:val="auto"/>
        </w:rPr>
        <w:t xml:space="preserve">save in respect of summary </w:t>
      </w:r>
      <w:proofErr w:type="spellStart"/>
      <w:r w:rsidRPr="00D82F6E">
        <w:rPr>
          <w:color w:val="auto"/>
        </w:rPr>
        <w:t>PoEs</w:t>
      </w:r>
      <w:proofErr w:type="spellEnd"/>
      <w:r w:rsidR="006E2757" w:rsidRPr="00D82F6E">
        <w:rPr>
          <w:color w:val="auto"/>
        </w:rPr>
        <w:t xml:space="preserve"> </w:t>
      </w:r>
      <w:r w:rsidRPr="00D82F6E">
        <w:rPr>
          <w:color w:val="auto"/>
        </w:rPr>
        <w:t>upon which nothing substantially</w:t>
      </w:r>
      <w:r w:rsidR="00E05159">
        <w:rPr>
          <w:color w:val="auto"/>
        </w:rPr>
        <w:t xml:space="preserve"> or </w:t>
      </w:r>
      <w:r w:rsidRPr="00D82F6E">
        <w:rPr>
          <w:color w:val="auto"/>
        </w:rPr>
        <w:t>procedurally, turns</w:t>
      </w:r>
      <w:r w:rsidR="00E05159">
        <w:rPr>
          <w:color w:val="auto"/>
        </w:rPr>
        <w:t xml:space="preserve">. </w:t>
      </w:r>
      <w:r w:rsidRPr="00D82F6E">
        <w:rPr>
          <w:color w:val="auto"/>
        </w:rPr>
        <w:t>The</w:t>
      </w:r>
      <w:r w:rsidR="006E2757" w:rsidRPr="00D82F6E">
        <w:rPr>
          <w:color w:val="auto"/>
        </w:rPr>
        <w:t xml:space="preserve"> </w:t>
      </w:r>
      <w:r w:rsidRPr="00D82F6E">
        <w:rPr>
          <w:color w:val="auto"/>
        </w:rPr>
        <w:t>“information” which has been produced by NR after the</w:t>
      </w:r>
      <w:r w:rsidR="006E2757" w:rsidRPr="00D82F6E">
        <w:rPr>
          <w:color w:val="auto"/>
        </w:rPr>
        <w:t xml:space="preserve"> </w:t>
      </w:r>
      <w:r w:rsidRPr="00D82F6E">
        <w:rPr>
          <w:color w:val="auto"/>
        </w:rPr>
        <w:t xml:space="preserve">commencement of </w:t>
      </w:r>
      <w:r w:rsidR="00E05159">
        <w:rPr>
          <w:color w:val="auto"/>
        </w:rPr>
        <w:t>I</w:t>
      </w:r>
      <w:r w:rsidRPr="00D82F6E">
        <w:rPr>
          <w:color w:val="auto"/>
        </w:rPr>
        <w:t>nquiry, in the form of the NR Notes, have been</w:t>
      </w:r>
      <w:r w:rsidR="006E2757" w:rsidRPr="00D82F6E">
        <w:rPr>
          <w:color w:val="auto"/>
        </w:rPr>
        <w:t xml:space="preserve"> </w:t>
      </w:r>
      <w:r w:rsidRPr="00D82F6E">
        <w:rPr>
          <w:color w:val="auto"/>
        </w:rPr>
        <w:t>either valuable responses to issues already dispatched</w:t>
      </w:r>
      <w:r w:rsidR="00C65450">
        <w:rPr>
          <w:color w:val="auto"/>
        </w:rPr>
        <w:t>;</w:t>
      </w:r>
      <w:r w:rsidRPr="00D82F6E">
        <w:rPr>
          <w:color w:val="auto"/>
        </w:rPr>
        <w:t xml:space="preserve"> invitations</w:t>
      </w:r>
      <w:r w:rsidR="006E2757" w:rsidRPr="00D82F6E">
        <w:rPr>
          <w:color w:val="auto"/>
        </w:rPr>
        <w:t xml:space="preserve"> </w:t>
      </w:r>
      <w:r w:rsidRPr="00D82F6E">
        <w:rPr>
          <w:color w:val="auto"/>
        </w:rPr>
        <w:t xml:space="preserve">made </w:t>
      </w:r>
      <w:r w:rsidR="006D33F5">
        <w:rPr>
          <w:color w:val="auto"/>
        </w:rPr>
        <w:t xml:space="preserve">for information, </w:t>
      </w:r>
      <w:r w:rsidR="00C65450">
        <w:rPr>
          <w:color w:val="auto"/>
        </w:rPr>
        <w:t xml:space="preserve">which was provided </w:t>
      </w:r>
      <w:r w:rsidR="006D33F5">
        <w:rPr>
          <w:color w:val="auto"/>
        </w:rPr>
        <w:t>w</w:t>
      </w:r>
      <w:r w:rsidRPr="00D82F6E">
        <w:rPr>
          <w:color w:val="auto"/>
        </w:rPr>
        <w:t>ithout question to further assist</w:t>
      </w:r>
      <w:r w:rsidR="006E2757" w:rsidRPr="00D82F6E">
        <w:rPr>
          <w:color w:val="auto"/>
        </w:rPr>
        <w:t xml:space="preserve"> </w:t>
      </w:r>
      <w:r w:rsidRPr="00D82F6E">
        <w:rPr>
          <w:color w:val="auto"/>
        </w:rPr>
        <w:t>all</w:t>
      </w:r>
      <w:r w:rsidR="00C65450">
        <w:rPr>
          <w:color w:val="auto"/>
        </w:rPr>
        <w:t>;</w:t>
      </w:r>
      <w:r w:rsidRPr="00D82F6E">
        <w:rPr>
          <w:color w:val="auto"/>
        </w:rPr>
        <w:t xml:space="preserve"> and already addressed, if in briefer terms, in NR’s punctual</w:t>
      </w:r>
      <w:r w:rsidR="006E2757" w:rsidRPr="00D82F6E">
        <w:rPr>
          <w:color w:val="auto"/>
        </w:rPr>
        <w:t xml:space="preserve"> </w:t>
      </w:r>
      <w:r w:rsidRPr="00D82F6E">
        <w:rPr>
          <w:color w:val="auto"/>
        </w:rPr>
        <w:t>evidence</w:t>
      </w:r>
      <w:r w:rsidR="009B11F6">
        <w:rPr>
          <w:color w:val="auto"/>
        </w:rPr>
        <w:t xml:space="preserve">, for </w:t>
      </w:r>
      <w:r w:rsidRPr="00D82F6E">
        <w:rPr>
          <w:color w:val="auto"/>
        </w:rPr>
        <w:t>e</w:t>
      </w:r>
      <w:r w:rsidR="009B11F6">
        <w:rPr>
          <w:color w:val="auto"/>
        </w:rPr>
        <w:t xml:space="preserve">xample </w:t>
      </w:r>
      <w:r w:rsidRPr="00D82F6E">
        <w:rPr>
          <w:color w:val="auto"/>
        </w:rPr>
        <w:t>NR4 [flooding]. There is</w:t>
      </w:r>
      <w:r w:rsidR="006E2757" w:rsidRPr="00D82F6E">
        <w:rPr>
          <w:color w:val="auto"/>
        </w:rPr>
        <w:t xml:space="preserve"> </w:t>
      </w:r>
      <w:r w:rsidRPr="00D82F6E">
        <w:rPr>
          <w:color w:val="auto"/>
        </w:rPr>
        <w:t>nothing unusual, still less unreasonable in such Notes coming</w:t>
      </w:r>
      <w:r w:rsidR="006E2757" w:rsidRPr="00D82F6E">
        <w:rPr>
          <w:color w:val="auto"/>
        </w:rPr>
        <w:t xml:space="preserve"> </w:t>
      </w:r>
      <w:r w:rsidRPr="00D82F6E">
        <w:rPr>
          <w:color w:val="auto"/>
        </w:rPr>
        <w:t xml:space="preserve">forward </w:t>
      </w:r>
      <w:proofErr w:type="gramStart"/>
      <w:r w:rsidRPr="00D82F6E">
        <w:rPr>
          <w:color w:val="auto"/>
        </w:rPr>
        <w:t>during the course of</w:t>
      </w:r>
      <w:proofErr w:type="gramEnd"/>
      <w:r w:rsidRPr="00D82F6E">
        <w:rPr>
          <w:color w:val="auto"/>
        </w:rPr>
        <w:t xml:space="preserve"> a public </w:t>
      </w:r>
      <w:r w:rsidR="009B11F6">
        <w:rPr>
          <w:color w:val="auto"/>
        </w:rPr>
        <w:t>I</w:t>
      </w:r>
      <w:r w:rsidRPr="00D82F6E">
        <w:rPr>
          <w:color w:val="auto"/>
        </w:rPr>
        <w:t>nquiry, and this discloses no</w:t>
      </w:r>
      <w:r w:rsidR="006E2757" w:rsidRPr="00D82F6E">
        <w:rPr>
          <w:color w:val="auto"/>
        </w:rPr>
        <w:t xml:space="preserve"> </w:t>
      </w:r>
      <w:r w:rsidRPr="00D82F6E">
        <w:rPr>
          <w:color w:val="auto"/>
        </w:rPr>
        <w:t xml:space="preserve">substantive or procedural unreasonableness. The </w:t>
      </w:r>
      <w:r w:rsidR="009B11F6">
        <w:rPr>
          <w:color w:val="auto"/>
        </w:rPr>
        <w:t>i</w:t>
      </w:r>
      <w:r w:rsidRPr="00D82F6E">
        <w:rPr>
          <w:color w:val="auto"/>
        </w:rPr>
        <w:t>nformation</w:t>
      </w:r>
      <w:r w:rsidR="006E2757" w:rsidRPr="00D82F6E">
        <w:rPr>
          <w:color w:val="auto"/>
        </w:rPr>
        <w:t xml:space="preserve"> </w:t>
      </w:r>
      <w:r w:rsidRPr="00D82F6E">
        <w:rPr>
          <w:color w:val="auto"/>
        </w:rPr>
        <w:t xml:space="preserve">belatedly requested by SBC during the </w:t>
      </w:r>
      <w:r w:rsidR="009B11F6">
        <w:rPr>
          <w:color w:val="auto"/>
        </w:rPr>
        <w:t>I</w:t>
      </w:r>
      <w:r w:rsidRPr="00D82F6E">
        <w:rPr>
          <w:color w:val="auto"/>
        </w:rPr>
        <w:t>nquiry</w:t>
      </w:r>
      <w:r w:rsidR="009B11F6">
        <w:rPr>
          <w:color w:val="auto"/>
        </w:rPr>
        <w:t>,</w:t>
      </w:r>
      <w:r w:rsidRPr="00D82F6E">
        <w:rPr>
          <w:color w:val="auto"/>
        </w:rPr>
        <w:t xml:space="preserve"> wh</w:t>
      </w:r>
      <w:r w:rsidR="009B11F6">
        <w:rPr>
          <w:color w:val="auto"/>
        </w:rPr>
        <w:t xml:space="preserve">ich could </w:t>
      </w:r>
      <w:r w:rsidRPr="00D82F6E">
        <w:rPr>
          <w:color w:val="auto"/>
        </w:rPr>
        <w:t>h</w:t>
      </w:r>
      <w:r w:rsidR="009B11F6">
        <w:rPr>
          <w:color w:val="auto"/>
        </w:rPr>
        <w:t>ave bee</w:t>
      </w:r>
      <w:r w:rsidRPr="00D82F6E">
        <w:rPr>
          <w:color w:val="auto"/>
        </w:rPr>
        <w:t>n</w:t>
      </w:r>
      <w:r w:rsidR="006E2757" w:rsidRPr="00D82F6E">
        <w:rPr>
          <w:color w:val="auto"/>
        </w:rPr>
        <w:t xml:space="preserve"> </w:t>
      </w:r>
      <w:r w:rsidRPr="00D82F6E">
        <w:rPr>
          <w:color w:val="auto"/>
        </w:rPr>
        <w:t>requested beforehand if SBC</w:t>
      </w:r>
      <w:r w:rsidR="006E2757" w:rsidRPr="00D82F6E">
        <w:rPr>
          <w:color w:val="auto"/>
        </w:rPr>
        <w:t xml:space="preserve"> </w:t>
      </w:r>
      <w:r w:rsidRPr="00D82F6E">
        <w:rPr>
          <w:color w:val="auto"/>
        </w:rPr>
        <w:t xml:space="preserve">thought it so material to </w:t>
      </w:r>
      <w:r w:rsidR="009B11F6">
        <w:rPr>
          <w:color w:val="auto"/>
        </w:rPr>
        <w:t xml:space="preserve">their case, </w:t>
      </w:r>
      <w:r w:rsidRPr="00D82F6E">
        <w:rPr>
          <w:color w:val="auto"/>
        </w:rPr>
        <w:t>was ultimately unnecessary, but NR</w:t>
      </w:r>
      <w:r w:rsidR="006E2757" w:rsidRPr="00D82F6E">
        <w:rPr>
          <w:color w:val="auto"/>
        </w:rPr>
        <w:t xml:space="preserve"> </w:t>
      </w:r>
      <w:r w:rsidRPr="00D82F6E">
        <w:rPr>
          <w:color w:val="auto"/>
        </w:rPr>
        <w:t>were obliged to help, nonetheless.</w:t>
      </w:r>
      <w:r w:rsidR="006E2757" w:rsidRPr="00D82F6E">
        <w:rPr>
          <w:color w:val="auto"/>
        </w:rPr>
        <w:t xml:space="preserve"> </w:t>
      </w:r>
      <w:r w:rsidR="004E0ECF" w:rsidRPr="00D82F6E">
        <w:rPr>
          <w:color w:val="auto"/>
        </w:rPr>
        <w:t xml:space="preserve">It would be odd for </w:t>
      </w:r>
      <w:r w:rsidR="003B3CDE" w:rsidRPr="00D82F6E">
        <w:rPr>
          <w:color w:val="auto"/>
        </w:rPr>
        <w:t xml:space="preserve">queries </w:t>
      </w:r>
      <w:r w:rsidR="009B11F6">
        <w:rPr>
          <w:color w:val="auto"/>
        </w:rPr>
        <w:t>to b</w:t>
      </w:r>
      <w:r w:rsidR="003B3CDE" w:rsidRPr="00D82F6E">
        <w:rPr>
          <w:color w:val="auto"/>
        </w:rPr>
        <w:t>e made and information not submitted</w:t>
      </w:r>
      <w:r w:rsidR="00534287">
        <w:rPr>
          <w:color w:val="auto"/>
        </w:rPr>
        <w:t>,</w:t>
      </w:r>
      <w:r w:rsidR="003B3CDE" w:rsidRPr="00D82F6E">
        <w:rPr>
          <w:color w:val="auto"/>
        </w:rPr>
        <w:t xml:space="preserve"> but</w:t>
      </w:r>
      <w:r w:rsidR="00DB7E5D">
        <w:rPr>
          <w:color w:val="auto"/>
        </w:rPr>
        <w:t xml:space="preserve"> there</w:t>
      </w:r>
      <w:r w:rsidR="003B3CDE" w:rsidRPr="00D82F6E">
        <w:rPr>
          <w:color w:val="auto"/>
        </w:rPr>
        <w:t xml:space="preserve"> need</w:t>
      </w:r>
      <w:r w:rsidR="00DB7E5D">
        <w:rPr>
          <w:color w:val="auto"/>
        </w:rPr>
        <w:t>s</w:t>
      </w:r>
      <w:r w:rsidR="003B3CDE" w:rsidRPr="00D82F6E">
        <w:rPr>
          <w:color w:val="auto"/>
        </w:rPr>
        <w:t xml:space="preserve"> </w:t>
      </w:r>
      <w:r w:rsidR="00DB7E5D">
        <w:rPr>
          <w:color w:val="auto"/>
        </w:rPr>
        <w:t xml:space="preserve">to be </w:t>
      </w:r>
      <w:r w:rsidR="003B3CDE" w:rsidRPr="00D82F6E">
        <w:rPr>
          <w:color w:val="auto"/>
        </w:rPr>
        <w:t>an eye to proportionality</w:t>
      </w:r>
      <w:r w:rsidR="00DB7E5D">
        <w:rPr>
          <w:color w:val="auto"/>
        </w:rPr>
        <w:t xml:space="preserve"> in these matters</w:t>
      </w:r>
      <w:r w:rsidR="003B3CDE" w:rsidRPr="00D82F6E">
        <w:rPr>
          <w:color w:val="auto"/>
        </w:rPr>
        <w:t>.</w:t>
      </w:r>
    </w:p>
    <w:p w14:paraId="4C619FC7" w14:textId="38C3C101" w:rsidR="002E60F8" w:rsidRPr="00A0576F" w:rsidRDefault="00DB7E5D" w:rsidP="0094644C">
      <w:pPr>
        <w:pStyle w:val="Style1"/>
        <w:numPr>
          <w:ilvl w:val="0"/>
          <w:numId w:val="6"/>
        </w:numPr>
        <w:spacing w:before="140"/>
        <w:ind w:left="431" w:hanging="431"/>
        <w:rPr>
          <w:color w:val="auto"/>
        </w:rPr>
      </w:pPr>
      <w:r w:rsidRPr="00A0576F">
        <w:rPr>
          <w:color w:val="auto"/>
        </w:rPr>
        <w:t xml:space="preserve">In relation to the claim that </w:t>
      </w:r>
      <w:r w:rsidR="009912FD" w:rsidRPr="00A0576F">
        <w:rPr>
          <w:color w:val="auto"/>
        </w:rPr>
        <w:t>NR only supplied relevant information during the Inquiry when it was requested,</w:t>
      </w:r>
      <w:r w:rsidR="006E2757" w:rsidRPr="00A0576F">
        <w:rPr>
          <w:color w:val="auto"/>
        </w:rPr>
        <w:t xml:space="preserve"> </w:t>
      </w:r>
      <w:r w:rsidR="009912FD" w:rsidRPr="00A0576F">
        <w:rPr>
          <w:color w:val="auto"/>
        </w:rPr>
        <w:t>but not provided, at an earlier stage</w:t>
      </w:r>
      <w:r w:rsidR="00A0576F" w:rsidRPr="00A0576F">
        <w:rPr>
          <w:color w:val="auto"/>
        </w:rPr>
        <w:t>, t</w:t>
      </w:r>
      <w:r w:rsidR="009912FD" w:rsidRPr="00A0576F">
        <w:rPr>
          <w:color w:val="auto"/>
        </w:rPr>
        <w:t xml:space="preserve">his substantially adds nothing to </w:t>
      </w:r>
      <w:r w:rsidR="00A0576F">
        <w:rPr>
          <w:color w:val="auto"/>
        </w:rPr>
        <w:t xml:space="preserve">arguments above </w:t>
      </w:r>
      <w:r w:rsidR="009912FD" w:rsidRPr="00A0576F">
        <w:rPr>
          <w:color w:val="auto"/>
        </w:rPr>
        <w:t>and misses the point</w:t>
      </w:r>
      <w:r w:rsidR="006E2757" w:rsidRPr="00A0576F">
        <w:rPr>
          <w:color w:val="auto"/>
        </w:rPr>
        <w:t xml:space="preserve"> </w:t>
      </w:r>
      <w:r w:rsidR="009912FD" w:rsidRPr="00A0576F">
        <w:rPr>
          <w:color w:val="auto"/>
        </w:rPr>
        <w:t xml:space="preserve">that such information was forthcoming for the reasons </w:t>
      </w:r>
      <w:r w:rsidR="00A4335A">
        <w:rPr>
          <w:color w:val="auto"/>
        </w:rPr>
        <w:t>referred to</w:t>
      </w:r>
      <w:r w:rsidR="009912FD" w:rsidRPr="00A0576F">
        <w:rPr>
          <w:color w:val="auto"/>
        </w:rPr>
        <w:t xml:space="preserve">. </w:t>
      </w:r>
      <w:proofErr w:type="gramStart"/>
      <w:r w:rsidR="009912FD" w:rsidRPr="00A0576F">
        <w:rPr>
          <w:color w:val="auto"/>
        </w:rPr>
        <w:t>With regard to</w:t>
      </w:r>
      <w:proofErr w:type="gramEnd"/>
      <w:r w:rsidR="009912FD" w:rsidRPr="00A0576F">
        <w:rPr>
          <w:color w:val="auto"/>
        </w:rPr>
        <w:t xml:space="preserve"> those NR Notes directed at</w:t>
      </w:r>
      <w:r w:rsidR="006E2757" w:rsidRPr="00A0576F">
        <w:rPr>
          <w:color w:val="auto"/>
        </w:rPr>
        <w:t xml:space="preserve"> </w:t>
      </w:r>
      <w:r w:rsidR="009912FD" w:rsidRPr="00A0576F">
        <w:rPr>
          <w:color w:val="auto"/>
        </w:rPr>
        <w:t>SBC, th</w:t>
      </w:r>
      <w:r w:rsidR="00A4335A">
        <w:rPr>
          <w:color w:val="auto"/>
        </w:rPr>
        <w:t>e</w:t>
      </w:r>
      <w:r w:rsidR="009912FD" w:rsidRPr="00A0576F">
        <w:rPr>
          <w:color w:val="auto"/>
        </w:rPr>
        <w:t>s</w:t>
      </w:r>
      <w:r w:rsidR="00A4335A">
        <w:rPr>
          <w:color w:val="auto"/>
        </w:rPr>
        <w:t>e</w:t>
      </w:r>
      <w:r w:rsidR="009912FD" w:rsidRPr="00A0576F">
        <w:rPr>
          <w:color w:val="auto"/>
        </w:rPr>
        <w:t xml:space="preserve"> w</w:t>
      </w:r>
      <w:r w:rsidR="00A4335A">
        <w:rPr>
          <w:color w:val="auto"/>
        </w:rPr>
        <w:t>ere</w:t>
      </w:r>
      <w:r w:rsidR="009912FD" w:rsidRPr="00A0576F">
        <w:rPr>
          <w:color w:val="auto"/>
        </w:rPr>
        <w:t xml:space="preserve"> not required to make NR’s already-stated</w:t>
      </w:r>
      <w:r w:rsidR="006E2757" w:rsidRPr="00A0576F">
        <w:rPr>
          <w:color w:val="auto"/>
        </w:rPr>
        <w:t xml:space="preserve"> </w:t>
      </w:r>
      <w:r w:rsidR="009912FD" w:rsidRPr="00A0576F">
        <w:rPr>
          <w:color w:val="auto"/>
        </w:rPr>
        <w:t>points. SBC’s view on public safety and/or the expediency</w:t>
      </w:r>
      <w:r w:rsidR="006E2757" w:rsidRPr="00A0576F">
        <w:rPr>
          <w:color w:val="auto"/>
        </w:rPr>
        <w:t xml:space="preserve"> </w:t>
      </w:r>
      <w:r w:rsidR="009912FD" w:rsidRPr="00A0576F">
        <w:rPr>
          <w:color w:val="auto"/>
        </w:rPr>
        <w:t>balance could not rationally be said to have turned on any of this</w:t>
      </w:r>
      <w:r w:rsidR="006E2757" w:rsidRPr="00A0576F">
        <w:rPr>
          <w:color w:val="auto"/>
        </w:rPr>
        <w:t xml:space="preserve"> </w:t>
      </w:r>
      <w:r w:rsidR="009912FD" w:rsidRPr="00A0576F">
        <w:rPr>
          <w:color w:val="auto"/>
        </w:rPr>
        <w:t xml:space="preserve">information. </w:t>
      </w:r>
      <w:r w:rsidR="007365C9">
        <w:rPr>
          <w:color w:val="auto"/>
        </w:rPr>
        <w:t>You n</w:t>
      </w:r>
      <w:r w:rsidR="002E60F8" w:rsidRPr="00A0576F">
        <w:rPr>
          <w:color w:val="auto"/>
        </w:rPr>
        <w:t>eed o</w:t>
      </w:r>
      <w:r w:rsidR="00963B9A">
        <w:rPr>
          <w:color w:val="auto"/>
        </w:rPr>
        <w:t>nly</w:t>
      </w:r>
      <w:r w:rsidR="002E60F8" w:rsidRPr="00A0576F">
        <w:rPr>
          <w:color w:val="auto"/>
        </w:rPr>
        <w:t xml:space="preserve"> look at</w:t>
      </w:r>
      <w:r w:rsidR="00D650DB">
        <w:rPr>
          <w:color w:val="auto"/>
        </w:rPr>
        <w:t xml:space="preserve"> the</w:t>
      </w:r>
      <w:r w:rsidR="002E60F8" w:rsidRPr="00A0576F">
        <w:rPr>
          <w:color w:val="auto"/>
        </w:rPr>
        <w:t xml:space="preserve"> </w:t>
      </w:r>
      <w:r w:rsidR="00CD31C2">
        <w:rPr>
          <w:color w:val="auto"/>
        </w:rPr>
        <w:t>S</w:t>
      </w:r>
      <w:r w:rsidR="00814D7C">
        <w:rPr>
          <w:color w:val="auto"/>
        </w:rPr>
        <w:t>o</w:t>
      </w:r>
      <w:r w:rsidR="00CD31C2">
        <w:rPr>
          <w:color w:val="auto"/>
        </w:rPr>
        <w:t>C</w:t>
      </w:r>
      <w:r w:rsidR="00DF1F88">
        <w:rPr>
          <w:color w:val="auto"/>
        </w:rPr>
        <w:t xml:space="preserve"> and </w:t>
      </w:r>
      <w:r w:rsidR="009A20D9">
        <w:rPr>
          <w:color w:val="auto"/>
        </w:rPr>
        <w:t>PoE</w:t>
      </w:r>
      <w:r w:rsidR="00963B9A">
        <w:rPr>
          <w:color w:val="auto"/>
        </w:rPr>
        <w:t xml:space="preserve"> to see that t</w:t>
      </w:r>
      <w:r w:rsidR="002E60F8" w:rsidRPr="00A0576F">
        <w:rPr>
          <w:color w:val="auto"/>
        </w:rPr>
        <w:t>he evidence was present</w:t>
      </w:r>
      <w:r w:rsidR="00A646BD">
        <w:rPr>
          <w:color w:val="auto"/>
        </w:rPr>
        <w:t>. T</w:t>
      </w:r>
      <w:r w:rsidR="00963B9A">
        <w:rPr>
          <w:color w:val="auto"/>
        </w:rPr>
        <w:t xml:space="preserve">he Notes </w:t>
      </w:r>
      <w:r w:rsidR="003B1107">
        <w:rPr>
          <w:color w:val="auto"/>
        </w:rPr>
        <w:t xml:space="preserve">were not changing anything, just responses to </w:t>
      </w:r>
      <w:r w:rsidR="002E60F8" w:rsidRPr="00A0576F">
        <w:rPr>
          <w:color w:val="auto"/>
        </w:rPr>
        <w:t>assis</w:t>
      </w:r>
      <w:r w:rsidR="003B1107">
        <w:rPr>
          <w:color w:val="auto"/>
        </w:rPr>
        <w:t>t</w:t>
      </w:r>
      <w:r w:rsidR="002E60F8" w:rsidRPr="00A0576F">
        <w:rPr>
          <w:color w:val="auto"/>
        </w:rPr>
        <w:t xml:space="preserve"> SBC</w:t>
      </w:r>
      <w:r w:rsidR="003B1107">
        <w:rPr>
          <w:color w:val="auto"/>
        </w:rPr>
        <w:t xml:space="preserve"> further</w:t>
      </w:r>
      <w:r w:rsidR="002E60F8" w:rsidRPr="00A0576F">
        <w:rPr>
          <w:color w:val="auto"/>
        </w:rPr>
        <w:t>.</w:t>
      </w:r>
    </w:p>
    <w:p w14:paraId="5ECBE010" w14:textId="08BC1100" w:rsidR="0097165F" w:rsidRPr="00956747" w:rsidRDefault="009912FD" w:rsidP="00632962">
      <w:pPr>
        <w:pStyle w:val="Style1"/>
        <w:numPr>
          <w:ilvl w:val="0"/>
          <w:numId w:val="6"/>
        </w:numPr>
        <w:spacing w:before="140"/>
        <w:ind w:left="431" w:hanging="431"/>
        <w:rPr>
          <w:color w:val="auto"/>
        </w:rPr>
      </w:pPr>
      <w:r w:rsidRPr="00956747">
        <w:rPr>
          <w:color w:val="auto"/>
        </w:rPr>
        <w:t>That information simply further amplified what either</w:t>
      </w:r>
      <w:r w:rsidR="006E2757" w:rsidRPr="00956747">
        <w:rPr>
          <w:color w:val="auto"/>
        </w:rPr>
        <w:t xml:space="preserve"> </w:t>
      </w:r>
      <w:r w:rsidRPr="00956747">
        <w:rPr>
          <w:color w:val="auto"/>
        </w:rPr>
        <w:t>should reasonably have been well known to SBC (</w:t>
      </w:r>
      <w:proofErr w:type="gramStart"/>
      <w:r w:rsidRPr="00956747">
        <w:rPr>
          <w:color w:val="auto"/>
        </w:rPr>
        <w:t>e.g.</w:t>
      </w:r>
      <w:proofErr w:type="gramEnd"/>
      <w:r w:rsidRPr="00956747">
        <w:rPr>
          <w:color w:val="auto"/>
        </w:rPr>
        <w:t xml:space="preserve"> NR8: Bridge</w:t>
      </w:r>
      <w:r w:rsidR="006E2757" w:rsidRPr="00956747">
        <w:rPr>
          <w:color w:val="auto"/>
        </w:rPr>
        <w:t xml:space="preserve"> </w:t>
      </w:r>
      <w:r w:rsidRPr="00956747">
        <w:rPr>
          <w:color w:val="auto"/>
        </w:rPr>
        <w:t xml:space="preserve">3/66) and/or which courteously met </w:t>
      </w:r>
      <w:r w:rsidRPr="00956747">
        <w:rPr>
          <w:color w:val="auto"/>
        </w:rPr>
        <w:lastRenderedPageBreak/>
        <w:t>late invitations for</w:t>
      </w:r>
      <w:r w:rsidR="006E2757" w:rsidRPr="00956747">
        <w:rPr>
          <w:color w:val="auto"/>
        </w:rPr>
        <w:t xml:space="preserve"> </w:t>
      </w:r>
      <w:r w:rsidRPr="00956747">
        <w:rPr>
          <w:color w:val="auto"/>
        </w:rPr>
        <w:t>information on issues upon which SBC has never advanced any</w:t>
      </w:r>
      <w:r w:rsidR="006E2757" w:rsidRPr="00956747">
        <w:rPr>
          <w:color w:val="auto"/>
        </w:rPr>
        <w:t xml:space="preserve"> </w:t>
      </w:r>
      <w:r w:rsidRPr="00956747">
        <w:rPr>
          <w:color w:val="auto"/>
        </w:rPr>
        <w:t xml:space="preserve">positive case against extinguishment or NR. </w:t>
      </w:r>
      <w:r w:rsidR="007A69BB">
        <w:rPr>
          <w:color w:val="auto"/>
        </w:rPr>
        <w:t>The SBC witness in cross-e</w:t>
      </w:r>
      <w:r w:rsidRPr="00956747">
        <w:rPr>
          <w:color w:val="auto"/>
        </w:rPr>
        <w:t>x</w:t>
      </w:r>
      <w:r w:rsidR="007A69BB">
        <w:rPr>
          <w:color w:val="auto"/>
        </w:rPr>
        <w:t xml:space="preserve">amination </w:t>
      </w:r>
      <w:r w:rsidRPr="00956747">
        <w:rPr>
          <w:color w:val="auto"/>
        </w:rPr>
        <w:t>agreed the</w:t>
      </w:r>
      <w:r w:rsidR="006E2757" w:rsidRPr="00956747">
        <w:rPr>
          <w:color w:val="auto"/>
        </w:rPr>
        <w:t xml:space="preserve"> </w:t>
      </w:r>
      <w:r w:rsidRPr="00956747">
        <w:rPr>
          <w:color w:val="auto"/>
        </w:rPr>
        <w:t>fundamental and obvious distinction between making a positive</w:t>
      </w:r>
      <w:r w:rsidR="006E2757" w:rsidRPr="00956747">
        <w:rPr>
          <w:color w:val="auto"/>
        </w:rPr>
        <w:t xml:space="preserve"> </w:t>
      </w:r>
      <w:r w:rsidR="0097165F" w:rsidRPr="00956747">
        <w:rPr>
          <w:color w:val="auto"/>
        </w:rPr>
        <w:t>case and merely mooting an enquiry over approach</w:t>
      </w:r>
      <w:r w:rsidR="004F4CA1">
        <w:rPr>
          <w:color w:val="auto"/>
        </w:rPr>
        <w:t>; t</w:t>
      </w:r>
      <w:r w:rsidR="0097165F" w:rsidRPr="00956747">
        <w:rPr>
          <w:color w:val="auto"/>
        </w:rPr>
        <w:t>he latter has</w:t>
      </w:r>
      <w:r w:rsidR="006E2757" w:rsidRPr="00956747">
        <w:rPr>
          <w:color w:val="auto"/>
        </w:rPr>
        <w:t xml:space="preserve"> </w:t>
      </w:r>
      <w:r w:rsidR="0097165F" w:rsidRPr="00956747">
        <w:rPr>
          <w:color w:val="auto"/>
        </w:rPr>
        <w:t>characterised SBC’s approach</w:t>
      </w:r>
      <w:r w:rsidR="00E54732">
        <w:rPr>
          <w:color w:val="auto"/>
        </w:rPr>
        <w:t xml:space="preserve"> throughout</w:t>
      </w:r>
      <w:r w:rsidR="0097165F" w:rsidRPr="00956747">
        <w:rPr>
          <w:color w:val="auto"/>
        </w:rPr>
        <w:t>.</w:t>
      </w:r>
    </w:p>
    <w:p w14:paraId="260104AC" w14:textId="05DBB021" w:rsidR="0097165F" w:rsidRPr="00AF0633" w:rsidRDefault="00C22249" w:rsidP="00D6518D">
      <w:pPr>
        <w:pStyle w:val="Style1"/>
        <w:numPr>
          <w:ilvl w:val="0"/>
          <w:numId w:val="6"/>
        </w:numPr>
        <w:spacing w:before="140"/>
        <w:ind w:left="431" w:hanging="431"/>
        <w:rPr>
          <w:color w:val="auto"/>
        </w:rPr>
      </w:pPr>
      <w:r>
        <w:rPr>
          <w:color w:val="auto"/>
        </w:rPr>
        <w:t>T</w:t>
      </w:r>
      <w:r w:rsidR="008029B3" w:rsidRPr="00AF0633">
        <w:rPr>
          <w:color w:val="auto"/>
        </w:rPr>
        <w:t>he claim that NR i</w:t>
      </w:r>
      <w:r w:rsidR="0097165F" w:rsidRPr="00AF0633">
        <w:rPr>
          <w:color w:val="auto"/>
        </w:rPr>
        <w:t>ntroduced fresh and substantial evidence</w:t>
      </w:r>
      <w:r w:rsidR="008029B3" w:rsidRPr="00AF0633">
        <w:rPr>
          <w:color w:val="auto"/>
        </w:rPr>
        <w:t xml:space="preserve">, </w:t>
      </w:r>
      <w:r w:rsidR="0097165F" w:rsidRPr="00AF0633">
        <w:rPr>
          <w:color w:val="auto"/>
        </w:rPr>
        <w:t>and documentation more generally</w:t>
      </w:r>
      <w:r w:rsidR="00AF0633" w:rsidRPr="00AF0633">
        <w:rPr>
          <w:color w:val="auto"/>
        </w:rPr>
        <w:t xml:space="preserve">, </w:t>
      </w:r>
      <w:r w:rsidR="0097165F" w:rsidRPr="00AF0633">
        <w:rPr>
          <w:color w:val="auto"/>
        </w:rPr>
        <w:t>at</w:t>
      </w:r>
      <w:r w:rsidR="006E2757" w:rsidRPr="00AF0633">
        <w:rPr>
          <w:color w:val="auto"/>
        </w:rPr>
        <w:t xml:space="preserve"> </w:t>
      </w:r>
      <w:r w:rsidR="0097165F" w:rsidRPr="00AF0633">
        <w:rPr>
          <w:color w:val="auto"/>
        </w:rPr>
        <w:t>a late stage necessitating extra expense for preparatory work that would not</w:t>
      </w:r>
      <w:r w:rsidR="006E2757" w:rsidRPr="00AF0633">
        <w:rPr>
          <w:color w:val="auto"/>
        </w:rPr>
        <w:t xml:space="preserve"> </w:t>
      </w:r>
      <w:r w:rsidR="0097165F" w:rsidRPr="00AF0633">
        <w:rPr>
          <w:color w:val="auto"/>
        </w:rPr>
        <w:t>otherwise have arisen</w:t>
      </w:r>
      <w:r w:rsidR="00AF0633" w:rsidRPr="00AF0633">
        <w:rPr>
          <w:color w:val="auto"/>
        </w:rPr>
        <w:t xml:space="preserve">, </w:t>
      </w:r>
      <w:r w:rsidR="0097165F" w:rsidRPr="00AF0633">
        <w:rPr>
          <w:color w:val="auto"/>
        </w:rPr>
        <w:t>is self-contradicting and illogical. SBC cannot suggest, on the</w:t>
      </w:r>
      <w:r w:rsidR="006E2757" w:rsidRPr="00AF0633">
        <w:rPr>
          <w:color w:val="auto"/>
        </w:rPr>
        <w:t xml:space="preserve"> </w:t>
      </w:r>
      <w:r w:rsidR="0097165F" w:rsidRPr="00AF0633">
        <w:rPr>
          <w:color w:val="auto"/>
        </w:rPr>
        <w:t>one hand, that it reasonably invited further information to be</w:t>
      </w:r>
      <w:r w:rsidR="006E2757" w:rsidRPr="00AF0633">
        <w:rPr>
          <w:color w:val="auto"/>
        </w:rPr>
        <w:t xml:space="preserve"> </w:t>
      </w:r>
      <w:r w:rsidR="0097165F" w:rsidRPr="00AF0633">
        <w:rPr>
          <w:color w:val="auto"/>
        </w:rPr>
        <w:t>produced</w:t>
      </w:r>
      <w:r w:rsidR="00AF0633">
        <w:rPr>
          <w:color w:val="auto"/>
        </w:rPr>
        <w:t xml:space="preserve">, </w:t>
      </w:r>
      <w:r w:rsidR="0097165F" w:rsidRPr="00AF0633">
        <w:rPr>
          <w:color w:val="auto"/>
        </w:rPr>
        <w:t xml:space="preserve">which is not the case </w:t>
      </w:r>
      <w:r w:rsidR="00AF0633">
        <w:rPr>
          <w:color w:val="auto"/>
        </w:rPr>
        <w:t xml:space="preserve">as </w:t>
      </w:r>
      <w:r w:rsidR="0097165F" w:rsidRPr="00AF0633">
        <w:rPr>
          <w:color w:val="auto"/>
        </w:rPr>
        <w:t>the requests were late, which then</w:t>
      </w:r>
      <w:r w:rsidR="006E2757" w:rsidRPr="00AF0633">
        <w:rPr>
          <w:color w:val="auto"/>
        </w:rPr>
        <w:t xml:space="preserve"> </w:t>
      </w:r>
      <w:r w:rsidR="0097165F" w:rsidRPr="00AF0633">
        <w:rPr>
          <w:color w:val="auto"/>
        </w:rPr>
        <w:t>proved transformative to its view</w:t>
      </w:r>
      <w:r w:rsidR="00977DD1">
        <w:rPr>
          <w:color w:val="auto"/>
        </w:rPr>
        <w:t>,</w:t>
      </w:r>
      <w:r w:rsidR="0097165F" w:rsidRPr="00AF0633">
        <w:rPr>
          <w:color w:val="auto"/>
        </w:rPr>
        <w:t xml:space="preserve"> </w:t>
      </w:r>
      <w:r>
        <w:rPr>
          <w:color w:val="auto"/>
        </w:rPr>
        <w:t xml:space="preserve">as </w:t>
      </w:r>
      <w:r w:rsidR="0097165F" w:rsidRPr="00AF0633">
        <w:rPr>
          <w:color w:val="auto"/>
        </w:rPr>
        <w:t>it unconvincingly suggests, only</w:t>
      </w:r>
      <w:r w:rsidR="006E2757" w:rsidRPr="00AF0633">
        <w:rPr>
          <w:color w:val="auto"/>
        </w:rPr>
        <w:t xml:space="preserve"> </w:t>
      </w:r>
      <w:r w:rsidR="0097165F" w:rsidRPr="00AF0633">
        <w:rPr>
          <w:color w:val="auto"/>
        </w:rPr>
        <w:t>to then characterise the production of that information as</w:t>
      </w:r>
      <w:r w:rsidR="006E2757" w:rsidRPr="00AF0633">
        <w:rPr>
          <w:color w:val="auto"/>
        </w:rPr>
        <w:t xml:space="preserve"> </w:t>
      </w:r>
      <w:r w:rsidR="0097165F" w:rsidRPr="00AF0633">
        <w:rPr>
          <w:color w:val="auto"/>
        </w:rPr>
        <w:t>unreasonable.</w:t>
      </w:r>
    </w:p>
    <w:p w14:paraId="06645203" w14:textId="1A0CFCA4" w:rsidR="0097165F" w:rsidRPr="007A0063" w:rsidRDefault="0097165F" w:rsidP="007A0063">
      <w:pPr>
        <w:pStyle w:val="Style1"/>
        <w:numPr>
          <w:ilvl w:val="0"/>
          <w:numId w:val="6"/>
        </w:numPr>
        <w:spacing w:before="140"/>
        <w:ind w:left="431" w:hanging="431"/>
        <w:rPr>
          <w:color w:val="auto"/>
        </w:rPr>
      </w:pPr>
      <w:r w:rsidRPr="00DB0781">
        <w:rPr>
          <w:color w:val="auto"/>
        </w:rPr>
        <w:t>In re</w:t>
      </w:r>
      <w:r w:rsidR="007A0063">
        <w:rPr>
          <w:color w:val="auto"/>
        </w:rPr>
        <w:t xml:space="preserve">lation </w:t>
      </w:r>
      <w:r w:rsidRPr="007A0063">
        <w:rPr>
          <w:color w:val="auto"/>
        </w:rPr>
        <w:t xml:space="preserve">to public safety matters generally, the </w:t>
      </w:r>
      <w:r w:rsidR="005A5326">
        <w:rPr>
          <w:color w:val="auto"/>
        </w:rPr>
        <w:t xml:space="preserve">plain </w:t>
      </w:r>
      <w:r w:rsidRPr="007A0063">
        <w:rPr>
          <w:color w:val="auto"/>
        </w:rPr>
        <w:t>reality has been that</w:t>
      </w:r>
      <w:r w:rsidR="006E2757" w:rsidRPr="007A0063">
        <w:rPr>
          <w:color w:val="auto"/>
        </w:rPr>
        <w:t xml:space="preserve"> </w:t>
      </w:r>
      <w:r w:rsidRPr="007A0063">
        <w:rPr>
          <w:color w:val="auto"/>
        </w:rPr>
        <w:t>whilst SBC had historically enquired, at points, of the potential for one or more</w:t>
      </w:r>
      <w:r w:rsidR="006E2757" w:rsidRPr="007A0063">
        <w:rPr>
          <w:color w:val="auto"/>
        </w:rPr>
        <w:t xml:space="preserve"> </w:t>
      </w:r>
      <w:r w:rsidRPr="007A0063">
        <w:rPr>
          <w:color w:val="auto"/>
        </w:rPr>
        <w:t>S1 interventions</w:t>
      </w:r>
      <w:r w:rsidR="007A0063">
        <w:rPr>
          <w:rStyle w:val="FootnoteReference"/>
          <w:color w:val="auto"/>
        </w:rPr>
        <w:footnoteReference w:id="7"/>
      </w:r>
      <w:r w:rsidRPr="007A0063">
        <w:rPr>
          <w:color w:val="auto"/>
        </w:rPr>
        <w:t xml:space="preserve"> to come forward at the </w:t>
      </w:r>
      <w:r w:rsidR="006326E4">
        <w:rPr>
          <w:color w:val="auto"/>
        </w:rPr>
        <w:t>crossing</w:t>
      </w:r>
      <w:r w:rsidRPr="007A0063">
        <w:rPr>
          <w:color w:val="auto"/>
        </w:rPr>
        <w:t>, SBC could never have reasonably</w:t>
      </w:r>
      <w:r w:rsidR="006E2757" w:rsidRPr="007A0063">
        <w:rPr>
          <w:color w:val="auto"/>
        </w:rPr>
        <w:t xml:space="preserve"> </w:t>
      </w:r>
      <w:r w:rsidRPr="007A0063">
        <w:rPr>
          <w:color w:val="auto"/>
        </w:rPr>
        <w:t>suggested</w:t>
      </w:r>
      <w:r w:rsidR="00EE30E3">
        <w:rPr>
          <w:color w:val="auto"/>
        </w:rPr>
        <w:t xml:space="preserve">, </w:t>
      </w:r>
      <w:r w:rsidRPr="007A0063">
        <w:rPr>
          <w:color w:val="auto"/>
        </w:rPr>
        <w:t>and never have suggested</w:t>
      </w:r>
      <w:r w:rsidR="005A5326">
        <w:rPr>
          <w:color w:val="auto"/>
        </w:rPr>
        <w:t>,</w:t>
      </w:r>
      <w:r w:rsidRPr="007A0063">
        <w:rPr>
          <w:color w:val="auto"/>
        </w:rPr>
        <w:t xml:space="preserve"> </w:t>
      </w:r>
      <w:r w:rsidR="00EE30E3" w:rsidRPr="007A0063">
        <w:rPr>
          <w:color w:val="auto"/>
        </w:rPr>
        <w:t>that this would have made any transformative difference to the obvious, key safety critical factor</w:t>
      </w:r>
      <w:r w:rsidR="00EE30E3">
        <w:rPr>
          <w:color w:val="auto"/>
        </w:rPr>
        <w:t xml:space="preserve"> which is </w:t>
      </w:r>
      <w:r w:rsidR="00EE30E3" w:rsidRPr="007A0063">
        <w:rPr>
          <w:color w:val="auto"/>
        </w:rPr>
        <w:t>sighting deficiency, in conjunction with all user types</w:t>
      </w:r>
      <w:r w:rsidR="00EE30E3">
        <w:rPr>
          <w:color w:val="auto"/>
        </w:rPr>
        <w:t xml:space="preserve">, </w:t>
      </w:r>
      <w:r w:rsidR="00EE30E3" w:rsidRPr="007A0063">
        <w:rPr>
          <w:color w:val="auto"/>
        </w:rPr>
        <w:t>not just the vulnerable.</w:t>
      </w:r>
      <w:r w:rsidR="00EE30E3">
        <w:rPr>
          <w:color w:val="auto"/>
        </w:rPr>
        <w:t xml:space="preserve"> This is </w:t>
      </w:r>
      <w:r w:rsidRPr="007A0063">
        <w:rPr>
          <w:color w:val="auto"/>
        </w:rPr>
        <w:t>contrary to NR’s clear, continued</w:t>
      </w:r>
      <w:r w:rsidR="006E2757" w:rsidRPr="007A0063">
        <w:rPr>
          <w:color w:val="auto"/>
        </w:rPr>
        <w:t xml:space="preserve"> </w:t>
      </w:r>
      <w:r w:rsidRPr="007A0063">
        <w:rPr>
          <w:color w:val="auto"/>
        </w:rPr>
        <w:t xml:space="preserve">presentation that has come forward long before Inquiry </w:t>
      </w:r>
      <w:r w:rsidR="00CD31C2">
        <w:rPr>
          <w:color w:val="auto"/>
        </w:rPr>
        <w:t>SoC</w:t>
      </w:r>
      <w:r w:rsidRPr="007A0063">
        <w:rPr>
          <w:color w:val="auto"/>
        </w:rPr>
        <w:t xml:space="preserve"> stage</w:t>
      </w:r>
      <w:r w:rsidR="00D650DB">
        <w:rPr>
          <w:color w:val="auto"/>
        </w:rPr>
        <w:t>.</w:t>
      </w:r>
      <w:r w:rsidR="008F4B21">
        <w:rPr>
          <w:color w:val="auto"/>
        </w:rPr>
        <w:t xml:space="preserve"> </w:t>
      </w:r>
      <w:r w:rsidR="00490D25">
        <w:rPr>
          <w:color w:val="auto"/>
        </w:rPr>
        <w:t>T</w:t>
      </w:r>
      <w:r w:rsidR="008F4B21">
        <w:rPr>
          <w:color w:val="auto"/>
        </w:rPr>
        <w:t>he</w:t>
      </w:r>
      <w:r w:rsidR="00490D25">
        <w:rPr>
          <w:color w:val="auto"/>
        </w:rPr>
        <w:t>r</w:t>
      </w:r>
      <w:r w:rsidR="008F4B21">
        <w:rPr>
          <w:color w:val="auto"/>
        </w:rPr>
        <w:t>e</w:t>
      </w:r>
      <w:r w:rsidR="00490D25">
        <w:rPr>
          <w:color w:val="auto"/>
        </w:rPr>
        <w:t xml:space="preserve"> ar</w:t>
      </w:r>
      <w:r w:rsidR="008F4B21">
        <w:rPr>
          <w:color w:val="auto"/>
        </w:rPr>
        <w:t>e</w:t>
      </w:r>
      <w:r w:rsidR="00490D25">
        <w:rPr>
          <w:color w:val="auto"/>
        </w:rPr>
        <w:t xml:space="preserve"> also </w:t>
      </w:r>
      <w:r w:rsidR="008F4B21">
        <w:rPr>
          <w:color w:val="auto"/>
        </w:rPr>
        <w:t>observation</w:t>
      </w:r>
      <w:r w:rsidR="00490D25">
        <w:rPr>
          <w:color w:val="auto"/>
        </w:rPr>
        <w:t>s in the NR closing submissions</w:t>
      </w:r>
      <w:r w:rsidR="00490D25">
        <w:rPr>
          <w:rStyle w:val="FootnoteReference"/>
          <w:color w:val="auto"/>
        </w:rPr>
        <w:footnoteReference w:id="8"/>
      </w:r>
      <w:r w:rsidR="00B92513">
        <w:rPr>
          <w:color w:val="auto"/>
        </w:rPr>
        <w:t xml:space="preserve"> </w:t>
      </w:r>
      <w:r w:rsidR="00374E0C">
        <w:rPr>
          <w:color w:val="auto"/>
        </w:rPr>
        <w:t>that should be considered in conjunction with th</w:t>
      </w:r>
      <w:r w:rsidR="0094696F">
        <w:rPr>
          <w:color w:val="auto"/>
        </w:rPr>
        <w:t>is</w:t>
      </w:r>
      <w:r w:rsidR="00374E0C">
        <w:rPr>
          <w:color w:val="auto"/>
        </w:rPr>
        <w:t xml:space="preserve"> response</w:t>
      </w:r>
      <w:r w:rsidR="00490D25">
        <w:rPr>
          <w:color w:val="auto"/>
        </w:rPr>
        <w:t>.</w:t>
      </w:r>
      <w:r w:rsidRPr="007A0063">
        <w:rPr>
          <w:color w:val="auto"/>
        </w:rPr>
        <w:t xml:space="preserve"> </w:t>
      </w:r>
    </w:p>
    <w:p w14:paraId="1CF3A7D4" w14:textId="1C2952C3" w:rsidR="0097165F" w:rsidRPr="00110E12" w:rsidRDefault="0097165F" w:rsidP="00F118F9">
      <w:pPr>
        <w:pStyle w:val="Style1"/>
        <w:numPr>
          <w:ilvl w:val="0"/>
          <w:numId w:val="6"/>
        </w:numPr>
        <w:spacing w:before="140"/>
        <w:ind w:left="431" w:hanging="431"/>
        <w:rPr>
          <w:color w:val="auto"/>
        </w:rPr>
      </w:pPr>
      <w:r w:rsidRPr="00110E12">
        <w:rPr>
          <w:color w:val="auto"/>
        </w:rPr>
        <w:t>It is also not the case that SBC has somehow been ‘frozen out’ of information</w:t>
      </w:r>
      <w:r w:rsidR="006606D1" w:rsidRPr="00110E12">
        <w:rPr>
          <w:color w:val="auto"/>
        </w:rPr>
        <w:t xml:space="preserve"> </w:t>
      </w:r>
      <w:r w:rsidRPr="00110E12">
        <w:rPr>
          <w:color w:val="auto"/>
        </w:rPr>
        <w:t>regarding the ineffectiveness of either primary or secondary mitigations. SBC</w:t>
      </w:r>
      <w:r w:rsidR="006606D1" w:rsidRPr="00110E12">
        <w:rPr>
          <w:color w:val="auto"/>
        </w:rPr>
        <w:t xml:space="preserve"> </w:t>
      </w:r>
      <w:r w:rsidRPr="00110E12">
        <w:rPr>
          <w:color w:val="auto"/>
        </w:rPr>
        <w:t>has been able to involve itself since</w:t>
      </w:r>
      <w:r w:rsidR="0094696F">
        <w:rPr>
          <w:color w:val="auto"/>
        </w:rPr>
        <w:t xml:space="preserve"> around </w:t>
      </w:r>
      <w:r w:rsidRPr="00110E12">
        <w:rPr>
          <w:color w:val="auto"/>
        </w:rPr>
        <w:t>2013. SCC has known of all of them. NR</w:t>
      </w:r>
      <w:r w:rsidR="004C784F" w:rsidRPr="00110E12">
        <w:rPr>
          <w:color w:val="auto"/>
        </w:rPr>
        <w:t xml:space="preserve"> </w:t>
      </w:r>
      <w:r w:rsidRPr="00110E12">
        <w:rPr>
          <w:color w:val="auto"/>
        </w:rPr>
        <w:t>has liaised with SCC and SBC. Seemingly, SBC has been content to continually</w:t>
      </w:r>
      <w:r w:rsidR="004C784F" w:rsidRPr="00110E12">
        <w:rPr>
          <w:color w:val="auto"/>
        </w:rPr>
        <w:t xml:space="preserve"> </w:t>
      </w:r>
      <w:r w:rsidRPr="00110E12">
        <w:rPr>
          <w:color w:val="auto"/>
        </w:rPr>
        <w:t>await approach after approach to be made to them</w:t>
      </w:r>
      <w:r w:rsidR="00110E12">
        <w:rPr>
          <w:color w:val="auto"/>
        </w:rPr>
        <w:t xml:space="preserve">, </w:t>
      </w:r>
      <w:r w:rsidRPr="00110E12">
        <w:rPr>
          <w:color w:val="auto"/>
        </w:rPr>
        <w:t>yet it has its own</w:t>
      </w:r>
      <w:r w:rsidR="004C784F" w:rsidRPr="00110E12">
        <w:rPr>
          <w:color w:val="auto"/>
        </w:rPr>
        <w:t xml:space="preserve"> </w:t>
      </w:r>
      <w:r w:rsidRPr="00110E12">
        <w:rPr>
          <w:color w:val="auto"/>
        </w:rPr>
        <w:t>responsibility to makes its own approaches for clarification</w:t>
      </w:r>
      <w:r w:rsidR="00384C55">
        <w:rPr>
          <w:color w:val="auto"/>
        </w:rPr>
        <w:t>s</w:t>
      </w:r>
      <w:r w:rsidRPr="00110E12">
        <w:rPr>
          <w:color w:val="auto"/>
        </w:rPr>
        <w:t>, both to SCC and NR.</w:t>
      </w:r>
      <w:r w:rsidR="00A54371">
        <w:rPr>
          <w:color w:val="auto"/>
        </w:rPr>
        <w:t xml:space="preserve"> This is not a case where SBC are saying there has been obstruction from NR</w:t>
      </w:r>
      <w:r w:rsidR="005713AA">
        <w:rPr>
          <w:color w:val="auto"/>
        </w:rPr>
        <w:t>, such that t</w:t>
      </w:r>
      <w:r w:rsidR="00A54371">
        <w:rPr>
          <w:color w:val="auto"/>
        </w:rPr>
        <w:t xml:space="preserve">hey </w:t>
      </w:r>
      <w:r w:rsidR="00553726">
        <w:rPr>
          <w:color w:val="auto"/>
        </w:rPr>
        <w:t>h</w:t>
      </w:r>
      <w:r w:rsidR="00A54371">
        <w:rPr>
          <w:color w:val="auto"/>
        </w:rPr>
        <w:t>ave made an enquiry and NR</w:t>
      </w:r>
      <w:r w:rsidR="00553726">
        <w:rPr>
          <w:color w:val="auto"/>
        </w:rPr>
        <w:t xml:space="preserve"> has not followed through with information</w:t>
      </w:r>
      <w:r w:rsidR="005713AA">
        <w:rPr>
          <w:color w:val="auto"/>
        </w:rPr>
        <w:t xml:space="preserve">. </w:t>
      </w:r>
      <w:r w:rsidR="00553726">
        <w:rPr>
          <w:color w:val="auto"/>
        </w:rPr>
        <w:t xml:space="preserve">SBC has its own responsibilities and resources to </w:t>
      </w:r>
      <w:r w:rsidR="00273DD7">
        <w:rPr>
          <w:color w:val="auto"/>
        </w:rPr>
        <w:t>make positive approaches at the relev</w:t>
      </w:r>
      <w:r w:rsidR="00553726">
        <w:rPr>
          <w:color w:val="auto"/>
        </w:rPr>
        <w:t>a</w:t>
      </w:r>
      <w:r w:rsidR="00273DD7">
        <w:rPr>
          <w:color w:val="auto"/>
        </w:rPr>
        <w:t xml:space="preserve">nt </w:t>
      </w:r>
      <w:r w:rsidR="00553726">
        <w:rPr>
          <w:color w:val="auto"/>
        </w:rPr>
        <w:t>ti</w:t>
      </w:r>
      <w:r w:rsidR="00273DD7">
        <w:rPr>
          <w:color w:val="auto"/>
        </w:rPr>
        <w:t>me</w:t>
      </w:r>
      <w:r w:rsidR="00553726">
        <w:rPr>
          <w:color w:val="auto"/>
        </w:rPr>
        <w:t>.</w:t>
      </w:r>
    </w:p>
    <w:p w14:paraId="03264A0F" w14:textId="39A2018E" w:rsidR="001451A1" w:rsidRDefault="0097165F" w:rsidP="001451A1">
      <w:pPr>
        <w:pStyle w:val="Style1"/>
        <w:numPr>
          <w:ilvl w:val="0"/>
          <w:numId w:val="6"/>
        </w:numPr>
        <w:spacing w:before="140"/>
        <w:ind w:left="431" w:hanging="431"/>
        <w:rPr>
          <w:color w:val="auto"/>
        </w:rPr>
      </w:pPr>
      <w:r w:rsidRPr="008124F8">
        <w:rPr>
          <w:color w:val="auto"/>
        </w:rPr>
        <w:t xml:space="preserve">Even any realignment of the angled approach to the </w:t>
      </w:r>
      <w:r w:rsidR="00A32FB4" w:rsidRPr="008124F8">
        <w:rPr>
          <w:color w:val="auto"/>
        </w:rPr>
        <w:t xml:space="preserve">crossing, </w:t>
      </w:r>
      <w:r w:rsidRPr="008124F8">
        <w:rPr>
          <w:color w:val="auto"/>
        </w:rPr>
        <w:t>which could not be dealt</w:t>
      </w:r>
      <w:r w:rsidR="004C784F" w:rsidRPr="008124F8">
        <w:rPr>
          <w:color w:val="auto"/>
        </w:rPr>
        <w:t xml:space="preserve"> </w:t>
      </w:r>
      <w:r w:rsidRPr="008124F8">
        <w:rPr>
          <w:color w:val="auto"/>
        </w:rPr>
        <w:t xml:space="preserve">with, jurisdictionally, at this </w:t>
      </w:r>
      <w:r w:rsidR="00A32FB4" w:rsidRPr="008124F8">
        <w:rPr>
          <w:color w:val="auto"/>
        </w:rPr>
        <w:t>I</w:t>
      </w:r>
      <w:r w:rsidRPr="008124F8">
        <w:rPr>
          <w:color w:val="auto"/>
        </w:rPr>
        <w:t>nquiry in any event</w:t>
      </w:r>
      <w:r w:rsidR="00A32FB4" w:rsidRPr="008124F8">
        <w:rPr>
          <w:color w:val="auto"/>
        </w:rPr>
        <w:t>,</w:t>
      </w:r>
      <w:r w:rsidRPr="008124F8">
        <w:rPr>
          <w:color w:val="auto"/>
        </w:rPr>
        <w:t xml:space="preserve"> would not materially have</w:t>
      </w:r>
      <w:r w:rsidR="004C784F" w:rsidRPr="008124F8">
        <w:rPr>
          <w:color w:val="auto"/>
        </w:rPr>
        <w:t xml:space="preserve"> </w:t>
      </w:r>
      <w:r w:rsidRPr="008124F8">
        <w:rPr>
          <w:color w:val="auto"/>
        </w:rPr>
        <w:t>improved the situation to a position of adequate public safety.</w:t>
      </w:r>
      <w:r w:rsidR="008124F8" w:rsidRPr="008124F8">
        <w:rPr>
          <w:color w:val="auto"/>
        </w:rPr>
        <w:t xml:space="preserve"> </w:t>
      </w:r>
      <w:r w:rsidRPr="008124F8">
        <w:rPr>
          <w:color w:val="auto"/>
        </w:rPr>
        <w:t xml:space="preserve">These essential, determinative points were well known to SBC before the </w:t>
      </w:r>
      <w:r w:rsidR="008124F8">
        <w:rPr>
          <w:color w:val="auto"/>
        </w:rPr>
        <w:t>I</w:t>
      </w:r>
      <w:r w:rsidRPr="008124F8">
        <w:rPr>
          <w:color w:val="auto"/>
        </w:rPr>
        <w:t>nquiry</w:t>
      </w:r>
      <w:r w:rsidR="004C784F" w:rsidRPr="008124F8">
        <w:rPr>
          <w:color w:val="auto"/>
        </w:rPr>
        <w:t xml:space="preserve"> </w:t>
      </w:r>
      <w:r w:rsidRPr="008124F8">
        <w:rPr>
          <w:color w:val="auto"/>
        </w:rPr>
        <w:t xml:space="preserve">process and restated again, at </w:t>
      </w:r>
      <w:r w:rsidR="008124F8">
        <w:rPr>
          <w:color w:val="auto"/>
        </w:rPr>
        <w:t xml:space="preserve">the </w:t>
      </w:r>
      <w:r w:rsidR="00CD31C2">
        <w:rPr>
          <w:color w:val="auto"/>
        </w:rPr>
        <w:t>SoC</w:t>
      </w:r>
      <w:r w:rsidRPr="008124F8">
        <w:rPr>
          <w:color w:val="auto"/>
        </w:rPr>
        <w:t xml:space="preserve"> stage</w:t>
      </w:r>
      <w:r w:rsidR="008124F8">
        <w:rPr>
          <w:color w:val="auto"/>
        </w:rPr>
        <w:t xml:space="preserve"> and beyond</w:t>
      </w:r>
      <w:r w:rsidRPr="008124F8">
        <w:rPr>
          <w:color w:val="auto"/>
        </w:rPr>
        <w:t>.</w:t>
      </w:r>
      <w:r w:rsidR="004C784F" w:rsidRPr="008124F8">
        <w:rPr>
          <w:color w:val="auto"/>
        </w:rPr>
        <w:t xml:space="preserve"> </w:t>
      </w:r>
    </w:p>
    <w:p w14:paraId="3D3CEF0C" w14:textId="6BBB5259" w:rsidR="0097165F" w:rsidRPr="001451A1" w:rsidRDefault="0097165F" w:rsidP="001451A1">
      <w:pPr>
        <w:pStyle w:val="Style1"/>
        <w:numPr>
          <w:ilvl w:val="0"/>
          <w:numId w:val="6"/>
        </w:numPr>
        <w:spacing w:before="140"/>
        <w:ind w:left="431" w:hanging="431"/>
        <w:rPr>
          <w:color w:val="auto"/>
        </w:rPr>
      </w:pPr>
      <w:r w:rsidRPr="001451A1">
        <w:rPr>
          <w:color w:val="auto"/>
        </w:rPr>
        <w:t xml:space="preserve">Uninformed, ill-evidenced speculation by SBC, which </w:t>
      </w:r>
      <w:r w:rsidR="004D2879" w:rsidRPr="001451A1">
        <w:rPr>
          <w:color w:val="auto"/>
        </w:rPr>
        <w:t xml:space="preserve">seemingly </w:t>
      </w:r>
      <w:r w:rsidRPr="001451A1">
        <w:rPr>
          <w:color w:val="auto"/>
        </w:rPr>
        <w:t>has fuelled its own</w:t>
      </w:r>
      <w:r w:rsidR="006E2757" w:rsidRPr="001451A1">
        <w:rPr>
          <w:color w:val="auto"/>
        </w:rPr>
        <w:t xml:space="preserve"> </w:t>
      </w:r>
      <w:r w:rsidRPr="001451A1">
        <w:rPr>
          <w:color w:val="auto"/>
        </w:rPr>
        <w:t>enquiry</w:t>
      </w:r>
      <w:r w:rsidR="00E06D4D">
        <w:rPr>
          <w:color w:val="auto"/>
        </w:rPr>
        <w:t>,</w:t>
      </w:r>
      <w:r w:rsidRPr="001451A1">
        <w:rPr>
          <w:color w:val="auto"/>
        </w:rPr>
        <w:t xml:space="preserve"> has simply been the product of its own failure to appreciate </w:t>
      </w:r>
      <w:proofErr w:type="gramStart"/>
      <w:r w:rsidRPr="001451A1">
        <w:rPr>
          <w:color w:val="auto"/>
        </w:rPr>
        <w:t xml:space="preserve">the </w:t>
      </w:r>
      <w:r w:rsidR="006E2757" w:rsidRPr="001451A1">
        <w:rPr>
          <w:color w:val="auto"/>
        </w:rPr>
        <w:t xml:space="preserve"> </w:t>
      </w:r>
      <w:r w:rsidR="00430DA0" w:rsidRPr="001451A1">
        <w:rPr>
          <w:color w:val="auto"/>
        </w:rPr>
        <w:t>o</w:t>
      </w:r>
      <w:r w:rsidRPr="001451A1">
        <w:rPr>
          <w:color w:val="auto"/>
        </w:rPr>
        <w:t>bvious</w:t>
      </w:r>
      <w:proofErr w:type="gramEnd"/>
      <w:r w:rsidRPr="001451A1">
        <w:rPr>
          <w:color w:val="auto"/>
        </w:rPr>
        <w:t>,</w:t>
      </w:r>
      <w:r w:rsidR="00430DA0" w:rsidRPr="001451A1">
        <w:rPr>
          <w:color w:val="auto"/>
        </w:rPr>
        <w:t xml:space="preserve"> </w:t>
      </w:r>
      <w:r w:rsidRPr="001451A1">
        <w:rPr>
          <w:color w:val="auto"/>
        </w:rPr>
        <w:t>and to react to clear and unequivocal statements made on safety, from the</w:t>
      </w:r>
      <w:r w:rsidR="00430DA0" w:rsidRPr="001451A1">
        <w:rPr>
          <w:color w:val="auto"/>
        </w:rPr>
        <w:t xml:space="preserve"> </w:t>
      </w:r>
      <w:r w:rsidRPr="001451A1">
        <w:rPr>
          <w:color w:val="auto"/>
        </w:rPr>
        <w:t>earliest stage. It was also perfectly open to SBC to approach NR, at any stage, if</w:t>
      </w:r>
      <w:r w:rsidR="00430DA0" w:rsidRPr="001451A1">
        <w:rPr>
          <w:color w:val="auto"/>
        </w:rPr>
        <w:t xml:space="preserve"> </w:t>
      </w:r>
      <w:r w:rsidRPr="001451A1">
        <w:rPr>
          <w:color w:val="auto"/>
        </w:rPr>
        <w:t xml:space="preserve">it </w:t>
      </w:r>
      <w:proofErr w:type="gramStart"/>
      <w:r w:rsidRPr="001451A1">
        <w:rPr>
          <w:color w:val="auto"/>
        </w:rPr>
        <w:t>actually was</w:t>
      </w:r>
      <w:proofErr w:type="gramEnd"/>
      <w:r w:rsidRPr="001451A1">
        <w:rPr>
          <w:color w:val="auto"/>
        </w:rPr>
        <w:t xml:space="preserve"> unclear on any of these matters</w:t>
      </w:r>
      <w:r w:rsidR="004D2879" w:rsidRPr="001451A1">
        <w:rPr>
          <w:color w:val="auto"/>
        </w:rPr>
        <w:t xml:space="preserve">, </w:t>
      </w:r>
      <w:r w:rsidRPr="001451A1">
        <w:rPr>
          <w:color w:val="auto"/>
        </w:rPr>
        <w:t>despite what was already in</w:t>
      </w:r>
      <w:r w:rsidR="00430DA0" w:rsidRPr="001451A1">
        <w:rPr>
          <w:color w:val="auto"/>
        </w:rPr>
        <w:t xml:space="preserve"> </w:t>
      </w:r>
      <w:r w:rsidRPr="001451A1">
        <w:rPr>
          <w:color w:val="auto"/>
        </w:rPr>
        <w:t>front of them. It was unreasonable for SBC to carry their enquiry forward, into</w:t>
      </w:r>
      <w:r w:rsidR="00430DA0" w:rsidRPr="001451A1">
        <w:rPr>
          <w:color w:val="auto"/>
        </w:rPr>
        <w:t xml:space="preserve"> </w:t>
      </w:r>
      <w:r w:rsidR="004D2879" w:rsidRPr="001451A1">
        <w:rPr>
          <w:color w:val="auto"/>
        </w:rPr>
        <w:t>I</w:t>
      </w:r>
      <w:r w:rsidRPr="001451A1">
        <w:rPr>
          <w:color w:val="auto"/>
        </w:rPr>
        <w:t xml:space="preserve">nquiry, at </w:t>
      </w:r>
      <w:r w:rsidR="00CD31C2">
        <w:rPr>
          <w:color w:val="auto"/>
        </w:rPr>
        <w:t>SoC</w:t>
      </w:r>
      <w:r w:rsidRPr="001451A1">
        <w:rPr>
          <w:color w:val="auto"/>
        </w:rPr>
        <w:t xml:space="preserve"> stage and subsequently against this background</w:t>
      </w:r>
      <w:r w:rsidR="009A20D9" w:rsidRPr="001451A1">
        <w:rPr>
          <w:color w:val="auto"/>
        </w:rPr>
        <w:t>, see SBC PoE</w:t>
      </w:r>
      <w:r w:rsidR="00FD6323" w:rsidRPr="001451A1">
        <w:rPr>
          <w:color w:val="auto"/>
        </w:rPr>
        <w:t xml:space="preserve"> </w:t>
      </w:r>
      <w:r w:rsidR="00A646BD" w:rsidRPr="001451A1">
        <w:rPr>
          <w:color w:val="auto"/>
        </w:rPr>
        <w:t xml:space="preserve">1.8, 1.12, 1.13, </w:t>
      </w:r>
      <w:r w:rsidR="0069548A" w:rsidRPr="001451A1">
        <w:rPr>
          <w:color w:val="auto"/>
        </w:rPr>
        <w:t xml:space="preserve">1.17, </w:t>
      </w:r>
      <w:r w:rsidR="00A646BD" w:rsidRPr="001451A1">
        <w:rPr>
          <w:color w:val="auto"/>
        </w:rPr>
        <w:t>1.19</w:t>
      </w:r>
      <w:r w:rsidR="0069548A" w:rsidRPr="001451A1">
        <w:rPr>
          <w:color w:val="auto"/>
        </w:rPr>
        <w:t xml:space="preserve"> as examples</w:t>
      </w:r>
      <w:r w:rsidR="00FC1934">
        <w:rPr>
          <w:color w:val="auto"/>
        </w:rPr>
        <w:t>, th</w:t>
      </w:r>
      <w:r w:rsidR="00A646BD" w:rsidRPr="001451A1">
        <w:rPr>
          <w:color w:val="auto"/>
        </w:rPr>
        <w:t>e author</w:t>
      </w:r>
      <w:r w:rsidR="0069548A" w:rsidRPr="001451A1">
        <w:rPr>
          <w:color w:val="auto"/>
        </w:rPr>
        <w:t xml:space="preserve"> was still</w:t>
      </w:r>
      <w:r w:rsidR="004069B4" w:rsidRPr="001451A1">
        <w:rPr>
          <w:color w:val="auto"/>
        </w:rPr>
        <w:t xml:space="preserve"> claim</w:t>
      </w:r>
      <w:r w:rsidR="00F718C0" w:rsidRPr="001451A1">
        <w:rPr>
          <w:color w:val="auto"/>
        </w:rPr>
        <w:t>ing</w:t>
      </w:r>
      <w:r w:rsidR="004069B4" w:rsidRPr="001451A1">
        <w:rPr>
          <w:color w:val="auto"/>
        </w:rPr>
        <w:t xml:space="preserve">, without any evidence, their unsupported, </w:t>
      </w:r>
      <w:r w:rsidR="00E11AD2" w:rsidRPr="001451A1">
        <w:rPr>
          <w:color w:val="auto"/>
        </w:rPr>
        <w:t>si</w:t>
      </w:r>
      <w:r w:rsidR="004069B4" w:rsidRPr="001451A1">
        <w:rPr>
          <w:color w:val="auto"/>
        </w:rPr>
        <w:t>n</w:t>
      </w:r>
      <w:r w:rsidR="00E11AD2" w:rsidRPr="001451A1">
        <w:rPr>
          <w:color w:val="auto"/>
        </w:rPr>
        <w:t>ce</w:t>
      </w:r>
      <w:r w:rsidR="004069B4" w:rsidRPr="001451A1">
        <w:rPr>
          <w:color w:val="auto"/>
        </w:rPr>
        <w:t xml:space="preserve"> u-turned </w:t>
      </w:r>
      <w:r w:rsidR="0069548A" w:rsidRPr="001451A1">
        <w:rPr>
          <w:color w:val="auto"/>
        </w:rPr>
        <w:t xml:space="preserve">claims that went </w:t>
      </w:r>
      <w:r w:rsidR="00F718C0" w:rsidRPr="001451A1">
        <w:rPr>
          <w:color w:val="auto"/>
        </w:rPr>
        <w:t>t</w:t>
      </w:r>
      <w:r w:rsidR="0069548A" w:rsidRPr="001451A1">
        <w:rPr>
          <w:color w:val="auto"/>
        </w:rPr>
        <w:t>o</w:t>
      </w:r>
      <w:r w:rsidR="00F718C0" w:rsidRPr="001451A1">
        <w:rPr>
          <w:color w:val="auto"/>
        </w:rPr>
        <w:t xml:space="preserve"> </w:t>
      </w:r>
      <w:r w:rsidR="0069548A" w:rsidRPr="001451A1">
        <w:rPr>
          <w:color w:val="auto"/>
        </w:rPr>
        <w:t xml:space="preserve">the safety case.  </w:t>
      </w:r>
    </w:p>
    <w:p w14:paraId="258DE92A" w14:textId="4523ACC2" w:rsidR="00430DA0" w:rsidRPr="00DF6078" w:rsidRDefault="0097165F" w:rsidP="00DA2331">
      <w:pPr>
        <w:pStyle w:val="Style1"/>
        <w:numPr>
          <w:ilvl w:val="0"/>
          <w:numId w:val="6"/>
        </w:numPr>
        <w:spacing w:before="140"/>
        <w:ind w:left="431" w:hanging="431"/>
        <w:rPr>
          <w:color w:val="auto"/>
        </w:rPr>
      </w:pPr>
      <w:r w:rsidRPr="00DF6078">
        <w:rPr>
          <w:color w:val="auto"/>
        </w:rPr>
        <w:lastRenderedPageBreak/>
        <w:t xml:space="preserve">Moreover, NR had replaced the surfacing to the </w:t>
      </w:r>
      <w:r w:rsidR="00C04BE3" w:rsidRPr="00DF6078">
        <w:rPr>
          <w:color w:val="auto"/>
        </w:rPr>
        <w:t xml:space="preserve">crossing </w:t>
      </w:r>
      <w:r w:rsidRPr="00DF6078">
        <w:rPr>
          <w:color w:val="auto"/>
        </w:rPr>
        <w:t>before extinguishment and it was shown</w:t>
      </w:r>
      <w:r w:rsidR="00C04BE3" w:rsidRPr="00DF6078">
        <w:rPr>
          <w:color w:val="auto"/>
        </w:rPr>
        <w:t>,</w:t>
      </w:r>
      <w:r w:rsidRPr="00DF6078">
        <w:rPr>
          <w:color w:val="auto"/>
        </w:rPr>
        <w:t xml:space="preserve"> and known to SBC</w:t>
      </w:r>
      <w:r w:rsidR="00C04BE3" w:rsidRPr="00DF6078">
        <w:rPr>
          <w:color w:val="auto"/>
        </w:rPr>
        <w:t xml:space="preserve"> at that time,</w:t>
      </w:r>
      <w:r w:rsidRPr="00DF6078">
        <w:rPr>
          <w:color w:val="auto"/>
        </w:rPr>
        <w:t xml:space="preserve"> that it made no material</w:t>
      </w:r>
      <w:r w:rsidR="00430DA0" w:rsidRPr="00DF6078">
        <w:rPr>
          <w:color w:val="auto"/>
        </w:rPr>
        <w:t xml:space="preserve"> </w:t>
      </w:r>
      <w:r w:rsidRPr="00DF6078">
        <w:rPr>
          <w:color w:val="auto"/>
        </w:rPr>
        <w:t xml:space="preserve">difference. This was a position entirely consistent with the </w:t>
      </w:r>
      <w:r w:rsidR="00C04BE3" w:rsidRPr="00DF6078">
        <w:rPr>
          <w:color w:val="auto"/>
        </w:rPr>
        <w:t xml:space="preserve">crossing </w:t>
      </w:r>
      <w:r w:rsidRPr="00DF6078">
        <w:rPr>
          <w:color w:val="auto"/>
        </w:rPr>
        <w:t>being temporarily</w:t>
      </w:r>
      <w:r w:rsidR="00430DA0" w:rsidRPr="00DF6078">
        <w:rPr>
          <w:color w:val="auto"/>
        </w:rPr>
        <w:t xml:space="preserve"> </w:t>
      </w:r>
      <w:r w:rsidRPr="00DF6078">
        <w:rPr>
          <w:color w:val="auto"/>
        </w:rPr>
        <w:t>closed, and SBC never object</w:t>
      </w:r>
      <w:r w:rsidR="00DF6078" w:rsidRPr="00DF6078">
        <w:rPr>
          <w:color w:val="auto"/>
        </w:rPr>
        <w:t>ed</w:t>
      </w:r>
      <w:r w:rsidRPr="00DF6078">
        <w:rPr>
          <w:color w:val="auto"/>
        </w:rPr>
        <w:t xml:space="preserve"> to that course of action.</w:t>
      </w:r>
      <w:r w:rsidR="00430DA0" w:rsidRPr="00DF6078">
        <w:rPr>
          <w:color w:val="auto"/>
        </w:rPr>
        <w:t xml:space="preserve"> </w:t>
      </w:r>
    </w:p>
    <w:p w14:paraId="27EA2122" w14:textId="6A733E61" w:rsidR="0097165F" w:rsidRPr="00782F7A" w:rsidRDefault="0097165F" w:rsidP="00430DA0">
      <w:pPr>
        <w:pStyle w:val="Style1"/>
        <w:numPr>
          <w:ilvl w:val="0"/>
          <w:numId w:val="6"/>
        </w:numPr>
        <w:spacing w:before="140"/>
        <w:ind w:left="431" w:hanging="431"/>
        <w:rPr>
          <w:color w:val="auto"/>
        </w:rPr>
      </w:pPr>
      <w:r w:rsidRPr="00782F7A">
        <w:rPr>
          <w:color w:val="auto"/>
        </w:rPr>
        <w:t>There</w:t>
      </w:r>
      <w:r w:rsidR="00112B35">
        <w:rPr>
          <w:color w:val="auto"/>
        </w:rPr>
        <w:t xml:space="preserve"> </w:t>
      </w:r>
      <w:r w:rsidRPr="00782F7A">
        <w:rPr>
          <w:color w:val="auto"/>
        </w:rPr>
        <w:t>w</w:t>
      </w:r>
      <w:r w:rsidR="00112B35">
        <w:rPr>
          <w:color w:val="auto"/>
        </w:rPr>
        <w:t>a</w:t>
      </w:r>
      <w:r w:rsidRPr="00782F7A">
        <w:rPr>
          <w:color w:val="auto"/>
        </w:rPr>
        <w:t xml:space="preserve">s </w:t>
      </w:r>
      <w:r w:rsidR="00112B35">
        <w:rPr>
          <w:color w:val="auto"/>
        </w:rPr>
        <w:t xml:space="preserve">not a late </w:t>
      </w:r>
      <w:r w:rsidRPr="00782F7A">
        <w:rPr>
          <w:color w:val="auto"/>
        </w:rPr>
        <w:t>PoE</w:t>
      </w:r>
      <w:r w:rsidR="00112B35">
        <w:rPr>
          <w:color w:val="auto"/>
        </w:rPr>
        <w:t xml:space="preserve"> a</w:t>
      </w:r>
      <w:r w:rsidRPr="00782F7A">
        <w:rPr>
          <w:color w:val="auto"/>
        </w:rPr>
        <w:t>n</w:t>
      </w:r>
      <w:r w:rsidR="00112B35">
        <w:rPr>
          <w:color w:val="auto"/>
        </w:rPr>
        <w:t>d</w:t>
      </w:r>
      <w:r w:rsidR="00952A15">
        <w:rPr>
          <w:color w:val="auto"/>
        </w:rPr>
        <w:t>,</w:t>
      </w:r>
      <w:r w:rsidR="00112B35">
        <w:rPr>
          <w:color w:val="auto"/>
        </w:rPr>
        <w:t xml:space="preserve"> whils</w:t>
      </w:r>
      <w:r w:rsidRPr="00782F7A">
        <w:rPr>
          <w:color w:val="auto"/>
        </w:rPr>
        <w:t xml:space="preserve">t </w:t>
      </w:r>
      <w:r w:rsidR="00112B35" w:rsidRPr="00782F7A">
        <w:rPr>
          <w:color w:val="auto"/>
        </w:rPr>
        <w:t xml:space="preserve">regrettable </w:t>
      </w:r>
      <w:r w:rsidR="00112B35">
        <w:rPr>
          <w:color w:val="auto"/>
        </w:rPr>
        <w:t xml:space="preserve">that </w:t>
      </w:r>
      <w:r w:rsidRPr="00782F7A">
        <w:rPr>
          <w:color w:val="auto"/>
        </w:rPr>
        <w:t>t</w:t>
      </w:r>
      <w:r w:rsidR="00112B35">
        <w:rPr>
          <w:color w:val="auto"/>
        </w:rPr>
        <w:t>h</w:t>
      </w:r>
      <w:r w:rsidRPr="00782F7A">
        <w:rPr>
          <w:color w:val="auto"/>
        </w:rPr>
        <w:t>e</w:t>
      </w:r>
      <w:r w:rsidR="00112B35">
        <w:rPr>
          <w:color w:val="auto"/>
        </w:rPr>
        <w:t xml:space="preserve"> </w:t>
      </w:r>
      <w:r w:rsidR="00952A15" w:rsidRPr="00782F7A">
        <w:rPr>
          <w:color w:val="auto"/>
        </w:rPr>
        <w:t xml:space="preserve">summary </w:t>
      </w:r>
      <w:proofErr w:type="spellStart"/>
      <w:r w:rsidR="00952A15" w:rsidRPr="00782F7A">
        <w:rPr>
          <w:color w:val="auto"/>
        </w:rPr>
        <w:t>PoEs</w:t>
      </w:r>
      <w:proofErr w:type="spellEnd"/>
      <w:r w:rsidR="00952A15">
        <w:rPr>
          <w:color w:val="auto"/>
        </w:rPr>
        <w:t xml:space="preserve"> </w:t>
      </w:r>
      <w:r w:rsidR="00112B35">
        <w:rPr>
          <w:color w:val="auto"/>
        </w:rPr>
        <w:t xml:space="preserve">were </w:t>
      </w:r>
      <w:r w:rsidRPr="00782F7A">
        <w:rPr>
          <w:color w:val="auto"/>
        </w:rPr>
        <w:t>slightly later-in-time, ultimately that provides no support for SBC’s allegation of</w:t>
      </w:r>
      <w:r w:rsidR="00430DA0" w:rsidRPr="00782F7A">
        <w:rPr>
          <w:color w:val="auto"/>
        </w:rPr>
        <w:t xml:space="preserve"> </w:t>
      </w:r>
      <w:r w:rsidRPr="00782F7A">
        <w:rPr>
          <w:color w:val="auto"/>
        </w:rPr>
        <w:t>unreasonableness. SBC fails to identify a single issue that it suggests suddenly</w:t>
      </w:r>
      <w:r w:rsidR="00430DA0" w:rsidRPr="00782F7A">
        <w:rPr>
          <w:color w:val="auto"/>
        </w:rPr>
        <w:t xml:space="preserve"> </w:t>
      </w:r>
      <w:r w:rsidRPr="00782F7A">
        <w:rPr>
          <w:color w:val="auto"/>
        </w:rPr>
        <w:t xml:space="preserve">came through the summary </w:t>
      </w:r>
      <w:r w:rsidR="00E410EE">
        <w:rPr>
          <w:color w:val="auto"/>
        </w:rPr>
        <w:t>POE</w:t>
      </w:r>
      <w:r w:rsidRPr="00782F7A">
        <w:rPr>
          <w:color w:val="auto"/>
        </w:rPr>
        <w:t xml:space="preserve">s that did not come through the </w:t>
      </w:r>
      <w:r w:rsidR="00112B35">
        <w:rPr>
          <w:color w:val="auto"/>
        </w:rPr>
        <w:t xml:space="preserve">on time </w:t>
      </w:r>
      <w:proofErr w:type="spellStart"/>
      <w:r w:rsidRPr="00782F7A">
        <w:rPr>
          <w:color w:val="auto"/>
        </w:rPr>
        <w:t>PoEs</w:t>
      </w:r>
      <w:proofErr w:type="spellEnd"/>
      <w:r w:rsidRPr="00782F7A">
        <w:rPr>
          <w:color w:val="auto"/>
        </w:rPr>
        <w:t>. Since SBC did not withdraw until mid-</w:t>
      </w:r>
      <w:r w:rsidR="000E0F2E">
        <w:rPr>
          <w:color w:val="auto"/>
        </w:rPr>
        <w:t>I</w:t>
      </w:r>
      <w:r w:rsidRPr="00782F7A">
        <w:rPr>
          <w:color w:val="auto"/>
        </w:rPr>
        <w:t>nquiry, nothing</w:t>
      </w:r>
      <w:r w:rsidR="00430DA0" w:rsidRPr="00782F7A">
        <w:rPr>
          <w:color w:val="auto"/>
        </w:rPr>
        <w:t xml:space="preserve"> </w:t>
      </w:r>
      <w:r w:rsidRPr="00782F7A">
        <w:rPr>
          <w:color w:val="auto"/>
        </w:rPr>
        <w:t xml:space="preserve">obviously did lie in the summary </w:t>
      </w:r>
      <w:proofErr w:type="spellStart"/>
      <w:r w:rsidRPr="00782F7A">
        <w:rPr>
          <w:color w:val="auto"/>
        </w:rPr>
        <w:t>PoEs</w:t>
      </w:r>
      <w:proofErr w:type="spellEnd"/>
      <w:r w:rsidRPr="00782F7A">
        <w:rPr>
          <w:color w:val="auto"/>
        </w:rPr>
        <w:t xml:space="preserve"> for them. It is entirely unclear </w:t>
      </w:r>
      <w:r w:rsidR="000117BF">
        <w:rPr>
          <w:color w:val="auto"/>
        </w:rPr>
        <w:t>w</w:t>
      </w:r>
      <w:r w:rsidRPr="00782F7A">
        <w:rPr>
          <w:color w:val="auto"/>
        </w:rPr>
        <w:t>hat</w:t>
      </w:r>
      <w:r w:rsidR="00430DA0" w:rsidRPr="00782F7A">
        <w:rPr>
          <w:color w:val="auto"/>
        </w:rPr>
        <w:t xml:space="preserve"> </w:t>
      </w:r>
      <w:r w:rsidRPr="00782F7A">
        <w:rPr>
          <w:color w:val="auto"/>
        </w:rPr>
        <w:t>additional time and expense was therefore incurred</w:t>
      </w:r>
      <w:r w:rsidR="000E0F2E">
        <w:rPr>
          <w:color w:val="auto"/>
        </w:rPr>
        <w:t xml:space="preserve">, </w:t>
      </w:r>
      <w:r w:rsidRPr="00782F7A">
        <w:rPr>
          <w:color w:val="auto"/>
        </w:rPr>
        <w:t xml:space="preserve">on what </w:t>
      </w:r>
      <w:r w:rsidR="000117BF">
        <w:rPr>
          <w:color w:val="auto"/>
        </w:rPr>
        <w:t xml:space="preserve">specifically </w:t>
      </w:r>
      <w:r w:rsidR="000E0F2E">
        <w:rPr>
          <w:color w:val="auto"/>
        </w:rPr>
        <w:t>and</w:t>
      </w:r>
      <w:r w:rsidR="000117BF">
        <w:rPr>
          <w:color w:val="auto"/>
        </w:rPr>
        <w:t>,</w:t>
      </w:r>
      <w:r w:rsidR="000E0F2E">
        <w:rPr>
          <w:color w:val="auto"/>
        </w:rPr>
        <w:t xml:space="preserve"> </w:t>
      </w:r>
      <w:r w:rsidRPr="00782F7A">
        <w:rPr>
          <w:color w:val="auto"/>
        </w:rPr>
        <w:t>reasonably</w:t>
      </w:r>
      <w:r w:rsidR="000E0F2E">
        <w:rPr>
          <w:color w:val="auto"/>
        </w:rPr>
        <w:t>, how</w:t>
      </w:r>
      <w:r w:rsidRPr="00782F7A">
        <w:rPr>
          <w:color w:val="auto"/>
        </w:rPr>
        <w:t>?</w:t>
      </w:r>
      <w:r w:rsidR="00E06D10">
        <w:rPr>
          <w:color w:val="auto"/>
        </w:rPr>
        <w:t xml:space="preserve"> An</w:t>
      </w:r>
      <w:r w:rsidR="00283B47">
        <w:rPr>
          <w:color w:val="auto"/>
        </w:rPr>
        <w:t xml:space="preserve"> 18 January communication to Planning Inspectorate included exchanges </w:t>
      </w:r>
      <w:r w:rsidR="00841457">
        <w:rPr>
          <w:color w:val="auto"/>
        </w:rPr>
        <w:t>regarding there being no late submissions. It seems they may not have received</w:t>
      </w:r>
      <w:r w:rsidR="00470BB2">
        <w:rPr>
          <w:color w:val="auto"/>
        </w:rPr>
        <w:t xml:space="preserve"> documents</w:t>
      </w:r>
      <w:r w:rsidR="00841457">
        <w:rPr>
          <w:color w:val="auto"/>
        </w:rPr>
        <w:t xml:space="preserve"> on time from the Planning Inspectorate, rather than from NR.</w:t>
      </w:r>
    </w:p>
    <w:p w14:paraId="0A64A9F0" w14:textId="5284CA9D" w:rsidR="00397E33" w:rsidRDefault="0097165F" w:rsidP="00164353">
      <w:pPr>
        <w:pStyle w:val="Style1"/>
        <w:numPr>
          <w:ilvl w:val="0"/>
          <w:numId w:val="6"/>
        </w:numPr>
        <w:spacing w:before="140"/>
        <w:ind w:left="431" w:hanging="431"/>
        <w:rPr>
          <w:color w:val="auto"/>
        </w:rPr>
      </w:pPr>
      <w:r w:rsidRPr="006824B9">
        <w:rPr>
          <w:color w:val="auto"/>
        </w:rPr>
        <w:t xml:space="preserve">The NRA December 2020 was not ‘late’. </w:t>
      </w:r>
      <w:r w:rsidR="008C5591">
        <w:rPr>
          <w:color w:val="auto"/>
        </w:rPr>
        <w:t>H</w:t>
      </w:r>
      <w:r w:rsidRPr="006824B9">
        <w:rPr>
          <w:color w:val="auto"/>
        </w:rPr>
        <w:t>owever, even had it not</w:t>
      </w:r>
      <w:r w:rsidR="00430DA0" w:rsidRPr="006824B9">
        <w:rPr>
          <w:color w:val="auto"/>
        </w:rPr>
        <w:t xml:space="preserve"> </w:t>
      </w:r>
      <w:r w:rsidRPr="006824B9">
        <w:rPr>
          <w:color w:val="auto"/>
        </w:rPr>
        <w:t>been submitted punctually, this NRA was not produced specifically for this</w:t>
      </w:r>
      <w:r w:rsidR="00430DA0" w:rsidRPr="006824B9">
        <w:rPr>
          <w:color w:val="auto"/>
        </w:rPr>
        <w:t xml:space="preserve"> </w:t>
      </w:r>
      <w:r w:rsidRPr="006824B9">
        <w:rPr>
          <w:color w:val="auto"/>
        </w:rPr>
        <w:t>Inquiry, but rather, is a document which performs a freestanding internal NR</w:t>
      </w:r>
      <w:r w:rsidR="00430DA0" w:rsidRPr="006824B9">
        <w:rPr>
          <w:color w:val="auto"/>
        </w:rPr>
        <w:t xml:space="preserve"> </w:t>
      </w:r>
      <w:r w:rsidRPr="006824B9">
        <w:rPr>
          <w:color w:val="auto"/>
        </w:rPr>
        <w:t xml:space="preserve">function. It was produced in parallel with this </w:t>
      </w:r>
      <w:r w:rsidR="00B77C64">
        <w:rPr>
          <w:color w:val="auto"/>
        </w:rPr>
        <w:t>I</w:t>
      </w:r>
      <w:r w:rsidRPr="006824B9">
        <w:rPr>
          <w:color w:val="auto"/>
        </w:rPr>
        <w:t>nquiry</w:t>
      </w:r>
      <w:r w:rsidR="00B77C64">
        <w:rPr>
          <w:color w:val="auto"/>
        </w:rPr>
        <w:t xml:space="preserve">, </w:t>
      </w:r>
      <w:r w:rsidRPr="006824B9">
        <w:rPr>
          <w:color w:val="auto"/>
        </w:rPr>
        <w:t>but separately</w:t>
      </w:r>
      <w:r w:rsidR="00430DA0" w:rsidRPr="006824B9">
        <w:rPr>
          <w:color w:val="auto"/>
        </w:rPr>
        <w:t xml:space="preserve"> </w:t>
      </w:r>
      <w:r w:rsidRPr="006824B9">
        <w:rPr>
          <w:color w:val="auto"/>
        </w:rPr>
        <w:t>from it</w:t>
      </w:r>
      <w:r w:rsidR="00B77C64">
        <w:rPr>
          <w:color w:val="auto"/>
        </w:rPr>
        <w:t>,</w:t>
      </w:r>
      <w:r w:rsidRPr="006824B9">
        <w:rPr>
          <w:color w:val="auto"/>
        </w:rPr>
        <w:t xml:space="preserve"> and in knowledge that this Inquiry would greatly benefit from an up-to</w:t>
      </w:r>
      <w:r w:rsidR="00470BB2" w:rsidRPr="006824B9">
        <w:rPr>
          <w:color w:val="auto"/>
        </w:rPr>
        <w:t>-</w:t>
      </w:r>
      <w:r w:rsidRPr="006824B9">
        <w:rPr>
          <w:color w:val="auto"/>
        </w:rPr>
        <w:t>date,</w:t>
      </w:r>
      <w:r w:rsidR="0037752F" w:rsidRPr="006824B9">
        <w:rPr>
          <w:color w:val="auto"/>
        </w:rPr>
        <w:t xml:space="preserve"> </w:t>
      </w:r>
      <w:r w:rsidRPr="006824B9">
        <w:rPr>
          <w:color w:val="auto"/>
        </w:rPr>
        <w:t>outline assessment of essential safety related matters</w:t>
      </w:r>
      <w:r w:rsidR="00981787">
        <w:rPr>
          <w:color w:val="auto"/>
        </w:rPr>
        <w:t>; i</w:t>
      </w:r>
      <w:r w:rsidRPr="006824B9">
        <w:rPr>
          <w:color w:val="auto"/>
        </w:rPr>
        <w:t>t has rightfully been</w:t>
      </w:r>
      <w:r w:rsidR="0037752F" w:rsidRPr="006824B9">
        <w:rPr>
          <w:color w:val="auto"/>
        </w:rPr>
        <w:t xml:space="preserve"> </w:t>
      </w:r>
      <w:r w:rsidRPr="006824B9">
        <w:rPr>
          <w:color w:val="auto"/>
        </w:rPr>
        <w:t xml:space="preserve">put before this </w:t>
      </w:r>
      <w:r w:rsidR="00B77C64">
        <w:rPr>
          <w:color w:val="auto"/>
        </w:rPr>
        <w:t>I</w:t>
      </w:r>
      <w:r w:rsidRPr="006824B9">
        <w:rPr>
          <w:color w:val="auto"/>
        </w:rPr>
        <w:t>nquiry, at an appropriate stage. SBC’s claim of unreasonableness</w:t>
      </w:r>
      <w:r w:rsidR="0037752F" w:rsidRPr="006824B9">
        <w:rPr>
          <w:color w:val="auto"/>
        </w:rPr>
        <w:t xml:space="preserve"> </w:t>
      </w:r>
      <w:r w:rsidRPr="006824B9">
        <w:rPr>
          <w:color w:val="auto"/>
        </w:rPr>
        <w:t>in the context of the NRA fundamentally misunderstands why</w:t>
      </w:r>
      <w:r w:rsidR="006824B9" w:rsidRPr="006824B9">
        <w:rPr>
          <w:color w:val="auto"/>
        </w:rPr>
        <w:t xml:space="preserve"> they </w:t>
      </w:r>
      <w:r w:rsidRPr="006824B9">
        <w:rPr>
          <w:color w:val="auto"/>
        </w:rPr>
        <w:t>are</w:t>
      </w:r>
      <w:r w:rsidR="0037752F" w:rsidRPr="006824B9">
        <w:rPr>
          <w:color w:val="auto"/>
        </w:rPr>
        <w:t xml:space="preserve"> </w:t>
      </w:r>
      <w:r w:rsidRPr="006824B9">
        <w:rPr>
          <w:color w:val="auto"/>
        </w:rPr>
        <w:t>produced, and very much invites that such updates</w:t>
      </w:r>
      <w:r w:rsidR="00B62B17">
        <w:rPr>
          <w:color w:val="auto"/>
        </w:rPr>
        <w:t xml:space="preserve">, </w:t>
      </w:r>
      <w:r w:rsidRPr="006824B9">
        <w:rPr>
          <w:color w:val="auto"/>
        </w:rPr>
        <w:t>and the best evidence</w:t>
      </w:r>
      <w:r w:rsidR="00B62B17">
        <w:rPr>
          <w:color w:val="auto"/>
        </w:rPr>
        <w:t>,</w:t>
      </w:r>
      <w:r w:rsidRPr="006824B9">
        <w:rPr>
          <w:color w:val="auto"/>
        </w:rPr>
        <w:t xml:space="preserve"> be</w:t>
      </w:r>
      <w:r w:rsidR="0037752F" w:rsidRPr="006824B9">
        <w:rPr>
          <w:color w:val="auto"/>
        </w:rPr>
        <w:t xml:space="preserve"> </w:t>
      </w:r>
      <w:r w:rsidRPr="006824B9">
        <w:rPr>
          <w:color w:val="auto"/>
        </w:rPr>
        <w:t xml:space="preserve">sheltered from </w:t>
      </w:r>
      <w:r w:rsidR="00B62B17">
        <w:rPr>
          <w:color w:val="auto"/>
        </w:rPr>
        <w:t>I</w:t>
      </w:r>
      <w:r w:rsidRPr="006824B9">
        <w:rPr>
          <w:color w:val="auto"/>
        </w:rPr>
        <w:t>nquiry, for fear of being labelled unreasonable</w:t>
      </w:r>
      <w:r w:rsidR="00B62B17">
        <w:rPr>
          <w:color w:val="auto"/>
        </w:rPr>
        <w:t xml:space="preserve">, </w:t>
      </w:r>
      <w:r w:rsidRPr="006824B9">
        <w:rPr>
          <w:color w:val="auto"/>
        </w:rPr>
        <w:t xml:space="preserve">which would regrettably serve the very antithesis of what a public </w:t>
      </w:r>
      <w:r w:rsidR="00B62B17">
        <w:rPr>
          <w:color w:val="auto"/>
        </w:rPr>
        <w:t>I</w:t>
      </w:r>
      <w:r w:rsidRPr="006824B9">
        <w:rPr>
          <w:color w:val="auto"/>
        </w:rPr>
        <w:t>nquiry is tasked to explore.</w:t>
      </w:r>
      <w:r w:rsidR="007B5A27">
        <w:rPr>
          <w:color w:val="auto"/>
        </w:rPr>
        <w:t xml:space="preserve"> </w:t>
      </w:r>
    </w:p>
    <w:p w14:paraId="5728336C" w14:textId="456C6B2C" w:rsidR="0097165F" w:rsidRPr="009003D7" w:rsidRDefault="0097165F" w:rsidP="00045258">
      <w:pPr>
        <w:pStyle w:val="Style1"/>
        <w:numPr>
          <w:ilvl w:val="0"/>
          <w:numId w:val="6"/>
        </w:numPr>
        <w:spacing w:before="140"/>
        <w:ind w:left="431" w:hanging="431"/>
        <w:rPr>
          <w:color w:val="auto"/>
        </w:rPr>
      </w:pPr>
      <w:r w:rsidRPr="009003D7">
        <w:rPr>
          <w:color w:val="auto"/>
        </w:rPr>
        <w:t>The essential issues set out in the NRA were also not news to SBC.</w:t>
      </w:r>
      <w:r w:rsidR="0037752F" w:rsidRPr="009003D7">
        <w:rPr>
          <w:color w:val="auto"/>
        </w:rPr>
        <w:t xml:space="preserve"> </w:t>
      </w:r>
      <w:r w:rsidRPr="009003D7">
        <w:rPr>
          <w:color w:val="auto"/>
        </w:rPr>
        <w:t>Whilst the issues within the NRA are fundamental and comprehensive, it was</w:t>
      </w:r>
      <w:r w:rsidR="0037752F" w:rsidRPr="009003D7">
        <w:rPr>
          <w:color w:val="auto"/>
        </w:rPr>
        <w:t xml:space="preserve"> </w:t>
      </w:r>
      <w:r w:rsidRPr="009003D7">
        <w:rPr>
          <w:color w:val="auto"/>
        </w:rPr>
        <w:t>never a lengthy read. Tellingly, the costs application provides no detail as to what</w:t>
      </w:r>
      <w:r w:rsidR="0037752F" w:rsidRPr="009003D7">
        <w:rPr>
          <w:color w:val="auto"/>
        </w:rPr>
        <w:t xml:space="preserve"> </w:t>
      </w:r>
      <w:r w:rsidRPr="009003D7">
        <w:rPr>
          <w:color w:val="auto"/>
        </w:rPr>
        <w:t>SBC found within the NRA that they either did not already know, could not</w:t>
      </w:r>
      <w:r w:rsidR="0037752F" w:rsidRPr="009003D7">
        <w:rPr>
          <w:color w:val="auto"/>
        </w:rPr>
        <w:t xml:space="preserve"> </w:t>
      </w:r>
      <w:r w:rsidRPr="009003D7">
        <w:rPr>
          <w:color w:val="auto"/>
        </w:rPr>
        <w:t>reasonably have already known from what was obvious and logically clear, or</w:t>
      </w:r>
      <w:r w:rsidR="0037752F" w:rsidRPr="009003D7">
        <w:rPr>
          <w:color w:val="auto"/>
        </w:rPr>
        <w:t xml:space="preserve"> </w:t>
      </w:r>
      <w:r w:rsidRPr="009003D7">
        <w:rPr>
          <w:color w:val="auto"/>
        </w:rPr>
        <w:t>could not reasonably have uncovered from NR had it simply asked even if it did</w:t>
      </w:r>
      <w:r w:rsidR="0037752F" w:rsidRPr="009003D7">
        <w:rPr>
          <w:color w:val="auto"/>
        </w:rPr>
        <w:t xml:space="preserve"> </w:t>
      </w:r>
      <w:r w:rsidRPr="009003D7">
        <w:rPr>
          <w:color w:val="auto"/>
        </w:rPr>
        <w:t>not know.</w:t>
      </w:r>
      <w:r w:rsidR="009C0A6E">
        <w:rPr>
          <w:color w:val="auto"/>
        </w:rPr>
        <w:t xml:space="preserve"> There is a clear difference from an authority waiting for approaches to be made to it and one waiting for approaches from another public authority.</w:t>
      </w:r>
    </w:p>
    <w:p w14:paraId="69B103B2" w14:textId="37A41119" w:rsidR="00F0086F" w:rsidRPr="00666774" w:rsidRDefault="00666774" w:rsidP="00EB66F5">
      <w:pPr>
        <w:pStyle w:val="Style1"/>
        <w:numPr>
          <w:ilvl w:val="0"/>
          <w:numId w:val="6"/>
        </w:numPr>
        <w:spacing w:before="140"/>
        <w:ind w:left="431" w:hanging="431"/>
        <w:rPr>
          <w:color w:val="auto"/>
        </w:rPr>
      </w:pPr>
      <w:r w:rsidRPr="00666774">
        <w:rPr>
          <w:color w:val="auto"/>
        </w:rPr>
        <w:t xml:space="preserve">A fundamental limb of this </w:t>
      </w:r>
      <w:proofErr w:type="gramStart"/>
      <w:r w:rsidRPr="00666774">
        <w:rPr>
          <w:color w:val="auto"/>
        </w:rPr>
        <w:t>costs</w:t>
      </w:r>
      <w:proofErr w:type="gramEnd"/>
      <w:r w:rsidRPr="00666774">
        <w:rPr>
          <w:color w:val="auto"/>
        </w:rPr>
        <w:t xml:space="preserve"> application is on the preface of imposing duties on NR that are not theirs to discharge. NR have sought to assist the Inquiry over and above what they were required to do. </w:t>
      </w:r>
      <w:r w:rsidR="001552E1" w:rsidRPr="00666774">
        <w:rPr>
          <w:color w:val="auto"/>
        </w:rPr>
        <w:t xml:space="preserve">As to bundles, NR did not need to produce any of these ‘bundles’ for the </w:t>
      </w:r>
      <w:r w:rsidR="00747B99" w:rsidRPr="00666774">
        <w:rPr>
          <w:color w:val="auto"/>
        </w:rPr>
        <w:t>I</w:t>
      </w:r>
      <w:r w:rsidR="001552E1" w:rsidRPr="00666774">
        <w:rPr>
          <w:color w:val="auto"/>
        </w:rPr>
        <w:t>nquiry.</w:t>
      </w:r>
      <w:r w:rsidR="0037752F" w:rsidRPr="00666774">
        <w:rPr>
          <w:color w:val="auto"/>
        </w:rPr>
        <w:t xml:space="preserve"> </w:t>
      </w:r>
      <w:r w:rsidR="001552E1" w:rsidRPr="00666774">
        <w:rPr>
          <w:color w:val="auto"/>
        </w:rPr>
        <w:t>It volunteered an additional role, to help all. Comparatively, SBC offered nothing</w:t>
      </w:r>
      <w:r w:rsidR="0037752F" w:rsidRPr="00666774">
        <w:rPr>
          <w:color w:val="auto"/>
        </w:rPr>
        <w:t xml:space="preserve"> </w:t>
      </w:r>
      <w:r w:rsidR="001552E1" w:rsidRPr="00666774">
        <w:rPr>
          <w:color w:val="auto"/>
        </w:rPr>
        <w:t>in this regard. NR’s evidence was already lodged, on time, save for the summar</w:t>
      </w:r>
      <w:r w:rsidR="0037752F" w:rsidRPr="00666774">
        <w:rPr>
          <w:color w:val="auto"/>
        </w:rPr>
        <w:t xml:space="preserve">y </w:t>
      </w:r>
      <w:proofErr w:type="spellStart"/>
      <w:r w:rsidR="001552E1" w:rsidRPr="00666774">
        <w:rPr>
          <w:color w:val="auto"/>
        </w:rPr>
        <w:t>PoEs</w:t>
      </w:r>
      <w:proofErr w:type="spellEnd"/>
      <w:r w:rsidR="001552E1" w:rsidRPr="00666774">
        <w:rPr>
          <w:color w:val="auto"/>
        </w:rPr>
        <w:t>. In producing the bundles, NR simply responded to an appropriate</w:t>
      </w:r>
      <w:r w:rsidR="0037752F" w:rsidRPr="00666774">
        <w:rPr>
          <w:color w:val="auto"/>
        </w:rPr>
        <w:t xml:space="preserve"> </w:t>
      </w:r>
      <w:r w:rsidR="001552E1" w:rsidRPr="00666774">
        <w:rPr>
          <w:color w:val="auto"/>
        </w:rPr>
        <w:t>invitation of the Inspector</w:t>
      </w:r>
      <w:r w:rsidR="00F0086F" w:rsidRPr="00666774">
        <w:rPr>
          <w:color w:val="auto"/>
        </w:rPr>
        <w:t xml:space="preserve">; </w:t>
      </w:r>
      <w:r w:rsidR="001552E1" w:rsidRPr="00666774">
        <w:rPr>
          <w:color w:val="auto"/>
        </w:rPr>
        <w:t>NR was, and always will be, happy to oblige. Within</w:t>
      </w:r>
      <w:r w:rsidR="0037752F" w:rsidRPr="00666774">
        <w:rPr>
          <w:color w:val="auto"/>
        </w:rPr>
        <w:t xml:space="preserve"> </w:t>
      </w:r>
      <w:r w:rsidR="001552E1" w:rsidRPr="00666774">
        <w:rPr>
          <w:color w:val="auto"/>
        </w:rPr>
        <w:t>the time available and given limited resourcing at a resource</w:t>
      </w:r>
      <w:r w:rsidR="00F0086F" w:rsidRPr="00666774">
        <w:rPr>
          <w:color w:val="auto"/>
        </w:rPr>
        <w:t>d</w:t>
      </w:r>
      <w:r w:rsidR="001552E1" w:rsidRPr="00666774">
        <w:rPr>
          <w:color w:val="auto"/>
        </w:rPr>
        <w:t>-stretch</w:t>
      </w:r>
      <w:r w:rsidR="00F0086F" w:rsidRPr="00666774">
        <w:rPr>
          <w:color w:val="auto"/>
        </w:rPr>
        <w:t>ed</w:t>
      </w:r>
      <w:r w:rsidR="001552E1" w:rsidRPr="00666774">
        <w:rPr>
          <w:color w:val="auto"/>
        </w:rPr>
        <w:t xml:space="preserve"> time, NR</w:t>
      </w:r>
      <w:r w:rsidR="0037752F" w:rsidRPr="00666774">
        <w:rPr>
          <w:color w:val="auto"/>
        </w:rPr>
        <w:t xml:space="preserve"> </w:t>
      </w:r>
      <w:r w:rsidR="001552E1" w:rsidRPr="00666774">
        <w:rPr>
          <w:color w:val="auto"/>
        </w:rPr>
        <w:t xml:space="preserve">did the best that it was able to do. </w:t>
      </w:r>
      <w:r w:rsidR="00F0086F" w:rsidRPr="00666774">
        <w:rPr>
          <w:color w:val="auto"/>
        </w:rPr>
        <w:t xml:space="preserve">NR do not suggest that the bundles were </w:t>
      </w:r>
      <w:proofErr w:type="gramStart"/>
      <w:r w:rsidR="00F0086F" w:rsidRPr="00666774">
        <w:rPr>
          <w:color w:val="auto"/>
        </w:rPr>
        <w:t>perfect</w:t>
      </w:r>
      <w:proofErr w:type="gramEnd"/>
      <w:r w:rsidR="007C6A34" w:rsidRPr="00666774">
        <w:rPr>
          <w:color w:val="auto"/>
        </w:rPr>
        <w:t xml:space="preserve"> but that criticism goes nowhere. </w:t>
      </w:r>
    </w:p>
    <w:p w14:paraId="619C9F1E" w14:textId="18DBABF9" w:rsidR="001552E1" w:rsidRPr="00747B99" w:rsidRDefault="001552E1" w:rsidP="00622BAC">
      <w:pPr>
        <w:pStyle w:val="Style1"/>
        <w:numPr>
          <w:ilvl w:val="0"/>
          <w:numId w:val="6"/>
        </w:numPr>
        <w:spacing w:before="140"/>
        <w:ind w:left="431" w:hanging="431"/>
        <w:rPr>
          <w:color w:val="auto"/>
        </w:rPr>
      </w:pPr>
      <w:r w:rsidRPr="00747B99">
        <w:rPr>
          <w:color w:val="auto"/>
        </w:rPr>
        <w:t>SBC did not itself</w:t>
      </w:r>
      <w:r w:rsidR="0037752F" w:rsidRPr="00747B99">
        <w:rPr>
          <w:color w:val="auto"/>
        </w:rPr>
        <w:t xml:space="preserve"> </w:t>
      </w:r>
      <w:r w:rsidRPr="00747B99">
        <w:rPr>
          <w:color w:val="auto"/>
        </w:rPr>
        <w:t xml:space="preserve">circulate any such bundle between the parties, </w:t>
      </w:r>
      <w:r w:rsidR="001F4C6A">
        <w:rPr>
          <w:color w:val="auto"/>
        </w:rPr>
        <w:t>not</w:t>
      </w:r>
      <w:r w:rsidRPr="00747B99">
        <w:rPr>
          <w:color w:val="auto"/>
        </w:rPr>
        <w:t xml:space="preserve"> producing anything beyond</w:t>
      </w:r>
      <w:r w:rsidR="0037752F" w:rsidRPr="00747B99">
        <w:rPr>
          <w:color w:val="auto"/>
        </w:rPr>
        <w:t xml:space="preserve"> </w:t>
      </w:r>
      <w:r w:rsidRPr="00747B99">
        <w:rPr>
          <w:color w:val="auto"/>
        </w:rPr>
        <w:t xml:space="preserve">its own thin </w:t>
      </w:r>
      <w:r w:rsidR="00CD31C2">
        <w:rPr>
          <w:color w:val="auto"/>
        </w:rPr>
        <w:t>SoC</w:t>
      </w:r>
      <w:r w:rsidRPr="00747B99">
        <w:rPr>
          <w:color w:val="auto"/>
        </w:rPr>
        <w:t xml:space="preserve"> and PoE. SBC’s approach was not to make any active</w:t>
      </w:r>
      <w:r w:rsidR="0037752F" w:rsidRPr="00747B99">
        <w:rPr>
          <w:color w:val="auto"/>
        </w:rPr>
        <w:t xml:space="preserve"> </w:t>
      </w:r>
      <w:r w:rsidRPr="00747B99">
        <w:rPr>
          <w:color w:val="auto"/>
        </w:rPr>
        <w:t>enquiries of</w:t>
      </w:r>
      <w:r w:rsidR="00240128">
        <w:rPr>
          <w:color w:val="auto"/>
        </w:rPr>
        <w:t xml:space="preserve"> the </w:t>
      </w:r>
      <w:r w:rsidRPr="00747B99">
        <w:rPr>
          <w:color w:val="auto"/>
        </w:rPr>
        <w:t>P</w:t>
      </w:r>
      <w:r w:rsidR="00240128">
        <w:rPr>
          <w:color w:val="auto"/>
        </w:rPr>
        <w:t xml:space="preserve">lanning </w:t>
      </w:r>
      <w:r w:rsidRPr="00747B99">
        <w:rPr>
          <w:color w:val="auto"/>
        </w:rPr>
        <w:t>I</w:t>
      </w:r>
      <w:r w:rsidR="00240128">
        <w:rPr>
          <w:color w:val="auto"/>
        </w:rPr>
        <w:t xml:space="preserve">nspectorate </w:t>
      </w:r>
      <w:r w:rsidRPr="00747B99">
        <w:rPr>
          <w:color w:val="auto"/>
        </w:rPr>
        <w:t xml:space="preserve">or NR after the relevant start </w:t>
      </w:r>
      <w:r w:rsidR="0073364C">
        <w:rPr>
          <w:color w:val="auto"/>
        </w:rPr>
        <w:t>d</w:t>
      </w:r>
      <w:r w:rsidRPr="00747B99">
        <w:rPr>
          <w:color w:val="auto"/>
        </w:rPr>
        <w:t>ate had passed, still less</w:t>
      </w:r>
      <w:r w:rsidR="0037752F" w:rsidRPr="00747B99">
        <w:rPr>
          <w:color w:val="auto"/>
        </w:rPr>
        <w:t xml:space="preserve"> </w:t>
      </w:r>
      <w:r w:rsidRPr="00747B99">
        <w:rPr>
          <w:color w:val="auto"/>
        </w:rPr>
        <w:t>suitably in advance of the Inquiry</w:t>
      </w:r>
      <w:r w:rsidR="000B6E6D">
        <w:rPr>
          <w:color w:val="auto"/>
        </w:rPr>
        <w:t>,</w:t>
      </w:r>
      <w:r w:rsidRPr="00747B99">
        <w:rPr>
          <w:color w:val="auto"/>
        </w:rPr>
        <w:t xml:space="preserve"> of documents that might not have reached it</w:t>
      </w:r>
      <w:r w:rsidR="0037752F" w:rsidRPr="00747B99">
        <w:rPr>
          <w:color w:val="auto"/>
        </w:rPr>
        <w:t xml:space="preserve"> </w:t>
      </w:r>
      <w:r w:rsidR="00240128" w:rsidRPr="00747B99">
        <w:rPr>
          <w:color w:val="auto"/>
        </w:rPr>
        <w:t xml:space="preserve">in time </w:t>
      </w:r>
      <w:r w:rsidRPr="00747B99">
        <w:rPr>
          <w:color w:val="auto"/>
        </w:rPr>
        <w:t xml:space="preserve">from </w:t>
      </w:r>
      <w:r w:rsidR="00240128">
        <w:rPr>
          <w:color w:val="auto"/>
        </w:rPr>
        <w:t xml:space="preserve">the </w:t>
      </w:r>
      <w:r w:rsidRPr="00747B99">
        <w:rPr>
          <w:color w:val="auto"/>
        </w:rPr>
        <w:t>P</w:t>
      </w:r>
      <w:r w:rsidR="00240128">
        <w:rPr>
          <w:color w:val="auto"/>
        </w:rPr>
        <w:t xml:space="preserve">lanning </w:t>
      </w:r>
      <w:r w:rsidRPr="00747B99">
        <w:rPr>
          <w:color w:val="auto"/>
        </w:rPr>
        <w:t>I</w:t>
      </w:r>
      <w:r w:rsidR="00240128">
        <w:rPr>
          <w:color w:val="auto"/>
        </w:rPr>
        <w:t xml:space="preserve">nspectorate, </w:t>
      </w:r>
      <w:r w:rsidRPr="00747B99">
        <w:rPr>
          <w:color w:val="auto"/>
        </w:rPr>
        <w:t>not NR</w:t>
      </w:r>
      <w:r w:rsidR="00240128">
        <w:rPr>
          <w:color w:val="auto"/>
        </w:rPr>
        <w:t>.</w:t>
      </w:r>
      <w:r w:rsidRPr="00747B99">
        <w:rPr>
          <w:color w:val="auto"/>
        </w:rPr>
        <w:t xml:space="preserve"> Such an apparent lack </w:t>
      </w:r>
      <w:proofErr w:type="gramStart"/>
      <w:r w:rsidRPr="00747B99">
        <w:rPr>
          <w:color w:val="auto"/>
        </w:rPr>
        <w:t xml:space="preserve">of </w:t>
      </w:r>
      <w:r w:rsidR="00EE634A" w:rsidRPr="00747B99">
        <w:rPr>
          <w:color w:val="auto"/>
        </w:rPr>
        <w:t xml:space="preserve"> </w:t>
      </w:r>
      <w:r w:rsidRPr="00747B99">
        <w:rPr>
          <w:color w:val="auto"/>
        </w:rPr>
        <w:t>engagement</w:t>
      </w:r>
      <w:proofErr w:type="gramEnd"/>
      <w:r w:rsidRPr="00747B99">
        <w:rPr>
          <w:color w:val="auto"/>
        </w:rPr>
        <w:t xml:space="preserve"> with the pre-</w:t>
      </w:r>
      <w:r w:rsidR="00240128">
        <w:rPr>
          <w:color w:val="auto"/>
        </w:rPr>
        <w:t xml:space="preserve">Inquiry </w:t>
      </w:r>
      <w:r w:rsidRPr="00747B99">
        <w:rPr>
          <w:color w:val="auto"/>
        </w:rPr>
        <w:t xml:space="preserve">process is not productive </w:t>
      </w:r>
      <w:r w:rsidRPr="00747B99">
        <w:rPr>
          <w:color w:val="auto"/>
        </w:rPr>
        <w:lastRenderedPageBreak/>
        <w:t>and</w:t>
      </w:r>
      <w:r w:rsidR="00EE634A" w:rsidRPr="00747B99">
        <w:rPr>
          <w:color w:val="auto"/>
        </w:rPr>
        <w:t xml:space="preserve"> </w:t>
      </w:r>
      <w:r w:rsidRPr="00747B99">
        <w:rPr>
          <w:color w:val="auto"/>
        </w:rPr>
        <w:t>should not be encouraged, by characterising other part</w:t>
      </w:r>
      <w:r w:rsidR="000B6E6D">
        <w:rPr>
          <w:color w:val="auto"/>
        </w:rPr>
        <w:t>ie</w:t>
      </w:r>
      <w:r w:rsidRPr="00747B99">
        <w:rPr>
          <w:color w:val="auto"/>
        </w:rPr>
        <w:t>s as behaving</w:t>
      </w:r>
      <w:r w:rsidR="00EE634A" w:rsidRPr="00747B99">
        <w:rPr>
          <w:color w:val="auto"/>
        </w:rPr>
        <w:t xml:space="preserve"> </w:t>
      </w:r>
      <w:r w:rsidRPr="00747B99">
        <w:rPr>
          <w:color w:val="auto"/>
        </w:rPr>
        <w:t>unreasonably. It has long since been the known practice that principal objecting</w:t>
      </w:r>
      <w:r w:rsidR="00EE634A" w:rsidRPr="00747B99">
        <w:rPr>
          <w:color w:val="auto"/>
        </w:rPr>
        <w:t xml:space="preserve"> </w:t>
      </w:r>
      <w:r w:rsidRPr="00747B99">
        <w:rPr>
          <w:color w:val="auto"/>
        </w:rPr>
        <w:t xml:space="preserve">parties should liaise with </w:t>
      </w:r>
      <w:r w:rsidR="00240128">
        <w:rPr>
          <w:color w:val="auto"/>
        </w:rPr>
        <w:t xml:space="preserve">the Planning </w:t>
      </w:r>
      <w:r w:rsidRPr="00747B99">
        <w:rPr>
          <w:color w:val="auto"/>
        </w:rPr>
        <w:t>I</w:t>
      </w:r>
      <w:r w:rsidR="00240128">
        <w:rPr>
          <w:color w:val="auto"/>
        </w:rPr>
        <w:t xml:space="preserve">nspectorate, </w:t>
      </w:r>
      <w:proofErr w:type="gramStart"/>
      <w:r w:rsidRPr="00747B99">
        <w:rPr>
          <w:color w:val="auto"/>
        </w:rPr>
        <w:t>and also</w:t>
      </w:r>
      <w:proofErr w:type="gramEnd"/>
      <w:r w:rsidRPr="00747B99">
        <w:rPr>
          <w:color w:val="auto"/>
        </w:rPr>
        <w:t xml:space="preserve"> with the providing party</w:t>
      </w:r>
      <w:r w:rsidR="00240128">
        <w:rPr>
          <w:color w:val="auto"/>
        </w:rPr>
        <w:t>,</w:t>
      </w:r>
      <w:r w:rsidRPr="00747B99">
        <w:rPr>
          <w:color w:val="auto"/>
        </w:rPr>
        <w:t xml:space="preserve"> to source</w:t>
      </w:r>
      <w:r w:rsidR="00EE634A" w:rsidRPr="00747B99">
        <w:rPr>
          <w:color w:val="auto"/>
        </w:rPr>
        <w:t xml:space="preserve"> </w:t>
      </w:r>
      <w:r w:rsidRPr="00747B99">
        <w:rPr>
          <w:color w:val="auto"/>
        </w:rPr>
        <w:t>documents if they have not received them on time. Evidently, SBC did not act in</w:t>
      </w:r>
      <w:r w:rsidR="00EE634A" w:rsidRPr="00747B99">
        <w:rPr>
          <w:color w:val="auto"/>
        </w:rPr>
        <w:t xml:space="preserve"> </w:t>
      </w:r>
      <w:r w:rsidRPr="00747B99">
        <w:rPr>
          <w:color w:val="auto"/>
        </w:rPr>
        <w:t>this respect</w:t>
      </w:r>
      <w:r w:rsidR="00901A1F">
        <w:rPr>
          <w:color w:val="auto"/>
        </w:rPr>
        <w:t>, a</w:t>
      </w:r>
      <w:r w:rsidRPr="00747B99">
        <w:rPr>
          <w:color w:val="auto"/>
        </w:rPr>
        <w:t>s</w:t>
      </w:r>
      <w:r w:rsidR="00901A1F">
        <w:rPr>
          <w:color w:val="auto"/>
        </w:rPr>
        <w:t xml:space="preserve"> they have</w:t>
      </w:r>
      <w:r w:rsidRPr="00747B99">
        <w:rPr>
          <w:color w:val="auto"/>
        </w:rPr>
        <w:t xml:space="preserve"> not said </w:t>
      </w:r>
      <w:r w:rsidR="00901A1F">
        <w:rPr>
          <w:color w:val="auto"/>
        </w:rPr>
        <w:t xml:space="preserve">that </w:t>
      </w:r>
      <w:r w:rsidRPr="00747B99">
        <w:rPr>
          <w:color w:val="auto"/>
        </w:rPr>
        <w:t>t</w:t>
      </w:r>
      <w:r w:rsidR="00901A1F">
        <w:rPr>
          <w:color w:val="auto"/>
        </w:rPr>
        <w:t xml:space="preserve">hey </w:t>
      </w:r>
      <w:r w:rsidRPr="00747B99">
        <w:rPr>
          <w:color w:val="auto"/>
        </w:rPr>
        <w:t>did liaise with</w:t>
      </w:r>
      <w:r w:rsidR="00901A1F">
        <w:rPr>
          <w:color w:val="auto"/>
        </w:rPr>
        <w:t xml:space="preserve"> the </w:t>
      </w:r>
      <w:r w:rsidRPr="00747B99">
        <w:rPr>
          <w:color w:val="auto"/>
        </w:rPr>
        <w:t>P</w:t>
      </w:r>
      <w:r w:rsidR="00901A1F">
        <w:rPr>
          <w:color w:val="auto"/>
        </w:rPr>
        <w:t xml:space="preserve">lanning </w:t>
      </w:r>
      <w:r w:rsidRPr="00747B99">
        <w:rPr>
          <w:color w:val="auto"/>
        </w:rPr>
        <w:t>I</w:t>
      </w:r>
      <w:r w:rsidR="00901A1F">
        <w:rPr>
          <w:color w:val="auto"/>
        </w:rPr>
        <w:t xml:space="preserve">nspectorate </w:t>
      </w:r>
      <w:r w:rsidRPr="00747B99">
        <w:rPr>
          <w:color w:val="auto"/>
        </w:rPr>
        <w:t>or NR</w:t>
      </w:r>
      <w:r w:rsidR="00AD160B">
        <w:rPr>
          <w:color w:val="auto"/>
        </w:rPr>
        <w:t xml:space="preserve">, but </w:t>
      </w:r>
      <w:r w:rsidRPr="00747B99">
        <w:rPr>
          <w:color w:val="auto"/>
        </w:rPr>
        <w:t>now</w:t>
      </w:r>
      <w:r w:rsidR="00EE634A" w:rsidRPr="00747B99">
        <w:rPr>
          <w:color w:val="auto"/>
        </w:rPr>
        <w:t xml:space="preserve"> </w:t>
      </w:r>
      <w:r w:rsidRPr="00747B99">
        <w:rPr>
          <w:color w:val="auto"/>
        </w:rPr>
        <w:t>complain as to what should have been a foreseeable outcome.</w:t>
      </w:r>
    </w:p>
    <w:p w14:paraId="54FAAE88" w14:textId="74FD7F14" w:rsidR="001552E1" w:rsidRPr="00D97D70" w:rsidRDefault="00AD160B" w:rsidP="00FB1612">
      <w:pPr>
        <w:pStyle w:val="Style1"/>
        <w:numPr>
          <w:ilvl w:val="0"/>
          <w:numId w:val="6"/>
        </w:numPr>
        <w:spacing w:before="140"/>
        <w:ind w:left="431" w:hanging="431"/>
        <w:rPr>
          <w:color w:val="auto"/>
        </w:rPr>
      </w:pPr>
      <w:r w:rsidRPr="00D97D70">
        <w:rPr>
          <w:color w:val="auto"/>
        </w:rPr>
        <w:t>In relation to the o</w:t>
      </w:r>
      <w:r w:rsidR="001552E1" w:rsidRPr="00D97D70">
        <w:rPr>
          <w:color w:val="auto"/>
        </w:rPr>
        <w:t>ptioneering assessment</w:t>
      </w:r>
      <w:r w:rsidRPr="00D97D70">
        <w:rPr>
          <w:color w:val="auto"/>
        </w:rPr>
        <w:t xml:space="preserve"> </w:t>
      </w:r>
      <w:r w:rsidR="001552E1" w:rsidRPr="00D97D70">
        <w:rPr>
          <w:color w:val="auto"/>
        </w:rPr>
        <w:t xml:space="preserve">SBC has never raised a positive case </w:t>
      </w:r>
      <w:proofErr w:type="gramStart"/>
      <w:r w:rsidR="001552E1" w:rsidRPr="00D97D70">
        <w:rPr>
          <w:color w:val="auto"/>
        </w:rPr>
        <w:t>with regard to</w:t>
      </w:r>
      <w:proofErr w:type="gramEnd"/>
      <w:r w:rsidR="001552E1" w:rsidRPr="00D97D70">
        <w:rPr>
          <w:color w:val="auto"/>
        </w:rPr>
        <w:t xml:space="preserve"> any option, to suggest</w:t>
      </w:r>
      <w:r w:rsidR="00EE634A" w:rsidRPr="00D97D70">
        <w:rPr>
          <w:color w:val="auto"/>
        </w:rPr>
        <w:t xml:space="preserve"> </w:t>
      </w:r>
      <w:r w:rsidR="001552E1" w:rsidRPr="00D97D70">
        <w:rPr>
          <w:color w:val="auto"/>
        </w:rPr>
        <w:t xml:space="preserve">that its implementation would probably render the </w:t>
      </w:r>
      <w:r w:rsidR="00D5590F" w:rsidRPr="00D97D70">
        <w:rPr>
          <w:color w:val="auto"/>
        </w:rPr>
        <w:t>crossing s</w:t>
      </w:r>
      <w:r w:rsidR="001552E1" w:rsidRPr="00D97D70">
        <w:rPr>
          <w:color w:val="auto"/>
        </w:rPr>
        <w:t>afe for public</w:t>
      </w:r>
      <w:r w:rsidR="00EE634A" w:rsidRPr="00D97D70">
        <w:rPr>
          <w:color w:val="auto"/>
        </w:rPr>
        <w:t xml:space="preserve"> </w:t>
      </w:r>
      <w:r w:rsidR="001552E1" w:rsidRPr="00D97D70">
        <w:rPr>
          <w:color w:val="auto"/>
        </w:rPr>
        <w:t xml:space="preserve">use. This includes S1 interventions, and realignment, </w:t>
      </w:r>
      <w:r w:rsidR="00080055" w:rsidRPr="00D97D70">
        <w:rPr>
          <w:color w:val="auto"/>
        </w:rPr>
        <w:t xml:space="preserve">which were </w:t>
      </w:r>
      <w:r w:rsidR="001552E1" w:rsidRPr="00D97D70">
        <w:rPr>
          <w:color w:val="auto"/>
        </w:rPr>
        <w:t>the source of SBC’s</w:t>
      </w:r>
      <w:r w:rsidR="00EE634A" w:rsidRPr="00D97D70">
        <w:rPr>
          <w:color w:val="auto"/>
        </w:rPr>
        <w:t xml:space="preserve"> </w:t>
      </w:r>
      <w:r w:rsidR="001552E1" w:rsidRPr="00D97D70">
        <w:rPr>
          <w:color w:val="auto"/>
        </w:rPr>
        <w:t>enquiry</w:t>
      </w:r>
      <w:r w:rsidR="00080055" w:rsidRPr="00D97D70">
        <w:rPr>
          <w:color w:val="auto"/>
        </w:rPr>
        <w:t xml:space="preserve">. </w:t>
      </w:r>
      <w:r w:rsidR="001552E1" w:rsidRPr="00D97D70">
        <w:rPr>
          <w:color w:val="auto"/>
        </w:rPr>
        <w:t>Even had SBC made a positive case on either of these two interventions, it was perfectly plain that they were not going to</w:t>
      </w:r>
      <w:r w:rsidR="00EE634A" w:rsidRPr="00D97D70">
        <w:rPr>
          <w:color w:val="auto"/>
        </w:rPr>
        <w:t xml:space="preserve"> </w:t>
      </w:r>
      <w:r w:rsidR="001552E1" w:rsidRPr="00D97D70">
        <w:rPr>
          <w:color w:val="auto"/>
        </w:rPr>
        <w:t>change the end outcome on public safety</w:t>
      </w:r>
      <w:r w:rsidR="00080055" w:rsidRPr="00D97D70">
        <w:rPr>
          <w:color w:val="auto"/>
        </w:rPr>
        <w:t xml:space="preserve"> and t</w:t>
      </w:r>
      <w:r w:rsidR="001552E1" w:rsidRPr="00D97D70">
        <w:rPr>
          <w:color w:val="auto"/>
        </w:rPr>
        <w:t>he information that was before SBC, provided by NR</w:t>
      </w:r>
      <w:r w:rsidR="00080055" w:rsidRPr="00D97D70">
        <w:rPr>
          <w:color w:val="auto"/>
        </w:rPr>
        <w:t>,</w:t>
      </w:r>
      <w:r w:rsidR="001552E1" w:rsidRPr="00D97D70">
        <w:rPr>
          <w:color w:val="auto"/>
        </w:rPr>
        <w:t xml:space="preserve"> confirmed this.</w:t>
      </w:r>
      <w:r w:rsidR="00D97D70" w:rsidRPr="00D97D70">
        <w:rPr>
          <w:color w:val="auto"/>
        </w:rPr>
        <w:t xml:space="preserve"> </w:t>
      </w:r>
      <w:r w:rsidR="001552E1" w:rsidRPr="00D97D70">
        <w:rPr>
          <w:color w:val="auto"/>
        </w:rPr>
        <w:t xml:space="preserve">The circumstances of the </w:t>
      </w:r>
      <w:r w:rsidR="00D97D70">
        <w:rPr>
          <w:color w:val="auto"/>
        </w:rPr>
        <w:t xml:space="preserve">crossing </w:t>
      </w:r>
      <w:r w:rsidR="001552E1" w:rsidRPr="00D97D70">
        <w:rPr>
          <w:color w:val="auto"/>
        </w:rPr>
        <w:t>and its surrounds plainly confirmed this.</w:t>
      </w:r>
      <w:r w:rsidR="00EE634A" w:rsidRPr="00D97D70">
        <w:rPr>
          <w:color w:val="auto"/>
        </w:rPr>
        <w:t xml:space="preserve"> </w:t>
      </w:r>
      <w:r w:rsidR="001552E1" w:rsidRPr="00D97D70">
        <w:rPr>
          <w:color w:val="auto"/>
        </w:rPr>
        <w:t>SBC has either not considered the obvious or has chosen to either not</w:t>
      </w:r>
      <w:r w:rsidR="00EE634A" w:rsidRPr="00D97D70">
        <w:rPr>
          <w:color w:val="auto"/>
        </w:rPr>
        <w:t xml:space="preserve"> </w:t>
      </w:r>
      <w:r w:rsidR="001552E1" w:rsidRPr="00D97D70">
        <w:rPr>
          <w:color w:val="auto"/>
        </w:rPr>
        <w:t>consider, or to shut its eyes to this reality</w:t>
      </w:r>
      <w:r w:rsidR="00F232DA">
        <w:rPr>
          <w:color w:val="auto"/>
        </w:rPr>
        <w:t>;</w:t>
      </w:r>
      <w:r w:rsidR="00D97D70">
        <w:rPr>
          <w:color w:val="auto"/>
        </w:rPr>
        <w:t xml:space="preserve"> </w:t>
      </w:r>
      <w:r w:rsidR="001552E1" w:rsidRPr="00D97D70">
        <w:rPr>
          <w:color w:val="auto"/>
        </w:rPr>
        <w:t>neither is an appropriate way</w:t>
      </w:r>
      <w:r w:rsidR="00EE634A" w:rsidRPr="00D97D70">
        <w:rPr>
          <w:color w:val="auto"/>
        </w:rPr>
        <w:t xml:space="preserve"> </w:t>
      </w:r>
      <w:r w:rsidR="001552E1" w:rsidRPr="00D97D70">
        <w:rPr>
          <w:color w:val="auto"/>
        </w:rPr>
        <w:t>forward</w:t>
      </w:r>
      <w:r w:rsidR="00D97D70">
        <w:rPr>
          <w:color w:val="auto"/>
        </w:rPr>
        <w:t>.</w:t>
      </w:r>
    </w:p>
    <w:p w14:paraId="15F798B3" w14:textId="77777777" w:rsidR="004F6FE1" w:rsidRDefault="001552E1" w:rsidP="004F6FE1">
      <w:pPr>
        <w:pStyle w:val="Style1"/>
        <w:numPr>
          <w:ilvl w:val="0"/>
          <w:numId w:val="6"/>
        </w:numPr>
        <w:spacing w:before="140"/>
        <w:ind w:left="431" w:hanging="431"/>
        <w:rPr>
          <w:color w:val="auto"/>
        </w:rPr>
      </w:pPr>
      <w:r w:rsidRPr="00D97D70">
        <w:rPr>
          <w:color w:val="auto"/>
        </w:rPr>
        <w:t>“</w:t>
      </w:r>
      <w:r w:rsidR="00D97D70" w:rsidRPr="00D97D70">
        <w:rPr>
          <w:color w:val="auto"/>
        </w:rPr>
        <w:t>A</w:t>
      </w:r>
      <w:r w:rsidRPr="00D97D70">
        <w:rPr>
          <w:color w:val="auto"/>
        </w:rPr>
        <w:t>dditional work” is opaquely referenced as having been</w:t>
      </w:r>
      <w:r w:rsidR="00EE634A" w:rsidRPr="00D97D70">
        <w:rPr>
          <w:color w:val="auto"/>
        </w:rPr>
        <w:t xml:space="preserve"> </w:t>
      </w:r>
      <w:r w:rsidRPr="00D97D70">
        <w:rPr>
          <w:color w:val="auto"/>
        </w:rPr>
        <w:t>incurred in consequence of the NR Notes</w:t>
      </w:r>
      <w:r w:rsidR="00D97D70">
        <w:rPr>
          <w:color w:val="auto"/>
        </w:rPr>
        <w:t xml:space="preserve">, </w:t>
      </w:r>
      <w:r w:rsidRPr="00D97D70">
        <w:rPr>
          <w:color w:val="auto"/>
        </w:rPr>
        <w:t>which were, in part, provided</w:t>
      </w:r>
      <w:r w:rsidR="00EE634A" w:rsidRPr="00D97D70">
        <w:rPr>
          <w:color w:val="auto"/>
        </w:rPr>
        <w:t xml:space="preserve"> </w:t>
      </w:r>
      <w:r w:rsidRPr="00D97D70">
        <w:rPr>
          <w:color w:val="auto"/>
        </w:rPr>
        <w:t>at SBC’s own request and otherwise would not have come forward</w:t>
      </w:r>
      <w:r w:rsidR="005E3978">
        <w:rPr>
          <w:color w:val="auto"/>
        </w:rPr>
        <w:t xml:space="preserve">, </w:t>
      </w:r>
      <w:r w:rsidRPr="00D97D70">
        <w:rPr>
          <w:color w:val="auto"/>
        </w:rPr>
        <w:t>but with no detail given. Those</w:t>
      </w:r>
      <w:r w:rsidR="00EE634A" w:rsidRPr="00D97D70">
        <w:rPr>
          <w:color w:val="auto"/>
        </w:rPr>
        <w:t xml:space="preserve"> </w:t>
      </w:r>
      <w:r w:rsidRPr="00D97D70">
        <w:rPr>
          <w:color w:val="auto"/>
        </w:rPr>
        <w:t>Notes would have been very easily digested, quickly and well within the</w:t>
      </w:r>
      <w:r w:rsidR="00EE634A" w:rsidRPr="00D97D70">
        <w:rPr>
          <w:color w:val="auto"/>
        </w:rPr>
        <w:t xml:space="preserve"> </w:t>
      </w:r>
      <w:r w:rsidRPr="00D97D70">
        <w:rPr>
          <w:color w:val="auto"/>
        </w:rPr>
        <w:t xml:space="preserve">course of the </w:t>
      </w:r>
      <w:r w:rsidR="00CC6993">
        <w:rPr>
          <w:color w:val="auto"/>
        </w:rPr>
        <w:t>I</w:t>
      </w:r>
      <w:r w:rsidRPr="00D97D70">
        <w:rPr>
          <w:color w:val="auto"/>
        </w:rPr>
        <w:t>nquiry sessions themselves</w:t>
      </w:r>
      <w:r w:rsidR="00CC6993">
        <w:rPr>
          <w:color w:val="auto"/>
        </w:rPr>
        <w:t>; a</w:t>
      </w:r>
      <w:r w:rsidRPr="00D97D70">
        <w:rPr>
          <w:color w:val="auto"/>
        </w:rPr>
        <w:t>ny other suggestion is</w:t>
      </w:r>
      <w:r w:rsidR="00EE634A" w:rsidRPr="00D97D70">
        <w:rPr>
          <w:color w:val="auto"/>
        </w:rPr>
        <w:t xml:space="preserve"> </w:t>
      </w:r>
      <w:r w:rsidRPr="00D97D70">
        <w:rPr>
          <w:color w:val="auto"/>
        </w:rPr>
        <w:t>untenable. SBC w</w:t>
      </w:r>
      <w:r w:rsidR="00CC6993">
        <w:rPr>
          <w:color w:val="auto"/>
        </w:rPr>
        <w:t xml:space="preserve">ere not </w:t>
      </w:r>
      <w:r w:rsidRPr="00D97D70">
        <w:rPr>
          <w:color w:val="auto"/>
        </w:rPr>
        <w:t>cross-checking with any</w:t>
      </w:r>
      <w:r w:rsidR="00EE634A" w:rsidRPr="00D97D70">
        <w:rPr>
          <w:color w:val="auto"/>
        </w:rPr>
        <w:t xml:space="preserve"> </w:t>
      </w:r>
      <w:r w:rsidRPr="00D97D70">
        <w:rPr>
          <w:color w:val="auto"/>
        </w:rPr>
        <w:t>independent expert or third party.</w:t>
      </w:r>
    </w:p>
    <w:p w14:paraId="693C3AED" w14:textId="122869C2" w:rsidR="00EE634A" w:rsidRPr="004F6FE1" w:rsidRDefault="00CC6993" w:rsidP="004F6FE1">
      <w:pPr>
        <w:pStyle w:val="Style1"/>
        <w:numPr>
          <w:ilvl w:val="0"/>
          <w:numId w:val="6"/>
        </w:numPr>
        <w:spacing w:before="140"/>
        <w:ind w:left="431" w:hanging="431"/>
        <w:rPr>
          <w:color w:val="auto"/>
        </w:rPr>
      </w:pPr>
      <w:r w:rsidRPr="004F6FE1">
        <w:rPr>
          <w:color w:val="auto"/>
        </w:rPr>
        <w:t>In relation to the a</w:t>
      </w:r>
      <w:r w:rsidR="001552E1" w:rsidRPr="004F6FE1">
        <w:rPr>
          <w:color w:val="auto"/>
        </w:rPr>
        <w:t>l</w:t>
      </w:r>
      <w:r w:rsidRPr="004F6FE1">
        <w:rPr>
          <w:color w:val="auto"/>
        </w:rPr>
        <w:t xml:space="preserve">ternative </w:t>
      </w:r>
      <w:r w:rsidR="001552E1" w:rsidRPr="004F6FE1">
        <w:rPr>
          <w:color w:val="auto"/>
        </w:rPr>
        <w:t>route</w:t>
      </w:r>
      <w:r w:rsidRPr="004F6FE1">
        <w:rPr>
          <w:color w:val="auto"/>
        </w:rPr>
        <w:t xml:space="preserve">, </w:t>
      </w:r>
      <w:r w:rsidR="001552E1" w:rsidRPr="004F6FE1">
        <w:rPr>
          <w:color w:val="auto"/>
        </w:rPr>
        <w:t>SBC has never queried</w:t>
      </w:r>
      <w:r w:rsidRPr="004F6FE1">
        <w:rPr>
          <w:color w:val="auto"/>
        </w:rPr>
        <w:t xml:space="preserve">, </w:t>
      </w:r>
      <w:r w:rsidR="001552E1" w:rsidRPr="004F6FE1">
        <w:rPr>
          <w:color w:val="auto"/>
        </w:rPr>
        <w:t xml:space="preserve">as SCC </w:t>
      </w:r>
      <w:r w:rsidR="002C6369">
        <w:rPr>
          <w:color w:val="auto"/>
        </w:rPr>
        <w:t xml:space="preserve">has </w:t>
      </w:r>
      <w:r w:rsidR="001552E1" w:rsidRPr="004F6FE1">
        <w:rPr>
          <w:color w:val="auto"/>
        </w:rPr>
        <w:t>never queried</w:t>
      </w:r>
      <w:r w:rsidRPr="004F6FE1">
        <w:rPr>
          <w:color w:val="auto"/>
        </w:rPr>
        <w:t xml:space="preserve">, </w:t>
      </w:r>
      <w:r w:rsidR="001552E1" w:rsidRPr="004F6FE1">
        <w:rPr>
          <w:color w:val="auto"/>
        </w:rPr>
        <w:t>the</w:t>
      </w:r>
      <w:r w:rsidR="00EE634A" w:rsidRPr="004F6FE1">
        <w:rPr>
          <w:color w:val="auto"/>
        </w:rPr>
        <w:t xml:space="preserve"> </w:t>
      </w:r>
      <w:r w:rsidR="001552E1" w:rsidRPr="004F6FE1">
        <w:rPr>
          <w:color w:val="auto"/>
        </w:rPr>
        <w:t>reliability of NR to fund the delivery of</w:t>
      </w:r>
      <w:r w:rsidR="002C6369">
        <w:rPr>
          <w:color w:val="auto"/>
        </w:rPr>
        <w:t xml:space="preserve"> the</w:t>
      </w:r>
      <w:r w:rsidR="001552E1" w:rsidRPr="004F6FE1">
        <w:rPr>
          <w:color w:val="auto"/>
        </w:rPr>
        <w:t xml:space="preserve"> works. Today, SBC is</w:t>
      </w:r>
      <w:r w:rsidR="002C6369">
        <w:rPr>
          <w:color w:val="auto"/>
        </w:rPr>
        <w:t xml:space="preserve"> </w:t>
      </w:r>
      <w:r w:rsidR="001552E1" w:rsidRPr="004F6FE1">
        <w:rPr>
          <w:color w:val="auto"/>
        </w:rPr>
        <w:t>not</w:t>
      </w:r>
      <w:r w:rsidR="00EE634A" w:rsidRPr="004F6FE1">
        <w:rPr>
          <w:color w:val="auto"/>
        </w:rPr>
        <w:t xml:space="preserve"> </w:t>
      </w:r>
      <w:r w:rsidR="001552E1" w:rsidRPr="004F6FE1">
        <w:rPr>
          <w:color w:val="auto"/>
        </w:rPr>
        <w:t>a party to the L</w:t>
      </w:r>
      <w:r w:rsidR="00456B6A">
        <w:rPr>
          <w:color w:val="auto"/>
        </w:rPr>
        <w:t xml:space="preserve">etter </w:t>
      </w:r>
      <w:r w:rsidR="001552E1" w:rsidRPr="004F6FE1">
        <w:rPr>
          <w:color w:val="auto"/>
        </w:rPr>
        <w:t>o</w:t>
      </w:r>
      <w:r w:rsidR="00456B6A">
        <w:rPr>
          <w:color w:val="auto"/>
        </w:rPr>
        <w:t xml:space="preserve">f </w:t>
      </w:r>
      <w:r w:rsidR="001552E1" w:rsidRPr="004F6FE1">
        <w:rPr>
          <w:color w:val="auto"/>
        </w:rPr>
        <w:t>U</w:t>
      </w:r>
      <w:r w:rsidR="00456B6A">
        <w:rPr>
          <w:color w:val="auto"/>
        </w:rPr>
        <w:t>nderstanding</w:t>
      </w:r>
      <w:r w:rsidR="001552E1" w:rsidRPr="004F6FE1">
        <w:rPr>
          <w:color w:val="auto"/>
        </w:rPr>
        <w:t xml:space="preserve"> or Funding Agreement</w:t>
      </w:r>
      <w:r w:rsidR="00456B6A">
        <w:rPr>
          <w:rStyle w:val="FootnoteReference"/>
          <w:color w:val="auto"/>
        </w:rPr>
        <w:footnoteReference w:id="9"/>
      </w:r>
      <w:r w:rsidR="001552E1" w:rsidRPr="004F6FE1">
        <w:rPr>
          <w:color w:val="auto"/>
        </w:rPr>
        <w:t>. There is no basis then</w:t>
      </w:r>
      <w:r w:rsidR="00C74868" w:rsidRPr="004F6FE1">
        <w:rPr>
          <w:color w:val="auto"/>
        </w:rPr>
        <w:t xml:space="preserve"> </w:t>
      </w:r>
      <w:r w:rsidR="001552E1" w:rsidRPr="004F6FE1">
        <w:rPr>
          <w:color w:val="auto"/>
        </w:rPr>
        <w:t>for SBC</w:t>
      </w:r>
      <w:r w:rsidR="00EE634A" w:rsidRPr="004F6FE1">
        <w:rPr>
          <w:color w:val="auto"/>
        </w:rPr>
        <w:t xml:space="preserve"> </w:t>
      </w:r>
      <w:r w:rsidR="001552E1" w:rsidRPr="004F6FE1">
        <w:rPr>
          <w:color w:val="auto"/>
        </w:rPr>
        <w:t>to suggest that it privately held a concern</w:t>
      </w:r>
      <w:r w:rsidR="00C74868" w:rsidRPr="004F6FE1">
        <w:rPr>
          <w:color w:val="auto"/>
        </w:rPr>
        <w:t xml:space="preserve">, </w:t>
      </w:r>
      <w:r w:rsidR="001552E1" w:rsidRPr="004F6FE1">
        <w:rPr>
          <w:color w:val="auto"/>
        </w:rPr>
        <w:t>never once expressed</w:t>
      </w:r>
      <w:r w:rsidR="00C74868" w:rsidRPr="004F6FE1">
        <w:rPr>
          <w:color w:val="auto"/>
        </w:rPr>
        <w:t xml:space="preserve">, </w:t>
      </w:r>
      <w:r w:rsidR="001552E1" w:rsidRPr="004F6FE1">
        <w:rPr>
          <w:color w:val="auto"/>
        </w:rPr>
        <w:t>over the</w:t>
      </w:r>
      <w:r w:rsidR="00EE634A" w:rsidRPr="004F6FE1">
        <w:rPr>
          <w:color w:val="auto"/>
        </w:rPr>
        <w:t xml:space="preserve"> </w:t>
      </w:r>
      <w:r w:rsidR="001552E1" w:rsidRPr="004F6FE1">
        <w:rPr>
          <w:color w:val="auto"/>
        </w:rPr>
        <w:t>security of this funding. It is not as if SBC has any historic experience to cast</w:t>
      </w:r>
      <w:r w:rsidR="00EE634A" w:rsidRPr="004F6FE1">
        <w:rPr>
          <w:color w:val="auto"/>
        </w:rPr>
        <w:t xml:space="preserve"> </w:t>
      </w:r>
      <w:r w:rsidR="001552E1" w:rsidRPr="004F6FE1">
        <w:rPr>
          <w:color w:val="auto"/>
        </w:rPr>
        <w:t>any doubt over the credibility of NR to follow through with committed funding.</w:t>
      </w:r>
      <w:r w:rsidR="00C74868" w:rsidRPr="004F6FE1">
        <w:rPr>
          <w:color w:val="auto"/>
        </w:rPr>
        <w:t xml:space="preserve"> </w:t>
      </w:r>
      <w:r w:rsidR="001552E1" w:rsidRPr="004F6FE1">
        <w:rPr>
          <w:color w:val="auto"/>
        </w:rPr>
        <w:t xml:space="preserve">SBC’s opportunist assertion is deeply </w:t>
      </w:r>
      <w:r w:rsidR="008B0C1E" w:rsidRPr="004F6FE1">
        <w:rPr>
          <w:color w:val="auto"/>
        </w:rPr>
        <w:t>regrettable and</w:t>
      </w:r>
      <w:r w:rsidR="001552E1" w:rsidRPr="004F6FE1">
        <w:rPr>
          <w:color w:val="auto"/>
        </w:rPr>
        <w:t xml:space="preserve"> provides a further</w:t>
      </w:r>
      <w:r w:rsidR="00EE634A" w:rsidRPr="004F6FE1">
        <w:rPr>
          <w:color w:val="auto"/>
        </w:rPr>
        <w:t xml:space="preserve"> </w:t>
      </w:r>
      <w:r w:rsidR="001552E1" w:rsidRPr="004F6FE1">
        <w:rPr>
          <w:color w:val="auto"/>
        </w:rPr>
        <w:t xml:space="preserve">indicator as to the complete lack of credibility of the </w:t>
      </w:r>
      <w:proofErr w:type="gramStart"/>
      <w:r w:rsidR="001552E1" w:rsidRPr="004F6FE1">
        <w:rPr>
          <w:color w:val="auto"/>
        </w:rPr>
        <w:t>costs</w:t>
      </w:r>
      <w:proofErr w:type="gramEnd"/>
      <w:r w:rsidR="001552E1" w:rsidRPr="004F6FE1">
        <w:rPr>
          <w:color w:val="auto"/>
        </w:rPr>
        <w:t xml:space="preserve"> application.</w:t>
      </w:r>
      <w:r w:rsidR="00EE634A" w:rsidRPr="004F6FE1">
        <w:rPr>
          <w:color w:val="auto"/>
        </w:rPr>
        <w:t xml:space="preserve"> </w:t>
      </w:r>
    </w:p>
    <w:p w14:paraId="43C529A4" w14:textId="5F0953F9" w:rsidR="001552E1" w:rsidRPr="0047467B" w:rsidRDefault="001552E1" w:rsidP="00D23571">
      <w:pPr>
        <w:pStyle w:val="Style1"/>
        <w:numPr>
          <w:ilvl w:val="0"/>
          <w:numId w:val="6"/>
        </w:numPr>
        <w:spacing w:before="140"/>
        <w:ind w:left="431" w:hanging="431"/>
        <w:rPr>
          <w:color w:val="auto"/>
        </w:rPr>
      </w:pPr>
      <w:r w:rsidRPr="0047467B">
        <w:rPr>
          <w:color w:val="auto"/>
        </w:rPr>
        <w:t>SBC’s conclusion over the wider expediency balance</w:t>
      </w:r>
      <w:r w:rsidR="006E1929">
        <w:rPr>
          <w:color w:val="auto"/>
        </w:rPr>
        <w:t>, a</w:t>
      </w:r>
      <w:r w:rsidRPr="0047467B">
        <w:rPr>
          <w:color w:val="auto"/>
        </w:rPr>
        <w:t>s</w:t>
      </w:r>
      <w:r w:rsidR="006E1929">
        <w:rPr>
          <w:color w:val="auto"/>
        </w:rPr>
        <w:t xml:space="preserve"> in </w:t>
      </w:r>
      <w:r w:rsidRPr="0047467B">
        <w:rPr>
          <w:color w:val="auto"/>
        </w:rPr>
        <w:t>para</w:t>
      </w:r>
      <w:r w:rsidR="006E1929">
        <w:rPr>
          <w:color w:val="auto"/>
        </w:rPr>
        <w:t>graph</w:t>
      </w:r>
      <w:r w:rsidRPr="0047467B">
        <w:rPr>
          <w:color w:val="auto"/>
        </w:rPr>
        <w:t>s 4</w:t>
      </w:r>
      <w:r w:rsidR="00EE634A" w:rsidRPr="0047467B">
        <w:rPr>
          <w:color w:val="auto"/>
        </w:rPr>
        <w:t xml:space="preserve"> </w:t>
      </w:r>
      <w:r w:rsidR="006E1929">
        <w:rPr>
          <w:color w:val="auto"/>
        </w:rPr>
        <w:t>and</w:t>
      </w:r>
      <w:r w:rsidRPr="0047467B">
        <w:rPr>
          <w:color w:val="auto"/>
        </w:rPr>
        <w:t xml:space="preserve"> 6 of their</w:t>
      </w:r>
      <w:r w:rsidR="00AE64BF">
        <w:rPr>
          <w:color w:val="auto"/>
        </w:rPr>
        <w:t xml:space="preserve"> withdrawal of objection </w:t>
      </w:r>
      <w:r w:rsidR="00AE64BF" w:rsidRPr="00AE64BF">
        <w:rPr>
          <w:color w:val="auto"/>
        </w:rPr>
        <w:t xml:space="preserve">on </w:t>
      </w:r>
      <w:r w:rsidRPr="00AE64BF">
        <w:rPr>
          <w:color w:val="auto"/>
        </w:rPr>
        <w:t>29</w:t>
      </w:r>
      <w:r w:rsidR="00AE64BF">
        <w:rPr>
          <w:color w:val="auto"/>
        </w:rPr>
        <w:t xml:space="preserve"> January </w:t>
      </w:r>
      <w:r w:rsidRPr="00AE64BF">
        <w:rPr>
          <w:color w:val="auto"/>
        </w:rPr>
        <w:t>2</w:t>
      </w:r>
      <w:r w:rsidR="00AE64BF">
        <w:rPr>
          <w:color w:val="auto"/>
        </w:rPr>
        <w:t>02</w:t>
      </w:r>
      <w:r w:rsidRPr="00AE64BF">
        <w:rPr>
          <w:color w:val="auto"/>
        </w:rPr>
        <w:t>1</w:t>
      </w:r>
      <w:r w:rsidR="00AE64BF">
        <w:rPr>
          <w:rStyle w:val="FootnoteReference"/>
          <w:color w:val="auto"/>
        </w:rPr>
        <w:footnoteReference w:id="10"/>
      </w:r>
      <w:r w:rsidRPr="0047467B">
        <w:rPr>
          <w:color w:val="auto"/>
        </w:rPr>
        <w:t xml:space="preserve"> could and should have come forward even before</w:t>
      </w:r>
      <w:r w:rsidR="00EE634A" w:rsidRPr="0047467B">
        <w:rPr>
          <w:color w:val="auto"/>
        </w:rPr>
        <w:t xml:space="preserve"> </w:t>
      </w:r>
      <w:r w:rsidRPr="0047467B">
        <w:rPr>
          <w:color w:val="auto"/>
        </w:rPr>
        <w:t xml:space="preserve">this </w:t>
      </w:r>
      <w:r w:rsidR="006E1929">
        <w:rPr>
          <w:color w:val="auto"/>
        </w:rPr>
        <w:t>I</w:t>
      </w:r>
      <w:r w:rsidRPr="0047467B">
        <w:rPr>
          <w:color w:val="auto"/>
        </w:rPr>
        <w:t xml:space="preserve">nquiry, irrespective of its </w:t>
      </w:r>
      <w:r w:rsidR="0047467B" w:rsidRPr="0047467B">
        <w:rPr>
          <w:color w:val="auto"/>
        </w:rPr>
        <w:t xml:space="preserve">own </w:t>
      </w:r>
      <w:r w:rsidRPr="0047467B">
        <w:rPr>
          <w:color w:val="auto"/>
        </w:rPr>
        <w:t xml:space="preserve">enquiry </w:t>
      </w:r>
      <w:r w:rsidR="0047467B" w:rsidRPr="0047467B">
        <w:rPr>
          <w:color w:val="auto"/>
        </w:rPr>
        <w:t>reg</w:t>
      </w:r>
      <w:r w:rsidRPr="0047467B">
        <w:rPr>
          <w:color w:val="auto"/>
        </w:rPr>
        <w:t>a</w:t>
      </w:r>
      <w:r w:rsidR="0047467B" w:rsidRPr="0047467B">
        <w:rPr>
          <w:color w:val="auto"/>
        </w:rPr>
        <w:t>r</w:t>
      </w:r>
      <w:r w:rsidRPr="0047467B">
        <w:rPr>
          <w:color w:val="auto"/>
        </w:rPr>
        <w:t>d</w:t>
      </w:r>
      <w:r w:rsidR="0047467B" w:rsidRPr="0047467B">
        <w:rPr>
          <w:color w:val="auto"/>
        </w:rPr>
        <w:t>i</w:t>
      </w:r>
      <w:r w:rsidRPr="0047467B">
        <w:rPr>
          <w:color w:val="auto"/>
        </w:rPr>
        <w:t>n</w:t>
      </w:r>
      <w:r w:rsidR="0047467B" w:rsidRPr="0047467B">
        <w:rPr>
          <w:color w:val="auto"/>
        </w:rPr>
        <w:t>g</w:t>
      </w:r>
      <w:r w:rsidRPr="0047467B">
        <w:rPr>
          <w:color w:val="auto"/>
        </w:rPr>
        <w:t xml:space="preserve"> public safety. These were</w:t>
      </w:r>
      <w:r w:rsidR="00521013" w:rsidRPr="0047467B">
        <w:rPr>
          <w:color w:val="auto"/>
        </w:rPr>
        <w:t xml:space="preserve"> </w:t>
      </w:r>
      <w:r w:rsidRPr="0047467B">
        <w:rPr>
          <w:color w:val="auto"/>
        </w:rPr>
        <w:t>obviously discrete issues</w:t>
      </w:r>
      <w:r w:rsidR="00B520E9">
        <w:rPr>
          <w:color w:val="auto"/>
        </w:rPr>
        <w:t xml:space="preserve"> and so w</w:t>
      </w:r>
      <w:r w:rsidRPr="0047467B">
        <w:rPr>
          <w:color w:val="auto"/>
        </w:rPr>
        <w:t>hat does SBC specifically say has suddenly turned</w:t>
      </w:r>
      <w:r w:rsidR="00521013" w:rsidRPr="0047467B">
        <w:rPr>
          <w:color w:val="auto"/>
        </w:rPr>
        <w:t xml:space="preserve"> </w:t>
      </w:r>
      <w:r w:rsidRPr="0047467B">
        <w:rPr>
          <w:color w:val="auto"/>
        </w:rPr>
        <w:t>upon the FP17 works funding issue, in connection with connectivity or use of the</w:t>
      </w:r>
      <w:r w:rsidR="00521013" w:rsidRPr="0047467B">
        <w:rPr>
          <w:color w:val="auto"/>
        </w:rPr>
        <w:t xml:space="preserve"> </w:t>
      </w:r>
      <w:r w:rsidRPr="0047467B">
        <w:rPr>
          <w:color w:val="auto"/>
        </w:rPr>
        <w:t xml:space="preserve">alternatives? </w:t>
      </w:r>
      <w:r w:rsidR="00B520E9">
        <w:rPr>
          <w:color w:val="auto"/>
        </w:rPr>
        <w:t>T</w:t>
      </w:r>
      <w:r w:rsidRPr="0047467B">
        <w:rPr>
          <w:color w:val="auto"/>
        </w:rPr>
        <w:t xml:space="preserve">he costs application </w:t>
      </w:r>
      <w:r w:rsidR="00B520E9">
        <w:rPr>
          <w:color w:val="auto"/>
        </w:rPr>
        <w:t>and the statements are</w:t>
      </w:r>
      <w:r w:rsidRPr="0047467B">
        <w:rPr>
          <w:color w:val="auto"/>
        </w:rPr>
        <w:t xml:space="preserve"> silent.</w:t>
      </w:r>
    </w:p>
    <w:p w14:paraId="08270B51" w14:textId="3256BA9F" w:rsidR="001552E1" w:rsidRPr="00B520E9" w:rsidRDefault="001552E1" w:rsidP="004062F8">
      <w:pPr>
        <w:pStyle w:val="Style1"/>
        <w:numPr>
          <w:ilvl w:val="0"/>
          <w:numId w:val="6"/>
        </w:numPr>
        <w:spacing w:before="140"/>
        <w:ind w:left="431" w:hanging="431"/>
        <w:rPr>
          <w:color w:val="auto"/>
        </w:rPr>
      </w:pPr>
      <w:r w:rsidRPr="00B520E9">
        <w:rPr>
          <w:color w:val="auto"/>
        </w:rPr>
        <w:t>Prior to the submission of NR’s application, several meetings took</w:t>
      </w:r>
      <w:r w:rsidR="00521013" w:rsidRPr="00B520E9">
        <w:rPr>
          <w:color w:val="auto"/>
        </w:rPr>
        <w:t xml:space="preserve"> </w:t>
      </w:r>
      <w:r w:rsidRPr="00B520E9">
        <w:rPr>
          <w:color w:val="auto"/>
        </w:rPr>
        <w:t xml:space="preserve">place with SCC and SBC regarding the </w:t>
      </w:r>
      <w:r w:rsidR="00B520E9">
        <w:rPr>
          <w:color w:val="auto"/>
        </w:rPr>
        <w:t>crossing a</w:t>
      </w:r>
      <w:r w:rsidRPr="00B520E9">
        <w:rPr>
          <w:color w:val="auto"/>
        </w:rPr>
        <w:t>nd N</w:t>
      </w:r>
      <w:r w:rsidR="00521013" w:rsidRPr="00B520E9">
        <w:rPr>
          <w:color w:val="auto"/>
        </w:rPr>
        <w:t>R</w:t>
      </w:r>
      <w:r w:rsidRPr="00B520E9">
        <w:rPr>
          <w:color w:val="auto"/>
        </w:rPr>
        <w:t>’s pursuit of closure,</w:t>
      </w:r>
      <w:r w:rsidR="00521013" w:rsidRPr="00B520E9">
        <w:rPr>
          <w:color w:val="auto"/>
        </w:rPr>
        <w:t xml:space="preserve"> </w:t>
      </w:r>
      <w:r w:rsidRPr="00B520E9">
        <w:rPr>
          <w:color w:val="auto"/>
        </w:rPr>
        <w:t>having fully option assessed</w:t>
      </w:r>
      <w:r w:rsidR="00B520E9">
        <w:rPr>
          <w:color w:val="auto"/>
        </w:rPr>
        <w:t xml:space="preserve"> the crossing</w:t>
      </w:r>
      <w:r w:rsidRPr="00B520E9">
        <w:rPr>
          <w:color w:val="auto"/>
        </w:rPr>
        <w:t>. Th</w:t>
      </w:r>
      <w:r w:rsidR="002770DB">
        <w:rPr>
          <w:color w:val="auto"/>
        </w:rPr>
        <w:t>o</w:t>
      </w:r>
      <w:r w:rsidRPr="00B520E9">
        <w:rPr>
          <w:color w:val="auto"/>
        </w:rPr>
        <w:t>se consultations commenced in July 2013. For</w:t>
      </w:r>
      <w:r w:rsidR="00521013" w:rsidRPr="00B520E9">
        <w:rPr>
          <w:color w:val="auto"/>
        </w:rPr>
        <w:t xml:space="preserve"> </w:t>
      </w:r>
      <w:r w:rsidRPr="00B520E9">
        <w:rPr>
          <w:color w:val="auto"/>
        </w:rPr>
        <w:t>the next two years and through those meetings, SBC, in October 2014, offered its</w:t>
      </w:r>
      <w:r w:rsidR="00521013" w:rsidRPr="00B520E9">
        <w:rPr>
          <w:color w:val="auto"/>
        </w:rPr>
        <w:t xml:space="preserve"> </w:t>
      </w:r>
      <w:r w:rsidRPr="00B520E9">
        <w:rPr>
          <w:color w:val="auto"/>
        </w:rPr>
        <w:t xml:space="preserve">support for </w:t>
      </w:r>
      <w:r w:rsidRPr="004F6FE1">
        <w:rPr>
          <w:color w:val="auto"/>
        </w:rPr>
        <w:t>closure</w:t>
      </w:r>
      <w:r w:rsidR="002862B0" w:rsidRPr="004F6FE1">
        <w:rPr>
          <w:color w:val="auto"/>
        </w:rPr>
        <w:t xml:space="preserve">, </w:t>
      </w:r>
      <w:r w:rsidRPr="004F6FE1">
        <w:rPr>
          <w:color w:val="auto"/>
        </w:rPr>
        <w:t>as confirmed by S</w:t>
      </w:r>
      <w:r w:rsidR="00D012D0" w:rsidRPr="004F6FE1">
        <w:rPr>
          <w:color w:val="auto"/>
        </w:rPr>
        <w:t>B</w:t>
      </w:r>
      <w:r w:rsidRPr="004F6FE1">
        <w:rPr>
          <w:color w:val="auto"/>
        </w:rPr>
        <w:t>C in their</w:t>
      </w:r>
      <w:r w:rsidRPr="00B520E9">
        <w:rPr>
          <w:color w:val="auto"/>
        </w:rPr>
        <w:t xml:space="preserve"> report on consultation</w:t>
      </w:r>
      <w:r w:rsidR="00521013" w:rsidRPr="00B520E9">
        <w:rPr>
          <w:color w:val="auto"/>
        </w:rPr>
        <w:t xml:space="preserve"> </w:t>
      </w:r>
      <w:r w:rsidRPr="00B520E9">
        <w:rPr>
          <w:color w:val="auto"/>
        </w:rPr>
        <w:t xml:space="preserve">responses. It was not until April 2015 at the </w:t>
      </w:r>
      <w:r w:rsidR="00B777DF">
        <w:rPr>
          <w:color w:val="auto"/>
          <w:szCs w:val="22"/>
        </w:rPr>
        <w:t xml:space="preserve">Spelthorne Local Committee (SLC) </w:t>
      </w:r>
      <w:r w:rsidRPr="00B520E9">
        <w:rPr>
          <w:color w:val="auto"/>
        </w:rPr>
        <w:t>meeting</w:t>
      </w:r>
      <w:r w:rsidR="00932AA2">
        <w:rPr>
          <w:color w:val="auto"/>
        </w:rPr>
        <w:t>, involving members from SBC and SCC,</w:t>
      </w:r>
      <w:r w:rsidRPr="00B520E9">
        <w:rPr>
          <w:color w:val="auto"/>
        </w:rPr>
        <w:t xml:space="preserve"> that th</w:t>
      </w:r>
      <w:r w:rsidR="00BB59B5">
        <w:rPr>
          <w:color w:val="auto"/>
        </w:rPr>
        <w:t>e</w:t>
      </w:r>
      <w:r w:rsidR="00521013" w:rsidRPr="00B520E9">
        <w:rPr>
          <w:color w:val="auto"/>
        </w:rPr>
        <w:t xml:space="preserve"> </w:t>
      </w:r>
      <w:r w:rsidRPr="00B520E9">
        <w:rPr>
          <w:color w:val="auto"/>
        </w:rPr>
        <w:t>position changed. Yet at the meeting NR presented the same information regarding the options</w:t>
      </w:r>
      <w:r w:rsidR="00BB59B5">
        <w:rPr>
          <w:color w:val="auto"/>
        </w:rPr>
        <w:t xml:space="preserve">, </w:t>
      </w:r>
      <w:r w:rsidRPr="00B520E9">
        <w:rPr>
          <w:color w:val="auto"/>
        </w:rPr>
        <w:t xml:space="preserve">that would </w:t>
      </w:r>
      <w:r w:rsidR="001E6853">
        <w:rPr>
          <w:color w:val="auto"/>
        </w:rPr>
        <w:t xml:space="preserve">fail to </w:t>
      </w:r>
      <w:r w:rsidRPr="00B520E9">
        <w:rPr>
          <w:color w:val="auto"/>
        </w:rPr>
        <w:t>control the risk</w:t>
      </w:r>
      <w:r w:rsidR="00BB59B5">
        <w:rPr>
          <w:color w:val="auto"/>
        </w:rPr>
        <w:t>,</w:t>
      </w:r>
      <w:r w:rsidRPr="00B520E9">
        <w:rPr>
          <w:color w:val="auto"/>
        </w:rPr>
        <w:t xml:space="preserve"> and</w:t>
      </w:r>
      <w:r w:rsidR="00521013" w:rsidRPr="00B520E9">
        <w:rPr>
          <w:color w:val="auto"/>
        </w:rPr>
        <w:t xml:space="preserve"> </w:t>
      </w:r>
      <w:r w:rsidRPr="00B520E9">
        <w:rPr>
          <w:color w:val="auto"/>
        </w:rPr>
        <w:t xml:space="preserve">the preferred option </w:t>
      </w:r>
      <w:r w:rsidR="001E6853">
        <w:rPr>
          <w:color w:val="auto"/>
        </w:rPr>
        <w:t>o</w:t>
      </w:r>
      <w:r w:rsidRPr="00B520E9">
        <w:rPr>
          <w:color w:val="auto"/>
        </w:rPr>
        <w:t>f closure.</w:t>
      </w:r>
    </w:p>
    <w:p w14:paraId="7BD4CE97" w14:textId="77777777" w:rsidR="0073364C" w:rsidRDefault="00C57CCE" w:rsidP="0073364C">
      <w:pPr>
        <w:pStyle w:val="Style1"/>
        <w:numPr>
          <w:ilvl w:val="0"/>
          <w:numId w:val="6"/>
        </w:numPr>
        <w:spacing w:before="140"/>
        <w:ind w:left="431" w:hanging="431"/>
        <w:rPr>
          <w:color w:val="auto"/>
        </w:rPr>
      </w:pPr>
      <w:r w:rsidRPr="00BB59B5">
        <w:rPr>
          <w:color w:val="auto"/>
        </w:rPr>
        <w:lastRenderedPageBreak/>
        <w:t>Discussions recommenced as NR re-engaged with SBC. In September 2016 a</w:t>
      </w:r>
      <w:r w:rsidR="00521013" w:rsidRPr="00BB59B5">
        <w:rPr>
          <w:color w:val="auto"/>
        </w:rPr>
        <w:t xml:space="preserve"> </w:t>
      </w:r>
      <w:r w:rsidRPr="00BB59B5">
        <w:rPr>
          <w:color w:val="auto"/>
        </w:rPr>
        <w:t>meeting was held, again discussing closure. Other options were also explored</w:t>
      </w:r>
      <w:r w:rsidR="00521013" w:rsidRPr="00BB59B5">
        <w:rPr>
          <w:color w:val="auto"/>
        </w:rPr>
        <w:t xml:space="preserve"> </w:t>
      </w:r>
      <w:r w:rsidRPr="00BB59B5">
        <w:rPr>
          <w:color w:val="auto"/>
        </w:rPr>
        <w:t>such as the slowing of trains, but the meeting resulted in an impasse leading</w:t>
      </w:r>
      <w:r w:rsidR="00521013" w:rsidRPr="00BB59B5">
        <w:rPr>
          <w:color w:val="auto"/>
        </w:rPr>
        <w:t xml:space="preserve"> </w:t>
      </w:r>
      <w:r w:rsidRPr="00BB59B5">
        <w:rPr>
          <w:color w:val="auto"/>
        </w:rPr>
        <w:t>NR to continue to seek closure through the application to the Secretary</w:t>
      </w:r>
      <w:r w:rsidR="00521013" w:rsidRPr="00BB59B5">
        <w:rPr>
          <w:color w:val="auto"/>
        </w:rPr>
        <w:t xml:space="preserve"> </w:t>
      </w:r>
      <w:r w:rsidRPr="00BB59B5">
        <w:rPr>
          <w:color w:val="auto"/>
        </w:rPr>
        <w:t>of State. Even at that stage, it was entirely unclear to NR why SBC were</w:t>
      </w:r>
      <w:r w:rsidR="00521013" w:rsidRPr="00BB59B5">
        <w:rPr>
          <w:color w:val="auto"/>
        </w:rPr>
        <w:t xml:space="preserve"> </w:t>
      </w:r>
      <w:r w:rsidRPr="00BB59B5">
        <w:rPr>
          <w:color w:val="auto"/>
        </w:rPr>
        <w:t>maintaining an enquiry regarding limited secondary mitigations, when SBC</w:t>
      </w:r>
      <w:r w:rsidR="00521013" w:rsidRPr="00BB59B5">
        <w:rPr>
          <w:color w:val="auto"/>
        </w:rPr>
        <w:t xml:space="preserve"> </w:t>
      </w:r>
      <w:r w:rsidRPr="00BB59B5">
        <w:rPr>
          <w:color w:val="auto"/>
        </w:rPr>
        <w:t>knew it would make no transformative difference.</w:t>
      </w:r>
    </w:p>
    <w:p w14:paraId="36579126" w14:textId="2FBC9A0A" w:rsidR="00C57CCE" w:rsidRPr="0073364C" w:rsidRDefault="00C57CCE" w:rsidP="0073364C">
      <w:pPr>
        <w:pStyle w:val="Style1"/>
        <w:numPr>
          <w:ilvl w:val="0"/>
          <w:numId w:val="6"/>
        </w:numPr>
        <w:spacing w:before="140"/>
        <w:ind w:left="431" w:hanging="431"/>
        <w:rPr>
          <w:color w:val="auto"/>
        </w:rPr>
      </w:pPr>
      <w:r w:rsidRPr="0073364C">
        <w:rPr>
          <w:color w:val="auto"/>
        </w:rPr>
        <w:t>The pertinent information, from which a lay individual could ascertain the clear</w:t>
      </w:r>
      <w:r w:rsidR="00521013" w:rsidRPr="0073364C">
        <w:rPr>
          <w:color w:val="auto"/>
        </w:rPr>
        <w:t xml:space="preserve"> </w:t>
      </w:r>
      <w:r w:rsidRPr="0073364C">
        <w:rPr>
          <w:color w:val="auto"/>
        </w:rPr>
        <w:t>picture of secondary options not making an essential difference, was known to</w:t>
      </w:r>
      <w:r w:rsidR="00521013" w:rsidRPr="0073364C">
        <w:rPr>
          <w:color w:val="auto"/>
        </w:rPr>
        <w:t xml:space="preserve"> </w:t>
      </w:r>
      <w:r w:rsidRPr="0073364C">
        <w:rPr>
          <w:color w:val="auto"/>
        </w:rPr>
        <w:t xml:space="preserve">SBC before the Inquiry and subsequently, before </w:t>
      </w:r>
      <w:r w:rsidR="00CD31C2">
        <w:rPr>
          <w:color w:val="auto"/>
        </w:rPr>
        <w:t>SoC</w:t>
      </w:r>
      <w:r w:rsidRPr="0073364C">
        <w:rPr>
          <w:color w:val="auto"/>
        </w:rPr>
        <w:t xml:space="preserve"> stage.</w:t>
      </w:r>
      <w:r w:rsidR="00B364F0" w:rsidRPr="0073364C">
        <w:rPr>
          <w:color w:val="auto"/>
        </w:rPr>
        <w:t xml:space="preserve"> </w:t>
      </w:r>
      <w:r w:rsidRPr="0073364C">
        <w:rPr>
          <w:color w:val="auto"/>
        </w:rPr>
        <w:t xml:space="preserve">Over and above this, early in the </w:t>
      </w:r>
      <w:r w:rsidR="00B364F0" w:rsidRPr="0073364C">
        <w:rPr>
          <w:color w:val="auto"/>
        </w:rPr>
        <w:t>I</w:t>
      </w:r>
      <w:r w:rsidRPr="0073364C">
        <w:rPr>
          <w:color w:val="auto"/>
        </w:rPr>
        <w:t>nquiry, both in evidence and cross</w:t>
      </w:r>
      <w:r w:rsidR="007D1FEF" w:rsidRPr="0073364C">
        <w:rPr>
          <w:color w:val="auto"/>
        </w:rPr>
        <w:t xml:space="preserve"> </w:t>
      </w:r>
      <w:r w:rsidRPr="0073364C">
        <w:rPr>
          <w:color w:val="auto"/>
        </w:rPr>
        <w:t xml:space="preserve">examination, both </w:t>
      </w:r>
      <w:r w:rsidR="002A1711" w:rsidRPr="0073364C">
        <w:rPr>
          <w:color w:val="auto"/>
        </w:rPr>
        <w:t>r</w:t>
      </w:r>
      <w:r w:rsidRPr="0073364C">
        <w:rPr>
          <w:color w:val="auto"/>
        </w:rPr>
        <w:t>e</w:t>
      </w:r>
      <w:r w:rsidR="002A1711" w:rsidRPr="0073364C">
        <w:rPr>
          <w:color w:val="auto"/>
        </w:rPr>
        <w:t>lev</w:t>
      </w:r>
      <w:r w:rsidRPr="0073364C">
        <w:rPr>
          <w:color w:val="auto"/>
        </w:rPr>
        <w:t>a</w:t>
      </w:r>
      <w:r w:rsidR="002A1711" w:rsidRPr="0073364C">
        <w:rPr>
          <w:color w:val="auto"/>
        </w:rPr>
        <w:t xml:space="preserve">nt NR witnesses </w:t>
      </w:r>
      <w:r w:rsidRPr="0073364C">
        <w:rPr>
          <w:color w:val="auto"/>
        </w:rPr>
        <w:t>re</w:t>
      </w:r>
      <w:r w:rsidR="002A1711" w:rsidRPr="0073364C">
        <w:rPr>
          <w:color w:val="auto"/>
        </w:rPr>
        <w:t>pe</w:t>
      </w:r>
      <w:r w:rsidRPr="0073364C">
        <w:rPr>
          <w:color w:val="auto"/>
        </w:rPr>
        <w:t>a</w:t>
      </w:r>
      <w:r w:rsidR="002A1711" w:rsidRPr="0073364C">
        <w:rPr>
          <w:color w:val="auto"/>
        </w:rPr>
        <w:t>t</w:t>
      </w:r>
      <w:r w:rsidRPr="0073364C">
        <w:rPr>
          <w:color w:val="auto"/>
        </w:rPr>
        <w:t>ed the same basic point</w:t>
      </w:r>
      <w:r w:rsidR="002A1711" w:rsidRPr="0073364C">
        <w:rPr>
          <w:color w:val="auto"/>
        </w:rPr>
        <w:t>,</w:t>
      </w:r>
      <w:r w:rsidR="009F1252" w:rsidRPr="0073364C">
        <w:rPr>
          <w:color w:val="auto"/>
        </w:rPr>
        <w:t xml:space="preserve"> that evidence commencing on day 1 of the Inquiry. Therefore, </w:t>
      </w:r>
      <w:r w:rsidRPr="0073364C">
        <w:rPr>
          <w:color w:val="auto"/>
        </w:rPr>
        <w:t>nothing</w:t>
      </w:r>
      <w:r w:rsidR="007D1FEF" w:rsidRPr="0073364C">
        <w:rPr>
          <w:color w:val="auto"/>
        </w:rPr>
        <w:t xml:space="preserve"> </w:t>
      </w:r>
      <w:r w:rsidRPr="0073364C">
        <w:rPr>
          <w:color w:val="auto"/>
        </w:rPr>
        <w:t>could reasonably be said to have turned on the NR Notes.</w:t>
      </w:r>
    </w:p>
    <w:p w14:paraId="3794C02C" w14:textId="12C224F5" w:rsidR="00C57CCE" w:rsidRPr="004E7941" w:rsidRDefault="00C57CCE" w:rsidP="00BF75D6">
      <w:pPr>
        <w:pStyle w:val="Style1"/>
        <w:numPr>
          <w:ilvl w:val="0"/>
          <w:numId w:val="6"/>
        </w:numPr>
        <w:spacing w:before="140"/>
        <w:ind w:left="431" w:hanging="431"/>
        <w:rPr>
          <w:color w:val="auto"/>
        </w:rPr>
      </w:pPr>
      <w:r w:rsidRPr="004E7941">
        <w:rPr>
          <w:color w:val="auto"/>
        </w:rPr>
        <w:t>The provision of NR7</w:t>
      </w:r>
      <w:r w:rsidR="00EA0F2C">
        <w:rPr>
          <w:rStyle w:val="FootnoteReference"/>
          <w:color w:val="auto"/>
        </w:rPr>
        <w:footnoteReference w:id="11"/>
      </w:r>
      <w:r w:rsidRPr="004E7941">
        <w:rPr>
          <w:color w:val="auto"/>
        </w:rPr>
        <w:t xml:space="preserve"> merely supports evidence that relates to the large-scale</w:t>
      </w:r>
      <w:r w:rsidR="007D1FEF" w:rsidRPr="004E7941">
        <w:rPr>
          <w:color w:val="auto"/>
        </w:rPr>
        <w:t xml:space="preserve"> </w:t>
      </w:r>
      <w:r w:rsidRPr="004E7941">
        <w:rPr>
          <w:color w:val="auto"/>
        </w:rPr>
        <w:t>mitigations, showing that SBC were aware of those options that NR thought</w:t>
      </w:r>
      <w:r w:rsidR="007D1FEF" w:rsidRPr="004E7941">
        <w:rPr>
          <w:color w:val="auto"/>
        </w:rPr>
        <w:t xml:space="preserve"> </w:t>
      </w:r>
      <w:r w:rsidRPr="004E7941">
        <w:rPr>
          <w:color w:val="auto"/>
        </w:rPr>
        <w:t>pertinent to address the risk</w:t>
      </w:r>
      <w:r w:rsidR="00860E2B">
        <w:rPr>
          <w:color w:val="auto"/>
        </w:rPr>
        <w:t>, for example</w:t>
      </w:r>
      <w:r w:rsidRPr="004E7941">
        <w:rPr>
          <w:color w:val="auto"/>
        </w:rPr>
        <w:t>:</w:t>
      </w:r>
    </w:p>
    <w:p w14:paraId="26E76C2A" w14:textId="77777777" w:rsidR="00860E2B" w:rsidRDefault="00860E2B" w:rsidP="00860E2B">
      <w:pPr>
        <w:pStyle w:val="Style1"/>
        <w:numPr>
          <w:ilvl w:val="0"/>
          <w:numId w:val="37"/>
        </w:numPr>
        <w:spacing w:before="140"/>
        <w:ind w:left="993"/>
        <w:rPr>
          <w:color w:val="auto"/>
        </w:rPr>
      </w:pPr>
      <w:r>
        <w:rPr>
          <w:color w:val="auto"/>
        </w:rPr>
        <w:t>Item</w:t>
      </w:r>
      <w:r w:rsidR="00C57CCE" w:rsidRPr="004E7941">
        <w:rPr>
          <w:color w:val="auto"/>
        </w:rPr>
        <w:t xml:space="preserve"> 2 – Meeting notes (with SBC present) indicate that NR were</w:t>
      </w:r>
      <w:r w:rsidR="007D1FEF" w:rsidRPr="004E7941">
        <w:rPr>
          <w:color w:val="auto"/>
        </w:rPr>
        <w:t xml:space="preserve"> </w:t>
      </w:r>
      <w:r w:rsidR="00C57CCE" w:rsidRPr="004E7941">
        <w:rPr>
          <w:color w:val="auto"/>
        </w:rPr>
        <w:t>investigating a bridge installation and other viable options in line with</w:t>
      </w:r>
      <w:r w:rsidR="007D1FEF" w:rsidRPr="004E7941">
        <w:rPr>
          <w:color w:val="auto"/>
        </w:rPr>
        <w:t xml:space="preserve"> </w:t>
      </w:r>
      <w:r w:rsidR="00C57CCE" w:rsidRPr="004E7941">
        <w:rPr>
          <w:color w:val="auto"/>
        </w:rPr>
        <w:t xml:space="preserve">those presented in the 2020 NRA and inquiry </w:t>
      </w:r>
      <w:proofErr w:type="gramStart"/>
      <w:r w:rsidR="00C57CCE" w:rsidRPr="004E7941">
        <w:rPr>
          <w:color w:val="auto"/>
        </w:rPr>
        <w:t>evidence;</w:t>
      </w:r>
      <w:proofErr w:type="gramEnd"/>
    </w:p>
    <w:p w14:paraId="21520A99" w14:textId="0C33204E" w:rsidR="00C57CCE" w:rsidRPr="00860E2B" w:rsidRDefault="00860E2B" w:rsidP="00860E2B">
      <w:pPr>
        <w:pStyle w:val="Style1"/>
        <w:numPr>
          <w:ilvl w:val="0"/>
          <w:numId w:val="37"/>
        </w:numPr>
        <w:spacing w:before="140"/>
        <w:ind w:left="993"/>
        <w:rPr>
          <w:color w:val="auto"/>
        </w:rPr>
      </w:pPr>
      <w:r>
        <w:rPr>
          <w:color w:val="auto"/>
        </w:rPr>
        <w:t>Item</w:t>
      </w:r>
      <w:r w:rsidR="00C57CCE" w:rsidRPr="00860E2B">
        <w:rPr>
          <w:color w:val="auto"/>
        </w:rPr>
        <w:t xml:space="preserve"> 12 – Letter from NR to SBC setting out a summary of options</w:t>
      </w:r>
      <w:r w:rsidR="006E4502">
        <w:rPr>
          <w:color w:val="auto"/>
        </w:rPr>
        <w:t xml:space="preserve">, </w:t>
      </w:r>
      <w:r w:rsidR="00C57CCE" w:rsidRPr="00860E2B">
        <w:rPr>
          <w:color w:val="auto"/>
        </w:rPr>
        <w:t>stat</w:t>
      </w:r>
      <w:r w:rsidR="006E4502">
        <w:rPr>
          <w:color w:val="auto"/>
        </w:rPr>
        <w:t>ing</w:t>
      </w:r>
      <w:r w:rsidR="00C57CCE" w:rsidRPr="00860E2B">
        <w:rPr>
          <w:color w:val="auto"/>
        </w:rPr>
        <w:t>,</w:t>
      </w:r>
      <w:r w:rsidR="007D1FEF" w:rsidRPr="00860E2B">
        <w:rPr>
          <w:color w:val="auto"/>
        </w:rPr>
        <w:t xml:space="preserve"> </w:t>
      </w:r>
      <w:r w:rsidR="00C57CCE" w:rsidRPr="00860E2B">
        <w:rPr>
          <w:color w:val="auto"/>
        </w:rPr>
        <w:t>‘The key risk factor at the level crossing is that in one direction the sighting</w:t>
      </w:r>
      <w:r w:rsidR="007D1FEF" w:rsidRPr="00860E2B">
        <w:rPr>
          <w:color w:val="auto"/>
        </w:rPr>
        <w:t xml:space="preserve"> </w:t>
      </w:r>
      <w:r w:rsidR="00C57CCE" w:rsidRPr="00860E2B">
        <w:rPr>
          <w:color w:val="auto"/>
        </w:rPr>
        <w:t>is insufficient.’ It goes on to discuss SBC ‘preferred option’ from the</w:t>
      </w:r>
      <w:r w:rsidR="007D1FEF" w:rsidRPr="00860E2B">
        <w:rPr>
          <w:color w:val="auto"/>
        </w:rPr>
        <w:t xml:space="preserve"> </w:t>
      </w:r>
      <w:r w:rsidR="00C57CCE" w:rsidRPr="00860E2B">
        <w:rPr>
          <w:color w:val="auto"/>
        </w:rPr>
        <w:t>meeting of reducing train speeds</w:t>
      </w:r>
      <w:r w:rsidR="006E4502">
        <w:rPr>
          <w:color w:val="auto"/>
        </w:rPr>
        <w:t>,</w:t>
      </w:r>
      <w:r w:rsidR="00C57CCE" w:rsidRPr="00860E2B">
        <w:rPr>
          <w:color w:val="auto"/>
        </w:rPr>
        <w:t xml:space="preserve"> explain</w:t>
      </w:r>
      <w:r w:rsidR="006E4502">
        <w:rPr>
          <w:color w:val="auto"/>
        </w:rPr>
        <w:t>ing</w:t>
      </w:r>
      <w:r w:rsidR="00C57CCE" w:rsidRPr="00860E2B">
        <w:rPr>
          <w:color w:val="auto"/>
        </w:rPr>
        <w:t xml:space="preserve"> why this would not be</w:t>
      </w:r>
      <w:r w:rsidR="007D1FEF" w:rsidRPr="00860E2B">
        <w:rPr>
          <w:color w:val="auto"/>
        </w:rPr>
        <w:t xml:space="preserve"> </w:t>
      </w:r>
      <w:r w:rsidR="00C57CCE" w:rsidRPr="00860E2B">
        <w:rPr>
          <w:color w:val="auto"/>
        </w:rPr>
        <w:t>possible. It concludes by stating ‘We now find ourselves at a stalemate, and</w:t>
      </w:r>
      <w:r w:rsidR="007D1FEF" w:rsidRPr="00860E2B">
        <w:rPr>
          <w:color w:val="auto"/>
        </w:rPr>
        <w:t xml:space="preserve"> </w:t>
      </w:r>
      <w:r w:rsidR="00C57CCE" w:rsidRPr="00860E2B">
        <w:rPr>
          <w:color w:val="auto"/>
        </w:rPr>
        <w:t xml:space="preserve">with no option but to now apply to the Secretary of State </w:t>
      </w:r>
      <w:proofErr w:type="gramStart"/>
      <w:r w:rsidR="00C57CCE" w:rsidRPr="00860E2B">
        <w:rPr>
          <w:color w:val="auto"/>
        </w:rPr>
        <w:t>in order to</w:t>
      </w:r>
      <w:proofErr w:type="gramEnd"/>
      <w:r w:rsidR="00C57CCE" w:rsidRPr="00860E2B">
        <w:rPr>
          <w:color w:val="auto"/>
        </w:rPr>
        <w:t xml:space="preserve"> seek an</w:t>
      </w:r>
      <w:r w:rsidR="007D1FEF" w:rsidRPr="00860E2B">
        <w:rPr>
          <w:color w:val="auto"/>
        </w:rPr>
        <w:t xml:space="preserve"> </w:t>
      </w:r>
      <w:r w:rsidR="00C57CCE" w:rsidRPr="00860E2B">
        <w:rPr>
          <w:color w:val="auto"/>
        </w:rPr>
        <w:t>extinguishment order. We would urge you to re-consider our evidence,</w:t>
      </w:r>
      <w:r w:rsidR="007D1FEF" w:rsidRPr="00860E2B">
        <w:rPr>
          <w:color w:val="auto"/>
        </w:rPr>
        <w:t xml:space="preserve"> </w:t>
      </w:r>
      <w:r w:rsidR="00C57CCE" w:rsidRPr="00860E2B">
        <w:rPr>
          <w:color w:val="auto"/>
        </w:rPr>
        <w:t>SCC’s recommendation for extinguishment</w:t>
      </w:r>
      <w:r w:rsidR="00C3452D">
        <w:rPr>
          <w:color w:val="auto"/>
        </w:rPr>
        <w:t xml:space="preserve"> (at Officer level)</w:t>
      </w:r>
      <w:r w:rsidR="00C57CCE" w:rsidRPr="00860E2B">
        <w:rPr>
          <w:color w:val="auto"/>
        </w:rPr>
        <w:t xml:space="preserve"> and our offer to fully fund</w:t>
      </w:r>
      <w:r w:rsidR="007D1FEF" w:rsidRPr="00860E2B">
        <w:rPr>
          <w:color w:val="auto"/>
        </w:rPr>
        <w:t xml:space="preserve"> </w:t>
      </w:r>
      <w:r w:rsidR="00C57CCE" w:rsidRPr="00860E2B">
        <w:rPr>
          <w:color w:val="auto"/>
        </w:rPr>
        <w:t>suitable diversionary facilities to enable e</w:t>
      </w:r>
      <w:r w:rsidR="00C3452D">
        <w:rPr>
          <w:color w:val="auto"/>
        </w:rPr>
        <w:t>ven greater</w:t>
      </w:r>
      <w:r w:rsidR="00C57CCE" w:rsidRPr="00860E2B">
        <w:rPr>
          <w:color w:val="auto"/>
        </w:rPr>
        <w:t xml:space="preserve"> access to the moor. I (Principal</w:t>
      </w:r>
      <w:r w:rsidR="007D1FEF" w:rsidRPr="00860E2B">
        <w:rPr>
          <w:color w:val="auto"/>
        </w:rPr>
        <w:t xml:space="preserve"> </w:t>
      </w:r>
      <w:r w:rsidR="00C57CCE" w:rsidRPr="00860E2B">
        <w:rPr>
          <w:color w:val="auto"/>
        </w:rPr>
        <w:t>Sponsor) would be happy to meet to discuss the matter further</w:t>
      </w:r>
      <w:proofErr w:type="gramStart"/>
      <w:r w:rsidR="00C57CCE" w:rsidRPr="00860E2B">
        <w:rPr>
          <w:color w:val="auto"/>
        </w:rPr>
        <w:t>’;</w:t>
      </w:r>
      <w:proofErr w:type="gramEnd"/>
    </w:p>
    <w:p w14:paraId="57940412" w14:textId="59B86FF9" w:rsidR="00C57CCE" w:rsidRPr="004E7941" w:rsidRDefault="00A56987" w:rsidP="00770862">
      <w:pPr>
        <w:pStyle w:val="Style1"/>
        <w:numPr>
          <w:ilvl w:val="0"/>
          <w:numId w:val="6"/>
        </w:numPr>
        <w:spacing w:before="140"/>
        <w:ind w:left="431" w:hanging="431"/>
        <w:rPr>
          <w:color w:val="auto"/>
        </w:rPr>
      </w:pPr>
      <w:r>
        <w:rPr>
          <w:color w:val="auto"/>
        </w:rPr>
        <w:t>I</w:t>
      </w:r>
      <w:r w:rsidR="00C57CCE" w:rsidRPr="004E7941">
        <w:rPr>
          <w:color w:val="auto"/>
        </w:rPr>
        <w:t xml:space="preserve">n </w:t>
      </w:r>
      <w:r>
        <w:rPr>
          <w:color w:val="auto"/>
        </w:rPr>
        <w:t xml:space="preserve">cross-examination the NR </w:t>
      </w:r>
      <w:r w:rsidR="00C57CCE" w:rsidRPr="004E7941">
        <w:rPr>
          <w:color w:val="auto"/>
        </w:rPr>
        <w:t>w</w:t>
      </w:r>
      <w:r>
        <w:rPr>
          <w:color w:val="auto"/>
        </w:rPr>
        <w:t xml:space="preserve">itness </w:t>
      </w:r>
      <w:r w:rsidR="00C57CCE" w:rsidRPr="004E7941">
        <w:rPr>
          <w:color w:val="auto"/>
        </w:rPr>
        <w:t>confirmed that “report” was the wrong word</w:t>
      </w:r>
      <w:r w:rsidR="007D1FEF" w:rsidRPr="004E7941">
        <w:rPr>
          <w:color w:val="auto"/>
        </w:rPr>
        <w:t xml:space="preserve"> </w:t>
      </w:r>
      <w:r w:rsidR="00C57CCE" w:rsidRPr="004E7941">
        <w:rPr>
          <w:color w:val="auto"/>
        </w:rPr>
        <w:t xml:space="preserve">and ‘emails’ was more appropriate. </w:t>
      </w:r>
      <w:r w:rsidR="00657E28">
        <w:rPr>
          <w:color w:val="auto"/>
        </w:rPr>
        <w:t xml:space="preserve">It was </w:t>
      </w:r>
      <w:r w:rsidR="00C57CCE" w:rsidRPr="004E7941">
        <w:rPr>
          <w:color w:val="auto"/>
        </w:rPr>
        <w:t>repeatedly stated</w:t>
      </w:r>
      <w:r w:rsidR="00657E28">
        <w:rPr>
          <w:color w:val="auto"/>
        </w:rPr>
        <w:t xml:space="preserve"> </w:t>
      </w:r>
      <w:r w:rsidR="00C57CCE" w:rsidRPr="004E7941">
        <w:rPr>
          <w:color w:val="auto"/>
        </w:rPr>
        <w:t xml:space="preserve">that additional information could be requested from </w:t>
      </w:r>
      <w:r w:rsidR="00032923">
        <w:rPr>
          <w:color w:val="auto"/>
        </w:rPr>
        <w:t>a</w:t>
      </w:r>
      <w:r w:rsidR="00032923" w:rsidRPr="004E7941">
        <w:rPr>
          <w:color w:val="auto"/>
        </w:rPr>
        <w:t>n</w:t>
      </w:r>
      <w:r w:rsidR="00032923">
        <w:rPr>
          <w:color w:val="auto"/>
        </w:rPr>
        <w:t xml:space="preserve">other witness, </w:t>
      </w:r>
      <w:r w:rsidR="0002279F">
        <w:rPr>
          <w:color w:val="auto"/>
        </w:rPr>
        <w:t xml:space="preserve">the Liability Negotiations </w:t>
      </w:r>
      <w:r w:rsidR="00C57CCE" w:rsidRPr="004E7941">
        <w:rPr>
          <w:color w:val="auto"/>
        </w:rPr>
        <w:t>M</w:t>
      </w:r>
      <w:r w:rsidR="0002279F">
        <w:rPr>
          <w:color w:val="auto"/>
        </w:rPr>
        <w:t>anage</w:t>
      </w:r>
      <w:r w:rsidR="00C57CCE" w:rsidRPr="004E7941">
        <w:rPr>
          <w:color w:val="auto"/>
        </w:rPr>
        <w:t>r</w:t>
      </w:r>
      <w:r w:rsidR="0002279F">
        <w:rPr>
          <w:color w:val="auto"/>
        </w:rPr>
        <w:t xml:space="preserve">, </w:t>
      </w:r>
      <w:r w:rsidR="00C57CCE" w:rsidRPr="004E7941">
        <w:rPr>
          <w:color w:val="auto"/>
        </w:rPr>
        <w:t>as</w:t>
      </w:r>
      <w:r w:rsidR="0002279F">
        <w:rPr>
          <w:color w:val="auto"/>
        </w:rPr>
        <w:t xml:space="preserve"> th</w:t>
      </w:r>
      <w:r w:rsidR="00C57CCE" w:rsidRPr="004E7941">
        <w:rPr>
          <w:color w:val="auto"/>
        </w:rPr>
        <w:t xml:space="preserve">is </w:t>
      </w:r>
      <w:r w:rsidR="0002279F">
        <w:rPr>
          <w:color w:val="auto"/>
        </w:rPr>
        <w:t>wi</w:t>
      </w:r>
      <w:r w:rsidR="00C57CCE" w:rsidRPr="004E7941">
        <w:rPr>
          <w:color w:val="auto"/>
        </w:rPr>
        <w:t>t</w:t>
      </w:r>
      <w:r w:rsidR="0002279F">
        <w:rPr>
          <w:color w:val="auto"/>
        </w:rPr>
        <w:t xml:space="preserve">ness, </w:t>
      </w:r>
      <w:r w:rsidR="001C1604">
        <w:rPr>
          <w:color w:val="auto"/>
        </w:rPr>
        <w:t>t</w:t>
      </w:r>
      <w:r w:rsidR="00C57CCE" w:rsidRPr="004E7941">
        <w:rPr>
          <w:color w:val="auto"/>
        </w:rPr>
        <w:t>h</w:t>
      </w:r>
      <w:r w:rsidR="001C1604">
        <w:rPr>
          <w:color w:val="auto"/>
        </w:rPr>
        <w:t>e He</w:t>
      </w:r>
      <w:r w:rsidR="00C57CCE" w:rsidRPr="004E7941">
        <w:rPr>
          <w:color w:val="auto"/>
        </w:rPr>
        <w:t>a</w:t>
      </w:r>
      <w:r w:rsidR="001C1604">
        <w:rPr>
          <w:color w:val="auto"/>
        </w:rPr>
        <w:t>d of Liability Nego</w:t>
      </w:r>
      <w:r w:rsidR="00C57CCE" w:rsidRPr="004E7941">
        <w:rPr>
          <w:color w:val="auto"/>
        </w:rPr>
        <w:t>t</w:t>
      </w:r>
      <w:r w:rsidR="001C1604">
        <w:rPr>
          <w:color w:val="auto"/>
        </w:rPr>
        <w:t xml:space="preserve">iation, </w:t>
      </w:r>
      <w:r w:rsidR="00C57CCE" w:rsidRPr="004E7941">
        <w:rPr>
          <w:color w:val="auto"/>
        </w:rPr>
        <w:t>was only copied into such emails and would have no</w:t>
      </w:r>
      <w:r w:rsidR="007D1FEF" w:rsidRPr="004E7941">
        <w:rPr>
          <w:color w:val="auto"/>
        </w:rPr>
        <w:t xml:space="preserve"> </w:t>
      </w:r>
      <w:r w:rsidR="00C57CCE" w:rsidRPr="004E7941">
        <w:rPr>
          <w:color w:val="auto"/>
        </w:rPr>
        <w:t>input in them. It would be</w:t>
      </w:r>
      <w:r w:rsidR="00C10F73">
        <w:rPr>
          <w:color w:val="auto"/>
        </w:rPr>
        <w:t xml:space="preserve"> u</w:t>
      </w:r>
      <w:r w:rsidR="00C57CCE" w:rsidRPr="004E7941">
        <w:rPr>
          <w:color w:val="auto"/>
        </w:rPr>
        <w:t>nreasonable for anyone</w:t>
      </w:r>
      <w:r w:rsidR="007D1FEF" w:rsidRPr="004E7941">
        <w:rPr>
          <w:color w:val="auto"/>
        </w:rPr>
        <w:t xml:space="preserve"> </w:t>
      </w:r>
      <w:r w:rsidR="00C57CCE" w:rsidRPr="004E7941">
        <w:rPr>
          <w:color w:val="auto"/>
        </w:rPr>
        <w:t xml:space="preserve">to trawl through </w:t>
      </w:r>
      <w:r w:rsidR="001C1604">
        <w:rPr>
          <w:color w:val="auto"/>
        </w:rPr>
        <w:t xml:space="preserve">around </w:t>
      </w:r>
      <w:r w:rsidR="00C57CCE" w:rsidRPr="004E7941">
        <w:rPr>
          <w:color w:val="auto"/>
        </w:rPr>
        <w:t xml:space="preserve">5,000 archived and deleted emails on the </w:t>
      </w:r>
      <w:proofErr w:type="gramStart"/>
      <w:r w:rsidR="00C57CCE" w:rsidRPr="004E7941">
        <w:rPr>
          <w:color w:val="auto"/>
        </w:rPr>
        <w:t>off-chance</w:t>
      </w:r>
      <w:proofErr w:type="gramEnd"/>
      <w:r w:rsidR="007D1FEF" w:rsidRPr="004E7941">
        <w:rPr>
          <w:color w:val="auto"/>
        </w:rPr>
        <w:t xml:space="preserve"> </w:t>
      </w:r>
      <w:r w:rsidR="00C57CCE" w:rsidRPr="004E7941">
        <w:rPr>
          <w:color w:val="auto"/>
        </w:rPr>
        <w:t xml:space="preserve">that </w:t>
      </w:r>
      <w:r w:rsidR="001C1604">
        <w:rPr>
          <w:color w:val="auto"/>
        </w:rPr>
        <w:t>t</w:t>
      </w:r>
      <w:r w:rsidR="00C57CCE" w:rsidRPr="004E7941">
        <w:rPr>
          <w:color w:val="auto"/>
        </w:rPr>
        <w:t>he</w:t>
      </w:r>
      <w:r w:rsidR="001C1604">
        <w:rPr>
          <w:color w:val="auto"/>
        </w:rPr>
        <w:t>y</w:t>
      </w:r>
      <w:r w:rsidR="00C57CCE" w:rsidRPr="004E7941">
        <w:rPr>
          <w:color w:val="auto"/>
        </w:rPr>
        <w:t xml:space="preserve"> would uncover s</w:t>
      </w:r>
      <w:r w:rsidR="00C10F73">
        <w:rPr>
          <w:color w:val="auto"/>
        </w:rPr>
        <w:t>omething of relevance.</w:t>
      </w:r>
    </w:p>
    <w:p w14:paraId="4BB78ABC" w14:textId="065C3D92" w:rsidR="00255745" w:rsidRPr="00103A73" w:rsidRDefault="00C57CCE" w:rsidP="00024AFB">
      <w:pPr>
        <w:pStyle w:val="Style1"/>
        <w:numPr>
          <w:ilvl w:val="0"/>
          <w:numId w:val="6"/>
        </w:numPr>
        <w:spacing w:before="140"/>
        <w:ind w:left="431" w:hanging="431"/>
        <w:rPr>
          <w:color w:val="auto"/>
        </w:rPr>
      </w:pPr>
      <w:r w:rsidRPr="00103A73">
        <w:rPr>
          <w:color w:val="auto"/>
        </w:rPr>
        <w:t>SBC requested and received additional documents which placed</w:t>
      </w:r>
      <w:r w:rsidR="007D1FEF" w:rsidRPr="00103A73">
        <w:rPr>
          <w:color w:val="auto"/>
        </w:rPr>
        <w:t xml:space="preserve"> </w:t>
      </w:r>
      <w:r w:rsidRPr="00103A73">
        <w:rPr>
          <w:color w:val="auto"/>
        </w:rPr>
        <w:t>no transformative bearing upon the evidence given;</w:t>
      </w:r>
      <w:r w:rsidR="007D1FEF" w:rsidRPr="00103A73">
        <w:rPr>
          <w:color w:val="auto"/>
        </w:rPr>
        <w:t xml:space="preserve"> </w:t>
      </w:r>
      <w:r w:rsidRPr="00103A73">
        <w:rPr>
          <w:color w:val="auto"/>
        </w:rPr>
        <w:t>NR’s primary, well telegraphed, concern was for the very limited sighting</w:t>
      </w:r>
      <w:r w:rsidR="0064261E" w:rsidRPr="00103A73">
        <w:rPr>
          <w:color w:val="auto"/>
        </w:rPr>
        <w:t xml:space="preserve"> </w:t>
      </w:r>
      <w:r w:rsidRPr="00103A73">
        <w:rPr>
          <w:color w:val="auto"/>
        </w:rPr>
        <w:t>time of approaching trains, based on a 22m sighting time</w:t>
      </w:r>
      <w:r w:rsidR="0064261E" w:rsidRPr="00103A73">
        <w:rPr>
          <w:color w:val="auto"/>
        </w:rPr>
        <w:t xml:space="preserve"> </w:t>
      </w:r>
      <w:r w:rsidRPr="00103A73">
        <w:rPr>
          <w:color w:val="auto"/>
        </w:rPr>
        <w:t>which is only 0.82 seconds. This evidence was clearly available to</w:t>
      </w:r>
      <w:r w:rsidR="0064261E" w:rsidRPr="00103A73">
        <w:rPr>
          <w:color w:val="auto"/>
        </w:rPr>
        <w:t xml:space="preserve"> </w:t>
      </w:r>
      <w:r w:rsidRPr="00103A73">
        <w:rPr>
          <w:color w:val="auto"/>
        </w:rPr>
        <w:t xml:space="preserve">SBC prior to </w:t>
      </w:r>
      <w:r w:rsidR="00D962B1" w:rsidRPr="00103A73">
        <w:rPr>
          <w:color w:val="auto"/>
        </w:rPr>
        <w:t>I</w:t>
      </w:r>
      <w:r w:rsidRPr="00103A73">
        <w:rPr>
          <w:color w:val="auto"/>
        </w:rPr>
        <w:t>nquiry.</w:t>
      </w:r>
      <w:r w:rsidR="00E83290" w:rsidRPr="00103A73">
        <w:rPr>
          <w:color w:val="auto"/>
        </w:rPr>
        <w:t xml:space="preserve"> What is it over that vividly telegraphed </w:t>
      </w:r>
      <w:r w:rsidR="00C407EA" w:rsidRPr="00103A73">
        <w:rPr>
          <w:color w:val="auto"/>
        </w:rPr>
        <w:t>information</w:t>
      </w:r>
      <w:r w:rsidR="002749AE" w:rsidRPr="00103A73">
        <w:rPr>
          <w:color w:val="auto"/>
        </w:rPr>
        <w:t xml:space="preserve"> on the ground and </w:t>
      </w:r>
      <w:r w:rsidR="009B2C18" w:rsidRPr="00103A73">
        <w:rPr>
          <w:color w:val="auto"/>
        </w:rPr>
        <w:t xml:space="preserve">historically and reinforced on the papers </w:t>
      </w:r>
      <w:r w:rsidR="00C407EA" w:rsidRPr="00103A73">
        <w:rPr>
          <w:color w:val="auto"/>
        </w:rPr>
        <w:t xml:space="preserve">that </w:t>
      </w:r>
      <w:r w:rsidR="009B2C18" w:rsidRPr="00103A73">
        <w:rPr>
          <w:color w:val="auto"/>
        </w:rPr>
        <w:t>m</w:t>
      </w:r>
      <w:r w:rsidR="00C407EA" w:rsidRPr="00103A73">
        <w:rPr>
          <w:color w:val="auto"/>
        </w:rPr>
        <w:t>e</w:t>
      </w:r>
      <w:r w:rsidR="009B2C18" w:rsidRPr="00103A73">
        <w:rPr>
          <w:color w:val="auto"/>
        </w:rPr>
        <w:t>ant</w:t>
      </w:r>
      <w:r w:rsidR="00C407EA" w:rsidRPr="00103A73">
        <w:rPr>
          <w:color w:val="auto"/>
        </w:rPr>
        <w:t xml:space="preserve"> SBC </w:t>
      </w:r>
      <w:r w:rsidR="009B2C18" w:rsidRPr="00103A73">
        <w:rPr>
          <w:color w:val="auto"/>
        </w:rPr>
        <w:t>maintained th</w:t>
      </w:r>
      <w:r w:rsidR="00255745" w:rsidRPr="00103A73">
        <w:rPr>
          <w:color w:val="auto"/>
        </w:rPr>
        <w:t>eir</w:t>
      </w:r>
      <w:r w:rsidR="009B2C18" w:rsidRPr="00103A73">
        <w:rPr>
          <w:color w:val="auto"/>
        </w:rPr>
        <w:t xml:space="preserve"> </w:t>
      </w:r>
      <w:proofErr w:type="gramStart"/>
      <w:r w:rsidR="009B2C18" w:rsidRPr="00103A73">
        <w:rPr>
          <w:color w:val="auto"/>
        </w:rPr>
        <w:t>line.</w:t>
      </w:r>
      <w:proofErr w:type="gramEnd"/>
      <w:r w:rsidR="009B2C18" w:rsidRPr="00103A73">
        <w:rPr>
          <w:color w:val="auto"/>
        </w:rPr>
        <w:t xml:space="preserve"> NR make no costs </w:t>
      </w:r>
      <w:r w:rsidR="00BE1DD5" w:rsidRPr="00103A73">
        <w:rPr>
          <w:color w:val="auto"/>
        </w:rPr>
        <w:t>application</w:t>
      </w:r>
      <w:r w:rsidR="00255745" w:rsidRPr="00103A73">
        <w:rPr>
          <w:color w:val="auto"/>
        </w:rPr>
        <w:t xml:space="preserve"> against SBC</w:t>
      </w:r>
      <w:r w:rsidR="00BE1DD5" w:rsidRPr="00103A73">
        <w:rPr>
          <w:color w:val="auto"/>
        </w:rPr>
        <w:t xml:space="preserve"> but characterise their approach as unreasonable </w:t>
      </w:r>
      <w:r w:rsidR="00255745" w:rsidRPr="00103A73">
        <w:rPr>
          <w:color w:val="auto"/>
        </w:rPr>
        <w:t xml:space="preserve">in </w:t>
      </w:r>
      <w:r w:rsidR="00BE1DD5" w:rsidRPr="00103A73">
        <w:rPr>
          <w:color w:val="auto"/>
        </w:rPr>
        <w:t xml:space="preserve">not following individual responsibility </w:t>
      </w:r>
      <w:r w:rsidR="004C5F89" w:rsidRPr="00103A73">
        <w:rPr>
          <w:color w:val="auto"/>
        </w:rPr>
        <w:t xml:space="preserve">to stand back from the </w:t>
      </w:r>
      <w:r w:rsidR="00FA11B9" w:rsidRPr="00103A73">
        <w:rPr>
          <w:color w:val="auto"/>
        </w:rPr>
        <w:t xml:space="preserve">evidence </w:t>
      </w:r>
      <w:r w:rsidR="004C5F89" w:rsidRPr="00103A73">
        <w:rPr>
          <w:color w:val="auto"/>
        </w:rPr>
        <w:t>and consider wh</w:t>
      </w:r>
      <w:r w:rsidR="000D3A2C" w:rsidRPr="00103A73">
        <w:rPr>
          <w:color w:val="auto"/>
        </w:rPr>
        <w:t>ere</w:t>
      </w:r>
      <w:r w:rsidR="00FA11B9" w:rsidRPr="00103A73">
        <w:rPr>
          <w:color w:val="auto"/>
        </w:rPr>
        <w:t>,</w:t>
      </w:r>
      <w:r w:rsidR="004C5F89" w:rsidRPr="00103A73">
        <w:rPr>
          <w:color w:val="auto"/>
        </w:rPr>
        <w:t xml:space="preserve"> over and</w:t>
      </w:r>
      <w:r w:rsidR="00FA11B9" w:rsidRPr="00103A73">
        <w:rPr>
          <w:color w:val="auto"/>
        </w:rPr>
        <w:t xml:space="preserve"> a</w:t>
      </w:r>
      <w:r w:rsidR="004C5F89" w:rsidRPr="00103A73">
        <w:rPr>
          <w:color w:val="auto"/>
        </w:rPr>
        <w:t>bove their lingering historic criticism</w:t>
      </w:r>
      <w:r w:rsidR="000D3A2C" w:rsidRPr="00103A73">
        <w:rPr>
          <w:color w:val="auto"/>
        </w:rPr>
        <w:t>, it takes them</w:t>
      </w:r>
      <w:r w:rsidR="002749AE" w:rsidRPr="00103A73">
        <w:rPr>
          <w:color w:val="auto"/>
        </w:rPr>
        <w:t xml:space="preserve">. Had they done </w:t>
      </w:r>
      <w:r w:rsidR="002749AE" w:rsidRPr="00103A73">
        <w:rPr>
          <w:color w:val="auto"/>
        </w:rPr>
        <w:lastRenderedPageBreak/>
        <w:t>that</w:t>
      </w:r>
      <w:r w:rsidR="00FA11B9" w:rsidRPr="00103A73">
        <w:rPr>
          <w:color w:val="auto"/>
        </w:rPr>
        <w:t xml:space="preserve"> </w:t>
      </w:r>
      <w:r w:rsidR="0007637A" w:rsidRPr="00103A73">
        <w:rPr>
          <w:color w:val="auto"/>
        </w:rPr>
        <w:t xml:space="preserve">at an earlier stage then they would not have </w:t>
      </w:r>
      <w:proofErr w:type="gramStart"/>
      <w:r w:rsidR="0007637A" w:rsidRPr="00103A73">
        <w:rPr>
          <w:color w:val="auto"/>
        </w:rPr>
        <w:t>continued on</w:t>
      </w:r>
      <w:proofErr w:type="gramEnd"/>
      <w:r w:rsidR="0007637A" w:rsidRPr="00103A73">
        <w:rPr>
          <w:color w:val="auto"/>
        </w:rPr>
        <w:t xml:space="preserve"> with their enquiry through their </w:t>
      </w:r>
      <w:r w:rsidR="00CD31C2" w:rsidRPr="00103A73">
        <w:rPr>
          <w:color w:val="auto"/>
        </w:rPr>
        <w:t>SoC</w:t>
      </w:r>
      <w:r w:rsidR="0007637A" w:rsidRPr="00103A73">
        <w:rPr>
          <w:color w:val="auto"/>
        </w:rPr>
        <w:t>, thin as it was, and PoE.</w:t>
      </w:r>
      <w:r w:rsidR="004C5F89" w:rsidRPr="00103A73">
        <w:rPr>
          <w:color w:val="auto"/>
        </w:rPr>
        <w:t xml:space="preserve"> </w:t>
      </w:r>
    </w:p>
    <w:p w14:paraId="10D4E83C" w14:textId="77777777" w:rsidR="00D9784B" w:rsidRDefault="00C57CCE" w:rsidP="00E67A60">
      <w:pPr>
        <w:pStyle w:val="Style1"/>
        <w:numPr>
          <w:ilvl w:val="0"/>
          <w:numId w:val="6"/>
        </w:numPr>
        <w:spacing w:before="140"/>
        <w:ind w:left="431" w:hanging="431"/>
        <w:rPr>
          <w:color w:val="auto"/>
        </w:rPr>
      </w:pPr>
      <w:r w:rsidRPr="00D962B1">
        <w:rPr>
          <w:color w:val="auto"/>
        </w:rPr>
        <w:t>NR had installed the non-slip surfacing before the</w:t>
      </w:r>
      <w:r w:rsidR="0064261E" w:rsidRPr="00D962B1">
        <w:rPr>
          <w:color w:val="auto"/>
        </w:rPr>
        <w:t xml:space="preserve"> </w:t>
      </w:r>
      <w:r w:rsidRPr="00D962B1">
        <w:rPr>
          <w:color w:val="auto"/>
        </w:rPr>
        <w:t>recommendation came through</w:t>
      </w:r>
      <w:r w:rsidR="00D962B1">
        <w:rPr>
          <w:color w:val="auto"/>
        </w:rPr>
        <w:t xml:space="preserve">, </w:t>
      </w:r>
      <w:r w:rsidRPr="00D962B1">
        <w:rPr>
          <w:color w:val="auto"/>
        </w:rPr>
        <w:t>as noted in the RAIB report</w:t>
      </w:r>
      <w:r w:rsidR="00D962B1">
        <w:rPr>
          <w:color w:val="auto"/>
        </w:rPr>
        <w:t xml:space="preserve">, </w:t>
      </w:r>
      <w:r w:rsidRPr="00D962B1">
        <w:rPr>
          <w:color w:val="auto"/>
        </w:rPr>
        <w:t>and before the</w:t>
      </w:r>
      <w:r w:rsidR="0064261E" w:rsidRPr="00D962B1">
        <w:rPr>
          <w:color w:val="auto"/>
        </w:rPr>
        <w:t xml:space="preserve"> </w:t>
      </w:r>
      <w:r w:rsidR="00D962B1">
        <w:rPr>
          <w:color w:val="auto"/>
        </w:rPr>
        <w:t>crossing</w:t>
      </w:r>
      <w:r w:rsidRPr="00D962B1">
        <w:rPr>
          <w:color w:val="auto"/>
        </w:rPr>
        <w:t xml:space="preserve"> was closed. Nevertheless, it realised an insignificant reduction to the risk</w:t>
      </w:r>
      <w:r w:rsidR="0064261E" w:rsidRPr="00D962B1">
        <w:rPr>
          <w:color w:val="auto"/>
        </w:rPr>
        <w:t xml:space="preserve"> </w:t>
      </w:r>
      <w:r w:rsidRPr="00D962B1">
        <w:rPr>
          <w:color w:val="auto"/>
        </w:rPr>
        <w:t xml:space="preserve">and the </w:t>
      </w:r>
      <w:r w:rsidR="008D10E2">
        <w:rPr>
          <w:color w:val="auto"/>
        </w:rPr>
        <w:t xml:space="preserve">crossing </w:t>
      </w:r>
      <w:r w:rsidRPr="00D962B1">
        <w:rPr>
          <w:color w:val="auto"/>
        </w:rPr>
        <w:t>was still closed on safety grounds.</w:t>
      </w:r>
      <w:r w:rsidR="008D10E2">
        <w:rPr>
          <w:color w:val="auto"/>
        </w:rPr>
        <w:t xml:space="preserve"> </w:t>
      </w:r>
    </w:p>
    <w:p w14:paraId="15CC0235" w14:textId="45C9CD0B" w:rsidR="00C57CCE" w:rsidRPr="00D962B1" w:rsidRDefault="00D9784B" w:rsidP="00E67A60">
      <w:pPr>
        <w:pStyle w:val="Style1"/>
        <w:numPr>
          <w:ilvl w:val="0"/>
          <w:numId w:val="6"/>
        </w:numPr>
        <w:spacing w:before="140"/>
        <w:ind w:left="431" w:hanging="431"/>
        <w:rPr>
          <w:color w:val="auto"/>
        </w:rPr>
      </w:pPr>
      <w:r>
        <w:rPr>
          <w:color w:val="auto"/>
        </w:rPr>
        <w:t>I</w:t>
      </w:r>
      <w:r w:rsidR="00562D74">
        <w:rPr>
          <w:color w:val="auto"/>
        </w:rPr>
        <w:t>n relation to SBC scrutiny of the documents,</w:t>
      </w:r>
      <w:r w:rsidR="00FD1327">
        <w:rPr>
          <w:color w:val="auto"/>
        </w:rPr>
        <w:t xml:space="preserve"> new documents which </w:t>
      </w:r>
      <w:r w:rsidR="00103A73">
        <w:rPr>
          <w:color w:val="auto"/>
        </w:rPr>
        <w:t xml:space="preserve">were </w:t>
      </w:r>
      <w:r w:rsidR="00FD1327">
        <w:rPr>
          <w:color w:val="auto"/>
        </w:rPr>
        <w:t>erroneously part of the bundle and were retracted, and those submitted as N</w:t>
      </w:r>
      <w:r w:rsidR="00F14B5F">
        <w:rPr>
          <w:color w:val="auto"/>
        </w:rPr>
        <w:t>R</w:t>
      </w:r>
      <w:r w:rsidR="00FD1327">
        <w:rPr>
          <w:color w:val="auto"/>
        </w:rPr>
        <w:t xml:space="preserve"> Notes</w:t>
      </w:r>
      <w:r w:rsidR="009C5FEC">
        <w:rPr>
          <w:color w:val="auto"/>
        </w:rPr>
        <w:t xml:space="preserve">. </w:t>
      </w:r>
      <w:r w:rsidR="00E73D7C">
        <w:rPr>
          <w:color w:val="auto"/>
        </w:rPr>
        <w:t>T</w:t>
      </w:r>
      <w:r>
        <w:rPr>
          <w:color w:val="auto"/>
        </w:rPr>
        <w:t>he headline</w:t>
      </w:r>
      <w:r w:rsidR="009C5FEC">
        <w:rPr>
          <w:color w:val="auto"/>
        </w:rPr>
        <w:t xml:space="preserve"> conclusion</w:t>
      </w:r>
      <w:r>
        <w:rPr>
          <w:color w:val="auto"/>
        </w:rPr>
        <w:t xml:space="preserve"> that SBC ran, which was </w:t>
      </w:r>
      <w:r w:rsidR="009C5FEC">
        <w:rPr>
          <w:color w:val="auto"/>
        </w:rPr>
        <w:t xml:space="preserve">at maximum the </w:t>
      </w:r>
      <w:r>
        <w:rPr>
          <w:color w:val="auto"/>
        </w:rPr>
        <w:t>S1</w:t>
      </w:r>
      <w:r w:rsidR="009C5FEC">
        <w:rPr>
          <w:color w:val="auto"/>
        </w:rPr>
        <w:t xml:space="preserve"> interventions</w:t>
      </w:r>
      <w:r w:rsidR="00316A27">
        <w:rPr>
          <w:color w:val="auto"/>
        </w:rPr>
        <w:t xml:space="preserve">, and even including realignment, rationally seen was never going to get them there </w:t>
      </w:r>
      <w:r w:rsidR="00E17896">
        <w:rPr>
          <w:color w:val="auto"/>
        </w:rPr>
        <w:t>in term</w:t>
      </w:r>
      <w:r w:rsidR="00316A27">
        <w:rPr>
          <w:color w:val="auto"/>
        </w:rPr>
        <w:t xml:space="preserve">s of the statutory test. </w:t>
      </w:r>
      <w:r w:rsidR="00017720">
        <w:rPr>
          <w:color w:val="auto"/>
        </w:rPr>
        <w:t>What was the continued source driving that</w:t>
      </w:r>
      <w:r w:rsidR="00316A27">
        <w:rPr>
          <w:color w:val="auto"/>
        </w:rPr>
        <w:t xml:space="preserve"> </w:t>
      </w:r>
      <w:r w:rsidR="009C0377">
        <w:rPr>
          <w:color w:val="auto"/>
        </w:rPr>
        <w:t xml:space="preserve">same </w:t>
      </w:r>
      <w:r w:rsidR="00DF6690">
        <w:rPr>
          <w:color w:val="auto"/>
        </w:rPr>
        <w:t xml:space="preserve">thoroughly </w:t>
      </w:r>
      <w:r w:rsidR="009C0377">
        <w:rPr>
          <w:color w:val="auto"/>
        </w:rPr>
        <w:t>bad point at Inquir</w:t>
      </w:r>
      <w:r w:rsidR="00DF6690">
        <w:rPr>
          <w:color w:val="auto"/>
        </w:rPr>
        <w:t>y: was it politically driven</w:t>
      </w:r>
      <w:r w:rsidR="00CA39DD">
        <w:rPr>
          <w:color w:val="auto"/>
        </w:rPr>
        <w:t xml:space="preserve"> by the membership</w:t>
      </w:r>
      <w:r w:rsidR="00DF6690">
        <w:rPr>
          <w:color w:val="auto"/>
        </w:rPr>
        <w:t xml:space="preserve"> or was it a considered assessment? </w:t>
      </w:r>
      <w:r w:rsidR="00C819F9">
        <w:rPr>
          <w:color w:val="auto"/>
        </w:rPr>
        <w:t xml:space="preserve">We know there </w:t>
      </w:r>
      <w:r w:rsidR="00CA39DD">
        <w:rPr>
          <w:color w:val="auto"/>
        </w:rPr>
        <w:t>wa</w:t>
      </w:r>
      <w:r w:rsidR="00C819F9">
        <w:rPr>
          <w:color w:val="auto"/>
        </w:rPr>
        <w:t xml:space="preserve">s no considered assessment other than the </w:t>
      </w:r>
      <w:r w:rsidR="00CA39DD">
        <w:rPr>
          <w:color w:val="auto"/>
        </w:rPr>
        <w:t xml:space="preserve">thin </w:t>
      </w:r>
      <w:r w:rsidR="00CD31C2">
        <w:rPr>
          <w:color w:val="auto"/>
        </w:rPr>
        <w:t>SoC</w:t>
      </w:r>
      <w:r w:rsidR="00C819F9">
        <w:rPr>
          <w:color w:val="auto"/>
        </w:rPr>
        <w:t xml:space="preserve"> and PoE</w:t>
      </w:r>
      <w:r w:rsidR="00CA39DD">
        <w:rPr>
          <w:color w:val="auto"/>
        </w:rPr>
        <w:t>. We entertain and res</w:t>
      </w:r>
      <w:r w:rsidR="00E14AC7">
        <w:rPr>
          <w:color w:val="auto"/>
        </w:rPr>
        <w:t>p</w:t>
      </w:r>
      <w:r w:rsidR="00CA39DD">
        <w:rPr>
          <w:color w:val="auto"/>
        </w:rPr>
        <w:t>ond to t</w:t>
      </w:r>
      <w:r w:rsidR="002E3E8F">
        <w:rPr>
          <w:color w:val="auto"/>
        </w:rPr>
        <w:t>he points raised</w:t>
      </w:r>
      <w:r w:rsidR="00CA39DD">
        <w:rPr>
          <w:color w:val="auto"/>
        </w:rPr>
        <w:t xml:space="preserve"> as a public body but</w:t>
      </w:r>
      <w:r w:rsidR="00E14AC7">
        <w:rPr>
          <w:color w:val="auto"/>
        </w:rPr>
        <w:t xml:space="preserve"> draw a line in assisting </w:t>
      </w:r>
      <w:r w:rsidR="002E3E8F">
        <w:rPr>
          <w:color w:val="auto"/>
        </w:rPr>
        <w:t>where criticised as unreasonable in this way. Responsible parties, such as SBC, should proactively engage and see where on the material they can and should take a different view on the evidence.</w:t>
      </w:r>
      <w:r w:rsidR="0064261E" w:rsidRPr="00D962B1">
        <w:rPr>
          <w:color w:val="auto"/>
        </w:rPr>
        <w:t xml:space="preserve"> </w:t>
      </w:r>
    </w:p>
    <w:p w14:paraId="4063F95E" w14:textId="28E7F600" w:rsidR="00C57CCE" w:rsidRPr="00683E09" w:rsidRDefault="00C57CCE" w:rsidP="001E53B1">
      <w:pPr>
        <w:pStyle w:val="Style1"/>
        <w:numPr>
          <w:ilvl w:val="0"/>
          <w:numId w:val="6"/>
        </w:numPr>
        <w:spacing w:before="140"/>
        <w:ind w:left="431" w:hanging="431"/>
        <w:rPr>
          <w:color w:val="auto"/>
        </w:rPr>
      </w:pPr>
      <w:r w:rsidRPr="00B1005F">
        <w:rPr>
          <w:color w:val="auto"/>
        </w:rPr>
        <w:t xml:space="preserve">It is respectfully submitted that this application comes nowhere close to being </w:t>
      </w:r>
      <w:r w:rsidRPr="00683E09">
        <w:rPr>
          <w:color w:val="auto"/>
        </w:rPr>
        <w:t>well</w:t>
      </w:r>
      <w:r w:rsidR="00B1005F" w:rsidRPr="00683E09">
        <w:rPr>
          <w:color w:val="auto"/>
        </w:rPr>
        <w:t>-</w:t>
      </w:r>
      <w:r w:rsidRPr="00683E09">
        <w:rPr>
          <w:color w:val="auto"/>
        </w:rPr>
        <w:t>founded</w:t>
      </w:r>
      <w:r w:rsidR="002E3E8F" w:rsidRPr="00683E09">
        <w:rPr>
          <w:color w:val="auto"/>
        </w:rPr>
        <w:t xml:space="preserve"> and </w:t>
      </w:r>
      <w:r w:rsidR="00B1005F" w:rsidRPr="00683E09">
        <w:rPr>
          <w:color w:val="auto"/>
        </w:rPr>
        <w:t>that t</w:t>
      </w:r>
      <w:r w:rsidRPr="00683E09">
        <w:rPr>
          <w:color w:val="auto"/>
        </w:rPr>
        <w:t xml:space="preserve">he </w:t>
      </w:r>
      <w:r w:rsidR="00B1005F" w:rsidRPr="00683E09">
        <w:rPr>
          <w:color w:val="auto"/>
        </w:rPr>
        <w:t>I</w:t>
      </w:r>
      <w:r w:rsidRPr="00683E09">
        <w:rPr>
          <w:color w:val="auto"/>
        </w:rPr>
        <w:t>nspector s</w:t>
      </w:r>
      <w:r w:rsidR="00B1005F" w:rsidRPr="00683E09">
        <w:rPr>
          <w:color w:val="auto"/>
        </w:rPr>
        <w:t xml:space="preserve">hould </w:t>
      </w:r>
      <w:r w:rsidRPr="00683E09">
        <w:rPr>
          <w:color w:val="auto"/>
        </w:rPr>
        <w:t>refuse to make an award of costs.</w:t>
      </w:r>
    </w:p>
    <w:p w14:paraId="65A3D678" w14:textId="3E63E8ED" w:rsidR="002D4258" w:rsidRPr="00683E09" w:rsidRDefault="002D4258" w:rsidP="009912FD">
      <w:pPr>
        <w:pStyle w:val="Heading6blackfont"/>
        <w:spacing w:before="120"/>
        <w:rPr>
          <w:color w:val="auto"/>
        </w:rPr>
      </w:pPr>
      <w:r w:rsidRPr="00683E09">
        <w:rPr>
          <w:color w:val="auto"/>
        </w:rPr>
        <w:t>Reasons</w:t>
      </w:r>
    </w:p>
    <w:p w14:paraId="30A4954E" w14:textId="5E8938FD" w:rsidR="001B40F6" w:rsidRDefault="001B40F6" w:rsidP="00BF1907">
      <w:pPr>
        <w:pStyle w:val="Style1"/>
        <w:numPr>
          <w:ilvl w:val="0"/>
          <w:numId w:val="6"/>
        </w:numPr>
        <w:spacing w:before="140"/>
        <w:ind w:left="431" w:hanging="431"/>
        <w:rPr>
          <w:szCs w:val="22"/>
        </w:rPr>
      </w:pPr>
      <w:r w:rsidRPr="001B40F6">
        <w:rPr>
          <w:szCs w:val="22"/>
        </w:rPr>
        <w:t>C</w:t>
      </w:r>
      <w:r w:rsidR="0016367F" w:rsidRPr="001B40F6">
        <w:rPr>
          <w:szCs w:val="22"/>
        </w:rPr>
        <w:t>osts may be awarded against a party who has behaved unreasonably and thereby caused the party applying for costs to incur unnecessary or wasted expense</w:t>
      </w:r>
      <w:r>
        <w:rPr>
          <w:szCs w:val="22"/>
        </w:rPr>
        <w:t xml:space="preserve">. </w:t>
      </w:r>
      <w:r w:rsidR="00BA4BA2">
        <w:rPr>
          <w:szCs w:val="22"/>
        </w:rPr>
        <w:t>This application relates to procedural grounds.</w:t>
      </w:r>
    </w:p>
    <w:p w14:paraId="1B5BDAC9" w14:textId="2DF4A148" w:rsidR="0016367F" w:rsidRPr="001B40F6" w:rsidRDefault="00D15B50" w:rsidP="00BF1907">
      <w:pPr>
        <w:pStyle w:val="Style1"/>
        <w:numPr>
          <w:ilvl w:val="0"/>
          <w:numId w:val="6"/>
        </w:numPr>
        <w:spacing w:before="140"/>
        <w:ind w:left="431" w:hanging="431"/>
        <w:rPr>
          <w:szCs w:val="22"/>
        </w:rPr>
      </w:pPr>
      <w:r>
        <w:rPr>
          <w:szCs w:val="22"/>
        </w:rPr>
        <w:t>I agree that the provi</w:t>
      </w:r>
      <w:r w:rsidR="00201167">
        <w:rPr>
          <w:szCs w:val="22"/>
        </w:rPr>
        <w:t>sion of</w:t>
      </w:r>
      <w:r>
        <w:rPr>
          <w:szCs w:val="22"/>
        </w:rPr>
        <w:t xml:space="preserve"> summary</w:t>
      </w:r>
      <w:r w:rsidR="00AE54E6">
        <w:rPr>
          <w:szCs w:val="22"/>
        </w:rPr>
        <w:t xml:space="preserve"> </w:t>
      </w:r>
      <w:proofErr w:type="spellStart"/>
      <w:r w:rsidR="00AE54E6">
        <w:rPr>
          <w:szCs w:val="22"/>
        </w:rPr>
        <w:t>P</w:t>
      </w:r>
      <w:r w:rsidR="001442E0">
        <w:rPr>
          <w:szCs w:val="22"/>
        </w:rPr>
        <w:t>o</w:t>
      </w:r>
      <w:r w:rsidR="00AE54E6">
        <w:rPr>
          <w:szCs w:val="22"/>
        </w:rPr>
        <w:t>Es</w:t>
      </w:r>
      <w:proofErr w:type="spellEnd"/>
      <w:r w:rsidR="000E23E1">
        <w:rPr>
          <w:szCs w:val="22"/>
        </w:rPr>
        <w:t xml:space="preserve"> was outside the </w:t>
      </w:r>
      <w:r w:rsidR="00F96C48">
        <w:rPr>
          <w:szCs w:val="22"/>
        </w:rPr>
        <w:t xml:space="preserve">usual </w:t>
      </w:r>
      <w:r w:rsidR="00B062BA">
        <w:rPr>
          <w:szCs w:val="22"/>
        </w:rPr>
        <w:t>d</w:t>
      </w:r>
      <w:r w:rsidR="000E23E1">
        <w:rPr>
          <w:szCs w:val="22"/>
        </w:rPr>
        <w:t>ea</w:t>
      </w:r>
      <w:r w:rsidR="00B062BA">
        <w:rPr>
          <w:szCs w:val="22"/>
        </w:rPr>
        <w:t>dlines</w:t>
      </w:r>
      <w:r w:rsidR="0016412C">
        <w:rPr>
          <w:szCs w:val="22"/>
        </w:rPr>
        <w:t>.</w:t>
      </w:r>
      <w:r w:rsidR="000E23E1">
        <w:rPr>
          <w:szCs w:val="22"/>
        </w:rPr>
        <w:t xml:space="preserve"> </w:t>
      </w:r>
      <w:r w:rsidR="00FD122D">
        <w:rPr>
          <w:szCs w:val="22"/>
        </w:rPr>
        <w:t xml:space="preserve">Nevertheless, it would be unusual for cross-examination not to rest on the full POE and, therefore, I do not consider that this would have wasted time for </w:t>
      </w:r>
      <w:r w:rsidR="004B72C2">
        <w:rPr>
          <w:szCs w:val="22"/>
        </w:rPr>
        <w:t xml:space="preserve">SBC. </w:t>
      </w:r>
      <w:proofErr w:type="gramStart"/>
      <w:r w:rsidR="004B72C2" w:rsidRPr="00665AC1">
        <w:rPr>
          <w:szCs w:val="22"/>
        </w:rPr>
        <w:t>With regard to</w:t>
      </w:r>
      <w:proofErr w:type="gramEnd"/>
      <w:r w:rsidR="004B72C2" w:rsidRPr="00665AC1">
        <w:rPr>
          <w:szCs w:val="22"/>
        </w:rPr>
        <w:t xml:space="preserve"> the missing P</w:t>
      </w:r>
      <w:r w:rsidR="001442E0" w:rsidRPr="00665AC1">
        <w:rPr>
          <w:szCs w:val="22"/>
        </w:rPr>
        <w:t>o</w:t>
      </w:r>
      <w:r w:rsidR="004B72C2" w:rsidRPr="00665AC1">
        <w:rPr>
          <w:szCs w:val="22"/>
        </w:rPr>
        <w:t>E</w:t>
      </w:r>
      <w:r w:rsidR="00665AC1">
        <w:rPr>
          <w:szCs w:val="22"/>
        </w:rPr>
        <w:t xml:space="preserve"> I am satisfied that this was not a fault of NR, as </w:t>
      </w:r>
      <w:r w:rsidR="00012B06">
        <w:rPr>
          <w:szCs w:val="22"/>
        </w:rPr>
        <w:t xml:space="preserve">all 3 </w:t>
      </w:r>
      <w:proofErr w:type="spellStart"/>
      <w:r w:rsidR="00012B06">
        <w:rPr>
          <w:szCs w:val="22"/>
        </w:rPr>
        <w:t>PoEs</w:t>
      </w:r>
      <w:proofErr w:type="spellEnd"/>
      <w:r w:rsidR="00012B06">
        <w:rPr>
          <w:szCs w:val="22"/>
        </w:rPr>
        <w:t xml:space="preserve"> were submitted on time</w:t>
      </w:r>
      <w:r w:rsidR="004B72C2" w:rsidRPr="00665AC1">
        <w:rPr>
          <w:szCs w:val="22"/>
        </w:rPr>
        <w:t>.</w:t>
      </w:r>
      <w:r w:rsidR="00012B06">
        <w:rPr>
          <w:szCs w:val="22"/>
        </w:rPr>
        <w:t xml:space="preserve"> I apologise on behalf of the Planning Inspectorate that one PoE was late in circulation</w:t>
      </w:r>
      <w:r w:rsidR="00BA5B20">
        <w:rPr>
          <w:szCs w:val="22"/>
        </w:rPr>
        <w:t>. H</w:t>
      </w:r>
      <w:r w:rsidR="009C4837">
        <w:rPr>
          <w:szCs w:val="22"/>
        </w:rPr>
        <w:t>owever,</w:t>
      </w:r>
      <w:r w:rsidR="00BA5B20">
        <w:rPr>
          <w:szCs w:val="22"/>
        </w:rPr>
        <w:t xml:space="preserve"> </w:t>
      </w:r>
      <w:r w:rsidR="00791D02">
        <w:rPr>
          <w:szCs w:val="22"/>
        </w:rPr>
        <w:t>al</w:t>
      </w:r>
      <w:r w:rsidR="00791D02">
        <w:rPr>
          <w:color w:val="auto"/>
        </w:rPr>
        <w:t>though apparently aware from at least 7 January of a PoE that had not been received</w:t>
      </w:r>
      <w:r w:rsidR="004D5E99">
        <w:rPr>
          <w:color w:val="auto"/>
        </w:rPr>
        <w:t>,</w:t>
      </w:r>
      <w:r w:rsidR="00791D02">
        <w:rPr>
          <w:color w:val="auto"/>
        </w:rPr>
        <w:t xml:space="preserve"> this</w:t>
      </w:r>
      <w:r w:rsidR="004D5E99">
        <w:rPr>
          <w:color w:val="auto"/>
        </w:rPr>
        <w:t xml:space="preserve"> document</w:t>
      </w:r>
      <w:r w:rsidR="00791D02">
        <w:rPr>
          <w:color w:val="auto"/>
        </w:rPr>
        <w:t xml:space="preserve"> does not appear to have been actively sought from SCC, </w:t>
      </w:r>
      <w:proofErr w:type="gramStart"/>
      <w:r w:rsidR="00791D02">
        <w:rPr>
          <w:color w:val="auto"/>
        </w:rPr>
        <w:t>NR</w:t>
      </w:r>
      <w:proofErr w:type="gramEnd"/>
      <w:r w:rsidR="00791D02">
        <w:rPr>
          <w:color w:val="auto"/>
        </w:rPr>
        <w:t xml:space="preserve"> or the Planning Inspectorate</w:t>
      </w:r>
      <w:r w:rsidR="000B3BF7">
        <w:rPr>
          <w:color w:val="auto"/>
        </w:rPr>
        <w:t>.</w:t>
      </w:r>
      <w:r w:rsidR="00BA5B20">
        <w:rPr>
          <w:szCs w:val="22"/>
        </w:rPr>
        <w:t xml:space="preserve">  </w:t>
      </w:r>
      <w:r w:rsidR="009C4837">
        <w:rPr>
          <w:szCs w:val="22"/>
        </w:rPr>
        <w:t xml:space="preserve"> </w:t>
      </w:r>
      <w:r w:rsidR="00012B06">
        <w:rPr>
          <w:szCs w:val="22"/>
        </w:rPr>
        <w:t xml:space="preserve">      </w:t>
      </w:r>
      <w:r w:rsidR="00FD122D">
        <w:rPr>
          <w:szCs w:val="22"/>
        </w:rPr>
        <w:t xml:space="preserve">  </w:t>
      </w:r>
      <w:r w:rsidR="00AE54E6">
        <w:rPr>
          <w:szCs w:val="22"/>
        </w:rPr>
        <w:t xml:space="preserve"> </w:t>
      </w:r>
      <w:r>
        <w:rPr>
          <w:szCs w:val="22"/>
        </w:rPr>
        <w:t xml:space="preserve"> </w:t>
      </w:r>
      <w:r w:rsidR="001B40F6">
        <w:rPr>
          <w:szCs w:val="22"/>
        </w:rPr>
        <w:t xml:space="preserve"> </w:t>
      </w:r>
      <w:r w:rsidR="0016367F" w:rsidRPr="001B40F6">
        <w:rPr>
          <w:szCs w:val="22"/>
        </w:rPr>
        <w:t xml:space="preserve"> </w:t>
      </w:r>
    </w:p>
    <w:p w14:paraId="6F342A37" w14:textId="69084CF5" w:rsidR="00DE638A" w:rsidRDefault="00FD3EF0" w:rsidP="00110A25">
      <w:pPr>
        <w:pStyle w:val="Style1"/>
        <w:numPr>
          <w:ilvl w:val="0"/>
          <w:numId w:val="6"/>
        </w:numPr>
        <w:spacing w:before="140"/>
        <w:ind w:left="431" w:hanging="431"/>
        <w:rPr>
          <w:color w:val="auto"/>
        </w:rPr>
      </w:pPr>
      <w:r>
        <w:rPr>
          <w:color w:val="auto"/>
        </w:rPr>
        <w:t>I</w:t>
      </w:r>
      <w:r w:rsidR="00066D0D">
        <w:rPr>
          <w:color w:val="auto"/>
        </w:rPr>
        <w:t xml:space="preserve"> ag</w:t>
      </w:r>
      <w:r>
        <w:rPr>
          <w:color w:val="auto"/>
        </w:rPr>
        <w:t>r</w:t>
      </w:r>
      <w:r w:rsidR="002D4258" w:rsidRPr="00FD3EF0">
        <w:rPr>
          <w:color w:val="auto"/>
        </w:rPr>
        <w:t>e</w:t>
      </w:r>
      <w:r w:rsidR="00066D0D">
        <w:rPr>
          <w:color w:val="auto"/>
        </w:rPr>
        <w:t>e</w:t>
      </w:r>
      <w:r w:rsidR="006A4EA0">
        <w:rPr>
          <w:color w:val="auto"/>
        </w:rPr>
        <w:t xml:space="preserve"> with SBC</w:t>
      </w:r>
      <w:r w:rsidR="00066D0D">
        <w:rPr>
          <w:color w:val="auto"/>
        </w:rPr>
        <w:t xml:space="preserve"> that no n</w:t>
      </w:r>
      <w:r w:rsidR="00727055">
        <w:rPr>
          <w:color w:val="auto"/>
        </w:rPr>
        <w:t>ew document</w:t>
      </w:r>
      <w:r w:rsidR="002D4258" w:rsidRPr="00FD3EF0">
        <w:rPr>
          <w:color w:val="auto"/>
        </w:rPr>
        <w:t>s</w:t>
      </w:r>
      <w:r w:rsidR="00727055">
        <w:rPr>
          <w:color w:val="auto"/>
        </w:rPr>
        <w:t xml:space="preserve"> should be appe</w:t>
      </w:r>
      <w:r w:rsidR="004231E7" w:rsidRPr="00FD3EF0">
        <w:rPr>
          <w:color w:val="auto"/>
        </w:rPr>
        <w:t>n</w:t>
      </w:r>
      <w:r w:rsidR="00727055">
        <w:rPr>
          <w:color w:val="auto"/>
        </w:rPr>
        <w:t xml:space="preserve">ded </w:t>
      </w:r>
      <w:r w:rsidR="004231E7" w:rsidRPr="00FD3EF0">
        <w:rPr>
          <w:color w:val="auto"/>
        </w:rPr>
        <w:t>to</w:t>
      </w:r>
      <w:r w:rsidR="00727055">
        <w:rPr>
          <w:color w:val="auto"/>
        </w:rPr>
        <w:t xml:space="preserve"> </w:t>
      </w:r>
      <w:proofErr w:type="spellStart"/>
      <w:r w:rsidR="00727055">
        <w:rPr>
          <w:color w:val="auto"/>
        </w:rPr>
        <w:t>P</w:t>
      </w:r>
      <w:r w:rsidR="001442E0">
        <w:rPr>
          <w:color w:val="auto"/>
        </w:rPr>
        <w:t>o</w:t>
      </w:r>
      <w:r w:rsidR="00727055">
        <w:rPr>
          <w:color w:val="auto"/>
        </w:rPr>
        <w:t>Es</w:t>
      </w:r>
      <w:proofErr w:type="spellEnd"/>
      <w:r w:rsidR="00727055">
        <w:rPr>
          <w:color w:val="auto"/>
        </w:rPr>
        <w:t>, t</w:t>
      </w:r>
      <w:r w:rsidR="002D4258" w:rsidRPr="00FD3EF0">
        <w:rPr>
          <w:color w:val="auto"/>
        </w:rPr>
        <w:t>h</w:t>
      </w:r>
      <w:r w:rsidR="00727055">
        <w:rPr>
          <w:color w:val="auto"/>
        </w:rPr>
        <w:t>e opportunity for documents</w:t>
      </w:r>
      <w:r w:rsidR="005E1007">
        <w:rPr>
          <w:color w:val="auto"/>
        </w:rPr>
        <w:t xml:space="preserve"> to be submitted be</w:t>
      </w:r>
      <w:r w:rsidR="004231E7" w:rsidRPr="00FD3EF0">
        <w:rPr>
          <w:color w:val="auto"/>
        </w:rPr>
        <w:t>in</w:t>
      </w:r>
      <w:r w:rsidR="00727055">
        <w:rPr>
          <w:color w:val="auto"/>
        </w:rPr>
        <w:t xml:space="preserve">g </w:t>
      </w:r>
      <w:r w:rsidR="005E1007">
        <w:rPr>
          <w:color w:val="auto"/>
        </w:rPr>
        <w:t xml:space="preserve">at </w:t>
      </w:r>
      <w:r w:rsidR="002D4258" w:rsidRPr="00FD3EF0">
        <w:rPr>
          <w:color w:val="auto"/>
        </w:rPr>
        <w:t>the</w:t>
      </w:r>
      <w:r w:rsidR="005E1007">
        <w:rPr>
          <w:color w:val="auto"/>
        </w:rPr>
        <w:t xml:space="preserve"> </w:t>
      </w:r>
      <w:r w:rsidR="00CD31C2">
        <w:rPr>
          <w:color w:val="auto"/>
        </w:rPr>
        <w:t>SoC</w:t>
      </w:r>
      <w:r w:rsidR="005E1007">
        <w:rPr>
          <w:color w:val="auto"/>
        </w:rPr>
        <w:t xml:space="preserve"> stage</w:t>
      </w:r>
      <w:r w:rsidR="0060259B">
        <w:rPr>
          <w:color w:val="auto"/>
        </w:rPr>
        <w:t>. I</w:t>
      </w:r>
      <w:r w:rsidR="00110A25">
        <w:rPr>
          <w:color w:val="auto"/>
        </w:rPr>
        <w:t xml:space="preserve">n this case for NR that was by 13 October 2020, </w:t>
      </w:r>
      <w:r w:rsidR="005E1007">
        <w:rPr>
          <w:color w:val="auto"/>
        </w:rPr>
        <w:t xml:space="preserve">such that </w:t>
      </w:r>
      <w:r w:rsidR="00110A25">
        <w:rPr>
          <w:color w:val="auto"/>
        </w:rPr>
        <w:t>re</w:t>
      </w:r>
      <w:r w:rsidR="005E1007">
        <w:rPr>
          <w:color w:val="auto"/>
        </w:rPr>
        <w:t>s</w:t>
      </w:r>
      <w:r w:rsidR="00110A25">
        <w:rPr>
          <w:color w:val="auto"/>
        </w:rPr>
        <w:t xml:space="preserve">ponding </w:t>
      </w:r>
      <w:r w:rsidR="00CD31C2">
        <w:rPr>
          <w:color w:val="auto"/>
        </w:rPr>
        <w:t>SoC</w:t>
      </w:r>
      <w:r w:rsidR="00110A25">
        <w:rPr>
          <w:color w:val="auto"/>
        </w:rPr>
        <w:t>s, due by 24 November,</w:t>
      </w:r>
      <w:r w:rsidR="005E1007" w:rsidRPr="00110A25">
        <w:rPr>
          <w:color w:val="auto"/>
        </w:rPr>
        <w:t xml:space="preserve"> c</w:t>
      </w:r>
      <w:r w:rsidR="0060259B">
        <w:rPr>
          <w:color w:val="auto"/>
        </w:rPr>
        <w:t>ould</w:t>
      </w:r>
      <w:r w:rsidR="005E1007" w:rsidRPr="00110A25">
        <w:rPr>
          <w:color w:val="auto"/>
        </w:rPr>
        <w:t xml:space="preserve"> </w:t>
      </w:r>
      <w:r w:rsidR="0017718B" w:rsidRPr="00110A25">
        <w:rPr>
          <w:color w:val="auto"/>
        </w:rPr>
        <w:t>rea</w:t>
      </w:r>
      <w:r w:rsidR="005E1007" w:rsidRPr="00110A25">
        <w:rPr>
          <w:color w:val="auto"/>
        </w:rPr>
        <w:t>sonabl</w:t>
      </w:r>
      <w:r w:rsidR="0017718B" w:rsidRPr="00110A25">
        <w:rPr>
          <w:color w:val="auto"/>
        </w:rPr>
        <w:t>y</w:t>
      </w:r>
      <w:r w:rsidR="005E1007" w:rsidRPr="00110A25">
        <w:rPr>
          <w:color w:val="auto"/>
        </w:rPr>
        <w:t xml:space="preserve"> deal with m</w:t>
      </w:r>
      <w:r w:rsidR="002D4258" w:rsidRPr="00110A25">
        <w:rPr>
          <w:color w:val="auto"/>
        </w:rPr>
        <w:t>a</w:t>
      </w:r>
      <w:r w:rsidR="0017718B" w:rsidRPr="00110A25">
        <w:rPr>
          <w:color w:val="auto"/>
        </w:rPr>
        <w:t xml:space="preserve">tters </w:t>
      </w:r>
      <w:r w:rsidR="005E1007" w:rsidRPr="00110A25">
        <w:rPr>
          <w:color w:val="auto"/>
        </w:rPr>
        <w:t>a</w:t>
      </w:r>
      <w:r w:rsidR="002D4258" w:rsidRPr="00110A25">
        <w:rPr>
          <w:color w:val="auto"/>
        </w:rPr>
        <w:t>r</w:t>
      </w:r>
      <w:r w:rsidR="0017718B" w:rsidRPr="00110A25">
        <w:rPr>
          <w:color w:val="auto"/>
        </w:rPr>
        <w:t>is</w:t>
      </w:r>
      <w:r w:rsidR="002D4258" w:rsidRPr="00110A25">
        <w:rPr>
          <w:color w:val="auto"/>
        </w:rPr>
        <w:t>i</w:t>
      </w:r>
      <w:r w:rsidR="005E1007" w:rsidRPr="00110A25">
        <w:rPr>
          <w:color w:val="auto"/>
        </w:rPr>
        <w:t>ng therein</w:t>
      </w:r>
      <w:r w:rsidR="0017718B" w:rsidRPr="00110A25">
        <w:rPr>
          <w:color w:val="auto"/>
        </w:rPr>
        <w:t>.</w:t>
      </w:r>
      <w:r w:rsidR="006A4EA0">
        <w:rPr>
          <w:color w:val="auto"/>
        </w:rPr>
        <w:t xml:space="preserve"> </w:t>
      </w:r>
      <w:r w:rsidR="003D2204">
        <w:rPr>
          <w:color w:val="auto"/>
        </w:rPr>
        <w:t>T</w:t>
      </w:r>
      <w:r w:rsidR="006A4EA0">
        <w:rPr>
          <w:color w:val="auto"/>
        </w:rPr>
        <w:t xml:space="preserve">he </w:t>
      </w:r>
      <w:r w:rsidR="003D2204">
        <w:rPr>
          <w:color w:val="auto"/>
        </w:rPr>
        <w:t xml:space="preserve">December 2020 </w:t>
      </w:r>
      <w:r w:rsidR="006A4EA0">
        <w:rPr>
          <w:color w:val="auto"/>
        </w:rPr>
        <w:t xml:space="preserve">NRA was </w:t>
      </w:r>
      <w:r w:rsidR="003D2204">
        <w:rPr>
          <w:color w:val="auto"/>
        </w:rPr>
        <w:t xml:space="preserve">attached to </w:t>
      </w:r>
      <w:r w:rsidR="008B3032">
        <w:rPr>
          <w:color w:val="auto"/>
        </w:rPr>
        <w:t>a</w:t>
      </w:r>
      <w:r w:rsidR="003D2204">
        <w:rPr>
          <w:color w:val="auto"/>
        </w:rPr>
        <w:t xml:space="preserve"> PoE, </w:t>
      </w:r>
      <w:r w:rsidR="004D5E99">
        <w:rPr>
          <w:color w:val="auto"/>
        </w:rPr>
        <w:t>s</w:t>
      </w:r>
      <w:r w:rsidR="003D2204">
        <w:rPr>
          <w:color w:val="auto"/>
        </w:rPr>
        <w:t>u</w:t>
      </w:r>
      <w:r w:rsidR="004D5E99">
        <w:rPr>
          <w:color w:val="auto"/>
        </w:rPr>
        <w:t>bmitt</w:t>
      </w:r>
      <w:r w:rsidR="003D2204">
        <w:rPr>
          <w:color w:val="auto"/>
        </w:rPr>
        <w:t>e</w:t>
      </w:r>
      <w:r w:rsidR="004D5E99">
        <w:rPr>
          <w:color w:val="auto"/>
        </w:rPr>
        <w:t>d</w:t>
      </w:r>
      <w:r w:rsidR="003D2204">
        <w:rPr>
          <w:color w:val="auto"/>
        </w:rPr>
        <w:t xml:space="preserve"> by </w:t>
      </w:r>
      <w:r w:rsidR="005D1589">
        <w:rPr>
          <w:color w:val="auto"/>
        </w:rPr>
        <w:t xml:space="preserve">22 December 2020. Whilst I accept that </w:t>
      </w:r>
      <w:r w:rsidR="00870AF6">
        <w:rPr>
          <w:color w:val="auto"/>
        </w:rPr>
        <w:t xml:space="preserve">it is useful to have up-to-date information before the Inquiry </w:t>
      </w:r>
      <w:r w:rsidR="003D0EB8">
        <w:rPr>
          <w:color w:val="auto"/>
        </w:rPr>
        <w:t>– and I note NR’s comment that this was a</w:t>
      </w:r>
      <w:r w:rsidR="00B168CC">
        <w:rPr>
          <w:color w:val="auto"/>
        </w:rPr>
        <w:t xml:space="preserve"> usual piece of work not produced specifically for the Inquiry -</w:t>
      </w:r>
      <w:r w:rsidR="003D0EB8">
        <w:rPr>
          <w:color w:val="auto"/>
        </w:rPr>
        <w:t xml:space="preserve"> </w:t>
      </w:r>
      <w:r w:rsidR="000B3ACC">
        <w:rPr>
          <w:color w:val="auto"/>
        </w:rPr>
        <w:t xml:space="preserve">an indication as to such late evidence could </w:t>
      </w:r>
      <w:r w:rsidR="001D13EA">
        <w:rPr>
          <w:color w:val="auto"/>
        </w:rPr>
        <w:t xml:space="preserve">have </w:t>
      </w:r>
      <w:r w:rsidR="000B3ACC">
        <w:rPr>
          <w:color w:val="auto"/>
        </w:rPr>
        <w:t>assist</w:t>
      </w:r>
      <w:r w:rsidR="001D13EA">
        <w:rPr>
          <w:color w:val="auto"/>
        </w:rPr>
        <w:t>ed</w:t>
      </w:r>
      <w:r w:rsidR="00AE76A7">
        <w:rPr>
          <w:color w:val="auto"/>
        </w:rPr>
        <w:t xml:space="preserve"> everybody</w:t>
      </w:r>
      <w:r w:rsidR="000B3ACC">
        <w:rPr>
          <w:color w:val="auto"/>
        </w:rPr>
        <w:t>.</w:t>
      </w:r>
      <w:r w:rsidR="003D0EB8">
        <w:rPr>
          <w:color w:val="auto"/>
        </w:rPr>
        <w:t xml:space="preserve"> </w:t>
      </w:r>
      <w:r w:rsidR="00A046D3" w:rsidRPr="00C41B06">
        <w:rPr>
          <w:color w:val="auto"/>
        </w:rPr>
        <w:t xml:space="preserve">Nevertheless, I am satisfied that the </w:t>
      </w:r>
      <w:r w:rsidR="00807DC7" w:rsidRPr="00C41B06">
        <w:rPr>
          <w:color w:val="auto"/>
        </w:rPr>
        <w:t xml:space="preserve">NRA </w:t>
      </w:r>
      <w:r w:rsidR="00BF240D" w:rsidRPr="00C41B06">
        <w:rPr>
          <w:color w:val="auto"/>
        </w:rPr>
        <w:t xml:space="preserve">was of assistance and dealt with </w:t>
      </w:r>
      <w:r w:rsidR="00C41B06">
        <w:rPr>
          <w:color w:val="auto"/>
        </w:rPr>
        <w:t xml:space="preserve">appropriately </w:t>
      </w:r>
      <w:r w:rsidR="00BF240D" w:rsidRPr="00C41B06">
        <w:rPr>
          <w:color w:val="auto"/>
        </w:rPr>
        <w:t>through the Inquiry</w:t>
      </w:r>
      <w:r w:rsidR="00C41B06">
        <w:rPr>
          <w:color w:val="auto"/>
        </w:rPr>
        <w:t xml:space="preserve"> process</w:t>
      </w:r>
      <w:r w:rsidR="00BF240D" w:rsidRPr="00C41B06">
        <w:rPr>
          <w:color w:val="auto"/>
        </w:rPr>
        <w:t>.</w:t>
      </w:r>
    </w:p>
    <w:p w14:paraId="3AA9FA49" w14:textId="6C141CFB" w:rsidR="009A49F7" w:rsidRDefault="00DE638A" w:rsidP="00110A25">
      <w:pPr>
        <w:pStyle w:val="Style1"/>
        <w:numPr>
          <w:ilvl w:val="0"/>
          <w:numId w:val="6"/>
        </w:numPr>
        <w:spacing w:before="140"/>
        <w:ind w:left="431" w:hanging="431"/>
        <w:rPr>
          <w:color w:val="auto"/>
        </w:rPr>
      </w:pPr>
      <w:r>
        <w:rPr>
          <w:color w:val="auto"/>
        </w:rPr>
        <w:t xml:space="preserve">At the </w:t>
      </w:r>
      <w:r w:rsidR="00AC3D4E">
        <w:rPr>
          <w:color w:val="auto"/>
        </w:rPr>
        <w:t>pre-Inquiry event on 7 Ja</w:t>
      </w:r>
      <w:r>
        <w:rPr>
          <w:color w:val="auto"/>
        </w:rPr>
        <w:t>n</w:t>
      </w:r>
      <w:r w:rsidR="00AC3D4E">
        <w:rPr>
          <w:color w:val="auto"/>
        </w:rPr>
        <w:t xml:space="preserve">uary NR offered to assist with the provision </w:t>
      </w:r>
      <w:r>
        <w:rPr>
          <w:color w:val="auto"/>
        </w:rPr>
        <w:t>o</w:t>
      </w:r>
      <w:r w:rsidR="00AC3D4E">
        <w:rPr>
          <w:color w:val="auto"/>
        </w:rPr>
        <w:t>f</w:t>
      </w:r>
      <w:r>
        <w:rPr>
          <w:color w:val="auto"/>
        </w:rPr>
        <w:t xml:space="preserve"> </w:t>
      </w:r>
      <w:r w:rsidR="00AC3D4E">
        <w:rPr>
          <w:color w:val="auto"/>
        </w:rPr>
        <w:t>the evidence</w:t>
      </w:r>
      <w:r w:rsidR="00A018FF">
        <w:rPr>
          <w:color w:val="auto"/>
        </w:rPr>
        <w:t>,</w:t>
      </w:r>
      <w:r w:rsidR="00AC3D4E">
        <w:rPr>
          <w:color w:val="auto"/>
        </w:rPr>
        <w:t xml:space="preserve"> which had b</w:t>
      </w:r>
      <w:r w:rsidR="002B54B3">
        <w:rPr>
          <w:color w:val="auto"/>
        </w:rPr>
        <w:t>e</w:t>
      </w:r>
      <w:r w:rsidR="00AC3D4E">
        <w:rPr>
          <w:color w:val="auto"/>
        </w:rPr>
        <w:t>e</w:t>
      </w:r>
      <w:r w:rsidR="002B54B3">
        <w:rPr>
          <w:color w:val="auto"/>
        </w:rPr>
        <w:t>n</w:t>
      </w:r>
      <w:r w:rsidR="00AC3D4E">
        <w:rPr>
          <w:color w:val="auto"/>
        </w:rPr>
        <w:t xml:space="preserve"> submitted by all parties</w:t>
      </w:r>
      <w:r w:rsidR="00A018FF">
        <w:rPr>
          <w:color w:val="auto"/>
        </w:rPr>
        <w:t xml:space="preserve">, </w:t>
      </w:r>
      <w:r w:rsidR="00AC3D4E">
        <w:rPr>
          <w:color w:val="auto"/>
        </w:rPr>
        <w:t>in ‘</w:t>
      </w:r>
      <w:proofErr w:type="gramStart"/>
      <w:r>
        <w:rPr>
          <w:color w:val="auto"/>
        </w:rPr>
        <w:t>bundles</w:t>
      </w:r>
      <w:r w:rsidR="00AC3D4E">
        <w:rPr>
          <w:color w:val="auto"/>
        </w:rPr>
        <w:t>’</w:t>
      </w:r>
      <w:proofErr w:type="gramEnd"/>
      <w:r w:rsidR="00AC3D4E">
        <w:rPr>
          <w:color w:val="auto"/>
        </w:rPr>
        <w:t>. This was intended to assist e</w:t>
      </w:r>
      <w:r w:rsidR="0024176E">
        <w:rPr>
          <w:color w:val="auto"/>
        </w:rPr>
        <w:t>veryone</w:t>
      </w:r>
      <w:r w:rsidR="005B23C7">
        <w:rPr>
          <w:color w:val="auto"/>
        </w:rPr>
        <w:t xml:space="preserve">, given that we did not have the advantage of a dedicated webpage with the documents catalogued therein. </w:t>
      </w:r>
      <w:r w:rsidR="00640593">
        <w:rPr>
          <w:color w:val="auto"/>
        </w:rPr>
        <w:t xml:space="preserve">Unfortunately, it is the case that the bundles first produced, on 14 </w:t>
      </w:r>
      <w:r w:rsidR="009439D1">
        <w:rPr>
          <w:color w:val="auto"/>
        </w:rPr>
        <w:t>J</w:t>
      </w:r>
      <w:r w:rsidR="00640593">
        <w:rPr>
          <w:color w:val="auto"/>
        </w:rPr>
        <w:t>anu</w:t>
      </w:r>
      <w:r w:rsidR="009439D1">
        <w:rPr>
          <w:color w:val="auto"/>
        </w:rPr>
        <w:t>a</w:t>
      </w:r>
      <w:r w:rsidR="00640593">
        <w:rPr>
          <w:color w:val="auto"/>
        </w:rPr>
        <w:t>r</w:t>
      </w:r>
      <w:r w:rsidR="009439D1">
        <w:rPr>
          <w:color w:val="auto"/>
        </w:rPr>
        <w:t xml:space="preserve">y, were found to have </w:t>
      </w:r>
      <w:r w:rsidR="009439D1">
        <w:rPr>
          <w:color w:val="auto"/>
        </w:rPr>
        <w:lastRenderedPageBreak/>
        <w:t>documents which should not have been present</w:t>
      </w:r>
      <w:r w:rsidR="00616556">
        <w:rPr>
          <w:color w:val="auto"/>
        </w:rPr>
        <w:t>. A</w:t>
      </w:r>
      <w:r w:rsidR="000B3995">
        <w:rPr>
          <w:color w:val="auto"/>
        </w:rPr>
        <w:t xml:space="preserve">n updated bundle </w:t>
      </w:r>
      <w:r w:rsidR="00616556">
        <w:rPr>
          <w:color w:val="auto"/>
        </w:rPr>
        <w:t>was sent out on 18 January, with the Inquiry opening on 19 January.</w:t>
      </w:r>
      <w:r w:rsidR="009A49F7">
        <w:rPr>
          <w:color w:val="auto"/>
        </w:rPr>
        <w:t xml:space="preserve"> </w:t>
      </w:r>
    </w:p>
    <w:p w14:paraId="3E7137B9" w14:textId="60B86978" w:rsidR="00A7216B" w:rsidRDefault="009A49F7" w:rsidP="00110A25">
      <w:pPr>
        <w:pStyle w:val="Style1"/>
        <w:numPr>
          <w:ilvl w:val="0"/>
          <w:numId w:val="6"/>
        </w:numPr>
        <w:spacing w:before="140"/>
        <w:ind w:left="431" w:hanging="431"/>
        <w:rPr>
          <w:color w:val="auto"/>
        </w:rPr>
      </w:pPr>
      <w:r>
        <w:rPr>
          <w:color w:val="auto"/>
        </w:rPr>
        <w:t xml:space="preserve">I am bound to note, as set out in </w:t>
      </w:r>
      <w:r w:rsidR="006668DA">
        <w:rPr>
          <w:color w:val="auto"/>
        </w:rPr>
        <w:t xml:space="preserve">paragraphs 9 and 10 of the decision on the draft Order, </w:t>
      </w:r>
      <w:r w:rsidR="0024176E">
        <w:rPr>
          <w:color w:val="auto"/>
        </w:rPr>
        <w:t xml:space="preserve">that </w:t>
      </w:r>
      <w:r w:rsidR="006668DA">
        <w:rPr>
          <w:color w:val="auto"/>
        </w:rPr>
        <w:t xml:space="preserve">the bundles were </w:t>
      </w:r>
      <w:r w:rsidR="00B03899">
        <w:rPr>
          <w:color w:val="auto"/>
        </w:rPr>
        <w:t>i</w:t>
      </w:r>
      <w:r w:rsidR="006668DA">
        <w:rPr>
          <w:color w:val="auto"/>
        </w:rPr>
        <w:t>n</w:t>
      </w:r>
      <w:r w:rsidR="00B03899">
        <w:rPr>
          <w:color w:val="auto"/>
        </w:rPr>
        <w:t>tended to</w:t>
      </w:r>
      <w:r w:rsidR="006668DA">
        <w:rPr>
          <w:color w:val="auto"/>
        </w:rPr>
        <w:t xml:space="preserve"> </w:t>
      </w:r>
      <w:r w:rsidR="002B54B3">
        <w:rPr>
          <w:color w:val="auto"/>
        </w:rPr>
        <w:t>pu</w:t>
      </w:r>
      <w:r w:rsidR="00B03899">
        <w:rPr>
          <w:color w:val="auto"/>
        </w:rPr>
        <w:t>ll</w:t>
      </w:r>
      <w:r w:rsidR="002B54B3">
        <w:rPr>
          <w:color w:val="auto"/>
        </w:rPr>
        <w:t xml:space="preserve"> together</w:t>
      </w:r>
      <w:r w:rsidR="00B03899">
        <w:rPr>
          <w:color w:val="auto"/>
        </w:rPr>
        <w:t xml:space="preserve"> the</w:t>
      </w:r>
      <w:r w:rsidR="002B54B3">
        <w:rPr>
          <w:color w:val="auto"/>
        </w:rPr>
        <w:t xml:space="preserve"> documents which had already been submitted</w:t>
      </w:r>
      <w:r w:rsidR="00B43A0A">
        <w:rPr>
          <w:color w:val="auto"/>
        </w:rPr>
        <w:t xml:space="preserve">. These </w:t>
      </w:r>
      <w:r w:rsidR="002B54B3">
        <w:rPr>
          <w:color w:val="auto"/>
        </w:rPr>
        <w:t>were available</w:t>
      </w:r>
      <w:r w:rsidR="00B43A0A">
        <w:rPr>
          <w:color w:val="auto"/>
        </w:rPr>
        <w:t>, as usual,</w:t>
      </w:r>
      <w:r w:rsidR="00C80D27">
        <w:rPr>
          <w:color w:val="auto"/>
        </w:rPr>
        <w:t xml:space="preserve"> from S</w:t>
      </w:r>
      <w:r w:rsidR="006B7C16">
        <w:rPr>
          <w:color w:val="auto"/>
        </w:rPr>
        <w:t>CC</w:t>
      </w:r>
      <w:r w:rsidR="00C80D27">
        <w:rPr>
          <w:color w:val="auto"/>
        </w:rPr>
        <w:t xml:space="preserve">, as set out in the </w:t>
      </w:r>
      <w:r w:rsidR="00503749">
        <w:rPr>
          <w:color w:val="auto"/>
        </w:rPr>
        <w:t>Notice of Order.</w:t>
      </w:r>
      <w:r w:rsidR="00FC419E">
        <w:rPr>
          <w:color w:val="auto"/>
        </w:rPr>
        <w:t xml:space="preserve"> Due to difficulties in </w:t>
      </w:r>
      <w:r w:rsidR="006B7C16">
        <w:rPr>
          <w:color w:val="auto"/>
        </w:rPr>
        <w:t xml:space="preserve">accessing documents on deposit in the normal way SCC </w:t>
      </w:r>
      <w:r w:rsidR="00D66D4C">
        <w:rPr>
          <w:color w:val="auto"/>
        </w:rPr>
        <w:t>had also made clear that they could email documents to parties</w:t>
      </w:r>
      <w:r w:rsidR="00F752F6">
        <w:rPr>
          <w:color w:val="auto"/>
        </w:rPr>
        <w:t xml:space="preserve"> and had done so in the lead-up to the Inquiry</w:t>
      </w:r>
      <w:r w:rsidR="00D66D4C">
        <w:rPr>
          <w:color w:val="auto"/>
        </w:rPr>
        <w:t>.</w:t>
      </w:r>
    </w:p>
    <w:p w14:paraId="1A852B39" w14:textId="77777777" w:rsidR="00DF53A4" w:rsidRDefault="00A7216B" w:rsidP="00DF53A4">
      <w:pPr>
        <w:pStyle w:val="Style1"/>
        <w:numPr>
          <w:ilvl w:val="0"/>
          <w:numId w:val="6"/>
        </w:numPr>
        <w:spacing w:before="140"/>
        <w:ind w:left="431" w:hanging="431"/>
        <w:rPr>
          <w:color w:val="auto"/>
        </w:rPr>
      </w:pPr>
      <w:r w:rsidRPr="00DF53A4">
        <w:rPr>
          <w:color w:val="auto"/>
        </w:rPr>
        <w:t xml:space="preserve">Taking a wider view of the proceedings I have some sympathy for the position that Counsel for SBC found himself in. However, it was always open to </w:t>
      </w:r>
      <w:r w:rsidR="00112C39" w:rsidRPr="00DF53A4">
        <w:rPr>
          <w:color w:val="auto"/>
        </w:rPr>
        <w:t xml:space="preserve">the </w:t>
      </w:r>
      <w:r w:rsidR="002A4F2A" w:rsidRPr="00DF53A4">
        <w:rPr>
          <w:color w:val="auto"/>
        </w:rPr>
        <w:t xml:space="preserve">wider </w:t>
      </w:r>
      <w:r w:rsidRPr="00DF53A4">
        <w:rPr>
          <w:color w:val="auto"/>
        </w:rPr>
        <w:t xml:space="preserve">SBC </w:t>
      </w:r>
      <w:r w:rsidR="00112C39" w:rsidRPr="00DF53A4">
        <w:rPr>
          <w:color w:val="auto"/>
        </w:rPr>
        <w:t xml:space="preserve">team </w:t>
      </w:r>
      <w:r w:rsidRPr="00DF53A4">
        <w:rPr>
          <w:color w:val="auto"/>
        </w:rPr>
        <w:t xml:space="preserve">to seek out the </w:t>
      </w:r>
      <w:r w:rsidR="008D6C65" w:rsidRPr="00DF53A4">
        <w:rPr>
          <w:color w:val="auto"/>
        </w:rPr>
        <w:t>documents they may require</w:t>
      </w:r>
      <w:r w:rsidR="00112C39" w:rsidRPr="00DF53A4">
        <w:rPr>
          <w:color w:val="auto"/>
        </w:rPr>
        <w:t>.</w:t>
      </w:r>
      <w:r w:rsidR="00082EE3" w:rsidRPr="00DF53A4">
        <w:rPr>
          <w:color w:val="auto"/>
        </w:rPr>
        <w:t xml:space="preserve"> </w:t>
      </w:r>
      <w:r w:rsidR="00DF53A4" w:rsidRPr="00DF53A4">
        <w:rPr>
          <w:color w:val="auto"/>
        </w:rPr>
        <w:t xml:space="preserve">The provision of the bundles was undertaken by NR to assist the Inquiry, which was running in unusual circumstances, and I thank them for that effort. </w:t>
      </w:r>
    </w:p>
    <w:p w14:paraId="18AF1440" w14:textId="69039DB0" w:rsidR="009F27EE" w:rsidRDefault="00DF53A4" w:rsidP="00DF53A4">
      <w:pPr>
        <w:pStyle w:val="Style1"/>
        <w:numPr>
          <w:ilvl w:val="0"/>
          <w:numId w:val="6"/>
        </w:numPr>
        <w:spacing w:before="140"/>
        <w:ind w:left="431" w:hanging="431"/>
        <w:rPr>
          <w:color w:val="auto"/>
        </w:rPr>
      </w:pPr>
      <w:r w:rsidRPr="00DF53A4">
        <w:rPr>
          <w:color w:val="auto"/>
        </w:rPr>
        <w:t>I do not consider the lack of index and pagination to be a matter which demonstrates any unreasonable behaviour. The inclusion of erroneous documents was un</w:t>
      </w:r>
      <w:r>
        <w:rPr>
          <w:color w:val="auto"/>
        </w:rPr>
        <w:t>fo</w:t>
      </w:r>
      <w:r w:rsidRPr="00DF53A4">
        <w:rPr>
          <w:color w:val="auto"/>
        </w:rPr>
        <w:t>r</w:t>
      </w:r>
      <w:r>
        <w:rPr>
          <w:color w:val="auto"/>
        </w:rPr>
        <w:t>tunat</w:t>
      </w:r>
      <w:r w:rsidRPr="00DF53A4">
        <w:rPr>
          <w:color w:val="auto"/>
        </w:rPr>
        <w:t>e</w:t>
      </w:r>
      <w:r>
        <w:rPr>
          <w:color w:val="auto"/>
        </w:rPr>
        <w:t xml:space="preserve"> a</w:t>
      </w:r>
      <w:r w:rsidRPr="00DF53A4">
        <w:rPr>
          <w:color w:val="auto"/>
        </w:rPr>
        <w:t xml:space="preserve">nd </w:t>
      </w:r>
      <w:r>
        <w:rPr>
          <w:color w:val="auto"/>
        </w:rPr>
        <w:t xml:space="preserve">may </w:t>
      </w:r>
      <w:r w:rsidRPr="00DF53A4">
        <w:rPr>
          <w:color w:val="auto"/>
        </w:rPr>
        <w:t>ha</w:t>
      </w:r>
      <w:r>
        <w:rPr>
          <w:color w:val="auto"/>
        </w:rPr>
        <w:t>ve</w:t>
      </w:r>
      <w:r w:rsidRPr="00DF53A4">
        <w:rPr>
          <w:color w:val="auto"/>
        </w:rPr>
        <w:t xml:space="preserve"> led to s</w:t>
      </w:r>
      <w:r>
        <w:rPr>
          <w:color w:val="auto"/>
        </w:rPr>
        <w:t xml:space="preserve">ome wasted time, and therefore </w:t>
      </w:r>
      <w:r w:rsidRPr="00DF53A4">
        <w:rPr>
          <w:color w:val="auto"/>
        </w:rPr>
        <w:t>expense</w:t>
      </w:r>
      <w:r>
        <w:rPr>
          <w:color w:val="auto"/>
        </w:rPr>
        <w:t>,</w:t>
      </w:r>
      <w:r w:rsidRPr="00DF53A4">
        <w:rPr>
          <w:color w:val="auto"/>
        </w:rPr>
        <w:t xml:space="preserve"> to SBC.</w:t>
      </w:r>
      <w:r>
        <w:rPr>
          <w:color w:val="auto"/>
        </w:rPr>
        <w:t xml:space="preserve"> </w:t>
      </w:r>
      <w:r w:rsidR="007D63FF">
        <w:rPr>
          <w:color w:val="auto"/>
        </w:rPr>
        <w:t>I bear in mind, however, that the</w:t>
      </w:r>
      <w:r w:rsidR="00A44338">
        <w:rPr>
          <w:color w:val="auto"/>
        </w:rPr>
        <w:t xml:space="preserve"> Inquiry </w:t>
      </w:r>
      <w:r w:rsidR="007D63FF">
        <w:rPr>
          <w:color w:val="auto"/>
        </w:rPr>
        <w:t>documents included in the bundle</w:t>
      </w:r>
      <w:r w:rsidR="00A44338">
        <w:rPr>
          <w:color w:val="auto"/>
        </w:rPr>
        <w:t xml:space="preserve"> – that is the documents which should have been there and not the erroneous documents - </w:t>
      </w:r>
      <w:r w:rsidR="007D63FF">
        <w:rPr>
          <w:color w:val="auto"/>
        </w:rPr>
        <w:t>were available to SBC, having been placed on deposit with SCC as required at the appropriate times</w:t>
      </w:r>
      <w:r w:rsidR="005618B2">
        <w:rPr>
          <w:color w:val="auto"/>
        </w:rPr>
        <w:t xml:space="preserve"> and, therefore, at the latest all available from December 2020</w:t>
      </w:r>
      <w:r w:rsidR="007D63FF">
        <w:rPr>
          <w:color w:val="auto"/>
        </w:rPr>
        <w:t xml:space="preserve">. </w:t>
      </w:r>
    </w:p>
    <w:p w14:paraId="4D4EB5B5" w14:textId="2D986CB2" w:rsidR="00370770" w:rsidRPr="00DF53A4" w:rsidRDefault="009F27EE" w:rsidP="00DF53A4">
      <w:pPr>
        <w:pStyle w:val="Style1"/>
        <w:numPr>
          <w:ilvl w:val="0"/>
          <w:numId w:val="6"/>
        </w:numPr>
        <w:spacing w:before="140"/>
        <w:ind w:left="431" w:hanging="431"/>
        <w:rPr>
          <w:color w:val="auto"/>
        </w:rPr>
      </w:pPr>
      <w:r>
        <w:rPr>
          <w:color w:val="auto"/>
        </w:rPr>
        <w:t>A</w:t>
      </w:r>
      <w:r w:rsidR="00D30EB9">
        <w:rPr>
          <w:color w:val="auto"/>
        </w:rPr>
        <w:t>s a party to the Inquiry</w:t>
      </w:r>
      <w:r w:rsidR="0041577F">
        <w:rPr>
          <w:color w:val="auto"/>
        </w:rPr>
        <w:t>,</w:t>
      </w:r>
      <w:r w:rsidR="00D30EB9">
        <w:rPr>
          <w:color w:val="auto"/>
        </w:rPr>
        <w:t xml:space="preserve"> SBC should have been provided with the SoCs and </w:t>
      </w:r>
      <w:proofErr w:type="spellStart"/>
      <w:r w:rsidR="00D30EB9">
        <w:rPr>
          <w:color w:val="auto"/>
        </w:rPr>
        <w:t>PoEs</w:t>
      </w:r>
      <w:proofErr w:type="spellEnd"/>
      <w:r w:rsidR="00D30EB9">
        <w:rPr>
          <w:color w:val="auto"/>
        </w:rPr>
        <w:t xml:space="preserve"> direct from the Planning Inspectorate, however, the expectation is that </w:t>
      </w:r>
      <w:r w:rsidR="0041577F">
        <w:rPr>
          <w:color w:val="auto"/>
        </w:rPr>
        <w:t>par</w:t>
      </w:r>
      <w:r w:rsidR="00D30EB9">
        <w:rPr>
          <w:color w:val="auto"/>
        </w:rPr>
        <w:t>t</w:t>
      </w:r>
      <w:r w:rsidR="0041577F">
        <w:rPr>
          <w:color w:val="auto"/>
        </w:rPr>
        <w:t>i</w:t>
      </w:r>
      <w:r w:rsidR="00D30EB9">
        <w:rPr>
          <w:color w:val="auto"/>
        </w:rPr>
        <w:t>e</w:t>
      </w:r>
      <w:r w:rsidR="0041577F">
        <w:rPr>
          <w:color w:val="auto"/>
        </w:rPr>
        <w:t>s</w:t>
      </w:r>
      <w:r w:rsidR="00D30EB9">
        <w:rPr>
          <w:color w:val="auto"/>
        </w:rPr>
        <w:t xml:space="preserve"> will </w:t>
      </w:r>
      <w:r w:rsidR="00832EB5">
        <w:rPr>
          <w:color w:val="auto"/>
        </w:rPr>
        <w:t xml:space="preserve">obtain copies of the appendices thereto from the relevant local authority. </w:t>
      </w:r>
      <w:r w:rsidR="007D63FF">
        <w:rPr>
          <w:color w:val="auto"/>
        </w:rPr>
        <w:t xml:space="preserve">Had NR not undertaken to provide the bundle </w:t>
      </w:r>
      <w:r w:rsidR="00832EB5">
        <w:rPr>
          <w:color w:val="auto"/>
        </w:rPr>
        <w:t xml:space="preserve">on 7 January 2021, </w:t>
      </w:r>
      <w:r w:rsidR="005618B2">
        <w:rPr>
          <w:color w:val="auto"/>
        </w:rPr>
        <w:t xml:space="preserve">I </w:t>
      </w:r>
      <w:proofErr w:type="gramStart"/>
      <w:r w:rsidR="005618B2">
        <w:rPr>
          <w:color w:val="auto"/>
        </w:rPr>
        <w:t>have to</w:t>
      </w:r>
      <w:proofErr w:type="gramEnd"/>
      <w:r w:rsidR="005618B2">
        <w:rPr>
          <w:color w:val="auto"/>
        </w:rPr>
        <w:t xml:space="preserve"> ask myself whether SBC would, therefore, </w:t>
      </w:r>
      <w:r w:rsidR="00832EB5">
        <w:rPr>
          <w:color w:val="auto"/>
        </w:rPr>
        <w:t xml:space="preserve">still </w:t>
      </w:r>
      <w:r w:rsidR="00D30EB9">
        <w:rPr>
          <w:color w:val="auto"/>
        </w:rPr>
        <w:t>not h</w:t>
      </w:r>
      <w:r w:rsidR="00832EB5">
        <w:rPr>
          <w:color w:val="auto"/>
        </w:rPr>
        <w:t>a</w:t>
      </w:r>
      <w:r w:rsidR="00D30EB9">
        <w:rPr>
          <w:color w:val="auto"/>
        </w:rPr>
        <w:t>ve</w:t>
      </w:r>
      <w:r w:rsidR="005618B2">
        <w:rPr>
          <w:color w:val="auto"/>
        </w:rPr>
        <w:t xml:space="preserve"> </w:t>
      </w:r>
      <w:r w:rsidR="00A77B0A">
        <w:rPr>
          <w:color w:val="auto"/>
        </w:rPr>
        <w:t>ask</w:t>
      </w:r>
      <w:r w:rsidR="009A261E">
        <w:rPr>
          <w:color w:val="auto"/>
        </w:rPr>
        <w:t>ed</w:t>
      </w:r>
      <w:r w:rsidR="00A77B0A">
        <w:rPr>
          <w:color w:val="auto"/>
        </w:rPr>
        <w:t xml:space="preserve"> SCC, or the Planning Inspectorate, to assist by provision of the relevant documents.</w:t>
      </w:r>
      <w:r w:rsidR="00DB5EA6">
        <w:rPr>
          <w:color w:val="auto"/>
        </w:rPr>
        <w:t xml:space="preserve"> Sitting and waiting for the documents via the bundles seems to be a difficulty of their own making, rather than </w:t>
      </w:r>
      <w:r>
        <w:rPr>
          <w:color w:val="auto"/>
        </w:rPr>
        <w:t>a matter of unreasonableness on the part of NR.</w:t>
      </w:r>
      <w:r w:rsidR="00DB5EA6">
        <w:rPr>
          <w:color w:val="auto"/>
        </w:rPr>
        <w:t xml:space="preserve"> </w:t>
      </w:r>
      <w:r w:rsidR="00A77B0A">
        <w:rPr>
          <w:color w:val="auto"/>
        </w:rPr>
        <w:t xml:space="preserve"> </w:t>
      </w:r>
      <w:r w:rsidR="00DF53A4" w:rsidRPr="00DF53A4">
        <w:rPr>
          <w:color w:val="auto"/>
        </w:rPr>
        <w:t xml:space="preserve"> </w:t>
      </w:r>
      <w:r w:rsidR="00574F9C">
        <w:rPr>
          <w:color w:val="auto"/>
        </w:rPr>
        <w:t xml:space="preserve"> </w:t>
      </w:r>
    </w:p>
    <w:p w14:paraId="56B9CC4B" w14:textId="77D239AC" w:rsidR="00C11A3F" w:rsidRDefault="009A49F7" w:rsidP="00C11A3F">
      <w:pPr>
        <w:pStyle w:val="Style1"/>
        <w:numPr>
          <w:ilvl w:val="0"/>
          <w:numId w:val="6"/>
        </w:numPr>
        <w:spacing w:before="140"/>
        <w:ind w:left="431" w:hanging="431"/>
        <w:rPr>
          <w:color w:val="auto"/>
        </w:rPr>
      </w:pPr>
      <w:r>
        <w:rPr>
          <w:color w:val="auto"/>
        </w:rPr>
        <w:t>I agre</w:t>
      </w:r>
      <w:r w:rsidR="00577129">
        <w:rPr>
          <w:color w:val="auto"/>
        </w:rPr>
        <w:t>e with SBC that it wa</w:t>
      </w:r>
      <w:r>
        <w:rPr>
          <w:color w:val="auto"/>
        </w:rPr>
        <w:t>s</w:t>
      </w:r>
      <w:r w:rsidR="00577129">
        <w:rPr>
          <w:color w:val="auto"/>
        </w:rPr>
        <w:t xml:space="preserve"> s</w:t>
      </w:r>
      <w:r>
        <w:rPr>
          <w:color w:val="auto"/>
        </w:rPr>
        <w:t>e</w:t>
      </w:r>
      <w:r w:rsidR="00577129">
        <w:rPr>
          <w:color w:val="auto"/>
        </w:rPr>
        <w:t xml:space="preserve">t </w:t>
      </w:r>
      <w:r>
        <w:rPr>
          <w:color w:val="auto"/>
        </w:rPr>
        <w:t>o</w:t>
      </w:r>
      <w:r w:rsidR="00577129">
        <w:rPr>
          <w:color w:val="auto"/>
        </w:rPr>
        <w:t>u</w:t>
      </w:r>
      <w:r>
        <w:rPr>
          <w:color w:val="auto"/>
        </w:rPr>
        <w:t>t</w:t>
      </w:r>
      <w:r w:rsidR="00577129">
        <w:rPr>
          <w:color w:val="auto"/>
        </w:rPr>
        <w:t xml:space="preserve"> in th</w:t>
      </w:r>
      <w:r>
        <w:rPr>
          <w:color w:val="auto"/>
        </w:rPr>
        <w:t>e</w:t>
      </w:r>
      <w:r w:rsidR="00577129">
        <w:rPr>
          <w:color w:val="auto"/>
        </w:rPr>
        <w:t>i</w:t>
      </w:r>
      <w:r>
        <w:rPr>
          <w:color w:val="auto"/>
        </w:rPr>
        <w:t>r</w:t>
      </w:r>
      <w:r w:rsidR="00577129">
        <w:rPr>
          <w:color w:val="auto"/>
        </w:rPr>
        <w:t xml:space="preserve"> </w:t>
      </w:r>
      <w:r w:rsidR="00CD31C2">
        <w:rPr>
          <w:color w:val="auto"/>
        </w:rPr>
        <w:t>SoC</w:t>
      </w:r>
      <w:r w:rsidR="00577129">
        <w:rPr>
          <w:color w:val="auto"/>
        </w:rPr>
        <w:t xml:space="preserve"> </w:t>
      </w:r>
      <w:r>
        <w:rPr>
          <w:color w:val="auto"/>
        </w:rPr>
        <w:t>t</w:t>
      </w:r>
      <w:r w:rsidR="00577129">
        <w:rPr>
          <w:color w:val="auto"/>
        </w:rPr>
        <w:t xml:space="preserve">hat </w:t>
      </w:r>
      <w:r w:rsidR="005D4725">
        <w:rPr>
          <w:color w:val="auto"/>
        </w:rPr>
        <w:t>their c</w:t>
      </w:r>
      <w:r>
        <w:rPr>
          <w:color w:val="auto"/>
        </w:rPr>
        <w:t>o</w:t>
      </w:r>
      <w:r w:rsidR="005D4725">
        <w:rPr>
          <w:color w:val="auto"/>
        </w:rPr>
        <w:t xml:space="preserve">ncern </w:t>
      </w:r>
      <w:r>
        <w:rPr>
          <w:color w:val="auto"/>
        </w:rPr>
        <w:t>re</w:t>
      </w:r>
      <w:r w:rsidR="005D4725">
        <w:rPr>
          <w:color w:val="auto"/>
        </w:rPr>
        <w:t>lated t</w:t>
      </w:r>
      <w:r>
        <w:rPr>
          <w:color w:val="auto"/>
        </w:rPr>
        <w:t>o</w:t>
      </w:r>
      <w:r w:rsidR="005D4725">
        <w:rPr>
          <w:color w:val="auto"/>
        </w:rPr>
        <w:t xml:space="preserve"> wha</w:t>
      </w:r>
      <w:r>
        <w:rPr>
          <w:color w:val="auto"/>
        </w:rPr>
        <w:t>t</w:t>
      </w:r>
      <w:r w:rsidR="005D4725">
        <w:rPr>
          <w:color w:val="auto"/>
        </w:rPr>
        <w:t xml:space="preserve"> c</w:t>
      </w:r>
      <w:r>
        <w:rPr>
          <w:color w:val="auto"/>
        </w:rPr>
        <w:t>o</w:t>
      </w:r>
      <w:r w:rsidR="005D4725">
        <w:rPr>
          <w:color w:val="auto"/>
        </w:rPr>
        <w:t xml:space="preserve">uld be done </w:t>
      </w:r>
      <w:r>
        <w:rPr>
          <w:color w:val="auto"/>
        </w:rPr>
        <w:t>t</w:t>
      </w:r>
      <w:r w:rsidR="005D4725">
        <w:rPr>
          <w:color w:val="auto"/>
        </w:rPr>
        <w:t>o improve and,</w:t>
      </w:r>
      <w:r>
        <w:rPr>
          <w:color w:val="auto"/>
        </w:rPr>
        <w:t xml:space="preserve"> th</w:t>
      </w:r>
      <w:r w:rsidR="00D6713D">
        <w:rPr>
          <w:color w:val="auto"/>
        </w:rPr>
        <w:t>erefore, reopen the c</w:t>
      </w:r>
      <w:r>
        <w:rPr>
          <w:color w:val="auto"/>
        </w:rPr>
        <w:t>r</w:t>
      </w:r>
      <w:r w:rsidR="00D6713D">
        <w:rPr>
          <w:color w:val="auto"/>
        </w:rPr>
        <w:t>ossing</w:t>
      </w:r>
      <w:r>
        <w:rPr>
          <w:color w:val="auto"/>
        </w:rPr>
        <w:t>.</w:t>
      </w:r>
      <w:r w:rsidR="00D6713D">
        <w:rPr>
          <w:color w:val="auto"/>
        </w:rPr>
        <w:t xml:space="preserve"> This a</w:t>
      </w:r>
      <w:r w:rsidR="0009453B">
        <w:rPr>
          <w:color w:val="auto"/>
        </w:rPr>
        <w:t>ppeared to a</w:t>
      </w:r>
      <w:r w:rsidR="00D6713D">
        <w:rPr>
          <w:color w:val="auto"/>
        </w:rPr>
        <w:t>r</w:t>
      </w:r>
      <w:r w:rsidR="0009453B">
        <w:rPr>
          <w:color w:val="auto"/>
        </w:rPr>
        <w:t>i</w:t>
      </w:r>
      <w:r w:rsidR="00D6713D">
        <w:rPr>
          <w:color w:val="auto"/>
        </w:rPr>
        <w:t xml:space="preserve">se from a </w:t>
      </w:r>
      <w:r w:rsidR="0009453B">
        <w:rPr>
          <w:color w:val="auto"/>
        </w:rPr>
        <w:t>view that optioneering was incomplete and was bound to be affected by the recent changes at the Moor Farm crossing, for which I therefore requested the relevant NRA.</w:t>
      </w:r>
      <w:r w:rsidR="00501828">
        <w:rPr>
          <w:color w:val="auto"/>
        </w:rPr>
        <w:t xml:space="preserve"> I also </w:t>
      </w:r>
      <w:r w:rsidR="00F413AD">
        <w:rPr>
          <w:color w:val="auto"/>
        </w:rPr>
        <w:t>find</w:t>
      </w:r>
      <w:r w:rsidR="00501828">
        <w:rPr>
          <w:color w:val="auto"/>
        </w:rPr>
        <w:t xml:space="preserve"> that the</w:t>
      </w:r>
      <w:r w:rsidR="00C64FC2">
        <w:rPr>
          <w:color w:val="auto"/>
        </w:rPr>
        <w:t>r</w:t>
      </w:r>
      <w:r w:rsidR="00501828">
        <w:rPr>
          <w:color w:val="auto"/>
        </w:rPr>
        <w:t>e a</w:t>
      </w:r>
      <w:r w:rsidR="00C64FC2">
        <w:rPr>
          <w:color w:val="auto"/>
        </w:rPr>
        <w:t>ppeared to be a</w:t>
      </w:r>
      <w:r w:rsidR="00501828">
        <w:rPr>
          <w:color w:val="auto"/>
        </w:rPr>
        <w:t xml:space="preserve"> ‘political’ s</w:t>
      </w:r>
      <w:r w:rsidR="00C64FC2">
        <w:rPr>
          <w:color w:val="auto"/>
        </w:rPr>
        <w:t>lant to matters</w:t>
      </w:r>
      <w:r w:rsidR="0079420F">
        <w:rPr>
          <w:color w:val="auto"/>
        </w:rPr>
        <w:t xml:space="preserve"> raised by SBC</w:t>
      </w:r>
      <w:r w:rsidR="00C64FC2">
        <w:rPr>
          <w:color w:val="auto"/>
        </w:rPr>
        <w:t>, taking account of</w:t>
      </w:r>
      <w:r w:rsidR="00D32C9F">
        <w:rPr>
          <w:color w:val="auto"/>
        </w:rPr>
        <w:t xml:space="preserve"> the</w:t>
      </w:r>
      <w:r w:rsidR="00C64FC2">
        <w:rPr>
          <w:color w:val="auto"/>
        </w:rPr>
        <w:t xml:space="preserve"> </w:t>
      </w:r>
      <w:r w:rsidR="00D32C9F">
        <w:rPr>
          <w:color w:val="auto"/>
        </w:rPr>
        <w:t xml:space="preserve">desires of </w:t>
      </w:r>
      <w:proofErr w:type="gramStart"/>
      <w:r w:rsidR="00C64FC2">
        <w:rPr>
          <w:color w:val="auto"/>
        </w:rPr>
        <w:t>local residents</w:t>
      </w:r>
      <w:proofErr w:type="gramEnd"/>
      <w:r w:rsidR="00F413AD">
        <w:rPr>
          <w:color w:val="auto"/>
        </w:rPr>
        <w:t xml:space="preserve">, as referred to in paragraph 108 of the decision on the draft Order. </w:t>
      </w:r>
      <w:r>
        <w:rPr>
          <w:color w:val="auto"/>
        </w:rPr>
        <w:t xml:space="preserve"> </w:t>
      </w:r>
      <w:r w:rsidR="00616556">
        <w:rPr>
          <w:color w:val="auto"/>
        </w:rPr>
        <w:t xml:space="preserve"> </w:t>
      </w:r>
    </w:p>
    <w:p w14:paraId="5362E126" w14:textId="716AB7AA" w:rsidR="008E504A" w:rsidRDefault="00AC3452" w:rsidP="00BB2249">
      <w:pPr>
        <w:pStyle w:val="Style1"/>
        <w:numPr>
          <w:ilvl w:val="0"/>
          <w:numId w:val="6"/>
        </w:numPr>
        <w:autoSpaceDE w:val="0"/>
        <w:autoSpaceDN w:val="0"/>
        <w:adjustRightInd w:val="0"/>
        <w:spacing w:before="140"/>
        <w:ind w:left="431" w:hanging="431"/>
        <w:rPr>
          <w:color w:val="auto"/>
        </w:rPr>
      </w:pPr>
      <w:r w:rsidRPr="00C11A3F">
        <w:rPr>
          <w:color w:val="auto"/>
        </w:rPr>
        <w:t xml:space="preserve">The NR </w:t>
      </w:r>
      <w:r w:rsidR="00CD31C2">
        <w:rPr>
          <w:color w:val="auto"/>
        </w:rPr>
        <w:t>S</w:t>
      </w:r>
      <w:r w:rsidR="00814D7C">
        <w:rPr>
          <w:color w:val="auto"/>
        </w:rPr>
        <w:t>o</w:t>
      </w:r>
      <w:r w:rsidR="00CD31C2">
        <w:rPr>
          <w:color w:val="auto"/>
        </w:rPr>
        <w:t>C</w:t>
      </w:r>
      <w:r w:rsidRPr="00C11A3F">
        <w:rPr>
          <w:color w:val="auto"/>
        </w:rPr>
        <w:t xml:space="preserve"> set out that options had</w:t>
      </w:r>
      <w:r w:rsidR="009439D1" w:rsidRPr="00C11A3F">
        <w:rPr>
          <w:color w:val="auto"/>
        </w:rPr>
        <w:t xml:space="preserve"> </w:t>
      </w:r>
      <w:r w:rsidRPr="00C11A3F">
        <w:rPr>
          <w:color w:val="auto"/>
        </w:rPr>
        <w:t>been explored since 2013</w:t>
      </w:r>
      <w:r w:rsidR="00706A12" w:rsidRPr="00C11A3F">
        <w:rPr>
          <w:color w:val="auto"/>
        </w:rPr>
        <w:t xml:space="preserve"> with con</w:t>
      </w:r>
      <w:r w:rsidR="00FA0E0F" w:rsidRPr="00C11A3F">
        <w:t>sideration of whether any feasible and effective mitigation measures, whether taken individually or together, co</w:t>
      </w:r>
      <w:r w:rsidR="00706A12" w:rsidRPr="00C11A3F">
        <w:t>ul</w:t>
      </w:r>
      <w:r w:rsidR="00FA0E0F" w:rsidRPr="00C11A3F">
        <w:t xml:space="preserve">d be implemented </w:t>
      </w:r>
      <w:proofErr w:type="gramStart"/>
      <w:r w:rsidR="00FA0E0F" w:rsidRPr="00C11A3F">
        <w:t>in order to</w:t>
      </w:r>
      <w:proofErr w:type="gramEnd"/>
      <w:r w:rsidR="00FA0E0F" w:rsidRPr="00C11A3F">
        <w:t xml:space="preserve"> make the Crossing (adequately) safe for public use. </w:t>
      </w:r>
      <w:r w:rsidR="008A6034" w:rsidRPr="00C11A3F">
        <w:t xml:space="preserve">Section 15 of the PoE of </w:t>
      </w:r>
      <w:r w:rsidR="00E928AA" w:rsidRPr="00C11A3F">
        <w:t xml:space="preserve">the </w:t>
      </w:r>
      <w:r w:rsidR="00E928AA" w:rsidRPr="00C11A3F">
        <w:rPr>
          <w:color w:val="auto"/>
        </w:rPr>
        <w:t xml:space="preserve">Route Level Crossing Manager for NR Wessex Route </w:t>
      </w:r>
      <w:r w:rsidR="00E928AA" w:rsidRPr="00C11A3F">
        <w:t>s</w:t>
      </w:r>
      <w:r w:rsidR="00E928AA" w:rsidRPr="00C11A3F">
        <w:rPr>
          <w:color w:val="auto"/>
        </w:rPr>
        <w:t>et</w:t>
      </w:r>
      <w:r w:rsidR="00E928AA" w:rsidRPr="00C11A3F">
        <w:t xml:space="preserve"> out a numbe</w:t>
      </w:r>
      <w:r w:rsidR="00E928AA" w:rsidRPr="00C11A3F">
        <w:rPr>
          <w:color w:val="auto"/>
        </w:rPr>
        <w:t>r</w:t>
      </w:r>
      <w:r w:rsidR="00E928AA" w:rsidRPr="00C11A3F">
        <w:t xml:space="preserve"> of mitigation </w:t>
      </w:r>
      <w:proofErr w:type="gramStart"/>
      <w:r w:rsidR="00E928AA" w:rsidRPr="00C11A3F">
        <w:t>options</w:t>
      </w:r>
      <w:proofErr w:type="gramEnd"/>
      <w:r w:rsidR="00F25226" w:rsidRPr="00C11A3F">
        <w:t xml:space="preserve"> bu</w:t>
      </w:r>
      <w:r w:rsidR="00FA0E0F" w:rsidRPr="00C11A3F">
        <w:t xml:space="preserve">t </w:t>
      </w:r>
      <w:r w:rsidR="00F25226" w:rsidRPr="00C11A3F">
        <w:t>t</w:t>
      </w:r>
      <w:r w:rsidR="00FA0E0F" w:rsidRPr="00C11A3F">
        <w:t>hese</w:t>
      </w:r>
      <w:r w:rsidR="00F25226" w:rsidRPr="00C11A3F">
        <w:t xml:space="preserve"> </w:t>
      </w:r>
      <w:r w:rsidR="00FA0E0F" w:rsidRPr="00C11A3F">
        <w:t>d</w:t>
      </w:r>
      <w:r w:rsidR="00F25226" w:rsidRPr="00C11A3F">
        <w:t>id no</w:t>
      </w:r>
      <w:r w:rsidR="00FA0E0F" w:rsidRPr="00C11A3F">
        <w:t>t</w:t>
      </w:r>
      <w:r w:rsidR="00F25226" w:rsidRPr="00C11A3F">
        <w:t xml:space="preserve"> </w:t>
      </w:r>
      <w:r w:rsidR="00C84170" w:rsidRPr="00C11A3F">
        <w:t xml:space="preserve">include </w:t>
      </w:r>
      <w:r w:rsidR="000F0C69" w:rsidRPr="00C11A3F">
        <w:t>c</w:t>
      </w:r>
      <w:r w:rsidR="00C84170" w:rsidRPr="00C11A3F">
        <w:t>e</w:t>
      </w:r>
      <w:r w:rsidR="000F0C69" w:rsidRPr="00C11A3F">
        <w:t>rtain</w:t>
      </w:r>
      <w:r w:rsidR="00C84170" w:rsidRPr="00C11A3F">
        <w:t xml:space="preserve"> me</w:t>
      </w:r>
      <w:r w:rsidR="00FA0E0F" w:rsidRPr="00C11A3F">
        <w:t>a</w:t>
      </w:r>
      <w:r w:rsidR="00C84170" w:rsidRPr="00C11A3F">
        <w:t>sures</w:t>
      </w:r>
      <w:r w:rsidR="00FA0E0F" w:rsidRPr="00C11A3F">
        <w:t>, a</w:t>
      </w:r>
      <w:r w:rsidR="000F0C69" w:rsidRPr="00C11A3F">
        <w:t>s ment</w:t>
      </w:r>
      <w:r w:rsidR="00FA0E0F" w:rsidRPr="00C11A3F">
        <w:t>i</w:t>
      </w:r>
      <w:r w:rsidR="000F0C69" w:rsidRPr="00C11A3F">
        <w:t>o</w:t>
      </w:r>
      <w:r w:rsidR="00FA0E0F" w:rsidRPr="00C11A3F">
        <w:t>n</w:t>
      </w:r>
      <w:r w:rsidR="000F0C69" w:rsidRPr="00C11A3F">
        <w:t>ed at para</w:t>
      </w:r>
      <w:r w:rsidR="00FA0E0F" w:rsidRPr="00C11A3F">
        <w:t>g</w:t>
      </w:r>
      <w:r w:rsidR="000F0C69" w:rsidRPr="00C11A3F">
        <w:t>r</w:t>
      </w:r>
      <w:r w:rsidR="00FA0E0F" w:rsidRPr="00C11A3F">
        <w:t>a</w:t>
      </w:r>
      <w:r w:rsidR="000F0C69" w:rsidRPr="00C11A3F">
        <w:t xml:space="preserve">ph 53 of the decision on </w:t>
      </w:r>
      <w:r w:rsidR="00FA0E0F" w:rsidRPr="00C11A3F">
        <w:t>t</w:t>
      </w:r>
      <w:r w:rsidR="000F0C69" w:rsidRPr="00C11A3F">
        <w:t>he dra</w:t>
      </w:r>
      <w:r w:rsidR="00FA0E0F" w:rsidRPr="00C11A3F">
        <w:t>ft</w:t>
      </w:r>
      <w:r w:rsidR="000F0C69" w:rsidRPr="00C11A3F">
        <w:t xml:space="preserve"> Order. </w:t>
      </w:r>
      <w:r w:rsidR="00FE4797">
        <w:t>Section 10 of t</w:t>
      </w:r>
      <w:r w:rsidR="00D67037" w:rsidRPr="00C11A3F">
        <w:t xml:space="preserve">he PoE of the </w:t>
      </w:r>
      <w:r w:rsidR="00C11A3F" w:rsidRPr="00C11A3F">
        <w:t>Liability</w:t>
      </w:r>
      <w:r w:rsidR="00C11A3F">
        <w:t xml:space="preserve"> </w:t>
      </w:r>
      <w:r w:rsidR="00C11A3F" w:rsidRPr="00C11A3F">
        <w:rPr>
          <w:color w:val="auto"/>
        </w:rPr>
        <w:t>Negotiations Manager</w:t>
      </w:r>
      <w:r w:rsidR="00FA0E0F" w:rsidRPr="00C11A3F">
        <w:rPr>
          <w:color w:val="auto"/>
        </w:rPr>
        <w:t xml:space="preserve"> </w:t>
      </w:r>
      <w:r w:rsidR="00A44CDE">
        <w:rPr>
          <w:color w:val="auto"/>
        </w:rPr>
        <w:t xml:space="preserve">gave </w:t>
      </w:r>
      <w:r w:rsidR="00FA0E0F" w:rsidRPr="00C11A3F">
        <w:rPr>
          <w:color w:val="auto"/>
        </w:rPr>
        <w:t>an</w:t>
      </w:r>
      <w:r w:rsidR="00A44CDE">
        <w:rPr>
          <w:color w:val="auto"/>
        </w:rPr>
        <w:t xml:space="preserve"> overview of the optioneering process </w:t>
      </w:r>
      <w:r w:rsidR="00FA0E0F" w:rsidRPr="00C11A3F">
        <w:rPr>
          <w:color w:val="auto"/>
        </w:rPr>
        <w:t>b</w:t>
      </w:r>
      <w:r w:rsidR="000F37CA">
        <w:rPr>
          <w:color w:val="auto"/>
        </w:rPr>
        <w:t>ut again focusse</w:t>
      </w:r>
      <w:r w:rsidR="00FE4797">
        <w:rPr>
          <w:color w:val="auto"/>
        </w:rPr>
        <w:t>d</w:t>
      </w:r>
      <w:r w:rsidR="000F37CA">
        <w:rPr>
          <w:color w:val="auto"/>
        </w:rPr>
        <w:t xml:space="preserve"> on </w:t>
      </w:r>
      <w:r w:rsidR="00735256">
        <w:rPr>
          <w:color w:val="auto"/>
        </w:rPr>
        <w:t>po</w:t>
      </w:r>
      <w:r w:rsidR="000F37CA">
        <w:rPr>
          <w:color w:val="auto"/>
        </w:rPr>
        <w:t>te</w:t>
      </w:r>
      <w:r w:rsidR="00735256">
        <w:rPr>
          <w:color w:val="auto"/>
        </w:rPr>
        <w:t>ntial</w:t>
      </w:r>
      <w:r w:rsidR="000F37CA">
        <w:rPr>
          <w:color w:val="auto"/>
        </w:rPr>
        <w:t xml:space="preserve"> larger </w:t>
      </w:r>
      <w:r w:rsidR="00FA0E0F" w:rsidRPr="00C11A3F">
        <w:rPr>
          <w:color w:val="auto"/>
        </w:rPr>
        <w:t>c</w:t>
      </w:r>
      <w:r w:rsidR="000F37CA">
        <w:rPr>
          <w:color w:val="auto"/>
        </w:rPr>
        <w:t>h</w:t>
      </w:r>
      <w:r w:rsidR="00FA0E0F" w:rsidRPr="00C11A3F">
        <w:rPr>
          <w:color w:val="auto"/>
        </w:rPr>
        <w:t>a</w:t>
      </w:r>
      <w:r w:rsidR="000F37CA">
        <w:rPr>
          <w:color w:val="auto"/>
        </w:rPr>
        <w:t>ng</w:t>
      </w:r>
      <w:r w:rsidR="00FA0E0F" w:rsidRPr="00C11A3F">
        <w:rPr>
          <w:color w:val="auto"/>
        </w:rPr>
        <w:t>es</w:t>
      </w:r>
      <w:r w:rsidR="00FE4797">
        <w:rPr>
          <w:color w:val="auto"/>
        </w:rPr>
        <w:t>, ra</w:t>
      </w:r>
      <w:r w:rsidR="000F37CA">
        <w:rPr>
          <w:color w:val="auto"/>
        </w:rPr>
        <w:t>t</w:t>
      </w:r>
      <w:r w:rsidR="00FA0E0F" w:rsidRPr="00C11A3F">
        <w:rPr>
          <w:color w:val="auto"/>
        </w:rPr>
        <w:t>h</w:t>
      </w:r>
      <w:r w:rsidR="00FE4797">
        <w:rPr>
          <w:color w:val="auto"/>
        </w:rPr>
        <w:t xml:space="preserve">er </w:t>
      </w:r>
      <w:r w:rsidR="000F37CA">
        <w:rPr>
          <w:color w:val="auto"/>
        </w:rPr>
        <w:t>t</w:t>
      </w:r>
      <w:r w:rsidR="00FE4797">
        <w:rPr>
          <w:color w:val="auto"/>
        </w:rPr>
        <w:t>han small-scal</w:t>
      </w:r>
      <w:r w:rsidR="00FA0E0F" w:rsidRPr="00C11A3F">
        <w:rPr>
          <w:color w:val="auto"/>
        </w:rPr>
        <w:t>e</w:t>
      </w:r>
      <w:r w:rsidR="00FE4797">
        <w:rPr>
          <w:color w:val="auto"/>
        </w:rPr>
        <w:t xml:space="preserve"> </w:t>
      </w:r>
      <w:r w:rsidR="008E504A">
        <w:rPr>
          <w:color w:val="auto"/>
        </w:rPr>
        <w:t>issues.</w:t>
      </w:r>
    </w:p>
    <w:p w14:paraId="264AED9C" w14:textId="3F8B2479" w:rsidR="00227AA6" w:rsidRDefault="008E504A" w:rsidP="002B6C73">
      <w:pPr>
        <w:pStyle w:val="Style1"/>
        <w:numPr>
          <w:ilvl w:val="0"/>
          <w:numId w:val="6"/>
        </w:numPr>
        <w:autoSpaceDE w:val="0"/>
        <w:autoSpaceDN w:val="0"/>
        <w:adjustRightInd w:val="0"/>
        <w:spacing w:before="140"/>
        <w:ind w:left="431" w:hanging="431"/>
        <w:rPr>
          <w:color w:val="auto"/>
        </w:rPr>
      </w:pPr>
      <w:r w:rsidRPr="00784C5B">
        <w:rPr>
          <w:color w:val="auto"/>
        </w:rPr>
        <w:t>I c</w:t>
      </w:r>
      <w:r w:rsidR="000F37CA" w:rsidRPr="00784C5B">
        <w:rPr>
          <w:color w:val="auto"/>
        </w:rPr>
        <w:t>o</w:t>
      </w:r>
      <w:r w:rsidRPr="00784C5B">
        <w:rPr>
          <w:color w:val="auto"/>
        </w:rPr>
        <w:t>nsi</w:t>
      </w:r>
      <w:r w:rsidR="000F37CA" w:rsidRPr="00784C5B">
        <w:rPr>
          <w:color w:val="auto"/>
        </w:rPr>
        <w:t>d</w:t>
      </w:r>
      <w:r w:rsidRPr="00784C5B">
        <w:rPr>
          <w:color w:val="auto"/>
        </w:rPr>
        <w:t>er th</w:t>
      </w:r>
      <w:r w:rsidR="000F37CA" w:rsidRPr="00784C5B">
        <w:rPr>
          <w:color w:val="auto"/>
        </w:rPr>
        <w:t>at</w:t>
      </w:r>
      <w:r w:rsidRPr="00784C5B">
        <w:rPr>
          <w:color w:val="auto"/>
        </w:rPr>
        <w:t xml:space="preserve"> it wa</w:t>
      </w:r>
      <w:r w:rsidR="00FA0E0F" w:rsidRPr="00784C5B">
        <w:rPr>
          <w:color w:val="auto"/>
        </w:rPr>
        <w:t>s</w:t>
      </w:r>
      <w:r w:rsidRPr="00784C5B">
        <w:rPr>
          <w:color w:val="auto"/>
        </w:rPr>
        <w:t xml:space="preserve"> </w:t>
      </w:r>
      <w:r w:rsidR="000F37CA" w:rsidRPr="00784C5B">
        <w:rPr>
          <w:color w:val="auto"/>
        </w:rPr>
        <w:t>c</w:t>
      </w:r>
      <w:r w:rsidRPr="00784C5B">
        <w:rPr>
          <w:color w:val="auto"/>
        </w:rPr>
        <w:t>lear from t</w:t>
      </w:r>
      <w:r w:rsidR="000F37CA" w:rsidRPr="00784C5B">
        <w:rPr>
          <w:color w:val="auto"/>
        </w:rPr>
        <w:t>h</w:t>
      </w:r>
      <w:r w:rsidRPr="00784C5B">
        <w:rPr>
          <w:color w:val="auto"/>
        </w:rPr>
        <w:t xml:space="preserve">e </w:t>
      </w:r>
      <w:r w:rsidR="00374CFA" w:rsidRPr="00784C5B">
        <w:rPr>
          <w:color w:val="auto"/>
        </w:rPr>
        <w:t>general</w:t>
      </w:r>
      <w:r w:rsidR="00374CFA">
        <w:rPr>
          <w:color w:val="auto"/>
        </w:rPr>
        <w:t xml:space="preserve"> tone of man</w:t>
      </w:r>
      <w:r w:rsidR="00374CFA" w:rsidRPr="00784C5B">
        <w:rPr>
          <w:color w:val="auto"/>
        </w:rPr>
        <w:t xml:space="preserve">y </w:t>
      </w:r>
      <w:r w:rsidR="000F37CA" w:rsidRPr="00784C5B">
        <w:rPr>
          <w:color w:val="auto"/>
        </w:rPr>
        <w:t>ob</w:t>
      </w:r>
      <w:r w:rsidR="005B68A6" w:rsidRPr="00784C5B">
        <w:rPr>
          <w:color w:val="auto"/>
        </w:rPr>
        <w:t>j</w:t>
      </w:r>
      <w:r w:rsidR="00FA0E0F" w:rsidRPr="00784C5B">
        <w:rPr>
          <w:color w:val="auto"/>
        </w:rPr>
        <w:t>ecti</w:t>
      </w:r>
      <w:r w:rsidR="005B68A6" w:rsidRPr="00784C5B">
        <w:rPr>
          <w:color w:val="auto"/>
        </w:rPr>
        <w:t>ons that th</w:t>
      </w:r>
      <w:r w:rsidR="00FA0E0F" w:rsidRPr="00784C5B">
        <w:rPr>
          <w:color w:val="auto"/>
        </w:rPr>
        <w:t>er</w:t>
      </w:r>
      <w:r w:rsidR="005B68A6" w:rsidRPr="00784C5B">
        <w:rPr>
          <w:color w:val="auto"/>
        </w:rPr>
        <w:t>e</w:t>
      </w:r>
      <w:r w:rsidR="00FA0E0F" w:rsidRPr="00784C5B">
        <w:rPr>
          <w:color w:val="auto"/>
        </w:rPr>
        <w:t xml:space="preserve"> </w:t>
      </w:r>
      <w:r w:rsidR="005B68A6" w:rsidRPr="00784C5B">
        <w:rPr>
          <w:color w:val="auto"/>
        </w:rPr>
        <w:t>remai</w:t>
      </w:r>
      <w:r w:rsidR="00FA0E0F" w:rsidRPr="00784C5B">
        <w:rPr>
          <w:color w:val="auto"/>
        </w:rPr>
        <w:t>n</w:t>
      </w:r>
      <w:r w:rsidR="005B68A6" w:rsidRPr="00784C5B">
        <w:rPr>
          <w:color w:val="auto"/>
        </w:rPr>
        <w:t xml:space="preserve">ed a view </w:t>
      </w:r>
      <w:r w:rsidR="00FA0E0F" w:rsidRPr="00784C5B">
        <w:rPr>
          <w:color w:val="auto"/>
        </w:rPr>
        <w:t>th</w:t>
      </w:r>
      <w:r w:rsidR="005B68A6" w:rsidRPr="00784C5B">
        <w:rPr>
          <w:color w:val="auto"/>
        </w:rPr>
        <w:t xml:space="preserve">at </w:t>
      </w:r>
      <w:r w:rsidR="00784C5B">
        <w:rPr>
          <w:color w:val="auto"/>
        </w:rPr>
        <w:t>N</w:t>
      </w:r>
      <w:r w:rsidR="00746E6C" w:rsidRPr="00784C5B">
        <w:rPr>
          <w:color w:val="auto"/>
        </w:rPr>
        <w:t>R</w:t>
      </w:r>
      <w:r w:rsidR="00784C5B">
        <w:rPr>
          <w:color w:val="auto"/>
        </w:rPr>
        <w:t xml:space="preserve"> had not looked at</w:t>
      </w:r>
      <w:r w:rsidR="00E81C98">
        <w:rPr>
          <w:color w:val="auto"/>
        </w:rPr>
        <w:t xml:space="preserve"> small-scale</w:t>
      </w:r>
      <w:r w:rsidR="00784C5B">
        <w:rPr>
          <w:color w:val="auto"/>
        </w:rPr>
        <w:t xml:space="preserve"> </w:t>
      </w:r>
      <w:r w:rsidR="00E81C98">
        <w:rPr>
          <w:color w:val="auto"/>
        </w:rPr>
        <w:t xml:space="preserve">practical </w:t>
      </w:r>
      <w:r w:rsidR="00784C5B">
        <w:rPr>
          <w:color w:val="auto"/>
        </w:rPr>
        <w:t>matters</w:t>
      </w:r>
      <w:r w:rsidR="00E81C98">
        <w:rPr>
          <w:color w:val="auto"/>
        </w:rPr>
        <w:t>, which it was felt could easily resolve the problem</w:t>
      </w:r>
      <w:r w:rsidR="00374CFA">
        <w:rPr>
          <w:color w:val="auto"/>
        </w:rPr>
        <w:t>. Again</w:t>
      </w:r>
      <w:r w:rsidR="00E81C98">
        <w:rPr>
          <w:color w:val="auto"/>
        </w:rPr>
        <w:t xml:space="preserve">, I consider that </w:t>
      </w:r>
      <w:r w:rsidR="00374CFA">
        <w:rPr>
          <w:color w:val="auto"/>
        </w:rPr>
        <w:t>th</w:t>
      </w:r>
      <w:r w:rsidR="00E81C98">
        <w:rPr>
          <w:color w:val="auto"/>
        </w:rPr>
        <w:t>e</w:t>
      </w:r>
      <w:r w:rsidR="00374CFA">
        <w:rPr>
          <w:color w:val="auto"/>
        </w:rPr>
        <w:t>s</w:t>
      </w:r>
      <w:r w:rsidR="00E81C98">
        <w:rPr>
          <w:color w:val="auto"/>
        </w:rPr>
        <w:t>e</w:t>
      </w:r>
      <w:r w:rsidR="00374CFA">
        <w:rPr>
          <w:color w:val="auto"/>
        </w:rPr>
        <w:t xml:space="preserve"> </w:t>
      </w:r>
      <w:r w:rsidR="00E81C98">
        <w:rPr>
          <w:color w:val="auto"/>
        </w:rPr>
        <w:t xml:space="preserve">views </w:t>
      </w:r>
      <w:r w:rsidR="00E81C98">
        <w:rPr>
          <w:color w:val="auto"/>
        </w:rPr>
        <w:lastRenderedPageBreak/>
        <w:t>were influenced to</w:t>
      </w:r>
      <w:r w:rsidR="00892D98">
        <w:rPr>
          <w:color w:val="auto"/>
        </w:rPr>
        <w:t xml:space="preserve"> some extent </w:t>
      </w:r>
      <w:r w:rsidR="00BA0AEE" w:rsidRPr="00784C5B">
        <w:rPr>
          <w:color w:val="auto"/>
        </w:rPr>
        <w:t xml:space="preserve">by </w:t>
      </w:r>
      <w:r w:rsidR="00892D98">
        <w:rPr>
          <w:color w:val="auto"/>
        </w:rPr>
        <w:t>the very local im</w:t>
      </w:r>
      <w:r w:rsidR="00DC061B" w:rsidRPr="00784C5B">
        <w:rPr>
          <w:color w:val="auto"/>
        </w:rPr>
        <w:t>prov</w:t>
      </w:r>
      <w:r w:rsidR="00892D98">
        <w:rPr>
          <w:color w:val="auto"/>
        </w:rPr>
        <w:t>eme</w:t>
      </w:r>
      <w:r w:rsidR="00DC061B" w:rsidRPr="00784C5B">
        <w:rPr>
          <w:color w:val="auto"/>
        </w:rPr>
        <w:t>n</w:t>
      </w:r>
      <w:r w:rsidR="00892D98">
        <w:rPr>
          <w:color w:val="auto"/>
        </w:rPr>
        <w:t>ts made at the Moor Farm crossing</w:t>
      </w:r>
      <w:r w:rsidR="00244440">
        <w:rPr>
          <w:color w:val="auto"/>
        </w:rPr>
        <w:t>, with a natural inclination to draw comparison</w:t>
      </w:r>
      <w:r w:rsidR="00892D98">
        <w:rPr>
          <w:color w:val="auto"/>
        </w:rPr>
        <w:t>.</w:t>
      </w:r>
      <w:r w:rsidR="00DC061B" w:rsidRPr="00784C5B">
        <w:rPr>
          <w:color w:val="auto"/>
        </w:rPr>
        <w:t xml:space="preserve"> </w:t>
      </w:r>
    </w:p>
    <w:p w14:paraId="2253196D" w14:textId="66EAA3DA" w:rsidR="00DC061B" w:rsidRDefault="00C432BC" w:rsidP="002B6C73">
      <w:pPr>
        <w:pStyle w:val="Style1"/>
        <w:numPr>
          <w:ilvl w:val="0"/>
          <w:numId w:val="6"/>
        </w:numPr>
        <w:autoSpaceDE w:val="0"/>
        <w:autoSpaceDN w:val="0"/>
        <w:adjustRightInd w:val="0"/>
        <w:spacing w:before="140"/>
        <w:ind w:left="431" w:hanging="431"/>
        <w:rPr>
          <w:color w:val="auto"/>
        </w:rPr>
      </w:pPr>
      <w:r>
        <w:rPr>
          <w:color w:val="auto"/>
        </w:rPr>
        <w:t>T</w:t>
      </w:r>
      <w:r w:rsidR="0094042E">
        <w:rPr>
          <w:color w:val="auto"/>
        </w:rPr>
        <w:t xml:space="preserve">here could have potentially been some short-circuiting of </w:t>
      </w:r>
      <w:r w:rsidR="00C60516">
        <w:rPr>
          <w:color w:val="auto"/>
        </w:rPr>
        <w:t>questions through early responsive</w:t>
      </w:r>
      <w:r w:rsidR="00244440">
        <w:rPr>
          <w:color w:val="auto"/>
        </w:rPr>
        <w:t xml:space="preserve"> -</w:t>
      </w:r>
      <w:r w:rsidR="00250FAC">
        <w:rPr>
          <w:color w:val="auto"/>
        </w:rPr>
        <w:t xml:space="preserve"> by which I mean responsive to the original objections</w:t>
      </w:r>
      <w:r w:rsidR="00244440">
        <w:rPr>
          <w:color w:val="auto"/>
        </w:rPr>
        <w:t xml:space="preserve"> - </w:t>
      </w:r>
      <w:r w:rsidR="00C60516">
        <w:rPr>
          <w:color w:val="auto"/>
        </w:rPr>
        <w:t xml:space="preserve">provision of information to show that these matters had been </w:t>
      </w:r>
      <w:r w:rsidR="00250FAC">
        <w:rPr>
          <w:color w:val="auto"/>
        </w:rPr>
        <w:t>addressed at an earlier stage.</w:t>
      </w:r>
      <w:r w:rsidR="00227AA6">
        <w:rPr>
          <w:color w:val="auto"/>
        </w:rPr>
        <w:t xml:space="preserve"> However, I agree with NR that</w:t>
      </w:r>
      <w:r w:rsidR="004E2B2F">
        <w:rPr>
          <w:color w:val="auto"/>
        </w:rPr>
        <w:t>, given their involvement</w:t>
      </w:r>
      <w:r w:rsidR="00AB59F9">
        <w:rPr>
          <w:color w:val="auto"/>
        </w:rPr>
        <w:t xml:space="preserve"> through the Spelthorne Local Committee</w:t>
      </w:r>
      <w:r w:rsidR="00AB59F9">
        <w:rPr>
          <w:rStyle w:val="FootnoteReference"/>
          <w:color w:val="auto"/>
        </w:rPr>
        <w:footnoteReference w:id="12"/>
      </w:r>
      <w:r w:rsidR="00AB59F9">
        <w:rPr>
          <w:color w:val="auto"/>
        </w:rPr>
        <w:t xml:space="preserve">, </w:t>
      </w:r>
      <w:r w:rsidR="00227AA6">
        <w:rPr>
          <w:color w:val="auto"/>
        </w:rPr>
        <w:t>S</w:t>
      </w:r>
      <w:r w:rsidR="006117AD">
        <w:rPr>
          <w:color w:val="auto"/>
        </w:rPr>
        <w:t xml:space="preserve">BC </w:t>
      </w:r>
      <w:r w:rsidR="004E2B2F">
        <w:rPr>
          <w:color w:val="auto"/>
        </w:rPr>
        <w:t>could hav</w:t>
      </w:r>
      <w:r w:rsidR="006117AD">
        <w:rPr>
          <w:color w:val="auto"/>
        </w:rPr>
        <w:t>e ask</w:t>
      </w:r>
      <w:r w:rsidR="004E2B2F">
        <w:rPr>
          <w:color w:val="auto"/>
        </w:rPr>
        <w:t>ed</w:t>
      </w:r>
      <w:r w:rsidR="006117AD">
        <w:rPr>
          <w:color w:val="auto"/>
        </w:rPr>
        <w:t xml:space="preserve"> questions </w:t>
      </w:r>
      <w:r w:rsidR="004E2B2F">
        <w:rPr>
          <w:color w:val="auto"/>
        </w:rPr>
        <w:t>to</w:t>
      </w:r>
      <w:r w:rsidR="006117AD">
        <w:rPr>
          <w:color w:val="auto"/>
        </w:rPr>
        <w:t xml:space="preserve"> satisfy themselves</w:t>
      </w:r>
      <w:r w:rsidR="008C03A5">
        <w:rPr>
          <w:color w:val="auto"/>
        </w:rPr>
        <w:t>, on behalf of their local constituents,</w:t>
      </w:r>
      <w:r w:rsidR="006117AD">
        <w:rPr>
          <w:color w:val="auto"/>
        </w:rPr>
        <w:t xml:space="preserve"> on s</w:t>
      </w:r>
      <w:r w:rsidR="004E2B2F">
        <w:rPr>
          <w:color w:val="auto"/>
        </w:rPr>
        <w:t>uch</w:t>
      </w:r>
      <w:r w:rsidR="006117AD">
        <w:rPr>
          <w:color w:val="auto"/>
        </w:rPr>
        <w:t xml:space="preserve"> matters a</w:t>
      </w:r>
      <w:r w:rsidR="004E2B2F">
        <w:rPr>
          <w:color w:val="auto"/>
        </w:rPr>
        <w:t xml:space="preserve">t </w:t>
      </w:r>
      <w:r w:rsidR="006117AD">
        <w:rPr>
          <w:color w:val="auto"/>
        </w:rPr>
        <w:t>a</w:t>
      </w:r>
      <w:r w:rsidR="004E2B2F">
        <w:rPr>
          <w:color w:val="auto"/>
        </w:rPr>
        <w:t xml:space="preserve">ny </w:t>
      </w:r>
      <w:r w:rsidR="006117AD">
        <w:rPr>
          <w:color w:val="auto"/>
        </w:rPr>
        <w:t>t</w:t>
      </w:r>
      <w:r w:rsidR="004E2B2F">
        <w:rPr>
          <w:color w:val="auto"/>
        </w:rPr>
        <w:t>im</w:t>
      </w:r>
      <w:r w:rsidR="006117AD">
        <w:rPr>
          <w:color w:val="auto"/>
        </w:rPr>
        <w:t>e</w:t>
      </w:r>
      <w:r w:rsidR="00CD4D7F">
        <w:rPr>
          <w:color w:val="auto"/>
        </w:rPr>
        <w:t>; it did not require the Inquiry process to do so</w:t>
      </w:r>
      <w:r w:rsidR="004E2B2F">
        <w:rPr>
          <w:color w:val="auto"/>
        </w:rPr>
        <w:t xml:space="preserve">. </w:t>
      </w:r>
      <w:r w:rsidR="00B70BCD">
        <w:rPr>
          <w:color w:val="auto"/>
        </w:rPr>
        <w:t>Whilst I would not necessarily expect lay people, or local organisations</w:t>
      </w:r>
      <w:r w:rsidR="002C3F6D">
        <w:rPr>
          <w:color w:val="auto"/>
        </w:rPr>
        <w:t>,</w:t>
      </w:r>
      <w:r w:rsidR="00B70BCD">
        <w:rPr>
          <w:color w:val="auto"/>
        </w:rPr>
        <w:t xml:space="preserve"> to </w:t>
      </w:r>
      <w:r w:rsidR="00DE034C">
        <w:rPr>
          <w:color w:val="auto"/>
        </w:rPr>
        <w:t xml:space="preserve">ask such questions of NR I consider that a public authority bears some responsibility to </w:t>
      </w:r>
      <w:proofErr w:type="gramStart"/>
      <w:r w:rsidR="00DE034C">
        <w:rPr>
          <w:color w:val="auto"/>
        </w:rPr>
        <w:t>enter into</w:t>
      </w:r>
      <w:proofErr w:type="gramEnd"/>
      <w:r w:rsidR="00DE034C">
        <w:rPr>
          <w:color w:val="auto"/>
        </w:rPr>
        <w:t xml:space="preserve"> dialogue. </w:t>
      </w:r>
      <w:r w:rsidR="00B70BCD">
        <w:rPr>
          <w:color w:val="auto"/>
        </w:rPr>
        <w:t xml:space="preserve"> </w:t>
      </w:r>
      <w:r w:rsidR="004E2B2F">
        <w:rPr>
          <w:color w:val="auto"/>
        </w:rPr>
        <w:t xml:space="preserve"> </w:t>
      </w:r>
      <w:r w:rsidR="006117AD">
        <w:rPr>
          <w:color w:val="auto"/>
        </w:rPr>
        <w:t xml:space="preserve"> </w:t>
      </w:r>
    </w:p>
    <w:p w14:paraId="03D571FF" w14:textId="5B402A9E" w:rsidR="0000732F" w:rsidRDefault="00A33BD9" w:rsidP="002B6C73">
      <w:pPr>
        <w:pStyle w:val="Style1"/>
        <w:numPr>
          <w:ilvl w:val="0"/>
          <w:numId w:val="6"/>
        </w:numPr>
        <w:autoSpaceDE w:val="0"/>
        <w:autoSpaceDN w:val="0"/>
        <w:adjustRightInd w:val="0"/>
        <w:spacing w:before="140"/>
        <w:ind w:left="431" w:hanging="431"/>
        <w:rPr>
          <w:color w:val="auto"/>
        </w:rPr>
      </w:pPr>
      <w:r w:rsidRPr="00F14B5F">
        <w:rPr>
          <w:color w:val="auto"/>
        </w:rPr>
        <w:t xml:space="preserve">A number of matters were dealt with by way of ‘NR Notes’ through the course of the Inquiry. I was satisfied that it was appropriate for these to come forward </w:t>
      </w:r>
      <w:r w:rsidR="005F288B" w:rsidRPr="00F14B5F">
        <w:rPr>
          <w:color w:val="auto"/>
        </w:rPr>
        <w:t>when</w:t>
      </w:r>
      <w:r w:rsidRPr="00F14B5F">
        <w:rPr>
          <w:color w:val="auto"/>
        </w:rPr>
        <w:t xml:space="preserve"> the</w:t>
      </w:r>
      <w:r w:rsidR="005F288B" w:rsidRPr="00F14B5F">
        <w:rPr>
          <w:color w:val="auto"/>
        </w:rPr>
        <w:t xml:space="preserve">y did. Taking account of the </w:t>
      </w:r>
      <w:r w:rsidR="00017833" w:rsidRPr="00F14B5F">
        <w:rPr>
          <w:color w:val="auto"/>
        </w:rPr>
        <w:t>slightly different hours of sitting arising from the Inquiry being held in a virtual form</w:t>
      </w:r>
      <w:r w:rsidR="004D76C2">
        <w:rPr>
          <w:color w:val="auto"/>
        </w:rPr>
        <w:t>at</w:t>
      </w:r>
      <w:r w:rsidR="00017833" w:rsidRPr="00F14B5F">
        <w:rPr>
          <w:color w:val="auto"/>
        </w:rPr>
        <w:t>, rather than as a physical event, there were longer breaks</w:t>
      </w:r>
      <w:r w:rsidR="00CE07E2" w:rsidRPr="00F14B5F">
        <w:rPr>
          <w:color w:val="auto"/>
        </w:rPr>
        <w:t xml:space="preserve"> </w:t>
      </w:r>
      <w:r w:rsidR="00837249">
        <w:rPr>
          <w:color w:val="auto"/>
        </w:rPr>
        <w:t>between sessio</w:t>
      </w:r>
      <w:r w:rsidR="00CE07E2" w:rsidRPr="00F14B5F">
        <w:rPr>
          <w:color w:val="auto"/>
        </w:rPr>
        <w:t>n</w:t>
      </w:r>
      <w:r w:rsidR="00837249">
        <w:rPr>
          <w:color w:val="auto"/>
        </w:rPr>
        <w:t>s</w:t>
      </w:r>
      <w:r w:rsidR="00CE07E2" w:rsidRPr="00F14B5F">
        <w:rPr>
          <w:color w:val="auto"/>
        </w:rPr>
        <w:t xml:space="preserve">, which should have allowed </w:t>
      </w:r>
      <w:r w:rsidR="00760628" w:rsidRPr="00F14B5F">
        <w:rPr>
          <w:color w:val="auto"/>
        </w:rPr>
        <w:t>an</w:t>
      </w:r>
      <w:r w:rsidR="00CE07E2" w:rsidRPr="00F14B5F">
        <w:rPr>
          <w:color w:val="auto"/>
        </w:rPr>
        <w:t xml:space="preserve"> opportunity to take account of </w:t>
      </w:r>
      <w:r w:rsidR="00765895" w:rsidRPr="00F14B5F">
        <w:rPr>
          <w:color w:val="auto"/>
        </w:rPr>
        <w:t>such evidence</w:t>
      </w:r>
      <w:r w:rsidR="00CE07E2" w:rsidRPr="00F14B5F">
        <w:rPr>
          <w:color w:val="auto"/>
        </w:rPr>
        <w:t>.</w:t>
      </w:r>
      <w:r w:rsidR="00765895" w:rsidRPr="00F14B5F">
        <w:rPr>
          <w:color w:val="auto"/>
        </w:rPr>
        <w:t xml:space="preserve"> Adjournments can always be </w:t>
      </w:r>
      <w:proofErr w:type="gramStart"/>
      <w:r w:rsidR="00765895" w:rsidRPr="00F14B5F">
        <w:rPr>
          <w:color w:val="auto"/>
        </w:rPr>
        <w:t>requested</w:t>
      </w:r>
      <w:proofErr w:type="gramEnd"/>
      <w:r w:rsidR="00765895" w:rsidRPr="00F14B5F">
        <w:rPr>
          <w:color w:val="auto"/>
        </w:rPr>
        <w:t xml:space="preserve"> and I took longer a</w:t>
      </w:r>
      <w:r w:rsidR="000E7666" w:rsidRPr="00F14B5F">
        <w:rPr>
          <w:color w:val="auto"/>
        </w:rPr>
        <w:t xml:space="preserve">djournments in relation to certain matters, for example to ensure the ability to download a document from a computer, which could not be done whilst </w:t>
      </w:r>
      <w:r w:rsidR="00760628" w:rsidRPr="00F14B5F">
        <w:rPr>
          <w:color w:val="auto"/>
        </w:rPr>
        <w:t>a party was online for the Inquiry itself.</w:t>
      </w:r>
      <w:r w:rsidR="001343FD">
        <w:rPr>
          <w:color w:val="auto"/>
        </w:rPr>
        <w:t xml:space="preserve"> I do not find the provision of the NR notes to have been unreasonable </w:t>
      </w:r>
      <w:proofErr w:type="gramStart"/>
      <w:r w:rsidR="001343FD">
        <w:rPr>
          <w:color w:val="auto"/>
        </w:rPr>
        <w:t>in the course of</w:t>
      </w:r>
      <w:proofErr w:type="gramEnd"/>
      <w:r w:rsidR="001343FD">
        <w:rPr>
          <w:color w:val="auto"/>
        </w:rPr>
        <w:t xml:space="preserve"> an Inquiry of this nature</w:t>
      </w:r>
      <w:r w:rsidR="00AE0C3F">
        <w:rPr>
          <w:color w:val="auto"/>
        </w:rPr>
        <w:t>, with some arising directly from matters on which I requested further information</w:t>
      </w:r>
      <w:r w:rsidR="004D76C2">
        <w:rPr>
          <w:color w:val="auto"/>
        </w:rPr>
        <w:t>, as well as SBC</w:t>
      </w:r>
      <w:r w:rsidR="00D66F81">
        <w:rPr>
          <w:color w:val="auto"/>
        </w:rPr>
        <w:t xml:space="preserve"> and other parties to the Inquiry</w:t>
      </w:r>
      <w:r w:rsidR="00AE0C3F">
        <w:rPr>
          <w:color w:val="auto"/>
        </w:rPr>
        <w:t>.</w:t>
      </w:r>
      <w:r w:rsidR="001343FD">
        <w:rPr>
          <w:color w:val="auto"/>
        </w:rPr>
        <w:t xml:space="preserve"> </w:t>
      </w:r>
      <w:r w:rsidR="00760628" w:rsidRPr="00F14B5F">
        <w:rPr>
          <w:color w:val="auto"/>
        </w:rPr>
        <w:t xml:space="preserve"> </w:t>
      </w:r>
      <w:r w:rsidR="00CE07E2" w:rsidRPr="00F14B5F">
        <w:rPr>
          <w:color w:val="auto"/>
        </w:rPr>
        <w:t xml:space="preserve">  </w:t>
      </w:r>
    </w:p>
    <w:p w14:paraId="4705367E" w14:textId="0B8C3036" w:rsidR="005B33BD" w:rsidRPr="00F14B5F" w:rsidRDefault="00512AF0" w:rsidP="002B6C73">
      <w:pPr>
        <w:pStyle w:val="Style1"/>
        <w:numPr>
          <w:ilvl w:val="0"/>
          <w:numId w:val="6"/>
        </w:numPr>
        <w:autoSpaceDE w:val="0"/>
        <w:autoSpaceDN w:val="0"/>
        <w:adjustRightInd w:val="0"/>
        <w:spacing w:before="140"/>
        <w:ind w:left="431" w:hanging="431"/>
        <w:rPr>
          <w:color w:val="auto"/>
        </w:rPr>
      </w:pPr>
      <w:r>
        <w:rPr>
          <w:color w:val="auto"/>
        </w:rPr>
        <w:t xml:space="preserve">In relation to the </w:t>
      </w:r>
      <w:r w:rsidR="00974AC9">
        <w:rPr>
          <w:color w:val="auto"/>
        </w:rPr>
        <w:t>agreement to works between NR</w:t>
      </w:r>
      <w:r>
        <w:rPr>
          <w:color w:val="auto"/>
        </w:rPr>
        <w:t xml:space="preserve"> </w:t>
      </w:r>
      <w:r w:rsidR="00974AC9">
        <w:rPr>
          <w:color w:val="auto"/>
        </w:rPr>
        <w:t>and SCC</w:t>
      </w:r>
      <w:r w:rsidR="00D66F81">
        <w:rPr>
          <w:color w:val="auto"/>
        </w:rPr>
        <w:t>,</w:t>
      </w:r>
      <w:r w:rsidR="00974AC9">
        <w:rPr>
          <w:color w:val="auto"/>
        </w:rPr>
        <w:t xml:space="preserve"> </w:t>
      </w:r>
      <w:r w:rsidR="00EF787D">
        <w:rPr>
          <w:color w:val="auto"/>
        </w:rPr>
        <w:t xml:space="preserve">this was a matter I raised prior to the opening of the Inquiry, as I </w:t>
      </w:r>
      <w:r w:rsidR="00186D1A">
        <w:rPr>
          <w:color w:val="auto"/>
        </w:rPr>
        <w:t>wa</w:t>
      </w:r>
      <w:r w:rsidR="00E07CBB">
        <w:rPr>
          <w:color w:val="auto"/>
        </w:rPr>
        <w:t>n</w:t>
      </w:r>
      <w:r w:rsidR="00186D1A">
        <w:rPr>
          <w:color w:val="auto"/>
        </w:rPr>
        <w:t>t</w:t>
      </w:r>
      <w:r w:rsidR="00EF787D">
        <w:rPr>
          <w:color w:val="auto"/>
        </w:rPr>
        <w:t xml:space="preserve">ed to understand the </w:t>
      </w:r>
      <w:r w:rsidR="00855A90">
        <w:rPr>
          <w:color w:val="auto"/>
        </w:rPr>
        <w:t>weight</w:t>
      </w:r>
      <w:r w:rsidR="00D57729">
        <w:rPr>
          <w:color w:val="auto"/>
        </w:rPr>
        <w:t xml:space="preserve"> that </w:t>
      </w:r>
      <w:r w:rsidR="00855A90">
        <w:rPr>
          <w:color w:val="auto"/>
        </w:rPr>
        <w:t>I could place on the propos</w:t>
      </w:r>
      <w:r w:rsidR="00D57729">
        <w:rPr>
          <w:color w:val="auto"/>
        </w:rPr>
        <w:t>al</w:t>
      </w:r>
      <w:r w:rsidR="00855A90">
        <w:rPr>
          <w:color w:val="auto"/>
        </w:rPr>
        <w:t xml:space="preserve">s. </w:t>
      </w:r>
      <w:r w:rsidR="00C01813">
        <w:rPr>
          <w:color w:val="auto"/>
        </w:rPr>
        <w:t>I</w:t>
      </w:r>
      <w:r w:rsidR="00D57729">
        <w:rPr>
          <w:color w:val="auto"/>
        </w:rPr>
        <w:t xml:space="preserve"> found i</w:t>
      </w:r>
      <w:r w:rsidR="00C01813">
        <w:rPr>
          <w:color w:val="auto"/>
        </w:rPr>
        <w:t xml:space="preserve">t </w:t>
      </w:r>
      <w:r w:rsidR="00D57729">
        <w:rPr>
          <w:color w:val="auto"/>
        </w:rPr>
        <w:t>h</w:t>
      </w:r>
      <w:r w:rsidR="00C01813">
        <w:rPr>
          <w:color w:val="auto"/>
        </w:rPr>
        <w:t>elpful</w:t>
      </w:r>
      <w:r w:rsidR="00D57729">
        <w:rPr>
          <w:color w:val="auto"/>
        </w:rPr>
        <w:t xml:space="preserve"> t</w:t>
      </w:r>
      <w:r w:rsidR="00C01813">
        <w:rPr>
          <w:color w:val="auto"/>
        </w:rPr>
        <w:t xml:space="preserve">o </w:t>
      </w:r>
      <w:r w:rsidR="00D57729">
        <w:rPr>
          <w:color w:val="auto"/>
        </w:rPr>
        <w:t>hav</w:t>
      </w:r>
      <w:r w:rsidR="00C01813">
        <w:rPr>
          <w:color w:val="auto"/>
        </w:rPr>
        <w:t xml:space="preserve">e the </w:t>
      </w:r>
      <w:r w:rsidR="00CF792D">
        <w:rPr>
          <w:color w:val="auto"/>
        </w:rPr>
        <w:t xml:space="preserve">final agreements signed off through the course of the </w:t>
      </w:r>
      <w:proofErr w:type="gramStart"/>
      <w:r w:rsidR="00CF792D">
        <w:rPr>
          <w:color w:val="auto"/>
        </w:rPr>
        <w:t>Inquiry</w:t>
      </w:r>
      <w:proofErr w:type="gramEnd"/>
      <w:r w:rsidR="00A30AB9">
        <w:rPr>
          <w:color w:val="auto"/>
        </w:rPr>
        <w:t xml:space="preserve"> but I do not find </w:t>
      </w:r>
      <w:r w:rsidR="004D76C2">
        <w:rPr>
          <w:color w:val="auto"/>
        </w:rPr>
        <w:t>it</w:t>
      </w:r>
      <w:r w:rsidR="00A30AB9">
        <w:rPr>
          <w:color w:val="auto"/>
        </w:rPr>
        <w:t xml:space="preserve"> unreasonable</w:t>
      </w:r>
      <w:r w:rsidR="002D128D">
        <w:rPr>
          <w:color w:val="auto"/>
        </w:rPr>
        <w:t xml:space="preserve">, from the perspective of this costs application, </w:t>
      </w:r>
      <w:r w:rsidR="00A30AB9">
        <w:rPr>
          <w:color w:val="auto"/>
        </w:rPr>
        <w:t xml:space="preserve">that the matters were not </w:t>
      </w:r>
      <w:r w:rsidR="002D128D">
        <w:rPr>
          <w:color w:val="auto"/>
        </w:rPr>
        <w:t>already in such a format at an earlier stage</w:t>
      </w:r>
      <w:r w:rsidR="00A30AB9">
        <w:rPr>
          <w:color w:val="auto"/>
        </w:rPr>
        <w:t>.</w:t>
      </w:r>
      <w:r w:rsidR="008830E6">
        <w:rPr>
          <w:color w:val="auto"/>
        </w:rPr>
        <w:t xml:space="preserve"> </w:t>
      </w:r>
      <w:r w:rsidR="001D69B3">
        <w:rPr>
          <w:color w:val="auto"/>
        </w:rPr>
        <w:t xml:space="preserve">Whilst not a party to the agreement, </w:t>
      </w:r>
      <w:r w:rsidR="008830E6">
        <w:rPr>
          <w:color w:val="auto"/>
        </w:rPr>
        <w:t xml:space="preserve">I consider it was open to SBC as a local </w:t>
      </w:r>
      <w:r w:rsidR="00906A9E">
        <w:rPr>
          <w:color w:val="auto"/>
        </w:rPr>
        <w:t>authority</w:t>
      </w:r>
      <w:r w:rsidR="000E08A5">
        <w:rPr>
          <w:color w:val="auto"/>
        </w:rPr>
        <w:t xml:space="preserve"> </w:t>
      </w:r>
      <w:r w:rsidR="00906A9E">
        <w:rPr>
          <w:color w:val="auto"/>
        </w:rPr>
        <w:t xml:space="preserve">to ask questions </w:t>
      </w:r>
      <w:r w:rsidR="002779F9">
        <w:rPr>
          <w:color w:val="auto"/>
        </w:rPr>
        <w:t xml:space="preserve">of either or both NR and SCC </w:t>
      </w:r>
      <w:r w:rsidR="00906A9E">
        <w:rPr>
          <w:color w:val="auto"/>
        </w:rPr>
        <w:t xml:space="preserve">and </w:t>
      </w:r>
      <w:r w:rsidR="000B4F20">
        <w:rPr>
          <w:color w:val="auto"/>
        </w:rPr>
        <w:t>satisfy itself on such matters at a</w:t>
      </w:r>
      <w:r w:rsidR="002779F9">
        <w:rPr>
          <w:color w:val="auto"/>
        </w:rPr>
        <w:t xml:space="preserve"> much</w:t>
      </w:r>
      <w:r w:rsidR="000B4F20">
        <w:rPr>
          <w:color w:val="auto"/>
        </w:rPr>
        <w:t xml:space="preserve"> earlier stage.</w:t>
      </w:r>
      <w:r w:rsidR="008830E6">
        <w:rPr>
          <w:color w:val="auto"/>
        </w:rPr>
        <w:t xml:space="preserve"> </w:t>
      </w:r>
      <w:r w:rsidR="000E08A5">
        <w:rPr>
          <w:color w:val="auto"/>
        </w:rPr>
        <w:t xml:space="preserve">I do not find such concerns on funding a reasonable footing for the continued </w:t>
      </w:r>
      <w:r w:rsidR="00FD79DE">
        <w:rPr>
          <w:color w:val="auto"/>
        </w:rPr>
        <w:t>SBC objection, or reason why a costs application should succeed.</w:t>
      </w:r>
      <w:r w:rsidR="000E08A5">
        <w:rPr>
          <w:color w:val="auto"/>
        </w:rPr>
        <w:t xml:space="preserve"> </w:t>
      </w:r>
      <w:r w:rsidR="00C432BC">
        <w:rPr>
          <w:color w:val="auto"/>
        </w:rPr>
        <w:t xml:space="preserve"> </w:t>
      </w:r>
    </w:p>
    <w:p w14:paraId="1934F1CC" w14:textId="65E41644" w:rsidR="00A33BD9" w:rsidRPr="00B4511A" w:rsidRDefault="005B33BD" w:rsidP="002B6C73">
      <w:pPr>
        <w:pStyle w:val="Style1"/>
        <w:numPr>
          <w:ilvl w:val="0"/>
          <w:numId w:val="6"/>
        </w:numPr>
        <w:autoSpaceDE w:val="0"/>
        <w:autoSpaceDN w:val="0"/>
        <w:adjustRightInd w:val="0"/>
        <w:spacing w:before="140"/>
        <w:ind w:left="431" w:hanging="431"/>
        <w:rPr>
          <w:color w:val="auto"/>
        </w:rPr>
      </w:pPr>
      <w:r w:rsidRPr="00B4511A">
        <w:rPr>
          <w:color w:val="auto"/>
        </w:rPr>
        <w:t>It is possible that SBC would have withdrawn their objection at an earlier stage</w:t>
      </w:r>
      <w:r w:rsidR="00B4511A">
        <w:rPr>
          <w:color w:val="auto"/>
        </w:rPr>
        <w:t xml:space="preserve"> had certain information been available and laid out</w:t>
      </w:r>
      <w:r w:rsidR="004F78A9">
        <w:rPr>
          <w:color w:val="auto"/>
        </w:rPr>
        <w:t xml:space="preserve"> more plainly within the Inquiry documents</w:t>
      </w:r>
      <w:r w:rsidR="00B4511A">
        <w:rPr>
          <w:color w:val="auto"/>
        </w:rPr>
        <w:t>. However</w:t>
      </w:r>
      <w:r w:rsidRPr="00B4511A">
        <w:rPr>
          <w:color w:val="auto"/>
        </w:rPr>
        <w:t>,</w:t>
      </w:r>
      <w:r w:rsidR="00FC6BA3">
        <w:rPr>
          <w:color w:val="auto"/>
        </w:rPr>
        <w:t xml:space="preserve"> taking account of the matters referred to above</w:t>
      </w:r>
      <w:r w:rsidR="00216BB9">
        <w:rPr>
          <w:color w:val="auto"/>
        </w:rPr>
        <w:t>,</w:t>
      </w:r>
      <w:r w:rsidR="00FC6BA3">
        <w:rPr>
          <w:color w:val="auto"/>
        </w:rPr>
        <w:t xml:space="preserve"> I do not consider that NR have behaved unreasonably in the presentation or timing of their evidence</w:t>
      </w:r>
      <w:r w:rsidR="000E68FD">
        <w:rPr>
          <w:color w:val="auto"/>
        </w:rPr>
        <w:t>.</w:t>
      </w:r>
      <w:r w:rsidR="00FC6BA3">
        <w:rPr>
          <w:color w:val="auto"/>
        </w:rPr>
        <w:t xml:space="preserve">   </w:t>
      </w:r>
      <w:r w:rsidRPr="00B4511A">
        <w:rPr>
          <w:color w:val="auto"/>
        </w:rPr>
        <w:t xml:space="preserve">   </w:t>
      </w:r>
      <w:r w:rsidR="00017833" w:rsidRPr="00B4511A">
        <w:rPr>
          <w:color w:val="auto"/>
        </w:rPr>
        <w:t xml:space="preserve"> </w:t>
      </w:r>
      <w:r w:rsidR="00A33BD9" w:rsidRPr="00B4511A">
        <w:rPr>
          <w:color w:val="auto"/>
        </w:rPr>
        <w:t xml:space="preserve"> </w:t>
      </w:r>
    </w:p>
    <w:p w14:paraId="14FB556F" w14:textId="5F8C5088" w:rsidR="00CE20B6" w:rsidRPr="009C0379" w:rsidRDefault="00CE20B6" w:rsidP="00C13EE1">
      <w:pPr>
        <w:pStyle w:val="Heading6blackfont"/>
        <w:spacing w:before="120"/>
        <w:rPr>
          <w:color w:val="auto"/>
        </w:rPr>
      </w:pPr>
      <w:r w:rsidRPr="009C0379">
        <w:rPr>
          <w:color w:val="auto"/>
        </w:rPr>
        <w:t>Co</w:t>
      </w:r>
      <w:r w:rsidR="00F608C3">
        <w:rPr>
          <w:color w:val="auto"/>
        </w:rPr>
        <w:t>nclu</w:t>
      </w:r>
      <w:r w:rsidRPr="009C0379">
        <w:rPr>
          <w:color w:val="auto"/>
        </w:rPr>
        <w:t>s</w:t>
      </w:r>
      <w:r w:rsidR="00F608C3">
        <w:rPr>
          <w:color w:val="auto"/>
        </w:rPr>
        <w:t>ion</w:t>
      </w:r>
    </w:p>
    <w:p w14:paraId="59E26519" w14:textId="520FC959" w:rsidR="00CE20B6" w:rsidRPr="009C0379" w:rsidRDefault="007D1FC7" w:rsidP="00CE20B6">
      <w:pPr>
        <w:pStyle w:val="Style1"/>
        <w:numPr>
          <w:ilvl w:val="0"/>
          <w:numId w:val="6"/>
        </w:numPr>
        <w:spacing w:before="140"/>
        <w:ind w:left="431" w:hanging="431"/>
        <w:rPr>
          <w:color w:val="auto"/>
        </w:rPr>
      </w:pPr>
      <w:r>
        <w:rPr>
          <w:color w:val="auto"/>
          <w:szCs w:val="22"/>
        </w:rPr>
        <w:t>Taking account of</w:t>
      </w:r>
      <w:r w:rsidR="00CF4C3A">
        <w:rPr>
          <w:color w:val="auto"/>
          <w:szCs w:val="22"/>
        </w:rPr>
        <w:t xml:space="preserve"> all</w:t>
      </w:r>
      <w:r>
        <w:rPr>
          <w:color w:val="auto"/>
          <w:szCs w:val="22"/>
        </w:rPr>
        <w:t xml:space="preserve"> </w:t>
      </w:r>
      <w:r w:rsidR="00A4036A">
        <w:rPr>
          <w:color w:val="auto"/>
          <w:szCs w:val="22"/>
        </w:rPr>
        <w:t xml:space="preserve">relevant </w:t>
      </w:r>
      <w:r>
        <w:rPr>
          <w:color w:val="auto"/>
          <w:szCs w:val="22"/>
        </w:rPr>
        <w:t>matters</w:t>
      </w:r>
      <w:r w:rsidR="00A4036A">
        <w:rPr>
          <w:color w:val="auto"/>
          <w:szCs w:val="22"/>
        </w:rPr>
        <w:t>,</w:t>
      </w:r>
      <w:r>
        <w:rPr>
          <w:color w:val="auto"/>
          <w:szCs w:val="22"/>
        </w:rPr>
        <w:t xml:space="preserve"> </w:t>
      </w:r>
      <w:r w:rsidR="000D15EC">
        <w:rPr>
          <w:color w:val="auto"/>
          <w:szCs w:val="22"/>
        </w:rPr>
        <w:t>I therefor</w:t>
      </w:r>
      <w:r w:rsidR="00F608C3">
        <w:rPr>
          <w:color w:val="auto"/>
          <w:szCs w:val="22"/>
        </w:rPr>
        <w:t>e</w:t>
      </w:r>
      <w:r w:rsidR="000D15EC">
        <w:rPr>
          <w:color w:val="auto"/>
          <w:szCs w:val="22"/>
        </w:rPr>
        <w:t xml:space="preserve"> find that unreasonable behaviour resulting in unnecessary or wasted expense</w:t>
      </w:r>
      <w:r w:rsidR="00F608C3">
        <w:rPr>
          <w:color w:val="auto"/>
          <w:szCs w:val="22"/>
        </w:rPr>
        <w:t xml:space="preserve"> has not been demonstrated</w:t>
      </w:r>
      <w:r w:rsidR="00CE20B6" w:rsidRPr="009C0379">
        <w:rPr>
          <w:color w:val="auto"/>
          <w:szCs w:val="22"/>
        </w:rPr>
        <w:t>.</w:t>
      </w:r>
    </w:p>
    <w:p w14:paraId="36DFBA6C" w14:textId="77777777" w:rsidR="002D4258" w:rsidRPr="00DF203C" w:rsidRDefault="002D4258" w:rsidP="002D4258">
      <w:pPr>
        <w:pStyle w:val="Style1"/>
        <w:numPr>
          <w:ilvl w:val="0"/>
          <w:numId w:val="0"/>
        </w:numPr>
        <w:jc w:val="both"/>
        <w:rPr>
          <w:rFonts w:ascii="Monotype Corsiva" w:hAnsi="Monotype Corsiva"/>
          <w:color w:val="auto"/>
          <w:sz w:val="36"/>
          <w:szCs w:val="36"/>
        </w:rPr>
      </w:pPr>
      <w:r w:rsidRPr="00DF203C">
        <w:rPr>
          <w:rFonts w:ascii="Monotype Corsiva" w:hAnsi="Monotype Corsiva"/>
          <w:color w:val="auto"/>
          <w:sz w:val="36"/>
          <w:szCs w:val="36"/>
        </w:rPr>
        <w:t>Heidi Cruickshank</w:t>
      </w:r>
    </w:p>
    <w:p w14:paraId="090A71E6" w14:textId="0C8B9A39" w:rsidR="00052B85" w:rsidRPr="00DF203C" w:rsidRDefault="002D4258" w:rsidP="00C13EE1">
      <w:pPr>
        <w:pStyle w:val="Style1"/>
        <w:numPr>
          <w:ilvl w:val="0"/>
          <w:numId w:val="0"/>
        </w:numPr>
        <w:spacing w:before="120"/>
        <w:jc w:val="both"/>
        <w:rPr>
          <w:b/>
          <w:color w:val="auto"/>
        </w:rPr>
      </w:pPr>
      <w:r w:rsidRPr="00DF203C">
        <w:rPr>
          <w:b/>
          <w:color w:val="auto"/>
        </w:rPr>
        <w:t>Inspector</w:t>
      </w:r>
    </w:p>
    <w:sectPr w:rsidR="00052B85" w:rsidRPr="00DF203C" w:rsidSect="007D1FC7">
      <w:headerReference w:type="default" r:id="rId10"/>
      <w:footerReference w:type="even" r:id="rId11"/>
      <w:footerReference w:type="default" r:id="rId12"/>
      <w:headerReference w:type="first" r:id="rId13"/>
      <w:footerReference w:type="first" r:id="rId14"/>
      <w:pgSz w:w="11906" w:h="16838" w:code="9"/>
      <w:pgMar w:top="680" w:right="1077" w:bottom="1276" w:left="1418"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F87A" w14:textId="77777777" w:rsidR="00A33FFB" w:rsidRDefault="00A33FFB" w:rsidP="00F62916">
      <w:r>
        <w:separator/>
      </w:r>
    </w:p>
  </w:endnote>
  <w:endnote w:type="continuationSeparator" w:id="0">
    <w:p w14:paraId="5DE84F38" w14:textId="77777777" w:rsidR="00A33FFB" w:rsidRDefault="00A33FFB"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296A"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D9C1A"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FC68"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0A9CF6F" wp14:editId="3582C66A">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49B63"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7A3BFC24" w14:textId="2F7B5463" w:rsidR="00366F95" w:rsidRPr="00E45340" w:rsidRDefault="00D11B30" w:rsidP="00E45340">
    <w:pPr>
      <w:pStyle w:val="Footer"/>
      <w:ind w:right="-52"/>
      <w:rPr>
        <w:sz w:val="16"/>
        <w:szCs w:val="16"/>
      </w:rPr>
    </w:pPr>
    <w:hyperlink r:id="rId1" w:history="1">
      <w:r w:rsidR="004F274A" w:rsidRPr="00026922">
        <w:rPr>
          <w:rStyle w:val="Hyperlink"/>
          <w:sz w:val="16"/>
          <w:szCs w:val="16"/>
        </w:rPr>
        <w:t>https://www.gov.uk/planning-inspectorate</w:t>
      </w:r>
    </w:hyperlink>
    <w:r w:rsidR="00746E6C">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01FB" w14:textId="77777777" w:rsidR="00366F95" w:rsidRDefault="00366F95" w:rsidP="00F86618">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FF7A3B4" wp14:editId="7502A7DF">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8BDF5"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76D6CFC0" w14:textId="77777777" w:rsidR="00366F95" w:rsidRPr="00451EE4" w:rsidRDefault="00D11B30">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287AD" w14:textId="77777777" w:rsidR="00A33FFB" w:rsidRDefault="00A33FFB" w:rsidP="00F62916">
      <w:r>
        <w:separator/>
      </w:r>
    </w:p>
  </w:footnote>
  <w:footnote w:type="continuationSeparator" w:id="0">
    <w:p w14:paraId="749445FA" w14:textId="77777777" w:rsidR="00A33FFB" w:rsidRDefault="00A33FFB" w:rsidP="00F62916">
      <w:r>
        <w:continuationSeparator/>
      </w:r>
    </w:p>
  </w:footnote>
  <w:footnote w:id="1">
    <w:p w14:paraId="44D010CF" w14:textId="32AEDA6B" w:rsidR="00492DFC" w:rsidRDefault="00492DFC">
      <w:pPr>
        <w:pStyle w:val="FootnoteText"/>
      </w:pPr>
      <w:r>
        <w:rPr>
          <w:rStyle w:val="FootnoteReference"/>
        </w:rPr>
        <w:footnoteRef/>
      </w:r>
      <w:r>
        <w:t xml:space="preserve"> Subject to modification of the draft Order</w:t>
      </w:r>
    </w:p>
  </w:footnote>
  <w:footnote w:id="2">
    <w:p w14:paraId="02D5DA48" w14:textId="4D63EAA1" w:rsidR="009569A0" w:rsidRDefault="009569A0">
      <w:pPr>
        <w:pStyle w:val="FootnoteText"/>
      </w:pPr>
      <w:r>
        <w:rPr>
          <w:rStyle w:val="FootnoteReference"/>
        </w:rPr>
        <w:footnoteRef/>
      </w:r>
      <w:r>
        <w:t xml:space="preserve"> </w:t>
      </w:r>
      <w:r w:rsidRPr="00D76407">
        <w:t xml:space="preserve">Inquiry </w:t>
      </w:r>
      <w:r w:rsidR="00333B3C">
        <w:t>D</w:t>
      </w:r>
      <w:r w:rsidRPr="00D76407">
        <w:t>ocument</w:t>
      </w:r>
      <w:r w:rsidR="00A6281F" w:rsidRPr="00D76407">
        <w:t xml:space="preserve"> </w:t>
      </w:r>
      <w:r w:rsidR="00333B3C">
        <w:t xml:space="preserve">number </w:t>
      </w:r>
      <w:r w:rsidR="00AB2786">
        <w:t>4</w:t>
      </w:r>
      <w:r w:rsidR="00485966">
        <w:t>2</w:t>
      </w:r>
    </w:p>
  </w:footnote>
  <w:footnote w:id="3">
    <w:p w14:paraId="10302302" w14:textId="2D4B16D9" w:rsidR="007D587F" w:rsidRDefault="007D587F">
      <w:pPr>
        <w:pStyle w:val="FootnoteText"/>
      </w:pPr>
      <w:r w:rsidRPr="00452054">
        <w:rPr>
          <w:rStyle w:val="FootnoteReference"/>
        </w:rPr>
        <w:footnoteRef/>
      </w:r>
      <w:r w:rsidRPr="00452054">
        <w:t xml:space="preserve"> Inquiry Document </w:t>
      </w:r>
      <w:r w:rsidR="00333B3C">
        <w:t>n</w:t>
      </w:r>
      <w:r w:rsidRPr="00452054">
        <w:t xml:space="preserve">umber </w:t>
      </w:r>
      <w:r w:rsidR="00452054">
        <w:t>3</w:t>
      </w:r>
      <w:r w:rsidR="00C1671B">
        <w:t>7</w:t>
      </w:r>
    </w:p>
  </w:footnote>
  <w:footnote w:id="4">
    <w:p w14:paraId="533D9D7D" w14:textId="0AE55EE6" w:rsidR="004E77BC" w:rsidRDefault="004E77BC">
      <w:pPr>
        <w:pStyle w:val="FootnoteText"/>
      </w:pPr>
      <w:r>
        <w:rPr>
          <w:rStyle w:val="FootnoteReference"/>
        </w:rPr>
        <w:footnoteRef/>
      </w:r>
      <w:r>
        <w:t xml:space="preserve"> </w:t>
      </w:r>
      <w:r w:rsidR="00A6281F">
        <w:t>That is</w:t>
      </w:r>
      <w:r w:rsidRPr="00A6281F">
        <w:t xml:space="preserve"> the consideration of alternative safety mitigation options and </w:t>
      </w:r>
      <w:r w:rsidR="00A6281F">
        <w:t>t</w:t>
      </w:r>
      <w:r w:rsidRPr="00A6281F">
        <w:t>he comparison with</w:t>
      </w:r>
      <w:r w:rsidR="00A6281F">
        <w:t xml:space="preserve"> </w:t>
      </w:r>
      <w:r w:rsidRPr="00A6281F">
        <w:t xml:space="preserve">Moor Farm </w:t>
      </w:r>
      <w:r w:rsidR="00A6281F">
        <w:t>crossing</w:t>
      </w:r>
      <w:r w:rsidRPr="00A6281F">
        <w:t>.</w:t>
      </w:r>
      <w:r>
        <w:rPr>
          <w:sz w:val="20"/>
        </w:rPr>
        <w:t xml:space="preserve"> </w:t>
      </w:r>
      <w:r>
        <w:t xml:space="preserve"> </w:t>
      </w:r>
    </w:p>
  </w:footnote>
  <w:footnote w:id="5">
    <w:p w14:paraId="30DE2DBE" w14:textId="1AC8D8D3" w:rsidR="00D8797F" w:rsidRPr="00592591" w:rsidRDefault="00D8797F">
      <w:pPr>
        <w:pStyle w:val="FootnoteText"/>
      </w:pPr>
      <w:r w:rsidRPr="00592591">
        <w:rPr>
          <w:rStyle w:val="FootnoteReference"/>
        </w:rPr>
        <w:footnoteRef/>
      </w:r>
      <w:r w:rsidRPr="00592591">
        <w:t xml:space="preserve"> Inquiry Document </w:t>
      </w:r>
      <w:r w:rsidR="00333B3C" w:rsidRPr="00592591">
        <w:t>n</w:t>
      </w:r>
      <w:r w:rsidRPr="00592591">
        <w:t xml:space="preserve">umber </w:t>
      </w:r>
      <w:r w:rsidR="00592591">
        <w:t>9</w:t>
      </w:r>
    </w:p>
  </w:footnote>
  <w:footnote w:id="6">
    <w:p w14:paraId="2BB62BD8" w14:textId="7F855402" w:rsidR="00F71B07" w:rsidRDefault="00F71B07">
      <w:pPr>
        <w:pStyle w:val="FootnoteText"/>
      </w:pPr>
      <w:r w:rsidRPr="00592591">
        <w:rPr>
          <w:rStyle w:val="FootnoteReference"/>
        </w:rPr>
        <w:footnoteRef/>
      </w:r>
      <w:r w:rsidRPr="00592591">
        <w:t xml:space="preserve"> Inquiry Document </w:t>
      </w:r>
      <w:r w:rsidR="00333B3C" w:rsidRPr="00592591">
        <w:t>n</w:t>
      </w:r>
      <w:r w:rsidRPr="00592591">
        <w:t>umber</w:t>
      </w:r>
      <w:r w:rsidR="00592591">
        <w:t xml:space="preserve"> </w:t>
      </w:r>
      <w:r w:rsidR="00D64116">
        <w:t>39</w:t>
      </w:r>
    </w:p>
  </w:footnote>
  <w:footnote w:id="7">
    <w:p w14:paraId="244C0636" w14:textId="197CC94D" w:rsidR="007A0063" w:rsidRDefault="007A0063">
      <w:pPr>
        <w:pStyle w:val="FootnoteText"/>
      </w:pPr>
      <w:r>
        <w:rPr>
          <w:rStyle w:val="FootnoteReference"/>
        </w:rPr>
        <w:footnoteRef/>
      </w:r>
      <w:r>
        <w:t xml:space="preserve"> </w:t>
      </w:r>
      <w:r w:rsidR="006326E4">
        <w:t xml:space="preserve">By reference to the </w:t>
      </w:r>
      <w:r w:rsidR="006326E4" w:rsidRPr="006326E4">
        <w:t>June 2015 RSSB document, Research into the causes of pedestrian accidents at level crossings and potential solutions</w:t>
      </w:r>
    </w:p>
  </w:footnote>
  <w:footnote w:id="8">
    <w:p w14:paraId="258943E0" w14:textId="1E3CDD92" w:rsidR="00490D25" w:rsidRDefault="00490D25">
      <w:pPr>
        <w:pStyle w:val="FootnoteText"/>
      </w:pPr>
      <w:r>
        <w:rPr>
          <w:rStyle w:val="FootnoteReference"/>
        </w:rPr>
        <w:footnoteRef/>
      </w:r>
      <w:r>
        <w:t xml:space="preserve"> </w:t>
      </w:r>
      <w:bookmarkStart w:id="1" w:name="_Hlk77344665"/>
      <w:r w:rsidRPr="00592591">
        <w:t xml:space="preserve">Inquiry Document </w:t>
      </w:r>
      <w:r w:rsidR="00592591" w:rsidRPr="00592591">
        <w:t>n</w:t>
      </w:r>
      <w:r w:rsidRPr="00592591">
        <w:t xml:space="preserve">umber </w:t>
      </w:r>
      <w:bookmarkEnd w:id="1"/>
      <w:r w:rsidR="00592591">
        <w:t>16</w:t>
      </w:r>
    </w:p>
  </w:footnote>
  <w:footnote w:id="9">
    <w:p w14:paraId="71EBF356" w14:textId="77777777" w:rsidR="00456B6A" w:rsidRDefault="00456B6A" w:rsidP="00456B6A">
      <w:pPr>
        <w:pStyle w:val="FootnoteText"/>
      </w:pPr>
      <w:r>
        <w:rPr>
          <w:rStyle w:val="FootnoteReference"/>
        </w:rPr>
        <w:footnoteRef/>
      </w:r>
      <w:r>
        <w:t xml:space="preserve"> Inquiry document numbers 13 &amp; 14</w:t>
      </w:r>
    </w:p>
  </w:footnote>
  <w:footnote w:id="10">
    <w:p w14:paraId="03E75725" w14:textId="71A85080" w:rsidR="00AE64BF" w:rsidRDefault="00AE64BF">
      <w:pPr>
        <w:pStyle w:val="FootnoteText"/>
      </w:pPr>
      <w:r>
        <w:rPr>
          <w:rStyle w:val="FootnoteReference"/>
        </w:rPr>
        <w:footnoteRef/>
      </w:r>
      <w:r>
        <w:t xml:space="preserve"> Inquiry Document number </w:t>
      </w:r>
      <w:r w:rsidR="00F232DA">
        <w:t>39</w:t>
      </w:r>
    </w:p>
  </w:footnote>
  <w:footnote w:id="11">
    <w:p w14:paraId="7EA63151" w14:textId="3C87F525" w:rsidR="00EA0F2C" w:rsidRDefault="00EA0F2C">
      <w:pPr>
        <w:pStyle w:val="FootnoteText"/>
      </w:pPr>
      <w:r w:rsidRPr="00240A3D">
        <w:rPr>
          <w:rStyle w:val="FootnoteReference"/>
        </w:rPr>
        <w:footnoteRef/>
      </w:r>
      <w:r w:rsidRPr="00240A3D">
        <w:t xml:space="preserve"> Inquiry Document </w:t>
      </w:r>
      <w:r w:rsidR="00240A3D">
        <w:t>n</w:t>
      </w:r>
      <w:r w:rsidRPr="00240A3D">
        <w:t>umber</w:t>
      </w:r>
      <w:r w:rsidR="00240A3D">
        <w:t xml:space="preserve"> 9</w:t>
      </w:r>
    </w:p>
  </w:footnote>
  <w:footnote w:id="12">
    <w:p w14:paraId="3507FFC5" w14:textId="717DDE88" w:rsidR="00AB59F9" w:rsidRDefault="00AB59F9">
      <w:pPr>
        <w:pStyle w:val="FootnoteText"/>
      </w:pPr>
      <w:r>
        <w:rPr>
          <w:rStyle w:val="FootnoteReference"/>
        </w:rPr>
        <w:footnoteRef/>
      </w:r>
      <w:r>
        <w:t xml:space="preserve"> Now the Spelthorne Joint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F86F60C" w14:textId="77777777">
      <w:tc>
        <w:tcPr>
          <w:tcW w:w="9520" w:type="dxa"/>
        </w:tcPr>
        <w:p w14:paraId="64ECE7D6" w14:textId="717CA494" w:rsidR="00366F95" w:rsidRDefault="00F86618">
          <w:pPr>
            <w:pStyle w:val="Footer"/>
          </w:pPr>
          <w:r>
            <w:t>Costs Decision</w:t>
          </w:r>
          <w:r w:rsidR="00CA220F">
            <w:t>:</w:t>
          </w:r>
          <w:r>
            <w:t xml:space="preserve"> </w:t>
          </w:r>
          <w:r w:rsidR="00CA220F">
            <w:t>ROW</w:t>
          </w:r>
          <w:r>
            <w:t>/</w:t>
          </w:r>
          <w:r w:rsidR="00CA220F">
            <w:t>3</w:t>
          </w:r>
          <w:r w:rsidR="00CF39B9">
            <w:t>207992</w:t>
          </w:r>
        </w:p>
      </w:tc>
    </w:tr>
  </w:tbl>
  <w:p w14:paraId="279A2D7C" w14:textId="77777777" w:rsidR="00366F95" w:rsidRDefault="00366F95" w:rsidP="00087477">
    <w:pPr>
      <w:pStyle w:val="Footer"/>
      <w:spacing w:after="180"/>
    </w:pPr>
    <w:r>
      <w:rPr>
        <w:noProof/>
      </w:rPr>
      <mc:AlternateContent>
        <mc:Choice Requires="wps">
          <w:drawing>
            <wp:anchor distT="0" distB="0" distL="114300" distR="114300" simplePos="0" relativeHeight="251681280" behindDoc="0" locked="0" layoutInCell="1" allowOverlap="1" wp14:anchorId="71D77847" wp14:editId="26BCD6A2">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17B33" id="Line 14" o:spid="_x0000_s1026" alt="&quot;&quot;"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6505"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0ED11590"/>
    <w:multiLevelType w:val="hybridMultilevel"/>
    <w:tmpl w:val="F20A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4807BCD"/>
    <w:multiLevelType w:val="hybridMultilevel"/>
    <w:tmpl w:val="5A8065B0"/>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7" w15:restartNumberingAfterBreak="0">
    <w:nsid w:val="5AE66E18"/>
    <w:multiLevelType w:val="hybridMultilevel"/>
    <w:tmpl w:val="1FA69826"/>
    <w:lvl w:ilvl="0" w:tplc="2C807A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9"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1" w15:restartNumberingAfterBreak="0">
    <w:nsid w:val="65B7639F"/>
    <w:multiLevelType w:val="multilevel"/>
    <w:tmpl w:val="A22611FC"/>
    <w:numStyleLink w:val="ConditionsList"/>
  </w:abstractNum>
  <w:abstractNum w:abstractNumId="22"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3" w15:restartNumberingAfterBreak="0">
    <w:nsid w:val="734441B3"/>
    <w:multiLevelType w:val="hybridMultilevel"/>
    <w:tmpl w:val="0B54D33A"/>
    <w:lvl w:ilvl="0" w:tplc="08090019">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4"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20"/>
  </w:num>
  <w:num w:numId="3">
    <w:abstractNumId w:val="22"/>
  </w:num>
  <w:num w:numId="4">
    <w:abstractNumId w:val="0"/>
  </w:num>
  <w:num w:numId="5">
    <w:abstractNumId w:val="9"/>
  </w:num>
  <w:num w:numId="6">
    <w:abstractNumId w:val="19"/>
  </w:num>
  <w:num w:numId="7">
    <w:abstractNumId w:val="24"/>
  </w:num>
  <w:num w:numId="8">
    <w:abstractNumId w:val="18"/>
  </w:num>
  <w:num w:numId="9">
    <w:abstractNumId w:val="4"/>
  </w:num>
  <w:num w:numId="10">
    <w:abstractNumId w:val="5"/>
  </w:num>
  <w:num w:numId="11">
    <w:abstractNumId w:val="12"/>
  </w:num>
  <w:num w:numId="12">
    <w:abstractNumId w:val="13"/>
  </w:num>
  <w:num w:numId="13">
    <w:abstractNumId w:val="8"/>
  </w:num>
  <w:num w:numId="14">
    <w:abstractNumId w:val="11"/>
  </w:num>
  <w:num w:numId="15">
    <w:abstractNumId w:val="14"/>
  </w:num>
  <w:num w:numId="16">
    <w:abstractNumId w:val="1"/>
  </w:num>
  <w:num w:numId="17">
    <w:abstractNumId w:val="15"/>
  </w:num>
  <w:num w:numId="18">
    <w:abstractNumId w:val="6"/>
  </w:num>
  <w:num w:numId="19">
    <w:abstractNumId w:val="3"/>
  </w:num>
  <w:num w:numId="20">
    <w:abstractNumId w:val="7"/>
  </w:num>
  <w:num w:numId="21">
    <w:abstractNumId w:val="10"/>
  </w:num>
  <w:num w:numId="22">
    <w:abstractNumId w:val="10"/>
  </w:num>
  <w:num w:numId="23">
    <w:abstractNumId w:val="21"/>
  </w:num>
  <w:num w:numId="24">
    <w:abstractNumId w:val="22"/>
  </w:num>
  <w:num w:numId="25">
    <w:abstractNumId w:val="10"/>
  </w:num>
  <w:num w:numId="26">
    <w:abstractNumId w:val="10"/>
  </w:num>
  <w:num w:numId="27">
    <w:abstractNumId w:val="10"/>
  </w:num>
  <w:num w:numId="28">
    <w:abstractNumId w:val="10"/>
  </w:num>
  <w:num w:numId="29">
    <w:abstractNumId w:val="2"/>
  </w:num>
  <w:num w:numId="30">
    <w:abstractNumId w:val="10"/>
  </w:num>
  <w:num w:numId="31">
    <w:abstractNumId w:val="23"/>
  </w:num>
  <w:num w:numId="32">
    <w:abstractNumId w:val="17"/>
  </w:num>
  <w:num w:numId="33">
    <w:abstractNumId w:val="10"/>
  </w:num>
  <w:num w:numId="34">
    <w:abstractNumId w:val="10"/>
  </w:num>
  <w:num w:numId="35">
    <w:abstractNumId w:val="10"/>
  </w:num>
  <w:num w:numId="36">
    <w:abstractNumId w:val="10"/>
  </w:num>
  <w:num w:numId="37">
    <w:abstractNumId w:val="16"/>
  </w:num>
  <w:num w:numId="38">
    <w:abstractNumId w:val="10"/>
  </w:num>
  <w:num w:numId="39">
    <w:abstractNumId w:val="10"/>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86618"/>
    <w:rsid w:val="0000335F"/>
    <w:rsid w:val="000065AF"/>
    <w:rsid w:val="0000732F"/>
    <w:rsid w:val="000117BF"/>
    <w:rsid w:val="00012B06"/>
    <w:rsid w:val="00015CA8"/>
    <w:rsid w:val="00017720"/>
    <w:rsid w:val="00017833"/>
    <w:rsid w:val="0002279F"/>
    <w:rsid w:val="00024500"/>
    <w:rsid w:val="000247B2"/>
    <w:rsid w:val="00032923"/>
    <w:rsid w:val="00033857"/>
    <w:rsid w:val="00033EC2"/>
    <w:rsid w:val="0004113D"/>
    <w:rsid w:val="00041A8D"/>
    <w:rsid w:val="00044102"/>
    <w:rsid w:val="00044799"/>
    <w:rsid w:val="00046145"/>
    <w:rsid w:val="0004625F"/>
    <w:rsid w:val="00046F5F"/>
    <w:rsid w:val="00047F0D"/>
    <w:rsid w:val="0005182D"/>
    <w:rsid w:val="00052176"/>
    <w:rsid w:val="00052B85"/>
    <w:rsid w:val="00053135"/>
    <w:rsid w:val="00061AA8"/>
    <w:rsid w:val="00066D0D"/>
    <w:rsid w:val="0006757E"/>
    <w:rsid w:val="0007390E"/>
    <w:rsid w:val="00074DD4"/>
    <w:rsid w:val="0007637A"/>
    <w:rsid w:val="00077358"/>
    <w:rsid w:val="00080055"/>
    <w:rsid w:val="00082EE3"/>
    <w:rsid w:val="000871B5"/>
    <w:rsid w:val="00087477"/>
    <w:rsid w:val="00087DEC"/>
    <w:rsid w:val="0009036E"/>
    <w:rsid w:val="0009453B"/>
    <w:rsid w:val="00094A44"/>
    <w:rsid w:val="000A00F3"/>
    <w:rsid w:val="000A4AEB"/>
    <w:rsid w:val="000A5F34"/>
    <w:rsid w:val="000A64AE"/>
    <w:rsid w:val="000B02BC"/>
    <w:rsid w:val="000B0388"/>
    <w:rsid w:val="000B0589"/>
    <w:rsid w:val="000B1C1D"/>
    <w:rsid w:val="000B3995"/>
    <w:rsid w:val="000B3ACC"/>
    <w:rsid w:val="000B3BF7"/>
    <w:rsid w:val="000B4F20"/>
    <w:rsid w:val="000B6E6D"/>
    <w:rsid w:val="000C0515"/>
    <w:rsid w:val="000C1AE9"/>
    <w:rsid w:val="000C365E"/>
    <w:rsid w:val="000C3F13"/>
    <w:rsid w:val="000C4D08"/>
    <w:rsid w:val="000C5098"/>
    <w:rsid w:val="000C698E"/>
    <w:rsid w:val="000D0673"/>
    <w:rsid w:val="000D07A8"/>
    <w:rsid w:val="000D0994"/>
    <w:rsid w:val="000D15EC"/>
    <w:rsid w:val="000D3A2C"/>
    <w:rsid w:val="000E08A5"/>
    <w:rsid w:val="000E0F2E"/>
    <w:rsid w:val="000E23E1"/>
    <w:rsid w:val="000E57C1"/>
    <w:rsid w:val="000E5ECA"/>
    <w:rsid w:val="000E68FD"/>
    <w:rsid w:val="000E7666"/>
    <w:rsid w:val="000F0C69"/>
    <w:rsid w:val="000F16F4"/>
    <w:rsid w:val="000F37CA"/>
    <w:rsid w:val="000F6EC2"/>
    <w:rsid w:val="001000CB"/>
    <w:rsid w:val="00100267"/>
    <w:rsid w:val="00103A73"/>
    <w:rsid w:val="00104144"/>
    <w:rsid w:val="00104D93"/>
    <w:rsid w:val="00110A25"/>
    <w:rsid w:val="00110D63"/>
    <w:rsid w:val="00110E12"/>
    <w:rsid w:val="00112B35"/>
    <w:rsid w:val="00112C39"/>
    <w:rsid w:val="001158A2"/>
    <w:rsid w:val="00120447"/>
    <w:rsid w:val="00120776"/>
    <w:rsid w:val="00125CAB"/>
    <w:rsid w:val="0013022B"/>
    <w:rsid w:val="001343FD"/>
    <w:rsid w:val="00136AF8"/>
    <w:rsid w:val="00136C8D"/>
    <w:rsid w:val="00140C2F"/>
    <w:rsid w:val="001440C3"/>
    <w:rsid w:val="00144156"/>
    <w:rsid w:val="001442E0"/>
    <w:rsid w:val="001451A1"/>
    <w:rsid w:val="00150290"/>
    <w:rsid w:val="00152C92"/>
    <w:rsid w:val="00154FCC"/>
    <w:rsid w:val="001552E1"/>
    <w:rsid w:val="00161B5C"/>
    <w:rsid w:val="001631CE"/>
    <w:rsid w:val="0016367F"/>
    <w:rsid w:val="0016412C"/>
    <w:rsid w:val="00164906"/>
    <w:rsid w:val="0017077B"/>
    <w:rsid w:val="00170D8F"/>
    <w:rsid w:val="00171B15"/>
    <w:rsid w:val="00174AD4"/>
    <w:rsid w:val="00176D1E"/>
    <w:rsid w:val="0017718B"/>
    <w:rsid w:val="00180AF6"/>
    <w:rsid w:val="00186BC2"/>
    <w:rsid w:val="00186D1A"/>
    <w:rsid w:val="00196209"/>
    <w:rsid w:val="00197B5B"/>
    <w:rsid w:val="001A134F"/>
    <w:rsid w:val="001A3FCD"/>
    <w:rsid w:val="001B37BF"/>
    <w:rsid w:val="001B40F6"/>
    <w:rsid w:val="001B547C"/>
    <w:rsid w:val="001B6BF4"/>
    <w:rsid w:val="001C0E11"/>
    <w:rsid w:val="001C0E2A"/>
    <w:rsid w:val="001C1604"/>
    <w:rsid w:val="001C2079"/>
    <w:rsid w:val="001C6836"/>
    <w:rsid w:val="001D13EA"/>
    <w:rsid w:val="001D69B3"/>
    <w:rsid w:val="001E10A2"/>
    <w:rsid w:val="001E1A71"/>
    <w:rsid w:val="001E67A6"/>
    <w:rsid w:val="001E6853"/>
    <w:rsid w:val="001F0093"/>
    <w:rsid w:val="001F4C6A"/>
    <w:rsid w:val="001F5990"/>
    <w:rsid w:val="001F5E7F"/>
    <w:rsid w:val="00201167"/>
    <w:rsid w:val="00204B1F"/>
    <w:rsid w:val="00204E83"/>
    <w:rsid w:val="00207816"/>
    <w:rsid w:val="00212C8F"/>
    <w:rsid w:val="00216BB9"/>
    <w:rsid w:val="0022160D"/>
    <w:rsid w:val="00224562"/>
    <w:rsid w:val="002252EA"/>
    <w:rsid w:val="00225544"/>
    <w:rsid w:val="00227AA6"/>
    <w:rsid w:val="00240128"/>
    <w:rsid w:val="00240A3D"/>
    <w:rsid w:val="00240B13"/>
    <w:rsid w:val="00240F17"/>
    <w:rsid w:val="0024176E"/>
    <w:rsid w:val="0024295A"/>
    <w:rsid w:val="00242A5E"/>
    <w:rsid w:val="00244081"/>
    <w:rsid w:val="00244440"/>
    <w:rsid w:val="00245D1E"/>
    <w:rsid w:val="00250FAC"/>
    <w:rsid w:val="00255745"/>
    <w:rsid w:val="00273DD7"/>
    <w:rsid w:val="002749AE"/>
    <w:rsid w:val="00274B12"/>
    <w:rsid w:val="00276A05"/>
    <w:rsid w:val="002770DB"/>
    <w:rsid w:val="002779F9"/>
    <w:rsid w:val="002819AB"/>
    <w:rsid w:val="0028234F"/>
    <w:rsid w:val="00282FE2"/>
    <w:rsid w:val="00283B47"/>
    <w:rsid w:val="002862B0"/>
    <w:rsid w:val="00292D56"/>
    <w:rsid w:val="002958D9"/>
    <w:rsid w:val="00295FA2"/>
    <w:rsid w:val="002A0742"/>
    <w:rsid w:val="002A1711"/>
    <w:rsid w:val="002A2E3D"/>
    <w:rsid w:val="002A4F2A"/>
    <w:rsid w:val="002A6663"/>
    <w:rsid w:val="002A6ECD"/>
    <w:rsid w:val="002B54B3"/>
    <w:rsid w:val="002B5A3A"/>
    <w:rsid w:val="002B7D15"/>
    <w:rsid w:val="002C068A"/>
    <w:rsid w:val="002C1AD8"/>
    <w:rsid w:val="002C2524"/>
    <w:rsid w:val="002C2800"/>
    <w:rsid w:val="002C3F6D"/>
    <w:rsid w:val="002C45C2"/>
    <w:rsid w:val="002C4A37"/>
    <w:rsid w:val="002C537F"/>
    <w:rsid w:val="002C6369"/>
    <w:rsid w:val="002D0120"/>
    <w:rsid w:val="002D128D"/>
    <w:rsid w:val="002D4258"/>
    <w:rsid w:val="002D5A7C"/>
    <w:rsid w:val="002E3E8F"/>
    <w:rsid w:val="002E60F8"/>
    <w:rsid w:val="002F0708"/>
    <w:rsid w:val="002F1C8C"/>
    <w:rsid w:val="00300291"/>
    <w:rsid w:val="00301847"/>
    <w:rsid w:val="00301CB6"/>
    <w:rsid w:val="00303B10"/>
    <w:rsid w:val="00303CA5"/>
    <w:rsid w:val="0030500E"/>
    <w:rsid w:val="00306301"/>
    <w:rsid w:val="00316A27"/>
    <w:rsid w:val="00316EAF"/>
    <w:rsid w:val="003206FD"/>
    <w:rsid w:val="00330B88"/>
    <w:rsid w:val="00331978"/>
    <w:rsid w:val="00333B3C"/>
    <w:rsid w:val="0033419E"/>
    <w:rsid w:val="00336C28"/>
    <w:rsid w:val="003423FB"/>
    <w:rsid w:val="00343A1F"/>
    <w:rsid w:val="00344294"/>
    <w:rsid w:val="00344CD1"/>
    <w:rsid w:val="003460F3"/>
    <w:rsid w:val="00355FCC"/>
    <w:rsid w:val="00360664"/>
    <w:rsid w:val="00361890"/>
    <w:rsid w:val="003623C2"/>
    <w:rsid w:val="00364E17"/>
    <w:rsid w:val="00366F95"/>
    <w:rsid w:val="00370770"/>
    <w:rsid w:val="00370FE4"/>
    <w:rsid w:val="00373C26"/>
    <w:rsid w:val="00374CFA"/>
    <w:rsid w:val="00374E0C"/>
    <w:rsid w:val="003751B1"/>
    <w:rsid w:val="003753FE"/>
    <w:rsid w:val="00376995"/>
    <w:rsid w:val="003772C1"/>
    <w:rsid w:val="0037752F"/>
    <w:rsid w:val="00384C55"/>
    <w:rsid w:val="003866CB"/>
    <w:rsid w:val="00391AC8"/>
    <w:rsid w:val="003941CF"/>
    <w:rsid w:val="00397E33"/>
    <w:rsid w:val="003A1602"/>
    <w:rsid w:val="003A2CED"/>
    <w:rsid w:val="003A36FC"/>
    <w:rsid w:val="003B1107"/>
    <w:rsid w:val="003B2561"/>
    <w:rsid w:val="003B2FE6"/>
    <w:rsid w:val="003B3CDE"/>
    <w:rsid w:val="003B4CBE"/>
    <w:rsid w:val="003B6216"/>
    <w:rsid w:val="003C71A5"/>
    <w:rsid w:val="003C7F80"/>
    <w:rsid w:val="003D0EB8"/>
    <w:rsid w:val="003D1D4A"/>
    <w:rsid w:val="003D2204"/>
    <w:rsid w:val="003D3715"/>
    <w:rsid w:val="003E09EF"/>
    <w:rsid w:val="003E240C"/>
    <w:rsid w:val="003E41DC"/>
    <w:rsid w:val="003E54CC"/>
    <w:rsid w:val="003F2B98"/>
    <w:rsid w:val="003F3533"/>
    <w:rsid w:val="003F7DFB"/>
    <w:rsid w:val="004029F3"/>
    <w:rsid w:val="004069B4"/>
    <w:rsid w:val="004100E1"/>
    <w:rsid w:val="0041011E"/>
    <w:rsid w:val="00411CA9"/>
    <w:rsid w:val="004125FD"/>
    <w:rsid w:val="00412A35"/>
    <w:rsid w:val="00414130"/>
    <w:rsid w:val="004156F0"/>
    <w:rsid w:val="0041577F"/>
    <w:rsid w:val="00416C3C"/>
    <w:rsid w:val="00416EE7"/>
    <w:rsid w:val="00416F9A"/>
    <w:rsid w:val="00422112"/>
    <w:rsid w:val="004231E7"/>
    <w:rsid w:val="00423B65"/>
    <w:rsid w:val="00424CAB"/>
    <w:rsid w:val="00425567"/>
    <w:rsid w:val="00425F80"/>
    <w:rsid w:val="00430DA0"/>
    <w:rsid w:val="00434739"/>
    <w:rsid w:val="004474DE"/>
    <w:rsid w:val="00451A71"/>
    <w:rsid w:val="00451EE4"/>
    <w:rsid w:val="00452054"/>
    <w:rsid w:val="004522C1"/>
    <w:rsid w:val="00453E15"/>
    <w:rsid w:val="00455592"/>
    <w:rsid w:val="00455FE5"/>
    <w:rsid w:val="00456B6A"/>
    <w:rsid w:val="0047032D"/>
    <w:rsid w:val="00470B1A"/>
    <w:rsid w:val="00470BB2"/>
    <w:rsid w:val="0047467B"/>
    <w:rsid w:val="00474F38"/>
    <w:rsid w:val="00475811"/>
    <w:rsid w:val="0047718B"/>
    <w:rsid w:val="0048041A"/>
    <w:rsid w:val="00480BE7"/>
    <w:rsid w:val="00483D15"/>
    <w:rsid w:val="00485966"/>
    <w:rsid w:val="004876A7"/>
    <w:rsid w:val="00490D25"/>
    <w:rsid w:val="00491A90"/>
    <w:rsid w:val="00492DFC"/>
    <w:rsid w:val="004976CF"/>
    <w:rsid w:val="004A12C2"/>
    <w:rsid w:val="004A2EB8"/>
    <w:rsid w:val="004B72C2"/>
    <w:rsid w:val="004C07CB"/>
    <w:rsid w:val="004C5F89"/>
    <w:rsid w:val="004C75B4"/>
    <w:rsid w:val="004C784F"/>
    <w:rsid w:val="004D2638"/>
    <w:rsid w:val="004D2879"/>
    <w:rsid w:val="004D5E99"/>
    <w:rsid w:val="004D76C2"/>
    <w:rsid w:val="004E04E0"/>
    <w:rsid w:val="004E0847"/>
    <w:rsid w:val="004E0ECF"/>
    <w:rsid w:val="004E17CB"/>
    <w:rsid w:val="004E2B2F"/>
    <w:rsid w:val="004E48EA"/>
    <w:rsid w:val="004E6091"/>
    <w:rsid w:val="004E77BC"/>
    <w:rsid w:val="004E7941"/>
    <w:rsid w:val="004F274A"/>
    <w:rsid w:val="004F3717"/>
    <w:rsid w:val="004F4CA1"/>
    <w:rsid w:val="004F61B7"/>
    <w:rsid w:val="004F6FE1"/>
    <w:rsid w:val="004F78A9"/>
    <w:rsid w:val="00501828"/>
    <w:rsid w:val="00503749"/>
    <w:rsid w:val="00506851"/>
    <w:rsid w:val="00510263"/>
    <w:rsid w:val="00512AF0"/>
    <w:rsid w:val="005174AC"/>
    <w:rsid w:val="00521013"/>
    <w:rsid w:val="0052347F"/>
    <w:rsid w:val="00523706"/>
    <w:rsid w:val="00524492"/>
    <w:rsid w:val="00527D08"/>
    <w:rsid w:val="005325FF"/>
    <w:rsid w:val="00534287"/>
    <w:rsid w:val="0053645A"/>
    <w:rsid w:val="0053730E"/>
    <w:rsid w:val="00541734"/>
    <w:rsid w:val="00542B4C"/>
    <w:rsid w:val="005442B6"/>
    <w:rsid w:val="0054571D"/>
    <w:rsid w:val="005462F0"/>
    <w:rsid w:val="00553726"/>
    <w:rsid w:val="005549C9"/>
    <w:rsid w:val="005618B2"/>
    <w:rsid w:val="00561E69"/>
    <w:rsid w:val="00562291"/>
    <w:rsid w:val="00562D74"/>
    <w:rsid w:val="00562F07"/>
    <w:rsid w:val="0056634F"/>
    <w:rsid w:val="0057098A"/>
    <w:rsid w:val="005713AA"/>
    <w:rsid w:val="005718AF"/>
    <w:rsid w:val="00571FD4"/>
    <w:rsid w:val="00572879"/>
    <w:rsid w:val="0057471E"/>
    <w:rsid w:val="00574F9C"/>
    <w:rsid w:val="00577129"/>
    <w:rsid w:val="0057782A"/>
    <w:rsid w:val="0058098F"/>
    <w:rsid w:val="00580D94"/>
    <w:rsid w:val="00581A0E"/>
    <w:rsid w:val="0058688E"/>
    <w:rsid w:val="00587C0A"/>
    <w:rsid w:val="00591235"/>
    <w:rsid w:val="00592591"/>
    <w:rsid w:val="005A0799"/>
    <w:rsid w:val="005A181C"/>
    <w:rsid w:val="005A3317"/>
    <w:rsid w:val="005A3A64"/>
    <w:rsid w:val="005A48C7"/>
    <w:rsid w:val="005A49A3"/>
    <w:rsid w:val="005A4CF6"/>
    <w:rsid w:val="005A5326"/>
    <w:rsid w:val="005A5379"/>
    <w:rsid w:val="005A74C6"/>
    <w:rsid w:val="005B1FF5"/>
    <w:rsid w:val="005B23C7"/>
    <w:rsid w:val="005B33BD"/>
    <w:rsid w:val="005B68A6"/>
    <w:rsid w:val="005B7D2D"/>
    <w:rsid w:val="005C0554"/>
    <w:rsid w:val="005C05E6"/>
    <w:rsid w:val="005C1F22"/>
    <w:rsid w:val="005C3D2F"/>
    <w:rsid w:val="005C4C40"/>
    <w:rsid w:val="005D1437"/>
    <w:rsid w:val="005D1589"/>
    <w:rsid w:val="005D4725"/>
    <w:rsid w:val="005D739E"/>
    <w:rsid w:val="005E1007"/>
    <w:rsid w:val="005E34E1"/>
    <w:rsid w:val="005E34FF"/>
    <w:rsid w:val="005E3542"/>
    <w:rsid w:val="005E3978"/>
    <w:rsid w:val="005E3B27"/>
    <w:rsid w:val="005E4A73"/>
    <w:rsid w:val="005E52F9"/>
    <w:rsid w:val="005E6207"/>
    <w:rsid w:val="005F1261"/>
    <w:rsid w:val="005F288B"/>
    <w:rsid w:val="005F3434"/>
    <w:rsid w:val="00602315"/>
    <w:rsid w:val="0060259B"/>
    <w:rsid w:val="00603767"/>
    <w:rsid w:val="006052EF"/>
    <w:rsid w:val="006116F1"/>
    <w:rsid w:val="006117AD"/>
    <w:rsid w:val="00611A24"/>
    <w:rsid w:val="00612518"/>
    <w:rsid w:val="006127F0"/>
    <w:rsid w:val="00614E46"/>
    <w:rsid w:val="00615462"/>
    <w:rsid w:val="00616174"/>
    <w:rsid w:val="0061654B"/>
    <w:rsid w:val="00616556"/>
    <w:rsid w:val="00622C7A"/>
    <w:rsid w:val="006319E6"/>
    <w:rsid w:val="006326E4"/>
    <w:rsid w:val="006327C7"/>
    <w:rsid w:val="0063373D"/>
    <w:rsid w:val="00636E04"/>
    <w:rsid w:val="00640593"/>
    <w:rsid w:val="00640B13"/>
    <w:rsid w:val="00640F8B"/>
    <w:rsid w:val="0064261E"/>
    <w:rsid w:val="0064573E"/>
    <w:rsid w:val="006479C6"/>
    <w:rsid w:val="006533F6"/>
    <w:rsid w:val="00653491"/>
    <w:rsid w:val="006570CC"/>
    <w:rsid w:val="0065719B"/>
    <w:rsid w:val="00657E28"/>
    <w:rsid w:val="006606D1"/>
    <w:rsid w:val="0066322F"/>
    <w:rsid w:val="00665AC1"/>
    <w:rsid w:val="0066676C"/>
    <w:rsid w:val="00666774"/>
    <w:rsid w:val="006668DA"/>
    <w:rsid w:val="0067477F"/>
    <w:rsid w:val="00680878"/>
    <w:rsid w:val="00681108"/>
    <w:rsid w:val="006824B9"/>
    <w:rsid w:val="00683417"/>
    <w:rsid w:val="00683511"/>
    <w:rsid w:val="00683E09"/>
    <w:rsid w:val="00685A46"/>
    <w:rsid w:val="006906DE"/>
    <w:rsid w:val="00690F99"/>
    <w:rsid w:val="00695441"/>
    <w:rsid w:val="0069548A"/>
    <w:rsid w:val="0069559D"/>
    <w:rsid w:val="00696368"/>
    <w:rsid w:val="006A4EA0"/>
    <w:rsid w:val="006A5BB3"/>
    <w:rsid w:val="006A6324"/>
    <w:rsid w:val="006A6E56"/>
    <w:rsid w:val="006A6E9E"/>
    <w:rsid w:val="006A7B8B"/>
    <w:rsid w:val="006B7C16"/>
    <w:rsid w:val="006C0FD4"/>
    <w:rsid w:val="006C26E8"/>
    <w:rsid w:val="006C4C25"/>
    <w:rsid w:val="006C6D1A"/>
    <w:rsid w:val="006C7962"/>
    <w:rsid w:val="006D0353"/>
    <w:rsid w:val="006D1D3E"/>
    <w:rsid w:val="006D2842"/>
    <w:rsid w:val="006D33F5"/>
    <w:rsid w:val="006D5133"/>
    <w:rsid w:val="006D5AA0"/>
    <w:rsid w:val="006E1929"/>
    <w:rsid w:val="006E2757"/>
    <w:rsid w:val="006E4502"/>
    <w:rsid w:val="006E54FF"/>
    <w:rsid w:val="006F16D9"/>
    <w:rsid w:val="006F2D0A"/>
    <w:rsid w:val="006F2F23"/>
    <w:rsid w:val="006F6496"/>
    <w:rsid w:val="00701DDA"/>
    <w:rsid w:val="00701F68"/>
    <w:rsid w:val="00704126"/>
    <w:rsid w:val="00706511"/>
    <w:rsid w:val="00706A12"/>
    <w:rsid w:val="007108BA"/>
    <w:rsid w:val="0071545E"/>
    <w:rsid w:val="0071604A"/>
    <w:rsid w:val="00727055"/>
    <w:rsid w:val="00732C5B"/>
    <w:rsid w:val="0073364C"/>
    <w:rsid w:val="00735256"/>
    <w:rsid w:val="0073558A"/>
    <w:rsid w:val="007365C9"/>
    <w:rsid w:val="00743F16"/>
    <w:rsid w:val="007459E3"/>
    <w:rsid w:val="00746E6C"/>
    <w:rsid w:val="00747B99"/>
    <w:rsid w:val="00754C8E"/>
    <w:rsid w:val="0075721C"/>
    <w:rsid w:val="00760628"/>
    <w:rsid w:val="00764B3E"/>
    <w:rsid w:val="00765895"/>
    <w:rsid w:val="00782F7A"/>
    <w:rsid w:val="00784C5B"/>
    <w:rsid w:val="00785862"/>
    <w:rsid w:val="007872F8"/>
    <w:rsid w:val="007914FB"/>
    <w:rsid w:val="00791D02"/>
    <w:rsid w:val="0079420F"/>
    <w:rsid w:val="00795B34"/>
    <w:rsid w:val="00797584"/>
    <w:rsid w:val="007A0063"/>
    <w:rsid w:val="007A023B"/>
    <w:rsid w:val="007A0537"/>
    <w:rsid w:val="007A06BE"/>
    <w:rsid w:val="007A69BB"/>
    <w:rsid w:val="007B4C9B"/>
    <w:rsid w:val="007B5A27"/>
    <w:rsid w:val="007C1DBC"/>
    <w:rsid w:val="007C6791"/>
    <w:rsid w:val="007C6A34"/>
    <w:rsid w:val="007D10D0"/>
    <w:rsid w:val="007D1FC7"/>
    <w:rsid w:val="007D1FEF"/>
    <w:rsid w:val="007D2FDF"/>
    <w:rsid w:val="007D4B4E"/>
    <w:rsid w:val="007D587F"/>
    <w:rsid w:val="007D63FF"/>
    <w:rsid w:val="007D65B4"/>
    <w:rsid w:val="007E0B6E"/>
    <w:rsid w:val="007E0D39"/>
    <w:rsid w:val="007E628D"/>
    <w:rsid w:val="007F1352"/>
    <w:rsid w:val="007F18B2"/>
    <w:rsid w:val="007F3F10"/>
    <w:rsid w:val="007F59EB"/>
    <w:rsid w:val="007F7CC5"/>
    <w:rsid w:val="008029B3"/>
    <w:rsid w:val="00806F2A"/>
    <w:rsid w:val="00807DC7"/>
    <w:rsid w:val="008124F8"/>
    <w:rsid w:val="00814D7C"/>
    <w:rsid w:val="00820443"/>
    <w:rsid w:val="008215EA"/>
    <w:rsid w:val="00827937"/>
    <w:rsid w:val="00831DA5"/>
    <w:rsid w:val="00832063"/>
    <w:rsid w:val="00832EB5"/>
    <w:rsid w:val="00834368"/>
    <w:rsid w:val="00836136"/>
    <w:rsid w:val="00837249"/>
    <w:rsid w:val="0084099B"/>
    <w:rsid w:val="008411A4"/>
    <w:rsid w:val="00841457"/>
    <w:rsid w:val="00844E00"/>
    <w:rsid w:val="0084567F"/>
    <w:rsid w:val="00854BF4"/>
    <w:rsid w:val="00855A90"/>
    <w:rsid w:val="00860E2B"/>
    <w:rsid w:val="00861ED2"/>
    <w:rsid w:val="00865E3C"/>
    <w:rsid w:val="00866397"/>
    <w:rsid w:val="0086781E"/>
    <w:rsid w:val="00870AF6"/>
    <w:rsid w:val="00872E40"/>
    <w:rsid w:val="00876449"/>
    <w:rsid w:val="00882B66"/>
    <w:rsid w:val="008830E6"/>
    <w:rsid w:val="00883276"/>
    <w:rsid w:val="00885434"/>
    <w:rsid w:val="00892D98"/>
    <w:rsid w:val="00895C9A"/>
    <w:rsid w:val="00897E2D"/>
    <w:rsid w:val="008A03E3"/>
    <w:rsid w:val="008A0644"/>
    <w:rsid w:val="008A517D"/>
    <w:rsid w:val="008A6034"/>
    <w:rsid w:val="008A6229"/>
    <w:rsid w:val="008A7CB9"/>
    <w:rsid w:val="008B0C1E"/>
    <w:rsid w:val="008B2EED"/>
    <w:rsid w:val="008B3032"/>
    <w:rsid w:val="008C03A5"/>
    <w:rsid w:val="008C1237"/>
    <w:rsid w:val="008C3846"/>
    <w:rsid w:val="008C5591"/>
    <w:rsid w:val="008C6FA3"/>
    <w:rsid w:val="008D10E2"/>
    <w:rsid w:val="008D2409"/>
    <w:rsid w:val="008D447B"/>
    <w:rsid w:val="008D6C65"/>
    <w:rsid w:val="008E13AE"/>
    <w:rsid w:val="008E359C"/>
    <w:rsid w:val="008E504A"/>
    <w:rsid w:val="008F13BD"/>
    <w:rsid w:val="008F35B8"/>
    <w:rsid w:val="008F4B21"/>
    <w:rsid w:val="008F5E20"/>
    <w:rsid w:val="008F67B5"/>
    <w:rsid w:val="009003D7"/>
    <w:rsid w:val="00901334"/>
    <w:rsid w:val="00901A1F"/>
    <w:rsid w:val="009034EA"/>
    <w:rsid w:val="00904AD6"/>
    <w:rsid w:val="009063BC"/>
    <w:rsid w:val="00906A9E"/>
    <w:rsid w:val="009124CE"/>
    <w:rsid w:val="00912954"/>
    <w:rsid w:val="00913BA4"/>
    <w:rsid w:val="00921F34"/>
    <w:rsid w:val="0092304C"/>
    <w:rsid w:val="00923F06"/>
    <w:rsid w:val="0092562E"/>
    <w:rsid w:val="00925E8B"/>
    <w:rsid w:val="00932AA2"/>
    <w:rsid w:val="009403B4"/>
    <w:rsid w:val="0094042E"/>
    <w:rsid w:val="00940735"/>
    <w:rsid w:val="009439D1"/>
    <w:rsid w:val="009445F0"/>
    <w:rsid w:val="0094696F"/>
    <w:rsid w:val="00952A15"/>
    <w:rsid w:val="00954FAF"/>
    <w:rsid w:val="00956747"/>
    <w:rsid w:val="009569A0"/>
    <w:rsid w:val="00960AC8"/>
    <w:rsid w:val="00960B10"/>
    <w:rsid w:val="00963B9A"/>
    <w:rsid w:val="009712FA"/>
    <w:rsid w:val="0097165F"/>
    <w:rsid w:val="00974AC9"/>
    <w:rsid w:val="00977DD1"/>
    <w:rsid w:val="00981787"/>
    <w:rsid w:val="009841DA"/>
    <w:rsid w:val="00986627"/>
    <w:rsid w:val="00990071"/>
    <w:rsid w:val="009912FD"/>
    <w:rsid w:val="0099156D"/>
    <w:rsid w:val="00994A8E"/>
    <w:rsid w:val="00996765"/>
    <w:rsid w:val="00996946"/>
    <w:rsid w:val="00996AB8"/>
    <w:rsid w:val="0099712C"/>
    <w:rsid w:val="009A188A"/>
    <w:rsid w:val="009A20D9"/>
    <w:rsid w:val="009A261E"/>
    <w:rsid w:val="009A2714"/>
    <w:rsid w:val="009A2D38"/>
    <w:rsid w:val="009A49F7"/>
    <w:rsid w:val="009A5009"/>
    <w:rsid w:val="009A5060"/>
    <w:rsid w:val="009B11F6"/>
    <w:rsid w:val="009B2C18"/>
    <w:rsid w:val="009B3075"/>
    <w:rsid w:val="009B5DA7"/>
    <w:rsid w:val="009B6732"/>
    <w:rsid w:val="009B72ED"/>
    <w:rsid w:val="009B7BD4"/>
    <w:rsid w:val="009B7F3F"/>
    <w:rsid w:val="009C00BB"/>
    <w:rsid w:val="009C0377"/>
    <w:rsid w:val="009C0379"/>
    <w:rsid w:val="009C050B"/>
    <w:rsid w:val="009C0A6E"/>
    <w:rsid w:val="009C1BA7"/>
    <w:rsid w:val="009C4837"/>
    <w:rsid w:val="009C52F1"/>
    <w:rsid w:val="009C5FEC"/>
    <w:rsid w:val="009C7FB3"/>
    <w:rsid w:val="009E1447"/>
    <w:rsid w:val="009E179D"/>
    <w:rsid w:val="009E1A5D"/>
    <w:rsid w:val="009E2035"/>
    <w:rsid w:val="009E3C69"/>
    <w:rsid w:val="009E4076"/>
    <w:rsid w:val="009E5DFA"/>
    <w:rsid w:val="009E6FB7"/>
    <w:rsid w:val="009E7D78"/>
    <w:rsid w:val="009F0B74"/>
    <w:rsid w:val="009F1252"/>
    <w:rsid w:val="009F27EE"/>
    <w:rsid w:val="009F3335"/>
    <w:rsid w:val="00A00D4D"/>
    <w:rsid w:val="00A00FCD"/>
    <w:rsid w:val="00A018FF"/>
    <w:rsid w:val="00A01B26"/>
    <w:rsid w:val="00A04239"/>
    <w:rsid w:val="00A046D3"/>
    <w:rsid w:val="00A0576F"/>
    <w:rsid w:val="00A101CD"/>
    <w:rsid w:val="00A13A81"/>
    <w:rsid w:val="00A20985"/>
    <w:rsid w:val="00A20D8F"/>
    <w:rsid w:val="00A2136E"/>
    <w:rsid w:val="00A23FC7"/>
    <w:rsid w:val="00A25D4C"/>
    <w:rsid w:val="00A30AB9"/>
    <w:rsid w:val="00A3153B"/>
    <w:rsid w:val="00A32FB4"/>
    <w:rsid w:val="00A33BD9"/>
    <w:rsid w:val="00A33F54"/>
    <w:rsid w:val="00A33FFB"/>
    <w:rsid w:val="00A34BE5"/>
    <w:rsid w:val="00A34EC4"/>
    <w:rsid w:val="00A370E6"/>
    <w:rsid w:val="00A379FC"/>
    <w:rsid w:val="00A37DFB"/>
    <w:rsid w:val="00A4036A"/>
    <w:rsid w:val="00A418A7"/>
    <w:rsid w:val="00A4335A"/>
    <w:rsid w:val="00A44338"/>
    <w:rsid w:val="00A44CDE"/>
    <w:rsid w:val="00A46554"/>
    <w:rsid w:val="00A50B4A"/>
    <w:rsid w:val="00A54371"/>
    <w:rsid w:val="00A56987"/>
    <w:rsid w:val="00A56E55"/>
    <w:rsid w:val="00A5760C"/>
    <w:rsid w:val="00A60DB3"/>
    <w:rsid w:val="00A6281F"/>
    <w:rsid w:val="00A64336"/>
    <w:rsid w:val="00A646BD"/>
    <w:rsid w:val="00A6540F"/>
    <w:rsid w:val="00A65F85"/>
    <w:rsid w:val="00A7216B"/>
    <w:rsid w:val="00A77B0A"/>
    <w:rsid w:val="00A82789"/>
    <w:rsid w:val="00A853E4"/>
    <w:rsid w:val="00A86700"/>
    <w:rsid w:val="00A87C37"/>
    <w:rsid w:val="00A909F4"/>
    <w:rsid w:val="00AA1574"/>
    <w:rsid w:val="00AA546F"/>
    <w:rsid w:val="00AB0C3D"/>
    <w:rsid w:val="00AB2786"/>
    <w:rsid w:val="00AB59F9"/>
    <w:rsid w:val="00AC31B1"/>
    <w:rsid w:val="00AC3422"/>
    <w:rsid w:val="00AC3452"/>
    <w:rsid w:val="00AC3D4E"/>
    <w:rsid w:val="00AC413A"/>
    <w:rsid w:val="00AD0E39"/>
    <w:rsid w:val="00AD160B"/>
    <w:rsid w:val="00AD2F56"/>
    <w:rsid w:val="00AD4F29"/>
    <w:rsid w:val="00AE0C3F"/>
    <w:rsid w:val="00AE2FAA"/>
    <w:rsid w:val="00AE54E6"/>
    <w:rsid w:val="00AE64BF"/>
    <w:rsid w:val="00AE76A7"/>
    <w:rsid w:val="00AF0633"/>
    <w:rsid w:val="00AF27CF"/>
    <w:rsid w:val="00AF4AE7"/>
    <w:rsid w:val="00B01FBC"/>
    <w:rsid w:val="00B03899"/>
    <w:rsid w:val="00B03AF7"/>
    <w:rsid w:val="00B049F2"/>
    <w:rsid w:val="00B062BA"/>
    <w:rsid w:val="00B06476"/>
    <w:rsid w:val="00B076E1"/>
    <w:rsid w:val="00B1005F"/>
    <w:rsid w:val="00B14E0C"/>
    <w:rsid w:val="00B168CC"/>
    <w:rsid w:val="00B2343F"/>
    <w:rsid w:val="00B26AFC"/>
    <w:rsid w:val="00B303E3"/>
    <w:rsid w:val="00B32324"/>
    <w:rsid w:val="00B345C9"/>
    <w:rsid w:val="00B364F0"/>
    <w:rsid w:val="00B40953"/>
    <w:rsid w:val="00B41D48"/>
    <w:rsid w:val="00B43A0A"/>
    <w:rsid w:val="00B4511A"/>
    <w:rsid w:val="00B46536"/>
    <w:rsid w:val="00B51D9F"/>
    <w:rsid w:val="00B520E9"/>
    <w:rsid w:val="00B5238A"/>
    <w:rsid w:val="00B52624"/>
    <w:rsid w:val="00B563D0"/>
    <w:rsid w:val="00B56990"/>
    <w:rsid w:val="00B61A59"/>
    <w:rsid w:val="00B6298B"/>
    <w:rsid w:val="00B62B17"/>
    <w:rsid w:val="00B650AF"/>
    <w:rsid w:val="00B650E2"/>
    <w:rsid w:val="00B70BCD"/>
    <w:rsid w:val="00B7142C"/>
    <w:rsid w:val="00B74923"/>
    <w:rsid w:val="00B766F7"/>
    <w:rsid w:val="00B777DF"/>
    <w:rsid w:val="00B77C64"/>
    <w:rsid w:val="00B813AF"/>
    <w:rsid w:val="00B8390A"/>
    <w:rsid w:val="00B86EE3"/>
    <w:rsid w:val="00B92513"/>
    <w:rsid w:val="00B937DE"/>
    <w:rsid w:val="00BA0648"/>
    <w:rsid w:val="00BA0AEE"/>
    <w:rsid w:val="00BA46B0"/>
    <w:rsid w:val="00BA4BA2"/>
    <w:rsid w:val="00BA4C77"/>
    <w:rsid w:val="00BA5540"/>
    <w:rsid w:val="00BA5B20"/>
    <w:rsid w:val="00BA75BC"/>
    <w:rsid w:val="00BB07CD"/>
    <w:rsid w:val="00BB59B5"/>
    <w:rsid w:val="00BC0524"/>
    <w:rsid w:val="00BC0DC4"/>
    <w:rsid w:val="00BC2702"/>
    <w:rsid w:val="00BC4252"/>
    <w:rsid w:val="00BC4856"/>
    <w:rsid w:val="00BD09CD"/>
    <w:rsid w:val="00BD1C26"/>
    <w:rsid w:val="00BD36E0"/>
    <w:rsid w:val="00BD6B80"/>
    <w:rsid w:val="00BE1DD5"/>
    <w:rsid w:val="00BE6377"/>
    <w:rsid w:val="00BE674D"/>
    <w:rsid w:val="00BE6B9B"/>
    <w:rsid w:val="00BE7209"/>
    <w:rsid w:val="00BF240D"/>
    <w:rsid w:val="00BF34D7"/>
    <w:rsid w:val="00BF4DC0"/>
    <w:rsid w:val="00C00E8A"/>
    <w:rsid w:val="00C00FCB"/>
    <w:rsid w:val="00C01813"/>
    <w:rsid w:val="00C04BE3"/>
    <w:rsid w:val="00C07B81"/>
    <w:rsid w:val="00C10F73"/>
    <w:rsid w:val="00C11A3F"/>
    <w:rsid w:val="00C11BD0"/>
    <w:rsid w:val="00C13EE1"/>
    <w:rsid w:val="00C1534B"/>
    <w:rsid w:val="00C1671B"/>
    <w:rsid w:val="00C22249"/>
    <w:rsid w:val="00C2467D"/>
    <w:rsid w:val="00C273DD"/>
    <w:rsid w:val="00C274BD"/>
    <w:rsid w:val="00C3097A"/>
    <w:rsid w:val="00C3452D"/>
    <w:rsid w:val="00C36797"/>
    <w:rsid w:val="00C407EA"/>
    <w:rsid w:val="00C40EA6"/>
    <w:rsid w:val="00C41B06"/>
    <w:rsid w:val="00C432BC"/>
    <w:rsid w:val="00C43901"/>
    <w:rsid w:val="00C44604"/>
    <w:rsid w:val="00C4781F"/>
    <w:rsid w:val="00C5285D"/>
    <w:rsid w:val="00C54B23"/>
    <w:rsid w:val="00C57B84"/>
    <w:rsid w:val="00C57CCE"/>
    <w:rsid w:val="00C60516"/>
    <w:rsid w:val="00C627F1"/>
    <w:rsid w:val="00C64FC2"/>
    <w:rsid w:val="00C65450"/>
    <w:rsid w:val="00C66CFD"/>
    <w:rsid w:val="00C67901"/>
    <w:rsid w:val="00C7431A"/>
    <w:rsid w:val="00C74868"/>
    <w:rsid w:val="00C74873"/>
    <w:rsid w:val="00C76558"/>
    <w:rsid w:val="00C80D27"/>
    <w:rsid w:val="00C819F9"/>
    <w:rsid w:val="00C82504"/>
    <w:rsid w:val="00C8343C"/>
    <w:rsid w:val="00C84170"/>
    <w:rsid w:val="00C857CB"/>
    <w:rsid w:val="00C8740F"/>
    <w:rsid w:val="00C915A8"/>
    <w:rsid w:val="00C926A6"/>
    <w:rsid w:val="00CA220F"/>
    <w:rsid w:val="00CA39DD"/>
    <w:rsid w:val="00CB0121"/>
    <w:rsid w:val="00CC1133"/>
    <w:rsid w:val="00CC50AC"/>
    <w:rsid w:val="00CC6993"/>
    <w:rsid w:val="00CC7AF4"/>
    <w:rsid w:val="00CD31C2"/>
    <w:rsid w:val="00CD4D7F"/>
    <w:rsid w:val="00CE07E2"/>
    <w:rsid w:val="00CE20B6"/>
    <w:rsid w:val="00CE21C0"/>
    <w:rsid w:val="00CE6940"/>
    <w:rsid w:val="00CF1C8E"/>
    <w:rsid w:val="00CF39B9"/>
    <w:rsid w:val="00CF4C3A"/>
    <w:rsid w:val="00CF73E8"/>
    <w:rsid w:val="00CF77D3"/>
    <w:rsid w:val="00CF792D"/>
    <w:rsid w:val="00CF7F56"/>
    <w:rsid w:val="00D00173"/>
    <w:rsid w:val="00D012D0"/>
    <w:rsid w:val="00D02B48"/>
    <w:rsid w:val="00D1120A"/>
    <w:rsid w:val="00D11B30"/>
    <w:rsid w:val="00D125BE"/>
    <w:rsid w:val="00D1410D"/>
    <w:rsid w:val="00D15416"/>
    <w:rsid w:val="00D15B50"/>
    <w:rsid w:val="00D15BEA"/>
    <w:rsid w:val="00D166D4"/>
    <w:rsid w:val="00D16958"/>
    <w:rsid w:val="00D30EB9"/>
    <w:rsid w:val="00D32C9F"/>
    <w:rsid w:val="00D336C3"/>
    <w:rsid w:val="00D34093"/>
    <w:rsid w:val="00D354A3"/>
    <w:rsid w:val="00D423EB"/>
    <w:rsid w:val="00D42F1C"/>
    <w:rsid w:val="00D555DA"/>
    <w:rsid w:val="00D5590F"/>
    <w:rsid w:val="00D5606E"/>
    <w:rsid w:val="00D57729"/>
    <w:rsid w:val="00D6087C"/>
    <w:rsid w:val="00D61C3F"/>
    <w:rsid w:val="00D62BEC"/>
    <w:rsid w:val="00D64116"/>
    <w:rsid w:val="00D650DB"/>
    <w:rsid w:val="00D66D4C"/>
    <w:rsid w:val="00D66F81"/>
    <w:rsid w:val="00D67037"/>
    <w:rsid w:val="00D6713D"/>
    <w:rsid w:val="00D70FB9"/>
    <w:rsid w:val="00D76407"/>
    <w:rsid w:val="00D82F6E"/>
    <w:rsid w:val="00D8797F"/>
    <w:rsid w:val="00D928A4"/>
    <w:rsid w:val="00D92FD8"/>
    <w:rsid w:val="00D95082"/>
    <w:rsid w:val="00D962B1"/>
    <w:rsid w:val="00D9784B"/>
    <w:rsid w:val="00D978C3"/>
    <w:rsid w:val="00D97D70"/>
    <w:rsid w:val="00DB0781"/>
    <w:rsid w:val="00DB1128"/>
    <w:rsid w:val="00DB1BC1"/>
    <w:rsid w:val="00DB405F"/>
    <w:rsid w:val="00DB5870"/>
    <w:rsid w:val="00DB5EA6"/>
    <w:rsid w:val="00DB7937"/>
    <w:rsid w:val="00DB7E5D"/>
    <w:rsid w:val="00DC061B"/>
    <w:rsid w:val="00DC0A1D"/>
    <w:rsid w:val="00DC5F7D"/>
    <w:rsid w:val="00DC672F"/>
    <w:rsid w:val="00DD0F21"/>
    <w:rsid w:val="00DE034C"/>
    <w:rsid w:val="00DE082E"/>
    <w:rsid w:val="00DE265F"/>
    <w:rsid w:val="00DE32A6"/>
    <w:rsid w:val="00DE3BBB"/>
    <w:rsid w:val="00DE638A"/>
    <w:rsid w:val="00DF1F88"/>
    <w:rsid w:val="00DF203C"/>
    <w:rsid w:val="00DF53A4"/>
    <w:rsid w:val="00DF583D"/>
    <w:rsid w:val="00DF5E91"/>
    <w:rsid w:val="00DF6078"/>
    <w:rsid w:val="00DF6690"/>
    <w:rsid w:val="00E05159"/>
    <w:rsid w:val="00E05467"/>
    <w:rsid w:val="00E06D10"/>
    <w:rsid w:val="00E06D4D"/>
    <w:rsid w:val="00E07CBB"/>
    <w:rsid w:val="00E11244"/>
    <w:rsid w:val="00E11AD2"/>
    <w:rsid w:val="00E12341"/>
    <w:rsid w:val="00E14AC7"/>
    <w:rsid w:val="00E15353"/>
    <w:rsid w:val="00E16CAE"/>
    <w:rsid w:val="00E170DF"/>
    <w:rsid w:val="00E17896"/>
    <w:rsid w:val="00E307ED"/>
    <w:rsid w:val="00E369F0"/>
    <w:rsid w:val="00E410EE"/>
    <w:rsid w:val="00E42F47"/>
    <w:rsid w:val="00E45340"/>
    <w:rsid w:val="00E515DB"/>
    <w:rsid w:val="00E52913"/>
    <w:rsid w:val="00E54732"/>
    <w:rsid w:val="00E54F7C"/>
    <w:rsid w:val="00E62E16"/>
    <w:rsid w:val="00E662B3"/>
    <w:rsid w:val="00E674DD"/>
    <w:rsid w:val="00E67B22"/>
    <w:rsid w:val="00E73D7C"/>
    <w:rsid w:val="00E81323"/>
    <w:rsid w:val="00E81C98"/>
    <w:rsid w:val="00E83290"/>
    <w:rsid w:val="00E85E3D"/>
    <w:rsid w:val="00E928AA"/>
    <w:rsid w:val="00E974ED"/>
    <w:rsid w:val="00EA0F2C"/>
    <w:rsid w:val="00EA2337"/>
    <w:rsid w:val="00EA406E"/>
    <w:rsid w:val="00EA43AC"/>
    <w:rsid w:val="00EA52D3"/>
    <w:rsid w:val="00EA73CE"/>
    <w:rsid w:val="00EB055F"/>
    <w:rsid w:val="00EB0A6C"/>
    <w:rsid w:val="00EB2329"/>
    <w:rsid w:val="00EC11E0"/>
    <w:rsid w:val="00EC1940"/>
    <w:rsid w:val="00EC5BCA"/>
    <w:rsid w:val="00ED043A"/>
    <w:rsid w:val="00ED0454"/>
    <w:rsid w:val="00ED3727"/>
    <w:rsid w:val="00ED3DDF"/>
    <w:rsid w:val="00ED3FF4"/>
    <w:rsid w:val="00ED50F4"/>
    <w:rsid w:val="00ED7EF9"/>
    <w:rsid w:val="00EE1C1A"/>
    <w:rsid w:val="00EE2613"/>
    <w:rsid w:val="00EE2E6D"/>
    <w:rsid w:val="00EE30E3"/>
    <w:rsid w:val="00EE550A"/>
    <w:rsid w:val="00EE5A74"/>
    <w:rsid w:val="00EE634A"/>
    <w:rsid w:val="00EF17A6"/>
    <w:rsid w:val="00EF1E98"/>
    <w:rsid w:val="00EF31A8"/>
    <w:rsid w:val="00EF3A6B"/>
    <w:rsid w:val="00EF5820"/>
    <w:rsid w:val="00EF787D"/>
    <w:rsid w:val="00F00747"/>
    <w:rsid w:val="00F0086F"/>
    <w:rsid w:val="00F01B7B"/>
    <w:rsid w:val="00F04C72"/>
    <w:rsid w:val="00F1025A"/>
    <w:rsid w:val="00F14B5F"/>
    <w:rsid w:val="00F1598F"/>
    <w:rsid w:val="00F16706"/>
    <w:rsid w:val="00F202ED"/>
    <w:rsid w:val="00F2164B"/>
    <w:rsid w:val="00F2297F"/>
    <w:rsid w:val="00F232DA"/>
    <w:rsid w:val="00F25226"/>
    <w:rsid w:val="00F26BA4"/>
    <w:rsid w:val="00F32B1E"/>
    <w:rsid w:val="00F35EDC"/>
    <w:rsid w:val="00F3646F"/>
    <w:rsid w:val="00F374BB"/>
    <w:rsid w:val="00F413AD"/>
    <w:rsid w:val="00F43364"/>
    <w:rsid w:val="00F464CB"/>
    <w:rsid w:val="00F608C3"/>
    <w:rsid w:val="00F62916"/>
    <w:rsid w:val="00F63D9A"/>
    <w:rsid w:val="00F659A3"/>
    <w:rsid w:val="00F718C0"/>
    <w:rsid w:val="00F71B07"/>
    <w:rsid w:val="00F7417F"/>
    <w:rsid w:val="00F752F6"/>
    <w:rsid w:val="00F775EC"/>
    <w:rsid w:val="00F8351D"/>
    <w:rsid w:val="00F85C12"/>
    <w:rsid w:val="00F86618"/>
    <w:rsid w:val="00F87267"/>
    <w:rsid w:val="00F9237D"/>
    <w:rsid w:val="00F96C48"/>
    <w:rsid w:val="00FA02D2"/>
    <w:rsid w:val="00FA0703"/>
    <w:rsid w:val="00FA0E0F"/>
    <w:rsid w:val="00FA11B9"/>
    <w:rsid w:val="00FA3FD6"/>
    <w:rsid w:val="00FB21E7"/>
    <w:rsid w:val="00FB743C"/>
    <w:rsid w:val="00FC1934"/>
    <w:rsid w:val="00FC2961"/>
    <w:rsid w:val="00FC419E"/>
    <w:rsid w:val="00FC526E"/>
    <w:rsid w:val="00FC6BA3"/>
    <w:rsid w:val="00FC6E8D"/>
    <w:rsid w:val="00FC7D8D"/>
    <w:rsid w:val="00FD122D"/>
    <w:rsid w:val="00FD1327"/>
    <w:rsid w:val="00FD21FE"/>
    <w:rsid w:val="00FD307B"/>
    <w:rsid w:val="00FD3EF0"/>
    <w:rsid w:val="00FD6323"/>
    <w:rsid w:val="00FD6952"/>
    <w:rsid w:val="00FD79DE"/>
    <w:rsid w:val="00FE4797"/>
    <w:rsid w:val="00FE5027"/>
    <w:rsid w:val="00FE68E4"/>
    <w:rsid w:val="00FF20BA"/>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71B8F1"/>
  <w15:docId w15:val="{D5ECBE20-2B3D-4BF1-BCD9-F4488610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6BB9"/>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rsid w:val="002D4258"/>
    <w:rPr>
      <w:rFonts w:ascii="Verdana" w:hAnsi="Verdana"/>
      <w:color w:val="000000"/>
      <w:kern w:val="28"/>
      <w:sz w:val="22"/>
    </w:rPr>
  </w:style>
  <w:style w:type="paragraph" w:customStyle="1" w:styleId="Default">
    <w:name w:val="Default"/>
    <w:rsid w:val="00CE20B6"/>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AF4AE7"/>
    <w:pPr>
      <w:ind w:left="720"/>
      <w:contextualSpacing/>
    </w:pPr>
  </w:style>
  <w:style w:type="character" w:styleId="FootnoteReference">
    <w:name w:val="footnote reference"/>
    <w:basedOn w:val="DefaultParagraphFont"/>
    <w:semiHidden/>
    <w:unhideWhenUsed/>
    <w:rsid w:val="009B6732"/>
    <w:rPr>
      <w:vertAlign w:val="superscript"/>
    </w:rPr>
  </w:style>
  <w:style w:type="character" w:styleId="UnresolvedMention">
    <w:name w:val="Unresolved Mention"/>
    <w:basedOn w:val="DefaultParagraphFont"/>
    <w:uiPriority w:val="99"/>
    <w:semiHidden/>
    <w:unhideWhenUsed/>
    <w:rsid w:val="00373C26"/>
    <w:rPr>
      <w:color w:val="605E5C"/>
      <w:shd w:val="clear" w:color="auto" w:fill="E1DFDD"/>
    </w:rPr>
  </w:style>
  <w:style w:type="character" w:styleId="FollowedHyperlink">
    <w:name w:val="FollowedHyperlink"/>
    <w:basedOn w:val="DefaultParagraphFont"/>
    <w:semiHidden/>
    <w:unhideWhenUsed/>
    <w:rsid w:val="00A34BE5"/>
    <w:rPr>
      <w:color w:val="800080" w:themeColor="followedHyperlink"/>
      <w:u w:val="single"/>
    </w:rPr>
  </w:style>
  <w:style w:type="character" w:customStyle="1" w:styleId="FootnoteTextChar">
    <w:name w:val="Footnote Text Char"/>
    <w:basedOn w:val="DefaultParagraphFont"/>
    <w:link w:val="FootnoteText"/>
    <w:semiHidden/>
    <w:rsid w:val="00456B6A"/>
    <w:rPr>
      <w:rFonts w:ascii="Verdana" w:hAnsi="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V\D582E660-D402-454A-A488-49E046D74EDC\0F98B914-D66D-42C8-9FCC-4F327F168F6C\root\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279509A-5D99-4405-B4AD-6803F744D79F}">
  <we:reference id="5b395aeb-6d28-4a27-9c69-a73d67695275"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10987D-048F-4D2F-ADE9-051A1C70E544}">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14F5713-FA7B-412B-812B-FA240E9FB917}"/>
</file>

<file path=customXml/itemProps4.xml><?xml version="1.0" encoding="utf-8"?>
<ds:datastoreItem xmlns:ds="http://schemas.openxmlformats.org/officeDocument/2006/customXml" ds:itemID="{532F9897-CEA2-49FB-828D-F4DD52E9F490}"/>
</file>

<file path=customXml/itemProps5.xml><?xml version="1.0" encoding="utf-8"?>
<ds:datastoreItem xmlns:ds="http://schemas.openxmlformats.org/officeDocument/2006/customXml" ds:itemID="{B57DA08B-A953-4695-9FE6-F493C7687F53}"/>
</file>

<file path=docProps/app.xml><?xml version="1.0" encoding="utf-8"?>
<Properties xmlns="http://schemas.openxmlformats.org/officeDocument/2006/extended-properties" xmlns:vt="http://schemas.openxmlformats.org/officeDocument/2006/docPropsVTypes">
  <Template>Decisions</Template>
  <TotalTime>2</TotalTime>
  <Pages>12</Pages>
  <Words>6822</Words>
  <Characters>34073</Characters>
  <Application>Microsoft Office Word</Application>
  <DocSecurity>0</DocSecurity>
  <Lines>283</Lines>
  <Paragraphs>81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ROW/3207992 costs application</dc:title>
  <dc:creator>Cruickshank, Heidi</dc:creator>
  <cp:lastModifiedBy>Cook, Robert</cp:lastModifiedBy>
  <cp:revision>3</cp:revision>
  <cp:lastPrinted>2021-08-04T10:17:00Z</cp:lastPrinted>
  <dcterms:created xsi:type="dcterms:W3CDTF">2021-11-16T09:41:00Z</dcterms:created>
  <dcterms:modified xsi:type="dcterms:W3CDTF">2021-11-18T09:50:00Z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Costs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