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60D14" w14:textId="201534DE" w:rsidR="00D21066" w:rsidRDefault="00835FB4" w:rsidP="00835FB4">
      <w:pPr>
        <w:pStyle w:val="Heading1"/>
      </w:pPr>
      <w:r w:rsidRPr="00835FB4">
        <w:t>Standard Essential Patents and Innovation</w:t>
      </w:r>
      <w:r w:rsidR="005A25FB">
        <w:t>:</w:t>
      </w:r>
      <w:r w:rsidR="005A25FB">
        <w:br/>
        <w:t>Call for Views</w:t>
      </w:r>
      <w:r w:rsidRPr="00835FB4">
        <w:t xml:space="preserve"> Response Form</w:t>
      </w:r>
    </w:p>
    <w:p w14:paraId="551DBA2A" w14:textId="707BC614" w:rsidR="00835FB4" w:rsidRDefault="00835FB4" w:rsidP="00835FB4"/>
    <w:p w14:paraId="576AF1E3" w14:textId="2906CFD9" w:rsidR="00835FB4" w:rsidRDefault="00835FB4" w:rsidP="005F67BC">
      <w:r w:rsidRPr="00AE73FD">
        <w:t xml:space="preserve">After you have read the </w:t>
      </w:r>
      <w:r w:rsidR="0015465F">
        <w:t>call for views</w:t>
      </w:r>
      <w:r w:rsidRPr="00AE73FD">
        <w:t xml:space="preserve"> document, please consider the questions below. There is no expectation or requirement that all questions are completed. You are welcome to only answer the questions that are relevant to you, your business or organisation.</w:t>
      </w:r>
    </w:p>
    <w:p w14:paraId="60F9C6E1" w14:textId="7AE5B0EF" w:rsidR="00835FB4" w:rsidRDefault="00835FB4" w:rsidP="005F67BC">
      <w:pPr>
        <w:rPr>
          <w:rStyle w:val="Hyperlink"/>
          <w:rFonts w:eastAsia="Arial" w:cs="Arial"/>
          <w:szCs w:val="24"/>
        </w:rPr>
      </w:pPr>
      <w:r w:rsidRPr="004F7FD5">
        <w:rPr>
          <w:rFonts w:eastAsia="Arial"/>
          <w:color w:val="000000" w:themeColor="text1"/>
        </w:rPr>
        <w:t>In replying to this c</w:t>
      </w:r>
      <w:r>
        <w:rPr>
          <w:rFonts w:eastAsia="Arial"/>
          <w:color w:val="000000" w:themeColor="text1"/>
        </w:rPr>
        <w:t>all for views</w:t>
      </w:r>
      <w:r w:rsidRPr="004F7FD5">
        <w:rPr>
          <w:rFonts w:eastAsia="Arial"/>
          <w:color w:val="000000" w:themeColor="text1"/>
        </w:rPr>
        <w:t xml:space="preserve"> you may find it helpful to refer to the </w:t>
      </w:r>
      <w:r w:rsidRPr="005F67BC">
        <w:t>IPO’s</w:t>
      </w:r>
      <w:r w:rsidRPr="004F7FD5">
        <w:rPr>
          <w:rFonts w:eastAsia="Arial"/>
          <w:color w:val="000000" w:themeColor="text1"/>
        </w:rPr>
        <w:t xml:space="preserve"> </w:t>
      </w:r>
      <w:hyperlink r:id="rId7" w:history="1">
        <w:r w:rsidRPr="005F67BC">
          <w:rPr>
            <w:rStyle w:val="Hyperlink"/>
            <w:rFonts w:eastAsia="Arial" w:cs="Arial"/>
            <w:szCs w:val="20"/>
          </w:rPr>
          <w:t>Guide to Evidence for Policy</w:t>
        </w:r>
      </w:hyperlink>
      <w:r w:rsidRPr="005F67BC">
        <w:rPr>
          <w:rStyle w:val="Hyperlink"/>
          <w:rFonts w:eastAsia="Arial" w:cs="Arial"/>
          <w:szCs w:val="20"/>
        </w:rPr>
        <w:t>.</w:t>
      </w:r>
    </w:p>
    <w:p w14:paraId="58C1BE07" w14:textId="226852D0" w:rsidR="00835FB4" w:rsidRPr="008D3AF4" w:rsidRDefault="00835FB4" w:rsidP="00DA716F">
      <w:r w:rsidRPr="008D3AF4">
        <w:t xml:space="preserve">When you are ready to submit your response, please email this form and any other supporting documentation to </w:t>
      </w:r>
      <w:hyperlink r:id="rId8" w:history="1">
        <w:r w:rsidR="00DE2B72" w:rsidRPr="00DE2B72">
          <w:rPr>
            <w:rStyle w:val="Hyperlink"/>
          </w:rPr>
          <w:t>SEPcallforviews@ipo.gov.uk.</w:t>
        </w:r>
      </w:hyperlink>
    </w:p>
    <w:p w14:paraId="1EA67DEA" w14:textId="42D23423" w:rsidR="00835FB4" w:rsidRPr="008D3AF4" w:rsidRDefault="00835FB4" w:rsidP="00DA716F">
      <w:r w:rsidRPr="008D3AF4">
        <w:t xml:space="preserve">This call for views will run for 12 weeks. It commences </w:t>
      </w:r>
      <w:r w:rsidR="00B42D31" w:rsidRPr="008D3AF4">
        <w:t>10</w:t>
      </w:r>
      <w:r w:rsidR="00D32D3D" w:rsidRPr="008D3AF4">
        <w:t>:00</w:t>
      </w:r>
      <w:r w:rsidR="00B42D31" w:rsidRPr="008D3AF4">
        <w:t xml:space="preserve"> </w:t>
      </w:r>
      <w:r w:rsidRPr="008D3AF4">
        <w:t xml:space="preserve">on </w:t>
      </w:r>
      <w:r w:rsidR="00C61A4E">
        <w:t>7</w:t>
      </w:r>
      <w:r w:rsidRPr="008D3AF4">
        <w:t xml:space="preserve"> </w:t>
      </w:r>
      <w:r w:rsidR="00C61A4E">
        <w:t>December</w:t>
      </w:r>
      <w:r w:rsidRPr="008D3AF4">
        <w:t xml:space="preserve"> 2021 and will close at 23</w:t>
      </w:r>
      <w:r w:rsidR="00D32D3D" w:rsidRPr="008D3AF4">
        <w:t>:</w:t>
      </w:r>
      <w:r w:rsidRPr="008D3AF4">
        <w:t xml:space="preserve">45 on </w:t>
      </w:r>
      <w:r w:rsidR="00C61A4E">
        <w:t>1</w:t>
      </w:r>
      <w:r w:rsidRPr="008D3AF4">
        <w:t xml:space="preserve"> </w:t>
      </w:r>
      <w:r w:rsidR="00C61A4E">
        <w:t>March</w:t>
      </w:r>
      <w:r w:rsidRPr="008D3AF4">
        <w:t xml:space="preserve"> 2022.</w:t>
      </w:r>
    </w:p>
    <w:p w14:paraId="030F3CBF" w14:textId="4B1D466A" w:rsidR="003831EC" w:rsidRPr="00682102" w:rsidRDefault="00682102" w:rsidP="00682102">
      <w:pPr>
        <w:rPr>
          <w:rFonts w:ascii="Calibri" w:hAnsi="Calibri"/>
        </w:rPr>
      </w:pPr>
      <w:r w:rsidRPr="00682102">
        <w:t>After this call for views closes the government will assess the responses it has received and publish a summary of responses. The information obtained will inform the government’s decision on any next steps on potential intervention that is required. Any impact assessments and policy decision announcements are generally published on GOV.UK.</w:t>
      </w:r>
      <w:r>
        <w:t xml:space="preserve"> </w:t>
      </w:r>
      <w:r w:rsidR="00E9448D" w:rsidRPr="008D3AF4">
        <w:t xml:space="preserve"> </w:t>
      </w:r>
    </w:p>
    <w:p w14:paraId="70A74C2E" w14:textId="77777777" w:rsidR="00DA716F" w:rsidRPr="008D3AF4" w:rsidRDefault="00DA716F" w:rsidP="008D3AF4"/>
    <w:p w14:paraId="76BAC4BB" w14:textId="47FFFAFD" w:rsidR="00A50AAF" w:rsidRPr="008D3AF4" w:rsidRDefault="00E5507F" w:rsidP="00DA716F">
      <w:pPr>
        <w:pStyle w:val="Heading3"/>
      </w:pPr>
      <w:r w:rsidRPr="008D3AF4">
        <w:t>Privacy notice for personal data processed for consultations</w:t>
      </w:r>
    </w:p>
    <w:p w14:paraId="424C9526" w14:textId="0F02B976" w:rsidR="00A50AAF" w:rsidRDefault="00A50AAF" w:rsidP="00A50AAF"/>
    <w:p w14:paraId="7691917F" w14:textId="6E236AE2" w:rsidR="00A50AAF" w:rsidRPr="00294430" w:rsidRDefault="00A50AAF" w:rsidP="00294430">
      <w:r>
        <w:t>For information on how the IPO will process your data</w:t>
      </w:r>
      <w:r w:rsidR="006A296E">
        <w:t xml:space="preserve"> inline with General Data Protection Regulations (GDPR)</w:t>
      </w:r>
      <w:r>
        <w:t xml:space="preserve"> </w:t>
      </w:r>
      <w:r w:rsidR="006A296E">
        <w:t>pl</w:t>
      </w:r>
      <w:r w:rsidR="00CB1992" w:rsidRPr="00294430">
        <w:t>ease refer</w:t>
      </w:r>
      <w:r w:rsidR="006A296E" w:rsidRPr="00294430">
        <w:t xml:space="preserve"> to IPO’s </w:t>
      </w:r>
      <w:hyperlink r:id="rId9" w:history="1">
        <w:r w:rsidR="006A296E" w:rsidRPr="00817A32">
          <w:rPr>
            <w:rStyle w:val="Hyperlink"/>
          </w:rPr>
          <w:t>privacy notice</w:t>
        </w:r>
        <w:r w:rsidR="00294430" w:rsidRPr="00817A32">
          <w:rPr>
            <w:rStyle w:val="Hyperlink"/>
          </w:rPr>
          <w:t xml:space="preserve"> for personal data processed for consultations</w:t>
        </w:r>
      </w:hyperlink>
      <w:r w:rsidR="006A296E" w:rsidRPr="00294430">
        <w:t xml:space="preserve">. </w:t>
      </w:r>
    </w:p>
    <w:p w14:paraId="07ACBA90" w14:textId="77777777" w:rsidR="00E9448D" w:rsidRPr="00294430" w:rsidRDefault="00E9448D" w:rsidP="00294430"/>
    <w:p w14:paraId="15CCE3F4" w14:textId="39E5BEA7" w:rsidR="00CC0F05" w:rsidRDefault="00CC0F05" w:rsidP="00CC0F05">
      <w:pPr>
        <w:pStyle w:val="Heading2"/>
        <w:rPr>
          <w:rFonts w:eastAsia="Calibri Light"/>
        </w:rPr>
      </w:pPr>
      <w:r>
        <w:rPr>
          <w:rFonts w:eastAsia="Calibri Light"/>
        </w:rPr>
        <w:t>Introductory q</w:t>
      </w:r>
      <w:r w:rsidRPr="00174FA2">
        <w:rPr>
          <w:rFonts w:eastAsia="Calibri Light"/>
        </w:rPr>
        <w:t>uestions</w:t>
      </w:r>
      <w:r>
        <w:rPr>
          <w:rFonts w:eastAsia="Calibri Light"/>
        </w:rPr>
        <w:t>:</w:t>
      </w:r>
    </w:p>
    <w:p w14:paraId="3DCFD739" w14:textId="69807547" w:rsidR="00CC0F05" w:rsidRDefault="00CC0F05" w:rsidP="00CC0F05"/>
    <w:p w14:paraId="79B83CA7" w14:textId="52C3E3F4" w:rsidR="00CC0F05" w:rsidRPr="00F34D80" w:rsidRDefault="00CC0F05" w:rsidP="005F67BC">
      <w:pPr>
        <w:ind w:firstLine="720"/>
        <w:rPr>
          <w:b/>
          <w:bCs/>
        </w:rPr>
      </w:pPr>
      <w:r w:rsidRPr="00F34D80">
        <w:rPr>
          <w:b/>
          <w:bCs/>
        </w:rPr>
        <w:t xml:space="preserve">Who are you? </w:t>
      </w:r>
    </w:p>
    <w:p w14:paraId="12741B6C" w14:textId="0B4CA80C" w:rsidR="00F34D80" w:rsidRPr="009B3959" w:rsidRDefault="00F34D80" w:rsidP="005F67BC">
      <w:pPr>
        <w:ind w:firstLine="284"/>
      </w:pPr>
      <w:r w:rsidRPr="00CC0F05">
        <w:rPr>
          <w:i/>
          <w:iCs/>
        </w:rPr>
        <w:t>A:</w:t>
      </w:r>
    </w:p>
    <w:p w14:paraId="2BFBC48F" w14:textId="77777777" w:rsidR="00CC0F05" w:rsidRDefault="00CC0F05" w:rsidP="00CC0F05"/>
    <w:p w14:paraId="00202141" w14:textId="16D7957A" w:rsidR="00CC0F05" w:rsidRPr="00F34D80" w:rsidRDefault="00CC0F05" w:rsidP="005F67BC">
      <w:pPr>
        <w:ind w:firstLine="720"/>
        <w:rPr>
          <w:b/>
          <w:bCs/>
        </w:rPr>
      </w:pPr>
      <w:r w:rsidRPr="00F34D80">
        <w:rPr>
          <w:b/>
          <w:bCs/>
        </w:rPr>
        <w:t>In what capacity are you responding to this call for views?</w:t>
      </w:r>
    </w:p>
    <w:p w14:paraId="678E16E0" w14:textId="511079FF" w:rsidR="00F34D80" w:rsidRDefault="00F34D80" w:rsidP="00CC0F05"/>
    <w:p w14:paraId="002517B0" w14:textId="2A0A6B91" w:rsidR="00F34D80" w:rsidRPr="00CC0F05" w:rsidRDefault="00F34D80" w:rsidP="005F67BC">
      <w:pPr>
        <w:ind w:firstLine="284"/>
      </w:pPr>
      <w:r w:rsidRPr="00CC0F05">
        <w:rPr>
          <w:i/>
          <w:iCs/>
        </w:rPr>
        <w:t>A:</w:t>
      </w:r>
    </w:p>
    <w:p w14:paraId="3A280CA7" w14:textId="432C2982" w:rsidR="00835FB4" w:rsidRDefault="00835FB4" w:rsidP="00835FB4"/>
    <w:p w14:paraId="438DA132" w14:textId="77777777" w:rsidR="00AA3D69" w:rsidRDefault="00AA3D69">
      <w:pPr>
        <w:rPr>
          <w:rFonts w:eastAsia="Calibri Light" w:cstheme="majorBidi"/>
          <w:b/>
          <w:color w:val="2F5496" w:themeColor="accent1" w:themeShade="BF"/>
          <w:sz w:val="28"/>
          <w:szCs w:val="26"/>
        </w:rPr>
      </w:pPr>
      <w:r>
        <w:rPr>
          <w:rFonts w:eastAsia="Calibri Light"/>
        </w:rPr>
        <w:br w:type="page"/>
      </w:r>
    </w:p>
    <w:p w14:paraId="104147EE" w14:textId="64F91AFF" w:rsidR="00835FB4" w:rsidRDefault="00835FB4" w:rsidP="00835FB4">
      <w:pPr>
        <w:pStyle w:val="Heading2"/>
        <w:rPr>
          <w:rFonts w:eastAsia="Calibri Light"/>
        </w:rPr>
      </w:pPr>
      <w:r w:rsidRPr="004415A5">
        <w:rPr>
          <w:rFonts w:eastAsia="Calibri Light"/>
        </w:rPr>
        <w:lastRenderedPageBreak/>
        <w:t xml:space="preserve">Relationship between Standard Essential Patents, </w:t>
      </w:r>
      <w:proofErr w:type="gramStart"/>
      <w:r w:rsidRPr="004415A5">
        <w:rPr>
          <w:rFonts w:eastAsia="Calibri Light"/>
        </w:rPr>
        <w:t>innovation</w:t>
      </w:r>
      <w:proofErr w:type="gramEnd"/>
      <w:r w:rsidRPr="004415A5">
        <w:rPr>
          <w:rFonts w:eastAsia="Calibri Light"/>
        </w:rPr>
        <w:t xml:space="preserve"> and competition</w:t>
      </w:r>
    </w:p>
    <w:p w14:paraId="2C0CB842" w14:textId="1C541F36" w:rsidR="00835FB4" w:rsidRDefault="00835FB4" w:rsidP="00835FB4"/>
    <w:p w14:paraId="202BD6A5" w14:textId="77777777" w:rsidR="00F34D80" w:rsidRPr="00F34D80" w:rsidRDefault="00835FB4" w:rsidP="00835FB4">
      <w:pPr>
        <w:pStyle w:val="ListParagraph"/>
        <w:numPr>
          <w:ilvl w:val="0"/>
          <w:numId w:val="1"/>
        </w:numPr>
        <w:rPr>
          <w:b/>
          <w:bCs/>
        </w:rPr>
      </w:pPr>
      <w:r w:rsidRPr="00F34D80">
        <w:rPr>
          <w:b/>
          <w:bCs/>
        </w:rPr>
        <w:t>How does the SEPs ecosystem work effectively in a balanced way to support competition and innovation?</w:t>
      </w:r>
    </w:p>
    <w:p w14:paraId="623E2A1D" w14:textId="5EC9E955" w:rsidR="00835FB4" w:rsidRDefault="00F34D80" w:rsidP="00F34D80">
      <w:pPr>
        <w:ind w:left="360"/>
      </w:pPr>
      <w:r w:rsidRPr="00CC0F05">
        <w:rPr>
          <w:i/>
          <w:iCs/>
        </w:rPr>
        <w:t>A:</w:t>
      </w:r>
      <w:r w:rsidR="00CC0F05">
        <w:br/>
      </w:r>
    </w:p>
    <w:p w14:paraId="0AA41C4D" w14:textId="030945C3" w:rsidR="00835FB4" w:rsidRPr="00F34D80" w:rsidRDefault="00835FB4" w:rsidP="00835FB4">
      <w:pPr>
        <w:pStyle w:val="ListParagraph"/>
        <w:numPr>
          <w:ilvl w:val="0"/>
          <w:numId w:val="1"/>
        </w:numPr>
        <w:rPr>
          <w:b/>
          <w:bCs/>
        </w:rPr>
      </w:pPr>
      <w:r w:rsidRPr="00F34D80">
        <w:rPr>
          <w:b/>
          <w:bCs/>
        </w:rPr>
        <w:t>What actions or interventions would make the greatest improvements for consumers in the UK?</w:t>
      </w:r>
    </w:p>
    <w:p w14:paraId="15C60230" w14:textId="0436A57B" w:rsidR="00F34D80" w:rsidRDefault="00F34D80" w:rsidP="00F34D80">
      <w:pPr>
        <w:ind w:left="360"/>
      </w:pPr>
      <w:r w:rsidRPr="00CC0F05">
        <w:rPr>
          <w:i/>
          <w:iCs/>
        </w:rPr>
        <w:t>A:</w:t>
      </w:r>
    </w:p>
    <w:p w14:paraId="661BFFC8" w14:textId="77777777" w:rsidR="00835FB4" w:rsidRDefault="00835FB4" w:rsidP="00835FB4"/>
    <w:p w14:paraId="56EB94F7" w14:textId="48FB2099" w:rsidR="00835FB4" w:rsidRDefault="00835FB4" w:rsidP="00835FB4">
      <w:pPr>
        <w:pStyle w:val="Heading2"/>
        <w:rPr>
          <w:rFonts w:eastAsia="Calibri Light"/>
        </w:rPr>
      </w:pPr>
      <w:r w:rsidRPr="00FD6826">
        <w:rPr>
          <w:rFonts w:eastAsia="Calibri Light"/>
        </w:rPr>
        <w:t>Competition</w:t>
      </w:r>
      <w:r>
        <w:rPr>
          <w:rFonts w:eastAsia="Calibri Light"/>
        </w:rPr>
        <w:t xml:space="preserve"> and market functioning</w:t>
      </w:r>
    </w:p>
    <w:p w14:paraId="651E7235" w14:textId="5C105948" w:rsidR="00835FB4" w:rsidRDefault="00835FB4" w:rsidP="00835FB4"/>
    <w:p w14:paraId="546F3D7F" w14:textId="77777777" w:rsidR="00835FB4" w:rsidRPr="00835FB4" w:rsidRDefault="00835FB4" w:rsidP="00835FB4">
      <w:pPr>
        <w:pStyle w:val="ListParagraph"/>
        <w:numPr>
          <w:ilvl w:val="0"/>
          <w:numId w:val="6"/>
        </w:numPr>
        <w:rPr>
          <w:vanish/>
        </w:rPr>
      </w:pPr>
    </w:p>
    <w:p w14:paraId="1FB528AF" w14:textId="77777777" w:rsidR="00835FB4" w:rsidRPr="00835FB4" w:rsidRDefault="00835FB4" w:rsidP="00835FB4">
      <w:pPr>
        <w:pStyle w:val="ListParagraph"/>
        <w:numPr>
          <w:ilvl w:val="0"/>
          <w:numId w:val="6"/>
        </w:numPr>
        <w:rPr>
          <w:vanish/>
        </w:rPr>
      </w:pPr>
    </w:p>
    <w:p w14:paraId="56ED4304" w14:textId="77777777" w:rsidR="00F34D80" w:rsidRPr="00F34D80" w:rsidRDefault="00835FB4" w:rsidP="00835FB4">
      <w:pPr>
        <w:pStyle w:val="ListParagraph"/>
        <w:numPr>
          <w:ilvl w:val="0"/>
          <w:numId w:val="6"/>
        </w:numPr>
        <w:rPr>
          <w:b/>
          <w:bCs/>
        </w:rPr>
      </w:pPr>
      <w:r w:rsidRPr="00F34D80">
        <w:rPr>
          <w:b/>
          <w:bCs/>
        </w:rPr>
        <w:t xml:space="preserve">In your view, are there issues in respect of market power in markets using SEPs? Examples are particularly sought on practices that create difficulties for industry or act as barriers to innovators. </w:t>
      </w:r>
    </w:p>
    <w:p w14:paraId="3982BDE9" w14:textId="5680F95C" w:rsidR="00835FB4" w:rsidRDefault="00F34D80" w:rsidP="00F34D80">
      <w:pPr>
        <w:ind w:left="360"/>
      </w:pPr>
      <w:r w:rsidRPr="00CC0F05">
        <w:rPr>
          <w:i/>
          <w:iCs/>
        </w:rPr>
        <w:t>A:</w:t>
      </w:r>
      <w:r w:rsidR="00CC0F05">
        <w:br/>
      </w:r>
    </w:p>
    <w:p w14:paraId="5555EE3F" w14:textId="77777777" w:rsidR="00F34D80" w:rsidRPr="00F34D80" w:rsidRDefault="00835FB4" w:rsidP="00835FB4">
      <w:pPr>
        <w:pStyle w:val="ListParagraph"/>
        <w:numPr>
          <w:ilvl w:val="0"/>
          <w:numId w:val="6"/>
        </w:numPr>
        <w:rPr>
          <w:b/>
          <w:bCs/>
        </w:rPr>
      </w:pPr>
      <w:r w:rsidRPr="00F34D80">
        <w:rPr>
          <w:b/>
          <w:bCs/>
        </w:rPr>
        <w:t>Are you aware of evidence of circumstances where an implementer of a SEP is required to buy licences to a wider patent portfolio that is not relevant to the standard or component to which the SEP relates? Are there effective ways of resolving such issues?</w:t>
      </w:r>
    </w:p>
    <w:p w14:paraId="67BC5701" w14:textId="10171574" w:rsidR="00835FB4" w:rsidRDefault="00F34D80" w:rsidP="00F34D80">
      <w:pPr>
        <w:ind w:firstLine="360"/>
      </w:pPr>
      <w:r w:rsidRPr="00CC0F05">
        <w:rPr>
          <w:i/>
          <w:iCs/>
        </w:rPr>
        <w:t>A:</w:t>
      </w:r>
      <w:r w:rsidR="00CC0F05">
        <w:br/>
      </w:r>
    </w:p>
    <w:p w14:paraId="004DCDBA" w14:textId="77777777" w:rsidR="00F34D80" w:rsidRPr="00F34D80" w:rsidRDefault="00835FB4" w:rsidP="00F34D80">
      <w:pPr>
        <w:pStyle w:val="ListParagraph"/>
        <w:numPr>
          <w:ilvl w:val="0"/>
          <w:numId w:val="6"/>
        </w:numPr>
        <w:rPr>
          <w:b/>
          <w:bCs/>
        </w:rPr>
      </w:pPr>
      <w:r w:rsidRPr="00F34D80">
        <w:rPr>
          <w:b/>
          <w:bCs/>
        </w:rPr>
        <w:t xml:space="preserve">Does the competition law framework impact the provisions in agreements between SEP owners in practice? If so, how does it do this? Is there room for improvement </w:t>
      </w:r>
      <w:proofErr w:type="gramStart"/>
      <w:r w:rsidRPr="00F34D80">
        <w:rPr>
          <w:b/>
          <w:bCs/>
        </w:rPr>
        <w:t>in order to</w:t>
      </w:r>
      <w:proofErr w:type="gramEnd"/>
      <w:r w:rsidRPr="00F34D80">
        <w:rPr>
          <w:b/>
          <w:bCs/>
        </w:rPr>
        <w:t xml:space="preserve"> better benefit and encourage competition and innovation?</w:t>
      </w:r>
    </w:p>
    <w:p w14:paraId="42273036" w14:textId="6E784172" w:rsidR="00F34D80" w:rsidRDefault="00F34D80" w:rsidP="00F34D80">
      <w:pPr>
        <w:ind w:left="360"/>
      </w:pPr>
      <w:r w:rsidRPr="00CC0F05">
        <w:rPr>
          <w:i/>
          <w:iCs/>
        </w:rPr>
        <w:t>A:</w:t>
      </w:r>
      <w:r>
        <w:br/>
      </w:r>
    </w:p>
    <w:p w14:paraId="7A3E0CEC" w14:textId="1673A6EE" w:rsidR="00835FB4" w:rsidRPr="00F34D80" w:rsidRDefault="00835FB4" w:rsidP="00835FB4">
      <w:pPr>
        <w:pStyle w:val="ListParagraph"/>
        <w:numPr>
          <w:ilvl w:val="0"/>
          <w:numId w:val="6"/>
        </w:numPr>
        <w:rPr>
          <w:b/>
          <w:bCs/>
        </w:rPr>
      </w:pPr>
      <w:r w:rsidRPr="00F34D80">
        <w:rPr>
          <w:b/>
          <w:bCs/>
        </w:rPr>
        <w:t>In your view, what actions or steps can be taken to encourage competition and innovation in the SEPs ecosystem?</w:t>
      </w:r>
    </w:p>
    <w:p w14:paraId="6DD7BD51" w14:textId="4D588520" w:rsidR="00F34D80" w:rsidRDefault="00F34D80" w:rsidP="00F34D80">
      <w:pPr>
        <w:ind w:left="360"/>
      </w:pPr>
      <w:r w:rsidRPr="00CC0F05">
        <w:rPr>
          <w:i/>
          <w:iCs/>
        </w:rPr>
        <w:t>A:</w:t>
      </w:r>
    </w:p>
    <w:p w14:paraId="3CC45F24" w14:textId="5E6249EC" w:rsidR="00835FB4" w:rsidRDefault="00835FB4" w:rsidP="00835FB4"/>
    <w:p w14:paraId="4AD7ABE9" w14:textId="77777777" w:rsidR="00835FB4" w:rsidRPr="00175E44" w:rsidRDefault="00835FB4" w:rsidP="00835FB4">
      <w:pPr>
        <w:pStyle w:val="Heading2"/>
        <w:rPr>
          <w:rFonts w:eastAsia="Calibri Light"/>
        </w:rPr>
      </w:pPr>
      <w:r w:rsidRPr="00175E44">
        <w:rPr>
          <w:rFonts w:eastAsia="Calibri Light"/>
        </w:rPr>
        <w:t>Transparency in the system</w:t>
      </w:r>
    </w:p>
    <w:p w14:paraId="7BBADDB0" w14:textId="4EEAF6F7" w:rsidR="00835FB4" w:rsidRDefault="00835FB4" w:rsidP="00835FB4"/>
    <w:p w14:paraId="4B965AEF" w14:textId="77777777" w:rsidR="00835FB4" w:rsidRPr="00835FB4" w:rsidRDefault="00835FB4" w:rsidP="00835FB4">
      <w:pPr>
        <w:pStyle w:val="ListParagraph"/>
        <w:numPr>
          <w:ilvl w:val="0"/>
          <w:numId w:val="7"/>
        </w:numPr>
        <w:rPr>
          <w:vanish/>
        </w:rPr>
      </w:pPr>
    </w:p>
    <w:p w14:paraId="3515D15A" w14:textId="77777777" w:rsidR="00835FB4" w:rsidRPr="00835FB4" w:rsidRDefault="00835FB4" w:rsidP="00835FB4">
      <w:pPr>
        <w:pStyle w:val="ListParagraph"/>
        <w:numPr>
          <w:ilvl w:val="0"/>
          <w:numId w:val="7"/>
        </w:numPr>
        <w:rPr>
          <w:vanish/>
        </w:rPr>
      </w:pPr>
    </w:p>
    <w:p w14:paraId="148B9474" w14:textId="77777777" w:rsidR="00835FB4" w:rsidRPr="00835FB4" w:rsidRDefault="00835FB4" w:rsidP="00835FB4">
      <w:pPr>
        <w:pStyle w:val="ListParagraph"/>
        <w:numPr>
          <w:ilvl w:val="0"/>
          <w:numId w:val="7"/>
        </w:numPr>
        <w:rPr>
          <w:vanish/>
        </w:rPr>
      </w:pPr>
    </w:p>
    <w:p w14:paraId="07DFDEFE" w14:textId="77777777" w:rsidR="00835FB4" w:rsidRPr="00835FB4" w:rsidRDefault="00835FB4" w:rsidP="00835FB4">
      <w:pPr>
        <w:pStyle w:val="ListParagraph"/>
        <w:numPr>
          <w:ilvl w:val="0"/>
          <w:numId w:val="7"/>
        </w:numPr>
        <w:rPr>
          <w:vanish/>
        </w:rPr>
      </w:pPr>
    </w:p>
    <w:p w14:paraId="1FF7FCBD" w14:textId="77777777" w:rsidR="00835FB4" w:rsidRPr="00835FB4" w:rsidRDefault="00835FB4" w:rsidP="00835FB4">
      <w:pPr>
        <w:pStyle w:val="ListParagraph"/>
        <w:numPr>
          <w:ilvl w:val="0"/>
          <w:numId w:val="7"/>
        </w:numPr>
        <w:rPr>
          <w:vanish/>
        </w:rPr>
      </w:pPr>
    </w:p>
    <w:p w14:paraId="46780E07" w14:textId="77777777" w:rsidR="00835FB4" w:rsidRPr="00835FB4" w:rsidRDefault="00835FB4" w:rsidP="00835FB4">
      <w:pPr>
        <w:pStyle w:val="ListParagraph"/>
        <w:numPr>
          <w:ilvl w:val="0"/>
          <w:numId w:val="7"/>
        </w:numPr>
        <w:rPr>
          <w:vanish/>
        </w:rPr>
      </w:pPr>
    </w:p>
    <w:p w14:paraId="5EBAF51F" w14:textId="77777777" w:rsidR="00CC0F05" w:rsidRPr="00F34D80" w:rsidRDefault="00835FB4" w:rsidP="00835FB4">
      <w:pPr>
        <w:pStyle w:val="ListParagraph"/>
        <w:numPr>
          <w:ilvl w:val="0"/>
          <w:numId w:val="7"/>
        </w:numPr>
        <w:rPr>
          <w:b/>
          <w:bCs/>
        </w:rPr>
      </w:pPr>
      <w:r w:rsidRPr="00F34D80">
        <w:rPr>
          <w:b/>
          <w:bCs/>
        </w:rPr>
        <w:t>Is there sufficient transparency around how patents are being declared as essential to the standard? What actions do industry, including SDOs undertake to ensure essentiality is understood?</w:t>
      </w:r>
    </w:p>
    <w:p w14:paraId="1829D8D9" w14:textId="4F9F268F" w:rsidR="00835FB4" w:rsidRPr="00CC0F05" w:rsidRDefault="00CC0F05" w:rsidP="00CC0F05">
      <w:pPr>
        <w:ind w:left="360"/>
        <w:rPr>
          <w:i/>
          <w:iCs/>
        </w:rPr>
      </w:pPr>
      <w:r w:rsidRPr="00CC0F05">
        <w:rPr>
          <w:i/>
          <w:iCs/>
        </w:rPr>
        <w:t>A:</w:t>
      </w:r>
      <w:r w:rsidR="003176D9" w:rsidRPr="00CC0F05">
        <w:rPr>
          <w:i/>
          <w:iCs/>
        </w:rPr>
        <w:br/>
      </w:r>
    </w:p>
    <w:p w14:paraId="4E6C2613" w14:textId="77777777" w:rsidR="00F34D80" w:rsidRPr="00F34D80" w:rsidRDefault="00835FB4" w:rsidP="00835FB4">
      <w:pPr>
        <w:pStyle w:val="ListParagraph"/>
        <w:numPr>
          <w:ilvl w:val="0"/>
          <w:numId w:val="7"/>
        </w:numPr>
        <w:rPr>
          <w:b/>
          <w:bCs/>
        </w:rPr>
      </w:pPr>
      <w:r w:rsidRPr="00F34D80">
        <w:rPr>
          <w:b/>
          <w:bCs/>
        </w:rPr>
        <w:t>Are you aware of instances of under-declaration or over-declaration and what issues does this create for markets using SEPs?</w:t>
      </w:r>
    </w:p>
    <w:p w14:paraId="1870B3D5" w14:textId="79679DBA" w:rsidR="00835FB4" w:rsidRDefault="00F34D80" w:rsidP="00F34D80">
      <w:pPr>
        <w:ind w:firstLine="360"/>
      </w:pPr>
      <w:r w:rsidRPr="00CC0F05">
        <w:rPr>
          <w:i/>
          <w:iCs/>
        </w:rPr>
        <w:lastRenderedPageBreak/>
        <w:t>A:</w:t>
      </w:r>
      <w:r w:rsidR="003176D9">
        <w:br/>
      </w:r>
    </w:p>
    <w:p w14:paraId="7CF975EA" w14:textId="77777777" w:rsidR="00F34D80" w:rsidRPr="00F34D80" w:rsidRDefault="00835FB4" w:rsidP="00835FB4">
      <w:pPr>
        <w:pStyle w:val="ListParagraph"/>
        <w:numPr>
          <w:ilvl w:val="0"/>
          <w:numId w:val="7"/>
        </w:numPr>
        <w:rPr>
          <w:b/>
          <w:bCs/>
        </w:rPr>
      </w:pPr>
      <w:r w:rsidRPr="00F34D80">
        <w:rPr>
          <w:b/>
          <w:bCs/>
        </w:rPr>
        <w:t xml:space="preserve">Would the introduction of an essentiality check service by an independent party improve licensing negotiations? Who would be the appropriate independent party to undertake essentiality checks? </w:t>
      </w:r>
    </w:p>
    <w:p w14:paraId="36AFB24B" w14:textId="02BE1F50" w:rsidR="00835FB4" w:rsidRPr="00C10A66" w:rsidRDefault="00F34D80" w:rsidP="00F34D80">
      <w:pPr>
        <w:ind w:left="360"/>
      </w:pPr>
      <w:r w:rsidRPr="00CC0F05">
        <w:rPr>
          <w:i/>
          <w:iCs/>
        </w:rPr>
        <w:t>A:</w:t>
      </w:r>
      <w:r w:rsidR="003176D9">
        <w:br/>
      </w:r>
    </w:p>
    <w:p w14:paraId="5FD677F8" w14:textId="77777777" w:rsidR="00F34D80" w:rsidRPr="00F34D80" w:rsidRDefault="00835FB4" w:rsidP="00835FB4">
      <w:pPr>
        <w:pStyle w:val="ListParagraph"/>
        <w:numPr>
          <w:ilvl w:val="0"/>
          <w:numId w:val="7"/>
        </w:numPr>
        <w:rPr>
          <w:b/>
          <w:bCs/>
        </w:rPr>
      </w:pPr>
      <w:r w:rsidRPr="00F34D80">
        <w:rPr>
          <w:b/>
          <w:bCs/>
        </w:rPr>
        <w:t xml:space="preserve">How should an essentiality check take place? Should there be a level of legal certainty given to essentiality checks and assertions of essentiality by IPR holders? If so, how? </w:t>
      </w:r>
    </w:p>
    <w:p w14:paraId="0D57BEC4" w14:textId="32FB6A38" w:rsidR="00835FB4" w:rsidRDefault="00F34D80" w:rsidP="00F34D80">
      <w:pPr>
        <w:ind w:left="360"/>
      </w:pPr>
      <w:r w:rsidRPr="00CC0F05">
        <w:rPr>
          <w:i/>
          <w:iCs/>
        </w:rPr>
        <w:t>A:</w:t>
      </w:r>
      <w:r w:rsidR="003176D9">
        <w:br/>
      </w:r>
    </w:p>
    <w:p w14:paraId="5459D4BA" w14:textId="77777777" w:rsidR="00F34D80" w:rsidRPr="00F34D80" w:rsidRDefault="00835FB4" w:rsidP="00835FB4">
      <w:pPr>
        <w:pStyle w:val="ListParagraph"/>
        <w:numPr>
          <w:ilvl w:val="0"/>
          <w:numId w:val="7"/>
        </w:numPr>
        <w:rPr>
          <w:b/>
          <w:bCs/>
        </w:rPr>
      </w:pPr>
      <w:r w:rsidRPr="00F34D80">
        <w:rPr>
          <w:b/>
          <w:bCs/>
        </w:rPr>
        <w:t xml:space="preserve">As SEP portfolios are negotiated with individual implementers, in your view is there sufficient transparency around pricing available when </w:t>
      </w:r>
      <w:proofErr w:type="gramStart"/>
      <w:r w:rsidRPr="00F34D80">
        <w:rPr>
          <w:b/>
          <w:bCs/>
        </w:rPr>
        <w:t>entering into</w:t>
      </w:r>
      <w:proofErr w:type="gramEnd"/>
      <w:r w:rsidRPr="00F34D80">
        <w:rPr>
          <w:b/>
          <w:bCs/>
        </w:rPr>
        <w:t xml:space="preserve"> negotiation? Is there a justification under FRAND for different SEP implementers, using the SEP for the same purpose, to be charged different rates for market access? </w:t>
      </w:r>
    </w:p>
    <w:p w14:paraId="7A3E1EAB" w14:textId="78B8537E" w:rsidR="00835FB4" w:rsidRDefault="00F34D80" w:rsidP="00F34D80">
      <w:pPr>
        <w:ind w:left="360"/>
      </w:pPr>
      <w:r w:rsidRPr="00CC0F05">
        <w:rPr>
          <w:i/>
          <w:iCs/>
        </w:rPr>
        <w:t>A:</w:t>
      </w:r>
      <w:r w:rsidR="003176D9">
        <w:br/>
      </w:r>
    </w:p>
    <w:p w14:paraId="27113C19" w14:textId="0CCA6E96" w:rsidR="00835FB4" w:rsidRDefault="00835FB4" w:rsidP="00835FB4">
      <w:pPr>
        <w:pStyle w:val="ListParagraph"/>
        <w:numPr>
          <w:ilvl w:val="0"/>
          <w:numId w:val="7"/>
        </w:numPr>
        <w:rPr>
          <w:b/>
          <w:bCs/>
        </w:rPr>
      </w:pPr>
      <w:r w:rsidRPr="00F34D80">
        <w:rPr>
          <w:b/>
          <w:bCs/>
        </w:rPr>
        <w:t>Would some form of pricing transparency be appropriate for supporting implementers in FRAND pricing negotiations?</w:t>
      </w:r>
    </w:p>
    <w:p w14:paraId="4D012491" w14:textId="41C214E8" w:rsidR="00081556" w:rsidRPr="00081556" w:rsidRDefault="00081556" w:rsidP="00081556">
      <w:pPr>
        <w:ind w:left="360"/>
        <w:rPr>
          <w:b/>
          <w:bCs/>
        </w:rPr>
      </w:pPr>
      <w:r>
        <w:rPr>
          <w:i/>
          <w:iCs/>
        </w:rPr>
        <w:t>A:</w:t>
      </w:r>
    </w:p>
    <w:p w14:paraId="0819E809" w14:textId="77777777" w:rsidR="00835FB4" w:rsidRDefault="00835FB4" w:rsidP="00835FB4">
      <w:pPr>
        <w:rPr>
          <w:rFonts w:ascii="Calibri Light" w:eastAsia="Calibri Light" w:hAnsi="Calibri Light" w:cs="Calibri Light"/>
          <w:color w:val="404040" w:themeColor="text1" w:themeTint="BF"/>
          <w:sz w:val="28"/>
          <w:szCs w:val="28"/>
        </w:rPr>
      </w:pPr>
    </w:p>
    <w:p w14:paraId="3A9D9851" w14:textId="4FFC5213" w:rsidR="00835FB4" w:rsidRDefault="00835FB4" w:rsidP="00835FB4">
      <w:pPr>
        <w:pStyle w:val="Heading2"/>
        <w:rPr>
          <w:rFonts w:eastAsia="Calibri Light"/>
        </w:rPr>
      </w:pPr>
      <w:r w:rsidRPr="00175E44">
        <w:rPr>
          <w:rFonts w:eastAsia="Calibri Light"/>
        </w:rPr>
        <w:t>Framework</w:t>
      </w:r>
      <w:r>
        <w:rPr>
          <w:rFonts w:eastAsia="Calibri Light"/>
        </w:rPr>
        <w:t>s (patents, licensing, and litigation)</w:t>
      </w:r>
    </w:p>
    <w:p w14:paraId="1DE585F6" w14:textId="0950E6CB" w:rsidR="00F34D80" w:rsidRDefault="00F34D80" w:rsidP="00F34D80"/>
    <w:p w14:paraId="0361A441" w14:textId="77777777" w:rsidR="00F34D80" w:rsidRPr="00373A8F" w:rsidRDefault="00F34D80" w:rsidP="00F34D80">
      <w:pPr>
        <w:pStyle w:val="Heading3"/>
        <w:rPr>
          <w:rFonts w:eastAsia="Arial"/>
        </w:rPr>
      </w:pPr>
      <w:r w:rsidRPr="00373A8F">
        <w:rPr>
          <w:rFonts w:eastAsia="Arial"/>
        </w:rPr>
        <w:t>Patent</w:t>
      </w:r>
      <w:r>
        <w:rPr>
          <w:rFonts w:eastAsia="Arial"/>
        </w:rPr>
        <w:t xml:space="preserve"> infringement and remedies</w:t>
      </w:r>
    </w:p>
    <w:p w14:paraId="5AD7B378" w14:textId="200CEB6C" w:rsidR="003176D9" w:rsidRDefault="003176D9" w:rsidP="003176D9"/>
    <w:p w14:paraId="3FCF82E4" w14:textId="77777777" w:rsidR="003176D9" w:rsidRPr="003176D9" w:rsidRDefault="003176D9" w:rsidP="003176D9">
      <w:pPr>
        <w:pStyle w:val="ListParagraph"/>
        <w:numPr>
          <w:ilvl w:val="0"/>
          <w:numId w:val="8"/>
        </w:numPr>
        <w:rPr>
          <w:vanish/>
        </w:rPr>
      </w:pPr>
    </w:p>
    <w:p w14:paraId="3EB1AF34" w14:textId="77777777" w:rsidR="003176D9" w:rsidRPr="003176D9" w:rsidRDefault="003176D9" w:rsidP="003176D9">
      <w:pPr>
        <w:pStyle w:val="ListParagraph"/>
        <w:numPr>
          <w:ilvl w:val="0"/>
          <w:numId w:val="8"/>
        </w:numPr>
        <w:rPr>
          <w:vanish/>
        </w:rPr>
      </w:pPr>
    </w:p>
    <w:p w14:paraId="7771583C" w14:textId="77777777" w:rsidR="003176D9" w:rsidRPr="003176D9" w:rsidRDefault="003176D9" w:rsidP="003176D9">
      <w:pPr>
        <w:pStyle w:val="ListParagraph"/>
        <w:numPr>
          <w:ilvl w:val="0"/>
          <w:numId w:val="8"/>
        </w:numPr>
        <w:rPr>
          <w:vanish/>
        </w:rPr>
      </w:pPr>
    </w:p>
    <w:p w14:paraId="55213F65" w14:textId="77777777" w:rsidR="003176D9" w:rsidRPr="003176D9" w:rsidRDefault="003176D9" w:rsidP="003176D9">
      <w:pPr>
        <w:pStyle w:val="ListParagraph"/>
        <w:numPr>
          <w:ilvl w:val="0"/>
          <w:numId w:val="8"/>
        </w:numPr>
        <w:rPr>
          <w:vanish/>
        </w:rPr>
      </w:pPr>
    </w:p>
    <w:p w14:paraId="0364A723" w14:textId="77777777" w:rsidR="003176D9" w:rsidRPr="003176D9" w:rsidRDefault="003176D9" w:rsidP="003176D9">
      <w:pPr>
        <w:pStyle w:val="ListParagraph"/>
        <w:numPr>
          <w:ilvl w:val="0"/>
          <w:numId w:val="8"/>
        </w:numPr>
        <w:rPr>
          <w:vanish/>
        </w:rPr>
      </w:pPr>
    </w:p>
    <w:p w14:paraId="2CD172BC" w14:textId="77777777" w:rsidR="003176D9" w:rsidRPr="003176D9" w:rsidRDefault="003176D9" w:rsidP="003176D9">
      <w:pPr>
        <w:pStyle w:val="ListParagraph"/>
        <w:numPr>
          <w:ilvl w:val="0"/>
          <w:numId w:val="8"/>
        </w:numPr>
        <w:rPr>
          <w:vanish/>
        </w:rPr>
      </w:pPr>
    </w:p>
    <w:p w14:paraId="6AE4F526" w14:textId="77777777" w:rsidR="003176D9" w:rsidRPr="003176D9" w:rsidRDefault="003176D9" w:rsidP="003176D9">
      <w:pPr>
        <w:pStyle w:val="ListParagraph"/>
        <w:numPr>
          <w:ilvl w:val="0"/>
          <w:numId w:val="8"/>
        </w:numPr>
        <w:rPr>
          <w:vanish/>
        </w:rPr>
      </w:pPr>
    </w:p>
    <w:p w14:paraId="77E0B15E" w14:textId="77777777" w:rsidR="003176D9" w:rsidRPr="003176D9" w:rsidRDefault="003176D9" w:rsidP="003176D9">
      <w:pPr>
        <w:pStyle w:val="ListParagraph"/>
        <w:numPr>
          <w:ilvl w:val="0"/>
          <w:numId w:val="8"/>
        </w:numPr>
        <w:rPr>
          <w:vanish/>
        </w:rPr>
      </w:pPr>
    </w:p>
    <w:p w14:paraId="0A9DC1D3" w14:textId="77777777" w:rsidR="003176D9" w:rsidRPr="003176D9" w:rsidRDefault="003176D9" w:rsidP="003176D9">
      <w:pPr>
        <w:pStyle w:val="ListParagraph"/>
        <w:numPr>
          <w:ilvl w:val="0"/>
          <w:numId w:val="8"/>
        </w:numPr>
        <w:rPr>
          <w:vanish/>
        </w:rPr>
      </w:pPr>
    </w:p>
    <w:p w14:paraId="5B9FC2EB" w14:textId="77777777" w:rsidR="003176D9" w:rsidRPr="003176D9" w:rsidRDefault="003176D9" w:rsidP="003176D9">
      <w:pPr>
        <w:pStyle w:val="ListParagraph"/>
        <w:numPr>
          <w:ilvl w:val="0"/>
          <w:numId w:val="8"/>
        </w:numPr>
        <w:rPr>
          <w:vanish/>
        </w:rPr>
      </w:pPr>
    </w:p>
    <w:p w14:paraId="413E4B52" w14:textId="77777777" w:rsidR="003176D9" w:rsidRPr="003176D9" w:rsidRDefault="003176D9" w:rsidP="003176D9">
      <w:pPr>
        <w:pStyle w:val="ListParagraph"/>
        <w:numPr>
          <w:ilvl w:val="0"/>
          <w:numId w:val="8"/>
        </w:numPr>
        <w:rPr>
          <w:vanish/>
        </w:rPr>
      </w:pPr>
    </w:p>
    <w:p w14:paraId="5A535113" w14:textId="77777777" w:rsidR="003176D9" w:rsidRPr="003176D9" w:rsidRDefault="003176D9" w:rsidP="003176D9">
      <w:pPr>
        <w:pStyle w:val="ListParagraph"/>
        <w:numPr>
          <w:ilvl w:val="0"/>
          <w:numId w:val="8"/>
        </w:numPr>
        <w:rPr>
          <w:vanish/>
        </w:rPr>
      </w:pPr>
    </w:p>
    <w:p w14:paraId="0C87C79A" w14:textId="5267F173" w:rsidR="003176D9" w:rsidRPr="00F34D80" w:rsidRDefault="003176D9" w:rsidP="003176D9">
      <w:pPr>
        <w:pStyle w:val="ListParagraph"/>
        <w:numPr>
          <w:ilvl w:val="0"/>
          <w:numId w:val="8"/>
        </w:numPr>
        <w:rPr>
          <w:b/>
          <w:bCs/>
        </w:rPr>
      </w:pPr>
      <w:r w:rsidRPr="00F34D80">
        <w:rPr>
          <w:b/>
          <w:bCs/>
        </w:rPr>
        <w:t>Views are sought from respondents on the role that the patent system plays in the development of SEPs and FRAND licensing and whether there are issues within current practice (including law and court judgments) that create issues for innovators. Please include case studies or worked examples, if possible.</w:t>
      </w:r>
    </w:p>
    <w:p w14:paraId="78A6992C" w14:textId="2818B637" w:rsidR="00F34D80" w:rsidRDefault="00F34D80" w:rsidP="00F34D80">
      <w:pPr>
        <w:ind w:left="360"/>
      </w:pPr>
      <w:r w:rsidRPr="00CC0F05">
        <w:rPr>
          <w:i/>
          <w:iCs/>
        </w:rPr>
        <w:t>A:</w:t>
      </w:r>
    </w:p>
    <w:p w14:paraId="21E8090B" w14:textId="77777777" w:rsidR="003176D9" w:rsidRDefault="003176D9" w:rsidP="003176D9">
      <w:pPr>
        <w:pStyle w:val="ListParagraph"/>
      </w:pPr>
    </w:p>
    <w:p w14:paraId="04F9E533" w14:textId="57132A21" w:rsidR="003176D9" w:rsidRPr="00F34D80" w:rsidRDefault="003176D9" w:rsidP="003176D9">
      <w:pPr>
        <w:pStyle w:val="ListParagraph"/>
        <w:numPr>
          <w:ilvl w:val="0"/>
          <w:numId w:val="8"/>
        </w:numPr>
        <w:rPr>
          <w:b/>
          <w:bCs/>
        </w:rPr>
      </w:pPr>
      <w:r w:rsidRPr="00F34D80">
        <w:rPr>
          <w:b/>
          <w:bCs/>
        </w:rPr>
        <w:t xml:space="preserve">As patents are territorial in nature, does the current patent regime create a fair global market? Do SEP licensing costs vary by region? </w:t>
      </w:r>
    </w:p>
    <w:p w14:paraId="15441F23" w14:textId="399205A1" w:rsidR="00F34D80" w:rsidRDefault="00F34D80" w:rsidP="00F34D80">
      <w:pPr>
        <w:ind w:left="360"/>
      </w:pPr>
      <w:r w:rsidRPr="00CC0F05">
        <w:rPr>
          <w:i/>
          <w:iCs/>
        </w:rPr>
        <w:t>A:</w:t>
      </w:r>
    </w:p>
    <w:p w14:paraId="5B0BF419" w14:textId="77777777" w:rsidR="003176D9" w:rsidRDefault="003176D9" w:rsidP="003176D9">
      <w:pPr>
        <w:pStyle w:val="ListParagraph"/>
      </w:pPr>
    </w:p>
    <w:p w14:paraId="5C303DFB" w14:textId="31EEC509" w:rsidR="003176D9" w:rsidRPr="00F34D80" w:rsidRDefault="003176D9" w:rsidP="003176D9">
      <w:pPr>
        <w:pStyle w:val="ListParagraph"/>
        <w:numPr>
          <w:ilvl w:val="0"/>
          <w:numId w:val="8"/>
        </w:numPr>
        <w:rPr>
          <w:b/>
          <w:bCs/>
        </w:rPr>
      </w:pPr>
      <w:r w:rsidRPr="00F34D80">
        <w:rPr>
          <w:b/>
          <w:bCs/>
        </w:rPr>
        <w:t>Are legal actions and injunctive actions taken equally against infringers of SEPs, regardless of their territorial presence?</w:t>
      </w:r>
    </w:p>
    <w:p w14:paraId="3009B20D" w14:textId="202109C2" w:rsidR="00F34D80" w:rsidRDefault="00F34D80" w:rsidP="00F34D80">
      <w:pPr>
        <w:ind w:left="360"/>
      </w:pPr>
      <w:r w:rsidRPr="00CC0F05">
        <w:rPr>
          <w:i/>
          <w:iCs/>
        </w:rPr>
        <w:t>A:</w:t>
      </w:r>
    </w:p>
    <w:p w14:paraId="41C6BC32" w14:textId="77777777" w:rsidR="003176D9" w:rsidRDefault="003176D9" w:rsidP="003176D9">
      <w:pPr>
        <w:pStyle w:val="ListParagraph"/>
      </w:pPr>
    </w:p>
    <w:p w14:paraId="32A50D9B" w14:textId="2E801D3C" w:rsidR="003176D9" w:rsidRPr="00F34D80" w:rsidRDefault="003176D9" w:rsidP="003176D9">
      <w:pPr>
        <w:pStyle w:val="ListParagraph"/>
        <w:numPr>
          <w:ilvl w:val="0"/>
          <w:numId w:val="8"/>
        </w:numPr>
        <w:rPr>
          <w:b/>
          <w:bCs/>
        </w:rPr>
      </w:pPr>
      <w:r w:rsidRPr="00F34D80">
        <w:rPr>
          <w:b/>
          <w:bCs/>
        </w:rPr>
        <w:t>Does the current framework work for you in enforcing your rights conferred by holding the patent? For example, are injunctions an effective tool? What is the impact of anti-suit injunctions by implementers?</w:t>
      </w:r>
    </w:p>
    <w:p w14:paraId="03EE64C3" w14:textId="6ABFD35F" w:rsidR="00F34D80" w:rsidRDefault="00F34D80" w:rsidP="00F34D80">
      <w:pPr>
        <w:ind w:left="360"/>
        <w:rPr>
          <w:i/>
          <w:iCs/>
        </w:rPr>
      </w:pPr>
      <w:r w:rsidRPr="00CC0F05">
        <w:rPr>
          <w:i/>
          <w:iCs/>
        </w:rPr>
        <w:t>A:</w:t>
      </w:r>
    </w:p>
    <w:p w14:paraId="5C1CDB65" w14:textId="77777777" w:rsidR="00F34D80" w:rsidRDefault="00F34D80" w:rsidP="00F34D80">
      <w:pPr>
        <w:ind w:left="360"/>
      </w:pPr>
    </w:p>
    <w:p w14:paraId="0107B83F" w14:textId="3DC9333F" w:rsidR="003176D9" w:rsidRDefault="00F34D80" w:rsidP="00F34D80">
      <w:pPr>
        <w:pStyle w:val="Heading3"/>
      </w:pPr>
      <w:r w:rsidRPr="00380E31">
        <w:rPr>
          <w:rFonts w:eastAsia="Arial"/>
        </w:rPr>
        <w:t>Licensing of SEPs</w:t>
      </w:r>
    </w:p>
    <w:p w14:paraId="62B4FE44" w14:textId="548B53B0" w:rsidR="00F34D80" w:rsidRDefault="00F34D80" w:rsidP="003176D9">
      <w:pPr>
        <w:pStyle w:val="ListParagraph"/>
      </w:pPr>
    </w:p>
    <w:p w14:paraId="001670BE" w14:textId="77777777" w:rsidR="00F34D80" w:rsidRDefault="00F34D80" w:rsidP="003176D9">
      <w:pPr>
        <w:pStyle w:val="ListParagraph"/>
      </w:pPr>
    </w:p>
    <w:p w14:paraId="1A1F71D2" w14:textId="77777777" w:rsidR="00F34D80" w:rsidRPr="00F34D80" w:rsidRDefault="003176D9" w:rsidP="003176D9">
      <w:pPr>
        <w:pStyle w:val="ListParagraph"/>
        <w:numPr>
          <w:ilvl w:val="0"/>
          <w:numId w:val="8"/>
        </w:numPr>
        <w:rPr>
          <w:b/>
          <w:bCs/>
        </w:rPr>
      </w:pPr>
      <w:r w:rsidRPr="00F34D80">
        <w:rPr>
          <w:b/>
          <w:bCs/>
        </w:rPr>
        <w:t xml:space="preserve">In your view, how should the SEPs and FRAND licensing ecosystem adapt to new standard development for emerging technologies </w:t>
      </w:r>
    </w:p>
    <w:p w14:paraId="278DF4B2" w14:textId="7F4DF223" w:rsidR="003176D9" w:rsidRPr="002E2FB6" w:rsidRDefault="00F34D80" w:rsidP="00F34D80">
      <w:pPr>
        <w:ind w:left="360"/>
      </w:pPr>
      <w:r w:rsidRPr="00CC0F05">
        <w:rPr>
          <w:i/>
          <w:iCs/>
        </w:rPr>
        <w:t>A:</w:t>
      </w:r>
      <w:r w:rsidR="003176D9">
        <w:br/>
      </w:r>
    </w:p>
    <w:p w14:paraId="34268E04" w14:textId="77777777" w:rsidR="00F34D80" w:rsidRPr="00F34D80" w:rsidRDefault="003176D9" w:rsidP="003176D9">
      <w:pPr>
        <w:pStyle w:val="ListParagraph"/>
        <w:numPr>
          <w:ilvl w:val="0"/>
          <w:numId w:val="8"/>
        </w:numPr>
        <w:rPr>
          <w:b/>
          <w:bCs/>
        </w:rPr>
      </w:pPr>
      <w:r w:rsidRPr="00F34D80">
        <w:rPr>
          <w:b/>
          <w:bCs/>
        </w:rPr>
        <w:t xml:space="preserve">What if any, flexibilities exist within the IP framework that could improve the efficiency of obtaining a license for implementers? </w:t>
      </w:r>
    </w:p>
    <w:p w14:paraId="0BF12B1B" w14:textId="0F8246E7" w:rsidR="003176D9" w:rsidRPr="009D79E1" w:rsidRDefault="00F34D80" w:rsidP="00F34D80">
      <w:pPr>
        <w:ind w:left="360"/>
      </w:pPr>
      <w:r w:rsidRPr="00CC0F05">
        <w:rPr>
          <w:i/>
          <w:iCs/>
        </w:rPr>
        <w:t>A:</w:t>
      </w:r>
      <w:r w:rsidR="003176D9">
        <w:br/>
      </w:r>
    </w:p>
    <w:p w14:paraId="1677554C" w14:textId="77777777" w:rsidR="00F34D80" w:rsidRPr="00F34D80" w:rsidRDefault="003176D9" w:rsidP="003176D9">
      <w:pPr>
        <w:pStyle w:val="ListParagraph"/>
        <w:numPr>
          <w:ilvl w:val="0"/>
          <w:numId w:val="8"/>
        </w:numPr>
        <w:rPr>
          <w:b/>
          <w:bCs/>
        </w:rPr>
      </w:pPr>
      <w:r w:rsidRPr="00F34D80">
        <w:rPr>
          <w:b/>
          <w:bCs/>
        </w:rPr>
        <w:t xml:space="preserve">Do you have any views on any other ways of improving efficiency within the licensing landscape of SEPs? </w:t>
      </w:r>
    </w:p>
    <w:p w14:paraId="3E0F6780" w14:textId="4168DA76" w:rsidR="003176D9" w:rsidRPr="009D79E1" w:rsidRDefault="00F34D80" w:rsidP="00F34D80">
      <w:pPr>
        <w:ind w:left="360"/>
      </w:pPr>
      <w:r w:rsidRPr="00CC0F05">
        <w:rPr>
          <w:i/>
          <w:iCs/>
        </w:rPr>
        <w:t>A:</w:t>
      </w:r>
      <w:r w:rsidR="003176D9">
        <w:br/>
      </w:r>
    </w:p>
    <w:p w14:paraId="68F954CF" w14:textId="77777777" w:rsidR="00F34D80" w:rsidRPr="00F34D80" w:rsidRDefault="003176D9" w:rsidP="003176D9">
      <w:pPr>
        <w:pStyle w:val="ListParagraph"/>
        <w:numPr>
          <w:ilvl w:val="0"/>
          <w:numId w:val="8"/>
        </w:numPr>
        <w:rPr>
          <w:b/>
          <w:bCs/>
        </w:rPr>
      </w:pPr>
      <w:r w:rsidRPr="00F34D80">
        <w:rPr>
          <w:b/>
          <w:bCs/>
        </w:rPr>
        <w:t xml:space="preserve">Would better use and access to patent pools offer improved efficiency around SEPs licensing? Or would greater use/access create barriers for innovators if there were limitations introduced i.e. cross-licensing? </w:t>
      </w:r>
    </w:p>
    <w:p w14:paraId="70027848" w14:textId="2653F079" w:rsidR="003176D9" w:rsidRPr="009D79E1" w:rsidRDefault="00F34D80" w:rsidP="00F34D80">
      <w:pPr>
        <w:ind w:left="360"/>
      </w:pPr>
      <w:r w:rsidRPr="00CC0F05">
        <w:rPr>
          <w:i/>
          <w:iCs/>
        </w:rPr>
        <w:t>A:</w:t>
      </w:r>
      <w:r w:rsidR="003176D9">
        <w:br/>
      </w:r>
    </w:p>
    <w:p w14:paraId="2BC3A571" w14:textId="77777777" w:rsidR="00F34D80" w:rsidRPr="00F34D80" w:rsidRDefault="003176D9" w:rsidP="003176D9">
      <w:pPr>
        <w:pStyle w:val="ListParagraph"/>
        <w:numPr>
          <w:ilvl w:val="0"/>
          <w:numId w:val="8"/>
        </w:numPr>
        <w:rPr>
          <w:b/>
          <w:bCs/>
        </w:rPr>
      </w:pPr>
      <w:r w:rsidRPr="00F34D80">
        <w:rPr>
          <w:b/>
          <w:bCs/>
        </w:rPr>
        <w:t>How are patent pools best created? To what extent should States, SDOs or other appropriate entities be involved (or excluded) from setting up patent pools?</w:t>
      </w:r>
    </w:p>
    <w:p w14:paraId="29CD59BE" w14:textId="0EDC3791" w:rsidR="003176D9" w:rsidRPr="009D79E1" w:rsidRDefault="00F34D80" w:rsidP="00F34D80">
      <w:pPr>
        <w:ind w:left="360"/>
      </w:pPr>
      <w:r w:rsidRPr="00CC0F05">
        <w:rPr>
          <w:i/>
          <w:iCs/>
        </w:rPr>
        <w:t>A:</w:t>
      </w:r>
      <w:r w:rsidR="003176D9">
        <w:br/>
      </w:r>
    </w:p>
    <w:p w14:paraId="59C721B8" w14:textId="77777777" w:rsidR="00F34D80" w:rsidRPr="00F34D80" w:rsidRDefault="003176D9" w:rsidP="003176D9">
      <w:pPr>
        <w:pStyle w:val="ListParagraph"/>
        <w:numPr>
          <w:ilvl w:val="0"/>
          <w:numId w:val="8"/>
        </w:numPr>
        <w:rPr>
          <w:b/>
          <w:bCs/>
        </w:rPr>
      </w:pPr>
      <w:r w:rsidRPr="00F34D80">
        <w:rPr>
          <w:b/>
          <w:bCs/>
        </w:rPr>
        <w:t xml:space="preserve">Are there alternative ways to address disputes on pricing mechanisms? For example, what point in the value chain provides an economic basis to calculate rates payable? </w:t>
      </w:r>
    </w:p>
    <w:p w14:paraId="45F8A3F7" w14:textId="7D3737D4" w:rsidR="003176D9" w:rsidRPr="00F34D80" w:rsidRDefault="00F34D80" w:rsidP="00F34D80">
      <w:pPr>
        <w:ind w:left="360"/>
      </w:pPr>
      <w:r w:rsidRPr="00CC0F05">
        <w:rPr>
          <w:i/>
          <w:iCs/>
        </w:rPr>
        <w:t>A:</w:t>
      </w:r>
      <w:r w:rsidR="003176D9">
        <w:br/>
      </w:r>
    </w:p>
    <w:p w14:paraId="5222D3C3" w14:textId="4A65BF78" w:rsidR="003176D9" w:rsidRPr="00F34D80" w:rsidRDefault="003176D9" w:rsidP="003176D9">
      <w:pPr>
        <w:pStyle w:val="ListParagraph"/>
        <w:numPr>
          <w:ilvl w:val="0"/>
          <w:numId w:val="8"/>
        </w:numPr>
        <w:rPr>
          <w:b/>
          <w:bCs/>
        </w:rPr>
      </w:pPr>
      <w:r w:rsidRPr="00F34D80">
        <w:rPr>
          <w:b/>
          <w:bCs/>
        </w:rPr>
        <w:t>How could schemes where there are specific definitions of what costs are allowable (percentage limits etc.) best be utilised?</w:t>
      </w:r>
    </w:p>
    <w:p w14:paraId="3C6F3762" w14:textId="5A19A382" w:rsidR="00F34D80" w:rsidRDefault="00F34D80" w:rsidP="00F34D80">
      <w:pPr>
        <w:ind w:left="360"/>
        <w:rPr>
          <w:i/>
          <w:iCs/>
        </w:rPr>
      </w:pPr>
      <w:r w:rsidRPr="00CC0F05">
        <w:rPr>
          <w:i/>
          <w:iCs/>
        </w:rPr>
        <w:t>A:</w:t>
      </w:r>
    </w:p>
    <w:p w14:paraId="7FAFBEF4" w14:textId="143D8444" w:rsidR="005F67BC" w:rsidRDefault="005F67BC" w:rsidP="005F67BC">
      <w:pPr>
        <w:rPr>
          <w:i/>
          <w:iCs/>
        </w:rPr>
      </w:pPr>
    </w:p>
    <w:p w14:paraId="0CC909BD" w14:textId="77777777" w:rsidR="005F67BC" w:rsidRPr="00C74621" w:rsidRDefault="005F67BC" w:rsidP="005F67BC">
      <w:pPr>
        <w:pStyle w:val="Heading3"/>
        <w:rPr>
          <w:rFonts w:eastAsia="Arial"/>
        </w:rPr>
      </w:pPr>
      <w:r w:rsidRPr="00C74621">
        <w:rPr>
          <w:rFonts w:eastAsia="Arial"/>
        </w:rPr>
        <w:t>SEP Litigation</w:t>
      </w:r>
    </w:p>
    <w:p w14:paraId="432F3959" w14:textId="05B7D238" w:rsidR="003176D9" w:rsidRDefault="003176D9" w:rsidP="003176D9">
      <w:pPr>
        <w:pStyle w:val="ListParagraph"/>
      </w:pPr>
    </w:p>
    <w:p w14:paraId="0569A958" w14:textId="77777777" w:rsidR="00F34D80" w:rsidRPr="00F34D80" w:rsidRDefault="003176D9" w:rsidP="00CC0F05">
      <w:pPr>
        <w:pStyle w:val="ListParagraph"/>
        <w:numPr>
          <w:ilvl w:val="0"/>
          <w:numId w:val="8"/>
        </w:numPr>
        <w:rPr>
          <w:b/>
          <w:bCs/>
        </w:rPr>
      </w:pPr>
      <w:r w:rsidRPr="00F34D80">
        <w:rPr>
          <w:b/>
          <w:bCs/>
        </w:rPr>
        <w:t xml:space="preserve">In your view, what are the benefits or drawbacks of national courts setting global licensing rates? </w:t>
      </w:r>
    </w:p>
    <w:p w14:paraId="5EB36519" w14:textId="09976CB3" w:rsidR="003176D9" w:rsidRPr="009D79E1" w:rsidRDefault="00F34D80" w:rsidP="00F34D80">
      <w:pPr>
        <w:ind w:left="360"/>
      </w:pPr>
      <w:r w:rsidRPr="00CC0F05">
        <w:rPr>
          <w:i/>
          <w:iCs/>
        </w:rPr>
        <w:t>A:</w:t>
      </w:r>
      <w:r w:rsidR="00CC0F05">
        <w:br/>
      </w:r>
    </w:p>
    <w:p w14:paraId="3F5B4561" w14:textId="77777777" w:rsidR="00F34D80" w:rsidRPr="00F34D80" w:rsidRDefault="003176D9" w:rsidP="00CC0F05">
      <w:pPr>
        <w:pStyle w:val="ListParagraph"/>
        <w:numPr>
          <w:ilvl w:val="0"/>
          <w:numId w:val="8"/>
        </w:numPr>
        <w:rPr>
          <w:b/>
          <w:bCs/>
        </w:rPr>
      </w:pPr>
      <w:r w:rsidRPr="00F34D80">
        <w:rPr>
          <w:b/>
          <w:bCs/>
        </w:rPr>
        <w:t xml:space="preserve">Is reliance on courts to determine on a case by case basis whether a licence is FRAND efficient? </w:t>
      </w:r>
    </w:p>
    <w:p w14:paraId="233A45E1" w14:textId="1A66CAD8" w:rsidR="003176D9" w:rsidRPr="009D79E1" w:rsidRDefault="00F34D80" w:rsidP="00F34D80">
      <w:pPr>
        <w:ind w:left="360"/>
      </w:pPr>
      <w:r w:rsidRPr="00CC0F05">
        <w:rPr>
          <w:i/>
          <w:iCs/>
        </w:rPr>
        <w:t>A:</w:t>
      </w:r>
      <w:r w:rsidR="00CC0F05">
        <w:br/>
      </w:r>
    </w:p>
    <w:p w14:paraId="7E7FA17F" w14:textId="77777777" w:rsidR="00F34D80" w:rsidRPr="00F34D80" w:rsidRDefault="003176D9" w:rsidP="00CC0F05">
      <w:pPr>
        <w:pStyle w:val="ListParagraph"/>
        <w:numPr>
          <w:ilvl w:val="0"/>
          <w:numId w:val="8"/>
        </w:numPr>
        <w:rPr>
          <w:b/>
          <w:bCs/>
        </w:rPr>
      </w:pPr>
      <w:r w:rsidRPr="00F34D80">
        <w:rPr>
          <w:b/>
          <w:bCs/>
        </w:rPr>
        <w:lastRenderedPageBreak/>
        <w:t xml:space="preserve">How should industry led approaches for specific areas of SEPs arbitration be explored further? Do you also have views on alternatives to industry led solutions, for example government providing alternative ways of determining and resolving FRAND licensing disputes?   </w:t>
      </w:r>
    </w:p>
    <w:p w14:paraId="0D977B65" w14:textId="11A3D3E6" w:rsidR="003176D9" w:rsidRPr="009D79E1" w:rsidRDefault="00F34D80" w:rsidP="00F34D80">
      <w:pPr>
        <w:ind w:left="360"/>
      </w:pPr>
      <w:r w:rsidRPr="00CC0F05">
        <w:rPr>
          <w:i/>
          <w:iCs/>
        </w:rPr>
        <w:t>A:</w:t>
      </w:r>
      <w:r w:rsidR="00CC0F05">
        <w:br/>
      </w:r>
    </w:p>
    <w:p w14:paraId="070C89CB" w14:textId="70E61AAC" w:rsidR="003176D9" w:rsidRDefault="003176D9" w:rsidP="00CC0F05">
      <w:pPr>
        <w:pStyle w:val="ListParagraph"/>
        <w:numPr>
          <w:ilvl w:val="0"/>
          <w:numId w:val="8"/>
        </w:numPr>
        <w:rPr>
          <w:b/>
          <w:bCs/>
        </w:rPr>
      </w:pPr>
      <w:r w:rsidRPr="00F34D80">
        <w:rPr>
          <w:b/>
          <w:bCs/>
        </w:rPr>
        <w:t>Are there already effective alternative means of arbitration and dispute resolution away from courts in respect of FRAND licensing?</w:t>
      </w:r>
    </w:p>
    <w:p w14:paraId="469A1FA9" w14:textId="235D4FCA" w:rsidR="00081556" w:rsidRPr="00081556" w:rsidRDefault="00081556" w:rsidP="00081556">
      <w:pPr>
        <w:ind w:left="360"/>
        <w:rPr>
          <w:b/>
          <w:bCs/>
        </w:rPr>
      </w:pPr>
      <w:r>
        <w:rPr>
          <w:i/>
          <w:iCs/>
        </w:rPr>
        <w:t>A:</w:t>
      </w:r>
    </w:p>
    <w:p w14:paraId="5FAE3F80" w14:textId="77777777" w:rsidR="00CC0F05" w:rsidRPr="00CC0F05" w:rsidRDefault="00CC0F05" w:rsidP="00CC0F05">
      <w:pPr>
        <w:rPr>
          <w:rFonts w:ascii="Calibri Light" w:eastAsia="Calibri Light" w:hAnsi="Calibri Light" w:cs="Calibri Light"/>
          <w:color w:val="404040" w:themeColor="text1" w:themeTint="BF"/>
          <w:sz w:val="28"/>
          <w:szCs w:val="28"/>
        </w:rPr>
      </w:pPr>
    </w:p>
    <w:p w14:paraId="36F0B295" w14:textId="1A8E49B4" w:rsidR="00CC0F05" w:rsidRPr="00CC0F05" w:rsidRDefault="00CC0F05" w:rsidP="00F34D80">
      <w:pPr>
        <w:pStyle w:val="Heading2"/>
        <w:rPr>
          <w:rFonts w:eastAsia="Calibri Light"/>
        </w:rPr>
      </w:pPr>
      <w:r w:rsidRPr="00CC0F05">
        <w:rPr>
          <w:rFonts w:eastAsia="Calibri Light"/>
        </w:rPr>
        <w:t xml:space="preserve">Other </w:t>
      </w:r>
      <w:r w:rsidRPr="00CC0F05">
        <w:t>questions</w:t>
      </w:r>
      <w:r w:rsidRPr="00CC0F05">
        <w:rPr>
          <w:rFonts w:eastAsia="Calibri Light"/>
        </w:rPr>
        <w:t>:</w:t>
      </w:r>
    </w:p>
    <w:p w14:paraId="4AFFDBF0" w14:textId="77777777" w:rsidR="00CC0F05" w:rsidRPr="00CC0F05" w:rsidRDefault="00CC0F05" w:rsidP="00CC0F05">
      <w:pPr>
        <w:rPr>
          <w:rFonts w:ascii="Calibri Light" w:eastAsia="Calibri Light" w:hAnsi="Calibri Light" w:cs="Calibri Light"/>
          <w:color w:val="404040" w:themeColor="text1" w:themeTint="BF"/>
          <w:sz w:val="28"/>
          <w:szCs w:val="28"/>
        </w:rPr>
      </w:pPr>
    </w:p>
    <w:p w14:paraId="28BD67F3" w14:textId="54A56FE9" w:rsidR="00CC0F05" w:rsidRDefault="00CC0F05" w:rsidP="00F34D80">
      <w:r w:rsidRPr="00CC0F05">
        <w:t>Please add any other comments or evidence the government should be made aware of here:</w:t>
      </w:r>
    </w:p>
    <w:p w14:paraId="393BA868" w14:textId="77777777" w:rsidR="003176D9" w:rsidRPr="003176D9" w:rsidRDefault="003176D9" w:rsidP="003176D9"/>
    <w:sectPr w:rsidR="003176D9" w:rsidRPr="003176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E6874" w14:textId="77777777" w:rsidR="00684AF0" w:rsidRDefault="00684AF0" w:rsidP="005F67BC">
      <w:pPr>
        <w:spacing w:after="0" w:line="240" w:lineRule="auto"/>
      </w:pPr>
      <w:r>
        <w:separator/>
      </w:r>
    </w:p>
  </w:endnote>
  <w:endnote w:type="continuationSeparator" w:id="0">
    <w:p w14:paraId="1F7BC60F" w14:textId="77777777" w:rsidR="00684AF0" w:rsidRDefault="00684AF0" w:rsidP="005F6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794CB" w14:textId="77777777" w:rsidR="00684AF0" w:rsidRDefault="00684AF0" w:rsidP="005F67BC">
      <w:pPr>
        <w:spacing w:after="0" w:line="240" w:lineRule="auto"/>
      </w:pPr>
      <w:r>
        <w:separator/>
      </w:r>
    </w:p>
  </w:footnote>
  <w:footnote w:type="continuationSeparator" w:id="0">
    <w:p w14:paraId="467F478A" w14:textId="77777777" w:rsidR="00684AF0" w:rsidRDefault="00684AF0" w:rsidP="005F67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4542"/>
    <w:multiLevelType w:val="hybridMultilevel"/>
    <w:tmpl w:val="931AE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3025B"/>
    <w:multiLevelType w:val="hybridMultilevel"/>
    <w:tmpl w:val="06287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7A6A59"/>
    <w:multiLevelType w:val="hybridMultilevel"/>
    <w:tmpl w:val="49A81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E52A65"/>
    <w:multiLevelType w:val="hybridMultilevel"/>
    <w:tmpl w:val="53681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F8229B"/>
    <w:multiLevelType w:val="hybridMultilevel"/>
    <w:tmpl w:val="A7E80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EE3A4E"/>
    <w:multiLevelType w:val="hybridMultilevel"/>
    <w:tmpl w:val="08D8A9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424988"/>
    <w:multiLevelType w:val="hybridMultilevel"/>
    <w:tmpl w:val="4D02C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3238AB"/>
    <w:multiLevelType w:val="hybridMultilevel"/>
    <w:tmpl w:val="D5300F50"/>
    <w:lvl w:ilvl="0" w:tplc="C55CE5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2B35A2"/>
    <w:multiLevelType w:val="hybridMultilevel"/>
    <w:tmpl w:val="A96E5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3"/>
  </w:num>
  <w:num w:numId="5">
    <w:abstractNumId w:val="2"/>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B4"/>
    <w:rsid w:val="000767BC"/>
    <w:rsid w:val="00081556"/>
    <w:rsid w:val="001204EF"/>
    <w:rsid w:val="0015465F"/>
    <w:rsid w:val="001F6573"/>
    <w:rsid w:val="00294430"/>
    <w:rsid w:val="00295D7E"/>
    <w:rsid w:val="00312CCB"/>
    <w:rsid w:val="003176D9"/>
    <w:rsid w:val="003831EC"/>
    <w:rsid w:val="005A25FB"/>
    <w:rsid w:val="005F67BC"/>
    <w:rsid w:val="00611FAC"/>
    <w:rsid w:val="00682102"/>
    <w:rsid w:val="00684AF0"/>
    <w:rsid w:val="006A296E"/>
    <w:rsid w:val="00804F85"/>
    <w:rsid w:val="00817A32"/>
    <w:rsid w:val="00835FB4"/>
    <w:rsid w:val="00876235"/>
    <w:rsid w:val="008911D0"/>
    <w:rsid w:val="008D3AF4"/>
    <w:rsid w:val="00A1694D"/>
    <w:rsid w:val="00A50AAF"/>
    <w:rsid w:val="00AA3D69"/>
    <w:rsid w:val="00B42D31"/>
    <w:rsid w:val="00C61A4E"/>
    <w:rsid w:val="00CB1992"/>
    <w:rsid w:val="00CC0F05"/>
    <w:rsid w:val="00CE4DE0"/>
    <w:rsid w:val="00D21066"/>
    <w:rsid w:val="00D32D3D"/>
    <w:rsid w:val="00DA716F"/>
    <w:rsid w:val="00DE2B72"/>
    <w:rsid w:val="00E00574"/>
    <w:rsid w:val="00E15F44"/>
    <w:rsid w:val="00E5507F"/>
    <w:rsid w:val="00E9448D"/>
    <w:rsid w:val="00EE0C3D"/>
    <w:rsid w:val="00F34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1EDA2"/>
  <w15:chartTrackingRefBased/>
  <w15:docId w15:val="{572670A3-C45B-42D8-A498-204C07C2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D80"/>
    <w:rPr>
      <w:rFonts w:ascii="Arial" w:hAnsi="Arial"/>
      <w:sz w:val="20"/>
    </w:rPr>
  </w:style>
  <w:style w:type="paragraph" w:styleId="Heading1">
    <w:name w:val="heading 1"/>
    <w:basedOn w:val="Normal"/>
    <w:next w:val="Normal"/>
    <w:link w:val="Heading1Char"/>
    <w:uiPriority w:val="9"/>
    <w:qFormat/>
    <w:rsid w:val="00F34D80"/>
    <w:pPr>
      <w:keepNext/>
      <w:keepLines/>
      <w:spacing w:before="240" w:after="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F34D80"/>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F34D80"/>
    <w:pPr>
      <w:keepNext/>
      <w:keepLines/>
      <w:spacing w:before="40" w:after="0"/>
      <w:outlineLvl w:val="2"/>
    </w:pPr>
    <w:rPr>
      <w:rFonts w:eastAsiaTheme="majorEastAsia" w:cstheme="majorBidi"/>
      <w:b/>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D80"/>
    <w:rPr>
      <w:rFonts w:ascii="Arial" w:eastAsiaTheme="majorEastAsia" w:hAnsi="Arial" w:cstheme="majorBidi"/>
      <w:b/>
      <w:color w:val="2F5496" w:themeColor="accent1" w:themeShade="BF"/>
      <w:sz w:val="36"/>
      <w:szCs w:val="32"/>
    </w:rPr>
  </w:style>
  <w:style w:type="character" w:styleId="Hyperlink">
    <w:name w:val="Hyperlink"/>
    <w:basedOn w:val="DefaultParagraphFont"/>
    <w:uiPriority w:val="99"/>
    <w:unhideWhenUsed/>
    <w:rsid w:val="00835FB4"/>
    <w:rPr>
      <w:color w:val="0000FF"/>
      <w:u w:val="single"/>
    </w:rPr>
  </w:style>
  <w:style w:type="character" w:customStyle="1" w:styleId="Heading2Char">
    <w:name w:val="Heading 2 Char"/>
    <w:basedOn w:val="DefaultParagraphFont"/>
    <w:link w:val="Heading2"/>
    <w:uiPriority w:val="9"/>
    <w:rsid w:val="00F34D80"/>
    <w:rPr>
      <w:rFonts w:ascii="Arial" w:eastAsiaTheme="majorEastAsia" w:hAnsi="Arial" w:cstheme="majorBidi"/>
      <w:b/>
      <w:color w:val="2F5496" w:themeColor="accent1" w:themeShade="BF"/>
      <w:sz w:val="28"/>
      <w:szCs w:val="26"/>
    </w:rPr>
  </w:style>
  <w:style w:type="paragraph" w:styleId="ListParagraph">
    <w:name w:val="List Paragraph"/>
    <w:basedOn w:val="Normal"/>
    <w:uiPriority w:val="34"/>
    <w:qFormat/>
    <w:rsid w:val="00835FB4"/>
    <w:pPr>
      <w:ind w:left="720"/>
      <w:contextualSpacing/>
    </w:pPr>
  </w:style>
  <w:style w:type="paragraph" w:styleId="FootnoteText">
    <w:name w:val="footnote text"/>
    <w:basedOn w:val="Normal"/>
    <w:link w:val="FootnoteTextChar"/>
    <w:uiPriority w:val="99"/>
    <w:unhideWhenUsed/>
    <w:rsid w:val="003176D9"/>
    <w:pPr>
      <w:spacing w:after="0" w:line="240" w:lineRule="auto"/>
    </w:pPr>
    <w:rPr>
      <w:rFonts w:ascii="Calibri" w:eastAsiaTheme="minorEastAsia" w:hAnsi="Calibri" w:cs="Calibri"/>
      <w:szCs w:val="20"/>
    </w:rPr>
  </w:style>
  <w:style w:type="character" w:customStyle="1" w:styleId="FootnoteTextChar">
    <w:name w:val="Footnote Text Char"/>
    <w:basedOn w:val="DefaultParagraphFont"/>
    <w:link w:val="FootnoteText"/>
    <w:uiPriority w:val="99"/>
    <w:rsid w:val="003176D9"/>
    <w:rPr>
      <w:rFonts w:ascii="Calibri" w:eastAsiaTheme="minorEastAsia" w:hAnsi="Calibri" w:cs="Calibri"/>
      <w:sz w:val="20"/>
      <w:szCs w:val="20"/>
    </w:rPr>
  </w:style>
  <w:style w:type="character" w:customStyle="1" w:styleId="Heading3Char">
    <w:name w:val="Heading 3 Char"/>
    <w:basedOn w:val="DefaultParagraphFont"/>
    <w:link w:val="Heading3"/>
    <w:uiPriority w:val="9"/>
    <w:rsid w:val="00F34D80"/>
    <w:rPr>
      <w:rFonts w:ascii="Arial" w:eastAsiaTheme="majorEastAsia" w:hAnsi="Arial" w:cstheme="majorBidi"/>
      <w:b/>
      <w:color w:val="1F3763" w:themeColor="accent1" w:themeShade="7F"/>
      <w:sz w:val="24"/>
      <w:szCs w:val="24"/>
    </w:rPr>
  </w:style>
  <w:style w:type="paragraph" w:styleId="NoSpacing">
    <w:name w:val="No Spacing"/>
    <w:uiPriority w:val="1"/>
    <w:qFormat/>
    <w:rsid w:val="00294430"/>
    <w:pPr>
      <w:spacing w:after="0" w:line="240" w:lineRule="auto"/>
    </w:pPr>
    <w:rPr>
      <w:rFonts w:ascii="Arial" w:hAnsi="Arial"/>
      <w:sz w:val="20"/>
    </w:rPr>
  </w:style>
  <w:style w:type="character" w:styleId="UnresolvedMention">
    <w:name w:val="Unresolved Mention"/>
    <w:basedOn w:val="DefaultParagraphFont"/>
    <w:uiPriority w:val="99"/>
    <w:semiHidden/>
    <w:unhideWhenUsed/>
    <w:rsid w:val="00817A32"/>
    <w:rPr>
      <w:color w:val="605E5C"/>
      <w:shd w:val="clear" w:color="auto" w:fill="E1DFDD"/>
    </w:rPr>
  </w:style>
  <w:style w:type="paragraph" w:styleId="BalloonText">
    <w:name w:val="Balloon Text"/>
    <w:basedOn w:val="Normal"/>
    <w:link w:val="BalloonTextChar"/>
    <w:uiPriority w:val="99"/>
    <w:semiHidden/>
    <w:unhideWhenUsed/>
    <w:rsid w:val="005A2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5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62411">
      <w:bodyDiv w:val="1"/>
      <w:marLeft w:val="0"/>
      <w:marRight w:val="0"/>
      <w:marTop w:val="0"/>
      <w:marBottom w:val="0"/>
      <w:divBdr>
        <w:top w:val="none" w:sz="0" w:space="0" w:color="auto"/>
        <w:left w:val="none" w:sz="0" w:space="0" w:color="auto"/>
        <w:bottom w:val="none" w:sz="0" w:space="0" w:color="auto"/>
        <w:right w:val="none" w:sz="0" w:space="0" w:color="auto"/>
      </w:divBdr>
    </w:div>
    <w:div w:id="380441457">
      <w:bodyDiv w:val="1"/>
      <w:marLeft w:val="0"/>
      <w:marRight w:val="0"/>
      <w:marTop w:val="0"/>
      <w:marBottom w:val="0"/>
      <w:divBdr>
        <w:top w:val="none" w:sz="0" w:space="0" w:color="auto"/>
        <w:left w:val="none" w:sz="0" w:space="0" w:color="auto"/>
        <w:bottom w:val="none" w:sz="0" w:space="0" w:color="auto"/>
        <w:right w:val="none" w:sz="0" w:space="0" w:color="auto"/>
      </w:divBdr>
    </w:div>
    <w:div w:id="157099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callforviews@ipo.gov.uk."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510985/Guide_to_evidence_for_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intellectual-property-office-privacy-notices/privacy-notice-for-personal-data-processed-for-consultations-and-stakeholder-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Harrison</dc:creator>
  <cp:keywords/>
  <dc:description/>
  <cp:lastModifiedBy>Stephen Harrison</cp:lastModifiedBy>
  <cp:revision>26</cp:revision>
  <dcterms:created xsi:type="dcterms:W3CDTF">2021-11-19T12:26:00Z</dcterms:created>
  <dcterms:modified xsi:type="dcterms:W3CDTF">2021-12-06T12:09:00Z</dcterms:modified>
</cp:coreProperties>
</file>