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3174" w14:textId="219743C1" w:rsidR="004B1414" w:rsidRDefault="00D60547" w:rsidP="004B1414">
      <w:pPr>
        <w:spacing w:after="0"/>
        <w:rPr>
          <w:b/>
          <w:color w:val="104F75"/>
          <w:sz w:val="92"/>
        </w:rPr>
      </w:pPr>
      <w:r>
        <w:rPr>
          <w:noProof/>
        </w:rPr>
        <w:drawing>
          <wp:inline distT="0" distB="0" distL="0" distR="0" wp14:anchorId="2295C92B" wp14:editId="4BD60BE0">
            <wp:extent cx="1344168" cy="1078992"/>
            <wp:effectExtent l="0" t="0" r="0" b="0"/>
            <wp:docPr id="1" name="Picture 1" descr="d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fe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99E83" w14:textId="77777777" w:rsidR="00501BF5" w:rsidRDefault="00501BF5" w:rsidP="005A0D12">
      <w:pPr>
        <w:spacing w:after="0"/>
        <w:rPr>
          <w:b/>
          <w:color w:val="104F75"/>
          <w:sz w:val="92"/>
        </w:rPr>
      </w:pPr>
    </w:p>
    <w:p w14:paraId="142BA597" w14:textId="498A1A8E" w:rsidR="00D0257D" w:rsidRDefault="00D0257D" w:rsidP="005A0D12">
      <w:pPr>
        <w:spacing w:after="0"/>
        <w:rPr>
          <w:b/>
          <w:color w:val="104F75"/>
          <w:sz w:val="92"/>
        </w:rPr>
      </w:pPr>
      <w:r>
        <w:rPr>
          <w:b/>
          <w:color w:val="104F75"/>
          <w:sz w:val="92"/>
        </w:rPr>
        <w:t>School</w:t>
      </w:r>
    </w:p>
    <w:p w14:paraId="41F5AC92" w14:textId="753D6DB7" w:rsidR="00FC74FB" w:rsidRDefault="00E07C60" w:rsidP="004B1414">
      <w:pPr>
        <w:spacing w:after="0" w:line="240" w:lineRule="auto"/>
      </w:pPr>
      <w:r>
        <w:rPr>
          <w:b/>
          <w:color w:val="104F75"/>
          <w:sz w:val="92"/>
        </w:rPr>
        <w:t xml:space="preserve">Output </w:t>
      </w:r>
      <w:r w:rsidR="003C6AB3">
        <w:rPr>
          <w:b/>
          <w:color w:val="104F75"/>
          <w:sz w:val="92"/>
        </w:rPr>
        <w:t>Specification</w:t>
      </w:r>
      <w:r>
        <w:rPr>
          <w:b/>
          <w:color w:val="104F75"/>
          <w:sz w:val="92"/>
        </w:rPr>
        <w:t>:</w:t>
      </w:r>
      <w:r w:rsidR="00074D3A">
        <w:rPr>
          <w:b/>
          <w:color w:val="104F75"/>
          <w:sz w:val="92"/>
        </w:rPr>
        <w:t xml:space="preserve">  </w:t>
      </w:r>
    </w:p>
    <w:p w14:paraId="37F21CFF" w14:textId="44486F41" w:rsidR="004B1414" w:rsidRDefault="004B1414" w:rsidP="004B1414">
      <w:pPr>
        <w:spacing w:after="0" w:line="288" w:lineRule="auto"/>
        <w:rPr>
          <w:b/>
          <w:color w:val="104F75"/>
          <w:sz w:val="48"/>
        </w:rPr>
      </w:pPr>
    </w:p>
    <w:p w14:paraId="29E0EEBA" w14:textId="77777777" w:rsidR="00C3191D" w:rsidRDefault="00C3191D" w:rsidP="004B1414">
      <w:pPr>
        <w:spacing w:after="0" w:line="288" w:lineRule="auto"/>
        <w:rPr>
          <w:b/>
          <w:color w:val="104F75"/>
          <w:sz w:val="48"/>
        </w:rPr>
      </w:pPr>
    </w:p>
    <w:p w14:paraId="6FEDFA88" w14:textId="6C1D37C9" w:rsidR="0079115B" w:rsidRDefault="001F4B7E" w:rsidP="005A0D12">
      <w:pPr>
        <w:spacing w:after="0" w:line="288" w:lineRule="auto"/>
        <w:rPr>
          <w:b/>
          <w:color w:val="104F75"/>
          <w:sz w:val="48"/>
        </w:rPr>
      </w:pPr>
      <w:r>
        <w:rPr>
          <w:b/>
          <w:color w:val="104F75"/>
          <w:sz w:val="48"/>
        </w:rPr>
        <w:t xml:space="preserve">School-Specific </w:t>
      </w:r>
      <w:r w:rsidR="00D60547">
        <w:rPr>
          <w:b/>
          <w:color w:val="104F75"/>
          <w:sz w:val="48"/>
        </w:rPr>
        <w:t xml:space="preserve">Annex </w:t>
      </w:r>
      <w:r w:rsidR="00074D3A">
        <w:rPr>
          <w:b/>
          <w:color w:val="104F75"/>
          <w:sz w:val="48"/>
        </w:rPr>
        <w:t>SS</w:t>
      </w:r>
      <w:r w:rsidR="00A50441">
        <w:rPr>
          <w:b/>
          <w:color w:val="104F75"/>
          <w:sz w:val="48"/>
        </w:rPr>
        <w:t>4</w:t>
      </w:r>
      <w:r w:rsidR="00D60547">
        <w:rPr>
          <w:b/>
          <w:color w:val="104F75"/>
          <w:sz w:val="48"/>
        </w:rPr>
        <w:t xml:space="preserve">: </w:t>
      </w:r>
    </w:p>
    <w:p w14:paraId="3661DBB6" w14:textId="77777777" w:rsidR="004B1414" w:rsidRDefault="00074D3A" w:rsidP="004B1414">
      <w:pPr>
        <w:spacing w:after="0" w:line="288" w:lineRule="auto"/>
        <w:rPr>
          <w:b/>
          <w:color w:val="104F75"/>
          <w:sz w:val="48"/>
        </w:rPr>
      </w:pPr>
      <w:r>
        <w:rPr>
          <w:b/>
          <w:color w:val="104F75"/>
          <w:sz w:val="48"/>
        </w:rPr>
        <w:t xml:space="preserve">Legacy Group </w:t>
      </w:r>
      <w:r w:rsidR="00A50441">
        <w:rPr>
          <w:b/>
          <w:color w:val="104F75"/>
          <w:sz w:val="48"/>
        </w:rPr>
        <w:t>3</w:t>
      </w:r>
      <w:r>
        <w:rPr>
          <w:b/>
          <w:color w:val="104F75"/>
          <w:sz w:val="48"/>
        </w:rPr>
        <w:t xml:space="preserve"> Furniture an</w:t>
      </w:r>
      <w:r w:rsidR="00D60547">
        <w:rPr>
          <w:b/>
          <w:color w:val="104F75"/>
          <w:sz w:val="48"/>
        </w:rPr>
        <w:t xml:space="preserve">d </w:t>
      </w:r>
      <w:r w:rsidR="000D7168">
        <w:rPr>
          <w:b/>
          <w:color w:val="104F75"/>
          <w:sz w:val="48"/>
        </w:rPr>
        <w:t>E</w:t>
      </w:r>
      <w:r w:rsidR="00D60547">
        <w:rPr>
          <w:b/>
          <w:color w:val="104F75"/>
          <w:sz w:val="48"/>
        </w:rPr>
        <w:t>quipment</w:t>
      </w:r>
      <w:r>
        <w:rPr>
          <w:b/>
          <w:color w:val="104F75"/>
          <w:sz w:val="48"/>
        </w:rPr>
        <w:t xml:space="preserve"> Schedule</w:t>
      </w:r>
    </w:p>
    <w:p w14:paraId="4D1633A5" w14:textId="77777777" w:rsidR="004B1414" w:rsidRDefault="004B1414" w:rsidP="005A0D12">
      <w:pPr>
        <w:spacing w:after="0" w:line="288" w:lineRule="auto"/>
        <w:rPr>
          <w:b/>
          <w:color w:val="104F75"/>
          <w:sz w:val="48"/>
        </w:rPr>
      </w:pPr>
    </w:p>
    <w:p w14:paraId="3F08589F" w14:textId="22BFE285" w:rsidR="00BB517C" w:rsidRDefault="00BB517C" w:rsidP="004B1414">
      <w:pPr>
        <w:spacing w:after="0" w:line="288" w:lineRule="auto"/>
        <w:rPr>
          <w:bCs/>
          <w:i/>
          <w:iCs/>
          <w:color w:val="104F75"/>
          <w:sz w:val="48"/>
        </w:rPr>
      </w:pPr>
      <w:r>
        <w:rPr>
          <w:bCs/>
          <w:i/>
          <w:iCs/>
          <w:color w:val="104F75"/>
          <w:sz w:val="48"/>
        </w:rPr>
        <w:t>[Insert full name of school]</w:t>
      </w:r>
      <w:r>
        <w:rPr>
          <w:bCs/>
          <w:i/>
          <w:iCs/>
          <w:color w:val="104F75"/>
          <w:sz w:val="48"/>
        </w:rPr>
        <w:br/>
        <w:t xml:space="preserve">[DfE School URN: </w:t>
      </w:r>
      <w:proofErr w:type="spellStart"/>
      <w:r>
        <w:rPr>
          <w:bCs/>
          <w:i/>
          <w:iCs/>
          <w:color w:val="104F75"/>
          <w:sz w:val="48"/>
        </w:rPr>
        <w:t>AAxxxx</w:t>
      </w:r>
      <w:proofErr w:type="spellEnd"/>
      <w:r>
        <w:rPr>
          <w:bCs/>
          <w:i/>
          <w:iCs/>
          <w:color w:val="104F75"/>
          <w:sz w:val="48"/>
        </w:rPr>
        <w:t>]</w:t>
      </w:r>
      <w:r>
        <w:rPr>
          <w:bCs/>
          <w:i/>
          <w:iCs/>
          <w:color w:val="104F75"/>
          <w:sz w:val="48"/>
        </w:rPr>
        <w:br/>
        <w:t>[Project number]</w:t>
      </w:r>
    </w:p>
    <w:p w14:paraId="76A24A32" w14:textId="77777777" w:rsidR="004B1414" w:rsidRDefault="004B1414" w:rsidP="004B1414">
      <w:pPr>
        <w:spacing w:after="0" w:line="288" w:lineRule="auto"/>
        <w:rPr>
          <w:bCs/>
          <w:i/>
          <w:iCs/>
          <w:color w:val="104F75"/>
          <w:sz w:val="48"/>
        </w:rPr>
      </w:pPr>
    </w:p>
    <w:p w14:paraId="25545B5D" w14:textId="77777777" w:rsidR="00501BF5" w:rsidRDefault="00501BF5" w:rsidP="001A144A">
      <w:pPr>
        <w:pStyle w:val="TOCHeader"/>
        <w:pageBreakBefore w:val="0"/>
        <w:spacing w:after="240"/>
        <w:rPr>
          <w:sz w:val="48"/>
        </w:rPr>
      </w:pPr>
    </w:p>
    <w:p w14:paraId="134D47B7" w14:textId="5BC56E18" w:rsidR="001A144A" w:rsidRDefault="00601D8D" w:rsidP="001A144A">
      <w:pPr>
        <w:pStyle w:val="TOCHeader"/>
        <w:pageBreakBefore w:val="0"/>
        <w:spacing w:after="240"/>
        <w:rPr>
          <w:sz w:val="32"/>
          <w:szCs w:val="16"/>
        </w:rPr>
      </w:pPr>
      <w:r>
        <w:rPr>
          <w:sz w:val="48"/>
        </w:rPr>
        <w:t>November</w:t>
      </w:r>
      <w:r w:rsidR="009E45B5">
        <w:rPr>
          <w:sz w:val="48"/>
        </w:rPr>
        <w:t xml:space="preserve"> 2021</w:t>
      </w:r>
    </w:p>
    <w:p w14:paraId="1F424A3E" w14:textId="58F0D382" w:rsidR="00692067" w:rsidRDefault="00692067" w:rsidP="00692067">
      <w:pPr>
        <w:rPr>
          <w:b/>
          <w:color w:val="104F75"/>
          <w:sz w:val="36"/>
        </w:rPr>
      </w:pPr>
      <w:r>
        <w:rPr>
          <w:b/>
          <w:color w:val="104F75"/>
          <w:sz w:val="36"/>
        </w:rPr>
        <w:lastRenderedPageBreak/>
        <w:t>Document Control</w:t>
      </w:r>
    </w:p>
    <w:tbl>
      <w:tblPr>
        <w:tblStyle w:val="DfETabl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134"/>
        <w:gridCol w:w="4394"/>
      </w:tblGrid>
      <w:tr w:rsidR="00692067" w14:paraId="010F6A95" w14:textId="77777777" w:rsidTr="008B7FA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17CCE9E6" w14:textId="77777777" w:rsidR="00692067" w:rsidRDefault="00692067" w:rsidP="004B549E">
            <w:pPr>
              <w:pStyle w:val="TableHeader"/>
              <w:ind w:left="0"/>
              <w:jc w:val="both"/>
            </w:pPr>
            <w:r>
              <w:t>Revision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2B35E35D" w14:textId="77777777" w:rsidR="00692067" w:rsidRDefault="00692067" w:rsidP="004B549E">
            <w:pPr>
              <w:pStyle w:val="TableHeader"/>
              <w:jc w:val="both"/>
            </w:pPr>
            <w: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4D603336" w14:textId="77777777" w:rsidR="00692067" w:rsidRDefault="00692067" w:rsidP="004B549E">
            <w:pPr>
              <w:pStyle w:val="TableHeader"/>
              <w:jc w:val="both"/>
            </w:pPr>
            <w: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7E9982F1" w14:textId="77777777" w:rsidR="00692067" w:rsidRDefault="00692067" w:rsidP="004B549E">
            <w:pPr>
              <w:pStyle w:val="TableHeader"/>
              <w:jc w:val="both"/>
            </w:pPr>
            <w:r>
              <w:t>Author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62416012" w14:textId="77777777" w:rsidR="00692067" w:rsidRDefault="00692067" w:rsidP="004B549E">
            <w:pPr>
              <w:pStyle w:val="TableHeader"/>
              <w:jc w:val="both"/>
            </w:pPr>
            <w:r>
              <w:t>Amendment</w:t>
            </w:r>
          </w:p>
        </w:tc>
      </w:tr>
      <w:tr w:rsidR="00692067" w:rsidRPr="00277C79" w14:paraId="45BBA2CC" w14:textId="77777777" w:rsidTr="008B7FA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9A04" w14:textId="77777777" w:rsidR="00692067" w:rsidRPr="00277C79" w:rsidRDefault="00692067" w:rsidP="004B549E">
            <w:pPr>
              <w:pStyle w:val="TableRow"/>
              <w:rPr>
                <w:color w:val="auto"/>
              </w:rPr>
            </w:pPr>
            <w:r w:rsidRPr="00277C79">
              <w:rPr>
                <w:color w:val="auto"/>
              </w:rPr>
              <w:t>P01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54A8" w14:textId="77777777" w:rsidR="00692067" w:rsidRPr="00277C79" w:rsidRDefault="00692067" w:rsidP="004B549E">
            <w:pPr>
              <w:pStyle w:val="TableRow"/>
              <w:rPr>
                <w:color w:val="auto"/>
              </w:rPr>
            </w:pPr>
            <w:r w:rsidRPr="00277C79">
              <w:rPr>
                <w:color w:val="auto"/>
              </w:rPr>
              <w:t>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A817" w14:textId="77777777" w:rsidR="00692067" w:rsidRPr="002E3C77" w:rsidRDefault="00692067" w:rsidP="004B549E">
            <w:pPr>
              <w:pStyle w:val="TableRow"/>
              <w:rPr>
                <w:color w:val="auto"/>
              </w:rPr>
            </w:pPr>
            <w:r w:rsidRPr="004D5F12">
              <w:rPr>
                <w:color w:val="auto"/>
              </w:rPr>
              <w:t>2021-04-19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6C52" w14:textId="77777777" w:rsidR="00692067" w:rsidRPr="00261D51" w:rsidRDefault="00692067" w:rsidP="004B549E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AWI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6A45" w14:textId="77777777" w:rsidR="00692067" w:rsidRPr="00277C79" w:rsidRDefault="00692067" w:rsidP="004B549E">
            <w:pPr>
              <w:pStyle w:val="TableRow"/>
              <w:rPr>
                <w:color w:val="auto"/>
              </w:rPr>
            </w:pPr>
            <w:r>
              <w:rPr>
                <w:color w:val="000000"/>
                <w:szCs w:val="22"/>
              </w:rPr>
              <w:t>First Issue</w:t>
            </w:r>
          </w:p>
        </w:tc>
      </w:tr>
      <w:tr w:rsidR="008B7FA8" w:rsidRPr="00816750" w14:paraId="3A4007BF" w14:textId="77777777" w:rsidTr="008B7FA8">
        <w:trPr>
          <w:trHeight w:val="454"/>
        </w:trPr>
        <w:tc>
          <w:tcPr>
            <w:tcW w:w="1276" w:type="dxa"/>
          </w:tcPr>
          <w:p w14:paraId="0E6EDFAC" w14:textId="7091FE6C" w:rsidR="008B7FA8" w:rsidRPr="00816750" w:rsidRDefault="008B7FA8" w:rsidP="005E5050">
            <w:pPr>
              <w:pStyle w:val="TableRow"/>
              <w:rPr>
                <w:color w:val="auto"/>
              </w:rPr>
            </w:pPr>
            <w:r w:rsidRPr="00134928">
              <w:rPr>
                <w:color w:val="auto"/>
              </w:rPr>
              <w:t>P0</w:t>
            </w:r>
            <w:r w:rsidR="002E3C77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14:paraId="4E876F66" w14:textId="77777777" w:rsidR="008B7FA8" w:rsidRPr="00816750" w:rsidRDefault="008B7FA8" w:rsidP="005E5050">
            <w:pPr>
              <w:pStyle w:val="TableRow"/>
              <w:rPr>
                <w:color w:val="auto"/>
              </w:rPr>
            </w:pPr>
            <w:r w:rsidRPr="00134928">
              <w:rPr>
                <w:color w:val="auto"/>
              </w:rPr>
              <w:t>S2</w:t>
            </w:r>
          </w:p>
        </w:tc>
        <w:tc>
          <w:tcPr>
            <w:tcW w:w="1701" w:type="dxa"/>
          </w:tcPr>
          <w:p w14:paraId="3CC97273" w14:textId="5D81B08C" w:rsidR="008B7FA8" w:rsidRPr="00816750" w:rsidRDefault="008B7FA8" w:rsidP="005E5050">
            <w:pPr>
              <w:pStyle w:val="TableRow"/>
              <w:rPr>
                <w:color w:val="auto"/>
              </w:rPr>
            </w:pPr>
            <w:r w:rsidRPr="00134928">
              <w:rPr>
                <w:color w:val="auto"/>
              </w:rPr>
              <w:t>2021-10-</w:t>
            </w:r>
            <w:r>
              <w:rPr>
                <w:color w:val="auto"/>
              </w:rPr>
              <w:t>27</w:t>
            </w:r>
          </w:p>
        </w:tc>
        <w:tc>
          <w:tcPr>
            <w:tcW w:w="1134" w:type="dxa"/>
          </w:tcPr>
          <w:p w14:paraId="173869D1" w14:textId="77777777" w:rsidR="008B7FA8" w:rsidRPr="00816750" w:rsidRDefault="008B7FA8" w:rsidP="005E5050">
            <w:pPr>
              <w:pStyle w:val="TableRow"/>
              <w:rPr>
                <w:color w:val="auto"/>
              </w:rPr>
            </w:pPr>
            <w:r w:rsidRPr="00134928">
              <w:rPr>
                <w:color w:val="auto"/>
              </w:rPr>
              <w:t>AWI</w:t>
            </w:r>
          </w:p>
        </w:tc>
        <w:tc>
          <w:tcPr>
            <w:tcW w:w="4394" w:type="dxa"/>
          </w:tcPr>
          <w:p w14:paraId="6A4027B4" w14:textId="2BDA5778" w:rsidR="008B7FA8" w:rsidRPr="004D5F12" w:rsidRDefault="004A4741" w:rsidP="004D5F12">
            <w:pPr>
              <w:pStyle w:val="TableRow"/>
              <w:spacing w:after="200" w:line="276" w:lineRule="auto"/>
            </w:pPr>
            <w:r>
              <w:rPr>
                <w:color w:val="auto"/>
              </w:rPr>
              <w:t>CF21 and MMC consultation and Document Control page added</w:t>
            </w:r>
          </w:p>
        </w:tc>
      </w:tr>
      <w:tr w:rsidR="004B1414" w:rsidRPr="00816750" w14:paraId="139CD171" w14:textId="77777777" w:rsidTr="008B7FA8">
        <w:trPr>
          <w:trHeight w:val="454"/>
        </w:trPr>
        <w:tc>
          <w:tcPr>
            <w:tcW w:w="1276" w:type="dxa"/>
          </w:tcPr>
          <w:p w14:paraId="7F37FDE8" w14:textId="597A48D5" w:rsidR="004B1414" w:rsidRPr="00134928" w:rsidRDefault="00971EBE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P03</w:t>
            </w:r>
          </w:p>
        </w:tc>
        <w:tc>
          <w:tcPr>
            <w:tcW w:w="1134" w:type="dxa"/>
          </w:tcPr>
          <w:p w14:paraId="2214B85A" w14:textId="583FEA67" w:rsidR="004B1414" w:rsidRPr="00134928" w:rsidRDefault="00971EBE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S2</w:t>
            </w:r>
          </w:p>
        </w:tc>
        <w:tc>
          <w:tcPr>
            <w:tcW w:w="1701" w:type="dxa"/>
          </w:tcPr>
          <w:p w14:paraId="0FF10CF8" w14:textId="41FF09C3" w:rsidR="004B1414" w:rsidRPr="00134928" w:rsidRDefault="005A0D12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2021-11-23</w:t>
            </w:r>
          </w:p>
        </w:tc>
        <w:tc>
          <w:tcPr>
            <w:tcW w:w="1134" w:type="dxa"/>
          </w:tcPr>
          <w:p w14:paraId="2D8B4961" w14:textId="7FF5D44B" w:rsidR="004B1414" w:rsidRPr="00134928" w:rsidRDefault="005A0D12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AWI</w:t>
            </w:r>
          </w:p>
        </w:tc>
        <w:tc>
          <w:tcPr>
            <w:tcW w:w="4394" w:type="dxa"/>
          </w:tcPr>
          <w:p w14:paraId="538AEC6C" w14:textId="6DEBF543" w:rsidR="004B1414" w:rsidRDefault="005A0D12" w:rsidP="004D5F12">
            <w:pPr>
              <w:pStyle w:val="TableRow"/>
              <w:spacing w:after="200" w:line="276" w:lineRule="auto"/>
              <w:rPr>
                <w:color w:val="auto"/>
              </w:rPr>
            </w:pPr>
            <w:r>
              <w:rPr>
                <w:color w:val="auto"/>
              </w:rPr>
              <w:t>Gov.uk publication</w:t>
            </w:r>
          </w:p>
        </w:tc>
      </w:tr>
    </w:tbl>
    <w:p w14:paraId="1BD80C75" w14:textId="51155C8D" w:rsidR="00FC74FB" w:rsidRDefault="00FC74FB">
      <w:pPr>
        <w:spacing w:after="1520" w:line="288" w:lineRule="auto"/>
      </w:pPr>
    </w:p>
    <w:p w14:paraId="11514C39" w14:textId="1457F3BA" w:rsidR="00FC74FB" w:rsidRDefault="00D60547" w:rsidP="00074D3A">
      <w:r>
        <w:br w:type="page"/>
      </w:r>
      <w:r w:rsidRPr="2CE99EBE">
        <w:rPr>
          <w:b/>
          <w:color w:val="104F75"/>
          <w:sz w:val="36"/>
          <w:szCs w:val="36"/>
        </w:rPr>
        <w:lastRenderedPageBreak/>
        <w:t xml:space="preserve"> </w:t>
      </w:r>
      <w:r>
        <w:rPr>
          <w:noProof/>
        </w:rPr>
        <w:drawing>
          <wp:inline distT="0" distB="0" distL="0" distR="0" wp14:anchorId="018D78B1" wp14:editId="403582BB">
            <wp:extent cx="1344168" cy="1078992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9077" w14:textId="680D935C" w:rsidR="00F74B81" w:rsidRDefault="00F74B81">
      <w:pPr>
        <w:rPr>
          <w:sz w:val="24"/>
        </w:rPr>
      </w:pPr>
      <w:r w:rsidRPr="00DA1CF1">
        <w:rPr>
          <w:noProof/>
        </w:rPr>
        <mc:AlternateContent>
          <mc:Choice Requires="wps">
            <w:drawing>
              <wp:inline distT="0" distB="0" distL="0" distR="0" wp14:anchorId="6BDB2156" wp14:editId="6166B5CC">
                <wp:extent cx="6029960" cy="1578634"/>
                <wp:effectExtent l="0" t="0" r="27940" b="21590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57863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4F06" w14:textId="5E97EF83" w:rsidR="00F74B81" w:rsidRPr="00F74B81" w:rsidRDefault="00F74B81" w:rsidP="00F74B81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74B8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[</w:t>
                            </w:r>
                            <w:r w:rsidRPr="00F74B8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Drafting Note:</w:t>
                            </w:r>
                            <w:r w:rsidRPr="00F74B8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4B81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TA, in liaison with the RB, shall complete the survey </w:t>
                            </w:r>
                            <w:r w:rsidR="009F194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template </w:t>
                            </w:r>
                            <w:r w:rsidRPr="00F74B81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and embed the results in this Annex. The TA, with the RB should complete the Furniture Schedule (where relevant) to indicate the current location of actual legacy Group 3 items and their eventual location.</w:t>
                            </w:r>
                          </w:p>
                          <w:p w14:paraId="57933973" w14:textId="43B82397" w:rsidR="00F74B81" w:rsidRPr="00F74B81" w:rsidRDefault="00F74B81" w:rsidP="00F74B8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74B81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The TA shall ensure that the RB</w:t>
                            </w:r>
                            <w:r w:rsidRPr="00F74B81" w:rsidDel="00ED0D32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4B81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also include</w:t>
                            </w:r>
                            <w:r w:rsidR="009F194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F74B81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any loose Group 3 items that are unusually large or heavy so that Contractors are aware of potential fit and loading issues.]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DB215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474.8pt;height:1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" fillcolor="#d9d9d9">
                <v:textbox>
                  <w:txbxContent>
                    <w:p w14:paraId="43A44F06" w14:textId="5E97EF83" w:rsidR="00F74B81" w:rsidRPr="00F74B81" w:rsidRDefault="00F74B81" w:rsidP="00F74B81">
                      <w:pPr>
                        <w:pStyle w:val="ListParagraph"/>
                        <w:ind w:left="0"/>
                        <w:jc w:val="both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F74B81">
                        <w:rPr>
                          <w:rFonts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[</w:t>
                      </w:r>
                      <w:r w:rsidRPr="00F74B8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Drafting Note:</w:t>
                      </w:r>
                      <w:r w:rsidRPr="00F74B8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74B81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The TA, in liaison with the RB, shall complete the survey </w:t>
                      </w:r>
                      <w:r w:rsidR="009F194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template </w:t>
                      </w:r>
                      <w:r w:rsidRPr="00F74B81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and embed the results in this Annex. The TA, with the RB should complete the Furniture Schedule (where relevant) to indicate the current location of actual legacy Group 3 items and their eventual location.</w:t>
                      </w:r>
                    </w:p>
                    <w:p w14:paraId="57933973" w14:textId="43B82397" w:rsidR="00F74B81" w:rsidRPr="00F74B81" w:rsidRDefault="00F74B81" w:rsidP="00F74B81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F74B81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The TA shall ensure that the RB</w:t>
                      </w:r>
                      <w:r w:rsidRPr="00F74B81" w:rsidDel="00ED0D32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74B81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also include</w:t>
                      </w:r>
                      <w:r w:rsidR="009F194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F74B81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any loose Group 3 items that are unusually large or heavy so that Contractors are aware of potential fit and loading issues.]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75875" w14:textId="31CB8552" w:rsidR="00F74B81" w:rsidRPr="000778F7" w:rsidRDefault="00F74B81">
      <w:pPr>
        <w:rPr>
          <w:sz w:val="24"/>
          <w:szCs w:val="24"/>
        </w:rPr>
      </w:pPr>
      <w:r w:rsidRPr="000778F7">
        <w:rPr>
          <w:sz w:val="24"/>
          <w:szCs w:val="24"/>
        </w:rPr>
        <w:br w:type="page"/>
      </w:r>
    </w:p>
    <w:p w14:paraId="76E5E5DE" w14:textId="409326E1" w:rsidR="00FC74FB" w:rsidRDefault="00D60547">
      <w:pPr>
        <w:spacing w:before="5200" w:after="120" w:line="288" w:lineRule="auto"/>
      </w:pPr>
      <w:r>
        <w:rPr>
          <w:sz w:val="24"/>
        </w:rPr>
        <w:lastRenderedPageBreak/>
        <w:t>© Crown copyright 2021</w:t>
      </w:r>
    </w:p>
    <w:p w14:paraId="6CB07A92" w14:textId="4A981EBC" w:rsidR="00FC74FB" w:rsidRDefault="00D60547">
      <w:pPr>
        <w:spacing w:after="240" w:line="288" w:lineRule="auto"/>
      </w:pPr>
      <w:r w:rsidRPr="2CE99EBE">
        <w:rPr>
          <w:sz w:val="24"/>
          <w:szCs w:val="24"/>
        </w:rPr>
        <w:t xml:space="preserve">This publication (not including logos) is licensed under the terms of the Open Government </w:t>
      </w:r>
      <w:proofErr w:type="spellStart"/>
      <w:r w:rsidR="00967CA4" w:rsidRPr="2CE99EBE">
        <w:rPr>
          <w:sz w:val="24"/>
          <w:szCs w:val="24"/>
        </w:rPr>
        <w:t>Licen</w:t>
      </w:r>
      <w:r w:rsidR="3BA5C39F" w:rsidRPr="2CE99EBE">
        <w:rPr>
          <w:sz w:val="24"/>
          <w:szCs w:val="24"/>
        </w:rPr>
        <w:t>c</w:t>
      </w:r>
      <w:r w:rsidR="00967CA4" w:rsidRPr="2CE99EBE">
        <w:rPr>
          <w:sz w:val="24"/>
          <w:szCs w:val="24"/>
        </w:rPr>
        <w:t>e</w:t>
      </w:r>
      <w:proofErr w:type="spellEnd"/>
      <w:r w:rsidRPr="2CE99EBE">
        <w:rPr>
          <w:sz w:val="24"/>
          <w:szCs w:val="24"/>
        </w:rPr>
        <w:t xml:space="preserve"> v3.0 except where otherwise stated. Where we have identified any </w:t>
      </w:r>
      <w:r w:rsidR="00B40C3A" w:rsidRPr="2CE99EBE">
        <w:rPr>
          <w:sz w:val="24"/>
          <w:szCs w:val="24"/>
        </w:rPr>
        <w:t>third-party</w:t>
      </w:r>
      <w:r w:rsidRPr="2CE99EBE">
        <w:rPr>
          <w:sz w:val="24"/>
          <w:szCs w:val="24"/>
        </w:rPr>
        <w:t xml:space="preserve"> copyright information you will need to obtain permission from the copyright holders concerned.</w:t>
      </w:r>
    </w:p>
    <w:p w14:paraId="495B15DF" w14:textId="51A671EF" w:rsidR="00FC74FB" w:rsidRDefault="00D60547">
      <w:pPr>
        <w:pStyle w:val="contact1"/>
      </w:pPr>
      <w:r>
        <w:t xml:space="preserve">To view this </w:t>
      </w:r>
      <w:proofErr w:type="spellStart"/>
      <w:r w:rsidR="00967CA4">
        <w:t>licen</w:t>
      </w:r>
      <w:r w:rsidR="065DF245">
        <w:t>c</w:t>
      </w:r>
      <w:r w:rsidR="00967CA4">
        <w:t>e</w:t>
      </w:r>
      <w:proofErr w:type="spellEnd"/>
      <w:r>
        <w:t>:</w:t>
      </w:r>
      <w:r>
        <w:br/>
        <w:t xml:space="preserve">     visit </w:t>
      </w:r>
      <w:r>
        <w:tab/>
      </w:r>
      <w:hyperlink r:id="rId12">
        <w:r>
          <w:rPr>
            <w:color w:val="0000FF"/>
          </w:rPr>
          <w:t>www.nationalarchives.gov.uk/doc/open-government-licence/version/3</w:t>
        </w:r>
        <w:r>
          <w:br/>
        </w:r>
      </w:hyperlink>
      <w:r>
        <w:t xml:space="preserve">     email </w:t>
      </w:r>
      <w:r>
        <w:tab/>
      </w:r>
      <w:hyperlink r:id="rId13">
        <w:r>
          <w:rPr>
            <w:color w:val="0000FF"/>
          </w:rPr>
          <w:t>psi@nationalarchives.gsi.gov.uk</w:t>
        </w:r>
        <w:r>
          <w:br/>
        </w:r>
      </w:hyperlink>
      <w:r>
        <w:t xml:space="preserve">     write to</w:t>
      </w:r>
      <w:r>
        <w:tab/>
        <w:t>Information Policy Team, The National Archives, Kew, London, TW9 4DU</w:t>
      </w:r>
    </w:p>
    <w:p w14:paraId="4662D5F7" w14:textId="77777777" w:rsidR="00FC74FB" w:rsidRDefault="00D60547">
      <w:pPr>
        <w:pStyle w:val="contact1"/>
        <w:spacing w:line="288" w:lineRule="auto"/>
      </w:pPr>
      <w:r>
        <w:t>About this publication:</w:t>
      </w:r>
      <w:r>
        <w:br/>
        <w:t xml:space="preserve">    enquiries   </w:t>
      </w:r>
      <w:hyperlink r:id="rId14">
        <w:r>
          <w:rPr>
            <w:color w:val="0000FF"/>
          </w:rPr>
          <w:t>www.education.gov.uk/contactus</w:t>
        </w:r>
      </w:hyperlink>
      <w:r>
        <w:br/>
        <w:t xml:space="preserve">    download  </w:t>
      </w:r>
      <w:hyperlink r:id="rId15">
        <w:r>
          <w:rPr>
            <w:color w:val="0000FF"/>
          </w:rPr>
          <w:t>www.gov.uk/government/publications</w:t>
        </w:r>
      </w:hyperlink>
    </w:p>
    <w:p w14:paraId="58B74948" w14:textId="221D458B" w:rsidR="00FC74FB" w:rsidRDefault="00FC74FB"/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2880"/>
        <w:gridCol w:w="720"/>
        <w:gridCol w:w="3188"/>
      </w:tblGrid>
      <w:tr w:rsidR="00FC74FB" w14:paraId="1B4F79F1" w14:textId="77777777">
        <w:tc>
          <w:tcPr>
            <w:tcW w:w="720" w:type="dxa"/>
          </w:tcPr>
          <w:p w14:paraId="0A834639" w14:textId="77777777" w:rsidR="00FC74FB" w:rsidRDefault="00D60547">
            <w:r>
              <w:rPr>
                <w:noProof/>
              </w:rPr>
              <w:drawing>
                <wp:inline distT="0" distB="0" distL="0" distR="0" wp14:anchorId="7B244121" wp14:editId="5FE526CF">
                  <wp:extent cx="365760" cy="36576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9299DDF" w14:textId="77777777" w:rsidR="00FC74FB" w:rsidRDefault="00D60547">
            <w:r>
              <w:t xml:space="preserve">Follow us on Twitter: </w:t>
            </w:r>
            <w:r>
              <w:br/>
            </w:r>
            <w:hyperlink r:id="rId17">
              <w:r>
                <w:rPr>
                  <w:color w:val="0000FF"/>
                </w:rPr>
                <w:t>@educationgovuk</w:t>
              </w:r>
            </w:hyperlink>
          </w:p>
        </w:tc>
        <w:tc>
          <w:tcPr>
            <w:tcW w:w="720" w:type="dxa"/>
          </w:tcPr>
          <w:p w14:paraId="7C9A5172" w14:textId="77777777" w:rsidR="00FC74FB" w:rsidRDefault="00D60547">
            <w:r>
              <w:rPr>
                <w:noProof/>
              </w:rPr>
              <w:drawing>
                <wp:inline distT="0" distB="0" distL="0" distR="0" wp14:anchorId="0B56DF55" wp14:editId="750EBC19">
                  <wp:extent cx="274320" cy="27432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47336FA9" w14:textId="77777777" w:rsidR="00FC74FB" w:rsidRDefault="00D60547">
            <w:r>
              <w:t xml:space="preserve">Like us on Facebook: </w:t>
            </w:r>
            <w:r>
              <w:br/>
            </w:r>
            <w:hyperlink r:id="rId19">
              <w:r>
                <w:rPr>
                  <w:color w:val="0000FF"/>
                </w:rPr>
                <w:t>facebook.com/</w:t>
              </w:r>
              <w:proofErr w:type="spellStart"/>
              <w:r>
                <w:rPr>
                  <w:color w:val="0000FF"/>
                </w:rPr>
                <w:t>educationgovuk</w:t>
              </w:r>
              <w:proofErr w:type="spellEnd"/>
            </w:hyperlink>
          </w:p>
        </w:tc>
      </w:tr>
    </w:tbl>
    <w:p w14:paraId="5305DA55" w14:textId="77777777" w:rsidR="00D60547" w:rsidRDefault="00D60547"/>
    <w:sectPr w:rsidR="00D60547" w:rsidSect="000346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38" w:right="1282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2787" w14:textId="77777777" w:rsidR="006E6B83" w:rsidRDefault="006E6B83">
      <w:pPr>
        <w:spacing w:after="0" w:line="240" w:lineRule="auto"/>
      </w:pPr>
      <w:r>
        <w:separator/>
      </w:r>
    </w:p>
  </w:endnote>
  <w:endnote w:type="continuationSeparator" w:id="0">
    <w:p w14:paraId="0B24B2CC" w14:textId="77777777" w:rsidR="006E6B83" w:rsidRDefault="006E6B83">
      <w:pPr>
        <w:spacing w:after="0" w:line="240" w:lineRule="auto"/>
      </w:pPr>
      <w:r>
        <w:continuationSeparator/>
      </w:r>
    </w:p>
  </w:endnote>
  <w:endnote w:type="continuationNotice" w:id="1">
    <w:p w14:paraId="09F46EF2" w14:textId="77777777" w:rsidR="006E6B83" w:rsidRDefault="006E6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DE89" w14:textId="77777777" w:rsidR="00587D8E" w:rsidRDefault="00587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8D39" w14:textId="77777777" w:rsidR="00A25229" w:rsidRDefault="00A25229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6481" w14:textId="77777777" w:rsidR="00587D8E" w:rsidRDefault="0058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1E15" w14:textId="77777777" w:rsidR="006E6B83" w:rsidRDefault="006E6B83">
      <w:pPr>
        <w:spacing w:after="0" w:line="240" w:lineRule="auto"/>
      </w:pPr>
      <w:r>
        <w:separator/>
      </w:r>
    </w:p>
  </w:footnote>
  <w:footnote w:type="continuationSeparator" w:id="0">
    <w:p w14:paraId="016480DB" w14:textId="77777777" w:rsidR="006E6B83" w:rsidRDefault="006E6B83">
      <w:pPr>
        <w:spacing w:after="0" w:line="240" w:lineRule="auto"/>
      </w:pPr>
      <w:r>
        <w:continuationSeparator/>
      </w:r>
    </w:p>
  </w:footnote>
  <w:footnote w:type="continuationNotice" w:id="1">
    <w:p w14:paraId="078CF2A3" w14:textId="77777777" w:rsidR="006E6B83" w:rsidRDefault="006E6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0B0B" w14:textId="7DBA560B" w:rsidR="00587D8E" w:rsidRDefault="00587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6F6C" w14:textId="7083E193" w:rsidR="00587D8E" w:rsidRDefault="00587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1152" w14:textId="37F644CE" w:rsidR="00587D8E" w:rsidRDefault="00587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1FF6419"/>
    <w:multiLevelType w:val="multilevel"/>
    <w:tmpl w:val="6C5C63F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1F77C3C"/>
    <w:multiLevelType w:val="hybridMultilevel"/>
    <w:tmpl w:val="780E48EC"/>
    <w:lvl w:ilvl="0" w:tplc="44E6A06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350E1C25"/>
    <w:multiLevelType w:val="hybridMultilevel"/>
    <w:tmpl w:val="5C5EF3B4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8630FAC"/>
    <w:multiLevelType w:val="hybridMultilevel"/>
    <w:tmpl w:val="DC2ACE4E"/>
    <w:lvl w:ilvl="0" w:tplc="A8AE8B9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F73B3"/>
    <w:multiLevelType w:val="hybridMultilevel"/>
    <w:tmpl w:val="38B6FF00"/>
    <w:lvl w:ilvl="0" w:tplc="04090017">
      <w:start w:val="1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7867"/>
    <w:rsid w:val="000215B5"/>
    <w:rsid w:val="00022700"/>
    <w:rsid w:val="000227BF"/>
    <w:rsid w:val="000238C8"/>
    <w:rsid w:val="00034616"/>
    <w:rsid w:val="00057925"/>
    <w:rsid w:val="0006063C"/>
    <w:rsid w:val="0006292A"/>
    <w:rsid w:val="00074D3A"/>
    <w:rsid w:val="000778F7"/>
    <w:rsid w:val="00091ED2"/>
    <w:rsid w:val="000B72BA"/>
    <w:rsid w:val="000D7168"/>
    <w:rsid w:val="000E0520"/>
    <w:rsid w:val="000E5B02"/>
    <w:rsid w:val="000F0843"/>
    <w:rsid w:val="000F495A"/>
    <w:rsid w:val="001274C2"/>
    <w:rsid w:val="00146D69"/>
    <w:rsid w:val="0015074B"/>
    <w:rsid w:val="0015079D"/>
    <w:rsid w:val="00172120"/>
    <w:rsid w:val="001A144A"/>
    <w:rsid w:val="001B7E67"/>
    <w:rsid w:val="001F169E"/>
    <w:rsid w:val="001F4B7E"/>
    <w:rsid w:val="00216E72"/>
    <w:rsid w:val="00231A9E"/>
    <w:rsid w:val="002345D9"/>
    <w:rsid w:val="002359F4"/>
    <w:rsid w:val="0029639D"/>
    <w:rsid w:val="00297D19"/>
    <w:rsid w:val="002C77E9"/>
    <w:rsid w:val="002D6517"/>
    <w:rsid w:val="002E3C77"/>
    <w:rsid w:val="002E596D"/>
    <w:rsid w:val="002E76E5"/>
    <w:rsid w:val="00326F90"/>
    <w:rsid w:val="00360777"/>
    <w:rsid w:val="00382828"/>
    <w:rsid w:val="00382F71"/>
    <w:rsid w:val="0039590B"/>
    <w:rsid w:val="003A67B6"/>
    <w:rsid w:val="003A6D91"/>
    <w:rsid w:val="003B7875"/>
    <w:rsid w:val="003C6AB3"/>
    <w:rsid w:val="003D0E7B"/>
    <w:rsid w:val="003F204E"/>
    <w:rsid w:val="004052B5"/>
    <w:rsid w:val="004865C2"/>
    <w:rsid w:val="004A4741"/>
    <w:rsid w:val="004A7BCE"/>
    <w:rsid w:val="004B1414"/>
    <w:rsid w:val="004C4B9B"/>
    <w:rsid w:val="004D5F12"/>
    <w:rsid w:val="004E341A"/>
    <w:rsid w:val="004E636A"/>
    <w:rsid w:val="00501BF5"/>
    <w:rsid w:val="00533860"/>
    <w:rsid w:val="00587D8E"/>
    <w:rsid w:val="00592548"/>
    <w:rsid w:val="00596AB6"/>
    <w:rsid w:val="005A0D12"/>
    <w:rsid w:val="005B18BF"/>
    <w:rsid w:val="005B6C44"/>
    <w:rsid w:val="005C621B"/>
    <w:rsid w:val="005D3555"/>
    <w:rsid w:val="00601D8D"/>
    <w:rsid w:val="00621B50"/>
    <w:rsid w:val="006229DC"/>
    <w:rsid w:val="00673AF8"/>
    <w:rsid w:val="00692067"/>
    <w:rsid w:val="006E5F36"/>
    <w:rsid w:val="006E6B83"/>
    <w:rsid w:val="00700026"/>
    <w:rsid w:val="00701433"/>
    <w:rsid w:val="0073257D"/>
    <w:rsid w:val="00736CE5"/>
    <w:rsid w:val="0074509C"/>
    <w:rsid w:val="00780287"/>
    <w:rsid w:val="00787204"/>
    <w:rsid w:val="00790DBD"/>
    <w:rsid w:val="0079115B"/>
    <w:rsid w:val="007B369C"/>
    <w:rsid w:val="008132DC"/>
    <w:rsid w:val="00832FCD"/>
    <w:rsid w:val="00850CF0"/>
    <w:rsid w:val="008632E3"/>
    <w:rsid w:val="008B754A"/>
    <w:rsid w:val="008B7FA8"/>
    <w:rsid w:val="008C7BBD"/>
    <w:rsid w:val="00905146"/>
    <w:rsid w:val="0091730E"/>
    <w:rsid w:val="009200BC"/>
    <w:rsid w:val="009473F6"/>
    <w:rsid w:val="00956C53"/>
    <w:rsid w:val="00966DCB"/>
    <w:rsid w:val="00967CA4"/>
    <w:rsid w:val="00971EBE"/>
    <w:rsid w:val="00974E25"/>
    <w:rsid w:val="009C541B"/>
    <w:rsid w:val="009D5228"/>
    <w:rsid w:val="009E45B5"/>
    <w:rsid w:val="009E6D3F"/>
    <w:rsid w:val="009F1943"/>
    <w:rsid w:val="009F198B"/>
    <w:rsid w:val="00A20329"/>
    <w:rsid w:val="00A25229"/>
    <w:rsid w:val="00A36C26"/>
    <w:rsid w:val="00A46E00"/>
    <w:rsid w:val="00A50441"/>
    <w:rsid w:val="00A53AFB"/>
    <w:rsid w:val="00A61B68"/>
    <w:rsid w:val="00A671DA"/>
    <w:rsid w:val="00A710E0"/>
    <w:rsid w:val="00AA1D8D"/>
    <w:rsid w:val="00AB6532"/>
    <w:rsid w:val="00AC2B09"/>
    <w:rsid w:val="00AD6894"/>
    <w:rsid w:val="00AE36F8"/>
    <w:rsid w:val="00B15215"/>
    <w:rsid w:val="00B154F6"/>
    <w:rsid w:val="00B27F89"/>
    <w:rsid w:val="00B325C8"/>
    <w:rsid w:val="00B40C3A"/>
    <w:rsid w:val="00B422A3"/>
    <w:rsid w:val="00B44791"/>
    <w:rsid w:val="00B47730"/>
    <w:rsid w:val="00B6166D"/>
    <w:rsid w:val="00B7707A"/>
    <w:rsid w:val="00B8181D"/>
    <w:rsid w:val="00BA7C30"/>
    <w:rsid w:val="00BB2016"/>
    <w:rsid w:val="00BB4A2A"/>
    <w:rsid w:val="00BB517C"/>
    <w:rsid w:val="00BC0B26"/>
    <w:rsid w:val="00BD243C"/>
    <w:rsid w:val="00C108CD"/>
    <w:rsid w:val="00C20A01"/>
    <w:rsid w:val="00C3191D"/>
    <w:rsid w:val="00C476C0"/>
    <w:rsid w:val="00C86236"/>
    <w:rsid w:val="00C96B61"/>
    <w:rsid w:val="00C97013"/>
    <w:rsid w:val="00CA4B25"/>
    <w:rsid w:val="00CB0664"/>
    <w:rsid w:val="00CB53C7"/>
    <w:rsid w:val="00CB74E8"/>
    <w:rsid w:val="00CB7871"/>
    <w:rsid w:val="00CD1A22"/>
    <w:rsid w:val="00CD2BF6"/>
    <w:rsid w:val="00CF1D16"/>
    <w:rsid w:val="00D0257D"/>
    <w:rsid w:val="00D1554A"/>
    <w:rsid w:val="00D60547"/>
    <w:rsid w:val="00D82C23"/>
    <w:rsid w:val="00D862EC"/>
    <w:rsid w:val="00DA7A23"/>
    <w:rsid w:val="00DE0B85"/>
    <w:rsid w:val="00E07C60"/>
    <w:rsid w:val="00E335FF"/>
    <w:rsid w:val="00E5548C"/>
    <w:rsid w:val="00E73CC1"/>
    <w:rsid w:val="00ED483D"/>
    <w:rsid w:val="00EF66C1"/>
    <w:rsid w:val="00F0011B"/>
    <w:rsid w:val="00F21577"/>
    <w:rsid w:val="00F278B8"/>
    <w:rsid w:val="00F36AFA"/>
    <w:rsid w:val="00F53D5E"/>
    <w:rsid w:val="00F55BC4"/>
    <w:rsid w:val="00F74B81"/>
    <w:rsid w:val="00F75936"/>
    <w:rsid w:val="00F97C2C"/>
    <w:rsid w:val="00FA77E0"/>
    <w:rsid w:val="00FC4DF5"/>
    <w:rsid w:val="00FC693F"/>
    <w:rsid w:val="00FC74FB"/>
    <w:rsid w:val="00FD717C"/>
    <w:rsid w:val="00FF6ACD"/>
    <w:rsid w:val="00FF7312"/>
    <w:rsid w:val="065DF245"/>
    <w:rsid w:val="2CE99EBE"/>
    <w:rsid w:val="3BA5C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AB9BF"/>
  <w14:defaultImageDpi w14:val="300"/>
  <w15:docId w15:val="{B84E623D-0F83-2A47-A65C-3B6245B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eastAsiaTheme="majorEastAsia" w:hAnsiTheme="majorHAnsi" w:cstheme="majorBidi"/>
      <w:b/>
      <w:bCs/>
      <w:color w:val="104F75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480" w:after="240" w:line="240" w:lineRule="auto"/>
      <w:ind w:left="360"/>
      <w:outlineLvl w:val="1"/>
    </w:pPr>
    <w:rPr>
      <w:rFonts w:eastAsiaTheme="majorEastAsia" w:hAnsiTheme="majorHAnsi" w:cstheme="majorBidi"/>
      <w:b/>
      <w:bCs/>
      <w:color w:val="104F7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ind w:left="360"/>
      <w:outlineLvl w:val="2"/>
    </w:pPr>
    <w:rPr>
      <w:rFonts w:eastAsiaTheme="majorEastAsia" w:hAnsiTheme="majorHAnsi" w:cstheme="majorBidi"/>
      <w:b/>
      <w:bCs/>
      <w:color w:val="104F7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ind w:left="720"/>
      <w:outlineLvl w:val="3"/>
    </w:pPr>
    <w:rPr>
      <w:rFonts w:eastAsiaTheme="majorEastAsia" w:hAnsiTheme="majorHAnsi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ind w:left="1080"/>
      <w:outlineLvl w:val="4"/>
    </w:pPr>
    <w:rPr>
      <w:rFonts w:eastAsiaTheme="majorEastAsia" w:hAnsiTheme="majorHAnsi" w:cstheme="majorBidi"/>
      <w:color w:val="0045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693F"/>
    <w:pPr>
      <w:keepNext/>
      <w:keepLines/>
      <w:spacing w:before="200" w:after="0"/>
      <w:jc w:val="center"/>
      <w:outlineLvl w:val="5"/>
    </w:pPr>
    <w:rPr>
      <w:rFonts w:eastAsiaTheme="majorEastAsia" w:hAnsiTheme="majorHAnsi" w:cstheme="majorBidi"/>
      <w:b/>
      <w:iCs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sz w:val="24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tyle3">
    <w:name w:val="style 3"/>
    <w:pPr>
      <w:spacing w:after="240" w:line="288" w:lineRule="auto"/>
      <w:ind w:left="360"/>
    </w:pPr>
    <w:rPr>
      <w:rFonts w:ascii="Arial" w:hAnsi="Arial"/>
      <w:color w:val="000000"/>
      <w:sz w:val="24"/>
    </w:rPr>
  </w:style>
  <w:style w:type="paragraph" w:customStyle="1" w:styleId="summary1">
    <w:name w:val="summary1"/>
    <w:rPr>
      <w:rFonts w:ascii="Arial" w:hAnsi="Arial"/>
      <w:b/>
      <w:color w:val="104F75"/>
      <w:sz w:val="32"/>
    </w:rPr>
  </w:style>
  <w:style w:type="paragraph" w:customStyle="1" w:styleId="summary2">
    <w:name w:val="summary2"/>
    <w:rPr>
      <w:rFonts w:ascii="Arial" w:hAnsi="Arial"/>
      <w:sz w:val="24"/>
    </w:rPr>
  </w:style>
  <w:style w:type="paragraph" w:customStyle="1" w:styleId="summary3">
    <w:name w:val="summary3"/>
    <w:pPr>
      <w:ind w:left="533" w:hanging="173"/>
    </w:pPr>
    <w:rPr>
      <w:rFonts w:ascii="Arial" w:hAnsi="Arial"/>
      <w:sz w:val="24"/>
    </w:rPr>
  </w:style>
  <w:style w:type="paragraph" w:customStyle="1" w:styleId="contact1">
    <w:name w:val="contact1"/>
    <w:rPr>
      <w:rFonts w:ascii="Arial" w:hAnsi="Arial"/>
      <w:sz w:val="24"/>
    </w:rPr>
  </w:style>
  <w:style w:type="paragraph" w:customStyle="1" w:styleId="TOC61">
    <w:name w:val="TOC 61"/>
  </w:style>
  <w:style w:type="paragraph" w:customStyle="1" w:styleId="ResponseStyle">
    <w:name w:val="Response Style"/>
    <w:basedOn w:val="Normal"/>
  </w:style>
  <w:style w:type="paragraph" w:customStyle="1" w:styleId="TOC1">
    <w:name w:val="TOC1"/>
    <w:basedOn w:val="Normal"/>
    <w:autoRedefine/>
    <w:uiPriority w:val="39"/>
    <w:unhideWhenUsed/>
    <w:rPr>
      <w:color w:val="FFFFFF"/>
    </w:rPr>
  </w:style>
  <w:style w:type="paragraph" w:customStyle="1" w:styleId="TOC21">
    <w:name w:val="TOC 21"/>
    <w:aliases w:val="TOC2"/>
    <w:basedOn w:val="Normal"/>
    <w:autoRedefine/>
    <w:uiPriority w:val="39"/>
    <w:unhideWhenUsed/>
    <w:pPr>
      <w:ind w:left="220"/>
    </w:pPr>
  </w:style>
  <w:style w:type="paragraph" w:customStyle="1" w:styleId="TOC10">
    <w:name w:val="TOC1"/>
    <w:basedOn w:val="Normal"/>
    <w:autoRedefine/>
    <w:uiPriority w:val="39"/>
    <w:unhideWhenUsed/>
    <w:rPr>
      <w:color w:val="FFFFFF"/>
    </w:rPr>
  </w:style>
  <w:style w:type="paragraph" w:customStyle="1" w:styleId="TOC22">
    <w:name w:val="TOC 22"/>
    <w:aliases w:val="TOC2"/>
    <w:basedOn w:val="Normal"/>
    <w:autoRedefine/>
    <w:uiPriority w:val="39"/>
    <w:unhideWhenUsed/>
    <w:pPr>
      <w:ind w:left="220"/>
    </w:pPr>
  </w:style>
  <w:style w:type="paragraph" w:customStyle="1" w:styleId="TOC62">
    <w:name w:val="TOC 62"/>
    <w:aliases w:val="TOC6"/>
    <w:basedOn w:val="Normal"/>
    <w:autoRedefine/>
    <w:uiPriority w:val="39"/>
    <w:unhideWhenUsed/>
  </w:style>
  <w:style w:type="character" w:styleId="CommentReference">
    <w:name w:val="annotation reference"/>
    <w:basedOn w:val="DefaultParagraphFont"/>
    <w:unhideWhenUsed/>
    <w:rsid w:val="00C476C0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CD2B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D2B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D2BF6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D2BF6"/>
    <w:pPr>
      <w:spacing w:after="100"/>
      <w:ind w:left="1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B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974E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828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B6C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97C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A7A23"/>
  </w:style>
  <w:style w:type="paragraph" w:customStyle="1" w:styleId="DfESOutNumbered">
    <w:name w:val="DfESOutNumbered"/>
    <w:basedOn w:val="Normal"/>
    <w:link w:val="DfESOutNumberedChar"/>
    <w:rsid w:val="00967CA4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Arial"/>
      <w:szCs w:val="20"/>
      <w:lang w:val="en-GB"/>
    </w:rPr>
  </w:style>
  <w:style w:type="character" w:customStyle="1" w:styleId="DfESOutNumberedChar">
    <w:name w:val="DfESOutNumbered Char"/>
    <w:basedOn w:val="DefaultParagraphFont"/>
    <w:link w:val="DfESOutNumbered"/>
    <w:rsid w:val="00967CA4"/>
    <w:rPr>
      <w:rFonts w:ascii="Arial" w:eastAsia="Times New Roman" w:hAnsi="Arial" w:cs="Arial"/>
      <w:szCs w:val="20"/>
      <w:lang w:val="en-GB"/>
    </w:rPr>
  </w:style>
  <w:style w:type="paragraph" w:customStyle="1" w:styleId="DeptBullets">
    <w:name w:val="DeptBullets"/>
    <w:basedOn w:val="Normal"/>
    <w:link w:val="DeptBulletsChar"/>
    <w:rsid w:val="00967CA4"/>
    <w:pPr>
      <w:widowControl w:val="0"/>
      <w:numPr>
        <w:numId w:val="1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sz w:val="24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967CA4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TOC11">
    <w:name w:val="TOC 11"/>
    <w:basedOn w:val="Normal"/>
    <w:autoRedefine/>
    <w:uiPriority w:val="39"/>
    <w:unhideWhenUsed/>
    <w:rsid w:val="003A6D91"/>
    <w:rPr>
      <w:color w:val="FFFFFF"/>
    </w:rPr>
  </w:style>
  <w:style w:type="paragraph" w:customStyle="1" w:styleId="toc100">
    <w:name w:val="toc 10"/>
    <w:basedOn w:val="Normal"/>
    <w:next w:val="Normal"/>
    <w:autoRedefine/>
    <w:uiPriority w:val="39"/>
    <w:unhideWhenUsed/>
    <w:rsid w:val="003A6D91"/>
    <w:pPr>
      <w:spacing w:after="100"/>
    </w:pPr>
  </w:style>
  <w:style w:type="paragraph" w:styleId="CommentText">
    <w:name w:val="annotation text"/>
    <w:basedOn w:val="Normal"/>
    <w:link w:val="CommentTextChar"/>
    <w:unhideWhenUsed/>
    <w:rsid w:val="00C47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6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6C0"/>
    <w:rPr>
      <w:rFonts w:ascii="Arial" w:hAnsi="Arial"/>
      <w:b/>
      <w:bCs/>
      <w:sz w:val="20"/>
      <w:szCs w:val="20"/>
    </w:rPr>
  </w:style>
  <w:style w:type="paragraph" w:customStyle="1" w:styleId="TitleText">
    <w:name w:val="TitleText"/>
    <w:basedOn w:val="Normal"/>
    <w:link w:val="TitleTextChar"/>
    <w:unhideWhenUsed/>
    <w:qFormat/>
    <w:rsid w:val="001A144A"/>
    <w:pPr>
      <w:spacing w:before="3600" w:after="240" w:line="240" w:lineRule="auto"/>
    </w:pPr>
    <w:rPr>
      <w:rFonts w:eastAsia="Times New Roman" w:cs="Arial"/>
      <w:b/>
      <w:color w:val="104F75"/>
      <w:sz w:val="92"/>
      <w:szCs w:val="92"/>
      <w:lang w:val="en-GB" w:eastAsia="en-GB"/>
    </w:rPr>
  </w:style>
  <w:style w:type="character" w:customStyle="1" w:styleId="TitleTextChar">
    <w:name w:val="TitleText Char"/>
    <w:link w:val="TitleText"/>
    <w:rsid w:val="001A144A"/>
    <w:rPr>
      <w:rFonts w:ascii="Arial" w:eastAsia="Times New Roman" w:hAnsi="Arial" w:cs="Arial"/>
      <w:b/>
      <w:color w:val="104F75"/>
      <w:sz w:val="92"/>
      <w:szCs w:val="92"/>
      <w:lang w:val="en-GB" w:eastAsia="en-GB"/>
    </w:rPr>
  </w:style>
  <w:style w:type="paragraph" w:customStyle="1" w:styleId="TableHeader">
    <w:name w:val="TableHeader"/>
    <w:qFormat/>
    <w:rsid w:val="001A144A"/>
    <w:pPr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 w:themeColor="text1" w:themeTint="F2"/>
      <w:sz w:val="24"/>
      <w:szCs w:val="24"/>
      <w:lang w:val="en-GB" w:eastAsia="en-GB"/>
    </w:rPr>
  </w:style>
  <w:style w:type="paragraph" w:customStyle="1" w:styleId="TableRow">
    <w:name w:val="TableRow"/>
    <w:link w:val="TableRowChar"/>
    <w:qFormat/>
    <w:rsid w:val="001A144A"/>
    <w:pPr>
      <w:spacing w:before="60" w:after="60" w:line="240" w:lineRule="auto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  <w:lang w:val="en-GB" w:eastAsia="en-GB"/>
    </w:rPr>
  </w:style>
  <w:style w:type="character" w:customStyle="1" w:styleId="TableRowChar">
    <w:name w:val="TableRow Char"/>
    <w:link w:val="TableRow"/>
    <w:rsid w:val="001A144A"/>
    <w:rPr>
      <w:rFonts w:ascii="Arial" w:eastAsia="Times New Roman" w:hAnsi="Arial" w:cs="Times New Roman"/>
      <w:color w:val="0D0D0D" w:themeColor="text1" w:themeTint="F2"/>
      <w:sz w:val="24"/>
      <w:szCs w:val="24"/>
      <w:lang w:val="en-GB" w:eastAsia="en-GB"/>
    </w:rPr>
  </w:style>
  <w:style w:type="paragraph" w:customStyle="1" w:styleId="TOCHeader">
    <w:name w:val="TOC Header"/>
    <w:link w:val="TOCHeaderChar"/>
    <w:unhideWhenUsed/>
    <w:rsid w:val="001A144A"/>
    <w:pPr>
      <w:pageBreakBefore/>
      <w:spacing w:after="0" w:line="240" w:lineRule="auto"/>
    </w:pPr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  <w:style w:type="character" w:customStyle="1" w:styleId="TOCHeaderChar">
    <w:name w:val="TOC Header Char"/>
    <w:link w:val="TOCHeader"/>
    <w:rsid w:val="001A144A"/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  <w:style w:type="table" w:customStyle="1" w:styleId="DfETable">
    <w:name w:val="DfE Table"/>
    <w:basedOn w:val="TableNormal"/>
    <w:uiPriority w:val="99"/>
    <w:rsid w:val="001A144A"/>
    <w:pPr>
      <w:spacing w:before="60" w:after="60" w:line="240" w:lineRule="auto"/>
      <w:ind w:left="57" w:right="57"/>
    </w:pPr>
    <w:rPr>
      <w:rFonts w:ascii="Arial" w:eastAsia="Times New Roman" w:hAnsi="Arial" w:cs="Times New Roman"/>
      <w:sz w:val="24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5B0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i@nationalarchives.gsi.gov.uk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ationalarchives.gov.uk/doc/open-government-licence/version/3" TargetMode="External"/><Relationship Id="rId17" Type="http://schemas.openxmlformats.org/officeDocument/2006/relationships/hyperlink" Target="https://twitter.com/educationgov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educationgov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v.uk/contactu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41E078EE82B4887788D5724F4C4A8" ma:contentTypeVersion="9" ma:contentTypeDescription="Create a new document." ma:contentTypeScope="" ma:versionID="b511db08c5e6ec411895965218bb10c0">
  <xsd:schema xmlns:xsd="http://www.w3.org/2001/XMLSchema" xmlns:xs="http://www.w3.org/2001/XMLSchema" xmlns:p="http://schemas.microsoft.com/office/2006/metadata/properties" xmlns:ns2="4eae4a0e-b115-4c3d-9311-394c9b662890" xmlns:ns3="486bc8b1-0742-4f07-8e7c-d77a3b52ed1e" targetNamespace="http://schemas.microsoft.com/office/2006/metadata/properties" ma:root="true" ma:fieldsID="acc7be786ffba6f0f821477a01c8109d" ns2:_="" ns3:_="">
    <xsd:import namespace="4eae4a0e-b115-4c3d-9311-394c9b662890"/>
    <xsd:import namespace="486bc8b1-0742-4f07-8e7c-d77a3b52e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4a0e-b115-4c3d-9311-394c9b662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bc8b1-0742-4f07-8e7c-d77a3b52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622E1-592C-4276-B6C2-112EA3E2A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C0EFD-ACB8-4217-955A-99BAF8EA4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24D9E-C5AA-4BCB-84ED-9FDC43B3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e4a0e-b115-4c3d-9311-394c9b662890"/>
    <ds:schemaRef ds:uri="486bc8b1-0742-4f07-8e7c-d77a3b52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0698D-E91C-4F67-854D-3E6F843E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School-Specific Annex SS4: Legacy Group 3 Furniture and Equipment Schedule</dc:title>
  <dc:subject/>
  <dc:creator>python-docx</dc:creator>
  <cp:keywords/>
  <dc:description>generated by python-docx</dc:description>
  <cp:lastModifiedBy>SMITH, Benjamin</cp:lastModifiedBy>
  <cp:revision>9</cp:revision>
  <dcterms:created xsi:type="dcterms:W3CDTF">2021-11-24T10:06:00Z</dcterms:created>
  <dcterms:modified xsi:type="dcterms:W3CDTF">2021-12-01T09:12:00Z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0x0101001DD41E078EE82B4887788D5724F4C4A8</vt:lpwstr>
  </property>
  <property fmtid="{D5CDD505-2E9C-101B-9397-08002B2CF9AE}" pid="3" name="_dlc_DocIdItemGuid">
    <vt:lpwstr>afde826e-c3be-43cd-8132-af0b9bcebae8</vt:lpwstr>
  </property>
  <property fmtid="{D5CDD505-2E9C-101B-9397-08002B2CF9AE}" pid="4" name="TaxKeyword">
    <vt:lpwstr/>
  </property>
</Properties>
</file>