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64F8A" w14:textId="77777777" w:rsidR="000B0589" w:rsidRDefault="000B0589" w:rsidP="00BC2702">
      <w:pPr>
        <w:pStyle w:val="Conditions1"/>
        <w:numPr>
          <w:ilvl w:val="0"/>
          <w:numId w:val="0"/>
        </w:numPr>
      </w:pPr>
      <w:r>
        <w:rPr>
          <w:noProof/>
        </w:rPr>
        <w:drawing>
          <wp:inline distT="0" distB="0" distL="0" distR="0" wp14:anchorId="28B29CD3" wp14:editId="67370E76">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4E64BC1" w14:textId="77777777" w:rsidR="000B0589" w:rsidRDefault="000B0589" w:rsidP="00A5760C"/>
    <w:p w14:paraId="21F5173D"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750681C5" w14:textId="77777777" w:rsidTr="00533F4F">
        <w:trPr>
          <w:cantSplit/>
          <w:trHeight w:val="23"/>
        </w:trPr>
        <w:tc>
          <w:tcPr>
            <w:tcW w:w="9356" w:type="dxa"/>
            <w:shd w:val="clear" w:color="auto" w:fill="auto"/>
          </w:tcPr>
          <w:p w14:paraId="528936C2" w14:textId="77777777" w:rsidR="000B0589" w:rsidRPr="00533F4F" w:rsidRDefault="00533F4F"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3828CBF0" w14:textId="77777777" w:rsidTr="00533F4F">
        <w:trPr>
          <w:cantSplit/>
          <w:trHeight w:val="23"/>
        </w:trPr>
        <w:tc>
          <w:tcPr>
            <w:tcW w:w="9356" w:type="dxa"/>
            <w:shd w:val="clear" w:color="auto" w:fill="auto"/>
            <w:vAlign w:val="center"/>
          </w:tcPr>
          <w:p w14:paraId="15AD65D8" w14:textId="36D19C75" w:rsidR="000B0589" w:rsidRPr="00533F4F" w:rsidRDefault="00533F4F" w:rsidP="00533F4F">
            <w:pPr>
              <w:spacing w:before="60"/>
              <w:ind w:left="-108" w:right="34"/>
              <w:rPr>
                <w:color w:val="000000"/>
                <w:szCs w:val="22"/>
              </w:rPr>
            </w:pPr>
            <w:r>
              <w:rPr>
                <w:color w:val="000000"/>
                <w:szCs w:val="22"/>
              </w:rPr>
              <w:t>Site visit made on 6 July 2021</w:t>
            </w:r>
          </w:p>
        </w:tc>
      </w:tr>
      <w:tr w:rsidR="000B0589" w:rsidRPr="00361890" w14:paraId="6351E9C2" w14:textId="77777777" w:rsidTr="00533F4F">
        <w:trPr>
          <w:cantSplit/>
          <w:trHeight w:val="23"/>
        </w:trPr>
        <w:tc>
          <w:tcPr>
            <w:tcW w:w="9356" w:type="dxa"/>
            <w:shd w:val="clear" w:color="auto" w:fill="auto"/>
          </w:tcPr>
          <w:p w14:paraId="10248012" w14:textId="25E6242A" w:rsidR="000B0589" w:rsidRPr="00533F4F" w:rsidRDefault="00533F4F" w:rsidP="00533F4F">
            <w:pPr>
              <w:spacing w:before="180"/>
              <w:ind w:left="-108" w:right="34"/>
              <w:rPr>
                <w:b/>
                <w:color w:val="000000"/>
                <w:sz w:val="16"/>
                <w:szCs w:val="22"/>
              </w:rPr>
            </w:pPr>
            <w:r>
              <w:rPr>
                <w:b/>
                <w:color w:val="000000"/>
                <w:szCs w:val="22"/>
              </w:rPr>
              <w:t>by C Beeby BA (Hons) MIPROW</w:t>
            </w:r>
          </w:p>
        </w:tc>
      </w:tr>
      <w:tr w:rsidR="000B0589" w:rsidRPr="00361890" w14:paraId="02AFC88D" w14:textId="77777777" w:rsidTr="00533F4F">
        <w:trPr>
          <w:cantSplit/>
          <w:trHeight w:val="23"/>
        </w:trPr>
        <w:tc>
          <w:tcPr>
            <w:tcW w:w="9356" w:type="dxa"/>
            <w:shd w:val="clear" w:color="auto" w:fill="auto"/>
          </w:tcPr>
          <w:p w14:paraId="5881B2A8" w14:textId="584E6529" w:rsidR="000B0589" w:rsidRPr="00533F4F" w:rsidRDefault="00533F4F"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17A6C46B" w14:textId="77777777" w:rsidTr="00533F4F">
        <w:trPr>
          <w:cantSplit/>
          <w:trHeight w:val="23"/>
        </w:trPr>
        <w:tc>
          <w:tcPr>
            <w:tcW w:w="9356" w:type="dxa"/>
            <w:shd w:val="clear" w:color="auto" w:fill="auto"/>
          </w:tcPr>
          <w:p w14:paraId="2CAD83D1" w14:textId="1CAAB654"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322322">
              <w:rPr>
                <w:b/>
                <w:color w:val="000000"/>
                <w:sz w:val="16"/>
                <w:szCs w:val="16"/>
              </w:rPr>
              <w:t xml:space="preserve"> 11 October 2021</w:t>
            </w:r>
          </w:p>
        </w:tc>
      </w:tr>
    </w:tbl>
    <w:p w14:paraId="27D3879B" w14:textId="77777777" w:rsidR="00533F4F" w:rsidRDefault="00533F4F" w:rsidP="000B0589"/>
    <w:tbl>
      <w:tblPr>
        <w:tblW w:w="0" w:type="auto"/>
        <w:tblLayout w:type="fixed"/>
        <w:tblLook w:val="0000" w:firstRow="0" w:lastRow="0" w:firstColumn="0" w:lastColumn="0" w:noHBand="0" w:noVBand="0"/>
      </w:tblPr>
      <w:tblGrid>
        <w:gridCol w:w="9520"/>
      </w:tblGrid>
      <w:tr w:rsidR="00533F4F" w14:paraId="2139BE4D" w14:textId="77777777" w:rsidTr="00533F4F">
        <w:tc>
          <w:tcPr>
            <w:tcW w:w="9520" w:type="dxa"/>
            <w:shd w:val="clear" w:color="auto" w:fill="auto"/>
          </w:tcPr>
          <w:p w14:paraId="78FD1C75" w14:textId="528BC04B" w:rsidR="00533F4F" w:rsidRPr="00533F4F" w:rsidRDefault="00533F4F" w:rsidP="00533F4F">
            <w:pPr>
              <w:spacing w:after="60"/>
              <w:rPr>
                <w:b/>
                <w:color w:val="000000"/>
              </w:rPr>
            </w:pPr>
            <w:r>
              <w:rPr>
                <w:b/>
                <w:color w:val="000000"/>
              </w:rPr>
              <w:t>Order Ref: ROW/3255665</w:t>
            </w:r>
          </w:p>
        </w:tc>
      </w:tr>
      <w:tr w:rsidR="00533F4F" w14:paraId="16EA06DD" w14:textId="77777777" w:rsidTr="00533F4F">
        <w:tc>
          <w:tcPr>
            <w:tcW w:w="9520" w:type="dxa"/>
            <w:shd w:val="clear" w:color="auto" w:fill="auto"/>
          </w:tcPr>
          <w:p w14:paraId="497B3696" w14:textId="21D150FD" w:rsidR="00533F4F" w:rsidRDefault="00533F4F" w:rsidP="00533F4F">
            <w:pPr>
              <w:pStyle w:val="TBullet"/>
            </w:pPr>
            <w:r>
              <w:t>This Order is made under Section 53(2)(b) of the Wildlife and Countryside Act 1981 (the 1981 Act) and is known as the Luton Borough Council Footpath No 159 (Langley Place, Luton) Definitive Map and Statement Modification Order 2020.</w:t>
            </w:r>
          </w:p>
        </w:tc>
      </w:tr>
      <w:tr w:rsidR="00533F4F" w14:paraId="7B19DC32" w14:textId="77777777" w:rsidTr="00533F4F">
        <w:tc>
          <w:tcPr>
            <w:tcW w:w="9520" w:type="dxa"/>
            <w:shd w:val="clear" w:color="auto" w:fill="auto"/>
          </w:tcPr>
          <w:p w14:paraId="4DCE36D1" w14:textId="4127B864" w:rsidR="00533F4F" w:rsidRDefault="00533F4F" w:rsidP="00533F4F">
            <w:pPr>
              <w:pStyle w:val="TBullet"/>
            </w:pPr>
            <w:r>
              <w:t xml:space="preserve">The Order is dated 13 May 2020 and proposes to modify the Definitive Map and Statement for the area by recording public footpath No 159 between New Town Street and the rear boundary of the </w:t>
            </w:r>
            <w:proofErr w:type="spellStart"/>
            <w:r>
              <w:t>Telmere</w:t>
            </w:r>
            <w:proofErr w:type="spellEnd"/>
            <w:r>
              <w:t xml:space="preserve"> Industrial Estate as shown in the Order plan and described in the Order Schedule.</w:t>
            </w:r>
          </w:p>
        </w:tc>
      </w:tr>
      <w:tr w:rsidR="00533F4F" w14:paraId="599ED87C" w14:textId="77777777" w:rsidTr="00533F4F">
        <w:tc>
          <w:tcPr>
            <w:tcW w:w="9520" w:type="dxa"/>
            <w:shd w:val="clear" w:color="auto" w:fill="auto"/>
          </w:tcPr>
          <w:p w14:paraId="0B305E50" w14:textId="3D9111E6" w:rsidR="00533F4F" w:rsidRDefault="00533F4F" w:rsidP="00533F4F">
            <w:pPr>
              <w:pStyle w:val="TBullet"/>
            </w:pPr>
            <w:r>
              <w:t xml:space="preserve">There were </w:t>
            </w:r>
            <w:r w:rsidR="000B5AE4">
              <w:t>three</w:t>
            </w:r>
            <w:r>
              <w:t xml:space="preserve"> objections outstanding when </w:t>
            </w:r>
            <w:r w:rsidR="000B5AE4">
              <w:t xml:space="preserve">the </w:t>
            </w:r>
            <w:r>
              <w:t>Council submitted the Order to the Secretary of State for Environment, Food and Rural Affairs for confirmation.</w:t>
            </w:r>
          </w:p>
        </w:tc>
      </w:tr>
      <w:tr w:rsidR="00533F4F" w14:paraId="65E8DB1B" w14:textId="77777777" w:rsidTr="00533F4F">
        <w:tc>
          <w:tcPr>
            <w:tcW w:w="9520" w:type="dxa"/>
            <w:shd w:val="clear" w:color="auto" w:fill="auto"/>
          </w:tcPr>
          <w:p w14:paraId="4F616191" w14:textId="00F6B0A8" w:rsidR="00533F4F" w:rsidRPr="00533F4F" w:rsidRDefault="00533F4F" w:rsidP="00533F4F">
            <w:pPr>
              <w:spacing w:before="60"/>
              <w:rPr>
                <w:b/>
                <w:color w:val="000000"/>
              </w:rPr>
            </w:pPr>
            <w:r>
              <w:rPr>
                <w:b/>
                <w:color w:val="000000"/>
              </w:rPr>
              <w:t>Summary of Decision:</w:t>
            </w:r>
            <w:r w:rsidR="000B5AE4">
              <w:rPr>
                <w:b/>
                <w:color w:val="000000"/>
              </w:rPr>
              <w:t xml:space="preserve"> The Order is confirmed.</w:t>
            </w:r>
          </w:p>
        </w:tc>
      </w:tr>
      <w:tr w:rsidR="00533F4F" w14:paraId="229F26B2" w14:textId="77777777" w:rsidTr="00533F4F">
        <w:tc>
          <w:tcPr>
            <w:tcW w:w="9520" w:type="dxa"/>
            <w:tcBorders>
              <w:bottom w:val="single" w:sz="6" w:space="0" w:color="000000"/>
            </w:tcBorders>
            <w:shd w:val="clear" w:color="auto" w:fill="auto"/>
          </w:tcPr>
          <w:p w14:paraId="3D5C8D22" w14:textId="77777777" w:rsidR="00533F4F" w:rsidRPr="00533F4F" w:rsidRDefault="00533F4F" w:rsidP="00533F4F">
            <w:pPr>
              <w:spacing w:before="60"/>
              <w:rPr>
                <w:b/>
                <w:color w:val="000000"/>
                <w:sz w:val="2"/>
              </w:rPr>
            </w:pPr>
            <w:bookmarkStart w:id="1" w:name="bmkReturn"/>
            <w:bookmarkEnd w:id="1"/>
          </w:p>
        </w:tc>
      </w:tr>
    </w:tbl>
    <w:p w14:paraId="31D4102F" w14:textId="75EF90FF" w:rsidR="00533F4F" w:rsidRDefault="00533F4F" w:rsidP="00533F4F">
      <w:pPr>
        <w:pStyle w:val="Heading6blackfont"/>
      </w:pPr>
      <w:r>
        <w:t>Procedural Matters</w:t>
      </w:r>
    </w:p>
    <w:p w14:paraId="029A8D83" w14:textId="0DF1E572" w:rsidR="008A2B90" w:rsidRPr="008A2B90" w:rsidRDefault="008A2B90" w:rsidP="008A2B90">
      <w:pPr>
        <w:pStyle w:val="Style1"/>
      </w:pPr>
      <w:r>
        <w:t>In writing this decision I have found it convenient to refer to points marked on the Order Plan.  I therefore attach a copy of this plan.</w:t>
      </w:r>
    </w:p>
    <w:p w14:paraId="0253608D" w14:textId="13FC0548" w:rsidR="00533F4F" w:rsidRDefault="00533F4F" w:rsidP="00533F4F">
      <w:pPr>
        <w:pStyle w:val="Heading6blackfont"/>
      </w:pPr>
      <w:r>
        <w:t>The Main Issues</w:t>
      </w:r>
    </w:p>
    <w:p w14:paraId="55E53700" w14:textId="3EFD0DB9" w:rsidR="0078542C" w:rsidRDefault="00793346" w:rsidP="001B7FC0">
      <w:pPr>
        <w:pStyle w:val="Style1"/>
      </w:pPr>
      <w:r>
        <w:t>Luton Borough Council made the D</w:t>
      </w:r>
      <w:r w:rsidR="001A057C">
        <w:t xml:space="preserve">efinitive </w:t>
      </w:r>
      <w:r>
        <w:t>M</w:t>
      </w:r>
      <w:r w:rsidR="001A057C">
        <w:t xml:space="preserve">ap </w:t>
      </w:r>
      <w:r>
        <w:t>M</w:t>
      </w:r>
      <w:r w:rsidR="001A057C">
        <w:t xml:space="preserve">odification </w:t>
      </w:r>
      <w:r>
        <w:t>O</w:t>
      </w:r>
      <w:r w:rsidR="001A057C">
        <w:t>rder (DMMO)</w:t>
      </w:r>
      <w:r>
        <w:t xml:space="preserve"> under Section 53(2)(b) of the 1981 Act </w:t>
      </w:r>
      <w:proofErr w:type="gramStart"/>
      <w:r>
        <w:t xml:space="preserve">on the basis </w:t>
      </w:r>
      <w:r w:rsidR="004D59C5">
        <w:t>of</w:t>
      </w:r>
      <w:proofErr w:type="gramEnd"/>
      <w:r w:rsidR="004D59C5">
        <w:t xml:space="preserve"> events specified in sub-section 53(3)(c)(i).  As a result, the main issue is whether </w:t>
      </w:r>
      <w:r w:rsidR="0078542C">
        <w:t xml:space="preserve">the discovery by the Council of evidence (when considered with all other evidence available) is sufficient to show that a public right of way on foot which is not shown in the map and statement subsists over land in the area to which the map relates. </w:t>
      </w:r>
    </w:p>
    <w:p w14:paraId="46635DD8" w14:textId="076789F9" w:rsidR="008A2B90" w:rsidRPr="008A2B90" w:rsidRDefault="0078542C" w:rsidP="002D0F4D">
      <w:pPr>
        <w:pStyle w:val="Style1"/>
        <w:numPr>
          <w:ilvl w:val="0"/>
          <w:numId w:val="24"/>
        </w:numPr>
      </w:pPr>
      <w:r>
        <w:tab/>
        <w:t xml:space="preserve">Whilst it suffices under section 53(3)(c)(i) for a public right of way to be </w:t>
      </w:r>
      <w:r w:rsidRPr="00AB33E3">
        <w:rPr>
          <w:i/>
          <w:iCs/>
        </w:rPr>
        <w:t>reasonably alleged</w:t>
      </w:r>
      <w:r>
        <w:t xml:space="preserve"> to subsist, the standard of proof is higher for the DMMO to be confirmed.  At this stage, evidence is required on the balance of probabilities that a right of way subsists.  The burden of proof lies with those who assert the existence of a public footpath.</w:t>
      </w:r>
    </w:p>
    <w:p w14:paraId="7A37EB9E" w14:textId="1B8AB906" w:rsidR="00533F4F" w:rsidRDefault="00533F4F" w:rsidP="00533F4F">
      <w:pPr>
        <w:pStyle w:val="Heading6blackfont"/>
      </w:pPr>
      <w:r>
        <w:t>Reasons</w:t>
      </w:r>
    </w:p>
    <w:p w14:paraId="33E8D806" w14:textId="3AB0B5D9" w:rsidR="007157E4" w:rsidRPr="007157E4" w:rsidRDefault="007157E4" w:rsidP="007157E4">
      <w:pPr>
        <w:pStyle w:val="Style1"/>
        <w:numPr>
          <w:ilvl w:val="0"/>
          <w:numId w:val="0"/>
        </w:numPr>
        <w:ind w:left="431" w:hanging="431"/>
        <w:rPr>
          <w:b/>
          <w:bCs/>
          <w:i/>
          <w:iCs/>
        </w:rPr>
      </w:pPr>
      <w:r w:rsidRPr="007157E4">
        <w:rPr>
          <w:b/>
          <w:bCs/>
          <w:i/>
          <w:iCs/>
        </w:rPr>
        <w:t>Background</w:t>
      </w:r>
    </w:p>
    <w:p w14:paraId="283D17CE" w14:textId="7DAE5A8A" w:rsidR="007157E4" w:rsidRPr="007157E4" w:rsidRDefault="007157E4" w:rsidP="007157E4">
      <w:pPr>
        <w:pStyle w:val="Style1"/>
      </w:pPr>
      <w:r>
        <w:t xml:space="preserve">The Order route </w:t>
      </w:r>
      <w:r w:rsidR="00B036B0">
        <w:t xml:space="preserve">runs </w:t>
      </w:r>
      <w:r w:rsidR="00377291">
        <w:t xml:space="preserve">between </w:t>
      </w:r>
      <w:r w:rsidR="00B036B0">
        <w:t>the “Sugar Loaf” public hous</w:t>
      </w:r>
      <w:r w:rsidR="00377291">
        <w:t xml:space="preserve">e and </w:t>
      </w:r>
      <w:r w:rsidR="00CC35D1">
        <w:t xml:space="preserve">an area used </w:t>
      </w:r>
      <w:r w:rsidR="00100FD4">
        <w:t xml:space="preserve">as its garden, and past rear amenity space associated with a property on Albert Road, before reaching the </w:t>
      </w:r>
      <w:proofErr w:type="spellStart"/>
      <w:r w:rsidR="00100FD4">
        <w:t>Telmere</w:t>
      </w:r>
      <w:proofErr w:type="spellEnd"/>
      <w:r w:rsidR="00100FD4">
        <w:t xml:space="preserve"> industrial estate.  Documentary evidence has been submitted in support of the Order.</w:t>
      </w:r>
    </w:p>
    <w:p w14:paraId="5C4AF12B" w14:textId="221003E5" w:rsidR="002D0F4D" w:rsidRPr="00306065" w:rsidRDefault="00306065" w:rsidP="00306065">
      <w:pPr>
        <w:pStyle w:val="Style1"/>
        <w:numPr>
          <w:ilvl w:val="0"/>
          <w:numId w:val="0"/>
        </w:numPr>
        <w:ind w:left="431" w:hanging="431"/>
        <w:rPr>
          <w:b/>
          <w:bCs/>
          <w:i/>
          <w:iCs/>
        </w:rPr>
      </w:pPr>
      <w:r w:rsidRPr="00306065">
        <w:rPr>
          <w:b/>
          <w:bCs/>
          <w:i/>
          <w:iCs/>
        </w:rPr>
        <w:t>Documentary Evidence</w:t>
      </w:r>
    </w:p>
    <w:p w14:paraId="5B723B49" w14:textId="388AE82B" w:rsidR="00306065" w:rsidRPr="00EC4AD9" w:rsidRDefault="00FE6C18" w:rsidP="00FE6C18">
      <w:pPr>
        <w:pStyle w:val="Style1"/>
        <w:numPr>
          <w:ilvl w:val="0"/>
          <w:numId w:val="0"/>
        </w:numPr>
        <w:ind w:left="431" w:hanging="431"/>
        <w:rPr>
          <w:i/>
          <w:iCs/>
        </w:rPr>
      </w:pPr>
      <w:r w:rsidRPr="00EC4AD9">
        <w:rPr>
          <w:i/>
          <w:iCs/>
        </w:rPr>
        <w:t>1900</w:t>
      </w:r>
      <w:r w:rsidR="0068063C">
        <w:rPr>
          <w:i/>
          <w:iCs/>
        </w:rPr>
        <w:t xml:space="preserve">, </w:t>
      </w:r>
      <w:r w:rsidR="008D7D36">
        <w:rPr>
          <w:i/>
          <w:iCs/>
        </w:rPr>
        <w:t>1922, 1938</w:t>
      </w:r>
      <w:r w:rsidR="004E151E">
        <w:rPr>
          <w:i/>
          <w:iCs/>
        </w:rPr>
        <w:t xml:space="preserve"> and 1946</w:t>
      </w:r>
      <w:r w:rsidRPr="00EC4AD9">
        <w:rPr>
          <w:i/>
          <w:iCs/>
        </w:rPr>
        <w:t xml:space="preserve"> Ordnance Survey (OS) Map</w:t>
      </w:r>
      <w:r w:rsidR="008D7D36">
        <w:rPr>
          <w:i/>
          <w:iCs/>
        </w:rPr>
        <w:t>s</w:t>
      </w:r>
    </w:p>
    <w:p w14:paraId="49BDAFB8" w14:textId="77777777" w:rsidR="004E151E" w:rsidRDefault="00EC4AD9" w:rsidP="004E151E">
      <w:pPr>
        <w:pStyle w:val="Style1"/>
      </w:pPr>
      <w:r>
        <w:lastRenderedPageBreak/>
        <w:t>Th</w:t>
      </w:r>
      <w:r w:rsidR="008D7D36">
        <w:t>ese</w:t>
      </w:r>
      <w:r>
        <w:t xml:space="preserve"> depict </w:t>
      </w:r>
      <w:r w:rsidR="0000283C">
        <w:t>the Order route as the end of an alley which runs between houses.</w:t>
      </w:r>
      <w:r w:rsidR="00584C92">
        <w:t xml:space="preserve">  It is open to New Town Street.</w:t>
      </w:r>
      <w:r w:rsidR="00B740AD">
        <w:t xml:space="preserve">  The 1922 </w:t>
      </w:r>
      <w:r w:rsidR="00A24EFF">
        <w:t xml:space="preserve">and 1938 </w:t>
      </w:r>
      <w:r w:rsidR="00B740AD">
        <w:t>map</w:t>
      </w:r>
      <w:r w:rsidR="00A24EFF">
        <w:t>s</w:t>
      </w:r>
      <w:r w:rsidR="00B740AD">
        <w:t xml:space="preserve"> name the alley</w:t>
      </w:r>
      <w:r w:rsidR="005F05D1">
        <w:t xml:space="preserve"> “</w:t>
      </w:r>
      <w:r w:rsidR="00B740AD">
        <w:t>Langley Place”.</w:t>
      </w:r>
      <w:r w:rsidR="004E151E">
        <w:t xml:space="preserve">  </w:t>
      </w:r>
    </w:p>
    <w:p w14:paraId="4D42A305" w14:textId="53BB0BBA" w:rsidR="00306065" w:rsidRDefault="004E151E" w:rsidP="004E151E">
      <w:pPr>
        <w:pStyle w:val="Style1"/>
      </w:pPr>
      <w:r>
        <w:t>The Order route is shown on the 1946 OS map as a separate area of land from the open area shown where Langley Place formerly existed.  A line separates the route from New Town Street.</w:t>
      </w:r>
    </w:p>
    <w:p w14:paraId="18319E0A" w14:textId="39CF5A59" w:rsidR="00E33B9F" w:rsidRDefault="00FE4E01" w:rsidP="002457EA">
      <w:pPr>
        <w:pStyle w:val="Style1"/>
        <w:numPr>
          <w:ilvl w:val="0"/>
          <w:numId w:val="0"/>
        </w:numPr>
        <w:rPr>
          <w:i/>
          <w:iCs/>
        </w:rPr>
      </w:pPr>
      <w:r>
        <w:rPr>
          <w:i/>
          <w:iCs/>
        </w:rPr>
        <w:t>Street Directory extracts 1908-1933</w:t>
      </w:r>
    </w:p>
    <w:p w14:paraId="62C9CCE4" w14:textId="51469732" w:rsidR="00FE4E01" w:rsidRPr="00FE4E01" w:rsidRDefault="001F51A8" w:rsidP="00FE4E01">
      <w:pPr>
        <w:pStyle w:val="Style1"/>
      </w:pPr>
      <w:r>
        <w:t xml:space="preserve">Occupiers of 28 dwellings on Langley Place over this </w:t>
      </w:r>
      <w:proofErr w:type="gramStart"/>
      <w:r>
        <w:t>time period</w:t>
      </w:r>
      <w:proofErr w:type="gramEnd"/>
      <w:r>
        <w:t xml:space="preserve"> are listed.</w:t>
      </w:r>
    </w:p>
    <w:p w14:paraId="7A16B402" w14:textId="4D78390E" w:rsidR="00F25A63" w:rsidRDefault="00F25A63" w:rsidP="002457EA">
      <w:pPr>
        <w:pStyle w:val="Style1"/>
        <w:numPr>
          <w:ilvl w:val="0"/>
          <w:numId w:val="0"/>
        </w:numPr>
        <w:rPr>
          <w:i/>
          <w:iCs/>
        </w:rPr>
      </w:pPr>
      <w:r>
        <w:rPr>
          <w:i/>
          <w:iCs/>
        </w:rPr>
        <w:t xml:space="preserve">1930 Compulsory Purchase Order </w:t>
      </w:r>
      <w:r w:rsidR="00697CCA">
        <w:rPr>
          <w:i/>
          <w:iCs/>
        </w:rPr>
        <w:t>Plan</w:t>
      </w:r>
    </w:p>
    <w:p w14:paraId="4FA2BBF8" w14:textId="26665CBC" w:rsidR="00697CCA" w:rsidRPr="00697CCA" w:rsidRDefault="00697CCA" w:rsidP="00697CCA">
      <w:pPr>
        <w:pStyle w:val="Style1"/>
      </w:pPr>
      <w:r>
        <w:t xml:space="preserve">This depicts </w:t>
      </w:r>
      <w:r w:rsidR="00C70C5C">
        <w:t>the Order route as the end of Langley Place, an alley which runs between houses and</w:t>
      </w:r>
      <w:r w:rsidR="00E82E74">
        <w:t xml:space="preserve"> which</w:t>
      </w:r>
      <w:r w:rsidR="00C70C5C">
        <w:t xml:space="preserve"> is open to New Town Street.</w:t>
      </w:r>
    </w:p>
    <w:p w14:paraId="4B164275" w14:textId="1392997B" w:rsidR="002457EA" w:rsidRDefault="00AF14DE" w:rsidP="002457EA">
      <w:pPr>
        <w:pStyle w:val="Style1"/>
        <w:numPr>
          <w:ilvl w:val="0"/>
          <w:numId w:val="0"/>
        </w:numPr>
        <w:rPr>
          <w:i/>
          <w:iCs/>
        </w:rPr>
      </w:pPr>
      <w:r w:rsidRPr="00AF14DE">
        <w:rPr>
          <w:i/>
          <w:iCs/>
        </w:rPr>
        <w:t>1935 Housing Confirmation Order Map</w:t>
      </w:r>
    </w:p>
    <w:p w14:paraId="49B9794D" w14:textId="2B53E83A" w:rsidR="00AF14DE" w:rsidRPr="00AF14DE" w:rsidRDefault="008D4726" w:rsidP="00AF14DE">
      <w:pPr>
        <w:pStyle w:val="Style1"/>
      </w:pPr>
      <w:r>
        <w:t xml:space="preserve">The whole Order is not supplied </w:t>
      </w:r>
      <w:r w:rsidR="00996F38">
        <w:t xml:space="preserve">but Langley Place is shown as an alley between </w:t>
      </w:r>
      <w:proofErr w:type="gramStart"/>
      <w:r w:rsidR="00275F5F">
        <w:t>a number of</w:t>
      </w:r>
      <w:proofErr w:type="gramEnd"/>
      <w:r w:rsidR="00275F5F">
        <w:t xml:space="preserve"> </w:t>
      </w:r>
      <w:r w:rsidR="00996F38">
        <w:t>houses.</w:t>
      </w:r>
      <w:r w:rsidR="008459B8">
        <w:t xml:space="preserve">  Several of these, and the majority of Langley Place, are shaded pink.  The Order route is excluded from this shading.</w:t>
      </w:r>
    </w:p>
    <w:p w14:paraId="62DD18CD" w14:textId="14FAEBE7" w:rsidR="007504FC" w:rsidRDefault="007504FC" w:rsidP="00584C92">
      <w:pPr>
        <w:pStyle w:val="Style1"/>
        <w:numPr>
          <w:ilvl w:val="0"/>
          <w:numId w:val="0"/>
        </w:numPr>
        <w:rPr>
          <w:i/>
          <w:iCs/>
        </w:rPr>
      </w:pPr>
      <w:r>
        <w:rPr>
          <w:i/>
          <w:iCs/>
        </w:rPr>
        <w:t xml:space="preserve">1939 </w:t>
      </w:r>
      <w:r w:rsidR="00875BF1">
        <w:rPr>
          <w:i/>
          <w:iCs/>
        </w:rPr>
        <w:t>land sale m</w:t>
      </w:r>
      <w:r w:rsidR="00DC3142">
        <w:rPr>
          <w:i/>
          <w:iCs/>
        </w:rPr>
        <w:t>icrofiche extract</w:t>
      </w:r>
    </w:p>
    <w:p w14:paraId="06E6B7E9" w14:textId="2095CD2F" w:rsidR="00584C92" w:rsidRPr="00643CE7" w:rsidRDefault="008026D8" w:rsidP="00643CE7">
      <w:pPr>
        <w:pStyle w:val="Style1"/>
      </w:pPr>
      <w:r>
        <w:t>T</w:t>
      </w:r>
      <w:r w:rsidR="00DC3142">
        <w:t xml:space="preserve">his </w:t>
      </w:r>
      <w:r w:rsidR="00875BF1">
        <w:t>depicts an area of land sold by the Council in 1939</w:t>
      </w:r>
      <w:r w:rsidR="00DE5243">
        <w:t>.  The Langley Place housing does not appear, and an open area is shown instead.</w:t>
      </w:r>
      <w:r w:rsidR="0003637B">
        <w:t xml:space="preserve">  The Order route is excluded from the transaction.</w:t>
      </w:r>
    </w:p>
    <w:p w14:paraId="3D9D0648" w14:textId="29D56873" w:rsidR="00212694" w:rsidRDefault="00714A73" w:rsidP="00714A73">
      <w:pPr>
        <w:pStyle w:val="Style1"/>
        <w:numPr>
          <w:ilvl w:val="0"/>
          <w:numId w:val="0"/>
        </w:numPr>
        <w:rPr>
          <w:i/>
          <w:iCs/>
        </w:rPr>
      </w:pPr>
      <w:r w:rsidRPr="00B04B8A">
        <w:rPr>
          <w:i/>
          <w:iCs/>
        </w:rPr>
        <w:t>Statutory Declaration</w:t>
      </w:r>
    </w:p>
    <w:p w14:paraId="7B14C5A3" w14:textId="16ED92DD" w:rsidR="00B65400" w:rsidRDefault="00C31510" w:rsidP="00B65400">
      <w:pPr>
        <w:pStyle w:val="Style1"/>
      </w:pPr>
      <w:r>
        <w:t xml:space="preserve">In this statement, a current resident affirms their evidence </w:t>
      </w:r>
      <w:r w:rsidR="004057DF">
        <w:t>(</w:t>
      </w:r>
      <w:r>
        <w:t>recalling the history of the area where they grew up in the 1940s and 1950</w:t>
      </w:r>
      <w:r w:rsidR="004057DF">
        <w:t>s)</w:t>
      </w:r>
      <w:r w:rsidR="00875AE1">
        <w:t xml:space="preserve">.  </w:t>
      </w:r>
      <w:r w:rsidR="0051539E">
        <w:t>Langley Place is described as an alleyway where</w:t>
      </w:r>
      <w:r w:rsidR="000A372A">
        <w:t>, as a child,</w:t>
      </w:r>
      <w:r w:rsidR="0051539E">
        <w:t xml:space="preserve"> the </w:t>
      </w:r>
      <w:r w:rsidR="004057DF">
        <w:t>declarant</w:t>
      </w:r>
      <w:r w:rsidR="0051539E">
        <w:t xml:space="preserve"> was forbidden from playing.</w:t>
      </w:r>
    </w:p>
    <w:p w14:paraId="42195389" w14:textId="1FA93AFD" w:rsidR="00B206C1" w:rsidRDefault="00B206C1" w:rsidP="00B206C1">
      <w:pPr>
        <w:pStyle w:val="Style1"/>
        <w:numPr>
          <w:ilvl w:val="0"/>
          <w:numId w:val="0"/>
        </w:numPr>
        <w:rPr>
          <w:i/>
          <w:iCs/>
        </w:rPr>
      </w:pPr>
      <w:r w:rsidRPr="00B206C1">
        <w:rPr>
          <w:i/>
          <w:iCs/>
        </w:rPr>
        <w:t>1975 Kelly’s Directory entry</w:t>
      </w:r>
    </w:p>
    <w:p w14:paraId="3A48C232" w14:textId="79088FDF" w:rsidR="00B206C1" w:rsidRPr="00B206C1" w:rsidRDefault="00B206C1" w:rsidP="00B206C1">
      <w:pPr>
        <w:pStyle w:val="Style1"/>
      </w:pPr>
      <w:r>
        <w:t>Langley Place is described a</w:t>
      </w:r>
      <w:r w:rsidR="00590DD3">
        <w:t>s</w:t>
      </w:r>
      <w:r>
        <w:t xml:space="preserve"> “From 98 New Town street (No thoroughfare)”.</w:t>
      </w:r>
      <w:r w:rsidR="00EB099A">
        <w:t xml:space="preserve">  98 New Town Street is the address of the Sugar Loaf public house.</w:t>
      </w:r>
    </w:p>
    <w:p w14:paraId="5B261C2C" w14:textId="3A432F0E" w:rsidR="00812439" w:rsidRDefault="00270CA4" w:rsidP="00812439">
      <w:pPr>
        <w:pStyle w:val="Style1"/>
        <w:numPr>
          <w:ilvl w:val="0"/>
          <w:numId w:val="0"/>
        </w:numPr>
        <w:rPr>
          <w:i/>
          <w:iCs/>
        </w:rPr>
      </w:pPr>
      <w:r w:rsidRPr="00270CA4">
        <w:rPr>
          <w:i/>
          <w:iCs/>
        </w:rPr>
        <w:t>Street sign</w:t>
      </w:r>
    </w:p>
    <w:p w14:paraId="4A3CA47D" w14:textId="470DDA31" w:rsidR="00911B9C" w:rsidRDefault="00424490" w:rsidP="00B206C1">
      <w:pPr>
        <w:pStyle w:val="Style1"/>
        <w:numPr>
          <w:ilvl w:val="0"/>
          <w:numId w:val="28"/>
        </w:numPr>
      </w:pPr>
      <w:r>
        <w:t xml:space="preserve">A </w:t>
      </w:r>
      <w:r w:rsidR="00AC2B1C">
        <w:t xml:space="preserve">sign with the words “Langley Place” </w:t>
      </w:r>
      <w:r w:rsidR="00800B86">
        <w:t>was</w:t>
      </w:r>
      <w:r w:rsidR="000F635F">
        <w:t xml:space="preserve"> present </w:t>
      </w:r>
      <w:r w:rsidR="00E7344C">
        <w:t xml:space="preserve">on the corner </w:t>
      </w:r>
      <w:r w:rsidR="00800B86">
        <w:t>of the</w:t>
      </w:r>
      <w:r w:rsidR="009324CD">
        <w:t xml:space="preserve"> </w:t>
      </w:r>
      <w:r w:rsidR="00800B86">
        <w:t xml:space="preserve">public house </w:t>
      </w:r>
      <w:r w:rsidR="00667031">
        <w:t xml:space="preserve">and adjacent to the Order route </w:t>
      </w:r>
      <w:r w:rsidR="00800B86">
        <w:t xml:space="preserve">at my site visit.  It also appears </w:t>
      </w:r>
      <w:r w:rsidR="000F635F">
        <w:t xml:space="preserve">in a historic </w:t>
      </w:r>
      <w:r w:rsidR="00CD0D93">
        <w:t>photograph of the public house.</w:t>
      </w:r>
    </w:p>
    <w:p w14:paraId="3E7110DD" w14:textId="71EF3D36" w:rsidR="00270CA4" w:rsidRDefault="00911B9C" w:rsidP="00911B9C">
      <w:pPr>
        <w:pStyle w:val="Style1"/>
        <w:numPr>
          <w:ilvl w:val="0"/>
          <w:numId w:val="0"/>
        </w:numPr>
        <w:rPr>
          <w:i/>
          <w:iCs/>
        </w:rPr>
      </w:pPr>
      <w:r w:rsidRPr="00911B9C">
        <w:rPr>
          <w:i/>
          <w:iCs/>
        </w:rPr>
        <w:t>2017 Land Registry documents</w:t>
      </w:r>
      <w:r w:rsidR="00CD0D93" w:rsidRPr="00911B9C">
        <w:rPr>
          <w:i/>
          <w:iCs/>
        </w:rPr>
        <w:t xml:space="preserve">  </w:t>
      </w:r>
    </w:p>
    <w:p w14:paraId="020C32BD" w14:textId="4684BA91" w:rsidR="002D33E1" w:rsidRPr="00911B9C" w:rsidRDefault="002D33E1" w:rsidP="002D33E1">
      <w:pPr>
        <w:pStyle w:val="Style1"/>
      </w:pPr>
      <w:r>
        <w:t>The Order route is shown as unregistered land</w:t>
      </w:r>
      <w:r w:rsidR="00511318">
        <w:t xml:space="preserve"> between surrounding l</w:t>
      </w:r>
      <w:r>
        <w:t>and parcels.</w:t>
      </w:r>
    </w:p>
    <w:p w14:paraId="0386717B" w14:textId="0B8348BB" w:rsidR="00091B4A" w:rsidRDefault="00091B4A" w:rsidP="00091B4A">
      <w:pPr>
        <w:pStyle w:val="Style1"/>
        <w:numPr>
          <w:ilvl w:val="0"/>
          <w:numId w:val="0"/>
        </w:numPr>
        <w:rPr>
          <w:b/>
          <w:bCs/>
          <w:i/>
          <w:iCs/>
        </w:rPr>
      </w:pPr>
      <w:r w:rsidRPr="00091B4A">
        <w:rPr>
          <w:b/>
          <w:bCs/>
          <w:i/>
          <w:iCs/>
        </w:rPr>
        <w:t>Reasoning</w:t>
      </w:r>
    </w:p>
    <w:p w14:paraId="35FAB02C" w14:textId="6CD8282F" w:rsidR="00163240" w:rsidRDefault="00032FF7" w:rsidP="00163240">
      <w:pPr>
        <w:pStyle w:val="Style1"/>
      </w:pPr>
      <w:r>
        <w:t xml:space="preserve">The </w:t>
      </w:r>
      <w:r w:rsidR="00B3479A">
        <w:t>early</w:t>
      </w:r>
      <w:r>
        <w:t xml:space="preserve"> documentary evidence depicts Langley Place as an alley providing access to several dwellings.</w:t>
      </w:r>
      <w:r w:rsidR="00163240">
        <w:t xml:space="preserve">  </w:t>
      </w:r>
      <w:r w:rsidR="008954EB">
        <w:t>The</w:t>
      </w:r>
      <w:r w:rsidR="00163240">
        <w:t xml:space="preserve"> alley</w:t>
      </w:r>
      <w:r w:rsidR="008954EB">
        <w:t>’s</w:t>
      </w:r>
      <w:r w:rsidR="00163240">
        <w:t xml:space="preserve"> narrow width compared to surrounding streets suggests that any public access was most likely to be restricted to pedestrian use only.</w:t>
      </w:r>
      <w:r w:rsidR="005813C0">
        <w:t xml:space="preserve">  It is shown in a similar fashion to an alley which </w:t>
      </w:r>
      <w:r w:rsidR="006B3F62">
        <w:t xml:space="preserve">passes north from the opposite side of New Town Street and which is marked on one </w:t>
      </w:r>
      <w:r w:rsidR="006B3F62">
        <w:lastRenderedPageBreak/>
        <w:t>map as “School Way”.</w:t>
      </w:r>
      <w:r w:rsidR="00A635CA">
        <w:t xml:space="preserve">  This </w:t>
      </w:r>
      <w:r w:rsidR="00AB5680">
        <w:t>was available for use on foot on the day of my site visit.</w:t>
      </w:r>
    </w:p>
    <w:p w14:paraId="1DA7C349" w14:textId="702DCBFD" w:rsidR="006D1729" w:rsidRDefault="006D1729" w:rsidP="006D1729">
      <w:pPr>
        <w:pStyle w:val="Style1"/>
      </w:pPr>
      <w:r>
        <w:t xml:space="preserve">Whilst it is not depicted as a thoroughfare route, Langley Place formed the sole access to </w:t>
      </w:r>
      <w:proofErr w:type="gramStart"/>
      <w:r>
        <w:t>a number of</w:t>
      </w:r>
      <w:proofErr w:type="gramEnd"/>
      <w:r>
        <w:t xml:space="preserve"> dwellings.  As such, the route would have been used by residents who may have enjoyed a private right of access along the alley.  In addition, the route would have been used by visitors to the dwellings.  Given the number of former dwellings along the route, this group is likely to have been sufficiently large and varied that use was by the public at large.  Furthermore, Langley Place is depicted in </w:t>
      </w:r>
      <w:proofErr w:type="gramStart"/>
      <w:r>
        <w:t>the majority of</w:t>
      </w:r>
      <w:proofErr w:type="gramEnd"/>
      <w:r>
        <w:t xml:space="preserve"> the evidence as open to the street and unobstructed in the same way as the wider highway network in the town.  At the time, it consequently had the characteristics of a route </w:t>
      </w:r>
      <w:r w:rsidR="00F90016">
        <w:t xml:space="preserve">which was </w:t>
      </w:r>
      <w:r>
        <w:t xml:space="preserve">available for </w:t>
      </w:r>
      <w:r w:rsidR="00587D1B">
        <w:t xml:space="preserve">open </w:t>
      </w:r>
      <w:r>
        <w:t>public use</w:t>
      </w:r>
      <w:r w:rsidR="00325FFD">
        <w:t xml:space="preserve"> on foot</w:t>
      </w:r>
      <w:r w:rsidR="00E02D8E">
        <w:t xml:space="preserve">, and it is likely to have been an alley of a similar </w:t>
      </w:r>
      <w:r w:rsidR="007D2B9D">
        <w:t>type to “School Way”</w:t>
      </w:r>
      <w:r>
        <w:t>.</w:t>
      </w:r>
      <w:r w:rsidR="00480C58">
        <w:t xml:space="preserve">  T</w:t>
      </w:r>
      <w:r w:rsidR="00235670">
        <w:t xml:space="preserve">he </w:t>
      </w:r>
      <w:r w:rsidR="00480C58">
        <w:t>prese</w:t>
      </w:r>
      <w:r w:rsidR="00235670">
        <w:t xml:space="preserve">nce of </w:t>
      </w:r>
      <w:r w:rsidR="00252E7A">
        <w:t>the Langley Place</w:t>
      </w:r>
      <w:r w:rsidR="00235670">
        <w:t xml:space="preserve"> street sign</w:t>
      </w:r>
      <w:r w:rsidR="00671774">
        <w:t xml:space="preserve"> additionally provides some support for its historic availability for public use</w:t>
      </w:r>
      <w:r w:rsidR="00235670">
        <w:t xml:space="preserve">, </w:t>
      </w:r>
      <w:r w:rsidR="00671774">
        <w:t>as this</w:t>
      </w:r>
      <w:r w:rsidR="00235670">
        <w:t xml:space="preserve"> was presumably provided by a public authority.</w:t>
      </w:r>
    </w:p>
    <w:p w14:paraId="1C5D669D" w14:textId="7944683C" w:rsidR="001F3093" w:rsidRDefault="00032FF7" w:rsidP="00091B4A">
      <w:pPr>
        <w:pStyle w:val="Style1"/>
      </w:pPr>
      <w:r>
        <w:t>The</w:t>
      </w:r>
      <w:r w:rsidR="00163240">
        <w:t xml:space="preserve"> Langley Place dwellings </w:t>
      </w:r>
      <w:r w:rsidR="00C93EEF">
        <w:t>appear to have been</w:t>
      </w:r>
      <w:r>
        <w:t xml:space="preserve"> </w:t>
      </w:r>
      <w:r w:rsidR="00C93EEF">
        <w:t>demolished in approximately 1938-1939</w:t>
      </w:r>
      <w:r w:rsidR="001E2CD9">
        <w:t>.</w:t>
      </w:r>
      <w:r w:rsidR="001F3093">
        <w:t xml:space="preserve">  The exclusion of the Order route </w:t>
      </w:r>
      <w:r w:rsidR="006C4514">
        <w:t xml:space="preserve">land </w:t>
      </w:r>
      <w:r w:rsidR="001F3093">
        <w:t>from the Housing Order’s shading suggests</w:t>
      </w:r>
      <w:r w:rsidR="006C4514">
        <w:t xml:space="preserve"> that</w:t>
      </w:r>
      <w:r w:rsidR="001F3093">
        <w:t xml:space="preserve"> </w:t>
      </w:r>
      <w:r w:rsidR="006C4514">
        <w:t>it did not form part of the d</w:t>
      </w:r>
      <w:r w:rsidR="001F3093">
        <w:t xml:space="preserve">emolition </w:t>
      </w:r>
      <w:r w:rsidR="006C4514">
        <w:t>scheme</w:t>
      </w:r>
      <w:r w:rsidR="001F3093">
        <w:t>.</w:t>
      </w:r>
      <w:r w:rsidR="00A240B9">
        <w:t xml:space="preserve">  This is consistent with the continuing presence of the public house adjacent to the route throughout the </w:t>
      </w:r>
      <w:r w:rsidR="005B0A62">
        <w:t xml:space="preserve">submitted </w:t>
      </w:r>
      <w:r w:rsidR="00A240B9">
        <w:t>evidence.</w:t>
      </w:r>
      <w:r w:rsidR="001F3093">
        <w:t xml:space="preserve"> </w:t>
      </w:r>
      <w:r w:rsidR="00672B3E">
        <w:t xml:space="preserve"> </w:t>
      </w:r>
    </w:p>
    <w:p w14:paraId="69DCB95A" w14:textId="43BF47FC" w:rsidR="00032FF7" w:rsidRDefault="00672B3E" w:rsidP="00091B4A">
      <w:pPr>
        <w:pStyle w:val="Style1"/>
      </w:pPr>
      <w:r>
        <w:t>Documents since the</w:t>
      </w:r>
      <w:r w:rsidR="00163240">
        <w:t xml:space="preserve"> demolition</w:t>
      </w:r>
      <w:r>
        <w:t xml:space="preserve"> distinguish the land crossed by the Order route from </w:t>
      </w:r>
      <w:r w:rsidR="004F6414">
        <w:t>the remainder of the</w:t>
      </w:r>
      <w:r w:rsidR="003B553D">
        <w:t xml:space="preserve"> land</w:t>
      </w:r>
      <w:r w:rsidR="004F6414">
        <w:t xml:space="preserve"> former</w:t>
      </w:r>
      <w:r w:rsidR="008E2CCF">
        <w:t>ly crossed by</w:t>
      </w:r>
      <w:r w:rsidR="004F6414">
        <w:t xml:space="preserve"> Langley Place, which is shown </w:t>
      </w:r>
      <w:r w:rsidR="00480E04">
        <w:t>initially</w:t>
      </w:r>
      <w:r w:rsidR="004F6414">
        <w:t xml:space="preserve"> as an open area and later as </w:t>
      </w:r>
      <w:r w:rsidR="00480E04">
        <w:t>the industrial estate.</w:t>
      </w:r>
      <w:r w:rsidR="00EB099A">
        <w:t xml:space="preserve">  The </w:t>
      </w:r>
      <w:r w:rsidR="00D13F36">
        <w:t xml:space="preserve">inclusion of </w:t>
      </w:r>
      <w:r w:rsidR="00FA3D57">
        <w:t>a</w:t>
      </w:r>
      <w:r w:rsidR="00EB099A">
        <w:t xml:space="preserve"> Kelly’s Directory entry </w:t>
      </w:r>
      <w:r w:rsidR="00FA3D57">
        <w:t xml:space="preserve">in 1975 </w:t>
      </w:r>
      <w:r w:rsidR="00EB099A">
        <w:t xml:space="preserve">supports the </w:t>
      </w:r>
      <w:r w:rsidR="00A21B48">
        <w:t xml:space="preserve">continuing </w:t>
      </w:r>
      <w:r w:rsidR="00DA3E9B">
        <w:t xml:space="preserve">existence of </w:t>
      </w:r>
      <w:r w:rsidR="00A21B48">
        <w:t>an element of the former Langley Place at that point in time.</w:t>
      </w:r>
      <w:r w:rsidR="00FA3D57">
        <w:t xml:space="preserve">  </w:t>
      </w:r>
      <w:r w:rsidR="0022553C">
        <w:t>Th</w:t>
      </w:r>
      <w:r w:rsidR="00FA3D57">
        <w:t>e directory was not produced for the purpose of identifying the existence o</w:t>
      </w:r>
      <w:r w:rsidR="00373550">
        <w:t>r</w:t>
      </w:r>
      <w:r w:rsidR="00FA3D57">
        <w:t xml:space="preserve"> otherwise of public rights of way</w:t>
      </w:r>
      <w:r w:rsidR="0022553C">
        <w:t>.  Nevertheless</w:t>
      </w:r>
      <w:r w:rsidR="00FA3D57">
        <w:t xml:space="preserve">, </w:t>
      </w:r>
      <w:r w:rsidR="000863F6">
        <w:t>the word</w:t>
      </w:r>
      <w:r w:rsidR="0022553C">
        <w:t xml:space="preserve"> “thoroughfare” used in the description </w:t>
      </w:r>
      <w:r w:rsidR="007B79BD">
        <w:t xml:space="preserve">suggests a route between two places.  </w:t>
      </w:r>
      <w:r w:rsidR="000863F6">
        <w:t xml:space="preserve">“No thoroughfare” </w:t>
      </w:r>
      <w:r w:rsidR="007B79BD">
        <w:t>is therefore more</w:t>
      </w:r>
      <w:r w:rsidR="000863F6">
        <w:t xml:space="preserve"> likely to indicate a cul-de-sac area of land than </w:t>
      </w:r>
      <w:r w:rsidR="00373550">
        <w:t xml:space="preserve">to suggest that no </w:t>
      </w:r>
      <w:r w:rsidR="00D6231A">
        <w:t xml:space="preserve">public access </w:t>
      </w:r>
      <w:r w:rsidR="007B79BD">
        <w:t>exist</w:t>
      </w:r>
      <w:r w:rsidR="00D6231A">
        <w:t>s</w:t>
      </w:r>
      <w:r w:rsidR="007B79BD">
        <w:t xml:space="preserve"> over that land.</w:t>
      </w:r>
    </w:p>
    <w:p w14:paraId="1B4A2011" w14:textId="23B0C20A" w:rsidR="006F7121" w:rsidRDefault="00536875" w:rsidP="003D77D4">
      <w:pPr>
        <w:pStyle w:val="Style1"/>
      </w:pPr>
      <w:r>
        <w:t>T</w:t>
      </w:r>
      <w:r w:rsidR="009B758B">
        <w:t xml:space="preserve">he housing along the Langley Place alley had been demolished </w:t>
      </w:r>
      <w:r w:rsidR="006F7121">
        <w:t>by the time of the recollections within the Statutory Declaration</w:t>
      </w:r>
      <w:r w:rsidR="002F21DD">
        <w:t xml:space="preserve"> </w:t>
      </w:r>
      <w:r w:rsidR="006F7121">
        <w:t>concerning the 1940s/1950s</w:t>
      </w:r>
      <w:r w:rsidR="006E7403">
        <w:t xml:space="preserve">.  </w:t>
      </w:r>
      <w:r w:rsidR="009A4C3E">
        <w:t>Th</w:t>
      </w:r>
      <w:r w:rsidR="0025620D">
        <w:t>us,</w:t>
      </w:r>
      <w:r>
        <w:t xml:space="preserve"> the </w:t>
      </w:r>
      <w:r w:rsidR="009A4C3E">
        <w:t>majority</w:t>
      </w:r>
      <w:r>
        <w:t xml:space="preserve"> of Langley Place does not appear to have existed as an alley by the mid twentieth century</w:t>
      </w:r>
      <w:r w:rsidR="009A4C3E">
        <w:t>.  T</w:t>
      </w:r>
      <w:r w:rsidR="006F7121">
        <w:t xml:space="preserve">he declaration is </w:t>
      </w:r>
      <w:r w:rsidR="00782B95">
        <w:t xml:space="preserve">consequently </w:t>
      </w:r>
      <w:r w:rsidR="006F7121">
        <w:t xml:space="preserve">likely to relate to the Order route </w:t>
      </w:r>
      <w:r w:rsidR="00EE03F0">
        <w:t xml:space="preserve">land </w:t>
      </w:r>
      <w:r w:rsidR="006F7121">
        <w:t>only.</w:t>
      </w:r>
      <w:r w:rsidR="00782B95">
        <w:t xml:space="preserve">  </w:t>
      </w:r>
      <w:r w:rsidR="002A6DE2">
        <w:t xml:space="preserve">The </w:t>
      </w:r>
      <w:r w:rsidR="00083F06">
        <w:t xml:space="preserve">stated </w:t>
      </w:r>
      <w:r w:rsidR="005146CA">
        <w:t xml:space="preserve">prevention of children playing there suggests that </w:t>
      </w:r>
      <w:r w:rsidR="00AE7EC2">
        <w:t>the</w:t>
      </w:r>
      <w:r w:rsidR="00940BA7">
        <w:t xml:space="preserve"> </w:t>
      </w:r>
      <w:r w:rsidR="009475FA">
        <w:t>land</w:t>
      </w:r>
      <w:r w:rsidR="005146CA">
        <w:t xml:space="preserve"> </w:t>
      </w:r>
      <w:r w:rsidR="00940BA7">
        <w:t xml:space="preserve">in question </w:t>
      </w:r>
      <w:r w:rsidR="005146CA">
        <w:t>was</w:t>
      </w:r>
      <w:r w:rsidR="00083F06">
        <w:t>, nevertheless,</w:t>
      </w:r>
      <w:r w:rsidR="005146CA">
        <w:t xml:space="preserve"> </w:t>
      </w:r>
      <w:r w:rsidR="00214E0E">
        <w:t>open</w:t>
      </w:r>
      <w:r w:rsidR="00B239B0">
        <w:t>ly accessible</w:t>
      </w:r>
      <w:r w:rsidR="00083F06">
        <w:t xml:space="preserve"> at that point.</w:t>
      </w:r>
    </w:p>
    <w:p w14:paraId="192D39F2" w14:textId="256284E0" w:rsidR="0054701F" w:rsidRDefault="0037785C" w:rsidP="0031048B">
      <w:pPr>
        <w:pStyle w:val="Style1"/>
      </w:pPr>
      <w:r>
        <w:t xml:space="preserve">The </w:t>
      </w:r>
      <w:r w:rsidR="00152E38">
        <w:t>principle</w:t>
      </w:r>
      <w:r>
        <w:t xml:space="preserve"> “once a highway, always a highway” </w:t>
      </w:r>
      <w:r w:rsidR="00666E0E">
        <w:t>means that o</w:t>
      </w:r>
      <w:r w:rsidR="0031048B">
        <w:t>nce a public right of way has come into existence</w:t>
      </w:r>
      <w:r w:rsidR="00452DDF">
        <w:t xml:space="preserve"> </w:t>
      </w:r>
      <w:r w:rsidR="0031048B">
        <w:t xml:space="preserve">it continues to exist indefinitely.  It can only be </w:t>
      </w:r>
      <w:proofErr w:type="gramStart"/>
      <w:r w:rsidR="0031048B">
        <w:t>brought to an end</w:t>
      </w:r>
      <w:proofErr w:type="gramEnd"/>
      <w:r w:rsidR="0031048B">
        <w:t xml:space="preserve"> by </w:t>
      </w:r>
      <w:r w:rsidR="00666E0E">
        <w:t xml:space="preserve">the </w:t>
      </w:r>
      <w:r w:rsidR="0031048B">
        <w:t>use of a statutory provision such as a stopping up order</w:t>
      </w:r>
      <w:r w:rsidR="00666E0E">
        <w:t xml:space="preserve">.  </w:t>
      </w:r>
      <w:r w:rsidR="00681791">
        <w:t xml:space="preserve">Matters which have no effect on the pre-existence of the public right consequently include </w:t>
      </w:r>
      <w:r w:rsidR="00473A53">
        <w:t xml:space="preserve">any </w:t>
      </w:r>
      <w:r w:rsidR="0031048B">
        <w:t xml:space="preserve">lack of </w:t>
      </w:r>
      <w:r w:rsidR="00033F6E">
        <w:t xml:space="preserve">public </w:t>
      </w:r>
      <w:r w:rsidR="0031048B">
        <w:t>use</w:t>
      </w:r>
      <w:r w:rsidR="00234A98">
        <w:t xml:space="preserve"> or maintenance</w:t>
      </w:r>
      <w:r w:rsidR="00C02C49">
        <w:t>,</w:t>
      </w:r>
      <w:r w:rsidR="008F19F5">
        <w:t xml:space="preserve"> </w:t>
      </w:r>
      <w:r w:rsidR="00D74274">
        <w:t xml:space="preserve">and </w:t>
      </w:r>
      <w:r w:rsidR="00606F91">
        <w:t xml:space="preserve">the </w:t>
      </w:r>
      <w:r w:rsidR="008F19F5">
        <w:t>physical obstruction of a route</w:t>
      </w:r>
      <w:r w:rsidR="00D74274">
        <w:t xml:space="preserve"> </w:t>
      </w:r>
      <w:r w:rsidR="00473A53">
        <w:t>(</w:t>
      </w:r>
      <w:r w:rsidR="00D74274">
        <w:t xml:space="preserve">or lack of public </w:t>
      </w:r>
      <w:r w:rsidR="009C406B">
        <w:t xml:space="preserve">or highway authority </w:t>
      </w:r>
      <w:r w:rsidR="00D74274">
        <w:t>objection to that obstruction</w:t>
      </w:r>
      <w:r w:rsidR="00473A53">
        <w:t>)</w:t>
      </w:r>
      <w:r w:rsidR="0031048B">
        <w:t>.</w:t>
      </w:r>
      <w:r w:rsidR="00026FDF">
        <w:t xml:space="preserve">  Furthermore, no statut</w:t>
      </w:r>
      <w:r w:rsidR="00E60C30">
        <w:t>e</w:t>
      </w:r>
      <w:r w:rsidR="00026FDF">
        <w:t xml:space="preserve"> </w:t>
      </w:r>
      <w:r w:rsidR="00E60C30">
        <w:t xml:space="preserve">has displaced the </w:t>
      </w:r>
      <w:r w:rsidR="00DB4235">
        <w:t xml:space="preserve">highway </w:t>
      </w:r>
      <w:r w:rsidR="00152E38">
        <w:t>principle</w:t>
      </w:r>
      <w:r w:rsidR="00E60C30">
        <w:t>.</w:t>
      </w:r>
    </w:p>
    <w:p w14:paraId="4FC3CACF" w14:textId="3CF237DE" w:rsidR="009A6AF1" w:rsidRDefault="000A71F4" w:rsidP="003D77D4">
      <w:pPr>
        <w:pStyle w:val="Style1"/>
      </w:pPr>
      <w:r>
        <w:t xml:space="preserve">A </w:t>
      </w:r>
      <w:r w:rsidR="00452DDF">
        <w:t>s</w:t>
      </w:r>
      <w:r w:rsidR="007273D0">
        <w:t xml:space="preserve">topping </w:t>
      </w:r>
      <w:r w:rsidR="00452DDF">
        <w:t>u</w:t>
      </w:r>
      <w:r w:rsidR="007273D0">
        <w:t xml:space="preserve">p </w:t>
      </w:r>
      <w:r w:rsidR="00452DDF">
        <w:t>o</w:t>
      </w:r>
      <w:r w:rsidR="007273D0">
        <w:t xml:space="preserve">rder </w:t>
      </w:r>
      <w:r>
        <w:t>in respect of Langley Place has not been located</w:t>
      </w:r>
      <w:r w:rsidR="00BA57A3">
        <w:t xml:space="preserve">, although </w:t>
      </w:r>
      <w:r w:rsidR="003C4A07">
        <w:t xml:space="preserve">it is suggested that submitted undated maps show a footpath which was </w:t>
      </w:r>
      <w:r w:rsidR="007D57F9">
        <w:t>intended to be extinguished by a red line extending along the majority of Langley Place but excluding the Order route</w:t>
      </w:r>
      <w:r>
        <w:t>.</w:t>
      </w:r>
      <w:r w:rsidR="00B412B7">
        <w:t xml:space="preserve">  Nevertheless, the land crossed by </w:t>
      </w:r>
      <w:r w:rsidR="00B412B7">
        <w:lastRenderedPageBreak/>
        <w:t xml:space="preserve">the Order route </w:t>
      </w:r>
      <w:r w:rsidR="00A97823">
        <w:t>is</w:t>
      </w:r>
      <w:r w:rsidR="00B412B7">
        <w:t xml:space="preserve"> excluded </w:t>
      </w:r>
      <w:r w:rsidR="00A97823">
        <w:t xml:space="preserve">from the Housing Order and land sale documents.  </w:t>
      </w:r>
      <w:r w:rsidR="00264CC1">
        <w:t xml:space="preserve">This is </w:t>
      </w:r>
      <w:r w:rsidR="00F50FD2">
        <w:t xml:space="preserve">consistent with </w:t>
      </w:r>
      <w:r w:rsidR="00264CC1">
        <w:t xml:space="preserve">its </w:t>
      </w:r>
      <w:r w:rsidR="00DE6727">
        <w:t xml:space="preserve">exclusion from any registered area in modern Land Registry records.  </w:t>
      </w:r>
      <w:r w:rsidR="00B7130A">
        <w:t>Thus</w:t>
      </w:r>
      <w:r w:rsidR="00911B9C">
        <w:t>, if a</w:t>
      </w:r>
      <w:r w:rsidR="005A7BA9">
        <w:t xml:space="preserve"> </w:t>
      </w:r>
      <w:r w:rsidR="00C1740A">
        <w:t>s</w:t>
      </w:r>
      <w:r w:rsidR="005A7BA9">
        <w:t xml:space="preserve">topping </w:t>
      </w:r>
      <w:r w:rsidR="00C1740A">
        <w:t>u</w:t>
      </w:r>
      <w:r w:rsidR="005A7BA9">
        <w:t xml:space="preserve">p </w:t>
      </w:r>
      <w:r w:rsidR="00C1740A">
        <w:t>o</w:t>
      </w:r>
      <w:r w:rsidR="005A7BA9">
        <w:t>rder was made in respect of Langley Place</w:t>
      </w:r>
      <w:r w:rsidR="00DB4FCD">
        <w:t xml:space="preserve"> to enable the sale and development of the land</w:t>
      </w:r>
      <w:r w:rsidR="005A7BA9">
        <w:t xml:space="preserve">, </w:t>
      </w:r>
      <w:r w:rsidR="00B7130A">
        <w:t xml:space="preserve">it is more probable that this </w:t>
      </w:r>
      <w:r w:rsidR="005A7BA9">
        <w:t xml:space="preserve">concerned </w:t>
      </w:r>
      <w:proofErr w:type="gramStart"/>
      <w:r w:rsidR="005A7BA9">
        <w:t xml:space="preserve">the majority </w:t>
      </w:r>
      <w:r w:rsidR="001062EA">
        <w:t>of</w:t>
      </w:r>
      <w:proofErr w:type="gramEnd"/>
      <w:r w:rsidR="001062EA">
        <w:t xml:space="preserve"> the alley </w:t>
      </w:r>
      <w:r w:rsidR="00771D7E">
        <w:t xml:space="preserve">as </w:t>
      </w:r>
      <w:r w:rsidR="005A7BA9">
        <w:t>shown in the Housing Order and land sale, rather than the Order route.</w:t>
      </w:r>
    </w:p>
    <w:p w14:paraId="572C54CF" w14:textId="249DE9B4" w:rsidR="00A94851" w:rsidRDefault="00052880" w:rsidP="00A94851">
      <w:pPr>
        <w:pStyle w:val="Style1"/>
      </w:pPr>
      <w:r>
        <w:t>Although</w:t>
      </w:r>
      <w:r w:rsidR="00A94851">
        <w:t xml:space="preserve"> it is not necessary for a route to have a “destination” </w:t>
      </w:r>
      <w:proofErr w:type="gramStart"/>
      <w:r w:rsidR="00A94851">
        <w:t>in order for</w:t>
      </w:r>
      <w:proofErr w:type="gramEnd"/>
      <w:r w:rsidR="00A94851">
        <w:t xml:space="preserve"> it to form a public right of way, Langley Place was formerly an alley providing public access to a number of dwellings.  The Order route forms a remnant of that alley and therefore the connection of only one end of the route to a highway is not a barrier to the existence of public rights along it.</w:t>
      </w:r>
    </w:p>
    <w:p w14:paraId="1731D87F" w14:textId="222717DE" w:rsidR="000C66B7" w:rsidRDefault="000C66B7" w:rsidP="000C66B7">
      <w:pPr>
        <w:pStyle w:val="Style1"/>
      </w:pPr>
      <w:r>
        <w:t xml:space="preserve">Whilst no single item of evidence is compelling in support of unrecorded public footpath rights over the Order route, the evidence </w:t>
      </w:r>
      <w:proofErr w:type="gramStart"/>
      <w:r>
        <w:t>as a whole is</w:t>
      </w:r>
      <w:proofErr w:type="gramEnd"/>
      <w:r>
        <w:t xml:space="preserve"> sufficient to </w:t>
      </w:r>
      <w:r w:rsidR="00534572">
        <w:t>demonstrate</w:t>
      </w:r>
      <w:r>
        <w:t xml:space="preserve"> the existence of a historic public footpath over the route, for which no </w:t>
      </w:r>
      <w:r w:rsidR="006E257B">
        <w:t xml:space="preserve">opposing </w:t>
      </w:r>
      <w:r>
        <w:t xml:space="preserve">evidence </w:t>
      </w:r>
      <w:r w:rsidR="006E257B">
        <w:t xml:space="preserve">or evidence </w:t>
      </w:r>
      <w:r>
        <w:t xml:space="preserve">of stopping up has been located.  The construction of fencing across the route and other matters </w:t>
      </w:r>
      <w:r w:rsidR="00DA1A6A">
        <w:t>referred to</w:t>
      </w:r>
      <w:r>
        <w:t xml:space="preserve"> above have had no effect on the existence of the unrecorded public rights.  Thus, the balance of probabilities is tipped in favour of confirmation of the Order.</w:t>
      </w:r>
    </w:p>
    <w:p w14:paraId="36574ABB" w14:textId="614163D3" w:rsidR="0068063C" w:rsidRDefault="00101C86" w:rsidP="00584C92">
      <w:pPr>
        <w:pStyle w:val="Style1"/>
        <w:numPr>
          <w:ilvl w:val="0"/>
          <w:numId w:val="0"/>
        </w:numPr>
        <w:rPr>
          <w:b/>
          <w:bCs/>
        </w:rPr>
      </w:pPr>
      <w:r>
        <w:rPr>
          <w:b/>
          <w:bCs/>
        </w:rPr>
        <w:t>Other Matters</w:t>
      </w:r>
    </w:p>
    <w:p w14:paraId="17ED0F46" w14:textId="7F2537C4" w:rsidR="00A00D99" w:rsidRPr="0043364B" w:rsidRDefault="000F0351" w:rsidP="00E37FA3">
      <w:pPr>
        <w:pStyle w:val="Style1"/>
        <w:numPr>
          <w:ilvl w:val="0"/>
          <w:numId w:val="27"/>
        </w:numPr>
        <w:rPr>
          <w:i/>
          <w:iCs/>
          <w:color w:val="auto"/>
        </w:rPr>
      </w:pPr>
      <w:r>
        <w:rPr>
          <w:color w:val="auto"/>
        </w:rPr>
        <w:t>T</w:t>
      </w:r>
      <w:r w:rsidR="00A00D99" w:rsidRPr="0043364B">
        <w:rPr>
          <w:color w:val="auto"/>
        </w:rPr>
        <w:t xml:space="preserve">he DMMO would record a public footpath over land which </w:t>
      </w:r>
      <w:r w:rsidR="00D723FD" w:rsidRPr="0043364B">
        <w:rPr>
          <w:color w:val="auto"/>
        </w:rPr>
        <w:t xml:space="preserve">contains a hatch </w:t>
      </w:r>
      <w:r w:rsidR="00483290">
        <w:rPr>
          <w:color w:val="auto"/>
        </w:rPr>
        <w:t>giving</w:t>
      </w:r>
      <w:r w:rsidR="00D723FD" w:rsidRPr="0043364B">
        <w:rPr>
          <w:color w:val="auto"/>
        </w:rPr>
        <w:t xml:space="preserve"> access to the public house’s cellar for deliveries.</w:t>
      </w:r>
      <w:r w:rsidR="0043364B" w:rsidRPr="0043364B">
        <w:rPr>
          <w:color w:val="auto"/>
        </w:rPr>
        <w:t xml:space="preserve">  </w:t>
      </w:r>
      <w:r w:rsidR="00F03633">
        <w:rPr>
          <w:color w:val="auto"/>
        </w:rPr>
        <w:t xml:space="preserve">It would also lie </w:t>
      </w:r>
      <w:r w:rsidR="00F1217E">
        <w:rPr>
          <w:color w:val="auto"/>
        </w:rPr>
        <w:t xml:space="preserve">immediately </w:t>
      </w:r>
      <w:r w:rsidR="00F03633">
        <w:rPr>
          <w:color w:val="auto"/>
        </w:rPr>
        <w:t>adjacent to the pub</w:t>
      </w:r>
      <w:r w:rsidR="00D567B9">
        <w:rPr>
          <w:color w:val="auto"/>
        </w:rPr>
        <w:t>lic house</w:t>
      </w:r>
      <w:r w:rsidR="00F03633">
        <w:rPr>
          <w:color w:val="auto"/>
        </w:rPr>
        <w:t>’s entranc</w:t>
      </w:r>
      <w:r w:rsidR="00F1217E">
        <w:rPr>
          <w:color w:val="auto"/>
        </w:rPr>
        <w:t>e.</w:t>
      </w:r>
      <w:r w:rsidR="00A04D84">
        <w:rPr>
          <w:color w:val="auto"/>
        </w:rPr>
        <w:t xml:space="preserve">  H</w:t>
      </w:r>
      <w:r w:rsidR="0043364B" w:rsidRPr="0043364B">
        <w:rPr>
          <w:color w:val="auto"/>
        </w:rPr>
        <w:t xml:space="preserve">ealth and safety concerns </w:t>
      </w:r>
      <w:r w:rsidR="00A04D84">
        <w:rPr>
          <w:color w:val="auto"/>
        </w:rPr>
        <w:t xml:space="preserve">have been </w:t>
      </w:r>
      <w:r w:rsidR="0043364B" w:rsidRPr="0043364B">
        <w:rPr>
          <w:color w:val="auto"/>
        </w:rPr>
        <w:t>raised in this regard</w:t>
      </w:r>
      <w:r w:rsidR="0019636C">
        <w:rPr>
          <w:color w:val="auto"/>
        </w:rPr>
        <w:t xml:space="preserve">.  </w:t>
      </w:r>
      <w:r w:rsidR="002F0C3B">
        <w:rPr>
          <w:color w:val="auto"/>
        </w:rPr>
        <w:t>C</w:t>
      </w:r>
      <w:r w:rsidR="00A04D84">
        <w:rPr>
          <w:color w:val="auto"/>
        </w:rPr>
        <w:t>oncerns about potential c</w:t>
      </w:r>
      <w:r w:rsidR="006E17BD">
        <w:rPr>
          <w:color w:val="auto"/>
        </w:rPr>
        <w:t xml:space="preserve">riminal activity have </w:t>
      </w:r>
      <w:r w:rsidR="00D27EC8">
        <w:rPr>
          <w:color w:val="auto"/>
        </w:rPr>
        <w:t>additionally</w:t>
      </w:r>
      <w:r w:rsidR="006E17BD">
        <w:rPr>
          <w:color w:val="auto"/>
        </w:rPr>
        <w:t xml:space="preserve"> been submitted.  H</w:t>
      </w:r>
      <w:r w:rsidR="0043364B" w:rsidRPr="0043364B">
        <w:rPr>
          <w:color w:val="auto"/>
        </w:rPr>
        <w:t>owever, as the</w:t>
      </w:r>
      <w:r w:rsidR="006E17BD">
        <w:rPr>
          <w:color w:val="auto"/>
        </w:rPr>
        <w:t>se matters</w:t>
      </w:r>
      <w:r w:rsidR="0043364B" w:rsidRPr="0043364B">
        <w:rPr>
          <w:color w:val="auto"/>
        </w:rPr>
        <w:t xml:space="preserve"> lie outside the criteria set out within the relevant legislation, I cannot give them weight in reaching my decision.</w:t>
      </w:r>
    </w:p>
    <w:p w14:paraId="2749BEA8" w14:textId="73829395" w:rsidR="00355FCC" w:rsidRDefault="00533F4F" w:rsidP="00533F4F">
      <w:pPr>
        <w:pStyle w:val="Heading6blackfont"/>
      </w:pPr>
      <w:r>
        <w:t>Conclusion</w:t>
      </w:r>
    </w:p>
    <w:p w14:paraId="7364BF99" w14:textId="32169896" w:rsidR="000C66B7" w:rsidRPr="000C66B7" w:rsidRDefault="0080185F" w:rsidP="000C66B7">
      <w:pPr>
        <w:pStyle w:val="Style1"/>
      </w:pPr>
      <w:r>
        <w:t>Based on the evidence before me I am satisfied on the balance of probabilities that a public footpath subsists along the entirety of the Order route and that the definitive map and statement should be modified accordingly.</w:t>
      </w:r>
    </w:p>
    <w:p w14:paraId="20A84735" w14:textId="2221D9BA" w:rsidR="00605CC3" w:rsidRPr="003B700D" w:rsidRDefault="005A08BD" w:rsidP="005A08BD">
      <w:pPr>
        <w:pStyle w:val="Style1"/>
        <w:numPr>
          <w:ilvl w:val="0"/>
          <w:numId w:val="0"/>
        </w:numPr>
        <w:rPr>
          <w:b/>
          <w:bCs/>
        </w:rPr>
      </w:pPr>
      <w:r w:rsidRPr="003B700D">
        <w:rPr>
          <w:b/>
          <w:bCs/>
        </w:rPr>
        <w:t>Formal Decision</w:t>
      </w:r>
    </w:p>
    <w:p w14:paraId="07AA7802" w14:textId="2377D6BA" w:rsidR="005A08BD" w:rsidRDefault="003B700D" w:rsidP="005A08BD">
      <w:pPr>
        <w:pStyle w:val="Style1"/>
        <w:numPr>
          <w:ilvl w:val="0"/>
          <w:numId w:val="27"/>
        </w:numPr>
      </w:pPr>
      <w:r>
        <w:t>I confirm the DMMO.</w:t>
      </w:r>
    </w:p>
    <w:p w14:paraId="4775535E" w14:textId="6059B1E8" w:rsidR="003B700D" w:rsidRPr="003B700D" w:rsidRDefault="003B700D" w:rsidP="003B700D">
      <w:pPr>
        <w:pStyle w:val="Style1"/>
        <w:numPr>
          <w:ilvl w:val="0"/>
          <w:numId w:val="0"/>
        </w:numPr>
        <w:rPr>
          <w:rFonts w:ascii="Monotype Corsiva" w:hAnsi="Monotype Corsiva"/>
          <w:sz w:val="36"/>
          <w:szCs w:val="36"/>
        </w:rPr>
      </w:pPr>
      <w:r w:rsidRPr="003B700D">
        <w:rPr>
          <w:rFonts w:ascii="Monotype Corsiva" w:hAnsi="Monotype Corsiva"/>
          <w:sz w:val="36"/>
          <w:szCs w:val="36"/>
        </w:rPr>
        <w:t>C Beeby</w:t>
      </w:r>
    </w:p>
    <w:p w14:paraId="6C0AFF59" w14:textId="33623897" w:rsidR="003B700D" w:rsidRPr="00605CC3" w:rsidRDefault="003B700D" w:rsidP="003B700D">
      <w:pPr>
        <w:pStyle w:val="Style1"/>
        <w:numPr>
          <w:ilvl w:val="0"/>
          <w:numId w:val="0"/>
        </w:numPr>
      </w:pPr>
      <w:r>
        <w:t>INSPECTOR</w:t>
      </w:r>
    </w:p>
    <w:sectPr w:rsidR="003B700D" w:rsidRPr="00605CC3" w:rsidSect="00E674DD">
      <w:headerReference w:type="default" r:id="rId12"/>
      <w:footerReference w:type="even" r:id="rId13"/>
      <w:footerReference w:type="default" r:id="rId14"/>
      <w:headerReference w:type="first" r:id="rId15"/>
      <w:footerReference w:type="first" r:id="rId16"/>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AE329" w14:textId="77777777" w:rsidR="00DF272B" w:rsidRDefault="00DF272B" w:rsidP="00F62916">
      <w:r>
        <w:separator/>
      </w:r>
    </w:p>
  </w:endnote>
  <w:endnote w:type="continuationSeparator" w:id="0">
    <w:p w14:paraId="66A00288" w14:textId="77777777" w:rsidR="00DF272B" w:rsidRDefault="00DF272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8192"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8C3D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0F85"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B85B754" wp14:editId="23D6BFF9">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6E908"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1A264858" w14:textId="77777777" w:rsidR="00366F95" w:rsidRPr="00E45340" w:rsidRDefault="003A7488"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BC34D" w14:textId="77777777" w:rsidR="00366F95" w:rsidRDefault="00366F95" w:rsidP="00533F4F">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08F7E9D" wp14:editId="1BF907A2">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3109C"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49B01892" w14:textId="77777777" w:rsidR="00366F95" w:rsidRPr="00451EE4" w:rsidRDefault="003A7488">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02B50" w14:textId="77777777" w:rsidR="00DF272B" w:rsidRDefault="00DF272B" w:rsidP="00F62916">
      <w:r>
        <w:separator/>
      </w:r>
    </w:p>
  </w:footnote>
  <w:footnote w:type="continuationSeparator" w:id="0">
    <w:p w14:paraId="1DC9C515" w14:textId="77777777" w:rsidR="00DF272B" w:rsidRDefault="00DF272B"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1B5F74FD" w14:textId="77777777">
      <w:tc>
        <w:tcPr>
          <w:tcW w:w="9520" w:type="dxa"/>
        </w:tcPr>
        <w:p w14:paraId="43E74C1B" w14:textId="55E5132E" w:rsidR="00366F95" w:rsidRDefault="00533F4F">
          <w:pPr>
            <w:pStyle w:val="Footer"/>
          </w:pPr>
          <w:r>
            <w:t>Order Decision ROW/3255665</w:t>
          </w:r>
        </w:p>
      </w:tc>
    </w:tr>
  </w:tbl>
  <w:p w14:paraId="3817C4D5"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4AC5B500" wp14:editId="1DBD8AE2">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B0915"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65409"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5E5B26A2"/>
    <w:multiLevelType w:val="hybridMultilevel"/>
    <w:tmpl w:val="FF4CA852"/>
    <w:lvl w:ilvl="0" w:tplc="A13CE796">
      <w:start w:val="1900"/>
      <w:numFmt w:val="decimal"/>
      <w:lvlText w:val="%1"/>
      <w:lvlJc w:val="left"/>
      <w:pPr>
        <w:ind w:left="943" w:hanging="5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B2339DF"/>
    <w:multiLevelType w:val="hybridMultilevel"/>
    <w:tmpl w:val="B81EC8A4"/>
    <w:lvl w:ilvl="0" w:tplc="24B4607A">
      <w:start w:val="1900"/>
      <w:numFmt w:val="decimal"/>
      <w:lvlText w:val="%1"/>
      <w:lvlJc w:val="left"/>
      <w:pPr>
        <w:ind w:left="943" w:hanging="5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8"/>
  </w:num>
  <w:num w:numId="6">
    <w:abstractNumId w:val="17"/>
  </w:num>
  <w:num w:numId="7">
    <w:abstractNumId w:val="22"/>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9"/>
  </w:num>
  <w:num w:numId="24">
    <w:abstractNumId w:val="9"/>
  </w:num>
  <w:num w:numId="25">
    <w:abstractNumId w:val="21"/>
  </w:num>
  <w:num w:numId="26">
    <w:abstractNumId w:val="16"/>
  </w:num>
  <w:num w:numId="27">
    <w:abstractNumId w:val="9"/>
    <w:lvlOverride w:ilvl="0">
      <w:lvl w:ilvl="0">
        <w:start w:val="1"/>
        <w:numFmt w:val="decimal"/>
        <w:pStyle w:val="Style1"/>
        <w:lvlText w:val="%1."/>
        <w:lvlJc w:val="left"/>
        <w:pPr>
          <w:tabs>
            <w:tab w:val="num" w:pos="720"/>
          </w:tabs>
          <w:ind w:left="431" w:hanging="431"/>
        </w:pPr>
        <w:rPr>
          <w:b w:val="0"/>
          <w:bCs w:val="0"/>
          <w:i w:val="0"/>
          <w:iCs w:val="0"/>
          <w:strike w:val="0"/>
          <w:dstrike w:val="0"/>
          <w:color w:val="auto"/>
          <w:u w:val="none"/>
          <w:effect w:val="none"/>
        </w:rPr>
      </w:lvl>
    </w:lvlOverride>
    <w:lvlOverride w:ilvl="1">
      <w:lvl w:ilvl="1">
        <w:start w:val="1"/>
        <w:numFmt w:val="decimal"/>
        <w:pStyle w:val="Heading2"/>
        <w:lvlText w:val="%1.%2"/>
        <w:lvlJc w:val="left"/>
        <w:pPr>
          <w:tabs>
            <w:tab w:val="num" w:pos="720"/>
          </w:tabs>
          <w:ind w:left="431" w:hanging="431"/>
        </w:pPr>
      </w:lvl>
    </w:lvlOverride>
    <w:lvlOverride w:ilvl="2">
      <w:lvl w:ilvl="2">
        <w:start w:val="1"/>
        <w:numFmt w:val="decimal"/>
        <w:pStyle w:val="Heading3"/>
        <w:lvlText w:val="%1.%2.%3"/>
        <w:lvlJc w:val="left"/>
        <w:pPr>
          <w:tabs>
            <w:tab w:val="num" w:pos="720"/>
          </w:tabs>
          <w:ind w:left="431" w:hanging="431"/>
        </w:pPr>
      </w:lvl>
    </w:lvlOverride>
    <w:lvlOverride w:ilvl="3">
      <w:lvl w:ilvl="3">
        <w:start w:val="1"/>
        <w:numFmt w:val="decimal"/>
        <w:pStyle w:val="Heading4"/>
        <w:lvlText w:val="%1.%2.%3.%4"/>
        <w:lvlJc w:val="left"/>
        <w:pPr>
          <w:tabs>
            <w:tab w:val="num" w:pos="720"/>
          </w:tabs>
          <w:ind w:left="431" w:hanging="431"/>
        </w:pPr>
      </w:lvl>
    </w:lvlOverride>
    <w:lvlOverride w:ilvl="4">
      <w:lvl w:ilvl="4">
        <w:start w:val="1"/>
        <w:numFmt w:val="decimal"/>
        <w:pStyle w:val="Heading5"/>
        <w:lvlText w:val="%1.%2.%3.%4.%5"/>
        <w:lvlJc w:val="left"/>
        <w:pPr>
          <w:tabs>
            <w:tab w:val="num" w:pos="720"/>
          </w:tabs>
          <w:ind w:left="431" w:hanging="431"/>
        </w:pPr>
      </w:lvl>
    </w:lvlOverride>
    <w:lvlOverride w:ilvl="5">
      <w:lvl w:ilvl="5">
        <w:start w:val="1"/>
        <w:numFmt w:val="decimal"/>
        <w:lvlText w:val="%1.%2.%3.%4.%5.%6"/>
        <w:lvlJc w:val="left"/>
        <w:pPr>
          <w:tabs>
            <w:tab w:val="num" w:pos="720"/>
          </w:tabs>
          <w:ind w:left="431" w:hanging="431"/>
        </w:pPr>
      </w:lvl>
    </w:lvlOverride>
    <w:lvlOverride w:ilvl="6">
      <w:lvl w:ilvl="6">
        <w:start w:val="1"/>
        <w:numFmt w:val="decimal"/>
        <w:pStyle w:val="Heading7"/>
        <w:lvlText w:val="%1.%2.%3.%4.%5.%6.%7"/>
        <w:lvlJc w:val="left"/>
        <w:pPr>
          <w:tabs>
            <w:tab w:val="num" w:pos="720"/>
          </w:tabs>
          <w:ind w:left="431" w:hanging="431"/>
        </w:pPr>
      </w:lvl>
    </w:lvlOverride>
    <w:lvlOverride w:ilvl="7">
      <w:lvl w:ilvl="7">
        <w:start w:val="1"/>
        <w:numFmt w:val="decimal"/>
        <w:pStyle w:val="Heading8"/>
        <w:lvlText w:val="%1.%2.%3.%4.%5.%6.%7.%8"/>
        <w:lvlJc w:val="left"/>
        <w:pPr>
          <w:tabs>
            <w:tab w:val="num" w:pos="720"/>
          </w:tabs>
          <w:ind w:left="431" w:hanging="431"/>
        </w:pPr>
      </w:lvl>
    </w:lvlOverride>
    <w:lvlOverride w:ilvl="8">
      <w:lvl w:ilvl="8">
        <w:start w:val="1"/>
        <w:numFmt w:val="decimal"/>
        <w:pStyle w:val="Heading9"/>
        <w:lvlText w:val="%1.%2.%3.%4.%5.%6.%7.%8.%9"/>
        <w:lvlJc w:val="left"/>
        <w:pPr>
          <w:tabs>
            <w:tab w:val="num" w:pos="720"/>
          </w:tabs>
          <w:ind w:left="431" w:hanging="431"/>
        </w:pPr>
      </w:lvl>
    </w:lvlOverride>
  </w:num>
  <w:num w:numId="28">
    <w:abstractNumId w:val="9"/>
    <w:lvlOverride w:ilvl="0">
      <w:startOverride w:val="13"/>
    </w:lvlOverride>
  </w:num>
  <w:num w:numId="29">
    <w:abstractNumId w:val="9"/>
    <w:lvlOverride w:ilvl="0">
      <w:startOverride w:val="1"/>
      <w:lvl w:ilvl="0">
        <w:start w:val="1"/>
        <w:numFmt w:val="decimal"/>
        <w:pStyle w:val="Style1"/>
        <w:lvlText w:val="%1."/>
        <w:lvlJc w:val="left"/>
        <w:pPr>
          <w:tabs>
            <w:tab w:val="num" w:pos="720"/>
          </w:tabs>
          <w:ind w:left="431" w:hanging="431"/>
        </w:pPr>
        <w:rPr>
          <w:i w:val="0"/>
          <w:iCs w:val="0"/>
          <w:strike w:val="0"/>
          <w:dstrike w:val="0"/>
          <w:color w:val="auto"/>
          <w:u w:val="none"/>
          <w:effect w:val="none"/>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33F4F"/>
    <w:rsid w:val="000016F3"/>
    <w:rsid w:val="0000283C"/>
    <w:rsid w:val="0000335F"/>
    <w:rsid w:val="00024500"/>
    <w:rsid w:val="000247B2"/>
    <w:rsid w:val="00026FDF"/>
    <w:rsid w:val="00032FF7"/>
    <w:rsid w:val="00033F6E"/>
    <w:rsid w:val="0003637B"/>
    <w:rsid w:val="00046145"/>
    <w:rsid w:val="0004625F"/>
    <w:rsid w:val="00052880"/>
    <w:rsid w:val="00053135"/>
    <w:rsid w:val="000660BB"/>
    <w:rsid w:val="00077358"/>
    <w:rsid w:val="000815B0"/>
    <w:rsid w:val="00083F06"/>
    <w:rsid w:val="000863F6"/>
    <w:rsid w:val="00087477"/>
    <w:rsid w:val="00087DEC"/>
    <w:rsid w:val="00091B4A"/>
    <w:rsid w:val="00094A44"/>
    <w:rsid w:val="000A372A"/>
    <w:rsid w:val="000A4AEB"/>
    <w:rsid w:val="000A64AE"/>
    <w:rsid w:val="000A71F4"/>
    <w:rsid w:val="000B02BC"/>
    <w:rsid w:val="000B0589"/>
    <w:rsid w:val="000B5AE4"/>
    <w:rsid w:val="000C3F13"/>
    <w:rsid w:val="000C5098"/>
    <w:rsid w:val="000C66B7"/>
    <w:rsid w:val="000C698E"/>
    <w:rsid w:val="000D0673"/>
    <w:rsid w:val="000E57C1"/>
    <w:rsid w:val="000F0351"/>
    <w:rsid w:val="000F16F4"/>
    <w:rsid w:val="000F635F"/>
    <w:rsid w:val="000F6EC2"/>
    <w:rsid w:val="001000CB"/>
    <w:rsid w:val="00100FD4"/>
    <w:rsid w:val="001012AC"/>
    <w:rsid w:val="00101C86"/>
    <w:rsid w:val="00104D93"/>
    <w:rsid w:val="001062EA"/>
    <w:rsid w:val="00116EC0"/>
    <w:rsid w:val="00127AD6"/>
    <w:rsid w:val="001440C3"/>
    <w:rsid w:val="0015197F"/>
    <w:rsid w:val="00152C92"/>
    <w:rsid w:val="00152E38"/>
    <w:rsid w:val="00155F44"/>
    <w:rsid w:val="00161B5C"/>
    <w:rsid w:val="00163240"/>
    <w:rsid w:val="001640D4"/>
    <w:rsid w:val="00184D73"/>
    <w:rsid w:val="0019636C"/>
    <w:rsid w:val="00197B5B"/>
    <w:rsid w:val="001A057C"/>
    <w:rsid w:val="001B37BF"/>
    <w:rsid w:val="001B7FC0"/>
    <w:rsid w:val="001C5B90"/>
    <w:rsid w:val="001E2CD9"/>
    <w:rsid w:val="001F3093"/>
    <w:rsid w:val="001F51A8"/>
    <w:rsid w:val="001F5990"/>
    <w:rsid w:val="002012E7"/>
    <w:rsid w:val="00207816"/>
    <w:rsid w:val="00212694"/>
    <w:rsid w:val="00212C8F"/>
    <w:rsid w:val="00214E0E"/>
    <w:rsid w:val="0022553C"/>
    <w:rsid w:val="00234A98"/>
    <w:rsid w:val="00235670"/>
    <w:rsid w:val="00242A5E"/>
    <w:rsid w:val="00244ADD"/>
    <w:rsid w:val="002457EA"/>
    <w:rsid w:val="002467E3"/>
    <w:rsid w:val="00251114"/>
    <w:rsid w:val="00252E7A"/>
    <w:rsid w:val="0025620D"/>
    <w:rsid w:val="00264CC1"/>
    <w:rsid w:val="00270CA4"/>
    <w:rsid w:val="00274810"/>
    <w:rsid w:val="00275F5F"/>
    <w:rsid w:val="002819AB"/>
    <w:rsid w:val="002958D9"/>
    <w:rsid w:val="002A6DE2"/>
    <w:rsid w:val="002B5A3A"/>
    <w:rsid w:val="002C068A"/>
    <w:rsid w:val="002C2524"/>
    <w:rsid w:val="002C73C2"/>
    <w:rsid w:val="002D0F4D"/>
    <w:rsid w:val="002D33E1"/>
    <w:rsid w:val="002D5A7C"/>
    <w:rsid w:val="002E3C2E"/>
    <w:rsid w:val="002F0C3B"/>
    <w:rsid w:val="002F15EB"/>
    <w:rsid w:val="002F21DD"/>
    <w:rsid w:val="00303CA5"/>
    <w:rsid w:val="0030500E"/>
    <w:rsid w:val="00306065"/>
    <w:rsid w:val="0031048B"/>
    <w:rsid w:val="003206FD"/>
    <w:rsid w:val="00322322"/>
    <w:rsid w:val="00325FFD"/>
    <w:rsid w:val="00343A1F"/>
    <w:rsid w:val="00344294"/>
    <w:rsid w:val="00344CD1"/>
    <w:rsid w:val="00354067"/>
    <w:rsid w:val="00355FCC"/>
    <w:rsid w:val="00360664"/>
    <w:rsid w:val="00361890"/>
    <w:rsid w:val="00364E17"/>
    <w:rsid w:val="00366F95"/>
    <w:rsid w:val="003711FD"/>
    <w:rsid w:val="00372A9E"/>
    <w:rsid w:val="00373550"/>
    <w:rsid w:val="003741FE"/>
    <w:rsid w:val="003753FE"/>
    <w:rsid w:val="00377291"/>
    <w:rsid w:val="0037785C"/>
    <w:rsid w:val="003941CF"/>
    <w:rsid w:val="003B2FE6"/>
    <w:rsid w:val="003B3870"/>
    <w:rsid w:val="003B39A2"/>
    <w:rsid w:val="003B553D"/>
    <w:rsid w:val="003B700D"/>
    <w:rsid w:val="003C4A07"/>
    <w:rsid w:val="003D1D4A"/>
    <w:rsid w:val="003D36FE"/>
    <w:rsid w:val="003D3715"/>
    <w:rsid w:val="003E54CC"/>
    <w:rsid w:val="003F3533"/>
    <w:rsid w:val="003F7DFB"/>
    <w:rsid w:val="004029F3"/>
    <w:rsid w:val="004057DF"/>
    <w:rsid w:val="00410692"/>
    <w:rsid w:val="004156F0"/>
    <w:rsid w:val="00423BC8"/>
    <w:rsid w:val="00424490"/>
    <w:rsid w:val="00431E73"/>
    <w:rsid w:val="00432D4F"/>
    <w:rsid w:val="0043364B"/>
    <w:rsid w:val="00434739"/>
    <w:rsid w:val="004474DE"/>
    <w:rsid w:val="00451EE4"/>
    <w:rsid w:val="004522C1"/>
    <w:rsid w:val="00452DDF"/>
    <w:rsid w:val="00453E15"/>
    <w:rsid w:val="00473A53"/>
    <w:rsid w:val="0047718B"/>
    <w:rsid w:val="0048041A"/>
    <w:rsid w:val="00480C58"/>
    <w:rsid w:val="00480E04"/>
    <w:rsid w:val="00483290"/>
    <w:rsid w:val="00483D15"/>
    <w:rsid w:val="00491700"/>
    <w:rsid w:val="004922E5"/>
    <w:rsid w:val="004976CF"/>
    <w:rsid w:val="004A2EB8"/>
    <w:rsid w:val="004A741C"/>
    <w:rsid w:val="004B699A"/>
    <w:rsid w:val="004C07CB"/>
    <w:rsid w:val="004C6433"/>
    <w:rsid w:val="004D2C07"/>
    <w:rsid w:val="004D3748"/>
    <w:rsid w:val="004D59C5"/>
    <w:rsid w:val="004E04E0"/>
    <w:rsid w:val="004E151E"/>
    <w:rsid w:val="004E17CB"/>
    <w:rsid w:val="004E58D2"/>
    <w:rsid w:val="004E6091"/>
    <w:rsid w:val="004F274A"/>
    <w:rsid w:val="004F6414"/>
    <w:rsid w:val="00505AEE"/>
    <w:rsid w:val="00506851"/>
    <w:rsid w:val="00511318"/>
    <w:rsid w:val="005146CA"/>
    <w:rsid w:val="0051539E"/>
    <w:rsid w:val="00521B3E"/>
    <w:rsid w:val="0052347F"/>
    <w:rsid w:val="00523706"/>
    <w:rsid w:val="00533F4F"/>
    <w:rsid w:val="00534572"/>
    <w:rsid w:val="00536875"/>
    <w:rsid w:val="00541734"/>
    <w:rsid w:val="00542B4C"/>
    <w:rsid w:val="0054701F"/>
    <w:rsid w:val="005503A0"/>
    <w:rsid w:val="00561E69"/>
    <w:rsid w:val="0056634F"/>
    <w:rsid w:val="0057098A"/>
    <w:rsid w:val="005718AF"/>
    <w:rsid w:val="00571FD4"/>
    <w:rsid w:val="00572879"/>
    <w:rsid w:val="0057471E"/>
    <w:rsid w:val="0057782A"/>
    <w:rsid w:val="005813C0"/>
    <w:rsid w:val="00584C92"/>
    <w:rsid w:val="00587D1B"/>
    <w:rsid w:val="00590DD3"/>
    <w:rsid w:val="00591235"/>
    <w:rsid w:val="005A0799"/>
    <w:rsid w:val="005A08BD"/>
    <w:rsid w:val="005A3A64"/>
    <w:rsid w:val="005A7BA9"/>
    <w:rsid w:val="005B0A62"/>
    <w:rsid w:val="005B400F"/>
    <w:rsid w:val="005D739E"/>
    <w:rsid w:val="005E34E1"/>
    <w:rsid w:val="005E34FF"/>
    <w:rsid w:val="005E3542"/>
    <w:rsid w:val="005E52F9"/>
    <w:rsid w:val="005F05D1"/>
    <w:rsid w:val="005F1261"/>
    <w:rsid w:val="00602315"/>
    <w:rsid w:val="006052EF"/>
    <w:rsid w:val="00605CC3"/>
    <w:rsid w:val="00606F91"/>
    <w:rsid w:val="006127F0"/>
    <w:rsid w:val="00614E46"/>
    <w:rsid w:val="00615462"/>
    <w:rsid w:val="00623E09"/>
    <w:rsid w:val="006319E6"/>
    <w:rsid w:val="0063373D"/>
    <w:rsid w:val="00643CE7"/>
    <w:rsid w:val="006519E0"/>
    <w:rsid w:val="0065719B"/>
    <w:rsid w:val="0066322F"/>
    <w:rsid w:val="00666E0E"/>
    <w:rsid w:val="00667031"/>
    <w:rsid w:val="00671774"/>
    <w:rsid w:val="00672B3E"/>
    <w:rsid w:val="00675BDB"/>
    <w:rsid w:val="0068063C"/>
    <w:rsid w:val="00681108"/>
    <w:rsid w:val="00681791"/>
    <w:rsid w:val="00683417"/>
    <w:rsid w:val="00685A46"/>
    <w:rsid w:val="0069559D"/>
    <w:rsid w:val="00696368"/>
    <w:rsid w:val="00697CCA"/>
    <w:rsid w:val="006A5BB3"/>
    <w:rsid w:val="006A7B8B"/>
    <w:rsid w:val="006B3F62"/>
    <w:rsid w:val="006C0FD4"/>
    <w:rsid w:val="006C4514"/>
    <w:rsid w:val="006C4C25"/>
    <w:rsid w:val="006C6D1A"/>
    <w:rsid w:val="006D1729"/>
    <w:rsid w:val="006D2842"/>
    <w:rsid w:val="006D5133"/>
    <w:rsid w:val="006E17BD"/>
    <w:rsid w:val="006E257B"/>
    <w:rsid w:val="006E7403"/>
    <w:rsid w:val="006F16D9"/>
    <w:rsid w:val="006F6496"/>
    <w:rsid w:val="006F7121"/>
    <w:rsid w:val="00704126"/>
    <w:rsid w:val="00714A73"/>
    <w:rsid w:val="007157E4"/>
    <w:rsid w:val="0071604A"/>
    <w:rsid w:val="007273D0"/>
    <w:rsid w:val="007504FC"/>
    <w:rsid w:val="00756D43"/>
    <w:rsid w:val="00771D7E"/>
    <w:rsid w:val="00782B95"/>
    <w:rsid w:val="0078542C"/>
    <w:rsid w:val="00785862"/>
    <w:rsid w:val="00793346"/>
    <w:rsid w:val="007A0537"/>
    <w:rsid w:val="007A06BE"/>
    <w:rsid w:val="007B4C9B"/>
    <w:rsid w:val="007B59D3"/>
    <w:rsid w:val="007B79BD"/>
    <w:rsid w:val="007C1DBC"/>
    <w:rsid w:val="007D2B9D"/>
    <w:rsid w:val="007D57F9"/>
    <w:rsid w:val="007D65B4"/>
    <w:rsid w:val="007F1352"/>
    <w:rsid w:val="007F3F10"/>
    <w:rsid w:val="007F522E"/>
    <w:rsid w:val="007F59EB"/>
    <w:rsid w:val="00800B86"/>
    <w:rsid w:val="0080185F"/>
    <w:rsid w:val="008026D8"/>
    <w:rsid w:val="00806F2A"/>
    <w:rsid w:val="00812439"/>
    <w:rsid w:val="00827937"/>
    <w:rsid w:val="00834368"/>
    <w:rsid w:val="008411A4"/>
    <w:rsid w:val="008459B8"/>
    <w:rsid w:val="00875AE1"/>
    <w:rsid w:val="00875BF1"/>
    <w:rsid w:val="00882B66"/>
    <w:rsid w:val="008862AD"/>
    <w:rsid w:val="00890FDD"/>
    <w:rsid w:val="008954EB"/>
    <w:rsid w:val="008971DD"/>
    <w:rsid w:val="008A03E3"/>
    <w:rsid w:val="008A2B90"/>
    <w:rsid w:val="008A5809"/>
    <w:rsid w:val="008A5A15"/>
    <w:rsid w:val="008B4E67"/>
    <w:rsid w:val="008C6FA3"/>
    <w:rsid w:val="008D4726"/>
    <w:rsid w:val="008D7D36"/>
    <w:rsid w:val="008E2CCF"/>
    <w:rsid w:val="008E353A"/>
    <w:rsid w:val="008E359C"/>
    <w:rsid w:val="008F19F5"/>
    <w:rsid w:val="008F42F7"/>
    <w:rsid w:val="00901334"/>
    <w:rsid w:val="0090271C"/>
    <w:rsid w:val="00902873"/>
    <w:rsid w:val="009073EF"/>
    <w:rsid w:val="00911B9C"/>
    <w:rsid w:val="009124CE"/>
    <w:rsid w:val="00912954"/>
    <w:rsid w:val="00921F34"/>
    <w:rsid w:val="0092304C"/>
    <w:rsid w:val="00923F06"/>
    <w:rsid w:val="0092562E"/>
    <w:rsid w:val="009324CD"/>
    <w:rsid w:val="00940BA7"/>
    <w:rsid w:val="009475FA"/>
    <w:rsid w:val="00960B10"/>
    <w:rsid w:val="00963355"/>
    <w:rsid w:val="00976D66"/>
    <w:rsid w:val="009841DA"/>
    <w:rsid w:val="00986627"/>
    <w:rsid w:val="00994A8E"/>
    <w:rsid w:val="00996F38"/>
    <w:rsid w:val="009A2CA1"/>
    <w:rsid w:val="009A4C3E"/>
    <w:rsid w:val="009A65C5"/>
    <w:rsid w:val="009A6AF1"/>
    <w:rsid w:val="009A7750"/>
    <w:rsid w:val="009B3075"/>
    <w:rsid w:val="009B72ED"/>
    <w:rsid w:val="009B758B"/>
    <w:rsid w:val="009B7BD4"/>
    <w:rsid w:val="009B7F3F"/>
    <w:rsid w:val="009C1BA7"/>
    <w:rsid w:val="009C406B"/>
    <w:rsid w:val="009E1447"/>
    <w:rsid w:val="009E179D"/>
    <w:rsid w:val="009E3C69"/>
    <w:rsid w:val="009E3FAD"/>
    <w:rsid w:val="009E4076"/>
    <w:rsid w:val="009E6FB7"/>
    <w:rsid w:val="00A00D99"/>
    <w:rsid w:val="00A00FCD"/>
    <w:rsid w:val="00A04D84"/>
    <w:rsid w:val="00A05F6B"/>
    <w:rsid w:val="00A101CD"/>
    <w:rsid w:val="00A21B48"/>
    <w:rsid w:val="00A23FC7"/>
    <w:rsid w:val="00A240B9"/>
    <w:rsid w:val="00A24EFF"/>
    <w:rsid w:val="00A418A7"/>
    <w:rsid w:val="00A5760C"/>
    <w:rsid w:val="00A60DB3"/>
    <w:rsid w:val="00A635CA"/>
    <w:rsid w:val="00A94851"/>
    <w:rsid w:val="00A97823"/>
    <w:rsid w:val="00AB33E3"/>
    <w:rsid w:val="00AB5680"/>
    <w:rsid w:val="00AC2B1C"/>
    <w:rsid w:val="00AC4F21"/>
    <w:rsid w:val="00AD01E8"/>
    <w:rsid w:val="00AD0E39"/>
    <w:rsid w:val="00AD2F56"/>
    <w:rsid w:val="00AD566D"/>
    <w:rsid w:val="00AE2FAA"/>
    <w:rsid w:val="00AE7EC2"/>
    <w:rsid w:val="00AF14DE"/>
    <w:rsid w:val="00B036B0"/>
    <w:rsid w:val="00B049F2"/>
    <w:rsid w:val="00B04B8A"/>
    <w:rsid w:val="00B206C1"/>
    <w:rsid w:val="00B239B0"/>
    <w:rsid w:val="00B32324"/>
    <w:rsid w:val="00B345C9"/>
    <w:rsid w:val="00B3479A"/>
    <w:rsid w:val="00B34B53"/>
    <w:rsid w:val="00B412B7"/>
    <w:rsid w:val="00B426FE"/>
    <w:rsid w:val="00B42F32"/>
    <w:rsid w:val="00B469B6"/>
    <w:rsid w:val="00B51D9F"/>
    <w:rsid w:val="00B56990"/>
    <w:rsid w:val="00B61A59"/>
    <w:rsid w:val="00B65400"/>
    <w:rsid w:val="00B7130A"/>
    <w:rsid w:val="00B7142C"/>
    <w:rsid w:val="00B740AD"/>
    <w:rsid w:val="00B75350"/>
    <w:rsid w:val="00B930D9"/>
    <w:rsid w:val="00BA57A3"/>
    <w:rsid w:val="00BA78F4"/>
    <w:rsid w:val="00BC0524"/>
    <w:rsid w:val="00BC2702"/>
    <w:rsid w:val="00BD09CD"/>
    <w:rsid w:val="00BE6377"/>
    <w:rsid w:val="00BF34D7"/>
    <w:rsid w:val="00C00E8A"/>
    <w:rsid w:val="00C02C49"/>
    <w:rsid w:val="00C11BD0"/>
    <w:rsid w:val="00C1740A"/>
    <w:rsid w:val="00C274BD"/>
    <w:rsid w:val="00C31510"/>
    <w:rsid w:val="00C36797"/>
    <w:rsid w:val="00C40EA6"/>
    <w:rsid w:val="00C43061"/>
    <w:rsid w:val="00C44EDC"/>
    <w:rsid w:val="00C57B84"/>
    <w:rsid w:val="00C70C5C"/>
    <w:rsid w:val="00C74873"/>
    <w:rsid w:val="00C8343C"/>
    <w:rsid w:val="00C857CB"/>
    <w:rsid w:val="00C8740F"/>
    <w:rsid w:val="00C915A8"/>
    <w:rsid w:val="00C93EEF"/>
    <w:rsid w:val="00C965BA"/>
    <w:rsid w:val="00CC2DFF"/>
    <w:rsid w:val="00CC35D1"/>
    <w:rsid w:val="00CC50AC"/>
    <w:rsid w:val="00CC6A5A"/>
    <w:rsid w:val="00CD0D93"/>
    <w:rsid w:val="00CE21C0"/>
    <w:rsid w:val="00D02B48"/>
    <w:rsid w:val="00D0640A"/>
    <w:rsid w:val="00D1120A"/>
    <w:rsid w:val="00D125BE"/>
    <w:rsid w:val="00D13F36"/>
    <w:rsid w:val="00D1410D"/>
    <w:rsid w:val="00D25CB1"/>
    <w:rsid w:val="00D27EC8"/>
    <w:rsid w:val="00D354A3"/>
    <w:rsid w:val="00D423EB"/>
    <w:rsid w:val="00D555DA"/>
    <w:rsid w:val="00D567B9"/>
    <w:rsid w:val="00D6231A"/>
    <w:rsid w:val="00D723FD"/>
    <w:rsid w:val="00D74274"/>
    <w:rsid w:val="00D814E2"/>
    <w:rsid w:val="00DA1A6A"/>
    <w:rsid w:val="00DA3E9B"/>
    <w:rsid w:val="00DB1128"/>
    <w:rsid w:val="00DB4235"/>
    <w:rsid w:val="00DB4FCD"/>
    <w:rsid w:val="00DB7937"/>
    <w:rsid w:val="00DC1E1E"/>
    <w:rsid w:val="00DC3142"/>
    <w:rsid w:val="00DC5C75"/>
    <w:rsid w:val="00DD0F21"/>
    <w:rsid w:val="00DE265F"/>
    <w:rsid w:val="00DE5243"/>
    <w:rsid w:val="00DE6727"/>
    <w:rsid w:val="00DF272B"/>
    <w:rsid w:val="00DF67CD"/>
    <w:rsid w:val="00E02D8E"/>
    <w:rsid w:val="00E11244"/>
    <w:rsid w:val="00E12DB4"/>
    <w:rsid w:val="00E15353"/>
    <w:rsid w:val="00E16CAE"/>
    <w:rsid w:val="00E33B9F"/>
    <w:rsid w:val="00E37FA3"/>
    <w:rsid w:val="00E45340"/>
    <w:rsid w:val="00E515DB"/>
    <w:rsid w:val="00E54F7C"/>
    <w:rsid w:val="00E60C30"/>
    <w:rsid w:val="00E674DD"/>
    <w:rsid w:val="00E67B22"/>
    <w:rsid w:val="00E7344C"/>
    <w:rsid w:val="00E81323"/>
    <w:rsid w:val="00E82E74"/>
    <w:rsid w:val="00E85E3D"/>
    <w:rsid w:val="00E974ED"/>
    <w:rsid w:val="00EA406E"/>
    <w:rsid w:val="00EA43AC"/>
    <w:rsid w:val="00EA52D3"/>
    <w:rsid w:val="00EA73CE"/>
    <w:rsid w:val="00EB099A"/>
    <w:rsid w:val="00EB2329"/>
    <w:rsid w:val="00EC1900"/>
    <w:rsid w:val="00EC4AD9"/>
    <w:rsid w:val="00EC684E"/>
    <w:rsid w:val="00EC7081"/>
    <w:rsid w:val="00ED043A"/>
    <w:rsid w:val="00ED3727"/>
    <w:rsid w:val="00ED3DDF"/>
    <w:rsid w:val="00ED3FF4"/>
    <w:rsid w:val="00ED50F4"/>
    <w:rsid w:val="00EE03F0"/>
    <w:rsid w:val="00EE1C1A"/>
    <w:rsid w:val="00EE2613"/>
    <w:rsid w:val="00EE550A"/>
    <w:rsid w:val="00EF1E98"/>
    <w:rsid w:val="00EF5820"/>
    <w:rsid w:val="00F02535"/>
    <w:rsid w:val="00F03633"/>
    <w:rsid w:val="00F1025A"/>
    <w:rsid w:val="00F1217E"/>
    <w:rsid w:val="00F2297F"/>
    <w:rsid w:val="00F25A63"/>
    <w:rsid w:val="00F35EDC"/>
    <w:rsid w:val="00F46C5B"/>
    <w:rsid w:val="00F50FD2"/>
    <w:rsid w:val="00F62916"/>
    <w:rsid w:val="00F63D9A"/>
    <w:rsid w:val="00F659A3"/>
    <w:rsid w:val="00F7417F"/>
    <w:rsid w:val="00F90016"/>
    <w:rsid w:val="00F93A13"/>
    <w:rsid w:val="00FA02D2"/>
    <w:rsid w:val="00FA3D57"/>
    <w:rsid w:val="00FB743C"/>
    <w:rsid w:val="00FC6E8D"/>
    <w:rsid w:val="00FD307B"/>
    <w:rsid w:val="00FE4E01"/>
    <w:rsid w:val="00FE68E4"/>
    <w:rsid w:val="00FE6C18"/>
    <w:rsid w:val="00FF0BDB"/>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9501D7"/>
  <w15:docId w15:val="{F575ABCE-2B22-4557-B7EC-3FAA8271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A00D99"/>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500048">
      <w:bodyDiv w:val="1"/>
      <w:marLeft w:val="0"/>
      <w:marRight w:val="0"/>
      <w:marTop w:val="0"/>
      <w:marBottom w:val="0"/>
      <w:divBdr>
        <w:top w:val="none" w:sz="0" w:space="0" w:color="auto"/>
        <w:left w:val="none" w:sz="0" w:space="0" w:color="auto"/>
        <w:bottom w:val="none" w:sz="0" w:space="0" w:color="auto"/>
        <w:right w:val="none" w:sz="0" w:space="0" w:color="auto"/>
      </w:divBdr>
    </w:div>
    <w:div w:id="851913984">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114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CFA66-3554-4A84-AAAD-7A6F4F29332C}">
  <ds:schemaRefs>
    <ds:schemaRef ds:uri="http://schemas.microsoft.com/sharepoint/v3/contenttype/forms"/>
  </ds:schemaRefs>
</ds:datastoreItem>
</file>

<file path=customXml/itemProps2.xml><?xml version="1.0" encoding="utf-8"?>
<ds:datastoreItem xmlns:ds="http://schemas.openxmlformats.org/officeDocument/2006/customXml" ds:itemID="{C6289DD1-A607-4EF7-87C2-DE7F62A48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4E9DC34-A276-4212-92D5-66489CD9C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Beeby, Catherine</dc:creator>
  <cp:lastModifiedBy>Baylis, Caroline</cp:lastModifiedBy>
  <cp:revision>2</cp:revision>
  <cp:lastPrinted>2021-10-08T12:14:00Z</cp:lastPrinted>
  <dcterms:created xsi:type="dcterms:W3CDTF">2021-10-11T11:11:00Z</dcterms:created>
  <dcterms:modified xsi:type="dcterms:W3CDTF">2021-10-11T11:11:00Z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