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359F" w14:textId="57CAFBC0" w:rsidR="001F413B" w:rsidRDefault="001F510C" w:rsidP="001F413B">
      <w:pPr>
        <w:ind w:hanging="142"/>
        <w:rPr>
          <w:rFonts w:cs="Verdana"/>
          <w:szCs w:val="22"/>
        </w:rPr>
      </w:pPr>
      <w:r w:rsidRPr="006C1EBC">
        <w:rPr>
          <w:rFonts w:cs="Verdana"/>
          <w:noProof/>
          <w:szCs w:val="22"/>
        </w:rPr>
        <w:drawing>
          <wp:inline distT="0" distB="0" distL="0" distR="0" wp14:anchorId="1E8F6540" wp14:editId="4DA8978E">
            <wp:extent cx="3968750" cy="406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8750" cy="406400"/>
                    </a:xfrm>
                    <a:prstGeom prst="rect">
                      <a:avLst/>
                    </a:prstGeom>
                    <a:noFill/>
                    <a:ln>
                      <a:noFill/>
                    </a:ln>
                  </pic:spPr>
                </pic:pic>
              </a:graphicData>
            </a:graphic>
          </wp:inline>
        </w:drawing>
      </w:r>
    </w:p>
    <w:p w14:paraId="38DCE6E2"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4004FB0D" w14:textId="77777777" w:rsidTr="00DD37E9">
        <w:tblPrEx>
          <w:tblCellMar>
            <w:top w:w="0" w:type="dxa"/>
            <w:bottom w:w="0" w:type="dxa"/>
          </w:tblCellMar>
        </w:tblPrEx>
        <w:trPr>
          <w:cantSplit/>
          <w:trHeight w:val="659"/>
        </w:trPr>
        <w:tc>
          <w:tcPr>
            <w:tcW w:w="9356" w:type="dxa"/>
            <w:shd w:val="clear" w:color="auto" w:fill="auto"/>
          </w:tcPr>
          <w:p w14:paraId="0D9248F1" w14:textId="77777777" w:rsidR="0004625F" w:rsidRPr="00DD37E9" w:rsidRDefault="00DD37E9" w:rsidP="00B74C3E">
            <w:pPr>
              <w:spacing w:before="120"/>
              <w:ind w:left="-108" w:right="34"/>
              <w:rPr>
                <w:b/>
                <w:color w:val="000000"/>
                <w:sz w:val="40"/>
                <w:szCs w:val="40"/>
              </w:rPr>
            </w:pPr>
            <w:bookmarkStart w:id="0" w:name="bmkTable00"/>
            <w:bookmarkEnd w:id="0"/>
            <w:r>
              <w:rPr>
                <w:b/>
                <w:color w:val="000000"/>
                <w:sz w:val="40"/>
                <w:szCs w:val="40"/>
              </w:rPr>
              <w:t>Appeal Decision</w:t>
            </w:r>
          </w:p>
        </w:tc>
      </w:tr>
      <w:tr w:rsidR="0004625F" w:rsidRPr="000C3F13" w14:paraId="563C696B" w14:textId="77777777" w:rsidTr="00DD37E9">
        <w:tblPrEx>
          <w:tblCellMar>
            <w:top w:w="0" w:type="dxa"/>
            <w:bottom w:w="0" w:type="dxa"/>
          </w:tblCellMar>
        </w:tblPrEx>
        <w:trPr>
          <w:cantSplit/>
          <w:trHeight w:val="425"/>
        </w:trPr>
        <w:tc>
          <w:tcPr>
            <w:tcW w:w="9356" w:type="dxa"/>
            <w:shd w:val="clear" w:color="auto" w:fill="auto"/>
            <w:vAlign w:val="center"/>
          </w:tcPr>
          <w:p w14:paraId="1A1FEFBA" w14:textId="77777777" w:rsidR="0004625F" w:rsidRPr="00DD37E9" w:rsidRDefault="0004625F" w:rsidP="00DD37E9">
            <w:pPr>
              <w:spacing w:before="60"/>
              <w:ind w:left="-108" w:right="34"/>
              <w:rPr>
                <w:color w:val="000000"/>
                <w:szCs w:val="22"/>
              </w:rPr>
            </w:pPr>
          </w:p>
        </w:tc>
      </w:tr>
      <w:tr w:rsidR="0004625F" w:rsidRPr="00361890" w14:paraId="63EC2560" w14:textId="77777777" w:rsidTr="00DD37E9">
        <w:tblPrEx>
          <w:tblCellMar>
            <w:top w:w="0" w:type="dxa"/>
            <w:bottom w:w="0" w:type="dxa"/>
          </w:tblCellMar>
        </w:tblPrEx>
        <w:trPr>
          <w:cantSplit/>
          <w:trHeight w:val="374"/>
        </w:trPr>
        <w:tc>
          <w:tcPr>
            <w:tcW w:w="9356" w:type="dxa"/>
            <w:shd w:val="clear" w:color="auto" w:fill="auto"/>
          </w:tcPr>
          <w:p w14:paraId="66A50636"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9A6659" w:rsidRPr="001B3F2D">
              <w:rPr>
                <w:b/>
                <w:color w:val="000000"/>
                <w:szCs w:val="22"/>
              </w:rPr>
              <w:t>S</w:t>
            </w:r>
            <w:r w:rsidR="001F413B">
              <w:rPr>
                <w:b/>
                <w:color w:val="000000"/>
                <w:szCs w:val="22"/>
              </w:rPr>
              <w:t>ue</w:t>
            </w:r>
            <w:r w:rsidR="009A6659" w:rsidRPr="001B3F2D">
              <w:rPr>
                <w:b/>
                <w:color w:val="000000"/>
                <w:szCs w:val="22"/>
              </w:rPr>
              <w:t xml:space="preserve"> M Arnott</w:t>
            </w:r>
            <w:r w:rsidR="009A6659">
              <w:rPr>
                <w:b/>
                <w:color w:val="000000"/>
                <w:szCs w:val="22"/>
              </w:rPr>
              <w:t xml:space="preserve">  FIPROW</w:t>
            </w:r>
            <w:r w:rsidR="00A17333">
              <w:rPr>
                <w:b/>
                <w:color w:val="000000"/>
                <w:szCs w:val="22"/>
              </w:rPr>
              <w:t xml:space="preserve"> </w:t>
            </w:r>
          </w:p>
        </w:tc>
      </w:tr>
      <w:tr w:rsidR="0004625F" w:rsidRPr="00361890" w14:paraId="66784E19" w14:textId="77777777" w:rsidTr="00DD37E9">
        <w:tblPrEx>
          <w:tblCellMar>
            <w:top w:w="0" w:type="dxa"/>
            <w:bottom w:w="0" w:type="dxa"/>
          </w:tblCellMar>
        </w:tblPrEx>
        <w:trPr>
          <w:cantSplit/>
          <w:trHeight w:val="357"/>
        </w:trPr>
        <w:tc>
          <w:tcPr>
            <w:tcW w:w="9356" w:type="dxa"/>
            <w:shd w:val="clear" w:color="auto" w:fill="auto"/>
          </w:tcPr>
          <w:p w14:paraId="7562B2F5"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7277A3">
              <w:rPr>
                <w:b/>
                <w:color w:val="000000"/>
                <w:sz w:val="16"/>
                <w:szCs w:val="16"/>
              </w:rPr>
              <w:t>on direction of</w:t>
            </w:r>
            <w:r>
              <w:rPr>
                <w:b/>
                <w:color w:val="000000"/>
                <w:sz w:val="16"/>
                <w:szCs w:val="16"/>
              </w:rPr>
              <w:t xml:space="preserve"> the Secretary of State for Environment, Food and Rural Affairs</w:t>
            </w:r>
          </w:p>
        </w:tc>
      </w:tr>
      <w:tr w:rsidR="0004625F" w:rsidRPr="00A101CD" w14:paraId="6184865E" w14:textId="77777777" w:rsidTr="00DD37E9">
        <w:tblPrEx>
          <w:tblCellMar>
            <w:top w:w="0" w:type="dxa"/>
            <w:bottom w:w="0" w:type="dxa"/>
          </w:tblCellMar>
        </w:tblPrEx>
        <w:trPr>
          <w:cantSplit/>
          <w:trHeight w:val="335"/>
        </w:trPr>
        <w:tc>
          <w:tcPr>
            <w:tcW w:w="9356" w:type="dxa"/>
            <w:shd w:val="clear" w:color="auto" w:fill="auto"/>
          </w:tcPr>
          <w:p w14:paraId="305900E8" w14:textId="11F72A71" w:rsidR="0004625F" w:rsidRPr="00A101CD" w:rsidRDefault="0004625F" w:rsidP="001E5F71">
            <w:pPr>
              <w:spacing w:before="120"/>
              <w:ind w:left="-108" w:right="176"/>
              <w:rPr>
                <w:b/>
                <w:color w:val="000000"/>
                <w:sz w:val="16"/>
                <w:szCs w:val="16"/>
              </w:rPr>
            </w:pPr>
            <w:r w:rsidRPr="00A101CD">
              <w:rPr>
                <w:b/>
                <w:color w:val="000000"/>
                <w:sz w:val="16"/>
                <w:szCs w:val="16"/>
              </w:rPr>
              <w:t>Decision date:</w:t>
            </w:r>
            <w:r w:rsidR="00F80762">
              <w:rPr>
                <w:b/>
                <w:color w:val="000000"/>
                <w:sz w:val="16"/>
                <w:szCs w:val="16"/>
              </w:rPr>
              <w:t xml:space="preserve"> </w:t>
            </w:r>
            <w:r w:rsidR="002C47F4">
              <w:rPr>
                <w:b/>
                <w:color w:val="000000"/>
                <w:sz w:val="16"/>
                <w:szCs w:val="16"/>
              </w:rPr>
              <w:t>3 September 2021</w:t>
            </w:r>
          </w:p>
        </w:tc>
      </w:tr>
    </w:tbl>
    <w:p w14:paraId="3423A5EE" w14:textId="77777777" w:rsidR="00DD37E9" w:rsidRPr="00BA64F6" w:rsidRDefault="00DD37E9">
      <w:pPr>
        <w:rPr>
          <w:sz w:val="16"/>
          <w:szCs w:val="16"/>
        </w:rPr>
      </w:pPr>
    </w:p>
    <w:tbl>
      <w:tblPr>
        <w:tblW w:w="0" w:type="auto"/>
        <w:tblLayout w:type="fixed"/>
        <w:tblLook w:val="0000" w:firstRow="0" w:lastRow="0" w:firstColumn="0" w:lastColumn="0" w:noHBand="0" w:noVBand="0"/>
      </w:tblPr>
      <w:tblGrid>
        <w:gridCol w:w="9520"/>
      </w:tblGrid>
      <w:tr w:rsidR="00DD37E9" w14:paraId="0B5A39EF" w14:textId="77777777" w:rsidTr="00DD37E9">
        <w:tblPrEx>
          <w:tblCellMar>
            <w:top w:w="0" w:type="dxa"/>
            <w:bottom w:w="0" w:type="dxa"/>
          </w:tblCellMar>
        </w:tblPrEx>
        <w:tc>
          <w:tcPr>
            <w:tcW w:w="9520" w:type="dxa"/>
            <w:shd w:val="clear" w:color="auto" w:fill="auto"/>
          </w:tcPr>
          <w:p w14:paraId="56A176DF" w14:textId="77777777" w:rsidR="00DD37E9" w:rsidRPr="00DD37E9" w:rsidRDefault="00C5189E" w:rsidP="00C16168">
            <w:pPr>
              <w:spacing w:after="60"/>
              <w:rPr>
                <w:b/>
                <w:color w:val="000000"/>
              </w:rPr>
            </w:pPr>
            <w:r>
              <w:rPr>
                <w:b/>
                <w:color w:val="000000"/>
              </w:rPr>
              <w:t>Appeal</w:t>
            </w:r>
            <w:r w:rsidR="00DD37E9">
              <w:rPr>
                <w:b/>
                <w:color w:val="000000"/>
              </w:rPr>
              <w:t xml:space="preserve"> Ref: </w:t>
            </w:r>
            <w:r w:rsidR="0076374D">
              <w:rPr>
                <w:b/>
                <w:color w:val="000000"/>
              </w:rPr>
              <w:t>ROW</w:t>
            </w:r>
            <w:r w:rsidR="00DD37E9">
              <w:rPr>
                <w:b/>
                <w:color w:val="000000"/>
              </w:rPr>
              <w:t>/</w:t>
            </w:r>
            <w:r w:rsidR="0076374D">
              <w:rPr>
                <w:b/>
                <w:color w:val="000000"/>
              </w:rPr>
              <w:t>Z1585</w:t>
            </w:r>
            <w:r w:rsidR="004902DB">
              <w:rPr>
                <w:b/>
                <w:color w:val="000000"/>
              </w:rPr>
              <w:t>/14A/</w:t>
            </w:r>
            <w:r w:rsidR="00C16168">
              <w:rPr>
                <w:b/>
                <w:color w:val="000000"/>
              </w:rPr>
              <w:t>2</w:t>
            </w:r>
            <w:r w:rsidR="0076374D">
              <w:rPr>
                <w:b/>
                <w:color w:val="000000"/>
              </w:rPr>
              <w:t>0</w:t>
            </w:r>
          </w:p>
        </w:tc>
      </w:tr>
      <w:tr w:rsidR="00DD37E9" w14:paraId="3AB2425D" w14:textId="77777777" w:rsidTr="00DD37E9">
        <w:tblPrEx>
          <w:tblCellMar>
            <w:top w:w="0" w:type="dxa"/>
            <w:bottom w:w="0" w:type="dxa"/>
          </w:tblCellMar>
        </w:tblPrEx>
        <w:tc>
          <w:tcPr>
            <w:tcW w:w="9520" w:type="dxa"/>
            <w:shd w:val="clear" w:color="auto" w:fill="auto"/>
          </w:tcPr>
          <w:p w14:paraId="1F6D2F09" w14:textId="77777777" w:rsidR="00DD37E9" w:rsidRPr="00152A90" w:rsidRDefault="00DD37E9" w:rsidP="00C16168">
            <w:pPr>
              <w:pStyle w:val="TBullet"/>
            </w:pPr>
            <w:r w:rsidRPr="00152A90">
              <w:t>Th</w:t>
            </w:r>
            <w:r w:rsidR="00B74C3E">
              <w:t>i</w:t>
            </w:r>
            <w:r w:rsidRPr="00152A90">
              <w:t xml:space="preserve">s </w:t>
            </w:r>
            <w:r w:rsidR="00CF154B" w:rsidRPr="00152A90">
              <w:t>a</w:t>
            </w:r>
            <w:r w:rsidRPr="00152A90">
              <w:t>ppeal</w:t>
            </w:r>
            <w:r w:rsidR="00B74C3E">
              <w:t xml:space="preserve"> i</w:t>
            </w:r>
            <w:r w:rsidR="00E11792">
              <w:t>s</w:t>
            </w:r>
            <w:r w:rsidRPr="00152A90">
              <w:t xml:space="preserve"> made under Section 53(5) and Paragraph 4(1) of </w:t>
            </w:r>
            <w:r w:rsidR="00B925A5" w:rsidRPr="00152A90">
              <w:t>Schedule</w:t>
            </w:r>
            <w:r w:rsidRPr="00152A90">
              <w:t xml:space="preserve"> 14 o</w:t>
            </w:r>
            <w:r w:rsidR="00DE33EB">
              <w:t>f</w:t>
            </w:r>
            <w:r w:rsidRPr="00152A90">
              <w:t xml:space="preserve"> the Wildlife and Countryside Act 1981 </w:t>
            </w:r>
            <w:r w:rsidR="0041539C" w:rsidRPr="00152A90">
              <w:t>against the d</w:t>
            </w:r>
            <w:r w:rsidR="002C6E5C" w:rsidRPr="00152A90">
              <w:t xml:space="preserve">ecision of </w:t>
            </w:r>
            <w:r w:rsidR="0076374D">
              <w:t>Essex</w:t>
            </w:r>
            <w:r w:rsidR="00C16168">
              <w:t xml:space="preserve"> County</w:t>
            </w:r>
            <w:r w:rsidR="00B74C3E">
              <w:t xml:space="preserve"> </w:t>
            </w:r>
            <w:r w:rsidR="00B925A5" w:rsidRPr="00152A90">
              <w:t>Council</w:t>
            </w:r>
            <w:r w:rsidR="003861E4">
              <w:t xml:space="preserve"> not to make </w:t>
            </w:r>
            <w:r w:rsidR="00B74C3E">
              <w:t xml:space="preserve">an </w:t>
            </w:r>
            <w:r w:rsidR="003861E4">
              <w:t>o</w:t>
            </w:r>
            <w:r w:rsidR="0041539C" w:rsidRPr="00152A90">
              <w:t xml:space="preserve">rder under </w:t>
            </w:r>
            <w:r w:rsidR="00AA7D22">
              <w:t>S</w:t>
            </w:r>
            <w:r w:rsidR="0041539C" w:rsidRPr="00152A90">
              <w:t>ection 53(2) of that Act.</w:t>
            </w:r>
          </w:p>
        </w:tc>
      </w:tr>
      <w:tr w:rsidR="00DD37E9" w14:paraId="5AB39653" w14:textId="77777777" w:rsidTr="00DD37E9">
        <w:tblPrEx>
          <w:tblCellMar>
            <w:top w:w="0" w:type="dxa"/>
            <w:bottom w:w="0" w:type="dxa"/>
          </w:tblCellMar>
        </w:tblPrEx>
        <w:tc>
          <w:tcPr>
            <w:tcW w:w="9520" w:type="dxa"/>
            <w:shd w:val="clear" w:color="auto" w:fill="auto"/>
          </w:tcPr>
          <w:p w14:paraId="63A8B84F" w14:textId="77777777" w:rsidR="00917447" w:rsidRPr="00152A90" w:rsidRDefault="0066025C" w:rsidP="00BE3467">
            <w:pPr>
              <w:pStyle w:val="TBullet"/>
              <w:spacing w:before="60"/>
              <w:ind w:left="357" w:hanging="357"/>
            </w:pPr>
            <w:r w:rsidRPr="00152A90">
              <w:t>By</w:t>
            </w:r>
            <w:r w:rsidR="00DD37E9" w:rsidRPr="00152A90">
              <w:t xml:space="preserve"> </w:t>
            </w:r>
            <w:r w:rsidRPr="00050761">
              <w:t>a</w:t>
            </w:r>
            <w:r w:rsidR="0041539C" w:rsidRPr="00050761">
              <w:t xml:space="preserve">pplication </w:t>
            </w:r>
            <w:r w:rsidR="00917447" w:rsidRPr="001E5F71">
              <w:t>dated</w:t>
            </w:r>
            <w:r w:rsidRPr="001E5F71">
              <w:t xml:space="preserve"> </w:t>
            </w:r>
            <w:r w:rsidR="00557A33">
              <w:t xml:space="preserve">29 October 2018 </w:t>
            </w:r>
            <w:r w:rsidR="0076374D">
              <w:t>Essex Bridleways Association</w:t>
            </w:r>
            <w:r w:rsidR="00E37272">
              <w:t xml:space="preserve"> </w:t>
            </w:r>
            <w:r w:rsidRPr="00050761">
              <w:t>claimed that</w:t>
            </w:r>
            <w:r w:rsidR="007D498B">
              <w:t xml:space="preserve"> </w:t>
            </w:r>
            <w:r w:rsidR="00E37272">
              <w:t xml:space="preserve">a route </w:t>
            </w:r>
            <w:r w:rsidR="00296CB6">
              <w:t xml:space="preserve">leading from the B1022 Maldon Road, Birch, </w:t>
            </w:r>
            <w:r w:rsidR="007C0C81">
              <w:t xml:space="preserve">westwards </w:t>
            </w:r>
            <w:r w:rsidR="00296CB6">
              <w:t xml:space="preserve">towards </w:t>
            </w:r>
            <w:r w:rsidR="00EF3B0F">
              <w:t>Bockingham Hall Farm</w:t>
            </w:r>
            <w:r w:rsidR="008E2327">
              <w:t>’</w:t>
            </w:r>
            <w:r w:rsidR="00296CB6">
              <w:t xml:space="preserve"> </w:t>
            </w:r>
            <w:r w:rsidRPr="00DE5AF8">
              <w:t>should</w:t>
            </w:r>
            <w:r w:rsidRPr="00050761">
              <w:t xml:space="preserve"> be added</w:t>
            </w:r>
            <w:r w:rsidRPr="00152A90">
              <w:t xml:space="preserve"> to the definitive map </w:t>
            </w:r>
            <w:r w:rsidR="00E11792">
              <w:t>and</w:t>
            </w:r>
            <w:r w:rsidRPr="00152A90">
              <w:t xml:space="preserve"> statement for the area as </w:t>
            </w:r>
            <w:r w:rsidR="00E73A3C">
              <w:t xml:space="preserve">a </w:t>
            </w:r>
            <w:r w:rsidR="0076374D">
              <w:t>restricted byway</w:t>
            </w:r>
            <w:r w:rsidRPr="00152A90">
              <w:t xml:space="preserve">. </w:t>
            </w:r>
          </w:p>
        </w:tc>
      </w:tr>
      <w:tr w:rsidR="00CB6561" w:rsidRPr="0076374D" w14:paraId="6C2ABF1B" w14:textId="77777777" w:rsidTr="00DD37E9">
        <w:tblPrEx>
          <w:tblCellMar>
            <w:top w:w="0" w:type="dxa"/>
            <w:bottom w:w="0" w:type="dxa"/>
          </w:tblCellMar>
        </w:tblPrEx>
        <w:tc>
          <w:tcPr>
            <w:tcW w:w="9520" w:type="dxa"/>
            <w:shd w:val="clear" w:color="auto" w:fill="auto"/>
          </w:tcPr>
          <w:p w14:paraId="369AD002" w14:textId="77777777" w:rsidR="00CB6561" w:rsidRPr="0076374D" w:rsidRDefault="00CB6561" w:rsidP="00E73A3C">
            <w:pPr>
              <w:pStyle w:val="TBullet"/>
              <w:spacing w:before="60"/>
              <w:ind w:left="357" w:hanging="357"/>
            </w:pPr>
            <w:r w:rsidRPr="0076374D">
              <w:t>The application</w:t>
            </w:r>
            <w:r w:rsidR="00B74C3E" w:rsidRPr="0076374D">
              <w:t xml:space="preserve"> wa</w:t>
            </w:r>
            <w:r w:rsidR="00D21C3A" w:rsidRPr="0076374D">
              <w:t>s</w:t>
            </w:r>
            <w:r w:rsidRPr="0076374D">
              <w:t xml:space="preserve"> refused by </w:t>
            </w:r>
            <w:r w:rsidR="0076374D" w:rsidRPr="0076374D">
              <w:t>Essex</w:t>
            </w:r>
            <w:r w:rsidR="00E37272" w:rsidRPr="0076374D">
              <w:t xml:space="preserve"> County</w:t>
            </w:r>
            <w:r w:rsidRPr="0076374D">
              <w:t xml:space="preserve"> </w:t>
            </w:r>
            <w:r w:rsidR="00E37272" w:rsidRPr="0076374D">
              <w:t xml:space="preserve">Council </w:t>
            </w:r>
            <w:r w:rsidR="00E73A3C" w:rsidRPr="0076374D">
              <w:t xml:space="preserve">under its delegated procedures </w:t>
            </w:r>
            <w:r w:rsidRPr="0076374D">
              <w:t>and the appellant was form</w:t>
            </w:r>
            <w:r w:rsidR="007A6396" w:rsidRPr="0076374D">
              <w:t xml:space="preserve">ally notified </w:t>
            </w:r>
            <w:r w:rsidRPr="0076374D">
              <w:t>of the decision by</w:t>
            </w:r>
            <w:r w:rsidR="00A77BA2" w:rsidRPr="0076374D">
              <w:t xml:space="preserve"> letter </w:t>
            </w:r>
            <w:r w:rsidR="00E37272" w:rsidRPr="0076374D">
              <w:t xml:space="preserve">dated </w:t>
            </w:r>
            <w:r w:rsidR="0076374D" w:rsidRPr="0076374D">
              <w:t>3</w:t>
            </w:r>
            <w:r w:rsidR="00E37272" w:rsidRPr="0076374D">
              <w:t xml:space="preserve">1 </w:t>
            </w:r>
            <w:r w:rsidR="0076374D" w:rsidRPr="0076374D">
              <w:t>July</w:t>
            </w:r>
            <w:r w:rsidR="00E37272" w:rsidRPr="0076374D">
              <w:t xml:space="preserve"> 20</w:t>
            </w:r>
            <w:r w:rsidR="0076374D" w:rsidRPr="0076374D">
              <w:t>20</w:t>
            </w:r>
            <w:r w:rsidRPr="0076374D">
              <w:t>.</w:t>
            </w:r>
            <w:r w:rsidR="001E5F71" w:rsidRPr="0076374D">
              <w:t xml:space="preserve"> </w:t>
            </w:r>
          </w:p>
        </w:tc>
      </w:tr>
      <w:tr w:rsidR="00DD37E9" w:rsidRPr="0076374D" w14:paraId="72B11941" w14:textId="77777777" w:rsidTr="00DD37E9">
        <w:tblPrEx>
          <w:tblCellMar>
            <w:top w:w="0" w:type="dxa"/>
            <w:bottom w:w="0" w:type="dxa"/>
          </w:tblCellMar>
        </w:tblPrEx>
        <w:tc>
          <w:tcPr>
            <w:tcW w:w="9520" w:type="dxa"/>
            <w:shd w:val="clear" w:color="auto" w:fill="auto"/>
          </w:tcPr>
          <w:p w14:paraId="3EF25B9B" w14:textId="77777777" w:rsidR="00DD37E9" w:rsidRPr="0076374D" w:rsidRDefault="00DD37E9" w:rsidP="00EE488F">
            <w:pPr>
              <w:spacing w:before="120"/>
              <w:rPr>
                <w:b/>
                <w:color w:val="000000"/>
              </w:rPr>
            </w:pPr>
            <w:r w:rsidRPr="0076374D">
              <w:rPr>
                <w:b/>
                <w:color w:val="000000"/>
              </w:rPr>
              <w:t>Summary of Decision:</w:t>
            </w:r>
            <w:r w:rsidR="00B925A5" w:rsidRPr="0076374D">
              <w:rPr>
                <w:b/>
                <w:color w:val="000000"/>
              </w:rPr>
              <w:t xml:space="preserve"> </w:t>
            </w:r>
            <w:r w:rsidR="00B74497" w:rsidRPr="0076374D">
              <w:rPr>
                <w:b/>
                <w:color w:val="000000"/>
              </w:rPr>
              <w:t xml:space="preserve"> </w:t>
            </w:r>
            <w:r w:rsidR="00512561" w:rsidRPr="0076374D">
              <w:rPr>
                <w:b/>
                <w:color w:val="000000"/>
              </w:rPr>
              <w:t>The appeal</w:t>
            </w:r>
            <w:r w:rsidR="00B74C3E" w:rsidRPr="0076374D">
              <w:rPr>
                <w:b/>
                <w:color w:val="000000"/>
              </w:rPr>
              <w:t xml:space="preserve"> </w:t>
            </w:r>
            <w:r w:rsidR="00B74C3E" w:rsidRPr="00622325">
              <w:rPr>
                <w:b/>
                <w:color w:val="000000"/>
              </w:rPr>
              <w:t>i</w:t>
            </w:r>
            <w:r w:rsidR="001B124E" w:rsidRPr="00622325">
              <w:rPr>
                <w:b/>
                <w:color w:val="000000"/>
              </w:rPr>
              <w:t>s</w:t>
            </w:r>
            <w:r w:rsidR="00512561" w:rsidRPr="00622325">
              <w:rPr>
                <w:b/>
                <w:color w:val="000000"/>
              </w:rPr>
              <w:t xml:space="preserve"> </w:t>
            </w:r>
            <w:r w:rsidR="007942CE" w:rsidRPr="00622325">
              <w:rPr>
                <w:b/>
                <w:color w:val="000000"/>
              </w:rPr>
              <w:t>allowed</w:t>
            </w:r>
            <w:r w:rsidR="00500BDB" w:rsidRPr="00622325">
              <w:rPr>
                <w:b/>
                <w:color w:val="000000"/>
              </w:rPr>
              <w:t>.</w:t>
            </w:r>
          </w:p>
        </w:tc>
      </w:tr>
      <w:tr w:rsidR="00DD37E9" w14:paraId="44E79A4B" w14:textId="77777777" w:rsidTr="00DD37E9">
        <w:tblPrEx>
          <w:tblCellMar>
            <w:top w:w="0" w:type="dxa"/>
            <w:bottom w:w="0" w:type="dxa"/>
          </w:tblCellMar>
        </w:tblPrEx>
        <w:tc>
          <w:tcPr>
            <w:tcW w:w="9520" w:type="dxa"/>
            <w:tcBorders>
              <w:bottom w:val="single" w:sz="6" w:space="0" w:color="000000"/>
            </w:tcBorders>
            <w:shd w:val="clear" w:color="auto" w:fill="auto"/>
          </w:tcPr>
          <w:p w14:paraId="0F22CB8D" w14:textId="77777777" w:rsidR="00DD37E9" w:rsidRPr="00E93AC0" w:rsidRDefault="00DD37E9" w:rsidP="001B7C59">
            <w:pPr>
              <w:spacing w:before="60" w:after="60"/>
              <w:rPr>
                <w:b/>
                <w:color w:val="000000"/>
                <w:sz w:val="2"/>
              </w:rPr>
            </w:pPr>
            <w:bookmarkStart w:id="1" w:name="bmkReturn"/>
            <w:bookmarkEnd w:id="1"/>
          </w:p>
        </w:tc>
      </w:tr>
    </w:tbl>
    <w:p w14:paraId="04170053" w14:textId="77777777" w:rsidR="002C6E5C" w:rsidRDefault="002C6E5C" w:rsidP="002C6E5C">
      <w:pPr>
        <w:pStyle w:val="Heading6blackfont"/>
      </w:pPr>
      <w:r>
        <w:t>Preliminary Matters</w:t>
      </w:r>
    </w:p>
    <w:p w14:paraId="017411CD" w14:textId="77777777" w:rsidR="00C5189E" w:rsidRDefault="00C5189E" w:rsidP="00C93009">
      <w:pPr>
        <w:pStyle w:val="Style1"/>
        <w:tabs>
          <w:tab w:val="clear" w:pos="432"/>
          <w:tab w:val="clear" w:pos="862"/>
          <w:tab w:val="num" w:pos="426"/>
          <w:tab w:val="left" w:pos="1134"/>
        </w:tabs>
        <w:ind w:left="426" w:hanging="426"/>
      </w:pPr>
      <w:r>
        <w:t xml:space="preserve">I </w:t>
      </w:r>
      <w:r w:rsidR="007277A3">
        <w:t>have been directed</w:t>
      </w:r>
      <w:r>
        <w:t xml:space="preserve"> by the Secretary of State </w:t>
      </w:r>
      <w:r w:rsidR="00F64A71">
        <w:t xml:space="preserve">for Environment, Food and Rural Affairs </w:t>
      </w:r>
      <w:r>
        <w:t xml:space="preserve">to determine </w:t>
      </w:r>
      <w:r w:rsidR="007F566E">
        <w:t>th</w:t>
      </w:r>
      <w:r w:rsidR="00C31890">
        <w:t>i</w:t>
      </w:r>
      <w:r w:rsidR="007F566E">
        <w:t>s</w:t>
      </w:r>
      <w:r>
        <w:t xml:space="preserve"> appeal under Section 53(5) and Paragraph 4(1)</w:t>
      </w:r>
      <w:r w:rsidR="00F64A71">
        <w:t xml:space="preserve"> of Schedule 14 of the Wildlife and Countryside Act 1981</w:t>
      </w:r>
      <w:r w:rsidR="0066025C">
        <w:t xml:space="preserve"> (the 1981 Act)</w:t>
      </w:r>
      <w:r w:rsidR="004902DB">
        <w:t xml:space="preserve"> </w:t>
      </w:r>
      <w:r w:rsidR="00DE1587">
        <w:t>on</w:t>
      </w:r>
      <w:r w:rsidR="004902DB">
        <w:t xml:space="preserve"> </w:t>
      </w:r>
      <w:r w:rsidR="00DE1587">
        <w:t xml:space="preserve">the basis of the papers submitted with </w:t>
      </w:r>
      <w:r w:rsidR="00C31890">
        <w:t>this</w:t>
      </w:r>
      <w:r w:rsidR="00DE1587">
        <w:t xml:space="preserve"> case.</w:t>
      </w:r>
      <w:r w:rsidR="00A606EF">
        <w:t xml:space="preserve">  </w:t>
      </w:r>
    </w:p>
    <w:p w14:paraId="5CDB87F0" w14:textId="77777777" w:rsidR="00D94097" w:rsidRPr="00D94097" w:rsidRDefault="008453CB" w:rsidP="00C93009">
      <w:pPr>
        <w:pStyle w:val="Style1"/>
        <w:tabs>
          <w:tab w:val="clear" w:pos="432"/>
          <w:tab w:val="clear" w:pos="862"/>
          <w:tab w:val="num" w:pos="426"/>
          <w:tab w:val="left" w:pos="1134"/>
        </w:tabs>
        <w:ind w:left="426" w:hanging="426"/>
      </w:pPr>
      <w:r w:rsidRPr="002666C9">
        <w:t>The appellant</w:t>
      </w:r>
      <w:r w:rsidR="002C6661">
        <w:t xml:space="preserve">, </w:t>
      </w:r>
      <w:r w:rsidR="007942CE">
        <w:t>Essex Bridleways Association (EBA)</w:t>
      </w:r>
      <w:r w:rsidR="002C6661">
        <w:t>,</w:t>
      </w:r>
      <w:r w:rsidR="00A606EF" w:rsidRPr="002666C9">
        <w:t xml:space="preserve"> </w:t>
      </w:r>
      <w:r w:rsidRPr="002666C9">
        <w:t xml:space="preserve">requests </w:t>
      </w:r>
      <w:r w:rsidR="007F566E" w:rsidRPr="002666C9">
        <w:t xml:space="preserve">that </w:t>
      </w:r>
      <w:r w:rsidRPr="002666C9">
        <w:t>the Secretary of State directs</w:t>
      </w:r>
      <w:r w:rsidR="00AC0C59" w:rsidRPr="002666C9">
        <w:t xml:space="preserve"> </w:t>
      </w:r>
      <w:r w:rsidR="007942CE">
        <w:t>Essex</w:t>
      </w:r>
      <w:r w:rsidR="00E37272">
        <w:t xml:space="preserve"> County</w:t>
      </w:r>
      <w:r w:rsidR="005D4A25">
        <w:t xml:space="preserve"> </w:t>
      </w:r>
      <w:r w:rsidRPr="002666C9">
        <w:t xml:space="preserve">Council </w:t>
      </w:r>
      <w:r w:rsidR="001A120D" w:rsidRPr="002666C9">
        <w:t>(</w:t>
      </w:r>
      <w:r w:rsidR="007942CE">
        <w:t>E</w:t>
      </w:r>
      <w:r w:rsidR="00E37272">
        <w:t>CC</w:t>
      </w:r>
      <w:r w:rsidR="001A120D" w:rsidRPr="002666C9">
        <w:t xml:space="preserve">) </w:t>
      </w:r>
      <w:r w:rsidRPr="002666C9">
        <w:t xml:space="preserve">to make </w:t>
      </w:r>
      <w:r w:rsidR="00D75175">
        <w:t xml:space="preserve">a </w:t>
      </w:r>
      <w:r w:rsidRPr="002666C9">
        <w:t xml:space="preserve">definitive map modification order under Schedule 15 </w:t>
      </w:r>
      <w:r w:rsidRPr="0000236A">
        <w:t xml:space="preserve">of the 1981 Act </w:t>
      </w:r>
      <w:r w:rsidR="007F566E" w:rsidRPr="0000236A">
        <w:t xml:space="preserve">to </w:t>
      </w:r>
      <w:r w:rsidR="0097669C" w:rsidRPr="0000236A">
        <w:t>re</w:t>
      </w:r>
      <w:r w:rsidR="007F566E" w:rsidRPr="0000236A">
        <w:t xml:space="preserve">cord </w:t>
      </w:r>
      <w:r w:rsidRPr="0000236A">
        <w:rPr>
          <w:color w:val="auto"/>
        </w:rPr>
        <w:t xml:space="preserve">the </w:t>
      </w:r>
      <w:r w:rsidR="00127B8D" w:rsidRPr="0000236A">
        <w:rPr>
          <w:color w:val="auto"/>
        </w:rPr>
        <w:t xml:space="preserve">route which </w:t>
      </w:r>
      <w:r w:rsidR="005D4A25" w:rsidRPr="0000236A">
        <w:rPr>
          <w:color w:val="auto"/>
        </w:rPr>
        <w:t>is</w:t>
      </w:r>
      <w:r w:rsidR="001B124E" w:rsidRPr="0000236A">
        <w:rPr>
          <w:color w:val="auto"/>
        </w:rPr>
        <w:t xml:space="preserve"> the subject of th</w:t>
      </w:r>
      <w:r w:rsidR="005D4A25" w:rsidRPr="0000236A">
        <w:rPr>
          <w:color w:val="auto"/>
        </w:rPr>
        <w:t>i</w:t>
      </w:r>
      <w:r w:rsidR="00127B8D" w:rsidRPr="0000236A">
        <w:rPr>
          <w:color w:val="auto"/>
        </w:rPr>
        <w:t>s appeal</w:t>
      </w:r>
      <w:r w:rsidR="00D94097">
        <w:rPr>
          <w:color w:val="auto"/>
        </w:rPr>
        <w:t xml:space="preserve"> as a </w:t>
      </w:r>
      <w:r w:rsidR="007942CE">
        <w:rPr>
          <w:color w:val="auto"/>
        </w:rPr>
        <w:t>restricted byway</w:t>
      </w:r>
      <w:r w:rsidR="005D4A25" w:rsidRPr="0000236A">
        <w:rPr>
          <w:color w:val="auto"/>
        </w:rPr>
        <w:t>.</w:t>
      </w:r>
    </w:p>
    <w:p w14:paraId="6CFAF14E" w14:textId="77777777" w:rsidR="00193B16" w:rsidRDefault="00414C02" w:rsidP="00E37272">
      <w:pPr>
        <w:pStyle w:val="Style1"/>
        <w:ind w:left="426" w:hanging="426"/>
        <w:rPr>
          <w:color w:val="auto"/>
        </w:rPr>
      </w:pPr>
      <w:r>
        <w:t>In addition to the submissions from the app</w:t>
      </w:r>
      <w:r w:rsidR="007D29DD">
        <w:t>ell</w:t>
      </w:r>
      <w:r>
        <w:t xml:space="preserve">ant and </w:t>
      </w:r>
      <w:r w:rsidR="005A3932">
        <w:t>E</w:t>
      </w:r>
      <w:r>
        <w:t>CC, I have before me representations made on behalf of</w:t>
      </w:r>
      <w:r w:rsidR="005A3932">
        <w:t xml:space="preserve"> the landowners directly affected by the</w:t>
      </w:r>
      <w:r>
        <w:t xml:space="preserve"> claimed route</w:t>
      </w:r>
      <w:r w:rsidR="00622325">
        <w:t>, the Birch Estate</w:t>
      </w:r>
      <w:r>
        <w:t xml:space="preserve">.  I have considered all these documents in </w:t>
      </w:r>
      <w:r w:rsidR="000826FE">
        <w:t xml:space="preserve">forming my conclusions.  In this case, I am satisfied I can reach a </w:t>
      </w:r>
      <w:r w:rsidR="00E73A3C">
        <w:t xml:space="preserve">reliable </w:t>
      </w:r>
      <w:r w:rsidR="000826FE">
        <w:t>decision without visiting the site.</w:t>
      </w:r>
    </w:p>
    <w:p w14:paraId="720830F3" w14:textId="77777777" w:rsidR="002C6E5C" w:rsidRPr="009E1152" w:rsidRDefault="002C6E5C" w:rsidP="002C6E5C">
      <w:pPr>
        <w:pStyle w:val="Heading6blackfont"/>
      </w:pPr>
      <w:r w:rsidRPr="009E1152">
        <w:t>Main issue</w:t>
      </w:r>
      <w:r w:rsidR="00622325">
        <w:t>s</w:t>
      </w:r>
    </w:p>
    <w:p w14:paraId="3F4ABE9B" w14:textId="77777777" w:rsidR="00622325" w:rsidRPr="00622325" w:rsidRDefault="007A491B" w:rsidP="007D3BE4">
      <w:pPr>
        <w:pStyle w:val="Style1"/>
        <w:tabs>
          <w:tab w:val="num" w:pos="1430"/>
        </w:tabs>
        <w:ind w:left="426" w:hanging="426"/>
        <w:rPr>
          <w:color w:val="auto"/>
        </w:rPr>
      </w:pPr>
      <w:r w:rsidRPr="009E1152">
        <w:t xml:space="preserve">The main issue in this case </w:t>
      </w:r>
      <w:r w:rsidR="000826FE">
        <w:t>is</w:t>
      </w:r>
      <w:r w:rsidRPr="009E1152">
        <w:t xml:space="preserve"> whether the </w:t>
      </w:r>
      <w:r w:rsidR="00583C0D">
        <w:t xml:space="preserve">available </w:t>
      </w:r>
      <w:r w:rsidRPr="009E1152">
        <w:t>evidence</w:t>
      </w:r>
      <w:r>
        <w:t xml:space="preserve"> shows that</w:t>
      </w:r>
      <w:r w:rsidR="001C7A9A">
        <w:t>, at some time in the past,</w:t>
      </w:r>
      <w:r>
        <w:t xml:space="preserve"> a public right of way </w:t>
      </w:r>
      <w:r w:rsidR="00A5213F">
        <w:t xml:space="preserve">for vehicles </w:t>
      </w:r>
      <w:r w:rsidR="001C7A9A">
        <w:t xml:space="preserve">was established along the full </w:t>
      </w:r>
      <w:r w:rsidR="00E37272">
        <w:t>length of the appeal route</w:t>
      </w:r>
      <w:r w:rsidR="00E73A3C">
        <w:t xml:space="preserve"> </w:t>
      </w:r>
      <w:r w:rsidR="00622325">
        <w:t>which</w:t>
      </w:r>
      <w:r w:rsidR="00A5213F">
        <w:t>, in the absence of evidence o</w:t>
      </w:r>
      <w:r w:rsidR="00296CB6">
        <w:t>f</w:t>
      </w:r>
      <w:r w:rsidR="00A5213F">
        <w:t xml:space="preserve"> legal closure, </w:t>
      </w:r>
      <w:r w:rsidR="00E73A3C">
        <w:t>still exists today</w:t>
      </w:r>
      <w:r w:rsidR="00296CB6">
        <w:t xml:space="preserve"> and should be recorded as a restricted byway</w:t>
      </w:r>
      <w:r w:rsidR="00A5213F">
        <w:t>.</w:t>
      </w:r>
    </w:p>
    <w:p w14:paraId="317F228A" w14:textId="77777777" w:rsidR="00A5213F" w:rsidRPr="00A5213F" w:rsidRDefault="00A5213F" w:rsidP="00A5213F">
      <w:pPr>
        <w:pStyle w:val="Style1"/>
        <w:numPr>
          <w:ilvl w:val="0"/>
          <w:numId w:val="0"/>
        </w:numPr>
        <w:tabs>
          <w:tab w:val="num" w:pos="1430"/>
        </w:tabs>
        <w:rPr>
          <w:b/>
          <w:bCs/>
          <w:color w:val="auto"/>
        </w:rPr>
      </w:pPr>
      <w:r w:rsidRPr="00A5213F">
        <w:rPr>
          <w:b/>
          <w:bCs/>
        </w:rPr>
        <w:t>Legal framework</w:t>
      </w:r>
    </w:p>
    <w:p w14:paraId="755CE6FD" w14:textId="77777777" w:rsidR="00A5213F" w:rsidRPr="00D67757" w:rsidRDefault="00A5213F" w:rsidP="00A5213F">
      <w:pPr>
        <w:pStyle w:val="Style1"/>
        <w:tabs>
          <w:tab w:val="num" w:pos="1430"/>
        </w:tabs>
        <w:ind w:left="426" w:hanging="426"/>
        <w:rPr>
          <w:color w:val="auto"/>
        </w:rPr>
      </w:pPr>
      <w:bookmarkStart w:id="2" w:name="_Ref497994642"/>
      <w:r w:rsidRPr="00D67757">
        <w:rPr>
          <w:color w:val="auto"/>
        </w:rPr>
        <w:t xml:space="preserve">Section 53(2) of the 1981 Act </w:t>
      </w:r>
      <w:r>
        <w:rPr>
          <w:color w:val="auto"/>
        </w:rPr>
        <w:t xml:space="preserve">requires </w:t>
      </w:r>
      <w:r w:rsidR="003833BB">
        <w:rPr>
          <w:color w:val="auto"/>
        </w:rPr>
        <w:t>the</w:t>
      </w:r>
      <w:r>
        <w:rPr>
          <w:color w:val="auto"/>
        </w:rPr>
        <w:t xml:space="preserve"> </w:t>
      </w:r>
      <w:r w:rsidRPr="00D67757">
        <w:rPr>
          <w:color w:val="auto"/>
        </w:rPr>
        <w:t>surveying authority</w:t>
      </w:r>
      <w:r>
        <w:rPr>
          <w:color w:val="auto"/>
        </w:rPr>
        <w:t xml:space="preserve"> (in this case ECC)</w:t>
      </w:r>
      <w:r w:rsidRPr="00D67757">
        <w:rPr>
          <w:color w:val="auto"/>
        </w:rPr>
        <w:t xml:space="preserve"> </w:t>
      </w:r>
      <w:r>
        <w:rPr>
          <w:color w:val="auto"/>
        </w:rPr>
        <w:t>to</w:t>
      </w:r>
      <w:r w:rsidRPr="00D67757">
        <w:rPr>
          <w:color w:val="auto"/>
        </w:rPr>
        <w:t xml:space="preserve"> make order</w:t>
      </w:r>
      <w:r>
        <w:rPr>
          <w:color w:val="auto"/>
        </w:rPr>
        <w:t>s</w:t>
      </w:r>
      <w:r w:rsidRPr="00D67757">
        <w:rPr>
          <w:color w:val="auto"/>
        </w:rPr>
        <w:t xml:space="preserve"> </w:t>
      </w:r>
      <w:r>
        <w:rPr>
          <w:color w:val="auto"/>
        </w:rPr>
        <w:t xml:space="preserve">to modify its definitive map and statement </w:t>
      </w:r>
      <w:r w:rsidRPr="00D67757">
        <w:rPr>
          <w:color w:val="auto"/>
        </w:rPr>
        <w:t xml:space="preserve">in consequence of certain specified events </w:t>
      </w:r>
      <w:r w:rsidR="003833BB">
        <w:rPr>
          <w:color w:val="auto"/>
        </w:rPr>
        <w:t xml:space="preserve">as </w:t>
      </w:r>
      <w:r w:rsidRPr="00D67757">
        <w:rPr>
          <w:color w:val="auto"/>
        </w:rPr>
        <w:t>set out in Section 53(3).</w:t>
      </w:r>
    </w:p>
    <w:p w14:paraId="08167678" w14:textId="77777777" w:rsidR="00A5213F" w:rsidRPr="00000DBA" w:rsidRDefault="00A5213F" w:rsidP="00A5213F">
      <w:pPr>
        <w:pStyle w:val="Style1"/>
        <w:tabs>
          <w:tab w:val="num" w:pos="1430"/>
        </w:tabs>
        <w:ind w:left="426" w:hanging="426"/>
        <w:rPr>
          <w:color w:val="auto"/>
        </w:rPr>
      </w:pPr>
      <w:r>
        <w:rPr>
          <w:color w:val="auto"/>
        </w:rPr>
        <w:t xml:space="preserve">One type of </w:t>
      </w:r>
      <w:r w:rsidRPr="00000DBA">
        <w:rPr>
          <w:color w:val="auto"/>
        </w:rPr>
        <w:t xml:space="preserve">event is </w:t>
      </w:r>
      <w:r>
        <w:rPr>
          <w:color w:val="auto"/>
        </w:rPr>
        <w:t>described</w:t>
      </w:r>
      <w:r w:rsidRPr="00000DBA">
        <w:rPr>
          <w:color w:val="auto"/>
        </w:rPr>
        <w:t xml:space="preserve"> in </w:t>
      </w:r>
      <w:r>
        <w:rPr>
          <w:color w:val="auto"/>
        </w:rPr>
        <w:t>sub-s</w:t>
      </w:r>
      <w:r w:rsidRPr="00000DBA">
        <w:rPr>
          <w:color w:val="auto"/>
        </w:rPr>
        <w:t>ection 53(3)(c)(i): “</w:t>
      </w:r>
      <w:r w:rsidRPr="00000DBA">
        <w:rPr>
          <w:i/>
          <w:color w:val="auto"/>
        </w:rPr>
        <w:t xml:space="preserve">the discovery by the authority </w:t>
      </w:r>
      <w:r w:rsidRPr="00000DBA">
        <w:rPr>
          <w:i/>
          <w:iCs/>
          <w:color w:val="auto"/>
        </w:rPr>
        <w:t xml:space="preserve">of evidence which (when considered with all other relevant evidence available to them) shows … that a right of way which is not shown in the map </w:t>
      </w:r>
      <w:r w:rsidRPr="00000DBA">
        <w:rPr>
          <w:i/>
          <w:iCs/>
          <w:color w:val="auto"/>
        </w:rPr>
        <w:lastRenderedPageBreak/>
        <w:t>and statement subsists or is reasonably alleged to subsist over land in the area to which the map relates …"</w:t>
      </w:r>
      <w:r w:rsidRPr="00000DBA">
        <w:rPr>
          <w:color w:val="auto"/>
        </w:rPr>
        <w:t>.</w:t>
      </w:r>
    </w:p>
    <w:p w14:paraId="60CB8520" w14:textId="77777777" w:rsidR="00A5213F" w:rsidRDefault="00A5213F" w:rsidP="00A5213F">
      <w:pPr>
        <w:pStyle w:val="Style1"/>
        <w:tabs>
          <w:tab w:val="num" w:pos="1430"/>
        </w:tabs>
        <w:ind w:left="426" w:hanging="426"/>
        <w:rPr>
          <w:color w:val="auto"/>
        </w:rPr>
      </w:pPr>
      <w:r>
        <w:rPr>
          <w:color w:val="auto"/>
        </w:rPr>
        <w:t>Sub-</w:t>
      </w:r>
      <w:r w:rsidRPr="00AB0EDC">
        <w:rPr>
          <w:color w:val="auto"/>
        </w:rPr>
        <w:t>section 53(3)(c)(ii) sets out another type of event involving the discovery of evidence which shows</w:t>
      </w:r>
      <w:r>
        <w:rPr>
          <w:color w:val="auto"/>
        </w:rPr>
        <w:t>: “</w:t>
      </w:r>
      <w:r w:rsidRPr="00B62F5B">
        <w:rPr>
          <w:i/>
          <w:color w:val="auto"/>
        </w:rPr>
        <w:t>that a highway shown in the map and statement as a highway of a particular description ought to be there shown as a highway of a different description</w:t>
      </w:r>
      <w:r>
        <w:rPr>
          <w:color w:val="auto"/>
        </w:rPr>
        <w:t>.”</w:t>
      </w:r>
    </w:p>
    <w:p w14:paraId="7ABF0AEB" w14:textId="77777777" w:rsidR="00A5213F" w:rsidRDefault="00A5213F" w:rsidP="00A5213F">
      <w:pPr>
        <w:pStyle w:val="Style1"/>
        <w:tabs>
          <w:tab w:val="num" w:pos="1430"/>
        </w:tabs>
        <w:ind w:left="426" w:hanging="426"/>
        <w:rPr>
          <w:color w:val="auto"/>
        </w:rPr>
      </w:pPr>
      <w:r>
        <w:t>The majority of the app</w:t>
      </w:r>
      <w:r w:rsidR="00740CE2">
        <w:t>e</w:t>
      </w:r>
      <w:r>
        <w:t>l</w:t>
      </w:r>
      <w:r w:rsidR="00740CE2">
        <w:t>l</w:t>
      </w:r>
      <w:r>
        <w:t xml:space="preserve">ant’s claim </w:t>
      </w:r>
      <w:r w:rsidR="003833BB">
        <w:t xml:space="preserve">seeks </w:t>
      </w:r>
      <w:r>
        <w:t xml:space="preserve">addition to the definitive map and statement </w:t>
      </w:r>
      <w:r w:rsidR="00D56F98">
        <w:t xml:space="preserve">of a </w:t>
      </w:r>
      <w:r w:rsidR="00334430">
        <w:t xml:space="preserve">once well-defined but </w:t>
      </w:r>
      <w:r w:rsidR="00D56F98">
        <w:t xml:space="preserve">unrecorded lane (leading generally westwards </w:t>
      </w:r>
      <w:r w:rsidR="00740CE2">
        <w:t xml:space="preserve">and north </w:t>
      </w:r>
      <w:r w:rsidR="00D56F98">
        <w:t>from Maldon Road) t</w:t>
      </w:r>
      <w:r>
        <w:t xml:space="preserve">o </w:t>
      </w:r>
      <w:r w:rsidR="00D56F98">
        <w:t xml:space="preserve">which </w:t>
      </w:r>
      <w:r>
        <w:t xml:space="preserve">the provisions of sub-section </w:t>
      </w:r>
      <w:r w:rsidRPr="00000DBA">
        <w:rPr>
          <w:color w:val="auto"/>
        </w:rPr>
        <w:t>53(3)(c)(i</w:t>
      </w:r>
      <w:r>
        <w:rPr>
          <w:color w:val="auto"/>
        </w:rPr>
        <w:t xml:space="preserve">) </w:t>
      </w:r>
      <w:r w:rsidR="00334430">
        <w:t xml:space="preserve">would </w:t>
      </w:r>
      <w:r>
        <w:rPr>
          <w:color w:val="auto"/>
        </w:rPr>
        <w:t>apply</w:t>
      </w:r>
      <w:r w:rsidR="00D56F98">
        <w:rPr>
          <w:color w:val="auto"/>
        </w:rPr>
        <w:t xml:space="preserve">. </w:t>
      </w:r>
      <w:r>
        <w:rPr>
          <w:color w:val="auto"/>
        </w:rPr>
        <w:t xml:space="preserve"> </w:t>
      </w:r>
      <w:r w:rsidR="00D56F98">
        <w:rPr>
          <w:color w:val="auto"/>
        </w:rPr>
        <w:t xml:space="preserve">That </w:t>
      </w:r>
      <w:r>
        <w:t xml:space="preserve">part </w:t>
      </w:r>
      <w:r w:rsidR="00D56F98">
        <w:t xml:space="preserve">of the claimed route </w:t>
      </w:r>
      <w:r w:rsidR="00334430">
        <w:t xml:space="preserve">following the line of definitive Footpath 5 in Birch parish </w:t>
      </w:r>
      <w:r w:rsidR="00D56F98">
        <w:t xml:space="preserve">(leading eastwards from Bockingham Hall Farm) </w:t>
      </w:r>
      <w:r>
        <w:t xml:space="preserve">would, if </w:t>
      </w:r>
      <w:r w:rsidRPr="00AB0EDC">
        <w:t xml:space="preserve">the evidence supports higher rights, be upgraded by relying on sub-section </w:t>
      </w:r>
      <w:r w:rsidRPr="00AB0EDC">
        <w:rPr>
          <w:color w:val="auto"/>
        </w:rPr>
        <w:t>53(3)(c)(ii)</w:t>
      </w:r>
      <w:r>
        <w:rPr>
          <w:color w:val="auto"/>
        </w:rPr>
        <w:t>.</w:t>
      </w:r>
      <w:r w:rsidR="00D56F98">
        <w:rPr>
          <w:color w:val="auto"/>
        </w:rPr>
        <w:t xml:space="preserve"> </w:t>
      </w:r>
    </w:p>
    <w:p w14:paraId="0E12C19A" w14:textId="77777777" w:rsidR="00DC3769" w:rsidRDefault="00DC3769" w:rsidP="00A5213F">
      <w:pPr>
        <w:pStyle w:val="Style1"/>
        <w:tabs>
          <w:tab w:val="num" w:pos="1430"/>
        </w:tabs>
        <w:ind w:left="426" w:hanging="426"/>
        <w:rPr>
          <w:color w:val="auto"/>
        </w:rPr>
      </w:pPr>
      <w:r>
        <w:rPr>
          <w:color w:val="auto"/>
        </w:rPr>
        <w:t>For convenience I shall refer to the southern and easternmost part of the claimed route as “the unrecorded section” and to the westernmost part as “the footpath section”.</w:t>
      </w:r>
    </w:p>
    <w:p w14:paraId="0099D78A" w14:textId="77777777" w:rsidR="00D56F98" w:rsidRDefault="00A5213F" w:rsidP="00A5213F">
      <w:pPr>
        <w:pStyle w:val="Style1"/>
        <w:tabs>
          <w:tab w:val="num" w:pos="1430"/>
        </w:tabs>
        <w:ind w:left="426" w:hanging="426"/>
        <w:rPr>
          <w:color w:val="auto"/>
        </w:rPr>
      </w:pPr>
      <w:r w:rsidRPr="00AB0EDC">
        <w:rPr>
          <w:color w:val="auto"/>
        </w:rPr>
        <w:t>The statutory test to be applied to evidence</w:t>
      </w:r>
      <w:r w:rsidRPr="00000DBA">
        <w:rPr>
          <w:color w:val="auto"/>
        </w:rPr>
        <w:t xml:space="preserve"> under </w:t>
      </w:r>
      <w:r>
        <w:rPr>
          <w:color w:val="auto"/>
        </w:rPr>
        <w:t>sub-s</w:t>
      </w:r>
      <w:r w:rsidRPr="00000DBA">
        <w:rPr>
          <w:color w:val="auto"/>
        </w:rPr>
        <w:t xml:space="preserve">ection 53(3)(c)(i) </w:t>
      </w:r>
      <w:r>
        <w:rPr>
          <w:color w:val="auto"/>
        </w:rPr>
        <w:t xml:space="preserve">is recognised as presenting </w:t>
      </w:r>
      <w:r w:rsidRPr="00000DBA">
        <w:rPr>
          <w:color w:val="auto"/>
        </w:rPr>
        <w:t xml:space="preserve">two separate questions, one of which must be answered in the affirmative before an order is made: has a right of way been shown to subsist </w:t>
      </w:r>
      <w:r w:rsidRPr="001676B2">
        <w:rPr>
          <w:color w:val="auto"/>
        </w:rPr>
        <w:t xml:space="preserve">on the balance of probability </w:t>
      </w:r>
      <w:r w:rsidRPr="001676B2">
        <w:rPr>
          <w:color w:val="auto"/>
          <w:u w:val="single"/>
        </w:rPr>
        <w:t>or</w:t>
      </w:r>
      <w:r w:rsidRPr="00000DBA">
        <w:rPr>
          <w:color w:val="auto"/>
        </w:rPr>
        <w:t xml:space="preserve"> has a right of way been reasonably alleged to subsist? </w:t>
      </w:r>
      <w:r>
        <w:rPr>
          <w:color w:val="auto"/>
        </w:rPr>
        <w:t xml:space="preserve"> B</w:t>
      </w:r>
      <w:r w:rsidRPr="00000DBA">
        <w:rPr>
          <w:color w:val="auto"/>
        </w:rPr>
        <w:t>oth these tests are applicable when deciding whether or not an order should be made</w:t>
      </w:r>
      <w:r w:rsidR="00334430">
        <w:rPr>
          <w:color w:val="auto"/>
        </w:rPr>
        <w:t xml:space="preserve">. However, </w:t>
      </w:r>
      <w:r>
        <w:rPr>
          <w:color w:val="auto"/>
        </w:rPr>
        <w:t>even if the evidence shows</w:t>
      </w:r>
      <w:r w:rsidRPr="00000DBA">
        <w:rPr>
          <w:color w:val="auto"/>
        </w:rPr>
        <w:t xml:space="preserve"> </w:t>
      </w:r>
      <w:r>
        <w:rPr>
          <w:color w:val="auto"/>
        </w:rPr>
        <w:t xml:space="preserve">only </w:t>
      </w:r>
      <w:r w:rsidRPr="00000DBA">
        <w:rPr>
          <w:color w:val="auto"/>
        </w:rPr>
        <w:t xml:space="preserve">the lesser test is satisfied, that is </w:t>
      </w:r>
      <w:r>
        <w:rPr>
          <w:color w:val="auto"/>
        </w:rPr>
        <w:t xml:space="preserve">still </w:t>
      </w:r>
      <w:r w:rsidRPr="00000DBA">
        <w:rPr>
          <w:color w:val="auto"/>
        </w:rPr>
        <w:t xml:space="preserve">sufficient to justify </w:t>
      </w:r>
      <w:r>
        <w:rPr>
          <w:color w:val="auto"/>
        </w:rPr>
        <w:t>a</w:t>
      </w:r>
      <w:r w:rsidRPr="00000DBA">
        <w:rPr>
          <w:color w:val="auto"/>
        </w:rPr>
        <w:t xml:space="preserve"> modification order</w:t>
      </w:r>
      <w:r w:rsidR="00150BB9" w:rsidRPr="00150BB9">
        <w:rPr>
          <w:color w:val="auto"/>
        </w:rPr>
        <w:t xml:space="preserve"> </w:t>
      </w:r>
      <w:r w:rsidR="00150BB9">
        <w:rPr>
          <w:color w:val="auto"/>
        </w:rPr>
        <w:t>being made</w:t>
      </w:r>
      <w:r w:rsidR="00150BB9">
        <w:rPr>
          <w:rStyle w:val="FootnoteReference"/>
          <w:color w:val="auto"/>
        </w:rPr>
        <w:t xml:space="preserve"> </w:t>
      </w:r>
      <w:r>
        <w:rPr>
          <w:rStyle w:val="FootnoteReference"/>
          <w:color w:val="auto"/>
        </w:rPr>
        <w:footnoteReference w:id="1"/>
      </w:r>
      <w:r w:rsidR="00D56F98">
        <w:rPr>
          <w:color w:val="auto"/>
        </w:rPr>
        <w:t xml:space="preserve">. </w:t>
      </w:r>
    </w:p>
    <w:p w14:paraId="28EE6B27" w14:textId="77777777" w:rsidR="00A5213F" w:rsidRPr="00F956B2" w:rsidRDefault="00A5213F" w:rsidP="00A5213F">
      <w:pPr>
        <w:pStyle w:val="Style1"/>
        <w:tabs>
          <w:tab w:val="num" w:pos="1430"/>
        </w:tabs>
        <w:ind w:left="426" w:hanging="426"/>
        <w:rPr>
          <w:rFonts w:cs="Verdana"/>
          <w:szCs w:val="22"/>
        </w:rPr>
      </w:pPr>
      <w:r w:rsidRPr="00F956B2">
        <w:t xml:space="preserve">The issue was addressed in the High Court case of </w:t>
      </w:r>
      <w:r w:rsidRPr="009F0EF1">
        <w:rPr>
          <w:i/>
        </w:rPr>
        <w:t>R v Secretary of State for the Environment ex parte Mrs J Norton and Mr R Bagshaw [1995]</w:t>
      </w:r>
      <w:r>
        <w:rPr>
          <w:rStyle w:val="FootnoteReference"/>
          <w:i/>
        </w:rPr>
        <w:footnoteReference w:id="2"/>
      </w:r>
      <w:r w:rsidRPr="009F0EF1">
        <w:rPr>
          <w:i/>
        </w:rPr>
        <w:t xml:space="preserve"> </w:t>
      </w:r>
      <w:r w:rsidRPr="00F956B2">
        <w:t xml:space="preserve">and later clarified in </w:t>
      </w:r>
      <w:r w:rsidRPr="009F0EF1">
        <w:rPr>
          <w:i/>
        </w:rPr>
        <w:t>R v Secretary of State for Wales ex parte Emery [1998]</w:t>
      </w:r>
      <w:r>
        <w:rPr>
          <w:rStyle w:val="FootnoteReference"/>
          <w:i/>
        </w:rPr>
        <w:footnoteReference w:id="3"/>
      </w:r>
      <w:r w:rsidRPr="00F956B2">
        <w:t xml:space="preserve">: </w:t>
      </w:r>
      <w:r>
        <w:t>w</w:t>
      </w:r>
      <w:r w:rsidRPr="00F956B2">
        <w:t xml:space="preserve">hen considering whether a right of way subsists </w:t>
      </w:r>
      <w:r>
        <w:t>(</w:t>
      </w:r>
      <w:r w:rsidRPr="00E65BA9">
        <w:rPr>
          <w:bCs/>
        </w:rPr>
        <w:t>Test A</w:t>
      </w:r>
      <w:r w:rsidRPr="00E65BA9">
        <w:t xml:space="preserve">) </w:t>
      </w:r>
      <w:r w:rsidRPr="00E65BA9">
        <w:rPr>
          <w:rFonts w:cs="Verdana"/>
          <w:szCs w:val="22"/>
        </w:rPr>
        <w:t>clear</w:t>
      </w:r>
      <w:r w:rsidRPr="00F956B2">
        <w:rPr>
          <w:rFonts w:cs="Verdana"/>
          <w:szCs w:val="22"/>
        </w:rPr>
        <w:t xml:space="preserve"> evidence in favour of the appellant is required and no credible evidence to the contrary.</w:t>
      </w:r>
      <w:r>
        <w:rPr>
          <w:rFonts w:cs="Verdana"/>
          <w:szCs w:val="22"/>
        </w:rPr>
        <w:t xml:space="preserve">  </w:t>
      </w:r>
      <w:r w:rsidR="00334430">
        <w:rPr>
          <w:rFonts w:cs="Verdana"/>
          <w:szCs w:val="22"/>
        </w:rPr>
        <w:t>W</w:t>
      </w:r>
      <w:r w:rsidRPr="00F956B2">
        <w:rPr>
          <w:rFonts w:cs="Verdana"/>
          <w:szCs w:val="22"/>
        </w:rPr>
        <w:t xml:space="preserve">hen considering whether a right of way has been reasonably alleged to subsist </w:t>
      </w:r>
      <w:r w:rsidRPr="00E65BA9">
        <w:rPr>
          <w:rFonts w:cs="Verdana"/>
          <w:szCs w:val="22"/>
        </w:rPr>
        <w:t>(</w:t>
      </w:r>
      <w:r w:rsidRPr="00E65BA9">
        <w:rPr>
          <w:rFonts w:cs="Verdana"/>
          <w:bCs/>
          <w:szCs w:val="22"/>
        </w:rPr>
        <w:t>Test B</w:t>
      </w:r>
      <w:r w:rsidRPr="00E65BA9">
        <w:rPr>
          <w:rFonts w:cs="Verdana"/>
          <w:szCs w:val="22"/>
        </w:rPr>
        <w:t>),</w:t>
      </w:r>
      <w:r w:rsidRPr="00F956B2">
        <w:rPr>
          <w:rFonts w:cs="Verdana"/>
          <w:szCs w:val="22"/>
        </w:rPr>
        <w:t xml:space="preserve"> if there is a conflict of credible evidence but no incontrovertible evidence that a way cannot be reasonably alleged to subsist, then the answer must be a public right of way has been reasonably alleged. </w:t>
      </w:r>
      <w:r w:rsidRPr="00F956B2">
        <w:rPr>
          <w:color w:val="auto"/>
        </w:rPr>
        <w:t xml:space="preserve"> </w:t>
      </w:r>
    </w:p>
    <w:p w14:paraId="5D917C7A" w14:textId="77777777" w:rsidR="00A5213F" w:rsidRDefault="00A5213F" w:rsidP="00A5213F">
      <w:pPr>
        <w:pStyle w:val="Style1"/>
        <w:tabs>
          <w:tab w:val="num" w:pos="1430"/>
        </w:tabs>
        <w:ind w:left="426" w:hanging="426"/>
        <w:rPr>
          <w:color w:val="auto"/>
        </w:rPr>
      </w:pPr>
      <w:bookmarkStart w:id="3" w:name="_Ref80885440"/>
      <w:r w:rsidRPr="001A120D">
        <w:t xml:space="preserve">For the purposes of this appeal, </w:t>
      </w:r>
      <w:r>
        <w:t xml:space="preserve">and in relation to the </w:t>
      </w:r>
      <w:r w:rsidR="00DC3769">
        <w:t xml:space="preserve">unrecorded section of </w:t>
      </w:r>
      <w:r>
        <w:t xml:space="preserve">the claimed route, </w:t>
      </w:r>
      <w:r w:rsidRPr="001A120D">
        <w:t xml:space="preserve">I need only be satisfied that the evidence meets the lesser test </w:t>
      </w:r>
      <w:r>
        <w:t xml:space="preserve">(B) </w:t>
      </w:r>
      <w:r w:rsidRPr="001A120D">
        <w:t>although</w:t>
      </w:r>
      <w:r>
        <w:t xml:space="preserve"> even at this stage</w:t>
      </w:r>
      <w:r w:rsidRPr="001A120D">
        <w:t xml:space="preserve"> </w:t>
      </w:r>
      <w:r>
        <w:t>the higher test</w:t>
      </w:r>
      <w:r w:rsidRPr="001A120D">
        <w:t xml:space="preserve"> </w:t>
      </w:r>
      <w:r>
        <w:t xml:space="preserve">(A) is </w:t>
      </w:r>
      <w:r w:rsidRPr="001A120D">
        <w:rPr>
          <w:color w:val="auto"/>
        </w:rPr>
        <w:t xml:space="preserve">applicable </w:t>
      </w:r>
      <w:r w:rsidR="00DC3769">
        <w:rPr>
          <w:color w:val="auto"/>
        </w:rPr>
        <w:t xml:space="preserve">to the footpath section </w:t>
      </w:r>
      <w:r>
        <w:rPr>
          <w:color w:val="auto"/>
        </w:rPr>
        <w:t xml:space="preserve">where </w:t>
      </w:r>
      <w:r w:rsidRPr="001A120D">
        <w:rPr>
          <w:color w:val="auto"/>
        </w:rPr>
        <w:t>the matter f</w:t>
      </w:r>
      <w:r>
        <w:rPr>
          <w:color w:val="auto"/>
        </w:rPr>
        <w:t>a</w:t>
      </w:r>
      <w:r w:rsidRPr="001A120D">
        <w:rPr>
          <w:color w:val="auto"/>
        </w:rPr>
        <w:t>ll</w:t>
      </w:r>
      <w:r>
        <w:rPr>
          <w:color w:val="auto"/>
        </w:rPr>
        <w:t>s</w:t>
      </w:r>
      <w:r w:rsidRPr="001A120D">
        <w:rPr>
          <w:color w:val="auto"/>
        </w:rPr>
        <w:t xml:space="preserve"> under </w:t>
      </w:r>
      <w:r>
        <w:rPr>
          <w:color w:val="auto"/>
        </w:rPr>
        <w:t>sub-</w:t>
      </w:r>
      <w:r w:rsidRPr="00AB0EDC">
        <w:rPr>
          <w:color w:val="auto"/>
        </w:rPr>
        <w:t>section 53(3)(c)(ii).</w:t>
      </w:r>
      <w:bookmarkEnd w:id="3"/>
      <w:r w:rsidRPr="00AB0EDC">
        <w:rPr>
          <w:color w:val="auto"/>
        </w:rPr>
        <w:t xml:space="preserve"> </w:t>
      </w:r>
    </w:p>
    <w:p w14:paraId="31613A56" w14:textId="77777777" w:rsidR="00A5213F" w:rsidRPr="00CD4367" w:rsidRDefault="00740CE2" w:rsidP="00A5213F">
      <w:pPr>
        <w:pStyle w:val="Style1"/>
        <w:tabs>
          <w:tab w:val="num" w:pos="1430"/>
        </w:tabs>
        <w:ind w:left="426" w:hanging="426"/>
        <w:rPr>
          <w:color w:val="auto"/>
        </w:rPr>
      </w:pPr>
      <w:r>
        <w:t xml:space="preserve">The appellant claims the route is a </w:t>
      </w:r>
      <w:r w:rsidR="00CD4367">
        <w:t>restricted byway</w:t>
      </w:r>
      <w:r>
        <w:t>. T</w:t>
      </w:r>
      <w:r w:rsidR="00CD4367">
        <w:t xml:space="preserve">he case </w:t>
      </w:r>
      <w:r w:rsidR="00654013">
        <w:t>p</w:t>
      </w:r>
      <w:r>
        <w:t xml:space="preserve">ut forward </w:t>
      </w:r>
      <w:r w:rsidR="00CD4367">
        <w:t xml:space="preserve">in support of this status </w:t>
      </w:r>
      <w:r w:rsidR="00334430">
        <w:t>relies on a</w:t>
      </w:r>
      <w:r w:rsidR="00CD4367">
        <w:t xml:space="preserve"> range of historical evidence </w:t>
      </w:r>
      <w:r>
        <w:t xml:space="preserve">that </w:t>
      </w:r>
      <w:r w:rsidR="00CD4367">
        <w:t>has been submitted to demonstrate, on a balance of probability, that long ago the Order route was regarded as a vehicular highway.</w:t>
      </w:r>
      <w:r w:rsidR="00334430">
        <w:t xml:space="preserve"> Following the legal maxim ‘</w:t>
      </w:r>
      <w:r w:rsidR="00334430" w:rsidRPr="00103518">
        <w:rPr>
          <w:i/>
        </w:rPr>
        <w:t>once a highway, always a highway</w:t>
      </w:r>
      <w:r w:rsidR="00A17ACC">
        <w:rPr>
          <w:rStyle w:val="FootnoteReference"/>
          <w:i/>
        </w:rPr>
        <w:footnoteReference w:id="4"/>
      </w:r>
      <w:r w:rsidR="00334430">
        <w:t xml:space="preserve">’, if such a carriageway is </w:t>
      </w:r>
      <w:r w:rsidR="00376374">
        <w:t>shown to subsist, it will still exist today unless formally closed by legal order.</w:t>
      </w:r>
    </w:p>
    <w:p w14:paraId="7A07C783" w14:textId="77777777" w:rsidR="00CD4367" w:rsidRDefault="00CD4367" w:rsidP="00A5213F">
      <w:pPr>
        <w:pStyle w:val="Style1"/>
        <w:tabs>
          <w:tab w:val="num" w:pos="1430"/>
        </w:tabs>
        <w:ind w:left="426" w:hanging="426"/>
        <w:rPr>
          <w:color w:val="auto"/>
        </w:rPr>
      </w:pPr>
      <w:r>
        <w:lastRenderedPageBreak/>
        <w:t>In this case, following enactment of the Natural Environment and Rural Communities Act 2006, any public rights that may once have existed for motorised vehicles will now have been extinguished. I</w:t>
      </w:r>
      <w:r w:rsidR="00376374">
        <w:t>f</w:t>
      </w:r>
      <w:r>
        <w:t xml:space="preserve"> the evidence does show that the </w:t>
      </w:r>
      <w:r w:rsidR="00376374">
        <w:t>claimed</w:t>
      </w:r>
      <w:r>
        <w:t xml:space="preserve"> route was once a public carriageway, then ‘restricted byway’ is now the appropriate status to be recorded</w:t>
      </w:r>
    </w:p>
    <w:p w14:paraId="177DD75E" w14:textId="77777777" w:rsidR="00182386" w:rsidRPr="00376374" w:rsidRDefault="00182386" w:rsidP="00182386">
      <w:pPr>
        <w:pStyle w:val="Style1"/>
        <w:tabs>
          <w:tab w:val="num" w:pos="1430"/>
        </w:tabs>
        <w:ind w:left="426" w:hanging="426"/>
        <w:rPr>
          <w:color w:val="auto"/>
        </w:rPr>
      </w:pPr>
      <w:bookmarkStart w:id="4" w:name="_Ref497996263"/>
      <w:r w:rsidRPr="00897AA6">
        <w:t xml:space="preserve">Section 32 of the </w:t>
      </w:r>
      <w:r>
        <w:t xml:space="preserve">Highways Act 1980 </w:t>
      </w:r>
      <w:r w:rsidRPr="00897AA6">
        <w:t xml:space="preserve">provides for </w:t>
      </w:r>
      <w:r w:rsidRPr="00897AA6">
        <w:rPr>
          <w:i/>
        </w:rPr>
        <w:t>“any map, plan or history of the locality or other relevant document”</w:t>
      </w:r>
      <w:r w:rsidRPr="00897AA6">
        <w:t xml:space="preserve"> to be taken into consideration when </w:t>
      </w:r>
      <w:r w:rsidRPr="00441728">
        <w:rPr>
          <w:color w:val="auto"/>
        </w:rPr>
        <w:t>deciding whether or not a way has been dedicated as a highway</w:t>
      </w:r>
      <w:r>
        <w:rPr>
          <w:color w:val="auto"/>
        </w:rPr>
        <w:t>. In effect, this is declaratory of the common law.</w:t>
      </w:r>
      <w:r w:rsidRPr="00CD4367">
        <w:t xml:space="preserve"> </w:t>
      </w:r>
      <w:r>
        <w:t xml:space="preserve"> Documentary evidence may not on its own be conclusive of the existence of a way but in assessing the value of a document, account should be taken of the facts surrounding its creation and its provenance, and any relevant evidence should be weighed accordingly.   </w:t>
      </w:r>
    </w:p>
    <w:p w14:paraId="51BBDE7B" w14:textId="77777777" w:rsidR="00376374" w:rsidRPr="00376374" w:rsidRDefault="00376374" w:rsidP="00945771">
      <w:pPr>
        <w:pStyle w:val="Style1"/>
        <w:tabs>
          <w:tab w:val="num" w:pos="1430"/>
        </w:tabs>
        <w:ind w:left="426" w:hanging="426"/>
        <w:rPr>
          <w:color w:val="auto"/>
        </w:rPr>
      </w:pPr>
      <w:r>
        <w:t>When determining the application, ECC took the view that the absence of any evidence of use by the public</w:t>
      </w:r>
      <w:r>
        <w:rPr>
          <w:rStyle w:val="FootnoteReference"/>
        </w:rPr>
        <w:footnoteReference w:id="5"/>
      </w:r>
      <w:r>
        <w:t xml:space="preserve"> capable of demonstrating acceptance of the claimed carriageway as a highway is fatal to the case, whether or not the historical evidence is sufficient to imply dedication.  It has subsequently clarified </w:t>
      </w:r>
      <w:r w:rsidR="00740CE2">
        <w:t>its position</w:t>
      </w:r>
      <w:r w:rsidR="00216F73">
        <w:t>, accepting that evidence of public use in living memory is not necessarily essential; what is required is evidence to demonstrate dedication of the route by the landowner together with acceptance of that dedication by the public. ECC submits that could be either through use of the route or by reason of the route being maintained at public expense or otherwise for the benefit of the public.</w:t>
      </w:r>
    </w:p>
    <w:p w14:paraId="2F52EA67" w14:textId="77777777" w:rsidR="00376374" w:rsidRDefault="00216F73" w:rsidP="00945771">
      <w:pPr>
        <w:pStyle w:val="Style1"/>
        <w:tabs>
          <w:tab w:val="num" w:pos="1430"/>
        </w:tabs>
        <w:ind w:left="426" w:hanging="426"/>
        <w:rPr>
          <w:color w:val="auto"/>
        </w:rPr>
      </w:pPr>
      <w:r>
        <w:rPr>
          <w:color w:val="auto"/>
        </w:rPr>
        <w:t>In response, EB</w:t>
      </w:r>
      <w:r w:rsidR="00A96F00">
        <w:rPr>
          <w:color w:val="auto"/>
        </w:rPr>
        <w:t>A</w:t>
      </w:r>
      <w:r>
        <w:rPr>
          <w:color w:val="auto"/>
        </w:rPr>
        <w:t xml:space="preserve"> argues this approach is “</w:t>
      </w:r>
      <w:r w:rsidRPr="00A96F00">
        <w:rPr>
          <w:i/>
          <w:iCs/>
          <w:color w:val="auto"/>
        </w:rPr>
        <w:t>simply wrong</w:t>
      </w:r>
      <w:r>
        <w:rPr>
          <w:color w:val="auto"/>
        </w:rPr>
        <w:t xml:space="preserve">”. </w:t>
      </w:r>
      <w:r w:rsidR="002A50BB">
        <w:rPr>
          <w:color w:val="auto"/>
        </w:rPr>
        <w:t>It submits that evidence of reputation, as provided by the many historical documents, goes to “</w:t>
      </w:r>
      <w:r w:rsidR="002A50BB" w:rsidRPr="00A96F00">
        <w:rPr>
          <w:i/>
          <w:iCs/>
          <w:color w:val="auto"/>
        </w:rPr>
        <w:t>the ‘whole package’ of dedication (time out of mind) and acceptance (time out of mind</w:t>
      </w:r>
      <w:r w:rsidR="002A50BB">
        <w:rPr>
          <w:color w:val="auto"/>
        </w:rPr>
        <w:t xml:space="preserve">.” </w:t>
      </w:r>
      <w:r w:rsidR="00182386">
        <w:rPr>
          <w:color w:val="auto"/>
        </w:rPr>
        <w:t>That concurs with my understanding of the basis on which potential ‘old highways’ that have fallen out of use should be considered.</w:t>
      </w:r>
      <w:r>
        <w:rPr>
          <w:color w:val="auto"/>
        </w:rPr>
        <w:t xml:space="preserve"> </w:t>
      </w:r>
    </w:p>
    <w:bookmarkEnd w:id="2"/>
    <w:bookmarkEnd w:id="4"/>
    <w:p w14:paraId="1AF74378" w14:textId="77777777" w:rsidR="00A32874" w:rsidRDefault="002C6E5C" w:rsidP="00A32874">
      <w:pPr>
        <w:pStyle w:val="Heading6blackfont"/>
      </w:pPr>
      <w:r>
        <w:t>Reasons</w:t>
      </w:r>
    </w:p>
    <w:p w14:paraId="1AE4021A" w14:textId="77777777" w:rsidR="00D860E9" w:rsidRPr="00D860E9" w:rsidRDefault="00D860E9" w:rsidP="00945771">
      <w:pPr>
        <w:pStyle w:val="Style1"/>
        <w:tabs>
          <w:tab w:val="clear" w:pos="862"/>
        </w:tabs>
        <w:ind w:left="432"/>
        <w:rPr>
          <w:color w:val="auto"/>
        </w:rPr>
      </w:pPr>
      <w:r>
        <w:rPr>
          <w:color w:val="auto"/>
        </w:rPr>
        <w:t xml:space="preserve">In its </w:t>
      </w:r>
      <w:r w:rsidR="00172A0A">
        <w:rPr>
          <w:color w:val="auto"/>
        </w:rPr>
        <w:t>r</w:t>
      </w:r>
      <w:r>
        <w:rPr>
          <w:color w:val="auto"/>
        </w:rPr>
        <w:t xml:space="preserve">eport </w:t>
      </w:r>
      <w:r w:rsidR="00172A0A">
        <w:rPr>
          <w:color w:val="auto"/>
        </w:rPr>
        <w:t xml:space="preserve">dated 29 July 2020, </w:t>
      </w:r>
      <w:r>
        <w:rPr>
          <w:color w:val="auto"/>
        </w:rPr>
        <w:t xml:space="preserve">and after assessing the evidence in this case, ECC concluded that there is insufficient evidence to </w:t>
      </w:r>
      <w:r w:rsidR="00172A0A">
        <w:rPr>
          <w:color w:val="auto"/>
        </w:rPr>
        <w:t>show</w:t>
      </w:r>
      <w:r>
        <w:rPr>
          <w:color w:val="auto"/>
        </w:rPr>
        <w:t xml:space="preserve"> that t</w:t>
      </w:r>
      <w:r w:rsidR="00172A0A">
        <w:rPr>
          <w:color w:val="auto"/>
        </w:rPr>
        <w:t>he claimed route</w:t>
      </w:r>
      <w:r>
        <w:rPr>
          <w:color w:val="auto"/>
        </w:rPr>
        <w:t xml:space="preserve"> had been dedicated and accepted as a </w:t>
      </w:r>
      <w:r w:rsidR="00172A0A">
        <w:rPr>
          <w:color w:val="auto"/>
        </w:rPr>
        <w:t>highway</w:t>
      </w:r>
      <w:r>
        <w:rPr>
          <w:color w:val="auto"/>
        </w:rPr>
        <w:t xml:space="preserve"> for public vehicular use. Nevertheless</w:t>
      </w:r>
      <w:r w:rsidR="007A38D7">
        <w:rPr>
          <w:color w:val="auto"/>
        </w:rPr>
        <w:t>,</w:t>
      </w:r>
      <w:r>
        <w:rPr>
          <w:color w:val="auto"/>
        </w:rPr>
        <w:t xml:space="preserve"> it </w:t>
      </w:r>
      <w:r w:rsidR="00740CE2">
        <w:rPr>
          <w:color w:val="auto"/>
        </w:rPr>
        <w:t>agreed</w:t>
      </w:r>
      <w:r>
        <w:rPr>
          <w:color w:val="auto"/>
        </w:rPr>
        <w:t xml:space="preserve"> that the evidence supports the claimed route </w:t>
      </w:r>
      <w:r w:rsidR="007A38D7">
        <w:rPr>
          <w:color w:val="auto"/>
        </w:rPr>
        <w:t xml:space="preserve">having </w:t>
      </w:r>
      <w:r>
        <w:rPr>
          <w:color w:val="auto"/>
        </w:rPr>
        <w:t>physically exist</w:t>
      </w:r>
      <w:r w:rsidR="007A38D7">
        <w:rPr>
          <w:color w:val="auto"/>
        </w:rPr>
        <w:t>ed</w:t>
      </w:r>
      <w:r>
        <w:rPr>
          <w:color w:val="auto"/>
        </w:rPr>
        <w:t xml:space="preserve"> </w:t>
      </w:r>
      <w:r w:rsidR="007A38D7">
        <w:rPr>
          <w:color w:val="auto"/>
        </w:rPr>
        <w:t>“</w:t>
      </w:r>
      <w:r w:rsidRPr="00172A0A">
        <w:rPr>
          <w:i/>
          <w:iCs/>
          <w:color w:val="auto"/>
        </w:rPr>
        <w:t xml:space="preserve">as a road of </w:t>
      </w:r>
      <w:r w:rsidR="007A38D7" w:rsidRPr="00172A0A">
        <w:rPr>
          <w:i/>
          <w:iCs/>
          <w:color w:val="auto"/>
        </w:rPr>
        <w:t xml:space="preserve">some </w:t>
      </w:r>
      <w:r w:rsidRPr="00172A0A">
        <w:rPr>
          <w:i/>
          <w:iCs/>
          <w:color w:val="auto"/>
        </w:rPr>
        <w:t>antiquity</w:t>
      </w:r>
      <w:r w:rsidR="007A38D7">
        <w:rPr>
          <w:color w:val="auto"/>
        </w:rPr>
        <w:t>”</w:t>
      </w:r>
      <w:r>
        <w:rPr>
          <w:color w:val="auto"/>
        </w:rPr>
        <w:t xml:space="preserve">. </w:t>
      </w:r>
    </w:p>
    <w:p w14:paraId="38315911" w14:textId="77777777" w:rsidR="003928D5" w:rsidRDefault="007A38D7" w:rsidP="00891457">
      <w:pPr>
        <w:pStyle w:val="Style1"/>
        <w:tabs>
          <w:tab w:val="clear" w:pos="862"/>
        </w:tabs>
        <w:ind w:left="426" w:hanging="426"/>
        <w:rPr>
          <w:szCs w:val="22"/>
        </w:rPr>
      </w:pPr>
      <w:r w:rsidRPr="007A38D7">
        <w:rPr>
          <w:color w:val="auto"/>
        </w:rPr>
        <w:t>Indeed</w:t>
      </w:r>
      <w:r w:rsidR="00172A0A">
        <w:rPr>
          <w:color w:val="auto"/>
        </w:rPr>
        <w:t>,</w:t>
      </w:r>
      <w:r w:rsidRPr="007A38D7">
        <w:rPr>
          <w:color w:val="auto"/>
        </w:rPr>
        <w:t xml:space="preserve"> the </w:t>
      </w:r>
      <w:r>
        <w:rPr>
          <w:color w:val="auto"/>
        </w:rPr>
        <w:t>d</w:t>
      </w:r>
      <w:r w:rsidR="003928D5" w:rsidRPr="007A38D7">
        <w:rPr>
          <w:szCs w:val="22"/>
        </w:rPr>
        <w:t xml:space="preserve">raft plan of Bockingham Hall Farm </w:t>
      </w:r>
      <w:r>
        <w:rPr>
          <w:szCs w:val="22"/>
        </w:rPr>
        <w:t xml:space="preserve">dated </w:t>
      </w:r>
      <w:r w:rsidR="003928D5" w:rsidRPr="007A38D7">
        <w:rPr>
          <w:szCs w:val="22"/>
        </w:rPr>
        <w:t>1729</w:t>
      </w:r>
      <w:r>
        <w:rPr>
          <w:szCs w:val="22"/>
        </w:rPr>
        <w:t xml:space="preserve"> shows the footpath section and </w:t>
      </w:r>
      <w:r w:rsidR="00740CE2">
        <w:rPr>
          <w:szCs w:val="22"/>
        </w:rPr>
        <w:t xml:space="preserve">a </w:t>
      </w:r>
      <w:r>
        <w:rPr>
          <w:szCs w:val="22"/>
        </w:rPr>
        <w:t>short stretch of the unrecorded section as a lane bounded on both sides</w:t>
      </w:r>
      <w:r w:rsidR="00740CE2">
        <w:rPr>
          <w:szCs w:val="22"/>
        </w:rPr>
        <w:t>,</w:t>
      </w:r>
      <w:r>
        <w:rPr>
          <w:szCs w:val="22"/>
        </w:rPr>
        <w:t xml:space="preserve"> leading off what is now known as Birch Road. </w:t>
      </w:r>
      <w:r w:rsidR="00504C0B">
        <w:rPr>
          <w:szCs w:val="22"/>
        </w:rPr>
        <w:t>The lane was clearly in existence in the early eighteenth century.</w:t>
      </w:r>
    </w:p>
    <w:p w14:paraId="5832AECD" w14:textId="77777777" w:rsidR="007A38D7" w:rsidRDefault="007A38D7" w:rsidP="00891457">
      <w:pPr>
        <w:pStyle w:val="Style1"/>
        <w:tabs>
          <w:tab w:val="clear" w:pos="862"/>
        </w:tabs>
        <w:ind w:left="426" w:hanging="426"/>
        <w:rPr>
          <w:szCs w:val="22"/>
        </w:rPr>
      </w:pPr>
      <w:r>
        <w:rPr>
          <w:color w:val="auto"/>
        </w:rPr>
        <w:t xml:space="preserve">Although this plan gives little indication of the </w:t>
      </w:r>
      <w:r w:rsidR="00172A0A">
        <w:rPr>
          <w:color w:val="auto"/>
        </w:rPr>
        <w:t xml:space="preserve">legal </w:t>
      </w:r>
      <w:r>
        <w:rPr>
          <w:color w:val="auto"/>
        </w:rPr>
        <w:t xml:space="preserve">status of the road at that time, the fact that it </w:t>
      </w:r>
      <w:r w:rsidR="00172A0A">
        <w:rPr>
          <w:color w:val="auto"/>
        </w:rPr>
        <w:t>was subsequently shown</w:t>
      </w:r>
      <w:r>
        <w:rPr>
          <w:color w:val="auto"/>
        </w:rPr>
        <w:t xml:space="preserve"> as a way through to the Maldon Road on the map of the county prepared by </w:t>
      </w:r>
      <w:r>
        <w:rPr>
          <w:szCs w:val="22"/>
        </w:rPr>
        <w:t>Chapman and Andre map in 1777 does weigh against it being a purely private or occupational</w:t>
      </w:r>
      <w:r w:rsidR="00740CE2">
        <w:rPr>
          <w:szCs w:val="22"/>
        </w:rPr>
        <w:t xml:space="preserve"> lane</w:t>
      </w:r>
      <w:r>
        <w:rPr>
          <w:szCs w:val="22"/>
        </w:rPr>
        <w:t xml:space="preserve">. </w:t>
      </w:r>
    </w:p>
    <w:p w14:paraId="2B68CF35" w14:textId="77777777" w:rsidR="00504C0B" w:rsidRDefault="00504C0B" w:rsidP="00504C0B">
      <w:pPr>
        <w:pStyle w:val="Style1"/>
        <w:tabs>
          <w:tab w:val="clear" w:pos="432"/>
          <w:tab w:val="clear" w:pos="862"/>
          <w:tab w:val="num" w:pos="426"/>
        </w:tabs>
        <w:ind w:left="426" w:hanging="426"/>
        <w:rPr>
          <w:szCs w:val="22"/>
        </w:rPr>
      </w:pPr>
      <w:r>
        <w:rPr>
          <w:szCs w:val="22"/>
        </w:rPr>
        <w:t xml:space="preserve">Little further weight is added by the plan of a farm owned by James Round in 1790 other than to confirm that the southern end of the unrecorded section was shown as a lane in a similar manner to Maldon Road although narrower. </w:t>
      </w:r>
    </w:p>
    <w:p w14:paraId="6EE1EAD5" w14:textId="77777777" w:rsidR="00945606" w:rsidRPr="00504C0B" w:rsidRDefault="00504C0B" w:rsidP="00891457">
      <w:pPr>
        <w:pStyle w:val="Style1"/>
        <w:tabs>
          <w:tab w:val="clear" w:pos="432"/>
          <w:tab w:val="clear" w:pos="862"/>
          <w:tab w:val="num" w:pos="426"/>
        </w:tabs>
        <w:ind w:left="426" w:hanging="426"/>
        <w:rPr>
          <w:szCs w:val="22"/>
        </w:rPr>
      </w:pPr>
      <w:r w:rsidRPr="00504C0B">
        <w:rPr>
          <w:szCs w:val="22"/>
        </w:rPr>
        <w:t>Around the turn of the nineteenth century early Ordnance Survey records began. In this area</w:t>
      </w:r>
      <w:r w:rsidR="00740CE2">
        <w:rPr>
          <w:szCs w:val="22"/>
        </w:rPr>
        <w:t>,</w:t>
      </w:r>
      <w:r w:rsidRPr="00504C0B">
        <w:rPr>
          <w:szCs w:val="22"/>
        </w:rPr>
        <w:t xml:space="preserve"> that included e</w:t>
      </w:r>
      <w:r w:rsidR="008E30EB" w:rsidRPr="00504C0B">
        <w:rPr>
          <w:szCs w:val="22"/>
        </w:rPr>
        <w:t xml:space="preserve">arly drawings </w:t>
      </w:r>
      <w:r>
        <w:rPr>
          <w:szCs w:val="22"/>
        </w:rPr>
        <w:t>(</w:t>
      </w:r>
      <w:r w:rsidRPr="00504C0B">
        <w:rPr>
          <w:szCs w:val="22"/>
        </w:rPr>
        <w:t>by Witham</w:t>
      </w:r>
      <w:r>
        <w:rPr>
          <w:szCs w:val="22"/>
        </w:rPr>
        <w:t>)</w:t>
      </w:r>
      <w:r w:rsidRPr="00504C0B">
        <w:rPr>
          <w:szCs w:val="22"/>
        </w:rPr>
        <w:t xml:space="preserve"> </w:t>
      </w:r>
      <w:r>
        <w:rPr>
          <w:szCs w:val="22"/>
        </w:rPr>
        <w:t xml:space="preserve">in </w:t>
      </w:r>
      <w:r w:rsidR="008E30EB" w:rsidRPr="00504C0B">
        <w:rPr>
          <w:szCs w:val="22"/>
        </w:rPr>
        <w:t xml:space="preserve">1799 </w:t>
      </w:r>
      <w:r>
        <w:rPr>
          <w:szCs w:val="22"/>
        </w:rPr>
        <w:t xml:space="preserve">leading </w:t>
      </w:r>
      <w:r>
        <w:rPr>
          <w:szCs w:val="22"/>
        </w:rPr>
        <w:lastRenderedPageBreak/>
        <w:t>to the First Series map at 1 inch to one mile (by Mudge) in 1805. There is no doubt that the claimed route was noted by both surveyors</w:t>
      </w:r>
      <w:r w:rsidR="000070C2">
        <w:rPr>
          <w:szCs w:val="22"/>
        </w:rPr>
        <w:t xml:space="preserve">. It is </w:t>
      </w:r>
      <w:r w:rsidR="00172A0A">
        <w:rPr>
          <w:szCs w:val="22"/>
        </w:rPr>
        <w:t xml:space="preserve">evident </w:t>
      </w:r>
      <w:r w:rsidR="000070C2">
        <w:rPr>
          <w:szCs w:val="22"/>
        </w:rPr>
        <w:t xml:space="preserve">that many roads </w:t>
      </w:r>
      <w:r w:rsidR="00740CE2">
        <w:rPr>
          <w:szCs w:val="22"/>
        </w:rPr>
        <w:t>we</w:t>
      </w:r>
      <w:r w:rsidR="000070C2">
        <w:rPr>
          <w:szCs w:val="22"/>
        </w:rPr>
        <w:t xml:space="preserve">re included </w:t>
      </w:r>
      <w:r w:rsidR="00172A0A">
        <w:rPr>
          <w:szCs w:val="22"/>
        </w:rPr>
        <w:t>which</w:t>
      </w:r>
      <w:r w:rsidR="000070C2">
        <w:rPr>
          <w:szCs w:val="22"/>
        </w:rPr>
        <w:t xml:space="preserve"> lead only to an individual property where the status of the way might be considered private</w:t>
      </w:r>
      <w:r w:rsidR="00172A0A">
        <w:rPr>
          <w:szCs w:val="22"/>
        </w:rPr>
        <w:t>,</w:t>
      </w:r>
      <w:r w:rsidR="000070C2">
        <w:rPr>
          <w:szCs w:val="22"/>
        </w:rPr>
        <w:t xml:space="preserve"> but that is not the case with the claimed route. Thus one might reasonably </w:t>
      </w:r>
      <w:r w:rsidR="00740CE2">
        <w:rPr>
          <w:szCs w:val="22"/>
        </w:rPr>
        <w:t>deduce</w:t>
      </w:r>
      <w:r w:rsidR="000070C2">
        <w:rPr>
          <w:szCs w:val="22"/>
        </w:rPr>
        <w:t xml:space="preserve"> that these</w:t>
      </w:r>
      <w:r w:rsidR="00172A0A">
        <w:rPr>
          <w:szCs w:val="22"/>
        </w:rPr>
        <w:t xml:space="preserve"> OS drawings</w:t>
      </w:r>
      <w:r w:rsidR="000070C2">
        <w:rPr>
          <w:szCs w:val="22"/>
        </w:rPr>
        <w:t xml:space="preserve">, </w:t>
      </w:r>
      <w:r w:rsidR="00BC7AA5">
        <w:rPr>
          <w:szCs w:val="22"/>
        </w:rPr>
        <w:t>together with</w:t>
      </w:r>
      <w:r w:rsidR="000070C2">
        <w:rPr>
          <w:szCs w:val="22"/>
        </w:rPr>
        <w:t xml:space="preserve"> the Chapman and Andre map, are more likely to be depicting a public highway than a private</w:t>
      </w:r>
      <w:r w:rsidR="00172A0A">
        <w:rPr>
          <w:szCs w:val="22"/>
        </w:rPr>
        <w:t xml:space="preserve"> </w:t>
      </w:r>
      <w:r w:rsidR="008A22B9">
        <w:rPr>
          <w:szCs w:val="22"/>
        </w:rPr>
        <w:t>road</w:t>
      </w:r>
      <w:r w:rsidR="000070C2">
        <w:rPr>
          <w:szCs w:val="22"/>
        </w:rPr>
        <w:t>.</w:t>
      </w:r>
    </w:p>
    <w:p w14:paraId="6BFAF1A0" w14:textId="77777777" w:rsidR="000070C2" w:rsidRDefault="008E30EB" w:rsidP="00891457">
      <w:pPr>
        <w:pStyle w:val="Style1"/>
        <w:tabs>
          <w:tab w:val="clear" w:pos="432"/>
          <w:tab w:val="clear" w:pos="862"/>
          <w:tab w:val="num" w:pos="426"/>
        </w:tabs>
        <w:ind w:left="426" w:hanging="426"/>
        <w:rPr>
          <w:szCs w:val="22"/>
        </w:rPr>
      </w:pPr>
      <w:r w:rsidRPr="000070C2">
        <w:rPr>
          <w:szCs w:val="22"/>
        </w:rPr>
        <w:t>Tithe maps</w:t>
      </w:r>
      <w:r w:rsidR="000070C2" w:rsidRPr="000070C2">
        <w:rPr>
          <w:szCs w:val="22"/>
        </w:rPr>
        <w:t xml:space="preserve"> were prepared in 1839 for </w:t>
      </w:r>
      <w:r w:rsidR="00740CE2">
        <w:rPr>
          <w:szCs w:val="22"/>
        </w:rPr>
        <w:t>the parishes</w:t>
      </w:r>
      <w:r w:rsidR="00740CE2" w:rsidRPr="000070C2">
        <w:rPr>
          <w:szCs w:val="22"/>
        </w:rPr>
        <w:t xml:space="preserve"> </w:t>
      </w:r>
      <w:r w:rsidR="00740CE2">
        <w:rPr>
          <w:szCs w:val="22"/>
        </w:rPr>
        <w:t xml:space="preserve">of </w:t>
      </w:r>
      <w:r w:rsidRPr="000070C2">
        <w:rPr>
          <w:szCs w:val="22"/>
        </w:rPr>
        <w:t xml:space="preserve">Copford </w:t>
      </w:r>
      <w:r w:rsidR="000070C2">
        <w:rPr>
          <w:szCs w:val="22"/>
        </w:rPr>
        <w:t xml:space="preserve">and Birch with the claimed route being show partly on each. In </w:t>
      </w:r>
      <w:r w:rsidR="00172A0A">
        <w:rPr>
          <w:szCs w:val="22"/>
        </w:rPr>
        <w:t xml:space="preserve">each </w:t>
      </w:r>
      <w:r w:rsidR="000070C2">
        <w:rPr>
          <w:szCs w:val="22"/>
        </w:rPr>
        <w:t xml:space="preserve">case the lane was shown as separated from the adjacent (titheable) fields. </w:t>
      </w:r>
      <w:r w:rsidR="00EA6FC2">
        <w:rPr>
          <w:szCs w:val="22"/>
        </w:rPr>
        <w:t xml:space="preserve">Both EBA and ECC note that no tithe was payable </w:t>
      </w:r>
      <w:r w:rsidR="00172A0A">
        <w:rPr>
          <w:szCs w:val="22"/>
        </w:rPr>
        <w:t xml:space="preserve">for the lane </w:t>
      </w:r>
      <w:r w:rsidR="00EA6FC2">
        <w:rPr>
          <w:szCs w:val="22"/>
        </w:rPr>
        <w:t xml:space="preserve">and that these maps give no indication of </w:t>
      </w:r>
      <w:r w:rsidR="00172A0A">
        <w:rPr>
          <w:szCs w:val="22"/>
        </w:rPr>
        <w:t>its</w:t>
      </w:r>
      <w:r w:rsidR="00EA6FC2">
        <w:rPr>
          <w:szCs w:val="22"/>
        </w:rPr>
        <w:t xml:space="preserve"> status. I do not disagree but would further add that the depiction of the lane would be equally consistent with a finding that the claimed route was a public one or private. </w:t>
      </w:r>
    </w:p>
    <w:p w14:paraId="151477E5" w14:textId="77777777" w:rsidR="00CF1C1A" w:rsidRDefault="00EA6FC2" w:rsidP="00891457">
      <w:pPr>
        <w:pStyle w:val="Style1"/>
        <w:tabs>
          <w:tab w:val="clear" w:pos="432"/>
          <w:tab w:val="clear" w:pos="862"/>
          <w:tab w:val="num" w:pos="426"/>
        </w:tabs>
        <w:ind w:left="426" w:hanging="426"/>
        <w:rPr>
          <w:szCs w:val="22"/>
        </w:rPr>
      </w:pPr>
      <w:r w:rsidRPr="00EA6FC2">
        <w:rPr>
          <w:szCs w:val="22"/>
        </w:rPr>
        <w:t xml:space="preserve">By the late nineteenth century, and almost a hundred years after its first representation on the 1777 county map, the </w:t>
      </w:r>
      <w:r w:rsidR="00C15271" w:rsidRPr="00EA6FC2">
        <w:rPr>
          <w:szCs w:val="22"/>
        </w:rPr>
        <w:t>OS 1</w:t>
      </w:r>
      <w:r w:rsidR="00C15271" w:rsidRPr="00EA6FC2">
        <w:rPr>
          <w:szCs w:val="22"/>
          <w:vertAlign w:val="superscript"/>
        </w:rPr>
        <w:t>st</w:t>
      </w:r>
      <w:r w:rsidR="00C15271" w:rsidRPr="00EA6FC2">
        <w:rPr>
          <w:szCs w:val="22"/>
        </w:rPr>
        <w:t xml:space="preserve"> edition 25” </w:t>
      </w:r>
      <w:r>
        <w:rPr>
          <w:szCs w:val="22"/>
        </w:rPr>
        <w:t xml:space="preserve">more </w:t>
      </w:r>
      <w:r w:rsidR="00C15271" w:rsidRPr="00EA6FC2">
        <w:rPr>
          <w:szCs w:val="22"/>
        </w:rPr>
        <w:t xml:space="preserve">clearly defined </w:t>
      </w:r>
      <w:r>
        <w:rPr>
          <w:szCs w:val="22"/>
        </w:rPr>
        <w:t xml:space="preserve">the claimed route as an </w:t>
      </w:r>
      <w:r w:rsidR="00C15271" w:rsidRPr="00EA6FC2">
        <w:rPr>
          <w:szCs w:val="22"/>
        </w:rPr>
        <w:t>enclosed lane</w:t>
      </w:r>
      <w:r w:rsidR="00CF1C1A">
        <w:rPr>
          <w:szCs w:val="22"/>
        </w:rPr>
        <w:t xml:space="preserve"> with many trees </w:t>
      </w:r>
      <w:r w:rsidR="00172A0A">
        <w:rPr>
          <w:szCs w:val="22"/>
        </w:rPr>
        <w:t xml:space="preserve">apparently </w:t>
      </w:r>
      <w:r w:rsidR="00CF1C1A">
        <w:rPr>
          <w:szCs w:val="22"/>
        </w:rPr>
        <w:t xml:space="preserve">within the boundaries along its length. That does not seem unusual when compared with the Maldon Road which is likewise shown to be tree-lined. </w:t>
      </w:r>
    </w:p>
    <w:p w14:paraId="4D484DE7" w14:textId="77777777" w:rsidR="00EA6FC2" w:rsidRDefault="005D4092" w:rsidP="00891457">
      <w:pPr>
        <w:pStyle w:val="Style1"/>
        <w:tabs>
          <w:tab w:val="clear" w:pos="432"/>
          <w:tab w:val="clear" w:pos="862"/>
          <w:tab w:val="num" w:pos="426"/>
        </w:tabs>
        <w:ind w:left="426" w:hanging="426"/>
        <w:rPr>
          <w:szCs w:val="22"/>
        </w:rPr>
      </w:pPr>
      <w:r>
        <w:rPr>
          <w:szCs w:val="22"/>
        </w:rPr>
        <w:t>The accompanying OS Book of Reference identifie</w:t>
      </w:r>
      <w:r w:rsidR="00740CE2">
        <w:rPr>
          <w:szCs w:val="22"/>
        </w:rPr>
        <w:t>d</w:t>
      </w:r>
      <w:r>
        <w:rPr>
          <w:szCs w:val="22"/>
        </w:rPr>
        <w:t xml:space="preserve"> the part of the unrecorded road in Birch parish simply as “road”, giving no indication </w:t>
      </w:r>
      <w:r w:rsidR="00172A0A">
        <w:rPr>
          <w:szCs w:val="22"/>
        </w:rPr>
        <w:t>as to</w:t>
      </w:r>
      <w:r>
        <w:rPr>
          <w:szCs w:val="22"/>
        </w:rPr>
        <w:t xml:space="preserve"> whether this was public, private, occupational or bridle. Although the extract su</w:t>
      </w:r>
      <w:r w:rsidR="00172A0A">
        <w:rPr>
          <w:szCs w:val="22"/>
        </w:rPr>
        <w:t xml:space="preserve">bmitted with this appeal </w:t>
      </w:r>
      <w:r>
        <w:rPr>
          <w:szCs w:val="22"/>
        </w:rPr>
        <w:t xml:space="preserve">notes several other </w:t>
      </w:r>
      <w:r w:rsidR="00172A0A">
        <w:rPr>
          <w:szCs w:val="22"/>
        </w:rPr>
        <w:t>‘</w:t>
      </w:r>
      <w:r>
        <w:rPr>
          <w:szCs w:val="22"/>
        </w:rPr>
        <w:t>roads</w:t>
      </w:r>
      <w:r w:rsidR="00172A0A">
        <w:rPr>
          <w:szCs w:val="22"/>
        </w:rPr>
        <w:t>’,</w:t>
      </w:r>
      <w:r>
        <w:rPr>
          <w:szCs w:val="22"/>
        </w:rPr>
        <w:t xml:space="preserve"> there is insufficient mapping available to enable me to identify which roads these refer to or to make any judgement as to the implications for </w:t>
      </w:r>
      <w:r w:rsidR="00172A0A">
        <w:rPr>
          <w:szCs w:val="22"/>
        </w:rPr>
        <w:t xml:space="preserve">the </w:t>
      </w:r>
      <w:r>
        <w:rPr>
          <w:szCs w:val="22"/>
        </w:rPr>
        <w:t xml:space="preserve">status of the way. </w:t>
      </w:r>
      <w:r w:rsidR="00CF1C1A">
        <w:rPr>
          <w:szCs w:val="22"/>
        </w:rPr>
        <w:t xml:space="preserve"> </w:t>
      </w:r>
    </w:p>
    <w:p w14:paraId="69E17C38" w14:textId="77777777" w:rsidR="00C15271" w:rsidRPr="008A1924" w:rsidRDefault="005D4092" w:rsidP="00891457">
      <w:pPr>
        <w:pStyle w:val="Style1"/>
        <w:tabs>
          <w:tab w:val="clear" w:pos="432"/>
          <w:tab w:val="clear" w:pos="862"/>
          <w:tab w:val="num" w:pos="426"/>
        </w:tabs>
        <w:ind w:left="426" w:hanging="426"/>
        <w:rPr>
          <w:iCs/>
          <w:color w:val="auto"/>
          <w:szCs w:val="22"/>
        </w:rPr>
      </w:pPr>
      <w:r w:rsidRPr="008A1924">
        <w:rPr>
          <w:szCs w:val="22"/>
        </w:rPr>
        <w:t>ECC observes that</w:t>
      </w:r>
      <w:r w:rsidR="00C15271" w:rsidRPr="008A1924">
        <w:rPr>
          <w:szCs w:val="22"/>
        </w:rPr>
        <w:t xml:space="preserve">, </w:t>
      </w:r>
      <w:r w:rsidRPr="008A1924">
        <w:rPr>
          <w:szCs w:val="22"/>
        </w:rPr>
        <w:t>at the point the claimed route meets the Maldon Road, the</w:t>
      </w:r>
      <w:r w:rsidR="004C2A4A">
        <w:rPr>
          <w:szCs w:val="22"/>
        </w:rPr>
        <w:t xml:space="preserve"> 1875 OS map shows</w:t>
      </w:r>
      <w:r w:rsidRPr="008A1924">
        <w:rPr>
          <w:szCs w:val="22"/>
        </w:rPr>
        <w:t xml:space="preserve"> a single line across the</w:t>
      </w:r>
      <w:r w:rsidR="0080353D" w:rsidRPr="008A1924">
        <w:rPr>
          <w:szCs w:val="22"/>
        </w:rPr>
        <w:t xml:space="preserve"> entrance to the lane which it believes represents a gate. </w:t>
      </w:r>
      <w:r w:rsidR="00011435" w:rsidRPr="008A1924">
        <w:rPr>
          <w:iCs/>
          <w:color w:val="auto"/>
        </w:rPr>
        <w:t xml:space="preserve">The </w:t>
      </w:r>
      <w:r w:rsidR="008A1924" w:rsidRPr="008A1924">
        <w:rPr>
          <w:iCs/>
          <w:color w:val="auto"/>
        </w:rPr>
        <w:t xml:space="preserve">presence </w:t>
      </w:r>
      <w:r w:rsidR="00011435" w:rsidRPr="008A1924">
        <w:rPr>
          <w:iCs/>
          <w:color w:val="auto"/>
        </w:rPr>
        <w:t>of such a gate, unless locked, is not necessarily inconsistent with the existence of a vehicular highway. It may simply be a means of restraining cattle or horses.</w:t>
      </w:r>
      <w:r w:rsidR="00011435">
        <w:rPr>
          <w:rStyle w:val="FootnoteReference"/>
          <w:iCs/>
          <w:color w:val="auto"/>
        </w:rPr>
        <w:footnoteReference w:id="6"/>
      </w:r>
      <w:r w:rsidR="008A1924" w:rsidRPr="008A1924">
        <w:rPr>
          <w:iCs/>
          <w:color w:val="auto"/>
        </w:rPr>
        <w:t xml:space="preserve"> Nevertheless it </w:t>
      </w:r>
      <w:r w:rsidR="008A1924">
        <w:rPr>
          <w:iCs/>
          <w:color w:val="auto"/>
        </w:rPr>
        <w:t>does raise</w:t>
      </w:r>
      <w:r w:rsidR="008A1924" w:rsidRPr="008A1924">
        <w:rPr>
          <w:iCs/>
          <w:color w:val="auto"/>
        </w:rPr>
        <w:t xml:space="preserve"> a question over the </w:t>
      </w:r>
      <w:r w:rsidR="008A1924">
        <w:rPr>
          <w:iCs/>
          <w:color w:val="auto"/>
        </w:rPr>
        <w:t>public’s rights along the lane</w:t>
      </w:r>
      <w:r w:rsidR="004C2A4A">
        <w:rPr>
          <w:iCs/>
          <w:color w:val="auto"/>
        </w:rPr>
        <w:t xml:space="preserve"> (if any)</w:t>
      </w:r>
      <w:r w:rsidR="008A1924">
        <w:rPr>
          <w:iCs/>
          <w:color w:val="auto"/>
        </w:rPr>
        <w:t>.</w:t>
      </w:r>
    </w:p>
    <w:p w14:paraId="0A67605D" w14:textId="77777777" w:rsidR="004C2A4A" w:rsidRDefault="008A1924" w:rsidP="00891457">
      <w:pPr>
        <w:pStyle w:val="Style1"/>
        <w:tabs>
          <w:tab w:val="clear" w:pos="432"/>
          <w:tab w:val="clear" w:pos="862"/>
          <w:tab w:val="num" w:pos="426"/>
        </w:tabs>
        <w:ind w:left="426" w:hanging="426"/>
        <w:rPr>
          <w:szCs w:val="22"/>
        </w:rPr>
      </w:pPr>
      <w:r w:rsidRPr="008A1924">
        <w:rPr>
          <w:iCs/>
          <w:color w:val="auto"/>
          <w:szCs w:val="22"/>
        </w:rPr>
        <w:t xml:space="preserve">That said, the lane continued to be shown in the same way on the OS </w:t>
      </w:r>
      <w:r w:rsidR="00902ED4" w:rsidRPr="008A1924">
        <w:rPr>
          <w:szCs w:val="22"/>
        </w:rPr>
        <w:t>6”</w:t>
      </w:r>
      <w:r w:rsidRPr="008A1924">
        <w:rPr>
          <w:szCs w:val="22"/>
        </w:rPr>
        <w:t xml:space="preserve"> to one mile</w:t>
      </w:r>
      <w:r w:rsidR="00902ED4" w:rsidRPr="008A1924">
        <w:rPr>
          <w:szCs w:val="22"/>
        </w:rPr>
        <w:t xml:space="preserve"> </w:t>
      </w:r>
      <w:r w:rsidRPr="008A1924">
        <w:rPr>
          <w:szCs w:val="22"/>
        </w:rPr>
        <w:t>r</w:t>
      </w:r>
      <w:r w:rsidR="00902ED4" w:rsidRPr="008A1924">
        <w:rPr>
          <w:szCs w:val="22"/>
        </w:rPr>
        <w:t xml:space="preserve">evision </w:t>
      </w:r>
      <w:r w:rsidRPr="008A1924">
        <w:rPr>
          <w:szCs w:val="22"/>
        </w:rPr>
        <w:t>in 1896 (albeit without trees)</w:t>
      </w:r>
      <w:r w:rsidR="004C2A4A">
        <w:rPr>
          <w:szCs w:val="22"/>
        </w:rPr>
        <w:t xml:space="preserve"> and later on the OS </w:t>
      </w:r>
      <w:r w:rsidR="00740CE2">
        <w:rPr>
          <w:szCs w:val="22"/>
        </w:rPr>
        <w:t xml:space="preserve">25” </w:t>
      </w:r>
      <w:r w:rsidR="004C2A4A">
        <w:rPr>
          <w:szCs w:val="22"/>
        </w:rPr>
        <w:t>edition which was used as a base for the 1910 Finance Act records</w:t>
      </w:r>
      <w:r w:rsidR="004C2A4A">
        <w:rPr>
          <w:rStyle w:val="FootnoteReference"/>
          <w:szCs w:val="22"/>
        </w:rPr>
        <w:footnoteReference w:id="7"/>
      </w:r>
      <w:r w:rsidR="004C2A4A">
        <w:rPr>
          <w:szCs w:val="22"/>
        </w:rPr>
        <w:t>.</w:t>
      </w:r>
      <w:r w:rsidRPr="008A1924">
        <w:rPr>
          <w:szCs w:val="22"/>
        </w:rPr>
        <w:t xml:space="preserve"> </w:t>
      </w:r>
    </w:p>
    <w:p w14:paraId="3AE89877" w14:textId="77777777" w:rsidR="001B394B" w:rsidRDefault="004C2A4A" w:rsidP="0093245B">
      <w:pPr>
        <w:pStyle w:val="Style1"/>
        <w:tabs>
          <w:tab w:val="clear" w:pos="432"/>
          <w:tab w:val="clear" w:pos="862"/>
          <w:tab w:val="num" w:pos="426"/>
        </w:tabs>
        <w:ind w:left="426" w:hanging="426"/>
        <w:rPr>
          <w:szCs w:val="22"/>
        </w:rPr>
      </w:pPr>
      <w:r w:rsidRPr="004C2A4A">
        <w:rPr>
          <w:szCs w:val="22"/>
        </w:rPr>
        <w:t>In that same period the lane appear</w:t>
      </w:r>
      <w:r w:rsidR="00740CE2">
        <w:rPr>
          <w:szCs w:val="22"/>
        </w:rPr>
        <w:t>ed</w:t>
      </w:r>
      <w:r w:rsidRPr="004C2A4A">
        <w:rPr>
          <w:szCs w:val="22"/>
        </w:rPr>
        <w:t xml:space="preserve"> </w:t>
      </w:r>
      <w:r w:rsidR="008A1924" w:rsidRPr="004C2A4A">
        <w:rPr>
          <w:szCs w:val="22"/>
        </w:rPr>
        <w:t xml:space="preserve">on a map of Essex by </w:t>
      </w:r>
      <w:r w:rsidR="00902ED4" w:rsidRPr="004C2A4A">
        <w:rPr>
          <w:szCs w:val="22"/>
        </w:rPr>
        <w:t>Cruchley</w:t>
      </w:r>
      <w:r w:rsidR="008A1924" w:rsidRPr="004C2A4A">
        <w:rPr>
          <w:szCs w:val="22"/>
        </w:rPr>
        <w:t xml:space="preserve"> in 1885 showing r</w:t>
      </w:r>
      <w:r w:rsidR="00902ED4" w:rsidRPr="004C2A4A">
        <w:rPr>
          <w:szCs w:val="22"/>
        </w:rPr>
        <w:t>oad</w:t>
      </w:r>
      <w:r w:rsidR="008A1924" w:rsidRPr="004C2A4A">
        <w:rPr>
          <w:szCs w:val="22"/>
        </w:rPr>
        <w:t xml:space="preserve">s </w:t>
      </w:r>
      <w:r w:rsidR="00902ED4" w:rsidRPr="004C2A4A">
        <w:rPr>
          <w:szCs w:val="22"/>
        </w:rPr>
        <w:t>and railway</w:t>
      </w:r>
      <w:r w:rsidR="008A1924" w:rsidRPr="004C2A4A">
        <w:rPr>
          <w:szCs w:val="22"/>
        </w:rPr>
        <w:t>s</w:t>
      </w:r>
      <w:r w:rsidRPr="004C2A4A">
        <w:rPr>
          <w:szCs w:val="22"/>
        </w:rPr>
        <w:t>, a publication where it would be unusual to see private roads included.</w:t>
      </w:r>
      <w:r w:rsidR="008A1924" w:rsidRPr="004C2A4A">
        <w:rPr>
          <w:szCs w:val="22"/>
        </w:rPr>
        <w:t xml:space="preserve"> </w:t>
      </w:r>
      <w:r w:rsidRPr="004C2A4A">
        <w:rPr>
          <w:szCs w:val="22"/>
        </w:rPr>
        <w:t>I</w:t>
      </w:r>
      <w:r w:rsidR="008A1924" w:rsidRPr="004C2A4A">
        <w:rPr>
          <w:szCs w:val="22"/>
        </w:rPr>
        <w:t>n the early 1900s</w:t>
      </w:r>
      <w:r w:rsidRPr="004C2A4A">
        <w:rPr>
          <w:szCs w:val="22"/>
        </w:rPr>
        <w:t>,</w:t>
      </w:r>
      <w:r w:rsidR="008A1924" w:rsidRPr="004C2A4A">
        <w:rPr>
          <w:szCs w:val="22"/>
        </w:rPr>
        <w:t xml:space="preserve"> </w:t>
      </w:r>
      <w:r w:rsidRPr="004C2A4A">
        <w:rPr>
          <w:szCs w:val="22"/>
        </w:rPr>
        <w:t xml:space="preserve">it is shown </w:t>
      </w:r>
      <w:r w:rsidR="008A1924" w:rsidRPr="004C2A4A">
        <w:rPr>
          <w:szCs w:val="22"/>
        </w:rPr>
        <w:t>on Bartholomew</w:t>
      </w:r>
      <w:r w:rsidRPr="004C2A4A">
        <w:rPr>
          <w:szCs w:val="22"/>
        </w:rPr>
        <w:t>’</w:t>
      </w:r>
      <w:r w:rsidR="008A1924" w:rsidRPr="004C2A4A">
        <w:rPr>
          <w:szCs w:val="22"/>
        </w:rPr>
        <w:t xml:space="preserve">s </w:t>
      </w:r>
      <w:r w:rsidR="00F92622" w:rsidRPr="004C2A4A">
        <w:rPr>
          <w:szCs w:val="22"/>
        </w:rPr>
        <w:t>half inch to one mile map as a road</w:t>
      </w:r>
      <w:r w:rsidR="005A4BF8">
        <w:rPr>
          <w:szCs w:val="22"/>
        </w:rPr>
        <w:t>,</w:t>
      </w:r>
      <w:r w:rsidR="00F92622" w:rsidRPr="004C2A4A">
        <w:rPr>
          <w:szCs w:val="22"/>
        </w:rPr>
        <w:t xml:space="preserve"> </w:t>
      </w:r>
      <w:r>
        <w:rPr>
          <w:szCs w:val="22"/>
        </w:rPr>
        <w:t xml:space="preserve">albeit in the </w:t>
      </w:r>
      <w:r w:rsidR="001B394B">
        <w:rPr>
          <w:szCs w:val="22"/>
        </w:rPr>
        <w:t>category “</w:t>
      </w:r>
      <w:r w:rsidR="00F92622" w:rsidRPr="004C2A4A">
        <w:rPr>
          <w:szCs w:val="22"/>
        </w:rPr>
        <w:t xml:space="preserve">inferior and not </w:t>
      </w:r>
      <w:r w:rsidR="001B394B">
        <w:rPr>
          <w:szCs w:val="22"/>
        </w:rPr>
        <w:t xml:space="preserve">to be </w:t>
      </w:r>
      <w:r w:rsidR="00F92622" w:rsidRPr="004C2A4A">
        <w:rPr>
          <w:szCs w:val="22"/>
        </w:rPr>
        <w:t>recommended to cyclists</w:t>
      </w:r>
      <w:r w:rsidR="001B394B">
        <w:rPr>
          <w:szCs w:val="22"/>
        </w:rPr>
        <w:t xml:space="preserve">”. </w:t>
      </w:r>
    </w:p>
    <w:p w14:paraId="082DEE6B" w14:textId="77777777" w:rsidR="00C15271" w:rsidRDefault="001B394B" w:rsidP="00FD26AE">
      <w:pPr>
        <w:pStyle w:val="Style1"/>
        <w:tabs>
          <w:tab w:val="clear" w:pos="432"/>
          <w:tab w:val="clear" w:pos="862"/>
          <w:tab w:val="num" w:pos="426"/>
        </w:tabs>
        <w:ind w:left="426" w:hanging="426"/>
        <w:rPr>
          <w:szCs w:val="22"/>
        </w:rPr>
      </w:pPr>
      <w:r>
        <w:rPr>
          <w:szCs w:val="22"/>
        </w:rPr>
        <w:t xml:space="preserve">In 1906 </w:t>
      </w:r>
      <w:r w:rsidR="00187B23">
        <w:rPr>
          <w:szCs w:val="22"/>
        </w:rPr>
        <w:t xml:space="preserve">ECC </w:t>
      </w:r>
      <w:r>
        <w:rPr>
          <w:szCs w:val="22"/>
        </w:rPr>
        <w:t>prepared a map showing its “</w:t>
      </w:r>
      <w:r w:rsidR="00187B23">
        <w:rPr>
          <w:szCs w:val="22"/>
        </w:rPr>
        <w:t>Main Roads and Bridges</w:t>
      </w:r>
      <w:r>
        <w:rPr>
          <w:szCs w:val="22"/>
        </w:rPr>
        <w:t>” which did not record the claimed route as the responsibility of the Council. Neither was it included on the map prepared in 1930 showing roads maintainable at the public expense which incorporated those roads ‘handed over’ by the former district council</w:t>
      </w:r>
      <w:r w:rsidR="00FD6469">
        <w:rPr>
          <w:szCs w:val="22"/>
        </w:rPr>
        <w:t xml:space="preserve">, </w:t>
      </w:r>
      <w:r w:rsidR="00740CE2">
        <w:rPr>
          <w:szCs w:val="22"/>
        </w:rPr>
        <w:t>n</w:t>
      </w:r>
      <w:r w:rsidR="00FD6469">
        <w:rPr>
          <w:szCs w:val="22"/>
        </w:rPr>
        <w:t xml:space="preserve">or </w:t>
      </w:r>
      <w:r w:rsidR="003F0B6E">
        <w:rPr>
          <w:szCs w:val="22"/>
        </w:rPr>
        <w:t xml:space="preserve">was it </w:t>
      </w:r>
      <w:r w:rsidR="00740CE2">
        <w:rPr>
          <w:szCs w:val="22"/>
        </w:rPr>
        <w:t xml:space="preserve">on </w:t>
      </w:r>
      <w:r w:rsidR="00FD6469">
        <w:rPr>
          <w:szCs w:val="22"/>
        </w:rPr>
        <w:t>the County Surveyors’ Map of 1932.</w:t>
      </w:r>
    </w:p>
    <w:p w14:paraId="65202289" w14:textId="77777777" w:rsidR="002E5D7E" w:rsidRDefault="001B394B" w:rsidP="00FD26AE">
      <w:pPr>
        <w:pStyle w:val="Style1"/>
        <w:tabs>
          <w:tab w:val="clear" w:pos="432"/>
          <w:tab w:val="clear" w:pos="862"/>
          <w:tab w:val="num" w:pos="426"/>
        </w:tabs>
        <w:ind w:left="426" w:hanging="426"/>
        <w:rPr>
          <w:szCs w:val="22"/>
        </w:rPr>
      </w:pPr>
      <w:r>
        <w:rPr>
          <w:szCs w:val="22"/>
        </w:rPr>
        <w:lastRenderedPageBreak/>
        <w:t xml:space="preserve">Turning back to the 1910 Finance Act mapping records, both the footpath and unrecorded sections are clearly </w:t>
      </w:r>
      <w:r w:rsidR="00740CE2">
        <w:rPr>
          <w:szCs w:val="22"/>
        </w:rPr>
        <w:t>shown as</w:t>
      </w:r>
      <w:r>
        <w:rPr>
          <w:szCs w:val="22"/>
        </w:rPr>
        <w:t xml:space="preserve"> excluded from all adjacent hereditaments along its length. </w:t>
      </w:r>
      <w:r w:rsidR="008D0068">
        <w:rPr>
          <w:szCs w:val="22"/>
        </w:rPr>
        <w:t>As ECC and the Birch Estate point out, there can be several explanations</w:t>
      </w:r>
      <w:r w:rsidR="00331F8C">
        <w:rPr>
          <w:szCs w:val="22"/>
        </w:rPr>
        <w:t xml:space="preserve"> for this</w:t>
      </w:r>
      <w:r w:rsidR="00740CE2">
        <w:rPr>
          <w:szCs w:val="22"/>
        </w:rPr>
        <w:t xml:space="preserve">; </w:t>
      </w:r>
      <w:r w:rsidR="00331F8C">
        <w:rPr>
          <w:szCs w:val="22"/>
        </w:rPr>
        <w:t>even so,</w:t>
      </w:r>
      <w:r w:rsidR="00740CE2">
        <w:rPr>
          <w:szCs w:val="22"/>
        </w:rPr>
        <w:t xml:space="preserve"> </w:t>
      </w:r>
      <w:r w:rsidR="008D0068">
        <w:rPr>
          <w:szCs w:val="22"/>
        </w:rPr>
        <w:t>there is a strong possibility that it was considered a public highway, normally but not necessarily a vehicular one.</w:t>
      </w:r>
      <w:r>
        <w:rPr>
          <w:szCs w:val="22"/>
        </w:rPr>
        <w:t xml:space="preserve">  </w:t>
      </w:r>
    </w:p>
    <w:p w14:paraId="1CD9CD4B" w14:textId="77777777" w:rsidR="00187B23" w:rsidRDefault="008D0068" w:rsidP="00FD26AE">
      <w:pPr>
        <w:pStyle w:val="Style1"/>
        <w:tabs>
          <w:tab w:val="clear" w:pos="432"/>
          <w:tab w:val="clear" w:pos="862"/>
          <w:tab w:val="num" w:pos="426"/>
        </w:tabs>
        <w:ind w:left="426" w:hanging="426"/>
        <w:rPr>
          <w:szCs w:val="22"/>
        </w:rPr>
      </w:pPr>
      <w:r>
        <w:rPr>
          <w:szCs w:val="22"/>
        </w:rPr>
        <w:t xml:space="preserve">It is the appellants’ case that the 1910 Act evidence adds </w:t>
      </w:r>
      <w:r w:rsidR="00740CE2">
        <w:rPr>
          <w:szCs w:val="22"/>
        </w:rPr>
        <w:t xml:space="preserve">further </w:t>
      </w:r>
      <w:r>
        <w:rPr>
          <w:szCs w:val="22"/>
        </w:rPr>
        <w:t xml:space="preserve">weight towards public road status. </w:t>
      </w:r>
      <w:r w:rsidR="00740CE2">
        <w:rPr>
          <w:szCs w:val="22"/>
        </w:rPr>
        <w:t>I</w:t>
      </w:r>
      <w:r>
        <w:rPr>
          <w:szCs w:val="22"/>
        </w:rPr>
        <w:t xml:space="preserve">t submits that, when assessed alongside the totality of the evidence here, this points towards the most likely interpretation of the exclusion of the lane – that it was reputed to be a public vehicular road. </w:t>
      </w:r>
    </w:p>
    <w:p w14:paraId="6AA582D2" w14:textId="77777777" w:rsidR="00B963FA" w:rsidRDefault="00EB0B3E" w:rsidP="0093245B">
      <w:pPr>
        <w:pStyle w:val="Style1"/>
        <w:tabs>
          <w:tab w:val="clear" w:pos="432"/>
          <w:tab w:val="clear" w:pos="862"/>
          <w:tab w:val="num" w:pos="426"/>
        </w:tabs>
        <w:ind w:left="426" w:hanging="426"/>
        <w:rPr>
          <w:szCs w:val="22"/>
        </w:rPr>
      </w:pPr>
      <w:r w:rsidRPr="00FD6469">
        <w:rPr>
          <w:szCs w:val="22"/>
        </w:rPr>
        <w:t>The OS revised its maps of the area in 1920. On the 6</w:t>
      </w:r>
      <w:r w:rsidR="00DE4BC0">
        <w:rPr>
          <w:szCs w:val="22"/>
        </w:rPr>
        <w:t xml:space="preserve"> inch </w:t>
      </w:r>
      <w:r w:rsidRPr="00FD6469">
        <w:rPr>
          <w:szCs w:val="22"/>
        </w:rPr>
        <w:t>to one mile map published in 1925, it depicted the lane with trees at regular intervals within the lane itself</w:t>
      </w:r>
      <w:r w:rsidR="00B963FA" w:rsidRPr="00FD6469">
        <w:rPr>
          <w:szCs w:val="22"/>
        </w:rPr>
        <w:t xml:space="preserve"> but still bounded on both sides throughout </w:t>
      </w:r>
      <w:r w:rsidR="00294485">
        <w:rPr>
          <w:szCs w:val="22"/>
        </w:rPr>
        <w:t xml:space="preserve">its </w:t>
      </w:r>
      <w:r w:rsidR="00B963FA" w:rsidRPr="00FD6469">
        <w:rPr>
          <w:szCs w:val="22"/>
        </w:rPr>
        <w:t>length</w:t>
      </w:r>
      <w:r w:rsidRPr="00FD6469">
        <w:rPr>
          <w:szCs w:val="22"/>
        </w:rPr>
        <w:t>. On the 25” edition of the same date, t</w:t>
      </w:r>
      <w:r w:rsidR="00740CE2">
        <w:rPr>
          <w:szCs w:val="22"/>
        </w:rPr>
        <w:t>he lane</w:t>
      </w:r>
      <w:r w:rsidRPr="00FD6469">
        <w:rPr>
          <w:szCs w:val="22"/>
        </w:rPr>
        <w:t xml:space="preserve"> may have been gated near the former parish boundary. In fact</w:t>
      </w:r>
      <w:r w:rsidR="005E4D18">
        <w:rPr>
          <w:szCs w:val="22"/>
        </w:rPr>
        <w:t>,</w:t>
      </w:r>
      <w:r w:rsidRPr="00FD6469">
        <w:rPr>
          <w:szCs w:val="22"/>
        </w:rPr>
        <w:t xml:space="preserve"> on a</w:t>
      </w:r>
      <w:r w:rsidR="00FD6469" w:rsidRPr="00FD6469">
        <w:rPr>
          <w:szCs w:val="22"/>
        </w:rPr>
        <w:t xml:space="preserve"> 1” to one mile road map published by the OS in 1949,</w:t>
      </w:r>
      <w:r w:rsidR="00FD6469">
        <w:rPr>
          <w:szCs w:val="22"/>
        </w:rPr>
        <w:t xml:space="preserve"> the condition of the </w:t>
      </w:r>
      <w:r w:rsidR="00B963FA" w:rsidRPr="00FD6469">
        <w:rPr>
          <w:szCs w:val="22"/>
        </w:rPr>
        <w:t xml:space="preserve">route </w:t>
      </w:r>
      <w:r w:rsidR="00FD6469">
        <w:rPr>
          <w:szCs w:val="22"/>
        </w:rPr>
        <w:t xml:space="preserve">appears to have </w:t>
      </w:r>
      <w:r w:rsidR="00B963FA" w:rsidRPr="00FD6469">
        <w:rPr>
          <w:szCs w:val="22"/>
        </w:rPr>
        <w:t>deteriorated s</w:t>
      </w:r>
      <w:r w:rsidR="00DE4BC0">
        <w:rPr>
          <w:szCs w:val="22"/>
        </w:rPr>
        <w:t>uch</w:t>
      </w:r>
      <w:r w:rsidR="00FD6469">
        <w:rPr>
          <w:szCs w:val="22"/>
        </w:rPr>
        <w:t xml:space="preserve"> that only the footpath section </w:t>
      </w:r>
      <w:r w:rsidR="00326762" w:rsidRPr="00FD6469">
        <w:rPr>
          <w:szCs w:val="22"/>
        </w:rPr>
        <w:t>east</w:t>
      </w:r>
      <w:r w:rsidR="00DE4BC0">
        <w:rPr>
          <w:szCs w:val="22"/>
        </w:rPr>
        <w:t>wards</w:t>
      </w:r>
      <w:r w:rsidR="00326762" w:rsidRPr="00FD6469">
        <w:rPr>
          <w:szCs w:val="22"/>
        </w:rPr>
        <w:t xml:space="preserve"> from Birch Road </w:t>
      </w:r>
      <w:r w:rsidR="00FD6469">
        <w:rPr>
          <w:szCs w:val="22"/>
        </w:rPr>
        <w:t xml:space="preserve">was included, and </w:t>
      </w:r>
      <w:r w:rsidR="00294485">
        <w:rPr>
          <w:szCs w:val="22"/>
        </w:rPr>
        <w:t>in</w:t>
      </w:r>
      <w:r w:rsidR="00FD6469">
        <w:rPr>
          <w:szCs w:val="22"/>
        </w:rPr>
        <w:t xml:space="preserve"> 1955 an OS 1:25000 map sho</w:t>
      </w:r>
      <w:r w:rsidR="00740CE2">
        <w:rPr>
          <w:szCs w:val="22"/>
        </w:rPr>
        <w:t>we</w:t>
      </w:r>
      <w:r w:rsidR="00FD6469">
        <w:rPr>
          <w:szCs w:val="22"/>
        </w:rPr>
        <w:t xml:space="preserve">d only a faint </w:t>
      </w:r>
      <w:r w:rsidR="00740CE2">
        <w:rPr>
          <w:szCs w:val="22"/>
        </w:rPr>
        <w:t xml:space="preserve">hint </w:t>
      </w:r>
      <w:r w:rsidR="00FD6469">
        <w:rPr>
          <w:szCs w:val="22"/>
        </w:rPr>
        <w:t>of the ro</w:t>
      </w:r>
      <w:r w:rsidR="00DE4BC0">
        <w:rPr>
          <w:szCs w:val="22"/>
        </w:rPr>
        <w:t>ad</w:t>
      </w:r>
      <w:r w:rsidR="00FD6469">
        <w:rPr>
          <w:szCs w:val="22"/>
        </w:rPr>
        <w:t xml:space="preserve"> beyond the footpath section. </w:t>
      </w:r>
    </w:p>
    <w:p w14:paraId="6A98A48D" w14:textId="77777777" w:rsidR="00326762" w:rsidRDefault="00DD5296" w:rsidP="00FD26AE">
      <w:pPr>
        <w:pStyle w:val="Style1"/>
        <w:tabs>
          <w:tab w:val="clear" w:pos="432"/>
          <w:tab w:val="clear" w:pos="862"/>
          <w:tab w:val="num" w:pos="426"/>
        </w:tabs>
        <w:ind w:left="426" w:hanging="426"/>
        <w:rPr>
          <w:szCs w:val="22"/>
        </w:rPr>
      </w:pPr>
      <w:r>
        <w:rPr>
          <w:szCs w:val="22"/>
        </w:rPr>
        <w:t>ECC’s research has shown that, t</w:t>
      </w:r>
      <w:r w:rsidR="007C643E">
        <w:rPr>
          <w:szCs w:val="22"/>
        </w:rPr>
        <w:t xml:space="preserve">hroughout the process of preparing and publishing the definitive map and statement under the National </w:t>
      </w:r>
      <w:r w:rsidR="004C64DB">
        <w:rPr>
          <w:szCs w:val="22"/>
        </w:rPr>
        <w:t>P</w:t>
      </w:r>
      <w:r w:rsidR="007C643E">
        <w:rPr>
          <w:szCs w:val="22"/>
        </w:rPr>
        <w:t>ark</w:t>
      </w:r>
      <w:r w:rsidR="004C64DB">
        <w:rPr>
          <w:szCs w:val="22"/>
        </w:rPr>
        <w:t>s</w:t>
      </w:r>
      <w:r w:rsidR="007C643E">
        <w:rPr>
          <w:szCs w:val="22"/>
        </w:rPr>
        <w:t xml:space="preserve"> and Access to the Countryside Act 19</w:t>
      </w:r>
      <w:r w:rsidR="00C85C97">
        <w:rPr>
          <w:szCs w:val="22"/>
        </w:rPr>
        <w:t>49</w:t>
      </w:r>
      <w:r>
        <w:rPr>
          <w:szCs w:val="22"/>
        </w:rPr>
        <w:t>, the status of the claimed way was n</w:t>
      </w:r>
      <w:r w:rsidR="00DE4BC0">
        <w:rPr>
          <w:szCs w:val="22"/>
        </w:rPr>
        <w:t>ever</w:t>
      </w:r>
      <w:r>
        <w:rPr>
          <w:szCs w:val="22"/>
        </w:rPr>
        <w:t xml:space="preserve"> in question, other than the recording of what is now Footpath 5. Neither was it raised during subsequent reviews.</w:t>
      </w:r>
      <w:r w:rsidR="007C643E">
        <w:rPr>
          <w:szCs w:val="22"/>
        </w:rPr>
        <w:t xml:space="preserve"> </w:t>
      </w:r>
    </w:p>
    <w:p w14:paraId="7CEDB57F" w14:textId="77777777" w:rsidR="00FE0ADB" w:rsidRDefault="004C64DB" w:rsidP="0093245B">
      <w:pPr>
        <w:pStyle w:val="Style1"/>
        <w:tabs>
          <w:tab w:val="clear" w:pos="432"/>
          <w:tab w:val="clear" w:pos="862"/>
          <w:tab w:val="num" w:pos="426"/>
        </w:tabs>
        <w:ind w:left="426" w:hanging="426"/>
        <w:rPr>
          <w:szCs w:val="22"/>
        </w:rPr>
      </w:pPr>
      <w:r w:rsidRPr="00FE0ADB">
        <w:rPr>
          <w:szCs w:val="22"/>
        </w:rPr>
        <w:t>In 1951</w:t>
      </w:r>
      <w:r w:rsidRPr="004C64DB">
        <w:t xml:space="preserve"> </w:t>
      </w:r>
      <w:r>
        <w:t xml:space="preserve">the footpath section was noted as obstructed, overgrown and impassable although it was nonetheless recorded as part of the public path leading eastwards to Fountain Lane. Its physical description is not easy to verify from the early aerial photographs available, starting in 1960, but the series of photos give the impression (from above) of the former lane having become </w:t>
      </w:r>
      <w:r w:rsidR="00294485">
        <w:t>one</w:t>
      </w:r>
      <w:r w:rsidRPr="00FE0ADB">
        <w:rPr>
          <w:szCs w:val="22"/>
        </w:rPr>
        <w:t xml:space="preserve"> thick line of vegetation.</w:t>
      </w:r>
    </w:p>
    <w:p w14:paraId="4658C824" w14:textId="77777777" w:rsidR="00FE0ADB" w:rsidRPr="00FE0ADB" w:rsidRDefault="00FE0ADB" w:rsidP="00FE0ADB">
      <w:pPr>
        <w:pStyle w:val="Style1"/>
        <w:numPr>
          <w:ilvl w:val="0"/>
          <w:numId w:val="0"/>
        </w:numPr>
        <w:tabs>
          <w:tab w:val="clear" w:pos="432"/>
          <w:tab w:val="num" w:pos="426"/>
        </w:tabs>
        <w:rPr>
          <w:b/>
          <w:bCs/>
          <w:szCs w:val="22"/>
        </w:rPr>
      </w:pPr>
      <w:r w:rsidRPr="00FE0ADB">
        <w:rPr>
          <w:b/>
          <w:bCs/>
          <w:szCs w:val="22"/>
        </w:rPr>
        <w:t>Summary and conclusions</w:t>
      </w:r>
    </w:p>
    <w:p w14:paraId="5702E26C" w14:textId="77777777" w:rsidR="00FE0ADB" w:rsidRDefault="00FE0ADB" w:rsidP="00FD26AE">
      <w:pPr>
        <w:pStyle w:val="Style1"/>
        <w:tabs>
          <w:tab w:val="clear" w:pos="432"/>
          <w:tab w:val="clear" w:pos="862"/>
          <w:tab w:val="num" w:pos="426"/>
        </w:tabs>
        <w:ind w:left="426" w:hanging="426"/>
        <w:rPr>
          <w:szCs w:val="22"/>
        </w:rPr>
      </w:pPr>
      <w:r>
        <w:rPr>
          <w:szCs w:val="22"/>
        </w:rPr>
        <w:t>From the evidence presented in this case it is clear that a well-defined lane following the line of the claimed route was in existence as early as 1725 and continued to be bounded on both sides throughout its length for around two centuries</w:t>
      </w:r>
      <w:r w:rsidR="003E2156">
        <w:rPr>
          <w:szCs w:val="22"/>
        </w:rPr>
        <w:t xml:space="preserve"> before the northern (footpath) section was dismantled. There </w:t>
      </w:r>
      <w:r w:rsidR="00DE4BC0">
        <w:rPr>
          <w:szCs w:val="22"/>
        </w:rPr>
        <w:t>is</w:t>
      </w:r>
      <w:r w:rsidR="003E2156">
        <w:rPr>
          <w:szCs w:val="22"/>
        </w:rPr>
        <w:t xml:space="preserve"> </w:t>
      </w:r>
      <w:r w:rsidR="00DE4BC0">
        <w:rPr>
          <w:szCs w:val="22"/>
        </w:rPr>
        <w:t xml:space="preserve">evidence </w:t>
      </w:r>
      <w:r w:rsidR="003E2156">
        <w:rPr>
          <w:szCs w:val="22"/>
        </w:rPr>
        <w:t xml:space="preserve">that towards the end of this period it had become overgrown, and by the mid-twentieth century it was undoubtedly unusable as a through-route, probably for all types of traffic, whether public or private.  </w:t>
      </w:r>
      <w:r>
        <w:rPr>
          <w:szCs w:val="22"/>
        </w:rPr>
        <w:t xml:space="preserve"> </w:t>
      </w:r>
    </w:p>
    <w:p w14:paraId="24B51ECE" w14:textId="77777777" w:rsidR="00466C73" w:rsidRDefault="00FE0ADB" w:rsidP="00FD26AE">
      <w:pPr>
        <w:pStyle w:val="Style1"/>
        <w:tabs>
          <w:tab w:val="clear" w:pos="432"/>
          <w:tab w:val="clear" w:pos="862"/>
          <w:tab w:val="num" w:pos="426"/>
        </w:tabs>
        <w:ind w:left="426" w:hanging="426"/>
        <w:rPr>
          <w:szCs w:val="22"/>
        </w:rPr>
      </w:pPr>
      <w:r>
        <w:rPr>
          <w:szCs w:val="22"/>
        </w:rPr>
        <w:t xml:space="preserve">There is no one piece of evidence that unambiguously confirms its status </w:t>
      </w:r>
      <w:r w:rsidR="003E2156">
        <w:rPr>
          <w:szCs w:val="22"/>
        </w:rPr>
        <w:t xml:space="preserve">either </w:t>
      </w:r>
      <w:r>
        <w:rPr>
          <w:szCs w:val="22"/>
        </w:rPr>
        <w:t>as a public highway or as a private, occupational road</w:t>
      </w:r>
      <w:r w:rsidR="003E2156">
        <w:rPr>
          <w:szCs w:val="22"/>
        </w:rPr>
        <w:t xml:space="preserve"> although arguments are made for both possibilities. The lane was shown on an early commercial county map in 1777 in the same manner as other local vehicular highways, and thereafter continued to exist as a physical entity for well over a century. </w:t>
      </w:r>
      <w:r w:rsidR="00466C73">
        <w:rPr>
          <w:szCs w:val="22"/>
        </w:rPr>
        <w:t>It was similarly included in two other commercial maps in 1885 and the early 1900s although its deteriorating condition was evident from the latter.</w:t>
      </w:r>
    </w:p>
    <w:p w14:paraId="536B88F2" w14:textId="77777777" w:rsidR="00376E54" w:rsidRPr="00DE4BC0" w:rsidRDefault="00466C73" w:rsidP="00C33746">
      <w:pPr>
        <w:pStyle w:val="Style1"/>
        <w:tabs>
          <w:tab w:val="clear" w:pos="432"/>
          <w:tab w:val="clear" w:pos="862"/>
          <w:tab w:val="num" w:pos="426"/>
        </w:tabs>
        <w:ind w:left="426" w:hanging="426"/>
        <w:rPr>
          <w:color w:val="auto"/>
          <w:szCs w:val="22"/>
        </w:rPr>
      </w:pPr>
      <w:r w:rsidRPr="00DE4BC0">
        <w:rPr>
          <w:szCs w:val="22"/>
        </w:rPr>
        <w:t xml:space="preserve">That in itself is not sufficient to confirm the existence of a public carriageway but other reliable records that </w:t>
      </w:r>
      <w:r w:rsidR="0046202A" w:rsidRPr="00DE4BC0">
        <w:rPr>
          <w:szCs w:val="22"/>
        </w:rPr>
        <w:t xml:space="preserve">also </w:t>
      </w:r>
      <w:r w:rsidRPr="00DE4BC0">
        <w:rPr>
          <w:szCs w:val="22"/>
        </w:rPr>
        <w:t>carry weight, such as the tithe records from 1839 and the 1910 Finance Act maps</w:t>
      </w:r>
      <w:r w:rsidR="00A24AB4">
        <w:rPr>
          <w:szCs w:val="22"/>
        </w:rPr>
        <w:t>,</w:t>
      </w:r>
      <w:r w:rsidRPr="00DE4BC0">
        <w:rPr>
          <w:szCs w:val="22"/>
        </w:rPr>
        <w:t xml:space="preserve"> are either consistent with a road of that status or carry a strong possibility of a road with that reputation. </w:t>
      </w:r>
      <w:r w:rsidR="0046202A" w:rsidRPr="00DE4BC0">
        <w:rPr>
          <w:szCs w:val="22"/>
        </w:rPr>
        <w:t xml:space="preserve">Of particular significance, there is no evidence that positively indicates the route was </w:t>
      </w:r>
      <w:r w:rsidR="0046202A" w:rsidRPr="00DE4BC0">
        <w:rPr>
          <w:i/>
          <w:iCs/>
          <w:szCs w:val="22"/>
        </w:rPr>
        <w:t>not</w:t>
      </w:r>
      <w:r w:rsidR="0046202A" w:rsidRPr="00DE4BC0">
        <w:rPr>
          <w:szCs w:val="22"/>
        </w:rPr>
        <w:t xml:space="preserve"> a </w:t>
      </w:r>
      <w:r w:rsidR="0046202A" w:rsidRPr="00DE4BC0">
        <w:rPr>
          <w:szCs w:val="22"/>
        </w:rPr>
        <w:lastRenderedPageBreak/>
        <w:t>vehicular highway</w:t>
      </w:r>
      <w:r w:rsidR="004A19B2">
        <w:rPr>
          <w:szCs w:val="22"/>
        </w:rPr>
        <w:t>, and there is no evidence</w:t>
      </w:r>
      <w:r w:rsidR="004A19B2" w:rsidRPr="00DE4BC0">
        <w:rPr>
          <w:color w:val="auto"/>
          <w:szCs w:val="22"/>
        </w:rPr>
        <w:t xml:space="preserve"> of formal extinguishment</w:t>
      </w:r>
      <w:r w:rsidR="004A19B2">
        <w:rPr>
          <w:color w:val="auto"/>
          <w:szCs w:val="22"/>
        </w:rPr>
        <w:t xml:space="preserve"> of any public thoroughfare</w:t>
      </w:r>
      <w:r w:rsidR="0046202A" w:rsidRPr="00DE4BC0">
        <w:rPr>
          <w:szCs w:val="22"/>
        </w:rPr>
        <w:t xml:space="preserve">. In my view that must lead to a conclusion that a public carriageway has been reasonably alleged to subsist along the claimed route </w:t>
      </w:r>
      <w:r w:rsidR="0046202A" w:rsidRPr="00DE4BC0">
        <w:rPr>
          <w:color w:val="auto"/>
          <w:szCs w:val="22"/>
        </w:rPr>
        <w:t>and that</w:t>
      </w:r>
      <w:r w:rsidR="00DE4BC0">
        <w:rPr>
          <w:color w:val="auto"/>
          <w:szCs w:val="22"/>
        </w:rPr>
        <w:t xml:space="preserve"> such a way would now be classed as a ‘</w:t>
      </w:r>
      <w:r w:rsidR="0046202A" w:rsidRPr="00DE4BC0">
        <w:rPr>
          <w:color w:val="auto"/>
          <w:szCs w:val="22"/>
        </w:rPr>
        <w:t>restricted byway</w:t>
      </w:r>
      <w:r w:rsidR="00DE4BC0">
        <w:rPr>
          <w:color w:val="auto"/>
          <w:szCs w:val="22"/>
        </w:rPr>
        <w:t>’.</w:t>
      </w:r>
      <w:r w:rsidR="0046202A" w:rsidRPr="00DE4BC0">
        <w:rPr>
          <w:color w:val="auto"/>
          <w:szCs w:val="22"/>
        </w:rPr>
        <w:t xml:space="preserve"> </w:t>
      </w:r>
    </w:p>
    <w:p w14:paraId="5F718A06" w14:textId="7142C164" w:rsidR="007A38D7" w:rsidRPr="00A96F00" w:rsidRDefault="007A38D7" w:rsidP="007A38D7">
      <w:pPr>
        <w:pStyle w:val="Style1"/>
        <w:tabs>
          <w:tab w:val="clear" w:pos="862"/>
        </w:tabs>
        <w:ind w:left="432"/>
        <w:rPr>
          <w:color w:val="auto"/>
        </w:rPr>
      </w:pPr>
      <w:r w:rsidRPr="00A96F00">
        <w:rPr>
          <w:color w:val="auto"/>
        </w:rPr>
        <w:t xml:space="preserve">I noted in paragraph </w:t>
      </w:r>
      <w:r w:rsidR="007100BE" w:rsidRPr="00A96F00">
        <w:rPr>
          <w:color w:val="auto"/>
        </w:rPr>
        <w:fldChar w:fldCharType="begin"/>
      </w:r>
      <w:r w:rsidR="007100BE" w:rsidRPr="00A96F00">
        <w:rPr>
          <w:color w:val="auto"/>
        </w:rPr>
        <w:instrText xml:space="preserve"> REF _Ref80885440 \r \h </w:instrText>
      </w:r>
      <w:r w:rsidR="007100BE" w:rsidRPr="00A96F00">
        <w:rPr>
          <w:color w:val="auto"/>
        </w:rPr>
      </w:r>
      <w:r w:rsidR="00A96F00">
        <w:rPr>
          <w:color w:val="auto"/>
        </w:rPr>
        <w:instrText xml:space="preserve"> \* MERGEFORMAT </w:instrText>
      </w:r>
      <w:r w:rsidR="007100BE" w:rsidRPr="00A96F00">
        <w:rPr>
          <w:color w:val="auto"/>
        </w:rPr>
        <w:fldChar w:fldCharType="separate"/>
      </w:r>
      <w:r w:rsidR="001F510C">
        <w:rPr>
          <w:color w:val="auto"/>
        </w:rPr>
        <w:t>12</w:t>
      </w:r>
      <w:r w:rsidR="007100BE" w:rsidRPr="00A96F00">
        <w:rPr>
          <w:color w:val="auto"/>
        </w:rPr>
        <w:fldChar w:fldCharType="end"/>
      </w:r>
      <w:r w:rsidRPr="00A96F00">
        <w:rPr>
          <w:color w:val="auto"/>
        </w:rPr>
        <w:t xml:space="preserve"> above the test to be applied to the length of the appeal route which is presently recorded as a footpath on the definitive map and statement requires that the evidence must show, on the balance of probability, that the higher rights claimed by the appellant subsist. Yet on the basis of the information provided in connection with this appeal, I hesitate to conclude that this higher level of proof is </w:t>
      </w:r>
      <w:r w:rsidR="00640931">
        <w:rPr>
          <w:color w:val="auto"/>
        </w:rPr>
        <w:t>reached</w:t>
      </w:r>
      <w:r w:rsidRPr="00A96F00">
        <w:rPr>
          <w:color w:val="auto"/>
        </w:rPr>
        <w:t xml:space="preserve"> in relation to the entire route when there are questions still to be answered</w:t>
      </w:r>
      <w:r w:rsidR="00376E54" w:rsidRPr="00A96F00">
        <w:rPr>
          <w:color w:val="auto"/>
        </w:rPr>
        <w:t xml:space="preserve"> and (possibly) other evidence to be considered</w:t>
      </w:r>
      <w:r w:rsidRPr="00A96F00">
        <w:rPr>
          <w:color w:val="auto"/>
        </w:rPr>
        <w:t xml:space="preserve">.    </w:t>
      </w:r>
    </w:p>
    <w:p w14:paraId="21C8E76A" w14:textId="77777777" w:rsidR="007A38D7" w:rsidRPr="00A96F00" w:rsidRDefault="007A38D7" w:rsidP="007A38D7">
      <w:pPr>
        <w:pStyle w:val="Style1"/>
        <w:tabs>
          <w:tab w:val="clear" w:pos="862"/>
        </w:tabs>
        <w:ind w:left="432"/>
        <w:rPr>
          <w:color w:val="auto"/>
        </w:rPr>
      </w:pPr>
      <w:r w:rsidRPr="00A96F00">
        <w:rPr>
          <w:color w:val="auto"/>
        </w:rPr>
        <w:t xml:space="preserve">Whilst the different standards of proof to be applied to different sections of the appeal route at this stage could potentially lead to an anomalous outcome, in the determination of any order made as a result of this appeal the same higher level of proof would be required to justify confirmation throughout the whole route, not just parts. </w:t>
      </w:r>
    </w:p>
    <w:p w14:paraId="3362A22E" w14:textId="77777777" w:rsidR="007A38D7" w:rsidRPr="00A96F00" w:rsidRDefault="007A38D7" w:rsidP="007A38D7">
      <w:pPr>
        <w:pStyle w:val="Style1"/>
        <w:tabs>
          <w:tab w:val="clear" w:pos="862"/>
        </w:tabs>
        <w:ind w:left="432"/>
        <w:rPr>
          <w:color w:val="auto"/>
        </w:rPr>
      </w:pPr>
      <w:r w:rsidRPr="00A96F00">
        <w:rPr>
          <w:color w:val="auto"/>
        </w:rPr>
        <w:t xml:space="preserve">My finding that a </w:t>
      </w:r>
      <w:r w:rsidR="00376E54" w:rsidRPr="00A96F00">
        <w:rPr>
          <w:color w:val="auto"/>
        </w:rPr>
        <w:t>restricted by</w:t>
      </w:r>
      <w:r w:rsidRPr="00A96F00">
        <w:rPr>
          <w:color w:val="auto"/>
        </w:rPr>
        <w:t xml:space="preserve">way has been reasonably alleged to subsist over the appeal route leads me to conclude an order should be made to add it to the definitive map.  Whilst I do not find the evidence </w:t>
      </w:r>
      <w:r w:rsidR="007100BE" w:rsidRPr="00A96F00">
        <w:rPr>
          <w:color w:val="auto"/>
        </w:rPr>
        <w:t xml:space="preserve">before me in this appeal </w:t>
      </w:r>
      <w:r w:rsidRPr="00A96F00">
        <w:rPr>
          <w:color w:val="auto"/>
        </w:rPr>
        <w:t xml:space="preserve">sufficiently robust to </w:t>
      </w:r>
      <w:r w:rsidR="004A19B2">
        <w:rPr>
          <w:color w:val="auto"/>
        </w:rPr>
        <w:t xml:space="preserve">confidently </w:t>
      </w:r>
      <w:r w:rsidRPr="00A96F00">
        <w:rPr>
          <w:color w:val="auto"/>
        </w:rPr>
        <w:t xml:space="preserve">conclude, on a balance of probability, that a </w:t>
      </w:r>
      <w:r w:rsidR="007100BE" w:rsidRPr="00A96F00">
        <w:rPr>
          <w:color w:val="auto"/>
        </w:rPr>
        <w:t xml:space="preserve">restricted </w:t>
      </w:r>
      <w:r w:rsidRPr="00A96F00">
        <w:rPr>
          <w:color w:val="auto"/>
        </w:rPr>
        <w:t>b</w:t>
      </w:r>
      <w:r w:rsidR="007100BE" w:rsidRPr="00A96F00">
        <w:rPr>
          <w:color w:val="auto"/>
        </w:rPr>
        <w:t>y</w:t>
      </w:r>
      <w:r w:rsidRPr="00A96F00">
        <w:rPr>
          <w:color w:val="auto"/>
        </w:rPr>
        <w:t>way subsists over the section presently recorded as a footpath, I nonetheless consider the same order should include a proposal to upgrade it for purely pragmatic reasons since this would ensure that</w:t>
      </w:r>
      <w:r w:rsidRPr="00A96F00">
        <w:rPr>
          <w:rFonts w:cs="Verdana"/>
          <w:color w:val="auto"/>
          <w:szCs w:val="22"/>
        </w:rPr>
        <w:t xml:space="preserve">, if objections are raised, the evidence for the whole of the claimed </w:t>
      </w:r>
      <w:r w:rsidR="007100BE" w:rsidRPr="00A96F00">
        <w:rPr>
          <w:rFonts w:cs="Verdana"/>
          <w:color w:val="auto"/>
          <w:szCs w:val="22"/>
        </w:rPr>
        <w:t>restricted byway</w:t>
      </w:r>
      <w:r w:rsidRPr="00A96F00">
        <w:rPr>
          <w:rFonts w:cs="Verdana"/>
          <w:color w:val="auto"/>
          <w:szCs w:val="22"/>
        </w:rPr>
        <w:t xml:space="preserve"> may be more thoroughly tested.</w:t>
      </w:r>
    </w:p>
    <w:p w14:paraId="69F47BED" w14:textId="77777777" w:rsidR="00B22702" w:rsidRPr="00A96F00" w:rsidRDefault="00B22702" w:rsidP="00E43446">
      <w:pPr>
        <w:pStyle w:val="Heading6blackfont"/>
        <w:tabs>
          <w:tab w:val="num" w:pos="426"/>
          <w:tab w:val="left" w:pos="1418"/>
        </w:tabs>
        <w:ind w:left="426" w:hanging="426"/>
        <w:rPr>
          <w:color w:val="auto"/>
        </w:rPr>
      </w:pPr>
      <w:bookmarkStart w:id="5" w:name="bmkPageBreak"/>
      <w:bookmarkEnd w:id="5"/>
      <w:r w:rsidRPr="00A96F00">
        <w:rPr>
          <w:color w:val="auto"/>
        </w:rPr>
        <w:t>Conclusion</w:t>
      </w:r>
    </w:p>
    <w:p w14:paraId="63431C4C" w14:textId="77777777" w:rsidR="00F92553" w:rsidRDefault="00F92553" w:rsidP="00F92553">
      <w:pPr>
        <w:pStyle w:val="Style1"/>
        <w:tabs>
          <w:tab w:val="clear" w:pos="432"/>
          <w:tab w:val="clear" w:pos="862"/>
          <w:tab w:val="num" w:pos="426"/>
          <w:tab w:val="left" w:pos="1418"/>
        </w:tabs>
        <w:ind w:left="426" w:right="-194" w:hanging="426"/>
      </w:pPr>
      <w:r w:rsidRPr="00A96F00">
        <w:rPr>
          <w:color w:val="auto"/>
        </w:rPr>
        <w:t>Having regard to these and all other matters raised in the written representations I conclude that the appeal should be allowed in respect of the claimed route, including</w:t>
      </w:r>
      <w:r>
        <w:t xml:space="preserve"> both sections referred to here as the footpath section and the unrecorded section. </w:t>
      </w:r>
    </w:p>
    <w:p w14:paraId="20A16A5A" w14:textId="77777777" w:rsidR="00F92553" w:rsidRDefault="00F92553" w:rsidP="00F92553">
      <w:pPr>
        <w:pStyle w:val="Heading6blackfont"/>
        <w:tabs>
          <w:tab w:val="num" w:pos="426"/>
          <w:tab w:val="left" w:pos="1418"/>
        </w:tabs>
        <w:ind w:left="426" w:hanging="426"/>
      </w:pPr>
      <w:r>
        <w:t>Formal Decision</w:t>
      </w:r>
    </w:p>
    <w:p w14:paraId="6B79B0E5" w14:textId="77777777" w:rsidR="00F92553" w:rsidRPr="00557A33" w:rsidRDefault="00F92553" w:rsidP="00F92553">
      <w:pPr>
        <w:pStyle w:val="Style1"/>
        <w:tabs>
          <w:tab w:val="clear" w:pos="432"/>
          <w:tab w:val="clear" w:pos="862"/>
          <w:tab w:val="num" w:pos="426"/>
          <w:tab w:val="num" w:pos="720"/>
          <w:tab w:val="left" w:pos="1418"/>
        </w:tabs>
        <w:ind w:left="426" w:hanging="426"/>
      </w:pPr>
      <w:r>
        <w:t xml:space="preserve">In accordance with Paragraph 4(2) of Schedule 14 to the 1981 Act, Essex County Council is </w:t>
      </w:r>
      <w:r w:rsidRPr="008B7E77">
        <w:t xml:space="preserve">directed to make an order under Section 53(2) and Schedule 15 of the Act to modify the definitive map and statement for the area by adding a </w:t>
      </w:r>
      <w:r>
        <w:t xml:space="preserve">restricted </w:t>
      </w:r>
      <w:r w:rsidRPr="008B7E77">
        <w:t>b</w:t>
      </w:r>
      <w:r>
        <w:t>y</w:t>
      </w:r>
      <w:r w:rsidRPr="008B7E77">
        <w:t>way</w:t>
      </w:r>
      <w:r>
        <w:t xml:space="preserve"> (and upgrading part of Footpath 5 Birch to restricted byway status)</w:t>
      </w:r>
      <w:r w:rsidRPr="008B7E77">
        <w:t xml:space="preserve"> as requested by the </w:t>
      </w:r>
      <w:r w:rsidRPr="00557A33">
        <w:t>application dated 2</w:t>
      </w:r>
      <w:r w:rsidR="00557A33" w:rsidRPr="00557A33">
        <w:t>9</w:t>
      </w:r>
      <w:r w:rsidRPr="00557A33">
        <w:t xml:space="preserve"> </w:t>
      </w:r>
      <w:r w:rsidR="00557A33" w:rsidRPr="00557A33">
        <w:t>October</w:t>
      </w:r>
      <w:r w:rsidRPr="00557A33">
        <w:t xml:space="preserve"> </w:t>
      </w:r>
      <w:r w:rsidR="00557A33" w:rsidRPr="00557A33">
        <w:t>2018</w:t>
      </w:r>
      <w:r w:rsidRPr="00557A33">
        <w:t xml:space="preserve">. </w:t>
      </w:r>
    </w:p>
    <w:p w14:paraId="368435DB" w14:textId="77777777" w:rsidR="00F92553" w:rsidRPr="008B7E77" w:rsidRDefault="00F92553" w:rsidP="00F92553">
      <w:pPr>
        <w:pStyle w:val="Style1"/>
        <w:tabs>
          <w:tab w:val="clear" w:pos="432"/>
          <w:tab w:val="clear" w:pos="862"/>
          <w:tab w:val="num" w:pos="426"/>
          <w:tab w:val="num" w:pos="720"/>
          <w:tab w:val="left" w:pos="1418"/>
        </w:tabs>
        <w:ind w:left="426" w:hanging="426"/>
      </w:pPr>
      <w:r w:rsidRPr="008B7E77">
        <w:t xml:space="preserve">This decision is made without prejudice to any decision that may be issued by the Secretary of State in accordance with his powers under Schedule 15 of the 1981 Act. </w:t>
      </w:r>
    </w:p>
    <w:p w14:paraId="0912E55C" w14:textId="77777777" w:rsidR="00B22702" w:rsidRDefault="00B22702" w:rsidP="00B22702">
      <w:pPr>
        <w:pStyle w:val="Style1"/>
        <w:numPr>
          <w:ilvl w:val="0"/>
          <w:numId w:val="0"/>
        </w:numPr>
      </w:pPr>
    </w:p>
    <w:p w14:paraId="34F5A2E2" w14:textId="77777777" w:rsidR="00B22702" w:rsidRDefault="00B22702" w:rsidP="00B22702">
      <w:pPr>
        <w:pStyle w:val="Style1"/>
        <w:numPr>
          <w:ilvl w:val="0"/>
          <w:numId w:val="0"/>
        </w:numPr>
        <w:rPr>
          <w:rFonts w:ascii="Monotype Corsiva" w:hAnsi="Monotype Corsiva"/>
          <w:sz w:val="36"/>
          <w:szCs w:val="36"/>
        </w:rPr>
      </w:pPr>
      <w:r>
        <w:rPr>
          <w:rFonts w:ascii="Monotype Corsiva" w:hAnsi="Monotype Corsiva"/>
          <w:sz w:val="36"/>
          <w:szCs w:val="36"/>
        </w:rPr>
        <w:t>Sue Arnott</w:t>
      </w:r>
    </w:p>
    <w:p w14:paraId="4E76953D" w14:textId="77777777" w:rsidR="002C6E5C" w:rsidRDefault="00B22702" w:rsidP="00765650">
      <w:pPr>
        <w:pStyle w:val="Style1"/>
        <w:numPr>
          <w:ilvl w:val="0"/>
          <w:numId w:val="0"/>
        </w:numPr>
        <w:rPr>
          <w:b/>
        </w:rPr>
      </w:pPr>
      <w:r w:rsidRPr="001630FF">
        <w:rPr>
          <w:b/>
        </w:rPr>
        <w:t>Inspector</w:t>
      </w:r>
    </w:p>
    <w:sectPr w:rsidR="002C6E5C" w:rsidSect="0004625F">
      <w:headerReference w:type="default" r:id="rId12"/>
      <w:footerReference w:type="even" r:id="rId13"/>
      <w:footerReference w:type="default" r:id="rId14"/>
      <w:headerReference w:type="first" r:id="rId15"/>
      <w:footerReference w:type="first" r:id="rId16"/>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F335E" w14:textId="77777777" w:rsidR="00A3396E" w:rsidRDefault="00A3396E" w:rsidP="00F62916">
      <w:r>
        <w:separator/>
      </w:r>
    </w:p>
  </w:endnote>
  <w:endnote w:type="continuationSeparator" w:id="0">
    <w:p w14:paraId="3360A0E2" w14:textId="77777777" w:rsidR="00A3396E" w:rsidRDefault="00A3396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F145"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551FF">
      <w:rPr>
        <w:rStyle w:val="PageNumber"/>
      </w:rPr>
      <w:fldChar w:fldCharType="separate"/>
    </w:r>
    <w:r w:rsidR="00390284">
      <w:rPr>
        <w:rStyle w:val="PageNumber"/>
        <w:noProof/>
      </w:rPr>
      <w:t>10</w:t>
    </w:r>
    <w:r>
      <w:rPr>
        <w:rStyle w:val="PageNumber"/>
      </w:rPr>
      <w:fldChar w:fldCharType="end"/>
    </w:r>
  </w:p>
  <w:p w14:paraId="745A9E35"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F85B" w14:textId="215FEA4B" w:rsidR="00C57B84" w:rsidRDefault="001F510C" w:rsidP="001D1C79">
    <w:pPr>
      <w:pStyle w:val="Noindent"/>
      <w:spacing w:before="60"/>
      <w:jc w:val="center"/>
      <w:rPr>
        <w:rStyle w:val="PageNumber"/>
      </w:rPr>
    </w:pPr>
    <w:r>
      <w:rPr>
        <w:noProof/>
        <w:sz w:val="18"/>
      </w:rPr>
      <mc:AlternateContent>
        <mc:Choice Requires="wps">
          <w:drawing>
            <wp:anchor distT="0" distB="0" distL="114300" distR="114300" simplePos="0" relativeHeight="251658752" behindDoc="0" locked="0" layoutInCell="1" allowOverlap="1" wp14:anchorId="0C43BD83" wp14:editId="307F5EA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9E5A"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3728B3B" w14:textId="77777777" w:rsidR="00C57B84" w:rsidRDefault="00C57B84" w:rsidP="00E11735">
    <w:pPr>
      <w:pStyle w:val="Footer"/>
      <w:ind w:right="-52"/>
      <w:jc w:val="center"/>
    </w:pPr>
    <w:r>
      <w:rPr>
        <w:rStyle w:val="PageNumber"/>
      </w:rPr>
      <w:fldChar w:fldCharType="begin"/>
    </w:r>
    <w:r>
      <w:rPr>
        <w:rStyle w:val="PageNumber"/>
      </w:rPr>
      <w:instrText xml:space="preserve"> PAGE </w:instrText>
    </w:r>
    <w:r>
      <w:rPr>
        <w:rStyle w:val="PageNumber"/>
      </w:rPr>
      <w:fldChar w:fldCharType="separate"/>
    </w:r>
    <w:r w:rsidR="0074254B">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4BC3" w14:textId="3835769C" w:rsidR="00C57B84" w:rsidRDefault="001F510C"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DCA13F2" wp14:editId="4DCFCE9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A397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68CC" w14:textId="77777777" w:rsidR="00A3396E" w:rsidRDefault="00A3396E" w:rsidP="00F62916">
      <w:r>
        <w:separator/>
      </w:r>
    </w:p>
  </w:footnote>
  <w:footnote w:type="continuationSeparator" w:id="0">
    <w:p w14:paraId="776A297D" w14:textId="77777777" w:rsidR="00A3396E" w:rsidRDefault="00A3396E" w:rsidP="00F62916">
      <w:r>
        <w:continuationSeparator/>
      </w:r>
    </w:p>
  </w:footnote>
  <w:footnote w:id="1">
    <w:p w14:paraId="6C6BFE15" w14:textId="77777777" w:rsidR="00A5213F" w:rsidRPr="00D10B67" w:rsidRDefault="00A5213F" w:rsidP="00A5213F">
      <w:pPr>
        <w:pStyle w:val="FootnoteText"/>
        <w:rPr>
          <w:szCs w:val="16"/>
        </w:rPr>
      </w:pPr>
      <w:r>
        <w:rPr>
          <w:rStyle w:val="FootnoteReference"/>
        </w:rPr>
        <w:footnoteRef/>
      </w:r>
      <w:r>
        <w:t xml:space="preserve"> </w:t>
      </w:r>
      <w:r w:rsidRPr="00D10B67">
        <w:rPr>
          <w:szCs w:val="16"/>
        </w:rPr>
        <w:t>The higher test would need to be satisfied to justify confirmation of an order.</w:t>
      </w:r>
    </w:p>
  </w:footnote>
  <w:footnote w:id="2">
    <w:p w14:paraId="05FF5D4D" w14:textId="77777777" w:rsidR="00A5213F" w:rsidRDefault="00A5213F" w:rsidP="00A5213F">
      <w:pPr>
        <w:pStyle w:val="FootnoteText"/>
      </w:pPr>
      <w:r>
        <w:rPr>
          <w:rStyle w:val="FootnoteReference"/>
        </w:rPr>
        <w:footnoteRef/>
      </w:r>
      <w:r>
        <w:t xml:space="preserve"> </w:t>
      </w:r>
      <w:r w:rsidRPr="00C779B2">
        <w:t xml:space="preserve">R v SSE ex </w:t>
      </w:r>
      <w:r w:rsidRPr="00476E73">
        <w:t>parte Bagshaw and Norton</w:t>
      </w:r>
      <w:r>
        <w:t xml:space="preserve"> (</w:t>
      </w:r>
      <w:r w:rsidRPr="00C779B2">
        <w:t>QBD)[1994] 68 P &amp; CR 402, [1995] JPL 1019</w:t>
      </w:r>
    </w:p>
  </w:footnote>
  <w:footnote w:id="3">
    <w:p w14:paraId="30AAF537" w14:textId="77777777" w:rsidR="00A5213F" w:rsidRDefault="00A5213F" w:rsidP="00A5213F">
      <w:pPr>
        <w:pStyle w:val="FootnoteText"/>
      </w:pPr>
      <w:r>
        <w:rPr>
          <w:rStyle w:val="FootnoteReference"/>
        </w:rPr>
        <w:footnoteRef/>
      </w:r>
      <w:r>
        <w:t xml:space="preserve"> </w:t>
      </w:r>
      <w:r w:rsidRPr="00654A9B">
        <w:rPr>
          <w:szCs w:val="22"/>
        </w:rPr>
        <w:t xml:space="preserve">R v SSW ex parte Emery </w:t>
      </w:r>
      <w:r w:rsidRPr="00654A9B">
        <w:t>(QBD) [1996] 4 All ER 1, (CA)[1998] 4 All ER 367, [1998] 96 LGR 83</w:t>
      </w:r>
    </w:p>
  </w:footnote>
  <w:footnote w:id="4">
    <w:p w14:paraId="298E1932" w14:textId="77777777" w:rsidR="00A17ACC" w:rsidRDefault="00A17ACC">
      <w:pPr>
        <w:pStyle w:val="FootnoteText"/>
      </w:pPr>
      <w:r>
        <w:rPr>
          <w:rStyle w:val="FootnoteReference"/>
        </w:rPr>
        <w:footnoteRef/>
      </w:r>
      <w:r>
        <w:t xml:space="preserve"> Dawes v Hawkins [1860]</w:t>
      </w:r>
    </w:p>
  </w:footnote>
  <w:footnote w:id="5">
    <w:p w14:paraId="4B696150" w14:textId="77777777" w:rsidR="00376374" w:rsidRDefault="00376374">
      <w:pPr>
        <w:pStyle w:val="FootnoteText"/>
      </w:pPr>
      <w:r>
        <w:rPr>
          <w:rStyle w:val="FootnoteReference"/>
        </w:rPr>
        <w:footnoteRef/>
      </w:r>
      <w:r>
        <w:t xml:space="preserve"> Aside from pedestrian use of Footpath 5</w:t>
      </w:r>
    </w:p>
  </w:footnote>
  <w:footnote w:id="6">
    <w:p w14:paraId="24C72536" w14:textId="77777777" w:rsidR="00011435" w:rsidRDefault="00011435">
      <w:pPr>
        <w:pStyle w:val="FootnoteText"/>
      </w:pPr>
      <w:r>
        <w:rPr>
          <w:rStyle w:val="FootnoteReference"/>
        </w:rPr>
        <w:footnoteRef/>
      </w:r>
      <w:r>
        <w:t xml:space="preserve"> A</w:t>
      </w:r>
      <w:r w:rsidR="004C2A4A">
        <w:t xml:space="preserve">n observation </w:t>
      </w:r>
      <w:r>
        <w:t xml:space="preserve">noted in </w:t>
      </w:r>
      <w:r w:rsidRPr="00C95C95">
        <w:rPr>
          <w:i/>
        </w:rPr>
        <w:t>Brand &amp; Brand v Philip Lund (Consultants) Ltd Chancery 18 July 1989</w:t>
      </w:r>
    </w:p>
  </w:footnote>
  <w:footnote w:id="7">
    <w:p w14:paraId="06EB58B8" w14:textId="77777777" w:rsidR="004C2A4A" w:rsidRDefault="004C2A4A">
      <w:pPr>
        <w:pStyle w:val="FootnoteText"/>
      </w:pPr>
      <w:r>
        <w:rPr>
          <w:rStyle w:val="FootnoteReference"/>
        </w:rPr>
        <w:footnoteRef/>
      </w:r>
      <w:r>
        <w:t xml:space="preserve"> No date is available for this OS edition but the absence of any roadside trees clearly distinguished it from the 1875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57B84" w14:paraId="42B8361B" w14:textId="77777777">
      <w:tblPrEx>
        <w:tblCellMar>
          <w:top w:w="0" w:type="dxa"/>
          <w:bottom w:w="0" w:type="dxa"/>
        </w:tblCellMar>
      </w:tblPrEx>
      <w:tc>
        <w:tcPr>
          <w:tcW w:w="9520" w:type="dxa"/>
        </w:tcPr>
        <w:p w14:paraId="718CD444" w14:textId="77777777" w:rsidR="00C57B84" w:rsidRDefault="007277A3" w:rsidP="00C16168">
          <w:pPr>
            <w:pStyle w:val="Footer"/>
          </w:pPr>
          <w:r>
            <w:t>Appeal</w:t>
          </w:r>
          <w:r w:rsidR="00DD37E9">
            <w:t xml:space="preserve"> </w:t>
          </w:r>
          <w:r w:rsidR="00DD37E9" w:rsidRPr="00B74C3E">
            <w:t>Decisi</w:t>
          </w:r>
          <w:r w:rsidR="002C6E5C" w:rsidRPr="00B74C3E">
            <w:t xml:space="preserve">on </w:t>
          </w:r>
          <w:r w:rsidR="0076374D">
            <w:t>ROW</w:t>
          </w:r>
          <w:r w:rsidR="00B74C3E" w:rsidRPr="00B74C3E">
            <w:rPr>
              <w:color w:val="000000"/>
            </w:rPr>
            <w:t>/</w:t>
          </w:r>
          <w:r w:rsidR="0076374D">
            <w:rPr>
              <w:color w:val="000000"/>
            </w:rPr>
            <w:t>Z1585</w:t>
          </w:r>
          <w:r w:rsidR="00B74C3E" w:rsidRPr="00B74C3E">
            <w:rPr>
              <w:color w:val="000000"/>
            </w:rPr>
            <w:t>/14A/</w:t>
          </w:r>
          <w:r w:rsidR="00C16168">
            <w:rPr>
              <w:color w:val="000000"/>
            </w:rPr>
            <w:t>2</w:t>
          </w:r>
          <w:r w:rsidR="0076374D">
            <w:rPr>
              <w:color w:val="000000"/>
            </w:rPr>
            <w:t>0</w:t>
          </w:r>
        </w:p>
      </w:tc>
    </w:tr>
  </w:tbl>
  <w:p w14:paraId="300077F6" w14:textId="261960D4" w:rsidR="00C57B84" w:rsidRDefault="001F510C" w:rsidP="00DA1FE1">
    <w:pPr>
      <w:pStyle w:val="Footer"/>
      <w:spacing w:after="120"/>
    </w:pPr>
    <w:r>
      <w:rPr>
        <w:noProof/>
      </w:rPr>
      <mc:AlternateContent>
        <mc:Choice Requires="wps">
          <w:drawing>
            <wp:anchor distT="0" distB="0" distL="114300" distR="114300" simplePos="0" relativeHeight="251657728" behindDoc="0" locked="0" layoutInCell="1" allowOverlap="1" wp14:anchorId="5B0FE7FD" wp14:editId="11C74E74">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ACF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E7A4"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4E3119"/>
    <w:multiLevelType w:val="hybridMultilevel"/>
    <w:tmpl w:val="AF781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862"/>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8"/>
  </w:num>
  <w:num w:numId="8">
    <w:abstractNumId w:val="4"/>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236A"/>
    <w:rsid w:val="0000335F"/>
    <w:rsid w:val="000055E8"/>
    <w:rsid w:val="000070C2"/>
    <w:rsid w:val="00007272"/>
    <w:rsid w:val="00007357"/>
    <w:rsid w:val="00011435"/>
    <w:rsid w:val="0001196D"/>
    <w:rsid w:val="00013C61"/>
    <w:rsid w:val="000151AE"/>
    <w:rsid w:val="000162BC"/>
    <w:rsid w:val="00017289"/>
    <w:rsid w:val="00017E74"/>
    <w:rsid w:val="00020719"/>
    <w:rsid w:val="00020CB8"/>
    <w:rsid w:val="000239E5"/>
    <w:rsid w:val="00024749"/>
    <w:rsid w:val="00024A84"/>
    <w:rsid w:val="00024B6E"/>
    <w:rsid w:val="00030778"/>
    <w:rsid w:val="00031D70"/>
    <w:rsid w:val="000324BB"/>
    <w:rsid w:val="00033B79"/>
    <w:rsid w:val="0003407C"/>
    <w:rsid w:val="00041A8D"/>
    <w:rsid w:val="00046145"/>
    <w:rsid w:val="0004625F"/>
    <w:rsid w:val="000463BA"/>
    <w:rsid w:val="00047A01"/>
    <w:rsid w:val="00050761"/>
    <w:rsid w:val="00051EC3"/>
    <w:rsid w:val="00053135"/>
    <w:rsid w:val="00054706"/>
    <w:rsid w:val="00060782"/>
    <w:rsid w:val="00060B9E"/>
    <w:rsid w:val="000624BF"/>
    <w:rsid w:val="0006329A"/>
    <w:rsid w:val="00065C30"/>
    <w:rsid w:val="00066C96"/>
    <w:rsid w:val="000678D2"/>
    <w:rsid w:val="000701C2"/>
    <w:rsid w:val="000737DE"/>
    <w:rsid w:val="000740C2"/>
    <w:rsid w:val="000741E5"/>
    <w:rsid w:val="00074CA4"/>
    <w:rsid w:val="00077358"/>
    <w:rsid w:val="0007788F"/>
    <w:rsid w:val="000826FE"/>
    <w:rsid w:val="000875A3"/>
    <w:rsid w:val="00087DEC"/>
    <w:rsid w:val="00093DBF"/>
    <w:rsid w:val="00095014"/>
    <w:rsid w:val="00097F9B"/>
    <w:rsid w:val="000A0111"/>
    <w:rsid w:val="000A21CE"/>
    <w:rsid w:val="000A313D"/>
    <w:rsid w:val="000A3E4C"/>
    <w:rsid w:val="000A427E"/>
    <w:rsid w:val="000A4AEB"/>
    <w:rsid w:val="000A64AE"/>
    <w:rsid w:val="000A75E2"/>
    <w:rsid w:val="000B05F5"/>
    <w:rsid w:val="000B0686"/>
    <w:rsid w:val="000B0FEA"/>
    <w:rsid w:val="000B3AC4"/>
    <w:rsid w:val="000B4D75"/>
    <w:rsid w:val="000C3F13"/>
    <w:rsid w:val="000C698E"/>
    <w:rsid w:val="000C6EC9"/>
    <w:rsid w:val="000D0673"/>
    <w:rsid w:val="000D0B90"/>
    <w:rsid w:val="000D2BC2"/>
    <w:rsid w:val="000D64AE"/>
    <w:rsid w:val="000D7592"/>
    <w:rsid w:val="000E0B56"/>
    <w:rsid w:val="000E3DF7"/>
    <w:rsid w:val="000E65FF"/>
    <w:rsid w:val="000F55A8"/>
    <w:rsid w:val="000F5912"/>
    <w:rsid w:val="001000CB"/>
    <w:rsid w:val="00101AD8"/>
    <w:rsid w:val="00103897"/>
    <w:rsid w:val="001047CE"/>
    <w:rsid w:val="00104FC9"/>
    <w:rsid w:val="00107168"/>
    <w:rsid w:val="00110F9D"/>
    <w:rsid w:val="001120DA"/>
    <w:rsid w:val="0011219D"/>
    <w:rsid w:val="00112533"/>
    <w:rsid w:val="00115F3E"/>
    <w:rsid w:val="00121615"/>
    <w:rsid w:val="00121B21"/>
    <w:rsid w:val="00122CE1"/>
    <w:rsid w:val="00123243"/>
    <w:rsid w:val="00123E18"/>
    <w:rsid w:val="001243A2"/>
    <w:rsid w:val="00125E7F"/>
    <w:rsid w:val="00127B8D"/>
    <w:rsid w:val="00127B8F"/>
    <w:rsid w:val="001312AC"/>
    <w:rsid w:val="00131829"/>
    <w:rsid w:val="001339A7"/>
    <w:rsid w:val="00134C79"/>
    <w:rsid w:val="00141723"/>
    <w:rsid w:val="00142CA3"/>
    <w:rsid w:val="00144841"/>
    <w:rsid w:val="00144EC3"/>
    <w:rsid w:val="0014693B"/>
    <w:rsid w:val="0014716E"/>
    <w:rsid w:val="00150BB9"/>
    <w:rsid w:val="00152A90"/>
    <w:rsid w:val="00152C92"/>
    <w:rsid w:val="00154971"/>
    <w:rsid w:val="001551FF"/>
    <w:rsid w:val="0015767F"/>
    <w:rsid w:val="00157EF4"/>
    <w:rsid w:val="001630FF"/>
    <w:rsid w:val="00163279"/>
    <w:rsid w:val="00165A92"/>
    <w:rsid w:val="00166980"/>
    <w:rsid w:val="001676B2"/>
    <w:rsid w:val="00167B80"/>
    <w:rsid w:val="001729B8"/>
    <w:rsid w:val="00172A0A"/>
    <w:rsid w:val="00172F98"/>
    <w:rsid w:val="001742F2"/>
    <w:rsid w:val="001758B7"/>
    <w:rsid w:val="00176A2B"/>
    <w:rsid w:val="001801C6"/>
    <w:rsid w:val="00181AC5"/>
    <w:rsid w:val="00181D5C"/>
    <w:rsid w:val="00182386"/>
    <w:rsid w:val="001830E8"/>
    <w:rsid w:val="00184D37"/>
    <w:rsid w:val="001861D7"/>
    <w:rsid w:val="00187B23"/>
    <w:rsid w:val="00190941"/>
    <w:rsid w:val="00191027"/>
    <w:rsid w:val="001911D4"/>
    <w:rsid w:val="00191238"/>
    <w:rsid w:val="001913D5"/>
    <w:rsid w:val="0019157D"/>
    <w:rsid w:val="001932BA"/>
    <w:rsid w:val="00193B16"/>
    <w:rsid w:val="0019512B"/>
    <w:rsid w:val="001971B8"/>
    <w:rsid w:val="00197B5B"/>
    <w:rsid w:val="001A01CC"/>
    <w:rsid w:val="001A120D"/>
    <w:rsid w:val="001A1B87"/>
    <w:rsid w:val="001A28A9"/>
    <w:rsid w:val="001A4F71"/>
    <w:rsid w:val="001B124E"/>
    <w:rsid w:val="001B1705"/>
    <w:rsid w:val="001B394B"/>
    <w:rsid w:val="001B3C24"/>
    <w:rsid w:val="001B431C"/>
    <w:rsid w:val="001B7B2D"/>
    <w:rsid w:val="001B7C59"/>
    <w:rsid w:val="001C0E2E"/>
    <w:rsid w:val="001C2DC8"/>
    <w:rsid w:val="001C36C8"/>
    <w:rsid w:val="001C7A9A"/>
    <w:rsid w:val="001D0A96"/>
    <w:rsid w:val="001D1C79"/>
    <w:rsid w:val="001D2191"/>
    <w:rsid w:val="001D2C66"/>
    <w:rsid w:val="001D4AC8"/>
    <w:rsid w:val="001D520A"/>
    <w:rsid w:val="001D6CB8"/>
    <w:rsid w:val="001E28E1"/>
    <w:rsid w:val="001E2FE7"/>
    <w:rsid w:val="001E4DC4"/>
    <w:rsid w:val="001E5F71"/>
    <w:rsid w:val="001E6810"/>
    <w:rsid w:val="001F2E1D"/>
    <w:rsid w:val="001F3497"/>
    <w:rsid w:val="001F39A5"/>
    <w:rsid w:val="001F3E40"/>
    <w:rsid w:val="001F413B"/>
    <w:rsid w:val="001F510C"/>
    <w:rsid w:val="001F598F"/>
    <w:rsid w:val="001F6B1E"/>
    <w:rsid w:val="00201A75"/>
    <w:rsid w:val="00202C81"/>
    <w:rsid w:val="002039F7"/>
    <w:rsid w:val="00204FD8"/>
    <w:rsid w:val="00207816"/>
    <w:rsid w:val="00212C8F"/>
    <w:rsid w:val="002162A2"/>
    <w:rsid w:val="00216F63"/>
    <w:rsid w:val="00216F73"/>
    <w:rsid w:val="002174D4"/>
    <w:rsid w:val="00221F46"/>
    <w:rsid w:val="00225F29"/>
    <w:rsid w:val="00232C48"/>
    <w:rsid w:val="00234AF5"/>
    <w:rsid w:val="0023765D"/>
    <w:rsid w:val="0023789E"/>
    <w:rsid w:val="0024150E"/>
    <w:rsid w:val="00242A5E"/>
    <w:rsid w:val="00242B70"/>
    <w:rsid w:val="002458D7"/>
    <w:rsid w:val="00250093"/>
    <w:rsid w:val="00250EF8"/>
    <w:rsid w:val="002536AE"/>
    <w:rsid w:val="002554FB"/>
    <w:rsid w:val="00260F8E"/>
    <w:rsid w:val="002615F9"/>
    <w:rsid w:val="002666C9"/>
    <w:rsid w:val="002678B4"/>
    <w:rsid w:val="0026792B"/>
    <w:rsid w:val="00271B38"/>
    <w:rsid w:val="002746CD"/>
    <w:rsid w:val="00274D05"/>
    <w:rsid w:val="00276769"/>
    <w:rsid w:val="00276C12"/>
    <w:rsid w:val="00280580"/>
    <w:rsid w:val="00281087"/>
    <w:rsid w:val="00285603"/>
    <w:rsid w:val="00287CE5"/>
    <w:rsid w:val="00290EC1"/>
    <w:rsid w:val="00291DA2"/>
    <w:rsid w:val="00292365"/>
    <w:rsid w:val="00294485"/>
    <w:rsid w:val="00296CB6"/>
    <w:rsid w:val="002A4176"/>
    <w:rsid w:val="002A50BB"/>
    <w:rsid w:val="002B239E"/>
    <w:rsid w:val="002B316A"/>
    <w:rsid w:val="002B52BB"/>
    <w:rsid w:val="002C068A"/>
    <w:rsid w:val="002C47F4"/>
    <w:rsid w:val="002C6375"/>
    <w:rsid w:val="002C6661"/>
    <w:rsid w:val="002C6E5C"/>
    <w:rsid w:val="002C73A5"/>
    <w:rsid w:val="002C7731"/>
    <w:rsid w:val="002C79DB"/>
    <w:rsid w:val="002D4C36"/>
    <w:rsid w:val="002E5B14"/>
    <w:rsid w:val="002E5D7E"/>
    <w:rsid w:val="002E6B7A"/>
    <w:rsid w:val="00301D90"/>
    <w:rsid w:val="00301F28"/>
    <w:rsid w:val="0030500E"/>
    <w:rsid w:val="003077B2"/>
    <w:rsid w:val="00316B71"/>
    <w:rsid w:val="00316BDF"/>
    <w:rsid w:val="003206FD"/>
    <w:rsid w:val="0032100A"/>
    <w:rsid w:val="003217E9"/>
    <w:rsid w:val="00321BE2"/>
    <w:rsid w:val="00325123"/>
    <w:rsid w:val="00325951"/>
    <w:rsid w:val="00325C69"/>
    <w:rsid w:val="00326762"/>
    <w:rsid w:val="00331F8C"/>
    <w:rsid w:val="00333E26"/>
    <w:rsid w:val="00334366"/>
    <w:rsid w:val="00334430"/>
    <w:rsid w:val="00343331"/>
    <w:rsid w:val="00343A1F"/>
    <w:rsid w:val="00344294"/>
    <w:rsid w:val="00344375"/>
    <w:rsid w:val="00344CD1"/>
    <w:rsid w:val="00345422"/>
    <w:rsid w:val="00345827"/>
    <w:rsid w:val="0034650B"/>
    <w:rsid w:val="00347923"/>
    <w:rsid w:val="003510CE"/>
    <w:rsid w:val="003512B9"/>
    <w:rsid w:val="00353A93"/>
    <w:rsid w:val="00353E70"/>
    <w:rsid w:val="00354280"/>
    <w:rsid w:val="00355A19"/>
    <w:rsid w:val="00356A63"/>
    <w:rsid w:val="00360664"/>
    <w:rsid w:val="00361193"/>
    <w:rsid w:val="00361890"/>
    <w:rsid w:val="0036492B"/>
    <w:rsid w:val="00364E17"/>
    <w:rsid w:val="00370052"/>
    <w:rsid w:val="003729D6"/>
    <w:rsid w:val="00376374"/>
    <w:rsid w:val="00376E54"/>
    <w:rsid w:val="00382703"/>
    <w:rsid w:val="00382B9E"/>
    <w:rsid w:val="003833BB"/>
    <w:rsid w:val="00385BEB"/>
    <w:rsid w:val="003861E4"/>
    <w:rsid w:val="00390284"/>
    <w:rsid w:val="00390AEE"/>
    <w:rsid w:val="003928D5"/>
    <w:rsid w:val="00393B30"/>
    <w:rsid w:val="00393D0D"/>
    <w:rsid w:val="003941CF"/>
    <w:rsid w:val="003946FB"/>
    <w:rsid w:val="00396080"/>
    <w:rsid w:val="003A0DF6"/>
    <w:rsid w:val="003A34FC"/>
    <w:rsid w:val="003A58A7"/>
    <w:rsid w:val="003A629F"/>
    <w:rsid w:val="003B2FE6"/>
    <w:rsid w:val="003B65D4"/>
    <w:rsid w:val="003B6CAC"/>
    <w:rsid w:val="003C6299"/>
    <w:rsid w:val="003C64A1"/>
    <w:rsid w:val="003D0DDA"/>
    <w:rsid w:val="003D1F07"/>
    <w:rsid w:val="003D3D82"/>
    <w:rsid w:val="003D577F"/>
    <w:rsid w:val="003E08D0"/>
    <w:rsid w:val="003E2156"/>
    <w:rsid w:val="003E4463"/>
    <w:rsid w:val="003E4471"/>
    <w:rsid w:val="003E71CC"/>
    <w:rsid w:val="003F07A6"/>
    <w:rsid w:val="003F0B6E"/>
    <w:rsid w:val="003F0BA3"/>
    <w:rsid w:val="003F1D94"/>
    <w:rsid w:val="003F1FAF"/>
    <w:rsid w:val="003F3572"/>
    <w:rsid w:val="003F75DB"/>
    <w:rsid w:val="003F762F"/>
    <w:rsid w:val="00400F05"/>
    <w:rsid w:val="0040201A"/>
    <w:rsid w:val="00402B9D"/>
    <w:rsid w:val="004133F6"/>
    <w:rsid w:val="00414C02"/>
    <w:rsid w:val="0041539C"/>
    <w:rsid w:val="004156F0"/>
    <w:rsid w:val="0041618C"/>
    <w:rsid w:val="004167F8"/>
    <w:rsid w:val="004177B7"/>
    <w:rsid w:val="00417CEC"/>
    <w:rsid w:val="00420637"/>
    <w:rsid w:val="00420F3E"/>
    <w:rsid w:val="004214C1"/>
    <w:rsid w:val="0042391D"/>
    <w:rsid w:val="004279F3"/>
    <w:rsid w:val="00434FB1"/>
    <w:rsid w:val="00435D9C"/>
    <w:rsid w:val="004375C2"/>
    <w:rsid w:val="00441728"/>
    <w:rsid w:val="0044233A"/>
    <w:rsid w:val="00445B7D"/>
    <w:rsid w:val="00446B0B"/>
    <w:rsid w:val="004474DE"/>
    <w:rsid w:val="00453E15"/>
    <w:rsid w:val="00455AD0"/>
    <w:rsid w:val="00457595"/>
    <w:rsid w:val="004579D5"/>
    <w:rsid w:val="0046030F"/>
    <w:rsid w:val="0046202A"/>
    <w:rsid w:val="00466C73"/>
    <w:rsid w:val="00471B16"/>
    <w:rsid w:val="00476E73"/>
    <w:rsid w:val="0048041A"/>
    <w:rsid w:val="00482BDD"/>
    <w:rsid w:val="00487478"/>
    <w:rsid w:val="004902DB"/>
    <w:rsid w:val="004915A0"/>
    <w:rsid w:val="00492038"/>
    <w:rsid w:val="00496BC8"/>
    <w:rsid w:val="004976CF"/>
    <w:rsid w:val="004A19B2"/>
    <w:rsid w:val="004A24CE"/>
    <w:rsid w:val="004A2EB8"/>
    <w:rsid w:val="004A602B"/>
    <w:rsid w:val="004A75EA"/>
    <w:rsid w:val="004B17C8"/>
    <w:rsid w:val="004B17C9"/>
    <w:rsid w:val="004B46CA"/>
    <w:rsid w:val="004B4F8A"/>
    <w:rsid w:val="004C07CB"/>
    <w:rsid w:val="004C22DF"/>
    <w:rsid w:val="004C2A4A"/>
    <w:rsid w:val="004C531B"/>
    <w:rsid w:val="004C64DB"/>
    <w:rsid w:val="004C7587"/>
    <w:rsid w:val="004D181D"/>
    <w:rsid w:val="004D5098"/>
    <w:rsid w:val="004D6442"/>
    <w:rsid w:val="004D7AD3"/>
    <w:rsid w:val="004E102E"/>
    <w:rsid w:val="004E1EE5"/>
    <w:rsid w:val="004E2126"/>
    <w:rsid w:val="004E6091"/>
    <w:rsid w:val="004E749D"/>
    <w:rsid w:val="004F33E3"/>
    <w:rsid w:val="004F665F"/>
    <w:rsid w:val="004F6D0D"/>
    <w:rsid w:val="004F7665"/>
    <w:rsid w:val="00500BDB"/>
    <w:rsid w:val="005027B1"/>
    <w:rsid w:val="0050338F"/>
    <w:rsid w:val="00504818"/>
    <w:rsid w:val="00504C0B"/>
    <w:rsid w:val="00505D63"/>
    <w:rsid w:val="005060F5"/>
    <w:rsid w:val="00506DB3"/>
    <w:rsid w:val="00507527"/>
    <w:rsid w:val="00507FBA"/>
    <w:rsid w:val="005113B4"/>
    <w:rsid w:val="00512561"/>
    <w:rsid w:val="0052347F"/>
    <w:rsid w:val="00523821"/>
    <w:rsid w:val="00524BD6"/>
    <w:rsid w:val="00526F33"/>
    <w:rsid w:val="00534767"/>
    <w:rsid w:val="005353BC"/>
    <w:rsid w:val="005359D4"/>
    <w:rsid w:val="00535F71"/>
    <w:rsid w:val="0053725B"/>
    <w:rsid w:val="0053728D"/>
    <w:rsid w:val="005401D6"/>
    <w:rsid w:val="00540431"/>
    <w:rsid w:val="00542B4C"/>
    <w:rsid w:val="0054433A"/>
    <w:rsid w:val="0054446F"/>
    <w:rsid w:val="00544A04"/>
    <w:rsid w:val="005473B1"/>
    <w:rsid w:val="00550987"/>
    <w:rsid w:val="00551A2E"/>
    <w:rsid w:val="00551C15"/>
    <w:rsid w:val="005539CC"/>
    <w:rsid w:val="005542E6"/>
    <w:rsid w:val="0055668D"/>
    <w:rsid w:val="0055745C"/>
    <w:rsid w:val="00557A33"/>
    <w:rsid w:val="00561E69"/>
    <w:rsid w:val="00563F1F"/>
    <w:rsid w:val="00564C43"/>
    <w:rsid w:val="0056634F"/>
    <w:rsid w:val="005670E5"/>
    <w:rsid w:val="005701BF"/>
    <w:rsid w:val="00570E35"/>
    <w:rsid w:val="005718AF"/>
    <w:rsid w:val="00571FD4"/>
    <w:rsid w:val="00572879"/>
    <w:rsid w:val="005751CC"/>
    <w:rsid w:val="00580710"/>
    <w:rsid w:val="00583C0D"/>
    <w:rsid w:val="00584D81"/>
    <w:rsid w:val="00585C74"/>
    <w:rsid w:val="00587FB8"/>
    <w:rsid w:val="00590655"/>
    <w:rsid w:val="00591E03"/>
    <w:rsid w:val="00594400"/>
    <w:rsid w:val="005946C9"/>
    <w:rsid w:val="00594BB8"/>
    <w:rsid w:val="005A3932"/>
    <w:rsid w:val="005A3A64"/>
    <w:rsid w:val="005A3DDE"/>
    <w:rsid w:val="005A4ABA"/>
    <w:rsid w:val="005A4BF8"/>
    <w:rsid w:val="005A74D4"/>
    <w:rsid w:val="005A7613"/>
    <w:rsid w:val="005B0FD3"/>
    <w:rsid w:val="005B2B04"/>
    <w:rsid w:val="005B484D"/>
    <w:rsid w:val="005B6008"/>
    <w:rsid w:val="005B625D"/>
    <w:rsid w:val="005B6963"/>
    <w:rsid w:val="005B72FD"/>
    <w:rsid w:val="005B73DD"/>
    <w:rsid w:val="005C1DEE"/>
    <w:rsid w:val="005C27E3"/>
    <w:rsid w:val="005C4360"/>
    <w:rsid w:val="005C689A"/>
    <w:rsid w:val="005C6A26"/>
    <w:rsid w:val="005D06EA"/>
    <w:rsid w:val="005D4092"/>
    <w:rsid w:val="005D4A25"/>
    <w:rsid w:val="005D4CA9"/>
    <w:rsid w:val="005D6A62"/>
    <w:rsid w:val="005D739E"/>
    <w:rsid w:val="005E34FF"/>
    <w:rsid w:val="005E4D18"/>
    <w:rsid w:val="005E52F9"/>
    <w:rsid w:val="005E563E"/>
    <w:rsid w:val="005E725A"/>
    <w:rsid w:val="005F1261"/>
    <w:rsid w:val="005F3775"/>
    <w:rsid w:val="0060135A"/>
    <w:rsid w:val="00602315"/>
    <w:rsid w:val="006029DB"/>
    <w:rsid w:val="00607996"/>
    <w:rsid w:val="006101A3"/>
    <w:rsid w:val="006106A9"/>
    <w:rsid w:val="006134F3"/>
    <w:rsid w:val="00614E46"/>
    <w:rsid w:val="0061767B"/>
    <w:rsid w:val="00620F18"/>
    <w:rsid w:val="00622325"/>
    <w:rsid w:val="00623942"/>
    <w:rsid w:val="0062764F"/>
    <w:rsid w:val="006319E6"/>
    <w:rsid w:val="00634222"/>
    <w:rsid w:val="00635CF1"/>
    <w:rsid w:val="00636947"/>
    <w:rsid w:val="006370CD"/>
    <w:rsid w:val="00640931"/>
    <w:rsid w:val="00644A83"/>
    <w:rsid w:val="0064644B"/>
    <w:rsid w:val="00653558"/>
    <w:rsid w:val="00653D76"/>
    <w:rsid w:val="00654013"/>
    <w:rsid w:val="00654A9B"/>
    <w:rsid w:val="00655ABF"/>
    <w:rsid w:val="00655CEB"/>
    <w:rsid w:val="006570E5"/>
    <w:rsid w:val="0065719B"/>
    <w:rsid w:val="006572A0"/>
    <w:rsid w:val="0066025C"/>
    <w:rsid w:val="00661671"/>
    <w:rsid w:val="0066244D"/>
    <w:rsid w:val="00662A71"/>
    <w:rsid w:val="0066322F"/>
    <w:rsid w:val="0066431D"/>
    <w:rsid w:val="00665957"/>
    <w:rsid w:val="006662B3"/>
    <w:rsid w:val="0067795E"/>
    <w:rsid w:val="00683468"/>
    <w:rsid w:val="00684669"/>
    <w:rsid w:val="0068484F"/>
    <w:rsid w:val="006857CB"/>
    <w:rsid w:val="00690340"/>
    <w:rsid w:val="00693B9C"/>
    <w:rsid w:val="006947B0"/>
    <w:rsid w:val="00695033"/>
    <w:rsid w:val="00695420"/>
    <w:rsid w:val="0069559D"/>
    <w:rsid w:val="006A134E"/>
    <w:rsid w:val="006B2119"/>
    <w:rsid w:val="006B258D"/>
    <w:rsid w:val="006C018C"/>
    <w:rsid w:val="006C0FEF"/>
    <w:rsid w:val="006C485B"/>
    <w:rsid w:val="006C79DF"/>
    <w:rsid w:val="006D044F"/>
    <w:rsid w:val="006D04BC"/>
    <w:rsid w:val="006D2842"/>
    <w:rsid w:val="006D3138"/>
    <w:rsid w:val="006D6526"/>
    <w:rsid w:val="006E12C7"/>
    <w:rsid w:val="006E15E6"/>
    <w:rsid w:val="006E2401"/>
    <w:rsid w:val="006E2823"/>
    <w:rsid w:val="006E2A0D"/>
    <w:rsid w:val="006E2FD8"/>
    <w:rsid w:val="006E3A85"/>
    <w:rsid w:val="006E3B1D"/>
    <w:rsid w:val="006E6DB4"/>
    <w:rsid w:val="006F0CD7"/>
    <w:rsid w:val="006F0D77"/>
    <w:rsid w:val="006F19A2"/>
    <w:rsid w:val="006F529C"/>
    <w:rsid w:val="006F5878"/>
    <w:rsid w:val="006F6496"/>
    <w:rsid w:val="006F6D2B"/>
    <w:rsid w:val="007019A7"/>
    <w:rsid w:val="007024A0"/>
    <w:rsid w:val="00707909"/>
    <w:rsid w:val="00707C32"/>
    <w:rsid w:val="007100BE"/>
    <w:rsid w:val="00713BB9"/>
    <w:rsid w:val="00713DC0"/>
    <w:rsid w:val="00715000"/>
    <w:rsid w:val="00715DA1"/>
    <w:rsid w:val="00720DEF"/>
    <w:rsid w:val="00722520"/>
    <w:rsid w:val="00722CFD"/>
    <w:rsid w:val="00724258"/>
    <w:rsid w:val="0072491D"/>
    <w:rsid w:val="0072575F"/>
    <w:rsid w:val="00725932"/>
    <w:rsid w:val="007277A3"/>
    <w:rsid w:val="00727A84"/>
    <w:rsid w:val="00727E10"/>
    <w:rsid w:val="00730A9C"/>
    <w:rsid w:val="00731052"/>
    <w:rsid w:val="00731DBC"/>
    <w:rsid w:val="00733DE8"/>
    <w:rsid w:val="00735B14"/>
    <w:rsid w:val="00736C51"/>
    <w:rsid w:val="007376F3"/>
    <w:rsid w:val="00740CE2"/>
    <w:rsid w:val="0074175D"/>
    <w:rsid w:val="00741CBA"/>
    <w:rsid w:val="007423DB"/>
    <w:rsid w:val="0074254B"/>
    <w:rsid w:val="00742CAB"/>
    <w:rsid w:val="007443F7"/>
    <w:rsid w:val="00755A06"/>
    <w:rsid w:val="0075688C"/>
    <w:rsid w:val="007573EA"/>
    <w:rsid w:val="007611A1"/>
    <w:rsid w:val="00761CED"/>
    <w:rsid w:val="00762085"/>
    <w:rsid w:val="0076374D"/>
    <w:rsid w:val="007644F0"/>
    <w:rsid w:val="00765650"/>
    <w:rsid w:val="0077131A"/>
    <w:rsid w:val="0077457D"/>
    <w:rsid w:val="00774C3B"/>
    <w:rsid w:val="00775C43"/>
    <w:rsid w:val="00776E1A"/>
    <w:rsid w:val="007808C9"/>
    <w:rsid w:val="00783892"/>
    <w:rsid w:val="007841F2"/>
    <w:rsid w:val="00784DD4"/>
    <w:rsid w:val="00785862"/>
    <w:rsid w:val="0079197F"/>
    <w:rsid w:val="007937EC"/>
    <w:rsid w:val="007942CE"/>
    <w:rsid w:val="00796151"/>
    <w:rsid w:val="00797723"/>
    <w:rsid w:val="00797EE6"/>
    <w:rsid w:val="007A0537"/>
    <w:rsid w:val="007A2A01"/>
    <w:rsid w:val="007A38D7"/>
    <w:rsid w:val="007A491B"/>
    <w:rsid w:val="007A6396"/>
    <w:rsid w:val="007B085A"/>
    <w:rsid w:val="007B0CEE"/>
    <w:rsid w:val="007B4109"/>
    <w:rsid w:val="007B44E9"/>
    <w:rsid w:val="007B57D3"/>
    <w:rsid w:val="007C0C81"/>
    <w:rsid w:val="007C1DBC"/>
    <w:rsid w:val="007C2DAA"/>
    <w:rsid w:val="007C643E"/>
    <w:rsid w:val="007D0816"/>
    <w:rsid w:val="007D2308"/>
    <w:rsid w:val="007D29DD"/>
    <w:rsid w:val="007D3BE4"/>
    <w:rsid w:val="007D4673"/>
    <w:rsid w:val="007D498B"/>
    <w:rsid w:val="007D4BB8"/>
    <w:rsid w:val="007D618D"/>
    <w:rsid w:val="007D65B4"/>
    <w:rsid w:val="007E0AA6"/>
    <w:rsid w:val="007E1C46"/>
    <w:rsid w:val="007E3C60"/>
    <w:rsid w:val="007E5912"/>
    <w:rsid w:val="007F0052"/>
    <w:rsid w:val="007F0DD6"/>
    <w:rsid w:val="007F1352"/>
    <w:rsid w:val="007F2556"/>
    <w:rsid w:val="007F566E"/>
    <w:rsid w:val="007F6501"/>
    <w:rsid w:val="0080063F"/>
    <w:rsid w:val="0080353D"/>
    <w:rsid w:val="00803D09"/>
    <w:rsid w:val="00803D8E"/>
    <w:rsid w:val="00804004"/>
    <w:rsid w:val="00806BFA"/>
    <w:rsid w:val="00813F68"/>
    <w:rsid w:val="00814369"/>
    <w:rsid w:val="008168C5"/>
    <w:rsid w:val="00825436"/>
    <w:rsid w:val="0082573F"/>
    <w:rsid w:val="00826072"/>
    <w:rsid w:val="008264E7"/>
    <w:rsid w:val="00827100"/>
    <w:rsid w:val="0082746E"/>
    <w:rsid w:val="008276F7"/>
    <w:rsid w:val="00827B35"/>
    <w:rsid w:val="00827B63"/>
    <w:rsid w:val="00833231"/>
    <w:rsid w:val="008339FC"/>
    <w:rsid w:val="00834368"/>
    <w:rsid w:val="00837ACB"/>
    <w:rsid w:val="0084064A"/>
    <w:rsid w:val="0084078B"/>
    <w:rsid w:val="008407C9"/>
    <w:rsid w:val="00840A6B"/>
    <w:rsid w:val="00840DB2"/>
    <w:rsid w:val="008433B5"/>
    <w:rsid w:val="008453CB"/>
    <w:rsid w:val="008478D1"/>
    <w:rsid w:val="00851A1B"/>
    <w:rsid w:val="00861EE5"/>
    <w:rsid w:val="00862AB4"/>
    <w:rsid w:val="008646E4"/>
    <w:rsid w:val="00865392"/>
    <w:rsid w:val="00866DC6"/>
    <w:rsid w:val="00866DD9"/>
    <w:rsid w:val="008674B0"/>
    <w:rsid w:val="00875A28"/>
    <w:rsid w:val="00884E1B"/>
    <w:rsid w:val="00885A31"/>
    <w:rsid w:val="008862F8"/>
    <w:rsid w:val="00887915"/>
    <w:rsid w:val="00887AC6"/>
    <w:rsid w:val="00891457"/>
    <w:rsid w:val="00891782"/>
    <w:rsid w:val="008941A6"/>
    <w:rsid w:val="00895662"/>
    <w:rsid w:val="008959E4"/>
    <w:rsid w:val="00895C6A"/>
    <w:rsid w:val="008A03E3"/>
    <w:rsid w:val="008A1924"/>
    <w:rsid w:val="008A2029"/>
    <w:rsid w:val="008A22B9"/>
    <w:rsid w:val="008A333A"/>
    <w:rsid w:val="008B0A49"/>
    <w:rsid w:val="008B3F3A"/>
    <w:rsid w:val="008B7E77"/>
    <w:rsid w:val="008C07FE"/>
    <w:rsid w:val="008C0BB7"/>
    <w:rsid w:val="008C1CD2"/>
    <w:rsid w:val="008C3038"/>
    <w:rsid w:val="008C3EDC"/>
    <w:rsid w:val="008C4EAD"/>
    <w:rsid w:val="008C51F5"/>
    <w:rsid w:val="008C6FA3"/>
    <w:rsid w:val="008C7085"/>
    <w:rsid w:val="008D0068"/>
    <w:rsid w:val="008D0A63"/>
    <w:rsid w:val="008D1F57"/>
    <w:rsid w:val="008D2356"/>
    <w:rsid w:val="008D451B"/>
    <w:rsid w:val="008D58A0"/>
    <w:rsid w:val="008D7C7E"/>
    <w:rsid w:val="008D7FD6"/>
    <w:rsid w:val="008E21FD"/>
    <w:rsid w:val="008E2327"/>
    <w:rsid w:val="008E30EB"/>
    <w:rsid w:val="008E359C"/>
    <w:rsid w:val="008E61F2"/>
    <w:rsid w:val="008E7C05"/>
    <w:rsid w:val="008F2DD2"/>
    <w:rsid w:val="008F3CA0"/>
    <w:rsid w:val="008F3E47"/>
    <w:rsid w:val="00902ED4"/>
    <w:rsid w:val="00910A88"/>
    <w:rsid w:val="00911B07"/>
    <w:rsid w:val="00911BBC"/>
    <w:rsid w:val="00911D1C"/>
    <w:rsid w:val="00913CC2"/>
    <w:rsid w:val="0091493A"/>
    <w:rsid w:val="0091598D"/>
    <w:rsid w:val="00917447"/>
    <w:rsid w:val="00920874"/>
    <w:rsid w:val="0092089A"/>
    <w:rsid w:val="009225DD"/>
    <w:rsid w:val="00923B03"/>
    <w:rsid w:val="00923F06"/>
    <w:rsid w:val="00924AB3"/>
    <w:rsid w:val="0092687E"/>
    <w:rsid w:val="0093245B"/>
    <w:rsid w:val="00934DAE"/>
    <w:rsid w:val="00937F5A"/>
    <w:rsid w:val="00942BBC"/>
    <w:rsid w:val="00944825"/>
    <w:rsid w:val="00944A32"/>
    <w:rsid w:val="00944F05"/>
    <w:rsid w:val="00945606"/>
    <w:rsid w:val="00945771"/>
    <w:rsid w:val="00953255"/>
    <w:rsid w:val="00956538"/>
    <w:rsid w:val="009602E3"/>
    <w:rsid w:val="00960B10"/>
    <w:rsid w:val="00970338"/>
    <w:rsid w:val="00972654"/>
    <w:rsid w:val="00973075"/>
    <w:rsid w:val="00976118"/>
    <w:rsid w:val="0097669C"/>
    <w:rsid w:val="00977259"/>
    <w:rsid w:val="00982ECE"/>
    <w:rsid w:val="009841DA"/>
    <w:rsid w:val="00986453"/>
    <w:rsid w:val="00991007"/>
    <w:rsid w:val="0099103C"/>
    <w:rsid w:val="00992143"/>
    <w:rsid w:val="00993A25"/>
    <w:rsid w:val="009940C3"/>
    <w:rsid w:val="00994B5B"/>
    <w:rsid w:val="00997571"/>
    <w:rsid w:val="00997C8E"/>
    <w:rsid w:val="009A0D64"/>
    <w:rsid w:val="009A463E"/>
    <w:rsid w:val="009A4CF3"/>
    <w:rsid w:val="009A6659"/>
    <w:rsid w:val="009B0106"/>
    <w:rsid w:val="009B0379"/>
    <w:rsid w:val="009B3075"/>
    <w:rsid w:val="009B3FA8"/>
    <w:rsid w:val="009B72ED"/>
    <w:rsid w:val="009B7BD4"/>
    <w:rsid w:val="009C2C8A"/>
    <w:rsid w:val="009C5473"/>
    <w:rsid w:val="009C6A4D"/>
    <w:rsid w:val="009D0C4D"/>
    <w:rsid w:val="009E09BA"/>
    <w:rsid w:val="009E1152"/>
    <w:rsid w:val="009E140C"/>
    <w:rsid w:val="009E1447"/>
    <w:rsid w:val="009F0EF1"/>
    <w:rsid w:val="00A00FCD"/>
    <w:rsid w:val="00A01369"/>
    <w:rsid w:val="00A04267"/>
    <w:rsid w:val="00A04776"/>
    <w:rsid w:val="00A063E8"/>
    <w:rsid w:val="00A0690C"/>
    <w:rsid w:val="00A0730D"/>
    <w:rsid w:val="00A07DDB"/>
    <w:rsid w:val="00A101CD"/>
    <w:rsid w:val="00A10FF0"/>
    <w:rsid w:val="00A11867"/>
    <w:rsid w:val="00A13821"/>
    <w:rsid w:val="00A151BC"/>
    <w:rsid w:val="00A1567B"/>
    <w:rsid w:val="00A1684E"/>
    <w:rsid w:val="00A16DCC"/>
    <w:rsid w:val="00A17333"/>
    <w:rsid w:val="00A17ACC"/>
    <w:rsid w:val="00A21E5B"/>
    <w:rsid w:val="00A24AB4"/>
    <w:rsid w:val="00A30913"/>
    <w:rsid w:val="00A3183B"/>
    <w:rsid w:val="00A3191E"/>
    <w:rsid w:val="00A32874"/>
    <w:rsid w:val="00A3396E"/>
    <w:rsid w:val="00A339EC"/>
    <w:rsid w:val="00A3537A"/>
    <w:rsid w:val="00A3653D"/>
    <w:rsid w:val="00A42463"/>
    <w:rsid w:val="00A42DDD"/>
    <w:rsid w:val="00A5213F"/>
    <w:rsid w:val="00A5608B"/>
    <w:rsid w:val="00A56E9F"/>
    <w:rsid w:val="00A606EF"/>
    <w:rsid w:val="00A60DB3"/>
    <w:rsid w:val="00A627B1"/>
    <w:rsid w:val="00A6289F"/>
    <w:rsid w:val="00A660C1"/>
    <w:rsid w:val="00A70EC0"/>
    <w:rsid w:val="00A729E8"/>
    <w:rsid w:val="00A72A23"/>
    <w:rsid w:val="00A738FF"/>
    <w:rsid w:val="00A764F2"/>
    <w:rsid w:val="00A770CF"/>
    <w:rsid w:val="00A77928"/>
    <w:rsid w:val="00A77951"/>
    <w:rsid w:val="00A77AB4"/>
    <w:rsid w:val="00A77BA2"/>
    <w:rsid w:val="00A77DDC"/>
    <w:rsid w:val="00A80E9D"/>
    <w:rsid w:val="00A87DA0"/>
    <w:rsid w:val="00A90697"/>
    <w:rsid w:val="00A92DBC"/>
    <w:rsid w:val="00A96AF3"/>
    <w:rsid w:val="00A96F00"/>
    <w:rsid w:val="00A97F76"/>
    <w:rsid w:val="00AA09AC"/>
    <w:rsid w:val="00AA253E"/>
    <w:rsid w:val="00AA7D22"/>
    <w:rsid w:val="00AB0BE9"/>
    <w:rsid w:val="00AB0EDC"/>
    <w:rsid w:val="00AB32E7"/>
    <w:rsid w:val="00AB44C8"/>
    <w:rsid w:val="00AB68AE"/>
    <w:rsid w:val="00AB6A9E"/>
    <w:rsid w:val="00AB74A5"/>
    <w:rsid w:val="00AC0C59"/>
    <w:rsid w:val="00AC0CFE"/>
    <w:rsid w:val="00AC1823"/>
    <w:rsid w:val="00AC2A46"/>
    <w:rsid w:val="00AC49E3"/>
    <w:rsid w:val="00AC512D"/>
    <w:rsid w:val="00AC6FFF"/>
    <w:rsid w:val="00AD02FD"/>
    <w:rsid w:val="00AD0E39"/>
    <w:rsid w:val="00AD2257"/>
    <w:rsid w:val="00AD2F56"/>
    <w:rsid w:val="00AD41B6"/>
    <w:rsid w:val="00AD7023"/>
    <w:rsid w:val="00AE2E60"/>
    <w:rsid w:val="00AE2E84"/>
    <w:rsid w:val="00AF0FA4"/>
    <w:rsid w:val="00AF1FFD"/>
    <w:rsid w:val="00AF6EB2"/>
    <w:rsid w:val="00B0080D"/>
    <w:rsid w:val="00B01215"/>
    <w:rsid w:val="00B04701"/>
    <w:rsid w:val="00B049F2"/>
    <w:rsid w:val="00B0719E"/>
    <w:rsid w:val="00B1073C"/>
    <w:rsid w:val="00B113A1"/>
    <w:rsid w:val="00B119C1"/>
    <w:rsid w:val="00B16527"/>
    <w:rsid w:val="00B22702"/>
    <w:rsid w:val="00B26F12"/>
    <w:rsid w:val="00B32F7C"/>
    <w:rsid w:val="00B330AB"/>
    <w:rsid w:val="00B40127"/>
    <w:rsid w:val="00B42554"/>
    <w:rsid w:val="00B45A65"/>
    <w:rsid w:val="00B4787F"/>
    <w:rsid w:val="00B52E66"/>
    <w:rsid w:val="00B5404C"/>
    <w:rsid w:val="00B55CDD"/>
    <w:rsid w:val="00B56990"/>
    <w:rsid w:val="00B5754E"/>
    <w:rsid w:val="00B61A59"/>
    <w:rsid w:val="00B62B80"/>
    <w:rsid w:val="00B62F5B"/>
    <w:rsid w:val="00B71A68"/>
    <w:rsid w:val="00B730CD"/>
    <w:rsid w:val="00B74497"/>
    <w:rsid w:val="00B74C3E"/>
    <w:rsid w:val="00B7688C"/>
    <w:rsid w:val="00B80746"/>
    <w:rsid w:val="00B81A17"/>
    <w:rsid w:val="00B81D82"/>
    <w:rsid w:val="00B84FE5"/>
    <w:rsid w:val="00B87CC7"/>
    <w:rsid w:val="00B925A5"/>
    <w:rsid w:val="00B953E8"/>
    <w:rsid w:val="00B963FA"/>
    <w:rsid w:val="00B9760F"/>
    <w:rsid w:val="00BA3064"/>
    <w:rsid w:val="00BA5750"/>
    <w:rsid w:val="00BA64F6"/>
    <w:rsid w:val="00BA6A17"/>
    <w:rsid w:val="00BB11B5"/>
    <w:rsid w:val="00BB17BF"/>
    <w:rsid w:val="00BC4B16"/>
    <w:rsid w:val="00BC4F66"/>
    <w:rsid w:val="00BC70EF"/>
    <w:rsid w:val="00BC7AA5"/>
    <w:rsid w:val="00BD09CD"/>
    <w:rsid w:val="00BD4449"/>
    <w:rsid w:val="00BD54FB"/>
    <w:rsid w:val="00BE3467"/>
    <w:rsid w:val="00BE61B6"/>
    <w:rsid w:val="00BE735D"/>
    <w:rsid w:val="00BF06CE"/>
    <w:rsid w:val="00BF4716"/>
    <w:rsid w:val="00BF5F8A"/>
    <w:rsid w:val="00BF7054"/>
    <w:rsid w:val="00BF7CA8"/>
    <w:rsid w:val="00C00E8A"/>
    <w:rsid w:val="00C00EF3"/>
    <w:rsid w:val="00C01750"/>
    <w:rsid w:val="00C036D5"/>
    <w:rsid w:val="00C03E0B"/>
    <w:rsid w:val="00C0588F"/>
    <w:rsid w:val="00C06B15"/>
    <w:rsid w:val="00C07DE2"/>
    <w:rsid w:val="00C1030A"/>
    <w:rsid w:val="00C11BD0"/>
    <w:rsid w:val="00C14ABE"/>
    <w:rsid w:val="00C15271"/>
    <w:rsid w:val="00C15838"/>
    <w:rsid w:val="00C16168"/>
    <w:rsid w:val="00C17388"/>
    <w:rsid w:val="00C2149E"/>
    <w:rsid w:val="00C21DB7"/>
    <w:rsid w:val="00C260D5"/>
    <w:rsid w:val="00C274BD"/>
    <w:rsid w:val="00C27509"/>
    <w:rsid w:val="00C279FC"/>
    <w:rsid w:val="00C27BF7"/>
    <w:rsid w:val="00C31325"/>
    <w:rsid w:val="00C31890"/>
    <w:rsid w:val="00C322C0"/>
    <w:rsid w:val="00C33746"/>
    <w:rsid w:val="00C37526"/>
    <w:rsid w:val="00C40226"/>
    <w:rsid w:val="00C40EA6"/>
    <w:rsid w:val="00C41ADD"/>
    <w:rsid w:val="00C43A9C"/>
    <w:rsid w:val="00C44672"/>
    <w:rsid w:val="00C46D46"/>
    <w:rsid w:val="00C5148B"/>
    <w:rsid w:val="00C5189E"/>
    <w:rsid w:val="00C51C93"/>
    <w:rsid w:val="00C520A7"/>
    <w:rsid w:val="00C54557"/>
    <w:rsid w:val="00C54C5F"/>
    <w:rsid w:val="00C57B84"/>
    <w:rsid w:val="00C611FB"/>
    <w:rsid w:val="00C6361B"/>
    <w:rsid w:val="00C6551F"/>
    <w:rsid w:val="00C67671"/>
    <w:rsid w:val="00C67DD1"/>
    <w:rsid w:val="00C70B03"/>
    <w:rsid w:val="00C712BD"/>
    <w:rsid w:val="00C713D4"/>
    <w:rsid w:val="00C72335"/>
    <w:rsid w:val="00C72638"/>
    <w:rsid w:val="00C75DF9"/>
    <w:rsid w:val="00C775BF"/>
    <w:rsid w:val="00C81007"/>
    <w:rsid w:val="00C82FAA"/>
    <w:rsid w:val="00C8343C"/>
    <w:rsid w:val="00C857CB"/>
    <w:rsid w:val="00C85C97"/>
    <w:rsid w:val="00C8740F"/>
    <w:rsid w:val="00C91925"/>
    <w:rsid w:val="00C93009"/>
    <w:rsid w:val="00CA03A8"/>
    <w:rsid w:val="00CA08BD"/>
    <w:rsid w:val="00CA240C"/>
    <w:rsid w:val="00CA5304"/>
    <w:rsid w:val="00CA56A2"/>
    <w:rsid w:val="00CA5C4C"/>
    <w:rsid w:val="00CB21D1"/>
    <w:rsid w:val="00CB6561"/>
    <w:rsid w:val="00CC0A22"/>
    <w:rsid w:val="00CC14ED"/>
    <w:rsid w:val="00CC1D0D"/>
    <w:rsid w:val="00CC34B8"/>
    <w:rsid w:val="00CC3B75"/>
    <w:rsid w:val="00CC3BEB"/>
    <w:rsid w:val="00CC749F"/>
    <w:rsid w:val="00CC79AD"/>
    <w:rsid w:val="00CD0716"/>
    <w:rsid w:val="00CD26CC"/>
    <w:rsid w:val="00CD4367"/>
    <w:rsid w:val="00CD74E4"/>
    <w:rsid w:val="00CE06CF"/>
    <w:rsid w:val="00CE21C0"/>
    <w:rsid w:val="00CE5D1E"/>
    <w:rsid w:val="00CE7BDA"/>
    <w:rsid w:val="00CF0D1D"/>
    <w:rsid w:val="00CF154B"/>
    <w:rsid w:val="00CF18FB"/>
    <w:rsid w:val="00CF1C1A"/>
    <w:rsid w:val="00CF73E0"/>
    <w:rsid w:val="00D10B67"/>
    <w:rsid w:val="00D125BE"/>
    <w:rsid w:val="00D133AE"/>
    <w:rsid w:val="00D151C6"/>
    <w:rsid w:val="00D16DA0"/>
    <w:rsid w:val="00D17A44"/>
    <w:rsid w:val="00D20B2A"/>
    <w:rsid w:val="00D21C3A"/>
    <w:rsid w:val="00D25AA9"/>
    <w:rsid w:val="00D27099"/>
    <w:rsid w:val="00D30D59"/>
    <w:rsid w:val="00D323D4"/>
    <w:rsid w:val="00D3375E"/>
    <w:rsid w:val="00D354A3"/>
    <w:rsid w:val="00D36380"/>
    <w:rsid w:val="00D45264"/>
    <w:rsid w:val="00D5453A"/>
    <w:rsid w:val="00D555DA"/>
    <w:rsid w:val="00D56F98"/>
    <w:rsid w:val="00D57381"/>
    <w:rsid w:val="00D623EE"/>
    <w:rsid w:val="00D630E2"/>
    <w:rsid w:val="00D634A6"/>
    <w:rsid w:val="00D63795"/>
    <w:rsid w:val="00D63ABE"/>
    <w:rsid w:val="00D678A5"/>
    <w:rsid w:val="00D712B3"/>
    <w:rsid w:val="00D74F26"/>
    <w:rsid w:val="00D75175"/>
    <w:rsid w:val="00D77755"/>
    <w:rsid w:val="00D84B81"/>
    <w:rsid w:val="00D85B98"/>
    <w:rsid w:val="00D860E9"/>
    <w:rsid w:val="00D91721"/>
    <w:rsid w:val="00D93403"/>
    <w:rsid w:val="00D94097"/>
    <w:rsid w:val="00D94483"/>
    <w:rsid w:val="00D94856"/>
    <w:rsid w:val="00D94EC1"/>
    <w:rsid w:val="00D97461"/>
    <w:rsid w:val="00DA1217"/>
    <w:rsid w:val="00DA1BF0"/>
    <w:rsid w:val="00DA1FE1"/>
    <w:rsid w:val="00DA2512"/>
    <w:rsid w:val="00DA5291"/>
    <w:rsid w:val="00DA7A7D"/>
    <w:rsid w:val="00DB17CC"/>
    <w:rsid w:val="00DB39C3"/>
    <w:rsid w:val="00DB6DC3"/>
    <w:rsid w:val="00DB7937"/>
    <w:rsid w:val="00DC0ED6"/>
    <w:rsid w:val="00DC10F9"/>
    <w:rsid w:val="00DC3769"/>
    <w:rsid w:val="00DC4848"/>
    <w:rsid w:val="00DC539A"/>
    <w:rsid w:val="00DD0D89"/>
    <w:rsid w:val="00DD37C2"/>
    <w:rsid w:val="00DD37E9"/>
    <w:rsid w:val="00DD5296"/>
    <w:rsid w:val="00DD5A0B"/>
    <w:rsid w:val="00DD63D1"/>
    <w:rsid w:val="00DE1587"/>
    <w:rsid w:val="00DE33EB"/>
    <w:rsid w:val="00DE4275"/>
    <w:rsid w:val="00DE4375"/>
    <w:rsid w:val="00DE4BC0"/>
    <w:rsid w:val="00DE5AF8"/>
    <w:rsid w:val="00DE6E5C"/>
    <w:rsid w:val="00DE7616"/>
    <w:rsid w:val="00DF5370"/>
    <w:rsid w:val="00E03921"/>
    <w:rsid w:val="00E079EF"/>
    <w:rsid w:val="00E11244"/>
    <w:rsid w:val="00E11735"/>
    <w:rsid w:val="00E11792"/>
    <w:rsid w:val="00E12FA9"/>
    <w:rsid w:val="00E141ED"/>
    <w:rsid w:val="00E168CF"/>
    <w:rsid w:val="00E16CAE"/>
    <w:rsid w:val="00E1782C"/>
    <w:rsid w:val="00E17C84"/>
    <w:rsid w:val="00E2678B"/>
    <w:rsid w:val="00E2729E"/>
    <w:rsid w:val="00E337CD"/>
    <w:rsid w:val="00E33F88"/>
    <w:rsid w:val="00E37272"/>
    <w:rsid w:val="00E41FEF"/>
    <w:rsid w:val="00E43446"/>
    <w:rsid w:val="00E451E0"/>
    <w:rsid w:val="00E4606F"/>
    <w:rsid w:val="00E46209"/>
    <w:rsid w:val="00E50C92"/>
    <w:rsid w:val="00E515DB"/>
    <w:rsid w:val="00E51A2B"/>
    <w:rsid w:val="00E528D8"/>
    <w:rsid w:val="00E539D2"/>
    <w:rsid w:val="00E53A1B"/>
    <w:rsid w:val="00E54F7C"/>
    <w:rsid w:val="00E555DB"/>
    <w:rsid w:val="00E65BA9"/>
    <w:rsid w:val="00E72298"/>
    <w:rsid w:val="00E738CC"/>
    <w:rsid w:val="00E73A3C"/>
    <w:rsid w:val="00E75F97"/>
    <w:rsid w:val="00E75F9E"/>
    <w:rsid w:val="00E766F6"/>
    <w:rsid w:val="00E8413C"/>
    <w:rsid w:val="00E85371"/>
    <w:rsid w:val="00E85F38"/>
    <w:rsid w:val="00E8675A"/>
    <w:rsid w:val="00E8788F"/>
    <w:rsid w:val="00E90588"/>
    <w:rsid w:val="00E90DF1"/>
    <w:rsid w:val="00E9288E"/>
    <w:rsid w:val="00E93AC0"/>
    <w:rsid w:val="00E94082"/>
    <w:rsid w:val="00EA342A"/>
    <w:rsid w:val="00EA34A2"/>
    <w:rsid w:val="00EA3876"/>
    <w:rsid w:val="00EA406E"/>
    <w:rsid w:val="00EA52D3"/>
    <w:rsid w:val="00EA589F"/>
    <w:rsid w:val="00EA5F49"/>
    <w:rsid w:val="00EA6447"/>
    <w:rsid w:val="00EA6FC2"/>
    <w:rsid w:val="00EB0B3E"/>
    <w:rsid w:val="00EB193C"/>
    <w:rsid w:val="00EB2329"/>
    <w:rsid w:val="00EB2FEB"/>
    <w:rsid w:val="00EB3E52"/>
    <w:rsid w:val="00EB41D8"/>
    <w:rsid w:val="00EB4E03"/>
    <w:rsid w:val="00EB5B18"/>
    <w:rsid w:val="00EB739F"/>
    <w:rsid w:val="00EC00A1"/>
    <w:rsid w:val="00EC4CC5"/>
    <w:rsid w:val="00EC6C11"/>
    <w:rsid w:val="00EC7C52"/>
    <w:rsid w:val="00ED11D7"/>
    <w:rsid w:val="00ED32F9"/>
    <w:rsid w:val="00ED3727"/>
    <w:rsid w:val="00ED39B9"/>
    <w:rsid w:val="00ED3FF4"/>
    <w:rsid w:val="00ED43FE"/>
    <w:rsid w:val="00ED5989"/>
    <w:rsid w:val="00EE488F"/>
    <w:rsid w:val="00EE550A"/>
    <w:rsid w:val="00EE5AC4"/>
    <w:rsid w:val="00EE7EC4"/>
    <w:rsid w:val="00EF0694"/>
    <w:rsid w:val="00EF2E2C"/>
    <w:rsid w:val="00EF3B0F"/>
    <w:rsid w:val="00EF5820"/>
    <w:rsid w:val="00EF6FDE"/>
    <w:rsid w:val="00EF740D"/>
    <w:rsid w:val="00F07B60"/>
    <w:rsid w:val="00F11C4B"/>
    <w:rsid w:val="00F11E4A"/>
    <w:rsid w:val="00F1307A"/>
    <w:rsid w:val="00F13C9C"/>
    <w:rsid w:val="00F14239"/>
    <w:rsid w:val="00F15A93"/>
    <w:rsid w:val="00F1646C"/>
    <w:rsid w:val="00F211B3"/>
    <w:rsid w:val="00F219FE"/>
    <w:rsid w:val="00F22375"/>
    <w:rsid w:val="00F26E1E"/>
    <w:rsid w:val="00F30582"/>
    <w:rsid w:val="00F33A2B"/>
    <w:rsid w:val="00F36571"/>
    <w:rsid w:val="00F36A49"/>
    <w:rsid w:val="00F40189"/>
    <w:rsid w:val="00F43FF0"/>
    <w:rsid w:val="00F44351"/>
    <w:rsid w:val="00F45F59"/>
    <w:rsid w:val="00F4755B"/>
    <w:rsid w:val="00F548D7"/>
    <w:rsid w:val="00F55264"/>
    <w:rsid w:val="00F57902"/>
    <w:rsid w:val="00F605CE"/>
    <w:rsid w:val="00F60DBA"/>
    <w:rsid w:val="00F61551"/>
    <w:rsid w:val="00F62916"/>
    <w:rsid w:val="00F63376"/>
    <w:rsid w:val="00F63D9A"/>
    <w:rsid w:val="00F64A71"/>
    <w:rsid w:val="00F706F3"/>
    <w:rsid w:val="00F71BE2"/>
    <w:rsid w:val="00F72229"/>
    <w:rsid w:val="00F7363F"/>
    <w:rsid w:val="00F75527"/>
    <w:rsid w:val="00F80762"/>
    <w:rsid w:val="00F80F2E"/>
    <w:rsid w:val="00F82B8C"/>
    <w:rsid w:val="00F91142"/>
    <w:rsid w:val="00F92553"/>
    <w:rsid w:val="00F92622"/>
    <w:rsid w:val="00F93C34"/>
    <w:rsid w:val="00F94B70"/>
    <w:rsid w:val="00F956B2"/>
    <w:rsid w:val="00FA02D2"/>
    <w:rsid w:val="00FA05EF"/>
    <w:rsid w:val="00FA18D2"/>
    <w:rsid w:val="00FA6185"/>
    <w:rsid w:val="00FB0BE2"/>
    <w:rsid w:val="00FB21DD"/>
    <w:rsid w:val="00FB6CC7"/>
    <w:rsid w:val="00FB743C"/>
    <w:rsid w:val="00FC1F16"/>
    <w:rsid w:val="00FC3653"/>
    <w:rsid w:val="00FC3B89"/>
    <w:rsid w:val="00FD26AE"/>
    <w:rsid w:val="00FD3045"/>
    <w:rsid w:val="00FD307B"/>
    <w:rsid w:val="00FD3A5B"/>
    <w:rsid w:val="00FD4F2C"/>
    <w:rsid w:val="00FD6469"/>
    <w:rsid w:val="00FE0646"/>
    <w:rsid w:val="00FE0ADB"/>
    <w:rsid w:val="00FE3E82"/>
    <w:rsid w:val="00FE53CE"/>
    <w:rsid w:val="00FE6402"/>
    <w:rsid w:val="00FE653F"/>
    <w:rsid w:val="00FE68E4"/>
    <w:rsid w:val="00FE6B66"/>
    <w:rsid w:val="00FE7BAB"/>
    <w:rsid w:val="00FF0ECF"/>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FD586"/>
  <w15:chartTrackingRefBased/>
  <w15:docId w15:val="{8423484B-14D9-4582-84B4-49319AF2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8453CB"/>
    <w:rPr>
      <w:vertAlign w:val="superscript"/>
    </w:rPr>
  </w:style>
  <w:style w:type="paragraph" w:styleId="BalloonText">
    <w:name w:val="Balloon Text"/>
    <w:basedOn w:val="Normal"/>
    <w:semiHidden/>
    <w:rsid w:val="00292365"/>
    <w:rPr>
      <w:rFonts w:ascii="Tahoma" w:hAnsi="Tahoma" w:cs="Tahoma"/>
      <w:sz w:val="16"/>
      <w:szCs w:val="16"/>
    </w:rPr>
  </w:style>
  <w:style w:type="paragraph" w:customStyle="1" w:styleId="Default">
    <w:name w:val="Default"/>
    <w:rsid w:val="0055098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55941735">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965F-0226-4278-8CA0-40FDA4915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03BA9-AC97-46BD-B59D-E72A40BCF1DC}">
  <ds:schemaRefs>
    <ds:schemaRef ds:uri="http://schemas.microsoft.com/sharepoint/v3/contenttype/forms"/>
  </ds:schemaRefs>
</ds:datastoreItem>
</file>

<file path=customXml/itemProps3.xml><?xml version="1.0" encoding="utf-8"?>
<ds:datastoreItem xmlns:ds="http://schemas.openxmlformats.org/officeDocument/2006/customXml" ds:itemID="{4CF04D79-3D8A-4409-9352-BA047F45042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7D20A83-2AE9-4682-BF56-868BFB47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6</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Sch 14 Sidmouth</vt:lpstr>
    </vt:vector>
  </TitlesOfParts>
  <Company>Department for Communities and Local Government</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14 Sidmouth</dc:title>
  <dc:subject/>
  <dc:creator>Sue Arnott</dc:creator>
  <cp:keywords/>
  <cp:lastModifiedBy>Baylis, Caroline</cp:lastModifiedBy>
  <cp:revision>2</cp:revision>
  <cp:lastPrinted>2021-09-10T11:17:00Z</cp:lastPrinted>
  <dcterms:created xsi:type="dcterms:W3CDTF">2021-09-10T11:22:00Z</dcterms:created>
  <dcterms:modified xsi:type="dcterms:W3CDTF">2021-09-10T11:22:00Z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69e6cf60-825f-4e2b-a40f-dc38ef791c1a</vt:lpwstr>
  </property>
  <property fmtid="{D5CDD505-2E9C-101B-9397-08002B2CF9AE}" pid="6" name="bjSaver">
    <vt:lpwstr>0/D4LLz8KFefsUvlL+kY9eX383ag8/Wh</vt:lpwstr>
  </property>
  <property fmtid="{D5CDD505-2E9C-101B-9397-08002B2CF9AE}" pid="7" name="bjDocumentSecurityLabel">
    <vt:lpwstr>No Marking</vt:lpwstr>
  </property>
</Properties>
</file>