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A7A7" w14:textId="4A31A402" w:rsidR="009F0DC2" w:rsidRPr="009F0DC2" w:rsidRDefault="009F0DC2" w:rsidP="009F0DC2">
      <w:pPr>
        <w:ind w:firstLine="720"/>
        <w:rPr>
          <w:sz w:val="28"/>
          <w:szCs w:val="28"/>
        </w:rPr>
      </w:pPr>
      <w:bookmarkStart w:id="0" w:name="_Toc79573406"/>
      <w:r w:rsidRPr="009F0DC2">
        <w:rPr>
          <w:b/>
          <w:sz w:val="28"/>
          <w:szCs w:val="28"/>
        </w:rPr>
        <w:t>MSF1375</w:t>
      </w:r>
    </w:p>
    <w:p w14:paraId="44322BA1" w14:textId="519BDF12" w:rsidR="0092779E" w:rsidRDefault="00A8760D">
      <w:pPr>
        <w:pStyle w:val="Heading1"/>
        <w:ind w:firstLine="72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ANNEX 4 – ANNUAL SELF CERTIFICATION FORM</w:t>
      </w:r>
      <w:bookmarkEnd w:id="0"/>
    </w:p>
    <w:p w14:paraId="44322BA2" w14:textId="622F74AC" w:rsidR="0092779E" w:rsidRDefault="0092779E">
      <w:pPr>
        <w:spacing w:after="10"/>
        <w:ind w:left="-5" w:firstLine="725"/>
        <w:rPr>
          <w:b/>
        </w:rPr>
      </w:pPr>
    </w:p>
    <w:tbl>
      <w:tblPr>
        <w:tblW w:w="9209" w:type="dxa"/>
        <w:tblInd w:w="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5"/>
        <w:gridCol w:w="1551"/>
        <w:gridCol w:w="1650"/>
        <w:gridCol w:w="1185"/>
        <w:gridCol w:w="1275"/>
        <w:gridCol w:w="1560"/>
        <w:gridCol w:w="283"/>
      </w:tblGrid>
      <w:tr w:rsidR="0092779E" w14:paraId="44322BB8" w14:textId="77777777" w:rsidTr="00C7596B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A3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ANNUAL SELF-CERTIFICATION </w:t>
            </w:r>
          </w:p>
          <w:p w14:paraId="44322BA4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44322BA5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I, as Owner, will verify each year that the Vessel continues to comply with the requirements of the Code and sign this Annual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Self-Certification form to Certify this has been done.</w:t>
            </w:r>
          </w:p>
          <w:p w14:paraId="44322BA6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tbl>
            <w:tblPr>
              <w:tblW w:w="7445" w:type="dxa"/>
              <w:tblInd w:w="2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2775"/>
              <w:gridCol w:w="1103"/>
              <w:gridCol w:w="2602"/>
            </w:tblGrid>
            <w:tr w:rsidR="0092779E" w14:paraId="44322BA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322BA7" w14:textId="77777777" w:rsidR="0092779E" w:rsidRDefault="00A8760D">
                  <w:pPr>
                    <w:ind w:left="-108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277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322BA8" w14:textId="77777777" w:rsidR="0092779E" w:rsidRDefault="0092779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322BA9" w14:textId="77777777" w:rsidR="0092779E" w:rsidRDefault="00A8760D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60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322BAA" w14:textId="77777777" w:rsidR="0092779E" w:rsidRDefault="0092779E">
                  <w:pPr>
                    <w:rPr>
                      <w:rFonts w:eastAsia="Times New Roman"/>
                      <w:sz w:val="18"/>
                      <w:szCs w:val="20"/>
                    </w:rPr>
                  </w:pPr>
                </w:p>
              </w:tc>
            </w:tr>
            <w:tr w:rsidR="0092779E" w14:paraId="44322BB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322BAC" w14:textId="77777777" w:rsidR="0092779E" w:rsidRDefault="0092779E">
                  <w:pPr>
                    <w:rPr>
                      <w:rFonts w:eastAsia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322BAD" w14:textId="77777777" w:rsidR="0092779E" w:rsidRDefault="00A8760D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Signature of Owner </w:t>
                  </w:r>
                </w:p>
                <w:p w14:paraId="44322BAE" w14:textId="77777777" w:rsidR="0092779E" w:rsidRDefault="0092779E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322BAF" w14:textId="77777777" w:rsidR="0092779E" w:rsidRDefault="0092779E">
                  <w:pPr>
                    <w:rPr>
                      <w:rFonts w:eastAsia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322BB0" w14:textId="77777777" w:rsidR="0092779E" w:rsidRDefault="0092779E">
                  <w:pPr>
                    <w:rPr>
                      <w:rFonts w:eastAsia="Times New Roman"/>
                      <w:sz w:val="18"/>
                      <w:szCs w:val="20"/>
                    </w:rPr>
                  </w:pPr>
                </w:p>
              </w:tc>
            </w:tr>
            <w:tr w:rsidR="0092779E" w14:paraId="44322BB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322BB2" w14:textId="77777777" w:rsidR="0092779E" w:rsidRDefault="00A8760D">
                  <w:pPr>
                    <w:rPr>
                      <w:rFonts w:eastAsia="Times New Roman"/>
                      <w:sz w:val="18"/>
                      <w:szCs w:val="20"/>
                    </w:rPr>
                  </w:pPr>
                  <w:r>
                    <w:rPr>
                      <w:rFonts w:eastAsia="Times New Roman"/>
                      <w:sz w:val="18"/>
                      <w:szCs w:val="20"/>
                    </w:rPr>
                    <w:t>Date</w:t>
                  </w:r>
                </w:p>
              </w:tc>
              <w:tc>
                <w:tcPr>
                  <w:tcW w:w="27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322BB3" w14:textId="77777777" w:rsidR="0092779E" w:rsidRDefault="0092779E">
                  <w:pPr>
                    <w:rPr>
                      <w:rFonts w:eastAsia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1103" w:type="dxa"/>
                </w:tcPr>
                <w:p w14:paraId="44322BB4" w14:textId="77777777" w:rsidR="0092779E" w:rsidRDefault="0092779E">
                  <w:pPr>
                    <w:rPr>
                      <w:rFonts w:eastAsia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02" w:type="dxa"/>
                </w:tcPr>
                <w:p w14:paraId="44322BB5" w14:textId="77777777" w:rsidR="0092779E" w:rsidRDefault="0092779E">
                  <w:pPr>
                    <w:rPr>
                      <w:rFonts w:eastAsia="Times New Roman"/>
                      <w:sz w:val="18"/>
                      <w:szCs w:val="20"/>
                    </w:rPr>
                  </w:pPr>
                </w:p>
              </w:tc>
            </w:tr>
          </w:tbl>
          <w:p w14:paraId="44322BB7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BC" w14:textId="77777777" w:rsidTr="00C7596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B9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BA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BB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BF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BD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Name of Owner</w:t>
            </w: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BE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C4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5" w:type="dxa"/>
            <w:tcBorders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C0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C1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C2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C3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C7" w14:textId="77777777" w:rsidTr="00C7596B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C5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Address of Owner</w:t>
            </w:r>
          </w:p>
        </w:tc>
        <w:tc>
          <w:tcPr>
            <w:tcW w:w="75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C6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CA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C8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5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C9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CD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CB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5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CC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CF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20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CE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D2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D0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7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D1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D7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5" w:type="dxa"/>
            <w:tcBorders>
              <w:lef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D3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D4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D5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D6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E8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2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D8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I CERTIFY, IN RESPECT OF THIS VESSEL THAT: </w:t>
            </w:r>
          </w:p>
          <w:p w14:paraId="44322BD9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4322BDA" w14:textId="77777777" w:rsidR="0092779E" w:rsidRDefault="00A8760D">
            <w:pPr>
              <w:numPr>
                <w:ilvl w:val="0"/>
                <w:numId w:val="2"/>
              </w:numPr>
              <w:tabs>
                <w:tab w:val="left" w:pos="1260"/>
                <w:tab w:val="left" w:pos="1800"/>
                <w:tab w:val="left" w:pos="1980"/>
                <w:tab w:val="left" w:pos="2880"/>
                <w:tab w:val="left" w:pos="3420"/>
                <w:tab w:val="left" w:pos="4140"/>
                <w:tab w:val="left" w:pos="4680"/>
                <w:tab w:val="left" w:pos="5220"/>
                <w:tab w:val="left" w:pos="5760"/>
                <w:tab w:val="left" w:pos="6300"/>
              </w:tabs>
              <w:autoSpaceDE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Vessel remains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compliant with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 requirements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of  the Fishing Vessels (Codes of Practice) Regulations 2017 and MSN 1871 Amendment No.2 - The Code of Practice for the Safety of Small Fishing Vessels of less than 15m Length Overall.</w:t>
            </w:r>
          </w:p>
          <w:p w14:paraId="44322BDB" w14:textId="77777777" w:rsidR="0092779E" w:rsidRDefault="0092779E">
            <w:pPr>
              <w:tabs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ind w:left="1080" w:hanging="72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4322BDC" w14:textId="77777777" w:rsidR="0092779E" w:rsidRDefault="00A8760D">
            <w:pPr>
              <w:numPr>
                <w:ilvl w:val="0"/>
                <w:numId w:val="2"/>
              </w:numPr>
              <w:tabs>
                <w:tab w:val="left" w:pos="1260"/>
                <w:tab w:val="left" w:pos="1800"/>
                <w:tab w:val="left" w:pos="1980"/>
                <w:tab w:val="left" w:pos="2880"/>
                <w:tab w:val="left" w:pos="3420"/>
                <w:tab w:val="left" w:pos="4140"/>
                <w:tab w:val="left" w:pos="4680"/>
                <w:tab w:val="left" w:pos="5220"/>
                <w:tab w:val="left" w:pos="5760"/>
                <w:tab w:val="left" w:pos="6300"/>
              </w:tabs>
              <w:autoSpaceDE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Such safety equipment carried is in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sufficient numbers for the total persons specified on the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Certificate;</w:t>
            </w:r>
            <w:proofErr w:type="gramEnd"/>
          </w:p>
          <w:p w14:paraId="44322BDD" w14:textId="77777777" w:rsidR="0092779E" w:rsidRDefault="0092779E">
            <w:pPr>
              <w:tabs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ind w:left="108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4322BDE" w14:textId="77777777" w:rsidR="0092779E" w:rsidRDefault="00A8760D">
            <w:pPr>
              <w:numPr>
                <w:ilvl w:val="0"/>
                <w:numId w:val="2"/>
              </w:numPr>
              <w:tabs>
                <w:tab w:val="left" w:pos="1260"/>
                <w:tab w:val="left" w:pos="1800"/>
                <w:tab w:val="left" w:pos="1980"/>
                <w:tab w:val="left" w:pos="2880"/>
                <w:tab w:val="left" w:pos="3420"/>
                <w:tab w:val="left" w:pos="4140"/>
                <w:tab w:val="left" w:pos="4680"/>
                <w:tab w:val="left" w:pos="5220"/>
                <w:tab w:val="left" w:pos="5760"/>
                <w:tab w:val="left" w:pos="6300"/>
              </w:tabs>
              <w:autoSpaceDE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Safety equipment has been properly maintained and serviced in accordance with manufacturer’s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recommendations;</w:t>
            </w:r>
            <w:proofErr w:type="gramEnd"/>
          </w:p>
          <w:p w14:paraId="44322BDF" w14:textId="77777777" w:rsidR="0092779E" w:rsidRDefault="0092779E">
            <w:pPr>
              <w:tabs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ind w:left="1080" w:hanging="72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4322BE0" w14:textId="77777777" w:rsidR="0092779E" w:rsidRDefault="00A8760D">
            <w:pPr>
              <w:numPr>
                <w:ilvl w:val="0"/>
                <w:numId w:val="2"/>
              </w:numPr>
              <w:tabs>
                <w:tab w:val="left" w:pos="1260"/>
                <w:tab w:val="left" w:pos="1800"/>
                <w:tab w:val="left" w:pos="1980"/>
                <w:tab w:val="left" w:pos="2880"/>
                <w:tab w:val="left" w:pos="3420"/>
                <w:tab w:val="left" w:pos="4140"/>
                <w:tab w:val="left" w:pos="4680"/>
                <w:tab w:val="left" w:pos="5220"/>
                <w:tab w:val="left" w:pos="5760"/>
                <w:tab w:val="left" w:pos="6300"/>
              </w:tabs>
              <w:autoSpaceDE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Where applicable, a risk assessment of work activities has been compl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eted in accordance with the Merchant Shipping and Fishing Vessels (Health and Safety at Work) Regulations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1997;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44322BE1" w14:textId="77777777" w:rsidR="0092779E" w:rsidRDefault="0092779E">
            <w:pPr>
              <w:ind w:left="1080" w:hanging="720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</w:p>
          <w:p w14:paraId="44322BE2" w14:textId="77777777" w:rsidR="0092779E" w:rsidRDefault="00A87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0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>the Vessel is fitted with the lights, shapes and sound signals to comply with the International Regulations for the Prevention of Collisions a</w:t>
            </w: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t Sea and is fitted with navigational equipment and carries nautical publications in accordance with the </w:t>
            </w:r>
            <w:proofErr w:type="gramStart"/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>Code;</w:t>
            </w:r>
            <w:proofErr w:type="gramEnd"/>
          </w:p>
          <w:p w14:paraId="44322BE3" w14:textId="77777777" w:rsidR="0092779E" w:rsidRDefault="0092779E">
            <w:pPr>
              <w:ind w:left="1080" w:hanging="72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4322BE4" w14:textId="77777777" w:rsidR="0092779E" w:rsidRDefault="00A8760D">
            <w:pPr>
              <w:ind w:left="1080" w:hanging="72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iv)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ab/>
              <w:t>the Vessel complies with the requirements of the requirements of the Merchant Shipping (Radio) (Fishing Vessels) Regulations 1999.</w:t>
            </w:r>
          </w:p>
          <w:p w14:paraId="44322BE5" w14:textId="77777777" w:rsidR="0092779E" w:rsidRDefault="0092779E">
            <w:pPr>
              <w:ind w:left="720" w:hanging="72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4322BE6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4322BE7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ind w:left="360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</w:tr>
      <w:tr w:rsidR="0092779E" w14:paraId="44322BEB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E9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EA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F1" w14:textId="77777777" w:rsidTr="00C7596B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2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EC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Anniversary Signature of Owner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ED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EE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EF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F0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F8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2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F2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Anniversary Signature of Owner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F3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44322BF4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F5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F6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F7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BFF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2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F9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Anniversary Signature of Owner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FA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44322BFB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FC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FD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BFE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C06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2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C00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Anniversary Signature of Owner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C01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44322C02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C03" w14:textId="77777777" w:rsidR="0092779E" w:rsidRDefault="00A8760D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C04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C05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2779E" w14:paraId="44322C0C" w14:textId="77777777" w:rsidTr="00C7596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2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C07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C08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C09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C0A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C0B" w14:textId="77777777" w:rsidR="0092779E" w:rsidRDefault="0092779E">
            <w:pPr>
              <w:tabs>
                <w:tab w:val="left" w:pos="540"/>
                <w:tab w:val="left" w:pos="1800"/>
                <w:tab w:val="left" w:pos="2340"/>
                <w:tab w:val="left" w:pos="2880"/>
                <w:tab w:val="left" w:pos="3060"/>
                <w:tab w:val="left" w:pos="3960"/>
                <w:tab w:val="left" w:pos="4500"/>
                <w:tab w:val="left" w:pos="5220"/>
                <w:tab w:val="left" w:pos="5760"/>
                <w:tab w:val="left" w:pos="6300"/>
                <w:tab w:val="left" w:pos="6840"/>
                <w:tab w:val="left" w:pos="7380"/>
              </w:tabs>
              <w:autoSpaceDE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44322C0D" w14:textId="77777777" w:rsidR="0092779E" w:rsidRDefault="0092779E">
      <w:pPr>
        <w:spacing w:after="10"/>
        <w:ind w:left="-5"/>
        <w:rPr>
          <w:b/>
        </w:rPr>
      </w:pPr>
    </w:p>
    <w:p w14:paraId="44322C0E" w14:textId="77777777" w:rsidR="0092779E" w:rsidRDefault="0092779E">
      <w:pPr>
        <w:spacing w:after="200" w:line="276" w:lineRule="auto"/>
        <w:rPr>
          <w:rFonts w:ascii="Arial" w:hAnsi="Arial" w:cs="Arial"/>
          <w:b/>
        </w:rPr>
      </w:pPr>
    </w:p>
    <w:sectPr w:rsidR="0092779E">
      <w:headerReference w:type="default" r:id="rId7"/>
      <w:footerReference w:type="default" r:id="rId8"/>
      <w:headerReference w:type="first" r:id="rId9"/>
      <w:pgSz w:w="11906" w:h="16838"/>
      <w:pgMar w:top="1393" w:right="670" w:bottom="1409" w:left="492" w:header="86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64CC" w14:textId="77777777" w:rsidR="00A8760D" w:rsidRDefault="00A8760D">
      <w:r>
        <w:separator/>
      </w:r>
    </w:p>
  </w:endnote>
  <w:endnote w:type="continuationSeparator" w:id="0">
    <w:p w14:paraId="26AD61AF" w14:textId="77777777" w:rsidR="00A8760D" w:rsidRDefault="00A8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IA M+ Palati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2BAB" w14:textId="77777777" w:rsidR="008B5EC2" w:rsidRDefault="00A8760D">
    <w:pPr>
      <w:pStyle w:val="Footer"/>
    </w:pPr>
  </w:p>
  <w:p w14:paraId="44322BAC" w14:textId="77777777" w:rsidR="008B5EC2" w:rsidRDefault="00A8760D">
    <w:pPr>
      <w:pStyle w:val="Footer"/>
      <w:tabs>
        <w:tab w:val="clear" w:pos="4513"/>
        <w:tab w:val="clear" w:pos="9026"/>
        <w:tab w:val="left" w:pos="21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7ECC" w14:textId="77777777" w:rsidR="00A8760D" w:rsidRDefault="00A8760D">
      <w:r>
        <w:rPr>
          <w:color w:val="000000"/>
        </w:rPr>
        <w:separator/>
      </w:r>
    </w:p>
  </w:footnote>
  <w:footnote w:type="continuationSeparator" w:id="0">
    <w:p w14:paraId="364922D1" w14:textId="77777777" w:rsidR="00A8760D" w:rsidRDefault="00A8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2BA9" w14:textId="77777777" w:rsidR="008B5EC2" w:rsidRDefault="00A8760D">
    <w:pPr>
      <w:spacing w:line="256" w:lineRule="auto"/>
      <w:ind w:left="20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2BAE" w14:textId="77777777" w:rsidR="008B5EC2" w:rsidRDefault="00A87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3276"/>
    <w:multiLevelType w:val="multilevel"/>
    <w:tmpl w:val="2F6CBDC2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F1D0C"/>
    <w:multiLevelType w:val="multilevel"/>
    <w:tmpl w:val="F91E8A1A"/>
    <w:styleLink w:val="Bullets"/>
    <w:lvl w:ilvl="0">
      <w:numFmt w:val="bullet"/>
      <w:lvlText w:val="•"/>
      <w:lvlJc w:val="left"/>
      <w:pPr>
        <w:ind w:left="199" w:hanging="19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799" w:hanging="19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•"/>
      <w:lvlJc w:val="left"/>
      <w:pPr>
        <w:ind w:left="199" w:hanging="19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1999" w:hanging="19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•"/>
      <w:lvlJc w:val="left"/>
      <w:pPr>
        <w:ind w:left="2599" w:hanging="19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•"/>
      <w:lvlJc w:val="left"/>
      <w:pPr>
        <w:ind w:left="3199" w:hanging="19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3799" w:hanging="19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•"/>
      <w:lvlJc w:val="left"/>
      <w:pPr>
        <w:ind w:left="4399" w:hanging="19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•"/>
      <w:lvlJc w:val="left"/>
      <w:pPr>
        <w:ind w:left="4999" w:hanging="19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779E"/>
    <w:rsid w:val="0092779E"/>
    <w:rsid w:val="009F0DC2"/>
    <w:rsid w:val="00A8760D"/>
    <w:rsid w:val="00C7596B"/>
    <w:rsid w:val="00E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2BA1"/>
  <w15:docId w15:val="{5BC2AE16-2956-42AB-AE15-8E7DCA62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keepNext/>
      <w:spacing w:after="113"/>
      <w:ind w:left="293" w:hanging="10"/>
      <w:jc w:val="both"/>
      <w:outlineLvl w:val="1"/>
    </w:pPr>
    <w:rPr>
      <w:rFonts w:ascii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MS Gothic" w:hAnsi="Cambria" w:cs="Times New Roman"/>
      <w:i/>
      <w:iCs/>
      <w:color w:val="365F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b/>
      <w:bCs/>
      <w:color w:val="000000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rPr>
      <w:rFonts w:ascii="Cambria" w:eastAsia="MS Gothic" w:hAnsi="Cambria" w:cs="Times New Roman"/>
      <w:i/>
      <w:iCs/>
      <w:color w:val="365F91"/>
      <w:lang w:val="en-GB"/>
    </w:rPr>
  </w:style>
  <w:style w:type="character" w:customStyle="1" w:styleId="Heading1Char">
    <w:name w:val="Heading 1 Char"/>
    <w:basedOn w:val="DefaultParagraphFont"/>
    <w:rPr>
      <w:rFonts w:ascii="Cambria" w:eastAsia="MS Gothic" w:hAnsi="Cambria" w:cs="Times New Roman"/>
      <w:color w:val="365F91"/>
      <w:sz w:val="32"/>
      <w:szCs w:val="32"/>
      <w:lang w:val="en-GB"/>
    </w:rPr>
  </w:style>
  <w:style w:type="paragraph" w:styleId="ListParagraph">
    <w:name w:val="List Paragraph"/>
    <w:basedOn w:val="Normal"/>
    <w:pPr>
      <w:spacing w:after="243" w:line="247" w:lineRule="auto"/>
      <w:ind w:left="720" w:right="1173" w:hanging="10"/>
      <w:jc w:val="both"/>
    </w:pPr>
    <w:rPr>
      <w:rFonts w:ascii="Arial" w:eastAsia="Arial" w:hAnsi="Arial" w:cs="Arial"/>
      <w:color w:val="00000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ind w:left="183" w:right="1173" w:hanging="10"/>
      <w:jc w:val="both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PlainText">
    <w:name w:val="Plain Text"/>
    <w:basedOn w:val="Normal"/>
    <w:rPr>
      <w:rFonts w:cs="Arial"/>
      <w:szCs w:val="21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  <w:lang w:val="en-GB"/>
    </w:rPr>
  </w:style>
  <w:style w:type="character" w:customStyle="1" w:styleId="Heading3Char">
    <w:name w:val="Heading 3 Char"/>
    <w:basedOn w:val="DefaultParagraphFont"/>
    <w:rPr>
      <w:rFonts w:ascii="Cambria" w:eastAsia="MS Gothic" w:hAnsi="Cambria" w:cs="Times New Roman"/>
      <w:color w:val="243F60"/>
      <w:sz w:val="24"/>
      <w:szCs w:val="24"/>
      <w:lang w:val="en-GB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/>
      <w:color w:val="000000"/>
      <w:sz w:val="24"/>
      <w:szCs w:val="24"/>
      <w:lang w:val="en-GB" w:eastAsia="en-GB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hAnsi="Calibri" w:cs="Calibri"/>
      <w:lang w:val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hAnsi="Calibri" w:cs="Calibri"/>
      <w:lang w:val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  <w:lang w:val="en-GB"/>
    </w:rPr>
  </w:style>
  <w:style w:type="paragraph" w:styleId="Revision">
    <w:name w:val="Revision"/>
    <w:pPr>
      <w:suppressAutoHyphens/>
      <w:spacing w:after="0" w:line="240" w:lineRule="auto"/>
    </w:pPr>
    <w:rPr>
      <w:rFonts w:cs="Calibri"/>
      <w:lang w:val="en-GB"/>
    </w:rPr>
  </w:style>
  <w:style w:type="paragraph" w:customStyle="1" w:styleId="CM72">
    <w:name w:val="CM72"/>
    <w:basedOn w:val="Default"/>
    <w:next w:val="Default"/>
    <w:rPr>
      <w:rFonts w:ascii="FANIA M+ Palatino" w:eastAsia="MS Mincho" w:hAnsi="FANIA M+ Palatino"/>
      <w:color w:val="auto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Body">
    <w:name w:val="Body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100" w:line="240" w:lineRule="auto"/>
      <w:ind w:left="10" w:right="162" w:hanging="10"/>
    </w:pPr>
    <w:rPr>
      <w:rFonts w:ascii="Arial" w:eastAsia="Arial" w:hAnsi="Arial"/>
      <w:color w:val="000000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rPr>
      <w:rFonts w:ascii="Cambria" w:eastAsia="MS Gothic" w:hAnsi="Cambria" w:cs="Times New Roman"/>
      <w:color w:val="243F60"/>
      <w:lang w:val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Heading2"/>
    <w:next w:val="Default"/>
    <w:pPr>
      <w:tabs>
        <w:tab w:val="left" w:pos="851"/>
      </w:tabs>
      <w:spacing w:after="244"/>
      <w:ind w:left="851" w:hanging="851"/>
    </w:pPr>
    <w:rPr>
      <w:rFonts w:ascii="Arial" w:hAnsi="Arial" w:cs="Arial"/>
      <w:b w:val="0"/>
      <w:caps/>
    </w:r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character" w:customStyle="1" w:styleId="Style1Char">
    <w:name w:val="Style1 Char"/>
    <w:basedOn w:val="Heading2Char"/>
    <w:rPr>
      <w:rFonts w:ascii="Arial" w:hAnsi="Arial" w:cs="Arial"/>
      <w:b w:val="0"/>
      <w:bCs/>
      <w:caps/>
      <w:color w:val="000000"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pPr>
      <w:tabs>
        <w:tab w:val="left" w:pos="1100"/>
        <w:tab w:val="right" w:leader="dot" w:pos="9350"/>
      </w:tabs>
      <w:spacing w:after="100"/>
      <w:ind w:left="284"/>
    </w:p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4">
    <w:name w:val="toc 4"/>
    <w:basedOn w:val="Normal"/>
    <w:next w:val="Normal"/>
    <w:autoRedefine/>
    <w:pPr>
      <w:spacing w:after="100" w:line="256" w:lineRule="auto"/>
      <w:ind w:left="660"/>
    </w:pPr>
    <w:rPr>
      <w:rFonts w:eastAsia="MS Mincho" w:cs="Arial"/>
      <w:lang w:eastAsia="en-GB"/>
    </w:rPr>
  </w:style>
  <w:style w:type="paragraph" w:styleId="TOC5">
    <w:name w:val="toc 5"/>
    <w:basedOn w:val="Normal"/>
    <w:next w:val="Normal"/>
    <w:autoRedefine/>
    <w:pPr>
      <w:spacing w:after="100" w:line="256" w:lineRule="auto"/>
      <w:ind w:left="880"/>
    </w:pPr>
    <w:rPr>
      <w:rFonts w:eastAsia="MS Mincho" w:cs="Arial"/>
      <w:lang w:eastAsia="en-GB"/>
    </w:rPr>
  </w:style>
  <w:style w:type="paragraph" w:styleId="TOC6">
    <w:name w:val="toc 6"/>
    <w:basedOn w:val="Normal"/>
    <w:next w:val="Normal"/>
    <w:autoRedefine/>
    <w:pPr>
      <w:spacing w:after="100" w:line="256" w:lineRule="auto"/>
      <w:ind w:left="1100"/>
    </w:pPr>
    <w:rPr>
      <w:rFonts w:eastAsia="MS Mincho" w:cs="Arial"/>
      <w:lang w:eastAsia="en-GB"/>
    </w:rPr>
  </w:style>
  <w:style w:type="paragraph" w:styleId="TOC7">
    <w:name w:val="toc 7"/>
    <w:basedOn w:val="Normal"/>
    <w:next w:val="Normal"/>
    <w:autoRedefine/>
    <w:pPr>
      <w:spacing w:after="100" w:line="256" w:lineRule="auto"/>
      <w:ind w:left="1320"/>
    </w:pPr>
    <w:rPr>
      <w:rFonts w:eastAsia="MS Mincho" w:cs="Arial"/>
      <w:lang w:eastAsia="en-GB"/>
    </w:rPr>
  </w:style>
  <w:style w:type="paragraph" w:styleId="TOC8">
    <w:name w:val="toc 8"/>
    <w:basedOn w:val="Normal"/>
    <w:next w:val="Normal"/>
    <w:autoRedefine/>
    <w:pPr>
      <w:spacing w:after="100" w:line="256" w:lineRule="auto"/>
      <w:ind w:left="1540"/>
    </w:pPr>
    <w:rPr>
      <w:rFonts w:eastAsia="MS Mincho" w:cs="Arial"/>
      <w:lang w:eastAsia="en-GB"/>
    </w:rPr>
  </w:style>
  <w:style w:type="paragraph" w:styleId="TOC9">
    <w:name w:val="toc 9"/>
    <w:basedOn w:val="Normal"/>
    <w:next w:val="Normal"/>
    <w:autoRedefine/>
    <w:pPr>
      <w:spacing w:after="100" w:line="256" w:lineRule="auto"/>
      <w:ind w:left="1760"/>
    </w:pPr>
    <w:rPr>
      <w:rFonts w:eastAsia="MS Mincho" w:cs="Arial"/>
      <w:lang w:eastAsia="en-GB"/>
    </w:rPr>
  </w:style>
  <w:style w:type="paragraph" w:styleId="TOCHeading">
    <w:name w:val="TOC Heading"/>
    <w:basedOn w:val="Heading1"/>
    <w:next w:val="Normal"/>
    <w:pPr>
      <w:spacing w:line="256" w:lineRule="auto"/>
    </w:pPr>
    <w:rPr>
      <w:lang w:val="en-US"/>
    </w:rPr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Pr>
      <w:lang w:eastAsia="en-GB"/>
    </w:rPr>
  </w:style>
  <w:style w:type="paragraph" w:customStyle="1" w:styleId="leglisttextstandard">
    <w:name w:val="leglisttextstandard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pPr>
      <w:widowControl w:val="0"/>
      <w:autoSpaceDE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Arial" w:eastAsia="Arial" w:hAnsi="Arial" w:cs="Arial"/>
      <w:sz w:val="20"/>
      <w:szCs w:val="20"/>
    </w:rPr>
  </w:style>
  <w:style w:type="paragraph" w:customStyle="1" w:styleId="legp1paratext">
    <w:name w:val="legp1paratext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clearfix">
    <w:name w:val="legclearfix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gem-c-document-listitem">
    <w:name w:val="gem-c-document-list__item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m-c-document-listattribute">
    <w:name w:val="gem-c-document-list__attribute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Arial" w:eastAsia="Times New Roman" w:hAnsi="Arial" w:cs="Times New Roman"/>
      <w:color w:val="000000"/>
      <w:sz w:val="24"/>
      <w:szCs w:val="15"/>
    </w:rPr>
  </w:style>
  <w:style w:type="character" w:customStyle="1" w:styleId="BodyTextIndentChar">
    <w:name w:val="Body Text Indent Char"/>
    <w:basedOn w:val="DefaultParagraphFont"/>
    <w:rPr>
      <w:rFonts w:ascii="Arial" w:eastAsia="Times New Roman" w:hAnsi="Arial" w:cs="Times New Roman"/>
      <w:color w:val="000000"/>
      <w:sz w:val="24"/>
      <w:szCs w:val="15"/>
      <w:lang w:val="en-GB"/>
    </w:rPr>
  </w:style>
  <w:style w:type="numbering" w:customStyle="1" w:styleId="Bullets">
    <w:name w:val="Bullets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Fenner</dc:creator>
  <dc:description/>
  <cp:lastModifiedBy>Holly Griffin</cp:lastModifiedBy>
  <cp:revision>3</cp:revision>
  <cp:lastPrinted>2020-12-03T10:30:00Z</cp:lastPrinted>
  <dcterms:created xsi:type="dcterms:W3CDTF">2021-09-16T15:02:00Z</dcterms:created>
  <dcterms:modified xsi:type="dcterms:W3CDTF">2021-09-16T15:03:00Z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0x0101006183C2C9921B9246BDEF5FD4CE2F4682</vt:lpwstr>
  </property>
  <property fmtid="{D5CDD505-2E9C-101B-9397-08002B2CF9AE}" pid="3" name="TCM Directorate">
    <vt:lpwstr>2;#DMSS|b54ccbe7-5a6d-4ceb-aa83-8b281e0882a5</vt:lpwstr>
  </property>
  <property fmtid="{D5CDD505-2E9C-101B-9397-08002B2CF9AE}" pid="4" name="TCM Branch">
    <vt:lpwstr>1;#Ship Standards|f5b14a04-4293-43d7-a34b-2a0e2ceee6eb</vt:lpwstr>
  </property>
  <property fmtid="{D5CDD505-2E9C-101B-9397-08002B2CF9AE}" pid="5" name="Security Marking">
    <vt:lpwstr>3;#OFFICIAL|2e655484-ebfc-4ea9-846a-aaf9328996e5</vt:lpwstr>
  </property>
  <property fmtid="{D5CDD505-2E9C-101B-9397-08002B2CF9AE}" pid="6" name="TCM Division">
    <vt:lpwstr/>
  </property>
  <property fmtid="{D5CDD505-2E9C-101B-9397-08002B2CF9AE}" pid="7" name="AuthorIds_UIVersion_65">
    <vt:lpwstr>27</vt:lpwstr>
  </property>
  <property fmtid="{D5CDD505-2E9C-101B-9397-08002B2CF9AE}" pid="8" name="AuthorIds_UIVersion_78">
    <vt:lpwstr>27</vt:lpwstr>
  </property>
  <property fmtid="{D5CDD505-2E9C-101B-9397-08002B2CF9AE}" pid="9" name="AuthorIds_UIVersion_82">
    <vt:lpwstr>27</vt:lpwstr>
  </property>
  <property fmtid="{D5CDD505-2E9C-101B-9397-08002B2CF9AE}" pid="10" name="AuthorIds_UIVersion_83">
    <vt:lpwstr>27</vt:lpwstr>
  </property>
  <property fmtid="{D5CDD505-2E9C-101B-9397-08002B2CF9AE}" pid="11" name="AuthorIds_UIVersion_84">
    <vt:lpwstr>27</vt:lpwstr>
  </property>
  <property fmtid="{D5CDD505-2E9C-101B-9397-08002B2CF9AE}" pid="12" name="AuthorIds_UIVersion_95">
    <vt:lpwstr>27</vt:lpwstr>
  </property>
  <property fmtid="{D5CDD505-2E9C-101B-9397-08002B2CF9AE}" pid="13" name="AuthorIds_UIVersion_97">
    <vt:lpwstr>27</vt:lpwstr>
  </property>
  <property fmtid="{D5CDD505-2E9C-101B-9397-08002B2CF9AE}" pid="14" name="TCM Team">
    <vt:lpwstr/>
  </property>
</Properties>
</file>