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09C26" w14:textId="77777777" w:rsidR="000B0589" w:rsidRDefault="000B0589" w:rsidP="00BC2702">
      <w:pPr>
        <w:pStyle w:val="Conditions1"/>
        <w:numPr>
          <w:ilvl w:val="0"/>
          <w:numId w:val="0"/>
        </w:numPr>
      </w:pPr>
      <w:r>
        <w:rPr>
          <w:noProof/>
        </w:rPr>
        <w:drawing>
          <wp:inline distT="0" distB="0" distL="0" distR="0" wp14:anchorId="778FA10F" wp14:editId="1EDB62AD">
            <wp:extent cx="3419475" cy="359623"/>
            <wp:effectExtent l="0" t="0" r="0" b="254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27B3667A" w14:textId="77777777" w:rsidR="000B0589" w:rsidRDefault="000B0589" w:rsidP="00A5760C"/>
    <w:p w14:paraId="286F15C9"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4675088D" w14:textId="77777777" w:rsidTr="007378E0">
        <w:trPr>
          <w:cantSplit/>
          <w:trHeight w:val="23"/>
        </w:trPr>
        <w:tc>
          <w:tcPr>
            <w:tcW w:w="9356" w:type="dxa"/>
            <w:shd w:val="clear" w:color="auto" w:fill="auto"/>
          </w:tcPr>
          <w:p w14:paraId="48A39417" w14:textId="77777777" w:rsidR="000B0589" w:rsidRPr="007378E0" w:rsidRDefault="007378E0" w:rsidP="002E2646">
            <w:pPr>
              <w:spacing w:before="120"/>
              <w:ind w:left="-108" w:right="34"/>
              <w:rPr>
                <w:b/>
                <w:color w:val="000000"/>
                <w:sz w:val="40"/>
                <w:szCs w:val="40"/>
              </w:rPr>
            </w:pPr>
            <w:bookmarkStart w:id="0" w:name="bmkTable00"/>
            <w:bookmarkEnd w:id="0"/>
            <w:r>
              <w:rPr>
                <w:b/>
                <w:color w:val="000000"/>
                <w:sz w:val="40"/>
                <w:szCs w:val="40"/>
              </w:rPr>
              <w:t>Order Decision</w:t>
            </w:r>
          </w:p>
        </w:tc>
      </w:tr>
      <w:tr w:rsidR="000B0589" w:rsidRPr="000C3F13" w14:paraId="33F2FD49" w14:textId="77777777" w:rsidTr="007378E0">
        <w:trPr>
          <w:cantSplit/>
          <w:trHeight w:val="23"/>
        </w:trPr>
        <w:tc>
          <w:tcPr>
            <w:tcW w:w="9356" w:type="dxa"/>
            <w:shd w:val="clear" w:color="auto" w:fill="auto"/>
            <w:vAlign w:val="center"/>
          </w:tcPr>
          <w:p w14:paraId="12D5ED08" w14:textId="6EAF1AE5" w:rsidR="000B0589" w:rsidRPr="007378E0" w:rsidRDefault="007378E0" w:rsidP="007378E0">
            <w:pPr>
              <w:spacing w:before="60"/>
              <w:ind w:left="-108" w:right="34"/>
              <w:rPr>
                <w:color w:val="000000"/>
                <w:szCs w:val="22"/>
              </w:rPr>
            </w:pPr>
            <w:r>
              <w:rPr>
                <w:color w:val="000000"/>
                <w:szCs w:val="22"/>
              </w:rPr>
              <w:t>Site visit made on 28 June 2021</w:t>
            </w:r>
          </w:p>
        </w:tc>
      </w:tr>
      <w:tr w:rsidR="000B0589" w:rsidRPr="00361890" w14:paraId="6A94D5E1" w14:textId="77777777" w:rsidTr="007378E0">
        <w:trPr>
          <w:cantSplit/>
          <w:trHeight w:val="23"/>
        </w:trPr>
        <w:tc>
          <w:tcPr>
            <w:tcW w:w="9356" w:type="dxa"/>
            <w:shd w:val="clear" w:color="auto" w:fill="auto"/>
          </w:tcPr>
          <w:p w14:paraId="0BEBA7E6" w14:textId="77777777" w:rsidR="000B0589" w:rsidRPr="007378E0" w:rsidRDefault="007378E0" w:rsidP="007378E0">
            <w:pPr>
              <w:spacing w:before="180"/>
              <w:ind w:left="-108" w:right="34"/>
              <w:rPr>
                <w:b/>
                <w:color w:val="000000"/>
                <w:sz w:val="16"/>
                <w:szCs w:val="22"/>
              </w:rPr>
            </w:pPr>
            <w:r>
              <w:rPr>
                <w:b/>
                <w:color w:val="000000"/>
                <w:szCs w:val="22"/>
              </w:rPr>
              <w:t>by Andrew McGlone  BSc MCD MRTPI</w:t>
            </w:r>
          </w:p>
        </w:tc>
      </w:tr>
      <w:tr w:rsidR="000B0589" w:rsidRPr="00361890" w14:paraId="621FAD5F" w14:textId="77777777" w:rsidTr="007378E0">
        <w:trPr>
          <w:cantSplit/>
          <w:trHeight w:val="23"/>
        </w:trPr>
        <w:tc>
          <w:tcPr>
            <w:tcW w:w="9356" w:type="dxa"/>
            <w:shd w:val="clear" w:color="auto" w:fill="auto"/>
          </w:tcPr>
          <w:p w14:paraId="6ADE02D6" w14:textId="77777777" w:rsidR="000B0589" w:rsidRPr="007378E0" w:rsidRDefault="007378E0" w:rsidP="002E2646">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B0589" w:rsidRPr="00A101CD" w14:paraId="7DB5745C" w14:textId="77777777" w:rsidTr="007378E0">
        <w:trPr>
          <w:cantSplit/>
          <w:trHeight w:val="23"/>
        </w:trPr>
        <w:tc>
          <w:tcPr>
            <w:tcW w:w="9356" w:type="dxa"/>
            <w:shd w:val="clear" w:color="auto" w:fill="auto"/>
          </w:tcPr>
          <w:p w14:paraId="744B096C" w14:textId="21A67535"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6900BB">
              <w:rPr>
                <w:b/>
                <w:color w:val="000000"/>
                <w:sz w:val="16"/>
                <w:szCs w:val="16"/>
              </w:rPr>
              <w:t xml:space="preserve"> 13 July 2021</w:t>
            </w:r>
          </w:p>
        </w:tc>
      </w:tr>
    </w:tbl>
    <w:p w14:paraId="14B7EEC0" w14:textId="77777777" w:rsidR="007378E0" w:rsidRDefault="007378E0" w:rsidP="000B0589"/>
    <w:tbl>
      <w:tblPr>
        <w:tblW w:w="0" w:type="auto"/>
        <w:tblLayout w:type="fixed"/>
        <w:tblLook w:val="0000" w:firstRow="0" w:lastRow="0" w:firstColumn="0" w:lastColumn="0" w:noHBand="0" w:noVBand="0"/>
      </w:tblPr>
      <w:tblGrid>
        <w:gridCol w:w="9520"/>
      </w:tblGrid>
      <w:tr w:rsidR="007378E0" w14:paraId="4EEC0F69" w14:textId="77777777" w:rsidTr="007378E0">
        <w:tc>
          <w:tcPr>
            <w:tcW w:w="9520" w:type="dxa"/>
            <w:shd w:val="clear" w:color="auto" w:fill="auto"/>
          </w:tcPr>
          <w:p w14:paraId="4272F349" w14:textId="2480FD77" w:rsidR="007378E0" w:rsidRPr="007378E0" w:rsidRDefault="007378E0" w:rsidP="007378E0">
            <w:pPr>
              <w:spacing w:after="60"/>
              <w:rPr>
                <w:b/>
                <w:color w:val="000000"/>
              </w:rPr>
            </w:pPr>
            <w:r>
              <w:rPr>
                <w:b/>
                <w:color w:val="000000"/>
              </w:rPr>
              <w:t>Order Ref: ROW/3262945</w:t>
            </w:r>
          </w:p>
        </w:tc>
      </w:tr>
      <w:tr w:rsidR="007378E0" w14:paraId="7EB564BD" w14:textId="77777777" w:rsidTr="007378E0">
        <w:tc>
          <w:tcPr>
            <w:tcW w:w="9520" w:type="dxa"/>
            <w:shd w:val="clear" w:color="auto" w:fill="auto"/>
          </w:tcPr>
          <w:p w14:paraId="504B958F" w14:textId="1EB7A37B" w:rsidR="004E02A1" w:rsidRDefault="007378E0" w:rsidP="004E02A1">
            <w:pPr>
              <w:pStyle w:val="TBullet"/>
            </w:pPr>
            <w:r>
              <w:t xml:space="preserve">This Order is made under Section 257 of the Town and Country Planning Act 1990 and is known as the </w:t>
            </w:r>
            <w:r w:rsidR="00C446AF">
              <w:t>Birmingham City Council</w:t>
            </w:r>
            <w:r w:rsidR="004E02A1">
              <w:t xml:space="preserve"> (Public Footpath (ID:2086) (Part adjoining Wishaw Lane) Public Path Stopping Up Order 2020</w:t>
            </w:r>
            <w:r>
              <w:t>.</w:t>
            </w:r>
          </w:p>
        </w:tc>
      </w:tr>
      <w:tr w:rsidR="007378E0" w14:paraId="17EAB3B0" w14:textId="77777777" w:rsidTr="007378E0">
        <w:tc>
          <w:tcPr>
            <w:tcW w:w="9520" w:type="dxa"/>
            <w:shd w:val="clear" w:color="auto" w:fill="auto"/>
          </w:tcPr>
          <w:p w14:paraId="2DFB2C99" w14:textId="0B91EB22" w:rsidR="007378E0" w:rsidRDefault="007378E0" w:rsidP="007378E0">
            <w:pPr>
              <w:pStyle w:val="TBullet"/>
            </w:pPr>
            <w:r>
              <w:t xml:space="preserve">The Order is dated </w:t>
            </w:r>
            <w:r w:rsidR="00691990">
              <w:t>6 August 2020</w:t>
            </w:r>
            <w:r>
              <w:t xml:space="preserve"> and proposes to extinguish the public right of way shown on the Order plan and described in the Order Schedule.</w:t>
            </w:r>
          </w:p>
        </w:tc>
      </w:tr>
      <w:tr w:rsidR="007378E0" w14:paraId="6F2DA261" w14:textId="77777777" w:rsidTr="007378E0">
        <w:tc>
          <w:tcPr>
            <w:tcW w:w="9520" w:type="dxa"/>
            <w:shd w:val="clear" w:color="auto" w:fill="auto"/>
          </w:tcPr>
          <w:p w14:paraId="23D9A221" w14:textId="5437B23A" w:rsidR="00682636" w:rsidRDefault="007378E0" w:rsidP="00EC2019">
            <w:pPr>
              <w:pStyle w:val="TBullet"/>
            </w:pPr>
            <w:r>
              <w:t xml:space="preserve">There were </w:t>
            </w:r>
            <w:r w:rsidR="00F733F9">
              <w:t xml:space="preserve">some </w:t>
            </w:r>
            <w:r w:rsidR="008558FE" w:rsidRPr="00110EE3">
              <w:t>three</w:t>
            </w:r>
            <w:r>
              <w:t xml:space="preserve"> objections outstanding when </w:t>
            </w:r>
            <w:r w:rsidR="00EC2019">
              <w:t>Birmingham City Council</w:t>
            </w:r>
            <w:r>
              <w:t xml:space="preserve"> submitted the Order </w:t>
            </w:r>
            <w:r w:rsidR="00024897">
              <w:t xml:space="preserve">for confirmation </w:t>
            </w:r>
            <w:r>
              <w:t xml:space="preserve">to the Secretary of State for Environment, Food and </w:t>
            </w:r>
            <w:r w:rsidRPr="00EC2019">
              <w:t>Rural</w:t>
            </w:r>
            <w:r w:rsidR="00EC2019">
              <w:t> </w:t>
            </w:r>
            <w:r w:rsidRPr="00EC2019">
              <w:t>Affairs</w:t>
            </w:r>
            <w:r w:rsidR="00024897">
              <w:t xml:space="preserve">. </w:t>
            </w:r>
          </w:p>
        </w:tc>
      </w:tr>
      <w:tr w:rsidR="007378E0" w14:paraId="15EA49CE" w14:textId="77777777" w:rsidTr="007378E0">
        <w:tc>
          <w:tcPr>
            <w:tcW w:w="9520" w:type="dxa"/>
            <w:shd w:val="clear" w:color="auto" w:fill="auto"/>
          </w:tcPr>
          <w:p w14:paraId="31A4AF6A" w14:textId="144005A2" w:rsidR="007378E0" w:rsidRPr="007378E0" w:rsidRDefault="007378E0" w:rsidP="007378E0">
            <w:pPr>
              <w:spacing w:before="60"/>
              <w:rPr>
                <w:b/>
                <w:color w:val="000000"/>
              </w:rPr>
            </w:pPr>
            <w:r>
              <w:rPr>
                <w:b/>
                <w:color w:val="000000"/>
              </w:rPr>
              <w:t>Summary of Decision:</w:t>
            </w:r>
            <w:r w:rsidR="00405A5F">
              <w:rPr>
                <w:b/>
                <w:color w:val="000000"/>
              </w:rPr>
              <w:t xml:space="preserve"> </w:t>
            </w:r>
            <w:r w:rsidR="00405A5F" w:rsidRPr="00110EE3">
              <w:rPr>
                <w:rFonts w:ascii="Verdana-Bold" w:hAnsi="Verdana-Bold" w:cs="Verdana-Bold"/>
                <w:b/>
                <w:bCs/>
                <w:szCs w:val="22"/>
              </w:rPr>
              <w:t>Order is confirmed.</w:t>
            </w:r>
            <w:r w:rsidR="00405A5F">
              <w:rPr>
                <w:rFonts w:ascii="Verdana-Bold" w:hAnsi="Verdana-Bold" w:cs="Verdana-Bold"/>
                <w:b/>
                <w:bCs/>
                <w:szCs w:val="22"/>
              </w:rPr>
              <w:t xml:space="preserve"> </w:t>
            </w:r>
          </w:p>
        </w:tc>
      </w:tr>
      <w:tr w:rsidR="007378E0" w14:paraId="4FADA40D" w14:textId="77777777" w:rsidTr="007378E0">
        <w:tc>
          <w:tcPr>
            <w:tcW w:w="9520" w:type="dxa"/>
            <w:tcBorders>
              <w:bottom w:val="single" w:sz="6" w:space="0" w:color="000000"/>
            </w:tcBorders>
            <w:shd w:val="clear" w:color="auto" w:fill="auto"/>
          </w:tcPr>
          <w:p w14:paraId="700A2155" w14:textId="77777777" w:rsidR="007378E0" w:rsidRPr="007378E0" w:rsidRDefault="007378E0" w:rsidP="007378E0">
            <w:pPr>
              <w:spacing w:before="60"/>
              <w:rPr>
                <w:b/>
                <w:color w:val="000000"/>
                <w:sz w:val="2"/>
              </w:rPr>
            </w:pPr>
            <w:bookmarkStart w:id="1" w:name="bmkReturn"/>
            <w:bookmarkEnd w:id="1"/>
          </w:p>
        </w:tc>
      </w:tr>
    </w:tbl>
    <w:p w14:paraId="353DDEA4" w14:textId="4EA7C185" w:rsidR="000B0589" w:rsidRDefault="000B0589" w:rsidP="000B0589"/>
    <w:p w14:paraId="171AC684" w14:textId="48058B57" w:rsidR="007378E0" w:rsidRDefault="007378E0" w:rsidP="007378E0">
      <w:pPr>
        <w:pStyle w:val="Heading6blackfont"/>
      </w:pPr>
      <w:r>
        <w:t>Procedural Matters</w:t>
      </w:r>
    </w:p>
    <w:p w14:paraId="570AD377" w14:textId="39F4BFD2" w:rsidR="00225C80" w:rsidRDefault="008527B1" w:rsidP="00783713">
      <w:pPr>
        <w:pStyle w:val="Style1"/>
        <w:spacing w:before="120"/>
      </w:pPr>
      <w:r>
        <w:t xml:space="preserve">An objector </w:t>
      </w:r>
      <w:r w:rsidR="00A42A4C">
        <w:t xml:space="preserve">initially </w:t>
      </w:r>
      <w:r w:rsidR="006A3E27">
        <w:t xml:space="preserve">raised several procedural grounds </w:t>
      </w:r>
      <w:r w:rsidR="008A76FB">
        <w:t xml:space="preserve">relating to the notification process in terms of the </w:t>
      </w:r>
      <w:r w:rsidR="00A42A4C">
        <w:t>Order</w:t>
      </w:r>
      <w:r w:rsidR="008A76FB">
        <w:t xml:space="preserve">, </w:t>
      </w:r>
      <w:r w:rsidR="00C86C4D">
        <w:t xml:space="preserve">the </w:t>
      </w:r>
      <w:r w:rsidR="004E7DDC">
        <w:t xml:space="preserve">ability to inspect </w:t>
      </w:r>
      <w:r w:rsidR="00DC04FD">
        <w:t xml:space="preserve">the Order paperwork, the period </w:t>
      </w:r>
      <w:r w:rsidR="0047530B">
        <w:t xml:space="preserve">and timing </w:t>
      </w:r>
      <w:r w:rsidR="00DC04FD">
        <w:t xml:space="preserve">of consultation, </w:t>
      </w:r>
      <w:r w:rsidR="00E8734B">
        <w:t xml:space="preserve">referencing </w:t>
      </w:r>
      <w:r w:rsidR="0096548B">
        <w:t>of the Order paperwork</w:t>
      </w:r>
      <w:r w:rsidR="00A1279D">
        <w:t xml:space="preserve"> and </w:t>
      </w:r>
      <w:r w:rsidR="00B17CE2">
        <w:t xml:space="preserve">the explanation offered of how the Order </w:t>
      </w:r>
      <w:r w:rsidR="00CB1999">
        <w:t xml:space="preserve">fitted with the </w:t>
      </w:r>
      <w:proofErr w:type="spellStart"/>
      <w:r w:rsidR="00CB1999">
        <w:t>Peddimore</w:t>
      </w:r>
      <w:proofErr w:type="spellEnd"/>
      <w:r w:rsidR="00CB1999">
        <w:t xml:space="preserve"> development programme</w:t>
      </w:r>
      <w:r w:rsidR="00A1279D">
        <w:t xml:space="preserve">. However, based on the evidence and responses to </w:t>
      </w:r>
      <w:r w:rsidR="003D0E55">
        <w:t xml:space="preserve">the </w:t>
      </w:r>
      <w:r w:rsidR="00464627">
        <w:t xml:space="preserve">concerns, </w:t>
      </w:r>
      <w:r w:rsidR="000411A5">
        <w:t xml:space="preserve">which </w:t>
      </w:r>
      <w:r w:rsidR="002A26D9">
        <w:t xml:space="preserve">have </w:t>
      </w:r>
      <w:r w:rsidR="000411A5">
        <w:t xml:space="preserve">not </w:t>
      </w:r>
      <w:r w:rsidR="002A26D9">
        <w:t xml:space="preserve">been </w:t>
      </w:r>
      <w:r w:rsidR="009D28EC">
        <w:t xml:space="preserve">countered, </w:t>
      </w:r>
      <w:r w:rsidR="00464627">
        <w:t>I conside</w:t>
      </w:r>
      <w:r w:rsidR="009D28EC">
        <w:t>r</w:t>
      </w:r>
      <w:r w:rsidR="00464627">
        <w:t xml:space="preserve"> reasonable steps were taken </w:t>
      </w:r>
      <w:r w:rsidR="00E76D17">
        <w:t xml:space="preserve">in accordance with </w:t>
      </w:r>
      <w:r w:rsidR="002D556C">
        <w:t xml:space="preserve">Schedule 14 of the </w:t>
      </w:r>
      <w:r w:rsidR="007A4F31">
        <w:t xml:space="preserve">Town and County Planning </w:t>
      </w:r>
      <w:r w:rsidR="002D556C">
        <w:t>Act</w:t>
      </w:r>
      <w:r w:rsidR="007A4F31">
        <w:t xml:space="preserve"> 1990 (as amended)</w:t>
      </w:r>
      <w:r w:rsidR="000654DE">
        <w:t xml:space="preserve"> (‘the Act’)</w:t>
      </w:r>
      <w:r w:rsidR="002D556C">
        <w:t xml:space="preserve">. </w:t>
      </w:r>
      <w:r w:rsidR="00E76D17">
        <w:t xml:space="preserve"> </w:t>
      </w:r>
      <w:r w:rsidR="004E7DDC">
        <w:t xml:space="preserve"> </w:t>
      </w:r>
    </w:p>
    <w:p w14:paraId="69D578D7" w14:textId="2BE362BB" w:rsidR="007378E0" w:rsidRDefault="007378E0" w:rsidP="007378E0">
      <w:pPr>
        <w:pStyle w:val="Heading6blackfont"/>
      </w:pPr>
      <w:r>
        <w:t>The Main Issues</w:t>
      </w:r>
    </w:p>
    <w:p w14:paraId="6B055E74" w14:textId="48BF9A3C" w:rsidR="007378E0" w:rsidRPr="00434C47" w:rsidRDefault="003C514F" w:rsidP="00783713">
      <w:pPr>
        <w:pStyle w:val="Style1"/>
        <w:autoSpaceDE w:val="0"/>
        <w:autoSpaceDN w:val="0"/>
        <w:adjustRightInd w:val="0"/>
        <w:spacing w:before="120"/>
      </w:pPr>
      <w:r w:rsidRPr="003C514F">
        <w:rPr>
          <w:rFonts w:cs="Verdana"/>
          <w:szCs w:val="22"/>
        </w:rPr>
        <w:t xml:space="preserve">Section 257(1) of the Act provides for an Order to be made authorising the stopping up (or diversion) of a footpath if it is necessary to do so in order to enable development to be carried out in accordance with planning permission already granted under Part III of the same Act. In this case the Order is for the stopping up of </w:t>
      </w:r>
      <w:r w:rsidR="00494B47">
        <w:rPr>
          <w:rFonts w:cs="Verdana"/>
          <w:szCs w:val="22"/>
        </w:rPr>
        <w:t xml:space="preserve">Public </w:t>
      </w:r>
      <w:r w:rsidRPr="003C514F">
        <w:rPr>
          <w:rFonts w:cs="Verdana"/>
          <w:szCs w:val="22"/>
        </w:rPr>
        <w:t xml:space="preserve">Footpath </w:t>
      </w:r>
      <w:r w:rsidR="00494B47">
        <w:rPr>
          <w:rFonts w:cs="Verdana"/>
          <w:szCs w:val="22"/>
        </w:rPr>
        <w:t>ID: 2086</w:t>
      </w:r>
      <w:r w:rsidR="00D67583">
        <w:rPr>
          <w:rFonts w:cs="Verdana"/>
          <w:szCs w:val="22"/>
        </w:rPr>
        <w:t xml:space="preserve"> (PROW 2086)</w:t>
      </w:r>
      <w:r w:rsidRPr="003C514F">
        <w:rPr>
          <w:rFonts w:cs="Verdana"/>
          <w:szCs w:val="22"/>
        </w:rPr>
        <w:t>.</w:t>
      </w:r>
    </w:p>
    <w:p w14:paraId="1491A8BE" w14:textId="650A4AE7" w:rsidR="00434C47" w:rsidRDefault="00047893" w:rsidP="00434C47">
      <w:pPr>
        <w:pStyle w:val="Style1"/>
        <w:autoSpaceDE w:val="0"/>
        <w:autoSpaceDN w:val="0"/>
        <w:adjustRightInd w:val="0"/>
        <w:rPr>
          <w:rFonts w:cs="Verdana"/>
          <w:szCs w:val="22"/>
        </w:rPr>
      </w:pPr>
      <w:r w:rsidRPr="00BB189B">
        <w:rPr>
          <w:rFonts w:cs="Verdana"/>
          <w:szCs w:val="22"/>
        </w:rPr>
        <w:t xml:space="preserve">The </w:t>
      </w:r>
      <w:r w:rsidR="00BB189B" w:rsidRPr="00BB189B">
        <w:rPr>
          <w:rFonts w:cs="Verdana"/>
          <w:szCs w:val="22"/>
        </w:rPr>
        <w:t xml:space="preserve">DEFRA </w:t>
      </w:r>
      <w:r w:rsidR="00434C47" w:rsidRPr="00BB189B">
        <w:rPr>
          <w:rFonts w:cs="Verdana"/>
          <w:szCs w:val="22"/>
        </w:rPr>
        <w:t xml:space="preserve">Circular 1/09 version 2 </w:t>
      </w:r>
      <w:r w:rsidR="00434C47" w:rsidRPr="003C325E">
        <w:rPr>
          <w:rFonts w:cs="Verdana"/>
          <w:szCs w:val="22"/>
        </w:rPr>
        <w:t>makes clear that, in determining an order of this kind, the merits of the development are not at issue. However</w:t>
      </w:r>
      <w:r w:rsidR="00C77384">
        <w:rPr>
          <w:rFonts w:cs="Verdana"/>
          <w:szCs w:val="22"/>
        </w:rPr>
        <w:t>,</w:t>
      </w:r>
      <w:r w:rsidR="00434C47" w:rsidRPr="003C325E">
        <w:rPr>
          <w:rFonts w:cs="Verdana"/>
          <w:szCs w:val="22"/>
        </w:rPr>
        <w:t xml:space="preserve"> it should not be assumed that because planning permission has been given necessitating closure of a footpath that confirmation of the ensuing order will automatically follow. Any disadvantages or loss likely to arise as a result of the path closure to members of the public</w:t>
      </w:r>
      <w:r w:rsidR="00434C47" w:rsidRPr="003C325E">
        <w:rPr>
          <w:rFonts w:cs="Verdana"/>
          <w:sz w:val="14"/>
          <w:szCs w:val="14"/>
        </w:rPr>
        <w:t xml:space="preserve"> </w:t>
      </w:r>
      <w:r w:rsidR="00434C47" w:rsidRPr="003C325E">
        <w:rPr>
          <w:rFonts w:cs="Verdana"/>
          <w:szCs w:val="22"/>
        </w:rPr>
        <w:t>may be weighed against the advantages arising from the development when determining the Order.</w:t>
      </w:r>
      <w:r w:rsidR="00434C47">
        <w:rPr>
          <w:rFonts w:cs="Verdana"/>
          <w:szCs w:val="22"/>
        </w:rPr>
        <w:t xml:space="preserve"> </w:t>
      </w:r>
    </w:p>
    <w:p w14:paraId="3303371F" w14:textId="1A64FEE2" w:rsidR="00434C47" w:rsidRPr="006531BD" w:rsidRDefault="00434C47" w:rsidP="006531BD">
      <w:pPr>
        <w:pStyle w:val="Style1"/>
        <w:autoSpaceDE w:val="0"/>
        <w:autoSpaceDN w:val="0"/>
        <w:adjustRightInd w:val="0"/>
        <w:rPr>
          <w:rFonts w:cs="Verdana"/>
          <w:szCs w:val="22"/>
        </w:rPr>
      </w:pPr>
      <w:r>
        <w:rPr>
          <w:rFonts w:cs="Verdana"/>
          <w:szCs w:val="22"/>
        </w:rPr>
        <w:t xml:space="preserve">There </w:t>
      </w:r>
      <w:r w:rsidRPr="003C325E">
        <w:rPr>
          <w:rFonts w:cs="Verdana"/>
          <w:szCs w:val="22"/>
        </w:rPr>
        <w:t xml:space="preserve">are two issues that must be considered here. These legal tests have been described by the Courts as ‘the necessity test’ and ‘the merits test’. </w:t>
      </w:r>
      <w:r w:rsidRPr="006531BD">
        <w:rPr>
          <w:rFonts w:cs="Verdana"/>
          <w:szCs w:val="22"/>
        </w:rPr>
        <w:t>Confirmation of the Order requires that both are satisfied</w:t>
      </w:r>
      <w:r>
        <w:rPr>
          <w:rStyle w:val="FootnoteReference"/>
          <w:rFonts w:cs="Verdana"/>
          <w:szCs w:val="22"/>
        </w:rPr>
        <w:footnoteReference w:id="1"/>
      </w:r>
      <w:r w:rsidRPr="006531BD">
        <w:rPr>
          <w:rFonts w:cs="Verdana"/>
          <w:szCs w:val="22"/>
        </w:rPr>
        <w:t>.</w:t>
      </w:r>
    </w:p>
    <w:p w14:paraId="28C42B1E" w14:textId="293EC8AC" w:rsidR="00494B47" w:rsidRPr="00494B47" w:rsidRDefault="00494B47" w:rsidP="00494B47">
      <w:pPr>
        <w:pStyle w:val="Style1"/>
        <w:autoSpaceDE w:val="0"/>
        <w:autoSpaceDN w:val="0"/>
        <w:adjustRightInd w:val="0"/>
      </w:pPr>
      <w:r w:rsidRPr="00494B47">
        <w:rPr>
          <w:rFonts w:cs="Verdana"/>
          <w:szCs w:val="22"/>
        </w:rPr>
        <w:lastRenderedPageBreak/>
        <w:t xml:space="preserve">In considering whether or not to confirm the Order, I am obliged to </w:t>
      </w:r>
      <w:proofErr w:type="gramStart"/>
      <w:r w:rsidRPr="00494B47">
        <w:rPr>
          <w:rFonts w:cs="Verdana"/>
          <w:szCs w:val="22"/>
        </w:rPr>
        <w:t>take into</w:t>
      </w:r>
      <w:r>
        <w:rPr>
          <w:rFonts w:cs="Verdana"/>
          <w:szCs w:val="22"/>
        </w:rPr>
        <w:t xml:space="preserve"> </w:t>
      </w:r>
      <w:r w:rsidRPr="00494B47">
        <w:rPr>
          <w:rFonts w:cs="Verdana"/>
          <w:szCs w:val="22"/>
        </w:rPr>
        <w:t>account</w:t>
      </w:r>
      <w:proofErr w:type="gramEnd"/>
      <w:r w:rsidRPr="00494B47">
        <w:rPr>
          <w:rFonts w:cs="Verdana"/>
          <w:szCs w:val="22"/>
        </w:rPr>
        <w:t>:</w:t>
      </w:r>
    </w:p>
    <w:p w14:paraId="78DEAF67" w14:textId="550ACD59" w:rsidR="00494B47" w:rsidRPr="00494B47" w:rsidRDefault="00494B47" w:rsidP="00494B47">
      <w:pPr>
        <w:pStyle w:val="ListParagraph"/>
        <w:numPr>
          <w:ilvl w:val="0"/>
          <w:numId w:val="25"/>
        </w:numPr>
        <w:autoSpaceDE w:val="0"/>
        <w:autoSpaceDN w:val="0"/>
        <w:adjustRightInd w:val="0"/>
        <w:ind w:left="851"/>
        <w:rPr>
          <w:rFonts w:cs="Verdana"/>
          <w:szCs w:val="22"/>
        </w:rPr>
      </w:pPr>
      <w:r w:rsidRPr="00494B47">
        <w:rPr>
          <w:rFonts w:cs="Verdana"/>
          <w:szCs w:val="22"/>
        </w:rPr>
        <w:t xml:space="preserve">any significant disadvantages or losses the stopping up of the path would cause to the general public, or to other individuals whose actionable rights of access would be extinguished by the </w:t>
      </w:r>
      <w:proofErr w:type="gramStart"/>
      <w:r w:rsidRPr="00494B47">
        <w:rPr>
          <w:rFonts w:cs="Verdana"/>
          <w:szCs w:val="22"/>
        </w:rPr>
        <w:t>process;</w:t>
      </w:r>
      <w:proofErr w:type="gramEnd"/>
    </w:p>
    <w:p w14:paraId="11FBF3F0" w14:textId="1F4D060F" w:rsidR="00494B47" w:rsidRPr="00494B47" w:rsidRDefault="00494B47" w:rsidP="00494B47">
      <w:pPr>
        <w:pStyle w:val="ListParagraph"/>
        <w:numPr>
          <w:ilvl w:val="0"/>
          <w:numId w:val="25"/>
        </w:numPr>
        <w:autoSpaceDE w:val="0"/>
        <w:autoSpaceDN w:val="0"/>
        <w:adjustRightInd w:val="0"/>
        <w:ind w:left="851"/>
        <w:rPr>
          <w:rFonts w:cs="Verdana"/>
          <w:szCs w:val="22"/>
        </w:rPr>
      </w:pPr>
      <w:r w:rsidRPr="00494B47">
        <w:rPr>
          <w:rFonts w:cs="Verdana"/>
          <w:szCs w:val="22"/>
        </w:rPr>
        <w:t>any countervailing advantages to the public, or those individuals;</w:t>
      </w:r>
      <w:r w:rsidR="00434C47">
        <w:rPr>
          <w:rFonts w:cs="Verdana"/>
          <w:szCs w:val="22"/>
        </w:rPr>
        <w:t xml:space="preserve"> and</w:t>
      </w:r>
    </w:p>
    <w:p w14:paraId="0F03F03A" w14:textId="4538311F" w:rsidR="00494B47" w:rsidRPr="009153EC" w:rsidRDefault="00494B47" w:rsidP="00494B47">
      <w:pPr>
        <w:pStyle w:val="ListParagraph"/>
        <w:numPr>
          <w:ilvl w:val="0"/>
          <w:numId w:val="25"/>
        </w:numPr>
        <w:autoSpaceDE w:val="0"/>
        <w:autoSpaceDN w:val="0"/>
        <w:adjustRightInd w:val="0"/>
        <w:ind w:left="851"/>
      </w:pPr>
      <w:r w:rsidRPr="00494B47">
        <w:rPr>
          <w:rFonts w:cs="Verdana"/>
          <w:szCs w:val="22"/>
        </w:rPr>
        <w:t>the planning benefits of, and the degree of importance attaching to, the development.</w:t>
      </w:r>
    </w:p>
    <w:p w14:paraId="6623F0C1" w14:textId="2425F164" w:rsidR="007378E0" w:rsidRDefault="007378E0" w:rsidP="007378E0">
      <w:pPr>
        <w:pStyle w:val="Heading6blackfont"/>
      </w:pPr>
      <w:r>
        <w:t>Reasons</w:t>
      </w:r>
    </w:p>
    <w:p w14:paraId="5EAA5454" w14:textId="30144096" w:rsidR="00D00EB0" w:rsidRPr="00B105AC" w:rsidRDefault="00B105AC" w:rsidP="00D00EB0">
      <w:pPr>
        <w:pStyle w:val="Style1"/>
        <w:numPr>
          <w:ilvl w:val="0"/>
          <w:numId w:val="0"/>
        </w:numPr>
        <w:ind w:left="431" w:hanging="431"/>
        <w:rPr>
          <w:b/>
          <w:bCs/>
        </w:rPr>
      </w:pPr>
      <w:r w:rsidRPr="00B105AC">
        <w:rPr>
          <w:b/>
          <w:bCs/>
        </w:rPr>
        <w:t>The ‘need’ case</w:t>
      </w:r>
    </w:p>
    <w:p w14:paraId="338AAE4C" w14:textId="77777777" w:rsidR="00B105AC" w:rsidRPr="00D13F14" w:rsidRDefault="00B105AC" w:rsidP="00B105AC">
      <w:pPr>
        <w:pStyle w:val="Style1"/>
        <w:numPr>
          <w:ilvl w:val="0"/>
          <w:numId w:val="0"/>
        </w:numPr>
        <w:rPr>
          <w:i/>
          <w:iCs/>
        </w:rPr>
      </w:pPr>
      <w:r w:rsidRPr="00D13F14">
        <w:rPr>
          <w:i/>
          <w:iCs/>
        </w:rPr>
        <w:t xml:space="preserve">Whether the stopping up of Footpath </w:t>
      </w:r>
      <w:r>
        <w:rPr>
          <w:i/>
          <w:iCs/>
        </w:rPr>
        <w:t>2086</w:t>
      </w:r>
      <w:r w:rsidRPr="00D13F14">
        <w:rPr>
          <w:i/>
          <w:iCs/>
        </w:rPr>
        <w:t xml:space="preserve"> is necessary to allow development to be carried out in accordance with planning permission</w:t>
      </w:r>
      <w:r>
        <w:rPr>
          <w:i/>
          <w:iCs/>
        </w:rPr>
        <w:t xml:space="preserve"> already granted</w:t>
      </w:r>
    </w:p>
    <w:p w14:paraId="43BB5E24" w14:textId="2FBBFC26" w:rsidR="00C51DC0" w:rsidRPr="00EF1D80" w:rsidRDefault="00E24B4B" w:rsidP="00783713">
      <w:pPr>
        <w:pStyle w:val="Style1"/>
        <w:autoSpaceDE w:val="0"/>
        <w:autoSpaceDN w:val="0"/>
        <w:adjustRightInd w:val="0"/>
        <w:spacing w:before="120"/>
      </w:pPr>
      <w:r w:rsidRPr="00EF1D80">
        <w:rPr>
          <w:rFonts w:cs="Verdana"/>
          <w:szCs w:val="22"/>
        </w:rPr>
        <w:t xml:space="preserve">PROW 2086 </w:t>
      </w:r>
      <w:r w:rsidR="006B6A37" w:rsidRPr="00EF1D80">
        <w:rPr>
          <w:rFonts w:cs="Verdana"/>
          <w:szCs w:val="22"/>
        </w:rPr>
        <w:t xml:space="preserve">leads from </w:t>
      </w:r>
      <w:r w:rsidR="009D4FE9" w:rsidRPr="00EF1D80">
        <w:rPr>
          <w:rFonts w:cs="Verdana"/>
          <w:szCs w:val="22"/>
        </w:rPr>
        <w:t>Wilshaw Lane</w:t>
      </w:r>
      <w:r w:rsidR="005416B9" w:rsidRPr="00EF1D80">
        <w:rPr>
          <w:rFonts w:cs="Verdana"/>
          <w:szCs w:val="22"/>
        </w:rPr>
        <w:t xml:space="preserve"> in a generally easterly direction across fields to </w:t>
      </w:r>
      <w:r w:rsidR="0067360A" w:rsidRPr="00EF1D80">
        <w:rPr>
          <w:rFonts w:cs="Verdana"/>
          <w:szCs w:val="22"/>
        </w:rPr>
        <w:t>Wiggins</w:t>
      </w:r>
      <w:r w:rsidR="008F7279" w:rsidRPr="00EF1D80">
        <w:rPr>
          <w:rFonts w:cs="Verdana"/>
          <w:szCs w:val="22"/>
        </w:rPr>
        <w:t xml:space="preserve"> Hill Road.</w:t>
      </w:r>
      <w:r w:rsidR="00FF20AD" w:rsidRPr="00EF1D80">
        <w:rPr>
          <w:rFonts w:cs="Verdana"/>
          <w:szCs w:val="22"/>
        </w:rPr>
        <w:t xml:space="preserve"> </w:t>
      </w:r>
      <w:r w:rsidRPr="00EF1D80">
        <w:rPr>
          <w:rFonts w:cs="Verdana"/>
          <w:szCs w:val="22"/>
        </w:rPr>
        <w:t xml:space="preserve">It is </w:t>
      </w:r>
      <w:r w:rsidR="00C51DC0" w:rsidRPr="00EF1D80">
        <w:t>part of a joined-up network of paths to and from various locations</w:t>
      </w:r>
      <w:r w:rsidR="004F3461" w:rsidRPr="00EF1D80">
        <w:t xml:space="preserve"> including</w:t>
      </w:r>
      <w:r w:rsidR="00C51DC0" w:rsidRPr="00EF1D80">
        <w:t xml:space="preserve"> Sutton Coldfield, Minworth, Castle Vale, </w:t>
      </w:r>
      <w:proofErr w:type="spellStart"/>
      <w:r w:rsidR="00C51DC0" w:rsidRPr="00EF1D80">
        <w:t>Curdworth</w:t>
      </w:r>
      <w:proofErr w:type="spellEnd"/>
      <w:r w:rsidR="00C51DC0" w:rsidRPr="00EF1D80">
        <w:t>, Warwickshire</w:t>
      </w:r>
      <w:r w:rsidR="00CC13F8">
        <w:t xml:space="preserve"> </w:t>
      </w:r>
      <w:r w:rsidR="00C51DC0" w:rsidRPr="00EF1D80">
        <w:t xml:space="preserve">and </w:t>
      </w:r>
      <w:r w:rsidR="00531AB9" w:rsidRPr="00EF1D80">
        <w:t>others</w:t>
      </w:r>
      <w:r w:rsidR="00C51DC0" w:rsidRPr="00EF1D80">
        <w:t>.</w:t>
      </w:r>
    </w:p>
    <w:p w14:paraId="26770502" w14:textId="761F6EC7" w:rsidR="00EB08F0" w:rsidRDefault="00E61B43" w:rsidP="001A6565">
      <w:pPr>
        <w:pStyle w:val="Style1"/>
        <w:autoSpaceDE w:val="0"/>
        <w:autoSpaceDN w:val="0"/>
        <w:adjustRightInd w:val="0"/>
      </w:pPr>
      <w:r>
        <w:rPr>
          <w:rFonts w:cs="Verdana"/>
          <w:szCs w:val="22"/>
        </w:rPr>
        <w:t>PROW 2086</w:t>
      </w:r>
      <w:r w:rsidR="005A3AA0">
        <w:rPr>
          <w:rFonts w:cs="Verdana"/>
          <w:szCs w:val="22"/>
        </w:rPr>
        <w:t xml:space="preserve"> is </w:t>
      </w:r>
      <w:r w:rsidR="00FF20AD" w:rsidRPr="00D35B82">
        <w:rPr>
          <w:rFonts w:cs="Verdana"/>
          <w:szCs w:val="22"/>
        </w:rPr>
        <w:t xml:space="preserve">part of </w:t>
      </w:r>
      <w:r w:rsidR="0041784E">
        <w:rPr>
          <w:rFonts w:cs="Verdana"/>
          <w:szCs w:val="22"/>
        </w:rPr>
        <w:t xml:space="preserve">the </w:t>
      </w:r>
      <w:r w:rsidR="00A0013B" w:rsidRPr="00D35B82">
        <w:rPr>
          <w:rFonts w:cs="Verdana"/>
          <w:szCs w:val="22"/>
        </w:rPr>
        <w:t xml:space="preserve">land at </w:t>
      </w:r>
      <w:proofErr w:type="spellStart"/>
      <w:r w:rsidR="00F6472B">
        <w:t>Peddimore</w:t>
      </w:r>
      <w:proofErr w:type="spellEnd"/>
      <w:r w:rsidR="00F6472B">
        <w:t>, Minworth</w:t>
      </w:r>
      <w:r w:rsidR="00A0013B">
        <w:t xml:space="preserve"> </w:t>
      </w:r>
      <w:r w:rsidR="0041784E">
        <w:t xml:space="preserve">which </w:t>
      </w:r>
      <w:r w:rsidR="00A0013B">
        <w:t xml:space="preserve">comprises </w:t>
      </w:r>
      <w:r w:rsidR="00F6472B">
        <w:t xml:space="preserve">the </w:t>
      </w:r>
      <w:proofErr w:type="spellStart"/>
      <w:r w:rsidR="00F6472B">
        <w:t>Peddimore</w:t>
      </w:r>
      <w:proofErr w:type="spellEnd"/>
      <w:r w:rsidR="00F6472B">
        <w:t xml:space="preserve"> Development site</w:t>
      </w:r>
      <w:r w:rsidR="001737C7">
        <w:t xml:space="preserve">. </w:t>
      </w:r>
      <w:r w:rsidR="00F6472B">
        <w:t xml:space="preserve">The </w:t>
      </w:r>
      <w:r w:rsidR="001737C7">
        <w:t>s</w:t>
      </w:r>
      <w:r w:rsidR="00F6472B">
        <w:t xml:space="preserve">ite was allocated </w:t>
      </w:r>
      <w:r w:rsidR="001737C7">
        <w:t xml:space="preserve">under Policy GA6 of the </w:t>
      </w:r>
      <w:r w:rsidR="00F6472B">
        <w:t>Birmingham Development Plan</w:t>
      </w:r>
      <w:r w:rsidR="00DC73CF">
        <w:t xml:space="preserve"> </w:t>
      </w:r>
      <w:r w:rsidR="00F6472B">
        <w:t xml:space="preserve">for a high-quality employment site of 71 hectares to meet </w:t>
      </w:r>
      <w:r w:rsidR="006E4C28">
        <w:t>a</w:t>
      </w:r>
      <w:r w:rsidR="00F6472B">
        <w:t xml:space="preserve"> shortfall in best quality employment land. </w:t>
      </w:r>
    </w:p>
    <w:p w14:paraId="608E5B29" w14:textId="568D34CD" w:rsidR="00DC73CF" w:rsidRPr="00A667A2" w:rsidRDefault="00EB08F0" w:rsidP="00EB08F0">
      <w:pPr>
        <w:pStyle w:val="Style1"/>
        <w:autoSpaceDE w:val="0"/>
        <w:autoSpaceDN w:val="0"/>
        <w:adjustRightInd w:val="0"/>
      </w:pPr>
      <w:r>
        <w:t>P</w:t>
      </w:r>
      <w:r w:rsidR="00EB2AD7">
        <w:t>lanning permission was granted by the Council on 2</w:t>
      </w:r>
      <w:r w:rsidR="00027168">
        <w:t> </w:t>
      </w:r>
      <w:r w:rsidR="00EB2AD7">
        <w:t>September 2019</w:t>
      </w:r>
      <w:r w:rsidR="00027168">
        <w:t xml:space="preserve"> subject to numerous conditions</w:t>
      </w:r>
      <w:r w:rsidR="00771959">
        <w:t xml:space="preserve"> (‘the planning permission’)</w:t>
      </w:r>
      <w:r>
        <w:t xml:space="preserve">. The approved description of development is: hybrid planning application comprising: outline application </w:t>
      </w:r>
      <w:r w:rsidR="00027168">
        <w:t xml:space="preserve">with all matters reserved for </w:t>
      </w:r>
      <w:r w:rsidR="00FB3AAB" w:rsidRPr="00FB3AAB">
        <w:t xml:space="preserve">an </w:t>
      </w:r>
      <w:r w:rsidR="00FB3AAB" w:rsidRPr="00EB08F0">
        <w:rPr>
          <w:szCs w:val="22"/>
        </w:rPr>
        <w:t xml:space="preserve">employment park comprising B1b, B1c, B2 and/or B8 uses, including ancillary offices (B1a), gatehouses and security facilities, service yards and HGV parking, plant, vehicular and cycle parking, landscaping, pedestrian and cycle infrastructure, green and blue infrastructure, ancillary business and community facilities (D1/D2/B1a/A3/sui generis) including a multi-purpose hub building and associated development. Full planning application for a new roundabout access from the A38, construction access and compound area, internal spine road, site gatehouse, primary substation and tower, engineering operations including foul pumping station, acoustic fencing, earthworks (including creation of development plot plateaus), pedestrian and cycle infrastructure and structural landscaping including drainage infrastructure and development platform within </w:t>
      </w:r>
      <w:proofErr w:type="spellStart"/>
      <w:r w:rsidR="00FB3AAB" w:rsidRPr="00EB08F0">
        <w:rPr>
          <w:szCs w:val="22"/>
        </w:rPr>
        <w:t>Peddimore</w:t>
      </w:r>
      <w:proofErr w:type="spellEnd"/>
      <w:r w:rsidR="00FB3AAB" w:rsidRPr="00EB08F0">
        <w:rPr>
          <w:szCs w:val="22"/>
        </w:rPr>
        <w:t xml:space="preserve"> Brook corridor for ancillary business and community facilities.</w:t>
      </w:r>
      <w:r w:rsidR="00FB3AAB" w:rsidRPr="00EB08F0">
        <w:rPr>
          <w:i/>
          <w:iCs/>
          <w:szCs w:val="22"/>
        </w:rPr>
        <w:t xml:space="preserve"> </w:t>
      </w:r>
    </w:p>
    <w:p w14:paraId="48C5E8F6" w14:textId="716E397B" w:rsidR="00A667A2" w:rsidRPr="00F35758" w:rsidRDefault="00A667A2" w:rsidP="00146C42">
      <w:pPr>
        <w:pStyle w:val="Style1"/>
        <w:autoSpaceDE w:val="0"/>
        <w:autoSpaceDN w:val="0"/>
        <w:adjustRightInd w:val="0"/>
        <w:rPr>
          <w:rFonts w:cs="Arial"/>
          <w:szCs w:val="22"/>
        </w:rPr>
      </w:pPr>
      <w:r w:rsidRPr="00F35758">
        <w:rPr>
          <w:szCs w:val="22"/>
        </w:rPr>
        <w:t xml:space="preserve">The </w:t>
      </w:r>
      <w:proofErr w:type="spellStart"/>
      <w:r w:rsidRPr="00F35758">
        <w:rPr>
          <w:rFonts w:cs="Calibri"/>
          <w:szCs w:val="22"/>
        </w:rPr>
        <w:t>Peddimore</w:t>
      </w:r>
      <w:proofErr w:type="spellEnd"/>
      <w:r w:rsidRPr="00F35758">
        <w:rPr>
          <w:rFonts w:cs="Calibri"/>
          <w:szCs w:val="22"/>
        </w:rPr>
        <w:t xml:space="preserve"> Development is </w:t>
      </w:r>
      <w:r w:rsidR="0001258A" w:rsidRPr="00F35758">
        <w:rPr>
          <w:rFonts w:cs="Calibri"/>
          <w:szCs w:val="22"/>
        </w:rPr>
        <w:t xml:space="preserve">a </w:t>
      </w:r>
      <w:r w:rsidRPr="00F35758">
        <w:rPr>
          <w:rFonts w:cs="Calibri"/>
          <w:szCs w:val="22"/>
        </w:rPr>
        <w:t>new manufacturing and logistics site that will deliver 2.7 million square foot of employment space</w:t>
      </w:r>
      <w:r w:rsidR="0001258A" w:rsidRPr="00F35758">
        <w:rPr>
          <w:rFonts w:cs="Calibri"/>
          <w:szCs w:val="22"/>
        </w:rPr>
        <w:t xml:space="preserve"> near to Birmingham </w:t>
      </w:r>
      <w:r w:rsidR="0065692F" w:rsidRPr="00F35758">
        <w:rPr>
          <w:rFonts w:cs="Calibri"/>
          <w:szCs w:val="22"/>
        </w:rPr>
        <w:t xml:space="preserve">City Centre </w:t>
      </w:r>
      <w:r w:rsidR="0001258A" w:rsidRPr="00F35758">
        <w:rPr>
          <w:rFonts w:cs="Calibri"/>
          <w:szCs w:val="22"/>
        </w:rPr>
        <w:t xml:space="preserve">and the </w:t>
      </w:r>
      <w:r w:rsidR="0065692F" w:rsidRPr="00F35758">
        <w:rPr>
          <w:rFonts w:cs="Calibri"/>
          <w:szCs w:val="22"/>
        </w:rPr>
        <w:t>motorway network</w:t>
      </w:r>
      <w:r w:rsidRPr="00F35758">
        <w:rPr>
          <w:rFonts w:cs="Calibri"/>
          <w:szCs w:val="22"/>
        </w:rPr>
        <w:t xml:space="preserve">. </w:t>
      </w:r>
      <w:r w:rsidR="00826D87" w:rsidRPr="00F35758">
        <w:rPr>
          <w:rFonts w:cs="Calibri"/>
          <w:szCs w:val="22"/>
        </w:rPr>
        <w:t>Comm</w:t>
      </w:r>
      <w:r w:rsidRPr="00F35758">
        <w:rPr>
          <w:rFonts w:cs="Calibri"/>
          <w:szCs w:val="22"/>
        </w:rPr>
        <w:t xml:space="preserve">ercial units </w:t>
      </w:r>
      <w:r w:rsidR="00826D87" w:rsidRPr="00F35758">
        <w:rPr>
          <w:rFonts w:cs="Calibri"/>
          <w:szCs w:val="22"/>
        </w:rPr>
        <w:t xml:space="preserve">ranging </w:t>
      </w:r>
      <w:r w:rsidRPr="00F35758">
        <w:rPr>
          <w:rFonts w:cs="Calibri"/>
          <w:szCs w:val="22"/>
        </w:rPr>
        <w:t>from 70,000 to 1</w:t>
      </w:r>
      <w:r w:rsidR="00826D87" w:rsidRPr="00F35758">
        <w:rPr>
          <w:rFonts w:cs="Calibri"/>
          <w:szCs w:val="22"/>
        </w:rPr>
        <w:t> </w:t>
      </w:r>
      <w:r w:rsidRPr="00F35758">
        <w:rPr>
          <w:rFonts w:cs="Calibri"/>
          <w:szCs w:val="22"/>
        </w:rPr>
        <w:t>million sq. ft</w:t>
      </w:r>
      <w:r w:rsidR="00826D87" w:rsidRPr="00F35758">
        <w:rPr>
          <w:rFonts w:cs="Calibri"/>
          <w:szCs w:val="22"/>
        </w:rPr>
        <w:t xml:space="preserve"> would be provided. </w:t>
      </w:r>
      <w:r w:rsidR="00D22F07" w:rsidRPr="00F35758">
        <w:rPr>
          <w:rFonts w:cs="Calibri"/>
          <w:szCs w:val="22"/>
        </w:rPr>
        <w:t xml:space="preserve">The </w:t>
      </w:r>
      <w:proofErr w:type="spellStart"/>
      <w:r w:rsidR="00D22F07" w:rsidRPr="00F35758">
        <w:rPr>
          <w:rFonts w:cs="Calibri"/>
          <w:szCs w:val="22"/>
        </w:rPr>
        <w:t>Peddimore</w:t>
      </w:r>
      <w:proofErr w:type="spellEnd"/>
      <w:r w:rsidR="00D22F07" w:rsidRPr="00F35758">
        <w:rPr>
          <w:rFonts w:cs="Calibri"/>
          <w:szCs w:val="22"/>
        </w:rPr>
        <w:t xml:space="preserve"> Development site consists of three development zones</w:t>
      </w:r>
      <w:r w:rsidR="00B34187">
        <w:rPr>
          <w:rFonts w:cs="Calibri"/>
          <w:szCs w:val="22"/>
        </w:rPr>
        <w:t xml:space="preserve">: </w:t>
      </w:r>
      <w:r w:rsidR="00D22F07" w:rsidRPr="00F35758">
        <w:rPr>
          <w:rFonts w:cs="Calibri"/>
          <w:szCs w:val="22"/>
        </w:rPr>
        <w:t xml:space="preserve">Zone 1A </w:t>
      </w:r>
      <w:r w:rsidR="00904D77" w:rsidRPr="00F35758">
        <w:rPr>
          <w:rFonts w:cs="Calibri"/>
          <w:szCs w:val="22"/>
        </w:rPr>
        <w:t xml:space="preserve">lies between the A38 and to the west of Wishaw Lane. </w:t>
      </w:r>
      <w:r w:rsidR="00924BD0" w:rsidRPr="00F35758">
        <w:rPr>
          <w:rFonts w:cs="Calibri"/>
          <w:szCs w:val="22"/>
        </w:rPr>
        <w:t>Zone 1B is to the north-west of Wishaw Lane</w:t>
      </w:r>
      <w:r w:rsidR="00A95808" w:rsidRPr="00F35758">
        <w:rPr>
          <w:rFonts w:cs="Calibri"/>
          <w:szCs w:val="22"/>
        </w:rPr>
        <w:t xml:space="preserve"> with Zone 2 extending to the west of, across, </w:t>
      </w:r>
      <w:r w:rsidR="00F35758" w:rsidRPr="00F35758">
        <w:rPr>
          <w:rFonts w:cs="Calibri"/>
          <w:szCs w:val="22"/>
        </w:rPr>
        <w:t xml:space="preserve">and to the east and south-east of Wishaw Lane. </w:t>
      </w:r>
      <w:r w:rsidR="007F0E41" w:rsidRPr="00F35758">
        <w:rPr>
          <w:szCs w:val="22"/>
        </w:rPr>
        <w:t xml:space="preserve">Site preparation work for the </w:t>
      </w:r>
      <w:proofErr w:type="spellStart"/>
      <w:r w:rsidR="007F0E41" w:rsidRPr="00F35758">
        <w:rPr>
          <w:szCs w:val="22"/>
        </w:rPr>
        <w:t>Peddimore</w:t>
      </w:r>
      <w:proofErr w:type="spellEnd"/>
      <w:r w:rsidR="007F0E41" w:rsidRPr="00F35758">
        <w:rPr>
          <w:szCs w:val="22"/>
        </w:rPr>
        <w:t xml:space="preserve"> Development started in March 2021 but the </w:t>
      </w:r>
      <w:r w:rsidR="008F1DD1" w:rsidRPr="00F35758">
        <w:rPr>
          <w:szCs w:val="22"/>
        </w:rPr>
        <w:t xml:space="preserve">planning permission has yet to be implemented. </w:t>
      </w:r>
    </w:p>
    <w:p w14:paraId="6D3EE46B" w14:textId="77777777" w:rsidR="00634B4C" w:rsidRDefault="0033333E" w:rsidP="00783713">
      <w:pPr>
        <w:pStyle w:val="Style1"/>
        <w:autoSpaceDE w:val="0"/>
        <w:autoSpaceDN w:val="0"/>
        <w:adjustRightInd w:val="0"/>
        <w:rPr>
          <w:rFonts w:cs="Verdana"/>
          <w:szCs w:val="22"/>
        </w:rPr>
      </w:pPr>
      <w:r w:rsidRPr="000547CF">
        <w:rPr>
          <w:rFonts w:cs="Verdana"/>
          <w:szCs w:val="22"/>
        </w:rPr>
        <w:t xml:space="preserve">The Order was made by </w:t>
      </w:r>
      <w:r>
        <w:rPr>
          <w:rFonts w:cs="Verdana"/>
          <w:szCs w:val="22"/>
        </w:rPr>
        <w:t>Birmingham City Council i</w:t>
      </w:r>
      <w:r w:rsidRPr="000547CF">
        <w:rPr>
          <w:rFonts w:cs="Verdana"/>
          <w:szCs w:val="22"/>
        </w:rPr>
        <w:t xml:space="preserve">n its capacity as local </w:t>
      </w:r>
    </w:p>
    <w:p w14:paraId="588096C8" w14:textId="6B10594E" w:rsidR="0033333E" w:rsidRPr="00783713" w:rsidRDefault="0033333E" w:rsidP="00634B4C">
      <w:pPr>
        <w:pStyle w:val="Style1"/>
        <w:numPr>
          <w:ilvl w:val="0"/>
          <w:numId w:val="0"/>
        </w:numPr>
        <w:autoSpaceDE w:val="0"/>
        <w:autoSpaceDN w:val="0"/>
        <w:adjustRightInd w:val="0"/>
        <w:ind w:left="431"/>
        <w:rPr>
          <w:rFonts w:cs="Verdana"/>
          <w:szCs w:val="22"/>
        </w:rPr>
      </w:pPr>
      <w:r w:rsidRPr="00CC13F8">
        <w:rPr>
          <w:rFonts w:cs="Verdana"/>
          <w:szCs w:val="22"/>
        </w:rPr>
        <w:lastRenderedPageBreak/>
        <w:t xml:space="preserve">planning authority. The Council was satisfied that it is necessary to close the </w:t>
      </w:r>
      <w:r w:rsidRPr="00783713">
        <w:rPr>
          <w:rFonts w:cs="Verdana"/>
          <w:szCs w:val="22"/>
        </w:rPr>
        <w:t>section of PROW 2086 in question (shown as A1-B1 on the Order map) to enable development to be carried out in accordance with planning permission granted under the Act.</w:t>
      </w:r>
    </w:p>
    <w:p w14:paraId="11633ADA" w14:textId="782BD17A" w:rsidR="00673B28" w:rsidRDefault="001E3C24" w:rsidP="00342256">
      <w:pPr>
        <w:pStyle w:val="Style1"/>
        <w:autoSpaceDE w:val="0"/>
        <w:autoSpaceDN w:val="0"/>
        <w:adjustRightInd w:val="0"/>
      </w:pPr>
      <w:r w:rsidRPr="00D335DB">
        <w:rPr>
          <w:rFonts w:cs="Verdana"/>
          <w:szCs w:val="22"/>
        </w:rPr>
        <w:t xml:space="preserve">Since the Order was made, </w:t>
      </w:r>
      <w:r>
        <w:rPr>
          <w:rFonts w:cs="Verdana"/>
          <w:szCs w:val="22"/>
        </w:rPr>
        <w:t>a</w:t>
      </w:r>
      <w:r w:rsidR="007C7053">
        <w:t xml:space="preserve"> section of Wishaw Lane </w:t>
      </w:r>
      <w:r w:rsidR="00AF7D90">
        <w:t xml:space="preserve">to the north and south of its junction with PROW 2086 </w:t>
      </w:r>
      <w:r w:rsidR="007C7053">
        <w:t xml:space="preserve">has been stopped-up pursuant to </w:t>
      </w:r>
      <w:r w:rsidR="007C7053" w:rsidRPr="00E90883">
        <w:t>a section 247 order</w:t>
      </w:r>
      <w:r w:rsidR="00C62419" w:rsidRPr="00E90883">
        <w:rPr>
          <w:rStyle w:val="FootnoteReference"/>
        </w:rPr>
        <w:footnoteReference w:id="2"/>
      </w:r>
      <w:r w:rsidR="007C7053" w:rsidRPr="00E90883">
        <w:t xml:space="preserve">. </w:t>
      </w:r>
      <w:r w:rsidR="00864FED" w:rsidRPr="00E90883">
        <w:t>Hence</w:t>
      </w:r>
      <w:r w:rsidR="00C62419" w:rsidRPr="00E90883">
        <w:t>, PROW</w:t>
      </w:r>
      <w:r w:rsidR="00C62419">
        <w:t xml:space="preserve"> 208</w:t>
      </w:r>
      <w:r w:rsidR="00734BCE">
        <w:t xml:space="preserve">6 would, </w:t>
      </w:r>
      <w:r w:rsidR="007C7053">
        <w:t>if left in its current form, become a cul-de-sac.</w:t>
      </w:r>
      <w:r w:rsidR="00AF7D90">
        <w:t xml:space="preserve"> The </w:t>
      </w:r>
      <w:r w:rsidR="006E14AF">
        <w:t xml:space="preserve">Order would see </w:t>
      </w:r>
      <w:r w:rsidR="00860DD3">
        <w:t xml:space="preserve">the western </w:t>
      </w:r>
      <w:r w:rsidR="006E14AF">
        <w:t xml:space="preserve">part of </w:t>
      </w:r>
      <w:r w:rsidR="006E14AF" w:rsidRPr="003041A8">
        <w:rPr>
          <w:rFonts w:cs="Verdana"/>
          <w:szCs w:val="22"/>
        </w:rPr>
        <w:t xml:space="preserve">PROW 2086 </w:t>
      </w:r>
      <w:r w:rsidR="006E14AF">
        <w:t>Wishaw Lane stopped up from point A1 to point B1 on the Order Map</w:t>
      </w:r>
      <w:r w:rsidR="00734BCE">
        <w:t xml:space="preserve"> with the</w:t>
      </w:r>
      <w:r w:rsidR="00860DD3">
        <w:t xml:space="preserve"> eastern </w:t>
      </w:r>
      <w:r w:rsidR="00734BCE">
        <w:t xml:space="preserve">part </w:t>
      </w:r>
      <w:r w:rsidR="00860DD3">
        <w:t xml:space="preserve">of the footpath stopped up </w:t>
      </w:r>
      <w:r w:rsidR="003041A8">
        <w:t xml:space="preserve">temporarily </w:t>
      </w:r>
      <w:r w:rsidR="00100607">
        <w:t xml:space="preserve">during the proposed infrastructure works </w:t>
      </w:r>
      <w:r w:rsidR="00860DD3">
        <w:t xml:space="preserve">and </w:t>
      </w:r>
      <w:r w:rsidR="00100607">
        <w:t xml:space="preserve">it re-provided as a mown grass footpath. </w:t>
      </w:r>
    </w:p>
    <w:p w14:paraId="0D13519A" w14:textId="1122CCB8" w:rsidR="00995FAD" w:rsidRPr="00995FAD" w:rsidRDefault="00FE0B36" w:rsidP="00995FAD">
      <w:pPr>
        <w:pStyle w:val="Style1"/>
        <w:autoSpaceDE w:val="0"/>
        <w:autoSpaceDN w:val="0"/>
        <w:adjustRightInd w:val="0"/>
      </w:pPr>
      <w:r>
        <w:rPr>
          <w:rFonts w:cs="Verdana"/>
          <w:szCs w:val="22"/>
        </w:rPr>
        <w:t>A</w:t>
      </w:r>
      <w:r w:rsidR="006E4C28">
        <w:rPr>
          <w:rFonts w:cs="Verdana"/>
          <w:szCs w:val="22"/>
        </w:rPr>
        <w:t xml:space="preserve">fter </w:t>
      </w:r>
      <w:r w:rsidR="00C308C8" w:rsidRPr="00995FAD">
        <w:rPr>
          <w:rFonts w:cs="Verdana"/>
          <w:szCs w:val="22"/>
        </w:rPr>
        <w:t xml:space="preserve">the Order was made, </w:t>
      </w:r>
      <w:r w:rsidR="00771959" w:rsidRPr="00995FAD">
        <w:rPr>
          <w:rFonts w:cs="Verdana"/>
          <w:szCs w:val="22"/>
        </w:rPr>
        <w:t xml:space="preserve">four non-material amendments </w:t>
      </w:r>
      <w:r w:rsidR="00132C0B" w:rsidRPr="00995FAD">
        <w:rPr>
          <w:rFonts w:cs="Verdana"/>
          <w:szCs w:val="22"/>
        </w:rPr>
        <w:t xml:space="preserve">(NMAs) </w:t>
      </w:r>
      <w:r w:rsidR="00771959" w:rsidRPr="00995FAD">
        <w:rPr>
          <w:rFonts w:cs="Verdana"/>
          <w:szCs w:val="22"/>
        </w:rPr>
        <w:t xml:space="preserve">to the planning permission </w:t>
      </w:r>
      <w:r w:rsidR="00954615" w:rsidRPr="00995FAD">
        <w:rPr>
          <w:rFonts w:cs="Verdana"/>
          <w:szCs w:val="22"/>
        </w:rPr>
        <w:t xml:space="preserve">have been </w:t>
      </w:r>
      <w:r w:rsidR="00132C0B" w:rsidRPr="00995FAD">
        <w:rPr>
          <w:rFonts w:cs="Verdana"/>
          <w:szCs w:val="22"/>
        </w:rPr>
        <w:t xml:space="preserve">granted by the Council. </w:t>
      </w:r>
      <w:r w:rsidR="007062DF" w:rsidRPr="00995FAD">
        <w:rPr>
          <w:rFonts w:cs="Verdana"/>
          <w:szCs w:val="22"/>
        </w:rPr>
        <w:t>Two of these</w:t>
      </w:r>
      <w:r w:rsidR="00B13AE4">
        <w:rPr>
          <w:rStyle w:val="FootnoteReference"/>
          <w:rFonts w:cs="Verdana"/>
          <w:szCs w:val="22"/>
        </w:rPr>
        <w:footnoteReference w:id="3"/>
      </w:r>
      <w:r w:rsidR="00B13AE4" w:rsidRPr="00995FAD">
        <w:rPr>
          <w:rFonts w:cs="Verdana"/>
          <w:szCs w:val="22"/>
        </w:rPr>
        <w:t xml:space="preserve"> a</w:t>
      </w:r>
      <w:r w:rsidR="00954615" w:rsidRPr="00995FAD">
        <w:rPr>
          <w:rFonts w:cs="Verdana"/>
          <w:szCs w:val="22"/>
        </w:rPr>
        <w:t xml:space="preserve">re </w:t>
      </w:r>
      <w:r w:rsidR="007062DF" w:rsidRPr="00995FAD">
        <w:rPr>
          <w:rFonts w:cs="Verdana"/>
          <w:szCs w:val="22"/>
        </w:rPr>
        <w:t xml:space="preserve">said </w:t>
      </w:r>
      <w:r w:rsidR="00B13AE4" w:rsidRPr="00995FAD">
        <w:rPr>
          <w:rFonts w:cs="Verdana"/>
          <w:szCs w:val="22"/>
        </w:rPr>
        <w:t xml:space="preserve">not </w:t>
      </w:r>
      <w:r w:rsidR="00B539FF">
        <w:rPr>
          <w:rFonts w:cs="Verdana"/>
          <w:szCs w:val="22"/>
        </w:rPr>
        <w:t xml:space="preserve">to be </w:t>
      </w:r>
      <w:r w:rsidR="00B13AE4" w:rsidRPr="00995FAD">
        <w:rPr>
          <w:rFonts w:cs="Verdana"/>
          <w:szCs w:val="22"/>
        </w:rPr>
        <w:t xml:space="preserve">relevant to </w:t>
      </w:r>
      <w:r w:rsidR="00B539FF">
        <w:rPr>
          <w:rFonts w:cs="Verdana"/>
          <w:szCs w:val="22"/>
        </w:rPr>
        <w:t>PROW 2086</w:t>
      </w:r>
      <w:r w:rsidR="00B13AE4" w:rsidRPr="00995FAD">
        <w:rPr>
          <w:rFonts w:cs="Verdana"/>
          <w:szCs w:val="22"/>
        </w:rPr>
        <w:t xml:space="preserve">. </w:t>
      </w:r>
      <w:r w:rsidR="00AC627A" w:rsidRPr="00995FAD">
        <w:rPr>
          <w:rFonts w:cs="Verdana"/>
          <w:szCs w:val="22"/>
        </w:rPr>
        <w:t xml:space="preserve">A third NMA (Ref: 2021/00356/PA) </w:t>
      </w:r>
      <w:r w:rsidR="00F03A3B" w:rsidRPr="00995FAD">
        <w:rPr>
          <w:rFonts w:cs="Verdana"/>
          <w:szCs w:val="22"/>
        </w:rPr>
        <w:t xml:space="preserve">amended </w:t>
      </w:r>
      <w:r w:rsidR="00336410" w:rsidRPr="00995FAD">
        <w:rPr>
          <w:rFonts w:cs="Verdana"/>
          <w:szCs w:val="22"/>
        </w:rPr>
        <w:t>the wording of condition No 9</w:t>
      </w:r>
      <w:r w:rsidR="001B2C93" w:rsidRPr="00995FAD">
        <w:rPr>
          <w:rFonts w:cs="Verdana"/>
          <w:szCs w:val="22"/>
        </w:rPr>
        <w:t xml:space="preserve"> so that d</w:t>
      </w:r>
      <w:r w:rsidR="0025074F" w:rsidRPr="00995FAD">
        <w:rPr>
          <w:rFonts w:cs="Verdana"/>
          <w:szCs w:val="22"/>
        </w:rPr>
        <w:t>evelopment cannot take place within Development Zone 2 until an Order has been made to stop-up PROW 2086.</w:t>
      </w:r>
      <w:r w:rsidR="00D335DB" w:rsidRPr="00995FAD">
        <w:rPr>
          <w:rFonts w:cs="Verdana"/>
          <w:szCs w:val="22"/>
        </w:rPr>
        <w:t xml:space="preserve"> </w:t>
      </w:r>
      <w:r w:rsidR="003C6B87" w:rsidRPr="00995FAD">
        <w:rPr>
          <w:rFonts w:cs="Verdana"/>
          <w:szCs w:val="22"/>
        </w:rPr>
        <w:t xml:space="preserve">The fourth NMA (Ref: 2021/02444/PA) </w:t>
      </w:r>
      <w:r w:rsidR="004F2EE5" w:rsidRPr="00995FAD">
        <w:rPr>
          <w:szCs w:val="22"/>
        </w:rPr>
        <w:t>update</w:t>
      </w:r>
      <w:r w:rsidR="0025074F" w:rsidRPr="00995FAD">
        <w:rPr>
          <w:szCs w:val="22"/>
        </w:rPr>
        <w:t>d</w:t>
      </w:r>
      <w:r w:rsidR="004F2EE5" w:rsidRPr="00995FAD">
        <w:rPr>
          <w:szCs w:val="22"/>
        </w:rPr>
        <w:t xml:space="preserve"> the Path Network Plan</w:t>
      </w:r>
      <w:r w:rsidR="00A51E9E">
        <w:rPr>
          <w:rStyle w:val="FootnoteReference"/>
          <w:rFonts w:cs="Verdana"/>
          <w:szCs w:val="22"/>
        </w:rPr>
        <w:footnoteReference w:id="4"/>
      </w:r>
      <w:r w:rsidR="004F2EE5" w:rsidRPr="00995FAD">
        <w:rPr>
          <w:szCs w:val="22"/>
        </w:rPr>
        <w:t xml:space="preserve"> and detailed infrastructure planning planting plans and reference</w:t>
      </w:r>
      <w:r w:rsidR="0025074F" w:rsidRPr="00995FAD">
        <w:rPr>
          <w:szCs w:val="22"/>
        </w:rPr>
        <w:t>d</w:t>
      </w:r>
      <w:r w:rsidR="004F2EE5" w:rsidRPr="00995FAD">
        <w:rPr>
          <w:szCs w:val="22"/>
        </w:rPr>
        <w:t xml:space="preserve"> the updated plans in conditions 3,7, 8 and 9 of the planning </w:t>
      </w:r>
      <w:proofErr w:type="gramStart"/>
      <w:r w:rsidR="004F2EE5" w:rsidRPr="00995FAD">
        <w:rPr>
          <w:szCs w:val="22"/>
        </w:rPr>
        <w:t>permission</w:t>
      </w:r>
      <w:proofErr w:type="gramEnd"/>
      <w:r w:rsidR="004F2EE5" w:rsidRPr="00995FAD">
        <w:rPr>
          <w:szCs w:val="22"/>
        </w:rPr>
        <w:t xml:space="preserve">. </w:t>
      </w:r>
    </w:p>
    <w:p w14:paraId="5955902C" w14:textId="30C8B6B5" w:rsidR="004F2EE5" w:rsidRPr="00FE0B36" w:rsidRDefault="00A874A9" w:rsidP="00FE0B36">
      <w:pPr>
        <w:pStyle w:val="Style1"/>
        <w:autoSpaceDE w:val="0"/>
        <w:autoSpaceDN w:val="0"/>
        <w:adjustRightInd w:val="0"/>
      </w:pPr>
      <w:r w:rsidRPr="00995FAD">
        <w:rPr>
          <w:szCs w:val="22"/>
        </w:rPr>
        <w:t>Th</w:t>
      </w:r>
      <w:r w:rsidR="006E4C28">
        <w:rPr>
          <w:szCs w:val="22"/>
        </w:rPr>
        <w:t xml:space="preserve">e later NMA’s </w:t>
      </w:r>
      <w:r w:rsidR="00167D10" w:rsidRPr="00995FAD">
        <w:rPr>
          <w:szCs w:val="22"/>
        </w:rPr>
        <w:t xml:space="preserve">followed discussions </w:t>
      </w:r>
      <w:r w:rsidRPr="00995FAD">
        <w:rPr>
          <w:szCs w:val="22"/>
        </w:rPr>
        <w:t>with various residents and bodies</w:t>
      </w:r>
      <w:r w:rsidR="006E4C28">
        <w:rPr>
          <w:szCs w:val="22"/>
        </w:rPr>
        <w:t xml:space="preserve">. These </w:t>
      </w:r>
      <w:r w:rsidR="005E37FF">
        <w:rPr>
          <w:szCs w:val="22"/>
        </w:rPr>
        <w:t xml:space="preserve">led </w:t>
      </w:r>
      <w:r w:rsidR="001B2C93" w:rsidRPr="00995FAD">
        <w:rPr>
          <w:szCs w:val="22"/>
        </w:rPr>
        <w:t xml:space="preserve">to </w:t>
      </w:r>
      <w:r w:rsidR="009621DA" w:rsidRPr="00995FAD">
        <w:rPr>
          <w:szCs w:val="22"/>
        </w:rPr>
        <w:t xml:space="preserve">a revised strategy </w:t>
      </w:r>
      <w:r w:rsidR="00995FAD">
        <w:rPr>
          <w:szCs w:val="22"/>
        </w:rPr>
        <w:t>in respect of</w:t>
      </w:r>
      <w:r w:rsidR="009150BC">
        <w:rPr>
          <w:szCs w:val="22"/>
        </w:rPr>
        <w:t>:</w:t>
      </w:r>
      <w:r w:rsidR="00995FAD">
        <w:rPr>
          <w:szCs w:val="22"/>
        </w:rPr>
        <w:t xml:space="preserve"> the retained eastern section of PROW 2086</w:t>
      </w:r>
      <w:r w:rsidR="00AC42A6">
        <w:rPr>
          <w:szCs w:val="22"/>
        </w:rPr>
        <w:t>;</w:t>
      </w:r>
      <w:r w:rsidR="009150BC">
        <w:rPr>
          <w:szCs w:val="22"/>
        </w:rPr>
        <w:t xml:space="preserve"> provision of a new bridleway </w:t>
      </w:r>
      <w:r w:rsidR="00AC42A6">
        <w:rPr>
          <w:szCs w:val="22"/>
        </w:rPr>
        <w:t xml:space="preserve">extending between Wilshaw Lane and Wiggins Hill Road extending for some 1,307 metres; </w:t>
      </w:r>
      <w:r w:rsidR="006857B4">
        <w:rPr>
          <w:szCs w:val="22"/>
        </w:rPr>
        <w:t>and a network of permissive paths, including one as an alternative route to the bridleway over a bund near to the retained section of PROW 2086</w:t>
      </w:r>
      <w:r w:rsidR="00FE0B36">
        <w:rPr>
          <w:szCs w:val="22"/>
        </w:rPr>
        <w:t xml:space="preserve">. The bridleway would feed into a </w:t>
      </w:r>
      <w:r w:rsidR="00FE0B36">
        <w:t xml:space="preserve">network of permissive paths across the wider development site. </w:t>
      </w:r>
      <w:r w:rsidR="004F2EE5" w:rsidRPr="00FE0B36">
        <w:rPr>
          <w:szCs w:val="22"/>
        </w:rPr>
        <w:t xml:space="preserve">The Applicant is obliged to deliver the Path Network Plan strategy both through the conditions and through the terms of the Section 106 Agreement. </w:t>
      </w:r>
    </w:p>
    <w:p w14:paraId="5F5B10DF" w14:textId="3C5A3BD1" w:rsidR="00540113" w:rsidRPr="00540113" w:rsidRDefault="00D73127" w:rsidP="00B435CA">
      <w:pPr>
        <w:pStyle w:val="Style1"/>
        <w:autoSpaceDE w:val="0"/>
        <w:autoSpaceDN w:val="0"/>
        <w:adjustRightInd w:val="0"/>
        <w:rPr>
          <w:szCs w:val="22"/>
        </w:rPr>
      </w:pPr>
      <w:r w:rsidRPr="001810CB">
        <w:rPr>
          <w:szCs w:val="22"/>
        </w:rPr>
        <w:t xml:space="preserve">Three </w:t>
      </w:r>
      <w:r w:rsidR="00661197" w:rsidRPr="001810CB">
        <w:rPr>
          <w:szCs w:val="22"/>
        </w:rPr>
        <w:t>planning applications are to be submitted to the Council to deliver Development Zone 1A which includes the two employment buildings (Units A and B)</w:t>
      </w:r>
      <w:r w:rsidR="0038134E" w:rsidRPr="001810CB">
        <w:rPr>
          <w:szCs w:val="22"/>
        </w:rPr>
        <w:t xml:space="preserve">. </w:t>
      </w:r>
      <w:r w:rsidR="00886D4D" w:rsidRPr="001810CB">
        <w:rPr>
          <w:szCs w:val="22"/>
        </w:rPr>
        <w:t xml:space="preserve">A Section 73 application was validated by the Council </w:t>
      </w:r>
      <w:r w:rsidR="006E13CD">
        <w:rPr>
          <w:szCs w:val="22"/>
        </w:rPr>
        <w:t>o</w:t>
      </w:r>
      <w:r w:rsidR="00886D4D" w:rsidRPr="001810CB">
        <w:rPr>
          <w:rFonts w:cs="Calibri"/>
          <w:szCs w:val="22"/>
        </w:rPr>
        <w:t xml:space="preserve">n 9 April 2021 and would, if granted, result in a new standalone planning permission which would sit alongside the planning permission. </w:t>
      </w:r>
      <w:r w:rsidR="001810CB" w:rsidRPr="001810CB">
        <w:rPr>
          <w:rFonts w:cs="Calibri"/>
          <w:szCs w:val="22"/>
        </w:rPr>
        <w:t xml:space="preserve">This application is for </w:t>
      </w:r>
      <w:r w:rsidR="00E90EDF" w:rsidRPr="001810CB">
        <w:rPr>
          <w:szCs w:val="22"/>
        </w:rPr>
        <w:t xml:space="preserve">minor changes to secure improvements to landscaping around the edge of Development Zone </w:t>
      </w:r>
      <w:r w:rsidR="00343A80" w:rsidRPr="001810CB">
        <w:rPr>
          <w:szCs w:val="22"/>
        </w:rPr>
        <w:t xml:space="preserve">1A, </w:t>
      </w:r>
      <w:r w:rsidR="00343A80" w:rsidRPr="001810CB">
        <w:rPr>
          <w:rFonts w:cs="Calibri"/>
          <w:szCs w:val="22"/>
        </w:rPr>
        <w:t xml:space="preserve">increasing the floorspace to allow the provision of mezzanines within Unit B, and an increase in height on Development Zone 1A to accommodate stair towers on Unit B </w:t>
      </w:r>
      <w:r w:rsidR="00C95583" w:rsidRPr="001810CB">
        <w:rPr>
          <w:rFonts w:cs="Calibri"/>
          <w:szCs w:val="22"/>
        </w:rPr>
        <w:t>(Ref: 2021/02972/PA)</w:t>
      </w:r>
      <w:r w:rsidR="00EF642A" w:rsidRPr="001810CB">
        <w:rPr>
          <w:rFonts w:cs="Calibri"/>
          <w:szCs w:val="22"/>
        </w:rPr>
        <w:t xml:space="preserve">. </w:t>
      </w:r>
      <w:r w:rsidR="00540113">
        <w:rPr>
          <w:rFonts w:cs="Calibri"/>
          <w:szCs w:val="22"/>
        </w:rPr>
        <w:t xml:space="preserve">I have not </w:t>
      </w:r>
      <w:r w:rsidR="00C71107">
        <w:rPr>
          <w:rFonts w:cs="Calibri"/>
          <w:szCs w:val="22"/>
        </w:rPr>
        <w:t xml:space="preserve">been informed that the s73 has been determined by the Council. </w:t>
      </w:r>
    </w:p>
    <w:p w14:paraId="5B4C3B8E" w14:textId="346FA20A" w:rsidR="00756FD8" w:rsidRPr="00756FD8" w:rsidRDefault="00756FD8" w:rsidP="00D447B7">
      <w:pPr>
        <w:pStyle w:val="Style1"/>
        <w:autoSpaceDE w:val="0"/>
        <w:autoSpaceDN w:val="0"/>
        <w:adjustRightInd w:val="0"/>
        <w:rPr>
          <w:szCs w:val="22"/>
        </w:rPr>
      </w:pPr>
      <w:r>
        <w:rPr>
          <w:szCs w:val="22"/>
        </w:rPr>
        <w:t xml:space="preserve">The other two planning applications </w:t>
      </w:r>
      <w:r w:rsidR="009C331D">
        <w:rPr>
          <w:szCs w:val="22"/>
        </w:rPr>
        <w:t xml:space="preserve">would be </w:t>
      </w:r>
      <w:r>
        <w:rPr>
          <w:szCs w:val="22"/>
        </w:rPr>
        <w:t xml:space="preserve">reserved matters schemes for Units A and B seeking approval for the detail of these buildings and the surrounding areas to include layout, design, external appearance and </w:t>
      </w:r>
      <w:r w:rsidR="002C674C">
        <w:rPr>
          <w:szCs w:val="22"/>
        </w:rPr>
        <w:t xml:space="preserve">elevational appearance, hard and soft landscaping. </w:t>
      </w:r>
    </w:p>
    <w:p w14:paraId="11458DD9" w14:textId="56267D00" w:rsidR="003A4544" w:rsidRDefault="000547CF" w:rsidP="00F0434C">
      <w:pPr>
        <w:pStyle w:val="Style1"/>
        <w:autoSpaceDE w:val="0"/>
        <w:autoSpaceDN w:val="0"/>
        <w:adjustRightInd w:val="0"/>
        <w:rPr>
          <w:rFonts w:cs="Verdana"/>
          <w:szCs w:val="22"/>
        </w:rPr>
      </w:pPr>
      <w:r w:rsidRPr="006820E0">
        <w:rPr>
          <w:rFonts w:cs="Verdana"/>
          <w:szCs w:val="22"/>
        </w:rPr>
        <w:t xml:space="preserve">The need for an order under section 257 of the Act may be satisfied by the existence of either a physical or legal obstacle to development proceeding. In this case it is argued that both make the Order necessary. </w:t>
      </w:r>
      <w:r w:rsidR="003F6D53" w:rsidRPr="006820E0">
        <w:rPr>
          <w:rFonts w:cs="Verdana"/>
          <w:szCs w:val="22"/>
        </w:rPr>
        <w:t xml:space="preserve">Condition 9 </w:t>
      </w:r>
      <w:r w:rsidRPr="006820E0">
        <w:rPr>
          <w:rFonts w:cs="Verdana"/>
          <w:szCs w:val="22"/>
        </w:rPr>
        <w:t xml:space="preserve">of the </w:t>
      </w:r>
      <w:r w:rsidR="003B62B9" w:rsidRPr="006820E0">
        <w:rPr>
          <w:rFonts w:cs="Verdana"/>
          <w:szCs w:val="22"/>
        </w:rPr>
        <w:lastRenderedPageBreak/>
        <w:t>fourth NMA</w:t>
      </w:r>
      <w:r w:rsidRPr="006820E0">
        <w:rPr>
          <w:rFonts w:cs="Verdana"/>
          <w:szCs w:val="22"/>
        </w:rPr>
        <w:t xml:space="preserve"> </w:t>
      </w:r>
      <w:r w:rsidR="003F6D53" w:rsidRPr="006820E0">
        <w:rPr>
          <w:rFonts w:cs="Verdana"/>
          <w:szCs w:val="22"/>
        </w:rPr>
        <w:t xml:space="preserve">prevents </w:t>
      </w:r>
      <w:r w:rsidRPr="006820E0">
        <w:rPr>
          <w:rFonts w:cs="Verdana"/>
          <w:szCs w:val="22"/>
        </w:rPr>
        <w:t xml:space="preserve">the commencement of development in respect of </w:t>
      </w:r>
      <w:r w:rsidR="00EA74BA" w:rsidRPr="006820E0">
        <w:rPr>
          <w:rFonts w:cs="Verdana"/>
          <w:szCs w:val="22"/>
        </w:rPr>
        <w:t xml:space="preserve">Development Zone 2 </w:t>
      </w:r>
      <w:r w:rsidRPr="006820E0">
        <w:rPr>
          <w:rFonts w:cs="Verdana"/>
          <w:szCs w:val="22"/>
        </w:rPr>
        <w:t xml:space="preserve">until a stopping up order has been made in respect of </w:t>
      </w:r>
      <w:r w:rsidR="00EA74BA" w:rsidRPr="006820E0">
        <w:rPr>
          <w:rFonts w:cs="Verdana"/>
          <w:szCs w:val="22"/>
        </w:rPr>
        <w:t xml:space="preserve">PROW 2086 between points </w:t>
      </w:r>
      <w:r w:rsidRPr="006820E0">
        <w:rPr>
          <w:rFonts w:cs="Verdana"/>
          <w:szCs w:val="22"/>
        </w:rPr>
        <w:t>A</w:t>
      </w:r>
      <w:r w:rsidR="00EA74BA" w:rsidRPr="006820E0">
        <w:rPr>
          <w:rFonts w:cs="Verdana"/>
          <w:szCs w:val="22"/>
        </w:rPr>
        <w:t>1 and B1</w:t>
      </w:r>
      <w:r w:rsidRPr="006820E0">
        <w:rPr>
          <w:rFonts w:cs="Verdana"/>
          <w:szCs w:val="22"/>
        </w:rPr>
        <w:t>.</w:t>
      </w:r>
      <w:r w:rsidR="0091758F" w:rsidRPr="006820E0">
        <w:rPr>
          <w:rFonts w:cs="Verdana"/>
          <w:szCs w:val="22"/>
        </w:rPr>
        <w:t xml:space="preserve"> </w:t>
      </w:r>
    </w:p>
    <w:p w14:paraId="4B9836BF" w14:textId="04BC7168" w:rsidR="005D5456" w:rsidRPr="006F19C6" w:rsidRDefault="00A725F5" w:rsidP="00A706EB">
      <w:pPr>
        <w:pStyle w:val="Style1"/>
        <w:autoSpaceDE w:val="0"/>
        <w:autoSpaceDN w:val="0"/>
        <w:adjustRightInd w:val="0"/>
        <w:rPr>
          <w:rFonts w:cs="Verdana"/>
          <w:szCs w:val="22"/>
        </w:rPr>
      </w:pPr>
      <w:r w:rsidRPr="006F19C6">
        <w:rPr>
          <w:rFonts w:cs="Verdana"/>
          <w:szCs w:val="22"/>
        </w:rPr>
        <w:t xml:space="preserve">While </w:t>
      </w:r>
      <w:r w:rsidR="008D6D48" w:rsidRPr="006F19C6">
        <w:rPr>
          <w:rFonts w:cs="Verdana"/>
          <w:szCs w:val="22"/>
        </w:rPr>
        <w:t xml:space="preserve">Development Zones 1A and 1B are not directly affected by </w:t>
      </w:r>
      <w:r w:rsidR="009A551D">
        <w:rPr>
          <w:rFonts w:cs="Verdana"/>
          <w:szCs w:val="22"/>
        </w:rPr>
        <w:t>PROW</w:t>
      </w:r>
      <w:r w:rsidR="008D6D48" w:rsidRPr="006F19C6">
        <w:rPr>
          <w:rFonts w:cs="Verdana"/>
          <w:szCs w:val="22"/>
        </w:rPr>
        <w:t xml:space="preserve"> 2086</w:t>
      </w:r>
      <w:r w:rsidR="00FF28AD" w:rsidRPr="006F19C6">
        <w:rPr>
          <w:rFonts w:cs="Verdana"/>
          <w:szCs w:val="22"/>
        </w:rPr>
        <w:t xml:space="preserve">, the </w:t>
      </w:r>
      <w:r w:rsidR="001373D5" w:rsidRPr="006F19C6">
        <w:rPr>
          <w:rFonts w:cs="Verdana"/>
          <w:szCs w:val="22"/>
        </w:rPr>
        <w:t xml:space="preserve">land within Zone 2 is </w:t>
      </w:r>
      <w:r w:rsidR="0091758F" w:rsidRPr="006F19C6">
        <w:rPr>
          <w:rFonts w:cs="Verdana"/>
          <w:szCs w:val="22"/>
        </w:rPr>
        <w:t xml:space="preserve">required </w:t>
      </w:r>
      <w:r w:rsidR="00C643C3" w:rsidRPr="006F19C6">
        <w:rPr>
          <w:rFonts w:cs="Verdana"/>
          <w:szCs w:val="22"/>
        </w:rPr>
        <w:t>as part of the first phase enabling works. These include strategic landscaping which benefits from full planning permission</w:t>
      </w:r>
      <w:r w:rsidR="006F19C6" w:rsidRPr="006F19C6">
        <w:rPr>
          <w:rFonts w:cs="Verdana"/>
          <w:szCs w:val="22"/>
        </w:rPr>
        <w:t xml:space="preserve"> and earthworks to ensure a balanced cut and fill and to allow for permissive paths to be created. This would avoid ground material from being exported and imported onto site. </w:t>
      </w:r>
      <w:r w:rsidR="00027204" w:rsidRPr="006F19C6">
        <w:rPr>
          <w:rFonts w:cs="Verdana"/>
          <w:szCs w:val="22"/>
        </w:rPr>
        <w:t xml:space="preserve">Furthermore, the largest plot on the </w:t>
      </w:r>
      <w:proofErr w:type="spellStart"/>
      <w:r w:rsidR="00027204" w:rsidRPr="006F19C6">
        <w:rPr>
          <w:rFonts w:cs="Verdana"/>
          <w:szCs w:val="22"/>
        </w:rPr>
        <w:t>Peddimore</w:t>
      </w:r>
      <w:proofErr w:type="spellEnd"/>
      <w:r w:rsidR="00027204" w:rsidRPr="006F19C6">
        <w:rPr>
          <w:rFonts w:cs="Verdana"/>
          <w:szCs w:val="22"/>
        </w:rPr>
        <w:t xml:space="preserve"> Development is within Zone 2</w:t>
      </w:r>
      <w:r w:rsidR="00BB4D20" w:rsidRPr="006F19C6">
        <w:rPr>
          <w:rFonts w:cs="Verdana"/>
          <w:szCs w:val="22"/>
        </w:rPr>
        <w:t xml:space="preserve">. </w:t>
      </w:r>
      <w:r w:rsidR="00F62660" w:rsidRPr="006F19C6">
        <w:rPr>
          <w:rFonts w:cs="Verdana"/>
          <w:szCs w:val="22"/>
        </w:rPr>
        <w:t xml:space="preserve">Hence, </w:t>
      </w:r>
      <w:r w:rsidR="005D5456" w:rsidRPr="006F19C6">
        <w:rPr>
          <w:rFonts w:cs="Verdana"/>
          <w:szCs w:val="22"/>
        </w:rPr>
        <w:t xml:space="preserve">there is clearly a need for a section of PROW 2086 to be stopped up as </w:t>
      </w:r>
      <w:r w:rsidR="00F62660" w:rsidRPr="006F19C6">
        <w:rPr>
          <w:rFonts w:cs="Verdana"/>
          <w:szCs w:val="22"/>
        </w:rPr>
        <w:t>w</w:t>
      </w:r>
      <w:r w:rsidR="00B47C0F" w:rsidRPr="006F19C6">
        <w:rPr>
          <w:rFonts w:cs="Verdana"/>
          <w:szCs w:val="22"/>
        </w:rPr>
        <w:t xml:space="preserve">ithout the Order there would be a physical and legal obstacle to the </w:t>
      </w:r>
      <w:proofErr w:type="spellStart"/>
      <w:r w:rsidR="00B47C0F" w:rsidRPr="006F19C6">
        <w:rPr>
          <w:rFonts w:cs="Verdana"/>
          <w:szCs w:val="22"/>
        </w:rPr>
        <w:t>Peddimore</w:t>
      </w:r>
      <w:proofErr w:type="spellEnd"/>
      <w:r w:rsidR="00B47C0F" w:rsidRPr="006F19C6">
        <w:rPr>
          <w:rFonts w:cs="Verdana"/>
          <w:szCs w:val="22"/>
        </w:rPr>
        <w:t xml:space="preserve"> Development proceeding.</w:t>
      </w:r>
    </w:p>
    <w:p w14:paraId="6E07C564" w14:textId="39AEA19D" w:rsidR="00E93974" w:rsidRPr="00E93974" w:rsidRDefault="00E93974" w:rsidP="00E93974">
      <w:pPr>
        <w:pStyle w:val="Style1"/>
        <w:numPr>
          <w:ilvl w:val="0"/>
          <w:numId w:val="0"/>
        </w:numPr>
        <w:rPr>
          <w:i/>
          <w:iCs/>
        </w:rPr>
      </w:pPr>
      <w:r w:rsidRPr="00E93974">
        <w:rPr>
          <w:i/>
          <w:iCs/>
        </w:rPr>
        <w:t>Other merits or disadvantages of the alternative route that will be made available for public use</w:t>
      </w:r>
    </w:p>
    <w:p w14:paraId="74EE130B" w14:textId="2872059F" w:rsidR="001F56DC" w:rsidRPr="0046426E" w:rsidRDefault="001F56DC" w:rsidP="001F56DC">
      <w:pPr>
        <w:pStyle w:val="Style1"/>
        <w:numPr>
          <w:ilvl w:val="0"/>
          <w:numId w:val="0"/>
        </w:numPr>
        <w:autoSpaceDE w:val="0"/>
        <w:autoSpaceDN w:val="0"/>
        <w:adjustRightInd w:val="0"/>
        <w:rPr>
          <w:i/>
          <w:iCs/>
        </w:rPr>
      </w:pPr>
      <w:r w:rsidRPr="0046426E">
        <w:rPr>
          <w:i/>
          <w:iCs/>
        </w:rPr>
        <w:t xml:space="preserve">The effect on </w:t>
      </w:r>
      <w:r w:rsidR="0046426E" w:rsidRPr="0046426E">
        <w:rPr>
          <w:i/>
          <w:iCs/>
        </w:rPr>
        <w:t>members of the public</w:t>
      </w:r>
    </w:p>
    <w:p w14:paraId="6626B6FC" w14:textId="5A9DAF18" w:rsidR="003E1542" w:rsidRPr="00E9744D" w:rsidRDefault="009A625B" w:rsidP="00783713">
      <w:pPr>
        <w:pStyle w:val="Style1"/>
        <w:autoSpaceDE w:val="0"/>
        <w:autoSpaceDN w:val="0"/>
        <w:adjustRightInd w:val="0"/>
        <w:spacing w:before="120"/>
        <w:rPr>
          <w:szCs w:val="22"/>
        </w:rPr>
      </w:pPr>
      <w:r w:rsidRPr="00E9744D">
        <w:rPr>
          <w:szCs w:val="22"/>
        </w:rPr>
        <w:t>I note the</w:t>
      </w:r>
      <w:r w:rsidR="008C6859" w:rsidRPr="00E9744D">
        <w:rPr>
          <w:szCs w:val="22"/>
        </w:rPr>
        <w:t xml:space="preserve"> points</w:t>
      </w:r>
      <w:r w:rsidRPr="00E9744D">
        <w:rPr>
          <w:szCs w:val="22"/>
        </w:rPr>
        <w:t xml:space="preserve"> about the timing of the Order and its effect </w:t>
      </w:r>
      <w:r w:rsidR="00C02BFA" w:rsidRPr="00E9744D">
        <w:rPr>
          <w:szCs w:val="22"/>
        </w:rPr>
        <w:t xml:space="preserve">on the </w:t>
      </w:r>
      <w:r w:rsidR="007719F2">
        <w:rPr>
          <w:szCs w:val="22"/>
        </w:rPr>
        <w:t xml:space="preserve">ability of the public to </w:t>
      </w:r>
      <w:r w:rsidR="00C02BFA" w:rsidRPr="00E9744D">
        <w:rPr>
          <w:szCs w:val="22"/>
        </w:rPr>
        <w:t>use the right of way network in the area</w:t>
      </w:r>
      <w:r w:rsidR="00A417FD" w:rsidRPr="00E9744D">
        <w:rPr>
          <w:szCs w:val="22"/>
        </w:rPr>
        <w:t xml:space="preserve">. </w:t>
      </w:r>
      <w:r w:rsidR="009B252A" w:rsidRPr="00E9744D">
        <w:rPr>
          <w:szCs w:val="22"/>
        </w:rPr>
        <w:t>The Order would mean that members of the public would not be able to use the western side of PROW</w:t>
      </w:r>
      <w:r w:rsidR="00C31B6C">
        <w:rPr>
          <w:szCs w:val="22"/>
        </w:rPr>
        <w:t xml:space="preserve"> 2</w:t>
      </w:r>
      <w:r w:rsidR="009B252A" w:rsidRPr="00E9744D">
        <w:rPr>
          <w:szCs w:val="22"/>
        </w:rPr>
        <w:t xml:space="preserve">086 and there would be a gap between it being stopped up and the new bridleway and permissive paths being made available for use. </w:t>
      </w:r>
      <w:r w:rsidR="00895CE9" w:rsidRPr="00E9744D">
        <w:rPr>
          <w:szCs w:val="22"/>
        </w:rPr>
        <w:t>These will take time</w:t>
      </w:r>
      <w:r w:rsidR="009C7B85" w:rsidRPr="00E9744D">
        <w:rPr>
          <w:szCs w:val="22"/>
        </w:rPr>
        <w:t xml:space="preserve"> </w:t>
      </w:r>
      <w:r w:rsidR="00356FB9" w:rsidRPr="00E9744D">
        <w:rPr>
          <w:szCs w:val="22"/>
        </w:rPr>
        <w:t xml:space="preserve">to deliver </w:t>
      </w:r>
      <w:r w:rsidR="009C7B85" w:rsidRPr="00E9744D">
        <w:rPr>
          <w:szCs w:val="22"/>
        </w:rPr>
        <w:t xml:space="preserve">due to </w:t>
      </w:r>
      <w:r w:rsidR="00F434E2" w:rsidRPr="00E9744D">
        <w:rPr>
          <w:szCs w:val="22"/>
        </w:rPr>
        <w:t xml:space="preserve">the scale of development involved and </w:t>
      </w:r>
      <w:r w:rsidR="005E37FF" w:rsidRPr="00E9744D">
        <w:rPr>
          <w:szCs w:val="22"/>
        </w:rPr>
        <w:t xml:space="preserve">the </w:t>
      </w:r>
      <w:r w:rsidR="00F434E2" w:rsidRPr="00E9744D">
        <w:rPr>
          <w:szCs w:val="22"/>
        </w:rPr>
        <w:t>engineering works entailed</w:t>
      </w:r>
      <w:r w:rsidR="00895CE9" w:rsidRPr="00E9744D">
        <w:rPr>
          <w:szCs w:val="22"/>
        </w:rPr>
        <w:t>, but the s106 and planning conditions would ensure that they are provided</w:t>
      </w:r>
      <w:r w:rsidR="00C57C5D" w:rsidRPr="00E9744D">
        <w:rPr>
          <w:szCs w:val="22"/>
        </w:rPr>
        <w:t xml:space="preserve"> </w:t>
      </w:r>
      <w:r w:rsidR="00E9744D" w:rsidRPr="00E9744D">
        <w:rPr>
          <w:szCs w:val="22"/>
        </w:rPr>
        <w:t xml:space="preserve">before any commercial floorspace is occupied. </w:t>
      </w:r>
      <w:r w:rsidR="00E833B5" w:rsidRPr="00E9744D">
        <w:rPr>
          <w:szCs w:val="22"/>
        </w:rPr>
        <w:t>The</w:t>
      </w:r>
      <w:r w:rsidR="00683E75" w:rsidRPr="00E9744D">
        <w:rPr>
          <w:szCs w:val="22"/>
        </w:rPr>
        <w:t xml:space="preserve"> development granted planning permission needs to </w:t>
      </w:r>
      <w:r w:rsidR="00A616EB" w:rsidRPr="00E9744D">
        <w:rPr>
          <w:szCs w:val="22"/>
        </w:rPr>
        <w:t xml:space="preserve">be allowed </w:t>
      </w:r>
      <w:r w:rsidR="00E833B5" w:rsidRPr="00E9744D">
        <w:rPr>
          <w:szCs w:val="22"/>
        </w:rPr>
        <w:t>to proceed</w:t>
      </w:r>
      <w:r w:rsidR="00356FB9" w:rsidRPr="00E9744D">
        <w:rPr>
          <w:szCs w:val="22"/>
        </w:rPr>
        <w:t xml:space="preserve"> and </w:t>
      </w:r>
      <w:r w:rsidR="003E1542" w:rsidRPr="00E9744D">
        <w:rPr>
          <w:szCs w:val="22"/>
        </w:rPr>
        <w:t xml:space="preserve">alternative routes </w:t>
      </w:r>
      <w:r w:rsidR="00356FB9" w:rsidRPr="00E9744D">
        <w:rPr>
          <w:szCs w:val="22"/>
        </w:rPr>
        <w:t xml:space="preserve">would be </w:t>
      </w:r>
      <w:r w:rsidR="003E1542" w:rsidRPr="00E9744D">
        <w:rPr>
          <w:szCs w:val="22"/>
        </w:rPr>
        <w:t xml:space="preserve">available </w:t>
      </w:r>
      <w:r w:rsidR="00356FB9" w:rsidRPr="00E9744D">
        <w:rPr>
          <w:szCs w:val="22"/>
        </w:rPr>
        <w:t>during</w:t>
      </w:r>
      <w:r w:rsidR="003E1542" w:rsidRPr="00E9744D">
        <w:rPr>
          <w:szCs w:val="22"/>
        </w:rPr>
        <w:t xml:space="preserve"> the construction period for users. </w:t>
      </w:r>
    </w:p>
    <w:p w14:paraId="5958FBD5" w14:textId="53DAE944" w:rsidR="0050157E" w:rsidRDefault="008F0D68" w:rsidP="00F535BE">
      <w:pPr>
        <w:pStyle w:val="Style1"/>
        <w:autoSpaceDE w:val="0"/>
        <w:autoSpaceDN w:val="0"/>
        <w:adjustRightInd w:val="0"/>
        <w:rPr>
          <w:szCs w:val="22"/>
        </w:rPr>
      </w:pPr>
      <w:r>
        <w:rPr>
          <w:szCs w:val="22"/>
        </w:rPr>
        <w:t xml:space="preserve">In </w:t>
      </w:r>
      <w:r w:rsidR="000745FF" w:rsidRPr="008C6859">
        <w:rPr>
          <w:szCs w:val="22"/>
        </w:rPr>
        <w:t xml:space="preserve">the intervening period </w:t>
      </w:r>
      <w:r w:rsidR="00C859DA" w:rsidRPr="008C6859">
        <w:rPr>
          <w:szCs w:val="22"/>
        </w:rPr>
        <w:t xml:space="preserve">there </w:t>
      </w:r>
      <w:r w:rsidR="00A616EB">
        <w:rPr>
          <w:szCs w:val="22"/>
        </w:rPr>
        <w:t xml:space="preserve">may be </w:t>
      </w:r>
      <w:r w:rsidR="00B55D60">
        <w:rPr>
          <w:szCs w:val="22"/>
        </w:rPr>
        <w:t xml:space="preserve">some </w:t>
      </w:r>
      <w:r w:rsidR="00A616EB">
        <w:rPr>
          <w:szCs w:val="22"/>
        </w:rPr>
        <w:t>limited d</w:t>
      </w:r>
      <w:r w:rsidR="005279BD" w:rsidRPr="008C6859">
        <w:rPr>
          <w:szCs w:val="22"/>
        </w:rPr>
        <w:t>isadvantage to members of the public</w:t>
      </w:r>
      <w:r>
        <w:rPr>
          <w:szCs w:val="22"/>
        </w:rPr>
        <w:t>. However</w:t>
      </w:r>
      <w:r w:rsidR="00A616EB">
        <w:rPr>
          <w:szCs w:val="22"/>
        </w:rPr>
        <w:t>,</w:t>
      </w:r>
      <w:r>
        <w:rPr>
          <w:szCs w:val="22"/>
        </w:rPr>
        <w:t xml:space="preserve"> </w:t>
      </w:r>
      <w:r w:rsidR="005279BD" w:rsidRPr="008C6859">
        <w:rPr>
          <w:szCs w:val="22"/>
        </w:rPr>
        <w:t xml:space="preserve">as </w:t>
      </w:r>
      <w:r w:rsidR="00C312B1" w:rsidRPr="008C6859">
        <w:rPr>
          <w:szCs w:val="22"/>
        </w:rPr>
        <w:t xml:space="preserve">PROW 2086 has become a cul-de-sac following the stopping up of Wishaw Lane </w:t>
      </w:r>
      <w:r w:rsidR="00537049">
        <w:rPr>
          <w:szCs w:val="22"/>
        </w:rPr>
        <w:t>it</w:t>
      </w:r>
      <w:r w:rsidR="004F41D8" w:rsidRPr="008C6859">
        <w:rPr>
          <w:szCs w:val="22"/>
        </w:rPr>
        <w:t xml:space="preserve"> means that it is no longer lawfully possible to </w:t>
      </w:r>
      <w:r w:rsidR="00983204" w:rsidRPr="008C6859">
        <w:rPr>
          <w:szCs w:val="22"/>
        </w:rPr>
        <w:t xml:space="preserve">travel along it </w:t>
      </w:r>
      <w:r w:rsidR="004F41D8" w:rsidRPr="008C6859">
        <w:rPr>
          <w:szCs w:val="22"/>
        </w:rPr>
        <w:t xml:space="preserve">to the north and south of its junction with </w:t>
      </w:r>
      <w:r w:rsidR="00983204" w:rsidRPr="008C6859">
        <w:rPr>
          <w:szCs w:val="22"/>
        </w:rPr>
        <w:t xml:space="preserve">the western side of PROW2086 </w:t>
      </w:r>
      <w:r w:rsidR="004F41D8" w:rsidRPr="008C6859">
        <w:rPr>
          <w:szCs w:val="22"/>
        </w:rPr>
        <w:t xml:space="preserve">to join up </w:t>
      </w:r>
      <w:r w:rsidR="0050157E" w:rsidRPr="008C6859">
        <w:rPr>
          <w:szCs w:val="22"/>
        </w:rPr>
        <w:t xml:space="preserve">to any other right of way. </w:t>
      </w:r>
      <w:r w:rsidR="008D3A9C">
        <w:rPr>
          <w:szCs w:val="22"/>
        </w:rPr>
        <w:t xml:space="preserve">It follows that </w:t>
      </w:r>
      <w:r w:rsidR="002403C5">
        <w:rPr>
          <w:szCs w:val="22"/>
        </w:rPr>
        <w:t xml:space="preserve">the </w:t>
      </w:r>
      <w:proofErr w:type="spellStart"/>
      <w:r w:rsidR="002403C5">
        <w:rPr>
          <w:szCs w:val="22"/>
        </w:rPr>
        <w:t>Curdworth</w:t>
      </w:r>
      <w:proofErr w:type="spellEnd"/>
      <w:r w:rsidR="002403C5">
        <w:rPr>
          <w:szCs w:val="22"/>
        </w:rPr>
        <w:t xml:space="preserve"> Circular Walk, which PROW 2086 does not connect into, </w:t>
      </w:r>
      <w:r w:rsidR="000A245D">
        <w:rPr>
          <w:szCs w:val="22"/>
        </w:rPr>
        <w:t xml:space="preserve">could continue to be enjoyed by users. </w:t>
      </w:r>
    </w:p>
    <w:p w14:paraId="31ED2A45" w14:textId="03AA5C32" w:rsidR="00712C60" w:rsidRPr="00736AAF" w:rsidRDefault="00712C60" w:rsidP="00E8777F">
      <w:pPr>
        <w:pStyle w:val="Style1"/>
        <w:autoSpaceDE w:val="0"/>
        <w:autoSpaceDN w:val="0"/>
        <w:adjustRightInd w:val="0"/>
        <w:rPr>
          <w:szCs w:val="22"/>
        </w:rPr>
      </w:pPr>
      <w:r w:rsidRPr="00736AAF">
        <w:rPr>
          <w:szCs w:val="22"/>
        </w:rPr>
        <w:t xml:space="preserve">There is nothing before me to show me that the stopping up order relating to </w:t>
      </w:r>
      <w:r w:rsidR="002F6355">
        <w:rPr>
          <w:szCs w:val="22"/>
        </w:rPr>
        <w:t xml:space="preserve">footpath </w:t>
      </w:r>
      <w:r w:rsidRPr="00736AAF">
        <w:rPr>
          <w:szCs w:val="22"/>
        </w:rPr>
        <w:t>SC19 was not confirmed as suggested</w:t>
      </w:r>
      <w:r w:rsidR="00846B69" w:rsidRPr="00736AAF">
        <w:rPr>
          <w:szCs w:val="22"/>
        </w:rPr>
        <w:t>. Nevertheless, as Wishaw Lane has now been stopped up</w:t>
      </w:r>
      <w:r w:rsidR="00B56DF5">
        <w:rPr>
          <w:szCs w:val="22"/>
        </w:rPr>
        <w:t>,</w:t>
      </w:r>
      <w:r w:rsidR="00846B69" w:rsidRPr="00736AAF">
        <w:rPr>
          <w:szCs w:val="22"/>
        </w:rPr>
        <w:t xml:space="preserve"> </w:t>
      </w:r>
      <w:r w:rsidR="00A914A0" w:rsidRPr="00736AAF">
        <w:rPr>
          <w:szCs w:val="22"/>
        </w:rPr>
        <w:t xml:space="preserve">it would not be possible </w:t>
      </w:r>
      <w:r w:rsidR="00F31522" w:rsidRPr="00736AAF">
        <w:rPr>
          <w:szCs w:val="22"/>
        </w:rPr>
        <w:t>to travel along it between the western side of PROW</w:t>
      </w:r>
      <w:r w:rsidR="000F4BC4">
        <w:rPr>
          <w:szCs w:val="22"/>
        </w:rPr>
        <w:t xml:space="preserve"> </w:t>
      </w:r>
      <w:r w:rsidR="00F31522" w:rsidRPr="00736AAF">
        <w:rPr>
          <w:szCs w:val="22"/>
        </w:rPr>
        <w:t xml:space="preserve">2086 and SC19 in any event. </w:t>
      </w:r>
    </w:p>
    <w:p w14:paraId="5DC61B29" w14:textId="7953CD99" w:rsidR="001F56DC" w:rsidRDefault="001F56DC" w:rsidP="00546003">
      <w:pPr>
        <w:pStyle w:val="Style1"/>
        <w:numPr>
          <w:ilvl w:val="0"/>
          <w:numId w:val="0"/>
        </w:numPr>
        <w:autoSpaceDE w:val="0"/>
        <w:autoSpaceDN w:val="0"/>
        <w:adjustRightInd w:val="0"/>
        <w:rPr>
          <w:i/>
          <w:iCs/>
        </w:rPr>
      </w:pPr>
      <w:r w:rsidRPr="0046426E">
        <w:rPr>
          <w:i/>
          <w:iCs/>
        </w:rPr>
        <w:t>Any countervailing advantages to the public</w:t>
      </w:r>
    </w:p>
    <w:p w14:paraId="12841552" w14:textId="1CD1BB25" w:rsidR="0046426E" w:rsidRDefault="00545693" w:rsidP="00783713">
      <w:pPr>
        <w:pStyle w:val="Style1"/>
        <w:spacing w:before="120"/>
      </w:pPr>
      <w:r>
        <w:t xml:space="preserve">The </w:t>
      </w:r>
      <w:r w:rsidR="00E97423">
        <w:t xml:space="preserve">combined action of the Order and the </w:t>
      </w:r>
      <w:r w:rsidR="002B4F73">
        <w:t xml:space="preserve">provision of a </w:t>
      </w:r>
      <w:r w:rsidR="000A58F3">
        <w:t>new bridlewa</w:t>
      </w:r>
      <w:r w:rsidR="00B72B57">
        <w:t xml:space="preserve">y would provide </w:t>
      </w:r>
      <w:r w:rsidR="00AC3CC3">
        <w:t xml:space="preserve">a longer section of off-road passage compared to </w:t>
      </w:r>
      <w:r w:rsidR="00E14973">
        <w:t>the existing footpath</w:t>
      </w:r>
      <w:r w:rsidR="0098577D">
        <w:t xml:space="preserve">. </w:t>
      </w:r>
      <w:r w:rsidR="002B4F73">
        <w:t xml:space="preserve">The bridleway </w:t>
      </w:r>
      <w:r w:rsidR="0098577D">
        <w:t xml:space="preserve">could also be used by </w:t>
      </w:r>
      <w:r w:rsidR="00E14973">
        <w:t xml:space="preserve">cyclists and horse riders </w:t>
      </w:r>
      <w:r w:rsidR="0098577D">
        <w:t>in addition to p</w:t>
      </w:r>
      <w:r w:rsidR="00E14973">
        <w:t>edestrians</w:t>
      </w:r>
      <w:r w:rsidR="00455805">
        <w:t xml:space="preserve">. It </w:t>
      </w:r>
      <w:r w:rsidR="00686D3C">
        <w:t xml:space="preserve">would feed into a network of permissive paths </w:t>
      </w:r>
      <w:r w:rsidR="002B4F73">
        <w:t xml:space="preserve">across the area. </w:t>
      </w:r>
      <w:r w:rsidR="00092A59">
        <w:t>Consequently,</w:t>
      </w:r>
      <w:r w:rsidR="00122212">
        <w:t xml:space="preserve"> there would be </w:t>
      </w:r>
      <w:r w:rsidR="00AE237F">
        <w:t xml:space="preserve">accessibility </w:t>
      </w:r>
      <w:r w:rsidR="00122212">
        <w:t xml:space="preserve">improvements </w:t>
      </w:r>
      <w:r w:rsidR="00AE237F">
        <w:t xml:space="preserve">across the </w:t>
      </w:r>
      <w:r w:rsidR="00122212">
        <w:t xml:space="preserve">area </w:t>
      </w:r>
      <w:r w:rsidR="00AE237F">
        <w:t xml:space="preserve">for pedestrians, </w:t>
      </w:r>
      <w:proofErr w:type="gramStart"/>
      <w:r w:rsidR="00AE237F">
        <w:t>cyclists</w:t>
      </w:r>
      <w:proofErr w:type="gramEnd"/>
      <w:r w:rsidR="00AE237F">
        <w:t xml:space="preserve"> and horse riders</w:t>
      </w:r>
      <w:r w:rsidR="00564812">
        <w:t xml:space="preserve">. </w:t>
      </w:r>
      <w:r w:rsidR="00092A59">
        <w:t xml:space="preserve">These would be beneficial in overall terms to the public. </w:t>
      </w:r>
      <w:r w:rsidR="00564812">
        <w:t xml:space="preserve">The s106 agreement secures the provision, management, </w:t>
      </w:r>
      <w:proofErr w:type="gramStart"/>
      <w:r w:rsidR="00564812">
        <w:t>maintenance</w:t>
      </w:r>
      <w:proofErr w:type="gramEnd"/>
      <w:r w:rsidR="00564812">
        <w:t xml:space="preserve"> and </w:t>
      </w:r>
      <w:r w:rsidR="009246BC">
        <w:t>permanence</w:t>
      </w:r>
      <w:r w:rsidR="00564812">
        <w:t xml:space="preserve"> of the permissive paths. </w:t>
      </w:r>
    </w:p>
    <w:p w14:paraId="165DE4C1" w14:textId="7BB1CEDF" w:rsidR="002C1A81" w:rsidRDefault="00704E92" w:rsidP="00363488">
      <w:pPr>
        <w:pStyle w:val="Style1"/>
      </w:pPr>
      <w:r>
        <w:t xml:space="preserve">If the </w:t>
      </w:r>
      <w:proofErr w:type="spellStart"/>
      <w:r>
        <w:t>Peddimore</w:t>
      </w:r>
      <w:proofErr w:type="spellEnd"/>
      <w:r>
        <w:t xml:space="preserve"> Development proceeds as planned, there would be </w:t>
      </w:r>
      <w:r w:rsidR="00545693">
        <w:t>s</w:t>
      </w:r>
      <w:r w:rsidR="00F702AF">
        <w:t xml:space="preserve">ignificant </w:t>
      </w:r>
      <w:r w:rsidR="00AB5E78">
        <w:t xml:space="preserve">economic, </w:t>
      </w:r>
      <w:proofErr w:type="gramStart"/>
      <w:r w:rsidR="00AB5E78">
        <w:t>social</w:t>
      </w:r>
      <w:proofErr w:type="gramEnd"/>
      <w:r w:rsidR="00AB5E78">
        <w:t xml:space="preserve"> and environmental </w:t>
      </w:r>
      <w:r>
        <w:t>benefits</w:t>
      </w:r>
      <w:r w:rsidR="00545693">
        <w:t xml:space="preserve"> to the </w:t>
      </w:r>
      <w:r w:rsidR="006B5DBA">
        <w:t xml:space="preserve">region </w:t>
      </w:r>
      <w:r w:rsidR="0010439C">
        <w:t>and sub-</w:t>
      </w:r>
      <w:r>
        <w:t xml:space="preserve">region </w:t>
      </w:r>
      <w:r w:rsidR="00D44E20">
        <w:t xml:space="preserve">and a </w:t>
      </w:r>
      <w:r w:rsidR="00D44E20">
        <w:lastRenderedPageBreak/>
        <w:t xml:space="preserve">contribution </w:t>
      </w:r>
      <w:r w:rsidR="0010439C">
        <w:t>to the Government’s Build Back Better</w:t>
      </w:r>
      <w:r w:rsidR="00160A63">
        <w:t xml:space="preserve">: Our Plan for Growth industrial policy. The benefits would be </w:t>
      </w:r>
      <w:r w:rsidR="00820EA5">
        <w:t>realised during the construction and/or operational phases</w:t>
      </w:r>
      <w:r w:rsidR="00AB3DD2">
        <w:t xml:space="preserve"> through the </w:t>
      </w:r>
      <w:r w:rsidR="00B20AC6">
        <w:t xml:space="preserve">direct, indirect or induced </w:t>
      </w:r>
      <w:r w:rsidR="00AB3DD2">
        <w:t>provision of jobs</w:t>
      </w:r>
      <w:r w:rsidR="00393577">
        <w:t xml:space="preserve"> and a multimillion pound contribution to productivity in the West Midlands, </w:t>
      </w:r>
      <w:r w:rsidR="005459B5">
        <w:t>business rate revenue, biodiversity net ga</w:t>
      </w:r>
      <w:r w:rsidR="001839D8">
        <w:t>in from green and blue infrastructure and improved accessibil</w:t>
      </w:r>
      <w:r w:rsidR="008931D1">
        <w:t xml:space="preserve">ity. </w:t>
      </w:r>
      <w:r w:rsidR="001839D8">
        <w:t xml:space="preserve"> </w:t>
      </w:r>
    </w:p>
    <w:p w14:paraId="5EF5D11E" w14:textId="68F70EC8" w:rsidR="00E34550" w:rsidRPr="00C31E9D" w:rsidRDefault="00C31E9D" w:rsidP="00E34550">
      <w:pPr>
        <w:pStyle w:val="Style1"/>
        <w:numPr>
          <w:ilvl w:val="0"/>
          <w:numId w:val="0"/>
        </w:numPr>
        <w:rPr>
          <w:i/>
          <w:iCs/>
        </w:rPr>
      </w:pPr>
      <w:r w:rsidRPr="00C31E9D">
        <w:rPr>
          <w:i/>
          <w:iCs/>
        </w:rPr>
        <w:t>Weighing the advantages and disadvantages</w:t>
      </w:r>
    </w:p>
    <w:p w14:paraId="5DD940EF" w14:textId="4BB303CE" w:rsidR="001879DA" w:rsidRDefault="004004F9" w:rsidP="00783713">
      <w:pPr>
        <w:pStyle w:val="Style1"/>
        <w:autoSpaceDE w:val="0"/>
        <w:autoSpaceDN w:val="0"/>
        <w:adjustRightInd w:val="0"/>
        <w:spacing w:before="120"/>
      </w:pPr>
      <w:r w:rsidRPr="00C618A4">
        <w:t xml:space="preserve">There </w:t>
      </w:r>
      <w:r w:rsidR="002E665B" w:rsidRPr="00C618A4">
        <w:t xml:space="preserve">are significant advantages to the public </w:t>
      </w:r>
      <w:r w:rsidR="009223BA">
        <w:t xml:space="preserve">flowing </w:t>
      </w:r>
      <w:r w:rsidR="002E665B" w:rsidRPr="00C618A4">
        <w:t>from the Order and the</w:t>
      </w:r>
      <w:r w:rsidR="009223BA">
        <w:t xml:space="preserve">re are very considerable </w:t>
      </w:r>
      <w:r w:rsidR="002E665B" w:rsidRPr="0096766C">
        <w:t xml:space="preserve">benefits of the </w:t>
      </w:r>
      <w:proofErr w:type="spellStart"/>
      <w:r w:rsidR="002E665B" w:rsidRPr="0096766C">
        <w:t>Peddimore</w:t>
      </w:r>
      <w:proofErr w:type="spellEnd"/>
      <w:r w:rsidR="002E665B" w:rsidRPr="0096766C">
        <w:t xml:space="preserve"> Development. </w:t>
      </w:r>
      <w:r w:rsidR="001023B2" w:rsidRPr="0096766C">
        <w:t xml:space="preserve">Balanced against these </w:t>
      </w:r>
      <w:r w:rsidR="00B55D60" w:rsidRPr="0096766C">
        <w:t>is</w:t>
      </w:r>
      <w:r w:rsidR="001023B2" w:rsidRPr="0096766C">
        <w:t xml:space="preserve"> the </w:t>
      </w:r>
      <w:r w:rsidR="00B55D60" w:rsidRPr="0096766C">
        <w:t xml:space="preserve">limited </w:t>
      </w:r>
      <w:r w:rsidR="002E665B" w:rsidRPr="0096766C">
        <w:t xml:space="preserve">disadvantage to the general public and/or individuals </w:t>
      </w:r>
      <w:r w:rsidR="003A4437" w:rsidRPr="0096766C">
        <w:t xml:space="preserve">from the stopping up of part of PROW 2086. </w:t>
      </w:r>
      <w:r w:rsidR="00B55D60" w:rsidRPr="0096766C">
        <w:t xml:space="preserve">The </w:t>
      </w:r>
      <w:r w:rsidR="002B48D6" w:rsidRPr="0096766C">
        <w:t>effects would be temporary</w:t>
      </w:r>
      <w:r w:rsidR="000919D8" w:rsidRPr="0096766C">
        <w:t xml:space="preserve"> and felt during the construction phase. Howev</w:t>
      </w:r>
      <w:r w:rsidR="00457E09" w:rsidRPr="0096766C">
        <w:t>er</w:t>
      </w:r>
      <w:r w:rsidR="002B48D6" w:rsidRPr="0096766C">
        <w:t xml:space="preserve">, part of </w:t>
      </w:r>
      <w:r w:rsidR="009223BA">
        <w:t xml:space="preserve">PROW 2086 </w:t>
      </w:r>
      <w:r w:rsidR="002B48D6" w:rsidRPr="0096766C">
        <w:t xml:space="preserve">will continue </w:t>
      </w:r>
      <w:r w:rsidR="007911FF">
        <w:t xml:space="preserve">to </w:t>
      </w:r>
      <w:r w:rsidR="00461814">
        <w:t xml:space="preserve">legally </w:t>
      </w:r>
      <w:r w:rsidR="002B48D6" w:rsidRPr="0096766C">
        <w:t>exist</w:t>
      </w:r>
      <w:r w:rsidR="000A5F7C" w:rsidRPr="0096766C">
        <w:t xml:space="preserve">. </w:t>
      </w:r>
      <w:r w:rsidR="00602D9E" w:rsidRPr="0096766C">
        <w:t>Undoubtedly there will be a change</w:t>
      </w:r>
      <w:r w:rsidR="000A5F7C" w:rsidRPr="0096766C">
        <w:t xml:space="preserve"> </w:t>
      </w:r>
      <w:r w:rsidR="00CF47A8" w:rsidRPr="0096766C">
        <w:t xml:space="preserve">to how the </w:t>
      </w:r>
      <w:r w:rsidR="001D4093" w:rsidRPr="0096766C">
        <w:t>public access and travel across the area</w:t>
      </w:r>
      <w:r w:rsidR="0096766C" w:rsidRPr="0096766C">
        <w:t xml:space="preserve">, but the </w:t>
      </w:r>
      <w:r w:rsidR="007128D2" w:rsidRPr="0096766C">
        <w:t>bridleway</w:t>
      </w:r>
      <w:r w:rsidR="000B17A7" w:rsidRPr="0096766C">
        <w:t xml:space="preserve"> </w:t>
      </w:r>
      <w:r w:rsidR="007128D2" w:rsidRPr="0096766C">
        <w:t xml:space="preserve">would </w:t>
      </w:r>
      <w:r w:rsidR="000B17A7" w:rsidRPr="0096766C">
        <w:t xml:space="preserve">facilitate use by </w:t>
      </w:r>
      <w:r w:rsidR="000F7FE2" w:rsidRPr="0096766C">
        <w:t xml:space="preserve">multiple modes of travel and onward connections to permissive paths. </w:t>
      </w:r>
      <w:r w:rsidR="000919D8" w:rsidRPr="0096766C">
        <w:t>Overall</w:t>
      </w:r>
      <w:r w:rsidR="000919D8" w:rsidRPr="00C618A4">
        <w:t xml:space="preserve">, the </w:t>
      </w:r>
      <w:r w:rsidR="00467BDA" w:rsidRPr="00C618A4">
        <w:t>disadvantage that arise</w:t>
      </w:r>
      <w:r w:rsidR="004552E7">
        <w:t>s</w:t>
      </w:r>
      <w:r w:rsidR="00467BDA" w:rsidRPr="00C618A4">
        <w:t xml:space="preserve"> from the Order and the development are not sufficient to outweigh the advantages </w:t>
      </w:r>
      <w:r w:rsidR="00F333C1" w:rsidRPr="00C618A4">
        <w:t>of the development and they are not individually or collectively significant enough to prevent the confirmation of the</w:t>
      </w:r>
      <w:r w:rsidR="00DA77AA">
        <w:t> </w:t>
      </w:r>
      <w:r w:rsidR="00F333C1" w:rsidRPr="00C618A4">
        <w:t xml:space="preserve">Order. </w:t>
      </w:r>
    </w:p>
    <w:p w14:paraId="2DA5CA22" w14:textId="6DE20296" w:rsidR="00C7377D" w:rsidRPr="00ED2260" w:rsidRDefault="00C7377D" w:rsidP="00C7377D">
      <w:pPr>
        <w:pStyle w:val="Style1"/>
        <w:numPr>
          <w:ilvl w:val="0"/>
          <w:numId w:val="0"/>
        </w:numPr>
        <w:autoSpaceDE w:val="0"/>
        <w:autoSpaceDN w:val="0"/>
        <w:adjustRightInd w:val="0"/>
        <w:spacing w:before="120"/>
        <w:rPr>
          <w:b/>
          <w:bCs/>
        </w:rPr>
      </w:pPr>
      <w:r w:rsidRPr="00ED2260">
        <w:rPr>
          <w:b/>
          <w:bCs/>
        </w:rPr>
        <w:t>Conclusion</w:t>
      </w:r>
    </w:p>
    <w:p w14:paraId="7A54CC5D" w14:textId="72379F60" w:rsidR="00ED2260" w:rsidRDefault="00ED2260" w:rsidP="00332E22">
      <w:pPr>
        <w:pStyle w:val="Style1"/>
        <w:autoSpaceDE w:val="0"/>
        <w:autoSpaceDN w:val="0"/>
        <w:adjustRightInd w:val="0"/>
        <w:spacing w:before="120"/>
      </w:pPr>
      <w:r>
        <w:t>H</w:t>
      </w:r>
      <w:r w:rsidRPr="0004150D">
        <w:t>aving regard to these, and all other matters raised in the written representations, I conclude that the Order should be confirmed</w:t>
      </w:r>
    </w:p>
    <w:p w14:paraId="08C3AEDB" w14:textId="3A97BEE7" w:rsidR="001879DA" w:rsidRPr="001879DA" w:rsidRDefault="001879DA" w:rsidP="001879DA">
      <w:pPr>
        <w:pStyle w:val="Style1"/>
        <w:numPr>
          <w:ilvl w:val="0"/>
          <w:numId w:val="0"/>
        </w:numPr>
        <w:autoSpaceDE w:val="0"/>
        <w:autoSpaceDN w:val="0"/>
        <w:adjustRightInd w:val="0"/>
        <w:rPr>
          <w:b/>
          <w:bCs/>
        </w:rPr>
      </w:pPr>
      <w:r w:rsidRPr="001879DA">
        <w:rPr>
          <w:b/>
          <w:bCs/>
        </w:rPr>
        <w:t>Other matters</w:t>
      </w:r>
    </w:p>
    <w:p w14:paraId="14C16F4B" w14:textId="7AD1F607" w:rsidR="0096766C" w:rsidRDefault="00461814" w:rsidP="00783713">
      <w:pPr>
        <w:pStyle w:val="Style1"/>
        <w:autoSpaceDE w:val="0"/>
        <w:autoSpaceDN w:val="0"/>
        <w:adjustRightInd w:val="0"/>
        <w:spacing w:before="120"/>
      </w:pPr>
      <w:r>
        <w:t xml:space="preserve">Reference has been made in objections </w:t>
      </w:r>
      <w:r w:rsidR="00D020D1">
        <w:t xml:space="preserve">to the formation of a dog leg </w:t>
      </w:r>
      <w:r w:rsidR="006853A5">
        <w:t>near to the junction of the bridleway and Wishaw Lane</w:t>
      </w:r>
      <w:r w:rsidR="004625C6">
        <w:t xml:space="preserve"> contrary to minimum segregation requirements </w:t>
      </w:r>
      <w:r w:rsidR="00F40082">
        <w:t xml:space="preserve">of </w:t>
      </w:r>
      <w:proofErr w:type="spellStart"/>
      <w:r w:rsidR="00F40082">
        <w:t>DfT</w:t>
      </w:r>
      <w:proofErr w:type="spellEnd"/>
      <w:r w:rsidR="00F40082">
        <w:t xml:space="preserve"> LTN 2/04. However, this document is no longer </w:t>
      </w:r>
      <w:r w:rsidR="003A4309">
        <w:t>extant,</w:t>
      </w:r>
      <w:r w:rsidR="00F40082">
        <w:t xml:space="preserve"> and its replacement does not require</w:t>
      </w:r>
      <w:r w:rsidR="00EC32DC">
        <w:t xml:space="preserve"> a route to be segregated. </w:t>
      </w:r>
    </w:p>
    <w:p w14:paraId="63B7F060" w14:textId="0348D709" w:rsidR="00EC32DC" w:rsidRDefault="006371C5" w:rsidP="001879DA">
      <w:pPr>
        <w:pStyle w:val="Style1"/>
        <w:autoSpaceDE w:val="0"/>
        <w:autoSpaceDN w:val="0"/>
        <w:adjustRightInd w:val="0"/>
      </w:pPr>
      <w:r>
        <w:t>Comments made about</w:t>
      </w:r>
      <w:r w:rsidR="00CD732A">
        <w:t xml:space="preserve"> PROW 1131 </w:t>
      </w:r>
      <w:r w:rsidR="00F7222A">
        <w:t xml:space="preserve">(SC23) </w:t>
      </w:r>
      <w:r w:rsidR="00CD732A">
        <w:t>are not relevant to the consideration of this Order</w:t>
      </w:r>
      <w:r w:rsidR="004E1D05">
        <w:t xml:space="preserve"> as </w:t>
      </w:r>
      <w:r w:rsidR="00E62454">
        <w:t xml:space="preserve">this path terminates where it joins </w:t>
      </w:r>
      <w:proofErr w:type="spellStart"/>
      <w:r w:rsidR="00E62454">
        <w:t>Peddimore</w:t>
      </w:r>
      <w:proofErr w:type="spellEnd"/>
      <w:r w:rsidR="00E62454">
        <w:t xml:space="preserve"> Lane</w:t>
      </w:r>
      <w:r w:rsidR="00E65C75">
        <w:t xml:space="preserve"> which is to be stopped up following the Section 247 Order. PROW 1131 is also to be extended </w:t>
      </w:r>
      <w:r w:rsidR="00D9046E">
        <w:t>to the A38 junction footway and bridge. This would be delivered through the planning obligation</w:t>
      </w:r>
      <w:r w:rsidR="00531AB9">
        <w:t xml:space="preserve"> and no commercial floorspace can be occupied until it has been completed. </w:t>
      </w:r>
      <w:r w:rsidR="004E1D05">
        <w:t xml:space="preserve"> </w:t>
      </w:r>
    </w:p>
    <w:p w14:paraId="2B226585" w14:textId="1DA5B8C2" w:rsidR="00EC32DC" w:rsidRDefault="00EC32DC" w:rsidP="001879DA">
      <w:pPr>
        <w:pStyle w:val="Style1"/>
        <w:autoSpaceDE w:val="0"/>
        <w:autoSpaceDN w:val="0"/>
        <w:adjustRightInd w:val="0"/>
      </w:pPr>
      <w:r>
        <w:t>Com</w:t>
      </w:r>
      <w:r w:rsidR="0079742C">
        <w:t>parisons between land fo</w:t>
      </w:r>
      <w:r>
        <w:t xml:space="preserve">rming part of the </w:t>
      </w:r>
      <w:proofErr w:type="spellStart"/>
      <w:r>
        <w:t>Peddimore</w:t>
      </w:r>
      <w:proofErr w:type="spellEnd"/>
      <w:r>
        <w:t xml:space="preserve"> Development site</w:t>
      </w:r>
      <w:r w:rsidR="0079742C">
        <w:t xml:space="preserve"> and that allocated under Policy GA6 are not relevant to </w:t>
      </w:r>
      <w:r w:rsidR="00A53EDA">
        <w:t>the consideration of th</w:t>
      </w:r>
      <w:r w:rsidR="00B11FCB">
        <w:t>is </w:t>
      </w:r>
      <w:r w:rsidR="00A53EDA">
        <w:t xml:space="preserve">Order. </w:t>
      </w:r>
      <w:r w:rsidR="0079742C">
        <w:t xml:space="preserve"> </w:t>
      </w:r>
    </w:p>
    <w:p w14:paraId="2192FEBD" w14:textId="2DFC1390" w:rsidR="00355FCC" w:rsidRPr="00D020D1" w:rsidRDefault="00D020D1" w:rsidP="007378E0">
      <w:pPr>
        <w:pStyle w:val="Heading6blackfont"/>
      </w:pPr>
      <w:r w:rsidRPr="00D020D1">
        <w:t xml:space="preserve">Formal Decision </w:t>
      </w:r>
    </w:p>
    <w:p w14:paraId="027217E9" w14:textId="4B12F95C" w:rsidR="00A8781C" w:rsidRPr="00D020D1" w:rsidRDefault="00ED2260" w:rsidP="00783713">
      <w:pPr>
        <w:pStyle w:val="Style1"/>
        <w:autoSpaceDE w:val="0"/>
        <w:autoSpaceDN w:val="0"/>
        <w:adjustRightInd w:val="0"/>
        <w:spacing w:before="120"/>
        <w:rPr>
          <w:rFonts w:cs="Verdana"/>
          <w:szCs w:val="22"/>
        </w:rPr>
      </w:pPr>
      <w:r>
        <w:rPr>
          <w:rFonts w:cs="Verdana"/>
          <w:szCs w:val="22"/>
        </w:rPr>
        <w:t>T</w:t>
      </w:r>
      <w:r w:rsidR="00A8781C" w:rsidRPr="00D020D1">
        <w:rPr>
          <w:rFonts w:cs="Verdana"/>
          <w:szCs w:val="22"/>
        </w:rPr>
        <w:t xml:space="preserve">he Order </w:t>
      </w:r>
      <w:r>
        <w:rPr>
          <w:rFonts w:cs="Verdana"/>
          <w:szCs w:val="22"/>
        </w:rPr>
        <w:t xml:space="preserve">is </w:t>
      </w:r>
      <w:r w:rsidR="00A8781C" w:rsidRPr="00D020D1">
        <w:rPr>
          <w:rFonts w:cs="Verdana"/>
          <w:szCs w:val="22"/>
        </w:rPr>
        <w:t xml:space="preserve">confirmed. </w:t>
      </w:r>
    </w:p>
    <w:p w14:paraId="1083127E" w14:textId="4088C4DB" w:rsidR="00816B25" w:rsidRPr="00D020D1" w:rsidRDefault="00816B25" w:rsidP="00816B25">
      <w:pPr>
        <w:autoSpaceDE w:val="0"/>
        <w:autoSpaceDN w:val="0"/>
        <w:adjustRightInd w:val="0"/>
        <w:rPr>
          <w:rFonts w:ascii="Verdana-Bold" w:hAnsi="Verdana-Bold" w:cs="Verdana-Bold"/>
          <w:b/>
          <w:bCs/>
          <w:szCs w:val="22"/>
        </w:rPr>
      </w:pPr>
    </w:p>
    <w:p w14:paraId="59F4D488" w14:textId="70FB707B" w:rsidR="00816B25" w:rsidRPr="00816B25" w:rsidRDefault="00816B25" w:rsidP="00816B25">
      <w:pPr>
        <w:autoSpaceDE w:val="0"/>
        <w:autoSpaceDN w:val="0"/>
        <w:adjustRightInd w:val="0"/>
        <w:rPr>
          <w:rFonts w:ascii="Monotype Corsiva" w:hAnsi="Monotype Corsiva" w:cs="Verdana-Bold"/>
          <w:sz w:val="36"/>
          <w:szCs w:val="36"/>
        </w:rPr>
      </w:pPr>
      <w:r w:rsidRPr="00D020D1">
        <w:rPr>
          <w:rFonts w:ascii="Monotype Corsiva" w:hAnsi="Monotype Corsiva" w:cs="Verdana-Bold"/>
          <w:sz w:val="36"/>
          <w:szCs w:val="36"/>
        </w:rPr>
        <w:t>Andrew McGlone</w:t>
      </w:r>
    </w:p>
    <w:p w14:paraId="6DF48D82" w14:textId="434E8A99" w:rsidR="00F27E7B" w:rsidRDefault="00816B25" w:rsidP="00ED2260">
      <w:pPr>
        <w:autoSpaceDE w:val="0"/>
        <w:autoSpaceDN w:val="0"/>
        <w:adjustRightInd w:val="0"/>
        <w:spacing w:before="180"/>
        <w:rPr>
          <w:sz w:val="23"/>
          <w:szCs w:val="23"/>
        </w:rPr>
      </w:pPr>
      <w:r w:rsidRPr="00816B25">
        <w:rPr>
          <w:rFonts w:ascii="Verdana-Bold" w:hAnsi="Verdana-Bold" w:cs="Verdana-Bold"/>
          <w:szCs w:val="22"/>
        </w:rPr>
        <w:t>INSPECTOR</w:t>
      </w:r>
    </w:p>
    <w:p w14:paraId="5D619B81" w14:textId="2174B693" w:rsidR="00C71107" w:rsidRPr="001810CB" w:rsidRDefault="00C71107" w:rsidP="00092871">
      <w:pPr>
        <w:pStyle w:val="Style1"/>
        <w:numPr>
          <w:ilvl w:val="0"/>
          <w:numId w:val="0"/>
        </w:numPr>
        <w:autoSpaceDE w:val="0"/>
        <w:autoSpaceDN w:val="0"/>
        <w:adjustRightInd w:val="0"/>
        <w:ind w:left="431"/>
        <w:rPr>
          <w:szCs w:val="22"/>
        </w:rPr>
      </w:pPr>
      <w:r w:rsidRPr="001810CB">
        <w:rPr>
          <w:rFonts w:cs="Calibri"/>
          <w:szCs w:val="22"/>
        </w:rPr>
        <w:t xml:space="preserve"> </w:t>
      </w:r>
    </w:p>
    <w:p w14:paraId="5C267E52" w14:textId="4BC90A5F" w:rsidR="00C71107" w:rsidRDefault="00C71107" w:rsidP="00816B25">
      <w:pPr>
        <w:autoSpaceDE w:val="0"/>
        <w:autoSpaceDN w:val="0"/>
        <w:adjustRightInd w:val="0"/>
        <w:rPr>
          <w:sz w:val="23"/>
          <w:szCs w:val="23"/>
        </w:rPr>
      </w:pPr>
    </w:p>
    <w:p w14:paraId="60E23C01" w14:textId="77777777" w:rsidR="00997CB7" w:rsidRDefault="00997CB7" w:rsidP="00816B25">
      <w:pPr>
        <w:autoSpaceDE w:val="0"/>
        <w:autoSpaceDN w:val="0"/>
        <w:adjustRightInd w:val="0"/>
        <w:rPr>
          <w:sz w:val="23"/>
          <w:szCs w:val="23"/>
        </w:rPr>
      </w:pPr>
    </w:p>
    <w:p w14:paraId="1B78A0F1" w14:textId="09EB3CBC" w:rsidR="006900BB" w:rsidRDefault="006900BB">
      <w:pPr>
        <w:rPr>
          <w:sz w:val="23"/>
          <w:szCs w:val="23"/>
        </w:rPr>
      </w:pPr>
      <w:r>
        <w:rPr>
          <w:sz w:val="23"/>
          <w:szCs w:val="23"/>
        </w:rPr>
        <w:br w:type="page"/>
      </w:r>
    </w:p>
    <w:p w14:paraId="55F22871" w14:textId="77777777" w:rsidR="00ED4CBF" w:rsidRDefault="00ED4CBF" w:rsidP="00816B25">
      <w:pPr>
        <w:autoSpaceDE w:val="0"/>
        <w:autoSpaceDN w:val="0"/>
        <w:adjustRightInd w:val="0"/>
        <w:rPr>
          <w:sz w:val="23"/>
          <w:szCs w:val="23"/>
        </w:rPr>
      </w:pPr>
    </w:p>
    <w:p w14:paraId="0EE43E81" w14:textId="1FC7FAED" w:rsidR="006900BB" w:rsidRDefault="00ED4CBF" w:rsidP="00816B25">
      <w:pPr>
        <w:autoSpaceDE w:val="0"/>
        <w:autoSpaceDN w:val="0"/>
        <w:adjustRightInd w:val="0"/>
        <w:rPr>
          <w:sz w:val="23"/>
          <w:szCs w:val="23"/>
        </w:rPr>
      </w:pPr>
      <w:r>
        <w:rPr>
          <w:noProof/>
        </w:rPr>
        <w:drawing>
          <wp:inline distT="0" distB="0" distL="0" distR="0" wp14:anchorId="7C99F271" wp14:editId="2D338D84">
            <wp:extent cx="8601855" cy="6085276"/>
            <wp:effectExtent l="952" t="0" r="0" b="0"/>
            <wp:docPr id="5" name="Picture 5"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rder Ma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8605267" cy="6087690"/>
                    </a:xfrm>
                    <a:prstGeom prst="rect">
                      <a:avLst/>
                    </a:prstGeom>
                    <a:noFill/>
                    <a:ln>
                      <a:noFill/>
                    </a:ln>
                  </pic:spPr>
                </pic:pic>
              </a:graphicData>
            </a:graphic>
          </wp:inline>
        </w:drawing>
      </w:r>
    </w:p>
    <w:sectPr w:rsidR="006900BB" w:rsidSect="00783713">
      <w:headerReference w:type="default" r:id="rId11"/>
      <w:footerReference w:type="even" r:id="rId12"/>
      <w:footerReference w:type="default" r:id="rId13"/>
      <w:headerReference w:type="first" r:id="rId14"/>
      <w:footerReference w:type="first" r:id="rId15"/>
      <w:pgSz w:w="11906" w:h="16838" w:code="9"/>
      <w:pgMar w:top="680" w:right="1077" w:bottom="993"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49679" w14:textId="77777777" w:rsidR="00B7101A" w:rsidRDefault="00B7101A" w:rsidP="00F62916">
      <w:r>
        <w:separator/>
      </w:r>
    </w:p>
  </w:endnote>
  <w:endnote w:type="continuationSeparator" w:id="0">
    <w:p w14:paraId="1DB679E4" w14:textId="77777777" w:rsidR="00B7101A" w:rsidRDefault="00B7101A"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4002EFF" w:usb1="C000247B" w:usb2="00000009" w:usb3="00000000" w:csb0="000001FF" w:csb1="00000000"/>
  </w:font>
  <w:font w:name="Verdana-Bold">
    <w:altName w:val="Verdana"/>
    <w:panose1 w:val="00000000000000000000"/>
    <w:charset w:val="00"/>
    <w:family w:val="swiss"/>
    <w:notTrueType/>
    <w:pitch w:val="default"/>
    <w:sig w:usb0="00000003" w:usb1="00000000" w:usb2="00000000" w:usb3="00000000" w:csb0="00000001" w:csb1="00000000"/>
  </w:font>
  <w:font w:name="Verdana-Italic">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123AF"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2DEDE"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2A840"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60288" behindDoc="0" locked="0" layoutInCell="1" allowOverlap="1" wp14:anchorId="2EC5DC22" wp14:editId="054A1F02">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C6230" id="Line 17" o:spid="_x0000_s1026" alt="&quot;&quot;"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459D8707" w14:textId="77777777" w:rsidR="00366F95" w:rsidRPr="00E45340" w:rsidRDefault="00B7101A"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8E61B" w14:textId="77777777" w:rsidR="00366F95" w:rsidRDefault="00366F95" w:rsidP="007378E0">
    <w:pPr>
      <w:pStyle w:val="Footer"/>
      <w:pBdr>
        <w:bottom w:val="none" w:sz="0" w:space="0" w:color="000000"/>
      </w:pBdr>
      <w:ind w:right="-52"/>
    </w:pPr>
    <w:r>
      <w:rPr>
        <w:noProof/>
      </w:rPr>
      <mc:AlternateContent>
        <mc:Choice Requires="wps">
          <w:drawing>
            <wp:anchor distT="0" distB="0" distL="114300" distR="114300" simplePos="0" relativeHeight="251656192" behindDoc="0" locked="0" layoutInCell="1" allowOverlap="1" wp14:anchorId="079BF9E5" wp14:editId="07943771">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59DF8" id="Line 11" o:spid="_x0000_s1026" alt="&quot;&quot;"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34008FE6" w14:textId="77777777" w:rsidR="00366F95" w:rsidRPr="00451EE4" w:rsidRDefault="00B7101A">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16D23" w14:textId="77777777" w:rsidR="00B7101A" w:rsidRDefault="00B7101A" w:rsidP="00F62916">
      <w:r>
        <w:separator/>
      </w:r>
    </w:p>
  </w:footnote>
  <w:footnote w:type="continuationSeparator" w:id="0">
    <w:p w14:paraId="1F60C5AC" w14:textId="77777777" w:rsidR="00B7101A" w:rsidRDefault="00B7101A" w:rsidP="00F62916">
      <w:r>
        <w:continuationSeparator/>
      </w:r>
    </w:p>
  </w:footnote>
  <w:footnote w:id="1">
    <w:p w14:paraId="1D667FA6" w14:textId="77777777" w:rsidR="00434C47" w:rsidRDefault="00434C47" w:rsidP="00434C47">
      <w:pPr>
        <w:autoSpaceDE w:val="0"/>
        <w:autoSpaceDN w:val="0"/>
        <w:adjustRightInd w:val="0"/>
        <w:rPr>
          <w:rFonts w:ascii="Verdana-Italic" w:hAnsi="Verdana-Italic" w:cs="Verdana-Italic"/>
          <w:i/>
          <w:iCs/>
          <w:sz w:val="16"/>
          <w:szCs w:val="16"/>
        </w:rPr>
      </w:pPr>
      <w:r>
        <w:rPr>
          <w:rStyle w:val="FootnoteReference"/>
        </w:rPr>
        <w:footnoteRef/>
      </w:r>
      <w:r>
        <w:t xml:space="preserve"> </w:t>
      </w:r>
      <w:r>
        <w:rPr>
          <w:rFonts w:cs="Verdana"/>
          <w:sz w:val="16"/>
          <w:szCs w:val="16"/>
        </w:rPr>
        <w:t xml:space="preserve">A point articulated by Lindblom LJ at paragraph 51 of his judgement in the Court of Appeal case </w:t>
      </w:r>
      <w:r>
        <w:rPr>
          <w:rFonts w:ascii="Verdana-Italic" w:hAnsi="Verdana-Italic" w:cs="Verdana-Italic"/>
          <w:i/>
          <w:iCs/>
          <w:sz w:val="16"/>
          <w:szCs w:val="16"/>
        </w:rPr>
        <w:t>R (Network Rail</w:t>
      </w:r>
    </w:p>
    <w:p w14:paraId="003BBF8D" w14:textId="77777777" w:rsidR="00434C47" w:rsidRDefault="00434C47" w:rsidP="00434C47">
      <w:pPr>
        <w:pStyle w:val="FootnoteText"/>
      </w:pPr>
      <w:r>
        <w:rPr>
          <w:rFonts w:ascii="Verdana-Italic" w:hAnsi="Verdana-Italic" w:cs="Verdana-Italic"/>
          <w:i/>
          <w:iCs/>
          <w:szCs w:val="16"/>
        </w:rPr>
        <w:t xml:space="preserve">Ltd) v SSEFRA [2018] EWCA </w:t>
      </w:r>
      <w:proofErr w:type="spellStart"/>
      <w:r>
        <w:rPr>
          <w:rFonts w:ascii="Verdana-Italic" w:hAnsi="Verdana-Italic" w:cs="Verdana-Italic"/>
          <w:i/>
          <w:iCs/>
          <w:szCs w:val="16"/>
        </w:rPr>
        <w:t>Civ</w:t>
      </w:r>
      <w:proofErr w:type="spellEnd"/>
      <w:r>
        <w:rPr>
          <w:rFonts w:ascii="Verdana-Italic" w:hAnsi="Verdana-Italic" w:cs="Verdana-Italic"/>
          <w:i/>
          <w:iCs/>
          <w:szCs w:val="16"/>
        </w:rPr>
        <w:t xml:space="preserve"> 2069</w:t>
      </w:r>
    </w:p>
  </w:footnote>
  <w:footnote w:id="2">
    <w:p w14:paraId="486C0638" w14:textId="489E6F89" w:rsidR="00C62419" w:rsidRDefault="00C62419">
      <w:pPr>
        <w:pStyle w:val="FootnoteText"/>
      </w:pPr>
      <w:r>
        <w:rPr>
          <w:rStyle w:val="FootnoteReference"/>
        </w:rPr>
        <w:footnoteRef/>
      </w:r>
      <w:r>
        <w:t xml:space="preserve"> </w:t>
      </w:r>
      <w:r w:rsidR="003A4335">
        <w:t xml:space="preserve">Appendix 15, </w:t>
      </w:r>
      <w:r w:rsidR="00E90883">
        <w:t>Statement of Case of the Applicant</w:t>
      </w:r>
    </w:p>
  </w:footnote>
  <w:footnote w:id="3">
    <w:p w14:paraId="07C1F4E0" w14:textId="15485CD4" w:rsidR="00B13AE4" w:rsidRDefault="00B13AE4">
      <w:pPr>
        <w:pStyle w:val="FootnoteText"/>
      </w:pPr>
      <w:r>
        <w:rPr>
          <w:rStyle w:val="FootnoteReference"/>
        </w:rPr>
        <w:footnoteRef/>
      </w:r>
      <w:r>
        <w:t xml:space="preserve"> </w:t>
      </w:r>
      <w:r w:rsidR="00572F97">
        <w:t xml:space="preserve">Refs: </w:t>
      </w:r>
      <w:r w:rsidR="00572F97" w:rsidRPr="00C51F48">
        <w:rPr>
          <w:rFonts w:cs="Verdana"/>
          <w:szCs w:val="22"/>
        </w:rPr>
        <w:t>2020/05747/PA</w:t>
      </w:r>
      <w:r w:rsidR="00572F97">
        <w:rPr>
          <w:rFonts w:cs="Verdana"/>
          <w:szCs w:val="22"/>
        </w:rPr>
        <w:t xml:space="preserve"> and </w:t>
      </w:r>
      <w:r w:rsidR="00572F97">
        <w:rPr>
          <w:szCs w:val="22"/>
        </w:rPr>
        <w:t>2020/05748/PA</w:t>
      </w:r>
    </w:p>
  </w:footnote>
  <w:footnote w:id="4">
    <w:p w14:paraId="3483C20B" w14:textId="55A21C4B" w:rsidR="00A51E9E" w:rsidRDefault="00A51E9E" w:rsidP="00A51E9E">
      <w:pPr>
        <w:pStyle w:val="FootnoteText"/>
      </w:pPr>
      <w:r>
        <w:rPr>
          <w:rStyle w:val="FootnoteReference"/>
        </w:rPr>
        <w:footnoteRef/>
      </w:r>
      <w:r>
        <w:t xml:space="preserve"> Drawing Ref: PED-BWB-GEN-XX-TR-DR-007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9520"/>
    </w:tblGrid>
    <w:tr w:rsidR="00366F95" w14:paraId="42472483" w14:textId="77777777">
      <w:tc>
        <w:tcPr>
          <w:tcW w:w="9520" w:type="dxa"/>
        </w:tcPr>
        <w:p w14:paraId="0E1477DD" w14:textId="27D2BF9C" w:rsidR="00366F95" w:rsidRDefault="007378E0">
          <w:pPr>
            <w:pStyle w:val="Footer"/>
          </w:pPr>
          <w:r>
            <w:t>Order Decision ROW/3262945</w:t>
          </w:r>
        </w:p>
      </w:tc>
    </w:tr>
  </w:tbl>
  <w:p w14:paraId="3E509D84" w14:textId="77777777" w:rsidR="00366F95" w:rsidRDefault="00366F95" w:rsidP="00087477">
    <w:pPr>
      <w:pStyle w:val="Footer"/>
      <w:spacing w:after="180"/>
    </w:pPr>
    <w:r>
      <w:rPr>
        <w:noProof/>
      </w:rPr>
      <mc:AlternateContent>
        <mc:Choice Requires="wps">
          <w:drawing>
            <wp:anchor distT="0" distB="0" distL="114300" distR="114300" simplePos="0" relativeHeight="251658240" behindDoc="0" locked="0" layoutInCell="1" allowOverlap="1" wp14:anchorId="5E8CB54B" wp14:editId="61654663">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5AE27" id="Line 14"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08A99"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0BA96DF"/>
    <w:multiLevelType w:val="hybridMultilevel"/>
    <w:tmpl w:val="0793F875"/>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D29E344"/>
    <w:multiLevelType w:val="multilevel"/>
    <w:tmpl w:val="51661EEC"/>
    <w:lvl w:ilvl="0">
      <w:start w:val="1"/>
      <w:numFmt w:val="ideographDigital"/>
      <w:lvlText w:val=""/>
      <w:lvlJc w:val="left"/>
    </w:lvl>
    <w:lvl w:ilvl="1">
      <w:start w:val="1"/>
      <w:numFmt w:val="ideographDigital"/>
      <w:lvlText w:val=""/>
      <w:lvlJc w:val="left"/>
    </w:lvl>
    <w:lvl w:ilvl="2">
      <w:start w:val="1"/>
      <w:numFmt w:val="lowerLetter"/>
      <w:lvlText w:val=""/>
      <w:lvlJc w:val="left"/>
    </w:lvl>
    <w:lvl w:ilvl="3">
      <w:start w:val="1"/>
      <w:numFmt w:val="lowerRoman"/>
      <w:lvlText w:val="%1"/>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BC695813"/>
    <w:multiLevelType w:val="multilevel"/>
    <w:tmpl w:val="C93460E2"/>
    <w:lvl w:ilvl="0">
      <w:start w:val="1"/>
      <w:numFmt w:val="ideographDigital"/>
      <w:lvlText w:val=""/>
      <w:lvlJc w:val="left"/>
    </w:lvl>
    <w:lvl w:ilvl="1">
      <w:start w:val="1"/>
      <w:numFmt w:val="ideographDigital"/>
      <w:lvlText w:val=""/>
      <w:lvlJc w:val="left"/>
    </w:lvl>
    <w:lvl w:ilvl="2">
      <w:start w:val="1"/>
      <w:numFmt w:val="lowerLetter"/>
      <w:lvlText w:val=""/>
      <w:lvlJc w:val="left"/>
    </w:lvl>
    <w:lvl w:ilvl="3">
      <w:start w:val="1"/>
      <w:numFmt w:val="lowerRoman"/>
      <w:lvlText w:val="%1"/>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CD253065"/>
    <w:multiLevelType w:val="hybridMultilevel"/>
    <w:tmpl w:val="2209B69F"/>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02B3F66"/>
    <w:multiLevelType w:val="hybridMultilevel"/>
    <w:tmpl w:val="52A353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6" w15:restartNumberingAfterBreak="0">
    <w:nsid w:val="07700615"/>
    <w:multiLevelType w:val="multilevel"/>
    <w:tmpl w:val="A22611FC"/>
    <w:numStyleLink w:val="ConditionsList"/>
  </w:abstractNum>
  <w:abstractNum w:abstractNumId="7"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8" w15:restartNumberingAfterBreak="0">
    <w:nsid w:val="1A74088A"/>
    <w:multiLevelType w:val="hybridMultilevel"/>
    <w:tmpl w:val="FD122BF8"/>
    <w:lvl w:ilvl="0" w:tplc="0A465F00">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10" w15:restartNumberingAfterBreak="0">
    <w:nsid w:val="1F471A3F"/>
    <w:multiLevelType w:val="hybridMultilevel"/>
    <w:tmpl w:val="5016EC48"/>
    <w:lvl w:ilvl="0" w:tplc="0A465F00">
      <w:numFmt w:val="bullet"/>
      <w:lvlText w:val="•"/>
      <w:lvlJc w:val="left"/>
      <w:pPr>
        <w:ind w:left="1151" w:hanging="360"/>
      </w:pPr>
      <w:rPr>
        <w:rFonts w:ascii="SymbolMT" w:eastAsia="Times New Roman" w:hAnsi="SymbolMT" w:cs="SymbolMT"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11"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12" w15:restartNumberingAfterBreak="0">
    <w:nsid w:val="27ED6575"/>
    <w:multiLevelType w:val="hybridMultilevel"/>
    <w:tmpl w:val="F5545AC4"/>
    <w:lvl w:ilvl="0" w:tplc="0A465F00">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4238AD"/>
    <w:multiLevelType w:val="multilevel"/>
    <w:tmpl w:val="A22611FC"/>
    <w:numStyleLink w:val="ConditionsList"/>
  </w:abstractNum>
  <w:abstractNum w:abstractNumId="14"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15" w15:restartNumberingAfterBreak="0">
    <w:nsid w:val="297D571E"/>
    <w:multiLevelType w:val="multilevel"/>
    <w:tmpl w:val="A22611FC"/>
    <w:numStyleLink w:val="ConditionsList"/>
  </w:abstractNum>
  <w:abstractNum w:abstractNumId="16"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8" w15:restartNumberingAfterBreak="0">
    <w:nsid w:val="4AB7177F"/>
    <w:multiLevelType w:val="multilevel"/>
    <w:tmpl w:val="A22611FC"/>
    <w:numStyleLink w:val="ConditionsList"/>
  </w:abstractNum>
  <w:abstractNum w:abstractNumId="19"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F2342F1"/>
    <w:multiLevelType w:val="multilevel"/>
    <w:tmpl w:val="A22611FC"/>
    <w:numStyleLink w:val="ConditionsList"/>
  </w:abstractNum>
  <w:abstractNum w:abstractNumId="21" w15:restartNumberingAfterBreak="0">
    <w:nsid w:val="5137716E"/>
    <w:multiLevelType w:val="multilevel"/>
    <w:tmpl w:val="A22611FC"/>
    <w:numStyleLink w:val="ConditionsList"/>
  </w:abstractNum>
  <w:abstractNum w:abstractNumId="22" w15:restartNumberingAfterBreak="0">
    <w:nsid w:val="53F51752"/>
    <w:multiLevelType w:val="multilevel"/>
    <w:tmpl w:val="A22611FC"/>
    <w:numStyleLink w:val="ConditionsList"/>
  </w:abstractNum>
  <w:abstractNum w:abstractNumId="23"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24" w15:restartNumberingAfterBreak="0">
    <w:nsid w:val="5FCF5B62"/>
    <w:multiLevelType w:val="hybridMultilevel"/>
    <w:tmpl w:val="0748B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7" w15:restartNumberingAfterBreak="0">
    <w:nsid w:val="65B7639F"/>
    <w:multiLevelType w:val="multilevel"/>
    <w:tmpl w:val="A22611FC"/>
    <w:numStyleLink w:val="ConditionsList"/>
  </w:abstractNum>
  <w:abstractNum w:abstractNumId="28"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9"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6"/>
  </w:num>
  <w:num w:numId="2">
    <w:abstractNumId w:val="26"/>
  </w:num>
  <w:num w:numId="3">
    <w:abstractNumId w:val="28"/>
  </w:num>
  <w:num w:numId="4">
    <w:abstractNumId w:val="5"/>
  </w:num>
  <w:num w:numId="5">
    <w:abstractNumId w:val="16"/>
  </w:num>
  <w:num w:numId="6">
    <w:abstractNumId w:val="25"/>
  </w:num>
  <w:num w:numId="7">
    <w:abstractNumId w:val="29"/>
  </w:num>
  <w:num w:numId="8">
    <w:abstractNumId w:val="23"/>
  </w:num>
  <w:num w:numId="9">
    <w:abstractNumId w:val="9"/>
  </w:num>
  <w:num w:numId="10">
    <w:abstractNumId w:val="11"/>
  </w:num>
  <w:num w:numId="11">
    <w:abstractNumId w:val="19"/>
  </w:num>
  <w:num w:numId="12">
    <w:abstractNumId w:val="20"/>
  </w:num>
  <w:num w:numId="13">
    <w:abstractNumId w:val="15"/>
  </w:num>
  <w:num w:numId="14">
    <w:abstractNumId w:val="18"/>
  </w:num>
  <w:num w:numId="15">
    <w:abstractNumId w:val="21"/>
  </w:num>
  <w:num w:numId="16">
    <w:abstractNumId w:val="6"/>
  </w:num>
  <w:num w:numId="17">
    <w:abstractNumId w:val="22"/>
  </w:num>
  <w:num w:numId="18">
    <w:abstractNumId w:val="13"/>
  </w:num>
  <w:num w:numId="19">
    <w:abstractNumId w:val="7"/>
  </w:num>
  <w:num w:numId="20">
    <w:abstractNumId w:val="14"/>
  </w:num>
  <w:num w:numId="21">
    <w:abstractNumId w:val="17"/>
  </w:num>
  <w:num w:numId="22">
    <w:abstractNumId w:val="17"/>
  </w:num>
  <w:num w:numId="23">
    <w:abstractNumId w:val="27"/>
  </w:num>
  <w:num w:numId="24">
    <w:abstractNumId w:val="24"/>
  </w:num>
  <w:num w:numId="25">
    <w:abstractNumId w:val="8"/>
  </w:num>
  <w:num w:numId="26">
    <w:abstractNumId w:val="10"/>
  </w:num>
  <w:num w:numId="27">
    <w:abstractNumId w:val="0"/>
  </w:num>
  <w:num w:numId="28">
    <w:abstractNumId w:val="12"/>
  </w:num>
  <w:num w:numId="29">
    <w:abstractNumId w:val="4"/>
  </w:num>
  <w:num w:numId="30">
    <w:abstractNumId w:val="1"/>
  </w:num>
  <w:num w:numId="31">
    <w:abstractNumId w:val="3"/>
  </w:num>
  <w:num w:numId="3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7378E0"/>
    <w:rsid w:val="0000094D"/>
    <w:rsid w:val="0000335F"/>
    <w:rsid w:val="0001258A"/>
    <w:rsid w:val="00023A91"/>
    <w:rsid w:val="00024500"/>
    <w:rsid w:val="000247B2"/>
    <w:rsid w:val="00024897"/>
    <w:rsid w:val="00024AC9"/>
    <w:rsid w:val="00027168"/>
    <w:rsid w:val="00027204"/>
    <w:rsid w:val="00033BAB"/>
    <w:rsid w:val="00035CF1"/>
    <w:rsid w:val="000411A5"/>
    <w:rsid w:val="00043726"/>
    <w:rsid w:val="00046145"/>
    <w:rsid w:val="0004625F"/>
    <w:rsid w:val="00047893"/>
    <w:rsid w:val="00053135"/>
    <w:rsid w:val="000547CF"/>
    <w:rsid w:val="0005766F"/>
    <w:rsid w:val="000654DE"/>
    <w:rsid w:val="000745FF"/>
    <w:rsid w:val="00077358"/>
    <w:rsid w:val="00087477"/>
    <w:rsid w:val="00087DEC"/>
    <w:rsid w:val="000919D8"/>
    <w:rsid w:val="00092871"/>
    <w:rsid w:val="00092A59"/>
    <w:rsid w:val="00094A44"/>
    <w:rsid w:val="000A245D"/>
    <w:rsid w:val="000A4AEB"/>
    <w:rsid w:val="000A58F3"/>
    <w:rsid w:val="000A5F7C"/>
    <w:rsid w:val="000A64AE"/>
    <w:rsid w:val="000B02BC"/>
    <w:rsid w:val="000B0589"/>
    <w:rsid w:val="000B17A7"/>
    <w:rsid w:val="000B3E03"/>
    <w:rsid w:val="000B482E"/>
    <w:rsid w:val="000C3F13"/>
    <w:rsid w:val="000C5098"/>
    <w:rsid w:val="000C698E"/>
    <w:rsid w:val="000D0673"/>
    <w:rsid w:val="000E57C1"/>
    <w:rsid w:val="000E77F5"/>
    <w:rsid w:val="000F16F4"/>
    <w:rsid w:val="000F4BC4"/>
    <w:rsid w:val="000F6EC2"/>
    <w:rsid w:val="000F7FE2"/>
    <w:rsid w:val="001000CB"/>
    <w:rsid w:val="00100607"/>
    <w:rsid w:val="001023B2"/>
    <w:rsid w:val="0010439C"/>
    <w:rsid w:val="00104D93"/>
    <w:rsid w:val="00110EE3"/>
    <w:rsid w:val="00122212"/>
    <w:rsid w:val="00131FB6"/>
    <w:rsid w:val="00132C0B"/>
    <w:rsid w:val="001373D5"/>
    <w:rsid w:val="001440C3"/>
    <w:rsid w:val="00147325"/>
    <w:rsid w:val="00152C92"/>
    <w:rsid w:val="00160A63"/>
    <w:rsid w:val="00161B5C"/>
    <w:rsid w:val="00165C7E"/>
    <w:rsid w:val="00167D10"/>
    <w:rsid w:val="001712D1"/>
    <w:rsid w:val="001737C7"/>
    <w:rsid w:val="001810CB"/>
    <w:rsid w:val="001835CC"/>
    <w:rsid w:val="001839D8"/>
    <w:rsid w:val="001879DA"/>
    <w:rsid w:val="0019394A"/>
    <w:rsid w:val="00197B5B"/>
    <w:rsid w:val="001A5731"/>
    <w:rsid w:val="001B2C93"/>
    <w:rsid w:val="001B37BF"/>
    <w:rsid w:val="001B4AEF"/>
    <w:rsid w:val="001D4093"/>
    <w:rsid w:val="001E1C34"/>
    <w:rsid w:val="001E3C24"/>
    <w:rsid w:val="001E4D15"/>
    <w:rsid w:val="001F56DC"/>
    <w:rsid w:val="001F5990"/>
    <w:rsid w:val="00207816"/>
    <w:rsid w:val="00212C8F"/>
    <w:rsid w:val="00214660"/>
    <w:rsid w:val="00214CB3"/>
    <w:rsid w:val="00225C80"/>
    <w:rsid w:val="0023258D"/>
    <w:rsid w:val="002403C5"/>
    <w:rsid w:val="002409FF"/>
    <w:rsid w:val="00242A5E"/>
    <w:rsid w:val="0025074F"/>
    <w:rsid w:val="002819AB"/>
    <w:rsid w:val="002958D9"/>
    <w:rsid w:val="00295DDE"/>
    <w:rsid w:val="002A26D9"/>
    <w:rsid w:val="002A5A12"/>
    <w:rsid w:val="002B48D6"/>
    <w:rsid w:val="002B4F73"/>
    <w:rsid w:val="002B5A3A"/>
    <w:rsid w:val="002C03C1"/>
    <w:rsid w:val="002C068A"/>
    <w:rsid w:val="002C1A81"/>
    <w:rsid w:val="002C2524"/>
    <w:rsid w:val="002C2AA6"/>
    <w:rsid w:val="002C674C"/>
    <w:rsid w:val="002D556C"/>
    <w:rsid w:val="002D5A7C"/>
    <w:rsid w:val="002E665B"/>
    <w:rsid w:val="002F6355"/>
    <w:rsid w:val="00303CA5"/>
    <w:rsid w:val="003041A8"/>
    <w:rsid w:val="0030500E"/>
    <w:rsid w:val="00314AD3"/>
    <w:rsid w:val="003206FD"/>
    <w:rsid w:val="0033333E"/>
    <w:rsid w:val="00336410"/>
    <w:rsid w:val="00343A1F"/>
    <w:rsid w:val="00343A80"/>
    <w:rsid w:val="00344294"/>
    <w:rsid w:val="00344CD1"/>
    <w:rsid w:val="00355FCC"/>
    <w:rsid w:val="00356FB9"/>
    <w:rsid w:val="003601D8"/>
    <w:rsid w:val="00360664"/>
    <w:rsid w:val="00361890"/>
    <w:rsid w:val="00364E17"/>
    <w:rsid w:val="00366F95"/>
    <w:rsid w:val="003753FE"/>
    <w:rsid w:val="0038134E"/>
    <w:rsid w:val="00393577"/>
    <w:rsid w:val="00393856"/>
    <w:rsid w:val="003941CF"/>
    <w:rsid w:val="003A1F30"/>
    <w:rsid w:val="003A4309"/>
    <w:rsid w:val="003A4335"/>
    <w:rsid w:val="003A4437"/>
    <w:rsid w:val="003A4544"/>
    <w:rsid w:val="003A543B"/>
    <w:rsid w:val="003B26B8"/>
    <w:rsid w:val="003B2FE6"/>
    <w:rsid w:val="003B62B9"/>
    <w:rsid w:val="003B7D0C"/>
    <w:rsid w:val="003C325E"/>
    <w:rsid w:val="003C514F"/>
    <w:rsid w:val="003C6B87"/>
    <w:rsid w:val="003D0E55"/>
    <w:rsid w:val="003D1D4A"/>
    <w:rsid w:val="003D3715"/>
    <w:rsid w:val="003D6EA3"/>
    <w:rsid w:val="003E1542"/>
    <w:rsid w:val="003E54CC"/>
    <w:rsid w:val="003F3533"/>
    <w:rsid w:val="003F6D53"/>
    <w:rsid w:val="003F7DFB"/>
    <w:rsid w:val="004004F9"/>
    <w:rsid w:val="004029F3"/>
    <w:rsid w:val="00405A5F"/>
    <w:rsid w:val="00413320"/>
    <w:rsid w:val="004156F0"/>
    <w:rsid w:val="00416CC1"/>
    <w:rsid w:val="0041784E"/>
    <w:rsid w:val="00422698"/>
    <w:rsid w:val="00434739"/>
    <w:rsid w:val="00434C47"/>
    <w:rsid w:val="004474DE"/>
    <w:rsid w:val="004510CC"/>
    <w:rsid w:val="00451EE4"/>
    <w:rsid w:val="004522C1"/>
    <w:rsid w:val="00453E15"/>
    <w:rsid w:val="004552E7"/>
    <w:rsid w:val="00455805"/>
    <w:rsid w:val="00457E09"/>
    <w:rsid w:val="00461814"/>
    <w:rsid w:val="004625C6"/>
    <w:rsid w:val="0046426E"/>
    <w:rsid w:val="00464627"/>
    <w:rsid w:val="00467BDA"/>
    <w:rsid w:val="0047530B"/>
    <w:rsid w:val="0047718B"/>
    <w:rsid w:val="0048041A"/>
    <w:rsid w:val="00483D15"/>
    <w:rsid w:val="00494B47"/>
    <w:rsid w:val="004976CF"/>
    <w:rsid w:val="004A0E2C"/>
    <w:rsid w:val="004A2EB8"/>
    <w:rsid w:val="004C07CB"/>
    <w:rsid w:val="004C3643"/>
    <w:rsid w:val="004E02A1"/>
    <w:rsid w:val="004E04E0"/>
    <w:rsid w:val="004E17CB"/>
    <w:rsid w:val="004E1D05"/>
    <w:rsid w:val="004E30E1"/>
    <w:rsid w:val="004E6091"/>
    <w:rsid w:val="004E7DDC"/>
    <w:rsid w:val="004F274A"/>
    <w:rsid w:val="004F2EE5"/>
    <w:rsid w:val="004F3461"/>
    <w:rsid w:val="004F41D8"/>
    <w:rsid w:val="0050157E"/>
    <w:rsid w:val="00506851"/>
    <w:rsid w:val="00516144"/>
    <w:rsid w:val="0052347F"/>
    <w:rsid w:val="00523706"/>
    <w:rsid w:val="00524B8E"/>
    <w:rsid w:val="00525842"/>
    <w:rsid w:val="005279BD"/>
    <w:rsid w:val="00531AB9"/>
    <w:rsid w:val="00535776"/>
    <w:rsid w:val="00537049"/>
    <w:rsid w:val="00540113"/>
    <w:rsid w:val="00541355"/>
    <w:rsid w:val="005416B9"/>
    <w:rsid w:val="00541734"/>
    <w:rsid w:val="00542B4C"/>
    <w:rsid w:val="00545693"/>
    <w:rsid w:val="005459B5"/>
    <w:rsid w:val="00546003"/>
    <w:rsid w:val="0055617F"/>
    <w:rsid w:val="00561E69"/>
    <w:rsid w:val="00564812"/>
    <w:rsid w:val="0056634F"/>
    <w:rsid w:val="0057098A"/>
    <w:rsid w:val="00571115"/>
    <w:rsid w:val="005718AF"/>
    <w:rsid w:val="00571FD4"/>
    <w:rsid w:val="00572879"/>
    <w:rsid w:val="00572F97"/>
    <w:rsid w:val="00573D92"/>
    <w:rsid w:val="0057471E"/>
    <w:rsid w:val="0057782A"/>
    <w:rsid w:val="005909CF"/>
    <w:rsid w:val="00591235"/>
    <w:rsid w:val="005A0799"/>
    <w:rsid w:val="005A3A64"/>
    <w:rsid w:val="005A3AA0"/>
    <w:rsid w:val="005B55C1"/>
    <w:rsid w:val="005C5F25"/>
    <w:rsid w:val="005D5456"/>
    <w:rsid w:val="005D739E"/>
    <w:rsid w:val="005E34E1"/>
    <w:rsid w:val="005E34FF"/>
    <w:rsid w:val="005E3542"/>
    <w:rsid w:val="005E37FF"/>
    <w:rsid w:val="005E52F9"/>
    <w:rsid w:val="005E64B3"/>
    <w:rsid w:val="005F1261"/>
    <w:rsid w:val="005F39D6"/>
    <w:rsid w:val="00602315"/>
    <w:rsid w:val="00602D9E"/>
    <w:rsid w:val="006052EF"/>
    <w:rsid w:val="006127F0"/>
    <w:rsid w:val="00614E46"/>
    <w:rsid w:val="00615462"/>
    <w:rsid w:val="00624C45"/>
    <w:rsid w:val="006319E6"/>
    <w:rsid w:val="0063373D"/>
    <w:rsid w:val="00634B4C"/>
    <w:rsid w:val="006371C5"/>
    <w:rsid w:val="00644321"/>
    <w:rsid w:val="00651297"/>
    <w:rsid w:val="006531BD"/>
    <w:rsid w:val="0065692F"/>
    <w:rsid w:val="0065719B"/>
    <w:rsid w:val="00661197"/>
    <w:rsid w:val="0066322F"/>
    <w:rsid w:val="0067167B"/>
    <w:rsid w:val="0067360A"/>
    <w:rsid w:val="00673B28"/>
    <w:rsid w:val="00674B0C"/>
    <w:rsid w:val="0067642F"/>
    <w:rsid w:val="00677C4D"/>
    <w:rsid w:val="00681108"/>
    <w:rsid w:val="006820E0"/>
    <w:rsid w:val="00682636"/>
    <w:rsid w:val="00683417"/>
    <w:rsid w:val="00683E75"/>
    <w:rsid w:val="006853A5"/>
    <w:rsid w:val="006857B4"/>
    <w:rsid w:val="00685A46"/>
    <w:rsid w:val="00686D3C"/>
    <w:rsid w:val="006900BB"/>
    <w:rsid w:val="00691819"/>
    <w:rsid w:val="00691990"/>
    <w:rsid w:val="0069559D"/>
    <w:rsid w:val="00696368"/>
    <w:rsid w:val="006A3E27"/>
    <w:rsid w:val="006A5BB3"/>
    <w:rsid w:val="006A6C94"/>
    <w:rsid w:val="006A7B8B"/>
    <w:rsid w:val="006B5DBA"/>
    <w:rsid w:val="006B6A37"/>
    <w:rsid w:val="006C0FD4"/>
    <w:rsid w:val="006C4C25"/>
    <w:rsid w:val="006C6D1A"/>
    <w:rsid w:val="006D2842"/>
    <w:rsid w:val="006D2E6B"/>
    <w:rsid w:val="006D5133"/>
    <w:rsid w:val="006D59AC"/>
    <w:rsid w:val="006E13CD"/>
    <w:rsid w:val="006E14AF"/>
    <w:rsid w:val="006E4C28"/>
    <w:rsid w:val="006E672D"/>
    <w:rsid w:val="006F16D9"/>
    <w:rsid w:val="006F19C6"/>
    <w:rsid w:val="006F6496"/>
    <w:rsid w:val="00701B3C"/>
    <w:rsid w:val="00704126"/>
    <w:rsid w:val="00704E92"/>
    <w:rsid w:val="007062DF"/>
    <w:rsid w:val="00710552"/>
    <w:rsid w:val="007128D2"/>
    <w:rsid w:val="00712C60"/>
    <w:rsid w:val="0071604A"/>
    <w:rsid w:val="00727E43"/>
    <w:rsid w:val="00734BCE"/>
    <w:rsid w:val="00736AAF"/>
    <w:rsid w:val="007378E0"/>
    <w:rsid w:val="0074289D"/>
    <w:rsid w:val="00756FD8"/>
    <w:rsid w:val="00771959"/>
    <w:rsid w:val="007719F2"/>
    <w:rsid w:val="00783713"/>
    <w:rsid w:val="00785862"/>
    <w:rsid w:val="007911FF"/>
    <w:rsid w:val="0079742C"/>
    <w:rsid w:val="007A0537"/>
    <w:rsid w:val="007A06BE"/>
    <w:rsid w:val="007A4F31"/>
    <w:rsid w:val="007B1DD7"/>
    <w:rsid w:val="007B4C9B"/>
    <w:rsid w:val="007C1DBC"/>
    <w:rsid w:val="007C418A"/>
    <w:rsid w:val="007C7053"/>
    <w:rsid w:val="007D65B4"/>
    <w:rsid w:val="007F0E41"/>
    <w:rsid w:val="007F1352"/>
    <w:rsid w:val="007F3F10"/>
    <w:rsid w:val="007F59EB"/>
    <w:rsid w:val="00806F2A"/>
    <w:rsid w:val="00816B25"/>
    <w:rsid w:val="00820EA5"/>
    <w:rsid w:val="00826D87"/>
    <w:rsid w:val="00827937"/>
    <w:rsid w:val="00834368"/>
    <w:rsid w:val="008411A4"/>
    <w:rsid w:val="00846B69"/>
    <w:rsid w:val="008527B1"/>
    <w:rsid w:val="00853523"/>
    <w:rsid w:val="008558FE"/>
    <w:rsid w:val="00860D99"/>
    <w:rsid w:val="00860DD3"/>
    <w:rsid w:val="00864FED"/>
    <w:rsid w:val="00870BA2"/>
    <w:rsid w:val="00871334"/>
    <w:rsid w:val="00874C87"/>
    <w:rsid w:val="00882B66"/>
    <w:rsid w:val="00886D4D"/>
    <w:rsid w:val="008931D1"/>
    <w:rsid w:val="00893DA0"/>
    <w:rsid w:val="00895CE9"/>
    <w:rsid w:val="00895EBD"/>
    <w:rsid w:val="008A03E3"/>
    <w:rsid w:val="008A76FB"/>
    <w:rsid w:val="008C0E7A"/>
    <w:rsid w:val="008C47D3"/>
    <w:rsid w:val="008C6859"/>
    <w:rsid w:val="008C6A7B"/>
    <w:rsid w:val="008C6FA3"/>
    <w:rsid w:val="008C7F30"/>
    <w:rsid w:val="008D3A9C"/>
    <w:rsid w:val="008D6D48"/>
    <w:rsid w:val="008E359C"/>
    <w:rsid w:val="008F0D68"/>
    <w:rsid w:val="008F1DD1"/>
    <w:rsid w:val="008F7279"/>
    <w:rsid w:val="00901334"/>
    <w:rsid w:val="00904D77"/>
    <w:rsid w:val="00907DAF"/>
    <w:rsid w:val="009124CE"/>
    <w:rsid w:val="00912954"/>
    <w:rsid w:val="009150BC"/>
    <w:rsid w:val="009153EC"/>
    <w:rsid w:val="0091627F"/>
    <w:rsid w:val="0091758F"/>
    <w:rsid w:val="00921F34"/>
    <w:rsid w:val="009223BA"/>
    <w:rsid w:val="0092304C"/>
    <w:rsid w:val="00923F06"/>
    <w:rsid w:val="009246BC"/>
    <w:rsid w:val="00924BD0"/>
    <w:rsid w:val="0092562E"/>
    <w:rsid w:val="009352FB"/>
    <w:rsid w:val="009428BE"/>
    <w:rsid w:val="00954615"/>
    <w:rsid w:val="00960B10"/>
    <w:rsid w:val="00961056"/>
    <w:rsid w:val="009621DA"/>
    <w:rsid w:val="0096548B"/>
    <w:rsid w:val="0096766C"/>
    <w:rsid w:val="00970929"/>
    <w:rsid w:val="00977411"/>
    <w:rsid w:val="00983204"/>
    <w:rsid w:val="009841DA"/>
    <w:rsid w:val="0098577D"/>
    <w:rsid w:val="009865E1"/>
    <w:rsid w:val="00986627"/>
    <w:rsid w:val="00994A8E"/>
    <w:rsid w:val="00995FAD"/>
    <w:rsid w:val="00997CB7"/>
    <w:rsid w:val="009A551D"/>
    <w:rsid w:val="009A625B"/>
    <w:rsid w:val="009B252A"/>
    <w:rsid w:val="009B3075"/>
    <w:rsid w:val="009B6923"/>
    <w:rsid w:val="009B72ED"/>
    <w:rsid w:val="009B7BD4"/>
    <w:rsid w:val="009B7F3F"/>
    <w:rsid w:val="009C1BA7"/>
    <w:rsid w:val="009C331D"/>
    <w:rsid w:val="009C44AA"/>
    <w:rsid w:val="009C7B85"/>
    <w:rsid w:val="009D28EC"/>
    <w:rsid w:val="009D4FE9"/>
    <w:rsid w:val="009E1447"/>
    <w:rsid w:val="009E179D"/>
    <w:rsid w:val="009E3C69"/>
    <w:rsid w:val="009E4076"/>
    <w:rsid w:val="009E6FB7"/>
    <w:rsid w:val="009F26C1"/>
    <w:rsid w:val="00A0013B"/>
    <w:rsid w:val="00A00FCD"/>
    <w:rsid w:val="00A101CD"/>
    <w:rsid w:val="00A1279D"/>
    <w:rsid w:val="00A13F76"/>
    <w:rsid w:val="00A2089B"/>
    <w:rsid w:val="00A23FC7"/>
    <w:rsid w:val="00A417FD"/>
    <w:rsid w:val="00A418A7"/>
    <w:rsid w:val="00A42A4C"/>
    <w:rsid w:val="00A4533E"/>
    <w:rsid w:val="00A45D88"/>
    <w:rsid w:val="00A515F3"/>
    <w:rsid w:val="00A51E9E"/>
    <w:rsid w:val="00A53EDA"/>
    <w:rsid w:val="00A5760C"/>
    <w:rsid w:val="00A60DB3"/>
    <w:rsid w:val="00A616EB"/>
    <w:rsid w:val="00A667A2"/>
    <w:rsid w:val="00A70E42"/>
    <w:rsid w:val="00A725F5"/>
    <w:rsid w:val="00A874A9"/>
    <w:rsid w:val="00A8781C"/>
    <w:rsid w:val="00A914A0"/>
    <w:rsid w:val="00A917F1"/>
    <w:rsid w:val="00A95808"/>
    <w:rsid w:val="00A963FB"/>
    <w:rsid w:val="00AA717B"/>
    <w:rsid w:val="00AB3DD2"/>
    <w:rsid w:val="00AB5E78"/>
    <w:rsid w:val="00AC3CC3"/>
    <w:rsid w:val="00AC42A6"/>
    <w:rsid w:val="00AC627A"/>
    <w:rsid w:val="00AD0E39"/>
    <w:rsid w:val="00AD2F56"/>
    <w:rsid w:val="00AE1009"/>
    <w:rsid w:val="00AE237F"/>
    <w:rsid w:val="00AE2FAA"/>
    <w:rsid w:val="00AF73FE"/>
    <w:rsid w:val="00AF7D90"/>
    <w:rsid w:val="00B049F2"/>
    <w:rsid w:val="00B105AC"/>
    <w:rsid w:val="00B10AEA"/>
    <w:rsid w:val="00B11FCB"/>
    <w:rsid w:val="00B13AE4"/>
    <w:rsid w:val="00B17CE2"/>
    <w:rsid w:val="00B20AC6"/>
    <w:rsid w:val="00B32324"/>
    <w:rsid w:val="00B34187"/>
    <w:rsid w:val="00B345C9"/>
    <w:rsid w:val="00B4323E"/>
    <w:rsid w:val="00B47C0F"/>
    <w:rsid w:val="00B51D9F"/>
    <w:rsid w:val="00B52E74"/>
    <w:rsid w:val="00B539FF"/>
    <w:rsid w:val="00B55D60"/>
    <w:rsid w:val="00B56990"/>
    <w:rsid w:val="00B56DF5"/>
    <w:rsid w:val="00B61A59"/>
    <w:rsid w:val="00B7101A"/>
    <w:rsid w:val="00B7142C"/>
    <w:rsid w:val="00B72B57"/>
    <w:rsid w:val="00B75D0D"/>
    <w:rsid w:val="00BA241A"/>
    <w:rsid w:val="00BB189B"/>
    <w:rsid w:val="00BB4D20"/>
    <w:rsid w:val="00BC0524"/>
    <w:rsid w:val="00BC2702"/>
    <w:rsid w:val="00BC37FF"/>
    <w:rsid w:val="00BC415C"/>
    <w:rsid w:val="00BD09CD"/>
    <w:rsid w:val="00BE6377"/>
    <w:rsid w:val="00BF340F"/>
    <w:rsid w:val="00BF34D7"/>
    <w:rsid w:val="00C00E8A"/>
    <w:rsid w:val="00C02BFA"/>
    <w:rsid w:val="00C11BD0"/>
    <w:rsid w:val="00C134EF"/>
    <w:rsid w:val="00C274BD"/>
    <w:rsid w:val="00C308C8"/>
    <w:rsid w:val="00C312B1"/>
    <w:rsid w:val="00C31B6C"/>
    <w:rsid w:val="00C31E9D"/>
    <w:rsid w:val="00C36797"/>
    <w:rsid w:val="00C37C89"/>
    <w:rsid w:val="00C40EA6"/>
    <w:rsid w:val="00C446AF"/>
    <w:rsid w:val="00C452BE"/>
    <w:rsid w:val="00C51DC0"/>
    <w:rsid w:val="00C51F48"/>
    <w:rsid w:val="00C57B84"/>
    <w:rsid w:val="00C57C5D"/>
    <w:rsid w:val="00C618A4"/>
    <w:rsid w:val="00C62419"/>
    <w:rsid w:val="00C643C3"/>
    <w:rsid w:val="00C71107"/>
    <w:rsid w:val="00C71BE0"/>
    <w:rsid w:val="00C7377D"/>
    <w:rsid w:val="00C74873"/>
    <w:rsid w:val="00C75F72"/>
    <w:rsid w:val="00C77384"/>
    <w:rsid w:val="00C8343C"/>
    <w:rsid w:val="00C857CB"/>
    <w:rsid w:val="00C859DA"/>
    <w:rsid w:val="00C86C4D"/>
    <w:rsid w:val="00C8740F"/>
    <w:rsid w:val="00C915A8"/>
    <w:rsid w:val="00C93294"/>
    <w:rsid w:val="00C9334B"/>
    <w:rsid w:val="00C95583"/>
    <w:rsid w:val="00CA3C90"/>
    <w:rsid w:val="00CB1999"/>
    <w:rsid w:val="00CB72A6"/>
    <w:rsid w:val="00CC13F8"/>
    <w:rsid w:val="00CC29A7"/>
    <w:rsid w:val="00CC34D4"/>
    <w:rsid w:val="00CC4517"/>
    <w:rsid w:val="00CC50AC"/>
    <w:rsid w:val="00CD04D9"/>
    <w:rsid w:val="00CD732A"/>
    <w:rsid w:val="00CE21C0"/>
    <w:rsid w:val="00CE42D8"/>
    <w:rsid w:val="00CF47A8"/>
    <w:rsid w:val="00CF5DC0"/>
    <w:rsid w:val="00CF64A6"/>
    <w:rsid w:val="00D00EB0"/>
    <w:rsid w:val="00D020D1"/>
    <w:rsid w:val="00D026AC"/>
    <w:rsid w:val="00D02B48"/>
    <w:rsid w:val="00D1120A"/>
    <w:rsid w:val="00D125BE"/>
    <w:rsid w:val="00D12A5E"/>
    <w:rsid w:val="00D13F14"/>
    <w:rsid w:val="00D1410D"/>
    <w:rsid w:val="00D201C8"/>
    <w:rsid w:val="00D22F07"/>
    <w:rsid w:val="00D30512"/>
    <w:rsid w:val="00D335DB"/>
    <w:rsid w:val="00D354A3"/>
    <w:rsid w:val="00D35B82"/>
    <w:rsid w:val="00D423EB"/>
    <w:rsid w:val="00D44E20"/>
    <w:rsid w:val="00D47EFB"/>
    <w:rsid w:val="00D555DA"/>
    <w:rsid w:val="00D67583"/>
    <w:rsid w:val="00D73127"/>
    <w:rsid w:val="00D80CAD"/>
    <w:rsid w:val="00D9046E"/>
    <w:rsid w:val="00DA77AA"/>
    <w:rsid w:val="00DB1128"/>
    <w:rsid w:val="00DB7937"/>
    <w:rsid w:val="00DC04FD"/>
    <w:rsid w:val="00DC73CF"/>
    <w:rsid w:val="00DD0F21"/>
    <w:rsid w:val="00DE265F"/>
    <w:rsid w:val="00DF1CD1"/>
    <w:rsid w:val="00E067DD"/>
    <w:rsid w:val="00E11244"/>
    <w:rsid w:val="00E14973"/>
    <w:rsid w:val="00E15353"/>
    <w:rsid w:val="00E16033"/>
    <w:rsid w:val="00E16CAE"/>
    <w:rsid w:val="00E24B4B"/>
    <w:rsid w:val="00E252CD"/>
    <w:rsid w:val="00E34550"/>
    <w:rsid w:val="00E439CA"/>
    <w:rsid w:val="00E45340"/>
    <w:rsid w:val="00E45ACB"/>
    <w:rsid w:val="00E515DB"/>
    <w:rsid w:val="00E54F7C"/>
    <w:rsid w:val="00E561E3"/>
    <w:rsid w:val="00E61B43"/>
    <w:rsid w:val="00E62454"/>
    <w:rsid w:val="00E65C75"/>
    <w:rsid w:val="00E674DD"/>
    <w:rsid w:val="00E675C8"/>
    <w:rsid w:val="00E67B22"/>
    <w:rsid w:val="00E739C2"/>
    <w:rsid w:val="00E76D17"/>
    <w:rsid w:val="00E81323"/>
    <w:rsid w:val="00E833B5"/>
    <w:rsid w:val="00E8508F"/>
    <w:rsid w:val="00E85E3D"/>
    <w:rsid w:val="00E8734B"/>
    <w:rsid w:val="00E90883"/>
    <w:rsid w:val="00E90EDF"/>
    <w:rsid w:val="00E93974"/>
    <w:rsid w:val="00E97423"/>
    <w:rsid w:val="00E9744D"/>
    <w:rsid w:val="00E974ED"/>
    <w:rsid w:val="00EA406E"/>
    <w:rsid w:val="00EA43AC"/>
    <w:rsid w:val="00EA52D3"/>
    <w:rsid w:val="00EA6F82"/>
    <w:rsid w:val="00EA73CE"/>
    <w:rsid w:val="00EA74BA"/>
    <w:rsid w:val="00EB06EB"/>
    <w:rsid w:val="00EB08F0"/>
    <w:rsid w:val="00EB2329"/>
    <w:rsid w:val="00EB2AD7"/>
    <w:rsid w:val="00EC2019"/>
    <w:rsid w:val="00EC32DC"/>
    <w:rsid w:val="00EC3AEC"/>
    <w:rsid w:val="00ED043A"/>
    <w:rsid w:val="00ED2260"/>
    <w:rsid w:val="00ED2A2E"/>
    <w:rsid w:val="00ED3727"/>
    <w:rsid w:val="00ED3DDF"/>
    <w:rsid w:val="00ED3FF4"/>
    <w:rsid w:val="00ED4CBF"/>
    <w:rsid w:val="00ED50F4"/>
    <w:rsid w:val="00EE1C1A"/>
    <w:rsid w:val="00EE2613"/>
    <w:rsid w:val="00EE47E1"/>
    <w:rsid w:val="00EE550A"/>
    <w:rsid w:val="00EF1D80"/>
    <w:rsid w:val="00EF1E98"/>
    <w:rsid w:val="00EF5820"/>
    <w:rsid w:val="00EF642A"/>
    <w:rsid w:val="00F03A3B"/>
    <w:rsid w:val="00F100C9"/>
    <w:rsid w:val="00F1025A"/>
    <w:rsid w:val="00F2297F"/>
    <w:rsid w:val="00F249DD"/>
    <w:rsid w:val="00F27E7B"/>
    <w:rsid w:val="00F31522"/>
    <w:rsid w:val="00F333C1"/>
    <w:rsid w:val="00F35758"/>
    <w:rsid w:val="00F35EDC"/>
    <w:rsid w:val="00F40082"/>
    <w:rsid w:val="00F434E2"/>
    <w:rsid w:val="00F45CD5"/>
    <w:rsid w:val="00F62660"/>
    <w:rsid w:val="00F62916"/>
    <w:rsid w:val="00F63D9A"/>
    <w:rsid w:val="00F6472B"/>
    <w:rsid w:val="00F6510F"/>
    <w:rsid w:val="00F659A3"/>
    <w:rsid w:val="00F702AF"/>
    <w:rsid w:val="00F702DE"/>
    <w:rsid w:val="00F7222A"/>
    <w:rsid w:val="00F733F9"/>
    <w:rsid w:val="00F7417F"/>
    <w:rsid w:val="00F751D7"/>
    <w:rsid w:val="00F846A0"/>
    <w:rsid w:val="00FA02D2"/>
    <w:rsid w:val="00FA4DF0"/>
    <w:rsid w:val="00FB3AAB"/>
    <w:rsid w:val="00FB743C"/>
    <w:rsid w:val="00FC6E8D"/>
    <w:rsid w:val="00FD307B"/>
    <w:rsid w:val="00FD7E64"/>
    <w:rsid w:val="00FE0B36"/>
    <w:rsid w:val="00FE62CE"/>
    <w:rsid w:val="00FE68E4"/>
    <w:rsid w:val="00FF14C0"/>
    <w:rsid w:val="00FF20AD"/>
    <w:rsid w:val="00FF28AD"/>
    <w:rsid w:val="00FF34A3"/>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424E73"/>
  <w15:docId w15:val="{09838C68-203E-44AD-B0D6-2E10D469E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paragraph" w:styleId="ListParagraph">
    <w:name w:val="List Paragraph"/>
    <w:basedOn w:val="Normal"/>
    <w:uiPriority w:val="34"/>
    <w:qFormat/>
    <w:rsid w:val="00494B47"/>
    <w:pPr>
      <w:ind w:left="720"/>
      <w:contextualSpacing/>
    </w:pPr>
  </w:style>
  <w:style w:type="character" w:styleId="FootnoteReference">
    <w:name w:val="footnote reference"/>
    <w:basedOn w:val="DefaultParagraphFont"/>
    <w:semiHidden/>
    <w:unhideWhenUsed/>
    <w:rsid w:val="00EC3AEC"/>
    <w:rPr>
      <w:vertAlign w:val="superscript"/>
    </w:rPr>
  </w:style>
  <w:style w:type="paragraph" w:customStyle="1" w:styleId="Default">
    <w:name w:val="Default"/>
    <w:rsid w:val="00F6472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E5CFE61-8961-4204-B7B0-CF86B67BADC6}">
  <ds:schemaRefs>
    <ds:schemaRef ds:uri="http://schemas.openxmlformats.org/officeDocument/2006/bibliography"/>
  </ds:schemaRefs>
</ds:datastoreItem>
</file>

<file path=customXml/itemProps3.xml><?xml version="1.0" encoding="utf-8"?>
<ds:datastoreItem xmlns:ds="http://schemas.openxmlformats.org/officeDocument/2006/customXml" ds:itemID="{4E5CEEDD-076D-4FEB-B43B-738D07BE6BE0}"/>
</file>

<file path=customXml/itemProps4.xml><?xml version="1.0" encoding="utf-8"?>
<ds:datastoreItem xmlns:ds="http://schemas.openxmlformats.org/officeDocument/2006/customXml" ds:itemID="{8AEAFF47-ACDC-483B-AAA0-2015605C827F}"/>
</file>

<file path=customXml/itemProps5.xml><?xml version="1.0" encoding="utf-8"?>
<ds:datastoreItem xmlns:ds="http://schemas.openxmlformats.org/officeDocument/2006/customXml" ds:itemID="{1B630402-D524-46AE-A32B-0767D23FAE70}"/>
</file>

<file path=docProps/app.xml><?xml version="1.0" encoding="utf-8"?>
<Properties xmlns="http://schemas.openxmlformats.org/officeDocument/2006/extended-properties" xmlns:vt="http://schemas.openxmlformats.org/officeDocument/2006/docPropsVTypes">
  <Template>Decisions.dotm</Template>
  <TotalTime>4</TotalTime>
  <Pages>6</Pages>
  <Words>2162</Words>
  <Characters>12327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ROW/3262945</dc:title>
  <dc:subject>ROW/3262945</dc:subject>
  <dc:creator>McGlone, Andrew</dc:creator>
  <cp:lastModifiedBy>Parsons, Jacky</cp:lastModifiedBy>
  <cp:revision>5</cp:revision>
  <cp:lastPrinted>2013-05-29T14:27:00Z</cp:lastPrinted>
  <dcterms:created xsi:type="dcterms:W3CDTF">2021-07-08T11:34:00Z</dcterms:created>
  <dcterms:modified xsi:type="dcterms:W3CDTF">2021-07-13T09:46:00Z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