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AA81D4" w14:textId="749EBED8" w:rsidR="0006185C" w:rsidRPr="00810659" w:rsidRDefault="00B9703B">
      <w:pPr>
        <w:rPr>
          <w:rFonts w:ascii="Arial" w:hAnsi="Arial" w:cs="Arial"/>
          <w:b/>
          <w:sz w:val="36"/>
        </w:rPr>
      </w:pPr>
      <w:bookmarkStart w:id="0" w:name="_GoBack"/>
      <w:bookmarkEnd w:id="0"/>
      <w:r w:rsidRPr="00810659">
        <w:rPr>
          <w:rFonts w:ascii="Arial" w:hAnsi="Arial" w:cs="Arial"/>
          <w:b/>
          <w:sz w:val="36"/>
        </w:rPr>
        <w:t xml:space="preserve">Increasing selected court fees and Help with Fees income thresholds by inflation </w:t>
      </w:r>
      <w:r w:rsidR="001968A6" w:rsidRPr="00810659">
        <w:rPr>
          <w:rFonts w:ascii="Arial" w:hAnsi="Arial" w:cs="Arial"/>
          <w:b/>
          <w:sz w:val="36"/>
        </w:rPr>
        <w:t>e</w:t>
      </w:r>
      <w:r w:rsidR="00256B2A" w:rsidRPr="00810659">
        <w:rPr>
          <w:rFonts w:ascii="Arial" w:hAnsi="Arial" w:cs="Arial"/>
          <w:b/>
          <w:sz w:val="36"/>
        </w:rPr>
        <w:t xml:space="preserve">qualities </w:t>
      </w:r>
      <w:r w:rsidR="001968A6" w:rsidRPr="00810659">
        <w:rPr>
          <w:rFonts w:ascii="Arial" w:hAnsi="Arial" w:cs="Arial"/>
          <w:b/>
          <w:sz w:val="36"/>
        </w:rPr>
        <w:t>i</w:t>
      </w:r>
      <w:r w:rsidR="00256B2A" w:rsidRPr="00810659">
        <w:rPr>
          <w:rFonts w:ascii="Arial" w:hAnsi="Arial" w:cs="Arial"/>
          <w:b/>
          <w:sz w:val="36"/>
        </w:rPr>
        <w:t xml:space="preserve">mpact </w:t>
      </w:r>
      <w:r w:rsidR="001968A6" w:rsidRPr="00810659">
        <w:rPr>
          <w:rFonts w:ascii="Arial" w:hAnsi="Arial" w:cs="Arial"/>
          <w:b/>
          <w:sz w:val="36"/>
        </w:rPr>
        <w:t>a</w:t>
      </w:r>
      <w:r w:rsidR="00256B2A" w:rsidRPr="00810659">
        <w:rPr>
          <w:rFonts w:ascii="Arial" w:hAnsi="Arial" w:cs="Arial"/>
          <w:b/>
          <w:sz w:val="36"/>
        </w:rPr>
        <w:t>ssessment</w:t>
      </w:r>
    </w:p>
    <w:p w14:paraId="1843769D" w14:textId="77777777" w:rsidR="00256B2A" w:rsidRPr="00810659" w:rsidRDefault="00256B2A">
      <w:pPr>
        <w:rPr>
          <w:rFonts w:ascii="Arial" w:hAnsi="Arial" w:cs="Arial"/>
          <w:b/>
          <w:sz w:val="36"/>
        </w:rPr>
      </w:pPr>
    </w:p>
    <w:p w14:paraId="6F2A1B48" w14:textId="20DCB9D2" w:rsidR="000B458A" w:rsidRPr="00810659" w:rsidRDefault="005B27A3" w:rsidP="005B27A3">
      <w:pPr>
        <w:rPr>
          <w:rFonts w:ascii="Arial" w:hAnsi="Arial" w:cs="Arial"/>
          <w:b/>
          <w:sz w:val="36"/>
        </w:rPr>
      </w:pPr>
      <w:r w:rsidRPr="00810659">
        <w:rPr>
          <w:rFonts w:ascii="Arial" w:hAnsi="Arial" w:cs="Arial"/>
          <w:b/>
          <w:sz w:val="28"/>
        </w:rPr>
        <w:t xml:space="preserve">1. </w:t>
      </w:r>
      <w:r w:rsidR="000B458A" w:rsidRPr="00810659">
        <w:rPr>
          <w:rFonts w:ascii="Arial" w:hAnsi="Arial" w:cs="Arial"/>
          <w:b/>
          <w:sz w:val="28"/>
        </w:rPr>
        <w:t>Background</w:t>
      </w:r>
    </w:p>
    <w:p w14:paraId="0A060FAE" w14:textId="2C87941A" w:rsidR="00D72730" w:rsidRPr="00810659" w:rsidRDefault="00AE1160" w:rsidP="00D72730">
      <w:pPr>
        <w:rPr>
          <w:rFonts w:ascii="Arial" w:hAnsi="Arial" w:cs="Arial"/>
        </w:rPr>
      </w:pPr>
      <w:r w:rsidRPr="00810659">
        <w:rPr>
          <w:rFonts w:ascii="Arial" w:hAnsi="Arial" w:cs="Arial"/>
        </w:rPr>
        <w:t>1.1</w:t>
      </w:r>
      <w:r w:rsidR="00011EAC" w:rsidRPr="00810659">
        <w:rPr>
          <w:rFonts w:ascii="Arial" w:hAnsi="Arial" w:cs="Arial"/>
        </w:rPr>
        <w:t>.</w:t>
      </w:r>
      <w:r w:rsidR="006D18E7" w:rsidRPr="00810659">
        <w:rPr>
          <w:rFonts w:ascii="Arial" w:hAnsi="Arial" w:cs="Arial"/>
        </w:rPr>
        <w:t xml:space="preserve"> </w:t>
      </w:r>
      <w:r w:rsidR="005F01CE" w:rsidRPr="00810659">
        <w:rPr>
          <w:rFonts w:ascii="Arial" w:hAnsi="Arial" w:cs="Arial"/>
        </w:rPr>
        <w:t>HMCTS administers the court</w:t>
      </w:r>
      <w:r w:rsidR="001E08BC" w:rsidRPr="00810659">
        <w:rPr>
          <w:rFonts w:ascii="Arial" w:hAnsi="Arial" w:cs="Arial"/>
        </w:rPr>
        <w:t>s and tribunals</w:t>
      </w:r>
      <w:r w:rsidR="005F01CE" w:rsidRPr="00810659">
        <w:rPr>
          <w:rFonts w:ascii="Arial" w:hAnsi="Arial" w:cs="Arial"/>
        </w:rPr>
        <w:t xml:space="preserve"> system</w:t>
      </w:r>
      <w:r w:rsidR="001E08BC" w:rsidRPr="00810659">
        <w:rPr>
          <w:rFonts w:ascii="Arial" w:hAnsi="Arial" w:cs="Arial"/>
        </w:rPr>
        <w:t>, allowing</w:t>
      </w:r>
      <w:r w:rsidR="005F01CE" w:rsidRPr="00810659">
        <w:rPr>
          <w:rFonts w:ascii="Arial" w:hAnsi="Arial" w:cs="Arial"/>
        </w:rPr>
        <w:t xml:space="preserve"> people </w:t>
      </w:r>
      <w:r w:rsidR="001E08BC" w:rsidRPr="00810659">
        <w:rPr>
          <w:rFonts w:ascii="Arial" w:hAnsi="Arial" w:cs="Arial"/>
        </w:rPr>
        <w:t>to</w:t>
      </w:r>
      <w:r w:rsidR="005F01CE" w:rsidRPr="00810659">
        <w:rPr>
          <w:rFonts w:ascii="Arial" w:hAnsi="Arial" w:cs="Arial"/>
        </w:rPr>
        <w:t xml:space="preserve"> execute and defend their rights</w:t>
      </w:r>
      <w:r w:rsidR="001E08BC" w:rsidRPr="00810659">
        <w:rPr>
          <w:rFonts w:ascii="Arial" w:hAnsi="Arial" w:cs="Arial"/>
        </w:rPr>
        <w:t>. I</w:t>
      </w:r>
      <w:r w:rsidR="005F01CE" w:rsidRPr="00810659">
        <w:rPr>
          <w:rFonts w:ascii="Arial" w:hAnsi="Arial" w:cs="Arial"/>
        </w:rPr>
        <w:t xml:space="preserve">t is the role of the Lord Chancellor to ensure that </w:t>
      </w:r>
      <w:r w:rsidR="138A6AC8" w:rsidRPr="00810659">
        <w:rPr>
          <w:rFonts w:ascii="Arial" w:hAnsi="Arial" w:cs="Arial"/>
        </w:rPr>
        <w:t xml:space="preserve">the </w:t>
      </w:r>
      <w:r w:rsidR="005F01CE" w:rsidRPr="00810659">
        <w:rPr>
          <w:rFonts w:ascii="Arial" w:hAnsi="Arial" w:cs="Arial"/>
        </w:rPr>
        <w:t xml:space="preserve">courts </w:t>
      </w:r>
      <w:r w:rsidR="05948F4D" w:rsidRPr="00810659">
        <w:rPr>
          <w:rFonts w:ascii="Arial" w:hAnsi="Arial" w:cs="Arial"/>
        </w:rPr>
        <w:t>system</w:t>
      </w:r>
      <w:r w:rsidR="005F01CE" w:rsidRPr="00810659">
        <w:rPr>
          <w:rFonts w:ascii="Arial" w:hAnsi="Arial" w:cs="Arial"/>
        </w:rPr>
        <w:t xml:space="preserve"> </w:t>
      </w:r>
      <w:r w:rsidR="2F53ECF6" w:rsidRPr="00810659">
        <w:rPr>
          <w:rFonts w:ascii="Arial" w:hAnsi="Arial" w:cs="Arial"/>
        </w:rPr>
        <w:t xml:space="preserve">is </w:t>
      </w:r>
      <w:r w:rsidR="005F01CE" w:rsidRPr="00810659">
        <w:rPr>
          <w:rFonts w:ascii="Arial" w:hAnsi="Arial" w:cs="Arial"/>
        </w:rPr>
        <w:t>efficient and effective</w:t>
      </w:r>
      <w:r w:rsidR="44B64EAE" w:rsidRPr="00810659">
        <w:rPr>
          <w:rFonts w:ascii="Arial" w:hAnsi="Arial" w:cs="Arial"/>
        </w:rPr>
        <w:t>,</w:t>
      </w:r>
      <w:r w:rsidR="005F01CE" w:rsidRPr="00810659">
        <w:rPr>
          <w:rFonts w:ascii="Arial" w:hAnsi="Arial" w:cs="Arial"/>
        </w:rPr>
        <w:t xml:space="preserve"> while protecting access to justice</w:t>
      </w:r>
      <w:r w:rsidR="32F628FB" w:rsidRPr="00810659">
        <w:rPr>
          <w:rFonts w:ascii="Arial" w:hAnsi="Arial" w:cs="Arial"/>
        </w:rPr>
        <w:t>.</w:t>
      </w:r>
      <w:r w:rsidR="005F01CE" w:rsidRPr="00810659">
        <w:rPr>
          <w:rFonts w:ascii="Arial" w:hAnsi="Arial" w:cs="Arial"/>
        </w:rPr>
        <w:t xml:space="preserve"> A large number of people use the services of HMCTS every year. Whether it be separated parents in a family court, a vulnerable witness to a crime, or someone appealing a benefits decision, people interact with HMCTS at some of the most difficult times in their lives. </w:t>
      </w:r>
    </w:p>
    <w:p w14:paraId="259448AD" w14:textId="38F7F850" w:rsidR="00D72730" w:rsidRPr="00810659" w:rsidRDefault="00011EAC" w:rsidP="00D72730">
      <w:pPr>
        <w:rPr>
          <w:rFonts w:ascii="Arial" w:hAnsi="Arial" w:cs="Arial"/>
        </w:rPr>
      </w:pPr>
      <w:r w:rsidRPr="00810659">
        <w:rPr>
          <w:rFonts w:ascii="Arial" w:hAnsi="Arial" w:cs="Arial"/>
        </w:rPr>
        <w:t xml:space="preserve">1.2. </w:t>
      </w:r>
      <w:r w:rsidR="00D72730" w:rsidRPr="00810659">
        <w:rPr>
          <w:rFonts w:ascii="Arial" w:hAnsi="Arial" w:cs="Arial"/>
        </w:rPr>
        <w:t xml:space="preserve">Fees </w:t>
      </w:r>
      <w:r w:rsidR="22AE06EB" w:rsidRPr="00810659">
        <w:rPr>
          <w:rFonts w:ascii="Arial" w:hAnsi="Arial" w:cs="Arial"/>
        </w:rPr>
        <w:t xml:space="preserve">in civil and family cases </w:t>
      </w:r>
      <w:r w:rsidR="00D72730" w:rsidRPr="00810659">
        <w:rPr>
          <w:rFonts w:ascii="Arial" w:hAnsi="Arial" w:cs="Arial"/>
        </w:rPr>
        <w:t xml:space="preserve">are an important source of funding for the courts, and a reasonable means of making resources available to secure access to justice. </w:t>
      </w:r>
      <w:r w:rsidR="0038251D" w:rsidRPr="00810659">
        <w:rPr>
          <w:rFonts w:ascii="Arial" w:hAnsi="Arial" w:cs="Arial"/>
        </w:rPr>
        <w:t>A</w:t>
      </w:r>
      <w:r w:rsidR="00D72730" w:rsidRPr="00810659">
        <w:rPr>
          <w:rFonts w:ascii="Arial" w:hAnsi="Arial" w:cs="Arial"/>
        </w:rPr>
        <w:t xml:space="preserve">n effective court service needs to be funded appropriately in order to protect access to justice </w:t>
      </w:r>
      <w:r w:rsidR="00AC268F" w:rsidRPr="00810659">
        <w:rPr>
          <w:rFonts w:ascii="Arial" w:hAnsi="Arial" w:cs="Arial"/>
        </w:rPr>
        <w:t>during Covid-1</w:t>
      </w:r>
      <w:r w:rsidR="003373E8" w:rsidRPr="00810659">
        <w:rPr>
          <w:rFonts w:ascii="Arial" w:hAnsi="Arial" w:cs="Arial"/>
        </w:rPr>
        <w:t xml:space="preserve">9 recovery and </w:t>
      </w:r>
      <w:r w:rsidR="00D72730" w:rsidRPr="00810659">
        <w:rPr>
          <w:rFonts w:ascii="Arial" w:hAnsi="Arial" w:cs="Arial"/>
        </w:rPr>
        <w:t>in the longer term</w:t>
      </w:r>
      <w:r w:rsidR="00197136" w:rsidRPr="00810659">
        <w:rPr>
          <w:rFonts w:ascii="Arial" w:hAnsi="Arial" w:cs="Arial"/>
        </w:rPr>
        <w:t>.</w:t>
      </w:r>
    </w:p>
    <w:p w14:paraId="35053875" w14:textId="14AE60FD" w:rsidR="00F132AE" w:rsidRPr="00810659" w:rsidRDefault="006532B3" w:rsidP="00F132AE">
      <w:pPr>
        <w:rPr>
          <w:rFonts w:ascii="Arial" w:hAnsi="Arial" w:cs="Arial"/>
        </w:rPr>
      </w:pPr>
      <w:r w:rsidRPr="00810659">
        <w:rPr>
          <w:rFonts w:ascii="Arial" w:hAnsi="Arial" w:cs="Arial"/>
        </w:rPr>
        <w:t xml:space="preserve">1.3. </w:t>
      </w:r>
      <w:r w:rsidR="00F132AE" w:rsidRPr="00810659">
        <w:rPr>
          <w:rFonts w:ascii="Arial" w:hAnsi="Arial" w:cs="Arial"/>
        </w:rPr>
        <w:t xml:space="preserve">The Lord Chancellor has a personal, statutory duty to ensure there is an efficient and effective system in place to support the business of the courts. In setting fees, the Lord Chancellor is also required to </w:t>
      </w:r>
      <w:proofErr w:type="gramStart"/>
      <w:r w:rsidR="00F132AE" w:rsidRPr="00810659">
        <w:rPr>
          <w:rFonts w:ascii="Arial" w:hAnsi="Arial" w:cs="Arial"/>
        </w:rPr>
        <w:t>take into account</w:t>
      </w:r>
      <w:proofErr w:type="gramEnd"/>
      <w:r w:rsidR="00F132AE" w:rsidRPr="00810659">
        <w:rPr>
          <w:rFonts w:ascii="Arial" w:hAnsi="Arial" w:cs="Arial"/>
        </w:rPr>
        <w:t xml:space="preserve"> the common law right of access to justice – ensuring that those who need to access the courts are not denied this right.</w:t>
      </w:r>
    </w:p>
    <w:p w14:paraId="0821F732" w14:textId="09718F12" w:rsidR="00047CED" w:rsidRPr="00810659" w:rsidRDefault="006532B3" w:rsidP="00047CED">
      <w:pPr>
        <w:rPr>
          <w:rFonts w:ascii="Arial" w:hAnsi="Arial" w:cs="Arial"/>
        </w:rPr>
      </w:pPr>
      <w:r w:rsidRPr="00810659">
        <w:rPr>
          <w:rFonts w:ascii="Arial" w:hAnsi="Arial" w:cs="Arial"/>
        </w:rPr>
        <w:t xml:space="preserve">1.4. </w:t>
      </w:r>
      <w:r w:rsidR="00F132AE" w:rsidRPr="00810659">
        <w:rPr>
          <w:rFonts w:ascii="Arial" w:hAnsi="Arial" w:cs="Arial"/>
        </w:rPr>
        <w:t>To fulfil these obligations, the Lord Chancellor has the power to charge and prescribe fees in relation to anything done by the courts and tribunals</w:t>
      </w:r>
      <w:r w:rsidRPr="00810659">
        <w:rPr>
          <w:rFonts w:ascii="Arial" w:hAnsi="Arial" w:cs="Arial"/>
        </w:rPr>
        <w:t>.</w:t>
      </w:r>
      <w:r w:rsidR="00B517EF" w:rsidRPr="00810659">
        <w:rPr>
          <w:rFonts w:ascii="Arial" w:hAnsi="Arial" w:cs="Arial"/>
        </w:rPr>
        <w:t xml:space="preserve"> </w:t>
      </w:r>
      <w:r w:rsidR="00743F8B" w:rsidRPr="00810659">
        <w:rPr>
          <w:rFonts w:ascii="Arial" w:hAnsi="Arial" w:cs="Arial"/>
        </w:rPr>
        <w:t>The power to charge fees in the courts of England and Wales is set out in several pieces of primary legislation. The key fee setting power is at section 92 of the Courts Act 2003, which provides the Lord Chancellor with a power to, with Treasury consent, prescribe the fees payable in respect of anything dealt with by the Senior courts, family court, county courts and Magistrates’ courts. When setting fees under this power, the Lord Chancellor must have due regard to the principle that access to the courts must not be denied. Most court fees are set under section 92 and are charged at the cost of the service or below it.</w:t>
      </w:r>
      <w:r w:rsidR="00047CED" w:rsidRPr="00810659">
        <w:rPr>
          <w:rFonts w:ascii="Arial" w:hAnsi="Arial" w:cs="Arial"/>
        </w:rPr>
        <w:t xml:space="preserve"> These are known as non-enhanced fees.</w:t>
      </w:r>
    </w:p>
    <w:p w14:paraId="4C6C7629" w14:textId="348EC1F8" w:rsidR="00047CED" w:rsidRPr="00810659" w:rsidRDefault="00047CED" w:rsidP="00047CED">
      <w:pPr>
        <w:rPr>
          <w:rFonts w:ascii="Arial" w:hAnsi="Arial" w:cs="Arial"/>
        </w:rPr>
      </w:pPr>
      <w:r w:rsidRPr="00810659">
        <w:rPr>
          <w:rFonts w:ascii="Arial" w:hAnsi="Arial" w:cs="Arial"/>
        </w:rPr>
        <w:t>1.</w:t>
      </w:r>
      <w:r w:rsidR="006532B3" w:rsidRPr="00810659">
        <w:rPr>
          <w:rFonts w:ascii="Arial" w:hAnsi="Arial" w:cs="Arial"/>
        </w:rPr>
        <w:t>5</w:t>
      </w:r>
      <w:r w:rsidR="00DA6296" w:rsidRPr="00810659">
        <w:rPr>
          <w:rFonts w:ascii="Arial" w:hAnsi="Arial" w:cs="Arial"/>
        </w:rPr>
        <w:t>.</w:t>
      </w:r>
      <w:r w:rsidRPr="00810659">
        <w:rPr>
          <w:rFonts w:ascii="Arial" w:hAnsi="Arial" w:cs="Arial"/>
        </w:rPr>
        <w:t xml:space="preserve"> Certain court fees, including some of the fees included in the proposal, are set above the cost of the service. These are known as enhanced fees and can only be set at such a rate with explicit parliamentary approval. Enhanced fees are set under the power provided in section 180 of the Anti-Social Behaviour Crime and Policing Act 2014 (the Act).</w:t>
      </w:r>
    </w:p>
    <w:p w14:paraId="2D969A78" w14:textId="0C277320" w:rsidR="00047CED" w:rsidRPr="00810659" w:rsidRDefault="00047CED" w:rsidP="00047CED">
      <w:pPr>
        <w:rPr>
          <w:rFonts w:ascii="Arial" w:hAnsi="Arial" w:cs="Arial"/>
        </w:rPr>
      </w:pPr>
      <w:r w:rsidRPr="00810659">
        <w:rPr>
          <w:rFonts w:ascii="Arial" w:hAnsi="Arial" w:cs="Arial"/>
        </w:rPr>
        <w:t>1.</w:t>
      </w:r>
      <w:r w:rsidR="006532B3" w:rsidRPr="00810659">
        <w:rPr>
          <w:rFonts w:ascii="Arial" w:hAnsi="Arial" w:cs="Arial"/>
        </w:rPr>
        <w:t>6</w:t>
      </w:r>
      <w:r w:rsidR="00DA6296" w:rsidRPr="00810659">
        <w:rPr>
          <w:rFonts w:ascii="Arial" w:hAnsi="Arial" w:cs="Arial"/>
        </w:rPr>
        <w:t>.</w:t>
      </w:r>
      <w:r w:rsidRPr="00810659">
        <w:rPr>
          <w:rFonts w:ascii="Arial" w:hAnsi="Arial" w:cs="Arial"/>
        </w:rPr>
        <w:t xml:space="preserve"> The power provided under s.180 requires that, before setting a fee at an enhanced level, the Lord Chancellor must have regard to: </w:t>
      </w:r>
    </w:p>
    <w:p w14:paraId="05B0C4F7" w14:textId="77777777" w:rsidR="00047CED" w:rsidRPr="00810659" w:rsidRDefault="00047CED" w:rsidP="00047CED">
      <w:pPr>
        <w:rPr>
          <w:rFonts w:ascii="Arial" w:hAnsi="Arial" w:cs="Arial"/>
        </w:rPr>
      </w:pPr>
      <w:r w:rsidRPr="00810659">
        <w:rPr>
          <w:rFonts w:ascii="Arial" w:hAnsi="Arial" w:cs="Arial"/>
        </w:rPr>
        <w:t>a.</w:t>
      </w:r>
      <w:r w:rsidRPr="00810659">
        <w:rPr>
          <w:rFonts w:ascii="Arial" w:hAnsi="Arial" w:cs="Arial"/>
        </w:rPr>
        <w:tab/>
        <w:t xml:space="preserve">the financial position of the courts and tribunals including any costs not being met by current fee income; and </w:t>
      </w:r>
    </w:p>
    <w:p w14:paraId="3441E717" w14:textId="4E141F71" w:rsidR="00FF036D" w:rsidRPr="00810659" w:rsidRDefault="00047CED">
      <w:pPr>
        <w:rPr>
          <w:rFonts w:ascii="Arial" w:hAnsi="Arial" w:cs="Arial"/>
        </w:rPr>
      </w:pPr>
      <w:r w:rsidRPr="00810659">
        <w:rPr>
          <w:rFonts w:ascii="Arial" w:hAnsi="Arial" w:cs="Arial"/>
        </w:rPr>
        <w:t>b.</w:t>
      </w:r>
      <w:r w:rsidRPr="00810659">
        <w:rPr>
          <w:rFonts w:ascii="Arial" w:hAnsi="Arial" w:cs="Arial"/>
        </w:rPr>
        <w:tab/>
        <w:t>the competitiveness of the legal services market.</w:t>
      </w:r>
    </w:p>
    <w:p w14:paraId="181F21F8" w14:textId="66F269B0" w:rsidR="000B458A" w:rsidRPr="00810659" w:rsidRDefault="005B27A3" w:rsidP="005B27A3">
      <w:pPr>
        <w:pStyle w:val="EBNumber"/>
        <w:numPr>
          <w:ilvl w:val="0"/>
          <w:numId w:val="0"/>
        </w:numPr>
        <w:tabs>
          <w:tab w:val="clear" w:pos="567"/>
        </w:tabs>
        <w:rPr>
          <w:b/>
          <w:sz w:val="28"/>
        </w:rPr>
      </w:pPr>
      <w:r w:rsidRPr="00810659">
        <w:rPr>
          <w:b/>
          <w:sz w:val="28"/>
        </w:rPr>
        <w:t xml:space="preserve">2. </w:t>
      </w:r>
      <w:r w:rsidR="000B458A" w:rsidRPr="00810659">
        <w:rPr>
          <w:b/>
          <w:sz w:val="28"/>
        </w:rPr>
        <w:t>Policy objective</w:t>
      </w:r>
    </w:p>
    <w:p w14:paraId="7CCD61C5" w14:textId="23305450" w:rsidR="00CA6646" w:rsidRPr="00810659" w:rsidRDefault="00CA6646" w:rsidP="00513E4E">
      <w:pPr>
        <w:pStyle w:val="EBNumber"/>
        <w:numPr>
          <w:ilvl w:val="0"/>
          <w:numId w:val="0"/>
        </w:numPr>
        <w:tabs>
          <w:tab w:val="clear" w:pos="567"/>
        </w:tabs>
        <w:jc w:val="left"/>
      </w:pPr>
      <w:r w:rsidRPr="00810659">
        <w:t xml:space="preserve">2.1. The policy </w:t>
      </w:r>
      <w:r w:rsidR="002A33BF" w:rsidRPr="00810659">
        <w:t xml:space="preserve">proposal is </w:t>
      </w:r>
      <w:r w:rsidR="00402C3A" w:rsidRPr="00810659">
        <w:t>to</w:t>
      </w:r>
      <w:r w:rsidRPr="00810659">
        <w:t xml:space="preserve"> uplift selected court fees </w:t>
      </w:r>
      <w:r w:rsidR="08DDD7C7" w:rsidRPr="00810659">
        <w:t>by</w:t>
      </w:r>
      <w:r w:rsidRPr="00810659">
        <w:t xml:space="preserve"> inflation backdated to August 2016 (or the date of the last fee change if </w:t>
      </w:r>
      <w:r w:rsidR="00402C3A" w:rsidRPr="00810659">
        <w:t>more recent</w:t>
      </w:r>
      <w:r w:rsidRPr="00810659">
        <w:t xml:space="preserve">), and also to uplift the income thresholds in the Help with Fees means test </w:t>
      </w:r>
      <w:r w:rsidR="47A6D9C6" w:rsidRPr="00810659">
        <w:t>by</w:t>
      </w:r>
      <w:r w:rsidRPr="00810659">
        <w:t xml:space="preserve"> inflation, also backdated to August 2016. This policy, </w:t>
      </w:r>
      <w:r w:rsidRPr="00810659">
        <w:lastRenderedPageBreak/>
        <w:t>along with details o</w:t>
      </w:r>
      <w:r w:rsidR="0B62436D" w:rsidRPr="00810659">
        <w:t>f</w:t>
      </w:r>
      <w:r w:rsidRPr="00810659">
        <w:t xml:space="preserve"> the</w:t>
      </w:r>
      <w:r w:rsidR="1B91E9A4" w:rsidRPr="00810659">
        <w:t xml:space="preserve"> specific</w:t>
      </w:r>
      <w:r w:rsidRPr="00810659">
        <w:t xml:space="preserve"> fee changes, is described in the </w:t>
      </w:r>
      <w:r w:rsidRPr="00810659">
        <w:rPr>
          <w:color w:val="000000" w:themeColor="text1"/>
        </w:rPr>
        <w:t>consultation document</w:t>
      </w:r>
      <w:r w:rsidR="00513E4E" w:rsidRPr="00810659">
        <w:rPr>
          <w:color w:val="000000" w:themeColor="text1"/>
        </w:rPr>
        <w:t xml:space="preserve"> Proposal for reform: Increasing selected court fees and Help with Fees income thresholds by inflation. Available at https://consult.justice.gov.uk/digital-communications/increasing-selected-court-fees-income-thresholds</w:t>
      </w:r>
      <w:r w:rsidRPr="00810659">
        <w:rPr>
          <w:color w:val="000000" w:themeColor="text1"/>
        </w:rPr>
        <w:t>.</w:t>
      </w:r>
    </w:p>
    <w:p w14:paraId="2DD4D9EA" w14:textId="6E9AAC7F" w:rsidR="003639D1" w:rsidRPr="00810659" w:rsidRDefault="00011EAC">
      <w:pPr>
        <w:rPr>
          <w:rFonts w:ascii="Arial" w:hAnsi="Arial" w:cs="Arial"/>
        </w:rPr>
      </w:pPr>
      <w:r w:rsidRPr="00810659">
        <w:rPr>
          <w:rFonts w:ascii="Arial" w:hAnsi="Arial" w:cs="Arial"/>
        </w:rPr>
        <w:t>2.</w:t>
      </w:r>
      <w:r w:rsidR="00CA6646" w:rsidRPr="00810659">
        <w:rPr>
          <w:rFonts w:ascii="Arial" w:hAnsi="Arial" w:cs="Arial"/>
        </w:rPr>
        <w:t>2</w:t>
      </w:r>
      <w:r w:rsidRPr="00810659">
        <w:rPr>
          <w:rFonts w:ascii="Arial" w:hAnsi="Arial" w:cs="Arial"/>
        </w:rPr>
        <w:t xml:space="preserve">. </w:t>
      </w:r>
      <w:r w:rsidR="00406A4F" w:rsidRPr="00810659">
        <w:rPr>
          <w:rFonts w:ascii="Arial" w:hAnsi="Arial" w:cs="Arial"/>
        </w:rPr>
        <w:t xml:space="preserve">The following table outlines each jurisdiction and the number of fees that will be </w:t>
      </w:r>
      <w:r w:rsidR="00E37B61" w:rsidRPr="00810659">
        <w:rPr>
          <w:rFonts w:ascii="Arial" w:hAnsi="Arial" w:cs="Arial"/>
        </w:rPr>
        <w:t>inflated:</w:t>
      </w:r>
    </w:p>
    <w:p w14:paraId="6A4D2895" w14:textId="30B5E616" w:rsidR="00D15924" w:rsidRPr="00810659" w:rsidRDefault="00D15924">
      <w:pPr>
        <w:rPr>
          <w:rFonts w:ascii="Arial" w:hAnsi="Arial" w:cs="Arial"/>
          <w:b/>
        </w:rPr>
      </w:pPr>
      <w:r w:rsidRPr="00810659">
        <w:rPr>
          <w:rFonts w:ascii="Arial" w:hAnsi="Arial" w:cs="Arial"/>
          <w:b/>
        </w:rPr>
        <w:t xml:space="preserve">Table 1: Jurisdictions and number of fees affected. </w:t>
      </w:r>
    </w:p>
    <w:tbl>
      <w:tblPr>
        <w:tblStyle w:val="TableGrid"/>
        <w:tblW w:w="0" w:type="auto"/>
        <w:tblLook w:val="04A0" w:firstRow="1" w:lastRow="0" w:firstColumn="1" w:lastColumn="0" w:noHBand="0" w:noVBand="1"/>
      </w:tblPr>
      <w:tblGrid>
        <w:gridCol w:w="4508"/>
        <w:gridCol w:w="4508"/>
      </w:tblGrid>
      <w:tr w:rsidR="00300E37" w:rsidRPr="00810659" w14:paraId="54D0301E" w14:textId="77777777" w:rsidTr="441740B4">
        <w:tc>
          <w:tcPr>
            <w:tcW w:w="4508" w:type="dxa"/>
          </w:tcPr>
          <w:p w14:paraId="59B8AC11" w14:textId="77777777" w:rsidR="00300E37" w:rsidRPr="00810659" w:rsidRDefault="00E37B61">
            <w:pPr>
              <w:rPr>
                <w:rFonts w:ascii="Arial" w:hAnsi="Arial" w:cs="Arial"/>
                <w:b/>
              </w:rPr>
            </w:pPr>
            <w:r w:rsidRPr="00810659">
              <w:rPr>
                <w:rFonts w:ascii="Arial" w:hAnsi="Arial" w:cs="Arial"/>
                <w:b/>
              </w:rPr>
              <w:t>Jurisdiction</w:t>
            </w:r>
          </w:p>
        </w:tc>
        <w:tc>
          <w:tcPr>
            <w:tcW w:w="4508" w:type="dxa"/>
          </w:tcPr>
          <w:p w14:paraId="1CADDBA6" w14:textId="77777777" w:rsidR="00300E37" w:rsidRPr="00810659" w:rsidRDefault="00E37B61">
            <w:pPr>
              <w:rPr>
                <w:rFonts w:ascii="Arial" w:hAnsi="Arial" w:cs="Arial"/>
                <w:b/>
              </w:rPr>
            </w:pPr>
            <w:r w:rsidRPr="00810659">
              <w:rPr>
                <w:rFonts w:ascii="Arial" w:hAnsi="Arial" w:cs="Arial"/>
                <w:b/>
              </w:rPr>
              <w:t>Number of fees affected</w:t>
            </w:r>
          </w:p>
        </w:tc>
      </w:tr>
      <w:tr w:rsidR="00C63363" w:rsidRPr="00810659" w14:paraId="6F51ED99" w14:textId="77777777" w:rsidTr="00E54AA3">
        <w:tc>
          <w:tcPr>
            <w:tcW w:w="4508" w:type="dxa"/>
            <w:vAlign w:val="bottom"/>
          </w:tcPr>
          <w:p w14:paraId="51D2CD4F" w14:textId="128B3F99" w:rsidR="00C63363" w:rsidRPr="00810659" w:rsidRDefault="00C63363" w:rsidP="00C63363">
            <w:pPr>
              <w:rPr>
                <w:rFonts w:ascii="Arial" w:hAnsi="Arial" w:cs="Arial"/>
              </w:rPr>
            </w:pPr>
            <w:r w:rsidRPr="00810659">
              <w:rPr>
                <w:rStyle w:val="normaltextrun1"/>
                <w:rFonts w:ascii="Arial" w:hAnsi="Arial" w:cs="Arial"/>
                <w:color w:val="000000"/>
              </w:rPr>
              <w:t>Magistrates’ Courts Fees Order 2008 No 1052</w:t>
            </w:r>
            <w:r w:rsidRPr="00810659">
              <w:rPr>
                <w:rStyle w:val="eop"/>
                <w:rFonts w:ascii="Arial" w:hAnsi="Arial" w:cs="Arial"/>
                <w:color w:val="000000"/>
              </w:rPr>
              <w:t> </w:t>
            </w:r>
          </w:p>
        </w:tc>
        <w:tc>
          <w:tcPr>
            <w:tcW w:w="4508" w:type="dxa"/>
          </w:tcPr>
          <w:p w14:paraId="1F1B2472" w14:textId="6FC42167" w:rsidR="00C63363" w:rsidRPr="00810659" w:rsidRDefault="00C63363" w:rsidP="00C63363">
            <w:pPr>
              <w:rPr>
                <w:rFonts w:ascii="Arial" w:hAnsi="Arial" w:cs="Arial"/>
              </w:rPr>
            </w:pPr>
            <w:r w:rsidRPr="00810659">
              <w:rPr>
                <w:rFonts w:ascii="Arial" w:hAnsi="Arial" w:cs="Arial"/>
              </w:rPr>
              <w:t>67</w:t>
            </w:r>
          </w:p>
        </w:tc>
      </w:tr>
      <w:tr w:rsidR="00C63363" w:rsidRPr="00810659" w14:paraId="2F3A7D21" w14:textId="77777777" w:rsidTr="00E54AA3">
        <w:tc>
          <w:tcPr>
            <w:tcW w:w="4508" w:type="dxa"/>
            <w:vAlign w:val="bottom"/>
          </w:tcPr>
          <w:p w14:paraId="79D45637" w14:textId="5B7025C6" w:rsidR="00C63363" w:rsidRPr="00810659" w:rsidRDefault="00C63363" w:rsidP="00C63363">
            <w:pPr>
              <w:rPr>
                <w:rFonts w:ascii="Arial" w:hAnsi="Arial" w:cs="Arial"/>
              </w:rPr>
            </w:pPr>
            <w:r w:rsidRPr="00810659">
              <w:rPr>
                <w:rStyle w:val="normaltextrun1"/>
                <w:rFonts w:ascii="Arial" w:hAnsi="Arial" w:cs="Arial"/>
                <w:color w:val="000000"/>
              </w:rPr>
              <w:t>Court of Protection Fees Order 2007 No 1745</w:t>
            </w:r>
            <w:r w:rsidRPr="00810659">
              <w:rPr>
                <w:rStyle w:val="eop"/>
                <w:rFonts w:ascii="Arial" w:hAnsi="Arial" w:cs="Arial"/>
                <w:color w:val="000000"/>
              </w:rPr>
              <w:t> </w:t>
            </w:r>
          </w:p>
        </w:tc>
        <w:tc>
          <w:tcPr>
            <w:tcW w:w="4508" w:type="dxa"/>
          </w:tcPr>
          <w:p w14:paraId="61FC8300" w14:textId="2B78737F" w:rsidR="00C63363" w:rsidRPr="00810659" w:rsidRDefault="00C63363" w:rsidP="00C63363">
            <w:pPr>
              <w:rPr>
                <w:rFonts w:ascii="Arial" w:hAnsi="Arial" w:cs="Arial"/>
              </w:rPr>
            </w:pPr>
            <w:r w:rsidRPr="00810659">
              <w:rPr>
                <w:rFonts w:ascii="Arial" w:hAnsi="Arial" w:cs="Arial"/>
              </w:rPr>
              <w:t>43</w:t>
            </w:r>
          </w:p>
        </w:tc>
      </w:tr>
      <w:tr w:rsidR="00C63363" w:rsidRPr="00810659" w14:paraId="0E3F058F" w14:textId="77777777" w:rsidTr="00E54AA3">
        <w:tc>
          <w:tcPr>
            <w:tcW w:w="4508" w:type="dxa"/>
            <w:vAlign w:val="bottom"/>
          </w:tcPr>
          <w:p w14:paraId="1B5ABE86" w14:textId="04AC94B8" w:rsidR="00C63363" w:rsidRPr="00810659" w:rsidRDefault="00C63363" w:rsidP="00C63363">
            <w:pPr>
              <w:rPr>
                <w:rFonts w:ascii="Arial" w:hAnsi="Arial" w:cs="Arial"/>
              </w:rPr>
            </w:pPr>
            <w:r w:rsidRPr="00810659">
              <w:rPr>
                <w:rStyle w:val="normaltextrun1"/>
                <w:rFonts w:ascii="Arial" w:hAnsi="Arial" w:cs="Arial"/>
                <w:color w:val="000000"/>
              </w:rPr>
              <w:t>Magistrates’ Courts Fees Order 2008 No 1052</w:t>
            </w:r>
            <w:r w:rsidRPr="00810659">
              <w:rPr>
                <w:rStyle w:val="eop"/>
                <w:rFonts w:ascii="Arial" w:hAnsi="Arial" w:cs="Arial"/>
                <w:color w:val="000000"/>
              </w:rPr>
              <w:t> </w:t>
            </w:r>
          </w:p>
        </w:tc>
        <w:tc>
          <w:tcPr>
            <w:tcW w:w="4508" w:type="dxa"/>
          </w:tcPr>
          <w:p w14:paraId="79FDE444" w14:textId="1A2C2CEB" w:rsidR="00C63363" w:rsidRPr="00810659" w:rsidRDefault="000B0DCF" w:rsidP="00C63363">
            <w:pPr>
              <w:rPr>
                <w:rFonts w:ascii="Arial" w:hAnsi="Arial" w:cs="Arial"/>
              </w:rPr>
            </w:pPr>
            <w:r w:rsidRPr="00810659">
              <w:rPr>
                <w:rFonts w:ascii="Arial" w:hAnsi="Arial" w:cs="Arial"/>
              </w:rPr>
              <w:t>17</w:t>
            </w:r>
          </w:p>
          <w:p w14:paraId="034BCE89" w14:textId="256049DA" w:rsidR="000E4312" w:rsidRPr="00810659" w:rsidRDefault="000E4312" w:rsidP="00C63363">
            <w:pPr>
              <w:rPr>
                <w:rFonts w:ascii="Arial" w:hAnsi="Arial" w:cs="Arial"/>
              </w:rPr>
            </w:pPr>
          </w:p>
        </w:tc>
      </w:tr>
      <w:tr w:rsidR="00C63363" w:rsidRPr="00810659" w14:paraId="0EC06280" w14:textId="77777777" w:rsidTr="00E54AA3">
        <w:tc>
          <w:tcPr>
            <w:tcW w:w="4508" w:type="dxa"/>
            <w:vAlign w:val="bottom"/>
          </w:tcPr>
          <w:p w14:paraId="22C503BD" w14:textId="02237BE8" w:rsidR="00C63363" w:rsidRPr="00810659" w:rsidRDefault="00C63363" w:rsidP="00C63363">
            <w:pPr>
              <w:rPr>
                <w:rFonts w:ascii="Arial" w:hAnsi="Arial" w:cs="Arial"/>
              </w:rPr>
            </w:pPr>
            <w:r w:rsidRPr="00810659">
              <w:rPr>
                <w:rStyle w:val="normaltextrun1"/>
                <w:rFonts w:ascii="Arial" w:hAnsi="Arial" w:cs="Arial"/>
                <w:color w:val="000000"/>
              </w:rPr>
              <w:t>Court of Protection Fees Order 2007 No 1745</w:t>
            </w:r>
            <w:r w:rsidRPr="00810659">
              <w:rPr>
                <w:rStyle w:val="eop"/>
                <w:rFonts w:ascii="Arial" w:hAnsi="Arial" w:cs="Arial"/>
                <w:color w:val="000000"/>
              </w:rPr>
              <w:t> </w:t>
            </w:r>
          </w:p>
        </w:tc>
        <w:tc>
          <w:tcPr>
            <w:tcW w:w="4508" w:type="dxa"/>
          </w:tcPr>
          <w:p w14:paraId="7B2D2A65" w14:textId="3C0F2E57" w:rsidR="00C63363" w:rsidRPr="00810659" w:rsidRDefault="00C63363" w:rsidP="00C63363">
            <w:pPr>
              <w:rPr>
                <w:rFonts w:ascii="Arial" w:hAnsi="Arial" w:cs="Arial"/>
              </w:rPr>
            </w:pPr>
            <w:r w:rsidRPr="00810659">
              <w:rPr>
                <w:rFonts w:ascii="Arial" w:hAnsi="Arial" w:cs="Arial"/>
              </w:rPr>
              <w:t>3</w:t>
            </w:r>
          </w:p>
        </w:tc>
      </w:tr>
    </w:tbl>
    <w:p w14:paraId="2A55D6D2" w14:textId="79AEC785" w:rsidR="00CE49EA" w:rsidRPr="00810659" w:rsidRDefault="00CE49EA">
      <w:pPr>
        <w:rPr>
          <w:rFonts w:ascii="Arial" w:hAnsi="Arial" w:cs="Arial"/>
        </w:rPr>
      </w:pPr>
    </w:p>
    <w:p w14:paraId="1EDC5236" w14:textId="2BC3E5E0" w:rsidR="008307FF" w:rsidRPr="00810659" w:rsidRDefault="00011EAC" w:rsidP="004B42B0">
      <w:pPr>
        <w:rPr>
          <w:rFonts w:ascii="Arial" w:hAnsi="Arial" w:cs="Arial"/>
        </w:rPr>
      </w:pPr>
      <w:r w:rsidRPr="00810659">
        <w:rPr>
          <w:rFonts w:ascii="Arial" w:hAnsi="Arial" w:cs="Arial"/>
        </w:rPr>
        <w:t>2.</w:t>
      </w:r>
      <w:r w:rsidR="00CA6646" w:rsidRPr="00810659">
        <w:rPr>
          <w:rFonts w:ascii="Arial" w:hAnsi="Arial" w:cs="Arial"/>
        </w:rPr>
        <w:t>3</w:t>
      </w:r>
      <w:r w:rsidRPr="00810659">
        <w:rPr>
          <w:rFonts w:ascii="Arial" w:hAnsi="Arial" w:cs="Arial"/>
        </w:rPr>
        <w:t xml:space="preserve">. </w:t>
      </w:r>
      <w:r w:rsidR="004F46FC" w:rsidRPr="00810659">
        <w:rPr>
          <w:rFonts w:ascii="Arial" w:hAnsi="Arial" w:cs="Arial"/>
        </w:rPr>
        <w:t>The objective of the polic</w:t>
      </w:r>
      <w:r w:rsidR="00886D21" w:rsidRPr="00810659">
        <w:rPr>
          <w:rFonts w:ascii="Arial" w:hAnsi="Arial" w:cs="Arial"/>
        </w:rPr>
        <w:t>y</w:t>
      </w:r>
      <w:r w:rsidR="004F46FC" w:rsidRPr="00810659">
        <w:rPr>
          <w:rFonts w:ascii="Arial" w:hAnsi="Arial" w:cs="Arial"/>
        </w:rPr>
        <w:t xml:space="preserve"> </w:t>
      </w:r>
      <w:r w:rsidR="005922F3" w:rsidRPr="00810659">
        <w:rPr>
          <w:rFonts w:ascii="Arial" w:hAnsi="Arial" w:cs="Arial"/>
        </w:rPr>
        <w:t xml:space="preserve">is </w:t>
      </w:r>
      <w:r w:rsidR="008307FF" w:rsidRPr="00810659">
        <w:rPr>
          <w:rFonts w:ascii="Arial" w:hAnsi="Arial" w:cs="Arial"/>
        </w:rPr>
        <w:t>to</w:t>
      </w:r>
      <w:r w:rsidR="00D93F80" w:rsidRPr="00810659">
        <w:rPr>
          <w:rFonts w:ascii="Arial" w:hAnsi="Arial" w:cs="Arial"/>
        </w:rPr>
        <w:t xml:space="preserve"> </w:t>
      </w:r>
      <w:r w:rsidR="001C2DCA" w:rsidRPr="00810659">
        <w:rPr>
          <w:rFonts w:ascii="Arial" w:hAnsi="Arial" w:cs="Arial"/>
        </w:rPr>
        <w:t>protect access to justice</w:t>
      </w:r>
      <w:r w:rsidR="003D5500" w:rsidRPr="00810659">
        <w:rPr>
          <w:rFonts w:ascii="Arial" w:hAnsi="Arial" w:cs="Arial"/>
        </w:rPr>
        <w:t xml:space="preserve"> by</w:t>
      </w:r>
      <w:r w:rsidR="007A735F" w:rsidRPr="00810659">
        <w:rPr>
          <w:rFonts w:ascii="Arial" w:hAnsi="Arial" w:cs="Arial"/>
        </w:rPr>
        <w:t xml:space="preserve"> e</w:t>
      </w:r>
      <w:r w:rsidR="004F46FC" w:rsidRPr="00810659">
        <w:rPr>
          <w:rFonts w:ascii="Arial" w:hAnsi="Arial" w:cs="Arial"/>
        </w:rPr>
        <w:t>nsur</w:t>
      </w:r>
      <w:r w:rsidR="007A735F" w:rsidRPr="00810659">
        <w:rPr>
          <w:rFonts w:ascii="Arial" w:hAnsi="Arial" w:cs="Arial"/>
        </w:rPr>
        <w:t>ing</w:t>
      </w:r>
      <w:r w:rsidR="004F46FC" w:rsidRPr="00810659">
        <w:rPr>
          <w:rFonts w:ascii="Arial" w:hAnsi="Arial" w:cs="Arial"/>
        </w:rPr>
        <w:t xml:space="preserve"> that HMCTS is adequately resourced</w:t>
      </w:r>
      <w:r w:rsidR="005922F3" w:rsidRPr="00810659">
        <w:rPr>
          <w:rFonts w:ascii="Arial" w:hAnsi="Arial" w:cs="Arial"/>
        </w:rPr>
        <w:t>, reducing</w:t>
      </w:r>
      <w:r w:rsidR="00620066" w:rsidRPr="00810659">
        <w:rPr>
          <w:rFonts w:ascii="Arial" w:hAnsi="Arial" w:cs="Arial"/>
        </w:rPr>
        <w:t xml:space="preserve"> </w:t>
      </w:r>
      <w:r w:rsidR="00CE3653" w:rsidRPr="00810659">
        <w:rPr>
          <w:rFonts w:ascii="Arial" w:hAnsi="Arial" w:cs="Arial"/>
        </w:rPr>
        <w:t xml:space="preserve">the overall </w:t>
      </w:r>
      <w:r w:rsidR="00620066" w:rsidRPr="00810659">
        <w:rPr>
          <w:rFonts w:ascii="Arial" w:hAnsi="Arial" w:cs="Arial"/>
        </w:rPr>
        <w:t>cost to the taxpayer</w:t>
      </w:r>
      <w:r w:rsidR="4C5E957E" w:rsidRPr="00810659">
        <w:rPr>
          <w:rFonts w:ascii="Arial" w:hAnsi="Arial" w:cs="Arial"/>
        </w:rPr>
        <w:t>; while maintaining people’s ability to access the courts.</w:t>
      </w:r>
    </w:p>
    <w:p w14:paraId="4C8E54B6" w14:textId="3834386F" w:rsidR="001A3439" w:rsidRPr="00810659" w:rsidRDefault="00011EAC" w:rsidP="00620066">
      <w:pPr>
        <w:rPr>
          <w:rFonts w:ascii="Arial" w:hAnsi="Arial" w:cs="Arial"/>
        </w:rPr>
      </w:pPr>
      <w:r w:rsidRPr="00810659">
        <w:rPr>
          <w:rFonts w:ascii="Arial" w:hAnsi="Arial" w:cs="Arial"/>
        </w:rPr>
        <w:t>2.</w:t>
      </w:r>
      <w:r w:rsidR="00D664EF" w:rsidRPr="00810659">
        <w:rPr>
          <w:rFonts w:ascii="Arial" w:hAnsi="Arial" w:cs="Arial"/>
        </w:rPr>
        <w:t>4</w:t>
      </w:r>
      <w:r w:rsidRPr="00810659">
        <w:rPr>
          <w:rFonts w:ascii="Arial" w:hAnsi="Arial" w:cs="Arial"/>
        </w:rPr>
        <w:t>.</w:t>
      </w:r>
      <w:r w:rsidR="004C6710" w:rsidRPr="00810659">
        <w:rPr>
          <w:rFonts w:ascii="Arial" w:hAnsi="Arial" w:cs="Arial"/>
        </w:rPr>
        <w:t xml:space="preserve"> </w:t>
      </w:r>
      <w:r w:rsidR="35B7A70A" w:rsidRPr="00810659">
        <w:rPr>
          <w:rFonts w:ascii="Arial" w:hAnsi="Arial" w:cs="Arial"/>
        </w:rPr>
        <w:t>A</w:t>
      </w:r>
      <w:r w:rsidR="004C6710" w:rsidRPr="00810659">
        <w:rPr>
          <w:rFonts w:ascii="Arial" w:hAnsi="Arial" w:cs="Arial"/>
        </w:rPr>
        <w:t xml:space="preserve">s part of the Lord Chancellor’s duty to protect access to justice, a fee remission </w:t>
      </w:r>
      <w:r w:rsidR="00135E14" w:rsidRPr="00810659">
        <w:rPr>
          <w:rFonts w:ascii="Arial" w:hAnsi="Arial" w:cs="Arial"/>
        </w:rPr>
        <w:t xml:space="preserve">scheme </w:t>
      </w:r>
      <w:r w:rsidR="4B8D9DE2" w:rsidRPr="00810659">
        <w:rPr>
          <w:rFonts w:ascii="Arial" w:hAnsi="Arial" w:cs="Arial"/>
        </w:rPr>
        <w:t>called</w:t>
      </w:r>
      <w:r w:rsidR="090EDD76" w:rsidRPr="00810659">
        <w:rPr>
          <w:rFonts w:ascii="Arial" w:hAnsi="Arial" w:cs="Arial"/>
        </w:rPr>
        <w:t xml:space="preserve"> </w:t>
      </w:r>
      <w:r w:rsidR="004C6710" w:rsidRPr="00810659">
        <w:rPr>
          <w:rFonts w:ascii="Arial" w:hAnsi="Arial" w:cs="Arial"/>
        </w:rPr>
        <w:t>‘Help with Fees’ (</w:t>
      </w:r>
      <w:proofErr w:type="spellStart"/>
      <w:r w:rsidR="004C6710" w:rsidRPr="00810659">
        <w:rPr>
          <w:rFonts w:ascii="Arial" w:hAnsi="Arial" w:cs="Arial"/>
        </w:rPr>
        <w:t>HwF</w:t>
      </w:r>
      <w:proofErr w:type="spellEnd"/>
      <w:r w:rsidR="004C6710" w:rsidRPr="00810659">
        <w:rPr>
          <w:rFonts w:ascii="Arial" w:hAnsi="Arial" w:cs="Arial"/>
        </w:rPr>
        <w:t>)</w:t>
      </w:r>
      <w:r w:rsidR="0115E5D2" w:rsidRPr="00810659">
        <w:rPr>
          <w:rFonts w:ascii="Arial" w:hAnsi="Arial" w:cs="Arial"/>
        </w:rPr>
        <w:t xml:space="preserve"> operates</w:t>
      </w:r>
      <w:r w:rsidR="001A3439" w:rsidRPr="00810659">
        <w:rPr>
          <w:rFonts w:ascii="Arial" w:hAnsi="Arial" w:cs="Arial"/>
        </w:rPr>
        <w:t>.</w:t>
      </w:r>
      <w:r w:rsidR="005B2468" w:rsidRPr="00810659">
        <w:rPr>
          <w:rFonts w:ascii="Arial" w:hAnsi="Arial" w:cs="Arial"/>
        </w:rPr>
        <w:t xml:space="preserve"> To ensure that access to justice is maintained for those on the lowest incomes,</w:t>
      </w:r>
      <w:r w:rsidR="001A3439" w:rsidRPr="00810659">
        <w:rPr>
          <w:rFonts w:ascii="Arial" w:hAnsi="Arial" w:cs="Arial"/>
        </w:rPr>
        <w:t xml:space="preserve"> </w:t>
      </w:r>
      <w:r w:rsidR="005B2468" w:rsidRPr="00810659">
        <w:rPr>
          <w:rFonts w:ascii="Arial" w:hAnsi="Arial" w:cs="Arial"/>
        </w:rPr>
        <w:t>i</w:t>
      </w:r>
      <w:r w:rsidR="001A3439" w:rsidRPr="00810659">
        <w:rPr>
          <w:rFonts w:ascii="Arial" w:hAnsi="Arial" w:cs="Arial"/>
        </w:rPr>
        <w:t>t is also proposed that</w:t>
      </w:r>
      <w:r w:rsidR="0F7573DA" w:rsidRPr="00810659">
        <w:rPr>
          <w:rFonts w:ascii="Arial" w:hAnsi="Arial" w:cs="Arial"/>
        </w:rPr>
        <w:t>, at the same time the inflationary increases to fees are implemented,</w:t>
      </w:r>
      <w:r w:rsidR="001A3439" w:rsidRPr="00810659">
        <w:rPr>
          <w:rFonts w:ascii="Arial" w:hAnsi="Arial" w:cs="Arial"/>
        </w:rPr>
        <w:t xml:space="preserve"> </w:t>
      </w:r>
      <w:proofErr w:type="spellStart"/>
      <w:r w:rsidR="00AC1CC6" w:rsidRPr="00810659">
        <w:rPr>
          <w:rFonts w:ascii="Arial" w:hAnsi="Arial" w:cs="Arial"/>
        </w:rPr>
        <w:t>HwF</w:t>
      </w:r>
      <w:proofErr w:type="spellEnd"/>
      <w:r w:rsidR="00AC1CC6" w:rsidRPr="00810659">
        <w:rPr>
          <w:rFonts w:ascii="Arial" w:hAnsi="Arial" w:cs="Arial"/>
        </w:rPr>
        <w:t xml:space="preserve"> income thresholds </w:t>
      </w:r>
      <w:r w:rsidR="6AB4B605" w:rsidRPr="00810659">
        <w:rPr>
          <w:rFonts w:ascii="Arial" w:hAnsi="Arial" w:cs="Arial"/>
        </w:rPr>
        <w:t xml:space="preserve">will </w:t>
      </w:r>
      <w:r w:rsidR="00AC1CC6" w:rsidRPr="00810659">
        <w:rPr>
          <w:rFonts w:ascii="Arial" w:hAnsi="Arial" w:cs="Arial"/>
        </w:rPr>
        <w:t>be uplifted in line with CPIH inflation, backdated to August 2016 through to the start of the 2021/22 financial year</w:t>
      </w:r>
      <w:r w:rsidR="001A3439" w:rsidRPr="00810659">
        <w:rPr>
          <w:rFonts w:ascii="Arial" w:hAnsi="Arial" w:cs="Arial"/>
        </w:rPr>
        <w:t xml:space="preserve"> The current and proposed thresholds are given in Table </w:t>
      </w:r>
      <w:r w:rsidR="00643556" w:rsidRPr="00810659">
        <w:rPr>
          <w:rFonts w:ascii="Arial" w:hAnsi="Arial" w:cs="Arial"/>
        </w:rPr>
        <w:t>2</w:t>
      </w:r>
      <w:r w:rsidR="001A3439" w:rsidRPr="00810659">
        <w:rPr>
          <w:rFonts w:ascii="Arial" w:hAnsi="Arial" w:cs="Arial"/>
        </w:rPr>
        <w:t xml:space="preserve"> below. </w:t>
      </w:r>
    </w:p>
    <w:p w14:paraId="16FF00F9" w14:textId="40255064" w:rsidR="00781C52" w:rsidRPr="00810659" w:rsidRDefault="00011EAC" w:rsidP="00810659">
      <w:pPr>
        <w:spacing w:before="240"/>
        <w:rPr>
          <w:rFonts w:ascii="Arial" w:hAnsi="Arial" w:cs="Arial"/>
        </w:rPr>
      </w:pPr>
      <w:r w:rsidRPr="00810659">
        <w:rPr>
          <w:rFonts w:ascii="Arial" w:hAnsi="Arial" w:cs="Arial"/>
        </w:rPr>
        <w:t>2.</w:t>
      </w:r>
      <w:r w:rsidR="007054E0" w:rsidRPr="00810659">
        <w:rPr>
          <w:rFonts w:ascii="Arial" w:hAnsi="Arial" w:cs="Arial"/>
        </w:rPr>
        <w:t>5</w:t>
      </w:r>
      <w:r w:rsidRPr="00810659">
        <w:rPr>
          <w:rFonts w:ascii="Arial" w:hAnsi="Arial" w:cs="Arial"/>
        </w:rPr>
        <w:t xml:space="preserve">. </w:t>
      </w:r>
      <w:r w:rsidR="00781C52" w:rsidRPr="00810659">
        <w:rPr>
          <w:rFonts w:ascii="Arial" w:hAnsi="Arial" w:cs="Arial"/>
        </w:rPr>
        <w:t xml:space="preserve">No changes are proposed to the </w:t>
      </w:r>
      <w:proofErr w:type="spellStart"/>
      <w:r w:rsidR="63EA5491" w:rsidRPr="00810659">
        <w:rPr>
          <w:rFonts w:ascii="Arial" w:hAnsi="Arial" w:cs="Arial"/>
        </w:rPr>
        <w:t>HwF</w:t>
      </w:r>
      <w:proofErr w:type="spellEnd"/>
      <w:r w:rsidR="63EA5491" w:rsidRPr="00810659">
        <w:rPr>
          <w:rFonts w:ascii="Arial" w:hAnsi="Arial" w:cs="Arial"/>
        </w:rPr>
        <w:t xml:space="preserve"> </w:t>
      </w:r>
      <w:r w:rsidR="00781C52" w:rsidRPr="00810659">
        <w:rPr>
          <w:rFonts w:ascii="Arial" w:hAnsi="Arial" w:cs="Arial"/>
        </w:rPr>
        <w:t>capital thresholds</w:t>
      </w:r>
      <w:r w:rsidR="00404771" w:rsidRPr="00810659">
        <w:rPr>
          <w:rFonts w:ascii="Arial" w:hAnsi="Arial" w:cs="Arial"/>
        </w:rPr>
        <w:t xml:space="preserve"> (</w:t>
      </w:r>
      <w:r w:rsidR="0022206A" w:rsidRPr="00810659">
        <w:rPr>
          <w:rFonts w:ascii="Arial" w:hAnsi="Arial" w:cs="Arial"/>
        </w:rPr>
        <w:t xml:space="preserve">the upper limit of savings an individual can </w:t>
      </w:r>
      <w:r w:rsidR="005734F5" w:rsidRPr="00810659">
        <w:rPr>
          <w:rFonts w:ascii="Arial" w:hAnsi="Arial" w:cs="Arial"/>
        </w:rPr>
        <w:t>have</w:t>
      </w:r>
      <w:r w:rsidR="0022206A" w:rsidRPr="00810659">
        <w:rPr>
          <w:rFonts w:ascii="Arial" w:hAnsi="Arial" w:cs="Arial"/>
        </w:rPr>
        <w:t xml:space="preserve"> to qualify for </w:t>
      </w:r>
      <w:proofErr w:type="spellStart"/>
      <w:r w:rsidR="0022206A" w:rsidRPr="00810659">
        <w:rPr>
          <w:rFonts w:ascii="Arial" w:hAnsi="Arial" w:cs="Arial"/>
        </w:rPr>
        <w:t>HwF</w:t>
      </w:r>
      <w:proofErr w:type="spellEnd"/>
      <w:r w:rsidR="00404771" w:rsidRPr="00810659">
        <w:rPr>
          <w:rFonts w:ascii="Arial" w:hAnsi="Arial" w:cs="Arial"/>
        </w:rPr>
        <w:t>)</w:t>
      </w:r>
      <w:r w:rsidR="00781C52" w:rsidRPr="00810659">
        <w:rPr>
          <w:rFonts w:ascii="Arial" w:hAnsi="Arial" w:cs="Arial"/>
        </w:rPr>
        <w:t xml:space="preserve"> or the passporting arrangements</w:t>
      </w:r>
      <w:r w:rsidR="00413DFB" w:rsidRPr="00810659">
        <w:rPr>
          <w:rFonts w:ascii="Arial" w:hAnsi="Arial" w:cs="Arial"/>
          <w:color w:val="0B0C0C"/>
        </w:rPr>
        <w:t xml:space="preserve"> </w:t>
      </w:r>
      <w:r w:rsidR="0022206A" w:rsidRPr="00810659">
        <w:rPr>
          <w:rFonts w:ascii="Arial" w:hAnsi="Arial" w:cs="Arial"/>
          <w:color w:val="0B0C0C"/>
        </w:rPr>
        <w:t>(</w:t>
      </w:r>
      <w:r w:rsidR="00413DFB" w:rsidRPr="00810659">
        <w:rPr>
          <w:rFonts w:ascii="Arial" w:hAnsi="Arial" w:cs="Arial"/>
          <w:color w:val="0B0C0C"/>
        </w:rPr>
        <w:t>if</w:t>
      </w:r>
      <w:r w:rsidR="002B40C8" w:rsidRPr="00810659">
        <w:rPr>
          <w:rFonts w:ascii="Arial" w:hAnsi="Arial" w:cs="Arial"/>
          <w:color w:val="0B0C0C"/>
        </w:rPr>
        <w:t xml:space="preserve"> an applicant </w:t>
      </w:r>
      <w:r w:rsidR="2F66956B" w:rsidRPr="00810659">
        <w:rPr>
          <w:rFonts w:ascii="Arial" w:hAnsi="Arial" w:cs="Arial"/>
          <w:color w:val="0B0C0C"/>
        </w:rPr>
        <w:t>receives certain benefits</w:t>
      </w:r>
      <w:r w:rsidR="002B40C8" w:rsidRPr="00810659">
        <w:rPr>
          <w:rFonts w:ascii="Arial" w:hAnsi="Arial" w:cs="Arial"/>
          <w:color w:val="0B0C0C"/>
        </w:rPr>
        <w:t xml:space="preserve">, </w:t>
      </w:r>
      <w:r w:rsidR="2F66956B" w:rsidRPr="00810659">
        <w:rPr>
          <w:rFonts w:ascii="Arial" w:hAnsi="Arial" w:cs="Arial"/>
          <w:color w:val="0B0C0C"/>
        </w:rPr>
        <w:t xml:space="preserve">they automatically qualify </w:t>
      </w:r>
      <w:r w:rsidR="002B40C8" w:rsidRPr="00810659">
        <w:rPr>
          <w:rFonts w:ascii="Arial" w:hAnsi="Arial" w:cs="Arial"/>
          <w:color w:val="0B0C0C"/>
        </w:rPr>
        <w:t>under the income test</w:t>
      </w:r>
      <w:r w:rsidR="0022206A" w:rsidRPr="00810659">
        <w:rPr>
          <w:rFonts w:ascii="Arial" w:hAnsi="Arial" w:cs="Arial"/>
          <w:color w:val="0B0C0C"/>
        </w:rPr>
        <w:t>).</w:t>
      </w:r>
    </w:p>
    <w:p w14:paraId="4FD51D1C" w14:textId="5F860B57" w:rsidR="00781C52" w:rsidRPr="00810659" w:rsidRDefault="00781C52" w:rsidP="00781C52">
      <w:pPr>
        <w:pStyle w:val="EBNumber"/>
        <w:numPr>
          <w:ilvl w:val="0"/>
          <w:numId w:val="0"/>
        </w:numPr>
        <w:spacing w:before="240"/>
        <w:ind w:left="360"/>
        <w:rPr>
          <w:b/>
        </w:rPr>
      </w:pPr>
      <w:r w:rsidRPr="00810659">
        <w:rPr>
          <w:b/>
        </w:rPr>
        <w:t xml:space="preserve">Table </w:t>
      </w:r>
      <w:r w:rsidR="00643556" w:rsidRPr="00810659">
        <w:rPr>
          <w:b/>
        </w:rPr>
        <w:t>2</w:t>
      </w:r>
      <w:r w:rsidRPr="00810659">
        <w:rPr>
          <w:b/>
        </w:rPr>
        <w:t xml:space="preserve">: Current and proposed </w:t>
      </w:r>
      <w:proofErr w:type="spellStart"/>
      <w:r w:rsidRPr="00810659">
        <w:rPr>
          <w:b/>
        </w:rPr>
        <w:t>HwF</w:t>
      </w:r>
      <w:proofErr w:type="spellEnd"/>
      <w:r w:rsidRPr="00810659">
        <w:rPr>
          <w:b/>
        </w:rPr>
        <w:t xml:space="preserve"> </w:t>
      </w:r>
      <w:r w:rsidR="007901E4" w:rsidRPr="00810659">
        <w:rPr>
          <w:b/>
        </w:rPr>
        <w:t xml:space="preserve">Income </w:t>
      </w:r>
      <w:r w:rsidRPr="00810659">
        <w:rPr>
          <w:b/>
        </w:rPr>
        <w:t>Thresholds</w:t>
      </w:r>
      <w:r w:rsidR="006B03D6" w:rsidRPr="00810659">
        <w:rPr>
          <w:b/>
        </w:rPr>
        <w:t xml:space="preserve"> (gross monthly values)</w:t>
      </w:r>
    </w:p>
    <w:tbl>
      <w:tblPr>
        <w:tblW w:w="7642" w:type="dxa"/>
        <w:tblLayout w:type="fixed"/>
        <w:tblLook w:val="04A0" w:firstRow="1" w:lastRow="0" w:firstColumn="1" w:lastColumn="0" w:noHBand="0" w:noVBand="1"/>
      </w:tblPr>
      <w:tblGrid>
        <w:gridCol w:w="3140"/>
        <w:gridCol w:w="1675"/>
        <w:gridCol w:w="1417"/>
        <w:gridCol w:w="1410"/>
      </w:tblGrid>
      <w:tr w:rsidR="00781C52" w:rsidRPr="00810659" w14:paraId="161DEDD5" w14:textId="77777777" w:rsidTr="724F733F">
        <w:trPr>
          <w:trHeight w:val="576"/>
        </w:trPr>
        <w:tc>
          <w:tcPr>
            <w:tcW w:w="3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CA8E0B" w14:textId="77777777" w:rsidR="00781C52" w:rsidRPr="00810659" w:rsidRDefault="00781C52" w:rsidP="0006185C">
            <w:pPr>
              <w:rPr>
                <w:rFonts w:ascii="Arial" w:hAnsi="Arial" w:cs="Arial"/>
                <w:color w:val="000000"/>
                <w:lang w:eastAsia="en-GB"/>
              </w:rPr>
            </w:pPr>
            <w:r w:rsidRPr="00810659">
              <w:rPr>
                <w:rFonts w:ascii="Arial" w:hAnsi="Arial" w:cs="Arial"/>
                <w:color w:val="000000"/>
                <w:lang w:eastAsia="en-GB"/>
              </w:rPr>
              <w:t> </w:t>
            </w:r>
          </w:p>
        </w:tc>
        <w:tc>
          <w:tcPr>
            <w:tcW w:w="1675" w:type="dxa"/>
            <w:tcBorders>
              <w:top w:val="single" w:sz="4" w:space="0" w:color="auto"/>
              <w:left w:val="nil"/>
              <w:bottom w:val="single" w:sz="4" w:space="0" w:color="auto"/>
              <w:right w:val="single" w:sz="4" w:space="0" w:color="auto"/>
            </w:tcBorders>
            <w:shd w:val="clear" w:color="auto" w:fill="auto"/>
            <w:vAlign w:val="bottom"/>
            <w:hideMark/>
          </w:tcPr>
          <w:p w14:paraId="1EB811CB" w14:textId="77777777" w:rsidR="00781C52" w:rsidRPr="00810659" w:rsidRDefault="00781C52" w:rsidP="0006185C">
            <w:pPr>
              <w:jc w:val="center"/>
              <w:rPr>
                <w:rFonts w:ascii="Arial" w:hAnsi="Arial" w:cs="Arial"/>
                <w:b/>
                <w:color w:val="000000"/>
                <w:lang w:eastAsia="en-GB"/>
              </w:rPr>
            </w:pPr>
            <w:r w:rsidRPr="00810659">
              <w:rPr>
                <w:rFonts w:ascii="Arial" w:hAnsi="Arial" w:cs="Arial"/>
                <w:b/>
                <w:color w:val="000000"/>
                <w:lang w:eastAsia="en-GB"/>
              </w:rPr>
              <w:t>Single Threshold</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14:paraId="168F4B67" w14:textId="77777777" w:rsidR="00781C52" w:rsidRPr="00810659" w:rsidRDefault="00781C52" w:rsidP="0006185C">
            <w:pPr>
              <w:jc w:val="center"/>
              <w:rPr>
                <w:rFonts w:ascii="Arial" w:hAnsi="Arial" w:cs="Arial"/>
                <w:b/>
                <w:color w:val="000000"/>
                <w:lang w:eastAsia="en-GB"/>
              </w:rPr>
            </w:pPr>
            <w:r w:rsidRPr="00810659">
              <w:rPr>
                <w:rFonts w:ascii="Arial" w:hAnsi="Arial" w:cs="Arial"/>
                <w:b/>
                <w:color w:val="000000"/>
                <w:lang w:eastAsia="en-GB"/>
              </w:rPr>
              <w:t>Couple Premium</w:t>
            </w:r>
          </w:p>
        </w:tc>
        <w:tc>
          <w:tcPr>
            <w:tcW w:w="1410" w:type="dxa"/>
            <w:tcBorders>
              <w:top w:val="single" w:sz="4" w:space="0" w:color="auto"/>
              <w:left w:val="nil"/>
              <w:bottom w:val="single" w:sz="4" w:space="0" w:color="auto"/>
              <w:right w:val="single" w:sz="4" w:space="0" w:color="auto"/>
            </w:tcBorders>
            <w:shd w:val="clear" w:color="auto" w:fill="auto"/>
            <w:vAlign w:val="bottom"/>
            <w:hideMark/>
          </w:tcPr>
          <w:p w14:paraId="124C59CE" w14:textId="77777777" w:rsidR="00781C52" w:rsidRPr="00810659" w:rsidRDefault="00781C52" w:rsidP="0006185C">
            <w:pPr>
              <w:jc w:val="center"/>
              <w:rPr>
                <w:rFonts w:ascii="Arial" w:hAnsi="Arial" w:cs="Arial"/>
                <w:b/>
                <w:color w:val="000000"/>
                <w:lang w:eastAsia="en-GB"/>
              </w:rPr>
            </w:pPr>
            <w:r w:rsidRPr="00810659">
              <w:rPr>
                <w:rFonts w:ascii="Arial" w:hAnsi="Arial" w:cs="Arial"/>
                <w:b/>
                <w:color w:val="000000"/>
                <w:lang w:eastAsia="en-GB"/>
              </w:rPr>
              <w:t>Child Premium</w:t>
            </w:r>
          </w:p>
        </w:tc>
      </w:tr>
      <w:tr w:rsidR="00781C52" w:rsidRPr="00810659" w14:paraId="700A96ED" w14:textId="77777777" w:rsidTr="724F733F">
        <w:trPr>
          <w:trHeight w:val="288"/>
        </w:trPr>
        <w:tc>
          <w:tcPr>
            <w:tcW w:w="3140" w:type="dxa"/>
            <w:tcBorders>
              <w:top w:val="nil"/>
              <w:left w:val="single" w:sz="4" w:space="0" w:color="auto"/>
              <w:bottom w:val="single" w:sz="4" w:space="0" w:color="auto"/>
              <w:right w:val="single" w:sz="4" w:space="0" w:color="auto"/>
            </w:tcBorders>
            <w:shd w:val="clear" w:color="auto" w:fill="auto"/>
            <w:noWrap/>
            <w:vAlign w:val="bottom"/>
            <w:hideMark/>
          </w:tcPr>
          <w:p w14:paraId="1539CE7C" w14:textId="77777777" w:rsidR="00781C52" w:rsidRPr="00810659" w:rsidRDefault="00781C52" w:rsidP="0006185C">
            <w:pPr>
              <w:rPr>
                <w:rFonts w:ascii="Arial" w:hAnsi="Arial" w:cs="Arial"/>
                <w:b/>
                <w:color w:val="000000"/>
                <w:lang w:eastAsia="en-GB"/>
              </w:rPr>
            </w:pPr>
            <w:r w:rsidRPr="00810659">
              <w:rPr>
                <w:rFonts w:ascii="Arial" w:hAnsi="Arial" w:cs="Arial"/>
                <w:b/>
                <w:color w:val="000000"/>
                <w:lang w:eastAsia="en-GB"/>
              </w:rPr>
              <w:t>Current</w:t>
            </w:r>
          </w:p>
        </w:tc>
        <w:tc>
          <w:tcPr>
            <w:tcW w:w="1675" w:type="dxa"/>
            <w:tcBorders>
              <w:top w:val="nil"/>
              <w:left w:val="nil"/>
              <w:bottom w:val="single" w:sz="4" w:space="0" w:color="auto"/>
              <w:right w:val="single" w:sz="4" w:space="0" w:color="auto"/>
            </w:tcBorders>
            <w:shd w:val="clear" w:color="auto" w:fill="auto"/>
            <w:noWrap/>
            <w:vAlign w:val="bottom"/>
            <w:hideMark/>
          </w:tcPr>
          <w:p w14:paraId="65B3372C" w14:textId="77777777" w:rsidR="00781C52" w:rsidRPr="00810659" w:rsidRDefault="00781C52" w:rsidP="0006185C">
            <w:pPr>
              <w:rPr>
                <w:rFonts w:ascii="Arial" w:hAnsi="Arial" w:cs="Arial"/>
                <w:color w:val="000000"/>
                <w:lang w:eastAsia="en-GB"/>
              </w:rPr>
            </w:pPr>
            <w:r w:rsidRPr="00810659">
              <w:rPr>
                <w:rFonts w:ascii="Arial" w:hAnsi="Arial" w:cs="Arial"/>
                <w:color w:val="000000"/>
                <w:lang w:eastAsia="en-GB"/>
              </w:rPr>
              <w:t xml:space="preserve"> £          1,085 </w:t>
            </w:r>
          </w:p>
        </w:tc>
        <w:tc>
          <w:tcPr>
            <w:tcW w:w="1417" w:type="dxa"/>
            <w:tcBorders>
              <w:top w:val="nil"/>
              <w:left w:val="nil"/>
              <w:bottom w:val="single" w:sz="4" w:space="0" w:color="auto"/>
              <w:right w:val="single" w:sz="4" w:space="0" w:color="auto"/>
            </w:tcBorders>
            <w:shd w:val="clear" w:color="auto" w:fill="auto"/>
            <w:noWrap/>
            <w:vAlign w:val="bottom"/>
            <w:hideMark/>
          </w:tcPr>
          <w:p w14:paraId="275881CE" w14:textId="77777777" w:rsidR="00781C52" w:rsidRPr="00810659" w:rsidRDefault="00781C52" w:rsidP="0006185C">
            <w:pPr>
              <w:rPr>
                <w:rFonts w:ascii="Arial" w:hAnsi="Arial" w:cs="Arial"/>
                <w:color w:val="000000"/>
                <w:lang w:eastAsia="en-GB"/>
              </w:rPr>
            </w:pPr>
            <w:r w:rsidRPr="00810659">
              <w:rPr>
                <w:rFonts w:ascii="Arial" w:hAnsi="Arial" w:cs="Arial"/>
                <w:color w:val="000000"/>
                <w:lang w:eastAsia="en-GB"/>
              </w:rPr>
              <w:t xml:space="preserve"> £       160 </w:t>
            </w:r>
          </w:p>
        </w:tc>
        <w:tc>
          <w:tcPr>
            <w:tcW w:w="1410" w:type="dxa"/>
            <w:tcBorders>
              <w:top w:val="nil"/>
              <w:left w:val="nil"/>
              <w:bottom w:val="single" w:sz="4" w:space="0" w:color="auto"/>
              <w:right w:val="single" w:sz="4" w:space="0" w:color="auto"/>
            </w:tcBorders>
            <w:shd w:val="clear" w:color="auto" w:fill="auto"/>
            <w:noWrap/>
            <w:vAlign w:val="bottom"/>
            <w:hideMark/>
          </w:tcPr>
          <w:p w14:paraId="0978881E" w14:textId="77777777" w:rsidR="00781C52" w:rsidRPr="00810659" w:rsidRDefault="00781C52" w:rsidP="0006185C">
            <w:pPr>
              <w:rPr>
                <w:rFonts w:ascii="Arial" w:hAnsi="Arial" w:cs="Arial"/>
                <w:color w:val="000000"/>
                <w:lang w:eastAsia="en-GB"/>
              </w:rPr>
            </w:pPr>
            <w:r w:rsidRPr="00810659">
              <w:rPr>
                <w:rFonts w:ascii="Arial" w:hAnsi="Arial" w:cs="Arial"/>
                <w:color w:val="000000"/>
                <w:lang w:eastAsia="en-GB"/>
              </w:rPr>
              <w:t xml:space="preserve"> £       245 </w:t>
            </w:r>
          </w:p>
        </w:tc>
      </w:tr>
      <w:tr w:rsidR="00781C52" w:rsidRPr="00810659" w14:paraId="2B6B5A43" w14:textId="77777777" w:rsidTr="724F733F">
        <w:trPr>
          <w:trHeight w:val="288"/>
        </w:trPr>
        <w:tc>
          <w:tcPr>
            <w:tcW w:w="3140" w:type="dxa"/>
            <w:tcBorders>
              <w:top w:val="nil"/>
              <w:left w:val="single" w:sz="4" w:space="0" w:color="auto"/>
              <w:bottom w:val="single" w:sz="4" w:space="0" w:color="auto"/>
              <w:right w:val="single" w:sz="4" w:space="0" w:color="auto"/>
            </w:tcBorders>
            <w:shd w:val="clear" w:color="auto" w:fill="auto"/>
            <w:noWrap/>
            <w:vAlign w:val="bottom"/>
            <w:hideMark/>
          </w:tcPr>
          <w:p w14:paraId="614CEC7E" w14:textId="77777777" w:rsidR="00781C52" w:rsidRPr="00810659" w:rsidRDefault="00781C52" w:rsidP="0006185C">
            <w:pPr>
              <w:rPr>
                <w:rFonts w:ascii="Arial" w:hAnsi="Arial" w:cs="Arial"/>
                <w:b/>
                <w:color w:val="000000"/>
                <w:lang w:eastAsia="en-GB"/>
              </w:rPr>
            </w:pPr>
            <w:r w:rsidRPr="00810659">
              <w:rPr>
                <w:rFonts w:ascii="Arial" w:hAnsi="Arial" w:cs="Arial"/>
                <w:b/>
                <w:color w:val="000000"/>
                <w:lang w:eastAsia="en-GB"/>
              </w:rPr>
              <w:t>Proposed</w:t>
            </w:r>
          </w:p>
        </w:tc>
        <w:tc>
          <w:tcPr>
            <w:tcW w:w="1675" w:type="dxa"/>
            <w:tcBorders>
              <w:top w:val="nil"/>
              <w:left w:val="nil"/>
              <w:bottom w:val="single" w:sz="4" w:space="0" w:color="auto"/>
              <w:right w:val="single" w:sz="4" w:space="0" w:color="auto"/>
            </w:tcBorders>
            <w:shd w:val="clear" w:color="auto" w:fill="auto"/>
            <w:noWrap/>
            <w:vAlign w:val="bottom"/>
            <w:hideMark/>
          </w:tcPr>
          <w:p w14:paraId="5F199B47" w14:textId="40525DF5" w:rsidR="00781C52" w:rsidRPr="00810659" w:rsidRDefault="00781C52" w:rsidP="0006185C">
            <w:pPr>
              <w:rPr>
                <w:rFonts w:ascii="Arial" w:hAnsi="Arial" w:cs="Arial"/>
                <w:color w:val="000000"/>
                <w:lang w:eastAsia="en-GB"/>
              </w:rPr>
            </w:pPr>
            <w:r w:rsidRPr="00810659">
              <w:rPr>
                <w:rFonts w:ascii="Arial" w:hAnsi="Arial" w:cs="Arial"/>
                <w:color w:val="000000"/>
                <w:lang w:eastAsia="en-GB"/>
              </w:rPr>
              <w:t xml:space="preserve"> £          1,1</w:t>
            </w:r>
            <w:r w:rsidR="00EC7B65" w:rsidRPr="00810659">
              <w:rPr>
                <w:rFonts w:ascii="Arial" w:hAnsi="Arial" w:cs="Arial"/>
                <w:color w:val="000000"/>
                <w:lang w:eastAsia="en-GB"/>
              </w:rPr>
              <w:t>70</w:t>
            </w:r>
            <w:r w:rsidRPr="00810659">
              <w:rPr>
                <w:rFonts w:ascii="Arial" w:hAnsi="Arial" w:cs="Arial"/>
                <w:color w:val="000000"/>
                <w:lang w:eastAsia="en-GB"/>
              </w:rPr>
              <w:t xml:space="preserve"> </w:t>
            </w:r>
          </w:p>
        </w:tc>
        <w:tc>
          <w:tcPr>
            <w:tcW w:w="1417" w:type="dxa"/>
            <w:tcBorders>
              <w:top w:val="nil"/>
              <w:left w:val="nil"/>
              <w:bottom w:val="single" w:sz="4" w:space="0" w:color="auto"/>
              <w:right w:val="single" w:sz="4" w:space="0" w:color="auto"/>
            </w:tcBorders>
            <w:shd w:val="clear" w:color="auto" w:fill="auto"/>
            <w:noWrap/>
            <w:vAlign w:val="bottom"/>
            <w:hideMark/>
          </w:tcPr>
          <w:p w14:paraId="7466D625" w14:textId="070E25BC" w:rsidR="00781C52" w:rsidRPr="00810659" w:rsidRDefault="00781C52" w:rsidP="0006185C">
            <w:pPr>
              <w:rPr>
                <w:rFonts w:ascii="Arial" w:hAnsi="Arial" w:cs="Arial"/>
                <w:color w:val="000000"/>
                <w:lang w:eastAsia="en-GB"/>
              </w:rPr>
            </w:pPr>
            <w:r w:rsidRPr="00810659">
              <w:rPr>
                <w:rFonts w:ascii="Arial" w:hAnsi="Arial" w:cs="Arial"/>
                <w:color w:val="000000"/>
                <w:lang w:eastAsia="en-GB"/>
              </w:rPr>
              <w:t xml:space="preserve"> £       17</w:t>
            </w:r>
            <w:r w:rsidR="000B6389" w:rsidRPr="00810659">
              <w:rPr>
                <w:rFonts w:ascii="Arial" w:hAnsi="Arial" w:cs="Arial"/>
                <w:color w:val="000000"/>
                <w:lang w:eastAsia="en-GB"/>
              </w:rPr>
              <w:t>5</w:t>
            </w:r>
          </w:p>
        </w:tc>
        <w:tc>
          <w:tcPr>
            <w:tcW w:w="1410" w:type="dxa"/>
            <w:tcBorders>
              <w:top w:val="nil"/>
              <w:left w:val="nil"/>
              <w:bottom w:val="single" w:sz="4" w:space="0" w:color="auto"/>
              <w:right w:val="single" w:sz="4" w:space="0" w:color="auto"/>
            </w:tcBorders>
            <w:shd w:val="clear" w:color="auto" w:fill="auto"/>
            <w:noWrap/>
            <w:vAlign w:val="bottom"/>
            <w:hideMark/>
          </w:tcPr>
          <w:p w14:paraId="2832441A" w14:textId="77777777" w:rsidR="00781C52" w:rsidRPr="00810659" w:rsidRDefault="00781C52" w:rsidP="0006185C">
            <w:pPr>
              <w:rPr>
                <w:rFonts w:ascii="Arial" w:hAnsi="Arial" w:cs="Arial"/>
                <w:color w:val="000000"/>
                <w:lang w:eastAsia="en-GB"/>
              </w:rPr>
            </w:pPr>
            <w:r w:rsidRPr="00810659">
              <w:rPr>
                <w:rFonts w:ascii="Arial" w:hAnsi="Arial" w:cs="Arial"/>
                <w:color w:val="000000"/>
                <w:lang w:eastAsia="en-GB"/>
              </w:rPr>
              <w:t xml:space="preserve"> £       265 </w:t>
            </w:r>
          </w:p>
        </w:tc>
      </w:tr>
    </w:tbl>
    <w:p w14:paraId="2977511E" w14:textId="44F1E04D" w:rsidR="00781C52" w:rsidRPr="00810659" w:rsidRDefault="00781C52" w:rsidP="00620066">
      <w:pPr>
        <w:rPr>
          <w:rFonts w:ascii="Arial" w:hAnsi="Arial" w:cs="Arial"/>
        </w:rPr>
      </w:pPr>
    </w:p>
    <w:p w14:paraId="0E36CF0E" w14:textId="44CA5305" w:rsidR="00781C52" w:rsidRPr="00810659" w:rsidRDefault="00011EAC" w:rsidP="00620066">
      <w:pPr>
        <w:rPr>
          <w:rFonts w:ascii="Arial" w:hAnsi="Arial" w:cs="Arial"/>
          <w:color w:val="FF0000"/>
        </w:rPr>
      </w:pPr>
      <w:r w:rsidRPr="00810659">
        <w:rPr>
          <w:rFonts w:ascii="Arial" w:hAnsi="Arial" w:cs="Arial"/>
        </w:rPr>
        <w:t>2.</w:t>
      </w:r>
      <w:r w:rsidR="007054E0" w:rsidRPr="00810659">
        <w:rPr>
          <w:rFonts w:ascii="Arial" w:hAnsi="Arial" w:cs="Arial"/>
        </w:rPr>
        <w:t>6</w:t>
      </w:r>
      <w:r w:rsidRPr="00810659">
        <w:rPr>
          <w:rFonts w:ascii="Arial" w:hAnsi="Arial" w:cs="Arial"/>
        </w:rPr>
        <w:t xml:space="preserve">. </w:t>
      </w:r>
      <w:r w:rsidR="00781C52" w:rsidRPr="00810659">
        <w:rPr>
          <w:rFonts w:ascii="Arial" w:hAnsi="Arial" w:cs="Arial"/>
        </w:rPr>
        <w:t xml:space="preserve">More detail on both of these policy </w:t>
      </w:r>
      <w:r w:rsidR="25124AD9" w:rsidRPr="00810659">
        <w:rPr>
          <w:rFonts w:ascii="Arial" w:hAnsi="Arial" w:cs="Arial"/>
        </w:rPr>
        <w:t>proposals</w:t>
      </w:r>
      <w:r w:rsidR="00781C52" w:rsidRPr="00810659">
        <w:rPr>
          <w:rFonts w:ascii="Arial" w:hAnsi="Arial" w:cs="Arial"/>
        </w:rPr>
        <w:t xml:space="preserve"> can be found in </w:t>
      </w:r>
      <w:r w:rsidR="00D44BEA" w:rsidRPr="00810659">
        <w:rPr>
          <w:rFonts w:ascii="Arial" w:hAnsi="Arial" w:cs="Arial"/>
        </w:rPr>
        <w:t xml:space="preserve">the </w:t>
      </w:r>
      <w:r w:rsidR="00DD4961" w:rsidRPr="00810659">
        <w:rPr>
          <w:rFonts w:ascii="Arial" w:hAnsi="Arial" w:cs="Arial"/>
        </w:rPr>
        <w:t>following document: The Government response to the consultation on ‘Increasing selected court fees and Help with Fees income thresholds by inflation’</w:t>
      </w:r>
      <w:r w:rsidR="00D44BEA" w:rsidRPr="00810659">
        <w:rPr>
          <w:rFonts w:ascii="Arial" w:hAnsi="Arial" w:cs="Arial"/>
        </w:rPr>
        <w:t xml:space="preserve">. Available at: </w:t>
      </w:r>
      <w:r w:rsidR="00513E4E" w:rsidRPr="00810659">
        <w:rPr>
          <w:rFonts w:ascii="Arial" w:hAnsi="Arial" w:cs="Arial"/>
          <w:color w:val="000000" w:themeColor="text1"/>
        </w:rPr>
        <w:t>https://consult.justice.gov.uk/digital-communications/increasing-selected-court-fees-income-thresholds.</w:t>
      </w:r>
    </w:p>
    <w:p w14:paraId="64BABC4A" w14:textId="7289D109" w:rsidR="00D86135" w:rsidRDefault="00D86135" w:rsidP="00620066">
      <w:pPr>
        <w:rPr>
          <w:rFonts w:ascii="Arial" w:hAnsi="Arial" w:cs="Arial"/>
        </w:rPr>
      </w:pPr>
    </w:p>
    <w:p w14:paraId="2C2535C4" w14:textId="2A8C5E78" w:rsidR="00810659" w:rsidRDefault="00810659" w:rsidP="00620066">
      <w:pPr>
        <w:rPr>
          <w:rFonts w:ascii="Arial" w:hAnsi="Arial" w:cs="Arial"/>
        </w:rPr>
      </w:pPr>
    </w:p>
    <w:p w14:paraId="6610F942" w14:textId="77777777" w:rsidR="00810659" w:rsidRPr="00810659" w:rsidRDefault="00810659" w:rsidP="00620066">
      <w:pPr>
        <w:rPr>
          <w:rFonts w:ascii="Arial" w:hAnsi="Arial" w:cs="Arial"/>
        </w:rPr>
      </w:pPr>
    </w:p>
    <w:p w14:paraId="3D839BD5" w14:textId="513A31D9" w:rsidR="00D7258D" w:rsidRPr="00810659" w:rsidRDefault="005B27A3" w:rsidP="005B27A3">
      <w:pPr>
        <w:rPr>
          <w:rFonts w:ascii="Arial" w:hAnsi="Arial" w:cs="Arial"/>
          <w:b/>
          <w:sz w:val="28"/>
        </w:rPr>
      </w:pPr>
      <w:r w:rsidRPr="00810659">
        <w:rPr>
          <w:rFonts w:ascii="Arial" w:hAnsi="Arial" w:cs="Arial"/>
          <w:b/>
          <w:sz w:val="28"/>
        </w:rPr>
        <w:lastRenderedPageBreak/>
        <w:t xml:space="preserve">3. </w:t>
      </w:r>
      <w:r w:rsidR="00D7258D" w:rsidRPr="00810659">
        <w:rPr>
          <w:rFonts w:ascii="Arial" w:hAnsi="Arial" w:cs="Arial"/>
          <w:b/>
          <w:sz w:val="28"/>
        </w:rPr>
        <w:t>Equality Duty</w:t>
      </w:r>
    </w:p>
    <w:p w14:paraId="7CFE12B7" w14:textId="15A0CFEC" w:rsidR="00002952" w:rsidRPr="00810659" w:rsidRDefault="00011EAC" w:rsidP="00620066">
      <w:pPr>
        <w:rPr>
          <w:rFonts w:ascii="Arial" w:hAnsi="Arial" w:cs="Arial"/>
        </w:rPr>
      </w:pPr>
      <w:r w:rsidRPr="00810659">
        <w:rPr>
          <w:rFonts w:ascii="Arial" w:hAnsi="Arial" w:cs="Arial"/>
        </w:rPr>
        <w:t xml:space="preserve">3.1. </w:t>
      </w:r>
      <w:r w:rsidR="00D7258D" w:rsidRPr="00810659">
        <w:rPr>
          <w:rFonts w:ascii="Arial" w:hAnsi="Arial" w:cs="Arial"/>
        </w:rPr>
        <w:t>Section 149 of the Equality Act 2010 (“the Act”) requires Ministers and the Department, when exercising their functions, to have ‘due regard’ to the need to:</w:t>
      </w:r>
    </w:p>
    <w:p w14:paraId="3A20FC9A" w14:textId="77777777" w:rsidR="00002952" w:rsidRPr="00810659" w:rsidRDefault="00D7258D" w:rsidP="00002952">
      <w:pPr>
        <w:pStyle w:val="ListParagraph"/>
        <w:numPr>
          <w:ilvl w:val="0"/>
          <w:numId w:val="4"/>
        </w:numPr>
        <w:rPr>
          <w:rFonts w:ascii="Arial" w:hAnsi="Arial" w:cs="Arial"/>
        </w:rPr>
      </w:pPr>
      <w:r w:rsidRPr="00810659">
        <w:rPr>
          <w:rFonts w:ascii="Arial" w:hAnsi="Arial" w:cs="Arial"/>
        </w:rPr>
        <w:t xml:space="preserve">eliminate unlawful discrimination, harassment, victimisation and any other conduct prohibited by the Act; </w:t>
      </w:r>
    </w:p>
    <w:p w14:paraId="1E877F2E" w14:textId="77777777" w:rsidR="00002952" w:rsidRPr="00810659" w:rsidRDefault="00D7258D" w:rsidP="00002952">
      <w:pPr>
        <w:pStyle w:val="ListParagraph"/>
        <w:numPr>
          <w:ilvl w:val="0"/>
          <w:numId w:val="4"/>
        </w:numPr>
        <w:rPr>
          <w:rFonts w:ascii="Arial" w:hAnsi="Arial" w:cs="Arial"/>
        </w:rPr>
      </w:pPr>
      <w:r w:rsidRPr="00810659">
        <w:rPr>
          <w:rFonts w:ascii="Arial" w:hAnsi="Arial" w:cs="Arial"/>
        </w:rPr>
        <w:t xml:space="preserve">advance equality of opportunity between different groups (those who share a relevant protected characteristic and those who do not); and </w:t>
      </w:r>
    </w:p>
    <w:p w14:paraId="4F26DC61" w14:textId="77777777" w:rsidR="00002952" w:rsidRPr="00810659" w:rsidRDefault="00D7258D" w:rsidP="00002952">
      <w:pPr>
        <w:pStyle w:val="ListParagraph"/>
        <w:numPr>
          <w:ilvl w:val="0"/>
          <w:numId w:val="4"/>
        </w:numPr>
        <w:rPr>
          <w:rFonts w:ascii="Arial" w:hAnsi="Arial" w:cs="Arial"/>
        </w:rPr>
      </w:pPr>
      <w:r w:rsidRPr="00810659">
        <w:rPr>
          <w:rFonts w:ascii="Arial" w:hAnsi="Arial" w:cs="Arial"/>
        </w:rPr>
        <w:t xml:space="preserve">foster good relations between different groups (those who share a relevant protected characteristic and those who do not). </w:t>
      </w:r>
    </w:p>
    <w:p w14:paraId="27CA6156" w14:textId="1682D79F" w:rsidR="009D6125" w:rsidRDefault="00011EAC" w:rsidP="00810659">
      <w:pPr>
        <w:rPr>
          <w:rFonts w:ascii="Arial" w:hAnsi="Arial" w:cs="Arial"/>
        </w:rPr>
      </w:pPr>
      <w:r w:rsidRPr="00810659">
        <w:rPr>
          <w:rFonts w:ascii="Arial" w:hAnsi="Arial" w:cs="Arial"/>
        </w:rPr>
        <w:t xml:space="preserve">3.2. </w:t>
      </w:r>
      <w:r w:rsidR="00D7258D" w:rsidRPr="00810659">
        <w:rPr>
          <w:rFonts w:ascii="Arial" w:hAnsi="Arial" w:cs="Arial"/>
        </w:rPr>
        <w:t>Paying “due regard” needs to be considered against the nine “protected characteristics” under the Act, namely: race, sex, disability, sexual orientation, religion and belief, age, marriage and civil partnership, gender reassignment, pregnancy and maternity.</w:t>
      </w:r>
    </w:p>
    <w:p w14:paraId="3496AA7B" w14:textId="77777777" w:rsidR="00810659" w:rsidRPr="00810659" w:rsidRDefault="00810659" w:rsidP="00810659">
      <w:pPr>
        <w:rPr>
          <w:rFonts w:ascii="Arial" w:hAnsi="Arial" w:cs="Arial"/>
        </w:rPr>
      </w:pPr>
    </w:p>
    <w:p w14:paraId="42EDF123" w14:textId="1A04E9D3" w:rsidR="009D6125" w:rsidRPr="00810659" w:rsidRDefault="005B27A3" w:rsidP="00FF036D">
      <w:pPr>
        <w:pStyle w:val="EBNumber"/>
        <w:numPr>
          <w:ilvl w:val="0"/>
          <w:numId w:val="0"/>
        </w:numPr>
        <w:tabs>
          <w:tab w:val="clear" w:pos="567"/>
        </w:tabs>
        <w:jc w:val="left"/>
        <w:rPr>
          <w:b/>
          <w:sz w:val="28"/>
        </w:rPr>
      </w:pPr>
      <w:r w:rsidRPr="00810659">
        <w:rPr>
          <w:b/>
          <w:sz w:val="28"/>
        </w:rPr>
        <w:t xml:space="preserve">4. </w:t>
      </w:r>
      <w:r w:rsidR="0035379F" w:rsidRPr="00810659">
        <w:rPr>
          <w:b/>
          <w:sz w:val="28"/>
        </w:rPr>
        <w:t>Methodology to determine discrimination potential</w:t>
      </w:r>
    </w:p>
    <w:p w14:paraId="5FD084F3" w14:textId="310FD879" w:rsidR="00C157E4" w:rsidRPr="00810659" w:rsidRDefault="00011EAC" w:rsidP="006D3EF2">
      <w:pPr>
        <w:pStyle w:val="EBNumber"/>
        <w:numPr>
          <w:ilvl w:val="0"/>
          <w:numId w:val="0"/>
        </w:numPr>
      </w:pPr>
      <w:r w:rsidRPr="00810659">
        <w:t>4.1.</w:t>
      </w:r>
      <w:r w:rsidR="00954599" w:rsidRPr="00810659">
        <w:t xml:space="preserve"> </w:t>
      </w:r>
      <w:r w:rsidR="00C157E4" w:rsidRPr="00810659">
        <w:t>Direct</w:t>
      </w:r>
      <w:r w:rsidR="00954599" w:rsidRPr="00810659">
        <w:t xml:space="preserve"> </w:t>
      </w:r>
      <w:r w:rsidR="00C157E4" w:rsidRPr="00810659">
        <w:t xml:space="preserve">discrimination occurs when a person is treated unfairly because of a protected characteristic. </w:t>
      </w:r>
    </w:p>
    <w:p w14:paraId="5D89387D" w14:textId="63A93C3C" w:rsidR="00F63B25" w:rsidRPr="00810659" w:rsidRDefault="00011EAC" w:rsidP="00C157E4">
      <w:pPr>
        <w:rPr>
          <w:rFonts w:ascii="Arial" w:hAnsi="Arial" w:cs="Arial"/>
        </w:rPr>
      </w:pPr>
      <w:r w:rsidRPr="00810659">
        <w:rPr>
          <w:rFonts w:ascii="Arial" w:hAnsi="Arial" w:cs="Arial"/>
        </w:rPr>
        <w:t xml:space="preserve">4.2. </w:t>
      </w:r>
      <w:r w:rsidR="00C157E4" w:rsidRPr="00810659">
        <w:rPr>
          <w:rFonts w:ascii="Arial" w:hAnsi="Arial" w:cs="Arial"/>
        </w:rPr>
        <w:t>Our assessment is that the proposed increases in fees</w:t>
      </w:r>
      <w:r w:rsidR="00781C52" w:rsidRPr="00810659">
        <w:rPr>
          <w:rFonts w:ascii="Arial" w:hAnsi="Arial" w:cs="Arial"/>
        </w:rPr>
        <w:t xml:space="preserve">, and changes to </w:t>
      </w:r>
      <w:proofErr w:type="spellStart"/>
      <w:r w:rsidR="00781C52" w:rsidRPr="00810659">
        <w:rPr>
          <w:rFonts w:ascii="Arial" w:hAnsi="Arial" w:cs="Arial"/>
        </w:rPr>
        <w:t>HwF</w:t>
      </w:r>
      <w:proofErr w:type="spellEnd"/>
      <w:r w:rsidR="00781C52" w:rsidRPr="00810659">
        <w:rPr>
          <w:rFonts w:ascii="Arial" w:hAnsi="Arial" w:cs="Arial"/>
        </w:rPr>
        <w:t>,</w:t>
      </w:r>
      <w:r w:rsidR="00C157E4" w:rsidRPr="00810659">
        <w:rPr>
          <w:rFonts w:ascii="Arial" w:hAnsi="Arial" w:cs="Arial"/>
        </w:rPr>
        <w:t xml:space="preserve"> would not be directly discriminatory within the meaning of the Equality Act as they would apply to all claimants and are not considered to result in people being treated less favourably because of their protected characteristic. This applies for all jurisdictions. </w:t>
      </w:r>
    </w:p>
    <w:p w14:paraId="744907EC" w14:textId="32E8140F" w:rsidR="00C157E4" w:rsidRPr="00810659" w:rsidRDefault="00011EAC" w:rsidP="00F0080B">
      <w:pPr>
        <w:rPr>
          <w:rFonts w:ascii="Arial" w:hAnsi="Arial" w:cs="Arial"/>
        </w:rPr>
      </w:pPr>
      <w:r w:rsidRPr="00810659">
        <w:rPr>
          <w:rFonts w:ascii="Arial" w:hAnsi="Arial" w:cs="Arial"/>
        </w:rPr>
        <w:t xml:space="preserve">4.3. </w:t>
      </w:r>
      <w:r w:rsidR="00F63B25" w:rsidRPr="00810659">
        <w:rPr>
          <w:rFonts w:ascii="Arial" w:hAnsi="Arial" w:cs="Arial"/>
        </w:rPr>
        <w:t>However, although we do not think that there is direct discrimination, there could be instances where there is indirect discrimination</w:t>
      </w:r>
      <w:r w:rsidR="00D562F4" w:rsidRPr="00810659">
        <w:rPr>
          <w:rFonts w:ascii="Arial" w:hAnsi="Arial" w:cs="Arial"/>
        </w:rPr>
        <w:t xml:space="preserve"> because a group with a particular characteristic is more likely to attend a certain court and therefore</w:t>
      </w:r>
      <w:r w:rsidR="00C30415" w:rsidRPr="00810659">
        <w:rPr>
          <w:rFonts w:ascii="Arial" w:hAnsi="Arial" w:cs="Arial"/>
        </w:rPr>
        <w:t>,</w:t>
      </w:r>
      <w:r w:rsidR="00D562F4" w:rsidRPr="00810659">
        <w:rPr>
          <w:rFonts w:ascii="Arial" w:hAnsi="Arial" w:cs="Arial"/>
        </w:rPr>
        <w:t xml:space="preserve"> more likely to pay the relevant fees compared to the general population. </w:t>
      </w:r>
    </w:p>
    <w:p w14:paraId="30C1D3E2" w14:textId="20DFC9B9" w:rsidR="009067F2" w:rsidRPr="00810659" w:rsidRDefault="00011EAC" w:rsidP="00620066">
      <w:pPr>
        <w:rPr>
          <w:rFonts w:ascii="Arial" w:hAnsi="Arial" w:cs="Arial"/>
        </w:rPr>
      </w:pPr>
      <w:r w:rsidRPr="00810659">
        <w:rPr>
          <w:rFonts w:ascii="Arial" w:hAnsi="Arial" w:cs="Arial"/>
        </w:rPr>
        <w:t xml:space="preserve">4.4. </w:t>
      </w:r>
      <w:r w:rsidR="00C80277" w:rsidRPr="00810659">
        <w:rPr>
          <w:rFonts w:ascii="Arial" w:hAnsi="Arial" w:cs="Arial"/>
        </w:rPr>
        <w:t xml:space="preserve">In order to assess whether the fee changes might lead to indirect </w:t>
      </w:r>
      <w:r w:rsidR="00CA6646" w:rsidRPr="00810659">
        <w:rPr>
          <w:rFonts w:ascii="Arial" w:hAnsi="Arial" w:cs="Arial"/>
        </w:rPr>
        <w:t>discrimination,</w:t>
      </w:r>
      <w:r w:rsidR="00C74877" w:rsidRPr="00810659">
        <w:rPr>
          <w:rFonts w:ascii="Arial" w:hAnsi="Arial" w:cs="Arial"/>
        </w:rPr>
        <w:t xml:space="preserve"> </w:t>
      </w:r>
      <w:r w:rsidR="00726B18" w:rsidRPr="00810659">
        <w:rPr>
          <w:rFonts w:ascii="Arial" w:hAnsi="Arial" w:cs="Arial"/>
        </w:rPr>
        <w:t>fees</w:t>
      </w:r>
      <w:r w:rsidR="00C74877" w:rsidRPr="00810659">
        <w:rPr>
          <w:rFonts w:ascii="Arial" w:hAnsi="Arial" w:cs="Arial"/>
        </w:rPr>
        <w:t xml:space="preserve"> have been grouped into different </w:t>
      </w:r>
      <w:r w:rsidR="0EFFA274" w:rsidRPr="00810659">
        <w:rPr>
          <w:rFonts w:ascii="Arial" w:hAnsi="Arial" w:cs="Arial"/>
        </w:rPr>
        <w:t xml:space="preserve">court </w:t>
      </w:r>
      <w:r w:rsidR="007A7BC0" w:rsidRPr="00810659">
        <w:rPr>
          <w:rFonts w:ascii="Arial" w:hAnsi="Arial" w:cs="Arial"/>
        </w:rPr>
        <w:t>jurisdictions</w:t>
      </w:r>
      <w:r w:rsidR="00C80277" w:rsidRPr="00810659">
        <w:rPr>
          <w:rFonts w:ascii="Arial" w:hAnsi="Arial" w:cs="Arial"/>
        </w:rPr>
        <w:t>. As each court will have a different user group</w:t>
      </w:r>
      <w:r w:rsidR="00CA6646" w:rsidRPr="00810659">
        <w:rPr>
          <w:rFonts w:ascii="Arial" w:hAnsi="Arial" w:cs="Arial"/>
        </w:rPr>
        <w:t>,</w:t>
      </w:r>
      <w:r w:rsidR="00C80277" w:rsidRPr="00810659">
        <w:rPr>
          <w:rFonts w:ascii="Arial" w:hAnsi="Arial" w:cs="Arial"/>
        </w:rPr>
        <w:t xml:space="preserve"> t</w:t>
      </w:r>
      <w:r w:rsidR="00D15924" w:rsidRPr="00810659">
        <w:rPr>
          <w:rFonts w:ascii="Arial" w:hAnsi="Arial" w:cs="Arial"/>
        </w:rPr>
        <w:t xml:space="preserve">his will allow us to determine whether there is a discrimination potential </w:t>
      </w:r>
      <w:r w:rsidR="1EF90B1A" w:rsidRPr="00810659">
        <w:rPr>
          <w:rFonts w:ascii="Arial" w:hAnsi="Arial" w:cs="Arial"/>
        </w:rPr>
        <w:t>for each jurisdiction</w:t>
      </w:r>
      <w:r w:rsidR="00D15924" w:rsidRPr="00810659">
        <w:rPr>
          <w:rFonts w:ascii="Arial" w:hAnsi="Arial" w:cs="Arial"/>
        </w:rPr>
        <w:t>.</w:t>
      </w:r>
      <w:r w:rsidR="00C74877" w:rsidRPr="00810659">
        <w:rPr>
          <w:rFonts w:ascii="Arial" w:hAnsi="Arial" w:cs="Arial"/>
        </w:rPr>
        <w:t xml:space="preserve"> The</w:t>
      </w:r>
      <w:r w:rsidR="007A7BC0" w:rsidRPr="00810659">
        <w:rPr>
          <w:rFonts w:ascii="Arial" w:hAnsi="Arial" w:cs="Arial"/>
        </w:rPr>
        <w:t xml:space="preserve"> jurisdictions</w:t>
      </w:r>
      <w:r w:rsidR="00C74877" w:rsidRPr="00810659">
        <w:rPr>
          <w:rFonts w:ascii="Arial" w:hAnsi="Arial" w:cs="Arial"/>
        </w:rPr>
        <w:t xml:space="preserve"> are as follows: </w:t>
      </w:r>
    </w:p>
    <w:p w14:paraId="16EA555A" w14:textId="77777777" w:rsidR="00C74877" w:rsidRPr="00810659" w:rsidRDefault="00C74877" w:rsidP="00C74877">
      <w:pPr>
        <w:pStyle w:val="ListParagraph"/>
        <w:numPr>
          <w:ilvl w:val="0"/>
          <w:numId w:val="5"/>
        </w:numPr>
        <w:rPr>
          <w:rFonts w:ascii="Arial" w:hAnsi="Arial" w:cs="Arial"/>
        </w:rPr>
      </w:pPr>
      <w:r w:rsidRPr="00810659">
        <w:rPr>
          <w:rFonts w:ascii="Arial" w:hAnsi="Arial" w:cs="Arial"/>
        </w:rPr>
        <w:t xml:space="preserve">County civil and </w:t>
      </w:r>
      <w:r w:rsidR="003639D1" w:rsidRPr="00810659">
        <w:rPr>
          <w:rFonts w:ascii="Arial" w:hAnsi="Arial" w:cs="Arial"/>
        </w:rPr>
        <w:t>High courts</w:t>
      </w:r>
    </w:p>
    <w:p w14:paraId="36D925C7" w14:textId="77777777" w:rsidR="007C1DA5" w:rsidRPr="00810659" w:rsidRDefault="00184FA9" w:rsidP="00C74877">
      <w:pPr>
        <w:pStyle w:val="ListParagraph"/>
        <w:numPr>
          <w:ilvl w:val="0"/>
          <w:numId w:val="5"/>
        </w:numPr>
        <w:rPr>
          <w:rFonts w:ascii="Arial" w:hAnsi="Arial" w:cs="Arial"/>
        </w:rPr>
      </w:pPr>
      <w:r w:rsidRPr="00810659">
        <w:rPr>
          <w:rFonts w:ascii="Arial" w:hAnsi="Arial" w:cs="Arial"/>
        </w:rPr>
        <w:t>Public</w:t>
      </w:r>
      <w:r w:rsidR="007C1DA5" w:rsidRPr="00810659">
        <w:rPr>
          <w:rFonts w:ascii="Arial" w:hAnsi="Arial" w:cs="Arial"/>
        </w:rPr>
        <w:t xml:space="preserve"> </w:t>
      </w:r>
      <w:r w:rsidR="00300E37" w:rsidRPr="00810659">
        <w:rPr>
          <w:rFonts w:ascii="Arial" w:hAnsi="Arial" w:cs="Arial"/>
        </w:rPr>
        <w:t>f</w:t>
      </w:r>
      <w:r w:rsidR="007C1DA5" w:rsidRPr="00810659">
        <w:rPr>
          <w:rFonts w:ascii="Arial" w:hAnsi="Arial" w:cs="Arial"/>
        </w:rPr>
        <w:t xml:space="preserve">amily </w:t>
      </w:r>
      <w:r w:rsidR="00300E37" w:rsidRPr="00810659">
        <w:rPr>
          <w:rFonts w:ascii="Arial" w:hAnsi="Arial" w:cs="Arial"/>
        </w:rPr>
        <w:t>l</w:t>
      </w:r>
      <w:r w:rsidR="007C1DA5" w:rsidRPr="00810659">
        <w:rPr>
          <w:rFonts w:ascii="Arial" w:hAnsi="Arial" w:cs="Arial"/>
        </w:rPr>
        <w:t xml:space="preserve">aw </w:t>
      </w:r>
    </w:p>
    <w:p w14:paraId="438B1317" w14:textId="77777777" w:rsidR="00300E37" w:rsidRPr="00810659" w:rsidRDefault="00300E37" w:rsidP="00C74877">
      <w:pPr>
        <w:pStyle w:val="ListParagraph"/>
        <w:numPr>
          <w:ilvl w:val="0"/>
          <w:numId w:val="5"/>
        </w:numPr>
        <w:rPr>
          <w:rFonts w:ascii="Arial" w:hAnsi="Arial" w:cs="Arial"/>
        </w:rPr>
      </w:pPr>
      <w:r w:rsidRPr="00810659">
        <w:rPr>
          <w:rFonts w:ascii="Arial" w:hAnsi="Arial" w:cs="Arial"/>
        </w:rPr>
        <w:t>P</w:t>
      </w:r>
      <w:r w:rsidR="00184FA9" w:rsidRPr="00810659">
        <w:rPr>
          <w:rFonts w:ascii="Arial" w:hAnsi="Arial" w:cs="Arial"/>
        </w:rPr>
        <w:t>rivate</w:t>
      </w:r>
      <w:r w:rsidRPr="00810659">
        <w:rPr>
          <w:rFonts w:ascii="Arial" w:hAnsi="Arial" w:cs="Arial"/>
        </w:rPr>
        <w:t xml:space="preserve"> family law</w:t>
      </w:r>
    </w:p>
    <w:p w14:paraId="4968445A" w14:textId="77777777" w:rsidR="00DE375A" w:rsidRPr="00810659" w:rsidRDefault="00DE375A" w:rsidP="00C74877">
      <w:pPr>
        <w:pStyle w:val="ListParagraph"/>
        <w:numPr>
          <w:ilvl w:val="0"/>
          <w:numId w:val="5"/>
        </w:numPr>
        <w:rPr>
          <w:rFonts w:ascii="Arial" w:hAnsi="Arial" w:cs="Arial"/>
        </w:rPr>
      </w:pPr>
      <w:r w:rsidRPr="00810659">
        <w:rPr>
          <w:rFonts w:ascii="Arial" w:hAnsi="Arial" w:cs="Arial"/>
        </w:rPr>
        <w:t>Divorce</w:t>
      </w:r>
    </w:p>
    <w:p w14:paraId="40131938" w14:textId="23A40F98" w:rsidR="00C74877" w:rsidRPr="00810659" w:rsidRDefault="00C74877" w:rsidP="00C74877">
      <w:pPr>
        <w:pStyle w:val="ListParagraph"/>
        <w:numPr>
          <w:ilvl w:val="0"/>
          <w:numId w:val="5"/>
        </w:numPr>
        <w:rPr>
          <w:rFonts w:ascii="Arial" w:hAnsi="Arial" w:cs="Arial"/>
        </w:rPr>
      </w:pPr>
      <w:r w:rsidRPr="00810659">
        <w:rPr>
          <w:rFonts w:ascii="Arial" w:hAnsi="Arial" w:cs="Arial"/>
        </w:rPr>
        <w:t>Magistrates courts</w:t>
      </w:r>
    </w:p>
    <w:p w14:paraId="37BB6218" w14:textId="108BBAB2" w:rsidR="00C74877" w:rsidRPr="00810659" w:rsidRDefault="00C74877" w:rsidP="00C74877">
      <w:pPr>
        <w:pStyle w:val="ListParagraph"/>
        <w:numPr>
          <w:ilvl w:val="0"/>
          <w:numId w:val="5"/>
        </w:numPr>
        <w:rPr>
          <w:rFonts w:ascii="Arial" w:hAnsi="Arial" w:cs="Arial"/>
        </w:rPr>
      </w:pPr>
      <w:r w:rsidRPr="00810659">
        <w:rPr>
          <w:rFonts w:ascii="Arial" w:hAnsi="Arial" w:cs="Arial"/>
        </w:rPr>
        <w:t xml:space="preserve">Court of </w:t>
      </w:r>
      <w:r w:rsidR="002A6077" w:rsidRPr="00810659">
        <w:rPr>
          <w:rFonts w:ascii="Arial" w:hAnsi="Arial" w:cs="Arial"/>
        </w:rPr>
        <w:t>P</w:t>
      </w:r>
      <w:r w:rsidRPr="00810659">
        <w:rPr>
          <w:rFonts w:ascii="Arial" w:hAnsi="Arial" w:cs="Arial"/>
        </w:rPr>
        <w:t>rotection</w:t>
      </w:r>
      <w:r w:rsidR="003263B6" w:rsidRPr="00810659">
        <w:rPr>
          <w:rFonts w:ascii="Arial" w:hAnsi="Arial" w:cs="Arial"/>
        </w:rPr>
        <w:t xml:space="preserve"> (CoP)</w:t>
      </w:r>
    </w:p>
    <w:p w14:paraId="181FE005" w14:textId="444A8F0E" w:rsidR="009563E7" w:rsidRPr="00810659" w:rsidRDefault="00011EAC" w:rsidP="009563E7">
      <w:pPr>
        <w:rPr>
          <w:rFonts w:ascii="Arial" w:hAnsi="Arial" w:cs="Arial"/>
        </w:rPr>
      </w:pPr>
      <w:r w:rsidRPr="00810659">
        <w:rPr>
          <w:rFonts w:ascii="Arial" w:hAnsi="Arial" w:cs="Arial"/>
        </w:rPr>
        <w:t xml:space="preserve">4.5. </w:t>
      </w:r>
      <w:r w:rsidR="003441C4" w:rsidRPr="00810659">
        <w:rPr>
          <w:rFonts w:ascii="Arial" w:hAnsi="Arial" w:cs="Arial"/>
        </w:rPr>
        <w:t>In the majority of cases, the claimant will be responsible for paying the fee, unless it is specified that it</w:t>
      </w:r>
      <w:r w:rsidR="00DE40A0" w:rsidRPr="00810659">
        <w:rPr>
          <w:rFonts w:ascii="Arial" w:hAnsi="Arial" w:cs="Arial"/>
        </w:rPr>
        <w:t xml:space="preserve"> i</w:t>
      </w:r>
      <w:r w:rsidR="003441C4" w:rsidRPr="00810659">
        <w:rPr>
          <w:rFonts w:ascii="Arial" w:hAnsi="Arial" w:cs="Arial"/>
        </w:rPr>
        <w:t xml:space="preserve">s the defendant </w:t>
      </w:r>
      <w:r w:rsidR="005B0A9C" w:rsidRPr="00810659">
        <w:rPr>
          <w:rFonts w:ascii="Arial" w:hAnsi="Arial" w:cs="Arial"/>
        </w:rPr>
        <w:t xml:space="preserve">who </w:t>
      </w:r>
      <w:r w:rsidR="003441C4" w:rsidRPr="00810659">
        <w:rPr>
          <w:rFonts w:ascii="Arial" w:hAnsi="Arial" w:cs="Arial"/>
        </w:rPr>
        <w:t>must pay</w:t>
      </w:r>
      <w:r w:rsidR="00F159B2" w:rsidRPr="00810659">
        <w:rPr>
          <w:rFonts w:ascii="Arial" w:hAnsi="Arial" w:cs="Arial"/>
        </w:rPr>
        <w:t xml:space="preserve"> </w:t>
      </w:r>
      <w:r w:rsidR="00A53D96" w:rsidRPr="00810659">
        <w:rPr>
          <w:rFonts w:ascii="Arial" w:hAnsi="Arial" w:cs="Arial"/>
        </w:rPr>
        <w:t>- some</w:t>
      </w:r>
      <w:r w:rsidR="00D91836" w:rsidRPr="00810659">
        <w:rPr>
          <w:rFonts w:ascii="Arial" w:hAnsi="Arial" w:cs="Arial"/>
        </w:rPr>
        <w:t xml:space="preserve"> </w:t>
      </w:r>
      <w:r w:rsidR="00A53D96" w:rsidRPr="00810659">
        <w:rPr>
          <w:rFonts w:ascii="Arial" w:hAnsi="Arial" w:cs="Arial"/>
        </w:rPr>
        <w:t>f</w:t>
      </w:r>
      <w:r w:rsidR="0067291B" w:rsidRPr="00810659">
        <w:rPr>
          <w:rFonts w:ascii="Arial" w:hAnsi="Arial" w:cs="Arial"/>
        </w:rPr>
        <w:t xml:space="preserve">ees </w:t>
      </w:r>
      <w:r w:rsidR="001B11A5" w:rsidRPr="00810659">
        <w:rPr>
          <w:rFonts w:ascii="Arial" w:hAnsi="Arial" w:cs="Arial"/>
        </w:rPr>
        <w:t xml:space="preserve">that are </w:t>
      </w:r>
      <w:r w:rsidR="515D3570" w:rsidRPr="00810659">
        <w:rPr>
          <w:rFonts w:ascii="Arial" w:hAnsi="Arial" w:cs="Arial"/>
        </w:rPr>
        <w:t xml:space="preserve">initially payed by claimants </w:t>
      </w:r>
      <w:r w:rsidR="0067291B" w:rsidRPr="00810659">
        <w:rPr>
          <w:rFonts w:ascii="Arial" w:hAnsi="Arial" w:cs="Arial"/>
        </w:rPr>
        <w:t>may</w:t>
      </w:r>
      <w:r w:rsidR="70BACFE1" w:rsidRPr="00810659">
        <w:rPr>
          <w:rFonts w:ascii="Arial" w:hAnsi="Arial" w:cs="Arial"/>
        </w:rPr>
        <w:t>, at the conclusion of the case,</w:t>
      </w:r>
      <w:r w:rsidR="0067291B" w:rsidRPr="00810659">
        <w:rPr>
          <w:rFonts w:ascii="Arial" w:hAnsi="Arial" w:cs="Arial"/>
        </w:rPr>
        <w:t xml:space="preserve"> be passed on to a defendant</w:t>
      </w:r>
      <w:r w:rsidR="00640A36" w:rsidRPr="00810659">
        <w:rPr>
          <w:rFonts w:ascii="Arial" w:hAnsi="Arial" w:cs="Arial"/>
        </w:rPr>
        <w:t>, for example in the case of civil money claims</w:t>
      </w:r>
      <w:r w:rsidR="00D31ABE" w:rsidRPr="00810659">
        <w:rPr>
          <w:rFonts w:ascii="Arial" w:hAnsi="Arial" w:cs="Arial"/>
        </w:rPr>
        <w:t>.</w:t>
      </w:r>
      <w:r w:rsidR="0067291B" w:rsidRPr="00810659">
        <w:rPr>
          <w:rFonts w:ascii="Arial" w:hAnsi="Arial" w:cs="Arial"/>
        </w:rPr>
        <w:t xml:space="preserve"> </w:t>
      </w:r>
      <w:r w:rsidR="003441C4" w:rsidRPr="00810659">
        <w:rPr>
          <w:rFonts w:ascii="Arial" w:hAnsi="Arial" w:cs="Arial"/>
        </w:rPr>
        <w:t xml:space="preserve"> In </w:t>
      </w:r>
      <w:r w:rsidR="29A1AB77" w:rsidRPr="00810659">
        <w:rPr>
          <w:rFonts w:ascii="Arial" w:hAnsi="Arial" w:cs="Arial"/>
        </w:rPr>
        <w:t xml:space="preserve">most </w:t>
      </w:r>
      <w:r w:rsidR="003441C4" w:rsidRPr="00810659">
        <w:rPr>
          <w:rFonts w:ascii="Arial" w:hAnsi="Arial" w:cs="Arial"/>
        </w:rPr>
        <w:t xml:space="preserve">cases, we are interested in the characteristics of the claimant. </w:t>
      </w:r>
    </w:p>
    <w:p w14:paraId="19E1EBDF" w14:textId="33DD8054" w:rsidR="003441C4" w:rsidRPr="00810659" w:rsidRDefault="00011EAC" w:rsidP="009563E7">
      <w:pPr>
        <w:rPr>
          <w:rFonts w:ascii="Arial" w:hAnsi="Arial" w:cs="Arial"/>
        </w:rPr>
      </w:pPr>
      <w:r w:rsidRPr="00810659">
        <w:rPr>
          <w:rFonts w:ascii="Arial" w:hAnsi="Arial" w:cs="Arial"/>
        </w:rPr>
        <w:t xml:space="preserve">4.6. </w:t>
      </w:r>
      <w:r w:rsidR="003441C4" w:rsidRPr="00810659">
        <w:rPr>
          <w:rFonts w:ascii="Arial" w:hAnsi="Arial" w:cs="Arial"/>
        </w:rPr>
        <w:t xml:space="preserve"> </w:t>
      </w:r>
      <w:r w:rsidR="77A7E655" w:rsidRPr="00810659">
        <w:rPr>
          <w:rFonts w:ascii="Arial" w:hAnsi="Arial" w:cs="Arial"/>
        </w:rPr>
        <w:t xml:space="preserve">In </w:t>
      </w:r>
      <w:r w:rsidR="003441C4" w:rsidRPr="00810659">
        <w:rPr>
          <w:rFonts w:ascii="Arial" w:hAnsi="Arial" w:cs="Arial"/>
        </w:rPr>
        <w:t>many cases</w:t>
      </w:r>
      <w:r w:rsidR="2B98947E" w:rsidRPr="00810659">
        <w:rPr>
          <w:rFonts w:ascii="Arial" w:hAnsi="Arial" w:cs="Arial"/>
        </w:rPr>
        <w:t xml:space="preserve">, the claimant will be a </w:t>
      </w:r>
      <w:proofErr w:type="gramStart"/>
      <w:r w:rsidR="003441C4" w:rsidRPr="00810659">
        <w:rPr>
          <w:rFonts w:ascii="Arial" w:hAnsi="Arial" w:cs="Arial"/>
        </w:rPr>
        <w:t xml:space="preserve">business </w:t>
      </w:r>
      <w:r w:rsidR="38A2320B" w:rsidRPr="00810659">
        <w:rPr>
          <w:rFonts w:ascii="Arial" w:hAnsi="Arial" w:cs="Arial"/>
        </w:rPr>
        <w:t>or</w:t>
      </w:r>
      <w:r w:rsidR="003441C4" w:rsidRPr="00810659">
        <w:rPr>
          <w:rFonts w:ascii="Arial" w:hAnsi="Arial" w:cs="Arial"/>
        </w:rPr>
        <w:t xml:space="preserve"> other organisations</w:t>
      </w:r>
      <w:proofErr w:type="gramEnd"/>
      <w:r w:rsidR="45023D22" w:rsidRPr="00810659">
        <w:rPr>
          <w:rFonts w:ascii="Arial" w:hAnsi="Arial" w:cs="Arial"/>
        </w:rPr>
        <w:t>, rather than an individual,</w:t>
      </w:r>
      <w:r w:rsidR="003441C4" w:rsidRPr="00810659">
        <w:rPr>
          <w:rFonts w:ascii="Arial" w:hAnsi="Arial" w:cs="Arial"/>
        </w:rPr>
        <w:t xml:space="preserve"> in which case they would not be</w:t>
      </w:r>
      <w:r w:rsidR="009648ED" w:rsidRPr="00810659">
        <w:rPr>
          <w:rFonts w:ascii="Arial" w:hAnsi="Arial" w:cs="Arial"/>
        </w:rPr>
        <w:t xml:space="preserve"> relevant to the analysis of protected characteristics</w:t>
      </w:r>
      <w:r w:rsidR="003441C4" w:rsidRPr="00810659">
        <w:rPr>
          <w:rFonts w:ascii="Arial" w:hAnsi="Arial" w:cs="Arial"/>
        </w:rPr>
        <w:t xml:space="preserve">. </w:t>
      </w:r>
    </w:p>
    <w:p w14:paraId="78D20914" w14:textId="5B1D8B3C" w:rsidR="00781C52" w:rsidRPr="00810659" w:rsidRDefault="00011EAC" w:rsidP="724F733F">
      <w:pPr>
        <w:rPr>
          <w:rFonts w:ascii="Arial" w:hAnsi="Arial" w:cs="Arial"/>
        </w:rPr>
      </w:pPr>
      <w:r w:rsidRPr="00810659">
        <w:rPr>
          <w:rFonts w:ascii="Arial" w:hAnsi="Arial" w:cs="Arial"/>
        </w:rPr>
        <w:lastRenderedPageBreak/>
        <w:t xml:space="preserve">4.7. </w:t>
      </w:r>
      <w:r w:rsidR="00A72D63" w:rsidRPr="00810659">
        <w:rPr>
          <w:rFonts w:ascii="Arial" w:hAnsi="Arial" w:cs="Arial"/>
        </w:rPr>
        <w:t xml:space="preserve">Increasing court fees is likely to have a greater impact on individuals who are on a lower income, as these individuals are likely to have less disposable income with which to meet the additional cost of fees. However, this impact is mitigated by the proposed increase to </w:t>
      </w:r>
      <w:proofErr w:type="spellStart"/>
      <w:r w:rsidR="00A72D63" w:rsidRPr="00810659">
        <w:rPr>
          <w:rFonts w:ascii="Arial" w:hAnsi="Arial" w:cs="Arial"/>
        </w:rPr>
        <w:t>HwF</w:t>
      </w:r>
      <w:proofErr w:type="spellEnd"/>
      <w:r w:rsidR="00A72D63" w:rsidRPr="00810659">
        <w:rPr>
          <w:rFonts w:ascii="Arial" w:hAnsi="Arial" w:cs="Arial"/>
        </w:rPr>
        <w:t xml:space="preserve"> income thresholds, as this will increase the number of people eligible for a full or partial remission of a court fee. </w:t>
      </w:r>
      <w:r w:rsidR="00781C52" w:rsidRPr="00810659">
        <w:rPr>
          <w:rFonts w:ascii="Arial" w:hAnsi="Arial" w:cs="Arial"/>
        </w:rPr>
        <w:t>This assessment</w:t>
      </w:r>
      <w:r w:rsidR="001A3439" w:rsidRPr="00810659">
        <w:rPr>
          <w:rFonts w:ascii="Arial" w:hAnsi="Arial" w:cs="Arial"/>
        </w:rPr>
        <w:t>,</w:t>
      </w:r>
      <w:r w:rsidR="00781C52" w:rsidRPr="00810659">
        <w:rPr>
          <w:rFonts w:ascii="Arial" w:hAnsi="Arial" w:cs="Arial"/>
        </w:rPr>
        <w:t xml:space="preserve"> therefore</w:t>
      </w:r>
      <w:r w:rsidR="001A3439" w:rsidRPr="00810659">
        <w:rPr>
          <w:rFonts w:ascii="Arial" w:hAnsi="Arial" w:cs="Arial"/>
        </w:rPr>
        <w:t>,</w:t>
      </w:r>
      <w:r w:rsidR="00781C52" w:rsidRPr="00810659">
        <w:rPr>
          <w:rFonts w:ascii="Arial" w:hAnsi="Arial" w:cs="Arial"/>
        </w:rPr>
        <w:t xml:space="preserve"> also assesses the characteristics of those in the </w:t>
      </w:r>
      <w:r w:rsidR="00690F9B" w:rsidRPr="00810659">
        <w:rPr>
          <w:rFonts w:ascii="Arial" w:hAnsi="Arial" w:cs="Arial"/>
        </w:rPr>
        <w:t>lower</w:t>
      </w:r>
      <w:r w:rsidR="00781C52" w:rsidRPr="00810659">
        <w:rPr>
          <w:rFonts w:ascii="Arial" w:hAnsi="Arial" w:cs="Arial"/>
        </w:rPr>
        <w:t xml:space="preserve"> </w:t>
      </w:r>
      <w:r w:rsidR="00690F9B" w:rsidRPr="00810659">
        <w:rPr>
          <w:rFonts w:ascii="Arial" w:hAnsi="Arial" w:cs="Arial"/>
        </w:rPr>
        <w:t xml:space="preserve">income </w:t>
      </w:r>
      <w:r w:rsidR="00781C52" w:rsidRPr="00810659">
        <w:rPr>
          <w:rFonts w:ascii="Arial" w:hAnsi="Arial" w:cs="Arial"/>
        </w:rPr>
        <w:t>quintile</w:t>
      </w:r>
      <w:r w:rsidR="00690F9B" w:rsidRPr="00810659">
        <w:rPr>
          <w:rFonts w:ascii="Arial" w:hAnsi="Arial" w:cs="Arial"/>
        </w:rPr>
        <w:t>s</w:t>
      </w:r>
      <w:r w:rsidR="00781C52" w:rsidRPr="00810659">
        <w:rPr>
          <w:rFonts w:ascii="Arial" w:hAnsi="Arial" w:cs="Arial"/>
        </w:rPr>
        <w:t>, as</w:t>
      </w:r>
      <w:r w:rsidR="001A3439" w:rsidRPr="00810659">
        <w:rPr>
          <w:rFonts w:ascii="Arial" w:hAnsi="Arial" w:cs="Arial"/>
        </w:rPr>
        <w:t xml:space="preserve"> these</w:t>
      </w:r>
      <w:r w:rsidR="00781C52" w:rsidRPr="00810659">
        <w:rPr>
          <w:rFonts w:ascii="Arial" w:hAnsi="Arial" w:cs="Arial"/>
        </w:rPr>
        <w:t xml:space="preserve"> individuals are likely to be affected</w:t>
      </w:r>
      <w:r w:rsidR="52B91A6C" w:rsidRPr="00810659">
        <w:rPr>
          <w:rFonts w:ascii="Arial" w:hAnsi="Arial" w:cs="Arial"/>
        </w:rPr>
        <w:t xml:space="preserve"> most</w:t>
      </w:r>
      <w:r w:rsidR="00781C52" w:rsidRPr="00810659">
        <w:rPr>
          <w:rFonts w:ascii="Arial" w:hAnsi="Arial" w:cs="Arial"/>
        </w:rPr>
        <w:t xml:space="preserve"> by both the fee change</w:t>
      </w:r>
      <w:r w:rsidR="009E7F21" w:rsidRPr="00810659">
        <w:rPr>
          <w:rFonts w:ascii="Arial" w:hAnsi="Arial" w:cs="Arial"/>
        </w:rPr>
        <w:t>s</w:t>
      </w:r>
      <w:r w:rsidR="00781C52" w:rsidRPr="00810659">
        <w:rPr>
          <w:rFonts w:ascii="Arial" w:hAnsi="Arial" w:cs="Arial"/>
        </w:rPr>
        <w:t xml:space="preserve"> and the changes to </w:t>
      </w:r>
      <w:proofErr w:type="spellStart"/>
      <w:r w:rsidR="00781C52" w:rsidRPr="00810659">
        <w:rPr>
          <w:rFonts w:ascii="Arial" w:hAnsi="Arial" w:cs="Arial"/>
        </w:rPr>
        <w:t>HwF</w:t>
      </w:r>
      <w:proofErr w:type="spellEnd"/>
      <w:r w:rsidR="00781C52" w:rsidRPr="00810659">
        <w:rPr>
          <w:rFonts w:ascii="Arial" w:hAnsi="Arial" w:cs="Arial"/>
        </w:rPr>
        <w:t xml:space="preserve">. </w:t>
      </w:r>
    </w:p>
    <w:p w14:paraId="23AC992F" w14:textId="77777777" w:rsidR="001A3439" w:rsidRPr="00810659" w:rsidRDefault="001A3439" w:rsidP="005B27A3">
      <w:pPr>
        <w:rPr>
          <w:rFonts w:ascii="Arial" w:hAnsi="Arial" w:cs="Arial"/>
        </w:rPr>
      </w:pPr>
    </w:p>
    <w:p w14:paraId="32A8ECF6" w14:textId="2C29AD56" w:rsidR="00245992" w:rsidRPr="00810659" w:rsidRDefault="005B27A3" w:rsidP="005B27A3">
      <w:pPr>
        <w:rPr>
          <w:rFonts w:ascii="Arial" w:hAnsi="Arial" w:cs="Arial"/>
          <w:b/>
          <w:sz w:val="28"/>
        </w:rPr>
      </w:pPr>
      <w:r w:rsidRPr="00810659">
        <w:rPr>
          <w:rFonts w:ascii="Arial" w:hAnsi="Arial" w:cs="Arial"/>
          <w:b/>
          <w:sz w:val="28"/>
        </w:rPr>
        <w:t xml:space="preserve">5. </w:t>
      </w:r>
      <w:r w:rsidR="00245992" w:rsidRPr="00810659">
        <w:rPr>
          <w:rFonts w:ascii="Arial" w:hAnsi="Arial" w:cs="Arial"/>
          <w:b/>
          <w:sz w:val="28"/>
        </w:rPr>
        <w:t>Data Sources</w:t>
      </w:r>
    </w:p>
    <w:p w14:paraId="6B1ACD3B" w14:textId="5F64633E" w:rsidR="001E084D" w:rsidRPr="00810659" w:rsidRDefault="00011EAC" w:rsidP="00C74877">
      <w:pPr>
        <w:rPr>
          <w:rFonts w:ascii="Arial" w:hAnsi="Arial" w:cs="Arial"/>
        </w:rPr>
      </w:pPr>
      <w:r w:rsidRPr="00810659">
        <w:rPr>
          <w:rFonts w:ascii="Arial" w:hAnsi="Arial" w:cs="Arial"/>
        </w:rPr>
        <w:t xml:space="preserve">5.1. </w:t>
      </w:r>
      <w:r w:rsidR="004F4589" w:rsidRPr="00810659">
        <w:rPr>
          <w:rFonts w:ascii="Arial" w:hAnsi="Arial" w:cs="Arial"/>
        </w:rPr>
        <w:t xml:space="preserve">Data is not routinely collected on characteristics of court applicants </w:t>
      </w:r>
      <w:r w:rsidR="001E084D" w:rsidRPr="00810659">
        <w:rPr>
          <w:rFonts w:ascii="Arial" w:hAnsi="Arial" w:cs="Arial"/>
        </w:rPr>
        <w:t>and</w:t>
      </w:r>
      <w:r w:rsidR="004F4589" w:rsidRPr="00810659">
        <w:rPr>
          <w:rFonts w:ascii="Arial" w:hAnsi="Arial" w:cs="Arial"/>
        </w:rPr>
        <w:t xml:space="preserve"> we</w:t>
      </w:r>
      <w:r w:rsidR="001E084D" w:rsidRPr="00810659">
        <w:rPr>
          <w:rFonts w:ascii="Arial" w:hAnsi="Arial" w:cs="Arial"/>
        </w:rPr>
        <w:t xml:space="preserve"> therefore have </w:t>
      </w:r>
      <w:r w:rsidR="004F4589" w:rsidRPr="00810659">
        <w:rPr>
          <w:rFonts w:ascii="Arial" w:hAnsi="Arial" w:cs="Arial"/>
        </w:rPr>
        <w:t>had to look at other data sources to look at characteristics of users in different jurisdictions</w:t>
      </w:r>
      <w:r w:rsidR="001E084D" w:rsidRPr="00810659">
        <w:rPr>
          <w:rFonts w:ascii="Arial" w:hAnsi="Arial" w:cs="Arial"/>
        </w:rPr>
        <w:t xml:space="preserve">. </w:t>
      </w:r>
      <w:r w:rsidR="00514DDF" w:rsidRPr="00810659">
        <w:rPr>
          <w:rFonts w:ascii="Arial" w:hAnsi="Arial" w:cs="Arial"/>
        </w:rPr>
        <w:t>The data sources used are:</w:t>
      </w:r>
    </w:p>
    <w:p w14:paraId="7E403655" w14:textId="12DCAB35" w:rsidR="00514DDF" w:rsidRPr="00810659" w:rsidRDefault="00036BCF" w:rsidP="009D6125">
      <w:pPr>
        <w:pStyle w:val="ListParagraph"/>
        <w:numPr>
          <w:ilvl w:val="0"/>
          <w:numId w:val="6"/>
        </w:numPr>
        <w:rPr>
          <w:rFonts w:ascii="Arial" w:hAnsi="Arial" w:cs="Arial"/>
        </w:rPr>
      </w:pPr>
      <w:r w:rsidRPr="00810659">
        <w:rPr>
          <w:rFonts w:ascii="Arial" w:hAnsi="Arial" w:cs="Arial"/>
        </w:rPr>
        <w:t>Civil Court User Survey</w:t>
      </w:r>
      <w:r w:rsidR="00462DF6" w:rsidRPr="00810659">
        <w:rPr>
          <w:rFonts w:ascii="Arial" w:hAnsi="Arial" w:cs="Arial"/>
        </w:rPr>
        <w:t xml:space="preserve"> (CCUS)</w:t>
      </w:r>
      <w:r w:rsidRPr="00810659">
        <w:rPr>
          <w:rFonts w:ascii="Arial" w:hAnsi="Arial" w:cs="Arial"/>
        </w:rPr>
        <w:t xml:space="preserve"> 2014-2015: </w:t>
      </w:r>
      <w:r w:rsidR="009D6125" w:rsidRPr="00810659">
        <w:rPr>
          <w:rFonts w:ascii="Arial" w:hAnsi="Arial" w:cs="Arial"/>
        </w:rPr>
        <w:t>while the CCUS is now</w:t>
      </w:r>
      <w:r w:rsidR="001A2066" w:rsidRPr="00810659">
        <w:rPr>
          <w:rFonts w:ascii="Arial" w:hAnsi="Arial" w:cs="Arial"/>
        </w:rPr>
        <w:t xml:space="preserve"> over</w:t>
      </w:r>
      <w:r w:rsidR="009D6125" w:rsidRPr="00810659">
        <w:rPr>
          <w:rFonts w:ascii="Arial" w:hAnsi="Arial" w:cs="Arial"/>
        </w:rPr>
        <w:t xml:space="preserve"> </w:t>
      </w:r>
      <w:r w:rsidR="351CF0FE" w:rsidRPr="00810659">
        <w:rPr>
          <w:rFonts w:ascii="Arial" w:hAnsi="Arial" w:cs="Arial"/>
        </w:rPr>
        <w:t>five</w:t>
      </w:r>
      <w:r w:rsidR="009D6125" w:rsidRPr="00810659">
        <w:rPr>
          <w:rFonts w:ascii="Arial" w:hAnsi="Arial" w:cs="Arial"/>
        </w:rPr>
        <w:t xml:space="preserve"> years old, it </w:t>
      </w:r>
      <w:r w:rsidRPr="00810659">
        <w:rPr>
          <w:rFonts w:ascii="Arial" w:hAnsi="Arial" w:cs="Arial"/>
        </w:rPr>
        <w:t>provides robust information on the characteristics and experiences of civil court claimants in England and Wales, and on how the profile of claims differs between those made by businesses and those made by individuals.</w:t>
      </w:r>
    </w:p>
    <w:p w14:paraId="00715C49" w14:textId="7340F477" w:rsidR="00036BCF" w:rsidRPr="00810659" w:rsidRDefault="00036BCF" w:rsidP="00514DDF">
      <w:pPr>
        <w:pStyle w:val="ListParagraph"/>
        <w:numPr>
          <w:ilvl w:val="0"/>
          <w:numId w:val="6"/>
        </w:numPr>
        <w:rPr>
          <w:rFonts w:ascii="Arial" w:hAnsi="Arial" w:cs="Arial"/>
        </w:rPr>
      </w:pPr>
      <w:r w:rsidRPr="00810659">
        <w:rPr>
          <w:rFonts w:ascii="Arial" w:hAnsi="Arial" w:cs="Arial"/>
        </w:rPr>
        <w:t>Households below average income (HBAI)</w:t>
      </w:r>
      <w:r w:rsidR="007D6697" w:rsidRPr="00810659">
        <w:rPr>
          <w:rFonts w:ascii="Arial" w:hAnsi="Arial" w:cs="Arial"/>
        </w:rPr>
        <w:t xml:space="preserve"> 1994/95 to 201</w:t>
      </w:r>
      <w:r w:rsidR="6D7126CD" w:rsidRPr="00810659">
        <w:rPr>
          <w:rFonts w:ascii="Arial" w:hAnsi="Arial" w:cs="Arial"/>
        </w:rPr>
        <w:t>9</w:t>
      </w:r>
      <w:r w:rsidR="007D6697" w:rsidRPr="00810659">
        <w:rPr>
          <w:rFonts w:ascii="Arial" w:hAnsi="Arial" w:cs="Arial"/>
        </w:rPr>
        <w:t>/</w:t>
      </w:r>
      <w:r w:rsidR="7CDF3D29" w:rsidRPr="00810659">
        <w:rPr>
          <w:rFonts w:ascii="Arial" w:hAnsi="Arial" w:cs="Arial"/>
        </w:rPr>
        <w:t>20</w:t>
      </w:r>
      <w:r w:rsidRPr="00810659">
        <w:rPr>
          <w:rFonts w:ascii="Arial" w:hAnsi="Arial" w:cs="Arial"/>
        </w:rPr>
        <w:t>:  provides estimates on the number and percentage of people living in low-income households based on disposable income. Figures are also provided for children, pensioners, working-age adults and individuals living in a family where someone is disabled.</w:t>
      </w:r>
    </w:p>
    <w:p w14:paraId="17EE044F" w14:textId="23871162" w:rsidR="00036BCF" w:rsidRPr="00810659" w:rsidRDefault="00036BCF" w:rsidP="00514DDF">
      <w:pPr>
        <w:pStyle w:val="ListParagraph"/>
        <w:numPr>
          <w:ilvl w:val="0"/>
          <w:numId w:val="6"/>
        </w:numPr>
        <w:rPr>
          <w:rFonts w:ascii="Arial" w:hAnsi="Arial" w:cs="Arial"/>
        </w:rPr>
      </w:pPr>
      <w:r w:rsidRPr="00810659">
        <w:rPr>
          <w:rFonts w:ascii="Arial" w:hAnsi="Arial" w:cs="Arial"/>
        </w:rPr>
        <w:t>ONS Divorce Statistics</w:t>
      </w:r>
      <w:r w:rsidR="007D6697" w:rsidRPr="00810659">
        <w:rPr>
          <w:rFonts w:ascii="Arial" w:hAnsi="Arial" w:cs="Arial"/>
        </w:rPr>
        <w:t xml:space="preserve"> 2019</w:t>
      </w:r>
      <w:r w:rsidRPr="00810659">
        <w:rPr>
          <w:rFonts w:ascii="Arial" w:hAnsi="Arial" w:cs="Arial"/>
        </w:rPr>
        <w:t>: Divorces taking place covering dissolutions and annulments of marriage by previous marital status, sex and age of persons divorcing, children of divorced couples, fact proven at divorce and to whom granted.</w:t>
      </w:r>
    </w:p>
    <w:p w14:paraId="21280F7D" w14:textId="6C5DE395" w:rsidR="00036BCF" w:rsidRPr="00810659" w:rsidRDefault="00036BCF" w:rsidP="00514DDF">
      <w:pPr>
        <w:pStyle w:val="ListParagraph"/>
        <w:numPr>
          <w:ilvl w:val="0"/>
          <w:numId w:val="6"/>
        </w:numPr>
        <w:rPr>
          <w:rFonts w:ascii="Arial" w:hAnsi="Arial" w:cs="Arial"/>
        </w:rPr>
      </w:pPr>
      <w:r w:rsidRPr="00810659">
        <w:rPr>
          <w:rFonts w:ascii="Arial" w:hAnsi="Arial" w:cs="Arial"/>
        </w:rPr>
        <w:t xml:space="preserve">ONS </w:t>
      </w:r>
      <w:r w:rsidR="00013C4C" w:rsidRPr="00810659">
        <w:rPr>
          <w:rFonts w:ascii="Arial" w:hAnsi="Arial" w:cs="Arial"/>
        </w:rPr>
        <w:t>“</w:t>
      </w:r>
      <w:r w:rsidRPr="00810659">
        <w:rPr>
          <w:rFonts w:ascii="Arial" w:hAnsi="Arial" w:cs="Arial"/>
        </w:rPr>
        <w:t>Families and households</w:t>
      </w:r>
      <w:r w:rsidR="00013C4C" w:rsidRPr="00810659">
        <w:rPr>
          <w:rFonts w:ascii="Arial" w:hAnsi="Arial" w:cs="Arial"/>
        </w:rPr>
        <w:t>”</w:t>
      </w:r>
      <w:r w:rsidRPr="00810659">
        <w:rPr>
          <w:rFonts w:ascii="Arial" w:hAnsi="Arial" w:cs="Arial"/>
        </w:rPr>
        <w:t xml:space="preserve"> statistics</w:t>
      </w:r>
      <w:r w:rsidR="007D6697" w:rsidRPr="00810659">
        <w:rPr>
          <w:rFonts w:ascii="Arial" w:hAnsi="Arial" w:cs="Arial"/>
        </w:rPr>
        <w:t xml:space="preserve"> 2019</w:t>
      </w:r>
      <w:r w:rsidRPr="00810659">
        <w:rPr>
          <w:rFonts w:ascii="Arial" w:hAnsi="Arial" w:cs="Arial"/>
        </w:rPr>
        <w:t>: Trends in living arrangements including families (with and without dependent children), people living alone and people in shared accommodation, broken down by size and type of household.</w:t>
      </w:r>
    </w:p>
    <w:p w14:paraId="18E6E3A6" w14:textId="418B9FD0" w:rsidR="00013C4C" w:rsidRPr="00810659" w:rsidRDefault="00013C4C" w:rsidP="00514DDF">
      <w:pPr>
        <w:pStyle w:val="ListParagraph"/>
        <w:numPr>
          <w:ilvl w:val="0"/>
          <w:numId w:val="6"/>
        </w:numPr>
        <w:rPr>
          <w:rFonts w:ascii="Arial" w:hAnsi="Arial" w:cs="Arial"/>
        </w:rPr>
      </w:pPr>
      <w:r w:rsidRPr="00810659">
        <w:rPr>
          <w:rFonts w:ascii="Arial" w:hAnsi="Arial" w:cs="Arial"/>
        </w:rPr>
        <w:t xml:space="preserve">ONS </w:t>
      </w:r>
      <w:r w:rsidR="00C533B2" w:rsidRPr="00810659">
        <w:rPr>
          <w:rFonts w:ascii="Arial" w:hAnsi="Arial" w:cs="Arial"/>
        </w:rPr>
        <w:t>P</w:t>
      </w:r>
      <w:r w:rsidRPr="00810659">
        <w:rPr>
          <w:rFonts w:ascii="Arial" w:hAnsi="Arial" w:cs="Arial"/>
        </w:rPr>
        <w:t>opulation estimates for UK, England and Wales, Scotland and Northern Ireland</w:t>
      </w:r>
      <w:r w:rsidR="00D04C0D" w:rsidRPr="00810659">
        <w:rPr>
          <w:rFonts w:ascii="Arial" w:hAnsi="Arial" w:cs="Arial"/>
        </w:rPr>
        <w:t>: Mid-2001 to mid-2019 detailed time series</w:t>
      </w:r>
      <w:r w:rsidRPr="00810659">
        <w:rPr>
          <w:rFonts w:ascii="Arial" w:hAnsi="Arial" w:cs="Arial"/>
        </w:rPr>
        <w:t>.</w:t>
      </w:r>
    </w:p>
    <w:p w14:paraId="07EC117D" w14:textId="42D6C9BA" w:rsidR="00493E34" w:rsidRPr="00810659" w:rsidRDefault="00013C4C" w:rsidP="00DD7C68">
      <w:pPr>
        <w:pStyle w:val="ListParagraph"/>
        <w:numPr>
          <w:ilvl w:val="0"/>
          <w:numId w:val="6"/>
        </w:numPr>
        <w:rPr>
          <w:rFonts w:ascii="Arial" w:hAnsi="Arial" w:cs="Arial"/>
        </w:rPr>
      </w:pPr>
      <w:r w:rsidRPr="00810659">
        <w:rPr>
          <w:rFonts w:ascii="Arial" w:hAnsi="Arial" w:cs="Arial"/>
        </w:rPr>
        <w:t>C</w:t>
      </w:r>
      <w:r w:rsidR="000F1A3C" w:rsidRPr="00810659">
        <w:rPr>
          <w:rFonts w:ascii="Arial" w:hAnsi="Arial" w:cs="Arial"/>
        </w:rPr>
        <w:t>afcass</w:t>
      </w:r>
      <w:r w:rsidRPr="00810659">
        <w:rPr>
          <w:rFonts w:ascii="Arial" w:hAnsi="Arial" w:cs="Arial"/>
        </w:rPr>
        <w:t xml:space="preserve"> data on characteristics of service users</w:t>
      </w:r>
      <w:r w:rsidR="00DD7C68" w:rsidRPr="00810659">
        <w:rPr>
          <w:rFonts w:ascii="Arial" w:hAnsi="Arial" w:cs="Arial"/>
        </w:rPr>
        <w:t xml:space="preserve"> for private law proceedings</w:t>
      </w:r>
      <w:r w:rsidR="0092160C" w:rsidRPr="00810659">
        <w:rPr>
          <w:rFonts w:ascii="Arial" w:hAnsi="Arial" w:cs="Arial"/>
        </w:rPr>
        <w:t xml:space="preserve"> for the financial year 2018-2019</w:t>
      </w:r>
      <w:r w:rsidR="00DD7C68" w:rsidRPr="00810659">
        <w:rPr>
          <w:rFonts w:ascii="Arial" w:hAnsi="Arial" w:cs="Arial"/>
        </w:rPr>
        <w:t>.</w:t>
      </w:r>
    </w:p>
    <w:p w14:paraId="2B994086" w14:textId="1DEF65F4" w:rsidR="00F6294D" w:rsidRPr="00810659" w:rsidRDefault="00F6294D" w:rsidP="00336D98">
      <w:pPr>
        <w:pStyle w:val="ListParagraph"/>
        <w:numPr>
          <w:ilvl w:val="0"/>
          <w:numId w:val="6"/>
        </w:numPr>
        <w:rPr>
          <w:rFonts w:ascii="Arial" w:hAnsi="Arial" w:cs="Arial"/>
        </w:rPr>
      </w:pPr>
      <w:r w:rsidRPr="00810659">
        <w:rPr>
          <w:rFonts w:ascii="Arial" w:hAnsi="Arial" w:cs="Arial"/>
        </w:rPr>
        <w:t>Legal problem and resolution survey 2014 to 2015</w:t>
      </w:r>
      <w:r w:rsidR="00336D98" w:rsidRPr="00810659">
        <w:rPr>
          <w:rFonts w:ascii="Arial" w:hAnsi="Arial" w:cs="Arial"/>
        </w:rPr>
        <w:t xml:space="preserve">: measures people’s experiences of everyday problems that may have a legal solution through the civil court or tribunal system. </w:t>
      </w:r>
    </w:p>
    <w:p w14:paraId="6EB43788" w14:textId="77777777" w:rsidR="00C533B2" w:rsidRPr="00810659" w:rsidRDefault="00C533B2" w:rsidP="00C533B2">
      <w:pPr>
        <w:rPr>
          <w:rFonts w:ascii="Arial" w:hAnsi="Arial" w:cs="Arial"/>
        </w:rPr>
      </w:pPr>
    </w:p>
    <w:p w14:paraId="12C359EA" w14:textId="6FA7AF1C" w:rsidR="00036BCF" w:rsidRPr="00810659" w:rsidRDefault="005B27A3" w:rsidP="005B27A3">
      <w:pPr>
        <w:rPr>
          <w:rFonts w:ascii="Arial" w:hAnsi="Arial" w:cs="Arial"/>
          <w:b/>
          <w:sz w:val="28"/>
        </w:rPr>
      </w:pPr>
      <w:r w:rsidRPr="00810659">
        <w:rPr>
          <w:rFonts w:ascii="Arial" w:hAnsi="Arial" w:cs="Arial"/>
          <w:b/>
          <w:sz w:val="28"/>
        </w:rPr>
        <w:t xml:space="preserve">6. </w:t>
      </w:r>
      <w:r w:rsidR="00DE4DEC" w:rsidRPr="00810659">
        <w:rPr>
          <w:rFonts w:ascii="Arial" w:hAnsi="Arial" w:cs="Arial"/>
          <w:b/>
          <w:sz w:val="28"/>
        </w:rPr>
        <w:t>Analysis</w:t>
      </w:r>
    </w:p>
    <w:p w14:paraId="78FA783B" w14:textId="459E21D5" w:rsidR="00C10DA4" w:rsidRPr="00810659" w:rsidRDefault="00011EAC" w:rsidP="009A0749">
      <w:pPr>
        <w:rPr>
          <w:rFonts w:ascii="Arial" w:hAnsi="Arial" w:cs="Arial"/>
        </w:rPr>
      </w:pPr>
      <w:r w:rsidRPr="00810659">
        <w:rPr>
          <w:rFonts w:ascii="Arial" w:hAnsi="Arial" w:cs="Arial"/>
        </w:rPr>
        <w:t>6.1. O</w:t>
      </w:r>
      <w:r w:rsidR="009A0749" w:rsidRPr="00810659">
        <w:rPr>
          <w:rFonts w:ascii="Arial" w:hAnsi="Arial" w:cs="Arial"/>
        </w:rPr>
        <w:t xml:space="preserve">ur assessment, based on the information available, is that there is likely to be </w:t>
      </w:r>
      <w:r w:rsidR="009F617C" w:rsidRPr="00810659">
        <w:rPr>
          <w:rFonts w:ascii="Arial" w:hAnsi="Arial" w:cs="Arial"/>
        </w:rPr>
        <w:t xml:space="preserve">an </w:t>
      </w:r>
      <w:r w:rsidR="009A0749" w:rsidRPr="00810659">
        <w:rPr>
          <w:rFonts w:ascii="Arial" w:hAnsi="Arial" w:cs="Arial"/>
        </w:rPr>
        <w:t>over representation of people with certain protected characteristics</w:t>
      </w:r>
      <w:r w:rsidR="00826866" w:rsidRPr="00810659">
        <w:rPr>
          <w:rFonts w:ascii="Arial" w:hAnsi="Arial" w:cs="Arial"/>
        </w:rPr>
        <w:t xml:space="preserve"> among court users who pay fees</w:t>
      </w:r>
      <w:r w:rsidR="009A0749" w:rsidRPr="00810659">
        <w:rPr>
          <w:rFonts w:ascii="Arial" w:hAnsi="Arial" w:cs="Arial"/>
        </w:rPr>
        <w:t>. Therefore, it is more likely that individuals with th</w:t>
      </w:r>
      <w:r w:rsidR="00223EB5" w:rsidRPr="00810659">
        <w:rPr>
          <w:rFonts w:ascii="Arial" w:hAnsi="Arial" w:cs="Arial"/>
        </w:rPr>
        <w:t>o</w:t>
      </w:r>
      <w:r w:rsidR="009A0749" w:rsidRPr="00810659">
        <w:rPr>
          <w:rFonts w:ascii="Arial" w:hAnsi="Arial" w:cs="Arial"/>
        </w:rPr>
        <w:t xml:space="preserve">se protected characteristics could </w:t>
      </w:r>
      <w:r w:rsidR="00C136C5" w:rsidRPr="00810659">
        <w:rPr>
          <w:rFonts w:ascii="Arial" w:hAnsi="Arial" w:cs="Arial"/>
        </w:rPr>
        <w:t>be disproportionately affected by the fee changes</w:t>
      </w:r>
      <w:r w:rsidR="009A0749" w:rsidRPr="00810659">
        <w:rPr>
          <w:rFonts w:ascii="Arial" w:hAnsi="Arial" w:cs="Arial"/>
        </w:rPr>
        <w:t>.</w:t>
      </w:r>
    </w:p>
    <w:p w14:paraId="671EF01D" w14:textId="3501D8B2" w:rsidR="00BA772A" w:rsidRPr="00810659" w:rsidRDefault="00011EAC" w:rsidP="009A0749">
      <w:pPr>
        <w:rPr>
          <w:rFonts w:ascii="Arial" w:hAnsi="Arial" w:cs="Arial"/>
        </w:rPr>
      </w:pPr>
      <w:r w:rsidRPr="00810659">
        <w:rPr>
          <w:rFonts w:ascii="Arial" w:hAnsi="Arial" w:cs="Arial"/>
        </w:rPr>
        <w:t xml:space="preserve">6.2. </w:t>
      </w:r>
      <w:r w:rsidR="00011225" w:rsidRPr="00810659">
        <w:rPr>
          <w:rFonts w:ascii="Arial" w:hAnsi="Arial" w:cs="Arial"/>
        </w:rPr>
        <w:t xml:space="preserve">This section will analyse in more depth which court users </w:t>
      </w:r>
      <w:r w:rsidR="00575CE1" w:rsidRPr="00810659">
        <w:rPr>
          <w:rFonts w:ascii="Arial" w:hAnsi="Arial" w:cs="Arial"/>
        </w:rPr>
        <w:t>may be</w:t>
      </w:r>
      <w:r w:rsidR="00011225" w:rsidRPr="00810659">
        <w:rPr>
          <w:rFonts w:ascii="Arial" w:hAnsi="Arial" w:cs="Arial"/>
        </w:rPr>
        <w:t xml:space="preserve"> disproportionately affected by the fee changes by each jurisdiction </w:t>
      </w:r>
      <w:r w:rsidR="00D12603" w:rsidRPr="00810659">
        <w:rPr>
          <w:rFonts w:ascii="Arial" w:hAnsi="Arial" w:cs="Arial"/>
        </w:rPr>
        <w:t>in order to assess</w:t>
      </w:r>
      <w:r w:rsidR="00011225" w:rsidRPr="00810659">
        <w:rPr>
          <w:rFonts w:ascii="Arial" w:hAnsi="Arial" w:cs="Arial"/>
        </w:rPr>
        <w:t xml:space="preserve"> whether indirect discrimination </w:t>
      </w:r>
      <w:r w:rsidR="007B544C" w:rsidRPr="00810659">
        <w:rPr>
          <w:rFonts w:ascii="Arial" w:hAnsi="Arial" w:cs="Arial"/>
        </w:rPr>
        <w:t>c</w:t>
      </w:r>
      <w:r w:rsidR="00011225" w:rsidRPr="00810659">
        <w:rPr>
          <w:rFonts w:ascii="Arial" w:hAnsi="Arial" w:cs="Arial"/>
        </w:rPr>
        <w:t xml:space="preserve">ould occur as a result of the policy. </w:t>
      </w:r>
    </w:p>
    <w:p w14:paraId="7FCCBF15" w14:textId="60C957DF" w:rsidR="00831F07" w:rsidRPr="00810659" w:rsidRDefault="00831F07" w:rsidP="00DE1F02">
      <w:pPr>
        <w:rPr>
          <w:rFonts w:ascii="Arial" w:hAnsi="Arial" w:cs="Arial"/>
        </w:rPr>
      </w:pPr>
      <w:r w:rsidRPr="00810659">
        <w:rPr>
          <w:rFonts w:ascii="Arial" w:hAnsi="Arial" w:cs="Arial"/>
        </w:rPr>
        <w:t>6.3. Before looking at each jurisdiction separately, we analyse</w:t>
      </w:r>
      <w:r w:rsidR="00D3074F" w:rsidRPr="00810659">
        <w:rPr>
          <w:rFonts w:ascii="Arial" w:hAnsi="Arial" w:cs="Arial"/>
        </w:rPr>
        <w:t>d</w:t>
      </w:r>
      <w:r w:rsidR="00083D74" w:rsidRPr="00810659">
        <w:rPr>
          <w:rFonts w:ascii="Arial" w:hAnsi="Arial" w:cs="Arial"/>
        </w:rPr>
        <w:t xml:space="preserve"> findings fro</w:t>
      </w:r>
      <w:r w:rsidR="00DE1F02" w:rsidRPr="00810659">
        <w:rPr>
          <w:rFonts w:ascii="Arial" w:hAnsi="Arial" w:cs="Arial"/>
        </w:rPr>
        <w:t>m the Legal problem and resolution survey 2014 to 2015</w:t>
      </w:r>
      <w:r w:rsidR="00083D74" w:rsidRPr="00810659">
        <w:rPr>
          <w:rFonts w:ascii="Arial" w:hAnsi="Arial" w:cs="Arial"/>
        </w:rPr>
        <w:t>.</w:t>
      </w:r>
      <w:r w:rsidR="00DE1F02" w:rsidRPr="00810659">
        <w:rPr>
          <w:rFonts w:ascii="Arial" w:hAnsi="Arial" w:cs="Arial"/>
        </w:rPr>
        <w:t xml:space="preserve"> </w:t>
      </w:r>
      <w:r w:rsidR="00095522" w:rsidRPr="00810659">
        <w:rPr>
          <w:rFonts w:ascii="Arial" w:hAnsi="Arial" w:cs="Arial"/>
        </w:rPr>
        <w:t>This survey</w:t>
      </w:r>
      <w:r w:rsidR="00083D74" w:rsidRPr="00810659">
        <w:rPr>
          <w:rFonts w:ascii="Arial" w:hAnsi="Arial" w:cs="Arial"/>
        </w:rPr>
        <w:t xml:space="preserve"> </w:t>
      </w:r>
      <w:r w:rsidR="00DE1F02" w:rsidRPr="00810659">
        <w:rPr>
          <w:rFonts w:ascii="Arial" w:hAnsi="Arial" w:cs="Arial"/>
        </w:rPr>
        <w:t>measures people’s experiences of everyday problems that may have a legal solution through the civil justice or tribunal system</w:t>
      </w:r>
      <w:r w:rsidR="00083D74" w:rsidRPr="00810659">
        <w:rPr>
          <w:rFonts w:ascii="Arial" w:hAnsi="Arial" w:cs="Arial"/>
        </w:rPr>
        <w:t>.</w:t>
      </w:r>
      <w:r w:rsidR="00501855" w:rsidRPr="00810659">
        <w:rPr>
          <w:rFonts w:ascii="Arial" w:hAnsi="Arial" w:cs="Arial"/>
        </w:rPr>
        <w:t xml:space="preserve"> </w:t>
      </w:r>
      <w:r w:rsidR="00DE1F02" w:rsidRPr="00810659">
        <w:rPr>
          <w:rFonts w:ascii="Arial" w:hAnsi="Arial" w:cs="Arial"/>
        </w:rPr>
        <w:lastRenderedPageBreak/>
        <w:t xml:space="preserve">We have specifically looked at the prevalence of a range of civil, administrative and family legal problems across the adult (aged 18 and over) population of England and Wales. </w:t>
      </w:r>
      <w:r w:rsidR="0036540E" w:rsidRPr="00810659">
        <w:rPr>
          <w:rFonts w:ascii="Arial" w:hAnsi="Arial" w:cs="Arial"/>
        </w:rPr>
        <w:t xml:space="preserve">While these individuals may not proceed to court, it provides an approximation of the characteristics of those that </w:t>
      </w:r>
      <w:r w:rsidR="007B544C" w:rsidRPr="00810659">
        <w:rPr>
          <w:rFonts w:ascii="Arial" w:hAnsi="Arial" w:cs="Arial"/>
        </w:rPr>
        <w:t>could potentially</w:t>
      </w:r>
      <w:r w:rsidR="0036540E" w:rsidRPr="00810659">
        <w:rPr>
          <w:rFonts w:ascii="Arial" w:hAnsi="Arial" w:cs="Arial"/>
        </w:rPr>
        <w:t xml:space="preserve"> be affected by the proposals.</w:t>
      </w:r>
      <w:r w:rsidR="00501855" w:rsidRPr="00810659">
        <w:rPr>
          <w:rFonts w:ascii="Arial" w:hAnsi="Arial" w:cs="Arial"/>
        </w:rPr>
        <w:t xml:space="preserve"> </w:t>
      </w:r>
      <w:r w:rsidR="00083D74" w:rsidRPr="00810659">
        <w:rPr>
          <w:rFonts w:ascii="Arial" w:hAnsi="Arial" w:cs="Arial"/>
        </w:rPr>
        <w:t xml:space="preserve"> </w:t>
      </w:r>
    </w:p>
    <w:p w14:paraId="0879ADD5" w14:textId="37CE515C" w:rsidR="00665708" w:rsidRPr="00810659" w:rsidRDefault="00665708" w:rsidP="00DE1F02">
      <w:pPr>
        <w:rPr>
          <w:rFonts w:ascii="Arial" w:hAnsi="Arial" w:cs="Arial"/>
        </w:rPr>
      </w:pPr>
      <w:r w:rsidRPr="00810659">
        <w:rPr>
          <w:rFonts w:ascii="Arial" w:hAnsi="Arial" w:cs="Arial"/>
        </w:rPr>
        <w:t>6.4. Respondents to the survey were asked whether they experienced any civil, administrative or family problems in the 18 months before the interview.</w:t>
      </w:r>
      <w:r w:rsidR="00E5608D" w:rsidRPr="00810659">
        <w:rPr>
          <w:rFonts w:ascii="Arial" w:hAnsi="Arial" w:cs="Arial"/>
        </w:rPr>
        <w:t xml:space="preserve"> </w:t>
      </w:r>
      <w:r w:rsidR="00AC13A3" w:rsidRPr="00810659">
        <w:rPr>
          <w:rFonts w:ascii="Arial" w:hAnsi="Arial" w:cs="Arial"/>
        </w:rPr>
        <w:t>A s</w:t>
      </w:r>
      <w:r w:rsidR="00E5608D" w:rsidRPr="00810659">
        <w:rPr>
          <w:rFonts w:ascii="Arial" w:hAnsi="Arial" w:cs="Arial"/>
        </w:rPr>
        <w:t xml:space="preserve">ummary of the findings is in Table 3 below. </w:t>
      </w:r>
    </w:p>
    <w:p w14:paraId="6F4905FE" w14:textId="61BF5939" w:rsidR="00E5608D" w:rsidRPr="00810659" w:rsidRDefault="00E5608D" w:rsidP="00DE1F02">
      <w:pPr>
        <w:rPr>
          <w:rFonts w:ascii="Arial" w:hAnsi="Arial" w:cs="Arial"/>
        </w:rPr>
      </w:pPr>
      <w:r w:rsidRPr="00810659">
        <w:rPr>
          <w:rFonts w:ascii="Arial" w:hAnsi="Arial" w:cs="Arial"/>
        </w:rPr>
        <w:t>6.5.</w:t>
      </w:r>
      <w:r w:rsidR="00F80CCC" w:rsidRPr="00810659">
        <w:rPr>
          <w:rFonts w:ascii="Arial" w:hAnsi="Arial" w:cs="Arial"/>
        </w:rPr>
        <w:t xml:space="preserve"> </w:t>
      </w:r>
      <w:r w:rsidR="00394DDF" w:rsidRPr="00810659">
        <w:rPr>
          <w:rFonts w:ascii="Arial" w:hAnsi="Arial" w:cs="Arial"/>
        </w:rPr>
        <w:t>The</w:t>
      </w:r>
      <w:r w:rsidR="002C2AF9" w:rsidRPr="00810659">
        <w:rPr>
          <w:rFonts w:ascii="Arial" w:hAnsi="Arial" w:cs="Arial"/>
        </w:rPr>
        <w:t xml:space="preserve"> proportion of men and women </w:t>
      </w:r>
      <w:r w:rsidR="00394DDF" w:rsidRPr="00810659">
        <w:rPr>
          <w:rFonts w:ascii="Arial" w:hAnsi="Arial" w:cs="Arial"/>
        </w:rPr>
        <w:t>who had experienced</w:t>
      </w:r>
      <w:r w:rsidR="002C2AF9" w:rsidRPr="00810659">
        <w:rPr>
          <w:rFonts w:ascii="Arial" w:hAnsi="Arial" w:cs="Arial"/>
        </w:rPr>
        <w:t xml:space="preserve"> at least one legal problem in the 18 months before the interview </w:t>
      </w:r>
      <w:r w:rsidR="00394DDF" w:rsidRPr="00810659">
        <w:rPr>
          <w:rFonts w:ascii="Arial" w:hAnsi="Arial" w:cs="Arial"/>
        </w:rPr>
        <w:t xml:space="preserve">was </w:t>
      </w:r>
      <w:r w:rsidR="0039056E" w:rsidRPr="00810659">
        <w:rPr>
          <w:rFonts w:ascii="Arial" w:hAnsi="Arial" w:cs="Arial"/>
        </w:rPr>
        <w:t>32% for both.</w:t>
      </w:r>
    </w:p>
    <w:p w14:paraId="02A2B692" w14:textId="29EE1C62" w:rsidR="002C2AF9" w:rsidRPr="00810659" w:rsidRDefault="002C2AF9" w:rsidP="00DE1F02">
      <w:pPr>
        <w:rPr>
          <w:rFonts w:ascii="Arial" w:hAnsi="Arial" w:cs="Arial"/>
        </w:rPr>
      </w:pPr>
      <w:r w:rsidRPr="00810659">
        <w:rPr>
          <w:rFonts w:ascii="Arial" w:hAnsi="Arial" w:cs="Arial"/>
        </w:rPr>
        <w:t>6.6. In terms of age, individuals aged 25 to 44 and 18 to 24 were mo</w:t>
      </w:r>
      <w:r w:rsidR="00F76C53" w:rsidRPr="00810659">
        <w:rPr>
          <w:rFonts w:ascii="Arial" w:hAnsi="Arial" w:cs="Arial"/>
        </w:rPr>
        <w:t>re</w:t>
      </w:r>
      <w:r w:rsidRPr="00810659">
        <w:rPr>
          <w:rFonts w:ascii="Arial" w:hAnsi="Arial" w:cs="Arial"/>
        </w:rPr>
        <w:t xml:space="preserve"> likely to </w:t>
      </w:r>
      <w:r w:rsidR="00865DB1" w:rsidRPr="00810659">
        <w:rPr>
          <w:rFonts w:ascii="Arial" w:hAnsi="Arial" w:cs="Arial"/>
        </w:rPr>
        <w:t>have</w:t>
      </w:r>
      <w:r w:rsidRPr="00810659">
        <w:rPr>
          <w:rFonts w:ascii="Arial" w:hAnsi="Arial" w:cs="Arial"/>
        </w:rPr>
        <w:t xml:space="preserve"> experience</w:t>
      </w:r>
      <w:r w:rsidR="00865DB1" w:rsidRPr="00810659">
        <w:rPr>
          <w:rFonts w:ascii="Arial" w:hAnsi="Arial" w:cs="Arial"/>
        </w:rPr>
        <w:t>d</w:t>
      </w:r>
      <w:r w:rsidRPr="00810659">
        <w:rPr>
          <w:rFonts w:ascii="Arial" w:hAnsi="Arial" w:cs="Arial"/>
        </w:rPr>
        <w:t xml:space="preserve"> a</w:t>
      </w:r>
      <w:r w:rsidR="00865DB1" w:rsidRPr="00810659">
        <w:rPr>
          <w:rFonts w:ascii="Arial" w:hAnsi="Arial" w:cs="Arial"/>
        </w:rPr>
        <w:t xml:space="preserve"> legal</w:t>
      </w:r>
      <w:r w:rsidRPr="00810659">
        <w:rPr>
          <w:rFonts w:ascii="Arial" w:hAnsi="Arial" w:cs="Arial"/>
        </w:rPr>
        <w:t xml:space="preserve"> problem (42% and 37% respectively)</w:t>
      </w:r>
      <w:r w:rsidR="00865DB1" w:rsidRPr="00810659">
        <w:rPr>
          <w:rFonts w:ascii="Arial" w:hAnsi="Arial" w:cs="Arial"/>
        </w:rPr>
        <w:t xml:space="preserve"> compared to other age groups</w:t>
      </w:r>
      <w:r w:rsidRPr="00810659">
        <w:rPr>
          <w:rFonts w:ascii="Arial" w:hAnsi="Arial" w:cs="Arial"/>
        </w:rPr>
        <w:t xml:space="preserve">. </w:t>
      </w:r>
    </w:p>
    <w:p w14:paraId="089B47A4" w14:textId="4BA1FFAA" w:rsidR="002C2AF9" w:rsidRPr="00810659" w:rsidRDefault="002C2AF9" w:rsidP="00DE1F02">
      <w:pPr>
        <w:rPr>
          <w:rFonts w:ascii="Arial" w:hAnsi="Arial" w:cs="Arial"/>
        </w:rPr>
      </w:pPr>
      <w:r w:rsidRPr="00810659">
        <w:rPr>
          <w:rFonts w:ascii="Arial" w:hAnsi="Arial" w:cs="Arial"/>
        </w:rPr>
        <w:t xml:space="preserve">6.7. BME individuals were more likely to </w:t>
      </w:r>
      <w:r w:rsidR="00C26E69" w:rsidRPr="00810659">
        <w:rPr>
          <w:rFonts w:ascii="Arial" w:hAnsi="Arial" w:cs="Arial"/>
        </w:rPr>
        <w:t>have</w:t>
      </w:r>
      <w:r w:rsidRPr="00810659">
        <w:rPr>
          <w:rFonts w:ascii="Arial" w:hAnsi="Arial" w:cs="Arial"/>
        </w:rPr>
        <w:t xml:space="preserve"> experience</w:t>
      </w:r>
      <w:r w:rsidR="00C26E69" w:rsidRPr="00810659">
        <w:rPr>
          <w:rFonts w:ascii="Arial" w:hAnsi="Arial" w:cs="Arial"/>
        </w:rPr>
        <w:t>d</w:t>
      </w:r>
      <w:r w:rsidRPr="00810659">
        <w:rPr>
          <w:rFonts w:ascii="Arial" w:hAnsi="Arial" w:cs="Arial"/>
        </w:rPr>
        <w:t xml:space="preserve"> at least </w:t>
      </w:r>
      <w:r w:rsidR="005A1B2A" w:rsidRPr="00810659">
        <w:rPr>
          <w:rFonts w:ascii="Arial" w:hAnsi="Arial" w:cs="Arial"/>
        </w:rPr>
        <w:t>one</w:t>
      </w:r>
      <w:r w:rsidRPr="00810659">
        <w:rPr>
          <w:rFonts w:ascii="Arial" w:hAnsi="Arial" w:cs="Arial"/>
        </w:rPr>
        <w:t xml:space="preserve"> legal problem compared to white individuals (38 % compared to 31%). </w:t>
      </w:r>
    </w:p>
    <w:p w14:paraId="04B5C838" w14:textId="1DC4F935" w:rsidR="00F80CCC" w:rsidRPr="00810659" w:rsidRDefault="002C2AF9" w:rsidP="009A0749">
      <w:pPr>
        <w:rPr>
          <w:rFonts w:ascii="Arial" w:hAnsi="Arial" w:cs="Arial"/>
        </w:rPr>
      </w:pPr>
      <w:r w:rsidRPr="00810659">
        <w:rPr>
          <w:rFonts w:ascii="Arial" w:hAnsi="Arial" w:cs="Arial"/>
        </w:rPr>
        <w:t xml:space="preserve">6.8. </w:t>
      </w:r>
      <w:r w:rsidR="00254BCB" w:rsidRPr="00810659">
        <w:rPr>
          <w:rFonts w:ascii="Arial" w:hAnsi="Arial" w:cs="Arial"/>
        </w:rPr>
        <w:t xml:space="preserve">Those with a long-standing illness or disability that limits their activities were more likely to </w:t>
      </w:r>
      <w:r w:rsidR="000B7093" w:rsidRPr="00810659">
        <w:rPr>
          <w:rFonts w:ascii="Arial" w:hAnsi="Arial" w:cs="Arial"/>
        </w:rPr>
        <w:t>have</w:t>
      </w:r>
      <w:r w:rsidR="00254BCB" w:rsidRPr="00810659">
        <w:rPr>
          <w:rFonts w:ascii="Arial" w:hAnsi="Arial" w:cs="Arial"/>
        </w:rPr>
        <w:t xml:space="preserve"> experience</w:t>
      </w:r>
      <w:r w:rsidR="000B7093" w:rsidRPr="00810659">
        <w:rPr>
          <w:rFonts w:ascii="Arial" w:hAnsi="Arial" w:cs="Arial"/>
        </w:rPr>
        <w:t>d</w:t>
      </w:r>
      <w:r w:rsidR="00254BCB" w:rsidRPr="00810659">
        <w:rPr>
          <w:rFonts w:ascii="Arial" w:hAnsi="Arial" w:cs="Arial"/>
        </w:rPr>
        <w:t xml:space="preserve"> a problem compared to adults with disabilities that do not limit their activities and adults without any disabilities (40%, 31% and 27% respectively).</w:t>
      </w:r>
    </w:p>
    <w:p w14:paraId="39144A5E" w14:textId="0AEF8519" w:rsidR="005E6534" w:rsidRPr="00810659" w:rsidRDefault="00254BCB" w:rsidP="009A0749">
      <w:pPr>
        <w:rPr>
          <w:rFonts w:ascii="Arial" w:hAnsi="Arial" w:cs="Arial"/>
        </w:rPr>
      </w:pPr>
      <w:r w:rsidRPr="00810659">
        <w:rPr>
          <w:rFonts w:ascii="Arial" w:hAnsi="Arial" w:cs="Arial"/>
        </w:rPr>
        <w:t xml:space="preserve">6.9. Individuals who were married or in a civil partnership (29%) or widowed (14%) were less likely to </w:t>
      </w:r>
      <w:r w:rsidR="0098179E" w:rsidRPr="00810659">
        <w:rPr>
          <w:rFonts w:ascii="Arial" w:hAnsi="Arial" w:cs="Arial"/>
        </w:rPr>
        <w:t>have</w:t>
      </w:r>
      <w:r w:rsidRPr="00810659">
        <w:rPr>
          <w:rFonts w:ascii="Arial" w:hAnsi="Arial" w:cs="Arial"/>
        </w:rPr>
        <w:t xml:space="preserve"> experience</w:t>
      </w:r>
      <w:r w:rsidR="0098179E" w:rsidRPr="00810659">
        <w:rPr>
          <w:rFonts w:ascii="Arial" w:hAnsi="Arial" w:cs="Arial"/>
        </w:rPr>
        <w:t>d</w:t>
      </w:r>
      <w:r w:rsidRPr="00810659">
        <w:rPr>
          <w:rFonts w:ascii="Arial" w:hAnsi="Arial" w:cs="Arial"/>
        </w:rPr>
        <w:t xml:space="preserve"> a</w:t>
      </w:r>
      <w:r w:rsidR="0098179E" w:rsidRPr="00810659">
        <w:rPr>
          <w:rFonts w:ascii="Arial" w:hAnsi="Arial" w:cs="Arial"/>
        </w:rPr>
        <w:t xml:space="preserve"> legal</w:t>
      </w:r>
      <w:r w:rsidRPr="00810659">
        <w:rPr>
          <w:rFonts w:ascii="Arial" w:hAnsi="Arial" w:cs="Arial"/>
        </w:rPr>
        <w:t xml:space="preserve"> problem compared to people</w:t>
      </w:r>
      <w:r w:rsidR="002F0D14" w:rsidRPr="00810659">
        <w:rPr>
          <w:rFonts w:ascii="Arial" w:hAnsi="Arial" w:cs="Arial"/>
        </w:rPr>
        <w:t xml:space="preserve"> in other marital status groups, such as divorced, single, separated and cohabitating (35 – 47%).</w:t>
      </w:r>
    </w:p>
    <w:p w14:paraId="5FFDE40B" w14:textId="1407D196" w:rsidR="00431590" w:rsidRPr="00810659" w:rsidRDefault="00083D74" w:rsidP="00431590">
      <w:pPr>
        <w:rPr>
          <w:rFonts w:ascii="Arial" w:hAnsi="Arial" w:cs="Arial"/>
          <w:b/>
        </w:rPr>
      </w:pPr>
      <w:r w:rsidRPr="00810659">
        <w:rPr>
          <w:rFonts w:ascii="Arial" w:hAnsi="Arial" w:cs="Arial"/>
          <w:b/>
        </w:rPr>
        <w:t xml:space="preserve">Table 3: </w:t>
      </w:r>
      <w:r w:rsidR="00D70D4D" w:rsidRPr="00810659">
        <w:rPr>
          <w:rFonts w:ascii="Arial" w:hAnsi="Arial" w:cs="Arial"/>
          <w:b/>
        </w:rPr>
        <w:t>Percentage</w:t>
      </w:r>
      <w:r w:rsidR="00F80CCC" w:rsidRPr="00810659">
        <w:rPr>
          <w:rFonts w:ascii="Arial" w:hAnsi="Arial" w:cs="Arial"/>
          <w:b/>
        </w:rPr>
        <w:t xml:space="preserve"> of individuals who reported experiencing at least one legal problem</w:t>
      </w:r>
      <w:r w:rsidR="00D70D4D" w:rsidRPr="00810659">
        <w:rPr>
          <w:rFonts w:ascii="Arial" w:hAnsi="Arial" w:cs="Arial"/>
          <w:b/>
        </w:rPr>
        <w:t xml:space="preserve"> in the previous 18 months, Legal Problem Resolution Survey 2014-15</w:t>
      </w:r>
    </w:p>
    <w:p w14:paraId="0267B251" w14:textId="389C13BA" w:rsidR="00083D74" w:rsidRPr="00810659" w:rsidRDefault="00FE7637" w:rsidP="009A0749">
      <w:pPr>
        <w:rPr>
          <w:rFonts w:ascii="Arial" w:hAnsi="Arial" w:cs="Arial"/>
        </w:rPr>
      </w:pPr>
      <w:r w:rsidRPr="00810659">
        <w:rPr>
          <w:rFonts w:ascii="Arial" w:hAnsi="Arial" w:cs="Arial"/>
          <w:noProof/>
        </w:rPr>
        <w:lastRenderedPageBreak/>
        <w:drawing>
          <wp:inline distT="0" distB="0" distL="0" distR="0" wp14:anchorId="56AD8AC1" wp14:editId="6EEA0711">
            <wp:extent cx="4510358" cy="7372350"/>
            <wp:effectExtent l="0" t="0" r="508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11">
                      <a:extLst>
                        <a:ext uri="{28A0092B-C50C-407E-A947-70E740481C1C}">
                          <a14:useLocalDpi xmlns:a14="http://schemas.microsoft.com/office/drawing/2010/main" val="0"/>
                        </a:ext>
                      </a:extLst>
                    </a:blip>
                    <a:stretch>
                      <a:fillRect/>
                    </a:stretch>
                  </pic:blipFill>
                  <pic:spPr>
                    <a:xfrm>
                      <a:off x="0" y="0"/>
                      <a:ext cx="4510358" cy="7372350"/>
                    </a:xfrm>
                    <a:prstGeom prst="rect">
                      <a:avLst/>
                    </a:prstGeom>
                  </pic:spPr>
                </pic:pic>
              </a:graphicData>
            </a:graphic>
          </wp:inline>
        </w:drawing>
      </w:r>
    </w:p>
    <w:p w14:paraId="420298F0" w14:textId="214E2EDF" w:rsidR="009A0749" w:rsidRPr="00810659" w:rsidRDefault="004C166A" w:rsidP="00DE4DEC">
      <w:pPr>
        <w:rPr>
          <w:rFonts w:ascii="Arial" w:hAnsi="Arial" w:cs="Arial"/>
          <w:b/>
          <w:sz w:val="24"/>
        </w:rPr>
      </w:pPr>
      <w:r w:rsidRPr="00810659">
        <w:rPr>
          <w:rFonts w:ascii="Arial" w:hAnsi="Arial" w:cs="Arial"/>
          <w:b/>
          <w:sz w:val="24"/>
        </w:rPr>
        <w:t xml:space="preserve">County Civil and </w:t>
      </w:r>
      <w:r w:rsidR="0009477D" w:rsidRPr="00810659">
        <w:rPr>
          <w:rFonts w:ascii="Arial" w:hAnsi="Arial" w:cs="Arial"/>
          <w:b/>
          <w:sz w:val="24"/>
        </w:rPr>
        <w:t>High</w:t>
      </w:r>
      <w:r w:rsidR="009A0749" w:rsidRPr="00810659">
        <w:rPr>
          <w:rFonts w:ascii="Arial" w:hAnsi="Arial" w:cs="Arial"/>
          <w:b/>
          <w:sz w:val="24"/>
        </w:rPr>
        <w:t xml:space="preserve"> courts</w:t>
      </w:r>
    </w:p>
    <w:p w14:paraId="6B297838" w14:textId="17B5397C" w:rsidR="004C166A" w:rsidRPr="00810659" w:rsidRDefault="00011EAC" w:rsidP="00DE4DEC">
      <w:pPr>
        <w:rPr>
          <w:rFonts w:ascii="Arial" w:hAnsi="Arial" w:cs="Arial"/>
        </w:rPr>
      </w:pPr>
      <w:r w:rsidRPr="00810659">
        <w:rPr>
          <w:rFonts w:ascii="Arial" w:hAnsi="Arial" w:cs="Arial"/>
        </w:rPr>
        <w:t>6.</w:t>
      </w:r>
      <w:r w:rsidR="00CB6931" w:rsidRPr="00810659">
        <w:rPr>
          <w:rFonts w:ascii="Arial" w:hAnsi="Arial" w:cs="Arial"/>
        </w:rPr>
        <w:t>10</w:t>
      </w:r>
      <w:r w:rsidRPr="00810659">
        <w:rPr>
          <w:rFonts w:ascii="Arial" w:hAnsi="Arial" w:cs="Arial"/>
        </w:rPr>
        <w:t xml:space="preserve">. </w:t>
      </w:r>
      <w:r w:rsidR="009C1AA4" w:rsidRPr="00810659">
        <w:rPr>
          <w:rFonts w:ascii="Arial" w:hAnsi="Arial" w:cs="Arial"/>
        </w:rPr>
        <w:t xml:space="preserve">To determine who will be impacted the most </w:t>
      </w:r>
      <w:r w:rsidR="49252B21" w:rsidRPr="00810659">
        <w:rPr>
          <w:rFonts w:ascii="Arial" w:hAnsi="Arial" w:cs="Arial"/>
        </w:rPr>
        <w:t>by</w:t>
      </w:r>
      <w:r w:rsidR="00234499" w:rsidRPr="00810659">
        <w:rPr>
          <w:rFonts w:ascii="Arial" w:hAnsi="Arial" w:cs="Arial"/>
        </w:rPr>
        <w:t xml:space="preserve"> an increase in fees for </w:t>
      </w:r>
      <w:r w:rsidR="5B0620AF" w:rsidRPr="00810659">
        <w:rPr>
          <w:rFonts w:ascii="Arial" w:hAnsi="Arial" w:cs="Arial"/>
        </w:rPr>
        <w:t xml:space="preserve">civil proceedings in </w:t>
      </w:r>
      <w:r w:rsidR="00234499" w:rsidRPr="00810659">
        <w:rPr>
          <w:rFonts w:ascii="Arial" w:hAnsi="Arial" w:cs="Arial"/>
        </w:rPr>
        <w:t xml:space="preserve">county and </w:t>
      </w:r>
      <w:r w:rsidR="0009477D" w:rsidRPr="00810659">
        <w:rPr>
          <w:rFonts w:ascii="Arial" w:hAnsi="Arial" w:cs="Arial"/>
        </w:rPr>
        <w:t>High</w:t>
      </w:r>
      <w:r w:rsidR="00234499" w:rsidRPr="00810659">
        <w:rPr>
          <w:rFonts w:ascii="Arial" w:hAnsi="Arial" w:cs="Arial"/>
        </w:rPr>
        <w:t xml:space="preserve"> courts, we </w:t>
      </w:r>
      <w:r w:rsidR="006C2CC5" w:rsidRPr="00810659">
        <w:rPr>
          <w:rFonts w:ascii="Arial" w:hAnsi="Arial" w:cs="Arial"/>
        </w:rPr>
        <w:t>examined data from</w:t>
      </w:r>
      <w:r w:rsidR="00234499" w:rsidRPr="00810659">
        <w:rPr>
          <w:rFonts w:ascii="Arial" w:hAnsi="Arial" w:cs="Arial"/>
        </w:rPr>
        <w:t xml:space="preserve"> the Civil Court User Survey</w:t>
      </w:r>
      <w:r w:rsidR="00771781" w:rsidRPr="00810659">
        <w:rPr>
          <w:rFonts w:ascii="Arial" w:hAnsi="Arial" w:cs="Arial"/>
        </w:rPr>
        <w:t xml:space="preserve"> (CCUS)</w:t>
      </w:r>
      <w:r w:rsidR="00234499" w:rsidRPr="00810659">
        <w:rPr>
          <w:rFonts w:ascii="Arial" w:hAnsi="Arial" w:cs="Arial"/>
        </w:rPr>
        <w:t xml:space="preserve"> 2014-2015.</w:t>
      </w:r>
    </w:p>
    <w:p w14:paraId="0696D5A0" w14:textId="1E6B0A30" w:rsidR="00D43259" w:rsidRPr="00810659" w:rsidRDefault="00011EAC" w:rsidP="00011225">
      <w:pPr>
        <w:rPr>
          <w:rFonts w:ascii="Arial" w:hAnsi="Arial" w:cs="Arial"/>
        </w:rPr>
      </w:pPr>
      <w:r w:rsidRPr="00810659">
        <w:rPr>
          <w:rFonts w:ascii="Arial" w:hAnsi="Arial" w:cs="Arial"/>
        </w:rPr>
        <w:lastRenderedPageBreak/>
        <w:t>6</w:t>
      </w:r>
      <w:r w:rsidR="00CB6931" w:rsidRPr="00810659">
        <w:rPr>
          <w:rFonts w:ascii="Arial" w:hAnsi="Arial" w:cs="Arial"/>
        </w:rPr>
        <w:t>.11</w:t>
      </w:r>
      <w:r w:rsidRPr="00810659">
        <w:rPr>
          <w:rFonts w:ascii="Arial" w:hAnsi="Arial" w:cs="Arial"/>
        </w:rPr>
        <w:t xml:space="preserve">. </w:t>
      </w:r>
      <w:r w:rsidR="0009477D" w:rsidRPr="00810659">
        <w:rPr>
          <w:rFonts w:ascii="Arial" w:hAnsi="Arial" w:cs="Arial"/>
        </w:rPr>
        <w:t>The sample for the survey was taken from the HMCTS case management system.</w:t>
      </w:r>
      <w:r w:rsidR="003A490E" w:rsidRPr="00810659">
        <w:rPr>
          <w:rFonts w:ascii="Arial" w:hAnsi="Arial" w:cs="Arial"/>
        </w:rPr>
        <w:t xml:space="preserve"> </w:t>
      </w:r>
      <w:r w:rsidR="0009477D" w:rsidRPr="00810659">
        <w:rPr>
          <w:rFonts w:ascii="Arial" w:hAnsi="Arial" w:cs="Arial"/>
        </w:rPr>
        <w:t>An initial sample</w:t>
      </w:r>
      <w:r w:rsidR="00643556" w:rsidRPr="00810659">
        <w:rPr>
          <w:rFonts w:ascii="Arial" w:hAnsi="Arial" w:cs="Arial"/>
        </w:rPr>
        <w:t xml:space="preserve"> of</w:t>
      </w:r>
      <w:r w:rsidR="0009477D" w:rsidRPr="00810659">
        <w:rPr>
          <w:rFonts w:ascii="Arial" w:hAnsi="Arial" w:cs="Arial"/>
        </w:rPr>
        <w:t xml:space="preserve"> 21,334  claims was selected from the number of claims made </w:t>
      </w:r>
      <w:r w:rsidR="0024255A" w:rsidRPr="00810659">
        <w:rPr>
          <w:rFonts w:ascii="Arial" w:hAnsi="Arial" w:cs="Arial"/>
        </w:rPr>
        <w:t xml:space="preserve">in May and June 2014. </w:t>
      </w:r>
    </w:p>
    <w:p w14:paraId="2AE64331" w14:textId="57859FC5" w:rsidR="008560D5" w:rsidRPr="00810659" w:rsidRDefault="00011EAC" w:rsidP="00A154FD">
      <w:pPr>
        <w:rPr>
          <w:rFonts w:ascii="Arial" w:hAnsi="Arial" w:cs="Arial"/>
        </w:rPr>
      </w:pPr>
      <w:r w:rsidRPr="00810659">
        <w:rPr>
          <w:rFonts w:ascii="Arial" w:hAnsi="Arial" w:cs="Arial"/>
        </w:rPr>
        <w:t>6.</w:t>
      </w:r>
      <w:r w:rsidR="00CB6931" w:rsidRPr="00810659">
        <w:rPr>
          <w:rFonts w:ascii="Arial" w:hAnsi="Arial" w:cs="Arial"/>
        </w:rPr>
        <w:t>12</w:t>
      </w:r>
      <w:r w:rsidRPr="00810659">
        <w:rPr>
          <w:rFonts w:ascii="Arial" w:hAnsi="Arial" w:cs="Arial"/>
        </w:rPr>
        <w:t>.</w:t>
      </w:r>
      <w:r w:rsidR="004850F6" w:rsidRPr="00810659">
        <w:rPr>
          <w:rFonts w:ascii="Arial" w:hAnsi="Arial" w:cs="Arial"/>
        </w:rPr>
        <w:t xml:space="preserve"> </w:t>
      </w:r>
      <w:r w:rsidR="008560D5" w:rsidRPr="00810659">
        <w:rPr>
          <w:rFonts w:ascii="Arial" w:hAnsi="Arial" w:cs="Arial"/>
        </w:rPr>
        <w:t>During a screening and profiling stage, claims were identified based on whether they were made by a business, an individual or whether they were invalid. Individuals</w:t>
      </w:r>
      <w:r w:rsidR="001E34F2" w:rsidRPr="00810659">
        <w:rPr>
          <w:rFonts w:ascii="Arial" w:hAnsi="Arial" w:cs="Arial"/>
        </w:rPr>
        <w:t xml:space="preserve"> (aged 16</w:t>
      </w:r>
      <w:r w:rsidR="005074FB" w:rsidRPr="00810659">
        <w:rPr>
          <w:rFonts w:ascii="Arial" w:hAnsi="Arial" w:cs="Arial"/>
        </w:rPr>
        <w:t xml:space="preserve"> and above</w:t>
      </w:r>
      <w:r w:rsidR="001E34F2" w:rsidRPr="00810659">
        <w:rPr>
          <w:rFonts w:ascii="Arial" w:hAnsi="Arial" w:cs="Arial"/>
        </w:rPr>
        <w:t>)</w:t>
      </w:r>
      <w:r w:rsidR="008560D5" w:rsidRPr="00810659">
        <w:rPr>
          <w:rFonts w:ascii="Arial" w:hAnsi="Arial" w:cs="Arial"/>
        </w:rPr>
        <w:t xml:space="preserve"> were then required to fill in a questionnaire. The final sample consisted of 2,212 completed questionnaires with a response rate of 26%.</w:t>
      </w:r>
    </w:p>
    <w:p w14:paraId="5B4901D3" w14:textId="30F6273D" w:rsidR="00147734" w:rsidRPr="00810659" w:rsidRDefault="00011EAC" w:rsidP="00D43259">
      <w:pPr>
        <w:rPr>
          <w:rFonts w:ascii="Arial" w:hAnsi="Arial" w:cs="Arial"/>
        </w:rPr>
      </w:pPr>
      <w:r w:rsidRPr="00810659">
        <w:rPr>
          <w:rFonts w:ascii="Arial" w:hAnsi="Arial" w:cs="Arial"/>
        </w:rPr>
        <w:t>6.</w:t>
      </w:r>
      <w:r w:rsidR="00CB6931" w:rsidRPr="00810659">
        <w:rPr>
          <w:rFonts w:ascii="Arial" w:hAnsi="Arial" w:cs="Arial"/>
        </w:rPr>
        <w:t>13</w:t>
      </w:r>
      <w:r w:rsidRPr="00810659">
        <w:rPr>
          <w:rFonts w:ascii="Arial" w:hAnsi="Arial" w:cs="Arial"/>
        </w:rPr>
        <w:t xml:space="preserve">. </w:t>
      </w:r>
      <w:r w:rsidR="00EB5E54" w:rsidRPr="00810659">
        <w:rPr>
          <w:rFonts w:ascii="Arial" w:hAnsi="Arial" w:cs="Arial"/>
        </w:rPr>
        <w:t>Before making an assessment, it</w:t>
      </w:r>
      <w:r w:rsidR="0053659B" w:rsidRPr="00810659">
        <w:rPr>
          <w:rFonts w:ascii="Arial" w:hAnsi="Arial" w:cs="Arial"/>
        </w:rPr>
        <w:t xml:space="preserve"> is</w:t>
      </w:r>
      <w:r w:rsidR="00EB5E54" w:rsidRPr="00810659">
        <w:rPr>
          <w:rFonts w:ascii="Arial" w:hAnsi="Arial" w:cs="Arial"/>
        </w:rPr>
        <w:t xml:space="preserve"> important to note the data limitations. The survey was conducted over </w:t>
      </w:r>
      <w:r w:rsidR="001A2066" w:rsidRPr="00810659">
        <w:rPr>
          <w:rFonts w:ascii="Arial" w:hAnsi="Arial" w:cs="Arial"/>
        </w:rPr>
        <w:t>five</w:t>
      </w:r>
      <w:r w:rsidR="00EB5E54" w:rsidRPr="00810659">
        <w:rPr>
          <w:rFonts w:ascii="Arial" w:hAnsi="Arial" w:cs="Arial"/>
        </w:rPr>
        <w:t xml:space="preserve"> years ago and it</w:t>
      </w:r>
      <w:r w:rsidR="0053659B" w:rsidRPr="00810659">
        <w:rPr>
          <w:rFonts w:ascii="Arial" w:hAnsi="Arial" w:cs="Arial"/>
        </w:rPr>
        <w:t xml:space="preserve"> i</w:t>
      </w:r>
      <w:r w:rsidR="00EB5E54" w:rsidRPr="00810659">
        <w:rPr>
          <w:rFonts w:ascii="Arial" w:hAnsi="Arial" w:cs="Arial"/>
        </w:rPr>
        <w:t xml:space="preserve">s </w:t>
      </w:r>
      <w:r w:rsidR="00506443" w:rsidRPr="00810659">
        <w:rPr>
          <w:rFonts w:ascii="Arial" w:hAnsi="Arial" w:cs="Arial"/>
        </w:rPr>
        <w:t>possible</w:t>
      </w:r>
      <w:r w:rsidR="00EB5E54" w:rsidRPr="00810659">
        <w:rPr>
          <w:rFonts w:ascii="Arial" w:hAnsi="Arial" w:cs="Arial"/>
        </w:rPr>
        <w:t xml:space="preserve"> that the profile of court users has changed over the course of the last few years.</w:t>
      </w:r>
      <w:r w:rsidR="0080547B" w:rsidRPr="00810659">
        <w:rPr>
          <w:rFonts w:ascii="Arial" w:hAnsi="Arial" w:cs="Arial"/>
        </w:rPr>
        <w:t xml:space="preserve"> However</w:t>
      </w:r>
      <w:r w:rsidR="00982BB0" w:rsidRPr="00810659">
        <w:rPr>
          <w:rFonts w:ascii="Arial" w:hAnsi="Arial" w:cs="Arial"/>
        </w:rPr>
        <w:t>, it</w:t>
      </w:r>
      <w:r w:rsidR="0053659B" w:rsidRPr="00810659">
        <w:rPr>
          <w:rFonts w:ascii="Arial" w:hAnsi="Arial" w:cs="Arial"/>
        </w:rPr>
        <w:t xml:space="preserve"> i</w:t>
      </w:r>
      <w:r w:rsidR="00982BB0" w:rsidRPr="00810659">
        <w:rPr>
          <w:rFonts w:ascii="Arial" w:hAnsi="Arial" w:cs="Arial"/>
        </w:rPr>
        <w:t>s the latest data available on civil county court users</w:t>
      </w:r>
      <w:r w:rsidR="0080547B" w:rsidRPr="00810659">
        <w:rPr>
          <w:rFonts w:ascii="Arial" w:hAnsi="Arial" w:cs="Arial"/>
        </w:rPr>
        <w:t xml:space="preserve"> and we consider it to </w:t>
      </w:r>
      <w:r w:rsidR="00DF57DF" w:rsidRPr="00810659">
        <w:rPr>
          <w:rFonts w:ascii="Arial" w:hAnsi="Arial" w:cs="Arial"/>
        </w:rPr>
        <w:t xml:space="preserve">be </w:t>
      </w:r>
      <w:r w:rsidR="00383EA9" w:rsidRPr="00810659">
        <w:rPr>
          <w:rFonts w:ascii="Arial" w:hAnsi="Arial" w:cs="Arial"/>
        </w:rPr>
        <w:t>adequate for th</w:t>
      </w:r>
      <w:r w:rsidR="002D4C71" w:rsidRPr="00810659">
        <w:rPr>
          <w:rFonts w:ascii="Arial" w:hAnsi="Arial" w:cs="Arial"/>
        </w:rPr>
        <w:t>e purpose of this analysis</w:t>
      </w:r>
      <w:r w:rsidR="00982BB0" w:rsidRPr="00810659">
        <w:rPr>
          <w:rFonts w:ascii="Arial" w:hAnsi="Arial" w:cs="Arial"/>
        </w:rPr>
        <w:t xml:space="preserve">. </w:t>
      </w:r>
    </w:p>
    <w:p w14:paraId="7BE0FD33" w14:textId="6E4C2780" w:rsidR="00011225" w:rsidRPr="00810659" w:rsidRDefault="00011EAC" w:rsidP="00DE4DEC">
      <w:pPr>
        <w:rPr>
          <w:rFonts w:ascii="Arial" w:hAnsi="Arial" w:cs="Arial"/>
        </w:rPr>
      </w:pPr>
      <w:r w:rsidRPr="00810659">
        <w:rPr>
          <w:rFonts w:ascii="Arial" w:hAnsi="Arial" w:cs="Arial"/>
        </w:rPr>
        <w:t>6.</w:t>
      </w:r>
      <w:r w:rsidR="00CB6931" w:rsidRPr="00810659">
        <w:rPr>
          <w:rFonts w:ascii="Arial" w:hAnsi="Arial" w:cs="Arial"/>
        </w:rPr>
        <w:t>14</w:t>
      </w:r>
      <w:r w:rsidRPr="00810659">
        <w:rPr>
          <w:rFonts w:ascii="Arial" w:hAnsi="Arial" w:cs="Arial"/>
        </w:rPr>
        <w:t xml:space="preserve">. </w:t>
      </w:r>
      <w:r w:rsidR="00506443" w:rsidRPr="00810659">
        <w:rPr>
          <w:rFonts w:ascii="Arial" w:hAnsi="Arial" w:cs="Arial"/>
        </w:rPr>
        <w:t>Another limitation is that the response rate of 26% to the postal survey is low and therefore</w:t>
      </w:r>
      <w:r w:rsidR="001279A5" w:rsidRPr="00810659">
        <w:rPr>
          <w:rFonts w:ascii="Arial" w:hAnsi="Arial" w:cs="Arial"/>
        </w:rPr>
        <w:t>,</w:t>
      </w:r>
      <w:r w:rsidR="00506443" w:rsidRPr="00810659">
        <w:rPr>
          <w:rFonts w:ascii="Arial" w:hAnsi="Arial" w:cs="Arial"/>
        </w:rPr>
        <w:t xml:space="preserve"> the data may not reflect the true views and experiences of the population of court users. </w:t>
      </w:r>
      <w:r w:rsidR="004850F6" w:rsidRPr="00810659">
        <w:rPr>
          <w:rFonts w:ascii="Arial" w:hAnsi="Arial" w:cs="Arial"/>
        </w:rPr>
        <w:t>However, weighting</w:t>
      </w:r>
      <w:r w:rsidR="00E11335" w:rsidRPr="00810659">
        <w:rPr>
          <w:rFonts w:ascii="Arial" w:hAnsi="Arial" w:cs="Arial"/>
        </w:rPr>
        <w:t xml:space="preserve"> ha</w:t>
      </w:r>
      <w:r w:rsidR="00350731" w:rsidRPr="00810659">
        <w:rPr>
          <w:rFonts w:ascii="Arial" w:hAnsi="Arial" w:cs="Arial"/>
        </w:rPr>
        <w:t>s</w:t>
      </w:r>
      <w:r w:rsidR="00E11335" w:rsidRPr="00810659">
        <w:rPr>
          <w:rFonts w:ascii="Arial" w:hAnsi="Arial" w:cs="Arial"/>
        </w:rPr>
        <w:t xml:space="preserve"> been applied to try and correct for any known biases</w:t>
      </w:r>
      <w:r w:rsidR="007515AB" w:rsidRPr="00810659">
        <w:rPr>
          <w:rFonts w:ascii="Arial" w:hAnsi="Arial" w:cs="Arial"/>
        </w:rPr>
        <w:t>, although</w:t>
      </w:r>
      <w:r w:rsidR="00E11335" w:rsidRPr="00810659">
        <w:rPr>
          <w:rFonts w:ascii="Arial" w:hAnsi="Arial" w:cs="Arial"/>
        </w:rPr>
        <w:t xml:space="preserve"> </w:t>
      </w:r>
      <w:r w:rsidR="007515AB" w:rsidRPr="00810659">
        <w:rPr>
          <w:rFonts w:ascii="Arial" w:hAnsi="Arial" w:cs="Arial"/>
        </w:rPr>
        <w:t>it</w:t>
      </w:r>
      <w:r w:rsidR="00E11335" w:rsidRPr="00810659">
        <w:rPr>
          <w:rFonts w:ascii="Arial" w:hAnsi="Arial" w:cs="Arial"/>
        </w:rPr>
        <w:t xml:space="preserve"> should be kept in mind </w:t>
      </w:r>
      <w:r w:rsidR="007B2D35" w:rsidRPr="00810659">
        <w:rPr>
          <w:rFonts w:ascii="Arial" w:hAnsi="Arial" w:cs="Arial"/>
        </w:rPr>
        <w:t>that there may be unknown biases that may have not been considered.</w:t>
      </w:r>
    </w:p>
    <w:p w14:paraId="377FED52" w14:textId="073BC93F" w:rsidR="003569D6" w:rsidRPr="00810659" w:rsidRDefault="00011EAC" w:rsidP="003569D6">
      <w:pPr>
        <w:rPr>
          <w:rFonts w:ascii="Arial" w:hAnsi="Arial" w:cs="Arial"/>
        </w:rPr>
      </w:pPr>
      <w:r w:rsidRPr="00810659">
        <w:rPr>
          <w:rFonts w:ascii="Arial" w:hAnsi="Arial" w:cs="Arial"/>
        </w:rPr>
        <w:t>6.</w:t>
      </w:r>
      <w:r w:rsidR="00CB6931" w:rsidRPr="00810659">
        <w:rPr>
          <w:rFonts w:ascii="Arial" w:hAnsi="Arial" w:cs="Arial"/>
        </w:rPr>
        <w:t>15</w:t>
      </w:r>
      <w:r w:rsidRPr="00810659">
        <w:rPr>
          <w:rFonts w:ascii="Arial" w:hAnsi="Arial" w:cs="Arial"/>
        </w:rPr>
        <w:t xml:space="preserve">. </w:t>
      </w:r>
      <w:r w:rsidR="00826866" w:rsidRPr="00810659">
        <w:rPr>
          <w:rFonts w:ascii="Arial" w:hAnsi="Arial" w:cs="Arial"/>
        </w:rPr>
        <w:t xml:space="preserve">Table </w:t>
      </w:r>
      <w:r w:rsidR="00083D74" w:rsidRPr="00810659">
        <w:rPr>
          <w:rFonts w:ascii="Arial" w:hAnsi="Arial" w:cs="Arial"/>
        </w:rPr>
        <w:t>4</w:t>
      </w:r>
      <w:r w:rsidR="00826866" w:rsidRPr="00810659">
        <w:rPr>
          <w:rFonts w:ascii="Arial" w:hAnsi="Arial" w:cs="Arial"/>
        </w:rPr>
        <w:t xml:space="preserve"> </w:t>
      </w:r>
      <w:r w:rsidR="00AE61F4" w:rsidRPr="00810659">
        <w:rPr>
          <w:rFonts w:ascii="Arial" w:hAnsi="Arial" w:cs="Arial"/>
        </w:rPr>
        <w:t>summarises the results</w:t>
      </w:r>
      <w:r w:rsidR="00B76E46" w:rsidRPr="00810659">
        <w:rPr>
          <w:rFonts w:ascii="Arial" w:hAnsi="Arial" w:cs="Arial"/>
        </w:rPr>
        <w:t xml:space="preserve"> from the survey</w:t>
      </w:r>
      <w:r w:rsidR="001E34F2" w:rsidRPr="00810659">
        <w:rPr>
          <w:rFonts w:ascii="Arial" w:hAnsi="Arial" w:cs="Arial"/>
        </w:rPr>
        <w:t>.</w:t>
      </w:r>
    </w:p>
    <w:p w14:paraId="4E180611" w14:textId="386CED55" w:rsidR="00431590" w:rsidRPr="00810659" w:rsidRDefault="009648ED" w:rsidP="00431590">
      <w:pPr>
        <w:rPr>
          <w:rFonts w:ascii="Arial" w:hAnsi="Arial" w:cs="Arial"/>
          <w:b/>
        </w:rPr>
      </w:pPr>
      <w:r w:rsidRPr="00810659">
        <w:rPr>
          <w:rFonts w:ascii="Arial" w:hAnsi="Arial" w:cs="Arial"/>
          <w:b/>
        </w:rPr>
        <w:t xml:space="preserve">Table </w:t>
      </w:r>
      <w:r w:rsidR="00083D74" w:rsidRPr="00810659">
        <w:rPr>
          <w:rFonts w:ascii="Arial" w:hAnsi="Arial" w:cs="Arial"/>
          <w:b/>
        </w:rPr>
        <w:t>4</w:t>
      </w:r>
      <w:r w:rsidRPr="00810659">
        <w:rPr>
          <w:rFonts w:ascii="Arial" w:hAnsi="Arial" w:cs="Arial"/>
          <w:b/>
        </w:rPr>
        <w:t xml:space="preserve">: </w:t>
      </w:r>
      <w:r w:rsidR="006C2CC5" w:rsidRPr="00810659">
        <w:rPr>
          <w:rFonts w:ascii="Arial" w:hAnsi="Arial" w:cs="Arial"/>
          <w:b/>
        </w:rPr>
        <w:t>S</w:t>
      </w:r>
      <w:r w:rsidRPr="00810659">
        <w:rPr>
          <w:rFonts w:ascii="Arial" w:hAnsi="Arial" w:cs="Arial"/>
          <w:b/>
        </w:rPr>
        <w:t>ummary</w:t>
      </w:r>
      <w:r w:rsidR="001E34F2" w:rsidRPr="00810659">
        <w:rPr>
          <w:rFonts w:ascii="Arial" w:hAnsi="Arial" w:cs="Arial"/>
          <w:b/>
        </w:rPr>
        <w:t xml:space="preserve"> of</w:t>
      </w:r>
      <w:r w:rsidR="006C2CC5" w:rsidRPr="00810659">
        <w:rPr>
          <w:rFonts w:ascii="Arial" w:hAnsi="Arial" w:cs="Arial"/>
          <w:b/>
        </w:rPr>
        <w:t xml:space="preserve"> the</w:t>
      </w:r>
      <w:r w:rsidR="001E34F2" w:rsidRPr="00810659">
        <w:rPr>
          <w:rFonts w:ascii="Arial" w:hAnsi="Arial" w:cs="Arial"/>
          <w:b/>
        </w:rPr>
        <w:t xml:space="preserve"> demographic profile of individual claimants</w:t>
      </w:r>
      <w:r w:rsidR="001E34F2" w:rsidRPr="00810659">
        <w:rPr>
          <w:rStyle w:val="FootnoteReference"/>
          <w:rFonts w:ascii="Arial" w:hAnsi="Arial" w:cs="Arial"/>
          <w:b/>
        </w:rPr>
        <w:footnoteReference w:id="2"/>
      </w:r>
      <w:r w:rsidR="00F6294D" w:rsidRPr="00810659">
        <w:rPr>
          <w:rFonts w:ascii="Arial" w:hAnsi="Arial" w:cs="Arial"/>
          <w:b/>
        </w:rPr>
        <w:t xml:space="preserve"> in May-June 2014</w:t>
      </w:r>
      <w:r w:rsidR="00746F37" w:rsidRPr="00810659">
        <w:rPr>
          <w:rFonts w:ascii="Arial" w:hAnsi="Arial" w:cs="Arial"/>
          <w:b/>
        </w:rPr>
        <w:t>, Civil Court User Survey</w:t>
      </w:r>
    </w:p>
    <w:p w14:paraId="0344F9D3" w14:textId="154E35B9" w:rsidR="00A53754" w:rsidRPr="00810659" w:rsidRDefault="00A53754" w:rsidP="00DE4DEC">
      <w:pPr>
        <w:rPr>
          <w:rFonts w:ascii="Arial" w:hAnsi="Arial" w:cs="Arial"/>
        </w:rPr>
      </w:pPr>
      <w:r w:rsidRPr="00810659">
        <w:rPr>
          <w:rFonts w:ascii="Arial" w:hAnsi="Arial" w:cs="Arial"/>
          <w:noProof/>
        </w:rPr>
        <w:drawing>
          <wp:inline distT="0" distB="0" distL="0" distR="0" wp14:anchorId="2C9D6AA3" wp14:editId="74CA652A">
            <wp:extent cx="5324474" cy="377420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2">
                      <a:extLst>
                        <a:ext uri="{28A0092B-C50C-407E-A947-70E740481C1C}">
                          <a14:useLocalDpi xmlns:a14="http://schemas.microsoft.com/office/drawing/2010/main" val="0"/>
                        </a:ext>
                      </a:extLst>
                    </a:blip>
                    <a:stretch>
                      <a:fillRect/>
                    </a:stretch>
                  </pic:blipFill>
                  <pic:spPr>
                    <a:xfrm>
                      <a:off x="0" y="0"/>
                      <a:ext cx="5324474" cy="3774207"/>
                    </a:xfrm>
                    <a:prstGeom prst="rect">
                      <a:avLst/>
                    </a:prstGeom>
                  </pic:spPr>
                </pic:pic>
              </a:graphicData>
            </a:graphic>
          </wp:inline>
        </w:drawing>
      </w:r>
    </w:p>
    <w:p w14:paraId="4870DDC6" w14:textId="1BA7D3E9" w:rsidR="00C33D0A" w:rsidRPr="00810659" w:rsidRDefault="00C33D0A" w:rsidP="00116506">
      <w:pPr>
        <w:rPr>
          <w:rFonts w:ascii="Arial" w:hAnsi="Arial" w:cs="Arial"/>
          <w:i/>
        </w:rPr>
      </w:pPr>
      <w:r w:rsidRPr="00810659">
        <w:rPr>
          <w:rFonts w:ascii="Arial" w:hAnsi="Arial" w:cs="Arial"/>
          <w:i/>
        </w:rPr>
        <w:t xml:space="preserve">Note: </w:t>
      </w:r>
      <w:r w:rsidR="007729BE" w:rsidRPr="00810659">
        <w:rPr>
          <w:rFonts w:ascii="Arial" w:hAnsi="Arial" w:cs="Arial"/>
          <w:i/>
        </w:rPr>
        <w:t xml:space="preserve">General population </w:t>
      </w:r>
      <w:r w:rsidR="00A00063" w:rsidRPr="00810659">
        <w:rPr>
          <w:rFonts w:ascii="Arial" w:hAnsi="Arial" w:cs="Arial"/>
          <w:i/>
        </w:rPr>
        <w:t xml:space="preserve">figures are from: </w:t>
      </w:r>
      <w:r w:rsidR="00FB0404" w:rsidRPr="00810659">
        <w:rPr>
          <w:rFonts w:ascii="Arial" w:hAnsi="Arial" w:cs="Arial"/>
          <w:i/>
        </w:rPr>
        <w:t>Families and Households, 2013</w:t>
      </w:r>
      <w:r w:rsidR="006B78A0" w:rsidRPr="00810659">
        <w:rPr>
          <w:rFonts w:ascii="Arial" w:hAnsi="Arial" w:cs="Arial"/>
          <w:i/>
        </w:rPr>
        <w:t>;</w:t>
      </w:r>
      <w:r w:rsidR="00FB0404" w:rsidRPr="00810659">
        <w:rPr>
          <w:rFonts w:ascii="Arial" w:hAnsi="Arial" w:cs="Arial"/>
          <w:i/>
        </w:rPr>
        <w:t xml:space="preserve"> </w:t>
      </w:r>
      <w:r w:rsidR="00116506" w:rsidRPr="00810659">
        <w:rPr>
          <w:rFonts w:ascii="Arial" w:hAnsi="Arial" w:cs="Arial"/>
          <w:i/>
        </w:rPr>
        <w:t>Family Resources Survey 201</w:t>
      </w:r>
      <w:r w:rsidR="00BA164E" w:rsidRPr="00810659">
        <w:rPr>
          <w:rFonts w:ascii="Arial" w:hAnsi="Arial" w:cs="Arial"/>
          <w:i/>
        </w:rPr>
        <w:t>2-2013</w:t>
      </w:r>
      <w:r w:rsidR="006B78A0" w:rsidRPr="00810659">
        <w:rPr>
          <w:rFonts w:ascii="Arial" w:hAnsi="Arial" w:cs="Arial"/>
          <w:i/>
        </w:rPr>
        <w:t>;</w:t>
      </w:r>
      <w:r w:rsidR="00116506" w:rsidRPr="00810659">
        <w:rPr>
          <w:rFonts w:ascii="Arial" w:hAnsi="Arial" w:cs="Arial"/>
          <w:i/>
        </w:rPr>
        <w:t xml:space="preserve"> </w:t>
      </w:r>
      <w:r w:rsidR="00DE3B5A" w:rsidRPr="00810659">
        <w:rPr>
          <w:rFonts w:ascii="Arial" w:hAnsi="Arial" w:cs="Arial"/>
          <w:i/>
        </w:rPr>
        <w:t>Adult Health in Great Britain, 2013</w:t>
      </w:r>
      <w:r w:rsidR="006B78A0" w:rsidRPr="00810659">
        <w:rPr>
          <w:rFonts w:ascii="Arial" w:hAnsi="Arial" w:cs="Arial"/>
          <w:i/>
        </w:rPr>
        <w:t>;</w:t>
      </w:r>
    </w:p>
    <w:p w14:paraId="50B57EFB" w14:textId="719E0503" w:rsidR="002B40FA" w:rsidRPr="00810659" w:rsidRDefault="00011EAC" w:rsidP="00DE4DEC">
      <w:pPr>
        <w:rPr>
          <w:rFonts w:ascii="Arial" w:hAnsi="Arial" w:cs="Arial"/>
        </w:rPr>
      </w:pPr>
      <w:r w:rsidRPr="00810659">
        <w:rPr>
          <w:rFonts w:ascii="Arial" w:hAnsi="Arial" w:cs="Arial"/>
        </w:rPr>
        <w:lastRenderedPageBreak/>
        <w:t>6.</w:t>
      </w:r>
      <w:r w:rsidR="00CB6931" w:rsidRPr="00810659">
        <w:rPr>
          <w:rFonts w:ascii="Arial" w:hAnsi="Arial" w:cs="Arial"/>
        </w:rPr>
        <w:t>16</w:t>
      </w:r>
      <w:r w:rsidRPr="00810659">
        <w:rPr>
          <w:rFonts w:ascii="Arial" w:hAnsi="Arial" w:cs="Arial"/>
        </w:rPr>
        <w:t xml:space="preserve">. </w:t>
      </w:r>
      <w:r w:rsidR="002B40FA" w:rsidRPr="00810659">
        <w:rPr>
          <w:rFonts w:ascii="Arial" w:hAnsi="Arial" w:cs="Arial"/>
        </w:rPr>
        <w:t>The survey concludes that, in comparison with the national adult</w:t>
      </w:r>
      <w:r w:rsidR="004B083A" w:rsidRPr="00810659">
        <w:rPr>
          <w:rFonts w:ascii="Arial" w:hAnsi="Arial" w:cs="Arial"/>
        </w:rPr>
        <w:t xml:space="preserve"> (16+)</w:t>
      </w:r>
      <w:r w:rsidR="002B40FA" w:rsidRPr="00810659">
        <w:rPr>
          <w:rFonts w:ascii="Arial" w:hAnsi="Arial" w:cs="Arial"/>
        </w:rPr>
        <w:t xml:space="preserve"> population profile, individual claimants were more likely to </w:t>
      </w:r>
      <w:proofErr w:type="gramStart"/>
      <w:r w:rsidR="002B40FA" w:rsidRPr="00810659">
        <w:rPr>
          <w:rFonts w:ascii="Arial" w:hAnsi="Arial" w:cs="Arial"/>
        </w:rPr>
        <w:t>be:</w:t>
      </w:r>
      <w:proofErr w:type="gramEnd"/>
      <w:r w:rsidR="002B40FA" w:rsidRPr="00810659">
        <w:rPr>
          <w:rFonts w:ascii="Arial" w:hAnsi="Arial" w:cs="Arial"/>
        </w:rPr>
        <w:t xml:space="preserve"> male; aged 45 </w:t>
      </w:r>
      <w:r w:rsidR="004C2A53" w:rsidRPr="00810659">
        <w:rPr>
          <w:rFonts w:ascii="Arial" w:hAnsi="Arial" w:cs="Arial"/>
        </w:rPr>
        <w:t>to 54</w:t>
      </w:r>
      <w:r w:rsidR="002B40FA" w:rsidRPr="00810659">
        <w:rPr>
          <w:rFonts w:ascii="Arial" w:hAnsi="Arial" w:cs="Arial"/>
        </w:rPr>
        <w:t>; of Asian ethnicity; self-employed; without health problems</w:t>
      </w:r>
      <w:r w:rsidR="003A6F59" w:rsidRPr="00810659">
        <w:rPr>
          <w:rFonts w:ascii="Arial" w:hAnsi="Arial" w:cs="Arial"/>
        </w:rPr>
        <w:t>;</w:t>
      </w:r>
      <w:r w:rsidR="009002AA" w:rsidRPr="00810659">
        <w:rPr>
          <w:rFonts w:ascii="Arial" w:hAnsi="Arial" w:cs="Arial"/>
        </w:rPr>
        <w:t xml:space="preserve"> and married or cohabitating. </w:t>
      </w:r>
    </w:p>
    <w:p w14:paraId="58762225" w14:textId="3B112F40" w:rsidR="00D034D0" w:rsidRPr="00810659" w:rsidRDefault="00011EAC" w:rsidP="00DE4DEC">
      <w:pPr>
        <w:rPr>
          <w:rFonts w:ascii="Arial" w:hAnsi="Arial" w:cs="Arial"/>
        </w:rPr>
      </w:pPr>
      <w:r w:rsidRPr="00810659">
        <w:rPr>
          <w:rFonts w:ascii="Arial" w:hAnsi="Arial" w:cs="Arial"/>
        </w:rPr>
        <w:t>6.1</w:t>
      </w:r>
      <w:r w:rsidR="00CB6931" w:rsidRPr="00810659">
        <w:rPr>
          <w:rFonts w:ascii="Arial" w:hAnsi="Arial" w:cs="Arial"/>
        </w:rPr>
        <w:t>7</w:t>
      </w:r>
      <w:r w:rsidRPr="00810659">
        <w:rPr>
          <w:rFonts w:ascii="Arial" w:hAnsi="Arial" w:cs="Arial"/>
        </w:rPr>
        <w:t xml:space="preserve">. </w:t>
      </w:r>
      <w:r w:rsidR="007D0503" w:rsidRPr="00810659">
        <w:rPr>
          <w:rFonts w:ascii="Arial" w:hAnsi="Arial" w:cs="Arial"/>
        </w:rPr>
        <w:t xml:space="preserve">To give more context to the results above, we are comparing each group to the general population, not comparing the proportion of each group against each other. </w:t>
      </w:r>
      <w:r w:rsidR="00D034D0" w:rsidRPr="00810659">
        <w:rPr>
          <w:rFonts w:ascii="Arial" w:hAnsi="Arial" w:cs="Arial"/>
        </w:rPr>
        <w:t xml:space="preserve">For example, claimants from a white ethnic background had the majority of claims at 80%. However, comparing that to the general population, </w:t>
      </w:r>
      <w:r w:rsidR="35C726A8" w:rsidRPr="00810659">
        <w:rPr>
          <w:rFonts w:ascii="Arial" w:hAnsi="Arial" w:cs="Arial"/>
        </w:rPr>
        <w:t>those of white ethnic background</w:t>
      </w:r>
      <w:r w:rsidR="00D034D0" w:rsidRPr="00810659">
        <w:rPr>
          <w:rFonts w:ascii="Arial" w:hAnsi="Arial" w:cs="Arial"/>
        </w:rPr>
        <w:t xml:space="preserve"> make up 90%</w:t>
      </w:r>
      <w:r w:rsidR="49DAE598" w:rsidRPr="00810659">
        <w:rPr>
          <w:rFonts w:ascii="Arial" w:hAnsi="Arial" w:cs="Arial"/>
        </w:rPr>
        <w:t xml:space="preserve"> of the general population,</w:t>
      </w:r>
      <w:r w:rsidR="00D034D0" w:rsidRPr="00810659">
        <w:rPr>
          <w:rFonts w:ascii="Arial" w:hAnsi="Arial" w:cs="Arial"/>
        </w:rPr>
        <w:t xml:space="preserve"> and therefore they are not over-represented in civil courts. </w:t>
      </w:r>
      <w:r w:rsidR="6C44AF95" w:rsidRPr="00810659">
        <w:rPr>
          <w:rFonts w:ascii="Arial" w:hAnsi="Arial" w:cs="Arial"/>
        </w:rPr>
        <w:t>By comparison</w:t>
      </w:r>
      <w:r w:rsidR="00D034D0" w:rsidRPr="00810659">
        <w:rPr>
          <w:rFonts w:ascii="Arial" w:hAnsi="Arial" w:cs="Arial"/>
        </w:rPr>
        <w:t>, claimants from an Asian ethnic background make up 14% of all claimants</w:t>
      </w:r>
      <w:r w:rsidR="66624B53" w:rsidRPr="00810659">
        <w:rPr>
          <w:rFonts w:ascii="Arial" w:hAnsi="Arial" w:cs="Arial"/>
        </w:rPr>
        <w:t>,</w:t>
      </w:r>
      <w:r w:rsidR="00D034D0" w:rsidRPr="00810659">
        <w:rPr>
          <w:rFonts w:ascii="Arial" w:hAnsi="Arial" w:cs="Arial"/>
        </w:rPr>
        <w:t xml:space="preserve"> which is higher t</w:t>
      </w:r>
      <w:r w:rsidR="0019126D" w:rsidRPr="00810659">
        <w:rPr>
          <w:rFonts w:ascii="Arial" w:hAnsi="Arial" w:cs="Arial"/>
        </w:rPr>
        <w:t>han</w:t>
      </w:r>
      <w:r w:rsidR="00D034D0" w:rsidRPr="00810659">
        <w:rPr>
          <w:rFonts w:ascii="Arial" w:hAnsi="Arial" w:cs="Arial"/>
        </w:rPr>
        <w:t xml:space="preserve"> the proportion in the general population </w:t>
      </w:r>
      <w:r w:rsidR="50B91002" w:rsidRPr="00810659">
        <w:rPr>
          <w:rFonts w:ascii="Arial" w:hAnsi="Arial" w:cs="Arial"/>
        </w:rPr>
        <w:t>of</w:t>
      </w:r>
      <w:r w:rsidR="00D034D0" w:rsidRPr="00810659">
        <w:rPr>
          <w:rFonts w:ascii="Arial" w:hAnsi="Arial" w:cs="Arial"/>
        </w:rPr>
        <w:t xml:space="preserve"> 5%</w:t>
      </w:r>
      <w:r w:rsidR="503B930B" w:rsidRPr="00810659">
        <w:rPr>
          <w:rFonts w:ascii="Arial" w:hAnsi="Arial" w:cs="Arial"/>
        </w:rPr>
        <w:t>. This</w:t>
      </w:r>
      <w:r w:rsidR="00D034D0" w:rsidRPr="00810659">
        <w:rPr>
          <w:rFonts w:ascii="Arial" w:hAnsi="Arial" w:cs="Arial"/>
        </w:rPr>
        <w:t xml:space="preserve"> </w:t>
      </w:r>
      <w:r w:rsidR="00AA5CC1" w:rsidRPr="00810659">
        <w:rPr>
          <w:rFonts w:ascii="Arial" w:hAnsi="Arial" w:cs="Arial"/>
        </w:rPr>
        <w:t>indicates that individuals from Asian ethnic backgrounds</w:t>
      </w:r>
      <w:r w:rsidR="00D034D0" w:rsidRPr="00810659">
        <w:rPr>
          <w:rFonts w:ascii="Arial" w:hAnsi="Arial" w:cs="Arial"/>
        </w:rPr>
        <w:t xml:space="preserve"> may be </w:t>
      </w:r>
      <w:proofErr w:type="gramStart"/>
      <w:r w:rsidR="00D034D0" w:rsidRPr="00810659">
        <w:rPr>
          <w:rFonts w:ascii="Arial" w:hAnsi="Arial" w:cs="Arial"/>
        </w:rPr>
        <w:t>over</w:t>
      </w:r>
      <w:r w:rsidR="00AA5CC1" w:rsidRPr="00810659">
        <w:rPr>
          <w:rFonts w:ascii="Arial" w:hAnsi="Arial" w:cs="Arial"/>
        </w:rPr>
        <w:t xml:space="preserve"> represented</w:t>
      </w:r>
      <w:proofErr w:type="gramEnd"/>
      <w:r w:rsidR="00AA5CC1" w:rsidRPr="00810659">
        <w:rPr>
          <w:rFonts w:ascii="Arial" w:hAnsi="Arial" w:cs="Arial"/>
        </w:rPr>
        <w:t xml:space="preserve"> within civil court users.</w:t>
      </w:r>
      <w:r w:rsidR="00D034D0" w:rsidRPr="00810659">
        <w:rPr>
          <w:rFonts w:ascii="Arial" w:hAnsi="Arial" w:cs="Arial"/>
        </w:rPr>
        <w:t xml:space="preserve"> The same logic has been used to make the conclusions detailed above.</w:t>
      </w:r>
    </w:p>
    <w:p w14:paraId="3F9CFE9F" w14:textId="7F68B615" w:rsidR="00EB4F9F" w:rsidRPr="00810659" w:rsidRDefault="00011EAC" w:rsidP="00DE4DEC">
      <w:pPr>
        <w:rPr>
          <w:rFonts w:ascii="Arial" w:hAnsi="Arial" w:cs="Arial"/>
        </w:rPr>
      </w:pPr>
      <w:r w:rsidRPr="00810659">
        <w:rPr>
          <w:rFonts w:ascii="Arial" w:hAnsi="Arial" w:cs="Arial"/>
        </w:rPr>
        <w:t>6.1</w:t>
      </w:r>
      <w:r w:rsidR="00CB6931" w:rsidRPr="00810659">
        <w:rPr>
          <w:rFonts w:ascii="Arial" w:hAnsi="Arial" w:cs="Arial"/>
        </w:rPr>
        <w:t>8</w:t>
      </w:r>
      <w:r w:rsidRPr="00810659">
        <w:rPr>
          <w:rFonts w:ascii="Arial" w:hAnsi="Arial" w:cs="Arial"/>
        </w:rPr>
        <w:t xml:space="preserve">. </w:t>
      </w:r>
      <w:r w:rsidR="00AE61F4" w:rsidRPr="00810659">
        <w:rPr>
          <w:rFonts w:ascii="Arial" w:hAnsi="Arial" w:cs="Arial"/>
        </w:rPr>
        <w:t xml:space="preserve">Keeping in mind the </w:t>
      </w:r>
      <w:r w:rsidR="00AA5CC1" w:rsidRPr="00810659">
        <w:rPr>
          <w:rFonts w:ascii="Arial" w:hAnsi="Arial" w:cs="Arial"/>
        </w:rPr>
        <w:t>data</w:t>
      </w:r>
      <w:r w:rsidR="00AE61F4" w:rsidRPr="00810659">
        <w:rPr>
          <w:rFonts w:ascii="Arial" w:hAnsi="Arial" w:cs="Arial"/>
        </w:rPr>
        <w:t xml:space="preserve"> limitations mentioned earlier, </w:t>
      </w:r>
      <w:r w:rsidR="00F6553A" w:rsidRPr="00810659">
        <w:rPr>
          <w:rFonts w:ascii="Arial" w:hAnsi="Arial" w:cs="Arial"/>
        </w:rPr>
        <w:t>the survey</w:t>
      </w:r>
      <w:r w:rsidR="000E065A" w:rsidRPr="00810659">
        <w:rPr>
          <w:rFonts w:ascii="Arial" w:hAnsi="Arial" w:cs="Arial"/>
        </w:rPr>
        <w:t xml:space="preserve"> findings indicate that</w:t>
      </w:r>
      <w:r w:rsidR="00F64F3C" w:rsidRPr="00810659">
        <w:rPr>
          <w:rFonts w:ascii="Arial" w:hAnsi="Arial" w:cs="Arial"/>
        </w:rPr>
        <w:t xml:space="preserve"> individuals with</w:t>
      </w:r>
      <w:r w:rsidR="00BB3EA8" w:rsidRPr="00810659">
        <w:rPr>
          <w:rFonts w:ascii="Arial" w:hAnsi="Arial" w:cs="Arial"/>
        </w:rPr>
        <w:t xml:space="preserve"> certain</w:t>
      </w:r>
      <w:r w:rsidR="00F64F3C" w:rsidRPr="00810659">
        <w:rPr>
          <w:rFonts w:ascii="Arial" w:hAnsi="Arial" w:cs="Arial"/>
        </w:rPr>
        <w:t xml:space="preserve"> protected characteristics (in this case race</w:t>
      </w:r>
      <w:r w:rsidR="00EB4F9F" w:rsidRPr="00810659">
        <w:rPr>
          <w:rFonts w:ascii="Arial" w:hAnsi="Arial" w:cs="Arial"/>
        </w:rPr>
        <w:t>, age and gender</w:t>
      </w:r>
      <w:r w:rsidR="00F64F3C" w:rsidRPr="00810659">
        <w:rPr>
          <w:rFonts w:ascii="Arial" w:hAnsi="Arial" w:cs="Arial"/>
        </w:rPr>
        <w:t xml:space="preserve">) are likely to be </w:t>
      </w:r>
      <w:proofErr w:type="gramStart"/>
      <w:r w:rsidR="00F64F3C" w:rsidRPr="00810659">
        <w:rPr>
          <w:rFonts w:ascii="Arial" w:hAnsi="Arial" w:cs="Arial"/>
        </w:rPr>
        <w:t>over represented</w:t>
      </w:r>
      <w:proofErr w:type="gramEnd"/>
      <w:r w:rsidR="7F4B2AE0" w:rsidRPr="00810659">
        <w:rPr>
          <w:rFonts w:ascii="Arial" w:hAnsi="Arial" w:cs="Arial"/>
        </w:rPr>
        <w:t xml:space="preserve"> amongst court users</w:t>
      </w:r>
      <w:r w:rsidR="00F64F3C" w:rsidRPr="00810659">
        <w:rPr>
          <w:rFonts w:ascii="Arial" w:hAnsi="Arial" w:cs="Arial"/>
        </w:rPr>
        <w:t xml:space="preserve">. </w:t>
      </w:r>
      <w:r w:rsidR="00300F07" w:rsidRPr="00810659">
        <w:rPr>
          <w:rFonts w:ascii="Arial" w:hAnsi="Arial" w:cs="Arial"/>
        </w:rPr>
        <w:t>This also assumes that the population and user profile has remained somewhat similar to what it was in 2014-2015.</w:t>
      </w:r>
      <w:r w:rsidR="00EB4F9F" w:rsidRPr="00810659">
        <w:rPr>
          <w:rFonts w:ascii="Arial" w:hAnsi="Arial" w:cs="Arial"/>
        </w:rPr>
        <w:t xml:space="preserve"> We therefore conclude that men</w:t>
      </w:r>
      <w:r w:rsidR="05B1C145" w:rsidRPr="00810659">
        <w:rPr>
          <w:rFonts w:ascii="Arial" w:hAnsi="Arial" w:cs="Arial"/>
        </w:rPr>
        <w:t>;</w:t>
      </w:r>
      <w:r w:rsidR="00EB4F9F" w:rsidRPr="00810659">
        <w:rPr>
          <w:rFonts w:ascii="Arial" w:hAnsi="Arial" w:cs="Arial"/>
        </w:rPr>
        <w:t xml:space="preserve"> those of Asian ethnicity</w:t>
      </w:r>
      <w:r w:rsidR="3F1E5679" w:rsidRPr="00810659">
        <w:rPr>
          <w:rFonts w:ascii="Arial" w:hAnsi="Arial" w:cs="Arial"/>
        </w:rPr>
        <w:t>;</w:t>
      </w:r>
      <w:r w:rsidR="00DE4E78" w:rsidRPr="00810659">
        <w:rPr>
          <w:rFonts w:ascii="Arial" w:hAnsi="Arial" w:cs="Arial"/>
        </w:rPr>
        <w:t xml:space="preserve"> those</w:t>
      </w:r>
      <w:r w:rsidR="00EB4F9F" w:rsidRPr="00810659">
        <w:rPr>
          <w:rFonts w:ascii="Arial" w:hAnsi="Arial" w:cs="Arial"/>
        </w:rPr>
        <w:t xml:space="preserve"> in the 45 to 54 age band</w:t>
      </w:r>
      <w:r w:rsidR="00721B88" w:rsidRPr="00810659">
        <w:rPr>
          <w:rFonts w:ascii="Arial" w:hAnsi="Arial" w:cs="Arial"/>
        </w:rPr>
        <w:t xml:space="preserve">; and those </w:t>
      </w:r>
      <w:r w:rsidR="00BF4A8C" w:rsidRPr="00810659">
        <w:rPr>
          <w:rFonts w:ascii="Arial" w:hAnsi="Arial" w:cs="Arial"/>
        </w:rPr>
        <w:t>married,</w:t>
      </w:r>
      <w:r w:rsidR="00721B88" w:rsidRPr="00810659">
        <w:rPr>
          <w:rFonts w:ascii="Arial" w:hAnsi="Arial" w:cs="Arial"/>
        </w:rPr>
        <w:t xml:space="preserve"> or cohabitating</w:t>
      </w:r>
      <w:r w:rsidR="00EB4F9F" w:rsidRPr="00810659">
        <w:rPr>
          <w:rFonts w:ascii="Arial" w:hAnsi="Arial" w:cs="Arial"/>
        </w:rPr>
        <w:t xml:space="preserve"> may be disproportionately affected by these fee changes. </w:t>
      </w:r>
    </w:p>
    <w:p w14:paraId="3B175679" w14:textId="4B32478B" w:rsidR="001D6D72" w:rsidRPr="00810659" w:rsidRDefault="00011EAC" w:rsidP="00DE4DEC">
      <w:pPr>
        <w:rPr>
          <w:rFonts w:ascii="Arial" w:hAnsi="Arial" w:cs="Arial"/>
        </w:rPr>
      </w:pPr>
      <w:r w:rsidRPr="00810659">
        <w:rPr>
          <w:rFonts w:ascii="Arial" w:hAnsi="Arial" w:cs="Arial"/>
        </w:rPr>
        <w:t>6.1</w:t>
      </w:r>
      <w:r w:rsidR="00CB6931" w:rsidRPr="00810659">
        <w:rPr>
          <w:rFonts w:ascii="Arial" w:hAnsi="Arial" w:cs="Arial"/>
        </w:rPr>
        <w:t>9</w:t>
      </w:r>
      <w:r w:rsidRPr="00810659">
        <w:rPr>
          <w:rFonts w:ascii="Arial" w:hAnsi="Arial" w:cs="Arial"/>
        </w:rPr>
        <w:t xml:space="preserve">. </w:t>
      </w:r>
      <w:r w:rsidR="00EB4F9F" w:rsidRPr="00810659">
        <w:rPr>
          <w:rFonts w:ascii="Arial" w:hAnsi="Arial" w:cs="Arial"/>
        </w:rPr>
        <w:t>The survey does not contain any information on some protected characteristics, such as sexual orientation, religion and belief, gender reassignment, pregnancy and maternity. As a result, we are unable to make any conclusions on whether individuals may be disproportionately affected because of these characteristics</w:t>
      </w:r>
      <w:r w:rsidR="00011225" w:rsidRPr="00810659">
        <w:rPr>
          <w:rFonts w:ascii="Arial" w:hAnsi="Arial" w:cs="Arial"/>
        </w:rPr>
        <w:t>.</w:t>
      </w:r>
      <w:r w:rsidR="001D6D72" w:rsidRPr="00810659">
        <w:rPr>
          <w:rFonts w:ascii="Arial" w:hAnsi="Arial" w:cs="Arial"/>
        </w:rPr>
        <w:t xml:space="preserve"> </w:t>
      </w:r>
    </w:p>
    <w:p w14:paraId="00AB3E80" w14:textId="2CB7686F" w:rsidR="00E548CC" w:rsidRPr="00810659" w:rsidRDefault="00011EAC" w:rsidP="00DE4DEC">
      <w:pPr>
        <w:rPr>
          <w:rFonts w:ascii="Arial" w:hAnsi="Arial" w:cs="Arial"/>
        </w:rPr>
      </w:pPr>
      <w:r w:rsidRPr="00810659">
        <w:rPr>
          <w:rFonts w:ascii="Arial" w:hAnsi="Arial" w:cs="Arial"/>
        </w:rPr>
        <w:t>6.</w:t>
      </w:r>
      <w:r w:rsidR="00CB6931" w:rsidRPr="00810659">
        <w:rPr>
          <w:rFonts w:ascii="Arial" w:hAnsi="Arial" w:cs="Arial"/>
        </w:rPr>
        <w:t>20</w:t>
      </w:r>
      <w:r w:rsidRPr="00810659">
        <w:rPr>
          <w:rFonts w:ascii="Arial" w:hAnsi="Arial" w:cs="Arial"/>
        </w:rPr>
        <w:t xml:space="preserve">. </w:t>
      </w:r>
      <w:r w:rsidR="00184FA9" w:rsidRPr="00810659">
        <w:rPr>
          <w:rFonts w:ascii="Arial" w:hAnsi="Arial" w:cs="Arial"/>
        </w:rPr>
        <w:t xml:space="preserve">However, there is also the possibility that the profile of </w:t>
      </w:r>
      <w:r w:rsidR="4456A676" w:rsidRPr="00810659">
        <w:rPr>
          <w:rFonts w:ascii="Arial" w:hAnsi="Arial" w:cs="Arial"/>
        </w:rPr>
        <w:t xml:space="preserve">court </w:t>
      </w:r>
      <w:r w:rsidR="00184FA9" w:rsidRPr="00810659">
        <w:rPr>
          <w:rFonts w:ascii="Arial" w:hAnsi="Arial" w:cs="Arial"/>
        </w:rPr>
        <w:t xml:space="preserve">users may not be the same as the profile of </w:t>
      </w:r>
      <w:r w:rsidR="006404EB" w:rsidRPr="00810659">
        <w:rPr>
          <w:rFonts w:ascii="Arial" w:hAnsi="Arial" w:cs="Arial"/>
        </w:rPr>
        <w:t>those affected by the fee change</w:t>
      </w:r>
      <w:r w:rsidR="00184FA9" w:rsidRPr="00810659">
        <w:rPr>
          <w:rFonts w:ascii="Arial" w:hAnsi="Arial" w:cs="Arial"/>
        </w:rPr>
        <w:t>. Out of all claimants</w:t>
      </w:r>
      <w:r w:rsidR="006404EB" w:rsidRPr="00810659">
        <w:rPr>
          <w:rFonts w:ascii="Arial" w:hAnsi="Arial" w:cs="Arial"/>
        </w:rPr>
        <w:t xml:space="preserve"> in the survey</w:t>
      </w:r>
      <w:r w:rsidR="00184FA9" w:rsidRPr="00810659">
        <w:rPr>
          <w:rFonts w:ascii="Arial" w:hAnsi="Arial" w:cs="Arial"/>
        </w:rPr>
        <w:t>, only 38% paid a fee (mostly specified money and possession claims)</w:t>
      </w:r>
      <w:r w:rsidR="61C9CC1E" w:rsidRPr="00810659">
        <w:rPr>
          <w:rFonts w:ascii="Arial" w:hAnsi="Arial" w:cs="Arial"/>
        </w:rPr>
        <w:t xml:space="preserve"> - so only a proportion of court users paid a fee</w:t>
      </w:r>
      <w:r w:rsidR="00210152" w:rsidRPr="00810659">
        <w:rPr>
          <w:rFonts w:ascii="Arial" w:hAnsi="Arial" w:cs="Arial"/>
        </w:rPr>
        <w:t>; a high proportion of unspecified money claimants had a no win no fee agreement in pla</w:t>
      </w:r>
      <w:r w:rsidR="00A826BA" w:rsidRPr="00810659">
        <w:rPr>
          <w:rFonts w:ascii="Arial" w:hAnsi="Arial" w:cs="Arial"/>
        </w:rPr>
        <w:t xml:space="preserve">ce and </w:t>
      </w:r>
      <w:r w:rsidR="009C38EF" w:rsidRPr="00810659">
        <w:rPr>
          <w:rFonts w:ascii="Arial" w:hAnsi="Arial" w:cs="Arial"/>
        </w:rPr>
        <w:t>in some cases</w:t>
      </w:r>
      <w:r w:rsidR="00024C38" w:rsidRPr="00810659">
        <w:rPr>
          <w:rFonts w:ascii="Arial" w:hAnsi="Arial" w:cs="Arial"/>
        </w:rPr>
        <w:t>,</w:t>
      </w:r>
      <w:r w:rsidR="00A826BA" w:rsidRPr="00810659">
        <w:rPr>
          <w:rFonts w:ascii="Arial" w:hAnsi="Arial" w:cs="Arial"/>
        </w:rPr>
        <w:t xml:space="preserve"> somebody else </w:t>
      </w:r>
      <w:r w:rsidR="00F305EC" w:rsidRPr="00810659">
        <w:rPr>
          <w:rFonts w:ascii="Arial" w:hAnsi="Arial" w:cs="Arial"/>
        </w:rPr>
        <w:t>had</w:t>
      </w:r>
      <w:r w:rsidR="00A826BA" w:rsidRPr="00810659">
        <w:rPr>
          <w:rFonts w:ascii="Arial" w:hAnsi="Arial" w:cs="Arial"/>
        </w:rPr>
        <w:t xml:space="preserve"> pa</w:t>
      </w:r>
      <w:r w:rsidR="00F305EC" w:rsidRPr="00810659">
        <w:rPr>
          <w:rFonts w:ascii="Arial" w:hAnsi="Arial" w:cs="Arial"/>
        </w:rPr>
        <w:t>id</w:t>
      </w:r>
      <w:r w:rsidR="00A826BA" w:rsidRPr="00810659">
        <w:rPr>
          <w:rFonts w:ascii="Arial" w:hAnsi="Arial" w:cs="Arial"/>
        </w:rPr>
        <w:t xml:space="preserve"> for them or had their court fee waived/reduced</w:t>
      </w:r>
      <w:r w:rsidR="0075328A" w:rsidRPr="00810659">
        <w:rPr>
          <w:rFonts w:ascii="Arial" w:hAnsi="Arial" w:cs="Arial"/>
        </w:rPr>
        <w:t xml:space="preserve">. </w:t>
      </w:r>
      <w:r w:rsidR="00184FA9" w:rsidRPr="00810659">
        <w:rPr>
          <w:rFonts w:ascii="Arial" w:hAnsi="Arial" w:cs="Arial"/>
        </w:rPr>
        <w:t xml:space="preserve">We do not know the </w:t>
      </w:r>
      <w:r w:rsidR="3B39DA75" w:rsidRPr="00810659">
        <w:rPr>
          <w:rFonts w:ascii="Arial" w:hAnsi="Arial" w:cs="Arial"/>
        </w:rPr>
        <w:t xml:space="preserve">specific </w:t>
      </w:r>
      <w:r w:rsidR="00184FA9" w:rsidRPr="00810659">
        <w:rPr>
          <w:rFonts w:ascii="Arial" w:hAnsi="Arial" w:cs="Arial"/>
        </w:rPr>
        <w:t xml:space="preserve">demographics of </w:t>
      </w:r>
      <w:r w:rsidR="0F44864E" w:rsidRPr="00810659">
        <w:rPr>
          <w:rFonts w:ascii="Arial" w:hAnsi="Arial" w:cs="Arial"/>
        </w:rPr>
        <w:t>those who paid a fee</w:t>
      </w:r>
      <w:r w:rsidR="00184FA9" w:rsidRPr="00810659">
        <w:rPr>
          <w:rFonts w:ascii="Arial" w:hAnsi="Arial" w:cs="Arial"/>
        </w:rPr>
        <w:t xml:space="preserve"> so it is possible that it might not exactly match the profile of </w:t>
      </w:r>
      <w:r w:rsidR="2333BF4A" w:rsidRPr="00810659">
        <w:rPr>
          <w:rFonts w:ascii="Arial" w:hAnsi="Arial" w:cs="Arial"/>
        </w:rPr>
        <w:t xml:space="preserve">court </w:t>
      </w:r>
      <w:r w:rsidR="00184FA9" w:rsidRPr="00810659">
        <w:rPr>
          <w:rFonts w:ascii="Arial" w:hAnsi="Arial" w:cs="Arial"/>
        </w:rPr>
        <w:t xml:space="preserve">users. </w:t>
      </w:r>
      <w:r w:rsidR="001A309A" w:rsidRPr="00810659">
        <w:rPr>
          <w:rFonts w:ascii="Arial" w:hAnsi="Arial" w:cs="Arial"/>
        </w:rPr>
        <w:t>Whi</w:t>
      </w:r>
      <w:r w:rsidR="00842503" w:rsidRPr="00810659">
        <w:rPr>
          <w:rFonts w:ascii="Arial" w:hAnsi="Arial" w:cs="Arial"/>
        </w:rPr>
        <w:t>le this does not mean that the conclusion should be ignored, it may show that the inflation of fees here may</w:t>
      </w:r>
      <w:r w:rsidR="00FF036D" w:rsidRPr="00810659">
        <w:rPr>
          <w:rFonts w:ascii="Arial" w:hAnsi="Arial" w:cs="Arial"/>
        </w:rPr>
        <w:t xml:space="preserve"> not affect all civil court users in the same way.</w:t>
      </w:r>
      <w:r w:rsidR="00842503" w:rsidRPr="00810659">
        <w:rPr>
          <w:rFonts w:ascii="Arial" w:hAnsi="Arial" w:cs="Arial"/>
        </w:rPr>
        <w:t xml:space="preserve"> </w:t>
      </w:r>
    </w:p>
    <w:p w14:paraId="52151143" w14:textId="77777777" w:rsidR="00FF036D" w:rsidRPr="00810659" w:rsidRDefault="00FF036D" w:rsidP="00DE4DEC">
      <w:pPr>
        <w:rPr>
          <w:rFonts w:ascii="Arial" w:hAnsi="Arial" w:cs="Arial"/>
        </w:rPr>
      </w:pPr>
    </w:p>
    <w:p w14:paraId="696AAF3E" w14:textId="33C47B6D" w:rsidR="00AB0B93" w:rsidRPr="00810659" w:rsidRDefault="00484B8B" w:rsidP="00DE4DEC">
      <w:pPr>
        <w:rPr>
          <w:rFonts w:ascii="Arial" w:hAnsi="Arial" w:cs="Arial"/>
          <w:b/>
          <w:sz w:val="24"/>
        </w:rPr>
      </w:pPr>
      <w:r w:rsidRPr="00810659">
        <w:rPr>
          <w:rFonts w:ascii="Arial" w:hAnsi="Arial" w:cs="Arial"/>
          <w:b/>
          <w:sz w:val="24"/>
        </w:rPr>
        <w:t xml:space="preserve">Public </w:t>
      </w:r>
      <w:r w:rsidR="00245992" w:rsidRPr="00810659">
        <w:rPr>
          <w:rFonts w:ascii="Arial" w:hAnsi="Arial" w:cs="Arial"/>
          <w:b/>
          <w:sz w:val="24"/>
        </w:rPr>
        <w:t>Family</w:t>
      </w:r>
      <w:r w:rsidRPr="00810659">
        <w:rPr>
          <w:rFonts w:ascii="Arial" w:hAnsi="Arial" w:cs="Arial"/>
          <w:b/>
          <w:sz w:val="24"/>
        </w:rPr>
        <w:t xml:space="preserve"> Law</w:t>
      </w:r>
    </w:p>
    <w:p w14:paraId="7B4CB65E" w14:textId="58B6CDC3" w:rsidR="00DA2172" w:rsidRPr="00810659" w:rsidRDefault="00775387" w:rsidP="00DE4DEC">
      <w:pPr>
        <w:rPr>
          <w:rFonts w:ascii="Arial" w:hAnsi="Arial" w:cs="Arial"/>
        </w:rPr>
      </w:pPr>
      <w:r w:rsidRPr="00810659">
        <w:rPr>
          <w:rFonts w:ascii="Arial" w:hAnsi="Arial" w:cs="Arial"/>
        </w:rPr>
        <w:t>6.</w:t>
      </w:r>
      <w:r w:rsidR="00CB6931" w:rsidRPr="00810659">
        <w:rPr>
          <w:rFonts w:ascii="Arial" w:hAnsi="Arial" w:cs="Arial"/>
        </w:rPr>
        <w:t>21</w:t>
      </w:r>
      <w:r w:rsidRPr="00810659">
        <w:rPr>
          <w:rFonts w:ascii="Arial" w:hAnsi="Arial" w:cs="Arial"/>
        </w:rPr>
        <w:t xml:space="preserve">. </w:t>
      </w:r>
      <w:r w:rsidR="00AB6F73" w:rsidRPr="00810659">
        <w:rPr>
          <w:rFonts w:ascii="Arial" w:hAnsi="Arial" w:cs="Arial"/>
        </w:rPr>
        <w:t xml:space="preserve">Public family law cases usually involve a local authority making an application for an order to safeguard the welfare of a child. </w:t>
      </w:r>
      <w:r w:rsidR="00960DE7" w:rsidRPr="00810659">
        <w:rPr>
          <w:rFonts w:ascii="Arial" w:hAnsi="Arial" w:cs="Arial"/>
        </w:rPr>
        <w:t xml:space="preserve">The most common cases are </w:t>
      </w:r>
      <w:r w:rsidR="00903F7D" w:rsidRPr="00810659">
        <w:rPr>
          <w:rFonts w:ascii="Arial" w:hAnsi="Arial" w:cs="Arial"/>
        </w:rPr>
        <w:t xml:space="preserve">care orders, emergency protection orders, supervision orders and secure accommodation orders. </w:t>
      </w:r>
      <w:r w:rsidR="004F006A" w:rsidRPr="00810659">
        <w:rPr>
          <w:rFonts w:ascii="Arial" w:hAnsi="Arial" w:cs="Arial"/>
        </w:rPr>
        <w:t>A</w:t>
      </w:r>
      <w:r w:rsidR="00316754" w:rsidRPr="00810659">
        <w:rPr>
          <w:rFonts w:ascii="Arial" w:hAnsi="Arial" w:cs="Arial"/>
        </w:rPr>
        <w:t>s these fees mainly affect local authorities, the burden of the increase in fees will not fall on individuals with protected characteristics</w:t>
      </w:r>
      <w:r w:rsidR="00796CF3" w:rsidRPr="00810659">
        <w:rPr>
          <w:rFonts w:ascii="Arial" w:hAnsi="Arial" w:cs="Arial"/>
        </w:rPr>
        <w:t>.</w:t>
      </w:r>
      <w:r w:rsidR="00B90EE7" w:rsidRPr="00810659">
        <w:rPr>
          <w:rFonts w:ascii="Arial" w:hAnsi="Arial" w:cs="Arial"/>
        </w:rPr>
        <w:t xml:space="preserve"> </w:t>
      </w:r>
      <w:r w:rsidR="00796CF3" w:rsidRPr="00810659">
        <w:rPr>
          <w:rFonts w:ascii="Arial" w:hAnsi="Arial" w:cs="Arial"/>
        </w:rPr>
        <w:t>A</w:t>
      </w:r>
      <w:r w:rsidR="00B90EE7" w:rsidRPr="00810659">
        <w:rPr>
          <w:rFonts w:ascii="Arial" w:hAnsi="Arial" w:cs="Arial"/>
        </w:rPr>
        <w:t xml:space="preserve"> breakdown </w:t>
      </w:r>
      <w:r w:rsidR="00A3138A" w:rsidRPr="00810659">
        <w:rPr>
          <w:rFonts w:ascii="Arial" w:hAnsi="Arial" w:cs="Arial"/>
        </w:rPr>
        <w:t>of</w:t>
      </w:r>
      <w:r w:rsidR="0072290B" w:rsidRPr="00810659">
        <w:rPr>
          <w:rFonts w:ascii="Arial" w:hAnsi="Arial" w:cs="Arial"/>
        </w:rPr>
        <w:t xml:space="preserve"> public family law</w:t>
      </w:r>
      <w:r w:rsidR="00A3138A" w:rsidRPr="00810659">
        <w:rPr>
          <w:rFonts w:ascii="Arial" w:hAnsi="Arial" w:cs="Arial"/>
        </w:rPr>
        <w:t xml:space="preserve"> court users has not been provided</w:t>
      </w:r>
      <w:r w:rsidR="00A80737" w:rsidRPr="00810659">
        <w:rPr>
          <w:rFonts w:ascii="Arial" w:hAnsi="Arial" w:cs="Arial"/>
        </w:rPr>
        <w:t xml:space="preserve"> as a result</w:t>
      </w:r>
      <w:r w:rsidR="00316754" w:rsidRPr="00810659">
        <w:rPr>
          <w:rFonts w:ascii="Arial" w:hAnsi="Arial" w:cs="Arial"/>
        </w:rPr>
        <w:t>.</w:t>
      </w:r>
    </w:p>
    <w:p w14:paraId="4FD48E8C" w14:textId="77777777" w:rsidR="00A826BA" w:rsidRPr="00810659" w:rsidRDefault="00A826BA" w:rsidP="00DE4DEC">
      <w:pPr>
        <w:rPr>
          <w:rFonts w:ascii="Arial" w:hAnsi="Arial" w:cs="Arial"/>
        </w:rPr>
      </w:pPr>
    </w:p>
    <w:p w14:paraId="70CCF495" w14:textId="77777777" w:rsidR="003064DA" w:rsidRPr="00810659" w:rsidRDefault="003064DA">
      <w:pPr>
        <w:rPr>
          <w:rFonts w:ascii="Arial" w:hAnsi="Arial" w:cs="Arial"/>
          <w:b/>
          <w:sz w:val="24"/>
        </w:rPr>
      </w:pPr>
      <w:r w:rsidRPr="00810659">
        <w:rPr>
          <w:rFonts w:ascii="Arial" w:hAnsi="Arial" w:cs="Arial"/>
          <w:b/>
          <w:sz w:val="24"/>
        </w:rPr>
        <w:br w:type="page"/>
      </w:r>
    </w:p>
    <w:p w14:paraId="6EDC7798" w14:textId="1FD95CE1" w:rsidR="004C0DDC" w:rsidRPr="00810659" w:rsidRDefault="004C0DDC" w:rsidP="00DE4DEC">
      <w:pPr>
        <w:rPr>
          <w:rFonts w:ascii="Arial" w:hAnsi="Arial" w:cs="Arial"/>
          <w:b/>
          <w:sz w:val="24"/>
        </w:rPr>
      </w:pPr>
      <w:r w:rsidRPr="00810659">
        <w:rPr>
          <w:rFonts w:ascii="Arial" w:hAnsi="Arial" w:cs="Arial"/>
          <w:b/>
          <w:sz w:val="24"/>
        </w:rPr>
        <w:lastRenderedPageBreak/>
        <w:t>Private Family Law</w:t>
      </w:r>
    </w:p>
    <w:p w14:paraId="5A9E48D1" w14:textId="0FFFEBE1" w:rsidR="00E72249" w:rsidRPr="00810659" w:rsidRDefault="00775387" w:rsidP="00DE4DEC">
      <w:pPr>
        <w:rPr>
          <w:rFonts w:ascii="Arial" w:hAnsi="Arial" w:cs="Arial"/>
        </w:rPr>
      </w:pPr>
      <w:r w:rsidRPr="00810659">
        <w:rPr>
          <w:rFonts w:ascii="Arial" w:hAnsi="Arial" w:cs="Arial"/>
        </w:rPr>
        <w:t>6.</w:t>
      </w:r>
      <w:r w:rsidR="00327BA8" w:rsidRPr="00810659">
        <w:rPr>
          <w:rFonts w:ascii="Arial" w:hAnsi="Arial" w:cs="Arial"/>
        </w:rPr>
        <w:t>22</w:t>
      </w:r>
      <w:r w:rsidRPr="00810659">
        <w:rPr>
          <w:rFonts w:ascii="Arial" w:hAnsi="Arial" w:cs="Arial"/>
        </w:rPr>
        <w:t xml:space="preserve">. </w:t>
      </w:r>
      <w:r w:rsidR="00502D63" w:rsidRPr="00810659">
        <w:rPr>
          <w:rFonts w:ascii="Arial" w:hAnsi="Arial" w:cs="Arial"/>
        </w:rPr>
        <w:t xml:space="preserve">A private family law case is when a  court deals with family disputes between individuals. This includes, but </w:t>
      </w:r>
      <w:r w:rsidR="6A374A1E" w:rsidRPr="00810659">
        <w:rPr>
          <w:rFonts w:ascii="Arial" w:hAnsi="Arial" w:cs="Arial"/>
        </w:rPr>
        <w:t xml:space="preserve">is </w:t>
      </w:r>
      <w:r w:rsidR="00502D63" w:rsidRPr="00810659">
        <w:rPr>
          <w:rFonts w:ascii="Arial" w:hAnsi="Arial" w:cs="Arial"/>
        </w:rPr>
        <w:t>not limited to, adoption cases, disputes over a child and matters involving the break-up of a relationship.</w:t>
      </w:r>
    </w:p>
    <w:p w14:paraId="681F9A57" w14:textId="67AB2D18" w:rsidR="009F245E" w:rsidRPr="00810659" w:rsidRDefault="00775387" w:rsidP="00DE4DEC">
      <w:pPr>
        <w:rPr>
          <w:rFonts w:ascii="Arial" w:hAnsi="Arial" w:cs="Arial"/>
        </w:rPr>
      </w:pPr>
      <w:r w:rsidRPr="00810659">
        <w:rPr>
          <w:rFonts w:ascii="Arial" w:hAnsi="Arial" w:cs="Arial"/>
        </w:rPr>
        <w:t>6.</w:t>
      </w:r>
      <w:r w:rsidR="00327BA8" w:rsidRPr="00810659">
        <w:rPr>
          <w:rFonts w:ascii="Arial" w:hAnsi="Arial" w:cs="Arial"/>
        </w:rPr>
        <w:t>23</w:t>
      </w:r>
      <w:r w:rsidRPr="00810659">
        <w:rPr>
          <w:rFonts w:ascii="Arial" w:hAnsi="Arial" w:cs="Arial"/>
        </w:rPr>
        <w:t xml:space="preserve">. </w:t>
      </w:r>
      <w:r w:rsidR="009F245E" w:rsidRPr="00810659">
        <w:rPr>
          <w:rFonts w:ascii="Arial" w:hAnsi="Arial" w:cs="Arial"/>
        </w:rPr>
        <w:t xml:space="preserve">Data is not routinely collected on users of family courts. However, Cafcass (the Children and Family Court Advisory and Support Service) collects data regarding the characteristics of </w:t>
      </w:r>
      <w:r w:rsidR="002306EE" w:rsidRPr="00810659">
        <w:rPr>
          <w:rFonts w:ascii="Arial" w:hAnsi="Arial" w:cs="Arial"/>
        </w:rPr>
        <w:t>applicants</w:t>
      </w:r>
      <w:r w:rsidR="00D863D7" w:rsidRPr="00810659">
        <w:rPr>
          <w:rFonts w:ascii="Arial" w:hAnsi="Arial" w:cs="Arial"/>
        </w:rPr>
        <w:t xml:space="preserve"> involved in cases regarding children (where Cafcass is involved)</w:t>
      </w:r>
      <w:r w:rsidR="009F245E" w:rsidRPr="00810659">
        <w:rPr>
          <w:rFonts w:ascii="Arial" w:hAnsi="Arial" w:cs="Arial"/>
        </w:rPr>
        <w:t>. We have used this data, for England for the 2018-2019 financial year, as a proxy to understand more about users of family courts, in relation to private family law proceedings.</w:t>
      </w:r>
      <w:r w:rsidR="006A12A1" w:rsidRPr="00810659">
        <w:rPr>
          <w:rFonts w:ascii="Arial" w:hAnsi="Arial" w:cs="Arial"/>
        </w:rPr>
        <w:t xml:space="preserve"> </w:t>
      </w:r>
      <w:r w:rsidR="006A12A1" w:rsidRPr="00810659">
        <w:rPr>
          <w:rStyle w:val="eop"/>
          <w:rFonts w:ascii="Arial" w:hAnsi="Arial" w:cs="Arial"/>
        </w:rPr>
        <w:t xml:space="preserve">Hence Cafcass data will only be about those families where they are involved in the case due to </w:t>
      </w:r>
      <w:proofErr w:type="gramStart"/>
      <w:r w:rsidR="006A12A1" w:rsidRPr="00810659">
        <w:rPr>
          <w:rStyle w:val="eop"/>
          <w:rFonts w:ascii="Arial" w:hAnsi="Arial" w:cs="Arial"/>
        </w:rPr>
        <w:t>safe guarding</w:t>
      </w:r>
      <w:proofErr w:type="gramEnd"/>
      <w:r w:rsidR="006A12A1" w:rsidRPr="00810659">
        <w:rPr>
          <w:rStyle w:val="eop"/>
          <w:rFonts w:ascii="Arial" w:hAnsi="Arial" w:cs="Arial"/>
        </w:rPr>
        <w:t xml:space="preserve"> concerns disclosed by the applicant that are then investigated by Cafcass and presented to HMCTS for the court to consider in a safe guarding letter.</w:t>
      </w:r>
      <w:r w:rsidR="006702D0" w:rsidRPr="00810659">
        <w:rPr>
          <w:rStyle w:val="eop"/>
          <w:rFonts w:ascii="Arial" w:hAnsi="Arial" w:cs="Arial"/>
        </w:rPr>
        <w:t xml:space="preserve"> </w:t>
      </w:r>
      <w:r w:rsidR="00D863D7" w:rsidRPr="00810659">
        <w:rPr>
          <w:rStyle w:val="eop"/>
          <w:rFonts w:ascii="Arial" w:hAnsi="Arial" w:cs="Arial"/>
        </w:rPr>
        <w:t>The data is summarised in Table 6 below.</w:t>
      </w:r>
    </w:p>
    <w:p w14:paraId="17656D24" w14:textId="1256121B" w:rsidR="00E24F39" w:rsidRPr="00810659" w:rsidRDefault="00E24F39" w:rsidP="00E24F39">
      <w:pPr>
        <w:rPr>
          <w:rFonts w:ascii="Arial" w:hAnsi="Arial" w:cs="Arial"/>
        </w:rPr>
      </w:pPr>
      <w:r w:rsidRPr="00810659">
        <w:rPr>
          <w:rFonts w:ascii="Arial" w:hAnsi="Arial" w:cs="Arial"/>
        </w:rPr>
        <w:t>6.</w:t>
      </w:r>
      <w:r w:rsidR="00327BA8" w:rsidRPr="00810659">
        <w:rPr>
          <w:rFonts w:ascii="Arial" w:hAnsi="Arial" w:cs="Arial"/>
        </w:rPr>
        <w:t>2</w:t>
      </w:r>
      <w:r w:rsidR="008A3738" w:rsidRPr="00810659">
        <w:rPr>
          <w:rFonts w:ascii="Arial" w:hAnsi="Arial" w:cs="Arial"/>
        </w:rPr>
        <w:t>4</w:t>
      </w:r>
      <w:r w:rsidRPr="00810659">
        <w:rPr>
          <w:rFonts w:ascii="Arial" w:hAnsi="Arial" w:cs="Arial"/>
        </w:rPr>
        <w:t>. Looking at the data, we can see that, when it comes to age,</w:t>
      </w:r>
      <w:r w:rsidR="00BB7302" w:rsidRPr="00810659">
        <w:rPr>
          <w:rFonts w:ascii="Arial" w:hAnsi="Arial" w:cs="Arial"/>
        </w:rPr>
        <w:t xml:space="preserve"> the proportion of</w:t>
      </w:r>
      <w:r w:rsidRPr="00810659">
        <w:rPr>
          <w:rFonts w:ascii="Arial" w:hAnsi="Arial" w:cs="Arial"/>
        </w:rPr>
        <w:t xml:space="preserve"> applicants aged 18-29 (22%), 30-39 (41%) and 40-49 (26%) </w:t>
      </w:r>
      <w:r w:rsidR="000616C9" w:rsidRPr="00810659">
        <w:rPr>
          <w:rFonts w:ascii="Arial" w:hAnsi="Arial" w:cs="Arial"/>
        </w:rPr>
        <w:t>were</w:t>
      </w:r>
      <w:r w:rsidRPr="00810659">
        <w:rPr>
          <w:rFonts w:ascii="Arial" w:hAnsi="Arial" w:cs="Arial"/>
        </w:rPr>
        <w:t xml:space="preserve"> all over-represented in family courts when comparing to the general population (15%, 13% and 13% respectively). </w:t>
      </w:r>
    </w:p>
    <w:p w14:paraId="2918B7ED" w14:textId="4D6D8FC8" w:rsidR="00E24F39" w:rsidRPr="00810659" w:rsidRDefault="00E24F39" w:rsidP="00E24F39">
      <w:pPr>
        <w:rPr>
          <w:rFonts w:ascii="Arial" w:hAnsi="Arial" w:cs="Arial"/>
        </w:rPr>
      </w:pPr>
      <w:r w:rsidRPr="00810659">
        <w:rPr>
          <w:rFonts w:ascii="Arial" w:hAnsi="Arial" w:cs="Arial"/>
        </w:rPr>
        <w:t>6.</w:t>
      </w:r>
      <w:r w:rsidR="00327BA8" w:rsidRPr="00810659">
        <w:rPr>
          <w:rFonts w:ascii="Arial" w:hAnsi="Arial" w:cs="Arial"/>
        </w:rPr>
        <w:t>2</w:t>
      </w:r>
      <w:r w:rsidR="008A3738" w:rsidRPr="00810659">
        <w:rPr>
          <w:rFonts w:ascii="Arial" w:hAnsi="Arial" w:cs="Arial"/>
        </w:rPr>
        <w:t>5</w:t>
      </w:r>
      <w:r w:rsidRPr="00810659">
        <w:rPr>
          <w:rFonts w:ascii="Arial" w:hAnsi="Arial" w:cs="Arial"/>
        </w:rPr>
        <w:t xml:space="preserve">. </w:t>
      </w:r>
      <w:r w:rsidR="000616C9" w:rsidRPr="00810659">
        <w:rPr>
          <w:rFonts w:ascii="Arial" w:hAnsi="Arial" w:cs="Arial"/>
        </w:rPr>
        <w:t>Male</w:t>
      </w:r>
      <w:r w:rsidRPr="00810659">
        <w:rPr>
          <w:rFonts w:ascii="Arial" w:hAnsi="Arial" w:cs="Arial"/>
        </w:rPr>
        <w:t xml:space="preserve"> applicants </w:t>
      </w:r>
      <w:r w:rsidR="000616C9" w:rsidRPr="00810659">
        <w:rPr>
          <w:rFonts w:ascii="Arial" w:hAnsi="Arial" w:cs="Arial"/>
        </w:rPr>
        <w:t>were</w:t>
      </w:r>
      <w:r w:rsidRPr="00810659">
        <w:rPr>
          <w:rFonts w:ascii="Arial" w:hAnsi="Arial" w:cs="Arial"/>
        </w:rPr>
        <w:t xml:space="preserve"> over-represented </w:t>
      </w:r>
      <w:r w:rsidR="000616C9" w:rsidRPr="00810659">
        <w:rPr>
          <w:rFonts w:ascii="Arial" w:hAnsi="Arial" w:cs="Arial"/>
        </w:rPr>
        <w:t xml:space="preserve">(63% of the applicants) </w:t>
      </w:r>
      <w:r w:rsidRPr="00810659">
        <w:rPr>
          <w:rFonts w:ascii="Arial" w:hAnsi="Arial" w:cs="Arial"/>
        </w:rPr>
        <w:t>when compared to the general population (49%).</w:t>
      </w:r>
    </w:p>
    <w:p w14:paraId="5214D483" w14:textId="369466BA" w:rsidR="00E24F39" w:rsidRPr="00810659" w:rsidRDefault="00E24F39" w:rsidP="00E24F39">
      <w:pPr>
        <w:rPr>
          <w:rFonts w:ascii="Arial" w:hAnsi="Arial" w:cs="Arial"/>
        </w:rPr>
      </w:pPr>
      <w:r w:rsidRPr="00810659">
        <w:rPr>
          <w:rFonts w:ascii="Arial" w:hAnsi="Arial" w:cs="Arial"/>
        </w:rPr>
        <w:t>6.</w:t>
      </w:r>
      <w:r w:rsidR="00327BA8" w:rsidRPr="00810659">
        <w:rPr>
          <w:rFonts w:ascii="Arial" w:hAnsi="Arial" w:cs="Arial"/>
        </w:rPr>
        <w:t>2</w:t>
      </w:r>
      <w:r w:rsidR="008A3738" w:rsidRPr="00810659">
        <w:rPr>
          <w:rFonts w:ascii="Arial" w:hAnsi="Arial" w:cs="Arial"/>
        </w:rPr>
        <w:t>6</w:t>
      </w:r>
      <w:r w:rsidRPr="00810659">
        <w:rPr>
          <w:rFonts w:ascii="Arial" w:hAnsi="Arial" w:cs="Arial"/>
        </w:rPr>
        <w:t>. In terms of ethnicity, applicants from a black</w:t>
      </w:r>
      <w:r w:rsidR="00574342" w:rsidRPr="00810659">
        <w:rPr>
          <w:rFonts w:ascii="Arial" w:hAnsi="Arial" w:cs="Arial"/>
        </w:rPr>
        <w:t xml:space="preserve"> ethnic background</w:t>
      </w:r>
      <w:r w:rsidRPr="00810659">
        <w:rPr>
          <w:rFonts w:ascii="Arial" w:hAnsi="Arial" w:cs="Arial"/>
        </w:rPr>
        <w:t xml:space="preserve"> (6%)</w:t>
      </w:r>
      <w:r w:rsidR="00574342" w:rsidRPr="00810659">
        <w:rPr>
          <w:rFonts w:ascii="Arial" w:hAnsi="Arial" w:cs="Arial"/>
        </w:rPr>
        <w:t xml:space="preserve"> </w:t>
      </w:r>
      <w:r w:rsidR="00D903EB" w:rsidRPr="00810659">
        <w:rPr>
          <w:rFonts w:ascii="Arial" w:hAnsi="Arial" w:cs="Arial"/>
        </w:rPr>
        <w:t>were</w:t>
      </w:r>
      <w:r w:rsidRPr="00810659">
        <w:rPr>
          <w:rFonts w:ascii="Arial" w:hAnsi="Arial" w:cs="Arial"/>
        </w:rPr>
        <w:t xml:space="preserve"> over-represented when </w:t>
      </w:r>
      <w:r w:rsidR="006C6C9C" w:rsidRPr="00810659">
        <w:rPr>
          <w:rFonts w:ascii="Arial" w:hAnsi="Arial" w:cs="Arial"/>
        </w:rPr>
        <w:t xml:space="preserve">compared </w:t>
      </w:r>
      <w:r w:rsidRPr="00810659">
        <w:rPr>
          <w:rFonts w:ascii="Arial" w:hAnsi="Arial" w:cs="Arial"/>
        </w:rPr>
        <w:t>to the general population (3</w:t>
      </w:r>
      <w:r w:rsidR="00574342" w:rsidRPr="00810659">
        <w:rPr>
          <w:rFonts w:ascii="Arial" w:hAnsi="Arial" w:cs="Arial"/>
        </w:rPr>
        <w:t>%</w:t>
      </w:r>
      <w:r w:rsidRPr="00810659">
        <w:rPr>
          <w:rFonts w:ascii="Arial" w:hAnsi="Arial" w:cs="Arial"/>
        </w:rPr>
        <w:t>).</w:t>
      </w:r>
    </w:p>
    <w:p w14:paraId="04298C3F" w14:textId="084C9787" w:rsidR="00E24F39" w:rsidRPr="00810659" w:rsidRDefault="00E24F39" w:rsidP="00E24F39">
      <w:pPr>
        <w:rPr>
          <w:rFonts w:ascii="Arial" w:hAnsi="Arial" w:cs="Arial"/>
        </w:rPr>
      </w:pPr>
      <w:r w:rsidRPr="00810659">
        <w:rPr>
          <w:rFonts w:ascii="Arial" w:hAnsi="Arial" w:cs="Arial"/>
        </w:rPr>
        <w:t>6.</w:t>
      </w:r>
      <w:r w:rsidR="00327BA8" w:rsidRPr="00810659">
        <w:rPr>
          <w:rFonts w:ascii="Arial" w:hAnsi="Arial" w:cs="Arial"/>
        </w:rPr>
        <w:t>2</w:t>
      </w:r>
      <w:r w:rsidR="008A3738" w:rsidRPr="00810659">
        <w:rPr>
          <w:rFonts w:ascii="Arial" w:hAnsi="Arial" w:cs="Arial"/>
        </w:rPr>
        <w:t>7</w:t>
      </w:r>
      <w:r w:rsidRPr="00810659">
        <w:rPr>
          <w:rFonts w:ascii="Arial" w:hAnsi="Arial" w:cs="Arial"/>
        </w:rPr>
        <w:t xml:space="preserve">. Applicants </w:t>
      </w:r>
      <w:r w:rsidR="00D903EB" w:rsidRPr="00810659">
        <w:rPr>
          <w:rFonts w:ascii="Arial" w:hAnsi="Arial" w:cs="Arial"/>
        </w:rPr>
        <w:t>were</w:t>
      </w:r>
      <w:r w:rsidRPr="00810659">
        <w:rPr>
          <w:rFonts w:ascii="Arial" w:hAnsi="Arial" w:cs="Arial"/>
        </w:rPr>
        <w:t xml:space="preserve"> also more likely not to have any disability</w:t>
      </w:r>
      <w:r w:rsidR="001D5ED8" w:rsidRPr="00810659">
        <w:rPr>
          <w:rFonts w:ascii="Arial" w:hAnsi="Arial" w:cs="Arial"/>
        </w:rPr>
        <w:t xml:space="preserve"> compared to the general population</w:t>
      </w:r>
      <w:r w:rsidRPr="00810659">
        <w:rPr>
          <w:rFonts w:ascii="Arial" w:hAnsi="Arial" w:cs="Arial"/>
        </w:rPr>
        <w:t xml:space="preserve">, as 92% of applicants have reported to not have one, compared to 82% in the general population. </w:t>
      </w:r>
    </w:p>
    <w:p w14:paraId="5326A39A" w14:textId="118A4AAF" w:rsidR="00ED2223" w:rsidRPr="00810659" w:rsidRDefault="00ED2223" w:rsidP="00E24F39">
      <w:pPr>
        <w:rPr>
          <w:rFonts w:ascii="Arial" w:hAnsi="Arial" w:cs="Arial"/>
        </w:rPr>
      </w:pPr>
      <w:r w:rsidRPr="00810659">
        <w:rPr>
          <w:rFonts w:ascii="Arial" w:hAnsi="Arial" w:cs="Arial"/>
        </w:rPr>
        <w:t>6.</w:t>
      </w:r>
      <w:r w:rsidR="00327BA8" w:rsidRPr="00810659">
        <w:rPr>
          <w:rFonts w:ascii="Arial" w:hAnsi="Arial" w:cs="Arial"/>
        </w:rPr>
        <w:t>2</w:t>
      </w:r>
      <w:r w:rsidR="008A3738" w:rsidRPr="00810659">
        <w:rPr>
          <w:rFonts w:ascii="Arial" w:hAnsi="Arial" w:cs="Arial"/>
        </w:rPr>
        <w:t>8</w:t>
      </w:r>
      <w:r w:rsidRPr="00810659">
        <w:rPr>
          <w:rFonts w:ascii="Arial" w:hAnsi="Arial" w:cs="Arial"/>
        </w:rPr>
        <w:t>. Regarding religion, individuals with no religion (4</w:t>
      </w:r>
      <w:r w:rsidR="00A60C7E" w:rsidRPr="00810659">
        <w:rPr>
          <w:rFonts w:ascii="Arial" w:hAnsi="Arial" w:cs="Arial"/>
        </w:rPr>
        <w:t>4</w:t>
      </w:r>
      <w:r w:rsidRPr="00810659">
        <w:rPr>
          <w:rFonts w:ascii="Arial" w:hAnsi="Arial" w:cs="Arial"/>
        </w:rPr>
        <w:t xml:space="preserve">%) </w:t>
      </w:r>
      <w:r w:rsidR="00A60C7E" w:rsidRPr="00810659">
        <w:rPr>
          <w:rFonts w:ascii="Arial" w:hAnsi="Arial" w:cs="Arial"/>
        </w:rPr>
        <w:t>were</w:t>
      </w:r>
      <w:r w:rsidRPr="00810659">
        <w:rPr>
          <w:rFonts w:ascii="Arial" w:hAnsi="Arial" w:cs="Arial"/>
        </w:rPr>
        <w:t xml:space="preserve"> over-represented compared to the general population (25%). </w:t>
      </w:r>
    </w:p>
    <w:p w14:paraId="433C2990" w14:textId="1F985D1F" w:rsidR="00755D06" w:rsidRPr="00810659" w:rsidRDefault="00DF3572" w:rsidP="00DE4DEC">
      <w:pPr>
        <w:rPr>
          <w:rFonts w:ascii="Arial" w:hAnsi="Arial" w:cs="Arial"/>
        </w:rPr>
      </w:pPr>
      <w:r w:rsidRPr="00810659">
        <w:rPr>
          <w:rFonts w:ascii="Arial" w:hAnsi="Arial" w:cs="Arial"/>
        </w:rPr>
        <w:t>6.</w:t>
      </w:r>
      <w:r w:rsidR="008A3738" w:rsidRPr="00810659">
        <w:rPr>
          <w:rFonts w:ascii="Arial" w:hAnsi="Arial" w:cs="Arial"/>
        </w:rPr>
        <w:t>29</w:t>
      </w:r>
      <w:r w:rsidRPr="00810659">
        <w:rPr>
          <w:rFonts w:ascii="Arial" w:hAnsi="Arial" w:cs="Arial"/>
        </w:rPr>
        <w:t xml:space="preserve">. Based on </w:t>
      </w:r>
      <w:r w:rsidR="00A60C7E" w:rsidRPr="00810659">
        <w:rPr>
          <w:rFonts w:ascii="Arial" w:hAnsi="Arial" w:cs="Arial"/>
        </w:rPr>
        <w:t>this data</w:t>
      </w:r>
      <w:r w:rsidRPr="00810659">
        <w:rPr>
          <w:rFonts w:ascii="Arial" w:hAnsi="Arial" w:cs="Arial"/>
        </w:rPr>
        <w:t xml:space="preserve">, there may be some </w:t>
      </w:r>
      <w:r w:rsidR="00970063" w:rsidRPr="00810659">
        <w:rPr>
          <w:rFonts w:ascii="Arial" w:hAnsi="Arial" w:cs="Arial"/>
        </w:rPr>
        <w:t>groups</w:t>
      </w:r>
      <w:r w:rsidRPr="00810659">
        <w:rPr>
          <w:rFonts w:ascii="Arial" w:hAnsi="Arial" w:cs="Arial"/>
        </w:rPr>
        <w:t xml:space="preserve"> with protected characteristics (in this case, race, age</w:t>
      </w:r>
      <w:r w:rsidR="00ED2223" w:rsidRPr="00810659">
        <w:rPr>
          <w:rFonts w:ascii="Arial" w:hAnsi="Arial" w:cs="Arial"/>
        </w:rPr>
        <w:t>,</w:t>
      </w:r>
      <w:r w:rsidRPr="00810659">
        <w:rPr>
          <w:rFonts w:ascii="Arial" w:hAnsi="Arial" w:cs="Arial"/>
        </w:rPr>
        <w:t xml:space="preserve"> gender</w:t>
      </w:r>
      <w:r w:rsidR="00ED2223" w:rsidRPr="00810659">
        <w:rPr>
          <w:rFonts w:ascii="Arial" w:hAnsi="Arial" w:cs="Arial"/>
        </w:rPr>
        <w:t xml:space="preserve"> and religion</w:t>
      </w:r>
      <w:r w:rsidRPr="00810659">
        <w:rPr>
          <w:rFonts w:ascii="Arial" w:hAnsi="Arial" w:cs="Arial"/>
        </w:rPr>
        <w:t>)</w:t>
      </w:r>
      <w:r w:rsidR="009B3DD5" w:rsidRPr="00810659">
        <w:rPr>
          <w:rFonts w:ascii="Arial" w:hAnsi="Arial" w:cs="Arial"/>
        </w:rPr>
        <w:t xml:space="preserve"> that are </w:t>
      </w:r>
      <w:proofErr w:type="gramStart"/>
      <w:r w:rsidR="009B3DD5" w:rsidRPr="00810659">
        <w:rPr>
          <w:rFonts w:ascii="Arial" w:hAnsi="Arial" w:cs="Arial"/>
        </w:rPr>
        <w:t>over represented</w:t>
      </w:r>
      <w:proofErr w:type="gramEnd"/>
      <w:r w:rsidR="009B3DD5" w:rsidRPr="00810659">
        <w:rPr>
          <w:rFonts w:ascii="Arial" w:hAnsi="Arial" w:cs="Arial"/>
        </w:rPr>
        <w:t xml:space="preserve"> in private family law cases</w:t>
      </w:r>
      <w:r w:rsidRPr="00810659">
        <w:rPr>
          <w:rFonts w:ascii="Arial" w:hAnsi="Arial" w:cs="Arial"/>
        </w:rPr>
        <w:t>. However, it</w:t>
      </w:r>
      <w:r w:rsidR="00067271" w:rsidRPr="00810659">
        <w:rPr>
          <w:rFonts w:ascii="Arial" w:hAnsi="Arial" w:cs="Arial"/>
        </w:rPr>
        <w:t xml:space="preserve"> i</w:t>
      </w:r>
      <w:r w:rsidRPr="00810659">
        <w:rPr>
          <w:rFonts w:ascii="Arial" w:hAnsi="Arial" w:cs="Arial"/>
        </w:rPr>
        <w:t>s worth keeping in mind that this conclusion is based on data that only looks at cases involving children</w:t>
      </w:r>
      <w:r w:rsidR="00515AE8" w:rsidRPr="00810659">
        <w:rPr>
          <w:rFonts w:ascii="Arial" w:hAnsi="Arial" w:cs="Arial"/>
        </w:rPr>
        <w:t xml:space="preserve"> where there are </w:t>
      </w:r>
      <w:proofErr w:type="gramStart"/>
      <w:r w:rsidR="00515AE8" w:rsidRPr="00810659">
        <w:rPr>
          <w:rFonts w:ascii="Arial" w:hAnsi="Arial" w:cs="Arial"/>
        </w:rPr>
        <w:t>safe guarding</w:t>
      </w:r>
      <w:proofErr w:type="gramEnd"/>
      <w:r w:rsidR="00515AE8" w:rsidRPr="00810659">
        <w:rPr>
          <w:rFonts w:ascii="Arial" w:hAnsi="Arial" w:cs="Arial"/>
        </w:rPr>
        <w:t xml:space="preserve"> concerns</w:t>
      </w:r>
      <w:r w:rsidRPr="00810659">
        <w:rPr>
          <w:rFonts w:ascii="Arial" w:hAnsi="Arial" w:cs="Arial"/>
        </w:rPr>
        <w:t xml:space="preserve">. Furthermore, for some protected characteristics, </w:t>
      </w:r>
      <w:r w:rsidR="00F971BF" w:rsidRPr="00810659">
        <w:rPr>
          <w:rFonts w:ascii="Arial" w:hAnsi="Arial" w:cs="Arial"/>
        </w:rPr>
        <w:t>such as religion and ethnicity</w:t>
      </w:r>
      <w:r w:rsidRPr="00810659">
        <w:rPr>
          <w:rFonts w:ascii="Arial" w:hAnsi="Arial" w:cs="Arial"/>
        </w:rPr>
        <w:t xml:space="preserve">, there </w:t>
      </w:r>
      <w:r w:rsidR="009B3DD5" w:rsidRPr="00810659">
        <w:rPr>
          <w:rFonts w:ascii="Arial" w:hAnsi="Arial" w:cs="Arial"/>
        </w:rPr>
        <w:t>was</w:t>
      </w:r>
      <w:r w:rsidRPr="00810659">
        <w:rPr>
          <w:rFonts w:ascii="Arial" w:hAnsi="Arial" w:cs="Arial"/>
        </w:rPr>
        <w:t xml:space="preserve"> a large percentage of unknown/unrecorded responses</w:t>
      </w:r>
      <w:r w:rsidR="009B3DD5" w:rsidRPr="00810659">
        <w:rPr>
          <w:rFonts w:ascii="Arial" w:hAnsi="Arial" w:cs="Arial"/>
        </w:rPr>
        <w:t xml:space="preserve"> in </w:t>
      </w:r>
      <w:r w:rsidR="00980EC3" w:rsidRPr="00810659">
        <w:rPr>
          <w:rFonts w:ascii="Arial" w:hAnsi="Arial" w:cs="Arial"/>
        </w:rPr>
        <w:t>the</w:t>
      </w:r>
      <w:r w:rsidR="009B3DD5" w:rsidRPr="00810659">
        <w:rPr>
          <w:rFonts w:ascii="Arial" w:hAnsi="Arial" w:cs="Arial"/>
        </w:rPr>
        <w:t xml:space="preserve"> data</w:t>
      </w:r>
      <w:r w:rsidRPr="00810659">
        <w:rPr>
          <w:rFonts w:ascii="Arial" w:hAnsi="Arial" w:cs="Arial"/>
        </w:rPr>
        <w:t>.</w:t>
      </w:r>
      <w:r w:rsidR="00F50A99" w:rsidRPr="00810659">
        <w:rPr>
          <w:rFonts w:ascii="Arial" w:hAnsi="Arial" w:cs="Arial"/>
        </w:rPr>
        <w:t xml:space="preserve"> </w:t>
      </w:r>
      <w:r w:rsidR="00021AC3" w:rsidRPr="00810659">
        <w:rPr>
          <w:rFonts w:ascii="Arial" w:hAnsi="Arial" w:cs="Arial"/>
        </w:rPr>
        <w:t xml:space="preserve">This needs to be </w:t>
      </w:r>
      <w:proofErr w:type="gramStart"/>
      <w:r w:rsidR="00021AC3" w:rsidRPr="00810659">
        <w:rPr>
          <w:rFonts w:ascii="Arial" w:hAnsi="Arial" w:cs="Arial"/>
        </w:rPr>
        <w:t>taken into account</w:t>
      </w:r>
      <w:proofErr w:type="gramEnd"/>
      <w:r w:rsidR="00021AC3" w:rsidRPr="00810659">
        <w:rPr>
          <w:rFonts w:ascii="Arial" w:hAnsi="Arial" w:cs="Arial"/>
        </w:rPr>
        <w:t xml:space="preserve"> when making conclusions about these characteristics</w:t>
      </w:r>
      <w:r w:rsidRPr="00810659">
        <w:rPr>
          <w:rFonts w:ascii="Arial" w:hAnsi="Arial" w:cs="Arial"/>
        </w:rPr>
        <w:t>.</w:t>
      </w:r>
    </w:p>
    <w:p w14:paraId="660E9C00" w14:textId="63D44065" w:rsidR="003569D6" w:rsidRPr="00810659" w:rsidRDefault="00FA280C" w:rsidP="003569D6">
      <w:pPr>
        <w:rPr>
          <w:rFonts w:ascii="Arial" w:hAnsi="Arial" w:cs="Arial"/>
        </w:rPr>
      </w:pPr>
      <w:r w:rsidRPr="00810659">
        <w:rPr>
          <w:rFonts w:ascii="Arial" w:hAnsi="Arial" w:cs="Arial"/>
        </w:rPr>
        <w:t>6.3</w:t>
      </w:r>
      <w:r w:rsidR="000A61B4" w:rsidRPr="00810659">
        <w:rPr>
          <w:rFonts w:ascii="Arial" w:hAnsi="Arial" w:cs="Arial"/>
        </w:rPr>
        <w:t>0</w:t>
      </w:r>
      <w:r w:rsidRPr="00810659">
        <w:rPr>
          <w:rFonts w:ascii="Arial" w:hAnsi="Arial" w:cs="Arial"/>
        </w:rPr>
        <w:t xml:space="preserve">. Data on sexual orientation; marriage and civil partnership; pregnancy and maternity; and gender reassignment was not available. </w:t>
      </w:r>
    </w:p>
    <w:p w14:paraId="1B64E756" w14:textId="01CFF7F6" w:rsidR="005E6534" w:rsidRPr="00810659" w:rsidRDefault="003064DA" w:rsidP="00DE4DEC">
      <w:pPr>
        <w:rPr>
          <w:rFonts w:ascii="Arial" w:hAnsi="Arial" w:cs="Arial"/>
        </w:rPr>
      </w:pPr>
      <w:r w:rsidRPr="00810659">
        <w:rPr>
          <w:rFonts w:ascii="Arial" w:hAnsi="Arial" w:cs="Arial"/>
        </w:rPr>
        <w:br w:type="page"/>
      </w:r>
    </w:p>
    <w:p w14:paraId="05FDCB5C" w14:textId="4CE87F94" w:rsidR="00E24F39" w:rsidRPr="00810659" w:rsidRDefault="00E24F39" w:rsidP="00DE4DEC">
      <w:pPr>
        <w:rPr>
          <w:rFonts w:ascii="Arial" w:hAnsi="Arial" w:cs="Arial"/>
          <w:b/>
        </w:rPr>
      </w:pPr>
      <w:r w:rsidRPr="00810659">
        <w:rPr>
          <w:rFonts w:ascii="Arial" w:hAnsi="Arial" w:cs="Arial"/>
          <w:b/>
        </w:rPr>
        <w:lastRenderedPageBreak/>
        <w:t xml:space="preserve">Table </w:t>
      </w:r>
      <w:r w:rsidR="00083D74" w:rsidRPr="00810659">
        <w:rPr>
          <w:rFonts w:ascii="Arial" w:hAnsi="Arial" w:cs="Arial"/>
          <w:b/>
        </w:rPr>
        <w:t>6</w:t>
      </w:r>
      <w:r w:rsidRPr="00810659">
        <w:rPr>
          <w:rFonts w:ascii="Arial" w:hAnsi="Arial" w:cs="Arial"/>
          <w:b/>
        </w:rPr>
        <w:t>: Cafcass</w:t>
      </w:r>
      <w:r w:rsidR="009002AA" w:rsidRPr="00810659">
        <w:rPr>
          <w:rFonts w:ascii="Arial" w:hAnsi="Arial" w:cs="Arial"/>
          <w:b/>
        </w:rPr>
        <w:t xml:space="preserve"> private family law</w:t>
      </w:r>
      <w:r w:rsidRPr="00810659">
        <w:rPr>
          <w:rFonts w:ascii="Arial" w:hAnsi="Arial" w:cs="Arial"/>
          <w:b/>
        </w:rPr>
        <w:t xml:space="preserve"> </w:t>
      </w:r>
      <w:r w:rsidR="004C257D" w:rsidRPr="00810659">
        <w:rPr>
          <w:rFonts w:ascii="Arial" w:hAnsi="Arial" w:cs="Arial"/>
          <w:b/>
        </w:rPr>
        <w:t>applicant</w:t>
      </w:r>
      <w:r w:rsidRPr="00810659">
        <w:rPr>
          <w:rFonts w:ascii="Arial" w:hAnsi="Arial" w:cs="Arial"/>
          <w:b/>
        </w:rPr>
        <w:t xml:space="preserve"> characteristics</w:t>
      </w:r>
      <w:r w:rsidR="00847E0C" w:rsidRPr="00810659">
        <w:rPr>
          <w:rStyle w:val="FootnoteReference"/>
          <w:rFonts w:ascii="Arial" w:hAnsi="Arial" w:cs="Arial"/>
          <w:b/>
        </w:rPr>
        <w:footnoteReference w:id="3"/>
      </w:r>
      <w:r w:rsidR="00BE7C87" w:rsidRPr="00810659">
        <w:rPr>
          <w:rFonts w:ascii="Arial" w:hAnsi="Arial" w:cs="Arial"/>
          <w:b/>
        </w:rPr>
        <w:t xml:space="preserve"> in England, 2018-2019</w:t>
      </w:r>
    </w:p>
    <w:p w14:paraId="7FD529DD" w14:textId="745C9E72" w:rsidR="00A826BA" w:rsidRPr="00810659" w:rsidRDefault="00E24F39" w:rsidP="00DE4DEC">
      <w:pPr>
        <w:rPr>
          <w:rFonts w:ascii="Arial" w:hAnsi="Arial" w:cs="Arial"/>
        </w:rPr>
      </w:pPr>
      <w:r w:rsidRPr="00810659">
        <w:rPr>
          <w:rFonts w:ascii="Arial" w:hAnsi="Arial" w:cs="Arial"/>
          <w:noProof/>
        </w:rPr>
        <w:drawing>
          <wp:inline distT="0" distB="0" distL="0" distR="0" wp14:anchorId="551E5633" wp14:editId="24BFE9D9">
            <wp:extent cx="4914900" cy="623519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l="3490" r="621" b="866"/>
                    <a:stretch/>
                  </pic:blipFill>
                  <pic:spPr bwMode="auto">
                    <a:xfrm>
                      <a:off x="0" y="0"/>
                      <a:ext cx="4933458" cy="6258737"/>
                    </a:xfrm>
                    <a:prstGeom prst="rect">
                      <a:avLst/>
                    </a:prstGeom>
                    <a:ln>
                      <a:noFill/>
                    </a:ln>
                    <a:extLst>
                      <a:ext uri="{53640926-AAD7-44D8-BBD7-CCE9431645EC}">
                        <a14:shadowObscured xmlns:a14="http://schemas.microsoft.com/office/drawing/2010/main"/>
                      </a:ext>
                    </a:extLst>
                  </pic:spPr>
                </pic:pic>
              </a:graphicData>
            </a:graphic>
          </wp:inline>
        </w:drawing>
      </w:r>
    </w:p>
    <w:p w14:paraId="4F5DD708" w14:textId="77777777" w:rsidR="003064DA" w:rsidRPr="00810659" w:rsidRDefault="003064DA" w:rsidP="00DE4DEC">
      <w:pPr>
        <w:rPr>
          <w:rFonts w:ascii="Arial" w:hAnsi="Arial" w:cs="Arial"/>
        </w:rPr>
      </w:pPr>
    </w:p>
    <w:p w14:paraId="05BCA457" w14:textId="77777777" w:rsidR="003064DA" w:rsidRPr="00810659" w:rsidRDefault="003064DA" w:rsidP="00DE4DEC">
      <w:pPr>
        <w:rPr>
          <w:rFonts w:ascii="Arial" w:hAnsi="Arial" w:cs="Arial"/>
        </w:rPr>
      </w:pPr>
    </w:p>
    <w:p w14:paraId="28FF74C2" w14:textId="58EB178A" w:rsidR="00CF5581" w:rsidRPr="00810659" w:rsidRDefault="00F86ED9" w:rsidP="00DE4DEC">
      <w:pPr>
        <w:rPr>
          <w:rFonts w:ascii="Arial" w:hAnsi="Arial" w:cs="Arial"/>
        </w:rPr>
      </w:pPr>
      <w:r w:rsidRPr="00810659">
        <w:rPr>
          <w:rFonts w:ascii="Arial" w:hAnsi="Arial" w:cs="Arial"/>
        </w:rPr>
        <w:br w:type="page"/>
      </w:r>
    </w:p>
    <w:p w14:paraId="61BF1C04" w14:textId="77777777" w:rsidR="009002AA" w:rsidRPr="00810659" w:rsidRDefault="009002AA" w:rsidP="009002AA">
      <w:pPr>
        <w:rPr>
          <w:rFonts w:ascii="Arial" w:hAnsi="Arial" w:cs="Arial"/>
          <w:b/>
          <w:sz w:val="24"/>
        </w:rPr>
      </w:pPr>
      <w:r w:rsidRPr="00810659">
        <w:rPr>
          <w:rFonts w:ascii="Arial" w:hAnsi="Arial" w:cs="Arial"/>
          <w:b/>
          <w:sz w:val="24"/>
        </w:rPr>
        <w:lastRenderedPageBreak/>
        <w:t>Divorce</w:t>
      </w:r>
    </w:p>
    <w:p w14:paraId="7BA2ABE0" w14:textId="3430873D" w:rsidR="009002AA" w:rsidRPr="00810659" w:rsidRDefault="009002AA" w:rsidP="009002AA">
      <w:pPr>
        <w:rPr>
          <w:rFonts w:ascii="Arial" w:hAnsi="Arial" w:cs="Arial"/>
        </w:rPr>
      </w:pPr>
      <w:r w:rsidRPr="00810659">
        <w:rPr>
          <w:rFonts w:ascii="Arial" w:hAnsi="Arial" w:cs="Arial"/>
        </w:rPr>
        <w:t>6.</w:t>
      </w:r>
      <w:r w:rsidR="00ED2223" w:rsidRPr="00810659">
        <w:rPr>
          <w:rFonts w:ascii="Arial" w:hAnsi="Arial" w:cs="Arial"/>
        </w:rPr>
        <w:t>3</w:t>
      </w:r>
      <w:r w:rsidR="000A61B4" w:rsidRPr="00810659">
        <w:rPr>
          <w:rFonts w:ascii="Arial" w:hAnsi="Arial" w:cs="Arial"/>
        </w:rPr>
        <w:t>1</w:t>
      </w:r>
      <w:r w:rsidRPr="00810659">
        <w:rPr>
          <w:rFonts w:ascii="Arial" w:hAnsi="Arial" w:cs="Arial"/>
        </w:rPr>
        <w:t>. Although divorce cases fall under private family law, we believe that it</w:t>
      </w:r>
      <w:r w:rsidR="00067271" w:rsidRPr="00810659">
        <w:rPr>
          <w:rFonts w:ascii="Arial" w:hAnsi="Arial" w:cs="Arial"/>
        </w:rPr>
        <w:t xml:space="preserve"> i</w:t>
      </w:r>
      <w:r w:rsidRPr="00810659">
        <w:rPr>
          <w:rFonts w:ascii="Arial" w:hAnsi="Arial" w:cs="Arial"/>
        </w:rPr>
        <w:t xml:space="preserve">s worth looking at </w:t>
      </w:r>
      <w:r w:rsidR="000C5077" w:rsidRPr="00810659">
        <w:rPr>
          <w:rFonts w:ascii="Arial" w:hAnsi="Arial" w:cs="Arial"/>
        </w:rPr>
        <w:t xml:space="preserve">these </w:t>
      </w:r>
      <w:r w:rsidRPr="00810659">
        <w:rPr>
          <w:rFonts w:ascii="Arial" w:hAnsi="Arial" w:cs="Arial"/>
        </w:rPr>
        <w:t xml:space="preserve">separately due to the nature of the fees and who they primarily affect. </w:t>
      </w:r>
    </w:p>
    <w:p w14:paraId="2AA8BC31" w14:textId="39D6F574" w:rsidR="009002AA" w:rsidRPr="00810659" w:rsidRDefault="009002AA" w:rsidP="009002AA">
      <w:pPr>
        <w:rPr>
          <w:rFonts w:ascii="Arial" w:hAnsi="Arial" w:cs="Arial"/>
        </w:rPr>
      </w:pPr>
      <w:r w:rsidRPr="00810659">
        <w:rPr>
          <w:rFonts w:ascii="Arial" w:hAnsi="Arial" w:cs="Arial"/>
        </w:rPr>
        <w:t>6.</w:t>
      </w:r>
      <w:r w:rsidR="00327BA8" w:rsidRPr="00810659">
        <w:rPr>
          <w:rFonts w:ascii="Arial" w:hAnsi="Arial" w:cs="Arial"/>
        </w:rPr>
        <w:t>3</w:t>
      </w:r>
      <w:r w:rsidR="000A61B4" w:rsidRPr="00810659">
        <w:rPr>
          <w:rFonts w:ascii="Arial" w:hAnsi="Arial" w:cs="Arial"/>
        </w:rPr>
        <w:t>2</w:t>
      </w:r>
      <w:r w:rsidRPr="00810659">
        <w:rPr>
          <w:rFonts w:ascii="Arial" w:hAnsi="Arial" w:cs="Arial"/>
        </w:rPr>
        <w:t>. According to ONS divorce statistics</w:t>
      </w:r>
      <w:r w:rsidRPr="00810659">
        <w:rPr>
          <w:rStyle w:val="FootnoteReference"/>
          <w:rFonts w:ascii="Arial" w:hAnsi="Arial" w:cs="Arial"/>
        </w:rPr>
        <w:footnoteReference w:id="4"/>
      </w:r>
      <w:r w:rsidRPr="00810659">
        <w:rPr>
          <w:rFonts w:ascii="Arial" w:hAnsi="Arial" w:cs="Arial"/>
        </w:rPr>
        <w:t xml:space="preserve">, in 2019, there were 107,599 divorces of opposite sex couples by all decrees. 66,986 (62%) of these were petitioned by women and 40,613 (38%) were petitioned by men. This is in line with the trend from previous years that women make up for the majority of individuals applying for divorce in courts. </w:t>
      </w:r>
    </w:p>
    <w:p w14:paraId="26487B8B" w14:textId="5707D857" w:rsidR="009002AA" w:rsidRPr="00810659" w:rsidRDefault="009002AA" w:rsidP="009002AA">
      <w:pPr>
        <w:rPr>
          <w:rFonts w:ascii="Arial" w:hAnsi="Arial" w:cs="Arial"/>
        </w:rPr>
      </w:pPr>
      <w:r w:rsidRPr="00810659">
        <w:rPr>
          <w:rFonts w:ascii="Arial" w:hAnsi="Arial" w:cs="Arial"/>
        </w:rPr>
        <w:t>6.</w:t>
      </w:r>
      <w:r w:rsidR="00327BA8" w:rsidRPr="00810659">
        <w:rPr>
          <w:rFonts w:ascii="Arial" w:hAnsi="Arial" w:cs="Arial"/>
        </w:rPr>
        <w:t>3</w:t>
      </w:r>
      <w:r w:rsidR="000A61B4" w:rsidRPr="00810659">
        <w:rPr>
          <w:rFonts w:ascii="Arial" w:hAnsi="Arial" w:cs="Arial"/>
        </w:rPr>
        <w:t>3</w:t>
      </w:r>
      <w:r w:rsidRPr="00810659">
        <w:rPr>
          <w:rFonts w:ascii="Arial" w:hAnsi="Arial" w:cs="Arial"/>
        </w:rPr>
        <w:t xml:space="preserve">. For same-sex couples, in 2019 there were 822 divorces. 589 (72%) were petitioned by female couples and 233 (28%) were petitioned by male couples. </w:t>
      </w:r>
    </w:p>
    <w:p w14:paraId="4B29B1B3" w14:textId="159B1646" w:rsidR="009002AA" w:rsidRPr="00810659" w:rsidRDefault="009002AA" w:rsidP="009002AA">
      <w:pPr>
        <w:rPr>
          <w:rFonts w:ascii="Arial" w:hAnsi="Arial" w:cs="Arial"/>
        </w:rPr>
      </w:pPr>
      <w:r w:rsidRPr="00810659">
        <w:rPr>
          <w:rFonts w:ascii="Arial" w:hAnsi="Arial" w:cs="Arial"/>
        </w:rPr>
        <w:t>6.</w:t>
      </w:r>
      <w:r w:rsidR="00327BA8" w:rsidRPr="00810659">
        <w:rPr>
          <w:rFonts w:ascii="Arial" w:hAnsi="Arial" w:cs="Arial"/>
        </w:rPr>
        <w:t>3</w:t>
      </w:r>
      <w:r w:rsidR="000A61B4" w:rsidRPr="00810659">
        <w:rPr>
          <w:rFonts w:ascii="Arial" w:hAnsi="Arial" w:cs="Arial"/>
        </w:rPr>
        <w:t>4</w:t>
      </w:r>
      <w:r w:rsidRPr="00810659">
        <w:rPr>
          <w:rFonts w:ascii="Arial" w:hAnsi="Arial" w:cs="Arial"/>
        </w:rPr>
        <w:t xml:space="preserve">. In terms of age in opposite-sex couples, the average age of men at divorce </w:t>
      </w:r>
      <w:r w:rsidR="00BE7C87" w:rsidRPr="00810659">
        <w:rPr>
          <w:rFonts w:ascii="Arial" w:hAnsi="Arial" w:cs="Arial"/>
        </w:rPr>
        <w:t>was</w:t>
      </w:r>
      <w:r w:rsidRPr="00810659">
        <w:rPr>
          <w:rFonts w:ascii="Arial" w:hAnsi="Arial" w:cs="Arial"/>
        </w:rPr>
        <w:t xml:space="preserve"> 45.3 whereas for women, it</w:t>
      </w:r>
      <w:r w:rsidR="00983203" w:rsidRPr="00810659">
        <w:rPr>
          <w:rFonts w:ascii="Arial" w:hAnsi="Arial" w:cs="Arial"/>
        </w:rPr>
        <w:t xml:space="preserve"> </w:t>
      </w:r>
      <w:r w:rsidR="00BE7C87" w:rsidRPr="00810659">
        <w:rPr>
          <w:rFonts w:ascii="Arial" w:hAnsi="Arial" w:cs="Arial"/>
        </w:rPr>
        <w:t>was</w:t>
      </w:r>
      <w:r w:rsidRPr="00810659">
        <w:rPr>
          <w:rFonts w:ascii="Arial" w:hAnsi="Arial" w:cs="Arial"/>
        </w:rPr>
        <w:t xml:space="preserve"> 47.7.</w:t>
      </w:r>
      <w:r w:rsidR="00662B8B" w:rsidRPr="00810659">
        <w:rPr>
          <w:rFonts w:ascii="Arial" w:hAnsi="Arial" w:cs="Arial"/>
        </w:rPr>
        <w:t xml:space="preserve">  For same sex couples, the average age of men</w:t>
      </w:r>
      <w:r w:rsidR="00C73EFC" w:rsidRPr="00810659">
        <w:rPr>
          <w:rFonts w:ascii="Arial" w:hAnsi="Arial" w:cs="Arial"/>
        </w:rPr>
        <w:t xml:space="preserve"> at divorce</w:t>
      </w:r>
      <w:r w:rsidR="00662B8B" w:rsidRPr="00810659">
        <w:rPr>
          <w:rFonts w:ascii="Arial" w:hAnsi="Arial" w:cs="Arial"/>
        </w:rPr>
        <w:t xml:space="preserve"> was 40.8 and for women it was 39.5.</w:t>
      </w:r>
    </w:p>
    <w:p w14:paraId="19930A21" w14:textId="7173BC1B" w:rsidR="009002AA" w:rsidRPr="00810659" w:rsidRDefault="009002AA" w:rsidP="009002AA">
      <w:pPr>
        <w:rPr>
          <w:rFonts w:ascii="Arial" w:hAnsi="Arial" w:cs="Arial"/>
        </w:rPr>
      </w:pPr>
      <w:r w:rsidRPr="00810659">
        <w:rPr>
          <w:rFonts w:ascii="Arial" w:hAnsi="Arial" w:cs="Arial"/>
        </w:rPr>
        <w:t>6.</w:t>
      </w:r>
      <w:r w:rsidR="00327BA8" w:rsidRPr="00810659">
        <w:rPr>
          <w:rFonts w:ascii="Arial" w:hAnsi="Arial" w:cs="Arial"/>
        </w:rPr>
        <w:t>3</w:t>
      </w:r>
      <w:r w:rsidR="000A61B4" w:rsidRPr="00810659">
        <w:rPr>
          <w:rFonts w:ascii="Arial" w:hAnsi="Arial" w:cs="Arial"/>
        </w:rPr>
        <w:t>5</w:t>
      </w:r>
      <w:r w:rsidRPr="00810659">
        <w:rPr>
          <w:rFonts w:ascii="Arial" w:hAnsi="Arial" w:cs="Arial"/>
        </w:rPr>
        <w:t>. Compar</w:t>
      </w:r>
      <w:r w:rsidR="004E4C88" w:rsidRPr="00810659">
        <w:rPr>
          <w:rFonts w:ascii="Arial" w:hAnsi="Arial" w:cs="Arial"/>
        </w:rPr>
        <w:t>ed</w:t>
      </w:r>
      <w:r w:rsidRPr="00810659">
        <w:rPr>
          <w:rFonts w:ascii="Arial" w:hAnsi="Arial" w:cs="Arial"/>
        </w:rPr>
        <w:t xml:space="preserve"> to the general population</w:t>
      </w:r>
      <w:r w:rsidR="00ED2223" w:rsidRPr="00810659">
        <w:rPr>
          <w:rFonts w:ascii="Arial" w:hAnsi="Arial" w:cs="Arial"/>
        </w:rPr>
        <w:t xml:space="preserve"> (excluding people </w:t>
      </w:r>
      <w:r w:rsidR="00C73EFC" w:rsidRPr="00810659">
        <w:rPr>
          <w:rFonts w:ascii="Arial" w:hAnsi="Arial" w:cs="Arial"/>
        </w:rPr>
        <w:t xml:space="preserve">under 18), </w:t>
      </w:r>
      <w:r w:rsidRPr="00810659">
        <w:rPr>
          <w:rFonts w:ascii="Arial" w:hAnsi="Arial" w:cs="Arial"/>
        </w:rPr>
        <w:t xml:space="preserve">where men’s average age is </w:t>
      </w:r>
      <w:r w:rsidR="00ED2223" w:rsidRPr="00810659">
        <w:rPr>
          <w:rFonts w:ascii="Arial" w:hAnsi="Arial" w:cs="Arial"/>
        </w:rPr>
        <w:t>48</w:t>
      </w:r>
      <w:r w:rsidRPr="00810659">
        <w:rPr>
          <w:rFonts w:ascii="Arial" w:hAnsi="Arial" w:cs="Arial"/>
        </w:rPr>
        <w:t>.</w:t>
      </w:r>
      <w:r w:rsidR="00ED2223" w:rsidRPr="00810659">
        <w:rPr>
          <w:rFonts w:ascii="Arial" w:hAnsi="Arial" w:cs="Arial"/>
        </w:rPr>
        <w:t>1</w:t>
      </w:r>
      <w:r w:rsidRPr="00810659">
        <w:rPr>
          <w:rFonts w:ascii="Arial" w:hAnsi="Arial" w:cs="Arial"/>
        </w:rPr>
        <w:t xml:space="preserve"> and women’s is 4</w:t>
      </w:r>
      <w:r w:rsidR="00ED2223" w:rsidRPr="00810659">
        <w:rPr>
          <w:rFonts w:ascii="Arial" w:hAnsi="Arial" w:cs="Arial"/>
        </w:rPr>
        <w:t>9.7</w:t>
      </w:r>
      <w:r w:rsidRPr="00810659">
        <w:rPr>
          <w:rFonts w:ascii="Arial" w:hAnsi="Arial" w:cs="Arial"/>
        </w:rPr>
        <w:t xml:space="preserve">, the average age for both men and women at divorce </w:t>
      </w:r>
      <w:r w:rsidR="007B7371" w:rsidRPr="00810659">
        <w:rPr>
          <w:rFonts w:ascii="Arial" w:hAnsi="Arial" w:cs="Arial"/>
        </w:rPr>
        <w:t>was</w:t>
      </w:r>
      <w:r w:rsidRPr="00810659">
        <w:rPr>
          <w:rFonts w:ascii="Arial" w:hAnsi="Arial" w:cs="Arial"/>
        </w:rPr>
        <w:t xml:space="preserve"> </w:t>
      </w:r>
      <w:r w:rsidR="00ED2223" w:rsidRPr="00810659">
        <w:rPr>
          <w:rFonts w:ascii="Arial" w:hAnsi="Arial" w:cs="Arial"/>
        </w:rPr>
        <w:t>slightly lower</w:t>
      </w:r>
      <w:r w:rsidRPr="00810659">
        <w:rPr>
          <w:rFonts w:ascii="Arial" w:hAnsi="Arial" w:cs="Arial"/>
        </w:rPr>
        <w:t xml:space="preserve"> for opposite-sex couples whereas for same-sex couples, the averages </w:t>
      </w:r>
      <w:r w:rsidR="00C53608" w:rsidRPr="00810659">
        <w:rPr>
          <w:rFonts w:ascii="Arial" w:hAnsi="Arial" w:cs="Arial"/>
        </w:rPr>
        <w:t>were</w:t>
      </w:r>
      <w:r w:rsidRPr="00810659">
        <w:rPr>
          <w:rFonts w:ascii="Arial" w:hAnsi="Arial" w:cs="Arial"/>
        </w:rPr>
        <w:t xml:space="preserve"> </w:t>
      </w:r>
      <w:r w:rsidR="00D15571" w:rsidRPr="00810659">
        <w:rPr>
          <w:rFonts w:ascii="Arial" w:hAnsi="Arial" w:cs="Arial"/>
        </w:rPr>
        <w:t>substantially</w:t>
      </w:r>
      <w:r w:rsidR="00ED2223" w:rsidRPr="00810659">
        <w:rPr>
          <w:rFonts w:ascii="Arial" w:hAnsi="Arial" w:cs="Arial"/>
        </w:rPr>
        <w:t xml:space="preserve"> lower</w:t>
      </w:r>
      <w:r w:rsidRPr="00810659">
        <w:rPr>
          <w:rFonts w:ascii="Arial" w:hAnsi="Arial" w:cs="Arial"/>
        </w:rPr>
        <w:t xml:space="preserve">. </w:t>
      </w:r>
    </w:p>
    <w:p w14:paraId="41337BBF" w14:textId="51F85CB1" w:rsidR="000B6389" w:rsidRPr="00810659" w:rsidRDefault="009002AA" w:rsidP="000B6389">
      <w:pPr>
        <w:rPr>
          <w:rFonts w:ascii="Arial" w:hAnsi="Arial" w:cs="Arial"/>
        </w:rPr>
      </w:pPr>
      <w:r w:rsidRPr="00810659">
        <w:rPr>
          <w:rFonts w:ascii="Arial" w:hAnsi="Arial" w:cs="Arial"/>
        </w:rPr>
        <w:t>6.</w:t>
      </w:r>
      <w:r w:rsidR="00327BA8" w:rsidRPr="00810659">
        <w:rPr>
          <w:rFonts w:ascii="Arial" w:hAnsi="Arial" w:cs="Arial"/>
        </w:rPr>
        <w:t>3</w:t>
      </w:r>
      <w:r w:rsidR="000A61B4" w:rsidRPr="00810659">
        <w:rPr>
          <w:rFonts w:ascii="Arial" w:hAnsi="Arial" w:cs="Arial"/>
        </w:rPr>
        <w:t>6</w:t>
      </w:r>
      <w:r w:rsidRPr="00810659">
        <w:rPr>
          <w:rFonts w:ascii="Arial" w:hAnsi="Arial" w:cs="Arial"/>
        </w:rPr>
        <w:t xml:space="preserve">. As a result, we can conclude that an increase in divorce fees will disproportionately affect women, regardless of </w:t>
      </w:r>
      <w:r w:rsidR="00ED6065" w:rsidRPr="00810659">
        <w:rPr>
          <w:rFonts w:ascii="Arial" w:hAnsi="Arial" w:cs="Arial"/>
        </w:rPr>
        <w:t>whether they are in an opposite-sex or same-sex couple</w:t>
      </w:r>
      <w:r w:rsidRPr="00810659">
        <w:rPr>
          <w:rFonts w:ascii="Arial" w:hAnsi="Arial" w:cs="Arial"/>
        </w:rPr>
        <w:t xml:space="preserve">. In terms of age, when looking at opposite-sex couples, </w:t>
      </w:r>
      <w:r w:rsidR="0034639F" w:rsidRPr="00810659">
        <w:rPr>
          <w:rFonts w:ascii="Arial" w:hAnsi="Arial" w:cs="Arial"/>
        </w:rPr>
        <w:t>younger age groups (</w:t>
      </w:r>
      <w:r w:rsidRPr="00810659">
        <w:rPr>
          <w:rFonts w:ascii="Arial" w:hAnsi="Arial" w:cs="Arial"/>
        </w:rPr>
        <w:t>both men and women</w:t>
      </w:r>
      <w:r w:rsidR="00FA280C" w:rsidRPr="00810659">
        <w:rPr>
          <w:rFonts w:ascii="Arial" w:hAnsi="Arial" w:cs="Arial"/>
        </w:rPr>
        <w:t>)</w:t>
      </w:r>
      <w:r w:rsidR="00ED2223" w:rsidRPr="00810659">
        <w:rPr>
          <w:rFonts w:ascii="Arial" w:hAnsi="Arial" w:cs="Arial"/>
        </w:rPr>
        <w:t xml:space="preserve"> </w:t>
      </w:r>
      <w:r w:rsidRPr="00810659">
        <w:rPr>
          <w:rFonts w:ascii="Arial" w:hAnsi="Arial" w:cs="Arial"/>
        </w:rPr>
        <w:t>are disproportionately affected. 6.</w:t>
      </w:r>
      <w:r w:rsidR="00327BA8" w:rsidRPr="00810659">
        <w:rPr>
          <w:rFonts w:ascii="Arial" w:hAnsi="Arial" w:cs="Arial"/>
        </w:rPr>
        <w:t>3</w:t>
      </w:r>
      <w:r w:rsidR="000A61B4" w:rsidRPr="00810659">
        <w:rPr>
          <w:rFonts w:ascii="Arial" w:hAnsi="Arial" w:cs="Arial"/>
        </w:rPr>
        <w:t>7</w:t>
      </w:r>
      <w:r w:rsidRPr="00810659">
        <w:rPr>
          <w:rFonts w:ascii="Arial" w:hAnsi="Arial" w:cs="Arial"/>
        </w:rPr>
        <w:t xml:space="preserve">. Data on some protected characteristics such as race, disability, religion and belief, gender reassignment, pregnancy and maternity were not available. We are unable to make any conclusions on discrimination of individuals with these protected characteristics. </w:t>
      </w:r>
    </w:p>
    <w:p w14:paraId="35B6CF17" w14:textId="77777777" w:rsidR="000B6389" w:rsidRPr="00810659" w:rsidRDefault="000B6389" w:rsidP="009002AA">
      <w:pPr>
        <w:rPr>
          <w:rFonts w:ascii="Arial" w:hAnsi="Arial" w:cs="Arial"/>
        </w:rPr>
      </w:pPr>
    </w:p>
    <w:p w14:paraId="2BD3F6DF" w14:textId="6861F1C7" w:rsidR="00694F13" w:rsidRPr="00810659" w:rsidRDefault="00245992" w:rsidP="00DE4DEC">
      <w:pPr>
        <w:rPr>
          <w:rFonts w:ascii="Arial" w:hAnsi="Arial" w:cs="Arial"/>
          <w:b/>
          <w:sz w:val="24"/>
        </w:rPr>
      </w:pPr>
      <w:r w:rsidRPr="00810659">
        <w:rPr>
          <w:rFonts w:ascii="Arial" w:hAnsi="Arial" w:cs="Arial"/>
          <w:b/>
          <w:sz w:val="24"/>
        </w:rPr>
        <w:t>Magistrates</w:t>
      </w:r>
      <w:r w:rsidR="003A1540" w:rsidRPr="00810659">
        <w:rPr>
          <w:rFonts w:ascii="Arial" w:hAnsi="Arial" w:cs="Arial"/>
          <w:b/>
          <w:sz w:val="24"/>
        </w:rPr>
        <w:t>’ courts</w:t>
      </w:r>
      <w:r w:rsidRPr="00810659">
        <w:rPr>
          <w:rFonts w:ascii="Arial" w:hAnsi="Arial" w:cs="Arial"/>
          <w:b/>
          <w:sz w:val="24"/>
        </w:rPr>
        <w:t xml:space="preserve"> </w:t>
      </w:r>
    </w:p>
    <w:p w14:paraId="7DB29DFA" w14:textId="45817AB2" w:rsidR="008770C9" w:rsidRPr="00810659" w:rsidRDefault="004A0CA3" w:rsidP="441740B4">
      <w:pPr>
        <w:rPr>
          <w:rFonts w:ascii="Arial" w:hAnsi="Arial" w:cs="Arial"/>
          <w:b/>
          <w:bCs/>
          <w:sz w:val="28"/>
          <w:szCs w:val="28"/>
        </w:rPr>
      </w:pPr>
      <w:r w:rsidRPr="00810659">
        <w:rPr>
          <w:rFonts w:ascii="Arial" w:hAnsi="Arial" w:cs="Arial"/>
        </w:rPr>
        <w:t xml:space="preserve">6.39. </w:t>
      </w:r>
      <w:r w:rsidR="007E78F3" w:rsidRPr="00810659">
        <w:rPr>
          <w:rFonts w:ascii="Arial" w:hAnsi="Arial" w:cs="Arial"/>
        </w:rPr>
        <w:t>T</w:t>
      </w:r>
      <w:r w:rsidR="008770C9" w:rsidRPr="00810659">
        <w:rPr>
          <w:rFonts w:ascii="Arial" w:hAnsi="Arial" w:cs="Arial"/>
        </w:rPr>
        <w:t>he majority of</w:t>
      </w:r>
      <w:r w:rsidR="29C30FDC" w:rsidRPr="00810659">
        <w:rPr>
          <w:rFonts w:ascii="Arial" w:hAnsi="Arial" w:cs="Arial"/>
        </w:rPr>
        <w:t xml:space="preserve"> civil</w:t>
      </w:r>
      <w:r w:rsidR="008770C9" w:rsidRPr="00810659">
        <w:rPr>
          <w:rFonts w:ascii="Arial" w:hAnsi="Arial" w:cs="Arial"/>
        </w:rPr>
        <w:t xml:space="preserve"> proceedings </w:t>
      </w:r>
      <w:r w:rsidR="03096968" w:rsidRPr="00810659">
        <w:rPr>
          <w:rFonts w:ascii="Arial" w:hAnsi="Arial" w:cs="Arial"/>
        </w:rPr>
        <w:t xml:space="preserve">in the Magistrates’ Courts </w:t>
      </w:r>
      <w:r w:rsidR="008770C9" w:rsidRPr="00810659">
        <w:rPr>
          <w:rFonts w:ascii="Arial" w:hAnsi="Arial" w:cs="Arial"/>
        </w:rPr>
        <w:t>will be initiated by public authorities</w:t>
      </w:r>
      <w:r w:rsidR="63533AA3" w:rsidRPr="00810659">
        <w:rPr>
          <w:rFonts w:ascii="Arial" w:hAnsi="Arial" w:cs="Arial"/>
        </w:rPr>
        <w:t>. Some examples include</w:t>
      </w:r>
      <w:r w:rsidR="008770C9" w:rsidRPr="00810659">
        <w:rPr>
          <w:rFonts w:ascii="Arial" w:hAnsi="Arial" w:cs="Arial"/>
        </w:rPr>
        <w:t xml:space="preserve"> police (applying for football banning orders</w:t>
      </w:r>
      <w:r w:rsidR="00B56DCE" w:rsidRPr="00810659">
        <w:rPr>
          <w:rFonts w:ascii="Arial" w:hAnsi="Arial" w:cs="Arial"/>
        </w:rPr>
        <w:t xml:space="preserve"> </w:t>
      </w:r>
      <w:r w:rsidR="00F65AE9" w:rsidRPr="00810659">
        <w:rPr>
          <w:rFonts w:ascii="Arial" w:hAnsi="Arial" w:cs="Arial"/>
        </w:rPr>
        <w:t>or</w:t>
      </w:r>
      <w:r w:rsidR="000F1A3C" w:rsidRPr="00810659">
        <w:rPr>
          <w:rFonts w:ascii="Arial" w:hAnsi="Arial" w:cs="Arial"/>
        </w:rPr>
        <w:t xml:space="preserve"> sexual</w:t>
      </w:r>
      <w:r w:rsidR="008770C9" w:rsidRPr="00810659">
        <w:rPr>
          <w:rFonts w:ascii="Arial" w:hAnsi="Arial" w:cs="Arial"/>
        </w:rPr>
        <w:t xml:space="preserve"> harm prevention orders), local authorities (council tax enforcement) and HMRC (forfeiture/seizure orders).</w:t>
      </w:r>
    </w:p>
    <w:p w14:paraId="48637F46" w14:textId="5391039B" w:rsidR="008770C9" w:rsidRPr="00810659" w:rsidRDefault="004A0CA3" w:rsidP="008770C9">
      <w:pPr>
        <w:rPr>
          <w:rFonts w:ascii="Arial" w:hAnsi="Arial" w:cs="Arial"/>
        </w:rPr>
      </w:pPr>
      <w:r w:rsidRPr="00810659">
        <w:rPr>
          <w:rFonts w:ascii="Arial" w:hAnsi="Arial" w:cs="Arial"/>
        </w:rPr>
        <w:t xml:space="preserve">6.40. </w:t>
      </w:r>
      <w:r w:rsidR="008770C9" w:rsidRPr="00810659">
        <w:rPr>
          <w:rFonts w:ascii="Arial" w:hAnsi="Arial" w:cs="Arial"/>
        </w:rPr>
        <w:t>However, individuals and/or private companies can also bring civil proceedings in Magistrates</w:t>
      </w:r>
      <w:r w:rsidR="643A9282" w:rsidRPr="00810659">
        <w:rPr>
          <w:rFonts w:ascii="Arial" w:hAnsi="Arial" w:cs="Arial"/>
        </w:rPr>
        <w:t>’</w:t>
      </w:r>
      <w:r w:rsidR="008770C9" w:rsidRPr="00810659">
        <w:rPr>
          <w:rFonts w:ascii="Arial" w:hAnsi="Arial" w:cs="Arial"/>
        </w:rPr>
        <w:t xml:space="preserve"> courts. For example, applications for abatement of statutory nuisance, appeals of local authority decisions regarding liquor licensing,</w:t>
      </w:r>
      <w:r w:rsidR="44CB8335" w:rsidRPr="00810659">
        <w:rPr>
          <w:rFonts w:ascii="Arial" w:hAnsi="Arial" w:cs="Arial"/>
        </w:rPr>
        <w:t xml:space="preserve"> and</w:t>
      </w:r>
      <w:r w:rsidR="008770C9" w:rsidRPr="00810659">
        <w:rPr>
          <w:rFonts w:ascii="Arial" w:hAnsi="Arial" w:cs="Arial"/>
        </w:rPr>
        <w:t xml:space="preserve"> certain family proceedings (particularly regarding child support)</w:t>
      </w:r>
      <w:r w:rsidR="78309BE1" w:rsidRPr="00810659">
        <w:rPr>
          <w:rFonts w:ascii="Arial" w:hAnsi="Arial" w:cs="Arial"/>
        </w:rPr>
        <w:t>.</w:t>
      </w:r>
      <w:r w:rsidR="008770C9" w:rsidRPr="00810659">
        <w:rPr>
          <w:rFonts w:ascii="Arial" w:hAnsi="Arial" w:cs="Arial"/>
        </w:rPr>
        <w:t xml:space="preserve"> </w:t>
      </w:r>
      <w:r w:rsidR="0373DB6C" w:rsidRPr="00810659">
        <w:rPr>
          <w:rFonts w:ascii="Arial" w:hAnsi="Arial" w:cs="Arial"/>
        </w:rPr>
        <w:t>W</w:t>
      </w:r>
      <w:r w:rsidR="008770C9" w:rsidRPr="00810659">
        <w:rPr>
          <w:rFonts w:ascii="Arial" w:hAnsi="Arial" w:cs="Arial"/>
        </w:rPr>
        <w:t xml:space="preserve">arrants of entry are usually applied for by utility companies. </w:t>
      </w:r>
    </w:p>
    <w:p w14:paraId="0631CEFD" w14:textId="6DB203A2" w:rsidR="00EB4F9F" w:rsidRPr="00810659" w:rsidRDefault="004A0CA3" w:rsidP="008770C9">
      <w:pPr>
        <w:rPr>
          <w:rFonts w:ascii="Arial" w:hAnsi="Arial" w:cs="Arial"/>
        </w:rPr>
      </w:pPr>
      <w:r w:rsidRPr="00810659">
        <w:rPr>
          <w:rFonts w:ascii="Arial" w:hAnsi="Arial" w:cs="Arial"/>
        </w:rPr>
        <w:t xml:space="preserve">6.41. </w:t>
      </w:r>
      <w:r w:rsidR="00EB4F9F" w:rsidRPr="00810659">
        <w:rPr>
          <w:rFonts w:ascii="Arial" w:hAnsi="Arial" w:cs="Arial"/>
        </w:rPr>
        <w:t>Data is not available on the characteristics of individuals paying Magistrates</w:t>
      </w:r>
      <w:r w:rsidR="438D051B" w:rsidRPr="00810659">
        <w:rPr>
          <w:rFonts w:ascii="Arial" w:hAnsi="Arial" w:cs="Arial"/>
        </w:rPr>
        <w:t>’</w:t>
      </w:r>
      <w:r w:rsidR="00EB4F9F" w:rsidRPr="00810659">
        <w:rPr>
          <w:rFonts w:ascii="Arial" w:hAnsi="Arial" w:cs="Arial"/>
        </w:rPr>
        <w:t xml:space="preserve"> court fees; however, as the majority of these fees are paid by organisations rather than individuals, we conclude that the proposed increase to Magistrate court fees should not adversely affect individuals with protected characteristics. </w:t>
      </w:r>
    </w:p>
    <w:p w14:paraId="1EBBACA9" w14:textId="77777777" w:rsidR="004C2A53" w:rsidRPr="00810659" w:rsidRDefault="004C2A53" w:rsidP="00DE4DEC">
      <w:pPr>
        <w:rPr>
          <w:rFonts w:ascii="Arial" w:hAnsi="Arial" w:cs="Arial"/>
          <w:b/>
          <w:sz w:val="24"/>
        </w:rPr>
      </w:pPr>
    </w:p>
    <w:p w14:paraId="1660B395" w14:textId="49C1CA5E" w:rsidR="00245992" w:rsidRPr="00810659" w:rsidRDefault="00245992" w:rsidP="00DE4DEC">
      <w:pPr>
        <w:rPr>
          <w:rFonts w:ascii="Arial" w:hAnsi="Arial" w:cs="Arial"/>
          <w:b/>
          <w:sz w:val="24"/>
        </w:rPr>
      </w:pPr>
      <w:r w:rsidRPr="00810659">
        <w:rPr>
          <w:rFonts w:ascii="Arial" w:hAnsi="Arial" w:cs="Arial"/>
          <w:b/>
          <w:sz w:val="24"/>
        </w:rPr>
        <w:lastRenderedPageBreak/>
        <w:t>Court of Protection</w:t>
      </w:r>
      <w:r w:rsidR="0087541C" w:rsidRPr="00810659">
        <w:rPr>
          <w:rFonts w:ascii="Arial" w:hAnsi="Arial" w:cs="Arial"/>
          <w:b/>
          <w:sz w:val="24"/>
        </w:rPr>
        <w:t xml:space="preserve"> (CoP)</w:t>
      </w:r>
    </w:p>
    <w:p w14:paraId="488A9415" w14:textId="757CA2B4" w:rsidR="004F4699" w:rsidRPr="00810659" w:rsidRDefault="00775387" w:rsidP="00DE4DEC">
      <w:pPr>
        <w:rPr>
          <w:rFonts w:ascii="Arial" w:hAnsi="Arial" w:cs="Arial"/>
        </w:rPr>
      </w:pPr>
      <w:r w:rsidRPr="00810659">
        <w:rPr>
          <w:rFonts w:ascii="Arial" w:hAnsi="Arial" w:cs="Arial"/>
        </w:rPr>
        <w:t>6.</w:t>
      </w:r>
      <w:r w:rsidR="00327BA8" w:rsidRPr="00810659">
        <w:rPr>
          <w:rFonts w:ascii="Arial" w:hAnsi="Arial" w:cs="Arial"/>
        </w:rPr>
        <w:t>4</w:t>
      </w:r>
      <w:r w:rsidR="004A0CA3" w:rsidRPr="00810659">
        <w:rPr>
          <w:rFonts w:ascii="Arial" w:hAnsi="Arial" w:cs="Arial"/>
        </w:rPr>
        <w:t>2</w:t>
      </w:r>
      <w:r w:rsidRPr="00810659">
        <w:rPr>
          <w:rFonts w:ascii="Arial" w:hAnsi="Arial" w:cs="Arial"/>
        </w:rPr>
        <w:t xml:space="preserve">. </w:t>
      </w:r>
      <w:r w:rsidR="00D07CDD" w:rsidRPr="00810659">
        <w:rPr>
          <w:rFonts w:ascii="Arial" w:hAnsi="Arial" w:cs="Arial"/>
        </w:rPr>
        <w:t xml:space="preserve">The </w:t>
      </w:r>
      <w:r w:rsidR="004F4699" w:rsidRPr="00810659">
        <w:rPr>
          <w:rFonts w:ascii="Arial" w:hAnsi="Arial" w:cs="Arial"/>
        </w:rPr>
        <w:t>CoP make</w:t>
      </w:r>
      <w:r w:rsidR="00E43B60" w:rsidRPr="00810659">
        <w:rPr>
          <w:rFonts w:ascii="Arial" w:hAnsi="Arial" w:cs="Arial"/>
        </w:rPr>
        <w:t>s</w:t>
      </w:r>
      <w:r w:rsidR="004F4699" w:rsidRPr="00810659">
        <w:rPr>
          <w:rFonts w:ascii="Arial" w:hAnsi="Arial" w:cs="Arial"/>
        </w:rPr>
        <w:t xml:space="preserve"> decisions</w:t>
      </w:r>
      <w:r w:rsidR="05DB1AB6" w:rsidRPr="00810659">
        <w:rPr>
          <w:rFonts w:ascii="Arial" w:hAnsi="Arial" w:cs="Arial"/>
        </w:rPr>
        <w:t>, and appoints representatives,</w:t>
      </w:r>
      <w:r w:rsidR="004F4699" w:rsidRPr="00810659">
        <w:rPr>
          <w:rFonts w:ascii="Arial" w:hAnsi="Arial" w:cs="Arial"/>
        </w:rPr>
        <w:t xml:space="preserve"> on financial and wellbeing matters for people who cannot </w:t>
      </w:r>
      <w:proofErr w:type="gramStart"/>
      <w:r w:rsidR="004F4699" w:rsidRPr="00810659">
        <w:rPr>
          <w:rFonts w:ascii="Arial" w:hAnsi="Arial" w:cs="Arial"/>
        </w:rPr>
        <w:t>make a decision</w:t>
      </w:r>
      <w:proofErr w:type="gramEnd"/>
      <w:r w:rsidR="004F4699" w:rsidRPr="00810659">
        <w:rPr>
          <w:rFonts w:ascii="Arial" w:hAnsi="Arial" w:cs="Arial"/>
        </w:rPr>
        <w:t xml:space="preserve"> at the time they need to be made (they lack “mental capacity” to do so). </w:t>
      </w:r>
    </w:p>
    <w:p w14:paraId="075FD707" w14:textId="497AD517" w:rsidR="00245992" w:rsidRPr="00810659" w:rsidRDefault="00775387" w:rsidP="00DE4DEC">
      <w:pPr>
        <w:rPr>
          <w:rFonts w:ascii="Arial" w:hAnsi="Arial" w:cs="Arial"/>
        </w:rPr>
      </w:pPr>
      <w:r w:rsidRPr="00810659">
        <w:rPr>
          <w:rFonts w:ascii="Arial" w:hAnsi="Arial" w:cs="Arial"/>
        </w:rPr>
        <w:t>6.</w:t>
      </w:r>
      <w:r w:rsidR="00327BA8" w:rsidRPr="00810659">
        <w:rPr>
          <w:rFonts w:ascii="Arial" w:hAnsi="Arial" w:cs="Arial"/>
        </w:rPr>
        <w:t>4</w:t>
      </w:r>
      <w:r w:rsidR="004A0CA3" w:rsidRPr="00810659">
        <w:rPr>
          <w:rFonts w:ascii="Arial" w:hAnsi="Arial" w:cs="Arial"/>
        </w:rPr>
        <w:t>3</w:t>
      </w:r>
      <w:r w:rsidRPr="00810659">
        <w:rPr>
          <w:rFonts w:ascii="Arial" w:hAnsi="Arial" w:cs="Arial"/>
        </w:rPr>
        <w:t xml:space="preserve">. </w:t>
      </w:r>
      <w:r w:rsidR="00F4148B" w:rsidRPr="00810659">
        <w:rPr>
          <w:rFonts w:ascii="Arial" w:hAnsi="Arial" w:cs="Arial"/>
        </w:rPr>
        <w:t xml:space="preserve">In </w:t>
      </w:r>
      <w:r w:rsidR="00D07CDD" w:rsidRPr="00810659">
        <w:rPr>
          <w:rFonts w:ascii="Arial" w:hAnsi="Arial" w:cs="Arial"/>
        </w:rPr>
        <w:t xml:space="preserve">the </w:t>
      </w:r>
      <w:r w:rsidR="003263B6" w:rsidRPr="00810659">
        <w:rPr>
          <w:rFonts w:ascii="Arial" w:hAnsi="Arial" w:cs="Arial"/>
        </w:rPr>
        <w:t xml:space="preserve">CoP, fees are payable by the person making the application. In many cases, however, the fees are </w:t>
      </w:r>
      <w:r w:rsidR="7D0A9E9A" w:rsidRPr="00810659">
        <w:rPr>
          <w:rFonts w:ascii="Arial" w:hAnsi="Arial" w:cs="Arial"/>
        </w:rPr>
        <w:t xml:space="preserve">ultimately </w:t>
      </w:r>
      <w:r w:rsidR="003263B6" w:rsidRPr="00810659">
        <w:rPr>
          <w:rFonts w:ascii="Arial" w:hAnsi="Arial" w:cs="Arial"/>
        </w:rPr>
        <w:t xml:space="preserve">recoverable </w:t>
      </w:r>
      <w:r w:rsidR="00E251DA" w:rsidRPr="00810659">
        <w:rPr>
          <w:rFonts w:ascii="Arial" w:hAnsi="Arial" w:cs="Arial"/>
        </w:rPr>
        <w:t>from</w:t>
      </w:r>
      <w:r w:rsidR="003263B6" w:rsidRPr="00810659">
        <w:rPr>
          <w:rFonts w:ascii="Arial" w:hAnsi="Arial" w:cs="Arial"/>
        </w:rPr>
        <w:t xml:space="preserve"> the person the application is about (the protected person). </w:t>
      </w:r>
    </w:p>
    <w:p w14:paraId="02C8E284" w14:textId="084DBD62" w:rsidR="001D1897" w:rsidRPr="00810659" w:rsidRDefault="00775387" w:rsidP="00DE4DEC">
      <w:pPr>
        <w:rPr>
          <w:rFonts w:ascii="Arial" w:hAnsi="Arial" w:cs="Arial"/>
        </w:rPr>
      </w:pPr>
      <w:r w:rsidRPr="00810659">
        <w:rPr>
          <w:rFonts w:ascii="Arial" w:hAnsi="Arial" w:cs="Arial"/>
        </w:rPr>
        <w:t>6.</w:t>
      </w:r>
      <w:r w:rsidR="00327BA8" w:rsidRPr="00810659">
        <w:rPr>
          <w:rFonts w:ascii="Arial" w:hAnsi="Arial" w:cs="Arial"/>
        </w:rPr>
        <w:t>4</w:t>
      </w:r>
      <w:r w:rsidR="004A0CA3" w:rsidRPr="00810659">
        <w:rPr>
          <w:rFonts w:ascii="Arial" w:hAnsi="Arial" w:cs="Arial"/>
        </w:rPr>
        <w:t>4</w:t>
      </w:r>
      <w:r w:rsidRPr="00810659">
        <w:rPr>
          <w:rFonts w:ascii="Arial" w:hAnsi="Arial" w:cs="Arial"/>
        </w:rPr>
        <w:t xml:space="preserve">. </w:t>
      </w:r>
      <w:r w:rsidR="00FC658C" w:rsidRPr="00810659">
        <w:rPr>
          <w:rFonts w:ascii="Arial" w:hAnsi="Arial" w:cs="Arial"/>
        </w:rPr>
        <w:t>W</w:t>
      </w:r>
      <w:r w:rsidR="001D1897" w:rsidRPr="00810659">
        <w:rPr>
          <w:rFonts w:ascii="Arial" w:hAnsi="Arial" w:cs="Arial"/>
        </w:rPr>
        <w:t>hen applying for</w:t>
      </w:r>
      <w:r w:rsidR="00FC658C" w:rsidRPr="00810659">
        <w:rPr>
          <w:rFonts w:ascii="Arial" w:hAnsi="Arial" w:cs="Arial"/>
        </w:rPr>
        <w:t xml:space="preserve"> </w:t>
      </w:r>
      <w:proofErr w:type="spellStart"/>
      <w:r w:rsidR="001D1897" w:rsidRPr="00810659">
        <w:rPr>
          <w:rFonts w:ascii="Arial" w:hAnsi="Arial" w:cs="Arial"/>
        </w:rPr>
        <w:t>HwF</w:t>
      </w:r>
      <w:proofErr w:type="spellEnd"/>
      <w:r w:rsidR="001D1897" w:rsidRPr="00810659">
        <w:rPr>
          <w:rFonts w:ascii="Arial" w:hAnsi="Arial" w:cs="Arial"/>
        </w:rPr>
        <w:t xml:space="preserve"> re</w:t>
      </w:r>
      <w:r w:rsidR="00FC658C" w:rsidRPr="00810659">
        <w:rPr>
          <w:rFonts w:ascii="Arial" w:hAnsi="Arial" w:cs="Arial"/>
        </w:rPr>
        <w:t>garding</w:t>
      </w:r>
      <w:r w:rsidR="001D1897" w:rsidRPr="00810659">
        <w:rPr>
          <w:rFonts w:ascii="Arial" w:hAnsi="Arial" w:cs="Arial"/>
        </w:rPr>
        <w:t xml:space="preserve"> a C</w:t>
      </w:r>
      <w:r w:rsidR="00FC658C" w:rsidRPr="00810659">
        <w:rPr>
          <w:rFonts w:ascii="Arial" w:hAnsi="Arial" w:cs="Arial"/>
        </w:rPr>
        <w:t>o</w:t>
      </w:r>
      <w:r w:rsidR="001D1897" w:rsidRPr="00810659">
        <w:rPr>
          <w:rFonts w:ascii="Arial" w:hAnsi="Arial" w:cs="Arial"/>
        </w:rPr>
        <w:t>P fee, the person whose finances are assessed depends on what type of application is being made. For applications for a deputyship for property and affairs, the finances of the protected person</w:t>
      </w:r>
      <w:r w:rsidR="00A9444E" w:rsidRPr="00810659">
        <w:rPr>
          <w:rFonts w:ascii="Arial" w:hAnsi="Arial" w:cs="Arial"/>
        </w:rPr>
        <w:t xml:space="preserve"> are assessed</w:t>
      </w:r>
      <w:r w:rsidR="001D1897" w:rsidRPr="00810659">
        <w:rPr>
          <w:rFonts w:ascii="Arial" w:hAnsi="Arial" w:cs="Arial"/>
        </w:rPr>
        <w:t>. For health and personal welfare deputyship applications, the finances of the person making the application</w:t>
      </w:r>
      <w:r w:rsidR="00A9444E" w:rsidRPr="00810659">
        <w:rPr>
          <w:rFonts w:ascii="Arial" w:hAnsi="Arial" w:cs="Arial"/>
        </w:rPr>
        <w:t xml:space="preserve"> are assessed</w:t>
      </w:r>
      <w:r w:rsidR="001D1897" w:rsidRPr="00810659">
        <w:rPr>
          <w:rFonts w:ascii="Arial" w:hAnsi="Arial" w:cs="Arial"/>
        </w:rPr>
        <w:t>.</w:t>
      </w:r>
    </w:p>
    <w:p w14:paraId="03D71EAC" w14:textId="29670CE7" w:rsidR="00EB4F9F" w:rsidRPr="00810659" w:rsidRDefault="00775387" w:rsidP="00EB4F9F">
      <w:pPr>
        <w:rPr>
          <w:rFonts w:ascii="Arial" w:hAnsi="Arial" w:cs="Arial"/>
        </w:rPr>
      </w:pPr>
      <w:r w:rsidRPr="00810659">
        <w:rPr>
          <w:rFonts w:ascii="Arial" w:hAnsi="Arial" w:cs="Arial"/>
        </w:rPr>
        <w:t>6.</w:t>
      </w:r>
      <w:r w:rsidR="00327BA8" w:rsidRPr="00810659">
        <w:rPr>
          <w:rFonts w:ascii="Arial" w:hAnsi="Arial" w:cs="Arial"/>
        </w:rPr>
        <w:t>4</w:t>
      </w:r>
      <w:r w:rsidR="004A0CA3" w:rsidRPr="00810659">
        <w:rPr>
          <w:rFonts w:ascii="Arial" w:hAnsi="Arial" w:cs="Arial"/>
        </w:rPr>
        <w:t>5</w:t>
      </w:r>
      <w:r w:rsidRPr="00810659">
        <w:rPr>
          <w:rFonts w:ascii="Arial" w:hAnsi="Arial" w:cs="Arial"/>
        </w:rPr>
        <w:t xml:space="preserve">. </w:t>
      </w:r>
      <w:r w:rsidR="00EB4F9F" w:rsidRPr="00810659">
        <w:rPr>
          <w:rFonts w:ascii="Arial" w:hAnsi="Arial" w:cs="Arial"/>
        </w:rPr>
        <w:t>As CoP fees relating to deputyship may be payable by the protected person, it is likely that CoP fee changes will disproportionately impact those with a disability</w:t>
      </w:r>
      <w:r w:rsidR="22BBBAA8" w:rsidRPr="00810659">
        <w:rPr>
          <w:rFonts w:ascii="Arial" w:hAnsi="Arial" w:cs="Arial"/>
        </w:rPr>
        <w:t xml:space="preserve"> and/or</w:t>
      </w:r>
      <w:r w:rsidR="00ED6065" w:rsidRPr="00810659">
        <w:rPr>
          <w:rFonts w:ascii="Arial" w:hAnsi="Arial" w:cs="Arial"/>
        </w:rPr>
        <w:t xml:space="preserve"> those of an older</w:t>
      </w:r>
      <w:r w:rsidR="22BBBAA8" w:rsidRPr="00810659">
        <w:rPr>
          <w:rFonts w:ascii="Arial" w:hAnsi="Arial" w:cs="Arial"/>
        </w:rPr>
        <w:t xml:space="preserve"> age</w:t>
      </w:r>
      <w:r w:rsidR="00EB4F9F" w:rsidRPr="00810659">
        <w:rPr>
          <w:rFonts w:ascii="Arial" w:hAnsi="Arial" w:cs="Arial"/>
        </w:rPr>
        <w:t xml:space="preserve">. However, as data is not collected on the characteristics of those paying CoP fees, it is not possible to conclude whether individuals sharing other protected characteristics are likely to be disproportionally affected. </w:t>
      </w:r>
    </w:p>
    <w:p w14:paraId="24828269" w14:textId="77777777" w:rsidR="00E43A2F" w:rsidRPr="00810659" w:rsidRDefault="00E43A2F" w:rsidP="00DE4DEC">
      <w:pPr>
        <w:rPr>
          <w:rFonts w:ascii="Arial" w:hAnsi="Arial" w:cs="Arial"/>
        </w:rPr>
      </w:pPr>
    </w:p>
    <w:p w14:paraId="3DD1BAB4" w14:textId="127DE135" w:rsidR="00E43A2F" w:rsidRPr="00810659" w:rsidRDefault="00775387" w:rsidP="00DE4DEC">
      <w:pPr>
        <w:rPr>
          <w:rFonts w:ascii="Arial" w:hAnsi="Arial" w:cs="Arial"/>
          <w:b/>
          <w:sz w:val="28"/>
        </w:rPr>
      </w:pPr>
      <w:r w:rsidRPr="00810659">
        <w:rPr>
          <w:rFonts w:ascii="Arial" w:hAnsi="Arial" w:cs="Arial"/>
          <w:b/>
          <w:sz w:val="28"/>
        </w:rPr>
        <w:t xml:space="preserve">7. </w:t>
      </w:r>
      <w:r w:rsidR="00E43A2F" w:rsidRPr="00810659">
        <w:rPr>
          <w:rFonts w:ascii="Arial" w:hAnsi="Arial" w:cs="Arial"/>
          <w:b/>
          <w:sz w:val="28"/>
        </w:rPr>
        <w:t>Mitigation</w:t>
      </w:r>
    </w:p>
    <w:p w14:paraId="31F46CF3" w14:textId="7166CB83" w:rsidR="00E43A2F" w:rsidRPr="00810659" w:rsidRDefault="00775387" w:rsidP="00E43A2F">
      <w:pPr>
        <w:rPr>
          <w:rFonts w:ascii="Arial" w:hAnsi="Arial" w:cs="Arial"/>
        </w:rPr>
      </w:pPr>
      <w:r w:rsidRPr="00810659">
        <w:rPr>
          <w:rFonts w:ascii="Arial" w:hAnsi="Arial" w:cs="Arial"/>
        </w:rPr>
        <w:t xml:space="preserve">7.1. </w:t>
      </w:r>
      <w:r w:rsidR="00E43A2F" w:rsidRPr="00810659">
        <w:rPr>
          <w:rFonts w:ascii="Arial" w:hAnsi="Arial" w:cs="Arial"/>
        </w:rPr>
        <w:t>The</w:t>
      </w:r>
      <w:r w:rsidR="57B92AAE" w:rsidRPr="00810659">
        <w:rPr>
          <w:rFonts w:ascii="Arial" w:hAnsi="Arial" w:cs="Arial"/>
        </w:rPr>
        <w:t xml:space="preserve"> court and tribunal </w:t>
      </w:r>
      <w:r w:rsidR="00E43A2F" w:rsidRPr="00810659">
        <w:rPr>
          <w:rFonts w:ascii="Arial" w:hAnsi="Arial" w:cs="Arial"/>
        </w:rPr>
        <w:t>fees remission scheme (</w:t>
      </w:r>
      <w:proofErr w:type="spellStart"/>
      <w:r w:rsidR="00E43A2F" w:rsidRPr="00810659">
        <w:rPr>
          <w:rFonts w:ascii="Arial" w:hAnsi="Arial" w:cs="Arial"/>
        </w:rPr>
        <w:t>HwF</w:t>
      </w:r>
      <w:proofErr w:type="spellEnd"/>
      <w:r w:rsidR="00E43A2F" w:rsidRPr="00810659">
        <w:rPr>
          <w:rFonts w:ascii="Arial" w:hAnsi="Arial" w:cs="Arial"/>
        </w:rPr>
        <w:t xml:space="preserve">) is designed to protect access to justice. Eligibility for a fee remission is based on an individual’s ability to pay, and the scheme is targeted towards those in households on low incomes </w:t>
      </w:r>
      <w:r w:rsidR="00EC78E6" w:rsidRPr="00810659">
        <w:rPr>
          <w:rFonts w:ascii="Arial" w:hAnsi="Arial" w:cs="Arial"/>
        </w:rPr>
        <w:t>and those</w:t>
      </w:r>
      <w:r w:rsidR="00FF50AB" w:rsidRPr="00810659">
        <w:rPr>
          <w:rFonts w:ascii="Arial" w:hAnsi="Arial" w:cs="Arial"/>
        </w:rPr>
        <w:t xml:space="preserve"> </w:t>
      </w:r>
      <w:r w:rsidR="00E43A2F" w:rsidRPr="00810659">
        <w:rPr>
          <w:rFonts w:ascii="Arial" w:hAnsi="Arial" w:cs="Arial"/>
        </w:rPr>
        <w:t>who are in receipt of certain state benefits. Eligibility is also subject to an assessment of the value of the applicant’s disposable capital (e.g. savings) with a higher threshold applying to those aged 61</w:t>
      </w:r>
      <w:r w:rsidR="007F0749" w:rsidRPr="00810659">
        <w:rPr>
          <w:rFonts w:ascii="Arial" w:hAnsi="Arial" w:cs="Arial"/>
        </w:rPr>
        <w:t xml:space="preserve"> and over, or </w:t>
      </w:r>
      <w:r w:rsidR="00134908" w:rsidRPr="00810659">
        <w:rPr>
          <w:rFonts w:ascii="Arial" w:hAnsi="Arial" w:cs="Arial"/>
        </w:rPr>
        <w:t xml:space="preserve">those </w:t>
      </w:r>
      <w:r w:rsidR="007F0749" w:rsidRPr="00810659">
        <w:rPr>
          <w:rFonts w:ascii="Arial" w:hAnsi="Arial" w:cs="Arial"/>
        </w:rPr>
        <w:t>with a partner aged 61 and over</w:t>
      </w:r>
      <w:r w:rsidR="00E43A2F" w:rsidRPr="00810659">
        <w:rPr>
          <w:rFonts w:ascii="Arial" w:hAnsi="Arial" w:cs="Arial"/>
        </w:rPr>
        <w:t>.</w:t>
      </w:r>
    </w:p>
    <w:p w14:paraId="09046CCA" w14:textId="616FFFFD" w:rsidR="00813CB4" w:rsidRPr="00810659" w:rsidRDefault="00775387" w:rsidP="00E43A2F">
      <w:pPr>
        <w:rPr>
          <w:rFonts w:ascii="Arial" w:hAnsi="Arial" w:cs="Arial"/>
        </w:rPr>
      </w:pPr>
      <w:r w:rsidRPr="00810659">
        <w:rPr>
          <w:rFonts w:ascii="Arial" w:hAnsi="Arial" w:cs="Arial"/>
        </w:rPr>
        <w:t xml:space="preserve">7.2. </w:t>
      </w:r>
      <w:r w:rsidR="00813CB4" w:rsidRPr="00810659">
        <w:rPr>
          <w:rFonts w:ascii="Arial" w:hAnsi="Arial" w:cs="Arial"/>
        </w:rPr>
        <w:t xml:space="preserve">Furthermore, in exceptional cases where the applicant does not qualify for </w:t>
      </w:r>
      <w:proofErr w:type="spellStart"/>
      <w:r w:rsidR="00813CB4" w:rsidRPr="00810659">
        <w:rPr>
          <w:rFonts w:ascii="Arial" w:hAnsi="Arial" w:cs="Arial"/>
        </w:rPr>
        <w:t>HwF</w:t>
      </w:r>
      <w:proofErr w:type="spellEnd"/>
      <w:r w:rsidR="004B4493" w:rsidRPr="00810659">
        <w:rPr>
          <w:rFonts w:ascii="Arial" w:hAnsi="Arial" w:cs="Arial"/>
        </w:rPr>
        <w:t xml:space="preserve"> and they are not able to pay the fee because it would affect their day-to-day life, the Lord Chancellor’s </w:t>
      </w:r>
      <w:r w:rsidR="1BF2F393" w:rsidRPr="00810659">
        <w:rPr>
          <w:rFonts w:ascii="Arial" w:hAnsi="Arial" w:cs="Arial"/>
        </w:rPr>
        <w:t xml:space="preserve">Exceptional </w:t>
      </w:r>
      <w:r w:rsidR="004B4493" w:rsidRPr="00810659">
        <w:rPr>
          <w:rFonts w:ascii="Arial" w:hAnsi="Arial" w:cs="Arial"/>
        </w:rPr>
        <w:t>Power (LC</w:t>
      </w:r>
      <w:r w:rsidR="1379500A" w:rsidRPr="00810659">
        <w:rPr>
          <w:rFonts w:ascii="Arial" w:hAnsi="Arial" w:cs="Arial"/>
        </w:rPr>
        <w:t>EP</w:t>
      </w:r>
      <w:r w:rsidR="004B4493" w:rsidRPr="00810659">
        <w:rPr>
          <w:rFonts w:ascii="Arial" w:hAnsi="Arial" w:cs="Arial"/>
        </w:rPr>
        <w:t>) is available</w:t>
      </w:r>
      <w:r w:rsidR="1C085D0B" w:rsidRPr="00810659">
        <w:rPr>
          <w:rFonts w:ascii="Arial" w:hAnsi="Arial" w:cs="Arial"/>
        </w:rPr>
        <w:t xml:space="preserve">, at the discretion of court </w:t>
      </w:r>
      <w:r w:rsidR="185F2CA2" w:rsidRPr="00810659">
        <w:rPr>
          <w:rFonts w:ascii="Arial" w:hAnsi="Arial" w:cs="Arial"/>
        </w:rPr>
        <w:t>and tribunal delivery managers,</w:t>
      </w:r>
      <w:r w:rsidR="004B4493" w:rsidRPr="00810659">
        <w:rPr>
          <w:rFonts w:ascii="Arial" w:hAnsi="Arial" w:cs="Arial"/>
        </w:rPr>
        <w:t xml:space="preserve"> to </w:t>
      </w:r>
      <w:r w:rsidR="046F04FD" w:rsidRPr="00810659">
        <w:rPr>
          <w:rFonts w:ascii="Arial" w:hAnsi="Arial" w:cs="Arial"/>
        </w:rPr>
        <w:t xml:space="preserve">further </w:t>
      </w:r>
      <w:r w:rsidR="004B4493" w:rsidRPr="00810659">
        <w:rPr>
          <w:rFonts w:ascii="Arial" w:hAnsi="Arial" w:cs="Arial"/>
        </w:rPr>
        <w:t xml:space="preserve">safeguard access to justice. </w:t>
      </w:r>
    </w:p>
    <w:p w14:paraId="3EE3204B" w14:textId="65C4B2CB" w:rsidR="004124CD" w:rsidRPr="00810659" w:rsidRDefault="00775387" w:rsidP="00DE4DEC">
      <w:pPr>
        <w:rPr>
          <w:rFonts w:ascii="Arial" w:hAnsi="Arial" w:cs="Arial"/>
        </w:rPr>
      </w:pPr>
      <w:r w:rsidRPr="00810659">
        <w:rPr>
          <w:rFonts w:ascii="Arial" w:hAnsi="Arial" w:cs="Arial"/>
        </w:rPr>
        <w:t xml:space="preserve">7.3. </w:t>
      </w:r>
      <w:r w:rsidR="00522E99" w:rsidRPr="00810659">
        <w:rPr>
          <w:rFonts w:ascii="Arial" w:hAnsi="Arial" w:cs="Arial"/>
        </w:rPr>
        <w:t xml:space="preserve">Just as </w:t>
      </w:r>
      <w:r w:rsidR="5AAD423C" w:rsidRPr="00810659">
        <w:rPr>
          <w:rFonts w:ascii="Arial" w:hAnsi="Arial" w:cs="Arial"/>
        </w:rPr>
        <w:t xml:space="preserve">certain </w:t>
      </w:r>
      <w:r w:rsidR="00522E99" w:rsidRPr="00810659">
        <w:rPr>
          <w:rFonts w:ascii="Arial" w:hAnsi="Arial" w:cs="Arial"/>
        </w:rPr>
        <w:t xml:space="preserve">fees </w:t>
      </w:r>
      <w:r w:rsidR="4C564CC5" w:rsidRPr="00810659">
        <w:rPr>
          <w:rFonts w:ascii="Arial" w:hAnsi="Arial" w:cs="Arial"/>
        </w:rPr>
        <w:t>are proposed to be increased by inflation</w:t>
      </w:r>
      <w:r w:rsidR="000A622B" w:rsidRPr="00810659">
        <w:rPr>
          <w:rFonts w:ascii="Arial" w:hAnsi="Arial" w:cs="Arial"/>
        </w:rPr>
        <w:t xml:space="preserve">, the income threshold required for applicants to qualify for a fee remission </w:t>
      </w:r>
      <w:r w:rsidR="157691C3" w:rsidRPr="00810659">
        <w:rPr>
          <w:rFonts w:ascii="Arial" w:hAnsi="Arial" w:cs="Arial"/>
        </w:rPr>
        <w:t xml:space="preserve">is also proposed </w:t>
      </w:r>
      <w:r w:rsidR="2BA3B6CE" w:rsidRPr="00810659">
        <w:rPr>
          <w:rFonts w:ascii="Arial" w:hAnsi="Arial" w:cs="Arial"/>
        </w:rPr>
        <w:t xml:space="preserve">for </w:t>
      </w:r>
      <w:r w:rsidR="000A622B" w:rsidRPr="00810659">
        <w:rPr>
          <w:rFonts w:ascii="Arial" w:hAnsi="Arial" w:cs="Arial"/>
        </w:rPr>
        <w:t xml:space="preserve">increase to reflect historical inflation. </w:t>
      </w:r>
      <w:r w:rsidR="00841230" w:rsidRPr="00810659">
        <w:rPr>
          <w:rFonts w:ascii="Arial" w:hAnsi="Arial" w:cs="Arial"/>
        </w:rPr>
        <w:t>The proposed thresholds are outlined in Table 7 below.</w:t>
      </w:r>
    </w:p>
    <w:p w14:paraId="0009B70E" w14:textId="6F160065" w:rsidR="00546C38" w:rsidRPr="00810659" w:rsidRDefault="00546C38" w:rsidP="00DE4DEC">
      <w:pPr>
        <w:rPr>
          <w:rFonts w:ascii="Arial" w:hAnsi="Arial" w:cs="Arial"/>
          <w:b/>
        </w:rPr>
      </w:pPr>
      <w:r w:rsidRPr="00810659">
        <w:rPr>
          <w:rFonts w:ascii="Arial" w:hAnsi="Arial" w:cs="Arial"/>
          <w:b/>
        </w:rPr>
        <w:t xml:space="preserve">Table </w:t>
      </w:r>
      <w:r w:rsidR="00083D74" w:rsidRPr="00810659">
        <w:rPr>
          <w:rFonts w:ascii="Arial" w:hAnsi="Arial" w:cs="Arial"/>
          <w:b/>
        </w:rPr>
        <w:t>7</w:t>
      </w:r>
      <w:r w:rsidRPr="00810659">
        <w:rPr>
          <w:rFonts w:ascii="Arial" w:hAnsi="Arial" w:cs="Arial"/>
          <w:b/>
        </w:rPr>
        <w:t xml:space="preserve">: </w:t>
      </w:r>
      <w:proofErr w:type="spellStart"/>
      <w:r w:rsidRPr="00810659">
        <w:rPr>
          <w:rFonts w:ascii="Arial" w:hAnsi="Arial" w:cs="Arial"/>
          <w:b/>
        </w:rPr>
        <w:t>HwF</w:t>
      </w:r>
      <w:proofErr w:type="spellEnd"/>
      <w:r w:rsidRPr="00810659">
        <w:rPr>
          <w:rFonts w:ascii="Arial" w:hAnsi="Arial" w:cs="Arial"/>
          <w:b/>
        </w:rPr>
        <w:t xml:space="preserve"> current and proposed </w:t>
      </w:r>
      <w:r w:rsidR="00A02F8D" w:rsidRPr="00810659">
        <w:rPr>
          <w:rFonts w:ascii="Arial" w:hAnsi="Arial" w:cs="Arial"/>
          <w:b/>
        </w:rPr>
        <w:t xml:space="preserve">income </w:t>
      </w:r>
      <w:r w:rsidRPr="00810659">
        <w:rPr>
          <w:rFonts w:ascii="Arial" w:hAnsi="Arial" w:cs="Arial"/>
          <w:b/>
        </w:rPr>
        <w:t>thresholds</w:t>
      </w:r>
      <w:r w:rsidR="00336D98" w:rsidRPr="00810659">
        <w:rPr>
          <w:rFonts w:ascii="Arial" w:hAnsi="Arial" w:cs="Arial"/>
          <w:b/>
        </w:rPr>
        <w:t xml:space="preserve"> (</w:t>
      </w:r>
      <w:r w:rsidR="006B03D6" w:rsidRPr="00810659">
        <w:rPr>
          <w:rFonts w:ascii="Arial" w:hAnsi="Arial" w:cs="Arial"/>
          <w:b/>
        </w:rPr>
        <w:t xml:space="preserve">gross </w:t>
      </w:r>
      <w:r w:rsidR="00336D98" w:rsidRPr="00810659">
        <w:rPr>
          <w:rFonts w:ascii="Arial" w:hAnsi="Arial" w:cs="Arial"/>
          <w:b/>
        </w:rPr>
        <w:t>monthly values)</w:t>
      </w:r>
    </w:p>
    <w:tbl>
      <w:tblPr>
        <w:tblW w:w="7837" w:type="dxa"/>
        <w:tblLayout w:type="fixed"/>
        <w:tblLook w:val="04A0" w:firstRow="1" w:lastRow="0" w:firstColumn="1" w:lastColumn="0" w:noHBand="0" w:noVBand="1"/>
      </w:tblPr>
      <w:tblGrid>
        <w:gridCol w:w="3278"/>
        <w:gridCol w:w="1600"/>
        <w:gridCol w:w="1332"/>
        <w:gridCol w:w="1627"/>
      </w:tblGrid>
      <w:tr w:rsidR="00546C38" w:rsidRPr="00810659" w14:paraId="349F65F6" w14:textId="77777777" w:rsidTr="00A52135">
        <w:trPr>
          <w:trHeight w:val="594"/>
        </w:trPr>
        <w:tc>
          <w:tcPr>
            <w:tcW w:w="32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15812D" w14:textId="77777777" w:rsidR="00546C38" w:rsidRPr="00810659" w:rsidRDefault="00546C38" w:rsidP="0006185C">
            <w:pPr>
              <w:rPr>
                <w:rFonts w:ascii="Arial" w:hAnsi="Arial" w:cs="Arial"/>
                <w:color w:val="000000"/>
                <w:lang w:eastAsia="en-GB"/>
              </w:rPr>
            </w:pPr>
            <w:r w:rsidRPr="00810659">
              <w:rPr>
                <w:rFonts w:ascii="Arial" w:hAnsi="Arial" w:cs="Arial"/>
                <w:color w:val="000000"/>
                <w:lang w:eastAsia="en-GB"/>
              </w:rPr>
              <w:t> </w:t>
            </w:r>
          </w:p>
        </w:tc>
        <w:tc>
          <w:tcPr>
            <w:tcW w:w="1600" w:type="dxa"/>
            <w:tcBorders>
              <w:top w:val="single" w:sz="4" w:space="0" w:color="auto"/>
              <w:left w:val="nil"/>
              <w:bottom w:val="single" w:sz="4" w:space="0" w:color="auto"/>
              <w:right w:val="single" w:sz="4" w:space="0" w:color="auto"/>
            </w:tcBorders>
            <w:shd w:val="clear" w:color="auto" w:fill="auto"/>
            <w:vAlign w:val="bottom"/>
            <w:hideMark/>
          </w:tcPr>
          <w:p w14:paraId="05097B43" w14:textId="77777777" w:rsidR="00546C38" w:rsidRPr="00810659" w:rsidRDefault="00546C38" w:rsidP="0006185C">
            <w:pPr>
              <w:jc w:val="center"/>
              <w:rPr>
                <w:rFonts w:ascii="Arial" w:hAnsi="Arial" w:cs="Arial"/>
                <w:b/>
                <w:color w:val="000000"/>
                <w:lang w:eastAsia="en-GB"/>
              </w:rPr>
            </w:pPr>
            <w:r w:rsidRPr="00810659">
              <w:rPr>
                <w:rFonts w:ascii="Arial" w:hAnsi="Arial" w:cs="Arial"/>
                <w:b/>
                <w:color w:val="000000"/>
                <w:lang w:eastAsia="en-GB"/>
              </w:rPr>
              <w:t>Single Threshold</w:t>
            </w:r>
          </w:p>
        </w:tc>
        <w:tc>
          <w:tcPr>
            <w:tcW w:w="1332" w:type="dxa"/>
            <w:tcBorders>
              <w:top w:val="single" w:sz="4" w:space="0" w:color="auto"/>
              <w:left w:val="nil"/>
              <w:bottom w:val="single" w:sz="4" w:space="0" w:color="auto"/>
              <w:right w:val="single" w:sz="4" w:space="0" w:color="auto"/>
            </w:tcBorders>
            <w:shd w:val="clear" w:color="auto" w:fill="auto"/>
            <w:vAlign w:val="bottom"/>
            <w:hideMark/>
          </w:tcPr>
          <w:p w14:paraId="57CA59A2" w14:textId="77777777" w:rsidR="00546C38" w:rsidRPr="00810659" w:rsidRDefault="00546C38" w:rsidP="0006185C">
            <w:pPr>
              <w:jc w:val="center"/>
              <w:rPr>
                <w:rFonts w:ascii="Arial" w:hAnsi="Arial" w:cs="Arial"/>
                <w:b/>
                <w:color w:val="000000"/>
                <w:lang w:eastAsia="en-GB"/>
              </w:rPr>
            </w:pPr>
            <w:r w:rsidRPr="00810659">
              <w:rPr>
                <w:rFonts w:ascii="Arial" w:hAnsi="Arial" w:cs="Arial"/>
                <w:b/>
                <w:color w:val="000000"/>
                <w:lang w:eastAsia="en-GB"/>
              </w:rPr>
              <w:t>Couple Premium</w:t>
            </w:r>
          </w:p>
        </w:tc>
        <w:tc>
          <w:tcPr>
            <w:tcW w:w="1627" w:type="dxa"/>
            <w:tcBorders>
              <w:top w:val="single" w:sz="4" w:space="0" w:color="auto"/>
              <w:left w:val="nil"/>
              <w:bottom w:val="single" w:sz="4" w:space="0" w:color="auto"/>
              <w:right w:val="single" w:sz="4" w:space="0" w:color="auto"/>
            </w:tcBorders>
            <w:shd w:val="clear" w:color="auto" w:fill="auto"/>
            <w:vAlign w:val="bottom"/>
            <w:hideMark/>
          </w:tcPr>
          <w:p w14:paraId="08DD80B5" w14:textId="77777777" w:rsidR="00546C38" w:rsidRPr="00810659" w:rsidRDefault="00546C38" w:rsidP="0006185C">
            <w:pPr>
              <w:jc w:val="center"/>
              <w:rPr>
                <w:rFonts w:ascii="Arial" w:hAnsi="Arial" w:cs="Arial"/>
                <w:b/>
                <w:color w:val="000000"/>
                <w:lang w:eastAsia="en-GB"/>
              </w:rPr>
            </w:pPr>
            <w:r w:rsidRPr="00810659">
              <w:rPr>
                <w:rFonts w:ascii="Arial" w:hAnsi="Arial" w:cs="Arial"/>
                <w:b/>
                <w:color w:val="000000"/>
                <w:lang w:eastAsia="en-GB"/>
              </w:rPr>
              <w:t>Child Premium</w:t>
            </w:r>
          </w:p>
        </w:tc>
      </w:tr>
      <w:tr w:rsidR="00546C38" w:rsidRPr="00810659" w14:paraId="56F2AD4F" w14:textId="77777777" w:rsidTr="00A52135">
        <w:trPr>
          <w:trHeight w:val="297"/>
        </w:trPr>
        <w:tc>
          <w:tcPr>
            <w:tcW w:w="3278" w:type="dxa"/>
            <w:tcBorders>
              <w:top w:val="nil"/>
              <w:left w:val="single" w:sz="4" w:space="0" w:color="auto"/>
              <w:bottom w:val="single" w:sz="4" w:space="0" w:color="auto"/>
              <w:right w:val="single" w:sz="4" w:space="0" w:color="auto"/>
            </w:tcBorders>
            <w:shd w:val="clear" w:color="auto" w:fill="auto"/>
            <w:noWrap/>
            <w:vAlign w:val="bottom"/>
            <w:hideMark/>
          </w:tcPr>
          <w:p w14:paraId="62176FC6" w14:textId="77777777" w:rsidR="00546C38" w:rsidRPr="00810659" w:rsidRDefault="00546C38" w:rsidP="0006185C">
            <w:pPr>
              <w:rPr>
                <w:rFonts w:ascii="Arial" w:hAnsi="Arial" w:cs="Arial"/>
                <w:b/>
                <w:color w:val="000000"/>
                <w:lang w:eastAsia="en-GB"/>
              </w:rPr>
            </w:pPr>
            <w:r w:rsidRPr="00810659">
              <w:rPr>
                <w:rFonts w:ascii="Arial" w:hAnsi="Arial" w:cs="Arial"/>
                <w:b/>
                <w:color w:val="000000"/>
                <w:lang w:eastAsia="en-GB"/>
              </w:rPr>
              <w:t>Current</w:t>
            </w:r>
          </w:p>
        </w:tc>
        <w:tc>
          <w:tcPr>
            <w:tcW w:w="1600" w:type="dxa"/>
            <w:tcBorders>
              <w:top w:val="nil"/>
              <w:left w:val="nil"/>
              <w:bottom w:val="single" w:sz="4" w:space="0" w:color="auto"/>
              <w:right w:val="single" w:sz="4" w:space="0" w:color="auto"/>
            </w:tcBorders>
            <w:shd w:val="clear" w:color="auto" w:fill="auto"/>
            <w:noWrap/>
            <w:vAlign w:val="bottom"/>
            <w:hideMark/>
          </w:tcPr>
          <w:p w14:paraId="3827DDDD" w14:textId="77777777" w:rsidR="00546C38" w:rsidRPr="00810659" w:rsidRDefault="00546C38" w:rsidP="0006185C">
            <w:pPr>
              <w:jc w:val="center"/>
              <w:rPr>
                <w:rFonts w:ascii="Arial" w:hAnsi="Arial" w:cs="Arial"/>
                <w:color w:val="000000"/>
                <w:lang w:eastAsia="en-GB"/>
              </w:rPr>
            </w:pPr>
            <w:r w:rsidRPr="00810659">
              <w:rPr>
                <w:rFonts w:ascii="Arial" w:hAnsi="Arial" w:cs="Arial"/>
                <w:color w:val="000000"/>
                <w:lang w:eastAsia="en-GB"/>
              </w:rPr>
              <w:t xml:space="preserve"> £          1,085 </w:t>
            </w:r>
          </w:p>
        </w:tc>
        <w:tc>
          <w:tcPr>
            <w:tcW w:w="1332" w:type="dxa"/>
            <w:tcBorders>
              <w:top w:val="nil"/>
              <w:left w:val="nil"/>
              <w:bottom w:val="single" w:sz="4" w:space="0" w:color="auto"/>
              <w:right w:val="single" w:sz="4" w:space="0" w:color="auto"/>
            </w:tcBorders>
            <w:shd w:val="clear" w:color="auto" w:fill="auto"/>
            <w:noWrap/>
            <w:vAlign w:val="bottom"/>
            <w:hideMark/>
          </w:tcPr>
          <w:p w14:paraId="6C774671" w14:textId="77777777" w:rsidR="00546C38" w:rsidRPr="00810659" w:rsidRDefault="00546C38" w:rsidP="0006185C">
            <w:pPr>
              <w:jc w:val="center"/>
              <w:rPr>
                <w:rFonts w:ascii="Arial" w:hAnsi="Arial" w:cs="Arial"/>
                <w:color w:val="000000"/>
                <w:lang w:eastAsia="en-GB"/>
              </w:rPr>
            </w:pPr>
            <w:r w:rsidRPr="00810659">
              <w:rPr>
                <w:rFonts w:ascii="Arial" w:hAnsi="Arial" w:cs="Arial"/>
                <w:color w:val="000000"/>
                <w:lang w:eastAsia="en-GB"/>
              </w:rPr>
              <w:t xml:space="preserve"> £       160 </w:t>
            </w:r>
          </w:p>
        </w:tc>
        <w:tc>
          <w:tcPr>
            <w:tcW w:w="1627" w:type="dxa"/>
            <w:tcBorders>
              <w:top w:val="nil"/>
              <w:left w:val="nil"/>
              <w:bottom w:val="single" w:sz="4" w:space="0" w:color="auto"/>
              <w:right w:val="single" w:sz="4" w:space="0" w:color="auto"/>
            </w:tcBorders>
            <w:shd w:val="clear" w:color="auto" w:fill="auto"/>
            <w:noWrap/>
            <w:vAlign w:val="bottom"/>
            <w:hideMark/>
          </w:tcPr>
          <w:p w14:paraId="36D6511E" w14:textId="77777777" w:rsidR="00546C38" w:rsidRPr="00810659" w:rsidRDefault="00546C38" w:rsidP="0006185C">
            <w:pPr>
              <w:jc w:val="center"/>
              <w:rPr>
                <w:rFonts w:ascii="Arial" w:hAnsi="Arial" w:cs="Arial"/>
                <w:color w:val="000000"/>
                <w:lang w:eastAsia="en-GB"/>
              </w:rPr>
            </w:pPr>
            <w:r w:rsidRPr="00810659">
              <w:rPr>
                <w:rFonts w:ascii="Arial" w:hAnsi="Arial" w:cs="Arial"/>
                <w:color w:val="000000"/>
                <w:lang w:eastAsia="en-GB"/>
              </w:rPr>
              <w:t xml:space="preserve"> £       245 </w:t>
            </w:r>
          </w:p>
        </w:tc>
      </w:tr>
      <w:tr w:rsidR="00546C38" w:rsidRPr="00810659" w14:paraId="56909D7A" w14:textId="77777777" w:rsidTr="00A52135">
        <w:trPr>
          <w:trHeight w:val="297"/>
        </w:trPr>
        <w:tc>
          <w:tcPr>
            <w:tcW w:w="3278" w:type="dxa"/>
            <w:tcBorders>
              <w:top w:val="nil"/>
              <w:left w:val="single" w:sz="4" w:space="0" w:color="auto"/>
              <w:bottom w:val="single" w:sz="4" w:space="0" w:color="auto"/>
              <w:right w:val="single" w:sz="4" w:space="0" w:color="auto"/>
            </w:tcBorders>
            <w:shd w:val="clear" w:color="auto" w:fill="auto"/>
            <w:noWrap/>
            <w:vAlign w:val="bottom"/>
            <w:hideMark/>
          </w:tcPr>
          <w:p w14:paraId="36EF9F7E" w14:textId="77777777" w:rsidR="00546C38" w:rsidRPr="00810659" w:rsidRDefault="00546C38" w:rsidP="0006185C">
            <w:pPr>
              <w:rPr>
                <w:rFonts w:ascii="Arial" w:hAnsi="Arial" w:cs="Arial"/>
                <w:b/>
                <w:color w:val="000000"/>
                <w:lang w:eastAsia="en-GB"/>
              </w:rPr>
            </w:pPr>
            <w:r w:rsidRPr="00810659">
              <w:rPr>
                <w:rFonts w:ascii="Arial" w:hAnsi="Arial" w:cs="Arial"/>
                <w:b/>
                <w:color w:val="000000"/>
                <w:lang w:eastAsia="en-GB"/>
              </w:rPr>
              <w:t>Proposed</w:t>
            </w:r>
          </w:p>
        </w:tc>
        <w:tc>
          <w:tcPr>
            <w:tcW w:w="1600" w:type="dxa"/>
            <w:tcBorders>
              <w:top w:val="nil"/>
              <w:left w:val="nil"/>
              <w:bottom w:val="single" w:sz="4" w:space="0" w:color="auto"/>
              <w:right w:val="single" w:sz="4" w:space="0" w:color="auto"/>
            </w:tcBorders>
            <w:shd w:val="clear" w:color="auto" w:fill="auto"/>
            <w:noWrap/>
            <w:vAlign w:val="bottom"/>
            <w:hideMark/>
          </w:tcPr>
          <w:p w14:paraId="21C67EEA" w14:textId="03CAC534" w:rsidR="00546C38" w:rsidRPr="00810659" w:rsidRDefault="00546C38" w:rsidP="0006185C">
            <w:pPr>
              <w:jc w:val="center"/>
              <w:rPr>
                <w:rFonts w:ascii="Arial" w:hAnsi="Arial" w:cs="Arial"/>
                <w:color w:val="000000"/>
                <w:lang w:eastAsia="en-GB"/>
              </w:rPr>
            </w:pPr>
            <w:r w:rsidRPr="00810659">
              <w:rPr>
                <w:rFonts w:ascii="Arial" w:hAnsi="Arial" w:cs="Arial"/>
                <w:color w:val="000000"/>
                <w:lang w:eastAsia="en-GB"/>
              </w:rPr>
              <w:t xml:space="preserve"> £          </w:t>
            </w:r>
            <w:r w:rsidR="006D4742" w:rsidRPr="00810659">
              <w:rPr>
                <w:rFonts w:ascii="Arial" w:hAnsi="Arial" w:cs="Arial"/>
                <w:color w:val="000000"/>
                <w:lang w:eastAsia="en-GB"/>
              </w:rPr>
              <w:t>1</w:t>
            </w:r>
            <w:r w:rsidR="004B0284" w:rsidRPr="00810659">
              <w:rPr>
                <w:rFonts w:ascii="Arial" w:hAnsi="Arial" w:cs="Arial"/>
                <w:color w:val="000000"/>
                <w:lang w:eastAsia="en-GB"/>
              </w:rPr>
              <w:t>,</w:t>
            </w:r>
            <w:r w:rsidR="006D4742" w:rsidRPr="00810659">
              <w:rPr>
                <w:rFonts w:ascii="Arial" w:hAnsi="Arial" w:cs="Arial"/>
                <w:color w:val="000000"/>
                <w:lang w:eastAsia="en-GB"/>
              </w:rPr>
              <w:t xml:space="preserve">170 </w:t>
            </w:r>
          </w:p>
        </w:tc>
        <w:tc>
          <w:tcPr>
            <w:tcW w:w="1332" w:type="dxa"/>
            <w:tcBorders>
              <w:top w:val="nil"/>
              <w:left w:val="nil"/>
              <w:bottom w:val="single" w:sz="4" w:space="0" w:color="auto"/>
              <w:right w:val="single" w:sz="4" w:space="0" w:color="auto"/>
            </w:tcBorders>
            <w:shd w:val="clear" w:color="auto" w:fill="auto"/>
            <w:noWrap/>
            <w:vAlign w:val="bottom"/>
            <w:hideMark/>
          </w:tcPr>
          <w:p w14:paraId="56FF9E30" w14:textId="14FC1CDB" w:rsidR="00546C38" w:rsidRPr="00810659" w:rsidRDefault="00546C38" w:rsidP="0006185C">
            <w:pPr>
              <w:jc w:val="center"/>
              <w:rPr>
                <w:rFonts w:ascii="Arial" w:hAnsi="Arial" w:cs="Arial"/>
                <w:color w:val="000000"/>
                <w:lang w:eastAsia="en-GB"/>
              </w:rPr>
            </w:pPr>
            <w:r w:rsidRPr="00810659">
              <w:rPr>
                <w:rFonts w:ascii="Arial" w:hAnsi="Arial" w:cs="Arial"/>
                <w:color w:val="000000"/>
                <w:lang w:eastAsia="en-GB"/>
              </w:rPr>
              <w:t xml:space="preserve"> £       17</w:t>
            </w:r>
            <w:r w:rsidR="006D4742" w:rsidRPr="00810659">
              <w:rPr>
                <w:rFonts w:ascii="Arial" w:hAnsi="Arial" w:cs="Arial"/>
                <w:color w:val="000000"/>
                <w:lang w:eastAsia="en-GB"/>
              </w:rPr>
              <w:t>5</w:t>
            </w:r>
            <w:r w:rsidRPr="00810659">
              <w:rPr>
                <w:rFonts w:ascii="Arial" w:hAnsi="Arial" w:cs="Arial"/>
                <w:color w:val="000000"/>
                <w:lang w:eastAsia="en-GB"/>
              </w:rPr>
              <w:t xml:space="preserve"> </w:t>
            </w:r>
          </w:p>
        </w:tc>
        <w:tc>
          <w:tcPr>
            <w:tcW w:w="1627" w:type="dxa"/>
            <w:tcBorders>
              <w:top w:val="nil"/>
              <w:left w:val="nil"/>
              <w:bottom w:val="single" w:sz="4" w:space="0" w:color="auto"/>
              <w:right w:val="single" w:sz="4" w:space="0" w:color="auto"/>
            </w:tcBorders>
            <w:shd w:val="clear" w:color="auto" w:fill="auto"/>
            <w:noWrap/>
            <w:vAlign w:val="bottom"/>
            <w:hideMark/>
          </w:tcPr>
          <w:p w14:paraId="276486B5" w14:textId="1221B969" w:rsidR="00546C38" w:rsidRPr="00810659" w:rsidRDefault="00546C38" w:rsidP="0006185C">
            <w:pPr>
              <w:jc w:val="center"/>
              <w:rPr>
                <w:rFonts w:ascii="Arial" w:hAnsi="Arial" w:cs="Arial"/>
                <w:color w:val="000000"/>
                <w:lang w:eastAsia="en-GB"/>
              </w:rPr>
            </w:pPr>
            <w:r w:rsidRPr="00810659">
              <w:rPr>
                <w:rFonts w:ascii="Arial" w:hAnsi="Arial" w:cs="Arial"/>
                <w:color w:val="000000"/>
                <w:lang w:eastAsia="en-GB"/>
              </w:rPr>
              <w:t xml:space="preserve"> £       26</w:t>
            </w:r>
            <w:r w:rsidR="004575B9" w:rsidRPr="00810659">
              <w:rPr>
                <w:rFonts w:ascii="Arial" w:hAnsi="Arial" w:cs="Arial"/>
                <w:color w:val="000000"/>
                <w:lang w:eastAsia="en-GB"/>
              </w:rPr>
              <w:t>5</w:t>
            </w:r>
            <w:r w:rsidRPr="00810659">
              <w:rPr>
                <w:rFonts w:ascii="Arial" w:hAnsi="Arial" w:cs="Arial"/>
                <w:color w:val="000000"/>
                <w:lang w:eastAsia="en-GB"/>
              </w:rPr>
              <w:t xml:space="preserve"> </w:t>
            </w:r>
          </w:p>
        </w:tc>
      </w:tr>
    </w:tbl>
    <w:p w14:paraId="773459A6" w14:textId="77777777" w:rsidR="003A1540" w:rsidRPr="00810659" w:rsidRDefault="003A1540" w:rsidP="00DE4DEC">
      <w:pPr>
        <w:rPr>
          <w:rFonts w:ascii="Arial" w:hAnsi="Arial" w:cs="Arial"/>
        </w:rPr>
      </w:pPr>
    </w:p>
    <w:p w14:paraId="69F13E1E" w14:textId="77777777" w:rsidR="00287D9D" w:rsidRPr="00810659" w:rsidRDefault="00CE0390" w:rsidP="00DE4DEC">
      <w:pPr>
        <w:rPr>
          <w:rFonts w:ascii="Arial" w:hAnsi="Arial" w:cs="Arial"/>
        </w:rPr>
      </w:pPr>
      <w:r w:rsidRPr="00810659">
        <w:rPr>
          <w:rFonts w:ascii="Arial" w:hAnsi="Arial" w:cs="Arial"/>
        </w:rPr>
        <w:t>7.</w:t>
      </w:r>
      <w:r w:rsidR="00327BA8" w:rsidRPr="00810659">
        <w:rPr>
          <w:rFonts w:ascii="Arial" w:hAnsi="Arial" w:cs="Arial"/>
        </w:rPr>
        <w:t>4</w:t>
      </w:r>
      <w:r w:rsidRPr="00810659">
        <w:rPr>
          <w:rFonts w:ascii="Arial" w:hAnsi="Arial" w:cs="Arial"/>
        </w:rPr>
        <w:t xml:space="preserve">. </w:t>
      </w:r>
      <w:r w:rsidR="00747B44" w:rsidRPr="00810659">
        <w:rPr>
          <w:rFonts w:ascii="Arial" w:hAnsi="Arial" w:cs="Arial"/>
        </w:rPr>
        <w:t>Using</w:t>
      </w:r>
      <w:r w:rsidRPr="00810659">
        <w:rPr>
          <w:rFonts w:ascii="Arial" w:hAnsi="Arial" w:cs="Arial"/>
        </w:rPr>
        <w:t xml:space="preserve"> the </w:t>
      </w:r>
      <w:r w:rsidR="00336D98" w:rsidRPr="00810659">
        <w:rPr>
          <w:rFonts w:ascii="Arial" w:hAnsi="Arial" w:cs="Arial"/>
        </w:rPr>
        <w:t>Household Below Average Income (HBAI)</w:t>
      </w:r>
      <w:r w:rsidRPr="00810659">
        <w:rPr>
          <w:rFonts w:ascii="Arial" w:hAnsi="Arial" w:cs="Arial"/>
        </w:rPr>
        <w:t xml:space="preserve"> data, we are able to compare the</w:t>
      </w:r>
      <w:r w:rsidR="00747B44" w:rsidRPr="00810659">
        <w:rPr>
          <w:rFonts w:ascii="Arial" w:hAnsi="Arial" w:cs="Arial"/>
        </w:rPr>
        <w:t xml:space="preserve"> </w:t>
      </w:r>
      <w:proofErr w:type="spellStart"/>
      <w:r w:rsidR="00747B44" w:rsidRPr="00810659">
        <w:rPr>
          <w:rFonts w:ascii="Arial" w:hAnsi="Arial" w:cs="Arial"/>
        </w:rPr>
        <w:t>HwF</w:t>
      </w:r>
      <w:proofErr w:type="spellEnd"/>
      <w:r w:rsidR="00726F13" w:rsidRPr="00810659">
        <w:rPr>
          <w:rFonts w:ascii="Arial" w:hAnsi="Arial" w:cs="Arial"/>
        </w:rPr>
        <w:t xml:space="preserve"> income</w:t>
      </w:r>
      <w:r w:rsidRPr="00810659">
        <w:rPr>
          <w:rFonts w:ascii="Arial" w:hAnsi="Arial" w:cs="Arial"/>
        </w:rPr>
        <w:t xml:space="preserve"> thresholds to the quintile distribution of income for individuals </w:t>
      </w:r>
      <w:r w:rsidR="00746470" w:rsidRPr="00810659">
        <w:rPr>
          <w:rFonts w:ascii="Arial" w:hAnsi="Arial" w:cs="Arial"/>
        </w:rPr>
        <w:t xml:space="preserve">to examine the </w:t>
      </w:r>
      <w:r w:rsidR="00746470" w:rsidRPr="00810659">
        <w:rPr>
          <w:rFonts w:ascii="Arial" w:hAnsi="Arial" w:cs="Arial"/>
        </w:rPr>
        <w:lastRenderedPageBreak/>
        <w:t>characteristics of households</w:t>
      </w:r>
      <w:r w:rsidRPr="00810659">
        <w:rPr>
          <w:rFonts w:ascii="Arial" w:hAnsi="Arial" w:cs="Arial"/>
        </w:rPr>
        <w:t xml:space="preserve"> who </w:t>
      </w:r>
      <w:r w:rsidR="00746470" w:rsidRPr="00810659">
        <w:rPr>
          <w:rFonts w:ascii="Arial" w:hAnsi="Arial" w:cs="Arial"/>
        </w:rPr>
        <w:t>may be most likely to be</w:t>
      </w:r>
      <w:r w:rsidRPr="00810659">
        <w:rPr>
          <w:rFonts w:ascii="Arial" w:hAnsi="Arial" w:cs="Arial"/>
        </w:rPr>
        <w:t xml:space="preserve"> affected </w:t>
      </w:r>
      <w:r w:rsidR="00746470" w:rsidRPr="00810659">
        <w:rPr>
          <w:rFonts w:ascii="Arial" w:hAnsi="Arial" w:cs="Arial"/>
        </w:rPr>
        <w:t>by these changes.</w:t>
      </w:r>
      <w:r w:rsidR="00A961B3" w:rsidRPr="00810659">
        <w:rPr>
          <w:rFonts w:ascii="Arial" w:hAnsi="Arial" w:cs="Arial"/>
        </w:rPr>
        <w:t xml:space="preserve"> This is set out in Table 8 below.</w:t>
      </w:r>
      <w:r w:rsidR="00985FC9" w:rsidRPr="00810659">
        <w:rPr>
          <w:rFonts w:ascii="Arial" w:hAnsi="Arial" w:cs="Arial"/>
        </w:rPr>
        <w:t xml:space="preserve"> </w:t>
      </w:r>
    </w:p>
    <w:p w14:paraId="59A0B24F" w14:textId="4C942236" w:rsidR="007361CD" w:rsidRPr="00810659" w:rsidRDefault="0021757C" w:rsidP="00DE4DEC">
      <w:pPr>
        <w:rPr>
          <w:rFonts w:ascii="Arial" w:hAnsi="Arial" w:cs="Arial"/>
          <w:b/>
          <w:i/>
        </w:rPr>
      </w:pPr>
      <w:r w:rsidRPr="00810659">
        <w:rPr>
          <w:rFonts w:ascii="Arial" w:hAnsi="Arial" w:cs="Arial"/>
        </w:rPr>
        <w:t xml:space="preserve">7.5. </w:t>
      </w:r>
      <w:r w:rsidR="00985FC9" w:rsidRPr="00810659">
        <w:rPr>
          <w:rFonts w:ascii="Arial" w:hAnsi="Arial" w:cs="Arial"/>
        </w:rPr>
        <w:t xml:space="preserve">If a household has a gross monthly income below this threshold (or is in receipt of certain benefits), they would automatically quality for a full fee remission. </w:t>
      </w:r>
      <w:r w:rsidR="00A961B3" w:rsidRPr="00810659">
        <w:rPr>
          <w:rFonts w:ascii="Arial" w:hAnsi="Arial" w:cs="Arial"/>
        </w:rPr>
        <w:t>Household</w:t>
      </w:r>
      <w:r w:rsidR="00287D9D" w:rsidRPr="00810659">
        <w:rPr>
          <w:rFonts w:ascii="Arial" w:hAnsi="Arial" w:cs="Arial"/>
        </w:rPr>
        <w:t>s</w:t>
      </w:r>
      <w:r w:rsidR="00A961B3" w:rsidRPr="00810659">
        <w:rPr>
          <w:rFonts w:ascii="Arial" w:hAnsi="Arial" w:cs="Arial"/>
        </w:rPr>
        <w:t xml:space="preserve"> </w:t>
      </w:r>
      <w:r w:rsidR="003C4BA7" w:rsidRPr="00810659">
        <w:rPr>
          <w:rFonts w:ascii="Arial" w:hAnsi="Arial" w:cs="Arial"/>
        </w:rPr>
        <w:t>might</w:t>
      </w:r>
      <w:r w:rsidR="00A961B3" w:rsidRPr="00810659">
        <w:rPr>
          <w:rFonts w:ascii="Arial" w:hAnsi="Arial" w:cs="Arial"/>
        </w:rPr>
        <w:t xml:space="preserve"> be</w:t>
      </w:r>
      <w:r w:rsidR="00E75BFB" w:rsidRPr="00810659">
        <w:rPr>
          <w:rFonts w:ascii="Arial" w:hAnsi="Arial" w:cs="Arial"/>
        </w:rPr>
        <w:t xml:space="preserve"> eligible for a partial remission if their income is </w:t>
      </w:r>
      <w:r w:rsidR="00281157" w:rsidRPr="00810659">
        <w:rPr>
          <w:rFonts w:ascii="Arial" w:hAnsi="Arial" w:cs="Arial"/>
        </w:rPr>
        <w:t>above the threshold</w:t>
      </w:r>
      <w:r w:rsidR="003C4BA7" w:rsidRPr="00810659">
        <w:rPr>
          <w:rFonts w:ascii="Arial" w:hAnsi="Arial" w:cs="Arial"/>
        </w:rPr>
        <w:t>: £5 is deducted from the fee remission for every £10 of income above the threshold.</w:t>
      </w:r>
      <w:r w:rsidR="00287D9D" w:rsidRPr="00810659">
        <w:rPr>
          <w:rFonts w:ascii="Arial" w:hAnsi="Arial" w:cs="Arial"/>
        </w:rPr>
        <w:t xml:space="preserve"> Household</w:t>
      </w:r>
      <w:r w:rsidR="006B4282" w:rsidRPr="00810659">
        <w:rPr>
          <w:rFonts w:ascii="Arial" w:hAnsi="Arial" w:cs="Arial"/>
        </w:rPr>
        <w:t>s</w:t>
      </w:r>
      <w:r w:rsidR="00287D9D" w:rsidRPr="00810659">
        <w:rPr>
          <w:rFonts w:ascii="Arial" w:hAnsi="Arial" w:cs="Arial"/>
        </w:rPr>
        <w:t xml:space="preserve"> with an income above the current threshold and close to the new threshold will therefore benefit from the proposed changed to </w:t>
      </w:r>
      <w:proofErr w:type="spellStart"/>
      <w:r w:rsidR="00287D9D" w:rsidRPr="00810659">
        <w:rPr>
          <w:rFonts w:ascii="Arial" w:hAnsi="Arial" w:cs="Arial"/>
        </w:rPr>
        <w:t>HwF</w:t>
      </w:r>
      <w:proofErr w:type="spellEnd"/>
      <w:r w:rsidR="00287D9D" w:rsidRPr="00810659">
        <w:rPr>
          <w:rFonts w:ascii="Arial" w:hAnsi="Arial" w:cs="Arial"/>
        </w:rPr>
        <w:t>.</w:t>
      </w:r>
      <w:r w:rsidR="00A961B3" w:rsidRPr="00810659">
        <w:rPr>
          <w:rFonts w:ascii="Arial" w:hAnsi="Arial" w:cs="Arial"/>
        </w:rPr>
        <w:t xml:space="preserve"> </w:t>
      </w:r>
      <w:r w:rsidR="00CE0390" w:rsidRPr="00810659">
        <w:rPr>
          <w:rFonts w:ascii="Arial" w:hAnsi="Arial" w:cs="Arial"/>
        </w:rPr>
        <w:t xml:space="preserve"> </w:t>
      </w:r>
    </w:p>
    <w:p w14:paraId="1CD8F912" w14:textId="40231ADC" w:rsidR="008E579A" w:rsidRPr="00810659" w:rsidRDefault="007361CD" w:rsidP="00DE4DEC">
      <w:pPr>
        <w:rPr>
          <w:rFonts w:ascii="Arial" w:hAnsi="Arial" w:cs="Arial"/>
          <w:b/>
        </w:rPr>
      </w:pPr>
      <w:r w:rsidRPr="00810659">
        <w:rPr>
          <w:rFonts w:ascii="Arial" w:hAnsi="Arial" w:cs="Arial"/>
          <w:b/>
        </w:rPr>
        <w:t>Table</w:t>
      </w:r>
      <w:r w:rsidR="008E579A" w:rsidRPr="00810659">
        <w:rPr>
          <w:rFonts w:ascii="Arial" w:hAnsi="Arial" w:cs="Arial"/>
          <w:b/>
        </w:rPr>
        <w:t xml:space="preserve"> </w:t>
      </w:r>
      <w:r w:rsidR="00083D74" w:rsidRPr="00810659">
        <w:rPr>
          <w:rFonts w:ascii="Arial" w:hAnsi="Arial" w:cs="Arial"/>
          <w:b/>
        </w:rPr>
        <w:t>8</w:t>
      </w:r>
      <w:r w:rsidR="008E579A" w:rsidRPr="00810659">
        <w:rPr>
          <w:rFonts w:ascii="Arial" w:hAnsi="Arial" w:cs="Arial"/>
          <w:b/>
        </w:rPr>
        <w:t xml:space="preserve">: </w:t>
      </w:r>
      <w:r w:rsidR="002C3977" w:rsidRPr="00810659">
        <w:rPr>
          <w:rFonts w:ascii="Arial" w:hAnsi="Arial" w:cs="Arial"/>
          <w:b/>
        </w:rPr>
        <w:t>Gross m</w:t>
      </w:r>
      <w:r w:rsidR="007A3450" w:rsidRPr="00810659">
        <w:rPr>
          <w:rFonts w:ascii="Arial" w:hAnsi="Arial" w:cs="Arial"/>
          <w:b/>
        </w:rPr>
        <w:t>onthly</w:t>
      </w:r>
      <w:r w:rsidR="00DE6485" w:rsidRPr="00810659">
        <w:rPr>
          <w:rFonts w:ascii="Arial" w:hAnsi="Arial" w:cs="Arial"/>
          <w:b/>
        </w:rPr>
        <w:t xml:space="preserve"> </w:t>
      </w:r>
      <w:r w:rsidR="007A3450" w:rsidRPr="00810659">
        <w:rPr>
          <w:rFonts w:ascii="Arial" w:hAnsi="Arial" w:cs="Arial"/>
          <w:b/>
        </w:rPr>
        <w:t>m</w:t>
      </w:r>
      <w:r w:rsidR="008E579A" w:rsidRPr="00810659">
        <w:rPr>
          <w:rFonts w:ascii="Arial" w:hAnsi="Arial" w:cs="Arial"/>
          <w:b/>
        </w:rPr>
        <w:t>oney values of quintile</w:t>
      </w:r>
      <w:r w:rsidR="006663B9" w:rsidRPr="00810659">
        <w:rPr>
          <w:rFonts w:ascii="Arial" w:hAnsi="Arial" w:cs="Arial"/>
          <w:b/>
        </w:rPr>
        <w:t xml:space="preserve"> medians</w:t>
      </w:r>
      <w:r w:rsidR="008E579A" w:rsidRPr="00810659">
        <w:rPr>
          <w:rFonts w:ascii="Arial" w:hAnsi="Arial" w:cs="Arial"/>
          <w:b/>
        </w:rPr>
        <w:t xml:space="preserve"> </w:t>
      </w:r>
      <w:r w:rsidR="006663B9" w:rsidRPr="00810659">
        <w:rPr>
          <w:rFonts w:ascii="Arial" w:hAnsi="Arial" w:cs="Arial"/>
          <w:b/>
        </w:rPr>
        <w:t>in average 201</w:t>
      </w:r>
      <w:r w:rsidR="009D6CEC" w:rsidRPr="00810659">
        <w:rPr>
          <w:rFonts w:ascii="Arial" w:hAnsi="Arial" w:cs="Arial"/>
          <w:b/>
        </w:rPr>
        <w:t>9</w:t>
      </w:r>
      <w:r w:rsidR="006663B9" w:rsidRPr="00810659">
        <w:rPr>
          <w:rFonts w:ascii="Arial" w:hAnsi="Arial" w:cs="Arial"/>
          <w:b/>
        </w:rPr>
        <w:t>/</w:t>
      </w:r>
      <w:r w:rsidR="009D6CEC" w:rsidRPr="00810659">
        <w:rPr>
          <w:rFonts w:ascii="Arial" w:hAnsi="Arial" w:cs="Arial"/>
          <w:b/>
        </w:rPr>
        <w:t>2020</w:t>
      </w:r>
      <w:r w:rsidR="006663B9" w:rsidRPr="00810659">
        <w:rPr>
          <w:rFonts w:ascii="Arial" w:hAnsi="Arial" w:cs="Arial"/>
          <w:b/>
        </w:rPr>
        <w:t xml:space="preserve"> prices </w:t>
      </w:r>
      <w:r w:rsidR="008E579A" w:rsidRPr="00810659">
        <w:rPr>
          <w:rFonts w:ascii="Arial" w:hAnsi="Arial" w:cs="Arial"/>
          <w:b/>
        </w:rPr>
        <w:t>(before housing costs)</w:t>
      </w:r>
    </w:p>
    <w:tbl>
      <w:tblPr>
        <w:tblStyle w:val="TableGrid"/>
        <w:tblW w:w="10092" w:type="dxa"/>
        <w:tblLayout w:type="fixed"/>
        <w:tblLook w:val="04A0" w:firstRow="1" w:lastRow="0" w:firstColumn="1" w:lastColumn="0" w:noHBand="0" w:noVBand="1"/>
      </w:tblPr>
      <w:tblGrid>
        <w:gridCol w:w="1757"/>
        <w:gridCol w:w="1247"/>
        <w:gridCol w:w="1247"/>
        <w:gridCol w:w="1248"/>
        <w:gridCol w:w="1247"/>
        <w:gridCol w:w="1248"/>
        <w:gridCol w:w="2098"/>
      </w:tblGrid>
      <w:tr w:rsidR="00891633" w:rsidRPr="00810659" w14:paraId="1050DAE7" w14:textId="3503CDDC" w:rsidTr="00810659">
        <w:trPr>
          <w:trHeight w:val="555"/>
        </w:trPr>
        <w:tc>
          <w:tcPr>
            <w:tcW w:w="1757" w:type="dxa"/>
          </w:tcPr>
          <w:p w14:paraId="36A182DA" w14:textId="77777777" w:rsidR="001D6D72" w:rsidRPr="00810659" w:rsidRDefault="001D6D72" w:rsidP="00DE4DEC">
            <w:pPr>
              <w:rPr>
                <w:rFonts w:ascii="Arial" w:hAnsi="Arial" w:cs="Arial"/>
              </w:rPr>
            </w:pPr>
          </w:p>
        </w:tc>
        <w:tc>
          <w:tcPr>
            <w:tcW w:w="1247" w:type="dxa"/>
            <w:vAlign w:val="center"/>
          </w:tcPr>
          <w:p w14:paraId="6D25BE95" w14:textId="792A6AF7" w:rsidR="001D6D72" w:rsidRPr="00810659" w:rsidRDefault="001D6D72" w:rsidP="00810659">
            <w:pPr>
              <w:jc w:val="center"/>
              <w:rPr>
                <w:rFonts w:ascii="Arial" w:hAnsi="Arial" w:cs="Arial"/>
              </w:rPr>
            </w:pPr>
            <w:r w:rsidRPr="00810659">
              <w:rPr>
                <w:rFonts w:ascii="Arial" w:hAnsi="Arial" w:cs="Arial"/>
              </w:rPr>
              <w:t>Quintile 1</w:t>
            </w:r>
          </w:p>
        </w:tc>
        <w:tc>
          <w:tcPr>
            <w:tcW w:w="1247" w:type="dxa"/>
            <w:vAlign w:val="center"/>
          </w:tcPr>
          <w:p w14:paraId="5C0D4EB7" w14:textId="427559EC" w:rsidR="001D6D72" w:rsidRPr="00810659" w:rsidRDefault="001D6D72" w:rsidP="00810659">
            <w:pPr>
              <w:jc w:val="center"/>
              <w:rPr>
                <w:rFonts w:ascii="Arial" w:hAnsi="Arial" w:cs="Arial"/>
              </w:rPr>
            </w:pPr>
            <w:r w:rsidRPr="00810659">
              <w:rPr>
                <w:rFonts w:ascii="Arial" w:hAnsi="Arial" w:cs="Arial"/>
              </w:rPr>
              <w:t>Quintile 2</w:t>
            </w:r>
          </w:p>
        </w:tc>
        <w:tc>
          <w:tcPr>
            <w:tcW w:w="1248" w:type="dxa"/>
            <w:vAlign w:val="center"/>
          </w:tcPr>
          <w:p w14:paraId="0591B49A" w14:textId="2B0790EC" w:rsidR="001D6D72" w:rsidRPr="00810659" w:rsidRDefault="001D6D72" w:rsidP="00810659">
            <w:pPr>
              <w:jc w:val="center"/>
              <w:rPr>
                <w:rFonts w:ascii="Arial" w:hAnsi="Arial" w:cs="Arial"/>
              </w:rPr>
            </w:pPr>
            <w:r w:rsidRPr="00810659">
              <w:rPr>
                <w:rFonts w:ascii="Arial" w:hAnsi="Arial" w:cs="Arial"/>
              </w:rPr>
              <w:t>Quintile 3</w:t>
            </w:r>
          </w:p>
        </w:tc>
        <w:tc>
          <w:tcPr>
            <w:tcW w:w="1247" w:type="dxa"/>
            <w:vAlign w:val="center"/>
          </w:tcPr>
          <w:p w14:paraId="41CA1D8F" w14:textId="5C4F6D92" w:rsidR="001D6D72" w:rsidRPr="00810659" w:rsidRDefault="001D6D72" w:rsidP="00810659">
            <w:pPr>
              <w:jc w:val="center"/>
              <w:rPr>
                <w:rFonts w:ascii="Arial" w:hAnsi="Arial" w:cs="Arial"/>
              </w:rPr>
            </w:pPr>
            <w:r w:rsidRPr="00810659">
              <w:rPr>
                <w:rFonts w:ascii="Arial" w:hAnsi="Arial" w:cs="Arial"/>
              </w:rPr>
              <w:t>Quintile 4</w:t>
            </w:r>
          </w:p>
        </w:tc>
        <w:tc>
          <w:tcPr>
            <w:tcW w:w="1248" w:type="dxa"/>
            <w:vAlign w:val="center"/>
          </w:tcPr>
          <w:p w14:paraId="01DCD7D6" w14:textId="6E2B70F3" w:rsidR="001D6D72" w:rsidRPr="00810659" w:rsidRDefault="001D6D72" w:rsidP="00810659">
            <w:pPr>
              <w:jc w:val="center"/>
              <w:rPr>
                <w:rFonts w:ascii="Arial" w:hAnsi="Arial" w:cs="Arial"/>
              </w:rPr>
            </w:pPr>
            <w:r w:rsidRPr="00810659">
              <w:rPr>
                <w:rFonts w:ascii="Arial" w:hAnsi="Arial" w:cs="Arial"/>
              </w:rPr>
              <w:t>Quintile 5</w:t>
            </w:r>
          </w:p>
        </w:tc>
        <w:tc>
          <w:tcPr>
            <w:tcW w:w="2098" w:type="dxa"/>
            <w:vAlign w:val="center"/>
          </w:tcPr>
          <w:p w14:paraId="6DFD3780" w14:textId="50E69AF8" w:rsidR="001D6D72" w:rsidRPr="00810659" w:rsidRDefault="001D6D72" w:rsidP="00810659">
            <w:pPr>
              <w:jc w:val="center"/>
              <w:rPr>
                <w:rFonts w:ascii="Arial" w:hAnsi="Arial" w:cs="Arial"/>
              </w:rPr>
            </w:pPr>
            <w:r w:rsidRPr="00810659">
              <w:rPr>
                <w:rFonts w:ascii="Arial" w:hAnsi="Arial" w:cs="Arial"/>
              </w:rPr>
              <w:t xml:space="preserve">Proposed </w:t>
            </w:r>
            <w:proofErr w:type="spellStart"/>
            <w:r w:rsidRPr="00810659">
              <w:rPr>
                <w:rFonts w:ascii="Arial" w:hAnsi="Arial" w:cs="Arial"/>
              </w:rPr>
              <w:t>HwF</w:t>
            </w:r>
            <w:proofErr w:type="spellEnd"/>
            <w:r w:rsidR="004D7FB0" w:rsidRPr="00810659">
              <w:rPr>
                <w:rFonts w:ascii="Arial" w:hAnsi="Arial" w:cs="Arial"/>
              </w:rPr>
              <w:t xml:space="preserve"> income</w:t>
            </w:r>
            <w:r w:rsidRPr="00810659">
              <w:rPr>
                <w:rFonts w:ascii="Arial" w:hAnsi="Arial" w:cs="Arial"/>
              </w:rPr>
              <w:t xml:space="preserve"> threshold</w:t>
            </w:r>
          </w:p>
        </w:tc>
      </w:tr>
      <w:tr w:rsidR="00891633" w:rsidRPr="00810659" w14:paraId="2D2002C5" w14:textId="77777777" w:rsidTr="00810659">
        <w:trPr>
          <w:trHeight w:val="572"/>
        </w:trPr>
        <w:tc>
          <w:tcPr>
            <w:tcW w:w="1757" w:type="dxa"/>
          </w:tcPr>
          <w:p w14:paraId="123A9128" w14:textId="6F91C605" w:rsidR="0039616A" w:rsidRPr="00810659" w:rsidRDefault="0039616A" w:rsidP="00DE4DEC">
            <w:pPr>
              <w:rPr>
                <w:rFonts w:ascii="Arial" w:hAnsi="Arial" w:cs="Arial"/>
              </w:rPr>
            </w:pPr>
            <w:r w:rsidRPr="00810659">
              <w:rPr>
                <w:rFonts w:ascii="Arial" w:hAnsi="Arial" w:cs="Arial"/>
              </w:rPr>
              <w:t>Single with no children</w:t>
            </w:r>
            <w:r w:rsidR="00B23889" w:rsidRPr="00810659">
              <w:rPr>
                <w:rFonts w:ascii="Arial" w:hAnsi="Arial" w:cs="Arial"/>
              </w:rPr>
              <w:t xml:space="preserve"> (1)</w:t>
            </w:r>
          </w:p>
        </w:tc>
        <w:tc>
          <w:tcPr>
            <w:tcW w:w="1247" w:type="dxa"/>
            <w:vAlign w:val="center"/>
          </w:tcPr>
          <w:p w14:paraId="6BDF68E5" w14:textId="1DCA4231" w:rsidR="0039616A" w:rsidRPr="00810659" w:rsidRDefault="007610C7" w:rsidP="00810659">
            <w:pPr>
              <w:jc w:val="center"/>
              <w:rPr>
                <w:rFonts w:ascii="Arial" w:hAnsi="Arial" w:cs="Arial"/>
              </w:rPr>
            </w:pPr>
            <w:r w:rsidRPr="00810659">
              <w:rPr>
                <w:rFonts w:ascii="Arial" w:hAnsi="Arial" w:cs="Arial"/>
              </w:rPr>
              <w:t>£1,055</w:t>
            </w:r>
          </w:p>
        </w:tc>
        <w:tc>
          <w:tcPr>
            <w:tcW w:w="1247" w:type="dxa"/>
            <w:vAlign w:val="center"/>
          </w:tcPr>
          <w:p w14:paraId="74C81053" w14:textId="735A043A" w:rsidR="0039616A" w:rsidRPr="00810659" w:rsidRDefault="007610C7" w:rsidP="00810659">
            <w:pPr>
              <w:jc w:val="center"/>
              <w:rPr>
                <w:rFonts w:ascii="Arial" w:hAnsi="Arial" w:cs="Arial"/>
              </w:rPr>
            </w:pPr>
            <w:r w:rsidRPr="00810659">
              <w:rPr>
                <w:rFonts w:ascii="Arial" w:hAnsi="Arial" w:cs="Arial"/>
              </w:rPr>
              <w:t>£2,205</w:t>
            </w:r>
          </w:p>
        </w:tc>
        <w:tc>
          <w:tcPr>
            <w:tcW w:w="1248" w:type="dxa"/>
            <w:vAlign w:val="center"/>
          </w:tcPr>
          <w:p w14:paraId="3A27392A" w14:textId="28875227" w:rsidR="0039616A" w:rsidRPr="00810659" w:rsidRDefault="007610C7" w:rsidP="00810659">
            <w:pPr>
              <w:jc w:val="center"/>
              <w:rPr>
                <w:rFonts w:ascii="Arial" w:hAnsi="Arial" w:cs="Arial"/>
              </w:rPr>
            </w:pPr>
            <w:r w:rsidRPr="00810659">
              <w:rPr>
                <w:rFonts w:ascii="Arial" w:hAnsi="Arial" w:cs="Arial"/>
              </w:rPr>
              <w:t>£3,088</w:t>
            </w:r>
          </w:p>
        </w:tc>
        <w:tc>
          <w:tcPr>
            <w:tcW w:w="1247" w:type="dxa"/>
            <w:vAlign w:val="center"/>
          </w:tcPr>
          <w:p w14:paraId="0DC8C139" w14:textId="6A676B25" w:rsidR="0039616A" w:rsidRPr="00810659" w:rsidRDefault="007610C7" w:rsidP="00810659">
            <w:pPr>
              <w:jc w:val="center"/>
              <w:rPr>
                <w:rFonts w:ascii="Arial" w:hAnsi="Arial" w:cs="Arial"/>
              </w:rPr>
            </w:pPr>
            <w:r w:rsidRPr="00810659">
              <w:rPr>
                <w:rFonts w:ascii="Arial" w:hAnsi="Arial" w:cs="Arial"/>
              </w:rPr>
              <w:t>£4,104</w:t>
            </w:r>
          </w:p>
        </w:tc>
        <w:tc>
          <w:tcPr>
            <w:tcW w:w="1248" w:type="dxa"/>
            <w:vAlign w:val="center"/>
          </w:tcPr>
          <w:p w14:paraId="69A96DB0" w14:textId="1C866780" w:rsidR="0039616A" w:rsidRPr="00810659" w:rsidRDefault="007610C7" w:rsidP="00810659">
            <w:pPr>
              <w:jc w:val="center"/>
              <w:rPr>
                <w:rFonts w:ascii="Arial" w:hAnsi="Arial" w:cs="Arial"/>
              </w:rPr>
            </w:pPr>
            <w:r w:rsidRPr="00810659">
              <w:rPr>
                <w:rFonts w:ascii="Arial" w:hAnsi="Arial" w:cs="Arial"/>
              </w:rPr>
              <w:t>£6,271</w:t>
            </w:r>
          </w:p>
        </w:tc>
        <w:tc>
          <w:tcPr>
            <w:tcW w:w="2098" w:type="dxa"/>
            <w:vAlign w:val="center"/>
          </w:tcPr>
          <w:p w14:paraId="23E1EBCE" w14:textId="6B3D530B" w:rsidR="0039616A" w:rsidRPr="00810659" w:rsidRDefault="006B2F5B" w:rsidP="00810659">
            <w:pPr>
              <w:jc w:val="center"/>
              <w:rPr>
                <w:rFonts w:ascii="Arial" w:hAnsi="Arial" w:cs="Arial"/>
              </w:rPr>
            </w:pPr>
            <w:r w:rsidRPr="00810659">
              <w:rPr>
                <w:rFonts w:ascii="Arial" w:hAnsi="Arial" w:cs="Arial"/>
              </w:rPr>
              <w:t>£1,</w:t>
            </w:r>
            <w:r w:rsidR="009D6CEC" w:rsidRPr="00810659">
              <w:rPr>
                <w:rFonts w:ascii="Arial" w:hAnsi="Arial" w:cs="Arial"/>
              </w:rPr>
              <w:t>170</w:t>
            </w:r>
          </w:p>
        </w:tc>
      </w:tr>
      <w:tr w:rsidR="00891633" w:rsidRPr="00810659" w14:paraId="3B0D20BD" w14:textId="26472DC0" w:rsidTr="00810659">
        <w:trPr>
          <w:trHeight w:val="555"/>
        </w:trPr>
        <w:tc>
          <w:tcPr>
            <w:tcW w:w="1757" w:type="dxa"/>
          </w:tcPr>
          <w:p w14:paraId="08EA7F34" w14:textId="1412A1ED" w:rsidR="001D6D72" w:rsidRPr="00810659" w:rsidRDefault="001D6D72" w:rsidP="00DE4DEC">
            <w:pPr>
              <w:rPr>
                <w:rFonts w:ascii="Arial" w:hAnsi="Arial" w:cs="Arial"/>
              </w:rPr>
            </w:pPr>
            <w:r w:rsidRPr="00810659">
              <w:rPr>
                <w:rFonts w:ascii="Arial" w:hAnsi="Arial" w:cs="Arial"/>
              </w:rPr>
              <w:t xml:space="preserve">Single </w:t>
            </w:r>
            <w:r w:rsidR="00721B88" w:rsidRPr="00810659">
              <w:rPr>
                <w:rFonts w:ascii="Arial" w:hAnsi="Arial" w:cs="Arial"/>
              </w:rPr>
              <w:t>with children (</w:t>
            </w:r>
            <w:r w:rsidR="001B406A" w:rsidRPr="00810659">
              <w:rPr>
                <w:rFonts w:ascii="Arial" w:hAnsi="Arial" w:cs="Arial"/>
              </w:rPr>
              <w:t>2)</w:t>
            </w:r>
          </w:p>
        </w:tc>
        <w:tc>
          <w:tcPr>
            <w:tcW w:w="1247" w:type="dxa"/>
            <w:vAlign w:val="center"/>
          </w:tcPr>
          <w:p w14:paraId="271EA99C" w14:textId="7F981061" w:rsidR="001D6D72" w:rsidRPr="00810659" w:rsidRDefault="007610C7" w:rsidP="00810659">
            <w:pPr>
              <w:jc w:val="center"/>
              <w:rPr>
                <w:rFonts w:ascii="Arial" w:hAnsi="Arial" w:cs="Arial"/>
              </w:rPr>
            </w:pPr>
            <w:r w:rsidRPr="00810659">
              <w:rPr>
                <w:rFonts w:ascii="Arial" w:hAnsi="Arial" w:cs="Arial"/>
              </w:rPr>
              <w:t>£1,100</w:t>
            </w:r>
          </w:p>
        </w:tc>
        <w:tc>
          <w:tcPr>
            <w:tcW w:w="1247" w:type="dxa"/>
            <w:vAlign w:val="center"/>
          </w:tcPr>
          <w:p w14:paraId="5E5D9698" w14:textId="7DFB2451" w:rsidR="001D6D72" w:rsidRPr="00810659" w:rsidRDefault="007610C7" w:rsidP="00810659">
            <w:pPr>
              <w:jc w:val="center"/>
              <w:rPr>
                <w:rFonts w:ascii="Arial" w:hAnsi="Arial" w:cs="Arial"/>
              </w:rPr>
            </w:pPr>
            <w:r w:rsidRPr="00810659">
              <w:rPr>
                <w:rFonts w:ascii="Arial" w:hAnsi="Arial" w:cs="Arial"/>
              </w:rPr>
              <w:t>£1,616</w:t>
            </w:r>
          </w:p>
        </w:tc>
        <w:tc>
          <w:tcPr>
            <w:tcW w:w="1248" w:type="dxa"/>
            <w:vAlign w:val="center"/>
          </w:tcPr>
          <w:p w14:paraId="476725A7" w14:textId="690EBAFA" w:rsidR="001D6D72" w:rsidRPr="00810659" w:rsidRDefault="007610C7" w:rsidP="00810659">
            <w:pPr>
              <w:jc w:val="center"/>
              <w:rPr>
                <w:rFonts w:ascii="Arial" w:hAnsi="Arial" w:cs="Arial"/>
              </w:rPr>
            </w:pPr>
            <w:r w:rsidRPr="00810659">
              <w:rPr>
                <w:rFonts w:ascii="Arial" w:hAnsi="Arial" w:cs="Arial"/>
              </w:rPr>
              <w:t>£2,043</w:t>
            </w:r>
          </w:p>
        </w:tc>
        <w:tc>
          <w:tcPr>
            <w:tcW w:w="1247" w:type="dxa"/>
            <w:vAlign w:val="center"/>
          </w:tcPr>
          <w:p w14:paraId="5B1C48BD" w14:textId="0007B6F4" w:rsidR="001D6D72" w:rsidRPr="00810659" w:rsidRDefault="007610C7" w:rsidP="00810659">
            <w:pPr>
              <w:jc w:val="center"/>
              <w:rPr>
                <w:rFonts w:ascii="Arial" w:hAnsi="Arial" w:cs="Arial"/>
              </w:rPr>
            </w:pPr>
            <w:r w:rsidRPr="00810659">
              <w:rPr>
                <w:rFonts w:ascii="Arial" w:hAnsi="Arial" w:cs="Arial"/>
              </w:rPr>
              <w:t>£2,540</w:t>
            </w:r>
          </w:p>
        </w:tc>
        <w:tc>
          <w:tcPr>
            <w:tcW w:w="1248" w:type="dxa"/>
            <w:vAlign w:val="center"/>
          </w:tcPr>
          <w:p w14:paraId="671F6907" w14:textId="121F6BF6" w:rsidR="001D6D72" w:rsidRPr="00810659" w:rsidRDefault="007610C7" w:rsidP="00810659">
            <w:pPr>
              <w:jc w:val="center"/>
              <w:rPr>
                <w:rFonts w:ascii="Arial" w:hAnsi="Arial" w:cs="Arial"/>
              </w:rPr>
            </w:pPr>
            <w:r w:rsidRPr="00810659">
              <w:rPr>
                <w:rFonts w:ascii="Arial" w:hAnsi="Arial" w:cs="Arial"/>
              </w:rPr>
              <w:t>£3,528</w:t>
            </w:r>
          </w:p>
        </w:tc>
        <w:tc>
          <w:tcPr>
            <w:tcW w:w="2098" w:type="dxa"/>
            <w:vAlign w:val="center"/>
          </w:tcPr>
          <w:p w14:paraId="13B2E928" w14:textId="5A7D710A" w:rsidR="001D6D72" w:rsidRPr="00810659" w:rsidRDefault="00EA420B" w:rsidP="00810659">
            <w:pPr>
              <w:jc w:val="center"/>
              <w:rPr>
                <w:rFonts w:ascii="Arial" w:hAnsi="Arial" w:cs="Arial"/>
              </w:rPr>
            </w:pPr>
            <w:r w:rsidRPr="00810659">
              <w:rPr>
                <w:rFonts w:ascii="Arial" w:hAnsi="Arial" w:cs="Arial"/>
              </w:rPr>
              <w:t>£</w:t>
            </w:r>
            <w:r w:rsidR="00CB0FBA" w:rsidRPr="00810659">
              <w:rPr>
                <w:rFonts w:ascii="Arial" w:hAnsi="Arial" w:cs="Arial"/>
              </w:rPr>
              <w:t>1</w:t>
            </w:r>
            <w:r w:rsidR="00286FA8" w:rsidRPr="00810659">
              <w:rPr>
                <w:rFonts w:ascii="Arial" w:hAnsi="Arial" w:cs="Arial"/>
              </w:rPr>
              <w:t>,</w:t>
            </w:r>
            <w:r w:rsidR="00ED2223" w:rsidRPr="00810659">
              <w:rPr>
                <w:rFonts w:ascii="Arial" w:hAnsi="Arial" w:cs="Arial"/>
              </w:rPr>
              <w:t>43</w:t>
            </w:r>
            <w:r w:rsidR="00203C07" w:rsidRPr="00810659">
              <w:rPr>
                <w:rFonts w:ascii="Arial" w:hAnsi="Arial" w:cs="Arial"/>
              </w:rPr>
              <w:t>5</w:t>
            </w:r>
          </w:p>
        </w:tc>
      </w:tr>
      <w:tr w:rsidR="00891633" w:rsidRPr="00810659" w14:paraId="37EBB1B1" w14:textId="51A7652B" w:rsidTr="00810659">
        <w:trPr>
          <w:trHeight w:val="572"/>
        </w:trPr>
        <w:tc>
          <w:tcPr>
            <w:tcW w:w="1757" w:type="dxa"/>
          </w:tcPr>
          <w:p w14:paraId="02D004DA" w14:textId="015FDE2E" w:rsidR="001D6D72" w:rsidRPr="00810659" w:rsidRDefault="001D6D72" w:rsidP="00DE4DEC">
            <w:pPr>
              <w:rPr>
                <w:rFonts w:ascii="Arial" w:hAnsi="Arial" w:cs="Arial"/>
              </w:rPr>
            </w:pPr>
            <w:r w:rsidRPr="00810659">
              <w:rPr>
                <w:rFonts w:ascii="Arial" w:hAnsi="Arial" w:cs="Arial"/>
              </w:rPr>
              <w:t>Couple with no children</w:t>
            </w:r>
          </w:p>
        </w:tc>
        <w:tc>
          <w:tcPr>
            <w:tcW w:w="1247" w:type="dxa"/>
            <w:vAlign w:val="center"/>
          </w:tcPr>
          <w:p w14:paraId="0156D0CD" w14:textId="09C9FBF3" w:rsidR="001D6D72" w:rsidRPr="00810659" w:rsidRDefault="007610C7" w:rsidP="00810659">
            <w:pPr>
              <w:jc w:val="center"/>
              <w:rPr>
                <w:rFonts w:ascii="Arial" w:hAnsi="Arial" w:cs="Arial"/>
              </w:rPr>
            </w:pPr>
            <w:r w:rsidRPr="00810659">
              <w:rPr>
                <w:rFonts w:ascii="Arial" w:hAnsi="Arial" w:cs="Arial"/>
              </w:rPr>
              <w:t>£1,584</w:t>
            </w:r>
          </w:p>
        </w:tc>
        <w:tc>
          <w:tcPr>
            <w:tcW w:w="1247" w:type="dxa"/>
            <w:vAlign w:val="center"/>
          </w:tcPr>
          <w:p w14:paraId="7A950563" w14:textId="3D32B809" w:rsidR="001D6D72" w:rsidRPr="00810659" w:rsidRDefault="007610C7" w:rsidP="00810659">
            <w:pPr>
              <w:jc w:val="center"/>
              <w:rPr>
                <w:rFonts w:ascii="Arial" w:hAnsi="Arial" w:cs="Arial"/>
              </w:rPr>
            </w:pPr>
            <w:r w:rsidRPr="00810659">
              <w:rPr>
                <w:rFonts w:ascii="Arial" w:hAnsi="Arial" w:cs="Arial"/>
              </w:rPr>
              <w:t>£3,062</w:t>
            </w:r>
          </w:p>
        </w:tc>
        <w:tc>
          <w:tcPr>
            <w:tcW w:w="1248" w:type="dxa"/>
            <w:vAlign w:val="center"/>
          </w:tcPr>
          <w:p w14:paraId="41FCB1A7" w14:textId="2DF49AA6" w:rsidR="001D6D72" w:rsidRPr="00810659" w:rsidRDefault="007610C7" w:rsidP="00810659">
            <w:pPr>
              <w:jc w:val="center"/>
              <w:rPr>
                <w:rFonts w:ascii="Arial" w:hAnsi="Arial" w:cs="Arial"/>
              </w:rPr>
            </w:pPr>
            <w:r w:rsidRPr="00810659">
              <w:rPr>
                <w:rFonts w:ascii="Arial" w:hAnsi="Arial" w:cs="Arial"/>
              </w:rPr>
              <w:t>£4,050</w:t>
            </w:r>
          </w:p>
        </w:tc>
        <w:tc>
          <w:tcPr>
            <w:tcW w:w="1247" w:type="dxa"/>
            <w:vAlign w:val="center"/>
          </w:tcPr>
          <w:p w14:paraId="163822B8" w14:textId="1E228728" w:rsidR="001D6D72" w:rsidRPr="00810659" w:rsidRDefault="007610C7" w:rsidP="00810659">
            <w:pPr>
              <w:jc w:val="center"/>
              <w:rPr>
                <w:rFonts w:ascii="Arial" w:hAnsi="Arial" w:cs="Arial"/>
              </w:rPr>
            </w:pPr>
            <w:r w:rsidRPr="00810659">
              <w:rPr>
                <w:rFonts w:ascii="Arial" w:hAnsi="Arial" w:cs="Arial"/>
              </w:rPr>
              <w:t>£5,349</w:t>
            </w:r>
          </w:p>
        </w:tc>
        <w:tc>
          <w:tcPr>
            <w:tcW w:w="1248" w:type="dxa"/>
            <w:vAlign w:val="center"/>
          </w:tcPr>
          <w:p w14:paraId="0298B887" w14:textId="185DF824" w:rsidR="001D6D72" w:rsidRPr="00810659" w:rsidRDefault="007610C7" w:rsidP="00810659">
            <w:pPr>
              <w:jc w:val="center"/>
              <w:rPr>
                <w:rFonts w:ascii="Arial" w:hAnsi="Arial" w:cs="Arial"/>
              </w:rPr>
            </w:pPr>
            <w:r w:rsidRPr="00810659">
              <w:rPr>
                <w:rFonts w:ascii="Arial" w:hAnsi="Arial" w:cs="Arial"/>
              </w:rPr>
              <w:t>£8,292</w:t>
            </w:r>
          </w:p>
        </w:tc>
        <w:tc>
          <w:tcPr>
            <w:tcW w:w="2098" w:type="dxa"/>
            <w:vAlign w:val="center"/>
          </w:tcPr>
          <w:p w14:paraId="1DE100F5" w14:textId="68053C8A" w:rsidR="001D6D72" w:rsidRPr="00810659" w:rsidRDefault="00EA420B" w:rsidP="00810659">
            <w:pPr>
              <w:jc w:val="center"/>
              <w:rPr>
                <w:rFonts w:ascii="Arial" w:hAnsi="Arial" w:cs="Arial"/>
              </w:rPr>
            </w:pPr>
            <w:r w:rsidRPr="00810659">
              <w:rPr>
                <w:rFonts w:ascii="Arial" w:hAnsi="Arial" w:cs="Arial"/>
              </w:rPr>
              <w:t>£</w:t>
            </w:r>
            <w:r w:rsidR="00CB0FBA" w:rsidRPr="00810659">
              <w:rPr>
                <w:rFonts w:ascii="Arial" w:hAnsi="Arial" w:cs="Arial"/>
              </w:rPr>
              <w:t>1</w:t>
            </w:r>
            <w:r w:rsidR="00286FA8" w:rsidRPr="00810659">
              <w:rPr>
                <w:rFonts w:ascii="Arial" w:hAnsi="Arial" w:cs="Arial"/>
              </w:rPr>
              <w:t>,</w:t>
            </w:r>
            <w:r w:rsidR="00CB0FBA" w:rsidRPr="00810659">
              <w:rPr>
                <w:rFonts w:ascii="Arial" w:hAnsi="Arial" w:cs="Arial"/>
              </w:rPr>
              <w:t>3</w:t>
            </w:r>
            <w:r w:rsidR="009D6CEC" w:rsidRPr="00810659">
              <w:rPr>
                <w:rFonts w:ascii="Arial" w:hAnsi="Arial" w:cs="Arial"/>
              </w:rPr>
              <w:t>40</w:t>
            </w:r>
          </w:p>
        </w:tc>
      </w:tr>
      <w:tr w:rsidR="00891633" w:rsidRPr="00810659" w14:paraId="46141EE7" w14:textId="5BEE84C7" w:rsidTr="00810659">
        <w:trPr>
          <w:trHeight w:val="555"/>
        </w:trPr>
        <w:tc>
          <w:tcPr>
            <w:tcW w:w="1757" w:type="dxa"/>
          </w:tcPr>
          <w:p w14:paraId="60468331" w14:textId="0D641852" w:rsidR="001D6D72" w:rsidRPr="00810659" w:rsidRDefault="001D6D72" w:rsidP="00DE4DEC">
            <w:pPr>
              <w:rPr>
                <w:rFonts w:ascii="Arial" w:hAnsi="Arial" w:cs="Arial"/>
              </w:rPr>
            </w:pPr>
            <w:r w:rsidRPr="00810659">
              <w:rPr>
                <w:rFonts w:ascii="Arial" w:hAnsi="Arial" w:cs="Arial"/>
              </w:rPr>
              <w:t>Couple with</w:t>
            </w:r>
            <w:r w:rsidR="00B23889" w:rsidRPr="00810659">
              <w:rPr>
                <w:rFonts w:ascii="Arial" w:hAnsi="Arial" w:cs="Arial"/>
              </w:rPr>
              <w:t xml:space="preserve"> children (</w:t>
            </w:r>
            <w:r w:rsidR="001B406A" w:rsidRPr="00810659">
              <w:rPr>
                <w:rFonts w:ascii="Arial" w:hAnsi="Arial" w:cs="Arial"/>
              </w:rPr>
              <w:t>3</w:t>
            </w:r>
            <w:r w:rsidR="00B23889" w:rsidRPr="00810659">
              <w:rPr>
                <w:rFonts w:ascii="Arial" w:hAnsi="Arial" w:cs="Arial"/>
              </w:rPr>
              <w:t>)</w:t>
            </w:r>
          </w:p>
        </w:tc>
        <w:tc>
          <w:tcPr>
            <w:tcW w:w="1247" w:type="dxa"/>
            <w:vAlign w:val="center"/>
          </w:tcPr>
          <w:p w14:paraId="0C23CBCA" w14:textId="7060AFAA" w:rsidR="001D6D72" w:rsidRPr="00810659" w:rsidRDefault="007610C7" w:rsidP="00810659">
            <w:pPr>
              <w:jc w:val="center"/>
              <w:rPr>
                <w:rFonts w:ascii="Arial" w:hAnsi="Arial" w:cs="Arial"/>
              </w:rPr>
            </w:pPr>
            <w:r w:rsidRPr="00810659">
              <w:rPr>
                <w:rFonts w:ascii="Arial" w:hAnsi="Arial" w:cs="Arial"/>
              </w:rPr>
              <w:t>£1,240</w:t>
            </w:r>
          </w:p>
        </w:tc>
        <w:tc>
          <w:tcPr>
            <w:tcW w:w="1247" w:type="dxa"/>
            <w:vAlign w:val="center"/>
          </w:tcPr>
          <w:p w14:paraId="544DC7D1" w14:textId="5A863EF9" w:rsidR="001D6D72" w:rsidRPr="00810659" w:rsidRDefault="007610C7" w:rsidP="00810659">
            <w:pPr>
              <w:jc w:val="center"/>
              <w:rPr>
                <w:rFonts w:ascii="Arial" w:hAnsi="Arial" w:cs="Arial"/>
              </w:rPr>
            </w:pPr>
            <w:r w:rsidRPr="00810659">
              <w:rPr>
                <w:rFonts w:ascii="Arial" w:hAnsi="Arial" w:cs="Arial"/>
              </w:rPr>
              <w:t>£2,087</w:t>
            </w:r>
          </w:p>
        </w:tc>
        <w:tc>
          <w:tcPr>
            <w:tcW w:w="1248" w:type="dxa"/>
            <w:vAlign w:val="center"/>
          </w:tcPr>
          <w:p w14:paraId="46F7890C" w14:textId="57872EAB" w:rsidR="001D6D72" w:rsidRPr="00810659" w:rsidRDefault="007610C7" w:rsidP="00810659">
            <w:pPr>
              <w:jc w:val="center"/>
              <w:rPr>
                <w:rFonts w:ascii="Arial" w:hAnsi="Arial" w:cs="Arial"/>
              </w:rPr>
            </w:pPr>
            <w:r w:rsidRPr="00810659">
              <w:rPr>
                <w:rFonts w:ascii="Arial" w:hAnsi="Arial" w:cs="Arial"/>
              </w:rPr>
              <w:t>£2,839</w:t>
            </w:r>
          </w:p>
        </w:tc>
        <w:tc>
          <w:tcPr>
            <w:tcW w:w="1247" w:type="dxa"/>
            <w:vAlign w:val="center"/>
          </w:tcPr>
          <w:p w14:paraId="21516F52" w14:textId="14F1524D" w:rsidR="001D6D72" w:rsidRPr="00810659" w:rsidRDefault="007610C7" w:rsidP="00810659">
            <w:pPr>
              <w:jc w:val="center"/>
              <w:rPr>
                <w:rFonts w:ascii="Arial" w:hAnsi="Arial" w:cs="Arial"/>
              </w:rPr>
            </w:pPr>
            <w:r w:rsidRPr="00810659">
              <w:rPr>
                <w:rFonts w:ascii="Arial" w:hAnsi="Arial" w:cs="Arial"/>
              </w:rPr>
              <w:t>£3,846</w:t>
            </w:r>
          </w:p>
        </w:tc>
        <w:tc>
          <w:tcPr>
            <w:tcW w:w="1248" w:type="dxa"/>
            <w:vAlign w:val="center"/>
          </w:tcPr>
          <w:p w14:paraId="4C286E16" w14:textId="5792BAB4" w:rsidR="001D6D72" w:rsidRPr="00810659" w:rsidRDefault="007610C7" w:rsidP="00810659">
            <w:pPr>
              <w:jc w:val="center"/>
              <w:rPr>
                <w:rFonts w:ascii="Arial" w:hAnsi="Arial" w:cs="Arial"/>
              </w:rPr>
            </w:pPr>
            <w:r w:rsidRPr="00810659">
              <w:rPr>
                <w:rFonts w:ascii="Arial" w:hAnsi="Arial" w:cs="Arial"/>
              </w:rPr>
              <w:t>£6,499</w:t>
            </w:r>
          </w:p>
        </w:tc>
        <w:tc>
          <w:tcPr>
            <w:tcW w:w="2098" w:type="dxa"/>
            <w:vAlign w:val="center"/>
          </w:tcPr>
          <w:p w14:paraId="6868B4F6" w14:textId="33117005" w:rsidR="001D6D72" w:rsidRPr="00810659" w:rsidRDefault="00EA420B" w:rsidP="00810659">
            <w:pPr>
              <w:jc w:val="center"/>
              <w:rPr>
                <w:rFonts w:ascii="Arial" w:hAnsi="Arial" w:cs="Arial"/>
              </w:rPr>
            </w:pPr>
            <w:r w:rsidRPr="00810659">
              <w:rPr>
                <w:rFonts w:ascii="Arial" w:hAnsi="Arial" w:cs="Arial"/>
              </w:rPr>
              <w:t>£</w:t>
            </w:r>
            <w:r w:rsidR="00CB0FBA" w:rsidRPr="00810659">
              <w:rPr>
                <w:rFonts w:ascii="Arial" w:hAnsi="Arial" w:cs="Arial"/>
              </w:rPr>
              <w:t>1</w:t>
            </w:r>
            <w:r w:rsidR="00286FA8" w:rsidRPr="00810659">
              <w:rPr>
                <w:rFonts w:ascii="Arial" w:hAnsi="Arial" w:cs="Arial"/>
              </w:rPr>
              <w:t>,</w:t>
            </w:r>
            <w:r w:rsidR="00ED2223" w:rsidRPr="00810659">
              <w:rPr>
                <w:rFonts w:ascii="Arial" w:hAnsi="Arial" w:cs="Arial"/>
              </w:rPr>
              <w:t>60</w:t>
            </w:r>
            <w:r w:rsidR="009D6CEC" w:rsidRPr="00810659">
              <w:rPr>
                <w:rFonts w:ascii="Arial" w:hAnsi="Arial" w:cs="Arial"/>
              </w:rPr>
              <w:t>5</w:t>
            </w:r>
          </w:p>
        </w:tc>
      </w:tr>
      <w:tr w:rsidR="00891633" w:rsidRPr="00810659" w14:paraId="11A6F4F9" w14:textId="13F32613" w:rsidTr="00810659">
        <w:trPr>
          <w:trHeight w:val="269"/>
        </w:trPr>
        <w:tc>
          <w:tcPr>
            <w:tcW w:w="1757" w:type="dxa"/>
          </w:tcPr>
          <w:p w14:paraId="680C91F1" w14:textId="154F7DAE" w:rsidR="001D6D72" w:rsidRPr="00810659" w:rsidRDefault="001D6D72" w:rsidP="00DE4DEC">
            <w:pPr>
              <w:rPr>
                <w:rFonts w:ascii="Arial" w:hAnsi="Arial" w:cs="Arial"/>
              </w:rPr>
            </w:pPr>
            <w:r w:rsidRPr="00810659">
              <w:rPr>
                <w:rFonts w:ascii="Arial" w:hAnsi="Arial" w:cs="Arial"/>
              </w:rPr>
              <w:t>All individuals</w:t>
            </w:r>
          </w:p>
        </w:tc>
        <w:tc>
          <w:tcPr>
            <w:tcW w:w="1247" w:type="dxa"/>
            <w:vAlign w:val="center"/>
          </w:tcPr>
          <w:p w14:paraId="4547B5B3" w14:textId="589BD600" w:rsidR="001D6D72" w:rsidRPr="00810659" w:rsidRDefault="007610C7" w:rsidP="00810659">
            <w:pPr>
              <w:jc w:val="center"/>
              <w:rPr>
                <w:rFonts w:ascii="Arial" w:hAnsi="Arial" w:cs="Arial"/>
              </w:rPr>
            </w:pPr>
            <w:r w:rsidRPr="00810659">
              <w:rPr>
                <w:rFonts w:ascii="Arial" w:hAnsi="Arial" w:cs="Arial"/>
              </w:rPr>
              <w:t>£1,221</w:t>
            </w:r>
          </w:p>
        </w:tc>
        <w:tc>
          <w:tcPr>
            <w:tcW w:w="1247" w:type="dxa"/>
            <w:vAlign w:val="center"/>
          </w:tcPr>
          <w:p w14:paraId="6B126420" w14:textId="477B895C" w:rsidR="001D6D72" w:rsidRPr="00810659" w:rsidRDefault="007610C7" w:rsidP="00810659">
            <w:pPr>
              <w:jc w:val="center"/>
              <w:rPr>
                <w:rFonts w:ascii="Arial" w:hAnsi="Arial" w:cs="Arial"/>
              </w:rPr>
            </w:pPr>
            <w:r w:rsidRPr="00810659">
              <w:rPr>
                <w:rFonts w:ascii="Arial" w:hAnsi="Arial" w:cs="Arial"/>
              </w:rPr>
              <w:t>£2,119</w:t>
            </w:r>
          </w:p>
        </w:tc>
        <w:tc>
          <w:tcPr>
            <w:tcW w:w="1248" w:type="dxa"/>
            <w:vAlign w:val="center"/>
          </w:tcPr>
          <w:p w14:paraId="3B980022" w14:textId="22642D3F" w:rsidR="001D6D72" w:rsidRPr="00810659" w:rsidRDefault="007610C7" w:rsidP="00810659">
            <w:pPr>
              <w:jc w:val="center"/>
              <w:rPr>
                <w:rFonts w:ascii="Arial" w:hAnsi="Arial" w:cs="Arial"/>
              </w:rPr>
            </w:pPr>
            <w:r w:rsidRPr="00810659">
              <w:rPr>
                <w:rFonts w:ascii="Arial" w:hAnsi="Arial" w:cs="Arial"/>
              </w:rPr>
              <w:t>£2,948</w:t>
            </w:r>
          </w:p>
        </w:tc>
        <w:tc>
          <w:tcPr>
            <w:tcW w:w="1247" w:type="dxa"/>
            <w:vAlign w:val="center"/>
          </w:tcPr>
          <w:p w14:paraId="5149F064" w14:textId="4880E2D7" w:rsidR="001D6D72" w:rsidRPr="00810659" w:rsidRDefault="007610C7" w:rsidP="00810659">
            <w:pPr>
              <w:jc w:val="center"/>
              <w:rPr>
                <w:rFonts w:ascii="Arial" w:hAnsi="Arial" w:cs="Arial"/>
              </w:rPr>
            </w:pPr>
            <w:r w:rsidRPr="00810659">
              <w:rPr>
                <w:rFonts w:ascii="Arial" w:hAnsi="Arial" w:cs="Arial"/>
              </w:rPr>
              <w:t>£4,031</w:t>
            </w:r>
          </w:p>
        </w:tc>
        <w:tc>
          <w:tcPr>
            <w:tcW w:w="1248" w:type="dxa"/>
            <w:vAlign w:val="center"/>
          </w:tcPr>
          <w:p w14:paraId="1C981694" w14:textId="13CDF040" w:rsidR="001D6D72" w:rsidRPr="00810659" w:rsidRDefault="007610C7" w:rsidP="00810659">
            <w:pPr>
              <w:jc w:val="center"/>
              <w:rPr>
                <w:rFonts w:ascii="Arial" w:hAnsi="Arial" w:cs="Arial"/>
              </w:rPr>
            </w:pPr>
            <w:r w:rsidRPr="00810659">
              <w:rPr>
                <w:rFonts w:ascii="Arial" w:hAnsi="Arial" w:cs="Arial"/>
              </w:rPr>
              <w:t>£6,634</w:t>
            </w:r>
          </w:p>
        </w:tc>
        <w:tc>
          <w:tcPr>
            <w:tcW w:w="2098" w:type="dxa"/>
            <w:vAlign w:val="center"/>
          </w:tcPr>
          <w:p w14:paraId="72085F2C" w14:textId="77777777" w:rsidR="001D6D72" w:rsidRPr="00810659" w:rsidRDefault="001D6D72" w:rsidP="00810659">
            <w:pPr>
              <w:jc w:val="center"/>
              <w:rPr>
                <w:rFonts w:ascii="Arial" w:hAnsi="Arial" w:cs="Arial"/>
              </w:rPr>
            </w:pPr>
          </w:p>
        </w:tc>
      </w:tr>
    </w:tbl>
    <w:p w14:paraId="34672CA6" w14:textId="3E4851D3" w:rsidR="00B23889" w:rsidRPr="00810659" w:rsidRDefault="00B23889" w:rsidP="00B23889">
      <w:pPr>
        <w:pStyle w:val="ListParagraph"/>
        <w:numPr>
          <w:ilvl w:val="0"/>
          <w:numId w:val="18"/>
        </w:numPr>
        <w:rPr>
          <w:rFonts w:ascii="Arial" w:hAnsi="Arial" w:cs="Arial"/>
          <w:i/>
        </w:rPr>
      </w:pPr>
      <w:r w:rsidRPr="00810659">
        <w:rPr>
          <w:rFonts w:ascii="Arial" w:hAnsi="Arial" w:cs="Arial"/>
          <w:i/>
        </w:rPr>
        <w:t>“Single with no children” is an average for men and women.</w:t>
      </w:r>
    </w:p>
    <w:p w14:paraId="3E185CA3" w14:textId="787E1B4E" w:rsidR="001B406A" w:rsidRPr="00810659" w:rsidRDefault="001B406A" w:rsidP="00DE4DEC">
      <w:pPr>
        <w:pStyle w:val="ListParagraph"/>
        <w:numPr>
          <w:ilvl w:val="0"/>
          <w:numId w:val="18"/>
        </w:numPr>
        <w:rPr>
          <w:rFonts w:ascii="Arial" w:hAnsi="Arial" w:cs="Arial"/>
          <w:i/>
        </w:rPr>
      </w:pPr>
      <w:r w:rsidRPr="00810659">
        <w:rPr>
          <w:rFonts w:ascii="Arial" w:hAnsi="Arial" w:cs="Arial"/>
          <w:i/>
        </w:rPr>
        <w:t xml:space="preserve">“Single with children” – the number of children in this household type will vary, but the </w:t>
      </w:r>
      <w:proofErr w:type="spellStart"/>
      <w:r w:rsidRPr="00810659">
        <w:rPr>
          <w:rFonts w:ascii="Arial" w:hAnsi="Arial" w:cs="Arial"/>
          <w:i/>
        </w:rPr>
        <w:t>HwF</w:t>
      </w:r>
      <w:proofErr w:type="spellEnd"/>
      <w:r w:rsidRPr="00810659">
        <w:rPr>
          <w:rFonts w:ascii="Arial" w:hAnsi="Arial" w:cs="Arial"/>
          <w:i/>
        </w:rPr>
        <w:t xml:space="preserve"> thresholds used as a comparator assumes one child in the household</w:t>
      </w:r>
    </w:p>
    <w:p w14:paraId="4094A7B3" w14:textId="5AD1CFA9" w:rsidR="00B23889" w:rsidRPr="00810659" w:rsidRDefault="00B23889" w:rsidP="00DE4DEC">
      <w:pPr>
        <w:pStyle w:val="ListParagraph"/>
        <w:numPr>
          <w:ilvl w:val="0"/>
          <w:numId w:val="18"/>
        </w:numPr>
        <w:rPr>
          <w:rFonts w:ascii="Arial" w:hAnsi="Arial" w:cs="Arial"/>
          <w:i/>
        </w:rPr>
      </w:pPr>
      <w:r w:rsidRPr="00810659">
        <w:rPr>
          <w:rFonts w:ascii="Arial" w:hAnsi="Arial" w:cs="Arial"/>
          <w:i/>
        </w:rPr>
        <w:t xml:space="preserve">“Couple with children” – the number of children in this household type will vary, but the </w:t>
      </w:r>
      <w:proofErr w:type="spellStart"/>
      <w:r w:rsidRPr="00810659">
        <w:rPr>
          <w:rFonts w:ascii="Arial" w:hAnsi="Arial" w:cs="Arial"/>
          <w:i/>
        </w:rPr>
        <w:t>HwF</w:t>
      </w:r>
      <w:proofErr w:type="spellEnd"/>
      <w:r w:rsidRPr="00810659">
        <w:rPr>
          <w:rFonts w:ascii="Arial" w:hAnsi="Arial" w:cs="Arial"/>
          <w:i/>
        </w:rPr>
        <w:t xml:space="preserve"> thresholds used as a comparator assumes one child in the household.</w:t>
      </w:r>
    </w:p>
    <w:p w14:paraId="1E28AF3E" w14:textId="3880CF12" w:rsidR="008E579A" w:rsidRPr="00810659" w:rsidRDefault="007515AB" w:rsidP="00721B88">
      <w:pPr>
        <w:ind w:left="360"/>
        <w:rPr>
          <w:rFonts w:ascii="Arial" w:hAnsi="Arial" w:cs="Arial"/>
          <w:i/>
        </w:rPr>
      </w:pPr>
      <w:r w:rsidRPr="00810659">
        <w:rPr>
          <w:rFonts w:ascii="Arial" w:hAnsi="Arial" w:cs="Arial"/>
          <w:i/>
        </w:rPr>
        <w:t>Note: net income has been converted to gross using an online tax calculator</w:t>
      </w:r>
      <w:r w:rsidR="006663B9" w:rsidRPr="00810659">
        <w:rPr>
          <w:rStyle w:val="FootnoteReference"/>
          <w:rFonts w:ascii="Arial" w:hAnsi="Arial" w:cs="Arial"/>
          <w:i/>
        </w:rPr>
        <w:footnoteReference w:id="5"/>
      </w:r>
      <w:r w:rsidRPr="00810659">
        <w:rPr>
          <w:rFonts w:ascii="Arial" w:hAnsi="Arial" w:cs="Arial"/>
          <w:i/>
        </w:rPr>
        <w:t>.</w:t>
      </w:r>
    </w:p>
    <w:p w14:paraId="22D3ABED" w14:textId="40EF3115" w:rsidR="00934891" w:rsidRPr="00810659" w:rsidRDefault="00775387" w:rsidP="00DE4DEC">
      <w:pPr>
        <w:rPr>
          <w:rFonts w:ascii="Arial" w:hAnsi="Arial" w:cs="Arial"/>
        </w:rPr>
      </w:pPr>
      <w:r w:rsidRPr="00810659">
        <w:rPr>
          <w:rFonts w:ascii="Arial" w:hAnsi="Arial" w:cs="Arial"/>
        </w:rPr>
        <w:t>7.</w:t>
      </w:r>
      <w:r w:rsidR="0021757C" w:rsidRPr="00810659">
        <w:rPr>
          <w:rFonts w:ascii="Arial" w:hAnsi="Arial" w:cs="Arial"/>
        </w:rPr>
        <w:t>6</w:t>
      </w:r>
      <w:r w:rsidRPr="00810659">
        <w:rPr>
          <w:rFonts w:ascii="Arial" w:hAnsi="Arial" w:cs="Arial"/>
        </w:rPr>
        <w:t xml:space="preserve">. </w:t>
      </w:r>
      <w:r w:rsidR="00934891" w:rsidRPr="00810659">
        <w:rPr>
          <w:rFonts w:ascii="Arial" w:hAnsi="Arial" w:cs="Arial"/>
        </w:rPr>
        <w:t xml:space="preserve">The figures </w:t>
      </w:r>
      <w:r w:rsidR="00570C18" w:rsidRPr="00810659">
        <w:rPr>
          <w:rFonts w:ascii="Arial" w:hAnsi="Arial" w:cs="Arial"/>
        </w:rPr>
        <w:t>in T</w:t>
      </w:r>
      <w:r w:rsidR="00934891" w:rsidRPr="00810659">
        <w:rPr>
          <w:rFonts w:ascii="Arial" w:hAnsi="Arial" w:cs="Arial"/>
        </w:rPr>
        <w:t>able</w:t>
      </w:r>
      <w:r w:rsidR="00570C18" w:rsidRPr="00810659">
        <w:rPr>
          <w:rFonts w:ascii="Arial" w:hAnsi="Arial" w:cs="Arial"/>
        </w:rPr>
        <w:t xml:space="preserve"> 8</w:t>
      </w:r>
      <w:r w:rsidR="00934891" w:rsidRPr="00810659">
        <w:rPr>
          <w:rFonts w:ascii="Arial" w:hAnsi="Arial" w:cs="Arial"/>
        </w:rPr>
        <w:t xml:space="preserve"> are in terms of equivalised income. </w:t>
      </w:r>
      <w:r w:rsidR="007A3450" w:rsidRPr="00810659">
        <w:rPr>
          <w:rFonts w:ascii="Arial" w:hAnsi="Arial" w:cs="Arial"/>
        </w:rPr>
        <w:t xml:space="preserve">The HBAI uses net disposable household income </w:t>
      </w:r>
      <w:r w:rsidR="00E4145C" w:rsidRPr="00810659">
        <w:rPr>
          <w:rFonts w:ascii="Arial" w:hAnsi="Arial" w:cs="Arial"/>
        </w:rPr>
        <w:t xml:space="preserve">which is adjusted </w:t>
      </w:r>
      <w:r w:rsidR="000B7110" w:rsidRPr="00810659">
        <w:rPr>
          <w:rFonts w:ascii="Arial" w:hAnsi="Arial" w:cs="Arial"/>
        </w:rPr>
        <w:t>for household size and composition as an assessment for material standards of living. This make</w:t>
      </w:r>
      <w:r w:rsidR="001B406A" w:rsidRPr="00810659">
        <w:rPr>
          <w:rFonts w:ascii="Arial" w:hAnsi="Arial" w:cs="Arial"/>
        </w:rPr>
        <w:t>s</w:t>
      </w:r>
      <w:r w:rsidR="000B7110" w:rsidRPr="00810659">
        <w:rPr>
          <w:rFonts w:ascii="Arial" w:hAnsi="Arial" w:cs="Arial"/>
        </w:rPr>
        <w:t xml:space="preserve"> comparison</w:t>
      </w:r>
      <w:r w:rsidR="001B406A" w:rsidRPr="00810659">
        <w:rPr>
          <w:rFonts w:ascii="Arial" w:hAnsi="Arial" w:cs="Arial"/>
        </w:rPr>
        <w:t>s</w:t>
      </w:r>
      <w:r w:rsidR="000B7110" w:rsidRPr="00810659">
        <w:rPr>
          <w:rFonts w:ascii="Arial" w:hAnsi="Arial" w:cs="Arial"/>
        </w:rPr>
        <w:t xml:space="preserve"> between different household compositions possible. </w:t>
      </w:r>
      <w:r w:rsidR="000E07A6" w:rsidRPr="00810659">
        <w:rPr>
          <w:rFonts w:ascii="Arial" w:hAnsi="Arial" w:cs="Arial"/>
        </w:rPr>
        <w:t xml:space="preserve">To allow for better comparisons with the </w:t>
      </w:r>
      <w:proofErr w:type="spellStart"/>
      <w:r w:rsidR="000E07A6" w:rsidRPr="00810659">
        <w:rPr>
          <w:rFonts w:ascii="Arial" w:hAnsi="Arial" w:cs="Arial"/>
        </w:rPr>
        <w:t>HwF</w:t>
      </w:r>
      <w:proofErr w:type="spellEnd"/>
      <w:r w:rsidR="000E07A6" w:rsidRPr="00810659">
        <w:rPr>
          <w:rFonts w:ascii="Arial" w:hAnsi="Arial" w:cs="Arial"/>
        </w:rPr>
        <w:t xml:space="preserve"> </w:t>
      </w:r>
      <w:r w:rsidR="004D7FB0" w:rsidRPr="00810659">
        <w:rPr>
          <w:rFonts w:ascii="Arial" w:hAnsi="Arial" w:cs="Arial"/>
        </w:rPr>
        <w:t xml:space="preserve">income </w:t>
      </w:r>
      <w:r w:rsidR="000E07A6" w:rsidRPr="00810659">
        <w:rPr>
          <w:rFonts w:ascii="Arial" w:hAnsi="Arial" w:cs="Arial"/>
        </w:rPr>
        <w:t xml:space="preserve">thresholds, the figures have been recalculated in terms of gross income. </w:t>
      </w:r>
    </w:p>
    <w:p w14:paraId="37860EA9" w14:textId="5D23F3B3" w:rsidR="00FC7BD7" w:rsidRPr="00810659" w:rsidRDefault="00FC7BD7" w:rsidP="00DE4DEC">
      <w:pPr>
        <w:rPr>
          <w:rFonts w:ascii="Arial" w:hAnsi="Arial" w:cs="Arial"/>
        </w:rPr>
      </w:pPr>
      <w:r w:rsidRPr="00810659">
        <w:rPr>
          <w:rFonts w:ascii="Arial" w:hAnsi="Arial" w:cs="Arial"/>
        </w:rPr>
        <w:t>7.</w:t>
      </w:r>
      <w:r w:rsidR="0021757C" w:rsidRPr="00810659">
        <w:rPr>
          <w:rFonts w:ascii="Arial" w:hAnsi="Arial" w:cs="Arial"/>
        </w:rPr>
        <w:t>7</w:t>
      </w:r>
      <w:r w:rsidRPr="00810659">
        <w:rPr>
          <w:rFonts w:ascii="Arial" w:hAnsi="Arial" w:cs="Arial"/>
        </w:rPr>
        <w:t xml:space="preserve">. </w:t>
      </w:r>
      <w:r w:rsidR="00E66077" w:rsidRPr="00810659">
        <w:rPr>
          <w:rFonts w:ascii="Arial" w:hAnsi="Arial" w:cs="Arial"/>
        </w:rPr>
        <w:t>When it comes</w:t>
      </w:r>
      <w:r w:rsidR="00B12273" w:rsidRPr="00810659">
        <w:rPr>
          <w:rFonts w:ascii="Arial" w:hAnsi="Arial" w:cs="Arial"/>
        </w:rPr>
        <w:t xml:space="preserve"> to</w:t>
      </w:r>
      <w:r w:rsidR="00866CBC" w:rsidRPr="00810659">
        <w:rPr>
          <w:rFonts w:ascii="Arial" w:hAnsi="Arial" w:cs="Arial"/>
        </w:rPr>
        <w:t xml:space="preserve"> house</w:t>
      </w:r>
      <w:r w:rsidR="000C492C" w:rsidRPr="00810659">
        <w:rPr>
          <w:rFonts w:ascii="Arial" w:hAnsi="Arial" w:cs="Arial"/>
        </w:rPr>
        <w:t>hol</w:t>
      </w:r>
      <w:r w:rsidR="003A1645" w:rsidRPr="00810659">
        <w:rPr>
          <w:rFonts w:ascii="Arial" w:hAnsi="Arial" w:cs="Arial"/>
        </w:rPr>
        <w:t>ds</w:t>
      </w:r>
      <w:r w:rsidR="00866CBC" w:rsidRPr="00810659">
        <w:rPr>
          <w:rFonts w:ascii="Arial" w:hAnsi="Arial" w:cs="Arial"/>
        </w:rPr>
        <w:t xml:space="preserve"> with children, </w:t>
      </w:r>
      <w:r w:rsidR="00EC5C04" w:rsidRPr="00810659">
        <w:rPr>
          <w:rFonts w:ascii="Arial" w:hAnsi="Arial" w:cs="Arial"/>
        </w:rPr>
        <w:t>we are unable to make</w:t>
      </w:r>
      <w:r w:rsidR="00795646" w:rsidRPr="00810659">
        <w:rPr>
          <w:rFonts w:ascii="Arial" w:hAnsi="Arial" w:cs="Arial"/>
        </w:rPr>
        <w:t xml:space="preserve"> </w:t>
      </w:r>
      <w:r w:rsidR="002E663E" w:rsidRPr="00810659">
        <w:rPr>
          <w:rFonts w:ascii="Arial" w:hAnsi="Arial" w:cs="Arial"/>
        </w:rPr>
        <w:t>exact comparisons with the HBAI data</w:t>
      </w:r>
      <w:r w:rsidR="00897BE0" w:rsidRPr="00810659">
        <w:rPr>
          <w:rFonts w:ascii="Arial" w:hAnsi="Arial" w:cs="Arial"/>
        </w:rPr>
        <w:t xml:space="preserve"> as</w:t>
      </w:r>
      <w:r w:rsidR="00524034" w:rsidRPr="00810659">
        <w:rPr>
          <w:rFonts w:ascii="Arial" w:hAnsi="Arial" w:cs="Arial"/>
        </w:rPr>
        <w:t xml:space="preserve"> it</w:t>
      </w:r>
      <w:r w:rsidR="005266BB" w:rsidRPr="00810659">
        <w:rPr>
          <w:rFonts w:ascii="Arial" w:hAnsi="Arial" w:cs="Arial"/>
        </w:rPr>
        <w:t xml:space="preserve"> does not specify </w:t>
      </w:r>
      <w:r w:rsidR="000D1EFC" w:rsidRPr="00810659">
        <w:rPr>
          <w:rFonts w:ascii="Arial" w:hAnsi="Arial" w:cs="Arial"/>
        </w:rPr>
        <w:t>the average number of children</w:t>
      </w:r>
      <w:r w:rsidR="001E42C6" w:rsidRPr="00810659">
        <w:rPr>
          <w:rFonts w:ascii="Arial" w:hAnsi="Arial" w:cs="Arial"/>
        </w:rPr>
        <w:t xml:space="preserve"> in each </w:t>
      </w:r>
      <w:r w:rsidR="00387A10" w:rsidRPr="00810659">
        <w:rPr>
          <w:rFonts w:ascii="Arial" w:hAnsi="Arial" w:cs="Arial"/>
        </w:rPr>
        <w:t>family.</w:t>
      </w:r>
      <w:r w:rsidR="00DB36C6" w:rsidRPr="00810659">
        <w:rPr>
          <w:rFonts w:ascii="Arial" w:hAnsi="Arial" w:cs="Arial"/>
        </w:rPr>
        <w:t xml:space="preserve"> </w:t>
      </w:r>
      <w:r w:rsidR="008961D3" w:rsidRPr="00810659">
        <w:rPr>
          <w:rFonts w:ascii="Arial" w:hAnsi="Arial" w:cs="Arial"/>
        </w:rPr>
        <w:t>For the purpose of t</w:t>
      </w:r>
      <w:r w:rsidR="00AA5F70" w:rsidRPr="00810659">
        <w:rPr>
          <w:rFonts w:ascii="Arial" w:hAnsi="Arial" w:cs="Arial"/>
        </w:rPr>
        <w:t xml:space="preserve">his analysis, we </w:t>
      </w:r>
      <w:r w:rsidR="003A1645" w:rsidRPr="00810659">
        <w:rPr>
          <w:rFonts w:ascii="Arial" w:hAnsi="Arial" w:cs="Arial"/>
        </w:rPr>
        <w:t xml:space="preserve">have presented the </w:t>
      </w:r>
      <w:proofErr w:type="spellStart"/>
      <w:r w:rsidR="003A1645" w:rsidRPr="00810659">
        <w:rPr>
          <w:rFonts w:ascii="Arial" w:hAnsi="Arial" w:cs="Arial"/>
        </w:rPr>
        <w:t>HwF</w:t>
      </w:r>
      <w:proofErr w:type="spellEnd"/>
      <w:r w:rsidR="003A1645" w:rsidRPr="00810659">
        <w:rPr>
          <w:rFonts w:ascii="Arial" w:hAnsi="Arial" w:cs="Arial"/>
        </w:rPr>
        <w:t xml:space="preserve"> thresholds for a household with one child as a comparator</w:t>
      </w:r>
      <w:r w:rsidR="00522C84" w:rsidRPr="00810659">
        <w:rPr>
          <w:rFonts w:ascii="Arial" w:hAnsi="Arial" w:cs="Arial"/>
        </w:rPr>
        <w:t>; however, if the household has more than one child the threshold will be higher.</w:t>
      </w:r>
      <w:r w:rsidR="0078186B" w:rsidRPr="00810659">
        <w:rPr>
          <w:rFonts w:ascii="Arial" w:hAnsi="Arial" w:cs="Arial"/>
        </w:rPr>
        <w:t xml:space="preserve"> </w:t>
      </w:r>
      <w:r w:rsidR="00827C63" w:rsidRPr="00810659">
        <w:rPr>
          <w:rFonts w:ascii="Arial" w:hAnsi="Arial" w:cs="Arial"/>
        </w:rPr>
        <w:t>While this means that we are not able to do a</w:t>
      </w:r>
      <w:r w:rsidR="00825723" w:rsidRPr="00810659">
        <w:rPr>
          <w:rFonts w:ascii="Arial" w:hAnsi="Arial" w:cs="Arial"/>
        </w:rPr>
        <w:t xml:space="preserve"> proper</w:t>
      </w:r>
      <w:r w:rsidR="00827C63" w:rsidRPr="00810659">
        <w:rPr>
          <w:rFonts w:ascii="Arial" w:hAnsi="Arial" w:cs="Arial"/>
        </w:rPr>
        <w:t xml:space="preserve"> like</w:t>
      </w:r>
      <w:r w:rsidR="007A1EC7" w:rsidRPr="00810659">
        <w:rPr>
          <w:rFonts w:ascii="Arial" w:hAnsi="Arial" w:cs="Arial"/>
        </w:rPr>
        <w:t xml:space="preserve">-for-like comparison, </w:t>
      </w:r>
      <w:r w:rsidR="00B63944" w:rsidRPr="00810659">
        <w:rPr>
          <w:rFonts w:ascii="Arial" w:hAnsi="Arial" w:cs="Arial"/>
        </w:rPr>
        <w:t xml:space="preserve">the HBAI data </w:t>
      </w:r>
      <w:r w:rsidR="00DC22E0" w:rsidRPr="00810659">
        <w:rPr>
          <w:rFonts w:ascii="Arial" w:hAnsi="Arial" w:cs="Arial"/>
        </w:rPr>
        <w:t>does provide information about</w:t>
      </w:r>
      <w:r w:rsidR="004C38BD" w:rsidRPr="00810659">
        <w:rPr>
          <w:rFonts w:ascii="Arial" w:hAnsi="Arial" w:cs="Arial"/>
        </w:rPr>
        <w:t xml:space="preserve"> </w:t>
      </w:r>
      <w:r w:rsidR="00454184" w:rsidRPr="00810659">
        <w:rPr>
          <w:rFonts w:ascii="Arial" w:hAnsi="Arial" w:cs="Arial"/>
        </w:rPr>
        <w:t xml:space="preserve">income distribution by different </w:t>
      </w:r>
      <w:r w:rsidR="008D60E5" w:rsidRPr="00810659">
        <w:rPr>
          <w:rFonts w:ascii="Arial" w:hAnsi="Arial" w:cs="Arial"/>
        </w:rPr>
        <w:t>characteristics.</w:t>
      </w:r>
      <w:r w:rsidR="00316317" w:rsidRPr="00810659">
        <w:rPr>
          <w:rFonts w:ascii="Arial" w:hAnsi="Arial" w:cs="Arial"/>
        </w:rPr>
        <w:t xml:space="preserve"> </w:t>
      </w:r>
      <w:r w:rsidR="00DC22E0" w:rsidRPr="00810659">
        <w:rPr>
          <w:rFonts w:ascii="Arial" w:hAnsi="Arial" w:cs="Arial"/>
        </w:rPr>
        <w:t>It therefore allows</w:t>
      </w:r>
      <w:r w:rsidR="00F410AF" w:rsidRPr="00810659">
        <w:rPr>
          <w:rFonts w:ascii="Arial" w:hAnsi="Arial" w:cs="Arial"/>
        </w:rPr>
        <w:t xml:space="preserve"> us to </w:t>
      </w:r>
      <w:r w:rsidR="00A0293E" w:rsidRPr="00810659">
        <w:rPr>
          <w:rFonts w:ascii="Arial" w:hAnsi="Arial" w:cs="Arial"/>
        </w:rPr>
        <w:t xml:space="preserve">get a better understanding </w:t>
      </w:r>
      <w:r w:rsidR="00C00111" w:rsidRPr="00810659">
        <w:rPr>
          <w:rFonts w:ascii="Arial" w:hAnsi="Arial" w:cs="Arial"/>
        </w:rPr>
        <w:t xml:space="preserve">of </w:t>
      </w:r>
      <w:r w:rsidR="009B6B0C" w:rsidRPr="00810659">
        <w:rPr>
          <w:rFonts w:ascii="Arial" w:hAnsi="Arial" w:cs="Arial"/>
        </w:rPr>
        <w:t xml:space="preserve">which groups might benefit from the changes to </w:t>
      </w:r>
      <w:proofErr w:type="spellStart"/>
      <w:r w:rsidR="009B6B0C" w:rsidRPr="00810659">
        <w:rPr>
          <w:rFonts w:ascii="Arial" w:hAnsi="Arial" w:cs="Arial"/>
        </w:rPr>
        <w:t>HwF</w:t>
      </w:r>
      <w:proofErr w:type="spellEnd"/>
      <w:r w:rsidR="00C00111" w:rsidRPr="00810659">
        <w:rPr>
          <w:rFonts w:ascii="Arial" w:hAnsi="Arial" w:cs="Arial"/>
        </w:rPr>
        <w:t xml:space="preserve">. </w:t>
      </w:r>
    </w:p>
    <w:p w14:paraId="1EE459C3" w14:textId="46AF8FE1" w:rsidR="00052611" w:rsidRPr="00810659" w:rsidRDefault="00775387" w:rsidP="00DE4DEC">
      <w:pPr>
        <w:rPr>
          <w:rFonts w:ascii="Arial" w:hAnsi="Arial" w:cs="Arial"/>
        </w:rPr>
      </w:pPr>
      <w:r w:rsidRPr="00810659">
        <w:rPr>
          <w:rFonts w:ascii="Arial" w:hAnsi="Arial" w:cs="Arial"/>
        </w:rPr>
        <w:t>7.</w:t>
      </w:r>
      <w:r w:rsidR="0021757C" w:rsidRPr="00810659">
        <w:rPr>
          <w:rFonts w:ascii="Arial" w:hAnsi="Arial" w:cs="Arial"/>
        </w:rPr>
        <w:t>8</w:t>
      </w:r>
      <w:r w:rsidRPr="00810659">
        <w:rPr>
          <w:rFonts w:ascii="Arial" w:hAnsi="Arial" w:cs="Arial"/>
        </w:rPr>
        <w:t xml:space="preserve">. </w:t>
      </w:r>
      <w:r w:rsidR="00052611" w:rsidRPr="00810659">
        <w:rPr>
          <w:rFonts w:ascii="Arial" w:hAnsi="Arial" w:cs="Arial"/>
        </w:rPr>
        <w:t xml:space="preserve">Table </w:t>
      </w:r>
      <w:r w:rsidR="00083D74" w:rsidRPr="00810659">
        <w:rPr>
          <w:rFonts w:ascii="Arial" w:hAnsi="Arial" w:cs="Arial"/>
        </w:rPr>
        <w:t>8</w:t>
      </w:r>
      <w:r w:rsidR="00052611" w:rsidRPr="00810659">
        <w:rPr>
          <w:rFonts w:ascii="Arial" w:hAnsi="Arial" w:cs="Arial"/>
        </w:rPr>
        <w:t xml:space="preserve"> shows that the median income for single households</w:t>
      </w:r>
      <w:r w:rsidR="00DE0CB2" w:rsidRPr="00810659">
        <w:rPr>
          <w:rFonts w:ascii="Arial" w:hAnsi="Arial" w:cs="Arial"/>
        </w:rPr>
        <w:t xml:space="preserve"> with no children</w:t>
      </w:r>
      <w:r w:rsidR="00052611" w:rsidRPr="00810659">
        <w:rPr>
          <w:rFonts w:ascii="Arial" w:hAnsi="Arial" w:cs="Arial"/>
        </w:rPr>
        <w:t xml:space="preserve"> and couples with children in quintile 1 </w:t>
      </w:r>
      <w:r w:rsidR="00DC22E0" w:rsidRPr="00810659">
        <w:rPr>
          <w:rFonts w:ascii="Arial" w:hAnsi="Arial" w:cs="Arial"/>
        </w:rPr>
        <w:t>was</w:t>
      </w:r>
      <w:r w:rsidR="001D6812" w:rsidRPr="00810659">
        <w:rPr>
          <w:rFonts w:ascii="Arial" w:hAnsi="Arial" w:cs="Arial"/>
        </w:rPr>
        <w:t xml:space="preserve"> below</w:t>
      </w:r>
      <w:r w:rsidR="00052611" w:rsidRPr="00810659">
        <w:rPr>
          <w:rFonts w:ascii="Arial" w:hAnsi="Arial" w:cs="Arial"/>
        </w:rPr>
        <w:t xml:space="preserve"> the current </w:t>
      </w:r>
      <w:proofErr w:type="spellStart"/>
      <w:r w:rsidR="00052611" w:rsidRPr="00810659">
        <w:rPr>
          <w:rFonts w:ascii="Arial" w:hAnsi="Arial" w:cs="Arial"/>
        </w:rPr>
        <w:t>HwF</w:t>
      </w:r>
      <w:proofErr w:type="spellEnd"/>
      <w:r w:rsidR="00052611" w:rsidRPr="00810659">
        <w:rPr>
          <w:rFonts w:ascii="Arial" w:hAnsi="Arial" w:cs="Arial"/>
        </w:rPr>
        <w:t xml:space="preserve"> income threshold. A majority of </w:t>
      </w:r>
      <w:r w:rsidR="00052611" w:rsidRPr="00810659">
        <w:rPr>
          <w:rFonts w:ascii="Arial" w:hAnsi="Arial" w:cs="Arial"/>
        </w:rPr>
        <w:lastRenderedPageBreak/>
        <w:t xml:space="preserve">these households would already quality for a full remission and </w:t>
      </w:r>
      <w:r w:rsidR="000718A4" w:rsidRPr="00810659">
        <w:rPr>
          <w:rFonts w:ascii="Arial" w:hAnsi="Arial" w:cs="Arial"/>
        </w:rPr>
        <w:t>should</w:t>
      </w:r>
      <w:r w:rsidR="00052611" w:rsidRPr="00810659">
        <w:rPr>
          <w:rFonts w:ascii="Arial" w:hAnsi="Arial" w:cs="Arial"/>
        </w:rPr>
        <w:t xml:space="preserve"> therefore not </w:t>
      </w:r>
      <w:r w:rsidR="00612CE4" w:rsidRPr="00810659">
        <w:rPr>
          <w:rFonts w:ascii="Arial" w:hAnsi="Arial" w:cs="Arial"/>
        </w:rPr>
        <w:t>be</w:t>
      </w:r>
      <w:r w:rsidR="00052611" w:rsidRPr="00810659">
        <w:rPr>
          <w:rFonts w:ascii="Arial" w:hAnsi="Arial" w:cs="Arial"/>
        </w:rPr>
        <w:t xml:space="preserve"> affected by the changes to </w:t>
      </w:r>
      <w:proofErr w:type="spellStart"/>
      <w:r w:rsidR="00052611" w:rsidRPr="00810659">
        <w:rPr>
          <w:rFonts w:ascii="Arial" w:hAnsi="Arial" w:cs="Arial"/>
        </w:rPr>
        <w:t>H</w:t>
      </w:r>
      <w:r w:rsidR="00774AFA" w:rsidRPr="00810659">
        <w:rPr>
          <w:rFonts w:ascii="Arial" w:hAnsi="Arial" w:cs="Arial"/>
        </w:rPr>
        <w:t>wF</w:t>
      </w:r>
      <w:proofErr w:type="spellEnd"/>
      <w:r w:rsidR="00052611" w:rsidRPr="00810659">
        <w:rPr>
          <w:rFonts w:ascii="Arial" w:hAnsi="Arial" w:cs="Arial"/>
        </w:rPr>
        <w:t>, or the fee increases.</w:t>
      </w:r>
    </w:p>
    <w:p w14:paraId="432848F7" w14:textId="5E05B5B3" w:rsidR="00E55415" w:rsidRPr="00810659" w:rsidRDefault="00775387" w:rsidP="00DE4DEC">
      <w:pPr>
        <w:rPr>
          <w:rFonts w:ascii="Arial" w:hAnsi="Arial" w:cs="Arial"/>
        </w:rPr>
      </w:pPr>
      <w:r w:rsidRPr="00810659">
        <w:rPr>
          <w:rFonts w:ascii="Arial" w:hAnsi="Arial" w:cs="Arial"/>
        </w:rPr>
        <w:t>7.</w:t>
      </w:r>
      <w:r w:rsidR="0021757C" w:rsidRPr="00810659">
        <w:rPr>
          <w:rFonts w:ascii="Arial" w:hAnsi="Arial" w:cs="Arial"/>
        </w:rPr>
        <w:t>9</w:t>
      </w:r>
      <w:r w:rsidRPr="00810659">
        <w:rPr>
          <w:rFonts w:ascii="Arial" w:hAnsi="Arial" w:cs="Arial"/>
        </w:rPr>
        <w:t xml:space="preserve">. </w:t>
      </w:r>
      <w:r w:rsidR="00676114" w:rsidRPr="00810659">
        <w:rPr>
          <w:rFonts w:ascii="Arial" w:hAnsi="Arial" w:cs="Arial"/>
        </w:rPr>
        <w:t xml:space="preserve">However, </w:t>
      </w:r>
      <w:r w:rsidR="00052611" w:rsidRPr="00810659">
        <w:rPr>
          <w:rFonts w:ascii="Arial" w:hAnsi="Arial" w:cs="Arial"/>
        </w:rPr>
        <w:t>for</w:t>
      </w:r>
      <w:r w:rsidR="00DE0CB2" w:rsidRPr="00810659">
        <w:rPr>
          <w:rFonts w:ascii="Arial" w:hAnsi="Arial" w:cs="Arial"/>
        </w:rPr>
        <w:t xml:space="preserve"> both</w:t>
      </w:r>
      <w:r w:rsidR="00052611" w:rsidRPr="00810659">
        <w:rPr>
          <w:rFonts w:ascii="Arial" w:hAnsi="Arial" w:cs="Arial"/>
        </w:rPr>
        <w:t xml:space="preserve"> single</w:t>
      </w:r>
      <w:r w:rsidR="00DE0CB2" w:rsidRPr="00810659">
        <w:rPr>
          <w:rFonts w:ascii="Arial" w:hAnsi="Arial" w:cs="Arial"/>
        </w:rPr>
        <w:t xml:space="preserve"> and couple</w:t>
      </w:r>
      <w:r w:rsidR="00052611" w:rsidRPr="00810659">
        <w:rPr>
          <w:rFonts w:ascii="Arial" w:hAnsi="Arial" w:cs="Arial"/>
        </w:rPr>
        <w:t xml:space="preserve"> households</w:t>
      </w:r>
      <w:r w:rsidR="00DE0CB2" w:rsidRPr="00810659">
        <w:rPr>
          <w:rFonts w:ascii="Arial" w:hAnsi="Arial" w:cs="Arial"/>
        </w:rPr>
        <w:t xml:space="preserve"> with </w:t>
      </w:r>
      <w:r w:rsidR="007D638A" w:rsidRPr="00810659">
        <w:rPr>
          <w:rFonts w:ascii="Arial" w:hAnsi="Arial" w:cs="Arial"/>
        </w:rPr>
        <w:t>children</w:t>
      </w:r>
      <w:r w:rsidR="00DE0CB2" w:rsidRPr="00810659">
        <w:rPr>
          <w:rFonts w:ascii="Arial" w:hAnsi="Arial" w:cs="Arial"/>
        </w:rPr>
        <w:t>,</w:t>
      </w:r>
      <w:r w:rsidR="00052611" w:rsidRPr="00810659">
        <w:rPr>
          <w:rFonts w:ascii="Arial" w:hAnsi="Arial" w:cs="Arial"/>
        </w:rPr>
        <w:t xml:space="preserve"> </w:t>
      </w:r>
      <w:r w:rsidR="00FF2A48" w:rsidRPr="00810659">
        <w:rPr>
          <w:rFonts w:ascii="Arial" w:hAnsi="Arial" w:cs="Arial"/>
        </w:rPr>
        <w:t xml:space="preserve">the </w:t>
      </w:r>
      <w:r w:rsidR="00676114" w:rsidRPr="00810659">
        <w:rPr>
          <w:rFonts w:ascii="Arial" w:hAnsi="Arial" w:cs="Arial"/>
        </w:rPr>
        <w:t xml:space="preserve">proposed </w:t>
      </w:r>
      <w:proofErr w:type="spellStart"/>
      <w:r w:rsidR="00052611" w:rsidRPr="00810659">
        <w:rPr>
          <w:rFonts w:ascii="Arial" w:hAnsi="Arial" w:cs="Arial"/>
        </w:rPr>
        <w:t>HwF</w:t>
      </w:r>
      <w:proofErr w:type="spellEnd"/>
      <w:r w:rsidR="00052611" w:rsidRPr="00810659">
        <w:rPr>
          <w:rFonts w:ascii="Arial" w:hAnsi="Arial" w:cs="Arial"/>
        </w:rPr>
        <w:t xml:space="preserve"> income </w:t>
      </w:r>
      <w:r w:rsidR="00676114" w:rsidRPr="00810659">
        <w:rPr>
          <w:rFonts w:ascii="Arial" w:hAnsi="Arial" w:cs="Arial"/>
        </w:rPr>
        <w:t>threshold</w:t>
      </w:r>
      <w:r w:rsidR="00325B73" w:rsidRPr="00810659">
        <w:rPr>
          <w:rFonts w:ascii="Arial" w:hAnsi="Arial" w:cs="Arial"/>
        </w:rPr>
        <w:t xml:space="preserve"> (assuming one child)</w:t>
      </w:r>
      <w:r w:rsidR="00676114" w:rsidRPr="00810659">
        <w:rPr>
          <w:rFonts w:ascii="Arial" w:hAnsi="Arial" w:cs="Arial"/>
        </w:rPr>
        <w:t xml:space="preserve"> lies between</w:t>
      </w:r>
      <w:r w:rsidR="00052611" w:rsidRPr="00810659">
        <w:rPr>
          <w:rFonts w:ascii="Arial" w:hAnsi="Arial" w:cs="Arial"/>
        </w:rPr>
        <w:t xml:space="preserve"> the median income for </w:t>
      </w:r>
      <w:r w:rsidR="00676114" w:rsidRPr="00810659">
        <w:rPr>
          <w:rFonts w:ascii="Arial" w:hAnsi="Arial" w:cs="Arial"/>
        </w:rPr>
        <w:t>quintile 1 and quintile 2</w:t>
      </w:r>
      <w:r w:rsidR="00052611" w:rsidRPr="00810659">
        <w:rPr>
          <w:rFonts w:ascii="Arial" w:hAnsi="Arial" w:cs="Arial"/>
        </w:rPr>
        <w:t>. Individuals at the top of quintile 1 and quintile 2 are therefore most likely to be impacted by the fee changes, but also most likely to be</w:t>
      </w:r>
      <w:r w:rsidR="005D5BA8" w:rsidRPr="00810659">
        <w:rPr>
          <w:rFonts w:ascii="Arial" w:hAnsi="Arial" w:cs="Arial"/>
        </w:rPr>
        <w:t>nefit from</w:t>
      </w:r>
      <w:r w:rsidR="00052611" w:rsidRPr="00810659">
        <w:rPr>
          <w:rFonts w:ascii="Arial" w:hAnsi="Arial" w:cs="Arial"/>
        </w:rPr>
        <w:t xml:space="preserve"> the </w:t>
      </w:r>
      <w:r w:rsidR="00AC5FB4" w:rsidRPr="00810659">
        <w:rPr>
          <w:rFonts w:ascii="Arial" w:hAnsi="Arial" w:cs="Arial"/>
        </w:rPr>
        <w:t xml:space="preserve">proposed changes to </w:t>
      </w:r>
      <w:r w:rsidR="00052611" w:rsidRPr="00810659">
        <w:rPr>
          <w:rFonts w:ascii="Arial" w:hAnsi="Arial" w:cs="Arial"/>
        </w:rPr>
        <w:t xml:space="preserve">the </w:t>
      </w:r>
      <w:proofErr w:type="spellStart"/>
      <w:r w:rsidR="00052611" w:rsidRPr="00810659">
        <w:rPr>
          <w:rFonts w:ascii="Arial" w:hAnsi="Arial" w:cs="Arial"/>
        </w:rPr>
        <w:t>HwF</w:t>
      </w:r>
      <w:proofErr w:type="spellEnd"/>
      <w:r w:rsidR="00052611" w:rsidRPr="00810659">
        <w:rPr>
          <w:rFonts w:ascii="Arial" w:hAnsi="Arial" w:cs="Arial"/>
        </w:rPr>
        <w:t xml:space="preserve"> scheme, as these households </w:t>
      </w:r>
      <w:r w:rsidR="00E76C4A" w:rsidRPr="00810659">
        <w:rPr>
          <w:rFonts w:ascii="Arial" w:hAnsi="Arial" w:cs="Arial"/>
        </w:rPr>
        <w:t>would be</w:t>
      </w:r>
      <w:r w:rsidR="00052611" w:rsidRPr="00810659">
        <w:rPr>
          <w:rFonts w:ascii="Arial" w:hAnsi="Arial" w:cs="Arial"/>
        </w:rPr>
        <w:t xml:space="preserve"> more likely to receive either a full remission or a greater partial remission.</w:t>
      </w:r>
      <w:r w:rsidR="00E55415" w:rsidRPr="00810659">
        <w:rPr>
          <w:rFonts w:ascii="Arial" w:hAnsi="Arial" w:cs="Arial"/>
        </w:rPr>
        <w:t xml:space="preserve"> </w:t>
      </w:r>
    </w:p>
    <w:p w14:paraId="0C55450C" w14:textId="6B88DBED" w:rsidR="00201A03" w:rsidRPr="00810659" w:rsidRDefault="00DE6485" w:rsidP="00DE4DEC">
      <w:pPr>
        <w:rPr>
          <w:rFonts w:ascii="Arial" w:hAnsi="Arial" w:cs="Arial"/>
          <w:highlight w:val="yellow"/>
        </w:rPr>
      </w:pPr>
      <w:r w:rsidRPr="00810659">
        <w:rPr>
          <w:rFonts w:ascii="Arial" w:hAnsi="Arial" w:cs="Arial"/>
        </w:rPr>
        <w:t>7.</w:t>
      </w:r>
      <w:r w:rsidR="0021757C" w:rsidRPr="00810659">
        <w:rPr>
          <w:rFonts w:ascii="Arial" w:hAnsi="Arial" w:cs="Arial"/>
        </w:rPr>
        <w:t>10</w:t>
      </w:r>
      <w:r w:rsidRPr="00810659">
        <w:rPr>
          <w:rFonts w:ascii="Arial" w:hAnsi="Arial" w:cs="Arial"/>
        </w:rPr>
        <w:t xml:space="preserve">. The only exception in this case is for couples with no children. </w:t>
      </w:r>
      <w:r w:rsidR="00134CD5" w:rsidRPr="00810659">
        <w:rPr>
          <w:rFonts w:ascii="Arial" w:hAnsi="Arial" w:cs="Arial"/>
        </w:rPr>
        <w:t>In this case t</w:t>
      </w:r>
      <w:r w:rsidRPr="00810659">
        <w:rPr>
          <w:rFonts w:ascii="Arial" w:hAnsi="Arial" w:cs="Arial"/>
        </w:rPr>
        <w:t xml:space="preserve">he </w:t>
      </w:r>
      <w:r w:rsidR="00817356" w:rsidRPr="00810659">
        <w:rPr>
          <w:rFonts w:ascii="Arial" w:hAnsi="Arial" w:cs="Arial"/>
        </w:rPr>
        <w:t xml:space="preserve">proposed </w:t>
      </w:r>
      <w:proofErr w:type="spellStart"/>
      <w:r w:rsidRPr="00810659">
        <w:rPr>
          <w:rFonts w:ascii="Arial" w:hAnsi="Arial" w:cs="Arial"/>
        </w:rPr>
        <w:t>HwF</w:t>
      </w:r>
      <w:proofErr w:type="spellEnd"/>
      <w:r w:rsidRPr="00810659">
        <w:rPr>
          <w:rFonts w:ascii="Arial" w:hAnsi="Arial" w:cs="Arial"/>
        </w:rPr>
        <w:t xml:space="preserve"> threshold of £1</w:t>
      </w:r>
      <w:r w:rsidR="00052611" w:rsidRPr="00810659">
        <w:rPr>
          <w:rFonts w:ascii="Arial" w:hAnsi="Arial" w:cs="Arial"/>
        </w:rPr>
        <w:t>,</w:t>
      </w:r>
      <w:r w:rsidR="00D346A8" w:rsidRPr="00810659">
        <w:rPr>
          <w:rFonts w:ascii="Arial" w:hAnsi="Arial" w:cs="Arial"/>
        </w:rPr>
        <w:t>3</w:t>
      </w:r>
      <w:r w:rsidR="004B0284" w:rsidRPr="00810659">
        <w:rPr>
          <w:rFonts w:ascii="Arial" w:hAnsi="Arial" w:cs="Arial"/>
        </w:rPr>
        <w:t>40</w:t>
      </w:r>
      <w:r w:rsidRPr="00810659">
        <w:rPr>
          <w:rFonts w:ascii="Arial" w:hAnsi="Arial" w:cs="Arial"/>
        </w:rPr>
        <w:t xml:space="preserve"> is lower than the average gross income in quintile 1 of £1</w:t>
      </w:r>
      <w:r w:rsidR="00052611" w:rsidRPr="00810659">
        <w:rPr>
          <w:rFonts w:ascii="Arial" w:hAnsi="Arial" w:cs="Arial"/>
        </w:rPr>
        <w:t>,</w:t>
      </w:r>
      <w:r w:rsidR="00AD0A6C" w:rsidRPr="00810659">
        <w:rPr>
          <w:rFonts w:ascii="Arial" w:hAnsi="Arial" w:cs="Arial"/>
        </w:rPr>
        <w:t>5</w:t>
      </w:r>
      <w:r w:rsidR="007610C7" w:rsidRPr="00810659">
        <w:rPr>
          <w:rFonts w:ascii="Arial" w:hAnsi="Arial" w:cs="Arial"/>
        </w:rPr>
        <w:t>84</w:t>
      </w:r>
      <w:r w:rsidRPr="00810659">
        <w:rPr>
          <w:rFonts w:ascii="Arial" w:hAnsi="Arial" w:cs="Arial"/>
        </w:rPr>
        <w:t>.</w:t>
      </w:r>
      <w:r w:rsidR="00052611" w:rsidRPr="00810659">
        <w:rPr>
          <w:rFonts w:ascii="Arial" w:hAnsi="Arial" w:cs="Arial"/>
        </w:rPr>
        <w:t xml:space="preserve"> For couple households</w:t>
      </w:r>
      <w:r w:rsidR="00BF1DCD" w:rsidRPr="00810659">
        <w:rPr>
          <w:rFonts w:ascii="Arial" w:hAnsi="Arial" w:cs="Arial"/>
        </w:rPr>
        <w:t xml:space="preserve"> without children</w:t>
      </w:r>
      <w:r w:rsidR="00052611" w:rsidRPr="00810659">
        <w:rPr>
          <w:rFonts w:ascii="Arial" w:hAnsi="Arial" w:cs="Arial"/>
        </w:rPr>
        <w:t xml:space="preserve">, it is those in quintile 1 that are therefore most likely to benefit from the changes to </w:t>
      </w:r>
      <w:proofErr w:type="spellStart"/>
      <w:r w:rsidR="00052611" w:rsidRPr="00810659">
        <w:rPr>
          <w:rFonts w:ascii="Arial" w:hAnsi="Arial" w:cs="Arial"/>
        </w:rPr>
        <w:t>H</w:t>
      </w:r>
      <w:r w:rsidR="00A8351F" w:rsidRPr="00810659">
        <w:rPr>
          <w:rFonts w:ascii="Arial" w:hAnsi="Arial" w:cs="Arial"/>
        </w:rPr>
        <w:t>wF</w:t>
      </w:r>
      <w:proofErr w:type="spellEnd"/>
      <w:r w:rsidR="00052611" w:rsidRPr="00810659">
        <w:rPr>
          <w:rFonts w:ascii="Arial" w:hAnsi="Arial" w:cs="Arial"/>
        </w:rPr>
        <w:t>.</w:t>
      </w:r>
      <w:r w:rsidR="00750394" w:rsidRPr="00810659">
        <w:rPr>
          <w:rFonts w:ascii="Arial" w:hAnsi="Arial" w:cs="Arial"/>
        </w:rPr>
        <w:t xml:space="preserve"> </w:t>
      </w:r>
    </w:p>
    <w:p w14:paraId="2F6B95F2" w14:textId="67BBEFEB" w:rsidR="00DE6485" w:rsidRPr="00810659" w:rsidRDefault="00750394" w:rsidP="00DE4DEC">
      <w:pPr>
        <w:rPr>
          <w:rFonts w:ascii="Arial" w:hAnsi="Arial" w:cs="Arial"/>
        </w:rPr>
      </w:pPr>
      <w:r w:rsidRPr="00810659">
        <w:rPr>
          <w:rFonts w:ascii="Arial" w:hAnsi="Arial" w:cs="Arial"/>
        </w:rPr>
        <w:t>7.1</w:t>
      </w:r>
      <w:r w:rsidR="0021757C" w:rsidRPr="00810659">
        <w:rPr>
          <w:rFonts w:ascii="Arial" w:hAnsi="Arial" w:cs="Arial"/>
        </w:rPr>
        <w:t>1</w:t>
      </w:r>
      <w:r w:rsidR="005A74DB" w:rsidRPr="00810659">
        <w:rPr>
          <w:rFonts w:ascii="Arial" w:hAnsi="Arial" w:cs="Arial"/>
        </w:rPr>
        <w:t>.</w:t>
      </w:r>
      <w:r w:rsidRPr="00810659">
        <w:rPr>
          <w:rFonts w:ascii="Arial" w:hAnsi="Arial" w:cs="Arial"/>
        </w:rPr>
        <w:t xml:space="preserve"> Table </w:t>
      </w:r>
      <w:r w:rsidR="00083D74" w:rsidRPr="00810659">
        <w:rPr>
          <w:rFonts w:ascii="Arial" w:hAnsi="Arial" w:cs="Arial"/>
        </w:rPr>
        <w:t>9</w:t>
      </w:r>
      <w:r w:rsidRPr="00810659">
        <w:rPr>
          <w:rFonts w:ascii="Arial" w:hAnsi="Arial" w:cs="Arial"/>
        </w:rPr>
        <w:t xml:space="preserve"> below summarises the quintile distribution of income by various characteristics from the HBAI statistics.</w:t>
      </w:r>
      <w:r w:rsidR="00052611" w:rsidRPr="00810659">
        <w:rPr>
          <w:rFonts w:ascii="Arial" w:hAnsi="Arial" w:cs="Arial"/>
        </w:rPr>
        <w:t xml:space="preserve"> As households in quintile 1 and quintile 2</w:t>
      </w:r>
      <w:r w:rsidR="005826E4" w:rsidRPr="00810659">
        <w:rPr>
          <w:rFonts w:ascii="Arial" w:hAnsi="Arial" w:cs="Arial"/>
        </w:rPr>
        <w:t xml:space="preserve"> have a lower income with which to pay fees, but yet benefit from</w:t>
      </w:r>
      <w:r w:rsidR="00052611" w:rsidRPr="00810659">
        <w:rPr>
          <w:rFonts w:ascii="Arial" w:hAnsi="Arial" w:cs="Arial"/>
        </w:rPr>
        <w:t xml:space="preserve"> the increased </w:t>
      </w:r>
      <w:r w:rsidR="00F31C84" w:rsidRPr="00810659">
        <w:rPr>
          <w:rFonts w:ascii="Arial" w:hAnsi="Arial" w:cs="Arial"/>
        </w:rPr>
        <w:t>threshold</w:t>
      </w:r>
      <w:r w:rsidR="00052611" w:rsidRPr="00810659">
        <w:rPr>
          <w:rFonts w:ascii="Arial" w:hAnsi="Arial" w:cs="Arial"/>
        </w:rPr>
        <w:t xml:space="preserve"> of the means-test, we </w:t>
      </w:r>
      <w:r w:rsidR="00FD45C2" w:rsidRPr="00810659">
        <w:rPr>
          <w:rFonts w:ascii="Arial" w:hAnsi="Arial" w:cs="Arial"/>
        </w:rPr>
        <w:t>examine</w:t>
      </w:r>
      <w:r w:rsidR="00052611" w:rsidRPr="00810659">
        <w:rPr>
          <w:rFonts w:ascii="Arial" w:hAnsi="Arial" w:cs="Arial"/>
        </w:rPr>
        <w:t xml:space="preserve"> </w:t>
      </w:r>
      <w:r w:rsidR="00B53B44" w:rsidRPr="00810659">
        <w:rPr>
          <w:rFonts w:ascii="Arial" w:hAnsi="Arial" w:cs="Arial"/>
        </w:rPr>
        <w:t xml:space="preserve">how </w:t>
      </w:r>
      <w:r w:rsidR="00052611" w:rsidRPr="00810659">
        <w:rPr>
          <w:rFonts w:ascii="Arial" w:hAnsi="Arial" w:cs="Arial"/>
        </w:rPr>
        <w:t>the characteristics of these income quintiles compare with the general population.</w:t>
      </w:r>
    </w:p>
    <w:p w14:paraId="64D8854D" w14:textId="3F850D75" w:rsidR="00750394" w:rsidRPr="00810659" w:rsidRDefault="00750394" w:rsidP="00DE4DEC">
      <w:pPr>
        <w:rPr>
          <w:rFonts w:ascii="Arial" w:hAnsi="Arial" w:cs="Arial"/>
        </w:rPr>
      </w:pPr>
      <w:r w:rsidRPr="00810659">
        <w:rPr>
          <w:rFonts w:ascii="Arial" w:hAnsi="Arial" w:cs="Arial"/>
        </w:rPr>
        <w:t>7.1</w:t>
      </w:r>
      <w:r w:rsidR="0021757C" w:rsidRPr="00810659">
        <w:rPr>
          <w:rFonts w:ascii="Arial" w:hAnsi="Arial" w:cs="Arial"/>
        </w:rPr>
        <w:t>2</w:t>
      </w:r>
      <w:r w:rsidRPr="00810659">
        <w:rPr>
          <w:rFonts w:ascii="Arial" w:hAnsi="Arial" w:cs="Arial"/>
        </w:rPr>
        <w:t xml:space="preserve">. Individuals in quintile 1 </w:t>
      </w:r>
      <w:r w:rsidR="00806532" w:rsidRPr="00810659">
        <w:rPr>
          <w:rFonts w:ascii="Arial" w:hAnsi="Arial" w:cs="Arial"/>
        </w:rPr>
        <w:t>were</w:t>
      </w:r>
      <w:r w:rsidRPr="00810659">
        <w:rPr>
          <w:rFonts w:ascii="Arial" w:hAnsi="Arial" w:cs="Arial"/>
        </w:rPr>
        <w:t xml:space="preserve"> more likely to be from either an Asian (32%), Black (31%) or other ethnic background (3</w:t>
      </w:r>
      <w:r w:rsidR="005A30CC" w:rsidRPr="00810659">
        <w:rPr>
          <w:rFonts w:ascii="Arial" w:hAnsi="Arial" w:cs="Arial"/>
        </w:rPr>
        <w:t>2</w:t>
      </w:r>
      <w:r w:rsidRPr="00810659">
        <w:rPr>
          <w:rFonts w:ascii="Arial" w:hAnsi="Arial" w:cs="Arial"/>
        </w:rPr>
        <w:t>%)</w:t>
      </w:r>
      <w:r w:rsidR="008C41B8" w:rsidRPr="00810659">
        <w:rPr>
          <w:rFonts w:ascii="Arial" w:hAnsi="Arial" w:cs="Arial"/>
        </w:rPr>
        <w:t xml:space="preserve"> than</w:t>
      </w:r>
      <w:r w:rsidR="00451713" w:rsidRPr="00810659">
        <w:rPr>
          <w:rFonts w:ascii="Arial" w:hAnsi="Arial" w:cs="Arial"/>
        </w:rPr>
        <w:t xml:space="preserve"> a White (18%) or </w:t>
      </w:r>
      <w:r w:rsidR="00D247A5" w:rsidRPr="00810659">
        <w:rPr>
          <w:rFonts w:ascii="Arial" w:hAnsi="Arial" w:cs="Arial"/>
        </w:rPr>
        <w:t>M</w:t>
      </w:r>
      <w:r w:rsidR="00451713" w:rsidRPr="00810659">
        <w:rPr>
          <w:rFonts w:ascii="Arial" w:hAnsi="Arial" w:cs="Arial"/>
        </w:rPr>
        <w:t>ixed (2</w:t>
      </w:r>
      <w:r w:rsidR="00C57F70" w:rsidRPr="00810659">
        <w:rPr>
          <w:rFonts w:ascii="Arial" w:hAnsi="Arial" w:cs="Arial"/>
        </w:rPr>
        <w:t>3</w:t>
      </w:r>
      <w:r w:rsidR="00451713" w:rsidRPr="00810659">
        <w:rPr>
          <w:rFonts w:ascii="Arial" w:hAnsi="Arial" w:cs="Arial"/>
        </w:rPr>
        <w:t>%) ethnic background</w:t>
      </w:r>
      <w:r w:rsidRPr="00810659">
        <w:rPr>
          <w:rFonts w:ascii="Arial" w:hAnsi="Arial" w:cs="Arial"/>
        </w:rPr>
        <w:t xml:space="preserve">. They </w:t>
      </w:r>
      <w:r w:rsidR="00AB4C71" w:rsidRPr="00810659">
        <w:rPr>
          <w:rFonts w:ascii="Arial" w:hAnsi="Arial" w:cs="Arial"/>
        </w:rPr>
        <w:t>were</w:t>
      </w:r>
      <w:r w:rsidRPr="00810659">
        <w:rPr>
          <w:rFonts w:ascii="Arial" w:hAnsi="Arial" w:cs="Arial"/>
        </w:rPr>
        <w:t xml:space="preserve"> </w:t>
      </w:r>
      <w:r w:rsidR="006F2BA7" w:rsidRPr="00810659">
        <w:rPr>
          <w:rFonts w:ascii="Arial" w:hAnsi="Arial" w:cs="Arial"/>
        </w:rPr>
        <w:t xml:space="preserve">more </w:t>
      </w:r>
      <w:r w:rsidRPr="00810659">
        <w:rPr>
          <w:rFonts w:ascii="Arial" w:hAnsi="Arial" w:cs="Arial"/>
        </w:rPr>
        <w:t>likely to live in a household where there is a disabled working age adult (2</w:t>
      </w:r>
      <w:r w:rsidR="00C57F70" w:rsidRPr="00810659">
        <w:rPr>
          <w:rFonts w:ascii="Arial" w:hAnsi="Arial" w:cs="Arial"/>
        </w:rPr>
        <w:t>8</w:t>
      </w:r>
      <w:r w:rsidRPr="00810659">
        <w:rPr>
          <w:rFonts w:ascii="Arial" w:hAnsi="Arial" w:cs="Arial"/>
        </w:rPr>
        <w:t>%) and they are also more likely to be single with children (3</w:t>
      </w:r>
      <w:r w:rsidR="00CD508E" w:rsidRPr="00810659">
        <w:rPr>
          <w:rFonts w:ascii="Arial" w:hAnsi="Arial" w:cs="Arial"/>
        </w:rPr>
        <w:t>8</w:t>
      </w:r>
      <w:r w:rsidRPr="00810659">
        <w:rPr>
          <w:rFonts w:ascii="Arial" w:hAnsi="Arial" w:cs="Arial"/>
        </w:rPr>
        <w:t>%) or a single pensioner (29%), especially a female pensioner (3</w:t>
      </w:r>
      <w:r w:rsidR="00757AC4" w:rsidRPr="00810659">
        <w:rPr>
          <w:rFonts w:ascii="Arial" w:hAnsi="Arial" w:cs="Arial"/>
        </w:rPr>
        <w:t>2</w:t>
      </w:r>
      <w:r w:rsidRPr="00810659">
        <w:rPr>
          <w:rFonts w:ascii="Arial" w:hAnsi="Arial" w:cs="Arial"/>
        </w:rPr>
        <w:t>%).</w:t>
      </w:r>
    </w:p>
    <w:p w14:paraId="34D59730" w14:textId="5EE50730" w:rsidR="00577AC0" w:rsidRPr="00810659" w:rsidRDefault="00775387" w:rsidP="00DE4DEC">
      <w:pPr>
        <w:rPr>
          <w:rFonts w:ascii="Arial" w:hAnsi="Arial" w:cs="Arial"/>
        </w:rPr>
      </w:pPr>
      <w:r w:rsidRPr="00810659">
        <w:rPr>
          <w:rFonts w:ascii="Arial" w:hAnsi="Arial" w:cs="Arial"/>
        </w:rPr>
        <w:t>7.1</w:t>
      </w:r>
      <w:r w:rsidR="0021757C" w:rsidRPr="00810659">
        <w:rPr>
          <w:rFonts w:ascii="Arial" w:hAnsi="Arial" w:cs="Arial"/>
        </w:rPr>
        <w:t>3</w:t>
      </w:r>
      <w:r w:rsidRPr="00810659">
        <w:rPr>
          <w:rFonts w:ascii="Arial" w:hAnsi="Arial" w:cs="Arial"/>
        </w:rPr>
        <w:t xml:space="preserve">. </w:t>
      </w:r>
      <w:r w:rsidR="00577AC0" w:rsidRPr="00810659">
        <w:rPr>
          <w:rFonts w:ascii="Arial" w:hAnsi="Arial" w:cs="Arial"/>
        </w:rPr>
        <w:t>The data</w:t>
      </w:r>
      <w:r w:rsidR="00937051" w:rsidRPr="00810659">
        <w:rPr>
          <w:rFonts w:ascii="Arial" w:hAnsi="Arial" w:cs="Arial"/>
        </w:rPr>
        <w:t xml:space="preserve"> suggests that individuals in quintile 2 </w:t>
      </w:r>
      <w:r w:rsidR="00AB02DC" w:rsidRPr="00810659">
        <w:rPr>
          <w:rFonts w:ascii="Arial" w:hAnsi="Arial" w:cs="Arial"/>
        </w:rPr>
        <w:t>were</w:t>
      </w:r>
      <w:r w:rsidR="00937051" w:rsidRPr="00810659">
        <w:rPr>
          <w:rFonts w:ascii="Arial" w:hAnsi="Arial" w:cs="Arial"/>
        </w:rPr>
        <w:t xml:space="preserve"> more likely to be either from a</w:t>
      </w:r>
      <w:r w:rsidR="009B1D11" w:rsidRPr="00810659">
        <w:rPr>
          <w:rFonts w:ascii="Arial" w:hAnsi="Arial" w:cs="Arial"/>
        </w:rPr>
        <w:t>n</w:t>
      </w:r>
      <w:r w:rsidR="00937051" w:rsidRPr="00810659">
        <w:rPr>
          <w:rFonts w:ascii="Arial" w:hAnsi="Arial" w:cs="Arial"/>
        </w:rPr>
        <w:t xml:space="preserve"> </w:t>
      </w:r>
      <w:r w:rsidR="009B1D11" w:rsidRPr="00810659">
        <w:rPr>
          <w:rFonts w:ascii="Arial" w:hAnsi="Arial" w:cs="Arial"/>
        </w:rPr>
        <w:t>Asian</w:t>
      </w:r>
      <w:r w:rsidR="00D14DB0" w:rsidRPr="00810659">
        <w:rPr>
          <w:rFonts w:ascii="Arial" w:hAnsi="Arial" w:cs="Arial"/>
        </w:rPr>
        <w:t xml:space="preserve"> (2</w:t>
      </w:r>
      <w:r w:rsidR="001B5BA3" w:rsidRPr="00810659">
        <w:rPr>
          <w:rFonts w:ascii="Arial" w:hAnsi="Arial" w:cs="Arial"/>
        </w:rPr>
        <w:t>2</w:t>
      </w:r>
      <w:r w:rsidR="00D14DB0" w:rsidRPr="00810659">
        <w:rPr>
          <w:rFonts w:ascii="Arial" w:hAnsi="Arial" w:cs="Arial"/>
        </w:rPr>
        <w:t>%)</w:t>
      </w:r>
      <w:r w:rsidR="00937051" w:rsidRPr="00810659">
        <w:rPr>
          <w:rFonts w:ascii="Arial" w:hAnsi="Arial" w:cs="Arial"/>
        </w:rPr>
        <w:t xml:space="preserve"> or Black</w:t>
      </w:r>
      <w:r w:rsidR="00D14DB0" w:rsidRPr="00810659">
        <w:rPr>
          <w:rFonts w:ascii="Arial" w:hAnsi="Arial" w:cs="Arial"/>
        </w:rPr>
        <w:t xml:space="preserve"> (2</w:t>
      </w:r>
      <w:r w:rsidR="00983C1F" w:rsidRPr="00810659">
        <w:rPr>
          <w:rFonts w:ascii="Arial" w:hAnsi="Arial" w:cs="Arial"/>
        </w:rPr>
        <w:t>4</w:t>
      </w:r>
      <w:r w:rsidR="00D14DB0" w:rsidRPr="00810659">
        <w:rPr>
          <w:rFonts w:ascii="Arial" w:hAnsi="Arial" w:cs="Arial"/>
        </w:rPr>
        <w:t>%)</w:t>
      </w:r>
      <w:r w:rsidR="00937051" w:rsidRPr="00810659">
        <w:rPr>
          <w:rFonts w:ascii="Arial" w:hAnsi="Arial" w:cs="Arial"/>
        </w:rPr>
        <w:t xml:space="preserve"> ethnic background. They </w:t>
      </w:r>
      <w:r w:rsidR="00451713" w:rsidRPr="00810659">
        <w:rPr>
          <w:rFonts w:ascii="Arial" w:hAnsi="Arial" w:cs="Arial"/>
        </w:rPr>
        <w:t>were</w:t>
      </w:r>
      <w:r w:rsidR="00937051" w:rsidRPr="00810659">
        <w:rPr>
          <w:rFonts w:ascii="Arial" w:hAnsi="Arial" w:cs="Arial"/>
        </w:rPr>
        <w:t xml:space="preserve"> more likely to be living with a disabled child</w:t>
      </w:r>
      <w:r w:rsidR="00D14DB0" w:rsidRPr="00810659">
        <w:rPr>
          <w:rFonts w:ascii="Arial" w:hAnsi="Arial" w:cs="Arial"/>
        </w:rPr>
        <w:t xml:space="preserve"> (</w:t>
      </w:r>
      <w:r w:rsidR="0082223E" w:rsidRPr="00810659">
        <w:rPr>
          <w:rFonts w:ascii="Arial" w:hAnsi="Arial" w:cs="Arial"/>
        </w:rPr>
        <w:t>29</w:t>
      </w:r>
      <w:r w:rsidR="00D14DB0" w:rsidRPr="00810659">
        <w:rPr>
          <w:rFonts w:ascii="Arial" w:hAnsi="Arial" w:cs="Arial"/>
        </w:rPr>
        <w:t>%)</w:t>
      </w:r>
      <w:r w:rsidR="00937051" w:rsidRPr="00810659">
        <w:rPr>
          <w:rFonts w:ascii="Arial" w:hAnsi="Arial" w:cs="Arial"/>
        </w:rPr>
        <w:t xml:space="preserve"> </w:t>
      </w:r>
      <w:r w:rsidR="00E85063" w:rsidRPr="00810659">
        <w:rPr>
          <w:rFonts w:ascii="Arial" w:hAnsi="Arial" w:cs="Arial"/>
        </w:rPr>
        <w:t xml:space="preserve">as well as being </w:t>
      </w:r>
      <w:r w:rsidR="00767F79" w:rsidRPr="00810659">
        <w:rPr>
          <w:rFonts w:ascii="Arial" w:hAnsi="Arial" w:cs="Arial"/>
        </w:rPr>
        <w:t>either single with children</w:t>
      </w:r>
      <w:r w:rsidR="00D14DB0" w:rsidRPr="00810659">
        <w:rPr>
          <w:rFonts w:ascii="Arial" w:hAnsi="Arial" w:cs="Arial"/>
        </w:rPr>
        <w:t xml:space="preserve"> (</w:t>
      </w:r>
      <w:r w:rsidR="00B22CE8" w:rsidRPr="00810659">
        <w:rPr>
          <w:rFonts w:ascii="Arial" w:hAnsi="Arial" w:cs="Arial"/>
        </w:rPr>
        <w:t>35</w:t>
      </w:r>
      <w:r w:rsidR="00D14DB0" w:rsidRPr="00810659">
        <w:rPr>
          <w:rFonts w:ascii="Arial" w:hAnsi="Arial" w:cs="Arial"/>
        </w:rPr>
        <w:t>%)</w:t>
      </w:r>
      <w:r w:rsidR="00767F79" w:rsidRPr="00810659">
        <w:rPr>
          <w:rFonts w:ascii="Arial" w:hAnsi="Arial" w:cs="Arial"/>
        </w:rPr>
        <w:t xml:space="preserve"> or a single pensioner</w:t>
      </w:r>
      <w:r w:rsidR="00D14DB0" w:rsidRPr="00810659">
        <w:rPr>
          <w:rFonts w:ascii="Arial" w:hAnsi="Arial" w:cs="Arial"/>
        </w:rPr>
        <w:t xml:space="preserve"> (</w:t>
      </w:r>
      <w:r w:rsidR="00B22CE8" w:rsidRPr="00810659">
        <w:rPr>
          <w:rFonts w:ascii="Arial" w:hAnsi="Arial" w:cs="Arial"/>
        </w:rPr>
        <w:t>30</w:t>
      </w:r>
      <w:r w:rsidR="00D14DB0" w:rsidRPr="00810659">
        <w:rPr>
          <w:rFonts w:ascii="Arial" w:hAnsi="Arial" w:cs="Arial"/>
        </w:rPr>
        <w:t>%)</w:t>
      </w:r>
      <w:r w:rsidR="00767F79" w:rsidRPr="00810659">
        <w:rPr>
          <w:rFonts w:ascii="Arial" w:hAnsi="Arial" w:cs="Arial"/>
        </w:rPr>
        <w:t>.</w:t>
      </w:r>
      <w:r w:rsidR="00577AC0" w:rsidRPr="00810659">
        <w:rPr>
          <w:rFonts w:ascii="Arial" w:hAnsi="Arial" w:cs="Arial"/>
        </w:rPr>
        <w:t xml:space="preserve"> </w:t>
      </w:r>
    </w:p>
    <w:p w14:paraId="11FE3821" w14:textId="73740481" w:rsidR="00D73831" w:rsidRPr="00810659" w:rsidRDefault="00775387" w:rsidP="00DE4DEC">
      <w:pPr>
        <w:rPr>
          <w:rFonts w:ascii="Arial" w:hAnsi="Arial" w:cs="Arial"/>
        </w:rPr>
      </w:pPr>
      <w:r w:rsidRPr="00810659">
        <w:rPr>
          <w:rFonts w:ascii="Arial" w:hAnsi="Arial" w:cs="Arial"/>
        </w:rPr>
        <w:t>7.1</w:t>
      </w:r>
      <w:r w:rsidR="0021757C" w:rsidRPr="00810659">
        <w:rPr>
          <w:rFonts w:ascii="Arial" w:hAnsi="Arial" w:cs="Arial"/>
        </w:rPr>
        <w:t>4</w:t>
      </w:r>
      <w:r w:rsidRPr="00810659">
        <w:rPr>
          <w:rFonts w:ascii="Arial" w:hAnsi="Arial" w:cs="Arial"/>
        </w:rPr>
        <w:t xml:space="preserve">. </w:t>
      </w:r>
      <w:r w:rsidR="00577AC0" w:rsidRPr="00810659">
        <w:rPr>
          <w:rFonts w:ascii="Arial" w:hAnsi="Arial" w:cs="Arial"/>
        </w:rPr>
        <w:t>To conclude, the</w:t>
      </w:r>
      <w:r w:rsidR="003A1540" w:rsidRPr="00810659">
        <w:rPr>
          <w:rFonts w:ascii="Arial" w:hAnsi="Arial" w:cs="Arial"/>
        </w:rPr>
        <w:t xml:space="preserve"> proposed changes to the</w:t>
      </w:r>
      <w:r w:rsidR="00577AC0" w:rsidRPr="00810659">
        <w:rPr>
          <w:rFonts w:ascii="Arial" w:hAnsi="Arial" w:cs="Arial"/>
        </w:rPr>
        <w:t xml:space="preserve"> </w:t>
      </w:r>
      <w:proofErr w:type="spellStart"/>
      <w:r w:rsidR="00577AC0" w:rsidRPr="00810659">
        <w:rPr>
          <w:rFonts w:ascii="Arial" w:hAnsi="Arial" w:cs="Arial"/>
        </w:rPr>
        <w:t>HwF</w:t>
      </w:r>
      <w:proofErr w:type="spellEnd"/>
      <w:r w:rsidR="003A1540" w:rsidRPr="00810659">
        <w:rPr>
          <w:rFonts w:ascii="Arial" w:hAnsi="Arial" w:cs="Arial"/>
        </w:rPr>
        <w:t xml:space="preserve"> scheme</w:t>
      </w:r>
      <w:r w:rsidR="00577AC0" w:rsidRPr="00810659">
        <w:rPr>
          <w:rFonts w:ascii="Arial" w:hAnsi="Arial" w:cs="Arial"/>
        </w:rPr>
        <w:t xml:space="preserve"> </w:t>
      </w:r>
      <w:r w:rsidR="00D247A5" w:rsidRPr="00810659">
        <w:rPr>
          <w:rFonts w:ascii="Arial" w:hAnsi="Arial" w:cs="Arial"/>
        </w:rPr>
        <w:t>are likely to</w:t>
      </w:r>
      <w:r w:rsidR="00577AC0" w:rsidRPr="00810659">
        <w:rPr>
          <w:rFonts w:ascii="Arial" w:hAnsi="Arial" w:cs="Arial"/>
        </w:rPr>
        <w:t xml:space="preserve"> be </w:t>
      </w:r>
      <w:r w:rsidR="00052611" w:rsidRPr="00810659">
        <w:rPr>
          <w:rFonts w:ascii="Arial" w:hAnsi="Arial" w:cs="Arial"/>
        </w:rPr>
        <w:t>of most benefit</w:t>
      </w:r>
      <w:r w:rsidR="00577AC0" w:rsidRPr="00810659">
        <w:rPr>
          <w:rFonts w:ascii="Arial" w:hAnsi="Arial" w:cs="Arial"/>
        </w:rPr>
        <w:t xml:space="preserve"> to</w:t>
      </w:r>
      <w:r w:rsidR="00D73831" w:rsidRPr="00810659">
        <w:rPr>
          <w:rFonts w:ascii="Arial" w:hAnsi="Arial" w:cs="Arial"/>
        </w:rPr>
        <w:t xml:space="preserve"> those whose income</w:t>
      </w:r>
      <w:r w:rsidR="00D144AD" w:rsidRPr="00810659">
        <w:rPr>
          <w:rFonts w:ascii="Arial" w:hAnsi="Arial" w:cs="Arial"/>
        </w:rPr>
        <w:t xml:space="preserve"> </w:t>
      </w:r>
      <w:r w:rsidR="00B00C5F" w:rsidRPr="00810659">
        <w:rPr>
          <w:rFonts w:ascii="Arial" w:hAnsi="Arial" w:cs="Arial"/>
        </w:rPr>
        <w:t>is</w:t>
      </w:r>
      <w:r w:rsidR="00D73831" w:rsidRPr="00810659">
        <w:rPr>
          <w:rFonts w:ascii="Arial" w:hAnsi="Arial" w:cs="Arial"/>
        </w:rPr>
        <w:t xml:space="preserve"> above the current </w:t>
      </w:r>
      <w:proofErr w:type="spellStart"/>
      <w:r w:rsidR="00D73831" w:rsidRPr="00810659">
        <w:rPr>
          <w:rFonts w:ascii="Arial" w:hAnsi="Arial" w:cs="Arial"/>
        </w:rPr>
        <w:t>HwF</w:t>
      </w:r>
      <w:proofErr w:type="spellEnd"/>
      <w:r w:rsidR="00D73831" w:rsidRPr="00810659">
        <w:rPr>
          <w:rFonts w:ascii="Arial" w:hAnsi="Arial" w:cs="Arial"/>
        </w:rPr>
        <w:t xml:space="preserve"> income threshold,</w:t>
      </w:r>
      <w:r w:rsidR="00594D77" w:rsidRPr="00810659">
        <w:rPr>
          <w:rFonts w:ascii="Arial" w:hAnsi="Arial" w:cs="Arial"/>
        </w:rPr>
        <w:t xml:space="preserve"> </w:t>
      </w:r>
      <w:r w:rsidR="00D1374F" w:rsidRPr="00810659">
        <w:rPr>
          <w:rFonts w:ascii="Arial" w:hAnsi="Arial" w:cs="Arial"/>
        </w:rPr>
        <w:t>but close to the new threshold</w:t>
      </w:r>
      <w:r w:rsidR="00D73831" w:rsidRPr="00810659">
        <w:rPr>
          <w:rFonts w:ascii="Arial" w:hAnsi="Arial" w:cs="Arial"/>
        </w:rPr>
        <w:t xml:space="preserve"> </w:t>
      </w:r>
      <w:r w:rsidR="00D1374F" w:rsidRPr="00810659">
        <w:rPr>
          <w:rFonts w:ascii="Arial" w:hAnsi="Arial" w:cs="Arial"/>
        </w:rPr>
        <w:t xml:space="preserve">as these individuals will now receive </w:t>
      </w:r>
      <w:r w:rsidR="0056260F" w:rsidRPr="00810659">
        <w:rPr>
          <w:rFonts w:ascii="Arial" w:hAnsi="Arial" w:cs="Arial"/>
        </w:rPr>
        <w:t xml:space="preserve">a larger remission than would otherwise have been the case, even with the increases to selected court fees. </w:t>
      </w:r>
      <w:r w:rsidR="00C77A6C" w:rsidRPr="00810659">
        <w:rPr>
          <w:rFonts w:ascii="Arial" w:hAnsi="Arial" w:cs="Arial"/>
        </w:rPr>
        <w:t xml:space="preserve">These individuals </w:t>
      </w:r>
      <w:r w:rsidR="001E38C5" w:rsidRPr="00810659">
        <w:rPr>
          <w:rFonts w:ascii="Arial" w:hAnsi="Arial" w:cs="Arial"/>
        </w:rPr>
        <w:t>would be</w:t>
      </w:r>
      <w:r w:rsidR="00C77A6C" w:rsidRPr="00810659">
        <w:rPr>
          <w:rFonts w:ascii="Arial" w:hAnsi="Arial" w:cs="Arial"/>
        </w:rPr>
        <w:t xml:space="preserve"> most likely to be </w:t>
      </w:r>
      <w:r w:rsidR="004A1E33" w:rsidRPr="00810659">
        <w:rPr>
          <w:rFonts w:ascii="Arial" w:hAnsi="Arial" w:cs="Arial"/>
        </w:rPr>
        <w:t xml:space="preserve">at the top of quintile 1 and in quintile 2, except for couples with no children whose median income in quintile 1 is higher than the proposed </w:t>
      </w:r>
      <w:proofErr w:type="spellStart"/>
      <w:r w:rsidR="004A1E33" w:rsidRPr="00810659">
        <w:rPr>
          <w:rFonts w:ascii="Arial" w:hAnsi="Arial" w:cs="Arial"/>
        </w:rPr>
        <w:t>HwF</w:t>
      </w:r>
      <w:proofErr w:type="spellEnd"/>
      <w:r w:rsidR="004A1E33" w:rsidRPr="00810659">
        <w:rPr>
          <w:rFonts w:ascii="Arial" w:hAnsi="Arial" w:cs="Arial"/>
        </w:rPr>
        <w:t xml:space="preserve"> </w:t>
      </w:r>
      <w:r w:rsidR="00AB1761" w:rsidRPr="00810659">
        <w:rPr>
          <w:rFonts w:ascii="Arial" w:hAnsi="Arial" w:cs="Arial"/>
        </w:rPr>
        <w:t xml:space="preserve">income </w:t>
      </w:r>
      <w:r w:rsidR="004A1E33" w:rsidRPr="00810659">
        <w:rPr>
          <w:rFonts w:ascii="Arial" w:hAnsi="Arial" w:cs="Arial"/>
        </w:rPr>
        <w:t>threshold.</w:t>
      </w:r>
    </w:p>
    <w:p w14:paraId="6E30DADB" w14:textId="6C52DF44" w:rsidR="00D738B6" w:rsidRPr="00810659" w:rsidRDefault="00634111" w:rsidP="00DE4DEC">
      <w:pPr>
        <w:rPr>
          <w:rFonts w:ascii="Arial" w:hAnsi="Arial" w:cs="Arial"/>
        </w:rPr>
      </w:pPr>
      <w:r w:rsidRPr="00810659">
        <w:rPr>
          <w:rFonts w:ascii="Arial" w:hAnsi="Arial" w:cs="Arial"/>
        </w:rPr>
        <w:t>7.1</w:t>
      </w:r>
      <w:r w:rsidR="0021757C" w:rsidRPr="00810659">
        <w:rPr>
          <w:rFonts w:ascii="Arial" w:hAnsi="Arial" w:cs="Arial"/>
        </w:rPr>
        <w:t>5</w:t>
      </w:r>
      <w:r w:rsidRPr="00810659">
        <w:rPr>
          <w:rFonts w:ascii="Arial" w:hAnsi="Arial" w:cs="Arial"/>
        </w:rPr>
        <w:t xml:space="preserve">. </w:t>
      </w:r>
      <w:r w:rsidR="00394DA6" w:rsidRPr="00810659">
        <w:rPr>
          <w:rFonts w:ascii="Arial" w:hAnsi="Arial" w:cs="Arial"/>
        </w:rPr>
        <w:t>In terms of discrimination, this may have an indirect positive effect on individuals with protected characteristics, in this case, mainly with regards to race</w:t>
      </w:r>
      <w:r w:rsidR="004970A1" w:rsidRPr="00810659">
        <w:rPr>
          <w:rFonts w:ascii="Arial" w:hAnsi="Arial" w:cs="Arial"/>
        </w:rPr>
        <w:t>,</w:t>
      </w:r>
      <w:r w:rsidR="00394DA6" w:rsidRPr="00810659">
        <w:rPr>
          <w:rFonts w:ascii="Arial" w:hAnsi="Arial" w:cs="Arial"/>
        </w:rPr>
        <w:t xml:space="preserve"> disability</w:t>
      </w:r>
      <w:r w:rsidR="004970A1" w:rsidRPr="00810659">
        <w:rPr>
          <w:rFonts w:ascii="Arial" w:hAnsi="Arial" w:cs="Arial"/>
        </w:rPr>
        <w:t xml:space="preserve"> and age</w:t>
      </w:r>
      <w:r w:rsidR="00875D28" w:rsidRPr="00810659">
        <w:rPr>
          <w:rFonts w:ascii="Arial" w:hAnsi="Arial" w:cs="Arial"/>
        </w:rPr>
        <w:t xml:space="preserve"> as </w:t>
      </w:r>
      <w:r w:rsidR="00ED3706" w:rsidRPr="00810659">
        <w:rPr>
          <w:rFonts w:ascii="Arial" w:hAnsi="Arial" w:cs="Arial"/>
        </w:rPr>
        <w:t>these groups of people make up for the majority of quintile 1 and quintile 2.</w:t>
      </w:r>
    </w:p>
    <w:p w14:paraId="6E938ED5" w14:textId="2DDB7778" w:rsidR="00D0000C" w:rsidRPr="00810659" w:rsidRDefault="00D0000C" w:rsidP="00DE4DEC">
      <w:pPr>
        <w:rPr>
          <w:rFonts w:ascii="Arial" w:hAnsi="Arial" w:cs="Arial"/>
        </w:rPr>
      </w:pPr>
    </w:p>
    <w:p w14:paraId="5782F442" w14:textId="55E1749F" w:rsidR="00D0000C" w:rsidRPr="00810659" w:rsidRDefault="00D0000C" w:rsidP="00DE4DEC">
      <w:pPr>
        <w:rPr>
          <w:rFonts w:ascii="Arial" w:hAnsi="Arial" w:cs="Arial"/>
        </w:rPr>
      </w:pPr>
    </w:p>
    <w:p w14:paraId="4543E023" w14:textId="679AD8F8" w:rsidR="00D0000C" w:rsidRPr="00810659" w:rsidRDefault="00F86ED9" w:rsidP="00DE4DEC">
      <w:pPr>
        <w:rPr>
          <w:rFonts w:ascii="Arial" w:hAnsi="Arial" w:cs="Arial"/>
        </w:rPr>
      </w:pPr>
      <w:r w:rsidRPr="00810659">
        <w:rPr>
          <w:rFonts w:ascii="Arial" w:hAnsi="Arial" w:cs="Arial"/>
        </w:rPr>
        <w:br w:type="page"/>
      </w:r>
    </w:p>
    <w:p w14:paraId="460B2E84" w14:textId="71BA2C54" w:rsidR="007838BB" w:rsidRPr="00810659" w:rsidRDefault="007838BB" w:rsidP="00DE4DEC">
      <w:pPr>
        <w:rPr>
          <w:rFonts w:ascii="Arial" w:hAnsi="Arial" w:cs="Arial"/>
          <w:b/>
        </w:rPr>
      </w:pPr>
      <w:r w:rsidRPr="00810659">
        <w:rPr>
          <w:rFonts w:ascii="Arial" w:hAnsi="Arial" w:cs="Arial"/>
          <w:b/>
        </w:rPr>
        <w:lastRenderedPageBreak/>
        <w:t xml:space="preserve">Table </w:t>
      </w:r>
      <w:r w:rsidR="00083D74" w:rsidRPr="00810659">
        <w:rPr>
          <w:rFonts w:ascii="Arial" w:hAnsi="Arial" w:cs="Arial"/>
          <w:b/>
        </w:rPr>
        <w:t>9</w:t>
      </w:r>
      <w:r w:rsidRPr="00810659">
        <w:rPr>
          <w:rFonts w:ascii="Arial" w:hAnsi="Arial" w:cs="Arial"/>
          <w:b/>
        </w:rPr>
        <w:t>: Quintile income distribution by various characteristics</w:t>
      </w:r>
    </w:p>
    <w:p w14:paraId="3AD101F6" w14:textId="2E570805" w:rsidR="00062FD5" w:rsidRPr="00810659" w:rsidRDefault="00FA5438" w:rsidP="00DE4DEC">
      <w:pPr>
        <w:rPr>
          <w:rFonts w:ascii="Arial" w:hAnsi="Arial" w:cs="Arial"/>
        </w:rPr>
      </w:pPr>
      <w:r>
        <w:rPr>
          <w:rFonts w:ascii="Arial" w:hAnsi="Arial" w:cs="Arial"/>
          <w:noProof/>
        </w:rPr>
        <mc:AlternateContent>
          <mc:Choice Requires="wps">
            <w:drawing>
              <wp:anchor distT="0" distB="0" distL="114300" distR="114300" simplePos="0" relativeHeight="251661312" behindDoc="0" locked="0" layoutInCell="1" allowOverlap="1" wp14:anchorId="5BDB7A3C" wp14:editId="5436C06C">
                <wp:simplePos x="0" y="0"/>
                <wp:positionH relativeFrom="column">
                  <wp:posOffset>-69850</wp:posOffset>
                </wp:positionH>
                <wp:positionV relativeFrom="paragraph">
                  <wp:posOffset>671195</wp:posOffset>
                </wp:positionV>
                <wp:extent cx="1466850" cy="279400"/>
                <wp:effectExtent l="0" t="0" r="0" b="6350"/>
                <wp:wrapNone/>
                <wp:docPr id="8" name="Text Box 8"/>
                <wp:cNvGraphicFramePr/>
                <a:graphic xmlns:a="http://schemas.openxmlformats.org/drawingml/2006/main">
                  <a:graphicData uri="http://schemas.microsoft.com/office/word/2010/wordprocessingShape">
                    <wps:wsp>
                      <wps:cNvSpPr txBox="1"/>
                      <wps:spPr>
                        <a:xfrm>
                          <a:off x="0" y="0"/>
                          <a:ext cx="1466850" cy="279400"/>
                        </a:xfrm>
                        <a:prstGeom prst="rect">
                          <a:avLst/>
                        </a:prstGeom>
                        <a:noFill/>
                        <a:ln w="6350">
                          <a:noFill/>
                        </a:ln>
                      </wps:spPr>
                      <wps:txbx>
                        <w:txbxContent>
                          <w:p w14:paraId="15B6FFCF" w14:textId="62C3906D" w:rsidR="00FA5438" w:rsidRPr="00FA5438" w:rsidRDefault="00FA5438">
                            <w:pPr>
                              <w:rPr>
                                <w:rFonts w:ascii="Arial" w:hAnsi="Arial" w:cs="Arial"/>
                                <w:b/>
                                <w:bCs/>
                                <w:sz w:val="16"/>
                                <w:szCs w:val="16"/>
                              </w:rPr>
                            </w:pPr>
                            <w:r w:rsidRPr="00FA5438">
                              <w:rPr>
                                <w:rFonts w:ascii="Arial" w:hAnsi="Arial" w:cs="Arial"/>
                                <w:b/>
                                <w:bCs/>
                                <w:sz w:val="16"/>
                                <w:szCs w:val="16"/>
                              </w:rPr>
                              <w:t>Sex and adulthood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DB7A3C" id="_x0000_t202" coordsize="21600,21600" o:spt="202" path="m,l,21600r21600,l21600,xe">
                <v:stroke joinstyle="miter"/>
                <v:path gradientshapeok="t" o:connecttype="rect"/>
              </v:shapetype>
              <v:shape id="Text Box 8" o:spid="_x0000_s1026" type="#_x0000_t202" style="position:absolute;margin-left:-5.5pt;margin-top:52.85pt;width:115.5pt;height:2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" filled="f" stroked="f" strokeweight=".5pt">
                <v:textbox>
                  <w:txbxContent>
                    <w:p w14:paraId="15B6FFCF" w14:textId="62C3906D" w:rsidR="00FA5438" w:rsidRPr="00FA5438" w:rsidRDefault="00FA5438">
                      <w:pPr>
                        <w:rPr>
                          <w:rFonts w:ascii="Arial" w:hAnsi="Arial" w:cs="Arial"/>
                          <w:b/>
                          <w:bCs/>
                          <w:sz w:val="16"/>
                          <w:szCs w:val="16"/>
                        </w:rPr>
                      </w:pPr>
                      <w:r w:rsidRPr="00FA5438">
                        <w:rPr>
                          <w:rFonts w:ascii="Arial" w:hAnsi="Arial" w:cs="Arial"/>
                          <w:b/>
                          <w:bCs/>
                          <w:sz w:val="16"/>
                          <w:szCs w:val="16"/>
                        </w:rPr>
                        <w:t>Sex and adulthood</w:t>
                      </w:r>
                    </w:p>
                  </w:txbxContent>
                </v:textbox>
              </v:shape>
            </w:pict>
          </mc:Fallback>
        </mc:AlternateContent>
      </w:r>
      <w:r>
        <w:rPr>
          <w:rFonts w:ascii="Arial" w:hAnsi="Arial" w:cs="Arial"/>
          <w:noProof/>
        </w:rPr>
        <mc:AlternateContent>
          <mc:Choice Requires="wps">
            <w:drawing>
              <wp:anchor distT="0" distB="0" distL="114300" distR="114300" simplePos="0" relativeHeight="251660288" behindDoc="0" locked="0" layoutInCell="1" allowOverlap="1" wp14:anchorId="64D65446" wp14:editId="39BB425A">
                <wp:simplePos x="0" y="0"/>
                <wp:positionH relativeFrom="column">
                  <wp:posOffset>44450</wp:posOffset>
                </wp:positionH>
                <wp:positionV relativeFrom="paragraph">
                  <wp:posOffset>506095</wp:posOffset>
                </wp:positionV>
                <wp:extent cx="1416050" cy="285750"/>
                <wp:effectExtent l="0" t="0" r="0" b="0"/>
                <wp:wrapNone/>
                <wp:docPr id="7" name="Text Box 7"/>
                <wp:cNvGraphicFramePr/>
                <a:graphic xmlns:a="http://schemas.openxmlformats.org/drawingml/2006/main">
                  <a:graphicData uri="http://schemas.microsoft.com/office/word/2010/wordprocessingShape">
                    <wps:wsp>
                      <wps:cNvSpPr txBox="1"/>
                      <wps:spPr>
                        <a:xfrm>
                          <a:off x="0" y="0"/>
                          <a:ext cx="1416050" cy="285750"/>
                        </a:xfrm>
                        <a:prstGeom prst="rect">
                          <a:avLst/>
                        </a:prstGeom>
                        <a:solidFill>
                          <a:schemeClr val="lt1"/>
                        </a:solidFill>
                        <a:ln w="6350">
                          <a:noFill/>
                        </a:ln>
                      </wps:spPr>
                      <wps:txbx>
                        <w:txbxContent>
                          <w:p w14:paraId="7CFF0D42" w14:textId="7C49F954" w:rsidR="00FA5438" w:rsidRPr="00FA5438" w:rsidRDefault="00FA5438">
                            <w:pPr>
                              <w:rPr>
                                <w:b/>
                                <w:bCs/>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D65446" id="Text Box 7" o:spid="_x0000_s1027" type="#_x0000_t202" style="position:absolute;margin-left:3.5pt;margin-top:39.85pt;width:111.5pt;height: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" fillcolor="white [3201]" stroked="f" strokeweight=".5pt">
                <v:textbox>
                  <w:txbxContent>
                    <w:p w14:paraId="7CFF0D42" w14:textId="7C49F954" w:rsidR="00FA5438" w:rsidRPr="00FA5438" w:rsidRDefault="00FA5438">
                      <w:pPr>
                        <w:rPr>
                          <w:b/>
                          <w:bCs/>
                          <w:sz w:val="20"/>
                          <w:szCs w:val="20"/>
                        </w:rPr>
                      </w:pPr>
                    </w:p>
                  </w:txbxContent>
                </v:textbox>
              </v:shape>
            </w:pict>
          </mc:Fallback>
        </mc:AlternateContent>
      </w:r>
      <w:r>
        <w:rPr>
          <w:rFonts w:ascii="Arial" w:hAnsi="Arial" w:cs="Arial"/>
          <w:noProof/>
        </w:rPr>
        <mc:AlternateContent>
          <mc:Choice Requires="wps">
            <w:drawing>
              <wp:anchor distT="0" distB="0" distL="114300" distR="114300" simplePos="0" relativeHeight="251659264" behindDoc="0" locked="0" layoutInCell="1" allowOverlap="1" wp14:anchorId="600D5C4F" wp14:editId="04DA1AA3">
                <wp:simplePos x="0" y="0"/>
                <wp:positionH relativeFrom="margin">
                  <wp:posOffset>12700</wp:posOffset>
                </wp:positionH>
                <wp:positionV relativeFrom="paragraph">
                  <wp:posOffset>658495</wp:posOffset>
                </wp:positionV>
                <wp:extent cx="1282700" cy="158750"/>
                <wp:effectExtent l="0" t="0" r="0" b="0"/>
                <wp:wrapNone/>
                <wp:docPr id="4" name="Rectangle 4"/>
                <wp:cNvGraphicFramePr/>
                <a:graphic xmlns:a="http://schemas.openxmlformats.org/drawingml/2006/main">
                  <a:graphicData uri="http://schemas.microsoft.com/office/word/2010/wordprocessingShape">
                    <wps:wsp>
                      <wps:cNvSpPr/>
                      <wps:spPr>
                        <a:xfrm>
                          <a:off x="0" y="0"/>
                          <a:ext cx="1282700" cy="1587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FD3746" id="Rectangle 4" o:spid="_x0000_s1026" style="position:absolute;margin-left:1pt;margin-top:51.85pt;width:101pt;height:1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" fillcolor="white [3212]" stroked="f" strokeweight="1pt">
                <w10:wrap anchorx="margin"/>
              </v:rect>
            </w:pict>
          </mc:Fallback>
        </mc:AlternateContent>
      </w:r>
      <w:r w:rsidR="00D85CF2" w:rsidRPr="00810659">
        <w:rPr>
          <w:rFonts w:ascii="Arial" w:hAnsi="Arial" w:cs="Arial"/>
          <w:noProof/>
        </w:rPr>
        <w:drawing>
          <wp:inline distT="0" distB="0" distL="0" distR="0" wp14:anchorId="70A4079D" wp14:editId="1013F161">
            <wp:extent cx="5731510" cy="5883277"/>
            <wp:effectExtent l="0" t="0" r="2540" b="317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14">
                      <a:extLst>
                        <a:ext uri="{28A0092B-C50C-407E-A947-70E740481C1C}">
                          <a14:useLocalDpi xmlns:a14="http://schemas.microsoft.com/office/drawing/2010/main" val="0"/>
                        </a:ext>
                      </a:extLst>
                    </a:blip>
                    <a:stretch>
                      <a:fillRect/>
                    </a:stretch>
                  </pic:blipFill>
                  <pic:spPr>
                    <a:xfrm>
                      <a:off x="0" y="0"/>
                      <a:ext cx="5731510" cy="5883277"/>
                    </a:xfrm>
                    <a:prstGeom prst="rect">
                      <a:avLst/>
                    </a:prstGeom>
                  </pic:spPr>
                </pic:pic>
              </a:graphicData>
            </a:graphic>
          </wp:inline>
        </w:drawing>
      </w:r>
    </w:p>
    <w:p w14:paraId="14791138" w14:textId="77777777" w:rsidR="00062FD5" w:rsidRPr="00810659" w:rsidRDefault="00062FD5" w:rsidP="00DE4DEC">
      <w:pPr>
        <w:rPr>
          <w:rFonts w:ascii="Arial" w:hAnsi="Arial" w:cs="Arial"/>
        </w:rPr>
      </w:pPr>
    </w:p>
    <w:p w14:paraId="24B9EEC8" w14:textId="6E23B3B3" w:rsidR="001D6812" w:rsidRPr="00810659" w:rsidRDefault="00481B45" w:rsidP="00DE4DEC">
      <w:pPr>
        <w:rPr>
          <w:rFonts w:ascii="Arial" w:hAnsi="Arial" w:cs="Arial"/>
          <w:b/>
          <w:sz w:val="28"/>
        </w:rPr>
      </w:pPr>
      <w:r w:rsidRPr="00810659">
        <w:rPr>
          <w:rFonts w:ascii="Arial" w:hAnsi="Arial" w:cs="Arial"/>
          <w:b/>
          <w:sz w:val="28"/>
        </w:rPr>
        <w:t>8. Conclusion</w:t>
      </w:r>
    </w:p>
    <w:p w14:paraId="6AB1C8D8" w14:textId="15592E2E" w:rsidR="00481B45" w:rsidRPr="00810659" w:rsidRDefault="00764B23" w:rsidP="00DE4DEC">
      <w:pPr>
        <w:rPr>
          <w:rFonts w:ascii="Arial" w:hAnsi="Arial" w:cs="Arial"/>
        </w:rPr>
      </w:pPr>
      <w:r w:rsidRPr="00810659">
        <w:rPr>
          <w:rFonts w:ascii="Arial" w:hAnsi="Arial" w:cs="Arial"/>
        </w:rPr>
        <w:t>8.1.</w:t>
      </w:r>
      <w:r w:rsidR="00954599" w:rsidRPr="00810659">
        <w:rPr>
          <w:rFonts w:ascii="Arial" w:hAnsi="Arial" w:cs="Arial"/>
        </w:rPr>
        <w:t xml:space="preserve"> </w:t>
      </w:r>
      <w:r w:rsidR="00F802CF" w:rsidRPr="00810659">
        <w:rPr>
          <w:rFonts w:ascii="Arial" w:hAnsi="Arial" w:cs="Arial"/>
        </w:rPr>
        <w:t xml:space="preserve">From our analysis, we believe that the proposed increase in court fees will not lead to direct discrimination. These fees will apply to every court user and </w:t>
      </w:r>
      <w:r w:rsidR="1A430360" w:rsidRPr="00810659">
        <w:rPr>
          <w:rFonts w:ascii="Arial" w:hAnsi="Arial" w:cs="Arial"/>
        </w:rPr>
        <w:t>will</w:t>
      </w:r>
      <w:r w:rsidR="00F802CF" w:rsidRPr="00810659">
        <w:rPr>
          <w:rFonts w:ascii="Arial" w:hAnsi="Arial" w:cs="Arial"/>
        </w:rPr>
        <w:t xml:space="preserve"> not discriminate against individuals because of their protected characteristics. </w:t>
      </w:r>
    </w:p>
    <w:p w14:paraId="7F020C02" w14:textId="2B33E2F7" w:rsidR="00F802CF" w:rsidRPr="00810659" w:rsidRDefault="00F802CF" w:rsidP="00DE4DEC">
      <w:pPr>
        <w:rPr>
          <w:rFonts w:ascii="Arial" w:hAnsi="Arial" w:cs="Arial"/>
        </w:rPr>
      </w:pPr>
      <w:r w:rsidRPr="00810659">
        <w:rPr>
          <w:rFonts w:ascii="Arial" w:hAnsi="Arial" w:cs="Arial"/>
        </w:rPr>
        <w:t xml:space="preserve">8.2. However, </w:t>
      </w:r>
      <w:r w:rsidR="00EB3D3D" w:rsidRPr="00810659">
        <w:rPr>
          <w:rFonts w:ascii="Arial" w:hAnsi="Arial" w:cs="Arial"/>
        </w:rPr>
        <w:t>evidence suggests that there is likely to be over-representation of</w:t>
      </w:r>
      <w:r w:rsidR="43FF23AE" w:rsidRPr="00810659">
        <w:rPr>
          <w:rFonts w:ascii="Arial" w:hAnsi="Arial" w:cs="Arial"/>
        </w:rPr>
        <w:t xml:space="preserve"> people with</w:t>
      </w:r>
      <w:r w:rsidR="00EB3D3D" w:rsidRPr="00810659">
        <w:rPr>
          <w:rFonts w:ascii="Arial" w:hAnsi="Arial" w:cs="Arial"/>
        </w:rPr>
        <w:t xml:space="preserve"> certain</w:t>
      </w:r>
      <w:r w:rsidR="6C649134" w:rsidRPr="00810659">
        <w:rPr>
          <w:rFonts w:ascii="Arial" w:hAnsi="Arial" w:cs="Arial"/>
        </w:rPr>
        <w:t xml:space="preserve"> protected</w:t>
      </w:r>
      <w:r w:rsidR="00EB3D3D" w:rsidRPr="00810659">
        <w:rPr>
          <w:rFonts w:ascii="Arial" w:hAnsi="Arial" w:cs="Arial"/>
        </w:rPr>
        <w:t xml:space="preserve"> characteristics </w:t>
      </w:r>
      <w:r w:rsidR="56AEB4B8" w:rsidRPr="00810659">
        <w:rPr>
          <w:rFonts w:ascii="Arial" w:hAnsi="Arial" w:cs="Arial"/>
        </w:rPr>
        <w:t xml:space="preserve">amongst court users </w:t>
      </w:r>
      <w:r w:rsidR="00EB3D3D" w:rsidRPr="00810659">
        <w:rPr>
          <w:rFonts w:ascii="Arial" w:hAnsi="Arial" w:cs="Arial"/>
        </w:rPr>
        <w:t>compared to the general population</w:t>
      </w:r>
      <w:r w:rsidR="00AF2037" w:rsidRPr="00810659">
        <w:rPr>
          <w:rFonts w:ascii="Arial" w:hAnsi="Arial" w:cs="Arial"/>
        </w:rPr>
        <w:t xml:space="preserve">. </w:t>
      </w:r>
    </w:p>
    <w:p w14:paraId="3E1D0BED" w14:textId="41320F2A" w:rsidR="00AF2037" w:rsidRPr="00810659" w:rsidRDefault="00AF2037" w:rsidP="00DE4DEC">
      <w:pPr>
        <w:rPr>
          <w:rFonts w:ascii="Arial" w:hAnsi="Arial" w:cs="Arial"/>
        </w:rPr>
      </w:pPr>
      <w:r w:rsidRPr="00810659">
        <w:rPr>
          <w:rFonts w:ascii="Arial" w:hAnsi="Arial" w:cs="Arial"/>
        </w:rPr>
        <w:t>8.3. For both civil and high courts and private family law, the</w:t>
      </w:r>
      <w:r w:rsidR="00C022CD" w:rsidRPr="00810659">
        <w:rPr>
          <w:rFonts w:ascii="Arial" w:hAnsi="Arial" w:cs="Arial"/>
        </w:rPr>
        <w:t xml:space="preserve"> main affected</w:t>
      </w:r>
      <w:r w:rsidRPr="00810659">
        <w:rPr>
          <w:rFonts w:ascii="Arial" w:hAnsi="Arial" w:cs="Arial"/>
        </w:rPr>
        <w:t xml:space="preserve"> characteristics are gender, age and race. </w:t>
      </w:r>
    </w:p>
    <w:p w14:paraId="0DC5534A" w14:textId="6AE3EF28" w:rsidR="00AF2037" w:rsidRPr="00810659" w:rsidRDefault="00AF2037" w:rsidP="00DE4DEC">
      <w:pPr>
        <w:rPr>
          <w:rFonts w:ascii="Arial" w:hAnsi="Arial" w:cs="Arial"/>
        </w:rPr>
      </w:pPr>
      <w:r w:rsidRPr="00810659">
        <w:rPr>
          <w:rFonts w:ascii="Arial" w:hAnsi="Arial" w:cs="Arial"/>
        </w:rPr>
        <w:t>8.4. For Magistrates</w:t>
      </w:r>
      <w:r w:rsidR="61C2AD91" w:rsidRPr="00810659">
        <w:rPr>
          <w:rFonts w:ascii="Arial" w:hAnsi="Arial" w:cs="Arial"/>
        </w:rPr>
        <w:t>’</w:t>
      </w:r>
      <w:r w:rsidRPr="00810659">
        <w:rPr>
          <w:rFonts w:ascii="Arial" w:hAnsi="Arial" w:cs="Arial"/>
        </w:rPr>
        <w:t xml:space="preserve"> courts and </w:t>
      </w:r>
      <w:r w:rsidR="29B82CAB" w:rsidRPr="00810659">
        <w:rPr>
          <w:rFonts w:ascii="Arial" w:hAnsi="Arial" w:cs="Arial"/>
        </w:rPr>
        <w:t xml:space="preserve">in </w:t>
      </w:r>
      <w:r w:rsidRPr="00810659">
        <w:rPr>
          <w:rFonts w:ascii="Arial" w:hAnsi="Arial" w:cs="Arial"/>
        </w:rPr>
        <w:t>public family law</w:t>
      </w:r>
      <w:r w:rsidR="59E34F28" w:rsidRPr="00810659">
        <w:rPr>
          <w:rFonts w:ascii="Arial" w:hAnsi="Arial" w:cs="Arial"/>
        </w:rPr>
        <w:t xml:space="preserve"> proceedings</w:t>
      </w:r>
      <w:r w:rsidRPr="00810659">
        <w:rPr>
          <w:rFonts w:ascii="Arial" w:hAnsi="Arial" w:cs="Arial"/>
        </w:rPr>
        <w:t xml:space="preserve">, the main parties affected are organisations rather than individuals. As a result, we do not expect court fee changes to </w:t>
      </w:r>
      <w:r w:rsidRPr="00810659">
        <w:rPr>
          <w:rFonts w:ascii="Arial" w:hAnsi="Arial" w:cs="Arial"/>
        </w:rPr>
        <w:lastRenderedPageBreak/>
        <w:t xml:space="preserve">create any meaningful indirect discrimination towards individuals with protected characteristics. </w:t>
      </w:r>
    </w:p>
    <w:p w14:paraId="47CCDCF4" w14:textId="46719E74" w:rsidR="00AF2037" w:rsidRPr="00810659" w:rsidRDefault="00AF2037" w:rsidP="00DE4DEC">
      <w:pPr>
        <w:rPr>
          <w:rFonts w:ascii="Arial" w:hAnsi="Arial" w:cs="Arial"/>
        </w:rPr>
      </w:pPr>
      <w:r w:rsidRPr="00810659">
        <w:rPr>
          <w:rFonts w:ascii="Arial" w:hAnsi="Arial" w:cs="Arial"/>
        </w:rPr>
        <w:t>8.5. When looking at divorce,</w:t>
      </w:r>
      <w:r w:rsidR="00C022CD" w:rsidRPr="00810659">
        <w:rPr>
          <w:rFonts w:ascii="Arial" w:hAnsi="Arial" w:cs="Arial"/>
        </w:rPr>
        <w:t xml:space="preserve"> women</w:t>
      </w:r>
      <w:r w:rsidR="00A033F9" w:rsidRPr="00810659">
        <w:rPr>
          <w:rFonts w:ascii="Arial" w:hAnsi="Arial" w:cs="Arial"/>
        </w:rPr>
        <w:t>; and younger</w:t>
      </w:r>
      <w:r w:rsidR="00235461" w:rsidRPr="00810659">
        <w:rPr>
          <w:rFonts w:ascii="Arial" w:hAnsi="Arial" w:cs="Arial"/>
        </w:rPr>
        <w:t xml:space="preserve"> age</w:t>
      </w:r>
      <w:r w:rsidR="00C022CD" w:rsidRPr="00810659">
        <w:rPr>
          <w:rFonts w:ascii="Arial" w:hAnsi="Arial" w:cs="Arial"/>
        </w:rPr>
        <w:t xml:space="preserve"> </w:t>
      </w:r>
      <w:r w:rsidR="00A033F9" w:rsidRPr="00810659">
        <w:rPr>
          <w:rFonts w:ascii="Arial" w:hAnsi="Arial" w:cs="Arial"/>
        </w:rPr>
        <w:t xml:space="preserve">groups </w:t>
      </w:r>
      <w:r w:rsidR="00C022CD" w:rsidRPr="00810659">
        <w:rPr>
          <w:rFonts w:ascii="Arial" w:hAnsi="Arial" w:cs="Arial"/>
        </w:rPr>
        <w:t xml:space="preserve">will be the most affected by the changes. </w:t>
      </w:r>
      <w:r w:rsidR="00062FD5" w:rsidRPr="00810659">
        <w:rPr>
          <w:rFonts w:ascii="Arial" w:hAnsi="Arial" w:cs="Arial"/>
        </w:rPr>
        <w:t>D</w:t>
      </w:r>
      <w:r w:rsidR="00C022CD" w:rsidRPr="00810659">
        <w:rPr>
          <w:rFonts w:ascii="Arial" w:hAnsi="Arial" w:cs="Arial"/>
        </w:rPr>
        <w:t xml:space="preserve">ata was only available on </w:t>
      </w:r>
      <w:r w:rsidR="006B6FB7" w:rsidRPr="00810659">
        <w:rPr>
          <w:rFonts w:ascii="Arial" w:hAnsi="Arial" w:cs="Arial"/>
        </w:rPr>
        <w:t>age and gender</w:t>
      </w:r>
      <w:r w:rsidR="00C022CD" w:rsidRPr="00810659">
        <w:rPr>
          <w:rFonts w:ascii="Arial" w:hAnsi="Arial" w:cs="Arial"/>
        </w:rPr>
        <w:t>. Data on other</w:t>
      </w:r>
      <w:r w:rsidR="50D89EE7" w:rsidRPr="00810659">
        <w:rPr>
          <w:rFonts w:ascii="Arial" w:hAnsi="Arial" w:cs="Arial"/>
        </w:rPr>
        <w:t xml:space="preserve"> protected</w:t>
      </w:r>
      <w:r w:rsidR="00C022CD" w:rsidRPr="00810659">
        <w:rPr>
          <w:rFonts w:ascii="Arial" w:hAnsi="Arial" w:cs="Arial"/>
        </w:rPr>
        <w:t xml:space="preserve"> characteristics such as race, disability, pregnancy w</w:t>
      </w:r>
      <w:r w:rsidR="000D2160" w:rsidRPr="00810659">
        <w:rPr>
          <w:rFonts w:ascii="Arial" w:hAnsi="Arial" w:cs="Arial"/>
        </w:rPr>
        <w:t>ere</w:t>
      </w:r>
      <w:r w:rsidR="00C022CD" w:rsidRPr="00810659">
        <w:rPr>
          <w:rFonts w:ascii="Arial" w:hAnsi="Arial" w:cs="Arial"/>
        </w:rPr>
        <w:t xml:space="preserve"> not available. </w:t>
      </w:r>
    </w:p>
    <w:p w14:paraId="42C5063B" w14:textId="57D15D35" w:rsidR="00C022CD" w:rsidRPr="00810659" w:rsidRDefault="00C022CD" w:rsidP="00DE4DEC">
      <w:pPr>
        <w:rPr>
          <w:rFonts w:ascii="Arial" w:hAnsi="Arial" w:cs="Arial"/>
        </w:rPr>
      </w:pPr>
      <w:r w:rsidRPr="00810659">
        <w:rPr>
          <w:rFonts w:ascii="Arial" w:hAnsi="Arial" w:cs="Arial"/>
        </w:rPr>
        <w:t xml:space="preserve">8.6. Changes to fees regarding </w:t>
      </w:r>
      <w:r w:rsidR="00A05E3F" w:rsidRPr="00810659">
        <w:rPr>
          <w:rFonts w:ascii="Arial" w:hAnsi="Arial" w:cs="Arial"/>
        </w:rPr>
        <w:t>the C</w:t>
      </w:r>
      <w:r w:rsidRPr="00810659">
        <w:rPr>
          <w:rFonts w:ascii="Arial" w:hAnsi="Arial" w:cs="Arial"/>
        </w:rPr>
        <w:t xml:space="preserve">ourt of </w:t>
      </w:r>
      <w:r w:rsidR="00A05E3F" w:rsidRPr="00810659">
        <w:rPr>
          <w:rFonts w:ascii="Arial" w:hAnsi="Arial" w:cs="Arial"/>
        </w:rPr>
        <w:t>P</w:t>
      </w:r>
      <w:r w:rsidRPr="00810659">
        <w:rPr>
          <w:rFonts w:ascii="Arial" w:hAnsi="Arial" w:cs="Arial"/>
        </w:rPr>
        <w:t xml:space="preserve">rotection are likely to </w:t>
      </w:r>
      <w:r w:rsidR="00D57C49" w:rsidRPr="00810659">
        <w:rPr>
          <w:rFonts w:ascii="Arial" w:hAnsi="Arial" w:cs="Arial"/>
        </w:rPr>
        <w:t>disproportionately</w:t>
      </w:r>
      <w:r w:rsidR="5AB8028D" w:rsidRPr="00810659">
        <w:rPr>
          <w:rFonts w:ascii="Arial" w:hAnsi="Arial" w:cs="Arial"/>
        </w:rPr>
        <w:t xml:space="preserve"> impact </w:t>
      </w:r>
      <w:r w:rsidR="00B66296" w:rsidRPr="00810659">
        <w:rPr>
          <w:rFonts w:ascii="Arial" w:hAnsi="Arial" w:cs="Arial"/>
        </w:rPr>
        <w:t xml:space="preserve">the elderly and </w:t>
      </w:r>
      <w:r w:rsidRPr="00810659">
        <w:rPr>
          <w:rFonts w:ascii="Arial" w:hAnsi="Arial" w:cs="Arial"/>
        </w:rPr>
        <w:t xml:space="preserve">those with a disability, as fees relating to deputyship are paid by the protected person. However, as data is not collected on the characteristics of users in these courts, we are not able to give a definite conclusion as to whether any characteristic is over-represented. </w:t>
      </w:r>
    </w:p>
    <w:p w14:paraId="1ECFA9A9" w14:textId="3EABD41B" w:rsidR="00C022CD" w:rsidRPr="00810659" w:rsidRDefault="00C022CD" w:rsidP="00DE4DEC">
      <w:pPr>
        <w:rPr>
          <w:rFonts w:ascii="Arial" w:hAnsi="Arial" w:cs="Arial"/>
        </w:rPr>
      </w:pPr>
      <w:r w:rsidRPr="00810659">
        <w:rPr>
          <w:rFonts w:ascii="Arial" w:hAnsi="Arial" w:cs="Arial"/>
        </w:rPr>
        <w:t>8.</w:t>
      </w:r>
      <w:r w:rsidR="00F4523F" w:rsidRPr="00810659">
        <w:rPr>
          <w:rFonts w:ascii="Arial" w:hAnsi="Arial" w:cs="Arial"/>
        </w:rPr>
        <w:t>7. The</w:t>
      </w:r>
      <w:r w:rsidR="00FE48DE" w:rsidRPr="00810659">
        <w:rPr>
          <w:rFonts w:ascii="Arial" w:hAnsi="Arial" w:cs="Arial"/>
        </w:rPr>
        <w:t xml:space="preserve"> proposed changes to the </w:t>
      </w:r>
      <w:proofErr w:type="spellStart"/>
      <w:r w:rsidR="00FE48DE" w:rsidRPr="00810659">
        <w:rPr>
          <w:rFonts w:ascii="Arial" w:hAnsi="Arial" w:cs="Arial"/>
        </w:rPr>
        <w:t>HwF</w:t>
      </w:r>
      <w:proofErr w:type="spellEnd"/>
      <w:r w:rsidR="00FE48DE" w:rsidRPr="00810659">
        <w:rPr>
          <w:rFonts w:ascii="Arial" w:hAnsi="Arial" w:cs="Arial"/>
        </w:rPr>
        <w:t xml:space="preserve"> scheme will most </w:t>
      </w:r>
      <w:r w:rsidR="000D2160" w:rsidRPr="00810659">
        <w:rPr>
          <w:rFonts w:ascii="Arial" w:hAnsi="Arial" w:cs="Arial"/>
        </w:rPr>
        <w:t>likely</w:t>
      </w:r>
      <w:r w:rsidR="00FE48DE" w:rsidRPr="00810659">
        <w:rPr>
          <w:rFonts w:ascii="Arial" w:hAnsi="Arial" w:cs="Arial"/>
        </w:rPr>
        <w:t xml:space="preserve"> benefit those whose income is above the current </w:t>
      </w:r>
      <w:proofErr w:type="spellStart"/>
      <w:r w:rsidR="00FE48DE" w:rsidRPr="00810659">
        <w:rPr>
          <w:rFonts w:ascii="Arial" w:hAnsi="Arial" w:cs="Arial"/>
        </w:rPr>
        <w:t>HwF</w:t>
      </w:r>
      <w:proofErr w:type="spellEnd"/>
      <w:r w:rsidR="00FE48DE" w:rsidRPr="00810659">
        <w:rPr>
          <w:rFonts w:ascii="Arial" w:hAnsi="Arial" w:cs="Arial"/>
        </w:rPr>
        <w:t xml:space="preserve"> income threshold, but close to the new threshold as these individuals w</w:t>
      </w:r>
      <w:r w:rsidR="000D2160" w:rsidRPr="00810659">
        <w:rPr>
          <w:rFonts w:ascii="Arial" w:hAnsi="Arial" w:cs="Arial"/>
        </w:rPr>
        <w:t>ould</w:t>
      </w:r>
      <w:r w:rsidR="00FE48DE" w:rsidRPr="00810659">
        <w:rPr>
          <w:rFonts w:ascii="Arial" w:hAnsi="Arial" w:cs="Arial"/>
        </w:rPr>
        <w:t xml:space="preserve"> now receive a larger remission than </w:t>
      </w:r>
      <w:r w:rsidR="001E6AA0" w:rsidRPr="00810659">
        <w:rPr>
          <w:rFonts w:ascii="Arial" w:hAnsi="Arial" w:cs="Arial"/>
        </w:rPr>
        <w:t>previously</w:t>
      </w:r>
      <w:r w:rsidR="00FE48DE" w:rsidRPr="00810659">
        <w:rPr>
          <w:rFonts w:ascii="Arial" w:hAnsi="Arial" w:cs="Arial"/>
        </w:rPr>
        <w:t>, even with the increases to selected court fees</w:t>
      </w:r>
      <w:r w:rsidR="00F4523F" w:rsidRPr="00810659">
        <w:rPr>
          <w:rFonts w:ascii="Arial" w:hAnsi="Arial" w:cs="Arial"/>
        </w:rPr>
        <w:t xml:space="preserve">. </w:t>
      </w:r>
      <w:r w:rsidR="00017D8E" w:rsidRPr="00810659">
        <w:rPr>
          <w:rFonts w:ascii="Arial" w:hAnsi="Arial" w:cs="Arial"/>
        </w:rPr>
        <w:t xml:space="preserve">Based on the </w:t>
      </w:r>
      <w:r w:rsidR="0003731B" w:rsidRPr="00810659">
        <w:rPr>
          <w:rFonts w:ascii="Arial" w:hAnsi="Arial" w:cs="Arial"/>
        </w:rPr>
        <w:t xml:space="preserve">data </w:t>
      </w:r>
      <w:r w:rsidR="00017D8E" w:rsidRPr="00810659">
        <w:rPr>
          <w:rFonts w:ascii="Arial" w:hAnsi="Arial" w:cs="Arial"/>
        </w:rPr>
        <w:t>examined, there are certain groups of</w:t>
      </w:r>
      <w:r w:rsidR="0003731B" w:rsidRPr="00810659">
        <w:rPr>
          <w:rFonts w:ascii="Arial" w:hAnsi="Arial" w:cs="Arial"/>
        </w:rPr>
        <w:t xml:space="preserve"> protected characteristics such as race, disability and age </w:t>
      </w:r>
      <w:r w:rsidR="00017D8E" w:rsidRPr="00810659">
        <w:rPr>
          <w:rFonts w:ascii="Arial" w:hAnsi="Arial" w:cs="Arial"/>
        </w:rPr>
        <w:t>that</w:t>
      </w:r>
      <w:r w:rsidR="0003731B" w:rsidRPr="00810659">
        <w:rPr>
          <w:rFonts w:ascii="Arial" w:hAnsi="Arial" w:cs="Arial"/>
        </w:rPr>
        <w:t xml:space="preserve"> are likely to be over-represented. Therefore, the proposed changes to the </w:t>
      </w:r>
      <w:proofErr w:type="spellStart"/>
      <w:r w:rsidR="0003731B" w:rsidRPr="00810659">
        <w:rPr>
          <w:rFonts w:ascii="Arial" w:hAnsi="Arial" w:cs="Arial"/>
        </w:rPr>
        <w:t>HwF</w:t>
      </w:r>
      <w:proofErr w:type="spellEnd"/>
      <w:r w:rsidR="0003731B" w:rsidRPr="00810659">
        <w:rPr>
          <w:rFonts w:ascii="Arial" w:hAnsi="Arial" w:cs="Arial"/>
        </w:rPr>
        <w:t xml:space="preserve"> scheme will result in positive </w:t>
      </w:r>
      <w:r w:rsidR="5703FF5E" w:rsidRPr="00810659">
        <w:rPr>
          <w:rFonts w:ascii="Arial" w:hAnsi="Arial" w:cs="Arial"/>
        </w:rPr>
        <w:t>impact</w:t>
      </w:r>
      <w:r w:rsidR="0003731B" w:rsidRPr="00810659">
        <w:rPr>
          <w:rFonts w:ascii="Arial" w:hAnsi="Arial" w:cs="Arial"/>
        </w:rPr>
        <w:t xml:space="preserve"> </w:t>
      </w:r>
      <w:r w:rsidR="71937344" w:rsidRPr="00810659">
        <w:rPr>
          <w:rFonts w:ascii="Arial" w:hAnsi="Arial" w:cs="Arial"/>
        </w:rPr>
        <w:t xml:space="preserve">on </w:t>
      </w:r>
      <w:r w:rsidR="0003731B" w:rsidRPr="00810659">
        <w:rPr>
          <w:rFonts w:ascii="Arial" w:hAnsi="Arial" w:cs="Arial"/>
        </w:rPr>
        <w:t xml:space="preserve">individuals with these protected characteristics as they will be the majority of people benefitting. </w:t>
      </w:r>
    </w:p>
    <w:p w14:paraId="0C367607" w14:textId="5C9F8E27" w:rsidR="00ED6065" w:rsidRPr="00810659" w:rsidRDefault="00ED6065" w:rsidP="00ED6065">
      <w:pPr>
        <w:rPr>
          <w:rFonts w:ascii="Arial" w:hAnsi="Arial" w:cs="Arial"/>
        </w:rPr>
      </w:pPr>
      <w:r w:rsidRPr="00810659">
        <w:rPr>
          <w:rFonts w:ascii="Arial" w:hAnsi="Arial" w:cs="Arial"/>
        </w:rPr>
        <w:t>8.8. Overall, we consider that the fee increases for those over-represented will be unlikely to cause a particular disadvantage through an inability to pay</w:t>
      </w:r>
      <w:r w:rsidR="00816841">
        <w:rPr>
          <w:rFonts w:ascii="Arial" w:hAnsi="Arial" w:cs="Arial"/>
        </w:rPr>
        <w:t xml:space="preserve"> </w:t>
      </w:r>
      <w:r w:rsidR="00816841" w:rsidRPr="00816841">
        <w:rPr>
          <w:rFonts w:ascii="Arial" w:hAnsi="Arial" w:cs="Arial"/>
          <w:highlight w:val="yellow"/>
        </w:rPr>
        <w:t>as these changes do not reflect an increase in real terms.</w:t>
      </w:r>
      <w:r w:rsidRPr="00810659">
        <w:rPr>
          <w:rFonts w:ascii="Arial" w:hAnsi="Arial" w:cs="Arial"/>
        </w:rPr>
        <w:t xml:space="preserve"> </w:t>
      </w:r>
      <w:r w:rsidR="00816841">
        <w:rPr>
          <w:rFonts w:ascii="Arial" w:hAnsi="Arial" w:cs="Arial"/>
        </w:rPr>
        <w:t>These changes</w:t>
      </w:r>
      <w:r w:rsidRPr="00810659">
        <w:rPr>
          <w:rFonts w:ascii="Arial" w:hAnsi="Arial" w:cs="Arial"/>
        </w:rPr>
        <w:t xml:space="preserve"> constitute a proportionate means of achieving the legitimate aim of ensuring that HMCTS is adequately resourced</w:t>
      </w:r>
      <w:r w:rsidR="002C045C" w:rsidRPr="00810659">
        <w:rPr>
          <w:rFonts w:ascii="Arial" w:hAnsi="Arial" w:cs="Arial"/>
        </w:rPr>
        <w:t xml:space="preserve"> and </w:t>
      </w:r>
      <w:r w:rsidRPr="00810659">
        <w:rPr>
          <w:rFonts w:ascii="Arial" w:hAnsi="Arial" w:cs="Arial"/>
        </w:rPr>
        <w:t>taxpayer subsidies are reduced for HMCTS. Furthermore,</w:t>
      </w:r>
      <w:r w:rsidR="001263FA" w:rsidRPr="00810659">
        <w:rPr>
          <w:rFonts w:ascii="Arial" w:hAnsi="Arial" w:cs="Arial"/>
        </w:rPr>
        <w:t xml:space="preserve"> </w:t>
      </w:r>
      <w:proofErr w:type="spellStart"/>
      <w:r w:rsidR="001263FA" w:rsidRPr="00810659">
        <w:rPr>
          <w:rFonts w:ascii="Arial" w:hAnsi="Arial" w:cs="Arial"/>
        </w:rPr>
        <w:t>HwF</w:t>
      </w:r>
      <w:proofErr w:type="spellEnd"/>
      <w:r w:rsidR="001263FA" w:rsidRPr="00810659">
        <w:rPr>
          <w:rFonts w:ascii="Arial" w:hAnsi="Arial" w:cs="Arial"/>
        </w:rPr>
        <w:t xml:space="preserve"> </w:t>
      </w:r>
      <w:r w:rsidR="00F414E3" w:rsidRPr="00810659">
        <w:rPr>
          <w:rFonts w:ascii="Arial" w:hAnsi="Arial" w:cs="Arial"/>
        </w:rPr>
        <w:t xml:space="preserve">ensures </w:t>
      </w:r>
      <w:r w:rsidR="00E553DA" w:rsidRPr="00810659">
        <w:rPr>
          <w:rFonts w:ascii="Arial" w:hAnsi="Arial" w:cs="Arial"/>
        </w:rPr>
        <w:t xml:space="preserve">that </w:t>
      </w:r>
      <w:r w:rsidR="00F414E3" w:rsidRPr="00810659">
        <w:rPr>
          <w:rFonts w:ascii="Arial" w:hAnsi="Arial" w:cs="Arial"/>
        </w:rPr>
        <w:t>access to justice is maintained for those with few savings and who are on a low income or in receipt of certain benefits.</w:t>
      </w:r>
    </w:p>
    <w:sectPr w:rsidR="00ED6065" w:rsidRPr="00810659">
      <w:pgSz w:w="11906" w:h="16838"/>
      <w:pgMar w:top="1440" w:right="1440" w:bottom="1440" w:left="1440" w:header="708" w:footer="708"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03DA404B" w16cex:dateUtc="2021-06-21T10:09:00Z"/>
  <w16cex:commentExtensible w16cex:durableId="67ECF348" w16cex:dateUtc="2021-06-22T09:19:00Z"/>
  <w16cex:commentExtensible w16cex:durableId="0A3ED72E" w16cex:dateUtc="2021-07-19T14:52:48.25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64DCA4" w14:textId="77777777" w:rsidR="00287D6C" w:rsidRDefault="00287D6C" w:rsidP="000B458A">
      <w:pPr>
        <w:spacing w:after="0" w:line="240" w:lineRule="auto"/>
      </w:pPr>
      <w:r>
        <w:separator/>
      </w:r>
    </w:p>
  </w:endnote>
  <w:endnote w:type="continuationSeparator" w:id="0">
    <w:p w14:paraId="63C557F2" w14:textId="77777777" w:rsidR="00287D6C" w:rsidRDefault="00287D6C" w:rsidP="000B458A">
      <w:pPr>
        <w:spacing w:after="0" w:line="240" w:lineRule="auto"/>
      </w:pPr>
      <w:r>
        <w:continuationSeparator/>
      </w:r>
    </w:p>
  </w:endnote>
  <w:endnote w:type="continuationNotice" w:id="1">
    <w:p w14:paraId="3C103583" w14:textId="77777777" w:rsidR="00287D6C" w:rsidRDefault="00287D6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0A4350" w14:textId="77777777" w:rsidR="00287D6C" w:rsidRDefault="00287D6C" w:rsidP="000B458A">
      <w:pPr>
        <w:spacing w:after="0" w:line="240" w:lineRule="auto"/>
      </w:pPr>
      <w:r>
        <w:separator/>
      </w:r>
    </w:p>
  </w:footnote>
  <w:footnote w:type="continuationSeparator" w:id="0">
    <w:p w14:paraId="56361246" w14:textId="77777777" w:rsidR="00287D6C" w:rsidRDefault="00287D6C" w:rsidP="000B458A">
      <w:pPr>
        <w:spacing w:after="0" w:line="240" w:lineRule="auto"/>
      </w:pPr>
      <w:r>
        <w:continuationSeparator/>
      </w:r>
    </w:p>
  </w:footnote>
  <w:footnote w:type="continuationNotice" w:id="1">
    <w:p w14:paraId="727C2E45" w14:textId="77777777" w:rsidR="00287D6C" w:rsidRDefault="00287D6C">
      <w:pPr>
        <w:spacing w:after="0" w:line="240" w:lineRule="auto"/>
      </w:pPr>
    </w:p>
  </w:footnote>
  <w:footnote w:id="2">
    <w:p w14:paraId="23764DAB" w14:textId="77777777" w:rsidR="001E34F2" w:rsidRDefault="001E34F2" w:rsidP="001E34F2">
      <w:pPr>
        <w:pStyle w:val="FootnoteText"/>
      </w:pPr>
      <w:r>
        <w:rPr>
          <w:rStyle w:val="FootnoteReference"/>
        </w:rPr>
        <w:footnoteRef/>
      </w:r>
      <w:r>
        <w:t xml:space="preserve"> </w:t>
      </w:r>
      <w:r w:rsidRPr="000A3014">
        <w:t xml:space="preserve">Percentages may </w:t>
      </w:r>
      <w:r>
        <w:t xml:space="preserve">not </w:t>
      </w:r>
      <w:r w:rsidRPr="000A3014">
        <w:t>add to 10</w:t>
      </w:r>
      <w:r>
        <w:t>0</w:t>
      </w:r>
      <w:r w:rsidRPr="000A3014">
        <w:t>% due to the effects of rounding</w:t>
      </w:r>
      <w:r>
        <w:t>.</w:t>
      </w:r>
    </w:p>
  </w:footnote>
  <w:footnote w:id="3">
    <w:p w14:paraId="20C21A35" w14:textId="2C465C2B" w:rsidR="00847E0C" w:rsidRDefault="00847E0C">
      <w:pPr>
        <w:pStyle w:val="FootnoteText"/>
      </w:pPr>
      <w:r>
        <w:rPr>
          <w:rStyle w:val="FootnoteReference"/>
        </w:rPr>
        <w:footnoteRef/>
      </w:r>
      <w:r>
        <w:t xml:space="preserve"> </w:t>
      </w:r>
      <w:r w:rsidRPr="000A3014">
        <w:t xml:space="preserve">Percentages may </w:t>
      </w:r>
      <w:r>
        <w:t xml:space="preserve">not </w:t>
      </w:r>
      <w:r w:rsidRPr="000A3014">
        <w:t>add to 10</w:t>
      </w:r>
      <w:r>
        <w:t>0</w:t>
      </w:r>
      <w:r w:rsidRPr="000A3014">
        <w:t>% due to the effects of rounding</w:t>
      </w:r>
      <w:r>
        <w:t>.</w:t>
      </w:r>
    </w:p>
  </w:footnote>
  <w:footnote w:id="4">
    <w:p w14:paraId="4EEB88F0" w14:textId="77777777" w:rsidR="00C3779B" w:rsidRDefault="00C3779B" w:rsidP="009002AA">
      <w:pPr>
        <w:pStyle w:val="FootnoteText"/>
      </w:pPr>
      <w:r>
        <w:rPr>
          <w:rStyle w:val="FootnoteReference"/>
        </w:rPr>
        <w:footnoteRef/>
      </w:r>
      <w:r w:rsidRPr="00EB4F9F">
        <w:t>https://www.ons.gov.uk/peoplepopulationandcommunity/birthsdeathsandmarriages/divorce/datasets/divorcesinenglandandwales</w:t>
      </w:r>
    </w:p>
  </w:footnote>
  <w:footnote w:id="5">
    <w:p w14:paraId="0E555A8C" w14:textId="6FE4C02A" w:rsidR="00C3779B" w:rsidRDefault="00C3779B">
      <w:pPr>
        <w:pStyle w:val="FootnoteText"/>
      </w:pPr>
      <w:r>
        <w:rPr>
          <w:rStyle w:val="FootnoteReference"/>
        </w:rPr>
        <w:footnoteRef/>
      </w:r>
      <w:r>
        <w:t xml:space="preserve"> </w:t>
      </w:r>
      <w:r w:rsidRPr="006663B9">
        <w:t>https://www.thesalarycalculator.co.uk/</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E3FFE"/>
    <w:multiLevelType w:val="hybridMultilevel"/>
    <w:tmpl w:val="A17694D2"/>
    <w:lvl w:ilvl="0" w:tplc="5900E902">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D715A9"/>
    <w:multiLevelType w:val="multilevel"/>
    <w:tmpl w:val="0C789CAA"/>
    <w:lvl w:ilvl="0">
      <w:start w:val="1"/>
      <w:numFmt w:val="decimal"/>
      <w:pStyle w:val="EBNumber"/>
      <w:lvlText w:val="%1."/>
      <w:lvlJc w:val="left"/>
      <w:pPr>
        <w:tabs>
          <w:tab w:val="num" w:pos="502"/>
        </w:tabs>
        <w:ind w:left="502" w:hanging="360"/>
      </w:pPr>
      <w:rPr>
        <w:rFonts w:asciiTheme="minorHAnsi" w:hAnsiTheme="minorHAnsi" w:cstheme="minorHAnsi" w:hint="default"/>
        <w:b w:val="0"/>
        <w:i w:val="0"/>
        <w:color w:val="auto"/>
        <w:sz w:val="22"/>
        <w:szCs w:val="22"/>
      </w:rPr>
    </w:lvl>
    <w:lvl w:ilvl="1">
      <w:start w:val="1"/>
      <w:numFmt w:val="bullet"/>
      <w:lvlText w:val=""/>
      <w:lvlJc w:val="left"/>
      <w:pPr>
        <w:tabs>
          <w:tab w:val="num" w:pos="54"/>
        </w:tabs>
        <w:ind w:left="489" w:hanging="432"/>
      </w:pPr>
      <w:rPr>
        <w:rFonts w:ascii="Symbol" w:hAnsi="Symbol" w:hint="default"/>
      </w:rPr>
    </w:lvl>
    <w:lvl w:ilvl="2">
      <w:start w:val="1"/>
      <w:numFmt w:val="lowerRoman"/>
      <w:lvlText w:val="%3."/>
      <w:lvlJc w:val="right"/>
      <w:pPr>
        <w:tabs>
          <w:tab w:val="num" w:pos="1137"/>
        </w:tabs>
        <w:ind w:left="921" w:hanging="504"/>
      </w:pPr>
      <w:rPr>
        <w:rFonts w:hint="default"/>
      </w:rPr>
    </w:lvl>
    <w:lvl w:ilvl="3">
      <w:start w:val="1"/>
      <w:numFmt w:val="decimal"/>
      <w:lvlText w:val="%1.%2.%3.%4."/>
      <w:lvlJc w:val="left"/>
      <w:pPr>
        <w:tabs>
          <w:tab w:val="num" w:pos="1857"/>
        </w:tabs>
        <w:ind w:left="1425" w:hanging="648"/>
      </w:pPr>
      <w:rPr>
        <w:rFonts w:cs="Times New Roman" w:hint="default"/>
      </w:rPr>
    </w:lvl>
    <w:lvl w:ilvl="4">
      <w:start w:val="1"/>
      <w:numFmt w:val="decimal"/>
      <w:lvlText w:val="%1.%2.%3.%4.%5."/>
      <w:lvlJc w:val="left"/>
      <w:pPr>
        <w:tabs>
          <w:tab w:val="num" w:pos="2217"/>
        </w:tabs>
        <w:ind w:left="1929" w:hanging="792"/>
      </w:pPr>
      <w:rPr>
        <w:rFonts w:cs="Times New Roman" w:hint="default"/>
      </w:rPr>
    </w:lvl>
    <w:lvl w:ilvl="5">
      <w:start w:val="1"/>
      <w:numFmt w:val="decimal"/>
      <w:lvlText w:val="%1.%2.%3.%4.%5.%6."/>
      <w:lvlJc w:val="left"/>
      <w:pPr>
        <w:tabs>
          <w:tab w:val="num" w:pos="2937"/>
        </w:tabs>
        <w:ind w:left="2433" w:hanging="936"/>
      </w:pPr>
      <w:rPr>
        <w:rFonts w:cs="Times New Roman" w:hint="default"/>
      </w:rPr>
    </w:lvl>
    <w:lvl w:ilvl="6">
      <w:start w:val="1"/>
      <w:numFmt w:val="decimal"/>
      <w:lvlText w:val="%1.%2.%3.%4.%5.%6.%7."/>
      <w:lvlJc w:val="left"/>
      <w:pPr>
        <w:tabs>
          <w:tab w:val="num" w:pos="3297"/>
        </w:tabs>
        <w:ind w:left="2937" w:hanging="1080"/>
      </w:pPr>
      <w:rPr>
        <w:rFonts w:cs="Times New Roman" w:hint="default"/>
      </w:rPr>
    </w:lvl>
    <w:lvl w:ilvl="7">
      <w:start w:val="1"/>
      <w:numFmt w:val="decimal"/>
      <w:lvlText w:val="%1.%2.%3.%4.%5.%6.%7.%8."/>
      <w:lvlJc w:val="left"/>
      <w:pPr>
        <w:tabs>
          <w:tab w:val="num" w:pos="4017"/>
        </w:tabs>
        <w:ind w:left="3441" w:hanging="1224"/>
      </w:pPr>
      <w:rPr>
        <w:rFonts w:cs="Times New Roman" w:hint="default"/>
      </w:rPr>
    </w:lvl>
    <w:lvl w:ilvl="8">
      <w:start w:val="1"/>
      <w:numFmt w:val="decimal"/>
      <w:lvlText w:val="%1.%2.%3.%4.%5.%6.%7.%8.%9."/>
      <w:lvlJc w:val="left"/>
      <w:pPr>
        <w:tabs>
          <w:tab w:val="num" w:pos="4377"/>
        </w:tabs>
        <w:ind w:left="4017" w:hanging="1440"/>
      </w:pPr>
      <w:rPr>
        <w:rFonts w:cs="Times New Roman" w:hint="default"/>
      </w:rPr>
    </w:lvl>
  </w:abstractNum>
  <w:abstractNum w:abstractNumId="2" w15:restartNumberingAfterBreak="0">
    <w:nsid w:val="18B2096E"/>
    <w:multiLevelType w:val="hybridMultilevel"/>
    <w:tmpl w:val="DC7864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1DE7AEF"/>
    <w:multiLevelType w:val="hybridMultilevel"/>
    <w:tmpl w:val="4304875A"/>
    <w:lvl w:ilvl="0" w:tplc="D2302498">
      <w:start w:val="1"/>
      <w:numFmt w:val="lowerLetter"/>
      <w:lvlText w:val="%1."/>
      <w:lvlJc w:val="left"/>
      <w:pPr>
        <w:ind w:left="862" w:hanging="360"/>
      </w:pPr>
      <w:rPr>
        <w:rFonts w:hint="default"/>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4" w15:restartNumberingAfterBreak="0">
    <w:nsid w:val="27D97CD4"/>
    <w:multiLevelType w:val="hybridMultilevel"/>
    <w:tmpl w:val="24BEF7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46D7FA3"/>
    <w:multiLevelType w:val="hybridMultilevel"/>
    <w:tmpl w:val="E6F027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3171D08"/>
    <w:multiLevelType w:val="hybridMultilevel"/>
    <w:tmpl w:val="EF66C8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4802A12"/>
    <w:multiLevelType w:val="hybridMultilevel"/>
    <w:tmpl w:val="4A9E00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48A25B6"/>
    <w:multiLevelType w:val="hybridMultilevel"/>
    <w:tmpl w:val="EF6CA9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55639CE"/>
    <w:multiLevelType w:val="hybridMultilevel"/>
    <w:tmpl w:val="E0580AE2"/>
    <w:lvl w:ilvl="0" w:tplc="8AB4952A">
      <w:start w:val="4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89245C2"/>
    <w:multiLevelType w:val="hybridMultilevel"/>
    <w:tmpl w:val="D0BAFC1E"/>
    <w:lvl w:ilvl="0" w:tplc="BE4CF864">
      <w:start w:val="1"/>
      <w:numFmt w:val="bullet"/>
      <w:lvlText w:val=""/>
      <w:lvlJc w:val="left"/>
      <w:pPr>
        <w:ind w:left="720" w:hanging="360"/>
      </w:pPr>
      <w:rPr>
        <w:rFonts w:ascii="Symbol" w:hAnsi="Symbol" w:hint="default"/>
      </w:rPr>
    </w:lvl>
    <w:lvl w:ilvl="1" w:tplc="A8D686CA">
      <w:start w:val="1"/>
      <w:numFmt w:val="bullet"/>
      <w:lvlText w:val="o"/>
      <w:lvlJc w:val="left"/>
      <w:pPr>
        <w:ind w:left="1440" w:hanging="360"/>
      </w:pPr>
      <w:rPr>
        <w:rFonts w:ascii="Courier New" w:hAnsi="Courier New" w:hint="default"/>
      </w:rPr>
    </w:lvl>
    <w:lvl w:ilvl="2" w:tplc="7BF28F40">
      <w:start w:val="1"/>
      <w:numFmt w:val="bullet"/>
      <w:lvlText w:val=""/>
      <w:lvlJc w:val="left"/>
      <w:pPr>
        <w:ind w:left="2160" w:hanging="360"/>
      </w:pPr>
      <w:rPr>
        <w:rFonts w:ascii="Wingdings" w:hAnsi="Wingdings" w:hint="default"/>
      </w:rPr>
    </w:lvl>
    <w:lvl w:ilvl="3" w:tplc="37D43386">
      <w:start w:val="1"/>
      <w:numFmt w:val="bullet"/>
      <w:lvlText w:val=""/>
      <w:lvlJc w:val="left"/>
      <w:pPr>
        <w:ind w:left="2880" w:hanging="360"/>
      </w:pPr>
      <w:rPr>
        <w:rFonts w:ascii="Symbol" w:hAnsi="Symbol" w:hint="default"/>
      </w:rPr>
    </w:lvl>
    <w:lvl w:ilvl="4" w:tplc="F5125C62">
      <w:start w:val="1"/>
      <w:numFmt w:val="bullet"/>
      <w:lvlText w:val="o"/>
      <w:lvlJc w:val="left"/>
      <w:pPr>
        <w:ind w:left="3600" w:hanging="360"/>
      </w:pPr>
      <w:rPr>
        <w:rFonts w:ascii="Courier New" w:hAnsi="Courier New" w:hint="default"/>
      </w:rPr>
    </w:lvl>
    <w:lvl w:ilvl="5" w:tplc="B82C0ECA">
      <w:start w:val="1"/>
      <w:numFmt w:val="bullet"/>
      <w:lvlText w:val=""/>
      <w:lvlJc w:val="left"/>
      <w:pPr>
        <w:ind w:left="4320" w:hanging="360"/>
      </w:pPr>
      <w:rPr>
        <w:rFonts w:ascii="Wingdings" w:hAnsi="Wingdings" w:hint="default"/>
      </w:rPr>
    </w:lvl>
    <w:lvl w:ilvl="6" w:tplc="AC8E4D46">
      <w:start w:val="1"/>
      <w:numFmt w:val="bullet"/>
      <w:lvlText w:val=""/>
      <w:lvlJc w:val="left"/>
      <w:pPr>
        <w:ind w:left="5040" w:hanging="360"/>
      </w:pPr>
      <w:rPr>
        <w:rFonts w:ascii="Symbol" w:hAnsi="Symbol" w:hint="default"/>
      </w:rPr>
    </w:lvl>
    <w:lvl w:ilvl="7" w:tplc="056C74CE">
      <w:start w:val="1"/>
      <w:numFmt w:val="bullet"/>
      <w:lvlText w:val="o"/>
      <w:lvlJc w:val="left"/>
      <w:pPr>
        <w:ind w:left="5760" w:hanging="360"/>
      </w:pPr>
      <w:rPr>
        <w:rFonts w:ascii="Courier New" w:hAnsi="Courier New" w:hint="default"/>
      </w:rPr>
    </w:lvl>
    <w:lvl w:ilvl="8" w:tplc="65A60E40">
      <w:start w:val="1"/>
      <w:numFmt w:val="bullet"/>
      <w:lvlText w:val=""/>
      <w:lvlJc w:val="left"/>
      <w:pPr>
        <w:ind w:left="6480" w:hanging="360"/>
      </w:pPr>
      <w:rPr>
        <w:rFonts w:ascii="Wingdings" w:hAnsi="Wingdings" w:hint="default"/>
      </w:rPr>
    </w:lvl>
  </w:abstractNum>
  <w:abstractNum w:abstractNumId="11" w15:restartNumberingAfterBreak="0">
    <w:nsid w:val="667F6AF8"/>
    <w:multiLevelType w:val="hybridMultilevel"/>
    <w:tmpl w:val="F6CCBC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68C455F"/>
    <w:multiLevelType w:val="hybridMultilevel"/>
    <w:tmpl w:val="ABC65CA8"/>
    <w:lvl w:ilvl="0" w:tplc="B218EE46">
      <w:start w:val="1"/>
      <w:numFmt w:val="decimal"/>
      <w:lvlText w:val="%1."/>
      <w:lvlJc w:val="left"/>
      <w:pPr>
        <w:ind w:left="720" w:hanging="360"/>
      </w:pPr>
      <w:rPr>
        <w:rFonts w:hint="default"/>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8BC3268"/>
    <w:multiLevelType w:val="hybridMultilevel"/>
    <w:tmpl w:val="F9385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8E5592B"/>
    <w:multiLevelType w:val="hybridMultilevel"/>
    <w:tmpl w:val="E496D53E"/>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5" w15:restartNumberingAfterBreak="0">
    <w:nsid w:val="7CE70B5A"/>
    <w:multiLevelType w:val="hybridMultilevel"/>
    <w:tmpl w:val="C700C7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CF77208"/>
    <w:multiLevelType w:val="hybridMultilevel"/>
    <w:tmpl w:val="A4F84766"/>
    <w:lvl w:ilvl="0" w:tplc="9E8E163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F22112C"/>
    <w:multiLevelType w:val="hybridMultilevel"/>
    <w:tmpl w:val="C8FACD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FB75C1D"/>
    <w:multiLevelType w:val="multilevel"/>
    <w:tmpl w:val="55A4E186"/>
    <w:lvl w:ilvl="0">
      <w:start w:val="1"/>
      <w:numFmt w:val="none"/>
      <w:suff w:val="nothing"/>
      <w:lvlText w:val="%1"/>
      <w:lvlJc w:val="left"/>
      <w:rPr>
        <w:rFonts w:cs="Times New Roman" w:hint="default"/>
      </w:rPr>
    </w:lvl>
    <w:lvl w:ilvl="1">
      <w:start w:val="1"/>
      <w:numFmt w:val="decimal"/>
      <w:lvlText w:val="%1%2."/>
      <w:lvlJc w:val="left"/>
      <w:pPr>
        <w:tabs>
          <w:tab w:val="num" w:pos="425"/>
        </w:tabs>
        <w:ind w:left="425" w:hanging="425"/>
      </w:pPr>
      <w:rPr>
        <w:rFonts w:cs="Times New Roman" w:hint="default"/>
      </w:rPr>
    </w:lvl>
    <w:lvl w:ilvl="2">
      <w:start w:val="1"/>
      <w:numFmt w:val="lowerLetter"/>
      <w:lvlText w:val="%1%3."/>
      <w:lvlJc w:val="left"/>
      <w:pPr>
        <w:tabs>
          <w:tab w:val="num" w:pos="851"/>
        </w:tabs>
        <w:ind w:left="851" w:hanging="426"/>
      </w:pPr>
      <w:rPr>
        <w:rFonts w:cs="Times New Roman" w:hint="default"/>
      </w:rPr>
    </w:lvl>
    <w:lvl w:ilvl="3">
      <w:start w:val="1"/>
      <w:numFmt w:val="none"/>
      <w:lvlText w:val="%1"/>
      <w:lvlJc w:val="left"/>
      <w:pPr>
        <w:tabs>
          <w:tab w:val="num" w:pos="2880"/>
        </w:tabs>
        <w:ind w:left="1728" w:hanging="648"/>
      </w:pPr>
      <w:rPr>
        <w:rFonts w:cs="Times New Roman" w:hint="default"/>
      </w:rPr>
    </w:lvl>
    <w:lvl w:ilvl="4">
      <w:start w:val="1"/>
      <w:numFmt w:val="none"/>
      <w:lvlText w:val="%1"/>
      <w:lvlJc w:val="left"/>
      <w:pPr>
        <w:tabs>
          <w:tab w:val="num" w:pos="3600"/>
        </w:tabs>
        <w:ind w:left="2232" w:hanging="792"/>
      </w:pPr>
      <w:rPr>
        <w:rFonts w:cs="Times New Roman" w:hint="default"/>
      </w:rPr>
    </w:lvl>
    <w:lvl w:ilvl="5">
      <w:start w:val="1"/>
      <w:numFmt w:val="none"/>
      <w:lvlText w:val="%1"/>
      <w:lvlJc w:val="left"/>
      <w:pPr>
        <w:tabs>
          <w:tab w:val="num" w:pos="4320"/>
        </w:tabs>
        <w:ind w:left="2736" w:hanging="936"/>
      </w:pPr>
      <w:rPr>
        <w:rFonts w:cs="Times New Roman" w:hint="default"/>
      </w:rPr>
    </w:lvl>
    <w:lvl w:ilvl="6">
      <w:start w:val="1"/>
      <w:numFmt w:val="none"/>
      <w:lvlText w:val="%1"/>
      <w:lvlJc w:val="left"/>
      <w:pPr>
        <w:tabs>
          <w:tab w:val="num" w:pos="5040"/>
        </w:tabs>
        <w:ind w:left="3240" w:hanging="1080"/>
      </w:pPr>
      <w:rPr>
        <w:rFonts w:cs="Times New Roman" w:hint="default"/>
      </w:rPr>
    </w:lvl>
    <w:lvl w:ilvl="7">
      <w:start w:val="1"/>
      <w:numFmt w:val="decimal"/>
      <w:lvlText w:val="%1.%2.%3.%4.%5.%6.%7.%8."/>
      <w:lvlJc w:val="left"/>
      <w:pPr>
        <w:tabs>
          <w:tab w:val="num" w:pos="5760"/>
        </w:tabs>
        <w:ind w:left="3744" w:hanging="1224"/>
      </w:pPr>
      <w:rPr>
        <w:rFonts w:cs="Times New Roman" w:hint="default"/>
      </w:rPr>
    </w:lvl>
    <w:lvl w:ilvl="8">
      <w:start w:val="1"/>
      <w:numFmt w:val="decimal"/>
      <w:lvlText w:val="%1.%2.%3.%4.%5.%6.%7.%8.%9."/>
      <w:lvlJc w:val="left"/>
      <w:pPr>
        <w:tabs>
          <w:tab w:val="num" w:pos="6480"/>
        </w:tabs>
        <w:ind w:left="4320" w:hanging="1440"/>
      </w:pPr>
      <w:rPr>
        <w:rFonts w:cs="Times New Roman" w:hint="default"/>
      </w:rPr>
    </w:lvl>
  </w:abstractNum>
  <w:num w:numId="1">
    <w:abstractNumId w:val="10"/>
  </w:num>
  <w:num w:numId="2">
    <w:abstractNumId w:val="1"/>
  </w:num>
  <w:num w:numId="3">
    <w:abstractNumId w:val="11"/>
  </w:num>
  <w:num w:numId="4">
    <w:abstractNumId w:val="14"/>
  </w:num>
  <w:num w:numId="5">
    <w:abstractNumId w:val="5"/>
  </w:num>
  <w:num w:numId="6">
    <w:abstractNumId w:val="4"/>
  </w:num>
  <w:num w:numId="7">
    <w:abstractNumId w:val="13"/>
  </w:num>
  <w:num w:numId="8">
    <w:abstractNumId w:val="16"/>
  </w:num>
  <w:num w:numId="9">
    <w:abstractNumId w:val="17"/>
  </w:num>
  <w:num w:numId="10">
    <w:abstractNumId w:val="8"/>
  </w:num>
  <w:num w:numId="11">
    <w:abstractNumId w:val="7"/>
  </w:num>
  <w:num w:numId="12">
    <w:abstractNumId w:val="12"/>
  </w:num>
  <w:num w:numId="13">
    <w:abstractNumId w:val="0"/>
  </w:num>
  <w:num w:numId="14">
    <w:abstractNumId w:val="15"/>
  </w:num>
  <w:num w:numId="15">
    <w:abstractNumId w:val="6"/>
  </w:num>
  <w:num w:numId="16">
    <w:abstractNumId w:val="18"/>
  </w:num>
  <w:num w:numId="17">
    <w:abstractNumId w:val="3"/>
  </w:num>
  <w:num w:numId="18">
    <w:abstractNumId w:val="2"/>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6B2A"/>
    <w:rsid w:val="00002952"/>
    <w:rsid w:val="00003D0B"/>
    <w:rsid w:val="00005075"/>
    <w:rsid w:val="00005E68"/>
    <w:rsid w:val="000073B1"/>
    <w:rsid w:val="00010A43"/>
    <w:rsid w:val="00011225"/>
    <w:rsid w:val="00011EAC"/>
    <w:rsid w:val="00012C21"/>
    <w:rsid w:val="00013501"/>
    <w:rsid w:val="000135B5"/>
    <w:rsid w:val="00013C4C"/>
    <w:rsid w:val="0001672B"/>
    <w:rsid w:val="00016C49"/>
    <w:rsid w:val="00017D8E"/>
    <w:rsid w:val="00020362"/>
    <w:rsid w:val="00020795"/>
    <w:rsid w:val="000216FA"/>
    <w:rsid w:val="00021AC3"/>
    <w:rsid w:val="00024C38"/>
    <w:rsid w:val="0002571E"/>
    <w:rsid w:val="00032585"/>
    <w:rsid w:val="00032C26"/>
    <w:rsid w:val="000333FE"/>
    <w:rsid w:val="00033E82"/>
    <w:rsid w:val="000361A3"/>
    <w:rsid w:val="00036BCF"/>
    <w:rsid w:val="0003731B"/>
    <w:rsid w:val="00037D6E"/>
    <w:rsid w:val="00043808"/>
    <w:rsid w:val="00043E3F"/>
    <w:rsid w:val="00046EB7"/>
    <w:rsid w:val="00047CED"/>
    <w:rsid w:val="00052611"/>
    <w:rsid w:val="00053272"/>
    <w:rsid w:val="00057BB4"/>
    <w:rsid w:val="000616C9"/>
    <w:rsid w:val="0006185C"/>
    <w:rsid w:val="00061C1C"/>
    <w:rsid w:val="00062FD5"/>
    <w:rsid w:val="000633A6"/>
    <w:rsid w:val="00067271"/>
    <w:rsid w:val="000718A4"/>
    <w:rsid w:val="00072406"/>
    <w:rsid w:val="00075697"/>
    <w:rsid w:val="00077911"/>
    <w:rsid w:val="00080BB4"/>
    <w:rsid w:val="00083D74"/>
    <w:rsid w:val="0008592E"/>
    <w:rsid w:val="00085FF8"/>
    <w:rsid w:val="000900BF"/>
    <w:rsid w:val="000908D1"/>
    <w:rsid w:val="00092830"/>
    <w:rsid w:val="00093099"/>
    <w:rsid w:val="00093F35"/>
    <w:rsid w:val="0009464E"/>
    <w:rsid w:val="0009477D"/>
    <w:rsid w:val="00095522"/>
    <w:rsid w:val="000A3014"/>
    <w:rsid w:val="000A33FA"/>
    <w:rsid w:val="000A61B4"/>
    <w:rsid w:val="000A622B"/>
    <w:rsid w:val="000A6DCD"/>
    <w:rsid w:val="000A6F84"/>
    <w:rsid w:val="000A7361"/>
    <w:rsid w:val="000B0DCF"/>
    <w:rsid w:val="000B458A"/>
    <w:rsid w:val="000B4CB1"/>
    <w:rsid w:val="000B6389"/>
    <w:rsid w:val="000B7093"/>
    <w:rsid w:val="000B7110"/>
    <w:rsid w:val="000C24E7"/>
    <w:rsid w:val="000C29B0"/>
    <w:rsid w:val="000C48EA"/>
    <w:rsid w:val="000C492C"/>
    <w:rsid w:val="000C5077"/>
    <w:rsid w:val="000C77C5"/>
    <w:rsid w:val="000C7F36"/>
    <w:rsid w:val="000D0726"/>
    <w:rsid w:val="000D10E3"/>
    <w:rsid w:val="000D1EFC"/>
    <w:rsid w:val="000D2160"/>
    <w:rsid w:val="000D277D"/>
    <w:rsid w:val="000D282B"/>
    <w:rsid w:val="000D4996"/>
    <w:rsid w:val="000D4A61"/>
    <w:rsid w:val="000E065A"/>
    <w:rsid w:val="000E07A6"/>
    <w:rsid w:val="000E2404"/>
    <w:rsid w:val="000E2A0C"/>
    <w:rsid w:val="000E39AC"/>
    <w:rsid w:val="000E3C94"/>
    <w:rsid w:val="000E4312"/>
    <w:rsid w:val="000E469D"/>
    <w:rsid w:val="000E63F0"/>
    <w:rsid w:val="000E7CC7"/>
    <w:rsid w:val="000E7D10"/>
    <w:rsid w:val="000F1A3C"/>
    <w:rsid w:val="000F2607"/>
    <w:rsid w:val="000F2DC6"/>
    <w:rsid w:val="000F3BCC"/>
    <w:rsid w:val="000F4085"/>
    <w:rsid w:val="000F5B3F"/>
    <w:rsid w:val="001009C5"/>
    <w:rsid w:val="00100FBA"/>
    <w:rsid w:val="00103372"/>
    <w:rsid w:val="00105480"/>
    <w:rsid w:val="00105D72"/>
    <w:rsid w:val="00105DD9"/>
    <w:rsid w:val="00106CDD"/>
    <w:rsid w:val="00107797"/>
    <w:rsid w:val="00115131"/>
    <w:rsid w:val="00116506"/>
    <w:rsid w:val="001214FA"/>
    <w:rsid w:val="001243F4"/>
    <w:rsid w:val="00125949"/>
    <w:rsid w:val="001263FA"/>
    <w:rsid w:val="00126A06"/>
    <w:rsid w:val="001279A5"/>
    <w:rsid w:val="00130603"/>
    <w:rsid w:val="00130D0B"/>
    <w:rsid w:val="0013113A"/>
    <w:rsid w:val="00131C18"/>
    <w:rsid w:val="00131FEE"/>
    <w:rsid w:val="00132BCE"/>
    <w:rsid w:val="00132C6F"/>
    <w:rsid w:val="00134908"/>
    <w:rsid w:val="00134CD5"/>
    <w:rsid w:val="00135E14"/>
    <w:rsid w:val="00136610"/>
    <w:rsid w:val="00136C17"/>
    <w:rsid w:val="00141250"/>
    <w:rsid w:val="001441A5"/>
    <w:rsid w:val="00147734"/>
    <w:rsid w:val="00153F2B"/>
    <w:rsid w:val="00156865"/>
    <w:rsid w:val="001644A3"/>
    <w:rsid w:val="00173202"/>
    <w:rsid w:val="00174E0B"/>
    <w:rsid w:val="00177F87"/>
    <w:rsid w:val="00180770"/>
    <w:rsid w:val="00181E1A"/>
    <w:rsid w:val="00181E88"/>
    <w:rsid w:val="00182115"/>
    <w:rsid w:val="001827E7"/>
    <w:rsid w:val="00183EF8"/>
    <w:rsid w:val="00184801"/>
    <w:rsid w:val="00184B2A"/>
    <w:rsid w:val="00184FA9"/>
    <w:rsid w:val="00186037"/>
    <w:rsid w:val="0019126D"/>
    <w:rsid w:val="001915C1"/>
    <w:rsid w:val="00193C50"/>
    <w:rsid w:val="00193D55"/>
    <w:rsid w:val="001950CD"/>
    <w:rsid w:val="001968A6"/>
    <w:rsid w:val="00197136"/>
    <w:rsid w:val="001A0764"/>
    <w:rsid w:val="001A1103"/>
    <w:rsid w:val="001A112F"/>
    <w:rsid w:val="001A1D28"/>
    <w:rsid w:val="001A2066"/>
    <w:rsid w:val="001A2EDD"/>
    <w:rsid w:val="001A309A"/>
    <w:rsid w:val="001A3439"/>
    <w:rsid w:val="001A7384"/>
    <w:rsid w:val="001B0E50"/>
    <w:rsid w:val="001B11A5"/>
    <w:rsid w:val="001B1ABA"/>
    <w:rsid w:val="001B272A"/>
    <w:rsid w:val="001B3468"/>
    <w:rsid w:val="001B406A"/>
    <w:rsid w:val="001B5BA3"/>
    <w:rsid w:val="001B6B7B"/>
    <w:rsid w:val="001C2DCA"/>
    <w:rsid w:val="001C2E5F"/>
    <w:rsid w:val="001C3963"/>
    <w:rsid w:val="001C50C4"/>
    <w:rsid w:val="001C54DA"/>
    <w:rsid w:val="001D08BE"/>
    <w:rsid w:val="001D1897"/>
    <w:rsid w:val="001D3730"/>
    <w:rsid w:val="001D4CA9"/>
    <w:rsid w:val="001D5ED8"/>
    <w:rsid w:val="001D5FAC"/>
    <w:rsid w:val="001D6812"/>
    <w:rsid w:val="001D6D72"/>
    <w:rsid w:val="001D7FBB"/>
    <w:rsid w:val="001E084D"/>
    <w:rsid w:val="001E08BC"/>
    <w:rsid w:val="001E0D62"/>
    <w:rsid w:val="001E34F2"/>
    <w:rsid w:val="001E38C5"/>
    <w:rsid w:val="001E42C6"/>
    <w:rsid w:val="001E491A"/>
    <w:rsid w:val="001E4FB6"/>
    <w:rsid w:val="001E6AA0"/>
    <w:rsid w:val="001E7682"/>
    <w:rsid w:val="001F0A15"/>
    <w:rsid w:val="001F28CC"/>
    <w:rsid w:val="001F3953"/>
    <w:rsid w:val="001F5248"/>
    <w:rsid w:val="00201A03"/>
    <w:rsid w:val="00203252"/>
    <w:rsid w:val="00203840"/>
    <w:rsid w:val="00203C07"/>
    <w:rsid w:val="0020742A"/>
    <w:rsid w:val="00207DF6"/>
    <w:rsid w:val="00210152"/>
    <w:rsid w:val="00210DAF"/>
    <w:rsid w:val="00211F4A"/>
    <w:rsid w:val="0021251F"/>
    <w:rsid w:val="00212BE2"/>
    <w:rsid w:val="00214888"/>
    <w:rsid w:val="0021757C"/>
    <w:rsid w:val="00217F62"/>
    <w:rsid w:val="002200C5"/>
    <w:rsid w:val="0022206A"/>
    <w:rsid w:val="00222CB8"/>
    <w:rsid w:val="00223EB5"/>
    <w:rsid w:val="00223EF2"/>
    <w:rsid w:val="00227209"/>
    <w:rsid w:val="002277A8"/>
    <w:rsid w:val="002306EE"/>
    <w:rsid w:val="00234499"/>
    <w:rsid w:val="00235461"/>
    <w:rsid w:val="00237415"/>
    <w:rsid w:val="00240B7F"/>
    <w:rsid w:val="00241404"/>
    <w:rsid w:val="00241810"/>
    <w:rsid w:val="0024255A"/>
    <w:rsid w:val="002425DB"/>
    <w:rsid w:val="00242823"/>
    <w:rsid w:val="00242ED9"/>
    <w:rsid w:val="0024350B"/>
    <w:rsid w:val="00245992"/>
    <w:rsid w:val="00247C46"/>
    <w:rsid w:val="002503F1"/>
    <w:rsid w:val="002531CD"/>
    <w:rsid w:val="00254BCB"/>
    <w:rsid w:val="00256B2A"/>
    <w:rsid w:val="002615AD"/>
    <w:rsid w:val="00262DB5"/>
    <w:rsid w:val="0026755C"/>
    <w:rsid w:val="002679E9"/>
    <w:rsid w:val="002740B2"/>
    <w:rsid w:val="00274236"/>
    <w:rsid w:val="002749F3"/>
    <w:rsid w:val="00277C55"/>
    <w:rsid w:val="002807DC"/>
    <w:rsid w:val="00281157"/>
    <w:rsid w:val="00285558"/>
    <w:rsid w:val="002869C3"/>
    <w:rsid w:val="00286FA8"/>
    <w:rsid w:val="00287D6C"/>
    <w:rsid w:val="00287D9D"/>
    <w:rsid w:val="002914C6"/>
    <w:rsid w:val="002924D1"/>
    <w:rsid w:val="00294D4F"/>
    <w:rsid w:val="00296C76"/>
    <w:rsid w:val="002A33BF"/>
    <w:rsid w:val="002A4A0C"/>
    <w:rsid w:val="002A6077"/>
    <w:rsid w:val="002B198B"/>
    <w:rsid w:val="002B40C8"/>
    <w:rsid w:val="002B40FA"/>
    <w:rsid w:val="002B5A60"/>
    <w:rsid w:val="002B6309"/>
    <w:rsid w:val="002B6572"/>
    <w:rsid w:val="002B681F"/>
    <w:rsid w:val="002C045C"/>
    <w:rsid w:val="002C2AF9"/>
    <w:rsid w:val="002C2CFB"/>
    <w:rsid w:val="002C3977"/>
    <w:rsid w:val="002C416E"/>
    <w:rsid w:val="002C4DD3"/>
    <w:rsid w:val="002C6595"/>
    <w:rsid w:val="002C6610"/>
    <w:rsid w:val="002C7053"/>
    <w:rsid w:val="002C76ED"/>
    <w:rsid w:val="002D1518"/>
    <w:rsid w:val="002D1537"/>
    <w:rsid w:val="002D4C71"/>
    <w:rsid w:val="002E0B99"/>
    <w:rsid w:val="002E2298"/>
    <w:rsid w:val="002E2B5B"/>
    <w:rsid w:val="002E4ACD"/>
    <w:rsid w:val="002E6545"/>
    <w:rsid w:val="002E663E"/>
    <w:rsid w:val="002E7633"/>
    <w:rsid w:val="002E7CB2"/>
    <w:rsid w:val="002F05BB"/>
    <w:rsid w:val="002F0D14"/>
    <w:rsid w:val="002F1A86"/>
    <w:rsid w:val="002F224D"/>
    <w:rsid w:val="002F279B"/>
    <w:rsid w:val="002F7AC9"/>
    <w:rsid w:val="003002E9"/>
    <w:rsid w:val="003007C1"/>
    <w:rsid w:val="00300E37"/>
    <w:rsid w:val="00300F07"/>
    <w:rsid w:val="00303145"/>
    <w:rsid w:val="00305900"/>
    <w:rsid w:val="00305B0E"/>
    <w:rsid w:val="00305D03"/>
    <w:rsid w:val="003064DA"/>
    <w:rsid w:val="00310220"/>
    <w:rsid w:val="00314489"/>
    <w:rsid w:val="00316317"/>
    <w:rsid w:val="00316754"/>
    <w:rsid w:val="0031710B"/>
    <w:rsid w:val="00324D28"/>
    <w:rsid w:val="00325B73"/>
    <w:rsid w:val="00325E67"/>
    <w:rsid w:val="00326285"/>
    <w:rsid w:val="003263B6"/>
    <w:rsid w:val="00326DEC"/>
    <w:rsid w:val="00327823"/>
    <w:rsid w:val="00327BA8"/>
    <w:rsid w:val="00330281"/>
    <w:rsid w:val="003304AF"/>
    <w:rsid w:val="00330F1A"/>
    <w:rsid w:val="00335727"/>
    <w:rsid w:val="0033604C"/>
    <w:rsid w:val="00336D98"/>
    <w:rsid w:val="003373E8"/>
    <w:rsid w:val="003441C4"/>
    <w:rsid w:val="003442F1"/>
    <w:rsid w:val="00345590"/>
    <w:rsid w:val="0034639F"/>
    <w:rsid w:val="00346959"/>
    <w:rsid w:val="00350731"/>
    <w:rsid w:val="00350EDB"/>
    <w:rsid w:val="00351DD4"/>
    <w:rsid w:val="00352E20"/>
    <w:rsid w:val="003535BD"/>
    <w:rsid w:val="0035379F"/>
    <w:rsid w:val="00353AE0"/>
    <w:rsid w:val="0035426A"/>
    <w:rsid w:val="003569D6"/>
    <w:rsid w:val="00356DC7"/>
    <w:rsid w:val="00360575"/>
    <w:rsid w:val="003609C0"/>
    <w:rsid w:val="0036164C"/>
    <w:rsid w:val="00362748"/>
    <w:rsid w:val="003639D1"/>
    <w:rsid w:val="00364806"/>
    <w:rsid w:val="0036540E"/>
    <w:rsid w:val="00367498"/>
    <w:rsid w:val="0037358C"/>
    <w:rsid w:val="003767D8"/>
    <w:rsid w:val="00380671"/>
    <w:rsid w:val="0038251D"/>
    <w:rsid w:val="00383D6A"/>
    <w:rsid w:val="00383EA9"/>
    <w:rsid w:val="0038496D"/>
    <w:rsid w:val="00385517"/>
    <w:rsid w:val="00387A10"/>
    <w:rsid w:val="00387DF3"/>
    <w:rsid w:val="00390458"/>
    <w:rsid w:val="0039056E"/>
    <w:rsid w:val="003929E3"/>
    <w:rsid w:val="00392CE6"/>
    <w:rsid w:val="00394DA6"/>
    <w:rsid w:val="00394DDF"/>
    <w:rsid w:val="0039616A"/>
    <w:rsid w:val="003971D2"/>
    <w:rsid w:val="003A1540"/>
    <w:rsid w:val="003A1645"/>
    <w:rsid w:val="003A4408"/>
    <w:rsid w:val="003A490E"/>
    <w:rsid w:val="003A4A25"/>
    <w:rsid w:val="003A5326"/>
    <w:rsid w:val="003A6AFE"/>
    <w:rsid w:val="003A6F59"/>
    <w:rsid w:val="003B396C"/>
    <w:rsid w:val="003B4A0E"/>
    <w:rsid w:val="003B4C9D"/>
    <w:rsid w:val="003B5169"/>
    <w:rsid w:val="003B62E3"/>
    <w:rsid w:val="003B64D3"/>
    <w:rsid w:val="003B69BD"/>
    <w:rsid w:val="003B6D71"/>
    <w:rsid w:val="003C04A0"/>
    <w:rsid w:val="003C431B"/>
    <w:rsid w:val="003C4BA7"/>
    <w:rsid w:val="003C7A9D"/>
    <w:rsid w:val="003C7D0C"/>
    <w:rsid w:val="003D26EF"/>
    <w:rsid w:val="003D5500"/>
    <w:rsid w:val="003D64B0"/>
    <w:rsid w:val="003D72A8"/>
    <w:rsid w:val="003D7AEB"/>
    <w:rsid w:val="003E18A0"/>
    <w:rsid w:val="003E2264"/>
    <w:rsid w:val="003E43FA"/>
    <w:rsid w:val="003E6239"/>
    <w:rsid w:val="003F052F"/>
    <w:rsid w:val="003F47AE"/>
    <w:rsid w:val="003F5BD3"/>
    <w:rsid w:val="003F6362"/>
    <w:rsid w:val="003F775A"/>
    <w:rsid w:val="00402306"/>
    <w:rsid w:val="0040268C"/>
    <w:rsid w:val="00402C3A"/>
    <w:rsid w:val="00404771"/>
    <w:rsid w:val="00406641"/>
    <w:rsid w:val="00406A4F"/>
    <w:rsid w:val="00406E47"/>
    <w:rsid w:val="004124CD"/>
    <w:rsid w:val="00413DFB"/>
    <w:rsid w:val="00416040"/>
    <w:rsid w:val="00416864"/>
    <w:rsid w:val="00416A3B"/>
    <w:rsid w:val="00420CC3"/>
    <w:rsid w:val="004250F6"/>
    <w:rsid w:val="00426E8B"/>
    <w:rsid w:val="00431590"/>
    <w:rsid w:val="00431989"/>
    <w:rsid w:val="0043482F"/>
    <w:rsid w:val="00434D65"/>
    <w:rsid w:val="00435CCB"/>
    <w:rsid w:val="00442A9B"/>
    <w:rsid w:val="00443ECE"/>
    <w:rsid w:val="00444F8E"/>
    <w:rsid w:val="004467F1"/>
    <w:rsid w:val="00446C2E"/>
    <w:rsid w:val="004472FD"/>
    <w:rsid w:val="00447A4B"/>
    <w:rsid w:val="00451713"/>
    <w:rsid w:val="00454184"/>
    <w:rsid w:val="004558DB"/>
    <w:rsid w:val="004575B9"/>
    <w:rsid w:val="00462DF6"/>
    <w:rsid w:val="00464537"/>
    <w:rsid w:val="004679BE"/>
    <w:rsid w:val="00470274"/>
    <w:rsid w:val="0047109F"/>
    <w:rsid w:val="0047192C"/>
    <w:rsid w:val="00472530"/>
    <w:rsid w:val="004728D1"/>
    <w:rsid w:val="004731EC"/>
    <w:rsid w:val="00481B45"/>
    <w:rsid w:val="00482FF6"/>
    <w:rsid w:val="004848B8"/>
    <w:rsid w:val="00484B8B"/>
    <w:rsid w:val="004850F6"/>
    <w:rsid w:val="00486DFE"/>
    <w:rsid w:val="00493E34"/>
    <w:rsid w:val="004954F6"/>
    <w:rsid w:val="004970A1"/>
    <w:rsid w:val="004A0CA3"/>
    <w:rsid w:val="004A152E"/>
    <w:rsid w:val="004A1AA3"/>
    <w:rsid w:val="004A1E33"/>
    <w:rsid w:val="004B0284"/>
    <w:rsid w:val="004B083A"/>
    <w:rsid w:val="004B1E72"/>
    <w:rsid w:val="004B3018"/>
    <w:rsid w:val="004B42B0"/>
    <w:rsid w:val="004B4493"/>
    <w:rsid w:val="004B616D"/>
    <w:rsid w:val="004B7F27"/>
    <w:rsid w:val="004C08A2"/>
    <w:rsid w:val="004C0DDC"/>
    <w:rsid w:val="004C141C"/>
    <w:rsid w:val="004C166A"/>
    <w:rsid w:val="004C257D"/>
    <w:rsid w:val="004C2A53"/>
    <w:rsid w:val="004C3329"/>
    <w:rsid w:val="004C38BD"/>
    <w:rsid w:val="004C6710"/>
    <w:rsid w:val="004D1063"/>
    <w:rsid w:val="004D28D0"/>
    <w:rsid w:val="004D43C2"/>
    <w:rsid w:val="004D7FB0"/>
    <w:rsid w:val="004E2DC2"/>
    <w:rsid w:val="004E4447"/>
    <w:rsid w:val="004E4C88"/>
    <w:rsid w:val="004E58E0"/>
    <w:rsid w:val="004F006A"/>
    <w:rsid w:val="004F1193"/>
    <w:rsid w:val="004F12AF"/>
    <w:rsid w:val="004F4589"/>
    <w:rsid w:val="004F4699"/>
    <w:rsid w:val="004F46FC"/>
    <w:rsid w:val="004F52B6"/>
    <w:rsid w:val="004F676C"/>
    <w:rsid w:val="00501080"/>
    <w:rsid w:val="00501855"/>
    <w:rsid w:val="00502D63"/>
    <w:rsid w:val="00506443"/>
    <w:rsid w:val="00506F96"/>
    <w:rsid w:val="005074FB"/>
    <w:rsid w:val="00512C1C"/>
    <w:rsid w:val="00513E4E"/>
    <w:rsid w:val="005143D7"/>
    <w:rsid w:val="00514DDF"/>
    <w:rsid w:val="00515AE8"/>
    <w:rsid w:val="005178E4"/>
    <w:rsid w:val="00517A5D"/>
    <w:rsid w:val="00521F62"/>
    <w:rsid w:val="00522C84"/>
    <w:rsid w:val="00522E99"/>
    <w:rsid w:val="00524034"/>
    <w:rsid w:val="005244B5"/>
    <w:rsid w:val="0052593D"/>
    <w:rsid w:val="005264FF"/>
    <w:rsid w:val="005265D1"/>
    <w:rsid w:val="005266BB"/>
    <w:rsid w:val="005315F8"/>
    <w:rsid w:val="0053659B"/>
    <w:rsid w:val="005368C9"/>
    <w:rsid w:val="00536E48"/>
    <w:rsid w:val="00541464"/>
    <w:rsid w:val="005433BD"/>
    <w:rsid w:val="00544572"/>
    <w:rsid w:val="00546C38"/>
    <w:rsid w:val="00547337"/>
    <w:rsid w:val="00554B5C"/>
    <w:rsid w:val="00555651"/>
    <w:rsid w:val="005564AC"/>
    <w:rsid w:val="00562303"/>
    <w:rsid w:val="0056260F"/>
    <w:rsid w:val="00562B74"/>
    <w:rsid w:val="0056735C"/>
    <w:rsid w:val="00570C18"/>
    <w:rsid w:val="005734F5"/>
    <w:rsid w:val="00574342"/>
    <w:rsid w:val="00575CE1"/>
    <w:rsid w:val="005775BD"/>
    <w:rsid w:val="00577AC0"/>
    <w:rsid w:val="00580DD7"/>
    <w:rsid w:val="005817C6"/>
    <w:rsid w:val="0058266F"/>
    <w:rsid w:val="005826E4"/>
    <w:rsid w:val="00583DFA"/>
    <w:rsid w:val="00585EBB"/>
    <w:rsid w:val="00587767"/>
    <w:rsid w:val="00587EA3"/>
    <w:rsid w:val="005922F3"/>
    <w:rsid w:val="005932BC"/>
    <w:rsid w:val="00593677"/>
    <w:rsid w:val="0059406B"/>
    <w:rsid w:val="00594D77"/>
    <w:rsid w:val="005A1B2A"/>
    <w:rsid w:val="005A30CC"/>
    <w:rsid w:val="005A62C8"/>
    <w:rsid w:val="005A6A7E"/>
    <w:rsid w:val="005A74DB"/>
    <w:rsid w:val="005B009A"/>
    <w:rsid w:val="005B0A9C"/>
    <w:rsid w:val="005B2468"/>
    <w:rsid w:val="005B27A3"/>
    <w:rsid w:val="005B3A49"/>
    <w:rsid w:val="005B5238"/>
    <w:rsid w:val="005B59F6"/>
    <w:rsid w:val="005B74D8"/>
    <w:rsid w:val="005C0829"/>
    <w:rsid w:val="005C3EAB"/>
    <w:rsid w:val="005C516E"/>
    <w:rsid w:val="005C7CCF"/>
    <w:rsid w:val="005D00F3"/>
    <w:rsid w:val="005D515B"/>
    <w:rsid w:val="005D5BA8"/>
    <w:rsid w:val="005D5D82"/>
    <w:rsid w:val="005E0233"/>
    <w:rsid w:val="005E05F8"/>
    <w:rsid w:val="005E6534"/>
    <w:rsid w:val="005E68C6"/>
    <w:rsid w:val="005E6D9F"/>
    <w:rsid w:val="005E7399"/>
    <w:rsid w:val="005F01CE"/>
    <w:rsid w:val="005F0575"/>
    <w:rsid w:val="005F16C0"/>
    <w:rsid w:val="005F2EC9"/>
    <w:rsid w:val="005F5B88"/>
    <w:rsid w:val="00600232"/>
    <w:rsid w:val="00600AEE"/>
    <w:rsid w:val="00602814"/>
    <w:rsid w:val="0060524F"/>
    <w:rsid w:val="00605DEA"/>
    <w:rsid w:val="00612CE4"/>
    <w:rsid w:val="0061399A"/>
    <w:rsid w:val="00620066"/>
    <w:rsid w:val="00620F9B"/>
    <w:rsid w:val="006225E6"/>
    <w:rsid w:val="0062462C"/>
    <w:rsid w:val="00630BBB"/>
    <w:rsid w:val="00630DAE"/>
    <w:rsid w:val="006314B8"/>
    <w:rsid w:val="00633692"/>
    <w:rsid w:val="00634111"/>
    <w:rsid w:val="00634B64"/>
    <w:rsid w:val="00634C37"/>
    <w:rsid w:val="00637741"/>
    <w:rsid w:val="00637D91"/>
    <w:rsid w:val="006401C9"/>
    <w:rsid w:val="006404EB"/>
    <w:rsid w:val="00640A36"/>
    <w:rsid w:val="006410D8"/>
    <w:rsid w:val="006423D0"/>
    <w:rsid w:val="00643556"/>
    <w:rsid w:val="00644433"/>
    <w:rsid w:val="0064787E"/>
    <w:rsid w:val="00651C8D"/>
    <w:rsid w:val="00652EDC"/>
    <w:rsid w:val="006532B3"/>
    <w:rsid w:val="00655B61"/>
    <w:rsid w:val="00655DDA"/>
    <w:rsid w:val="0065632D"/>
    <w:rsid w:val="00656B0F"/>
    <w:rsid w:val="006571F7"/>
    <w:rsid w:val="00662B8B"/>
    <w:rsid w:val="006630C0"/>
    <w:rsid w:val="00663348"/>
    <w:rsid w:val="00665708"/>
    <w:rsid w:val="006663B9"/>
    <w:rsid w:val="006702D0"/>
    <w:rsid w:val="0067291B"/>
    <w:rsid w:val="00676114"/>
    <w:rsid w:val="00676D4D"/>
    <w:rsid w:val="00677FB6"/>
    <w:rsid w:val="00680450"/>
    <w:rsid w:val="006821E7"/>
    <w:rsid w:val="00687533"/>
    <w:rsid w:val="00690B1A"/>
    <w:rsid w:val="00690F9B"/>
    <w:rsid w:val="006910CE"/>
    <w:rsid w:val="00692188"/>
    <w:rsid w:val="00694026"/>
    <w:rsid w:val="006942BD"/>
    <w:rsid w:val="00694F13"/>
    <w:rsid w:val="00695C62"/>
    <w:rsid w:val="0069768E"/>
    <w:rsid w:val="00697E56"/>
    <w:rsid w:val="006A12A1"/>
    <w:rsid w:val="006A3EAA"/>
    <w:rsid w:val="006A4362"/>
    <w:rsid w:val="006A47B2"/>
    <w:rsid w:val="006A648F"/>
    <w:rsid w:val="006B02C2"/>
    <w:rsid w:val="006B0316"/>
    <w:rsid w:val="006B03D6"/>
    <w:rsid w:val="006B079C"/>
    <w:rsid w:val="006B278A"/>
    <w:rsid w:val="006B2F5B"/>
    <w:rsid w:val="006B4282"/>
    <w:rsid w:val="006B54F8"/>
    <w:rsid w:val="006B6FB7"/>
    <w:rsid w:val="006B774F"/>
    <w:rsid w:val="006B78A0"/>
    <w:rsid w:val="006C155B"/>
    <w:rsid w:val="006C2CC5"/>
    <w:rsid w:val="006C3BEF"/>
    <w:rsid w:val="006C4BDE"/>
    <w:rsid w:val="006C6C9C"/>
    <w:rsid w:val="006D18E7"/>
    <w:rsid w:val="006D2147"/>
    <w:rsid w:val="006D2696"/>
    <w:rsid w:val="006D3EF2"/>
    <w:rsid w:val="006D46BF"/>
    <w:rsid w:val="006D4742"/>
    <w:rsid w:val="006D4916"/>
    <w:rsid w:val="006D5775"/>
    <w:rsid w:val="006E106E"/>
    <w:rsid w:val="006E2C64"/>
    <w:rsid w:val="006E2E2D"/>
    <w:rsid w:val="006E5E5F"/>
    <w:rsid w:val="006F0C8A"/>
    <w:rsid w:val="006F104A"/>
    <w:rsid w:val="006F1C66"/>
    <w:rsid w:val="006F2898"/>
    <w:rsid w:val="006F2BA7"/>
    <w:rsid w:val="006F3570"/>
    <w:rsid w:val="006F3756"/>
    <w:rsid w:val="00701996"/>
    <w:rsid w:val="00703746"/>
    <w:rsid w:val="007054E0"/>
    <w:rsid w:val="00705E6B"/>
    <w:rsid w:val="00705F51"/>
    <w:rsid w:val="00710036"/>
    <w:rsid w:val="0071165E"/>
    <w:rsid w:val="00712773"/>
    <w:rsid w:val="00712B63"/>
    <w:rsid w:val="00712EAB"/>
    <w:rsid w:val="007146B5"/>
    <w:rsid w:val="00716088"/>
    <w:rsid w:val="0071663C"/>
    <w:rsid w:val="00717935"/>
    <w:rsid w:val="007211D5"/>
    <w:rsid w:val="00721B88"/>
    <w:rsid w:val="0072290B"/>
    <w:rsid w:val="00722E88"/>
    <w:rsid w:val="00726B18"/>
    <w:rsid w:val="00726F13"/>
    <w:rsid w:val="00732DE7"/>
    <w:rsid w:val="00734CEB"/>
    <w:rsid w:val="007361CD"/>
    <w:rsid w:val="00737C08"/>
    <w:rsid w:val="00740B91"/>
    <w:rsid w:val="00741571"/>
    <w:rsid w:val="007415AD"/>
    <w:rsid w:val="00743F8B"/>
    <w:rsid w:val="00743F94"/>
    <w:rsid w:val="00744581"/>
    <w:rsid w:val="00746470"/>
    <w:rsid w:val="007465DD"/>
    <w:rsid w:val="00746F37"/>
    <w:rsid w:val="00747B44"/>
    <w:rsid w:val="00750394"/>
    <w:rsid w:val="007515AB"/>
    <w:rsid w:val="0075307C"/>
    <w:rsid w:val="0075328A"/>
    <w:rsid w:val="00754A09"/>
    <w:rsid w:val="00754AF0"/>
    <w:rsid w:val="00754BE3"/>
    <w:rsid w:val="00754D1D"/>
    <w:rsid w:val="00755D06"/>
    <w:rsid w:val="00757AC4"/>
    <w:rsid w:val="00760303"/>
    <w:rsid w:val="007610C7"/>
    <w:rsid w:val="00763E5D"/>
    <w:rsid w:val="00764B23"/>
    <w:rsid w:val="00767516"/>
    <w:rsid w:val="00767F79"/>
    <w:rsid w:val="007703B3"/>
    <w:rsid w:val="00771781"/>
    <w:rsid w:val="007729BE"/>
    <w:rsid w:val="00772CFA"/>
    <w:rsid w:val="00774AFA"/>
    <w:rsid w:val="00774D3A"/>
    <w:rsid w:val="00775261"/>
    <w:rsid w:val="00775387"/>
    <w:rsid w:val="0078186B"/>
    <w:rsid w:val="00781C52"/>
    <w:rsid w:val="00781C81"/>
    <w:rsid w:val="00782B64"/>
    <w:rsid w:val="00782F33"/>
    <w:rsid w:val="007838BB"/>
    <w:rsid w:val="007846AE"/>
    <w:rsid w:val="00785E5E"/>
    <w:rsid w:val="0078616E"/>
    <w:rsid w:val="00787EA9"/>
    <w:rsid w:val="007901E4"/>
    <w:rsid w:val="00790485"/>
    <w:rsid w:val="00795646"/>
    <w:rsid w:val="00796CF3"/>
    <w:rsid w:val="007A0926"/>
    <w:rsid w:val="007A1EC7"/>
    <w:rsid w:val="007A31BD"/>
    <w:rsid w:val="007A3450"/>
    <w:rsid w:val="007A5C56"/>
    <w:rsid w:val="007A735F"/>
    <w:rsid w:val="007A7BC0"/>
    <w:rsid w:val="007B0F50"/>
    <w:rsid w:val="007B17A5"/>
    <w:rsid w:val="007B2D35"/>
    <w:rsid w:val="007B544C"/>
    <w:rsid w:val="007B5F3D"/>
    <w:rsid w:val="007B7371"/>
    <w:rsid w:val="007C060B"/>
    <w:rsid w:val="007C096E"/>
    <w:rsid w:val="007C1DA5"/>
    <w:rsid w:val="007C451B"/>
    <w:rsid w:val="007D0503"/>
    <w:rsid w:val="007D07A1"/>
    <w:rsid w:val="007D0DFE"/>
    <w:rsid w:val="007D5F0C"/>
    <w:rsid w:val="007D638A"/>
    <w:rsid w:val="007D6697"/>
    <w:rsid w:val="007E29E6"/>
    <w:rsid w:val="007E6203"/>
    <w:rsid w:val="007E7796"/>
    <w:rsid w:val="007E78F3"/>
    <w:rsid w:val="007E7E09"/>
    <w:rsid w:val="007F0749"/>
    <w:rsid w:val="007F1258"/>
    <w:rsid w:val="007F1470"/>
    <w:rsid w:val="007F1D75"/>
    <w:rsid w:val="008001FA"/>
    <w:rsid w:val="00802790"/>
    <w:rsid w:val="0080547B"/>
    <w:rsid w:val="00805908"/>
    <w:rsid w:val="00806532"/>
    <w:rsid w:val="008065FC"/>
    <w:rsid w:val="008076AC"/>
    <w:rsid w:val="00810659"/>
    <w:rsid w:val="00812E75"/>
    <w:rsid w:val="008132E1"/>
    <w:rsid w:val="00813CB4"/>
    <w:rsid w:val="00813F3B"/>
    <w:rsid w:val="00816841"/>
    <w:rsid w:val="00817356"/>
    <w:rsid w:val="008175C8"/>
    <w:rsid w:val="00820D8E"/>
    <w:rsid w:val="0082223E"/>
    <w:rsid w:val="00825723"/>
    <w:rsid w:val="00826866"/>
    <w:rsid w:val="00827297"/>
    <w:rsid w:val="00827C63"/>
    <w:rsid w:val="00827C7A"/>
    <w:rsid w:val="008307FF"/>
    <w:rsid w:val="00831D24"/>
    <w:rsid w:val="00831F07"/>
    <w:rsid w:val="00832D89"/>
    <w:rsid w:val="00841230"/>
    <w:rsid w:val="00842503"/>
    <w:rsid w:val="00846F54"/>
    <w:rsid w:val="00847C45"/>
    <w:rsid w:val="00847E0C"/>
    <w:rsid w:val="00851E8B"/>
    <w:rsid w:val="00852595"/>
    <w:rsid w:val="008527CE"/>
    <w:rsid w:val="008560D5"/>
    <w:rsid w:val="00857404"/>
    <w:rsid w:val="00857DA4"/>
    <w:rsid w:val="008610EE"/>
    <w:rsid w:val="00861571"/>
    <w:rsid w:val="008625F3"/>
    <w:rsid w:val="00864821"/>
    <w:rsid w:val="00865DB1"/>
    <w:rsid w:val="00866CBC"/>
    <w:rsid w:val="00871985"/>
    <w:rsid w:val="00872A26"/>
    <w:rsid w:val="0087541C"/>
    <w:rsid w:val="008756CA"/>
    <w:rsid w:val="00875D28"/>
    <w:rsid w:val="008770C9"/>
    <w:rsid w:val="008833B7"/>
    <w:rsid w:val="00886D21"/>
    <w:rsid w:val="00886E24"/>
    <w:rsid w:val="00887269"/>
    <w:rsid w:val="008872E6"/>
    <w:rsid w:val="008901FD"/>
    <w:rsid w:val="00890FAB"/>
    <w:rsid w:val="00891633"/>
    <w:rsid w:val="008934B1"/>
    <w:rsid w:val="008961D3"/>
    <w:rsid w:val="00897BE0"/>
    <w:rsid w:val="00897BF9"/>
    <w:rsid w:val="008A12EF"/>
    <w:rsid w:val="008A3738"/>
    <w:rsid w:val="008A5E74"/>
    <w:rsid w:val="008A64A5"/>
    <w:rsid w:val="008A6B0C"/>
    <w:rsid w:val="008A6B54"/>
    <w:rsid w:val="008B113A"/>
    <w:rsid w:val="008B1E9E"/>
    <w:rsid w:val="008B28F3"/>
    <w:rsid w:val="008B2A00"/>
    <w:rsid w:val="008B4E95"/>
    <w:rsid w:val="008B5C92"/>
    <w:rsid w:val="008C250F"/>
    <w:rsid w:val="008C397F"/>
    <w:rsid w:val="008C41B8"/>
    <w:rsid w:val="008C4311"/>
    <w:rsid w:val="008C495C"/>
    <w:rsid w:val="008C6037"/>
    <w:rsid w:val="008C7980"/>
    <w:rsid w:val="008D0727"/>
    <w:rsid w:val="008D1595"/>
    <w:rsid w:val="008D26F2"/>
    <w:rsid w:val="008D2818"/>
    <w:rsid w:val="008D2923"/>
    <w:rsid w:val="008D60E5"/>
    <w:rsid w:val="008D6E5B"/>
    <w:rsid w:val="008D703C"/>
    <w:rsid w:val="008D71D8"/>
    <w:rsid w:val="008E22D3"/>
    <w:rsid w:val="008E3CB2"/>
    <w:rsid w:val="008E440B"/>
    <w:rsid w:val="008E5686"/>
    <w:rsid w:val="008E579A"/>
    <w:rsid w:val="008E57C0"/>
    <w:rsid w:val="008F392E"/>
    <w:rsid w:val="008F47E2"/>
    <w:rsid w:val="008F69A4"/>
    <w:rsid w:val="008F7379"/>
    <w:rsid w:val="0090019A"/>
    <w:rsid w:val="009002AA"/>
    <w:rsid w:val="00901E1F"/>
    <w:rsid w:val="00903F7D"/>
    <w:rsid w:val="009051FF"/>
    <w:rsid w:val="009067F2"/>
    <w:rsid w:val="00910261"/>
    <w:rsid w:val="00910B6C"/>
    <w:rsid w:val="00913D4F"/>
    <w:rsid w:val="009206F0"/>
    <w:rsid w:val="0092160C"/>
    <w:rsid w:val="00921F64"/>
    <w:rsid w:val="009232A8"/>
    <w:rsid w:val="0092478F"/>
    <w:rsid w:val="00924A3C"/>
    <w:rsid w:val="009258FE"/>
    <w:rsid w:val="00926148"/>
    <w:rsid w:val="0093154D"/>
    <w:rsid w:val="00934891"/>
    <w:rsid w:val="00935FCF"/>
    <w:rsid w:val="00936790"/>
    <w:rsid w:val="00937051"/>
    <w:rsid w:val="00937E3D"/>
    <w:rsid w:val="0094062D"/>
    <w:rsid w:val="00940E45"/>
    <w:rsid w:val="00953448"/>
    <w:rsid w:val="00953D7F"/>
    <w:rsid w:val="00954599"/>
    <w:rsid w:val="009563E7"/>
    <w:rsid w:val="00957656"/>
    <w:rsid w:val="00957FC4"/>
    <w:rsid w:val="00960DE7"/>
    <w:rsid w:val="00960E1F"/>
    <w:rsid w:val="009619C5"/>
    <w:rsid w:val="009648ED"/>
    <w:rsid w:val="00970063"/>
    <w:rsid w:val="00974BA7"/>
    <w:rsid w:val="00980EC3"/>
    <w:rsid w:val="0098179E"/>
    <w:rsid w:val="009820B1"/>
    <w:rsid w:val="00982AB2"/>
    <w:rsid w:val="00982BB0"/>
    <w:rsid w:val="00983203"/>
    <w:rsid w:val="0098394F"/>
    <w:rsid w:val="00983C1F"/>
    <w:rsid w:val="00983FBB"/>
    <w:rsid w:val="00985FC9"/>
    <w:rsid w:val="00993E78"/>
    <w:rsid w:val="00994618"/>
    <w:rsid w:val="009A0749"/>
    <w:rsid w:val="009A07A8"/>
    <w:rsid w:val="009A2B85"/>
    <w:rsid w:val="009A4580"/>
    <w:rsid w:val="009A5189"/>
    <w:rsid w:val="009A520F"/>
    <w:rsid w:val="009A5FDD"/>
    <w:rsid w:val="009B1D11"/>
    <w:rsid w:val="009B3DD5"/>
    <w:rsid w:val="009B5ECC"/>
    <w:rsid w:val="009B6B0C"/>
    <w:rsid w:val="009B6C8B"/>
    <w:rsid w:val="009C183A"/>
    <w:rsid w:val="009C1AA4"/>
    <w:rsid w:val="009C2E16"/>
    <w:rsid w:val="009C38EF"/>
    <w:rsid w:val="009C3A0C"/>
    <w:rsid w:val="009C42ED"/>
    <w:rsid w:val="009C71BD"/>
    <w:rsid w:val="009C73F2"/>
    <w:rsid w:val="009D0D44"/>
    <w:rsid w:val="009D1289"/>
    <w:rsid w:val="009D1F0A"/>
    <w:rsid w:val="009D3894"/>
    <w:rsid w:val="009D5A71"/>
    <w:rsid w:val="009D6125"/>
    <w:rsid w:val="009D652A"/>
    <w:rsid w:val="009D6CEC"/>
    <w:rsid w:val="009E1B0F"/>
    <w:rsid w:val="009E1F81"/>
    <w:rsid w:val="009E442A"/>
    <w:rsid w:val="009E44B8"/>
    <w:rsid w:val="009E4DBE"/>
    <w:rsid w:val="009E57B5"/>
    <w:rsid w:val="009E62F5"/>
    <w:rsid w:val="009E6ACC"/>
    <w:rsid w:val="009E7F21"/>
    <w:rsid w:val="009F0174"/>
    <w:rsid w:val="009F0E92"/>
    <w:rsid w:val="009F245E"/>
    <w:rsid w:val="009F5C89"/>
    <w:rsid w:val="009F617C"/>
    <w:rsid w:val="009F6C85"/>
    <w:rsid w:val="009F7D98"/>
    <w:rsid w:val="00A00063"/>
    <w:rsid w:val="00A00E2E"/>
    <w:rsid w:val="00A023F5"/>
    <w:rsid w:val="00A0293E"/>
    <w:rsid w:val="00A02C8B"/>
    <w:rsid w:val="00A02F8D"/>
    <w:rsid w:val="00A033F9"/>
    <w:rsid w:val="00A03659"/>
    <w:rsid w:val="00A05E3F"/>
    <w:rsid w:val="00A05FB8"/>
    <w:rsid w:val="00A073DC"/>
    <w:rsid w:val="00A074B2"/>
    <w:rsid w:val="00A11966"/>
    <w:rsid w:val="00A14D03"/>
    <w:rsid w:val="00A15251"/>
    <w:rsid w:val="00A154FD"/>
    <w:rsid w:val="00A174F8"/>
    <w:rsid w:val="00A212FE"/>
    <w:rsid w:val="00A22772"/>
    <w:rsid w:val="00A25DF2"/>
    <w:rsid w:val="00A30BE0"/>
    <w:rsid w:val="00A3138A"/>
    <w:rsid w:val="00A31A1E"/>
    <w:rsid w:val="00A31AC2"/>
    <w:rsid w:val="00A32685"/>
    <w:rsid w:val="00A43979"/>
    <w:rsid w:val="00A44D05"/>
    <w:rsid w:val="00A509DA"/>
    <w:rsid w:val="00A52135"/>
    <w:rsid w:val="00A5221C"/>
    <w:rsid w:val="00A53754"/>
    <w:rsid w:val="00A53D96"/>
    <w:rsid w:val="00A56439"/>
    <w:rsid w:val="00A60C7E"/>
    <w:rsid w:val="00A715BF"/>
    <w:rsid w:val="00A72D63"/>
    <w:rsid w:val="00A74B9E"/>
    <w:rsid w:val="00A7599C"/>
    <w:rsid w:val="00A7695F"/>
    <w:rsid w:val="00A776B9"/>
    <w:rsid w:val="00A80737"/>
    <w:rsid w:val="00A81EC2"/>
    <w:rsid w:val="00A826BA"/>
    <w:rsid w:val="00A8351F"/>
    <w:rsid w:val="00A863DA"/>
    <w:rsid w:val="00A874A9"/>
    <w:rsid w:val="00A8758B"/>
    <w:rsid w:val="00A9444E"/>
    <w:rsid w:val="00A94B4D"/>
    <w:rsid w:val="00A961B3"/>
    <w:rsid w:val="00A96827"/>
    <w:rsid w:val="00AA41E1"/>
    <w:rsid w:val="00AA48BD"/>
    <w:rsid w:val="00AA5CC1"/>
    <w:rsid w:val="00AA5F70"/>
    <w:rsid w:val="00AB02DC"/>
    <w:rsid w:val="00AB0496"/>
    <w:rsid w:val="00AB0B93"/>
    <w:rsid w:val="00AB0DC0"/>
    <w:rsid w:val="00AB1396"/>
    <w:rsid w:val="00AB1761"/>
    <w:rsid w:val="00AB1C81"/>
    <w:rsid w:val="00AB4C71"/>
    <w:rsid w:val="00AB59A2"/>
    <w:rsid w:val="00AB6F73"/>
    <w:rsid w:val="00AB6F9C"/>
    <w:rsid w:val="00AC045F"/>
    <w:rsid w:val="00AC0E8A"/>
    <w:rsid w:val="00AC13A3"/>
    <w:rsid w:val="00AC1CC6"/>
    <w:rsid w:val="00AC1F46"/>
    <w:rsid w:val="00AC268F"/>
    <w:rsid w:val="00AC5FB4"/>
    <w:rsid w:val="00AD0A6C"/>
    <w:rsid w:val="00AD4492"/>
    <w:rsid w:val="00AD7566"/>
    <w:rsid w:val="00AD7E94"/>
    <w:rsid w:val="00AE1160"/>
    <w:rsid w:val="00AE595B"/>
    <w:rsid w:val="00AE61F4"/>
    <w:rsid w:val="00AE75FC"/>
    <w:rsid w:val="00AF2037"/>
    <w:rsid w:val="00AF34FE"/>
    <w:rsid w:val="00AF490E"/>
    <w:rsid w:val="00AF53FB"/>
    <w:rsid w:val="00AF5832"/>
    <w:rsid w:val="00B00C5F"/>
    <w:rsid w:val="00B00FC8"/>
    <w:rsid w:val="00B02FFC"/>
    <w:rsid w:val="00B0361B"/>
    <w:rsid w:val="00B05665"/>
    <w:rsid w:val="00B06638"/>
    <w:rsid w:val="00B11CC8"/>
    <w:rsid w:val="00B12273"/>
    <w:rsid w:val="00B12A30"/>
    <w:rsid w:val="00B13D87"/>
    <w:rsid w:val="00B1749A"/>
    <w:rsid w:val="00B20765"/>
    <w:rsid w:val="00B22841"/>
    <w:rsid w:val="00B22CE8"/>
    <w:rsid w:val="00B23889"/>
    <w:rsid w:val="00B259D9"/>
    <w:rsid w:val="00B27C5F"/>
    <w:rsid w:val="00B32775"/>
    <w:rsid w:val="00B336F0"/>
    <w:rsid w:val="00B37374"/>
    <w:rsid w:val="00B41BDC"/>
    <w:rsid w:val="00B42A8B"/>
    <w:rsid w:val="00B438C0"/>
    <w:rsid w:val="00B45C8D"/>
    <w:rsid w:val="00B4793D"/>
    <w:rsid w:val="00B50378"/>
    <w:rsid w:val="00B517EF"/>
    <w:rsid w:val="00B51BBA"/>
    <w:rsid w:val="00B53B44"/>
    <w:rsid w:val="00B53F65"/>
    <w:rsid w:val="00B54CD1"/>
    <w:rsid w:val="00B56DCE"/>
    <w:rsid w:val="00B607C8"/>
    <w:rsid w:val="00B63944"/>
    <w:rsid w:val="00B652AC"/>
    <w:rsid w:val="00B66285"/>
    <w:rsid w:val="00B66296"/>
    <w:rsid w:val="00B66C5B"/>
    <w:rsid w:val="00B70644"/>
    <w:rsid w:val="00B7159F"/>
    <w:rsid w:val="00B71CA7"/>
    <w:rsid w:val="00B72059"/>
    <w:rsid w:val="00B73979"/>
    <w:rsid w:val="00B73F2A"/>
    <w:rsid w:val="00B74864"/>
    <w:rsid w:val="00B76E46"/>
    <w:rsid w:val="00B8741C"/>
    <w:rsid w:val="00B90EE7"/>
    <w:rsid w:val="00B933D9"/>
    <w:rsid w:val="00B93F7F"/>
    <w:rsid w:val="00B96D15"/>
    <w:rsid w:val="00B9703B"/>
    <w:rsid w:val="00B970E3"/>
    <w:rsid w:val="00BA164E"/>
    <w:rsid w:val="00BA28DE"/>
    <w:rsid w:val="00BA3490"/>
    <w:rsid w:val="00BA496D"/>
    <w:rsid w:val="00BA772A"/>
    <w:rsid w:val="00BB269B"/>
    <w:rsid w:val="00BB3EA8"/>
    <w:rsid w:val="00BB50C5"/>
    <w:rsid w:val="00BB711E"/>
    <w:rsid w:val="00BB7302"/>
    <w:rsid w:val="00BC4595"/>
    <w:rsid w:val="00BD68FD"/>
    <w:rsid w:val="00BD7199"/>
    <w:rsid w:val="00BE343D"/>
    <w:rsid w:val="00BE4142"/>
    <w:rsid w:val="00BE529D"/>
    <w:rsid w:val="00BE5985"/>
    <w:rsid w:val="00BE7C87"/>
    <w:rsid w:val="00BF1953"/>
    <w:rsid w:val="00BF1DCD"/>
    <w:rsid w:val="00BF4A8C"/>
    <w:rsid w:val="00BF7280"/>
    <w:rsid w:val="00BF7D1D"/>
    <w:rsid w:val="00BF7E66"/>
    <w:rsid w:val="00C00111"/>
    <w:rsid w:val="00C00973"/>
    <w:rsid w:val="00C0116B"/>
    <w:rsid w:val="00C012E4"/>
    <w:rsid w:val="00C022CD"/>
    <w:rsid w:val="00C02C25"/>
    <w:rsid w:val="00C047C4"/>
    <w:rsid w:val="00C04E84"/>
    <w:rsid w:val="00C06B50"/>
    <w:rsid w:val="00C10DA4"/>
    <w:rsid w:val="00C136C5"/>
    <w:rsid w:val="00C155FA"/>
    <w:rsid w:val="00C157E4"/>
    <w:rsid w:val="00C21DC8"/>
    <w:rsid w:val="00C221B6"/>
    <w:rsid w:val="00C22A2E"/>
    <w:rsid w:val="00C23E4F"/>
    <w:rsid w:val="00C2468B"/>
    <w:rsid w:val="00C24B65"/>
    <w:rsid w:val="00C2519F"/>
    <w:rsid w:val="00C26E69"/>
    <w:rsid w:val="00C27CB0"/>
    <w:rsid w:val="00C302FD"/>
    <w:rsid w:val="00C30415"/>
    <w:rsid w:val="00C30FE4"/>
    <w:rsid w:val="00C33D0A"/>
    <w:rsid w:val="00C349CD"/>
    <w:rsid w:val="00C353C3"/>
    <w:rsid w:val="00C36749"/>
    <w:rsid w:val="00C3779B"/>
    <w:rsid w:val="00C47319"/>
    <w:rsid w:val="00C51260"/>
    <w:rsid w:val="00C515D4"/>
    <w:rsid w:val="00C52B3B"/>
    <w:rsid w:val="00C52F6B"/>
    <w:rsid w:val="00C533B2"/>
    <w:rsid w:val="00C533E7"/>
    <w:rsid w:val="00C53608"/>
    <w:rsid w:val="00C545DB"/>
    <w:rsid w:val="00C56D74"/>
    <w:rsid w:val="00C57F70"/>
    <w:rsid w:val="00C61363"/>
    <w:rsid w:val="00C61DB2"/>
    <w:rsid w:val="00C61EE1"/>
    <w:rsid w:val="00C63363"/>
    <w:rsid w:val="00C64CF5"/>
    <w:rsid w:val="00C67627"/>
    <w:rsid w:val="00C70111"/>
    <w:rsid w:val="00C71181"/>
    <w:rsid w:val="00C724D0"/>
    <w:rsid w:val="00C731BF"/>
    <w:rsid w:val="00C73EFC"/>
    <w:rsid w:val="00C745B7"/>
    <w:rsid w:val="00C74877"/>
    <w:rsid w:val="00C751A7"/>
    <w:rsid w:val="00C77A6C"/>
    <w:rsid w:val="00C80277"/>
    <w:rsid w:val="00C80677"/>
    <w:rsid w:val="00C817AD"/>
    <w:rsid w:val="00C823A6"/>
    <w:rsid w:val="00C86428"/>
    <w:rsid w:val="00C904A8"/>
    <w:rsid w:val="00C9495F"/>
    <w:rsid w:val="00CA1D38"/>
    <w:rsid w:val="00CA2677"/>
    <w:rsid w:val="00CA6646"/>
    <w:rsid w:val="00CA7427"/>
    <w:rsid w:val="00CB0FBA"/>
    <w:rsid w:val="00CB4295"/>
    <w:rsid w:val="00CB4F91"/>
    <w:rsid w:val="00CB575A"/>
    <w:rsid w:val="00CB5F0D"/>
    <w:rsid w:val="00CB6931"/>
    <w:rsid w:val="00CC3DE2"/>
    <w:rsid w:val="00CD129F"/>
    <w:rsid w:val="00CD18B4"/>
    <w:rsid w:val="00CD4EE3"/>
    <w:rsid w:val="00CD508E"/>
    <w:rsid w:val="00CD7D8F"/>
    <w:rsid w:val="00CE0390"/>
    <w:rsid w:val="00CE232C"/>
    <w:rsid w:val="00CE356D"/>
    <w:rsid w:val="00CE3653"/>
    <w:rsid w:val="00CE49EA"/>
    <w:rsid w:val="00CE60CE"/>
    <w:rsid w:val="00CE7082"/>
    <w:rsid w:val="00CE7BC5"/>
    <w:rsid w:val="00CF1979"/>
    <w:rsid w:val="00CF23AA"/>
    <w:rsid w:val="00CF29EB"/>
    <w:rsid w:val="00CF476D"/>
    <w:rsid w:val="00CF4B63"/>
    <w:rsid w:val="00CF5581"/>
    <w:rsid w:val="00CF71DF"/>
    <w:rsid w:val="00CF7357"/>
    <w:rsid w:val="00CF7E88"/>
    <w:rsid w:val="00D0000C"/>
    <w:rsid w:val="00D034D0"/>
    <w:rsid w:val="00D04C0D"/>
    <w:rsid w:val="00D06D56"/>
    <w:rsid w:val="00D06E27"/>
    <w:rsid w:val="00D07CDD"/>
    <w:rsid w:val="00D12603"/>
    <w:rsid w:val="00D1374F"/>
    <w:rsid w:val="00D144AD"/>
    <w:rsid w:val="00D14DB0"/>
    <w:rsid w:val="00D15571"/>
    <w:rsid w:val="00D15924"/>
    <w:rsid w:val="00D16A42"/>
    <w:rsid w:val="00D22421"/>
    <w:rsid w:val="00D22EC3"/>
    <w:rsid w:val="00D247A5"/>
    <w:rsid w:val="00D26AC8"/>
    <w:rsid w:val="00D3074F"/>
    <w:rsid w:val="00D31810"/>
    <w:rsid w:val="00D31ABE"/>
    <w:rsid w:val="00D346A8"/>
    <w:rsid w:val="00D40B2A"/>
    <w:rsid w:val="00D40B99"/>
    <w:rsid w:val="00D41D1B"/>
    <w:rsid w:val="00D42306"/>
    <w:rsid w:val="00D43259"/>
    <w:rsid w:val="00D44BEA"/>
    <w:rsid w:val="00D45126"/>
    <w:rsid w:val="00D45A3D"/>
    <w:rsid w:val="00D4616F"/>
    <w:rsid w:val="00D502A8"/>
    <w:rsid w:val="00D534A5"/>
    <w:rsid w:val="00D53EB4"/>
    <w:rsid w:val="00D562F4"/>
    <w:rsid w:val="00D563C0"/>
    <w:rsid w:val="00D57C49"/>
    <w:rsid w:val="00D60D83"/>
    <w:rsid w:val="00D62371"/>
    <w:rsid w:val="00D645E3"/>
    <w:rsid w:val="00D65EB7"/>
    <w:rsid w:val="00D65F14"/>
    <w:rsid w:val="00D65F30"/>
    <w:rsid w:val="00D664EF"/>
    <w:rsid w:val="00D70805"/>
    <w:rsid w:val="00D70D4D"/>
    <w:rsid w:val="00D7258D"/>
    <w:rsid w:val="00D7265A"/>
    <w:rsid w:val="00D72730"/>
    <w:rsid w:val="00D73831"/>
    <w:rsid w:val="00D738B6"/>
    <w:rsid w:val="00D73C43"/>
    <w:rsid w:val="00D74442"/>
    <w:rsid w:val="00D74F65"/>
    <w:rsid w:val="00D76CE7"/>
    <w:rsid w:val="00D805E3"/>
    <w:rsid w:val="00D85CF2"/>
    <w:rsid w:val="00D86135"/>
    <w:rsid w:val="00D863D7"/>
    <w:rsid w:val="00D903EB"/>
    <w:rsid w:val="00D91836"/>
    <w:rsid w:val="00D91A35"/>
    <w:rsid w:val="00D93F80"/>
    <w:rsid w:val="00D94392"/>
    <w:rsid w:val="00D9700D"/>
    <w:rsid w:val="00DA13D6"/>
    <w:rsid w:val="00DA176D"/>
    <w:rsid w:val="00DA2172"/>
    <w:rsid w:val="00DA5C61"/>
    <w:rsid w:val="00DA6296"/>
    <w:rsid w:val="00DA7786"/>
    <w:rsid w:val="00DB126C"/>
    <w:rsid w:val="00DB36C6"/>
    <w:rsid w:val="00DB4C60"/>
    <w:rsid w:val="00DB4C6B"/>
    <w:rsid w:val="00DB4D65"/>
    <w:rsid w:val="00DB6F46"/>
    <w:rsid w:val="00DC01D7"/>
    <w:rsid w:val="00DC1D74"/>
    <w:rsid w:val="00DC22E0"/>
    <w:rsid w:val="00DC30A3"/>
    <w:rsid w:val="00DC46B3"/>
    <w:rsid w:val="00DC4DE9"/>
    <w:rsid w:val="00DD4961"/>
    <w:rsid w:val="00DD5CB5"/>
    <w:rsid w:val="00DD5DB4"/>
    <w:rsid w:val="00DD67E0"/>
    <w:rsid w:val="00DD7C68"/>
    <w:rsid w:val="00DE0CB2"/>
    <w:rsid w:val="00DE1F02"/>
    <w:rsid w:val="00DE375A"/>
    <w:rsid w:val="00DE3B5A"/>
    <w:rsid w:val="00DE3E02"/>
    <w:rsid w:val="00DE40A0"/>
    <w:rsid w:val="00DE4269"/>
    <w:rsid w:val="00DE4DEC"/>
    <w:rsid w:val="00DE4E78"/>
    <w:rsid w:val="00DE56CA"/>
    <w:rsid w:val="00DE6485"/>
    <w:rsid w:val="00DE6981"/>
    <w:rsid w:val="00DF3572"/>
    <w:rsid w:val="00DF57DF"/>
    <w:rsid w:val="00DF64E2"/>
    <w:rsid w:val="00DF6A2E"/>
    <w:rsid w:val="00E00658"/>
    <w:rsid w:val="00E00CD9"/>
    <w:rsid w:val="00E046AB"/>
    <w:rsid w:val="00E05144"/>
    <w:rsid w:val="00E060FF"/>
    <w:rsid w:val="00E06AC4"/>
    <w:rsid w:val="00E11335"/>
    <w:rsid w:val="00E12C6B"/>
    <w:rsid w:val="00E15432"/>
    <w:rsid w:val="00E17BDB"/>
    <w:rsid w:val="00E22224"/>
    <w:rsid w:val="00E23185"/>
    <w:rsid w:val="00E24355"/>
    <w:rsid w:val="00E24F39"/>
    <w:rsid w:val="00E24F8B"/>
    <w:rsid w:val="00E251DA"/>
    <w:rsid w:val="00E27C80"/>
    <w:rsid w:val="00E31D3D"/>
    <w:rsid w:val="00E353E2"/>
    <w:rsid w:val="00E36E66"/>
    <w:rsid w:val="00E37B61"/>
    <w:rsid w:val="00E37EE2"/>
    <w:rsid w:val="00E40416"/>
    <w:rsid w:val="00E4145C"/>
    <w:rsid w:val="00E41757"/>
    <w:rsid w:val="00E41ADE"/>
    <w:rsid w:val="00E42019"/>
    <w:rsid w:val="00E43A2F"/>
    <w:rsid w:val="00E43B60"/>
    <w:rsid w:val="00E4460C"/>
    <w:rsid w:val="00E52A94"/>
    <w:rsid w:val="00E548CC"/>
    <w:rsid w:val="00E549E6"/>
    <w:rsid w:val="00E54AA3"/>
    <w:rsid w:val="00E553DA"/>
    <w:rsid w:val="00E55415"/>
    <w:rsid w:val="00E55851"/>
    <w:rsid w:val="00E5608D"/>
    <w:rsid w:val="00E61F6F"/>
    <w:rsid w:val="00E66077"/>
    <w:rsid w:val="00E72249"/>
    <w:rsid w:val="00E72954"/>
    <w:rsid w:val="00E74C9F"/>
    <w:rsid w:val="00E755DE"/>
    <w:rsid w:val="00E75BFB"/>
    <w:rsid w:val="00E7663F"/>
    <w:rsid w:val="00E7677B"/>
    <w:rsid w:val="00E76C4A"/>
    <w:rsid w:val="00E8107F"/>
    <w:rsid w:val="00E83443"/>
    <w:rsid w:val="00E85063"/>
    <w:rsid w:val="00E90C7D"/>
    <w:rsid w:val="00E910A0"/>
    <w:rsid w:val="00E915EF"/>
    <w:rsid w:val="00E93A40"/>
    <w:rsid w:val="00E94ECD"/>
    <w:rsid w:val="00E95AF9"/>
    <w:rsid w:val="00E97F25"/>
    <w:rsid w:val="00EA420B"/>
    <w:rsid w:val="00EA57FA"/>
    <w:rsid w:val="00EA7E99"/>
    <w:rsid w:val="00EB01D2"/>
    <w:rsid w:val="00EB065C"/>
    <w:rsid w:val="00EB2002"/>
    <w:rsid w:val="00EB2A8E"/>
    <w:rsid w:val="00EB3D3D"/>
    <w:rsid w:val="00EB443E"/>
    <w:rsid w:val="00EB4A33"/>
    <w:rsid w:val="00EB4F9F"/>
    <w:rsid w:val="00EB5E54"/>
    <w:rsid w:val="00EB73B1"/>
    <w:rsid w:val="00EB74E8"/>
    <w:rsid w:val="00EC2949"/>
    <w:rsid w:val="00EC5C04"/>
    <w:rsid w:val="00EC77D7"/>
    <w:rsid w:val="00EC78E6"/>
    <w:rsid w:val="00EC7B65"/>
    <w:rsid w:val="00ED0119"/>
    <w:rsid w:val="00ED2223"/>
    <w:rsid w:val="00ED2D85"/>
    <w:rsid w:val="00ED3706"/>
    <w:rsid w:val="00ED5218"/>
    <w:rsid w:val="00ED6065"/>
    <w:rsid w:val="00EE15A5"/>
    <w:rsid w:val="00EE175F"/>
    <w:rsid w:val="00EE54BE"/>
    <w:rsid w:val="00EE5A33"/>
    <w:rsid w:val="00EE7262"/>
    <w:rsid w:val="00EE7B26"/>
    <w:rsid w:val="00F004ED"/>
    <w:rsid w:val="00F0080B"/>
    <w:rsid w:val="00F01DC8"/>
    <w:rsid w:val="00F04689"/>
    <w:rsid w:val="00F0468B"/>
    <w:rsid w:val="00F06701"/>
    <w:rsid w:val="00F10518"/>
    <w:rsid w:val="00F1101C"/>
    <w:rsid w:val="00F132AE"/>
    <w:rsid w:val="00F14129"/>
    <w:rsid w:val="00F141CF"/>
    <w:rsid w:val="00F159B2"/>
    <w:rsid w:val="00F16053"/>
    <w:rsid w:val="00F2041D"/>
    <w:rsid w:val="00F22869"/>
    <w:rsid w:val="00F25B9A"/>
    <w:rsid w:val="00F26BDC"/>
    <w:rsid w:val="00F27607"/>
    <w:rsid w:val="00F3014F"/>
    <w:rsid w:val="00F305EC"/>
    <w:rsid w:val="00F30D64"/>
    <w:rsid w:val="00F31C84"/>
    <w:rsid w:val="00F354DF"/>
    <w:rsid w:val="00F410AF"/>
    <w:rsid w:val="00F4148B"/>
    <w:rsid w:val="00F414E3"/>
    <w:rsid w:val="00F42EF5"/>
    <w:rsid w:val="00F44362"/>
    <w:rsid w:val="00F449AB"/>
    <w:rsid w:val="00F4523F"/>
    <w:rsid w:val="00F45578"/>
    <w:rsid w:val="00F46E57"/>
    <w:rsid w:val="00F50A99"/>
    <w:rsid w:val="00F51017"/>
    <w:rsid w:val="00F52AEF"/>
    <w:rsid w:val="00F52E30"/>
    <w:rsid w:val="00F535F6"/>
    <w:rsid w:val="00F5379E"/>
    <w:rsid w:val="00F55673"/>
    <w:rsid w:val="00F6294D"/>
    <w:rsid w:val="00F62978"/>
    <w:rsid w:val="00F63B25"/>
    <w:rsid w:val="00F64889"/>
    <w:rsid w:val="00F64F3C"/>
    <w:rsid w:val="00F6553A"/>
    <w:rsid w:val="00F65AE9"/>
    <w:rsid w:val="00F65C36"/>
    <w:rsid w:val="00F6763C"/>
    <w:rsid w:val="00F70135"/>
    <w:rsid w:val="00F735DE"/>
    <w:rsid w:val="00F73FE7"/>
    <w:rsid w:val="00F76C53"/>
    <w:rsid w:val="00F802CF"/>
    <w:rsid w:val="00F8039B"/>
    <w:rsid w:val="00F80CCC"/>
    <w:rsid w:val="00F81BC1"/>
    <w:rsid w:val="00F84506"/>
    <w:rsid w:val="00F85417"/>
    <w:rsid w:val="00F86ED9"/>
    <w:rsid w:val="00F8749E"/>
    <w:rsid w:val="00F971BF"/>
    <w:rsid w:val="00F97B65"/>
    <w:rsid w:val="00F97D5A"/>
    <w:rsid w:val="00FA280C"/>
    <w:rsid w:val="00FA34E3"/>
    <w:rsid w:val="00FA5438"/>
    <w:rsid w:val="00FA5B07"/>
    <w:rsid w:val="00FB0404"/>
    <w:rsid w:val="00FB0D93"/>
    <w:rsid w:val="00FC0919"/>
    <w:rsid w:val="00FC0FA2"/>
    <w:rsid w:val="00FC658C"/>
    <w:rsid w:val="00FC6784"/>
    <w:rsid w:val="00FC7BD7"/>
    <w:rsid w:val="00FC7E4F"/>
    <w:rsid w:val="00FD0654"/>
    <w:rsid w:val="00FD45C2"/>
    <w:rsid w:val="00FE0B29"/>
    <w:rsid w:val="00FE39A7"/>
    <w:rsid w:val="00FE48DE"/>
    <w:rsid w:val="00FE6178"/>
    <w:rsid w:val="00FE6363"/>
    <w:rsid w:val="00FE74BC"/>
    <w:rsid w:val="00FE7637"/>
    <w:rsid w:val="00FF02E6"/>
    <w:rsid w:val="00FF036D"/>
    <w:rsid w:val="00FF2A48"/>
    <w:rsid w:val="00FF50AB"/>
    <w:rsid w:val="00FF6AC7"/>
    <w:rsid w:val="00FF6F55"/>
    <w:rsid w:val="00FF74B2"/>
    <w:rsid w:val="0115E5D2"/>
    <w:rsid w:val="022E25DD"/>
    <w:rsid w:val="02B241FA"/>
    <w:rsid w:val="02C27930"/>
    <w:rsid w:val="03096968"/>
    <w:rsid w:val="0373DB6C"/>
    <w:rsid w:val="03A831D6"/>
    <w:rsid w:val="046F04FD"/>
    <w:rsid w:val="05948F4D"/>
    <w:rsid w:val="05B1C145"/>
    <w:rsid w:val="05DB1AB6"/>
    <w:rsid w:val="08DDD7C7"/>
    <w:rsid w:val="090EDD76"/>
    <w:rsid w:val="0B62436D"/>
    <w:rsid w:val="0B9DF3E4"/>
    <w:rsid w:val="0BAA4443"/>
    <w:rsid w:val="0DA23D81"/>
    <w:rsid w:val="0EFFA274"/>
    <w:rsid w:val="0F44864E"/>
    <w:rsid w:val="0F7573DA"/>
    <w:rsid w:val="0FFB568E"/>
    <w:rsid w:val="11C6C7A1"/>
    <w:rsid w:val="129C1B74"/>
    <w:rsid w:val="1379500A"/>
    <w:rsid w:val="138A6AC8"/>
    <w:rsid w:val="139EF8C7"/>
    <w:rsid w:val="1524F032"/>
    <w:rsid w:val="157691C3"/>
    <w:rsid w:val="15D88193"/>
    <w:rsid w:val="15F9717D"/>
    <w:rsid w:val="16073140"/>
    <w:rsid w:val="17137ED2"/>
    <w:rsid w:val="176321D3"/>
    <w:rsid w:val="185C90F4"/>
    <w:rsid w:val="185F2CA2"/>
    <w:rsid w:val="18F2349B"/>
    <w:rsid w:val="1A430360"/>
    <w:rsid w:val="1B91E9A4"/>
    <w:rsid w:val="1BF2F393"/>
    <w:rsid w:val="1C085D0B"/>
    <w:rsid w:val="1C106624"/>
    <w:rsid w:val="1CA7DAA1"/>
    <w:rsid w:val="1D1A3F4C"/>
    <w:rsid w:val="1D8F8620"/>
    <w:rsid w:val="1DA77697"/>
    <w:rsid w:val="1DDDFAAF"/>
    <w:rsid w:val="1EF90B1A"/>
    <w:rsid w:val="1F224C3F"/>
    <w:rsid w:val="1F8408CF"/>
    <w:rsid w:val="211FD930"/>
    <w:rsid w:val="21ADE384"/>
    <w:rsid w:val="2216D421"/>
    <w:rsid w:val="22AE06EB"/>
    <w:rsid w:val="22BBBAA8"/>
    <w:rsid w:val="22FDF3C8"/>
    <w:rsid w:val="2333BF4A"/>
    <w:rsid w:val="242056CC"/>
    <w:rsid w:val="24275DF4"/>
    <w:rsid w:val="250FE736"/>
    <w:rsid w:val="25124AD9"/>
    <w:rsid w:val="2549BF1D"/>
    <w:rsid w:val="260D6ECF"/>
    <w:rsid w:val="261522AD"/>
    <w:rsid w:val="26637EF0"/>
    <w:rsid w:val="26E58F7E"/>
    <w:rsid w:val="27C7B1F8"/>
    <w:rsid w:val="284011C7"/>
    <w:rsid w:val="28DE503B"/>
    <w:rsid w:val="28FC272B"/>
    <w:rsid w:val="29A1AB77"/>
    <w:rsid w:val="29B82CAB"/>
    <w:rsid w:val="29BD18B6"/>
    <w:rsid w:val="29C30FDC"/>
    <w:rsid w:val="2B56118A"/>
    <w:rsid w:val="2B98947E"/>
    <w:rsid w:val="2BA3B6CE"/>
    <w:rsid w:val="2BD98F80"/>
    <w:rsid w:val="2C11C2CE"/>
    <w:rsid w:val="2C47E6AD"/>
    <w:rsid w:val="2C570CCA"/>
    <w:rsid w:val="2C86C116"/>
    <w:rsid w:val="2D9498EE"/>
    <w:rsid w:val="2E2B97EC"/>
    <w:rsid w:val="2F53ECF6"/>
    <w:rsid w:val="2F66956B"/>
    <w:rsid w:val="2FD897C3"/>
    <w:rsid w:val="300D97C9"/>
    <w:rsid w:val="30595083"/>
    <w:rsid w:val="32C6BF92"/>
    <w:rsid w:val="32F628FB"/>
    <w:rsid w:val="34829062"/>
    <w:rsid w:val="351CF0FE"/>
    <w:rsid w:val="35666491"/>
    <w:rsid w:val="35B7A70A"/>
    <w:rsid w:val="35C14305"/>
    <w:rsid w:val="35C726A8"/>
    <w:rsid w:val="36121E1A"/>
    <w:rsid w:val="3653A5DA"/>
    <w:rsid w:val="3884BD05"/>
    <w:rsid w:val="38A2320B"/>
    <w:rsid w:val="3ADEE949"/>
    <w:rsid w:val="3AF090C7"/>
    <w:rsid w:val="3B39DA75"/>
    <w:rsid w:val="3B824B89"/>
    <w:rsid w:val="3C7614F7"/>
    <w:rsid w:val="3F07A8E2"/>
    <w:rsid w:val="3F1E5679"/>
    <w:rsid w:val="3F365DF8"/>
    <w:rsid w:val="4158E477"/>
    <w:rsid w:val="438D051B"/>
    <w:rsid w:val="43FF23AE"/>
    <w:rsid w:val="441740B4"/>
    <w:rsid w:val="4456A676"/>
    <w:rsid w:val="44B64EAE"/>
    <w:rsid w:val="44CB8335"/>
    <w:rsid w:val="45023D22"/>
    <w:rsid w:val="4546A170"/>
    <w:rsid w:val="458C771F"/>
    <w:rsid w:val="47A6D9C6"/>
    <w:rsid w:val="48C417E1"/>
    <w:rsid w:val="48C7FFA5"/>
    <w:rsid w:val="49252B21"/>
    <w:rsid w:val="49BED41F"/>
    <w:rsid w:val="49DAE598"/>
    <w:rsid w:val="49E119B0"/>
    <w:rsid w:val="4A34EE91"/>
    <w:rsid w:val="4A626429"/>
    <w:rsid w:val="4B8D9DE2"/>
    <w:rsid w:val="4C564CC5"/>
    <w:rsid w:val="4C5E957E"/>
    <w:rsid w:val="4EE17283"/>
    <w:rsid w:val="4F9A942C"/>
    <w:rsid w:val="4FAF9841"/>
    <w:rsid w:val="503B930B"/>
    <w:rsid w:val="50B91002"/>
    <w:rsid w:val="50D89EE7"/>
    <w:rsid w:val="5136648D"/>
    <w:rsid w:val="515D3570"/>
    <w:rsid w:val="52408C5B"/>
    <w:rsid w:val="52B91A6C"/>
    <w:rsid w:val="53530656"/>
    <w:rsid w:val="5496367A"/>
    <w:rsid w:val="568AA718"/>
    <w:rsid w:val="56A1F33B"/>
    <w:rsid w:val="56AEB4B8"/>
    <w:rsid w:val="5703FF5E"/>
    <w:rsid w:val="57B92AAE"/>
    <w:rsid w:val="59E34F28"/>
    <w:rsid w:val="5A35AF52"/>
    <w:rsid w:val="5A5A6BFC"/>
    <w:rsid w:val="5AAD423C"/>
    <w:rsid w:val="5AB8028D"/>
    <w:rsid w:val="5AD0918A"/>
    <w:rsid w:val="5B0620AF"/>
    <w:rsid w:val="5B210ED2"/>
    <w:rsid w:val="5C514F49"/>
    <w:rsid w:val="5DE393F5"/>
    <w:rsid w:val="5DF29883"/>
    <w:rsid w:val="5E47E03B"/>
    <w:rsid w:val="5F90451E"/>
    <w:rsid w:val="602417C5"/>
    <w:rsid w:val="61C2AD91"/>
    <w:rsid w:val="61C9CC1E"/>
    <w:rsid w:val="6263A071"/>
    <w:rsid w:val="63533AA3"/>
    <w:rsid w:val="63EA5491"/>
    <w:rsid w:val="643A9282"/>
    <w:rsid w:val="64F788E8"/>
    <w:rsid w:val="6526A1E2"/>
    <w:rsid w:val="655ABD32"/>
    <w:rsid w:val="65E54288"/>
    <w:rsid w:val="66624B53"/>
    <w:rsid w:val="6688628F"/>
    <w:rsid w:val="6696BA1F"/>
    <w:rsid w:val="66AB6425"/>
    <w:rsid w:val="67D4A09C"/>
    <w:rsid w:val="67DD54D9"/>
    <w:rsid w:val="6A374A1E"/>
    <w:rsid w:val="6AB4B605"/>
    <w:rsid w:val="6AB9F2EB"/>
    <w:rsid w:val="6AE4A8B2"/>
    <w:rsid w:val="6B5B72F9"/>
    <w:rsid w:val="6C44AF95"/>
    <w:rsid w:val="6C649134"/>
    <w:rsid w:val="6CF605E7"/>
    <w:rsid w:val="6D7126CD"/>
    <w:rsid w:val="6DCC0CB3"/>
    <w:rsid w:val="6F43FA04"/>
    <w:rsid w:val="70BACFE1"/>
    <w:rsid w:val="71937344"/>
    <w:rsid w:val="71DDF976"/>
    <w:rsid w:val="724F733F"/>
    <w:rsid w:val="75C09C03"/>
    <w:rsid w:val="7634F8EC"/>
    <w:rsid w:val="76DB0F82"/>
    <w:rsid w:val="77A7E655"/>
    <w:rsid w:val="77D63EC4"/>
    <w:rsid w:val="78309BE1"/>
    <w:rsid w:val="79075820"/>
    <w:rsid w:val="7999B42A"/>
    <w:rsid w:val="7B2E07E6"/>
    <w:rsid w:val="7B6C1901"/>
    <w:rsid w:val="7B84DBBC"/>
    <w:rsid w:val="7C4FA993"/>
    <w:rsid w:val="7CDF3D29"/>
    <w:rsid w:val="7D0A9E9A"/>
    <w:rsid w:val="7D7BC10B"/>
    <w:rsid w:val="7DAB3C0B"/>
    <w:rsid w:val="7E28F87D"/>
    <w:rsid w:val="7F38BB5A"/>
    <w:rsid w:val="7F4B2AE0"/>
    <w:rsid w:val="7F8D49F2"/>
    <w:rsid w:val="7FEC0A53"/>
    <w:rsid w:val="7FF7066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4A9045"/>
  <w15:chartTrackingRefBased/>
  <w15:docId w15:val="{4AB79376-EBE0-4684-9E23-60B553230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sid w:val="000B458A"/>
    <w:pPr>
      <w:spacing w:after="0" w:line="240" w:lineRule="auto"/>
    </w:pPr>
    <w:rPr>
      <w:rFonts w:ascii="Arial" w:eastAsia="SimSun" w:hAnsi="Arial" w:cs="Times New Roman"/>
      <w:sz w:val="16"/>
      <w:szCs w:val="20"/>
      <w:lang w:eastAsia="zh-CN"/>
    </w:rPr>
  </w:style>
  <w:style w:type="character" w:customStyle="1" w:styleId="FootnoteTextChar">
    <w:name w:val="Footnote Text Char"/>
    <w:basedOn w:val="DefaultParagraphFont"/>
    <w:link w:val="FootnoteText"/>
    <w:uiPriority w:val="99"/>
    <w:rsid w:val="000B458A"/>
    <w:rPr>
      <w:rFonts w:ascii="Arial" w:eastAsia="SimSun" w:hAnsi="Arial" w:cs="Times New Roman"/>
      <w:sz w:val="16"/>
      <w:szCs w:val="20"/>
      <w:lang w:eastAsia="zh-CN"/>
    </w:rPr>
  </w:style>
  <w:style w:type="character" w:styleId="FootnoteReference">
    <w:name w:val="footnote reference"/>
    <w:basedOn w:val="DefaultParagraphFont"/>
    <w:uiPriority w:val="99"/>
    <w:rsid w:val="000B458A"/>
    <w:rPr>
      <w:rFonts w:cs="Times New Roman"/>
      <w:sz w:val="22"/>
      <w:vertAlign w:val="superscript"/>
    </w:rPr>
  </w:style>
  <w:style w:type="paragraph" w:customStyle="1" w:styleId="EBNumber">
    <w:name w:val="EBNumber"/>
    <w:basedOn w:val="Normal"/>
    <w:link w:val="EBNumberCharChar"/>
    <w:rsid w:val="000B458A"/>
    <w:pPr>
      <w:numPr>
        <w:numId w:val="2"/>
      </w:numPr>
      <w:tabs>
        <w:tab w:val="num" w:pos="567"/>
      </w:tabs>
      <w:spacing w:after="120" w:line="240" w:lineRule="auto"/>
      <w:jc w:val="both"/>
    </w:pPr>
    <w:rPr>
      <w:rFonts w:ascii="Arial" w:eastAsia="Times New Roman" w:hAnsi="Arial" w:cs="Arial"/>
      <w:bCs/>
      <w:color w:val="000000"/>
      <w:lang w:eastAsia="en-GB"/>
    </w:rPr>
  </w:style>
  <w:style w:type="character" w:customStyle="1" w:styleId="EBNumberCharChar">
    <w:name w:val="EBNumber Char Char"/>
    <w:basedOn w:val="DefaultParagraphFont"/>
    <w:link w:val="EBNumber"/>
    <w:locked/>
    <w:rsid w:val="000B458A"/>
    <w:rPr>
      <w:rFonts w:ascii="Arial" w:eastAsia="Times New Roman" w:hAnsi="Arial" w:cs="Arial"/>
      <w:bCs/>
      <w:color w:val="000000"/>
      <w:lang w:eastAsia="en-GB"/>
    </w:rPr>
  </w:style>
  <w:style w:type="paragraph" w:styleId="ListParagraph">
    <w:name w:val="List Paragraph"/>
    <w:basedOn w:val="Normal"/>
    <w:uiPriority w:val="34"/>
    <w:qFormat/>
    <w:rsid w:val="004F46FC"/>
    <w:pPr>
      <w:ind w:left="720"/>
      <w:contextualSpacing/>
    </w:pPr>
  </w:style>
  <w:style w:type="character" w:styleId="CommentReference">
    <w:name w:val="annotation reference"/>
    <w:basedOn w:val="DefaultParagraphFont"/>
    <w:uiPriority w:val="99"/>
    <w:semiHidden/>
    <w:unhideWhenUsed/>
    <w:rsid w:val="005315F8"/>
    <w:rPr>
      <w:sz w:val="16"/>
      <w:szCs w:val="16"/>
    </w:rPr>
  </w:style>
  <w:style w:type="paragraph" w:styleId="CommentText">
    <w:name w:val="annotation text"/>
    <w:basedOn w:val="Normal"/>
    <w:link w:val="CommentTextChar"/>
    <w:uiPriority w:val="99"/>
    <w:semiHidden/>
    <w:unhideWhenUsed/>
    <w:rsid w:val="005315F8"/>
    <w:pPr>
      <w:spacing w:line="240" w:lineRule="auto"/>
    </w:pPr>
    <w:rPr>
      <w:sz w:val="20"/>
      <w:szCs w:val="20"/>
    </w:rPr>
  </w:style>
  <w:style w:type="character" w:customStyle="1" w:styleId="CommentTextChar">
    <w:name w:val="Comment Text Char"/>
    <w:basedOn w:val="DefaultParagraphFont"/>
    <w:link w:val="CommentText"/>
    <w:uiPriority w:val="99"/>
    <w:semiHidden/>
    <w:rsid w:val="005315F8"/>
    <w:rPr>
      <w:sz w:val="20"/>
      <w:szCs w:val="20"/>
    </w:rPr>
  </w:style>
  <w:style w:type="paragraph" w:styleId="CommentSubject">
    <w:name w:val="annotation subject"/>
    <w:basedOn w:val="CommentText"/>
    <w:next w:val="CommentText"/>
    <w:link w:val="CommentSubjectChar"/>
    <w:uiPriority w:val="99"/>
    <w:semiHidden/>
    <w:unhideWhenUsed/>
    <w:rsid w:val="005315F8"/>
    <w:rPr>
      <w:b/>
      <w:bCs/>
    </w:rPr>
  </w:style>
  <w:style w:type="character" w:customStyle="1" w:styleId="CommentSubjectChar">
    <w:name w:val="Comment Subject Char"/>
    <w:basedOn w:val="CommentTextChar"/>
    <w:link w:val="CommentSubject"/>
    <w:uiPriority w:val="99"/>
    <w:semiHidden/>
    <w:rsid w:val="005315F8"/>
    <w:rPr>
      <w:b/>
      <w:bCs/>
      <w:sz w:val="20"/>
      <w:szCs w:val="20"/>
    </w:rPr>
  </w:style>
  <w:style w:type="paragraph" w:styleId="BalloonText">
    <w:name w:val="Balloon Text"/>
    <w:basedOn w:val="Normal"/>
    <w:link w:val="BalloonTextChar"/>
    <w:uiPriority w:val="99"/>
    <w:semiHidden/>
    <w:unhideWhenUsed/>
    <w:rsid w:val="005315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15F8"/>
    <w:rPr>
      <w:rFonts w:ascii="Segoe UI" w:hAnsi="Segoe UI" w:cs="Segoe UI"/>
      <w:sz w:val="18"/>
      <w:szCs w:val="18"/>
    </w:rPr>
  </w:style>
  <w:style w:type="table" w:styleId="TableGrid">
    <w:name w:val="Table Grid"/>
    <w:basedOn w:val="TableNormal"/>
    <w:uiPriority w:val="39"/>
    <w:rsid w:val="00AE61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lossarylink">
    <w:name w:val="glossarylink"/>
    <w:basedOn w:val="DefaultParagraphFont"/>
    <w:rsid w:val="003E43FA"/>
  </w:style>
  <w:style w:type="paragraph" w:styleId="EndnoteText">
    <w:name w:val="endnote text"/>
    <w:basedOn w:val="Normal"/>
    <w:link w:val="EndnoteTextChar"/>
    <w:uiPriority w:val="99"/>
    <w:semiHidden/>
    <w:unhideWhenUsed/>
    <w:rsid w:val="00EA420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A420B"/>
    <w:rPr>
      <w:sz w:val="20"/>
      <w:szCs w:val="20"/>
    </w:rPr>
  </w:style>
  <w:style w:type="character" w:styleId="EndnoteReference">
    <w:name w:val="endnote reference"/>
    <w:basedOn w:val="DefaultParagraphFont"/>
    <w:uiPriority w:val="99"/>
    <w:semiHidden/>
    <w:unhideWhenUsed/>
    <w:rsid w:val="00EA420B"/>
    <w:rPr>
      <w:vertAlign w:val="superscript"/>
    </w:rPr>
  </w:style>
  <w:style w:type="paragraph" w:styleId="Header">
    <w:name w:val="header"/>
    <w:basedOn w:val="Normal"/>
    <w:link w:val="HeaderChar"/>
    <w:uiPriority w:val="99"/>
    <w:semiHidden/>
    <w:unhideWhenUsed/>
    <w:rsid w:val="000073B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073B1"/>
  </w:style>
  <w:style w:type="paragraph" w:styleId="Footer">
    <w:name w:val="footer"/>
    <w:basedOn w:val="Normal"/>
    <w:link w:val="FooterChar"/>
    <w:uiPriority w:val="99"/>
    <w:semiHidden/>
    <w:unhideWhenUsed/>
    <w:rsid w:val="000073B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0073B1"/>
  </w:style>
  <w:style w:type="paragraph" w:styleId="Revision">
    <w:name w:val="Revision"/>
    <w:hidden/>
    <w:uiPriority w:val="99"/>
    <w:semiHidden/>
    <w:rsid w:val="00211F4A"/>
    <w:pPr>
      <w:spacing w:after="0" w:line="240" w:lineRule="auto"/>
    </w:pPr>
  </w:style>
  <w:style w:type="paragraph" w:customStyle="1" w:styleId="EBNumberRestart">
    <w:name w:val="EBNumberRestart"/>
    <w:basedOn w:val="BodyText"/>
    <w:next w:val="EBNumber"/>
    <w:rsid w:val="00CF1979"/>
    <w:pPr>
      <w:tabs>
        <w:tab w:val="num" w:pos="360"/>
      </w:tabs>
      <w:spacing w:line="240" w:lineRule="auto"/>
    </w:pPr>
    <w:rPr>
      <w:rFonts w:ascii="Arial" w:eastAsia="Times New Roman" w:hAnsi="Arial" w:cs="Arial"/>
      <w:bCs/>
      <w:color w:val="000000"/>
      <w:lang w:eastAsia="en-GB"/>
    </w:rPr>
  </w:style>
  <w:style w:type="paragraph" w:customStyle="1" w:styleId="SecurityClass">
    <w:name w:val="SecurityClass"/>
    <w:basedOn w:val="Header"/>
    <w:rsid w:val="00CF1979"/>
    <w:pPr>
      <w:tabs>
        <w:tab w:val="clear" w:pos="4513"/>
        <w:tab w:val="clear" w:pos="9026"/>
        <w:tab w:val="num" w:pos="501"/>
      </w:tabs>
      <w:ind w:left="501" w:hanging="360"/>
      <w:jc w:val="center"/>
    </w:pPr>
    <w:rPr>
      <w:rFonts w:ascii="Arial" w:eastAsia="Times New Roman" w:hAnsi="Arial" w:cs="Times New Roman"/>
      <w:caps/>
      <w:sz w:val="24"/>
      <w:szCs w:val="24"/>
    </w:rPr>
  </w:style>
  <w:style w:type="paragraph" w:styleId="BodyText">
    <w:name w:val="Body Text"/>
    <w:basedOn w:val="Normal"/>
    <w:link w:val="BodyTextChar"/>
    <w:uiPriority w:val="99"/>
    <w:semiHidden/>
    <w:unhideWhenUsed/>
    <w:rsid w:val="00CF1979"/>
    <w:pPr>
      <w:spacing w:after="120"/>
    </w:pPr>
  </w:style>
  <w:style w:type="character" w:customStyle="1" w:styleId="BodyTextChar">
    <w:name w:val="Body Text Char"/>
    <w:basedOn w:val="DefaultParagraphFont"/>
    <w:link w:val="BodyText"/>
    <w:uiPriority w:val="99"/>
    <w:semiHidden/>
    <w:rsid w:val="00CF1979"/>
  </w:style>
  <w:style w:type="paragraph" w:customStyle="1" w:styleId="IAIOQ2">
    <w:name w:val="IAIOQ2"/>
    <w:basedOn w:val="Normal"/>
    <w:rsid w:val="00C80277"/>
    <w:pPr>
      <w:spacing w:before="50" w:after="50" w:line="240" w:lineRule="auto"/>
      <w:ind w:left="113" w:right="113"/>
    </w:pPr>
    <w:rPr>
      <w:rFonts w:ascii="Arial" w:eastAsia="SimSun" w:hAnsi="Arial" w:cs="Times New Roman"/>
      <w:b/>
      <w:color w:val="000000"/>
      <w:spacing w:val="-5"/>
      <w:sz w:val="20"/>
      <w:szCs w:val="20"/>
      <w:lang w:eastAsia="zh-CN"/>
    </w:rPr>
  </w:style>
  <w:style w:type="character" w:styleId="Hyperlink">
    <w:name w:val="Hyperlink"/>
    <w:basedOn w:val="DefaultParagraphFont"/>
    <w:uiPriority w:val="99"/>
    <w:unhideWhenUsed/>
    <w:rsid w:val="002D1518"/>
    <w:rPr>
      <w:color w:val="0563C1" w:themeColor="hyperlink"/>
      <w:u w:val="single"/>
    </w:rPr>
  </w:style>
  <w:style w:type="character" w:customStyle="1" w:styleId="normaltextrun1">
    <w:name w:val="normaltextrun1"/>
    <w:basedOn w:val="DefaultParagraphFont"/>
    <w:rsid w:val="00C63363"/>
  </w:style>
  <w:style w:type="character" w:customStyle="1" w:styleId="eop">
    <w:name w:val="eop"/>
    <w:basedOn w:val="DefaultParagraphFont"/>
    <w:rsid w:val="00C63363"/>
  </w:style>
  <w:style w:type="character" w:styleId="UnresolvedMention">
    <w:name w:val="Unresolved Mention"/>
    <w:basedOn w:val="DefaultParagraphFont"/>
    <w:uiPriority w:val="99"/>
    <w:unhideWhenUsed/>
    <w:rsid w:val="00B652AC"/>
    <w:rPr>
      <w:color w:val="605E5C"/>
      <w:shd w:val="clear" w:color="auto" w:fill="E1DFDD"/>
    </w:rPr>
  </w:style>
  <w:style w:type="character" w:styleId="Mention">
    <w:name w:val="Mention"/>
    <w:basedOn w:val="DefaultParagraphFont"/>
    <w:uiPriority w:val="99"/>
    <w:unhideWhenUsed/>
    <w:rsid w:val="004D28D0"/>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9062607">
      <w:bodyDiv w:val="1"/>
      <w:marLeft w:val="0"/>
      <w:marRight w:val="0"/>
      <w:marTop w:val="0"/>
      <w:marBottom w:val="0"/>
      <w:divBdr>
        <w:top w:val="none" w:sz="0" w:space="0" w:color="auto"/>
        <w:left w:val="none" w:sz="0" w:space="0" w:color="auto"/>
        <w:bottom w:val="none" w:sz="0" w:space="0" w:color="auto"/>
        <w:right w:val="none" w:sz="0" w:space="0" w:color="auto"/>
      </w:divBdr>
    </w:div>
    <w:div w:id="388118054">
      <w:bodyDiv w:val="1"/>
      <w:marLeft w:val="0"/>
      <w:marRight w:val="0"/>
      <w:marTop w:val="0"/>
      <w:marBottom w:val="0"/>
      <w:divBdr>
        <w:top w:val="none" w:sz="0" w:space="0" w:color="auto"/>
        <w:left w:val="none" w:sz="0" w:space="0" w:color="auto"/>
        <w:bottom w:val="none" w:sz="0" w:space="0" w:color="auto"/>
        <w:right w:val="none" w:sz="0" w:space="0" w:color="auto"/>
      </w:divBdr>
    </w:div>
    <w:div w:id="769742215">
      <w:bodyDiv w:val="1"/>
      <w:marLeft w:val="0"/>
      <w:marRight w:val="0"/>
      <w:marTop w:val="0"/>
      <w:marBottom w:val="0"/>
      <w:divBdr>
        <w:top w:val="none" w:sz="0" w:space="0" w:color="auto"/>
        <w:left w:val="none" w:sz="0" w:space="0" w:color="auto"/>
        <w:bottom w:val="none" w:sz="0" w:space="0" w:color="auto"/>
        <w:right w:val="none" w:sz="0" w:space="0" w:color="auto"/>
      </w:divBdr>
    </w:div>
    <w:div w:id="1048258872">
      <w:bodyDiv w:val="1"/>
      <w:marLeft w:val="0"/>
      <w:marRight w:val="0"/>
      <w:marTop w:val="0"/>
      <w:marBottom w:val="0"/>
      <w:divBdr>
        <w:top w:val="none" w:sz="0" w:space="0" w:color="auto"/>
        <w:left w:val="none" w:sz="0" w:space="0" w:color="auto"/>
        <w:bottom w:val="none" w:sz="0" w:space="0" w:color="auto"/>
        <w:right w:val="none" w:sz="0" w:space="0" w:color="auto"/>
      </w:divBdr>
    </w:div>
    <w:div w:id="1142499729">
      <w:bodyDiv w:val="1"/>
      <w:marLeft w:val="0"/>
      <w:marRight w:val="0"/>
      <w:marTop w:val="0"/>
      <w:marBottom w:val="0"/>
      <w:divBdr>
        <w:top w:val="none" w:sz="0" w:space="0" w:color="auto"/>
        <w:left w:val="none" w:sz="0" w:space="0" w:color="auto"/>
        <w:bottom w:val="none" w:sz="0" w:space="0" w:color="auto"/>
        <w:right w:val="none" w:sz="0" w:space="0" w:color="auto"/>
      </w:divBdr>
    </w:div>
    <w:div w:id="1166632303">
      <w:bodyDiv w:val="1"/>
      <w:marLeft w:val="0"/>
      <w:marRight w:val="0"/>
      <w:marTop w:val="0"/>
      <w:marBottom w:val="0"/>
      <w:divBdr>
        <w:top w:val="none" w:sz="0" w:space="0" w:color="auto"/>
        <w:left w:val="none" w:sz="0" w:space="0" w:color="auto"/>
        <w:bottom w:val="none" w:sz="0" w:space="0" w:color="auto"/>
        <w:right w:val="none" w:sz="0" w:space="0" w:color="auto"/>
      </w:divBdr>
    </w:div>
    <w:div w:id="1521552241">
      <w:bodyDiv w:val="1"/>
      <w:marLeft w:val="0"/>
      <w:marRight w:val="0"/>
      <w:marTop w:val="0"/>
      <w:marBottom w:val="0"/>
      <w:divBdr>
        <w:top w:val="none" w:sz="0" w:space="0" w:color="auto"/>
        <w:left w:val="none" w:sz="0" w:space="0" w:color="auto"/>
        <w:bottom w:val="none" w:sz="0" w:space="0" w:color="auto"/>
        <w:right w:val="none" w:sz="0" w:space="0" w:color="auto"/>
      </w:divBdr>
    </w:div>
    <w:div w:id="1751610829">
      <w:bodyDiv w:val="1"/>
      <w:marLeft w:val="0"/>
      <w:marRight w:val="0"/>
      <w:marTop w:val="0"/>
      <w:marBottom w:val="0"/>
      <w:divBdr>
        <w:top w:val="none" w:sz="0" w:space="0" w:color="auto"/>
        <w:left w:val="none" w:sz="0" w:space="0" w:color="auto"/>
        <w:bottom w:val="none" w:sz="0" w:space="0" w:color="auto"/>
        <w:right w:val="none" w:sz="0" w:space="0" w:color="auto"/>
      </w:divBdr>
    </w:div>
    <w:div w:id="2082363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emf"/><Relationship Id="rId22"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4FEB80B9DE1464BB714C586CAC31491" ma:contentTypeVersion="12" ma:contentTypeDescription="Create a new document." ma:contentTypeScope="" ma:versionID="335614d746e514ecb52cf26f7f199b35">
  <xsd:schema xmlns:xsd="http://www.w3.org/2001/XMLSchema" xmlns:xs="http://www.w3.org/2001/XMLSchema" xmlns:p="http://schemas.microsoft.com/office/2006/metadata/properties" xmlns:ns2="d6fdccf4-51f0-431b-bb8e-5e85c8693159" xmlns:ns3="4167d4cd-58e9-460a-8360-82986f7d46b3" targetNamespace="http://schemas.microsoft.com/office/2006/metadata/properties" ma:root="true" ma:fieldsID="ff0a1b5dbb4a99c6484061602cddfab2" ns2:_="" ns3:_="">
    <xsd:import namespace="d6fdccf4-51f0-431b-bb8e-5e85c8693159"/>
    <xsd:import namespace="4167d4cd-58e9-460a-8360-82986f7d46b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fdccf4-51f0-431b-bb8e-5e85c86931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167d4cd-58e9-460a-8360-82986f7d46b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3DA665-8B8A-42DA-9B42-970635CF1124}">
  <ds:schemaRefs>
    <ds:schemaRef ds:uri="http://schemas.microsoft.com/sharepoint/v3/contenttype/forms"/>
  </ds:schemaRefs>
</ds:datastoreItem>
</file>

<file path=customXml/itemProps2.xml><?xml version="1.0" encoding="utf-8"?>
<ds:datastoreItem xmlns:ds="http://schemas.openxmlformats.org/officeDocument/2006/customXml" ds:itemID="{E8A3D620-C62A-4CC2-88C1-EA7A598400F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46659F5-1C93-49E3-9ADA-BBE570E8C6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fdccf4-51f0-431b-bb8e-5e85c8693159"/>
    <ds:schemaRef ds:uri="4167d4cd-58e9-460a-8360-82986f7d46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9B9B0D4-D9A2-4435-B98E-2601FB6FF8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5131</Words>
  <Characters>29253</Characters>
  <Application>Microsoft Office Word</Application>
  <DocSecurity>0</DocSecurity>
  <Lines>243</Lines>
  <Paragraphs>68</Paragraphs>
  <ScaleCrop>false</ScaleCrop>
  <Company/>
  <LinksUpToDate>false</LinksUpToDate>
  <CharactersWithSpaces>34316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Khan, Saimon</dc:creator>
  <cp:keywords/>
  <dc:description/>
  <cp:lastModifiedBy>Johnston, Harry</cp:lastModifiedBy>
  <cp:revision>2</cp:revision>
  <dcterms:created xsi:type="dcterms:W3CDTF">2021-08-26T13:50:00Z</dcterms:created>
  <dcterms:modified xsi:type="dcterms:W3CDTF">2021-08-26T13:50:00Z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0x01010044FEB80B9DE1464BB714C586CAC31491</vt:lpwstr>
  </property>
</Properties>
</file>