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Ind w:w="-137"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985"/>
        <w:gridCol w:w="2268"/>
        <w:gridCol w:w="2002"/>
        <w:gridCol w:w="833"/>
        <w:gridCol w:w="3256"/>
        <w:gridCol w:w="9"/>
      </w:tblGrid>
      <w:tr w:rsidR="00B50649" w:rsidTr="00230802" w14:paraId="21A66AB4" w14:textId="77777777">
        <w:trPr>
          <w:trHeight w:val="2562" w:hRule="exact"/>
        </w:trPr>
        <w:tc>
          <w:tcPr>
            <w:tcW w:w="6255" w:type="dxa"/>
            <w:gridSpan w:val="3"/>
            <w:tcBorders>
              <w:top w:val="single" w:color="auto" w:sz="4" w:space="0"/>
              <w:bottom w:val="single" w:color="auto" w:sz="4" w:space="0"/>
            </w:tcBorders>
          </w:tcPr>
          <w:p w:rsidRPr="00102870" w:rsidR="007F0ED9" w:rsidP="00A90857" w:rsidRDefault="00495404" w14:paraId="2A9EB2B7" w14:textId="0E4DD523">
            <w:pPr>
              <w:pStyle w:val="IATitle"/>
            </w:pPr>
            <w:bookmarkStart w:name="_GoBack" w:id="0"/>
            <w:bookmarkEnd w:id="0"/>
            <w:r w:rsidRPr="00A90857">
              <w:rPr>
                <w:b/>
              </w:rPr>
              <w:t>Title</w:t>
            </w:r>
            <w:r w:rsidRPr="00A90857" w:rsidR="00B00194">
              <w:rPr>
                <w:b/>
              </w:rPr>
              <w:t>:</w:t>
            </w:r>
            <w:r w:rsidR="00B00194">
              <w:t xml:space="preserve">  </w:t>
            </w:r>
            <w:r w:rsidRPr="00714E2E" w:rsidR="00E22C6D">
              <w:rPr>
                <w:sz w:val="22"/>
                <w:szCs w:val="22"/>
                <w:lang w:eastAsia="en-GB"/>
              </w:rPr>
              <w:t xml:space="preserve">Courts and Tribunals </w:t>
            </w:r>
            <w:r w:rsidRPr="00714E2E" w:rsidR="00714E2E">
              <w:rPr>
                <w:bCs/>
                <w:sz w:val="22"/>
                <w:szCs w:val="22"/>
                <w:lang w:eastAsia="en-GB"/>
              </w:rPr>
              <w:t>fee remissions Impact Assessment</w:t>
            </w:r>
            <w:r w:rsidRPr="00714E2E" w:rsidR="00E22C6D">
              <w:rPr>
                <w:sz w:val="22"/>
                <w:szCs w:val="22"/>
                <w:lang w:eastAsia="en-GB"/>
              </w:rPr>
              <w:t>:</w:t>
            </w:r>
            <w:r w:rsidRPr="00714E2E" w:rsidR="00E22C6D">
              <w:rPr>
                <w:sz w:val="22"/>
                <w:szCs w:val="22"/>
              </w:rPr>
              <w:t xml:space="preserve"> </w:t>
            </w:r>
            <w:r w:rsidRPr="00714E2E" w:rsidR="00DA01B6">
              <w:rPr>
                <w:sz w:val="22"/>
                <w:szCs w:val="22"/>
              </w:rPr>
              <w:t>Uplift</w:t>
            </w:r>
            <w:r w:rsidRPr="00714E2E" w:rsidR="00230802">
              <w:rPr>
                <w:sz w:val="22"/>
                <w:szCs w:val="22"/>
              </w:rPr>
              <w:t xml:space="preserve"> Help with Fees Income Thresholds</w:t>
            </w:r>
            <w:r w:rsidRPr="00714E2E" w:rsidR="00B00194">
              <w:rPr>
                <w:sz w:val="22"/>
                <w:szCs w:val="22"/>
              </w:rPr>
              <w:t xml:space="preserve"> </w:t>
            </w:r>
            <w:r w:rsidRPr="00714E2E" w:rsidR="00DA01B6">
              <w:rPr>
                <w:sz w:val="22"/>
                <w:szCs w:val="22"/>
              </w:rPr>
              <w:t xml:space="preserve">with </w:t>
            </w:r>
            <w:r w:rsidR="00714E2E">
              <w:rPr>
                <w:sz w:val="22"/>
                <w:szCs w:val="22"/>
              </w:rPr>
              <w:t>I</w:t>
            </w:r>
            <w:r w:rsidRPr="00714E2E" w:rsidR="00DA01B6">
              <w:rPr>
                <w:sz w:val="22"/>
                <w:szCs w:val="22"/>
              </w:rPr>
              <w:t>nflation</w:t>
            </w:r>
            <w:r w:rsidR="00B00194">
              <w:t xml:space="preserve">  </w:t>
            </w:r>
            <w:bookmarkStart w:name="IATitle" w:id="1"/>
            <w:r w:rsidRPr="005F32E7" w:rsidR="004C1BBB">
              <w:fldChar w:fldCharType="begin">
                <w:ffData>
                  <w:name w:val="IATitle"/>
                  <w:enabled/>
                  <w:calcOnExit w:val="0"/>
                  <w:textInput>
                    <w:maxLength w:val="800"/>
                  </w:textInput>
                </w:ffData>
              </w:fldChar>
            </w:r>
            <w:r w:rsidRPr="005F32E7" w:rsidR="004C1BBB">
              <w:instrText xml:space="preserve"> FORMTEXT </w:instrText>
            </w:r>
            <w:r w:rsidRPr="005F32E7" w:rsidR="004C1BBB">
              <w:fldChar w:fldCharType="separate"/>
            </w:r>
            <w:r w:rsidRPr="007E190E" w:rsidR="004C1BBB">
              <w:rPr>
                <w:rFonts w:eastAsia="Times New Roman"/>
              </w:rPr>
              <w:t> </w:t>
            </w:r>
            <w:r w:rsidRPr="007E190E" w:rsidR="004C1BBB">
              <w:rPr>
                <w:rFonts w:eastAsia="Times New Roman"/>
              </w:rPr>
              <w:t> </w:t>
            </w:r>
            <w:r w:rsidRPr="007E190E" w:rsidR="004C1BBB">
              <w:rPr>
                <w:rFonts w:eastAsia="Times New Roman"/>
              </w:rPr>
              <w:t> </w:t>
            </w:r>
            <w:r w:rsidRPr="007E190E" w:rsidR="004C1BBB">
              <w:rPr>
                <w:rFonts w:eastAsia="Times New Roman"/>
              </w:rPr>
              <w:t> </w:t>
            </w:r>
            <w:r w:rsidRPr="007E190E" w:rsidR="004C1BBB">
              <w:rPr>
                <w:rFonts w:eastAsia="Times New Roman"/>
              </w:rPr>
              <w:t> </w:t>
            </w:r>
            <w:r w:rsidRPr="005F32E7" w:rsidR="004C1BBB">
              <w:fldChar w:fldCharType="end"/>
            </w:r>
            <w:bookmarkEnd w:id="1"/>
          </w:p>
          <w:p w:rsidRPr="00B00194" w:rsidR="00E14792" w:rsidP="00B00194" w:rsidRDefault="00D50283" w14:paraId="253AF0C5" w14:textId="696192E4">
            <w:pPr>
              <w:pStyle w:val="IAHeadTitle"/>
              <w:ind w:left="113"/>
              <w:rPr>
                <w:rStyle w:val="IANoChar"/>
                <w:b/>
                <w:color w:val="auto"/>
                <w:sz w:val="20"/>
                <w:szCs w:val="20"/>
                <w:lang w:eastAsia="zh-CN"/>
              </w:rPr>
            </w:pPr>
            <w:r w:rsidRPr="007E190E">
              <w:rPr>
                <w:sz w:val="20"/>
                <w:szCs w:val="20"/>
              </w:rPr>
              <w:t>IA No:</w:t>
            </w:r>
            <w:r w:rsidR="00B00194">
              <w:rPr>
                <w:sz w:val="20"/>
                <w:szCs w:val="20"/>
              </w:rPr>
              <w:t xml:space="preserve"> </w:t>
            </w:r>
            <w:r w:rsidRPr="00E22C6D" w:rsidR="00E22C6D">
              <w:rPr>
                <w:rFonts w:cs="Arial"/>
                <w:b w:val="0"/>
                <w:sz w:val="20"/>
                <w:szCs w:val="20"/>
                <w:lang w:eastAsia="en-GB"/>
              </w:rPr>
              <w:t>MoJ003/2021</w:t>
            </w:r>
            <w:r w:rsidDel="002E18CE" w:rsidR="00B00194">
              <w:rPr>
                <w:sz w:val="20"/>
                <w:szCs w:val="20"/>
              </w:rPr>
              <w:t xml:space="preserve"> </w:t>
            </w:r>
            <w:bookmarkStart w:name="IANo" w:id="2"/>
            <w:r w:rsidRPr="007E190E" w:rsidR="00290335">
              <w:rPr>
                <w:rStyle w:val="IANoChar"/>
                <w:rFonts w:cs="Arial"/>
                <w:sz w:val="20"/>
                <w:szCs w:val="20"/>
              </w:rPr>
              <w:fldChar w:fldCharType="begin">
                <w:ffData>
                  <w:name w:val="IANo"/>
                  <w:enabled/>
                  <w:calcOnExit w:val="0"/>
                  <w:textInput>
                    <w:maxLength w:val="20"/>
                  </w:textInput>
                </w:ffData>
              </w:fldChar>
            </w:r>
            <w:r w:rsidRPr="007E190E" w:rsidR="00290335">
              <w:rPr>
                <w:rStyle w:val="IANoChar"/>
                <w:rFonts w:cs="Arial"/>
                <w:sz w:val="20"/>
                <w:szCs w:val="20"/>
              </w:rPr>
              <w:instrText xml:space="preserve"> FORMTEXT </w:instrText>
            </w:r>
            <w:r w:rsidRPr="007E190E" w:rsidR="00290335">
              <w:rPr>
                <w:rStyle w:val="IANoChar"/>
                <w:rFonts w:cs="Arial"/>
                <w:sz w:val="20"/>
                <w:szCs w:val="20"/>
              </w:rPr>
            </w:r>
            <w:r w:rsidRPr="007E190E" w:rsidR="00290335">
              <w:rPr>
                <w:rStyle w:val="IANoChar"/>
                <w:rFonts w:cs="Arial"/>
                <w:sz w:val="20"/>
                <w:szCs w:val="20"/>
              </w:rPr>
              <w:fldChar w:fldCharType="separate"/>
            </w:r>
            <w:r w:rsidRPr="007E190E" w:rsidR="00290335">
              <w:rPr>
                <w:rStyle w:val="IANoChar"/>
                <w:rFonts w:cs="Arial"/>
                <w:sz w:val="20"/>
                <w:szCs w:val="20"/>
              </w:rPr>
              <w:t> </w:t>
            </w:r>
            <w:r w:rsidRPr="007E190E" w:rsidR="00290335">
              <w:rPr>
                <w:rStyle w:val="IANoChar"/>
                <w:rFonts w:cs="Arial"/>
                <w:sz w:val="20"/>
                <w:szCs w:val="20"/>
              </w:rPr>
              <w:t> </w:t>
            </w:r>
            <w:r w:rsidRPr="007E190E" w:rsidR="00290335">
              <w:rPr>
                <w:rStyle w:val="IANoChar"/>
                <w:rFonts w:cs="Arial"/>
                <w:sz w:val="20"/>
                <w:szCs w:val="20"/>
              </w:rPr>
              <w:t> </w:t>
            </w:r>
            <w:r w:rsidRPr="007E190E" w:rsidR="00290335">
              <w:rPr>
                <w:rStyle w:val="IANoChar"/>
                <w:rFonts w:cs="Arial"/>
                <w:sz w:val="20"/>
                <w:szCs w:val="20"/>
              </w:rPr>
              <w:t> </w:t>
            </w:r>
            <w:r w:rsidRPr="007E190E" w:rsidR="00290335">
              <w:rPr>
                <w:rStyle w:val="IANoChar"/>
                <w:rFonts w:cs="Arial"/>
                <w:sz w:val="20"/>
                <w:szCs w:val="20"/>
              </w:rPr>
              <w:t> </w:t>
            </w:r>
            <w:r w:rsidRPr="007E190E" w:rsidR="00290335">
              <w:rPr>
                <w:rStyle w:val="IANoChar"/>
                <w:rFonts w:cs="Arial"/>
                <w:sz w:val="20"/>
                <w:szCs w:val="20"/>
              </w:rPr>
              <w:fldChar w:fldCharType="end"/>
            </w:r>
            <w:bookmarkEnd w:id="2"/>
          </w:p>
          <w:p w:rsidR="008C3539" w:rsidP="008C3539" w:rsidRDefault="008C3539" w14:paraId="61338AAF" w14:textId="77777777">
            <w:pPr>
              <w:pStyle w:val="IAHeadLabel"/>
              <w:ind w:left="113"/>
            </w:pPr>
            <w:r>
              <w:t xml:space="preserve">RPC Reference No:   </w:t>
            </w:r>
            <w:bookmarkStart w:name="IARPCReference" w:id="3"/>
            <w:r w:rsidR="00C60191">
              <w:fldChar w:fldCharType="begin">
                <w:ffData>
                  <w:name w:val="IARPCReference"/>
                  <w:enabled/>
                  <w:calcOnExit w:val="0"/>
                  <w:textInput/>
                </w:ffData>
              </w:fldChar>
            </w:r>
            <w:r w:rsidR="00C60191">
              <w:instrText xml:space="preserve"> FORMTEXT </w:instrText>
            </w:r>
            <w:r w:rsidR="00C60191">
              <w:fldChar w:fldCharType="separate"/>
            </w:r>
            <w:r w:rsidR="00C60191">
              <w:rPr>
                <w:noProof/>
              </w:rPr>
              <w:t> </w:t>
            </w:r>
            <w:r w:rsidR="00C60191">
              <w:rPr>
                <w:noProof/>
              </w:rPr>
              <w:t> </w:t>
            </w:r>
            <w:r w:rsidR="00C60191">
              <w:rPr>
                <w:noProof/>
              </w:rPr>
              <w:t> </w:t>
            </w:r>
            <w:r w:rsidR="00C60191">
              <w:rPr>
                <w:noProof/>
              </w:rPr>
              <w:t> </w:t>
            </w:r>
            <w:r w:rsidR="00C60191">
              <w:rPr>
                <w:noProof/>
              </w:rPr>
              <w:t> </w:t>
            </w:r>
            <w:r w:rsidR="00C60191">
              <w:fldChar w:fldCharType="end"/>
            </w:r>
            <w:bookmarkEnd w:id="3"/>
          </w:p>
          <w:p w:rsidRPr="005F32E7" w:rsidR="001D5EC9" w:rsidP="00A90857" w:rsidRDefault="00495404" w14:paraId="115C429B" w14:textId="44D28581">
            <w:pPr>
              <w:pStyle w:val="IALeadDept"/>
            </w:pPr>
            <w:r w:rsidRPr="00A90857">
              <w:rPr>
                <w:b/>
              </w:rPr>
              <w:t>Lead department or agency:</w:t>
            </w:r>
            <w:r w:rsidR="00B00194">
              <w:t xml:space="preserve">  </w:t>
            </w:r>
            <w:r w:rsidR="00230802">
              <w:t>Ministry of Justice (MoJ)</w:t>
            </w:r>
            <w:r w:rsidR="00B00194">
              <w:t xml:space="preserve">       </w:t>
            </w:r>
            <w:bookmarkStart w:name="IALeadDept" w:id="4"/>
            <w:r w:rsidRPr="005F32E7" w:rsidR="00290335">
              <w:fldChar w:fldCharType="begin">
                <w:ffData>
                  <w:name w:val="IALeadDept"/>
                  <w:enabled/>
                  <w:calcOnExit w:val="0"/>
                  <w:textInput>
                    <w:maxLength w:val="100"/>
                  </w:textInput>
                </w:ffData>
              </w:fldChar>
            </w:r>
            <w:r w:rsidRPr="005F32E7" w:rsidR="00290335">
              <w:instrText xml:space="preserve"> FORMTEXT </w:instrText>
            </w:r>
            <w:r w:rsidRPr="005F32E7" w:rsidR="00290335">
              <w:fldChar w:fldCharType="separate"/>
            </w:r>
            <w:r w:rsidRPr="005F32E7" w:rsidR="00290335">
              <w:t> </w:t>
            </w:r>
            <w:r w:rsidR="00B00194">
              <w:t xml:space="preserve">   </w:t>
            </w:r>
            <w:r w:rsidRPr="005F32E7" w:rsidR="00290335">
              <w:t> </w:t>
            </w:r>
            <w:r w:rsidRPr="005F32E7" w:rsidR="00290335">
              <w:t> </w:t>
            </w:r>
            <w:r w:rsidRPr="005F32E7" w:rsidR="00290335">
              <w:t> </w:t>
            </w:r>
            <w:r w:rsidRPr="005F32E7" w:rsidR="00290335">
              <w:fldChar w:fldCharType="end"/>
            </w:r>
            <w:bookmarkEnd w:id="4"/>
          </w:p>
          <w:p w:rsidR="00B93466" w:rsidP="00B00194" w:rsidRDefault="00495404" w14:paraId="1B73DE6C" w14:textId="65048C2F">
            <w:pPr>
              <w:pStyle w:val="IATableLabel"/>
              <w:spacing w:after="0"/>
            </w:pPr>
            <w:r w:rsidRPr="003E0510">
              <w:t>Other dep</w:t>
            </w:r>
            <w:r w:rsidRPr="00E217A2">
              <w:t>a</w:t>
            </w:r>
            <w:r w:rsidRPr="003E0510">
              <w:t>rtments or agencies:</w:t>
            </w:r>
            <w:r w:rsidR="00B00194">
              <w:t xml:space="preserve">  </w:t>
            </w:r>
            <w:r w:rsidR="00DF2F4B">
              <w:t xml:space="preserve"> </w:t>
            </w:r>
            <w:r w:rsidRPr="00230802" w:rsidR="00230802">
              <w:rPr>
                <w:b w:val="0"/>
              </w:rPr>
              <w:t>HM Courts and Tribunals Service (HMCTS)</w:t>
            </w:r>
          </w:p>
        </w:tc>
        <w:tc>
          <w:tcPr>
            <w:tcW w:w="4098" w:type="dxa"/>
            <w:gridSpan w:val="3"/>
            <w:tcBorders>
              <w:top w:val="single" w:color="auto" w:sz="4" w:space="0"/>
              <w:bottom w:val="single" w:color="auto" w:sz="4" w:space="0"/>
            </w:tcBorders>
          </w:tcPr>
          <w:tbl>
            <w:tblPr>
              <w:tblW w:w="4088" w:type="dxa"/>
              <w:tblInd w:w="5" w:type="dxa"/>
              <w:tblBorders>
                <w:insideH w:val="single" w:color="333333" w:sz="4" w:space="0"/>
                <w:insideV w:val="single" w:color="333333" w:sz="4" w:space="0"/>
              </w:tblBorders>
              <w:tblLayout w:type="fixed"/>
              <w:tblCellMar>
                <w:left w:w="0" w:type="dxa"/>
                <w:right w:w="0" w:type="dxa"/>
              </w:tblCellMar>
              <w:tblLook w:val="01E0" w:firstRow="1" w:lastRow="1" w:firstColumn="1" w:lastColumn="1" w:noHBand="0" w:noVBand="0"/>
            </w:tblPr>
            <w:tblGrid>
              <w:gridCol w:w="4088"/>
            </w:tblGrid>
            <w:tr w:rsidRPr="00383295" w:rsidR="00B50649" w:rsidTr="007E190E" w14:paraId="798A3A5B" w14:textId="77777777">
              <w:trPr>
                <w:trHeight w:val="539" w:hRule="exact"/>
              </w:trPr>
              <w:tc>
                <w:tcPr>
                  <w:tcW w:w="4088" w:type="dxa"/>
                  <w:tcBorders>
                    <w:bottom w:val="single" w:color="333333" w:sz="4" w:space="0"/>
                  </w:tcBorders>
                  <w:shd w:val="clear" w:color="auto" w:fill="333333"/>
                  <w:vAlign w:val="center"/>
                </w:tcPr>
                <w:p w:rsidRPr="00383295" w:rsidR="00B50649" w:rsidP="00E90731" w:rsidRDefault="00B50649" w14:paraId="47288BDB" w14:textId="77777777">
                  <w:pPr>
                    <w:pStyle w:val="Title"/>
                  </w:pPr>
                  <w:r w:rsidRPr="00383295">
                    <w:t>Impact Assessment (IA)</w:t>
                  </w:r>
                </w:p>
              </w:tc>
            </w:tr>
            <w:tr w:rsidRPr="00966271" w:rsidR="00B50649" w:rsidTr="007E190E" w14:paraId="254D3FBF" w14:textId="77777777">
              <w:tc>
                <w:tcPr>
                  <w:tcW w:w="4088" w:type="dxa"/>
                  <w:tcBorders>
                    <w:top w:val="single" w:color="333333" w:sz="4" w:space="0"/>
                    <w:bottom w:val="single" w:color="333333" w:sz="4" w:space="0"/>
                  </w:tcBorders>
                </w:tcPr>
                <w:p w:rsidRPr="00007A0C" w:rsidR="001F69E9" w:rsidP="00C46EA7" w:rsidRDefault="00B50649" w14:paraId="46EDA12E" w14:textId="54220121">
                  <w:pPr>
                    <w:pStyle w:val="IATableLabel"/>
                    <w:rPr>
                      <w:color w:val="FF0000"/>
                    </w:rPr>
                  </w:pPr>
                  <w:r w:rsidRPr="00631B4C">
                    <w:t>Date:</w:t>
                  </w:r>
                  <w:r w:rsidR="000C1F84">
                    <w:t xml:space="preserve"> </w:t>
                  </w:r>
                  <w:r w:rsidRPr="000D777B" w:rsidR="00131C08">
                    <w:rPr>
                      <w:b w:val="0"/>
                      <w:bCs/>
                    </w:rPr>
                    <w:t>31/08</w:t>
                  </w:r>
                  <w:r w:rsidRPr="000D777B" w:rsidR="00131C08">
                    <w:rPr>
                      <w:b w:val="0"/>
                    </w:rPr>
                    <w:t>/2021</w:t>
                  </w:r>
                </w:p>
              </w:tc>
            </w:tr>
            <w:tr w:rsidRPr="00966271" w:rsidR="00B50649" w:rsidTr="007E190E" w14:paraId="73099175" w14:textId="77777777">
              <w:tc>
                <w:tcPr>
                  <w:tcW w:w="4088" w:type="dxa"/>
                  <w:tcBorders>
                    <w:top w:val="single" w:color="333333" w:sz="4" w:space="0"/>
                    <w:bottom w:val="single" w:color="333333" w:sz="4" w:space="0"/>
                  </w:tcBorders>
                </w:tcPr>
                <w:p w:rsidRPr="007F0ED9" w:rsidR="00B50649" w:rsidP="00E90731" w:rsidRDefault="00941D69" w14:paraId="1F935AA8" w14:textId="16A38D0F">
                  <w:pPr>
                    <w:pStyle w:val="IATableLabel"/>
                  </w:pPr>
                  <w:bookmarkStart w:name="Stage" w:id="5"/>
                  <w:r w:rsidRPr="007F0ED9">
                    <w:t xml:space="preserve">Stage: </w:t>
                  </w:r>
                  <w:bookmarkEnd w:id="5"/>
                  <w:r w:rsidR="00232D77">
                    <w:rPr>
                      <w:rStyle w:val="IAStageChar"/>
                    </w:rPr>
                    <w:t>Implementation</w:t>
                  </w:r>
                </w:p>
              </w:tc>
            </w:tr>
            <w:tr w:rsidRPr="00966271" w:rsidR="00B50649" w:rsidTr="007E190E" w14:paraId="0AA6C47A" w14:textId="77777777">
              <w:tc>
                <w:tcPr>
                  <w:tcW w:w="4088" w:type="dxa"/>
                  <w:tcBorders>
                    <w:top w:val="single" w:color="333333" w:sz="4" w:space="0"/>
                    <w:bottom w:val="single" w:color="333333" w:sz="4" w:space="0"/>
                  </w:tcBorders>
                </w:tcPr>
                <w:p w:rsidRPr="007F0ED9" w:rsidR="00B50649" w:rsidP="00E90731" w:rsidRDefault="0071686F" w14:paraId="511E18B5" w14:textId="77777777">
                  <w:pPr>
                    <w:pStyle w:val="IATableLabel"/>
                  </w:pPr>
                  <w:r w:rsidRPr="007F0ED9">
                    <w:t xml:space="preserve">Source </w:t>
                  </w:r>
                  <w:r w:rsidRPr="007F0ED9" w:rsidR="006A56C1">
                    <w:t xml:space="preserve">of </w:t>
                  </w:r>
                  <w:r w:rsidRPr="007F0ED9">
                    <w:t>intervention:</w:t>
                  </w:r>
                  <w:r w:rsidRPr="007F0ED9" w:rsidR="00B50649">
                    <w:t xml:space="preserve"> </w:t>
                  </w:r>
                  <w:bookmarkStart w:name="IAInterSource" w:id="6"/>
                  <w:r w:rsidRPr="007E190E" w:rsidR="00290335">
                    <w:rPr>
                      <w:rStyle w:val="IASOIChar"/>
                      <w:sz w:val="20"/>
                    </w:rPr>
                    <w:fldChar w:fldCharType="begin">
                      <w:ffData>
                        <w:name w:val="IAInterSource"/>
                        <w:enabled/>
                        <w:calcOnExit w:val="0"/>
                        <w:ddList>
                          <w:listEntry w:val="Domestic"/>
                          <w:listEntry w:val="EU"/>
                          <w:listEntry w:val="International"/>
                        </w:ddList>
                      </w:ffData>
                    </w:fldChar>
                  </w:r>
                  <w:r w:rsidRPr="007E190E" w:rsidR="00290335">
                    <w:rPr>
                      <w:rStyle w:val="IASOIChar"/>
                      <w:sz w:val="20"/>
                    </w:rPr>
                    <w:instrText xml:space="preserve"> FORMDROPDOWN </w:instrText>
                  </w:r>
                  <w:r w:rsidR="00CD5D12">
                    <w:rPr>
                      <w:rStyle w:val="IASOIChar"/>
                      <w:sz w:val="20"/>
                    </w:rPr>
                  </w:r>
                  <w:r w:rsidR="00CD5D12">
                    <w:rPr>
                      <w:rStyle w:val="IASOIChar"/>
                      <w:sz w:val="20"/>
                    </w:rPr>
                    <w:fldChar w:fldCharType="separate"/>
                  </w:r>
                  <w:r w:rsidRPr="007E190E" w:rsidR="00290335">
                    <w:rPr>
                      <w:rStyle w:val="IASOIChar"/>
                      <w:sz w:val="20"/>
                    </w:rPr>
                    <w:fldChar w:fldCharType="end"/>
                  </w:r>
                  <w:bookmarkEnd w:id="6"/>
                </w:p>
              </w:tc>
            </w:tr>
            <w:tr w:rsidRPr="007E190E" w:rsidR="00052F44" w:rsidTr="007E190E" w14:paraId="498B71AA" w14:textId="77777777">
              <w:tc>
                <w:tcPr>
                  <w:tcW w:w="4088" w:type="dxa"/>
                  <w:tcBorders>
                    <w:top w:val="single" w:color="333333" w:sz="4" w:space="0"/>
                    <w:bottom w:val="single" w:color="333333" w:sz="4" w:space="0"/>
                  </w:tcBorders>
                </w:tcPr>
                <w:p w:rsidRPr="007E190E" w:rsidR="00052F44" w:rsidP="00E90731" w:rsidRDefault="00052F44" w14:paraId="3ACC454D" w14:textId="324221A7">
                  <w:pPr>
                    <w:pStyle w:val="IATableLabel"/>
                    <w:rPr>
                      <w:b w:val="0"/>
                    </w:rPr>
                  </w:pPr>
                  <w:r w:rsidRPr="007F0ED9">
                    <w:t xml:space="preserve">Type of measure: </w:t>
                  </w:r>
                  <w:r w:rsidR="000956A1">
                    <w:rPr>
                      <w:rStyle w:val="IATOMChar"/>
                      <w:sz w:val="20"/>
                    </w:rPr>
                    <w:fldChar w:fldCharType="begin">
                      <w:ffData>
                        <w:name w:val="IAMeasureType"/>
                        <w:enabled/>
                        <w:calcOnExit w:val="0"/>
                        <w:ddList>
                          <w:listEntry w:val="Secondary legislation"/>
                          <w:listEntry w:val="Primary legislation"/>
                          <w:listEntry w:val="Other"/>
                        </w:ddList>
                      </w:ffData>
                    </w:fldChar>
                  </w:r>
                  <w:bookmarkStart w:name="IAMeasureType" w:id="7"/>
                  <w:r w:rsidR="000956A1">
                    <w:rPr>
                      <w:rStyle w:val="IATOMChar"/>
                      <w:sz w:val="20"/>
                    </w:rPr>
                    <w:instrText xml:space="preserve"> FORMDROPDOWN </w:instrText>
                  </w:r>
                  <w:r w:rsidR="00CD5D12">
                    <w:rPr>
                      <w:rStyle w:val="IATOMChar"/>
                      <w:sz w:val="20"/>
                    </w:rPr>
                  </w:r>
                  <w:r w:rsidR="00CD5D12">
                    <w:rPr>
                      <w:rStyle w:val="IATOMChar"/>
                      <w:sz w:val="20"/>
                    </w:rPr>
                    <w:fldChar w:fldCharType="separate"/>
                  </w:r>
                  <w:r w:rsidR="000956A1">
                    <w:rPr>
                      <w:rStyle w:val="IATOMChar"/>
                      <w:sz w:val="20"/>
                    </w:rPr>
                    <w:fldChar w:fldCharType="end"/>
                  </w:r>
                  <w:bookmarkEnd w:id="7"/>
                </w:p>
              </w:tc>
            </w:tr>
            <w:tr w:rsidRPr="007E190E" w:rsidR="00B50649" w:rsidTr="007E190E" w14:paraId="293374C8" w14:textId="77777777">
              <w:trPr>
                <w:trHeight w:val="1115"/>
              </w:trPr>
              <w:tc>
                <w:tcPr>
                  <w:tcW w:w="4088" w:type="dxa"/>
                  <w:tcBorders>
                    <w:top w:val="single" w:color="333333" w:sz="4" w:space="0"/>
                    <w:bottom w:val="single" w:color="333333" w:sz="4" w:space="0"/>
                  </w:tcBorders>
                </w:tcPr>
                <w:p w:rsidRPr="000F004E" w:rsidR="00023080" w:rsidP="007E190E" w:rsidRDefault="00773719" w14:paraId="059466AB" w14:textId="55F18969">
                  <w:pPr>
                    <w:ind w:left="113" w:right="113"/>
                  </w:pPr>
                  <w:r w:rsidRPr="007E190E">
                    <w:rPr>
                      <w:rStyle w:val="IATableLabelCharChar"/>
                      <w:sz w:val="20"/>
                      <w:szCs w:val="20"/>
                    </w:rPr>
                    <w:t>Contact for enquiries:</w:t>
                  </w:r>
                  <w:bookmarkStart w:name="IAEnquiryContacts" w:id="8"/>
                  <w:r w:rsidR="00230802">
                    <w:t xml:space="preserve"> </w:t>
                  </w:r>
                  <w:r w:rsidR="00230802">
                    <w:rPr>
                      <w:sz w:val="20"/>
                      <w:szCs w:val="20"/>
                    </w:rPr>
                    <w:t>mojfeespolicy@justice.gov.uk</w:t>
                  </w:r>
                  <w:r w:rsidRPr="007E190E">
                    <w:rPr>
                      <w:rStyle w:val="IACOEChar"/>
                      <w:b w:val="0"/>
                      <w:sz w:val="20"/>
                    </w:rPr>
                    <w:fldChar w:fldCharType="begin">
                      <w:ffData>
                        <w:name w:val="IAEnquiryContacts"/>
                        <w:enabled/>
                        <w:calcOnExit w:val="0"/>
                        <w:textInput>
                          <w:maxLength w:val="200"/>
                        </w:textInput>
                      </w:ffData>
                    </w:fldChar>
                  </w:r>
                  <w:r w:rsidRPr="007E190E">
                    <w:rPr>
                      <w:rStyle w:val="IACOEChar"/>
                      <w:b w:val="0"/>
                      <w:sz w:val="20"/>
                    </w:rPr>
                    <w:instrText xml:space="preserve"> FORMTEXT </w:instrText>
                  </w:r>
                  <w:r w:rsidRPr="007E190E">
                    <w:rPr>
                      <w:rStyle w:val="IACOEChar"/>
                      <w:b w:val="0"/>
                      <w:sz w:val="20"/>
                    </w:rPr>
                  </w:r>
                  <w:r w:rsidRPr="007E190E">
                    <w:rPr>
                      <w:rStyle w:val="IACOEChar"/>
                      <w:b w:val="0"/>
                      <w:sz w:val="20"/>
                    </w:rPr>
                    <w:fldChar w:fldCharType="separate"/>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fldChar w:fldCharType="end"/>
                  </w:r>
                  <w:bookmarkEnd w:id="8"/>
                </w:p>
              </w:tc>
            </w:tr>
            <w:tr w:rsidRPr="007E190E" w:rsidR="000C1D45" w:rsidTr="007E190E" w14:paraId="32CB0703" w14:textId="77777777">
              <w:trPr>
                <w:trHeight w:val="1115"/>
              </w:trPr>
              <w:tc>
                <w:tcPr>
                  <w:tcW w:w="4088" w:type="dxa"/>
                  <w:tcBorders>
                    <w:top w:val="single" w:color="333333" w:sz="4" w:space="0"/>
                    <w:bottom w:val="single" w:color="333333" w:sz="4" w:space="0"/>
                  </w:tcBorders>
                </w:tcPr>
                <w:p w:rsidRPr="007E190E" w:rsidR="000C1D45" w:rsidP="00A32793" w:rsidRDefault="000C1D45" w14:paraId="3613DB26" w14:textId="77777777">
                  <w:pPr>
                    <w:pStyle w:val="IATableLines"/>
                    <w:rPr>
                      <w:b/>
                      <w:color w:val="000000"/>
                      <w:sz w:val="20"/>
                    </w:rPr>
                  </w:pPr>
                </w:p>
              </w:tc>
            </w:tr>
            <w:tr w:rsidRPr="007E190E" w:rsidR="000C1D45" w:rsidTr="007E190E" w14:paraId="6802EA12" w14:textId="77777777">
              <w:trPr>
                <w:trHeight w:val="1115"/>
              </w:trPr>
              <w:tc>
                <w:tcPr>
                  <w:tcW w:w="4088" w:type="dxa"/>
                  <w:tcBorders>
                    <w:top w:val="single" w:color="333333" w:sz="4" w:space="0"/>
                    <w:bottom w:val="single" w:color="333333" w:sz="4" w:space="0"/>
                  </w:tcBorders>
                </w:tcPr>
                <w:p w:rsidRPr="007E190E" w:rsidR="000C1D45" w:rsidP="00A32793" w:rsidRDefault="000C1D45" w14:paraId="31D8DF7F" w14:textId="77777777">
                  <w:pPr>
                    <w:pStyle w:val="IATableLines"/>
                    <w:rPr>
                      <w:b/>
                      <w:color w:val="000000"/>
                      <w:sz w:val="20"/>
                    </w:rPr>
                  </w:pPr>
                </w:p>
              </w:tc>
            </w:tr>
            <w:tr w:rsidRPr="007E190E" w:rsidR="000C1D45" w:rsidTr="007E190E" w14:paraId="266107BB" w14:textId="77777777">
              <w:trPr>
                <w:trHeight w:val="1115"/>
              </w:trPr>
              <w:tc>
                <w:tcPr>
                  <w:tcW w:w="4088" w:type="dxa"/>
                  <w:tcBorders>
                    <w:top w:val="single" w:color="333333" w:sz="4" w:space="0"/>
                    <w:bottom w:val="single" w:color="333333" w:sz="4" w:space="0"/>
                  </w:tcBorders>
                </w:tcPr>
                <w:p w:rsidRPr="007E190E" w:rsidR="000C1D45" w:rsidP="00A32793" w:rsidRDefault="000C1D45" w14:paraId="52DA93B2" w14:textId="77777777">
                  <w:pPr>
                    <w:pStyle w:val="IATableLines"/>
                    <w:rPr>
                      <w:b/>
                      <w:color w:val="000000"/>
                      <w:sz w:val="20"/>
                    </w:rPr>
                  </w:pPr>
                </w:p>
              </w:tc>
            </w:tr>
            <w:tr w:rsidRPr="007E190E" w:rsidR="000C1D45" w:rsidTr="007E190E" w14:paraId="03CB09E5" w14:textId="77777777">
              <w:trPr>
                <w:trHeight w:val="1115"/>
              </w:trPr>
              <w:tc>
                <w:tcPr>
                  <w:tcW w:w="4088" w:type="dxa"/>
                  <w:tcBorders>
                    <w:top w:val="single" w:color="333333" w:sz="4" w:space="0"/>
                    <w:bottom w:val="single" w:color="333333" w:sz="4" w:space="0"/>
                  </w:tcBorders>
                </w:tcPr>
                <w:p w:rsidRPr="007E190E" w:rsidR="000C1D45" w:rsidP="00A32793" w:rsidRDefault="000C1D45" w14:paraId="73725245" w14:textId="77777777">
                  <w:pPr>
                    <w:pStyle w:val="IATableLines"/>
                    <w:rPr>
                      <w:b/>
                      <w:color w:val="000000"/>
                      <w:sz w:val="20"/>
                    </w:rPr>
                  </w:pPr>
                </w:p>
              </w:tc>
            </w:tr>
            <w:tr w:rsidRPr="007E190E" w:rsidR="000C1D45" w:rsidTr="007E190E" w14:paraId="0D8E6F09" w14:textId="77777777">
              <w:trPr>
                <w:trHeight w:val="1115"/>
              </w:trPr>
              <w:tc>
                <w:tcPr>
                  <w:tcW w:w="4088" w:type="dxa"/>
                  <w:tcBorders>
                    <w:top w:val="single" w:color="333333" w:sz="4" w:space="0"/>
                    <w:bottom w:val="single" w:color="333333" w:sz="4" w:space="0"/>
                  </w:tcBorders>
                </w:tcPr>
                <w:p w:rsidRPr="007E190E" w:rsidR="000C1D45" w:rsidP="00A32793" w:rsidRDefault="000C1D45" w14:paraId="1F474E2A" w14:textId="77777777">
                  <w:pPr>
                    <w:pStyle w:val="IATableLines"/>
                    <w:rPr>
                      <w:b/>
                      <w:color w:val="000000"/>
                      <w:sz w:val="20"/>
                    </w:rPr>
                  </w:pPr>
                </w:p>
              </w:tc>
            </w:tr>
            <w:tr w:rsidRPr="007E190E" w:rsidR="000C1D45" w:rsidTr="007E190E" w14:paraId="25F3101C" w14:textId="77777777">
              <w:trPr>
                <w:trHeight w:val="1115"/>
              </w:trPr>
              <w:tc>
                <w:tcPr>
                  <w:tcW w:w="4088" w:type="dxa"/>
                  <w:tcBorders>
                    <w:top w:val="single" w:color="333333" w:sz="4" w:space="0"/>
                  </w:tcBorders>
                </w:tcPr>
                <w:p w:rsidRPr="007E190E" w:rsidR="000C1D45" w:rsidP="00A32793" w:rsidRDefault="000C1D45" w14:paraId="2C467494" w14:textId="77777777">
                  <w:pPr>
                    <w:pStyle w:val="IATableLines"/>
                    <w:rPr>
                      <w:b/>
                      <w:color w:val="000000"/>
                      <w:sz w:val="20"/>
                    </w:rPr>
                  </w:pPr>
                </w:p>
              </w:tc>
            </w:tr>
          </w:tbl>
          <w:p w:rsidRPr="007E190E" w:rsidR="00B50649" w:rsidRDefault="00B50649" w14:paraId="78BDBA71" w14:textId="77777777">
            <w:pPr>
              <w:rPr>
                <w:rFonts w:eastAsia="SimSun"/>
              </w:rPr>
            </w:pPr>
          </w:p>
        </w:tc>
      </w:tr>
      <w:tr w:rsidRPr="007E190E" w:rsidR="000C1D45" w:rsidTr="00950571" w14:paraId="3360621A" w14:textId="77777777">
        <w:trPr>
          <w:trHeight w:val="410" w:hRule="exact"/>
        </w:trPr>
        <w:tc>
          <w:tcPr>
            <w:tcW w:w="6255" w:type="dxa"/>
            <w:gridSpan w:val="3"/>
            <w:tcBorders>
              <w:top w:val="single" w:color="auto" w:sz="4" w:space="0"/>
              <w:left w:val="nil"/>
              <w:bottom w:val="single" w:color="auto" w:sz="4" w:space="0"/>
            </w:tcBorders>
          </w:tcPr>
          <w:p w:rsidRPr="007E190E" w:rsidR="000C1D45" w:rsidP="007E190E" w:rsidRDefault="000C1D45" w14:paraId="0858335E" w14:textId="77777777">
            <w:pPr>
              <w:pStyle w:val="Heading1"/>
              <w:spacing w:before="60"/>
              <w:rPr>
                <w:rFonts w:hint="eastAsia" w:eastAsia="SimSun"/>
                <w:sz w:val="28"/>
                <w:szCs w:val="28"/>
              </w:rPr>
            </w:pPr>
            <w:r w:rsidRPr="007E190E">
              <w:rPr>
                <w:rFonts w:eastAsia="SimSun"/>
                <w:sz w:val="28"/>
                <w:szCs w:val="28"/>
              </w:rPr>
              <w:t xml:space="preserve">Summary: Intervention and Options </w:t>
            </w:r>
          </w:p>
          <w:p w:rsidRPr="007E190E" w:rsidR="000C1D45" w:rsidP="007E190E" w:rsidRDefault="000C1D45" w14:paraId="3AB74490" w14:textId="77777777">
            <w:pPr>
              <w:pStyle w:val="IAHeadLabel0"/>
              <w:spacing w:before="50"/>
              <w:ind w:left="113"/>
              <w:rPr>
                <w:sz w:val="28"/>
                <w:szCs w:val="28"/>
              </w:rPr>
            </w:pPr>
          </w:p>
        </w:tc>
        <w:tc>
          <w:tcPr>
            <w:tcW w:w="4098" w:type="dxa"/>
            <w:gridSpan w:val="3"/>
            <w:tcBorders>
              <w:top w:val="single" w:color="auto" w:sz="4" w:space="0"/>
              <w:bottom w:val="single" w:color="auto" w:sz="4" w:space="0"/>
            </w:tcBorders>
            <w:shd w:val="clear" w:color="auto" w:fill="E0E0E0"/>
            <w:vAlign w:val="center"/>
          </w:tcPr>
          <w:p w:rsidRPr="007E190E" w:rsidR="000C1D45" w:rsidP="00307737" w:rsidRDefault="000C1D45" w14:paraId="23CE109F" w14:textId="77777777">
            <w:pPr>
              <w:pStyle w:val="Title"/>
              <w:rPr>
                <w:rFonts w:eastAsia="SimSun"/>
                <w:b/>
                <w:color w:val="auto"/>
                <w:sz w:val="24"/>
                <w:szCs w:val="24"/>
              </w:rPr>
            </w:pPr>
            <w:r w:rsidRPr="007E190E">
              <w:rPr>
                <w:rFonts w:eastAsia="SimSun"/>
                <w:b/>
                <w:color w:val="auto"/>
                <w:sz w:val="24"/>
                <w:szCs w:val="24"/>
              </w:rPr>
              <w:t>RPC</w:t>
            </w:r>
            <w:r w:rsidRPr="007E190E" w:rsidR="00EC6B93">
              <w:rPr>
                <w:rFonts w:eastAsia="SimSun"/>
                <w:b/>
                <w:color w:val="auto"/>
                <w:sz w:val="24"/>
                <w:szCs w:val="24"/>
              </w:rPr>
              <w:t xml:space="preserve"> Opinion</w:t>
            </w:r>
            <w:r w:rsidRPr="007E190E">
              <w:rPr>
                <w:rFonts w:eastAsia="SimSun"/>
                <w:b/>
                <w:color w:val="auto"/>
                <w:sz w:val="24"/>
                <w:szCs w:val="24"/>
              </w:rPr>
              <w:t xml:space="preserve">: </w:t>
            </w:r>
            <w:r w:rsidR="00DE39C4">
              <w:rPr>
                <w:rStyle w:val="IARPCChar"/>
                <w:szCs w:val="24"/>
              </w:rPr>
              <w:fldChar w:fldCharType="begin">
                <w:ffData>
                  <w:name w:val="IARPC"/>
                  <w:enabled/>
                  <w:calcOnExit w:val="0"/>
                  <w:ddList>
                    <w:listEntry w:val="RPC Opinion Status"/>
                    <w:listEntry w:val="Awaiting Scrutiny"/>
                    <w:listEntry w:val="RED"/>
                    <w:listEntry w:val="AMBER"/>
                    <w:listEntry w:val="GREEN"/>
                    <w:listEntry w:val="EANDCB Validated"/>
                    <w:listEntry w:val="Not Applicable"/>
                  </w:ddList>
                </w:ffData>
              </w:fldChar>
            </w:r>
            <w:bookmarkStart w:name="IARPC" w:id="9"/>
            <w:r w:rsidR="00DE39C4">
              <w:rPr>
                <w:rStyle w:val="IARPCChar"/>
                <w:szCs w:val="24"/>
              </w:rPr>
              <w:instrText xml:space="preserve"> FORMDROPDOWN </w:instrText>
            </w:r>
            <w:r w:rsidR="00CD5D12">
              <w:rPr>
                <w:rStyle w:val="IARPCChar"/>
                <w:szCs w:val="24"/>
              </w:rPr>
            </w:r>
            <w:r w:rsidR="00CD5D12">
              <w:rPr>
                <w:rStyle w:val="IARPCChar"/>
                <w:szCs w:val="24"/>
              </w:rPr>
              <w:fldChar w:fldCharType="separate"/>
            </w:r>
            <w:r w:rsidR="00DE39C4">
              <w:rPr>
                <w:rStyle w:val="IARPCChar"/>
                <w:szCs w:val="24"/>
              </w:rPr>
              <w:fldChar w:fldCharType="end"/>
            </w:r>
            <w:bookmarkEnd w:id="9"/>
          </w:p>
        </w:tc>
      </w:tr>
      <w:tr w:rsidRPr="007E190E" w:rsidR="00372A69" w:rsidTr="00950571" w14:paraId="0A460EEB" w14:textId="77777777">
        <w:trPr>
          <w:trHeight w:val="90" w:hRule="exact"/>
        </w:trPr>
        <w:tc>
          <w:tcPr>
            <w:tcW w:w="10353" w:type="dxa"/>
            <w:gridSpan w:val="6"/>
            <w:tcBorders>
              <w:top w:val="single" w:color="auto" w:sz="4" w:space="0"/>
              <w:left w:val="nil"/>
              <w:bottom w:val="nil"/>
            </w:tcBorders>
          </w:tcPr>
          <w:p w:rsidRPr="007E190E" w:rsidR="00372A69" w:rsidP="00372A69" w:rsidRDefault="00372A69" w14:paraId="13A05E15" w14:textId="77777777">
            <w:pPr>
              <w:rPr>
                <w:rFonts w:eastAsia="SimSun"/>
              </w:rPr>
            </w:pPr>
          </w:p>
        </w:tc>
      </w:tr>
      <w:tr w:rsidRPr="000E02BE" w:rsidR="00372A69" w:rsidTr="00950571" w14:paraId="544F0F01" w14:textId="77777777">
        <w:tblPrEx>
          <w:tblBorders>
            <w:insideV w:val="none" w:color="auto" w:sz="0" w:space="0"/>
          </w:tblBorders>
        </w:tblPrEx>
        <w:trPr>
          <w:gridAfter w:val="1"/>
          <w:wAfter w:w="9" w:type="dxa"/>
          <w:trHeight w:val="312" w:hRule="exact"/>
        </w:trPr>
        <w:tc>
          <w:tcPr>
            <w:tcW w:w="10344" w:type="dxa"/>
            <w:gridSpan w:val="5"/>
            <w:tcBorders>
              <w:top w:val="single" w:color="auto" w:sz="4" w:space="0"/>
              <w:bottom w:val="nil"/>
            </w:tcBorders>
            <w:shd w:val="clear" w:color="auto" w:fill="E0E0E0"/>
          </w:tcPr>
          <w:p w:rsidRPr="000E02BE" w:rsidR="00372A69" w:rsidP="006A0557" w:rsidRDefault="00372A69" w14:paraId="3CB70531" w14:textId="572D23E1">
            <w:pPr>
              <w:pStyle w:val="IATableLabel"/>
              <w:ind w:left="0"/>
              <w:jc w:val="center"/>
            </w:pPr>
            <w:bookmarkStart w:name="CostText" w:id="10"/>
            <w:r>
              <w:t>Cost of Preferred (or more likely) Optio</w:t>
            </w:r>
            <w:r w:rsidR="00F06858">
              <w:t>n</w:t>
            </w:r>
            <w:bookmarkEnd w:id="10"/>
            <w:r w:rsidR="00310BBC">
              <w:t xml:space="preserve"> </w:t>
            </w:r>
            <w:r w:rsidRPr="00310BBC" w:rsidR="00310BBC">
              <w:rPr>
                <w:b w:val="0"/>
              </w:rPr>
              <w:t>(in 201</w:t>
            </w:r>
            <w:r w:rsidR="00D64409">
              <w:rPr>
                <w:b w:val="0"/>
              </w:rPr>
              <w:t>9</w:t>
            </w:r>
            <w:r w:rsidRPr="00310BBC" w:rsidR="00310BBC">
              <w:rPr>
                <w:b w:val="0"/>
              </w:rPr>
              <w:t xml:space="preserve"> prices)</w:t>
            </w:r>
          </w:p>
        </w:tc>
      </w:tr>
      <w:tr w:rsidRPr="000E02BE" w:rsidR="00DE39C4" w:rsidTr="00950571" w14:paraId="03DC0428" w14:textId="77777777">
        <w:tblPrEx>
          <w:tblBorders>
            <w:insideV w:val="none" w:color="auto" w:sz="0" w:space="0"/>
          </w:tblBorders>
        </w:tblPrEx>
        <w:trPr>
          <w:gridAfter w:val="1"/>
          <w:wAfter w:w="9" w:type="dxa"/>
          <w:trHeight w:val="571" w:hRule="exact"/>
        </w:trPr>
        <w:tc>
          <w:tcPr>
            <w:tcW w:w="1985" w:type="dxa"/>
            <w:tcBorders>
              <w:top w:val="single" w:color="auto" w:sz="4" w:space="0"/>
              <w:bottom w:val="nil"/>
              <w:right w:val="single" w:color="auto" w:sz="4" w:space="0"/>
            </w:tcBorders>
            <w:shd w:val="clear" w:color="auto" w:fill="E0E0E0"/>
            <w:vAlign w:val="center"/>
          </w:tcPr>
          <w:p w:rsidRPr="000E02BE" w:rsidR="00DE39C4" w:rsidP="006A0557" w:rsidRDefault="00DE39C4" w14:paraId="77FF69E8" w14:textId="77777777">
            <w:pPr>
              <w:pStyle w:val="IATableLabel"/>
              <w:spacing w:before="0" w:after="0"/>
            </w:pPr>
            <w:r>
              <w:t>Total Net Present Social Value</w:t>
            </w:r>
          </w:p>
        </w:tc>
        <w:tc>
          <w:tcPr>
            <w:tcW w:w="2268" w:type="dxa"/>
            <w:tcBorders>
              <w:top w:val="single" w:color="auto" w:sz="4" w:space="0"/>
              <w:bottom w:val="nil"/>
              <w:right w:val="single" w:color="auto" w:sz="4" w:space="0"/>
            </w:tcBorders>
            <w:shd w:val="clear" w:color="auto" w:fill="E0E0E0"/>
            <w:vAlign w:val="center"/>
          </w:tcPr>
          <w:p w:rsidRPr="000E02BE" w:rsidR="00DE39C4" w:rsidP="006A0557" w:rsidRDefault="00DE39C4" w14:paraId="1C8EF39A" w14:textId="77777777">
            <w:pPr>
              <w:pStyle w:val="IATableLabel"/>
              <w:spacing w:before="0" w:after="0"/>
            </w:pPr>
            <w:r>
              <w:t>Business Net Present Value</w:t>
            </w:r>
          </w:p>
        </w:tc>
        <w:tc>
          <w:tcPr>
            <w:tcW w:w="2835" w:type="dxa"/>
            <w:gridSpan w:val="2"/>
            <w:tcBorders>
              <w:top w:val="single" w:color="auto" w:sz="4" w:space="0"/>
              <w:bottom w:val="nil"/>
              <w:right w:val="single" w:color="auto" w:sz="4" w:space="0"/>
            </w:tcBorders>
            <w:shd w:val="clear" w:color="auto" w:fill="E0E0E0"/>
            <w:vAlign w:val="center"/>
          </w:tcPr>
          <w:p w:rsidRPr="000E02BE" w:rsidR="00DE39C4" w:rsidP="006C6483" w:rsidRDefault="00DE39C4" w14:paraId="33241A69" w14:textId="178D4C49">
            <w:pPr>
              <w:pStyle w:val="IATableLabel"/>
              <w:spacing w:before="0" w:after="0"/>
            </w:pPr>
            <w:r>
              <w:t xml:space="preserve">Net cost to business per year </w:t>
            </w:r>
          </w:p>
        </w:tc>
        <w:tc>
          <w:tcPr>
            <w:tcW w:w="3256" w:type="dxa"/>
            <w:vMerge w:val="restart"/>
            <w:tcBorders>
              <w:top w:val="single" w:color="auto" w:sz="4" w:space="0"/>
              <w:left w:val="single" w:color="auto" w:sz="4" w:space="0"/>
            </w:tcBorders>
            <w:shd w:val="clear" w:color="auto" w:fill="E0E0E0"/>
            <w:vAlign w:val="center"/>
          </w:tcPr>
          <w:p w:rsidR="00DE39C4" w:rsidP="00000766" w:rsidRDefault="00DE39C4" w14:paraId="0B160238" w14:textId="77777777">
            <w:pPr>
              <w:pStyle w:val="IATableLabel"/>
              <w:spacing w:before="0" w:after="0"/>
            </w:pPr>
            <w:r>
              <w:t>Business Impact Target Status</w:t>
            </w:r>
          </w:p>
          <w:p w:rsidRPr="000E02BE" w:rsidR="00DE39C4" w:rsidP="008369A3" w:rsidRDefault="00230802" w14:paraId="665FCA2D" w14:textId="26B45464">
            <w:pPr>
              <w:pStyle w:val="IAIOPrefMQ"/>
            </w:pPr>
            <w:r>
              <w:t>N/A</w:t>
            </w:r>
          </w:p>
        </w:tc>
      </w:tr>
      <w:tr w:rsidRPr="0061761A" w:rsidR="00DE39C4" w:rsidTr="00950571" w14:paraId="557E95FF" w14:textId="77777777">
        <w:tblPrEx>
          <w:tblBorders>
            <w:insideV w:val="none" w:color="auto" w:sz="0" w:space="0"/>
          </w:tblBorders>
        </w:tblPrEx>
        <w:trPr>
          <w:gridAfter w:val="1"/>
          <w:wAfter w:w="9" w:type="dxa"/>
          <w:trHeight w:val="340" w:hRule="exact"/>
        </w:trPr>
        <w:tc>
          <w:tcPr>
            <w:tcW w:w="1985" w:type="dxa"/>
            <w:tcBorders>
              <w:top w:val="nil"/>
              <w:bottom w:val="single" w:color="auto" w:sz="4" w:space="0"/>
              <w:right w:val="single" w:color="auto" w:sz="4" w:space="0"/>
            </w:tcBorders>
            <w:shd w:val="clear" w:color="auto" w:fill="E0E0E0"/>
            <w:vAlign w:val="center"/>
          </w:tcPr>
          <w:p w:rsidRPr="000E02BE" w:rsidR="00DE39C4" w:rsidP="008369A3" w:rsidRDefault="005B5EFC" w14:paraId="2A9823E9" w14:textId="3E3B2983">
            <w:pPr>
              <w:pStyle w:val="IAIIOTNPV"/>
            </w:pPr>
            <w:r>
              <w:t>N/A</w:t>
            </w:r>
          </w:p>
        </w:tc>
        <w:tc>
          <w:tcPr>
            <w:tcW w:w="2268" w:type="dxa"/>
            <w:tcBorders>
              <w:top w:val="nil"/>
              <w:bottom w:val="single" w:color="auto" w:sz="4" w:space="0"/>
              <w:right w:val="single" w:color="auto" w:sz="4" w:space="0"/>
            </w:tcBorders>
            <w:shd w:val="clear" w:color="auto" w:fill="E0E0E0"/>
            <w:vAlign w:val="center"/>
          </w:tcPr>
          <w:p w:rsidRPr="000E02BE" w:rsidR="00DE39C4" w:rsidP="008369A3" w:rsidRDefault="00230802" w14:paraId="29A67005" w14:textId="488D6160">
            <w:pPr>
              <w:pStyle w:val="IAIOBNPV"/>
            </w:pPr>
            <w:r>
              <w:t>N/A</w:t>
            </w:r>
          </w:p>
        </w:tc>
        <w:tc>
          <w:tcPr>
            <w:tcW w:w="2835" w:type="dxa"/>
            <w:gridSpan w:val="2"/>
            <w:tcBorders>
              <w:top w:val="nil"/>
              <w:bottom w:val="single" w:color="auto" w:sz="4" w:space="0"/>
              <w:right w:val="single" w:color="auto" w:sz="4" w:space="0"/>
            </w:tcBorders>
            <w:shd w:val="clear" w:color="auto" w:fill="E0E0E0"/>
            <w:vAlign w:val="center"/>
          </w:tcPr>
          <w:p w:rsidRPr="000E02BE" w:rsidR="00DE39C4" w:rsidP="008369A3" w:rsidRDefault="00230802" w14:paraId="71244981" w14:textId="327047F9">
            <w:pPr>
              <w:pStyle w:val="IAIONCTBPY"/>
            </w:pPr>
            <w:r>
              <w:t>N/A</w:t>
            </w:r>
          </w:p>
        </w:tc>
        <w:tc>
          <w:tcPr>
            <w:tcW w:w="3256" w:type="dxa"/>
            <w:vMerge/>
            <w:tcBorders>
              <w:left w:val="single" w:color="auto" w:sz="4" w:space="0"/>
              <w:bottom w:val="single" w:color="auto" w:sz="4" w:space="0"/>
            </w:tcBorders>
            <w:shd w:val="clear" w:color="auto" w:fill="E0E0E0"/>
            <w:vAlign w:val="center"/>
          </w:tcPr>
          <w:p w:rsidRPr="000E02BE" w:rsidR="00DE39C4" w:rsidP="008369A3" w:rsidRDefault="00DE39C4" w14:paraId="1824C3F7" w14:textId="77777777">
            <w:pPr>
              <w:pStyle w:val="IAIOPrefMQ"/>
            </w:pPr>
          </w:p>
        </w:tc>
      </w:tr>
      <w:tr w:rsidRPr="00826F71" w:rsidR="007208D9" w:rsidTr="005B5EFC" w14:paraId="696EFFCC" w14:textId="77777777">
        <w:trPr>
          <w:gridAfter w:val="1"/>
          <w:wAfter w:w="9" w:type="dxa"/>
          <w:trHeight w:val="3251" w:hRule="exact"/>
        </w:trPr>
        <w:tc>
          <w:tcPr>
            <w:tcW w:w="10344" w:type="dxa"/>
            <w:gridSpan w:val="5"/>
            <w:tcBorders>
              <w:top w:val="single" w:color="auto" w:sz="4" w:space="0"/>
              <w:bottom w:val="single" w:color="auto" w:sz="4" w:space="0"/>
            </w:tcBorders>
          </w:tcPr>
          <w:p w:rsidRPr="00EA0B74" w:rsidR="007208D9" w:rsidP="008369A3" w:rsidRDefault="00686F5E" w14:paraId="744D4B79" w14:textId="24E47C3D">
            <w:pPr>
              <w:pStyle w:val="IAIOQ1"/>
            </w:pPr>
            <w:bookmarkStart w:name="Summary1" w:id="11"/>
            <w:r>
              <w:t>What is the problem under consideration? Why is government</w:t>
            </w:r>
            <w:r w:rsidR="00D64409">
              <w:t xml:space="preserve"> action or</w:t>
            </w:r>
            <w:r>
              <w:t xml:space="preserve"> intervention necessary?</w:t>
            </w:r>
            <w:bookmarkEnd w:id="11"/>
          </w:p>
          <w:p w:rsidRPr="002D7518" w:rsidR="00230802" w:rsidP="002D7518" w:rsidRDefault="00230802" w14:paraId="183DE2C6" w14:textId="1A3A7765">
            <w:pPr>
              <w:pStyle w:val="IAIOQ1"/>
              <w:rPr>
                <w:b w:val="0"/>
                <w:sz w:val="22"/>
                <w:szCs w:val="22"/>
              </w:rPr>
            </w:pPr>
            <w:r w:rsidRPr="002D7518">
              <w:rPr>
                <w:b w:val="0"/>
                <w:sz w:val="22"/>
                <w:szCs w:val="22"/>
              </w:rPr>
              <w:t xml:space="preserve">Court fees are necessary to fund the cost of running Her Majesty’s Courts and Tribunal Service (HMCTS) and accounted for £724m in income against £2bn in running costs for HMCTS in 2019/20. </w:t>
            </w:r>
            <w:r w:rsidRPr="002D7518" w:rsidR="000B0699">
              <w:rPr>
                <w:b w:val="0"/>
                <w:sz w:val="22"/>
                <w:szCs w:val="22"/>
              </w:rPr>
              <w:t xml:space="preserve">Because court fees are not updated </w:t>
            </w:r>
            <w:r w:rsidR="00174118">
              <w:rPr>
                <w:b w:val="0"/>
                <w:sz w:val="22"/>
                <w:szCs w:val="22"/>
              </w:rPr>
              <w:t>by</w:t>
            </w:r>
            <w:r w:rsidRPr="002D7518" w:rsidR="000B0699">
              <w:rPr>
                <w:b w:val="0"/>
                <w:sz w:val="22"/>
                <w:szCs w:val="22"/>
              </w:rPr>
              <w:t xml:space="preserve"> inflation on a routine basis, the</w:t>
            </w:r>
            <w:r w:rsidRPr="002D7518" w:rsidR="001118FE">
              <w:rPr>
                <w:b w:val="0"/>
                <w:sz w:val="22"/>
                <w:szCs w:val="22"/>
              </w:rPr>
              <w:t xml:space="preserve"> government has</w:t>
            </w:r>
            <w:r w:rsidRPr="002D7518" w:rsidR="005957F6">
              <w:rPr>
                <w:b w:val="0"/>
                <w:sz w:val="22"/>
                <w:szCs w:val="22"/>
              </w:rPr>
              <w:t xml:space="preserve"> proposed that </w:t>
            </w:r>
            <w:r w:rsidRPr="002D7518" w:rsidR="00D81BE6">
              <w:rPr>
                <w:b w:val="0"/>
                <w:sz w:val="22"/>
                <w:szCs w:val="22"/>
              </w:rPr>
              <w:t xml:space="preserve">a select number of fees are increased in line with historical </w:t>
            </w:r>
            <w:r w:rsidRPr="002D7518" w:rsidR="001118FE">
              <w:rPr>
                <w:b w:val="0"/>
                <w:sz w:val="22"/>
                <w:szCs w:val="22"/>
              </w:rPr>
              <w:t>C</w:t>
            </w:r>
            <w:r w:rsidRPr="002D7518" w:rsidR="005F1BE5">
              <w:rPr>
                <w:b w:val="0"/>
                <w:sz w:val="22"/>
                <w:szCs w:val="22"/>
              </w:rPr>
              <w:t>onsumer Price</w:t>
            </w:r>
            <w:r w:rsidRPr="002D7518" w:rsidR="001118FE">
              <w:rPr>
                <w:b w:val="0"/>
                <w:sz w:val="22"/>
                <w:szCs w:val="22"/>
              </w:rPr>
              <w:t xml:space="preserve"> </w:t>
            </w:r>
            <w:r w:rsidRPr="002D7518" w:rsidR="00965999">
              <w:rPr>
                <w:b w:val="0"/>
                <w:sz w:val="22"/>
                <w:szCs w:val="22"/>
              </w:rPr>
              <w:t>I</w:t>
            </w:r>
            <w:r w:rsidRPr="002D7518" w:rsidR="00D81BE6">
              <w:rPr>
                <w:b w:val="0"/>
                <w:sz w:val="22"/>
                <w:szCs w:val="22"/>
              </w:rPr>
              <w:t>n</w:t>
            </w:r>
            <w:r w:rsidR="00E0443E">
              <w:rPr>
                <w:b w:val="0"/>
                <w:sz w:val="22"/>
                <w:szCs w:val="22"/>
              </w:rPr>
              <w:t xml:space="preserve">dex </w:t>
            </w:r>
            <w:r w:rsidR="000B5B9C">
              <w:rPr>
                <w:b w:val="0"/>
                <w:sz w:val="22"/>
                <w:szCs w:val="22"/>
              </w:rPr>
              <w:t xml:space="preserve">(CPI) </w:t>
            </w:r>
            <w:r w:rsidR="00D81BE6">
              <w:rPr>
                <w:b w:val="0"/>
                <w:sz w:val="22"/>
                <w:szCs w:val="22"/>
              </w:rPr>
              <w:t>inflation</w:t>
            </w:r>
            <w:r w:rsidRPr="002D7518" w:rsidR="00D81BE6">
              <w:rPr>
                <w:b w:val="0"/>
                <w:sz w:val="22"/>
                <w:szCs w:val="22"/>
              </w:rPr>
              <w:t xml:space="preserve"> (</w:t>
            </w:r>
            <w:r w:rsidR="003A244B">
              <w:rPr>
                <w:b w:val="0"/>
                <w:sz w:val="22"/>
                <w:szCs w:val="22"/>
              </w:rPr>
              <w:t>backdated</w:t>
            </w:r>
            <w:r w:rsidR="00FC3F34">
              <w:rPr>
                <w:b w:val="0"/>
                <w:sz w:val="22"/>
                <w:szCs w:val="22"/>
              </w:rPr>
              <w:t xml:space="preserve"> to</w:t>
            </w:r>
            <w:r w:rsidRPr="002D7518" w:rsidR="00D81BE6">
              <w:rPr>
                <w:b w:val="0"/>
                <w:sz w:val="22"/>
                <w:szCs w:val="22"/>
              </w:rPr>
              <w:t xml:space="preserve"> August 2016)</w:t>
            </w:r>
            <w:r w:rsidRPr="002D7518" w:rsidR="0045541A">
              <w:rPr>
                <w:b w:val="0"/>
                <w:sz w:val="22"/>
                <w:szCs w:val="22"/>
              </w:rPr>
              <w:t xml:space="preserve">, to account for increased running costs of HMCTS. </w:t>
            </w:r>
            <w:r w:rsidRPr="002D7518">
              <w:rPr>
                <w:b w:val="0"/>
                <w:sz w:val="22"/>
                <w:szCs w:val="22"/>
              </w:rPr>
              <w:t xml:space="preserve">HMCTS provides fee remissions (full or partial fee waivers) under the ‘Help with Fees’ </w:t>
            </w:r>
            <w:r w:rsidRPr="002D7518" w:rsidR="00C110B0">
              <w:rPr>
                <w:b w:val="0"/>
                <w:sz w:val="22"/>
                <w:szCs w:val="22"/>
              </w:rPr>
              <w:t>(HwF</w:t>
            </w:r>
            <w:r w:rsidRPr="002D7518" w:rsidR="007B7470">
              <w:rPr>
                <w:b w:val="0"/>
                <w:sz w:val="22"/>
                <w:szCs w:val="22"/>
              </w:rPr>
              <w:t>)</w:t>
            </w:r>
            <w:r w:rsidRPr="002D7518">
              <w:rPr>
                <w:b w:val="0"/>
                <w:sz w:val="22"/>
                <w:szCs w:val="22"/>
              </w:rPr>
              <w:t xml:space="preserve"> scheme to those users of its fee charging services who </w:t>
            </w:r>
            <w:r w:rsidRPr="002D7518" w:rsidR="00156D65">
              <w:rPr>
                <w:b w:val="0"/>
                <w:sz w:val="22"/>
                <w:szCs w:val="22"/>
              </w:rPr>
              <w:t>have minimal savings and who</w:t>
            </w:r>
            <w:r w:rsidRPr="002D7518">
              <w:rPr>
                <w:b w:val="0"/>
                <w:sz w:val="22"/>
                <w:szCs w:val="22"/>
              </w:rPr>
              <w:t xml:space="preserve"> are </w:t>
            </w:r>
            <w:r w:rsidRPr="002D7518" w:rsidR="001E4D5C">
              <w:rPr>
                <w:b w:val="0"/>
                <w:sz w:val="22"/>
                <w:szCs w:val="22"/>
              </w:rPr>
              <w:t xml:space="preserve">on </w:t>
            </w:r>
            <w:r w:rsidRPr="002D7518" w:rsidR="00FE7FD0">
              <w:rPr>
                <w:b w:val="0"/>
                <w:sz w:val="22"/>
                <w:szCs w:val="22"/>
              </w:rPr>
              <w:t>a</w:t>
            </w:r>
            <w:r w:rsidRPr="002D7518" w:rsidR="001E4D5C">
              <w:rPr>
                <w:b w:val="0"/>
                <w:sz w:val="22"/>
                <w:szCs w:val="22"/>
              </w:rPr>
              <w:t xml:space="preserve"> low income or in receipt of certain benefits</w:t>
            </w:r>
            <w:r w:rsidRPr="002D7518">
              <w:rPr>
                <w:b w:val="0"/>
                <w:sz w:val="22"/>
                <w:szCs w:val="22"/>
              </w:rPr>
              <w:t xml:space="preserve">. </w:t>
            </w:r>
            <w:r w:rsidRPr="002D7518" w:rsidR="00C15A2B">
              <w:rPr>
                <w:b w:val="0"/>
                <w:sz w:val="22"/>
                <w:szCs w:val="22"/>
              </w:rPr>
              <w:t xml:space="preserve">As it is </w:t>
            </w:r>
            <w:r w:rsidRPr="002D7518" w:rsidR="001118FE">
              <w:rPr>
                <w:b w:val="0"/>
                <w:sz w:val="22"/>
                <w:szCs w:val="22"/>
              </w:rPr>
              <w:t>being</w:t>
            </w:r>
            <w:r w:rsidRPr="002D7518" w:rsidR="00C15A2B">
              <w:rPr>
                <w:b w:val="0"/>
                <w:sz w:val="22"/>
                <w:szCs w:val="22"/>
              </w:rPr>
              <w:t xml:space="preserve"> proposed to increase </w:t>
            </w:r>
            <w:r w:rsidRPr="002D7518" w:rsidR="0005148C">
              <w:rPr>
                <w:b w:val="0"/>
                <w:sz w:val="22"/>
                <w:szCs w:val="22"/>
              </w:rPr>
              <w:t>selected</w:t>
            </w:r>
            <w:r w:rsidRPr="002D7518" w:rsidR="00C15A2B">
              <w:rPr>
                <w:b w:val="0"/>
                <w:sz w:val="22"/>
                <w:szCs w:val="22"/>
              </w:rPr>
              <w:t xml:space="preserve"> fees by historical inflation</w:t>
            </w:r>
            <w:r w:rsidRPr="002D7518" w:rsidR="00B552A2">
              <w:rPr>
                <w:b w:val="0"/>
                <w:sz w:val="22"/>
                <w:szCs w:val="22"/>
              </w:rPr>
              <w:t xml:space="preserve">, </w:t>
            </w:r>
            <w:r w:rsidRPr="002D7518" w:rsidR="004D6282">
              <w:rPr>
                <w:b w:val="0"/>
                <w:sz w:val="22"/>
                <w:szCs w:val="22"/>
              </w:rPr>
              <w:t>HwF</w:t>
            </w:r>
            <w:r w:rsidRPr="002D7518" w:rsidR="00800E45">
              <w:rPr>
                <w:b w:val="0"/>
                <w:sz w:val="22"/>
                <w:szCs w:val="22"/>
              </w:rPr>
              <w:t xml:space="preserve"> income thresholds</w:t>
            </w:r>
            <w:r w:rsidRPr="002D7518" w:rsidR="00CA7123">
              <w:rPr>
                <w:b w:val="0"/>
                <w:sz w:val="22"/>
                <w:szCs w:val="22"/>
              </w:rPr>
              <w:t xml:space="preserve"> will also be increased by historical </w:t>
            </w:r>
            <w:r w:rsidRPr="002D7518" w:rsidR="001118FE">
              <w:rPr>
                <w:b w:val="0"/>
                <w:sz w:val="22"/>
                <w:szCs w:val="22"/>
              </w:rPr>
              <w:t>C</w:t>
            </w:r>
            <w:r w:rsidR="002D7518">
              <w:rPr>
                <w:b w:val="0"/>
                <w:sz w:val="22"/>
                <w:szCs w:val="22"/>
              </w:rPr>
              <w:t>PI</w:t>
            </w:r>
            <w:r w:rsidRPr="002D7518" w:rsidR="00777CDC">
              <w:rPr>
                <w:b w:val="0"/>
                <w:sz w:val="22"/>
                <w:szCs w:val="22"/>
              </w:rPr>
              <w:t xml:space="preserve"> with owner occupiers</w:t>
            </w:r>
            <w:r w:rsidR="005B5EFC">
              <w:rPr>
                <w:b w:val="0"/>
                <w:sz w:val="22"/>
                <w:szCs w:val="22"/>
              </w:rPr>
              <w:t>’</w:t>
            </w:r>
            <w:r w:rsidRPr="002D7518" w:rsidR="00777CDC">
              <w:rPr>
                <w:b w:val="0"/>
                <w:sz w:val="22"/>
                <w:szCs w:val="22"/>
              </w:rPr>
              <w:t xml:space="preserve"> housing costs (CPIH)</w:t>
            </w:r>
            <w:r w:rsidRPr="002D7518" w:rsidR="00CA7123">
              <w:rPr>
                <w:b w:val="0"/>
                <w:sz w:val="22"/>
                <w:szCs w:val="22"/>
              </w:rPr>
              <w:t xml:space="preserve"> </w:t>
            </w:r>
            <w:r w:rsidRPr="002D7518" w:rsidR="00502F29">
              <w:rPr>
                <w:b w:val="0"/>
                <w:sz w:val="22"/>
                <w:szCs w:val="22"/>
              </w:rPr>
              <w:t>backdated to 2016</w:t>
            </w:r>
            <w:r w:rsidRPr="002D7518" w:rsidR="00C15A2B">
              <w:rPr>
                <w:b w:val="0"/>
                <w:sz w:val="22"/>
                <w:szCs w:val="22"/>
              </w:rPr>
              <w:t>, to ensure that access to justice is maintained for those on the lowest incomes.</w:t>
            </w:r>
            <w:r w:rsidRPr="002D7518" w:rsidR="001118FE">
              <w:rPr>
                <w:b w:val="0"/>
                <w:sz w:val="22"/>
                <w:szCs w:val="22"/>
              </w:rPr>
              <w:t xml:space="preserve"> Government intervention is required because the Ministry of Justice sets the income thresholds in the HwF means test.</w:t>
            </w:r>
          </w:p>
          <w:p w:rsidRPr="00C120C0" w:rsidR="00E75380" w:rsidP="0007695E" w:rsidRDefault="00E75380" w14:paraId="54555A1D" w14:textId="4BE12B10">
            <w:pPr>
              <w:pStyle w:val="IATableLines"/>
            </w:pPr>
          </w:p>
        </w:tc>
      </w:tr>
    </w:tbl>
    <w:p w:rsidR="007208D9" w:rsidP="007208D9" w:rsidRDefault="007208D9" w14:paraId="62581936" w14:textId="77777777">
      <w:pPr>
        <w:pStyle w:val="IASpacer"/>
      </w:pPr>
    </w:p>
    <w:tbl>
      <w:tblPr>
        <w:tblW w:w="5067" w:type="pct"/>
        <w:tblInd w:w="-137"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10332"/>
      </w:tblGrid>
      <w:tr w:rsidRPr="00826F71" w:rsidR="007208D9" w:rsidTr="11642C45" w14:paraId="07B34A21" w14:textId="77777777">
        <w:trPr>
          <w:trHeight w:val="1882" w:hRule="exact"/>
        </w:trPr>
        <w:tc>
          <w:tcPr>
            <w:tcW w:w="10352" w:type="dxa"/>
            <w:tcBorders>
              <w:top w:val="single" w:color="auto" w:sz="4" w:space="0"/>
              <w:bottom w:val="single" w:color="auto" w:sz="4" w:space="0"/>
            </w:tcBorders>
          </w:tcPr>
          <w:p w:rsidRPr="00EA0B74" w:rsidR="00D64409" w:rsidP="00D64409" w:rsidRDefault="00D64409" w14:paraId="197141E5" w14:textId="77777777">
            <w:pPr>
              <w:pStyle w:val="IAIOQ2"/>
            </w:pPr>
            <w:bookmarkStart w:name="Summary2" w:id="12"/>
            <w:r>
              <w:t>What are the policy objectives of the action or intervention and the intended effects?</w:t>
            </w:r>
            <w:bookmarkEnd w:id="12"/>
          </w:p>
          <w:p w:rsidRPr="002D7518" w:rsidR="00230802" w:rsidP="6FB1C663" w:rsidRDefault="00230802" w14:paraId="322D2DDE" w14:textId="45F3A058">
            <w:pPr>
              <w:pStyle w:val="IAIOQ2"/>
              <w:rPr>
                <w:b w:val="0"/>
                <w:sz w:val="22"/>
                <w:szCs w:val="22"/>
              </w:rPr>
            </w:pPr>
            <w:r w:rsidRPr="11642C45">
              <w:rPr>
                <w:b w:val="0"/>
                <w:sz w:val="22"/>
                <w:szCs w:val="22"/>
              </w:rPr>
              <w:t xml:space="preserve">The policy objective is to ensure that access to justice is </w:t>
            </w:r>
            <w:r w:rsidRPr="11642C45" w:rsidR="2CCA09A5">
              <w:rPr>
                <w:b w:val="0"/>
                <w:sz w:val="22"/>
                <w:szCs w:val="22"/>
              </w:rPr>
              <w:t xml:space="preserve">maintained for </w:t>
            </w:r>
            <w:r w:rsidRPr="11642C45" w:rsidR="3FE4DAA3">
              <w:rPr>
                <w:rStyle w:val="normaltextrun"/>
                <w:rFonts w:cs="Arial"/>
                <w:b w:val="0"/>
                <w:sz w:val="22"/>
                <w:szCs w:val="22"/>
              </w:rPr>
              <w:t>individuals who have limited savings and who are in receipt of certain benefits or who are</w:t>
            </w:r>
            <w:r w:rsidRPr="11642C45" w:rsidR="2319E716">
              <w:rPr>
                <w:rStyle w:val="normaltextrun"/>
                <w:rFonts w:cs="Arial"/>
                <w:b w:val="0"/>
                <w:sz w:val="22"/>
                <w:szCs w:val="22"/>
              </w:rPr>
              <w:t xml:space="preserve"> on </w:t>
            </w:r>
            <w:r w:rsidRPr="11642C45" w:rsidR="3FE4DAA3">
              <w:rPr>
                <w:rStyle w:val="normaltextrun"/>
                <w:rFonts w:cs="Arial"/>
                <w:b w:val="0"/>
                <w:sz w:val="22"/>
                <w:szCs w:val="22"/>
              </w:rPr>
              <w:t>a low income</w:t>
            </w:r>
            <w:r w:rsidRPr="11642C45" w:rsidR="68BEAF90">
              <w:rPr>
                <w:rStyle w:val="normaltextrun"/>
                <w:rFonts w:cs="Arial"/>
                <w:b w:val="0"/>
                <w:sz w:val="22"/>
                <w:szCs w:val="22"/>
              </w:rPr>
              <w:t>,</w:t>
            </w:r>
            <w:r w:rsidRPr="11642C45" w:rsidR="155CFA1C">
              <w:rPr>
                <w:b w:val="0"/>
                <w:sz w:val="22"/>
                <w:szCs w:val="22"/>
              </w:rPr>
              <w:t xml:space="preserve"> </w:t>
            </w:r>
            <w:r w:rsidRPr="11642C45" w:rsidR="59AD4A1E">
              <w:rPr>
                <w:b w:val="0"/>
                <w:sz w:val="22"/>
                <w:szCs w:val="22"/>
              </w:rPr>
              <w:t xml:space="preserve">alongside the proposed increase to </w:t>
            </w:r>
            <w:r w:rsidRPr="11642C45" w:rsidR="257FD124">
              <w:rPr>
                <w:b w:val="0"/>
                <w:sz w:val="22"/>
                <w:szCs w:val="22"/>
              </w:rPr>
              <w:t xml:space="preserve">selected </w:t>
            </w:r>
            <w:r w:rsidRPr="11642C45" w:rsidR="59AD4A1E">
              <w:rPr>
                <w:b w:val="0"/>
                <w:sz w:val="22"/>
                <w:szCs w:val="22"/>
              </w:rPr>
              <w:t>court fees.</w:t>
            </w:r>
            <w:r w:rsidRPr="11642C45">
              <w:rPr>
                <w:b w:val="0"/>
                <w:sz w:val="22"/>
                <w:szCs w:val="22"/>
              </w:rPr>
              <w:t xml:space="preserve"> The intended effect is to raise the income threshold for determining eligibility for H</w:t>
            </w:r>
            <w:r w:rsidRPr="11642C45" w:rsidR="562CB765">
              <w:rPr>
                <w:b w:val="0"/>
                <w:sz w:val="22"/>
                <w:szCs w:val="22"/>
              </w:rPr>
              <w:t>wF</w:t>
            </w:r>
            <w:r w:rsidRPr="11642C45" w:rsidR="58C5ED89">
              <w:rPr>
                <w:b w:val="0"/>
                <w:sz w:val="22"/>
                <w:szCs w:val="22"/>
              </w:rPr>
              <w:t xml:space="preserve"> </w:t>
            </w:r>
            <w:r w:rsidRPr="11642C45">
              <w:rPr>
                <w:b w:val="0"/>
                <w:sz w:val="22"/>
                <w:szCs w:val="22"/>
              </w:rPr>
              <w:t xml:space="preserve">so that a greater number of </w:t>
            </w:r>
            <w:r w:rsidRPr="11642C45" w:rsidR="76A4AE0C">
              <w:rPr>
                <w:b w:val="0"/>
                <w:sz w:val="22"/>
                <w:szCs w:val="22"/>
              </w:rPr>
              <w:t>eligible court users</w:t>
            </w:r>
            <w:r w:rsidRPr="11642C45">
              <w:rPr>
                <w:b w:val="0"/>
                <w:sz w:val="22"/>
                <w:szCs w:val="22"/>
              </w:rPr>
              <w:t xml:space="preserve"> receive a full or partial remission </w:t>
            </w:r>
            <w:r w:rsidRPr="11642C45" w:rsidR="41CADDD8">
              <w:rPr>
                <w:b w:val="0"/>
                <w:sz w:val="22"/>
                <w:szCs w:val="22"/>
              </w:rPr>
              <w:t>of</w:t>
            </w:r>
            <w:r w:rsidRPr="11642C45">
              <w:rPr>
                <w:b w:val="0"/>
                <w:sz w:val="22"/>
                <w:szCs w:val="22"/>
              </w:rPr>
              <w:t xml:space="preserve"> their court fee</w:t>
            </w:r>
            <w:r w:rsidRPr="11642C45" w:rsidR="76A4AE0C">
              <w:rPr>
                <w:b w:val="0"/>
                <w:sz w:val="22"/>
                <w:szCs w:val="22"/>
              </w:rPr>
              <w:t xml:space="preserve"> than would otherwise have been the case had the thresholds not bee</w:t>
            </w:r>
            <w:r w:rsidRPr="11642C45" w:rsidR="3EFDEDCD">
              <w:rPr>
                <w:b w:val="0"/>
                <w:sz w:val="22"/>
                <w:szCs w:val="22"/>
              </w:rPr>
              <w:t>n</w:t>
            </w:r>
            <w:r w:rsidRPr="11642C45" w:rsidR="76A4AE0C">
              <w:rPr>
                <w:b w:val="0"/>
                <w:sz w:val="22"/>
                <w:szCs w:val="22"/>
              </w:rPr>
              <w:t xml:space="preserve"> updated</w:t>
            </w:r>
            <w:r w:rsidRPr="11642C45" w:rsidR="3BC4B209">
              <w:rPr>
                <w:b w:val="0"/>
                <w:sz w:val="22"/>
                <w:szCs w:val="22"/>
              </w:rPr>
              <w:t>.</w:t>
            </w:r>
            <w:r w:rsidRPr="11642C45" w:rsidR="4C73DC88">
              <w:rPr>
                <w:b w:val="0"/>
                <w:sz w:val="22"/>
                <w:szCs w:val="22"/>
              </w:rPr>
              <w:t xml:space="preserve"> We will also be aligning the UK</w:t>
            </w:r>
            <w:r w:rsidR="003A244B">
              <w:rPr>
                <w:b w:val="0"/>
                <w:sz w:val="22"/>
                <w:szCs w:val="22"/>
              </w:rPr>
              <w:t xml:space="preserve"> </w:t>
            </w:r>
            <w:r w:rsidRPr="11642C45" w:rsidR="4C73DC88">
              <w:rPr>
                <w:b w:val="0"/>
                <w:sz w:val="22"/>
                <w:szCs w:val="22"/>
              </w:rPr>
              <w:t>S</w:t>
            </w:r>
            <w:r w:rsidR="003A244B">
              <w:rPr>
                <w:b w:val="0"/>
                <w:sz w:val="22"/>
                <w:szCs w:val="22"/>
              </w:rPr>
              <w:t xml:space="preserve">upreme </w:t>
            </w:r>
            <w:r w:rsidRPr="11642C45" w:rsidR="4C73DC88">
              <w:rPr>
                <w:b w:val="0"/>
                <w:sz w:val="22"/>
                <w:szCs w:val="22"/>
              </w:rPr>
              <w:t>C</w:t>
            </w:r>
            <w:r w:rsidR="003A244B">
              <w:rPr>
                <w:b w:val="0"/>
                <w:sz w:val="22"/>
                <w:szCs w:val="22"/>
              </w:rPr>
              <w:t>ourt</w:t>
            </w:r>
            <w:r w:rsidR="00FC3F34">
              <w:rPr>
                <w:b w:val="0"/>
                <w:sz w:val="22"/>
                <w:szCs w:val="22"/>
              </w:rPr>
              <w:t xml:space="preserve"> (</w:t>
            </w:r>
            <w:r w:rsidRPr="11642C45" w:rsidR="4C73DC88">
              <w:rPr>
                <w:b w:val="0"/>
                <w:sz w:val="22"/>
                <w:szCs w:val="22"/>
              </w:rPr>
              <w:t>UKSC</w:t>
            </w:r>
            <w:r w:rsidR="00FC3F34">
              <w:rPr>
                <w:b w:val="0"/>
                <w:sz w:val="22"/>
                <w:szCs w:val="22"/>
              </w:rPr>
              <w:t>)</w:t>
            </w:r>
            <w:r w:rsidRPr="11642C45" w:rsidR="4C73DC88">
              <w:rPr>
                <w:b w:val="0"/>
                <w:sz w:val="22"/>
                <w:szCs w:val="22"/>
              </w:rPr>
              <w:t xml:space="preserve"> remission scheme income thresholds to ensure consistency </w:t>
            </w:r>
            <w:r w:rsidRPr="11642C45" w:rsidR="50A3C5B1">
              <w:rPr>
                <w:b w:val="0"/>
                <w:sz w:val="22"/>
                <w:szCs w:val="22"/>
              </w:rPr>
              <w:t>with HwF</w:t>
            </w:r>
            <w:r w:rsidRPr="11642C45" w:rsidR="4C73DC88">
              <w:rPr>
                <w:b w:val="0"/>
                <w:sz w:val="22"/>
                <w:szCs w:val="22"/>
              </w:rPr>
              <w:t xml:space="preserve">. </w:t>
            </w:r>
          </w:p>
          <w:p w:rsidRPr="00C120C0" w:rsidR="00E75380" w:rsidP="00D64409" w:rsidRDefault="00E75380" w14:paraId="79FD5BAF" w14:textId="3DD51255">
            <w:pPr>
              <w:pStyle w:val="IATableLines"/>
            </w:pPr>
          </w:p>
        </w:tc>
      </w:tr>
    </w:tbl>
    <w:p w:rsidRPr="00826F71" w:rsidR="007208D9" w:rsidP="007208D9" w:rsidRDefault="007208D9" w14:paraId="042F89B7" w14:textId="77777777">
      <w:pPr>
        <w:pStyle w:val="IASpacer"/>
      </w:pPr>
    </w:p>
    <w:tbl>
      <w:tblPr>
        <w:tblW w:w="5067" w:type="pct"/>
        <w:tblInd w:w="-137"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10332"/>
      </w:tblGrid>
      <w:tr w:rsidRPr="00826F71" w:rsidR="00686F5E" w:rsidTr="00DD5DA5" w14:paraId="2AF63F02" w14:textId="77777777">
        <w:trPr>
          <w:trHeight w:val="2448" w:hRule="exact"/>
        </w:trPr>
        <w:tc>
          <w:tcPr>
            <w:tcW w:w="10352" w:type="dxa"/>
            <w:tcBorders>
              <w:top w:val="single" w:color="auto" w:sz="4" w:space="0"/>
              <w:bottom w:val="single" w:color="auto" w:sz="4" w:space="0"/>
            </w:tcBorders>
          </w:tcPr>
          <w:p w:rsidR="00D64409" w:rsidP="00D64409" w:rsidRDefault="00D64409" w14:paraId="66483402" w14:textId="77777777">
            <w:pPr>
              <w:pStyle w:val="IAIOQ3"/>
            </w:pPr>
            <w:bookmarkStart w:name="IAIOQ3" w:id="13"/>
            <w:bookmarkStart w:name="Summary3" w:id="14"/>
            <w:r>
              <w:t>What policy options have been considered, including any alternatives to regulation? Please justify preferred option (further details in Evidence Base)</w:t>
            </w:r>
            <w:bookmarkStart w:name="IAIOA3" w:id="15"/>
            <w:bookmarkEnd w:id="13"/>
          </w:p>
          <w:bookmarkEnd w:id="15"/>
          <w:p w:rsidRPr="007C3381" w:rsidR="00230802" w:rsidP="00230802" w:rsidRDefault="00230802" w14:paraId="5136F81F" w14:textId="77777777">
            <w:pPr>
              <w:pStyle w:val="IAIOQ3"/>
              <w:rPr>
                <w:b w:val="0"/>
                <w:color w:val="auto"/>
                <w:sz w:val="22"/>
              </w:rPr>
            </w:pPr>
            <w:r w:rsidRPr="00163F4B">
              <w:rPr>
                <w:b w:val="0"/>
                <w:color w:val="auto"/>
                <w:sz w:val="22"/>
              </w:rPr>
              <w:t xml:space="preserve">The following options are considered in this Impact Assessment (IA): </w:t>
            </w:r>
          </w:p>
          <w:p w:rsidRPr="007C3381" w:rsidR="00230802" w:rsidP="00230802" w:rsidRDefault="00230802" w14:paraId="44D9AEDA" w14:textId="5883379A">
            <w:pPr>
              <w:pStyle w:val="IAIOQ3"/>
              <w:numPr>
                <w:ilvl w:val="0"/>
                <w:numId w:val="28"/>
              </w:numPr>
              <w:rPr>
                <w:b w:val="0"/>
                <w:color w:val="auto"/>
                <w:sz w:val="22"/>
              </w:rPr>
            </w:pPr>
            <w:r w:rsidRPr="007C3381">
              <w:rPr>
                <w:b w:val="0"/>
                <w:color w:val="auto"/>
                <w:sz w:val="22"/>
              </w:rPr>
              <w:t xml:space="preserve">Option 0: Do Nothing. Maintain the current </w:t>
            </w:r>
            <w:r w:rsidRPr="005B5EFC" w:rsidR="000621ED">
              <w:rPr>
                <w:b w:val="0"/>
                <w:color w:val="auto"/>
                <w:sz w:val="22"/>
              </w:rPr>
              <w:t>HwF</w:t>
            </w:r>
            <w:r w:rsidRPr="00163F4B">
              <w:rPr>
                <w:b w:val="0"/>
                <w:color w:val="auto"/>
                <w:sz w:val="22"/>
              </w:rPr>
              <w:t xml:space="preserve"> scheme</w:t>
            </w:r>
          </w:p>
          <w:p w:rsidRPr="007C3381" w:rsidR="00230802" w:rsidP="00230802" w:rsidRDefault="00230802" w14:paraId="6E15C91E" w14:textId="455933A1">
            <w:pPr>
              <w:pStyle w:val="IAIOQ3"/>
              <w:numPr>
                <w:ilvl w:val="0"/>
                <w:numId w:val="28"/>
              </w:numPr>
              <w:rPr>
                <w:b w:val="0"/>
                <w:color w:val="auto"/>
                <w:sz w:val="22"/>
              </w:rPr>
            </w:pPr>
            <w:r w:rsidRPr="007C3381">
              <w:rPr>
                <w:b w:val="0"/>
                <w:color w:val="auto"/>
                <w:sz w:val="22"/>
              </w:rPr>
              <w:t xml:space="preserve">Option 1: </w:t>
            </w:r>
            <w:r w:rsidRPr="005B5EFC" w:rsidR="009C768B">
              <w:rPr>
                <w:b w:val="0"/>
                <w:color w:val="auto"/>
                <w:sz w:val="22"/>
              </w:rPr>
              <w:t>Uplift</w:t>
            </w:r>
            <w:r w:rsidRPr="00163F4B">
              <w:rPr>
                <w:b w:val="0"/>
                <w:color w:val="auto"/>
                <w:sz w:val="22"/>
              </w:rPr>
              <w:t xml:space="preserve"> the income threshold, couple and child premiums used in the </w:t>
            </w:r>
            <w:r w:rsidRPr="005B5EFC" w:rsidR="000621ED">
              <w:rPr>
                <w:b w:val="0"/>
                <w:color w:val="auto"/>
                <w:sz w:val="22"/>
              </w:rPr>
              <w:t>HwF</w:t>
            </w:r>
            <w:r w:rsidRPr="00163F4B">
              <w:rPr>
                <w:b w:val="0"/>
                <w:color w:val="auto"/>
                <w:sz w:val="22"/>
              </w:rPr>
              <w:t xml:space="preserve"> means test</w:t>
            </w:r>
            <w:r w:rsidRPr="007C3381">
              <w:rPr>
                <w:b w:val="0"/>
                <w:color w:val="auto"/>
                <w:sz w:val="22"/>
              </w:rPr>
              <w:t xml:space="preserve"> in line with inflation, </w:t>
            </w:r>
            <w:r w:rsidRPr="005B5EFC" w:rsidR="00FE31E9">
              <w:rPr>
                <w:b w:val="0"/>
                <w:color w:val="auto"/>
                <w:sz w:val="22"/>
              </w:rPr>
              <w:t>backdated to</w:t>
            </w:r>
            <w:r w:rsidRPr="00163F4B">
              <w:rPr>
                <w:b w:val="0"/>
                <w:color w:val="auto"/>
                <w:sz w:val="22"/>
              </w:rPr>
              <w:t xml:space="preserve"> August 2016.</w:t>
            </w:r>
          </w:p>
          <w:p w:rsidRPr="00C120C0" w:rsidR="00D50283" w:rsidP="00230802" w:rsidRDefault="00230802" w14:paraId="07322D08" w14:textId="052DB255">
            <w:pPr>
              <w:pStyle w:val="IATableLines"/>
            </w:pPr>
            <w:r w:rsidRPr="007C3381">
              <w:rPr>
                <w:b/>
              </w:rPr>
              <w:t xml:space="preserve">The Government’s preferred </w:t>
            </w:r>
            <w:r w:rsidRPr="005B5EFC">
              <w:rPr>
                <w:b/>
              </w:rPr>
              <w:t xml:space="preserve">option is to implement Option 1. This will expand eligibility to </w:t>
            </w:r>
            <w:r w:rsidRPr="005B5EFC" w:rsidR="000621ED">
              <w:rPr>
                <w:b/>
              </w:rPr>
              <w:t>HwF</w:t>
            </w:r>
            <w:r w:rsidRPr="00163F4B">
              <w:rPr>
                <w:b/>
              </w:rPr>
              <w:t>, making court fees more affordable for those on a low income.</w:t>
            </w:r>
          </w:p>
        </w:tc>
      </w:tr>
    </w:tbl>
    <w:p w:rsidR="00686F5E" w:rsidRDefault="00686F5E" w14:paraId="43DC04EC" w14:textId="77777777">
      <w:pPr>
        <w:pStyle w:val="IASpacer2"/>
      </w:pPr>
    </w:p>
    <w:tbl>
      <w:tblPr>
        <w:tblW w:w="5067"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10332"/>
      </w:tblGrid>
      <w:tr w:rsidR="00720FFE" w:rsidTr="00950571" w14:paraId="53C97780" w14:textId="77777777">
        <w:tc>
          <w:tcPr>
            <w:tcW w:w="5000" w:type="pct"/>
          </w:tcPr>
          <w:tbl>
            <w:tblPr>
              <w:tblpPr w:leftFromText="180" w:rightFromText="180" w:vertAnchor="text" w:horzAnchor="margin" w:tblpY="314"/>
              <w:tblW w:w="10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6251"/>
              <w:gridCol w:w="1098"/>
              <w:gridCol w:w="871"/>
              <w:gridCol w:w="347"/>
              <w:gridCol w:w="633"/>
              <w:gridCol w:w="1178"/>
            </w:tblGrid>
            <w:tr w:rsidRPr="00D50283" w:rsidR="00C24ED8" w:rsidTr="00C24ED8" w14:paraId="7C2F95A3" w14:textId="77777777">
              <w:trPr>
                <w:trHeight w:val="340" w:hRule="exact"/>
              </w:trPr>
              <w:tc>
                <w:tcPr>
                  <w:tcW w:w="7349" w:type="dxa"/>
                  <w:gridSpan w:val="2"/>
                  <w:shd w:val="clear" w:color="auto" w:fill="E0E0E0"/>
                  <w:vAlign w:val="center"/>
                </w:tcPr>
                <w:p w:rsidRPr="00D50283" w:rsidR="00C24ED8" w:rsidP="00C24ED8" w:rsidRDefault="00C24ED8" w14:paraId="5A4A88EA" w14:textId="77777777">
                  <w:pPr>
                    <w:pStyle w:val="IATableText"/>
                    <w:spacing w:before="0" w:after="0"/>
                    <w:rPr>
                      <w:iCs/>
                      <w:sz w:val="20"/>
                    </w:rPr>
                  </w:pPr>
                  <w:r>
                    <w:rPr>
                      <w:iCs/>
                      <w:sz w:val="20"/>
                    </w:rPr>
                    <w:t xml:space="preserve">Is this measure likely to impact on international trade and investment? </w:t>
                  </w:r>
                </w:p>
              </w:tc>
              <w:tc>
                <w:tcPr>
                  <w:tcW w:w="3029" w:type="dxa"/>
                  <w:gridSpan w:val="4"/>
                  <w:shd w:val="clear" w:color="auto" w:fill="E0E0E0"/>
                  <w:vAlign w:val="center"/>
                </w:tcPr>
                <w:p w:rsidR="00C24ED8" w:rsidP="00C24ED8" w:rsidRDefault="00230802" w14:paraId="78735923" w14:textId="71A1C671">
                  <w:pPr>
                    <w:pStyle w:val="IAIOCheckEU"/>
                  </w:pPr>
                  <w:r>
                    <w:t>No</w:t>
                  </w:r>
                </w:p>
              </w:tc>
            </w:tr>
            <w:tr w:rsidRPr="00D50283" w:rsidR="00C24ED8" w:rsidTr="00C24ED8" w14:paraId="38090AEE" w14:textId="77777777">
              <w:trPr>
                <w:trHeight w:val="460"/>
              </w:trPr>
              <w:tc>
                <w:tcPr>
                  <w:tcW w:w="6251" w:type="dxa"/>
                  <w:shd w:val="clear" w:color="auto" w:fill="E0E0E0"/>
                  <w:vAlign w:val="center"/>
                </w:tcPr>
                <w:p w:rsidRPr="00720FFE" w:rsidR="00C24ED8" w:rsidP="00C24ED8" w:rsidRDefault="00C24ED8" w14:paraId="488C8D38" w14:textId="77777777">
                  <w:pPr>
                    <w:pStyle w:val="IATableLines"/>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1098" w:type="dxa"/>
                  <w:shd w:val="clear" w:color="auto" w:fill="E0E0E0"/>
                  <w:vAlign w:val="center"/>
                </w:tcPr>
                <w:p w:rsidR="00C24ED8" w:rsidP="00C24ED8" w:rsidRDefault="00C24ED8" w14:paraId="36931847" w14:textId="77777777">
                  <w:pPr>
                    <w:pStyle w:val="IATableLines"/>
                    <w:rPr>
                      <w:rStyle w:val="IAIOCheckMicroChar"/>
                      <w:b w:val="0"/>
                    </w:rPr>
                  </w:pPr>
                  <w:r w:rsidRPr="00720FFE">
                    <w:rPr>
                      <w:b/>
                      <w:color w:val="000000"/>
                      <w:sz w:val="20"/>
                    </w:rPr>
                    <w:t>Micro</w:t>
                  </w:r>
                </w:p>
                <w:p w:rsidRPr="00720FFE" w:rsidR="00230802" w:rsidP="00C24ED8" w:rsidRDefault="00230802" w14:paraId="531272B0" w14:textId="605C4C68">
                  <w:pPr>
                    <w:pStyle w:val="IATableLines"/>
                    <w:rPr>
                      <w:b/>
                      <w:color w:val="000000"/>
                      <w:sz w:val="20"/>
                    </w:rPr>
                  </w:pPr>
                  <w:r>
                    <w:rPr>
                      <w:sz w:val="20"/>
                    </w:rPr>
                    <w:t>No</w:t>
                  </w:r>
                </w:p>
              </w:tc>
              <w:tc>
                <w:tcPr>
                  <w:tcW w:w="871" w:type="dxa"/>
                  <w:shd w:val="clear" w:color="auto" w:fill="E0E0E0"/>
                  <w:vAlign w:val="center"/>
                </w:tcPr>
                <w:p w:rsidRPr="00C326DD" w:rsidR="00C24ED8" w:rsidP="00C24ED8" w:rsidRDefault="00C24ED8" w14:paraId="364ADC6B" w14:textId="77777777">
                  <w:pPr>
                    <w:pStyle w:val="IATableLines"/>
                    <w:rPr>
                      <w:rStyle w:val="IAIOCheckSmallChar"/>
                      <w:b w:val="0"/>
                      <w:sz w:val="20"/>
                    </w:rPr>
                  </w:pPr>
                  <w:r w:rsidRPr="00C326DD">
                    <w:rPr>
                      <w:b/>
                      <w:color w:val="000000"/>
                      <w:sz w:val="20"/>
                    </w:rPr>
                    <w:t>Small</w:t>
                  </w:r>
                </w:p>
                <w:p w:rsidRPr="00C326DD" w:rsidR="00230802" w:rsidP="00C24ED8" w:rsidRDefault="00230802" w14:paraId="05C69F82" w14:textId="650877CF">
                  <w:pPr>
                    <w:pStyle w:val="IATableLines"/>
                    <w:rPr>
                      <w:b/>
                      <w:color w:val="000000"/>
                      <w:sz w:val="20"/>
                    </w:rPr>
                  </w:pPr>
                  <w:r w:rsidRPr="00C326DD">
                    <w:rPr>
                      <w:rStyle w:val="IAIOCheckSmallChar"/>
                      <w:b w:val="0"/>
                      <w:sz w:val="20"/>
                    </w:rPr>
                    <w:t>No</w:t>
                  </w:r>
                </w:p>
              </w:tc>
              <w:tc>
                <w:tcPr>
                  <w:tcW w:w="980" w:type="dxa"/>
                  <w:gridSpan w:val="2"/>
                  <w:shd w:val="clear" w:color="auto" w:fill="E0E0E0"/>
                  <w:vAlign w:val="center"/>
                </w:tcPr>
                <w:p w:rsidRPr="00C326DD" w:rsidR="00C24ED8" w:rsidP="00C24ED8" w:rsidRDefault="00C24ED8" w14:paraId="548960B9" w14:textId="77777777">
                  <w:pPr>
                    <w:pStyle w:val="IATableLines"/>
                    <w:rPr>
                      <w:rStyle w:val="IAIOCheckMediumChar"/>
                      <w:b w:val="0"/>
                      <w:sz w:val="20"/>
                    </w:rPr>
                  </w:pPr>
                  <w:r w:rsidRPr="00C326DD">
                    <w:rPr>
                      <w:b/>
                      <w:color w:val="000000"/>
                      <w:sz w:val="20"/>
                    </w:rPr>
                    <w:t>Medium</w:t>
                  </w:r>
                </w:p>
                <w:p w:rsidRPr="00C326DD" w:rsidR="00230802" w:rsidP="00C24ED8" w:rsidRDefault="00230802" w14:paraId="2FE20256" w14:textId="36F0B35F">
                  <w:pPr>
                    <w:pStyle w:val="IATableLines"/>
                    <w:rPr>
                      <w:b/>
                      <w:color w:val="000000"/>
                      <w:sz w:val="20"/>
                    </w:rPr>
                  </w:pPr>
                  <w:r w:rsidRPr="00C326DD">
                    <w:rPr>
                      <w:rStyle w:val="IAIOCheckMediumChar"/>
                      <w:b w:val="0"/>
                      <w:sz w:val="20"/>
                    </w:rPr>
                    <w:t>No</w:t>
                  </w:r>
                </w:p>
              </w:tc>
              <w:tc>
                <w:tcPr>
                  <w:tcW w:w="1178" w:type="dxa"/>
                  <w:shd w:val="clear" w:color="auto" w:fill="E0E0E0"/>
                  <w:vAlign w:val="center"/>
                </w:tcPr>
                <w:p w:rsidRPr="00C326DD" w:rsidR="00C24ED8" w:rsidP="00C24ED8" w:rsidRDefault="00C24ED8" w14:paraId="2C3305DB" w14:textId="77777777">
                  <w:pPr>
                    <w:pStyle w:val="IATableLines"/>
                    <w:rPr>
                      <w:rStyle w:val="IAIOCheckLargeChar"/>
                      <w:b w:val="0"/>
                      <w:sz w:val="20"/>
                    </w:rPr>
                  </w:pPr>
                  <w:r w:rsidRPr="00C326DD">
                    <w:rPr>
                      <w:b/>
                      <w:color w:val="000000"/>
                      <w:sz w:val="20"/>
                    </w:rPr>
                    <w:t>Large</w:t>
                  </w:r>
                </w:p>
                <w:p w:rsidRPr="00C326DD" w:rsidR="00230802" w:rsidP="00C24ED8" w:rsidRDefault="00230802" w14:paraId="0C807B5B" w14:textId="36C617F4">
                  <w:pPr>
                    <w:pStyle w:val="IATableLines"/>
                    <w:rPr>
                      <w:b/>
                      <w:color w:val="000000"/>
                      <w:sz w:val="20"/>
                    </w:rPr>
                  </w:pPr>
                  <w:r w:rsidRPr="00C326DD">
                    <w:rPr>
                      <w:rStyle w:val="IAIOCheckLargeChar"/>
                      <w:b w:val="0"/>
                      <w:sz w:val="20"/>
                    </w:rPr>
                    <w:t>No</w:t>
                  </w:r>
                </w:p>
              </w:tc>
            </w:tr>
            <w:tr w:rsidR="00C24ED8" w:rsidTr="00C24ED8" w14:paraId="2BC8851D" w14:textId="77777777">
              <w:trPr>
                <w:trHeight w:val="567" w:hRule="exact"/>
              </w:trPr>
              <w:tc>
                <w:tcPr>
                  <w:tcW w:w="7349" w:type="dxa"/>
                  <w:gridSpan w:val="2"/>
                  <w:shd w:val="clear" w:color="auto" w:fill="E0E0E0"/>
                  <w:vAlign w:val="center"/>
                </w:tcPr>
                <w:p w:rsidR="00C24ED8" w:rsidP="00C24ED8" w:rsidRDefault="00C24ED8" w14:paraId="4DF52121" w14:textId="77777777">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r>
                  <w:r>
                    <w:rPr>
                      <w:rFonts w:cs="Arial"/>
                      <w:sz w:val="20"/>
                    </w:rPr>
                    <w:t>(Million tonnes CO</w:t>
                  </w:r>
                  <w:r w:rsidRPr="00FC07D5">
                    <w:rPr>
                      <w:rFonts w:cs="Arial"/>
                      <w:sz w:val="20"/>
                      <w:vertAlign w:val="subscript"/>
                    </w:rPr>
                    <w:t>2</w:t>
                  </w:r>
                  <w:r>
                    <w:rPr>
                      <w:rFonts w:cs="Arial"/>
                      <w:sz w:val="20"/>
                    </w:rPr>
                    <w:t xml:space="preserve"> equivalent)</w:t>
                  </w:r>
                  <w:r>
                    <w:rPr>
                      <w:spacing w:val="0"/>
                      <w:sz w:val="18"/>
                    </w:rPr>
                    <w:t xml:space="preserve">  </w:t>
                  </w:r>
                </w:p>
              </w:tc>
              <w:tc>
                <w:tcPr>
                  <w:tcW w:w="1218" w:type="dxa"/>
                  <w:gridSpan w:val="2"/>
                  <w:shd w:val="clear" w:color="auto" w:fill="E0E0E0"/>
                </w:tcPr>
                <w:p w:rsidR="00C24ED8" w:rsidP="00C24ED8" w:rsidRDefault="00C24ED8" w14:paraId="5004D291" w14:textId="4D36C0C5">
                  <w:pPr>
                    <w:pStyle w:val="IATableLabel"/>
                  </w:pPr>
                  <w:r>
                    <w:t xml:space="preserve">Traded:   </w:t>
                  </w:r>
                  <w:r>
                    <w:br/>
                  </w:r>
                  <w:bookmarkStart w:name="IACO2Traded" w:id="16"/>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fldChar w:fldCharType="end"/>
                  </w:r>
                  <w:bookmarkEnd w:id="16"/>
                  <w:r w:rsidR="00230802">
                    <w:rPr>
                      <w:rStyle w:val="IAIOCO2TradedChar"/>
                      <w:sz w:val="20"/>
                    </w:rPr>
                    <w:t>N/A</w:t>
                  </w:r>
                </w:p>
              </w:tc>
              <w:tc>
                <w:tcPr>
                  <w:tcW w:w="1811" w:type="dxa"/>
                  <w:gridSpan w:val="2"/>
                  <w:shd w:val="clear" w:color="auto" w:fill="E0E0E0"/>
                </w:tcPr>
                <w:p w:rsidR="00C24ED8" w:rsidP="00C24ED8" w:rsidRDefault="00C24ED8" w14:paraId="640EEDE0" w14:textId="2E57B434">
                  <w:pPr>
                    <w:pStyle w:val="IATableLabel"/>
                  </w:pPr>
                  <w:r>
                    <w:t xml:space="preserve">Non-traded:   </w:t>
                  </w:r>
                  <w:r>
                    <w:br/>
                  </w:r>
                  <w:r w:rsidR="00230802">
                    <w:rPr>
                      <w:b w:val="0"/>
                    </w:rPr>
                    <w:t>N/A</w:t>
                  </w:r>
                </w:p>
              </w:tc>
            </w:tr>
          </w:tbl>
          <w:p w:rsidRPr="007E190E" w:rsidR="00720FFE" w:rsidP="00332B05" w:rsidRDefault="00720FFE" w14:paraId="6AB5995D" w14:textId="729F33F5">
            <w:pPr>
              <w:pStyle w:val="IATableLabel"/>
              <w:rPr>
                <w:b w:val="0"/>
                <w:sz w:val="22"/>
                <w:szCs w:val="22"/>
              </w:rPr>
            </w:pPr>
            <w:r w:rsidRPr="00D02C89">
              <w:t>Will the policy be review</w:t>
            </w:r>
            <w:r w:rsidR="00230802">
              <w:t xml:space="preserve">ed? </w:t>
            </w:r>
            <w:r w:rsidR="00007A0C">
              <w:rPr>
                <w:b w:val="0"/>
                <w:color w:val="000000" w:themeColor="text1"/>
              </w:rPr>
              <w:t>yes</w:t>
            </w:r>
            <w:r w:rsidRPr="007E190E">
              <w:rPr>
                <w:sz w:val="22"/>
                <w:szCs w:val="22"/>
              </w:rPr>
              <w:t xml:space="preserve"> </w:t>
            </w:r>
            <w:r w:rsidRPr="00D02C89">
              <w:t xml:space="preserve"> If applicable, set review date:  </w:t>
            </w:r>
            <w:bookmarkStart w:name="IAReviewMonth" w:id="17"/>
            <w:r w:rsidRPr="007E190E" w:rsidR="00BB249D">
              <w:rPr>
                <w:rStyle w:val="IAIOReviewMonthChar"/>
                <w:szCs w:val="22"/>
              </w:rPr>
              <w:fldChar w:fldCharType="begin">
                <w:ffData>
                  <w:name w:val="IAReviewMonth"/>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Pr="007E190E" w:rsidR="00BB249D">
              <w:rPr>
                <w:rStyle w:val="IAIOReviewMonthChar"/>
                <w:szCs w:val="22"/>
              </w:rPr>
              <w:instrText xml:space="preserve"> FORMDROPDOWN </w:instrText>
            </w:r>
            <w:r w:rsidR="00CD5D12">
              <w:rPr>
                <w:rStyle w:val="IAIOReviewMonthChar"/>
                <w:szCs w:val="22"/>
              </w:rPr>
            </w:r>
            <w:r w:rsidR="00CD5D12">
              <w:rPr>
                <w:rStyle w:val="IAIOReviewMonthChar"/>
                <w:szCs w:val="22"/>
              </w:rPr>
              <w:fldChar w:fldCharType="separate"/>
            </w:r>
            <w:r w:rsidRPr="007E190E" w:rsidR="00BB249D">
              <w:rPr>
                <w:rStyle w:val="IAIOReviewMonthChar"/>
                <w:szCs w:val="22"/>
              </w:rPr>
              <w:fldChar w:fldCharType="end"/>
            </w:r>
            <w:bookmarkEnd w:id="17"/>
            <w:r w:rsidRPr="007E190E">
              <w:rPr>
                <w:b w:val="0"/>
                <w:sz w:val="22"/>
                <w:szCs w:val="22"/>
              </w:rPr>
              <w:t>/</w:t>
            </w:r>
            <w:bookmarkStart w:name="IAReviewYear" w:id="18"/>
            <w:r w:rsidRPr="007E190E" w:rsidR="00BB249D">
              <w:rPr>
                <w:rStyle w:val="IAIOReviewYearChar"/>
                <w:szCs w:val="22"/>
              </w:rPr>
              <w:fldChar w:fldCharType="begin">
                <w:ffData>
                  <w:name w:val="IAReviewYear"/>
                  <w:enabled/>
                  <w:calcOnExit w:val="0"/>
                  <w:ddList>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7E190E" w:rsidR="00BB249D">
              <w:rPr>
                <w:rStyle w:val="IAIOReviewYearChar"/>
                <w:szCs w:val="22"/>
              </w:rPr>
              <w:instrText xml:space="preserve"> FORMDROPDOWN </w:instrText>
            </w:r>
            <w:r w:rsidR="00CD5D12">
              <w:rPr>
                <w:rStyle w:val="IAIOReviewYearChar"/>
                <w:szCs w:val="22"/>
              </w:rPr>
            </w:r>
            <w:r w:rsidR="00CD5D12">
              <w:rPr>
                <w:rStyle w:val="IAIOReviewYearChar"/>
                <w:szCs w:val="22"/>
              </w:rPr>
              <w:fldChar w:fldCharType="separate"/>
            </w:r>
            <w:r w:rsidRPr="007E190E" w:rsidR="00BB249D">
              <w:rPr>
                <w:rStyle w:val="IAIOReviewYearChar"/>
                <w:szCs w:val="22"/>
              </w:rPr>
              <w:fldChar w:fldCharType="end"/>
            </w:r>
            <w:bookmarkEnd w:id="18"/>
          </w:p>
        </w:tc>
      </w:tr>
    </w:tbl>
    <w:p w:rsidRPr="007E190E" w:rsidR="007E190E" w:rsidP="007E190E" w:rsidRDefault="007E190E" w14:paraId="72FA46DC" w14:textId="77777777">
      <w:pPr>
        <w:rPr>
          <w:vanish/>
        </w:rPr>
      </w:pPr>
      <w:bookmarkStart w:name="Summary4" w:id="19"/>
      <w:bookmarkEnd w:id="14"/>
    </w:p>
    <w:p w:rsidRPr="00DF2F4B" w:rsidR="00452B35" w:rsidRDefault="00452B35" w14:paraId="03B7A98F" w14:textId="77777777">
      <w:pPr>
        <w:pStyle w:val="IASign-off"/>
        <w:rPr>
          <w:sz w:val="20"/>
        </w:rPr>
      </w:pPr>
      <w:bookmarkStart w:name="SignOfftext" w:id="20"/>
      <w:bookmarkEnd w:id="19"/>
      <w:r w:rsidRPr="00DF2F4B">
        <w:rPr>
          <w:sz w:val="20"/>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452B35" w:rsidTr="008B0B60" w14:paraId="35748F33" w14:textId="77777777">
        <w:trPr>
          <w:trHeight w:val="767" w:hRule="exact"/>
        </w:trPr>
        <w:tc>
          <w:tcPr>
            <w:tcW w:w="2350" w:type="pct"/>
            <w:vAlign w:val="bottom"/>
          </w:tcPr>
          <w:p w:rsidR="00452B35" w:rsidP="00A94548" w:rsidRDefault="00452B35" w14:paraId="37F084B4" w14:textId="77777777">
            <w:pPr>
              <w:pStyle w:val="IASignature"/>
              <w:tabs>
                <w:tab w:val="clear" w:pos="6804"/>
                <w:tab w:val="left" w:leader="dot" w:pos="7380"/>
              </w:tabs>
            </w:pPr>
            <w:r w:rsidRPr="00455EAA">
              <w:t>Signed by the</w:t>
            </w:r>
            <w:r>
              <w:t xml:space="preserve"> responsible </w:t>
            </w:r>
            <w:bookmarkStart w:name="IASignedBy" w:id="21"/>
            <w:r w:rsidR="00A94548">
              <w:fldChar w:fldCharType="begin">
                <w:ffData>
                  <w:name w:val="IASignedBy"/>
                  <w:enabled/>
                  <w:calcOnExit w:val="0"/>
                  <w:ddList>
                    <w:listEntry w:val="SELECT SIGNATORY"/>
                    <w:listEntry w:val="Chair"/>
                    <w:listEntry w:val="Chief Executive"/>
                    <w:listEntry w:val="Minister"/>
                  </w:ddList>
                </w:ffData>
              </w:fldChar>
            </w:r>
            <w:r w:rsidR="00A94548">
              <w:instrText xml:space="preserve"> FORMDROPDOWN </w:instrText>
            </w:r>
            <w:r w:rsidR="00CD5D12">
              <w:fldChar w:fldCharType="separate"/>
            </w:r>
            <w:r w:rsidR="00A94548">
              <w:fldChar w:fldCharType="end"/>
            </w:r>
            <w:bookmarkEnd w:id="21"/>
            <w:r w:rsidRPr="00455EAA">
              <w:t>:</w:t>
            </w:r>
          </w:p>
        </w:tc>
        <w:tc>
          <w:tcPr>
            <w:tcW w:w="1122" w:type="pct"/>
            <w:tcBorders>
              <w:bottom w:val="dashSmallGap" w:color="auto" w:sz="4" w:space="0"/>
            </w:tcBorders>
            <w:vAlign w:val="bottom"/>
          </w:tcPr>
          <w:p w:rsidRPr="00AB4A42" w:rsidR="00452B35" w:rsidP="00C13EF0" w:rsidRDefault="00452B35" w14:paraId="211FB83F" w14:textId="77777777">
            <w:pPr>
              <w:pStyle w:val="IAIOtextSign"/>
            </w:pPr>
          </w:p>
        </w:tc>
        <w:tc>
          <w:tcPr>
            <w:tcW w:w="625" w:type="pct"/>
            <w:vAlign w:val="bottom"/>
          </w:tcPr>
          <w:p w:rsidR="00452B35" w:rsidP="00C13EF0" w:rsidRDefault="00452B35" w14:paraId="58EC0DF8" w14:textId="77777777">
            <w:pPr>
              <w:pStyle w:val="IASignature"/>
              <w:tabs>
                <w:tab w:val="clear" w:pos="6804"/>
                <w:tab w:val="left" w:leader="dot" w:pos="7380"/>
              </w:tabs>
            </w:pPr>
            <w:r>
              <w:t> </w:t>
            </w:r>
            <w:r w:rsidRPr="00455EAA">
              <w:t>Date:</w:t>
            </w:r>
          </w:p>
        </w:tc>
        <w:bookmarkStart w:name="SigDate" w:id="22"/>
        <w:tc>
          <w:tcPr>
            <w:tcW w:w="902" w:type="pct"/>
            <w:tcBorders>
              <w:bottom w:val="dashSmallGap" w:color="auto" w:sz="4" w:space="0"/>
            </w:tcBorders>
            <w:vAlign w:val="bottom"/>
          </w:tcPr>
          <w:p w:rsidRPr="005D0BD1" w:rsidR="00452B35" w:rsidP="00C13EF0" w:rsidRDefault="00452B35" w14:paraId="72E0CF10" w14:textId="77777777">
            <w:pPr>
              <w:pStyle w:val="IAIOSigDate"/>
            </w:pPr>
            <w:r>
              <w:fldChar w:fldCharType="begin">
                <w:ffData>
                  <w:name w:val="SigDate"/>
                  <w:enabled/>
                  <w:calcOnExit w:val="0"/>
                  <w:textInput/>
                </w:ffData>
              </w:fldChar>
            </w:r>
            <w:r>
              <w:instrText xml:space="preserve"> FORMTEXT </w:instrText>
            </w:r>
            <w:r>
              <w:fldChar w:fldCharType="separate"/>
            </w:r>
            <w:r w:rsidR="00C03042">
              <w:t xml:space="preserve"> </w:t>
            </w:r>
            <w:r>
              <w:fldChar w:fldCharType="end"/>
            </w:r>
            <w:bookmarkEnd w:id="22"/>
          </w:p>
        </w:tc>
      </w:tr>
      <w:bookmarkEnd w:id="20"/>
    </w:tbl>
    <w:p w:rsidR="00F1328C" w:rsidP="005A3880" w:rsidRDefault="00F1328C" w14:paraId="53A67111" w14:textId="77777777">
      <w:pPr>
        <w:pStyle w:val="Heading1"/>
        <w:spacing w:before="0"/>
        <w:sectPr w:rsidR="00F1328C" w:rsidSect="005A3880">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680" w:right="851" w:bottom="680" w:left="851" w:header="284" w:footer="284" w:gutter="0"/>
          <w:cols w:space="708"/>
          <w:docGrid w:linePitch="360"/>
        </w:sectPr>
      </w:pPr>
    </w:p>
    <w:p w:rsidR="001844B6" w:rsidP="005A3880" w:rsidRDefault="001844B6" w14:paraId="334C7557" w14:textId="77777777">
      <w:pPr>
        <w:pStyle w:val="Heading1"/>
        <w:spacing w:before="0"/>
      </w:pPr>
      <w:r>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044FE7">
        <w:rPr>
          <w:rFonts w:ascii="Arial" w:hAnsi="Arial"/>
          <w:b w:val="0"/>
          <w:bCs w:val="0"/>
          <w:noProof/>
        </w:rPr>
        <w:t>1</w:t>
      </w:r>
      <w:r>
        <w:rPr>
          <w:rFonts w:ascii="Arial" w:hAnsi="Arial"/>
          <w:b w:val="0"/>
          <w:bCs w:val="0"/>
        </w:rPr>
        <w:fldChar w:fldCharType="end"/>
      </w:r>
    </w:p>
    <w:p w:rsidR="001844B6" w:rsidP="005A3880" w:rsidRDefault="001844B6" w14:paraId="173E4E1E" w14:textId="53395F88">
      <w:pPr>
        <w:pStyle w:val="IAHeadLabel"/>
        <w:spacing w:before="50"/>
      </w:pPr>
      <w:r w:rsidRPr="00892576">
        <w:t xml:space="preserve">Description: </w:t>
      </w:r>
      <w:r w:rsidRPr="006B70AF">
        <w:t xml:space="preserve"> </w:t>
      </w:r>
      <w:bookmarkStart w:name="Text70" w:id="23"/>
      <w:r w:rsidR="00FE31E9">
        <w:rPr>
          <w:b w:val="0"/>
          <w:color w:val="auto"/>
        </w:rPr>
        <w:t>Uplift</w:t>
      </w:r>
      <w:r w:rsidRPr="00230802" w:rsidR="00230802">
        <w:rPr>
          <w:b w:val="0"/>
          <w:color w:val="auto"/>
        </w:rPr>
        <w:t xml:space="preserve"> the income threshold, couple and child premiums used in the H</w:t>
      </w:r>
      <w:r w:rsidR="00E6233D">
        <w:rPr>
          <w:b w:val="0"/>
          <w:color w:val="auto"/>
        </w:rPr>
        <w:t>wF</w:t>
      </w:r>
      <w:r w:rsidRPr="00230802" w:rsidR="00230802">
        <w:rPr>
          <w:b w:val="0"/>
          <w:color w:val="auto"/>
        </w:rPr>
        <w:t xml:space="preserve"> means test in line with inflation, </w:t>
      </w:r>
      <w:r w:rsidR="00FE31E9">
        <w:rPr>
          <w:b w:val="0"/>
          <w:color w:val="auto"/>
        </w:rPr>
        <w:t>backdated to</w:t>
      </w:r>
      <w:r w:rsidRPr="00230802" w:rsidR="00230802">
        <w:rPr>
          <w:b w:val="0"/>
          <w:color w:val="auto"/>
        </w:rPr>
        <w:t xml:space="preserve"> August 2016</w:t>
      </w:r>
      <w:r w:rsidR="00FE31E9">
        <w:rPr>
          <w:b w:val="0"/>
          <w:color w:val="auto"/>
        </w:rPr>
        <w:t>.</w:t>
      </w:r>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rPr>
        <w:fldChar w:fldCharType="end"/>
      </w:r>
      <w:bookmarkEnd w:id="23"/>
    </w:p>
    <w:p w:rsidR="001844B6" w:rsidP="005A3880" w:rsidRDefault="001844B6" w14:paraId="4C47A1A0" w14:textId="77777777">
      <w:pPr>
        <w:pStyle w:val="IAHeadLabel"/>
        <w:spacing w:before="50"/>
      </w:pPr>
      <w:r>
        <w:t>FULL ECONOMIC ASSESSMENT</w:t>
      </w:r>
    </w:p>
    <w:tbl>
      <w:tblPr>
        <w:tblW w:w="5075"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37"/>
      </w:tblGrid>
      <w:tr w:rsidRPr="007E190E" w:rsidR="001844B6" w:rsidTr="00C615B3" w14:paraId="40269D48" w14:textId="77777777">
        <w:trPr>
          <w:trHeight w:val="312" w:hRule="exact"/>
        </w:trPr>
        <w:tc>
          <w:tcPr>
            <w:tcW w:w="1395" w:type="dxa"/>
            <w:vMerge w:val="restart"/>
            <w:tcBorders>
              <w:top w:val="single" w:color="auto" w:sz="12" w:space="0"/>
              <w:left w:val="single" w:color="auto" w:sz="12" w:space="0"/>
              <w:right w:val="single" w:color="auto" w:sz="12" w:space="0"/>
            </w:tcBorders>
          </w:tcPr>
          <w:p w:rsidRPr="00826F71" w:rsidR="001844B6" w:rsidP="005A3880" w:rsidRDefault="001844B6" w14:paraId="731050F6" w14:textId="4E8220FB">
            <w:pPr>
              <w:pStyle w:val="POPBY"/>
            </w:pPr>
            <w:r w:rsidRPr="00826F71">
              <w:t>Price Base Year</w:t>
            </w:r>
            <w:r>
              <w:t xml:space="preserve">  </w:t>
            </w:r>
            <w:r w:rsidRPr="00230802" w:rsidR="00230802">
              <w:rPr>
                <w:b w:val="0"/>
                <w:sz w:val="18"/>
                <w:szCs w:val="18"/>
              </w:rPr>
              <w:t>2021/22</w:t>
            </w:r>
          </w:p>
        </w:tc>
        <w:tc>
          <w:tcPr>
            <w:tcW w:w="1254" w:type="dxa"/>
            <w:vMerge w:val="restart"/>
            <w:tcBorders>
              <w:top w:val="single" w:color="auto" w:sz="12" w:space="0"/>
              <w:left w:val="single" w:color="auto" w:sz="12" w:space="0"/>
              <w:right w:val="single" w:color="auto" w:sz="12" w:space="0"/>
            </w:tcBorders>
          </w:tcPr>
          <w:p w:rsidRPr="00826F71" w:rsidR="001844B6" w:rsidP="005A3880" w:rsidRDefault="001844B6" w14:paraId="53FEE567" w14:textId="3460D383">
            <w:pPr>
              <w:pStyle w:val="POPVBY"/>
            </w:pPr>
            <w:r w:rsidRPr="00826F71">
              <w:t>PV Base Year</w:t>
            </w:r>
            <w:r>
              <w:t xml:space="preserve">  </w:t>
            </w:r>
            <w:r w:rsidR="00230802">
              <w:rPr>
                <w:b w:val="0"/>
              </w:rPr>
              <w:t>21/22</w:t>
            </w:r>
          </w:p>
        </w:tc>
        <w:tc>
          <w:tcPr>
            <w:tcW w:w="1433" w:type="dxa"/>
            <w:vMerge w:val="restart"/>
            <w:tcBorders>
              <w:top w:val="single" w:color="auto" w:sz="12" w:space="0"/>
              <w:left w:val="single" w:color="auto" w:sz="12" w:space="0"/>
              <w:right w:val="single" w:color="auto" w:sz="12" w:space="0"/>
            </w:tcBorders>
          </w:tcPr>
          <w:p w:rsidRPr="00826F71" w:rsidR="001844B6" w:rsidP="005A3880" w:rsidRDefault="001844B6" w14:paraId="74B379F4" w14:textId="54CF87C5">
            <w:pPr>
              <w:pStyle w:val="POTPY"/>
            </w:pPr>
            <w:r w:rsidRPr="00826F71">
              <w:t>Time Period Years</w:t>
            </w:r>
            <w:r>
              <w:t xml:space="preserve">  </w:t>
            </w:r>
            <w:r w:rsidR="00230802">
              <w:rPr>
                <w:b w:val="0"/>
              </w:rPr>
              <w:t>10</w:t>
            </w:r>
          </w:p>
        </w:tc>
        <w:tc>
          <w:tcPr>
            <w:tcW w:w="6246" w:type="dxa"/>
            <w:gridSpan w:val="3"/>
            <w:tcBorders>
              <w:top w:val="single" w:color="auto" w:sz="12" w:space="0"/>
              <w:left w:val="single" w:color="auto" w:sz="12" w:space="0"/>
              <w:right w:val="single" w:color="auto" w:sz="12" w:space="0"/>
            </w:tcBorders>
            <w:shd w:val="clear" w:color="auto" w:fill="FFFFFF"/>
          </w:tcPr>
          <w:p w:rsidRPr="00826F71" w:rsidR="001844B6" w:rsidP="007E190E" w:rsidRDefault="001844B6" w14:paraId="245A882B" w14:textId="77777777">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Pr="007E190E" w:rsidR="001844B6" w:rsidTr="00C615B3" w14:paraId="53A4C8BD" w14:textId="77777777">
        <w:trPr>
          <w:trHeight w:val="340" w:hRule="exact"/>
        </w:trPr>
        <w:tc>
          <w:tcPr>
            <w:tcW w:w="1395" w:type="dxa"/>
            <w:vMerge/>
            <w:tcBorders>
              <w:left w:val="single" w:color="auto" w:sz="12" w:space="0"/>
              <w:bottom w:val="single" w:color="auto" w:sz="12" w:space="0"/>
              <w:right w:val="single" w:color="auto" w:sz="12" w:space="0"/>
            </w:tcBorders>
          </w:tcPr>
          <w:p w:rsidRPr="007E190E" w:rsidR="001844B6" w:rsidP="007E190E" w:rsidRDefault="001844B6" w14:paraId="246CADD2" w14:textId="77777777">
            <w:pPr>
              <w:pStyle w:val="IATableNotes"/>
              <w:ind w:left="0"/>
              <w:rPr>
                <w:b/>
                <w:sz w:val="20"/>
              </w:rPr>
            </w:pPr>
          </w:p>
        </w:tc>
        <w:tc>
          <w:tcPr>
            <w:tcW w:w="1254" w:type="dxa"/>
            <w:vMerge/>
            <w:tcBorders>
              <w:left w:val="single" w:color="auto" w:sz="12" w:space="0"/>
              <w:bottom w:val="single" w:color="auto" w:sz="12" w:space="0"/>
              <w:right w:val="single" w:color="auto" w:sz="12" w:space="0"/>
            </w:tcBorders>
          </w:tcPr>
          <w:p w:rsidRPr="007E190E" w:rsidR="001844B6" w:rsidP="007E190E" w:rsidRDefault="001844B6" w14:paraId="785522E2" w14:textId="77777777">
            <w:pPr>
              <w:pStyle w:val="IATableNotes"/>
              <w:ind w:left="0"/>
              <w:rPr>
                <w:b/>
                <w:sz w:val="20"/>
              </w:rPr>
            </w:pPr>
          </w:p>
        </w:tc>
        <w:tc>
          <w:tcPr>
            <w:tcW w:w="1433" w:type="dxa"/>
            <w:vMerge/>
            <w:tcBorders>
              <w:left w:val="single" w:color="auto" w:sz="12" w:space="0"/>
              <w:bottom w:val="single" w:color="auto" w:sz="12" w:space="0"/>
              <w:right w:val="single" w:color="auto" w:sz="12" w:space="0"/>
            </w:tcBorders>
          </w:tcPr>
          <w:p w:rsidRPr="007E190E" w:rsidR="001844B6" w:rsidP="007E190E" w:rsidRDefault="001844B6" w14:paraId="752830E2" w14:textId="77777777">
            <w:pPr>
              <w:pStyle w:val="IATableNotes"/>
              <w:ind w:left="0"/>
              <w:rPr>
                <w:b/>
                <w:sz w:val="20"/>
              </w:rPr>
            </w:pPr>
          </w:p>
        </w:tc>
        <w:tc>
          <w:tcPr>
            <w:tcW w:w="1791" w:type="dxa"/>
            <w:tcBorders>
              <w:top w:val="single" w:color="auto" w:sz="12" w:space="0"/>
              <w:left w:val="single" w:color="auto" w:sz="12" w:space="0"/>
              <w:bottom w:val="single" w:color="auto" w:sz="12" w:space="0"/>
              <w:right w:val="single" w:color="auto" w:sz="12" w:space="0"/>
            </w:tcBorders>
          </w:tcPr>
          <w:p w:rsidRPr="007E190E" w:rsidR="001844B6" w:rsidP="005A3880" w:rsidRDefault="001844B6" w14:paraId="21E846D0" w14:textId="77777777">
            <w:pPr>
              <w:pStyle w:val="IATableLabel"/>
              <w:rPr>
                <w:bCs/>
              </w:rPr>
            </w:pPr>
            <w:r w:rsidRPr="00304C1D">
              <w:t>Low:</w:t>
            </w:r>
            <w:r w:rsidRPr="00826F71">
              <w:t xml:space="preserve"> </w:t>
            </w:r>
            <w:r w:rsidRPr="007E190E">
              <w:rPr>
                <w:rStyle w:val="PONBLowCharChar"/>
                <w:sz w:val="20"/>
                <w:szCs w:val="22"/>
              </w:rPr>
              <w:fldChar w:fldCharType="begin">
                <w:ffData>
                  <w:name w:val="Text58"/>
                  <w:enabled/>
                  <w:calcOnExit w:val="0"/>
                  <w:textInput>
                    <w:default w:val="Optional"/>
                    <w:maxLength w:val="8"/>
                  </w:textInput>
                </w:ffData>
              </w:fldChar>
            </w:r>
            <w:r w:rsidRPr="007E190E">
              <w:rPr>
                <w:rStyle w:val="PONBLowCharChar"/>
                <w:sz w:val="20"/>
                <w:szCs w:val="22"/>
              </w:rPr>
              <w:instrText xml:space="preserve"> FORMTEXT </w:instrText>
            </w:r>
            <w:r w:rsidRPr="007E190E">
              <w:rPr>
                <w:rStyle w:val="PONBLowCharChar"/>
                <w:sz w:val="20"/>
                <w:szCs w:val="22"/>
              </w:rPr>
            </w:r>
            <w:r w:rsidRPr="007E190E">
              <w:rPr>
                <w:rStyle w:val="PONBLowCharChar"/>
                <w:sz w:val="20"/>
                <w:szCs w:val="22"/>
              </w:rPr>
              <w:fldChar w:fldCharType="separate"/>
            </w:r>
            <w:r w:rsidRPr="007E190E">
              <w:rPr>
                <w:rStyle w:val="PONBLowCharChar"/>
                <w:noProof/>
                <w:sz w:val="20"/>
                <w:szCs w:val="22"/>
              </w:rPr>
              <w:t>Optional</w:t>
            </w:r>
            <w:r w:rsidRPr="007E190E">
              <w:rPr>
                <w:rStyle w:val="PONBLowCharChar"/>
                <w:sz w:val="20"/>
                <w:szCs w:val="22"/>
              </w:rPr>
              <w:fldChar w:fldCharType="end"/>
            </w:r>
          </w:p>
        </w:tc>
        <w:tc>
          <w:tcPr>
            <w:tcW w:w="1818" w:type="dxa"/>
            <w:tcBorders>
              <w:top w:val="single" w:color="auto" w:sz="12" w:space="0"/>
              <w:left w:val="single" w:color="auto" w:sz="12" w:space="0"/>
              <w:bottom w:val="single" w:color="auto" w:sz="12" w:space="0"/>
              <w:right w:val="single" w:color="auto" w:sz="12" w:space="0"/>
            </w:tcBorders>
          </w:tcPr>
          <w:p w:rsidRPr="007E190E" w:rsidR="001844B6" w:rsidP="005A3880" w:rsidRDefault="001844B6" w14:paraId="66F16503" w14:textId="77777777">
            <w:pPr>
              <w:pStyle w:val="IATableLabel"/>
              <w:rPr>
                <w:rFonts w:cs="Arial"/>
                <w:bCs/>
                <w:szCs w:val="18"/>
              </w:rPr>
            </w:pPr>
            <w:r w:rsidRPr="00304C1D">
              <w:t>High:</w:t>
            </w:r>
            <w:r w:rsidRPr="00826F71">
              <w:t xml:space="preserve"> </w:t>
            </w:r>
            <w:r w:rsidRPr="007E190E">
              <w:rPr>
                <w:rStyle w:val="PONBHighChar"/>
                <w:sz w:val="20"/>
                <w:szCs w:val="22"/>
              </w:rPr>
              <w:fldChar w:fldCharType="begin">
                <w:ffData>
                  <w:name w:val="Text59"/>
                  <w:enabled/>
                  <w:calcOnExit w:val="0"/>
                  <w:textInput>
                    <w:default w:val="Optional"/>
                    <w:maxLength w:val="8"/>
                  </w:textInput>
                </w:ffData>
              </w:fldChar>
            </w:r>
            <w:r w:rsidRPr="007E190E">
              <w:rPr>
                <w:rStyle w:val="PONBHighChar"/>
                <w:sz w:val="20"/>
                <w:szCs w:val="22"/>
              </w:rPr>
              <w:instrText xml:space="preserve"> FORMTEXT </w:instrText>
            </w:r>
            <w:r w:rsidRPr="007E190E">
              <w:rPr>
                <w:rStyle w:val="PONBHighChar"/>
                <w:sz w:val="20"/>
                <w:szCs w:val="22"/>
              </w:rPr>
            </w:r>
            <w:r w:rsidRPr="007E190E">
              <w:rPr>
                <w:rStyle w:val="PONBHighChar"/>
                <w:sz w:val="20"/>
                <w:szCs w:val="22"/>
              </w:rPr>
              <w:fldChar w:fldCharType="separate"/>
            </w:r>
            <w:r w:rsidRPr="007E190E">
              <w:rPr>
                <w:rStyle w:val="PONBHighChar"/>
                <w:noProof/>
                <w:sz w:val="20"/>
                <w:szCs w:val="22"/>
              </w:rPr>
              <w:t>Optional</w:t>
            </w:r>
            <w:r w:rsidRPr="007E190E">
              <w:rPr>
                <w:rStyle w:val="PONBHighChar"/>
                <w:sz w:val="20"/>
                <w:szCs w:val="22"/>
              </w:rPr>
              <w:fldChar w:fldCharType="end"/>
            </w:r>
          </w:p>
        </w:tc>
        <w:tc>
          <w:tcPr>
            <w:tcW w:w="2637" w:type="dxa"/>
            <w:tcBorders>
              <w:top w:val="single" w:color="auto" w:sz="12" w:space="0"/>
              <w:left w:val="single" w:color="auto" w:sz="12" w:space="0"/>
              <w:bottom w:val="single" w:color="auto" w:sz="12" w:space="0"/>
              <w:right w:val="single" w:color="auto" w:sz="12" w:space="0"/>
            </w:tcBorders>
            <w:shd w:val="clear" w:color="auto" w:fill="FFFFFF"/>
          </w:tcPr>
          <w:p w:rsidRPr="007E190E" w:rsidR="001844B6" w:rsidP="005A3880" w:rsidRDefault="001844B6" w14:paraId="55BD20EB" w14:textId="68A88368">
            <w:pPr>
              <w:pStyle w:val="IATableLabel"/>
              <w:rPr>
                <w:szCs w:val="18"/>
              </w:rPr>
            </w:pPr>
            <w:r w:rsidRPr="00304C1D">
              <w:t xml:space="preserve">Best </w:t>
            </w:r>
            <w:r>
              <w:t>E</w:t>
            </w:r>
            <w:r w:rsidRPr="00304C1D">
              <w:t>stimate:</w:t>
            </w:r>
            <w:r w:rsidRPr="00826F71">
              <w:t xml:space="preserve"> </w:t>
            </w:r>
            <w:r w:rsidR="00230802">
              <w:rPr>
                <w:rStyle w:val="PONBBestEstChar"/>
                <w:sz w:val="20"/>
                <w:szCs w:val="22"/>
              </w:rPr>
              <w:t>£0</w:t>
            </w:r>
          </w:p>
        </w:tc>
      </w:tr>
    </w:tbl>
    <w:p w:rsidR="001844B6" w:rsidP="005A3880" w:rsidRDefault="001844B6" w14:paraId="73B5CDAE" w14:textId="77777777">
      <w:pPr>
        <w:pStyle w:val="IASpacer"/>
      </w:pPr>
    </w:p>
    <w:tbl>
      <w:tblPr>
        <w:tblW w:w="5091" w:type="pct"/>
        <w:tblInd w:w="-12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Look w:val="01E0" w:firstRow="1" w:lastRow="1" w:firstColumn="1" w:lastColumn="1" w:noHBand="0" w:noVBand="0"/>
      </w:tblPr>
      <w:tblGrid>
        <w:gridCol w:w="2121"/>
        <w:gridCol w:w="1949"/>
        <w:gridCol w:w="790"/>
        <w:gridCol w:w="2864"/>
        <w:gridCol w:w="1776"/>
        <w:gridCol w:w="860"/>
      </w:tblGrid>
      <w:tr w:rsidRPr="007E190E" w:rsidR="001844B6" w:rsidTr="3732F84E" w14:paraId="61FD520F" w14:textId="77777777">
        <w:trPr>
          <w:trHeight w:val="574" w:hRule="exact"/>
        </w:trPr>
        <w:tc>
          <w:tcPr>
            <w:tcW w:w="2121" w:type="dxa"/>
            <w:tcBorders>
              <w:top w:val="single" w:color="auto" w:sz="12" w:space="0"/>
              <w:bottom w:val="single" w:color="auto" w:sz="12" w:space="0"/>
              <w:right w:val="single" w:color="auto" w:sz="12" w:space="0"/>
            </w:tcBorders>
            <w:shd w:val="clear" w:color="auto" w:fill="FFFFFF" w:themeFill="background1"/>
          </w:tcPr>
          <w:p w:rsidRPr="007E190E" w:rsidR="001844B6" w:rsidP="005A3880" w:rsidRDefault="001844B6" w14:paraId="20A06FF1" w14:textId="77777777">
            <w:pPr>
              <w:pStyle w:val="IATableLabel"/>
              <w:rPr>
                <w:sz w:val="24"/>
                <w:szCs w:val="24"/>
              </w:rPr>
            </w:pPr>
            <w:r w:rsidRPr="007E190E">
              <w:rPr>
                <w:sz w:val="24"/>
                <w:szCs w:val="24"/>
              </w:rPr>
              <w:t>COSTS (£m)</w:t>
            </w:r>
          </w:p>
        </w:tc>
        <w:tc>
          <w:tcPr>
            <w:tcW w:w="2739" w:type="dxa"/>
            <w:gridSpan w:val="2"/>
            <w:tcBorders>
              <w:top w:val="single" w:color="auto" w:sz="12" w:space="0"/>
              <w:left w:val="single" w:color="auto" w:sz="12" w:space="0"/>
              <w:right w:val="single" w:color="auto" w:sz="12" w:space="0"/>
            </w:tcBorders>
          </w:tcPr>
          <w:p w:rsidRPr="00826F71" w:rsidR="001844B6" w:rsidP="007E190E" w:rsidRDefault="001844B6" w14:paraId="45F34166" w14:textId="77777777">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rsidRPr="00826F71" w:rsidR="001844B6" w:rsidP="007E190E" w:rsidRDefault="001844B6" w14:paraId="2020BF85" w14:textId="77777777">
            <w:pPr>
              <w:pStyle w:val="IATableLabel"/>
              <w:jc w:val="right"/>
            </w:pPr>
            <w:r>
              <w:br/>
            </w:r>
          </w:p>
        </w:tc>
        <w:tc>
          <w:tcPr>
            <w:tcW w:w="2864" w:type="dxa"/>
            <w:tcBorders>
              <w:top w:val="single" w:color="auto" w:sz="12" w:space="0"/>
              <w:left w:val="single" w:color="auto" w:sz="12" w:space="0"/>
              <w:bottom w:val="single" w:color="auto" w:sz="12" w:space="0"/>
              <w:right w:val="single" w:color="auto" w:sz="12" w:space="0"/>
            </w:tcBorders>
          </w:tcPr>
          <w:p w:rsidRPr="007E190E" w:rsidR="001844B6" w:rsidP="007E190E" w:rsidRDefault="001844B6" w14:paraId="23602683" w14:textId="77777777">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5" w:type="dxa"/>
            <w:gridSpan w:val="2"/>
            <w:tcBorders>
              <w:top w:val="single" w:color="auto" w:sz="12" w:space="0"/>
              <w:left w:val="single" w:color="auto" w:sz="12" w:space="0"/>
              <w:bottom w:val="single" w:color="auto" w:sz="12" w:space="0"/>
            </w:tcBorders>
          </w:tcPr>
          <w:p w:rsidRPr="00826F71" w:rsidR="001844B6" w:rsidP="007E190E" w:rsidRDefault="001844B6" w14:paraId="3AB23739" w14:textId="77777777">
            <w:pPr>
              <w:pStyle w:val="IATableLabel"/>
              <w:jc w:val="right"/>
            </w:pPr>
            <w:r w:rsidRPr="00826F71">
              <w:t>Total Cost</w:t>
            </w:r>
            <w:r w:rsidRPr="007E190E">
              <w:rPr>
                <w:b w:val="0"/>
                <w:sz w:val="18"/>
                <w:szCs w:val="18"/>
              </w:rPr>
              <w:t xml:space="preserve"> </w:t>
            </w:r>
            <w:r w:rsidRPr="007E190E">
              <w:rPr>
                <w:b w:val="0"/>
                <w:sz w:val="18"/>
                <w:szCs w:val="18"/>
              </w:rPr>
              <w:br/>
            </w:r>
            <w:r w:rsidRPr="007E190E">
              <w:rPr>
                <w:b w:val="0"/>
                <w:sz w:val="18"/>
                <w:szCs w:val="18"/>
              </w:rPr>
              <w:t>(Present Value)</w:t>
            </w:r>
          </w:p>
        </w:tc>
      </w:tr>
      <w:tr w:rsidRPr="007E190E" w:rsidR="001844B6" w:rsidTr="003D0F10" w14:paraId="4458011D" w14:textId="77777777">
        <w:trPr>
          <w:trHeight w:val="352" w:hRule="exact"/>
        </w:trPr>
        <w:tc>
          <w:tcPr>
            <w:tcW w:w="2121" w:type="dxa"/>
            <w:tcBorders>
              <w:top w:val="single" w:color="auto" w:sz="12" w:space="0"/>
              <w:bottom w:val="single" w:color="auto" w:sz="12" w:space="0"/>
              <w:right w:val="single" w:color="auto" w:sz="12" w:space="0"/>
            </w:tcBorders>
            <w:vAlign w:val="center"/>
          </w:tcPr>
          <w:p w:rsidRPr="00F63895" w:rsidR="001844B6" w:rsidP="005A3880" w:rsidRDefault="001844B6" w14:paraId="4E41E6CF" w14:textId="77777777">
            <w:pPr>
              <w:pStyle w:val="IATableLabel"/>
            </w:pPr>
            <w:r w:rsidRPr="00F63895">
              <w:t xml:space="preserve">Low </w:t>
            </w:r>
          </w:p>
        </w:tc>
        <w:tc>
          <w:tcPr>
            <w:tcW w:w="1949" w:type="dxa"/>
            <w:tcBorders>
              <w:top w:val="single" w:color="auto" w:sz="12" w:space="0"/>
              <w:left w:val="single" w:color="auto" w:sz="12" w:space="0"/>
              <w:bottom w:val="single" w:color="auto" w:sz="12" w:space="0"/>
              <w:right w:val="single" w:color="auto" w:sz="12" w:space="0"/>
            </w:tcBorders>
            <w:vAlign w:val="center"/>
          </w:tcPr>
          <w:p w:rsidRPr="007E190E" w:rsidR="001844B6" w:rsidP="005A3880" w:rsidRDefault="001844B6" w14:paraId="5140797A" w14:textId="77777777">
            <w:pPr>
              <w:pStyle w:val="POTTCostsLow"/>
              <w:rPr>
                <w:sz w:val="20"/>
              </w:rPr>
            </w:pPr>
            <w:r w:rsidRPr="007E190E">
              <w:rPr>
                <w:sz w:val="20"/>
              </w:rPr>
              <w:fldChar w:fldCharType="begin">
                <w:ffData>
                  <w:name w:val="Text45"/>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restart"/>
            <w:tcBorders>
              <w:top w:val="single" w:color="auto" w:sz="12" w:space="0"/>
              <w:left w:val="single" w:color="auto" w:sz="12" w:space="0"/>
              <w:right w:val="single" w:color="auto" w:sz="12" w:space="0"/>
            </w:tcBorders>
            <w:vAlign w:val="center"/>
          </w:tcPr>
          <w:p w:rsidRPr="007E190E" w:rsidR="001844B6" w:rsidP="005A3880" w:rsidRDefault="001844B6" w14:paraId="318114D6" w14:textId="77777777">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864" w:type="dxa"/>
            <w:tcBorders>
              <w:top w:val="single" w:color="auto" w:sz="12" w:space="0"/>
              <w:left w:val="single" w:color="auto" w:sz="12" w:space="0"/>
              <w:bottom w:val="single" w:color="auto" w:sz="12" w:space="0"/>
              <w:right w:val="single" w:color="auto" w:sz="12" w:space="0"/>
            </w:tcBorders>
            <w:vAlign w:val="center"/>
          </w:tcPr>
          <w:p w:rsidRPr="007E190E" w:rsidR="001844B6" w:rsidP="005A3880" w:rsidRDefault="001844B6" w14:paraId="40093593" w14:textId="77777777">
            <w:pPr>
              <w:pStyle w:val="POAACostsLow"/>
              <w:rPr>
                <w:sz w:val="20"/>
              </w:rPr>
            </w:pPr>
            <w:r w:rsidRPr="007E190E">
              <w:rPr>
                <w:sz w:val="20"/>
              </w:rPr>
              <w:fldChar w:fldCharType="begin">
                <w:ffData>
                  <w:name w:val="Text49"/>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5" w:type="dxa"/>
            <w:gridSpan w:val="2"/>
            <w:tcBorders>
              <w:top w:val="single" w:color="auto" w:sz="12" w:space="0"/>
              <w:left w:val="single" w:color="auto" w:sz="12" w:space="0"/>
              <w:bottom w:val="single" w:color="auto" w:sz="12" w:space="0"/>
            </w:tcBorders>
            <w:vAlign w:val="center"/>
          </w:tcPr>
          <w:p w:rsidRPr="007E190E" w:rsidR="001844B6" w:rsidP="005A3880" w:rsidRDefault="001844B6" w14:paraId="3C592E75" w14:textId="77777777">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Pr="007E190E" w:rsidR="001844B6" w:rsidTr="3732F84E" w14:paraId="2A188929" w14:textId="77777777">
        <w:trPr>
          <w:trHeight w:val="352" w:hRule="exact"/>
        </w:trPr>
        <w:tc>
          <w:tcPr>
            <w:tcW w:w="2121" w:type="dxa"/>
            <w:tcBorders>
              <w:top w:val="single" w:color="auto" w:sz="12" w:space="0"/>
              <w:bottom w:val="single" w:color="auto" w:sz="12" w:space="0"/>
              <w:right w:val="single" w:color="auto" w:sz="12" w:space="0"/>
            </w:tcBorders>
            <w:vAlign w:val="center"/>
          </w:tcPr>
          <w:p w:rsidRPr="00F63895" w:rsidR="001844B6" w:rsidP="005A3880" w:rsidRDefault="001844B6" w14:paraId="7F2FA1BA" w14:textId="77777777">
            <w:pPr>
              <w:pStyle w:val="IATableLabel"/>
            </w:pPr>
            <w:r w:rsidRPr="00F63895">
              <w:t xml:space="preserve">High </w:t>
            </w:r>
          </w:p>
        </w:tc>
        <w:tc>
          <w:tcPr>
            <w:tcW w:w="1949" w:type="dxa"/>
            <w:tcBorders>
              <w:top w:val="single" w:color="auto" w:sz="12" w:space="0"/>
              <w:left w:val="single" w:color="auto" w:sz="12" w:space="0"/>
              <w:bottom w:val="single" w:color="auto" w:sz="12" w:space="0"/>
              <w:right w:val="single" w:color="auto" w:sz="12" w:space="0"/>
            </w:tcBorders>
            <w:vAlign w:val="center"/>
          </w:tcPr>
          <w:p w:rsidRPr="007E190E" w:rsidR="001844B6" w:rsidP="005A3880" w:rsidRDefault="001844B6" w14:paraId="615C67DC" w14:textId="77777777">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ign w:val="center"/>
          </w:tcPr>
          <w:p w:rsidRPr="007E190E" w:rsidR="001844B6" w:rsidP="007E190E" w:rsidRDefault="001844B6" w14:paraId="3109568A" w14:textId="77777777">
            <w:pPr>
              <w:pStyle w:val="IATableText"/>
              <w:jc w:val="right"/>
              <w:rPr>
                <w:sz w:val="20"/>
              </w:rPr>
            </w:pPr>
          </w:p>
        </w:tc>
        <w:tc>
          <w:tcPr>
            <w:tcW w:w="2864" w:type="dxa"/>
            <w:tcBorders>
              <w:top w:val="single" w:color="auto" w:sz="12" w:space="0"/>
              <w:left w:val="single" w:color="auto" w:sz="12" w:space="0"/>
              <w:bottom w:val="single" w:color="auto" w:sz="12" w:space="0"/>
              <w:right w:val="single" w:color="auto" w:sz="12" w:space="0"/>
            </w:tcBorders>
            <w:vAlign w:val="center"/>
          </w:tcPr>
          <w:p w:rsidRPr="007E190E" w:rsidR="001844B6" w:rsidP="005A3880" w:rsidRDefault="00230802" w14:paraId="4E49AA06" w14:textId="70C396B5">
            <w:pPr>
              <w:pStyle w:val="POAACostsHigh"/>
              <w:rPr>
                <w:sz w:val="20"/>
              </w:rPr>
            </w:pPr>
            <w:r>
              <w:rPr>
                <w:sz w:val="20"/>
              </w:rPr>
              <w:t>£</w:t>
            </w:r>
            <w:r w:rsidR="00007A0C">
              <w:rPr>
                <w:sz w:val="20"/>
              </w:rPr>
              <w:t>6</w:t>
            </w:r>
          </w:p>
        </w:tc>
        <w:tc>
          <w:tcPr>
            <w:tcW w:w="2635" w:type="dxa"/>
            <w:gridSpan w:val="2"/>
            <w:tcBorders>
              <w:top w:val="single" w:color="auto" w:sz="12" w:space="0"/>
              <w:left w:val="single" w:color="auto" w:sz="12" w:space="0"/>
              <w:bottom w:val="single" w:color="auto" w:sz="12" w:space="0"/>
            </w:tcBorders>
            <w:vAlign w:val="center"/>
          </w:tcPr>
          <w:p w:rsidRPr="007E190E" w:rsidR="001844B6" w:rsidP="005A3880" w:rsidRDefault="001844B6" w14:paraId="7B0C835D" w14:textId="77777777">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Pr="007E190E" w:rsidR="001844B6" w:rsidTr="3732F84E" w14:paraId="63E1E9EE" w14:textId="77777777">
        <w:trPr>
          <w:trHeight w:val="352" w:hRule="exact"/>
        </w:trPr>
        <w:tc>
          <w:tcPr>
            <w:tcW w:w="2121" w:type="dxa"/>
            <w:tcBorders>
              <w:top w:val="single" w:color="auto" w:sz="12" w:space="0"/>
              <w:bottom w:val="single" w:color="auto" w:sz="12" w:space="0"/>
              <w:right w:val="single" w:color="auto" w:sz="12" w:space="0"/>
            </w:tcBorders>
            <w:shd w:val="clear" w:color="auto" w:fill="FFFFFF" w:themeFill="background1"/>
            <w:vAlign w:val="center"/>
          </w:tcPr>
          <w:p w:rsidRPr="00F63895" w:rsidR="001844B6" w:rsidP="005A3880" w:rsidRDefault="001844B6" w14:paraId="0A52C5D6" w14:textId="77777777">
            <w:pPr>
              <w:pStyle w:val="IATableLabel"/>
            </w:pPr>
            <w:r w:rsidRPr="00F63895">
              <w:t>Best Estimate</w:t>
            </w:r>
          </w:p>
          <w:p w:rsidRPr="007E190E" w:rsidR="001844B6" w:rsidP="007E190E" w:rsidRDefault="001844B6" w14:paraId="247C5159" w14:textId="77777777">
            <w:pPr>
              <w:pStyle w:val="IATableNotes"/>
              <w:spacing w:before="96" w:beforeLines="40"/>
              <w:ind w:left="0" w:right="-22"/>
              <w:jc w:val="center"/>
              <w:rPr>
                <w:rFonts w:cs="Arial"/>
                <w:b/>
                <w:sz w:val="20"/>
              </w:rPr>
            </w:pPr>
          </w:p>
        </w:tc>
        <w:tc>
          <w:tcPr>
            <w:tcW w:w="1949"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7E190E" w:rsidR="001844B6" w:rsidP="005A3880" w:rsidRDefault="00230802" w14:paraId="50499C6C" w14:textId="25F9603B">
            <w:pPr>
              <w:pStyle w:val="POTTCostsBest"/>
              <w:rPr>
                <w:sz w:val="20"/>
              </w:rPr>
            </w:pPr>
            <w:r>
              <w:rPr>
                <w:sz w:val="20"/>
              </w:rPr>
              <w:t>N/A</w:t>
            </w:r>
          </w:p>
        </w:tc>
        <w:tc>
          <w:tcPr>
            <w:tcW w:w="790" w:type="dxa"/>
            <w:vMerge/>
            <w:vAlign w:val="center"/>
          </w:tcPr>
          <w:p w:rsidRPr="007E190E" w:rsidR="001844B6" w:rsidP="007E190E" w:rsidRDefault="001844B6" w14:paraId="3302B3F3" w14:textId="77777777">
            <w:pPr>
              <w:pStyle w:val="IATableText"/>
              <w:jc w:val="right"/>
              <w:rPr>
                <w:sz w:val="20"/>
              </w:rPr>
            </w:pPr>
          </w:p>
        </w:tc>
        <w:tc>
          <w:tcPr>
            <w:tcW w:w="2864"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7E190E" w:rsidR="001844B6" w:rsidP="005A3880" w:rsidRDefault="001844B6" w14:paraId="09BE4D85" w14:textId="1CC9A5DA">
            <w:pPr>
              <w:pStyle w:val="POAA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r w:rsidR="00230802">
              <w:rPr>
                <w:sz w:val="20"/>
              </w:rPr>
              <w:t>£</w:t>
            </w:r>
            <w:r w:rsidR="00CF672C">
              <w:rPr>
                <w:sz w:val="20"/>
              </w:rPr>
              <w:t>5</w:t>
            </w:r>
          </w:p>
        </w:tc>
        <w:tc>
          <w:tcPr>
            <w:tcW w:w="2635" w:type="dxa"/>
            <w:gridSpan w:val="2"/>
            <w:tcBorders>
              <w:top w:val="single" w:color="auto" w:sz="12" w:space="0"/>
              <w:left w:val="single" w:color="auto" w:sz="12" w:space="0"/>
              <w:bottom w:val="single" w:color="auto" w:sz="12" w:space="0"/>
            </w:tcBorders>
            <w:shd w:val="clear" w:color="auto" w:fill="FFFFFF" w:themeFill="background1"/>
            <w:vAlign w:val="center"/>
          </w:tcPr>
          <w:p w:rsidRPr="007E190E" w:rsidR="001844B6" w:rsidP="005A3880" w:rsidRDefault="001844B6" w14:paraId="64B08B6E" w14:textId="77777777">
            <w:pPr>
              <w:pStyle w:val="POTCCostsBest"/>
              <w:rPr>
                <w:sz w:val="20"/>
              </w:rPr>
            </w:pPr>
            <w:r w:rsidRPr="007E190E">
              <w:rPr>
                <w:sz w:val="20"/>
              </w:rPr>
              <w:fldChar w:fldCharType="begin">
                <w:ffData>
                  <w:name w:val="Text54"/>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r>
      <w:tr w:rsidRPr="00826F71" w:rsidR="001844B6" w:rsidTr="003F5B42" w14:paraId="5ADDE4DC" w14:textId="77777777">
        <w:trPr>
          <w:trHeight w:val="1519" w:hRule="exact"/>
        </w:trPr>
        <w:tc>
          <w:tcPr>
            <w:tcW w:w="10360" w:type="dxa"/>
            <w:gridSpan w:val="6"/>
            <w:tcBorders>
              <w:bottom w:val="single" w:color="auto" w:sz="12" w:space="0"/>
            </w:tcBorders>
          </w:tcPr>
          <w:p w:rsidRPr="007E190E" w:rsidR="001844B6" w:rsidP="005A3880" w:rsidRDefault="001844B6" w14:paraId="6CD829AC" w14:textId="77777777">
            <w:pPr>
              <w:pStyle w:val="IAPOQ1"/>
              <w:rPr>
                <w:szCs w:val="22"/>
              </w:rPr>
            </w:pPr>
            <w:r w:rsidRPr="00544292">
              <w:t xml:space="preserve">Description and scale of </w:t>
            </w:r>
            <w:r w:rsidRPr="00826F71">
              <w:t>key monetised costs</w:t>
            </w:r>
            <w:r w:rsidRPr="00544292">
              <w:t xml:space="preserve"> by ‘main affected groups’ </w:t>
            </w:r>
          </w:p>
          <w:p w:rsidRPr="00826F71" w:rsidR="001844B6" w:rsidP="005A3880" w:rsidRDefault="00230802" w14:paraId="3BC3A000" w14:textId="65DBE8FB">
            <w:pPr>
              <w:pStyle w:val="IAPOA1"/>
            </w:pPr>
            <w:r>
              <w:rPr>
                <w:sz w:val="20"/>
              </w:rPr>
              <w:t xml:space="preserve">The changes to the </w:t>
            </w:r>
            <w:r w:rsidR="000621ED">
              <w:rPr>
                <w:sz w:val="20"/>
              </w:rPr>
              <w:t>HwF</w:t>
            </w:r>
            <w:r>
              <w:rPr>
                <w:sz w:val="20"/>
              </w:rPr>
              <w:t xml:space="preserve"> income thresholds are expected to cost HMCTS £</w:t>
            </w:r>
            <w:r w:rsidR="00007A0C">
              <w:rPr>
                <w:sz w:val="20"/>
              </w:rPr>
              <w:t>6</w:t>
            </w:r>
            <w:r>
              <w:rPr>
                <w:sz w:val="20"/>
              </w:rPr>
              <w:t>-</w:t>
            </w:r>
            <w:r w:rsidR="00007A0C">
              <w:rPr>
                <w:sz w:val="20"/>
              </w:rPr>
              <w:t>7</w:t>
            </w:r>
            <w:r>
              <w:rPr>
                <w:sz w:val="20"/>
              </w:rPr>
              <w:t>m p.a. in lost fee income. This equates to an annual average of £5</w:t>
            </w:r>
            <w:r w:rsidR="00007A0C">
              <w:rPr>
                <w:sz w:val="20"/>
              </w:rPr>
              <w:t>-6</w:t>
            </w:r>
            <w:r>
              <w:rPr>
                <w:sz w:val="20"/>
              </w:rPr>
              <w:t xml:space="preserve">m after </w:t>
            </w:r>
            <w:r w:rsidR="002966A6">
              <w:rPr>
                <w:sz w:val="20"/>
              </w:rPr>
              <w:t>conversion to real prices.</w:t>
            </w:r>
            <w:r>
              <w:rPr>
                <w:sz w:val="20"/>
              </w:rPr>
              <w:t xml:space="preserve"> The ‘high’ estimate includes a 20% optimism bias to account for uncertainty in the modelling. As this represents a transfer from HMCTS to taxpayers, it is not included in the NPV.</w:t>
            </w:r>
          </w:p>
        </w:tc>
      </w:tr>
      <w:tr w:rsidRPr="00826F71" w:rsidR="001844B6" w:rsidTr="003D0F10" w14:paraId="6C705C06" w14:textId="77777777">
        <w:trPr>
          <w:trHeight w:val="1722" w:hRule="exact"/>
        </w:trPr>
        <w:tc>
          <w:tcPr>
            <w:tcW w:w="10360" w:type="dxa"/>
            <w:gridSpan w:val="6"/>
            <w:tcBorders>
              <w:top w:val="single" w:color="auto" w:sz="12" w:space="0"/>
              <w:bottom w:val="single" w:color="auto" w:sz="12" w:space="0"/>
            </w:tcBorders>
          </w:tcPr>
          <w:p w:rsidRPr="007E190E" w:rsidR="001844B6" w:rsidP="005A3880" w:rsidRDefault="001844B6" w14:paraId="0DA1A2FE" w14:textId="77777777">
            <w:pPr>
              <w:pStyle w:val="IAPOQ2"/>
              <w:rPr>
                <w:szCs w:val="22"/>
              </w:rPr>
            </w:pPr>
            <w:r w:rsidRPr="00544292">
              <w:t>Other</w:t>
            </w:r>
            <w:r w:rsidRPr="00826F71">
              <w:t xml:space="preserve"> key non-monetised costs</w:t>
            </w:r>
            <w:r w:rsidRPr="00544292">
              <w:t xml:space="preserve"> by ‘main affected groups’ </w:t>
            </w:r>
          </w:p>
          <w:p w:rsidRPr="007E190E" w:rsidR="001844B6" w:rsidP="005A3880" w:rsidRDefault="00230802" w14:paraId="0CF6A04D" w14:textId="4085DB7F">
            <w:pPr>
              <w:pStyle w:val="IAPOA2"/>
            </w:pPr>
            <w:r>
              <w:rPr>
                <w:sz w:val="20"/>
              </w:rPr>
              <w:t xml:space="preserve">There will be costs to HMCTS to update both staff guidance and guidance for the public, and to update the </w:t>
            </w:r>
            <w:r w:rsidRPr="3732F84E" w:rsidR="314B0261">
              <w:rPr>
                <w:sz w:val="20"/>
              </w:rPr>
              <w:t>online services and</w:t>
            </w:r>
            <w:r w:rsidRPr="3732F84E">
              <w:rPr>
                <w:sz w:val="20"/>
              </w:rPr>
              <w:t xml:space="preserve"> </w:t>
            </w:r>
            <w:r>
              <w:rPr>
                <w:sz w:val="20"/>
              </w:rPr>
              <w:t>calculators used. There will also be familiarisation costs to solicitors and supporting organisations, such as Citizen’s Advice.</w:t>
            </w:r>
            <w:r w:rsidR="008A4EA6">
              <w:rPr>
                <w:sz w:val="20"/>
              </w:rPr>
              <w:t xml:space="preserve"> These are expected to be minor as it is only the income thresholds of the scheme that are changing. </w:t>
            </w:r>
          </w:p>
        </w:tc>
      </w:tr>
      <w:tr w:rsidRPr="007E190E" w:rsidR="001844B6" w:rsidTr="3732F84E" w14:paraId="238F2CEA" w14:textId="77777777">
        <w:trPr>
          <w:trHeight w:val="574" w:hRule="exact"/>
        </w:trPr>
        <w:tc>
          <w:tcPr>
            <w:tcW w:w="2121" w:type="dxa"/>
            <w:tcBorders>
              <w:bottom w:val="single" w:color="auto" w:sz="12" w:space="0"/>
              <w:right w:val="single" w:color="auto" w:sz="12" w:space="0"/>
            </w:tcBorders>
            <w:shd w:val="clear" w:color="auto" w:fill="FFFFFF" w:themeFill="background1"/>
          </w:tcPr>
          <w:p w:rsidRPr="007E190E" w:rsidR="001844B6" w:rsidP="005A3880" w:rsidRDefault="001844B6" w14:paraId="2D8738E8" w14:textId="703ABBAA">
            <w:pPr>
              <w:pStyle w:val="IATableLabel"/>
              <w:rPr>
                <w:sz w:val="24"/>
                <w:szCs w:val="24"/>
              </w:rPr>
            </w:pPr>
            <w:r w:rsidRPr="007E190E">
              <w:rPr>
                <w:sz w:val="24"/>
                <w:szCs w:val="24"/>
              </w:rPr>
              <w:t xml:space="preserve">BENEFITS </w:t>
            </w:r>
            <w:r w:rsidR="00B21702">
              <w:rPr>
                <w:sz w:val="24"/>
                <w:szCs w:val="24"/>
              </w:rPr>
              <w:t>(</w:t>
            </w:r>
            <w:r w:rsidRPr="007E190E">
              <w:rPr>
                <w:sz w:val="24"/>
                <w:szCs w:val="24"/>
              </w:rPr>
              <w:t>£m)</w:t>
            </w:r>
          </w:p>
        </w:tc>
        <w:tc>
          <w:tcPr>
            <w:tcW w:w="2739" w:type="dxa"/>
            <w:gridSpan w:val="2"/>
            <w:tcBorders>
              <w:top w:val="single" w:color="auto" w:sz="12" w:space="0"/>
              <w:left w:val="single" w:color="auto" w:sz="12" w:space="0"/>
              <w:right w:val="single" w:color="auto" w:sz="12" w:space="0"/>
            </w:tcBorders>
          </w:tcPr>
          <w:p w:rsidRPr="00826F71" w:rsidR="001844B6" w:rsidP="007E190E" w:rsidRDefault="001844B6" w14:paraId="379EF752" w14:textId="77777777">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rsidRPr="00826F71" w:rsidR="001844B6" w:rsidP="007E190E" w:rsidRDefault="001844B6" w14:paraId="6882D2DD" w14:textId="77777777">
            <w:pPr>
              <w:pStyle w:val="IATableLabel"/>
              <w:jc w:val="right"/>
            </w:pPr>
            <w:r>
              <w:br/>
            </w:r>
          </w:p>
        </w:tc>
        <w:tc>
          <w:tcPr>
            <w:tcW w:w="2864" w:type="dxa"/>
            <w:tcBorders>
              <w:left w:val="single" w:color="auto" w:sz="12" w:space="0"/>
              <w:bottom w:val="single" w:color="auto" w:sz="12" w:space="0"/>
              <w:right w:val="single" w:color="auto" w:sz="12" w:space="0"/>
            </w:tcBorders>
          </w:tcPr>
          <w:p w:rsidRPr="007E190E" w:rsidR="001844B6" w:rsidP="007E190E" w:rsidRDefault="001844B6" w14:paraId="7DE04C76" w14:textId="77777777">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5" w:type="dxa"/>
            <w:gridSpan w:val="2"/>
            <w:tcBorders>
              <w:top w:val="single" w:color="auto" w:sz="12" w:space="0"/>
              <w:left w:val="single" w:color="auto" w:sz="12" w:space="0"/>
              <w:bottom w:val="single" w:color="auto" w:sz="12" w:space="0"/>
            </w:tcBorders>
          </w:tcPr>
          <w:p w:rsidRPr="00826F71" w:rsidR="001844B6" w:rsidP="007E190E" w:rsidRDefault="001844B6" w14:paraId="20E24574" w14:textId="77777777">
            <w:pPr>
              <w:pStyle w:val="IATableLabel"/>
              <w:jc w:val="right"/>
            </w:pPr>
            <w:r w:rsidRPr="00826F71">
              <w:t xml:space="preserve">Total </w:t>
            </w:r>
            <w:r>
              <w:t>Benefit</w:t>
            </w:r>
            <w:r w:rsidRPr="007E190E">
              <w:rPr>
                <w:b w:val="0"/>
                <w:sz w:val="18"/>
                <w:szCs w:val="18"/>
              </w:rPr>
              <w:t xml:space="preserve"> </w:t>
            </w:r>
            <w:r w:rsidRPr="007E190E">
              <w:rPr>
                <w:b w:val="0"/>
                <w:sz w:val="18"/>
                <w:szCs w:val="18"/>
              </w:rPr>
              <w:br/>
            </w:r>
            <w:r w:rsidRPr="007E190E">
              <w:rPr>
                <w:b w:val="0"/>
                <w:sz w:val="18"/>
                <w:szCs w:val="18"/>
              </w:rPr>
              <w:t>(Present Value)</w:t>
            </w:r>
          </w:p>
        </w:tc>
      </w:tr>
      <w:tr w:rsidRPr="007E190E" w:rsidR="001844B6" w:rsidTr="003D0F10" w14:paraId="4F133AA6" w14:textId="77777777">
        <w:trPr>
          <w:trHeight w:val="352" w:hRule="exact"/>
        </w:trPr>
        <w:tc>
          <w:tcPr>
            <w:tcW w:w="2121" w:type="dxa"/>
            <w:tcBorders>
              <w:top w:val="single" w:color="auto" w:sz="12" w:space="0"/>
              <w:bottom w:val="single" w:color="auto" w:sz="12" w:space="0"/>
              <w:right w:val="single" w:color="auto" w:sz="12" w:space="0"/>
            </w:tcBorders>
            <w:vAlign w:val="center"/>
          </w:tcPr>
          <w:p w:rsidRPr="00826F71" w:rsidR="001844B6" w:rsidP="005A3880" w:rsidRDefault="001844B6" w14:paraId="46BAC235" w14:textId="77777777">
            <w:pPr>
              <w:pStyle w:val="IATableLabel"/>
            </w:pPr>
            <w:r w:rsidRPr="00826F71">
              <w:t xml:space="preserve">Low </w:t>
            </w:r>
          </w:p>
        </w:tc>
        <w:tc>
          <w:tcPr>
            <w:tcW w:w="1949" w:type="dxa"/>
            <w:tcBorders>
              <w:top w:val="single" w:color="auto" w:sz="12" w:space="0"/>
              <w:left w:val="single" w:color="auto" w:sz="12" w:space="0"/>
              <w:bottom w:val="single" w:color="auto" w:sz="12" w:space="0"/>
              <w:right w:val="single" w:color="auto" w:sz="12" w:space="0"/>
            </w:tcBorders>
            <w:vAlign w:val="center"/>
          </w:tcPr>
          <w:p w:rsidRPr="007E190E" w:rsidR="001844B6" w:rsidP="005A3880" w:rsidRDefault="001844B6" w14:paraId="05B943C0" w14:textId="77777777">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restart"/>
            <w:tcBorders>
              <w:top w:val="single" w:color="auto" w:sz="12" w:space="0"/>
              <w:left w:val="single" w:color="auto" w:sz="12" w:space="0"/>
              <w:right w:val="single" w:color="auto" w:sz="12" w:space="0"/>
            </w:tcBorders>
            <w:vAlign w:val="center"/>
          </w:tcPr>
          <w:p w:rsidRPr="007E190E" w:rsidR="001844B6" w:rsidP="007E190E" w:rsidRDefault="001844B6" w14:paraId="2F68BDB8" w14:textId="77777777">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64" w:type="dxa"/>
            <w:tcBorders>
              <w:top w:val="single" w:color="auto" w:sz="12" w:space="0"/>
              <w:left w:val="single" w:color="auto" w:sz="12" w:space="0"/>
              <w:bottom w:val="single" w:color="auto" w:sz="12" w:space="0"/>
              <w:right w:val="single" w:color="auto" w:sz="12" w:space="0"/>
            </w:tcBorders>
            <w:vAlign w:val="center"/>
          </w:tcPr>
          <w:p w:rsidRPr="007E190E" w:rsidR="001844B6" w:rsidP="005A3880" w:rsidRDefault="001844B6" w14:paraId="604312AF" w14:textId="77777777">
            <w:pPr>
              <w:pStyle w:val="POAA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2635" w:type="dxa"/>
            <w:gridSpan w:val="2"/>
            <w:tcBorders>
              <w:top w:val="single" w:color="auto" w:sz="12" w:space="0"/>
              <w:left w:val="single" w:color="auto" w:sz="12" w:space="0"/>
              <w:bottom w:val="single" w:color="auto" w:sz="12" w:space="0"/>
            </w:tcBorders>
            <w:vAlign w:val="center"/>
          </w:tcPr>
          <w:p w:rsidRPr="007E190E" w:rsidR="001844B6" w:rsidP="005A3880" w:rsidRDefault="001844B6" w14:paraId="0830B16C" w14:textId="77777777">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Pr="007E190E" w:rsidR="001844B6" w:rsidTr="3732F84E" w14:paraId="7EDA2791" w14:textId="77777777">
        <w:trPr>
          <w:trHeight w:val="352" w:hRule="exact"/>
        </w:trPr>
        <w:tc>
          <w:tcPr>
            <w:tcW w:w="2121" w:type="dxa"/>
            <w:tcBorders>
              <w:top w:val="single" w:color="auto" w:sz="12" w:space="0"/>
              <w:bottom w:val="single" w:color="auto" w:sz="12" w:space="0"/>
              <w:right w:val="single" w:color="auto" w:sz="12" w:space="0"/>
            </w:tcBorders>
            <w:vAlign w:val="center"/>
          </w:tcPr>
          <w:p w:rsidRPr="00826F71" w:rsidR="001844B6" w:rsidP="005A3880" w:rsidRDefault="001844B6" w14:paraId="2FBDD7E9" w14:textId="77777777">
            <w:pPr>
              <w:pStyle w:val="IATableLabel"/>
            </w:pPr>
            <w:r w:rsidRPr="00826F71">
              <w:t xml:space="preserve">High </w:t>
            </w:r>
          </w:p>
        </w:tc>
        <w:tc>
          <w:tcPr>
            <w:tcW w:w="1949" w:type="dxa"/>
            <w:tcBorders>
              <w:top w:val="single" w:color="auto" w:sz="12" w:space="0"/>
              <w:left w:val="single" w:color="auto" w:sz="12" w:space="0"/>
              <w:bottom w:val="single" w:color="auto" w:sz="12" w:space="0"/>
              <w:right w:val="single" w:color="auto" w:sz="12" w:space="0"/>
            </w:tcBorders>
            <w:vAlign w:val="center"/>
          </w:tcPr>
          <w:p w:rsidRPr="007E190E" w:rsidR="001844B6" w:rsidP="005A3880" w:rsidRDefault="001844B6" w14:paraId="2110C4D0" w14:textId="77777777">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790" w:type="dxa"/>
            <w:vMerge/>
            <w:vAlign w:val="center"/>
          </w:tcPr>
          <w:p w:rsidRPr="007E190E" w:rsidR="001844B6" w:rsidP="007E190E" w:rsidRDefault="001844B6" w14:paraId="1B5B17C3" w14:textId="77777777">
            <w:pPr>
              <w:pStyle w:val="IATableText"/>
              <w:jc w:val="right"/>
              <w:rPr>
                <w:sz w:val="20"/>
              </w:rPr>
            </w:pPr>
          </w:p>
        </w:tc>
        <w:tc>
          <w:tcPr>
            <w:tcW w:w="2864" w:type="dxa"/>
            <w:tcBorders>
              <w:top w:val="single" w:color="auto" w:sz="12" w:space="0"/>
              <w:left w:val="single" w:color="auto" w:sz="12" w:space="0"/>
              <w:bottom w:val="single" w:color="auto" w:sz="12" w:space="0"/>
              <w:right w:val="single" w:color="auto" w:sz="12" w:space="0"/>
            </w:tcBorders>
            <w:vAlign w:val="center"/>
          </w:tcPr>
          <w:p w:rsidRPr="007E190E" w:rsidR="001844B6" w:rsidP="005A3880" w:rsidRDefault="00230802" w14:paraId="10AB5029" w14:textId="364547D5">
            <w:pPr>
              <w:pStyle w:val="POAABenHigh"/>
              <w:rPr>
                <w:sz w:val="20"/>
              </w:rPr>
            </w:pPr>
            <w:r>
              <w:rPr>
                <w:sz w:val="20"/>
              </w:rPr>
              <w:t>£</w:t>
            </w:r>
            <w:r w:rsidR="00007A0C">
              <w:rPr>
                <w:sz w:val="20"/>
              </w:rPr>
              <w:t>6</w:t>
            </w:r>
          </w:p>
        </w:tc>
        <w:tc>
          <w:tcPr>
            <w:tcW w:w="2635" w:type="dxa"/>
            <w:gridSpan w:val="2"/>
            <w:tcBorders>
              <w:top w:val="single" w:color="auto" w:sz="12" w:space="0"/>
              <w:left w:val="single" w:color="auto" w:sz="12" w:space="0"/>
              <w:bottom w:val="single" w:color="auto" w:sz="12" w:space="0"/>
            </w:tcBorders>
            <w:vAlign w:val="center"/>
          </w:tcPr>
          <w:p w:rsidRPr="007E190E" w:rsidR="001844B6" w:rsidP="005A3880" w:rsidRDefault="001844B6" w14:paraId="172EF0D7" w14:textId="77777777">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Pr="007E190E" w:rsidR="001844B6" w:rsidTr="3732F84E" w14:paraId="20B66F08" w14:textId="77777777">
        <w:trPr>
          <w:trHeight w:val="352" w:hRule="exact"/>
        </w:trPr>
        <w:tc>
          <w:tcPr>
            <w:tcW w:w="2121" w:type="dxa"/>
            <w:tcBorders>
              <w:top w:val="single" w:color="auto" w:sz="12" w:space="0"/>
              <w:bottom w:val="single" w:color="auto" w:sz="12" w:space="0"/>
              <w:right w:val="single" w:color="auto" w:sz="12" w:space="0"/>
            </w:tcBorders>
            <w:shd w:val="clear" w:color="auto" w:fill="FFFFFF" w:themeFill="background1"/>
            <w:vAlign w:val="center"/>
          </w:tcPr>
          <w:p w:rsidRPr="00826F71" w:rsidR="001844B6" w:rsidP="005A3880" w:rsidRDefault="001844B6" w14:paraId="122CE01D" w14:textId="77777777">
            <w:pPr>
              <w:pStyle w:val="IATableLabel"/>
            </w:pPr>
            <w:r w:rsidRPr="00826F71">
              <w:t xml:space="preserve">Best </w:t>
            </w:r>
            <w:r>
              <w:t>E</w:t>
            </w:r>
            <w:r w:rsidRPr="00826F71">
              <w:t>stimate</w:t>
            </w:r>
          </w:p>
          <w:p w:rsidRPr="007E190E" w:rsidR="001844B6" w:rsidP="007E190E" w:rsidRDefault="001844B6" w14:paraId="5E9E6484" w14:textId="77777777">
            <w:pPr>
              <w:pStyle w:val="IATableNotes"/>
              <w:spacing w:before="96" w:beforeLines="40"/>
              <w:ind w:left="0" w:right="-22"/>
              <w:jc w:val="center"/>
              <w:rPr>
                <w:rFonts w:cs="Arial"/>
                <w:b/>
                <w:sz w:val="20"/>
              </w:rPr>
            </w:pPr>
          </w:p>
        </w:tc>
        <w:tc>
          <w:tcPr>
            <w:tcW w:w="1949"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7E190E" w:rsidR="001844B6" w:rsidP="005A3880" w:rsidRDefault="00230802" w14:paraId="7D830DB1" w14:textId="57CB7503">
            <w:pPr>
              <w:pStyle w:val="POTTBenBest"/>
              <w:rPr>
                <w:sz w:val="20"/>
              </w:rPr>
            </w:pPr>
            <w:r>
              <w:rPr>
                <w:sz w:val="20"/>
              </w:rPr>
              <w:t>N/A</w:t>
            </w:r>
          </w:p>
        </w:tc>
        <w:tc>
          <w:tcPr>
            <w:tcW w:w="790" w:type="dxa"/>
            <w:vMerge/>
            <w:vAlign w:val="center"/>
          </w:tcPr>
          <w:p w:rsidRPr="007E190E" w:rsidR="001844B6" w:rsidP="007E190E" w:rsidRDefault="001844B6" w14:paraId="27B1352A" w14:textId="77777777">
            <w:pPr>
              <w:pStyle w:val="IATableText"/>
              <w:jc w:val="right"/>
              <w:rPr>
                <w:sz w:val="20"/>
              </w:rPr>
            </w:pPr>
          </w:p>
        </w:tc>
        <w:tc>
          <w:tcPr>
            <w:tcW w:w="2864"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7E190E" w:rsidR="001844B6" w:rsidP="005A3880" w:rsidRDefault="00230802" w14:paraId="54515B75" w14:textId="44B818D1">
            <w:pPr>
              <w:pStyle w:val="POAABenBest"/>
              <w:rPr>
                <w:sz w:val="20"/>
              </w:rPr>
            </w:pPr>
            <w:r>
              <w:rPr>
                <w:sz w:val="20"/>
              </w:rPr>
              <w:t>£</w:t>
            </w:r>
            <w:r w:rsidR="00C80F57">
              <w:rPr>
                <w:sz w:val="20"/>
              </w:rPr>
              <w:t>5</w:t>
            </w:r>
          </w:p>
        </w:tc>
        <w:tc>
          <w:tcPr>
            <w:tcW w:w="2635" w:type="dxa"/>
            <w:gridSpan w:val="2"/>
            <w:tcBorders>
              <w:top w:val="single" w:color="auto" w:sz="12" w:space="0"/>
              <w:left w:val="single" w:color="auto" w:sz="12" w:space="0"/>
              <w:bottom w:val="single" w:color="auto" w:sz="12" w:space="0"/>
            </w:tcBorders>
            <w:shd w:val="clear" w:color="auto" w:fill="FFFFFF" w:themeFill="background1"/>
            <w:vAlign w:val="center"/>
          </w:tcPr>
          <w:p w:rsidRPr="007E190E" w:rsidR="001844B6" w:rsidP="005A3880" w:rsidRDefault="001844B6" w14:paraId="502E711E" w14:textId="77777777">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r>
      <w:tr w:rsidRPr="00826F71" w:rsidR="001844B6" w:rsidTr="000171D3" w14:paraId="48F6B96F" w14:textId="77777777">
        <w:trPr>
          <w:trHeight w:val="1123" w:hRule="exact"/>
        </w:trPr>
        <w:tc>
          <w:tcPr>
            <w:tcW w:w="10360" w:type="dxa"/>
            <w:gridSpan w:val="6"/>
            <w:tcBorders>
              <w:bottom w:val="single" w:color="auto" w:sz="12" w:space="0"/>
            </w:tcBorders>
          </w:tcPr>
          <w:p w:rsidRPr="007E190E" w:rsidR="001844B6" w:rsidP="005A3880" w:rsidRDefault="001844B6" w14:paraId="11CE454C" w14:textId="77777777">
            <w:pPr>
              <w:pStyle w:val="IPPOQ3"/>
              <w:rPr>
                <w:szCs w:val="22"/>
              </w:rPr>
            </w:pPr>
            <w:r w:rsidRPr="00544292">
              <w:t xml:space="preserve">Description and scale of </w:t>
            </w:r>
            <w:r w:rsidRPr="00826F71">
              <w:t xml:space="preserve">key monetised </w:t>
            </w:r>
            <w:r>
              <w:t>benefits</w:t>
            </w:r>
            <w:r w:rsidRPr="00544292">
              <w:t xml:space="preserve"> by ‘main affected groups’ </w:t>
            </w:r>
          </w:p>
          <w:p w:rsidRPr="00826F71" w:rsidR="001844B6" w:rsidP="008A76B0" w:rsidRDefault="00121520" w14:paraId="314541B6" w14:textId="48C0A7B9">
            <w:pPr>
              <w:pStyle w:val="IATableLabel"/>
            </w:pPr>
            <w:r>
              <w:rPr>
                <w:b w:val="0"/>
              </w:rPr>
              <w:t xml:space="preserve">The proposed changes to the </w:t>
            </w:r>
            <w:r w:rsidR="000621ED">
              <w:rPr>
                <w:b w:val="0"/>
              </w:rPr>
              <w:t>HwF</w:t>
            </w:r>
            <w:r>
              <w:rPr>
                <w:b w:val="0"/>
              </w:rPr>
              <w:t xml:space="preserve"> scheme are expected to increase the value of fee remissions by around £</w:t>
            </w:r>
            <w:r w:rsidR="00007A0C">
              <w:rPr>
                <w:b w:val="0"/>
              </w:rPr>
              <w:t>6</w:t>
            </w:r>
            <w:r>
              <w:rPr>
                <w:b w:val="0"/>
              </w:rPr>
              <w:t>-</w:t>
            </w:r>
            <w:r w:rsidR="00007A0C">
              <w:rPr>
                <w:b w:val="0"/>
              </w:rPr>
              <w:t>7</w:t>
            </w:r>
            <w:r>
              <w:rPr>
                <w:b w:val="0"/>
              </w:rPr>
              <w:t>m</w:t>
            </w:r>
            <w:r w:rsidR="001C0650">
              <w:rPr>
                <w:b w:val="0"/>
              </w:rPr>
              <w:t xml:space="preserve"> p.a.</w:t>
            </w:r>
            <w:r>
              <w:rPr>
                <w:b w:val="0"/>
              </w:rPr>
              <w:t>; this is £5</w:t>
            </w:r>
            <w:r w:rsidR="00007A0C">
              <w:rPr>
                <w:b w:val="0"/>
              </w:rPr>
              <w:t>-6</w:t>
            </w:r>
            <w:r>
              <w:rPr>
                <w:b w:val="0"/>
              </w:rPr>
              <w:t xml:space="preserve">m per annum after </w:t>
            </w:r>
            <w:r w:rsidR="00F35F69">
              <w:rPr>
                <w:b w:val="0"/>
              </w:rPr>
              <w:t>con</w:t>
            </w:r>
            <w:r w:rsidR="008A76B0">
              <w:rPr>
                <w:b w:val="0"/>
              </w:rPr>
              <w:t>version</w:t>
            </w:r>
            <w:r>
              <w:rPr>
                <w:b w:val="0"/>
              </w:rPr>
              <w:t xml:space="preserve"> to </w:t>
            </w:r>
            <w:r w:rsidR="008A76B0">
              <w:rPr>
                <w:b w:val="0"/>
              </w:rPr>
              <w:t>real prices.</w:t>
            </w:r>
            <w:r>
              <w:rPr>
                <w:b w:val="0"/>
              </w:rPr>
              <w:t xml:space="preserve"> </w:t>
            </w:r>
          </w:p>
        </w:tc>
      </w:tr>
      <w:tr w:rsidRPr="00826F71" w:rsidR="001844B6" w:rsidTr="00DD5DA5" w14:paraId="258A9ADB" w14:textId="77777777">
        <w:trPr>
          <w:trHeight w:val="767" w:hRule="exact"/>
        </w:trPr>
        <w:tc>
          <w:tcPr>
            <w:tcW w:w="10360" w:type="dxa"/>
            <w:gridSpan w:val="6"/>
            <w:tcBorders>
              <w:top w:val="single" w:color="auto" w:sz="12" w:space="0"/>
            </w:tcBorders>
          </w:tcPr>
          <w:p w:rsidRPr="007E190E" w:rsidR="001844B6" w:rsidP="005A3880" w:rsidRDefault="001844B6" w14:paraId="3C34BAC1" w14:textId="77777777">
            <w:pPr>
              <w:pStyle w:val="IAPOQ4"/>
              <w:rPr>
                <w:szCs w:val="22"/>
              </w:rPr>
            </w:pPr>
            <w:r w:rsidRPr="00544292">
              <w:t>Other</w:t>
            </w:r>
            <w:r w:rsidRPr="00826F71">
              <w:t xml:space="preserve"> key non-monetised </w:t>
            </w:r>
            <w:r>
              <w:t>benefits</w:t>
            </w:r>
            <w:r w:rsidRPr="00544292">
              <w:t xml:space="preserve"> by ‘main affected groups’ </w:t>
            </w:r>
          </w:p>
          <w:p w:rsidRPr="00826F71" w:rsidR="001844B6" w:rsidP="00121520" w:rsidRDefault="00121520" w14:paraId="4DED5960" w14:textId="4428B42C">
            <w:pPr>
              <w:pStyle w:val="IAPOA4"/>
              <w:ind w:left="0"/>
            </w:pPr>
            <w:r>
              <w:t xml:space="preserve"> </w:t>
            </w:r>
            <w:r w:rsidRPr="005B4E69">
              <w:rPr>
                <w:sz w:val="20"/>
              </w:rPr>
              <w:t>None</w:t>
            </w:r>
          </w:p>
        </w:tc>
      </w:tr>
      <w:tr w:rsidRPr="00826F71" w:rsidR="001844B6" w:rsidTr="003D0F10" w14:paraId="6A1C8944" w14:textId="77777777">
        <w:trPr>
          <w:trHeight w:val="350" w:hRule="exact"/>
        </w:trPr>
        <w:tc>
          <w:tcPr>
            <w:tcW w:w="9500" w:type="dxa"/>
            <w:gridSpan w:val="5"/>
            <w:tcBorders>
              <w:top w:val="single" w:color="auto" w:sz="12" w:space="0"/>
              <w:bottom w:val="single" w:color="auto" w:sz="12" w:space="0"/>
              <w:right w:val="single" w:color="auto" w:sz="12" w:space="0"/>
            </w:tcBorders>
          </w:tcPr>
          <w:p w:rsidR="001844B6" w:rsidP="007E190E" w:rsidRDefault="001844B6" w14:paraId="51639B60" w14:textId="77777777">
            <w:pPr>
              <w:pStyle w:val="IATableLabel"/>
              <w:tabs>
                <w:tab w:val="left" w:pos="7655"/>
              </w:tabs>
            </w:pPr>
            <w:r w:rsidRPr="00F1653E">
              <w:rPr>
                <w:rStyle w:val="IAPOQ5Char"/>
                <w:b/>
              </w:rPr>
              <w:t>Key assumptions/sensitivities/risks</w:t>
            </w:r>
            <w:r>
              <w:tab/>
            </w:r>
            <w:r>
              <w:t>Discount rate (%)</w:t>
            </w:r>
          </w:p>
          <w:p w:rsidRPr="00455895" w:rsidR="001844B6" w:rsidP="005A3880" w:rsidRDefault="001844B6" w14:paraId="754C8737" w14:textId="77777777">
            <w:pPr>
              <w:pStyle w:val="IATableLabel"/>
            </w:pPr>
          </w:p>
        </w:tc>
        <w:tc>
          <w:tcPr>
            <w:tcW w:w="859" w:type="dxa"/>
            <w:tcBorders>
              <w:top w:val="single" w:color="auto" w:sz="12" w:space="0"/>
              <w:left w:val="single" w:color="auto" w:sz="12" w:space="0"/>
              <w:bottom w:val="single" w:color="auto" w:sz="12" w:space="0"/>
            </w:tcBorders>
          </w:tcPr>
          <w:p w:rsidRPr="007E6CF8" w:rsidR="001844B6" w:rsidP="005A3880" w:rsidRDefault="001844B6" w14:paraId="13EC44EA" w14:textId="4E757E0F">
            <w:pPr>
              <w:pStyle w:val="IAPODisRate"/>
            </w:pPr>
          </w:p>
        </w:tc>
      </w:tr>
      <w:tr w:rsidRPr="007E190E" w:rsidR="001844B6" w:rsidTr="007437B5" w14:paraId="794359BD" w14:textId="77777777">
        <w:trPr>
          <w:trHeight w:val="2923" w:hRule="exact"/>
        </w:trPr>
        <w:tc>
          <w:tcPr>
            <w:tcW w:w="10360" w:type="dxa"/>
            <w:gridSpan w:val="6"/>
            <w:tcBorders>
              <w:top w:val="nil"/>
              <w:bottom w:val="single" w:color="auto" w:sz="12" w:space="0"/>
            </w:tcBorders>
          </w:tcPr>
          <w:p w:rsidR="00E6233D" w:rsidP="005B5EFC" w:rsidRDefault="000766DE" w14:paraId="0D03CE50" w14:textId="5C0718A4">
            <w:pPr>
              <w:ind w:left="113"/>
              <w:rPr>
                <w:sz w:val="20"/>
                <w:szCs w:val="20"/>
              </w:rPr>
            </w:pPr>
            <w:r w:rsidRPr="008E7420">
              <w:rPr>
                <w:sz w:val="20"/>
                <w:szCs w:val="20"/>
              </w:rPr>
              <w:t xml:space="preserve">The </w:t>
            </w:r>
            <w:r w:rsidR="00E6233D">
              <w:rPr>
                <w:sz w:val="20"/>
                <w:szCs w:val="20"/>
              </w:rPr>
              <w:t>following assumptions have been made when estimating the impacts in this IA:</w:t>
            </w:r>
          </w:p>
          <w:p w:rsidR="00E6233D" w:rsidP="00E6233D" w:rsidRDefault="000766DE" w14:paraId="0B18E339" w14:textId="77777777">
            <w:pPr>
              <w:pStyle w:val="ListParagraph"/>
              <w:numPr>
                <w:ilvl w:val="0"/>
                <w:numId w:val="40"/>
              </w:numPr>
              <w:rPr>
                <w:sz w:val="20"/>
                <w:szCs w:val="20"/>
              </w:rPr>
            </w:pPr>
            <w:r w:rsidRPr="008E6D19">
              <w:rPr>
                <w:sz w:val="20"/>
                <w:szCs w:val="20"/>
              </w:rPr>
              <w:t>The estimate</w:t>
            </w:r>
            <w:r w:rsidRPr="008E6D19" w:rsidR="006220C8">
              <w:rPr>
                <w:sz w:val="20"/>
                <w:szCs w:val="20"/>
              </w:rPr>
              <w:t>s</w:t>
            </w:r>
            <w:r>
              <w:rPr>
                <w:sz w:val="20"/>
                <w:szCs w:val="20"/>
              </w:rPr>
              <w:t xml:space="preserve"> of costs and benefits</w:t>
            </w:r>
            <w:r w:rsidRPr="008E7420">
              <w:rPr>
                <w:sz w:val="20"/>
                <w:szCs w:val="20"/>
              </w:rPr>
              <w:t xml:space="preserve"> are approximations that have been calculated using income and benefit data provided to us by</w:t>
            </w:r>
            <w:r>
              <w:rPr>
                <w:sz w:val="20"/>
                <w:szCs w:val="20"/>
              </w:rPr>
              <w:t xml:space="preserve"> the Department for Work and Pensions</w:t>
            </w:r>
            <w:r w:rsidRPr="008E7420">
              <w:rPr>
                <w:sz w:val="20"/>
                <w:szCs w:val="20"/>
              </w:rPr>
              <w:t xml:space="preserve"> </w:t>
            </w:r>
            <w:r>
              <w:rPr>
                <w:sz w:val="20"/>
                <w:szCs w:val="20"/>
              </w:rPr>
              <w:t>(</w:t>
            </w:r>
            <w:r w:rsidRPr="008E7420">
              <w:rPr>
                <w:sz w:val="20"/>
                <w:szCs w:val="20"/>
              </w:rPr>
              <w:t>DWP</w:t>
            </w:r>
            <w:r>
              <w:rPr>
                <w:sz w:val="20"/>
                <w:szCs w:val="20"/>
              </w:rPr>
              <w:t>)</w:t>
            </w:r>
            <w:r w:rsidRPr="008E7420">
              <w:rPr>
                <w:sz w:val="20"/>
                <w:szCs w:val="20"/>
              </w:rPr>
              <w:t xml:space="preserve">. </w:t>
            </w:r>
          </w:p>
          <w:p w:rsidR="00E6233D" w:rsidP="00E6233D" w:rsidRDefault="000766DE" w14:paraId="0BECE014" w14:textId="26A39B69">
            <w:pPr>
              <w:pStyle w:val="ListParagraph"/>
              <w:numPr>
                <w:ilvl w:val="0"/>
                <w:numId w:val="40"/>
              </w:numPr>
              <w:rPr>
                <w:sz w:val="20"/>
                <w:szCs w:val="20"/>
              </w:rPr>
            </w:pPr>
            <w:r w:rsidRPr="008E7420">
              <w:rPr>
                <w:sz w:val="20"/>
                <w:szCs w:val="20"/>
              </w:rPr>
              <w:t>Eligibility is calculated under the current system and the proposed system using a</w:t>
            </w:r>
            <w:r>
              <w:rPr>
                <w:sz w:val="20"/>
                <w:szCs w:val="20"/>
              </w:rPr>
              <w:t>n average</w:t>
            </w:r>
            <w:r w:rsidRPr="008E7420">
              <w:rPr>
                <w:sz w:val="20"/>
                <w:szCs w:val="20"/>
              </w:rPr>
              <w:t xml:space="preserve"> fee</w:t>
            </w:r>
            <w:r>
              <w:rPr>
                <w:sz w:val="20"/>
                <w:szCs w:val="20"/>
              </w:rPr>
              <w:t xml:space="preserve"> </w:t>
            </w:r>
            <w:r w:rsidRPr="008E7420">
              <w:rPr>
                <w:sz w:val="20"/>
                <w:szCs w:val="20"/>
              </w:rPr>
              <w:t xml:space="preserve">for each jurisdiction. </w:t>
            </w:r>
          </w:p>
          <w:p w:rsidR="00E6233D" w:rsidP="00E6233D" w:rsidRDefault="000766DE" w14:paraId="2231D9DF" w14:textId="565E3819">
            <w:pPr>
              <w:pStyle w:val="ListParagraph"/>
              <w:numPr>
                <w:ilvl w:val="0"/>
                <w:numId w:val="40"/>
              </w:numPr>
              <w:rPr>
                <w:sz w:val="20"/>
                <w:szCs w:val="20"/>
              </w:rPr>
            </w:pPr>
            <w:r w:rsidRPr="008E7420">
              <w:rPr>
                <w:sz w:val="20"/>
                <w:szCs w:val="20"/>
              </w:rPr>
              <w:t xml:space="preserve">The proportional change in eligibility is applied to current </w:t>
            </w:r>
            <w:r w:rsidR="00C1180B">
              <w:rPr>
                <w:sz w:val="20"/>
                <w:szCs w:val="20"/>
              </w:rPr>
              <w:t>remissions</w:t>
            </w:r>
            <w:r w:rsidRPr="008E7420">
              <w:rPr>
                <w:sz w:val="20"/>
                <w:szCs w:val="20"/>
              </w:rPr>
              <w:t xml:space="preserve"> to estimate the </w:t>
            </w:r>
            <w:r w:rsidR="0047739D">
              <w:rPr>
                <w:sz w:val="20"/>
                <w:szCs w:val="20"/>
              </w:rPr>
              <w:t>additional amount of fee income remitted</w:t>
            </w:r>
            <w:r w:rsidRPr="008E7420">
              <w:rPr>
                <w:sz w:val="20"/>
                <w:szCs w:val="20"/>
              </w:rPr>
              <w:t xml:space="preserve"> from the proposed policy. </w:t>
            </w:r>
          </w:p>
          <w:p w:rsidR="00E6233D" w:rsidP="00E6233D" w:rsidRDefault="000766DE" w14:paraId="63D5B4AB" w14:textId="462A40DB">
            <w:pPr>
              <w:pStyle w:val="ListParagraph"/>
              <w:numPr>
                <w:ilvl w:val="0"/>
                <w:numId w:val="40"/>
              </w:numPr>
              <w:rPr>
                <w:sz w:val="20"/>
                <w:szCs w:val="20"/>
              </w:rPr>
            </w:pPr>
            <w:r w:rsidRPr="008E7420">
              <w:rPr>
                <w:sz w:val="20"/>
                <w:szCs w:val="20"/>
              </w:rPr>
              <w:t xml:space="preserve">The DWP data </w:t>
            </w:r>
            <w:r w:rsidR="00E6233D">
              <w:rPr>
                <w:sz w:val="20"/>
                <w:szCs w:val="20"/>
              </w:rPr>
              <w:t>has been</w:t>
            </w:r>
            <w:r w:rsidRPr="008E7420">
              <w:rPr>
                <w:sz w:val="20"/>
                <w:szCs w:val="20"/>
              </w:rPr>
              <w:t xml:space="preserve"> weighted to make it more representative of court users</w:t>
            </w:r>
            <w:r>
              <w:rPr>
                <w:sz w:val="20"/>
                <w:szCs w:val="20"/>
              </w:rPr>
              <w:t xml:space="preserve"> using available data on the characteristics of court users. However, as the income of civil court claimants is not recorded, the estimates here are an approximation and</w:t>
            </w:r>
            <w:r w:rsidRPr="008E7420">
              <w:rPr>
                <w:sz w:val="20"/>
                <w:szCs w:val="20"/>
              </w:rPr>
              <w:t xml:space="preserve"> actual income foregone may be higher or lower than that reported </w:t>
            </w:r>
            <w:r>
              <w:rPr>
                <w:sz w:val="20"/>
                <w:szCs w:val="20"/>
              </w:rPr>
              <w:t>here.</w:t>
            </w:r>
            <w:r w:rsidR="003D0F10">
              <w:rPr>
                <w:sz w:val="20"/>
                <w:szCs w:val="20"/>
              </w:rPr>
              <w:t xml:space="preserve"> </w:t>
            </w:r>
          </w:p>
          <w:p w:rsidR="00E41522" w:rsidP="00E41522" w:rsidRDefault="003D0F10" w14:paraId="2256691C" w14:textId="73AF5CCE">
            <w:pPr>
              <w:pStyle w:val="ListParagraph"/>
              <w:numPr>
                <w:ilvl w:val="0"/>
                <w:numId w:val="40"/>
              </w:numPr>
              <w:rPr>
                <w:sz w:val="20"/>
                <w:szCs w:val="20"/>
              </w:rPr>
            </w:pPr>
            <w:r>
              <w:rPr>
                <w:sz w:val="20"/>
                <w:szCs w:val="20"/>
              </w:rPr>
              <w:t xml:space="preserve">Income thresholds have been inflated </w:t>
            </w:r>
            <w:r w:rsidR="00187D13">
              <w:rPr>
                <w:sz w:val="20"/>
                <w:szCs w:val="20"/>
              </w:rPr>
              <w:t>using</w:t>
            </w:r>
            <w:r w:rsidR="006A2778">
              <w:rPr>
                <w:sz w:val="20"/>
                <w:szCs w:val="20"/>
              </w:rPr>
              <w:t xml:space="preserve"> CPIH.</w:t>
            </w:r>
          </w:p>
          <w:p w:rsidR="007437B5" w:rsidP="00E41522" w:rsidRDefault="007437B5" w14:paraId="29884ABD" w14:textId="050F3D38">
            <w:pPr>
              <w:pStyle w:val="ListParagraph"/>
              <w:numPr>
                <w:ilvl w:val="0"/>
                <w:numId w:val="40"/>
              </w:numPr>
              <w:rPr>
                <w:sz w:val="20"/>
                <w:szCs w:val="20"/>
              </w:rPr>
            </w:pPr>
            <w:r>
              <w:rPr>
                <w:sz w:val="20"/>
                <w:szCs w:val="20"/>
              </w:rPr>
              <w:t>The analysis uses fee remissions in 2019/20 as a baseline.</w:t>
            </w:r>
          </w:p>
          <w:p w:rsidRPr="00E41522" w:rsidR="007437B5" w:rsidP="007437B5" w:rsidRDefault="007437B5" w14:paraId="04A2523E" w14:textId="0EC3415E">
            <w:pPr>
              <w:pStyle w:val="ListParagraph"/>
              <w:rPr>
                <w:sz w:val="20"/>
                <w:szCs w:val="20"/>
              </w:rPr>
            </w:pPr>
          </w:p>
          <w:p w:rsidR="005B5EFC" w:rsidP="005B5EFC" w:rsidRDefault="005B5EFC" w14:paraId="499ECE51" w14:textId="1FFBD286">
            <w:pPr>
              <w:pStyle w:val="ListParagraph"/>
              <w:rPr>
                <w:sz w:val="20"/>
                <w:szCs w:val="20"/>
              </w:rPr>
            </w:pPr>
          </w:p>
          <w:p w:rsidR="003D0F10" w:rsidP="000766DE" w:rsidRDefault="003D0F10" w14:paraId="45C2FF35" w14:textId="77777777">
            <w:pPr>
              <w:rPr>
                <w:sz w:val="20"/>
                <w:szCs w:val="20"/>
              </w:rPr>
            </w:pPr>
          </w:p>
          <w:p w:rsidRPr="00544292" w:rsidR="001844B6" w:rsidP="005A3880" w:rsidRDefault="001844B6" w14:paraId="63CAE1BF" w14:textId="30484658">
            <w:pPr>
              <w:pStyle w:val="IAPOA5"/>
            </w:pPr>
          </w:p>
        </w:tc>
      </w:tr>
    </w:tbl>
    <w:p w:rsidR="001844B6" w:rsidP="005A3880" w:rsidRDefault="001844B6" w14:paraId="27D6A372" w14:textId="77777777">
      <w:pPr>
        <w:pStyle w:val="IASpacer"/>
      </w:pPr>
    </w:p>
    <w:p w:rsidR="0005543F" w:rsidP="005A3880" w:rsidRDefault="0005543F" w14:paraId="2A963596" w14:textId="0C738676">
      <w:pPr>
        <w:pStyle w:val="IAHeadLabel"/>
        <w:spacing w:before="50"/>
      </w:pPr>
    </w:p>
    <w:p w:rsidR="001844B6" w:rsidP="005A3880" w:rsidRDefault="00F63895" w14:paraId="70490296" w14:textId="136F2975">
      <w:pPr>
        <w:pStyle w:val="IAHeadLabel"/>
        <w:spacing w:before="50"/>
      </w:pPr>
      <w:r>
        <w:t xml:space="preserve">BUSINESS </w:t>
      </w:r>
      <w:r w:rsidR="001844B6">
        <w:t xml:space="preserve">ASSESSMENT (Option </w:t>
      </w:r>
      <w:r w:rsidR="001E69A2">
        <w:rPr>
          <w:noProof/>
        </w:rPr>
        <w:fldChar w:fldCharType="begin"/>
      </w:r>
      <w:r w:rsidR="001E69A2">
        <w:rPr>
          <w:noProof/>
        </w:rPr>
        <w:instrText xml:space="preserve"> SEQ BA </w:instrText>
      </w:r>
      <w:r w:rsidR="001E69A2">
        <w:rPr>
          <w:noProof/>
        </w:rPr>
        <w:fldChar w:fldCharType="separate"/>
      </w:r>
      <w:r w:rsidR="00044FE7">
        <w:rPr>
          <w:noProof/>
        </w:rPr>
        <w:t>1</w:t>
      </w:r>
      <w:r w:rsidR="001E69A2">
        <w:rPr>
          <w:noProof/>
        </w:rPr>
        <w:fldChar w:fldCharType="end"/>
      </w:r>
      <w:r w:rsidR="001844B6">
        <w:t>)</w:t>
      </w:r>
    </w:p>
    <w:tbl>
      <w:tblPr>
        <w:tblW w:w="5067" w:type="pct"/>
        <w:tblInd w:w="-137"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1952"/>
        <w:gridCol w:w="1812"/>
        <w:gridCol w:w="1672"/>
        <w:gridCol w:w="4740"/>
        <w:gridCol w:w="135"/>
      </w:tblGrid>
      <w:tr w:rsidRPr="000E02BE" w:rsidR="00FD4195" w:rsidTr="00D64409" w14:paraId="1F316219" w14:textId="77777777">
        <w:trPr>
          <w:gridAfter w:val="1"/>
          <w:wAfter w:w="137" w:type="dxa"/>
          <w:trHeight w:val="384" w:hRule="exact"/>
        </w:trPr>
        <w:tc>
          <w:tcPr>
            <w:tcW w:w="5529" w:type="dxa"/>
            <w:gridSpan w:val="3"/>
            <w:tcBorders>
              <w:top w:val="single" w:color="auto" w:sz="12" w:space="0"/>
              <w:left w:val="single" w:color="auto" w:sz="12" w:space="0"/>
              <w:bottom w:val="nil"/>
              <w:right w:val="single" w:color="auto" w:sz="12" w:space="0"/>
            </w:tcBorders>
          </w:tcPr>
          <w:p w:rsidRPr="000E02BE" w:rsidR="00FD4195" w:rsidP="005A3880" w:rsidRDefault="00FD4195" w14:paraId="3BF51AD8" w14:textId="77777777">
            <w:pPr>
              <w:pStyle w:val="IATableLabel"/>
            </w:pPr>
            <w:r w:rsidRPr="000E02BE">
              <w:t xml:space="preserve">Direct impact on </w:t>
            </w:r>
            <w:r>
              <w:t>business (Equivalent Annual) £m</w:t>
            </w:r>
            <w:r w:rsidRPr="000E02BE">
              <w:t xml:space="preserve">: </w:t>
            </w:r>
          </w:p>
        </w:tc>
        <w:tc>
          <w:tcPr>
            <w:tcW w:w="4823" w:type="dxa"/>
            <w:vMerge w:val="restart"/>
            <w:tcBorders>
              <w:top w:val="single" w:color="auto" w:sz="12" w:space="0"/>
              <w:left w:val="single" w:color="auto" w:sz="12" w:space="0"/>
              <w:right w:val="single" w:color="auto" w:sz="12" w:space="0"/>
            </w:tcBorders>
          </w:tcPr>
          <w:p w:rsidRPr="000E02BE" w:rsidR="00FD4195" w:rsidP="00C96388" w:rsidRDefault="00FD4195" w14:paraId="4513AF1A" w14:textId="77777777">
            <w:pPr>
              <w:pStyle w:val="IATableLabel"/>
            </w:pPr>
            <w:r>
              <w:t>Score for Business Impact Target (qualifying provisions only)</w:t>
            </w:r>
            <w:r w:rsidR="00C96388">
              <w:t xml:space="preserve"> £m:</w:t>
            </w:r>
          </w:p>
        </w:tc>
      </w:tr>
      <w:tr w:rsidRPr="00E75380" w:rsidR="00FD4195" w:rsidTr="00D64409" w14:paraId="195CC3CB" w14:textId="77777777">
        <w:trPr>
          <w:gridAfter w:val="1"/>
          <w:wAfter w:w="137" w:type="dxa"/>
          <w:trHeight w:val="340" w:hRule="exact"/>
        </w:trPr>
        <w:tc>
          <w:tcPr>
            <w:tcW w:w="1985" w:type="dxa"/>
            <w:tcBorders>
              <w:top w:val="single" w:color="auto" w:sz="12" w:space="0"/>
              <w:left w:val="single" w:color="auto" w:sz="12" w:space="0"/>
              <w:right w:val="single" w:color="auto" w:sz="12" w:space="0"/>
            </w:tcBorders>
            <w:shd w:val="clear" w:color="auto" w:fill="FFFFFF"/>
          </w:tcPr>
          <w:p w:rsidRPr="00F63895" w:rsidR="00FD4195" w:rsidP="005A3880" w:rsidRDefault="00FD4195" w14:paraId="448D10E7" w14:textId="065CC3D5">
            <w:pPr>
              <w:pStyle w:val="IATableLabel"/>
            </w:pPr>
            <w:r w:rsidRPr="00F63895">
              <w:t xml:space="preserve">Costs: </w:t>
            </w:r>
            <w:bookmarkStart w:name="Text67" w:id="24"/>
            <w:r w:rsidRPr="00F63895">
              <w:rPr>
                <w:rStyle w:val="IAPODICostChar"/>
                <w:b/>
                <w:sz w:val="20"/>
              </w:rPr>
              <w:fldChar w:fldCharType="begin">
                <w:ffData>
                  <w:name w:val="Text67"/>
                  <w:enabled/>
                  <w:calcOnExit w:val="0"/>
                  <w:textInput>
                    <w:maxLength w:val="9"/>
                  </w:textInput>
                </w:ffData>
              </w:fldChar>
            </w:r>
            <w:r w:rsidRPr="00F63895">
              <w:rPr>
                <w:rStyle w:val="IAPODICostChar"/>
                <w:b/>
                <w:sz w:val="20"/>
              </w:rPr>
              <w:instrText xml:space="preserve"> FORMTEXT </w:instrText>
            </w:r>
            <w:r w:rsidRPr="00F63895">
              <w:rPr>
                <w:rStyle w:val="IAPODICostChar"/>
                <w:b/>
                <w:sz w:val="20"/>
              </w:rPr>
            </w:r>
            <w:r w:rsidRPr="00F63895">
              <w:rPr>
                <w:rStyle w:val="IAPODICostChar"/>
                <w:b/>
                <w:sz w:val="20"/>
              </w:rPr>
              <w:fldChar w:fldCharType="separate"/>
            </w:r>
            <w:r w:rsidRPr="00F63895">
              <w:rPr>
                <w:rStyle w:val="IAPODICostChar"/>
                <w:noProof/>
                <w:sz w:val="20"/>
              </w:rPr>
              <w:t> </w:t>
            </w:r>
            <w:r w:rsidRPr="00F63895">
              <w:rPr>
                <w:rStyle w:val="IAPODICostChar"/>
                <w:noProof/>
                <w:sz w:val="20"/>
              </w:rPr>
              <w:t> </w:t>
            </w:r>
            <w:r w:rsidRPr="00F63895">
              <w:rPr>
                <w:rStyle w:val="IAPODICostChar"/>
                <w:noProof/>
                <w:sz w:val="20"/>
              </w:rPr>
              <w:t> </w:t>
            </w:r>
            <w:r w:rsidRPr="00F63895">
              <w:rPr>
                <w:rStyle w:val="IAPODICostChar"/>
                <w:noProof/>
                <w:sz w:val="20"/>
              </w:rPr>
              <w:t> </w:t>
            </w:r>
            <w:r w:rsidRPr="00F63895">
              <w:rPr>
                <w:rStyle w:val="IAPODICostChar"/>
                <w:noProof/>
                <w:sz w:val="20"/>
              </w:rPr>
              <w:t> </w:t>
            </w:r>
            <w:r w:rsidRPr="00F63895">
              <w:rPr>
                <w:rStyle w:val="IAPODICostChar"/>
                <w:b/>
                <w:sz w:val="20"/>
              </w:rPr>
              <w:fldChar w:fldCharType="end"/>
            </w:r>
            <w:bookmarkEnd w:id="24"/>
            <w:r w:rsidRPr="000766DE" w:rsidR="000766DE">
              <w:rPr>
                <w:rStyle w:val="IAPODICostChar"/>
                <w:sz w:val="20"/>
              </w:rPr>
              <w:t>N/A</w:t>
            </w:r>
          </w:p>
        </w:tc>
        <w:tc>
          <w:tcPr>
            <w:tcW w:w="1843" w:type="dxa"/>
            <w:tcBorders>
              <w:top w:val="single" w:color="auto" w:sz="12" w:space="0"/>
              <w:left w:val="single" w:color="auto" w:sz="12" w:space="0"/>
              <w:right w:val="single" w:color="auto" w:sz="12" w:space="0"/>
            </w:tcBorders>
            <w:shd w:val="clear" w:color="auto" w:fill="FFFFFF"/>
          </w:tcPr>
          <w:p w:rsidRPr="00F63895" w:rsidR="00FD4195" w:rsidP="005A3880" w:rsidRDefault="00FD4195" w14:paraId="72CE541E" w14:textId="35AE4AB0">
            <w:pPr>
              <w:pStyle w:val="IATableLabel"/>
            </w:pPr>
            <w:r w:rsidRPr="00F63895">
              <w:t xml:space="preserve">Benefits: </w:t>
            </w:r>
            <w:r w:rsidR="000766DE">
              <w:rPr>
                <w:rStyle w:val="IAPODIBenChar"/>
                <w:sz w:val="20"/>
              </w:rPr>
              <w:t>N/A</w:t>
            </w:r>
          </w:p>
        </w:tc>
        <w:tc>
          <w:tcPr>
            <w:tcW w:w="1701" w:type="dxa"/>
            <w:tcBorders>
              <w:top w:val="single" w:color="auto" w:sz="12" w:space="0"/>
              <w:left w:val="single" w:color="auto" w:sz="12" w:space="0"/>
              <w:right w:val="single" w:color="auto" w:sz="12" w:space="0"/>
            </w:tcBorders>
            <w:shd w:val="clear" w:color="auto" w:fill="FFFFFF"/>
          </w:tcPr>
          <w:p w:rsidRPr="00F63895" w:rsidR="00FD4195" w:rsidP="005A3880" w:rsidRDefault="00FD4195" w14:paraId="707DF9CF" w14:textId="3B54E2D9">
            <w:pPr>
              <w:pStyle w:val="IATableLabel"/>
            </w:pPr>
            <w:r w:rsidRPr="00F63895">
              <w:t xml:space="preserve">Net: </w:t>
            </w:r>
            <w:r w:rsidR="000766DE">
              <w:rPr>
                <w:rStyle w:val="IAPODINetChar"/>
                <w:sz w:val="20"/>
              </w:rPr>
              <w:t>N/A</w:t>
            </w:r>
          </w:p>
        </w:tc>
        <w:tc>
          <w:tcPr>
            <w:tcW w:w="4823" w:type="dxa"/>
            <w:vMerge/>
            <w:tcBorders>
              <w:left w:val="single" w:color="auto" w:sz="12" w:space="0"/>
              <w:bottom w:val="single" w:color="auto" w:sz="12" w:space="0"/>
              <w:right w:val="single" w:color="auto" w:sz="12" w:space="0"/>
            </w:tcBorders>
            <w:shd w:val="clear" w:color="auto" w:fill="FFFFFF"/>
          </w:tcPr>
          <w:p w:rsidRPr="00F63895" w:rsidR="00FD4195" w:rsidP="005A3880" w:rsidRDefault="00FD4195" w14:paraId="2BE55E3B" w14:textId="77777777">
            <w:pPr>
              <w:pStyle w:val="IAPODIMQ"/>
            </w:pPr>
          </w:p>
        </w:tc>
      </w:tr>
      <w:tr w:rsidRPr="00E75380" w:rsidR="00226153" w:rsidTr="005B0038" w14:paraId="161EB523" w14:textId="77777777">
        <w:trPr>
          <w:trHeight w:val="251" w:hRule="exact"/>
        </w:trPr>
        <w:tc>
          <w:tcPr>
            <w:tcW w:w="1985" w:type="dxa"/>
            <w:tcBorders>
              <w:left w:val="single" w:color="auto" w:sz="12" w:space="0"/>
              <w:bottom w:val="single" w:color="auto" w:sz="12" w:space="0"/>
              <w:right w:val="single" w:color="auto" w:sz="12" w:space="0"/>
            </w:tcBorders>
            <w:shd w:val="clear" w:color="auto" w:fill="FFFFFF"/>
          </w:tcPr>
          <w:p w:rsidRPr="00F63895" w:rsidR="00FD4195" w:rsidP="005A3880" w:rsidRDefault="00FD4195" w14:paraId="16D00BBB" w14:textId="77777777">
            <w:pPr>
              <w:pStyle w:val="IATableLabel"/>
            </w:pPr>
          </w:p>
        </w:tc>
        <w:tc>
          <w:tcPr>
            <w:tcW w:w="1843" w:type="dxa"/>
            <w:tcBorders>
              <w:left w:val="single" w:color="auto" w:sz="12" w:space="0"/>
              <w:bottom w:val="single" w:color="auto" w:sz="12" w:space="0"/>
              <w:right w:val="single" w:color="auto" w:sz="12" w:space="0"/>
            </w:tcBorders>
            <w:shd w:val="clear" w:color="auto" w:fill="FFFFFF"/>
          </w:tcPr>
          <w:p w:rsidRPr="00F63895" w:rsidR="00FD4195" w:rsidP="005A3880" w:rsidRDefault="00FD4195" w14:paraId="465EB543" w14:textId="77777777">
            <w:pPr>
              <w:pStyle w:val="IATableLabel"/>
            </w:pPr>
          </w:p>
        </w:tc>
        <w:tc>
          <w:tcPr>
            <w:tcW w:w="1701" w:type="dxa"/>
            <w:tcBorders>
              <w:left w:val="single" w:color="auto" w:sz="12" w:space="0"/>
              <w:bottom w:val="single" w:color="auto" w:sz="12" w:space="0"/>
              <w:right w:val="single" w:color="auto" w:sz="12" w:space="0"/>
            </w:tcBorders>
            <w:shd w:val="clear" w:color="auto" w:fill="FFFFFF"/>
          </w:tcPr>
          <w:p w:rsidRPr="00F63895" w:rsidR="00FD4195" w:rsidP="005A3880" w:rsidRDefault="00FD4195" w14:paraId="3A5CAB40" w14:textId="77777777">
            <w:pPr>
              <w:pStyle w:val="IATableLabel"/>
            </w:pPr>
          </w:p>
        </w:tc>
        <w:bookmarkStart w:name="Text71" w:id="25"/>
        <w:tc>
          <w:tcPr>
            <w:tcW w:w="4823" w:type="dxa"/>
            <w:gridSpan w:val="2"/>
            <w:tcBorders>
              <w:top w:val="single" w:color="auto" w:sz="12" w:space="0"/>
              <w:left w:val="single" w:color="auto" w:sz="12" w:space="0"/>
              <w:bottom w:val="single" w:color="auto" w:sz="12" w:space="0"/>
              <w:right w:val="single" w:color="auto" w:sz="12" w:space="0"/>
            </w:tcBorders>
            <w:shd w:val="clear" w:color="auto" w:fill="FFFFFF"/>
          </w:tcPr>
          <w:p w:rsidRPr="00F63895" w:rsidR="00FD4195" w:rsidP="005A3880" w:rsidRDefault="00D41FA2" w14:paraId="10227CE9" w14:textId="77777777">
            <w:pPr>
              <w:pStyle w:val="IAPODIMQ"/>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854B58" w:rsidP="005A3880" w:rsidRDefault="00854B58" w14:paraId="3317C5EC" w14:textId="77777777">
      <w:pPr>
        <w:sectPr w:rsidR="00854B58" w:rsidSect="00F1328C">
          <w:footnotePr>
            <w:numRestart w:val="eachSect"/>
          </w:footnotePr>
          <w:pgSz w:w="11907" w:h="16840" w:code="9"/>
          <w:pgMar w:top="680" w:right="851" w:bottom="680" w:left="851" w:header="284" w:footer="284" w:gutter="0"/>
          <w:cols w:space="708"/>
          <w:docGrid w:linePitch="360"/>
        </w:sectPr>
      </w:pPr>
    </w:p>
    <w:p w:rsidR="00D64409" w:rsidP="00D64409" w:rsidRDefault="00D64409" w14:paraId="6978B742" w14:textId="0C79EF50">
      <w:pPr>
        <w:pStyle w:val="Heading1"/>
      </w:pPr>
      <w:r w:rsidRPr="00C347F0">
        <w:t>Evidence Base</w:t>
      </w:r>
      <w:r>
        <w:t xml:space="preserve"> </w:t>
      </w:r>
    </w:p>
    <w:p w:rsidRPr="00F2089E" w:rsidR="000766DE" w:rsidP="000766DE" w:rsidRDefault="000766DE" w14:paraId="6CC857A7" w14:textId="77777777">
      <w:pPr>
        <w:pStyle w:val="IANotes"/>
        <w:numPr>
          <w:ilvl w:val="0"/>
          <w:numId w:val="31"/>
        </w:numPr>
        <w:spacing w:before="240"/>
        <w:ind w:left="720" w:hanging="720"/>
        <w:rPr>
          <w:b/>
          <w:color w:val="auto"/>
          <w:sz w:val="28"/>
          <w:szCs w:val="28"/>
        </w:rPr>
      </w:pPr>
      <w:bookmarkStart w:name="OLE_LINK5" w:id="26"/>
      <w:bookmarkStart w:name="OLE_LINK6" w:id="27"/>
      <w:r w:rsidRPr="00E36C81">
        <w:rPr>
          <w:b/>
          <w:color w:val="auto"/>
          <w:sz w:val="28"/>
          <w:szCs w:val="28"/>
        </w:rPr>
        <w:t>Background</w:t>
      </w:r>
    </w:p>
    <w:p w:rsidR="000766DE" w:rsidP="000766DE" w:rsidRDefault="000766DE" w14:paraId="5CD79654" w14:textId="77777777">
      <w:pPr>
        <w:pStyle w:val="EBNumber"/>
        <w:numPr>
          <w:ilvl w:val="0"/>
          <w:numId w:val="0"/>
        </w:numPr>
        <w:spacing w:after="0"/>
        <w:ind w:left="567"/>
      </w:pPr>
      <w:r>
        <w:t xml:space="preserve">  </w:t>
      </w:r>
    </w:p>
    <w:p w:rsidR="000766DE" w:rsidP="000766DE" w:rsidRDefault="000766DE" w14:paraId="55AF0DAC" w14:textId="77777777">
      <w:pPr>
        <w:pStyle w:val="EBNumber"/>
        <w:numPr>
          <w:ilvl w:val="0"/>
          <w:numId w:val="29"/>
        </w:numPr>
        <w:tabs>
          <w:tab w:val="num" w:pos="567"/>
        </w:tabs>
        <w:jc w:val="both"/>
      </w:pPr>
      <w:r>
        <w:t>HM Courts and Tribunals Service (HMCTS) delivers a benefit for courts users and the general public by providing a place where people can enforce and defend their rights. A large number of people use the services of HMCTS every year. Whether it be separated parents in a family court, a vulnerable witness to a crime, or someone appealing a benefits decision, people interact with HMCTS at some of the most difficult times in their lives.</w:t>
      </w:r>
      <w:r w:rsidRPr="11642C45">
        <w:rPr>
          <w:rFonts w:eastAsiaTheme="minorEastAsia"/>
          <w:color w:val="auto"/>
          <w:lang w:eastAsia="en-US"/>
        </w:rPr>
        <w:t xml:space="preserve"> </w:t>
      </w:r>
    </w:p>
    <w:p w:rsidR="000766DE" w:rsidP="000766DE" w:rsidRDefault="000766DE" w14:paraId="37AC74AC" w14:textId="652E9DCB">
      <w:pPr>
        <w:pStyle w:val="EBNumber"/>
        <w:numPr>
          <w:ilvl w:val="0"/>
          <w:numId w:val="29"/>
        </w:numPr>
        <w:tabs>
          <w:tab w:val="num" w:pos="567"/>
        </w:tabs>
        <w:jc w:val="both"/>
      </w:pPr>
      <w:r>
        <w:t xml:space="preserve">Fees </w:t>
      </w:r>
      <w:r w:rsidR="00DA7EB3">
        <w:t>in civil and family cases</w:t>
      </w:r>
      <w:r>
        <w:t xml:space="preserve"> are an important source of funding for the courts, and a reasonable means of making resources available to secure access to justice. Under s92 of the Courts Act 2003, </w:t>
      </w:r>
      <w:r w:rsidRPr="00797F7E">
        <w:t xml:space="preserve">the Lord Chancellor </w:t>
      </w:r>
      <w:r>
        <w:t xml:space="preserve">has </w:t>
      </w:r>
      <w:r w:rsidRPr="00797F7E">
        <w:t>t</w:t>
      </w:r>
      <w:r>
        <w:t>he power t</w:t>
      </w:r>
      <w:r w:rsidRPr="00797F7E">
        <w:t xml:space="preserve">o prescribe fees in respect of things done by the courts, </w:t>
      </w:r>
      <w:r>
        <w:t xml:space="preserve">which helps </w:t>
      </w:r>
      <w:r w:rsidRPr="00797F7E">
        <w:t xml:space="preserve">to ensure he fulfils his statutory duty to ensure </w:t>
      </w:r>
      <w:r w:rsidRPr="11642C45">
        <w:rPr>
          <w:i/>
          <w:iCs/>
        </w:rPr>
        <w:t xml:space="preserve">an efficient and effective </w:t>
      </w:r>
      <w:r>
        <w:t>courts</w:t>
      </w:r>
      <w:r w:rsidRPr="00797F7E">
        <w:t xml:space="preserve"> system.</w:t>
      </w:r>
      <w:r w:rsidRPr="00797F7E">
        <w:rPr>
          <w:rStyle w:val="FootnoteReference"/>
        </w:rPr>
        <w:footnoteReference w:id="2"/>
      </w:r>
      <w:r w:rsidRPr="00797F7E">
        <w:t xml:space="preserve"> </w:t>
      </w:r>
    </w:p>
    <w:p w:rsidR="000766DE" w:rsidP="00614DEC" w:rsidRDefault="000766DE" w14:paraId="6E04C79E" w14:textId="0C2F412E">
      <w:pPr>
        <w:pStyle w:val="EBNumber"/>
        <w:numPr>
          <w:ilvl w:val="0"/>
          <w:numId w:val="29"/>
        </w:numPr>
        <w:tabs>
          <w:tab w:val="num" w:pos="567"/>
        </w:tabs>
        <w:spacing w:before="240" w:line="259" w:lineRule="auto"/>
        <w:jc w:val="both"/>
      </w:pPr>
      <w:r>
        <w:t xml:space="preserve">However, court fees should not prevent anyone from </w:t>
      </w:r>
      <w:r w:rsidR="1185A769">
        <w:t>obtaining</w:t>
      </w:r>
      <w:r>
        <w:t xml:space="preserve"> access to justice and so the Help with Fees (HwF) scheme offers a full or partial fee remission for court users on a low income and with only a small amount of savings.</w:t>
      </w:r>
      <w:r w:rsidR="00B03CB0">
        <w:t xml:space="preserve"> The UK</w:t>
      </w:r>
      <w:r w:rsidR="00F048DC">
        <w:t xml:space="preserve"> </w:t>
      </w:r>
      <w:r w:rsidR="00B03CB0">
        <w:t>S</w:t>
      </w:r>
      <w:r w:rsidR="00F048DC">
        <w:t xml:space="preserve">upreme </w:t>
      </w:r>
      <w:r w:rsidR="00B03CB0">
        <w:t>C</w:t>
      </w:r>
      <w:r w:rsidR="00F048DC">
        <w:t>ourt</w:t>
      </w:r>
      <w:r w:rsidR="00B03CB0">
        <w:t xml:space="preserve"> operate their own remissions scheme which </w:t>
      </w:r>
      <w:r w:rsidR="7E8D488A">
        <w:t>h</w:t>
      </w:r>
      <w:r w:rsidR="030DE957">
        <w:t xml:space="preserve">as the same income and </w:t>
      </w:r>
      <w:r w:rsidR="43061855">
        <w:t xml:space="preserve">capital </w:t>
      </w:r>
      <w:r w:rsidR="030DE957">
        <w:t xml:space="preserve">thresholds as HwF. </w:t>
      </w:r>
      <w:r w:rsidRPr="003F6AFD" w:rsidR="003F6AFD">
        <w:t>In order to keep consistency across these schemes, the income thresholds will be updated to match HwF</w:t>
      </w:r>
      <w:r w:rsidR="003F6AFD">
        <w:t xml:space="preserve">. </w:t>
      </w:r>
    </w:p>
    <w:p w:rsidR="004E0D5E" w:rsidP="000766DE" w:rsidRDefault="000766DE" w14:paraId="3C473652" w14:textId="332473B5">
      <w:pPr>
        <w:pStyle w:val="EBNumber"/>
        <w:numPr>
          <w:ilvl w:val="0"/>
          <w:numId w:val="29"/>
        </w:numPr>
        <w:tabs>
          <w:tab w:val="num" w:pos="567"/>
        </w:tabs>
        <w:spacing w:before="240"/>
        <w:jc w:val="both"/>
      </w:pPr>
      <w:r>
        <w:t xml:space="preserve">Usually only individuals can apply for </w:t>
      </w:r>
      <w:r w:rsidR="000621ED">
        <w:t>HwF</w:t>
      </w:r>
      <w:r w:rsidR="00B03CB0">
        <w:t>,</w:t>
      </w:r>
      <w:r w:rsidR="00B03A0B">
        <w:t xml:space="preserve"> with the exception of sol</w:t>
      </w:r>
      <w:r w:rsidR="00624F4F">
        <w:t>e</w:t>
      </w:r>
      <w:r w:rsidR="00B03A0B">
        <w:t xml:space="preserve"> </w:t>
      </w:r>
      <w:r w:rsidR="00403012">
        <w:t>traders (people who run their own business).</w:t>
      </w:r>
      <w:r w:rsidR="00F33323">
        <w:t xml:space="preserve"> </w:t>
      </w:r>
      <w:r w:rsidRPr="11642C45">
        <w:rPr>
          <w:lang w:val="en-US"/>
        </w:rPr>
        <w:t>To quali</w:t>
      </w:r>
      <w:r w:rsidRPr="11642C45" w:rsidR="00962683">
        <w:rPr>
          <w:lang w:val="en-US"/>
        </w:rPr>
        <w:t>f</w:t>
      </w:r>
      <w:r w:rsidRPr="11642C45">
        <w:rPr>
          <w:lang w:val="en-US"/>
        </w:rPr>
        <w:t>y for HwF, the applicant must have savings and investments below a set amount (‘capital threshold’)</w:t>
      </w:r>
      <w:r>
        <w:t xml:space="preserve">, and then either be in receipt of a qualifying benefit or have </w:t>
      </w:r>
      <w:r w:rsidR="005B4F78">
        <w:t xml:space="preserve">a </w:t>
      </w:r>
      <w:r>
        <w:t>gross</w:t>
      </w:r>
      <w:r w:rsidR="00C66CEE">
        <w:t xml:space="preserve"> monthly</w:t>
      </w:r>
      <w:r>
        <w:t xml:space="preserve"> income below a certain threshold. </w:t>
      </w:r>
      <w:r w:rsidRPr="11642C45">
        <w:rPr>
          <w:lang w:val="en-US"/>
        </w:rPr>
        <w:t xml:space="preserve">The capital threshold varies with the applicant’s age and the value of the fee, as set out in the HwF guidance and the underlying statutory provisions. </w:t>
      </w:r>
      <w:r w:rsidRPr="11642C45" w:rsidR="00C66CEE">
        <w:rPr>
          <w:lang w:val="en-US"/>
        </w:rPr>
        <w:t>The q</w:t>
      </w:r>
      <w:r w:rsidRPr="11642C45">
        <w:rPr>
          <w:lang w:val="en-US"/>
        </w:rPr>
        <w:t xml:space="preserve">ualifying benefits are: </w:t>
      </w:r>
      <w:r>
        <w:t xml:space="preserve">Pension Credit (guarantee credit), Income-based Jobseeker’s Allowance (JSA), Income-related Employment and Support Allowance (ESA), Income Support, Scottish Legal Aid (Civil Claims), and Universal Credit (if earnings &lt;£6,000pa). </w:t>
      </w:r>
    </w:p>
    <w:p w:rsidRPr="00D628BF" w:rsidR="000766DE" w:rsidP="000766DE" w:rsidRDefault="000766DE" w14:paraId="5947D37A" w14:textId="13D84D57">
      <w:pPr>
        <w:pStyle w:val="EBNumber"/>
        <w:numPr>
          <w:ilvl w:val="0"/>
          <w:numId w:val="29"/>
        </w:numPr>
        <w:tabs>
          <w:tab w:val="num" w:pos="567"/>
        </w:tabs>
        <w:spacing w:before="240"/>
        <w:jc w:val="both"/>
      </w:pPr>
      <w:r>
        <w:t xml:space="preserve">If an </w:t>
      </w:r>
      <w:r w:rsidRPr="11642C45">
        <w:rPr>
          <w:lang w:val="en-US"/>
        </w:rPr>
        <w:t xml:space="preserve">applicant is not in receipt of a qualifying benefit, then that person’s gross </w:t>
      </w:r>
      <w:r w:rsidRPr="11642C45" w:rsidR="004E0D5E">
        <w:rPr>
          <w:lang w:val="en-US"/>
        </w:rPr>
        <w:t>monthly</w:t>
      </w:r>
      <w:r w:rsidRPr="11642C45">
        <w:rPr>
          <w:lang w:val="en-US"/>
        </w:rPr>
        <w:t xml:space="preserve"> household income, which may include incom</w:t>
      </w:r>
      <w:r w:rsidRPr="11642C45">
        <w:rPr>
          <w:color w:val="000000" w:themeColor="text1"/>
          <w:lang w:val="en-US"/>
        </w:rPr>
        <w:t xml:space="preserve">e from non-passported benefits, must be at or below a set threshold. The threshold is currently £1,085 for a single person or £1,245 for a couple. £245 is added onto this threshold for each dependent child. If </w:t>
      </w:r>
      <w:r w:rsidRPr="11642C45" w:rsidR="3F21A9B3">
        <w:rPr>
          <w:color w:val="000000" w:themeColor="text1"/>
          <w:lang w:val="en-US"/>
        </w:rPr>
        <w:t xml:space="preserve">the applicant’s </w:t>
      </w:r>
      <w:r w:rsidRPr="11642C45">
        <w:rPr>
          <w:color w:val="000000" w:themeColor="text1"/>
          <w:lang w:val="en-US"/>
        </w:rPr>
        <w:t>income i</w:t>
      </w:r>
      <w:r w:rsidRPr="11642C45">
        <w:rPr>
          <w:lang w:val="en-US"/>
        </w:rPr>
        <w:t>s below the threshold, the</w:t>
      </w:r>
      <w:r w:rsidRPr="11642C45" w:rsidR="19874933">
        <w:rPr>
          <w:lang w:val="en-US"/>
        </w:rPr>
        <w:t>y</w:t>
      </w:r>
      <w:r w:rsidRPr="11642C45">
        <w:rPr>
          <w:lang w:val="en-US"/>
        </w:rPr>
        <w:t xml:space="preserve"> will be eli</w:t>
      </w:r>
      <w:r w:rsidRPr="11642C45">
        <w:rPr>
          <w:color w:val="000000" w:themeColor="text1"/>
          <w:lang w:val="en-US"/>
        </w:rPr>
        <w:t xml:space="preserve">gible for a full remission. If </w:t>
      </w:r>
      <w:r w:rsidRPr="11642C45" w:rsidR="6053693C">
        <w:rPr>
          <w:color w:val="000000" w:themeColor="text1"/>
          <w:lang w:val="en-US"/>
        </w:rPr>
        <w:t xml:space="preserve">the applicant’s </w:t>
      </w:r>
      <w:r w:rsidRPr="11642C45">
        <w:rPr>
          <w:color w:val="000000" w:themeColor="text1"/>
          <w:lang w:val="en-US"/>
        </w:rPr>
        <w:t xml:space="preserve">income is above the threshold, </w:t>
      </w:r>
      <w:r w:rsidRPr="11642C45" w:rsidR="57668A77">
        <w:rPr>
          <w:color w:val="000000" w:themeColor="text1"/>
          <w:lang w:val="en-US"/>
        </w:rPr>
        <w:t>they</w:t>
      </w:r>
      <w:r w:rsidRPr="11642C45">
        <w:rPr>
          <w:color w:val="000000" w:themeColor="text1"/>
          <w:lang w:val="en-US"/>
        </w:rPr>
        <w:t xml:space="preserve"> may receive a partial remission</w:t>
      </w:r>
      <w:r w:rsidRPr="11642C45" w:rsidR="007B65A8">
        <w:rPr>
          <w:color w:val="000000" w:themeColor="text1"/>
          <w:lang w:val="en-US"/>
        </w:rPr>
        <w:t xml:space="preserve">; </w:t>
      </w:r>
      <w:r w:rsidRPr="11642C45">
        <w:rPr>
          <w:color w:val="000000" w:themeColor="text1"/>
          <w:lang w:val="en-US"/>
        </w:rPr>
        <w:t xml:space="preserve">£5 is deducted </w:t>
      </w:r>
      <w:r w:rsidRPr="11642C45" w:rsidR="005A2F43">
        <w:rPr>
          <w:color w:val="000000" w:themeColor="text1"/>
          <w:lang w:val="en-US"/>
        </w:rPr>
        <w:t>from the remission award</w:t>
      </w:r>
      <w:r w:rsidRPr="11642C45">
        <w:rPr>
          <w:color w:val="000000" w:themeColor="text1"/>
          <w:lang w:val="en-US"/>
        </w:rPr>
        <w:t xml:space="preserve"> for every £10 of income above the threshold. </w:t>
      </w:r>
    </w:p>
    <w:p w:rsidRPr="004003AD" w:rsidR="000766DE" w:rsidP="000766DE" w:rsidRDefault="000766DE" w14:paraId="3388CA36" w14:textId="38DB413C">
      <w:pPr>
        <w:pStyle w:val="EBNumber"/>
        <w:numPr>
          <w:ilvl w:val="0"/>
          <w:numId w:val="29"/>
        </w:numPr>
        <w:tabs>
          <w:tab w:val="num" w:pos="567"/>
        </w:tabs>
        <w:spacing w:before="240"/>
        <w:jc w:val="both"/>
      </w:pPr>
      <w:r w:rsidRPr="11642C45">
        <w:rPr>
          <w:lang w:val="en-US"/>
        </w:rPr>
        <w:t>If the applicant has a gross</w:t>
      </w:r>
      <w:r w:rsidRPr="00AE58FE">
        <w:rPr>
          <w:color w:val="000000" w:themeColor="text1"/>
          <w:lang w:val="en-US"/>
        </w:rPr>
        <w:t xml:space="preserve"> monthly income of more than £5,085 (£5,245 for a couple), than they are automatically ineligible. £245 can be added onto this for every dependent child. </w:t>
      </w:r>
    </w:p>
    <w:p w:rsidR="00A600CA" w:rsidP="00E5501C" w:rsidRDefault="000766DE" w14:paraId="1CACEC37" w14:textId="5C4690F6">
      <w:pPr>
        <w:pStyle w:val="EBNumber"/>
        <w:numPr>
          <w:ilvl w:val="0"/>
          <w:numId w:val="29"/>
        </w:numPr>
        <w:tabs>
          <w:tab w:val="num" w:pos="567"/>
        </w:tabs>
        <w:spacing w:before="240"/>
        <w:jc w:val="both"/>
      </w:pPr>
      <w:r w:rsidRPr="11642C45">
        <w:rPr>
          <w:lang w:val="en-US"/>
        </w:rPr>
        <w:t xml:space="preserve">A number of benefits can be </w:t>
      </w:r>
      <w:r w:rsidRPr="11642C45" w:rsidR="00C41402">
        <w:rPr>
          <w:lang w:val="en-US"/>
        </w:rPr>
        <w:t>disregarded</w:t>
      </w:r>
      <w:r w:rsidRPr="11642C45">
        <w:rPr>
          <w:lang w:val="en-US"/>
        </w:rPr>
        <w:t xml:space="preserve"> from gross income for the purposes of the HwF assessment, including Housing Benefit and the housing element of Universal Credit. The full list of </w:t>
      </w:r>
      <w:r w:rsidRPr="11642C45" w:rsidR="00470EA2">
        <w:rPr>
          <w:lang w:val="en-US"/>
        </w:rPr>
        <w:t>these disregarded benefits</w:t>
      </w:r>
      <w:r w:rsidRPr="11642C45">
        <w:rPr>
          <w:lang w:val="en-US"/>
        </w:rPr>
        <w:t xml:space="preserve"> can be found at Annex A.</w:t>
      </w:r>
    </w:p>
    <w:p w:rsidR="00F86CB7" w:rsidP="001E0EBF" w:rsidRDefault="00A600CA" w14:paraId="4B964134" w14:textId="1F392457">
      <w:pPr>
        <w:pStyle w:val="EBNumber"/>
        <w:numPr>
          <w:ilvl w:val="0"/>
          <w:numId w:val="29"/>
        </w:numPr>
        <w:tabs>
          <w:tab w:val="num" w:pos="567"/>
        </w:tabs>
        <w:spacing w:before="240" w:after="0"/>
        <w:ind w:left="357" w:hanging="357"/>
        <w:jc w:val="both"/>
      </w:pPr>
      <w:r w:rsidRPr="11642C45">
        <w:rPr>
          <w:lang w:val="en-US"/>
        </w:rPr>
        <w:t xml:space="preserve">The HwF scheme </w:t>
      </w:r>
      <w:r w:rsidR="00502AED">
        <w:rPr>
          <w:lang w:val="en-US"/>
        </w:rPr>
        <w:t>(</w:t>
      </w:r>
      <w:r w:rsidRPr="11642C45" w:rsidR="000647D0">
        <w:rPr>
          <w:lang w:val="en-US"/>
        </w:rPr>
        <w:t>and UKSC scheme</w:t>
      </w:r>
      <w:r w:rsidR="00502AED">
        <w:rPr>
          <w:lang w:val="en-US"/>
        </w:rPr>
        <w:t>)</w:t>
      </w:r>
      <w:r w:rsidRPr="11642C45" w:rsidR="000647D0">
        <w:rPr>
          <w:lang w:val="en-US"/>
        </w:rPr>
        <w:t xml:space="preserve"> </w:t>
      </w:r>
      <w:r w:rsidRPr="11642C45">
        <w:rPr>
          <w:lang w:val="en-US"/>
        </w:rPr>
        <w:t xml:space="preserve">as it stands was introduced in October 2013. </w:t>
      </w:r>
      <w:r w:rsidR="00F86CB7">
        <w:t xml:space="preserve">Court fees are not annually inflated, nor are the income thresholds used to test eligibility for HwF. This means that both fees and the income thresholds used to test eligibility for a remission have been falling in real terms over time. </w:t>
      </w:r>
    </w:p>
    <w:p w:rsidR="00A23D00" w:rsidP="00F86CB7" w:rsidRDefault="00A600CA" w14:paraId="1EA22358" w14:textId="47083005">
      <w:pPr>
        <w:pStyle w:val="EBNumber"/>
        <w:numPr>
          <w:ilvl w:val="0"/>
          <w:numId w:val="29"/>
        </w:numPr>
        <w:tabs>
          <w:tab w:val="num" w:pos="567"/>
        </w:tabs>
        <w:spacing w:before="240"/>
        <w:jc w:val="both"/>
      </w:pPr>
      <w:r w:rsidRPr="11642C45">
        <w:rPr>
          <w:lang w:val="en-US"/>
        </w:rPr>
        <w:t xml:space="preserve">This Impact Assessment (IA) assesses the impact of uplifting the existing </w:t>
      </w:r>
      <w:r w:rsidRPr="11642C45" w:rsidR="204E4DBB">
        <w:rPr>
          <w:lang w:val="en-US"/>
        </w:rPr>
        <w:t xml:space="preserve">HwF </w:t>
      </w:r>
      <w:r w:rsidRPr="11642C45">
        <w:rPr>
          <w:lang w:val="en-US"/>
        </w:rPr>
        <w:t xml:space="preserve">income thresholds using </w:t>
      </w:r>
      <w:r w:rsidRPr="11642C45" w:rsidR="005B4F78">
        <w:rPr>
          <w:lang w:val="en-US"/>
        </w:rPr>
        <w:t xml:space="preserve">the </w:t>
      </w:r>
      <w:r w:rsidRPr="11642C45" w:rsidR="000D53EC">
        <w:rPr>
          <w:lang w:val="en-US"/>
        </w:rPr>
        <w:t>Consumer Price In</w:t>
      </w:r>
      <w:r w:rsidRPr="11642C45" w:rsidR="005B4F78">
        <w:rPr>
          <w:lang w:val="en-US"/>
        </w:rPr>
        <w:t>dex</w:t>
      </w:r>
      <w:r w:rsidRPr="11642C45" w:rsidR="000D53EC">
        <w:rPr>
          <w:lang w:val="en-US"/>
        </w:rPr>
        <w:t xml:space="preserve"> with owner occupiers</w:t>
      </w:r>
      <w:r w:rsidRPr="11642C45" w:rsidR="005B4F78">
        <w:rPr>
          <w:lang w:val="en-US"/>
        </w:rPr>
        <w:t>’</w:t>
      </w:r>
      <w:r w:rsidRPr="11642C45" w:rsidR="000D53EC">
        <w:rPr>
          <w:lang w:val="en-US"/>
        </w:rPr>
        <w:t xml:space="preserve"> housing costs (CPIH)</w:t>
      </w:r>
      <w:r w:rsidRPr="11642C45">
        <w:rPr>
          <w:lang w:val="en-US"/>
        </w:rPr>
        <w:t>, backdated to August 2016</w:t>
      </w:r>
      <w:r w:rsidR="002B298A">
        <w:rPr>
          <w:lang w:val="en-US"/>
        </w:rPr>
        <w:t>.</w:t>
      </w:r>
      <w:r w:rsidRPr="11642C45">
        <w:rPr>
          <w:lang w:val="en-US"/>
        </w:rPr>
        <w:t xml:space="preserve"> It should be considered alongside IA MoJ002/2021 which proposes uplifting selected fees with </w:t>
      </w:r>
      <w:r w:rsidRPr="11642C45" w:rsidR="005B4F78">
        <w:rPr>
          <w:lang w:val="en-US"/>
        </w:rPr>
        <w:t xml:space="preserve">the </w:t>
      </w:r>
      <w:r w:rsidRPr="11642C45">
        <w:rPr>
          <w:lang w:val="en-US"/>
        </w:rPr>
        <w:t>C</w:t>
      </w:r>
      <w:r w:rsidRPr="11642C45" w:rsidR="000D53EC">
        <w:rPr>
          <w:lang w:val="en-US"/>
        </w:rPr>
        <w:t>onsumer Price</w:t>
      </w:r>
      <w:r w:rsidRPr="11642C45">
        <w:rPr>
          <w:lang w:val="en-US"/>
        </w:rPr>
        <w:t xml:space="preserve"> </w:t>
      </w:r>
      <w:r w:rsidRPr="11642C45" w:rsidR="000D53EC">
        <w:rPr>
          <w:lang w:val="en-US"/>
        </w:rPr>
        <w:t>I</w:t>
      </w:r>
      <w:r w:rsidRPr="11642C45">
        <w:rPr>
          <w:lang w:val="en-US"/>
        </w:rPr>
        <w:t>n</w:t>
      </w:r>
      <w:r w:rsidRPr="11642C45" w:rsidR="005B4F78">
        <w:rPr>
          <w:lang w:val="en-US"/>
        </w:rPr>
        <w:t>dex</w:t>
      </w:r>
      <w:r w:rsidRPr="11642C45" w:rsidR="000D53EC">
        <w:rPr>
          <w:lang w:val="en-US"/>
        </w:rPr>
        <w:t xml:space="preserve"> (CPI)</w:t>
      </w:r>
      <w:r w:rsidRPr="11642C45">
        <w:rPr>
          <w:lang w:val="en-US"/>
        </w:rPr>
        <w:t xml:space="preserve"> backdated to August 2016, or the date they were last amended if later</w:t>
      </w:r>
      <w:r w:rsidRPr="11642C45" w:rsidR="34A8506A">
        <w:rPr>
          <w:lang w:val="en-US"/>
        </w:rPr>
        <w:t>,</w:t>
      </w:r>
      <w:r w:rsidRPr="11642C45">
        <w:rPr>
          <w:lang w:val="en-US"/>
        </w:rPr>
        <w:t xml:space="preserve"> and IA MoJ004/2021 which assess the two proposals together</w:t>
      </w:r>
      <w:r w:rsidRPr="11642C45" w:rsidR="007F6459">
        <w:rPr>
          <w:lang w:val="en-US"/>
        </w:rPr>
        <w:t>.</w:t>
      </w:r>
    </w:p>
    <w:p w:rsidR="00A23D00" w:rsidP="00A23D00" w:rsidRDefault="00A23D00" w14:paraId="7483DEA7" w14:textId="77777777">
      <w:pPr>
        <w:pStyle w:val="EBNumber"/>
        <w:numPr>
          <w:ilvl w:val="0"/>
          <w:numId w:val="0"/>
        </w:numPr>
        <w:spacing w:after="0"/>
        <w:jc w:val="both"/>
      </w:pPr>
    </w:p>
    <w:p w:rsidR="00A600CA" w:rsidP="00A600CA" w:rsidRDefault="00A600CA" w14:paraId="30EEBF97" w14:textId="7685B273">
      <w:pPr>
        <w:pStyle w:val="EBNumber"/>
        <w:numPr>
          <w:ilvl w:val="0"/>
          <w:numId w:val="29"/>
        </w:numPr>
        <w:tabs>
          <w:tab w:val="num" w:pos="567"/>
        </w:tabs>
        <w:spacing w:after="0"/>
        <w:ind w:left="357" w:hanging="357"/>
        <w:jc w:val="both"/>
      </w:pPr>
      <w:r>
        <w:t xml:space="preserve">The proposal to increase </w:t>
      </w:r>
      <w:r w:rsidR="315A8A43">
        <w:t>HwF</w:t>
      </w:r>
      <w:r>
        <w:t>, if implemented, would involve amendments to the HwF rules set out at Schedule 2 of each fee order</w:t>
      </w:r>
      <w:r w:rsidR="009B303F">
        <w:t xml:space="preserve"> and the UKSC</w:t>
      </w:r>
      <w:r w:rsidR="00CF16FB">
        <w:t xml:space="preserve"> remission rules set out in Schedule 2 of</w:t>
      </w:r>
      <w:r w:rsidR="00FF446F">
        <w:t xml:space="preserve"> </w:t>
      </w:r>
      <w:r w:rsidR="00AA081D">
        <w:t>The Supreme Court Fees Order 2009</w:t>
      </w:r>
      <w:r>
        <w:t>.</w:t>
      </w:r>
    </w:p>
    <w:p w:rsidRPr="00797F7E" w:rsidR="000766DE" w:rsidP="000766DE" w:rsidRDefault="000766DE" w14:paraId="1BF8943E" w14:textId="77777777">
      <w:pPr>
        <w:pStyle w:val="IANotes"/>
        <w:numPr>
          <w:ilvl w:val="0"/>
          <w:numId w:val="31"/>
        </w:numPr>
        <w:spacing w:before="240"/>
        <w:ind w:left="720" w:hanging="720"/>
        <w:rPr>
          <w:b/>
          <w:color w:val="auto"/>
          <w:sz w:val="28"/>
          <w:szCs w:val="28"/>
        </w:rPr>
      </w:pPr>
      <w:r w:rsidRPr="00797F7E">
        <w:rPr>
          <w:b/>
          <w:color w:val="auto"/>
          <w:sz w:val="28"/>
          <w:szCs w:val="28"/>
        </w:rPr>
        <w:t>Policy Rationale and Objectives</w:t>
      </w:r>
    </w:p>
    <w:p w:rsidRPr="00797F7E" w:rsidR="000766DE" w:rsidP="000766DE" w:rsidRDefault="000766DE" w14:paraId="2A5BCF57" w14:textId="77777777">
      <w:pPr>
        <w:pStyle w:val="IANotes"/>
        <w:tabs>
          <w:tab w:val="num" w:pos="360"/>
        </w:tabs>
        <w:ind w:left="357" w:hanging="357"/>
        <w:rPr>
          <w:b/>
          <w:color w:val="auto"/>
          <w:sz w:val="28"/>
          <w:szCs w:val="28"/>
        </w:rPr>
      </w:pPr>
    </w:p>
    <w:p w:rsidR="000766DE" w:rsidP="000766DE" w:rsidRDefault="000766DE" w14:paraId="1F2DF4A7" w14:textId="77777777">
      <w:pPr>
        <w:pStyle w:val="EBNumber"/>
        <w:numPr>
          <w:ilvl w:val="0"/>
          <w:numId w:val="29"/>
        </w:numPr>
        <w:tabs>
          <w:tab w:val="num" w:pos="567"/>
        </w:tabs>
        <w:spacing w:after="0"/>
        <w:ind w:left="357" w:hanging="357"/>
        <w:jc w:val="both"/>
      </w:pPr>
      <w:r>
        <w:t xml:space="preserve">The conventional economic approach to government intervention is based on efficiency or equity arguments. Government may consider intervening if there are strong enough failures in the way markets operate, e.g. monopolies overcharging debtors, or if there are strong enough failures in existing government interventions, e.g. outdated regulations generating inefficiencies. In all cases the proposed intervention should avoid generating a further set of disproportionate costs and distortions. Government may also intervene for reasons of equity (fairness) and for re-distributional reasons (e.g. reallocating resources from one group in society to another). </w:t>
      </w:r>
    </w:p>
    <w:p w:rsidR="000766DE" w:rsidP="000766DE" w:rsidRDefault="000766DE" w14:paraId="410F7F6A" w14:textId="77777777">
      <w:pPr>
        <w:pStyle w:val="EBNumber"/>
        <w:numPr>
          <w:ilvl w:val="0"/>
          <w:numId w:val="0"/>
        </w:numPr>
        <w:spacing w:after="0"/>
        <w:ind w:left="502" w:hanging="360"/>
      </w:pPr>
    </w:p>
    <w:p w:rsidR="000766DE" w:rsidP="001B52FD" w:rsidRDefault="000766DE" w14:paraId="0A97C9B2" w14:textId="7B3BA86E">
      <w:pPr>
        <w:pStyle w:val="EBNumber"/>
        <w:numPr>
          <w:ilvl w:val="0"/>
          <w:numId w:val="29"/>
        </w:numPr>
        <w:tabs>
          <w:tab w:val="num" w:pos="567"/>
        </w:tabs>
        <w:spacing w:after="0"/>
        <w:ind w:left="357" w:hanging="357"/>
        <w:jc w:val="both"/>
      </w:pPr>
      <w:r>
        <w:t>In this case the reason for intervening is equity (fairness)</w:t>
      </w:r>
      <w:r w:rsidR="00E27A92">
        <w:t>: to ensure</w:t>
      </w:r>
      <w:r>
        <w:t xml:space="preserve"> that all individuals are able to afford court fees </w:t>
      </w:r>
      <w:r w:rsidR="00C43BC4">
        <w:t>so they</w:t>
      </w:r>
      <w:r>
        <w:t xml:space="preserve"> are therefore not prevented from accessing the justice system. As </w:t>
      </w:r>
      <w:r w:rsidR="003E006A">
        <w:t>the government is proposing to uplift selected</w:t>
      </w:r>
      <w:r>
        <w:t xml:space="preserve"> court fees by inflation (see IA </w:t>
      </w:r>
      <w:r w:rsidR="00D232A8">
        <w:t>MoJ</w:t>
      </w:r>
      <w:r w:rsidR="001B52FD">
        <w:t>002/2021</w:t>
      </w:r>
      <w:r>
        <w:t xml:space="preserve">), backdated </w:t>
      </w:r>
      <w:r w:rsidR="00FC4A3E">
        <w:t>to August 2016</w:t>
      </w:r>
      <w:r>
        <w:t xml:space="preserve"> </w:t>
      </w:r>
      <w:r w:rsidR="00FC4A3E">
        <w:t>or</w:t>
      </w:r>
      <w:r>
        <w:t xml:space="preserve"> the date of the last </w:t>
      </w:r>
      <w:r w:rsidR="00FC4A3E">
        <w:t>fee</w:t>
      </w:r>
      <w:r>
        <w:t xml:space="preserve"> change </w:t>
      </w:r>
      <w:r w:rsidR="00FC4A3E">
        <w:t>if later</w:t>
      </w:r>
      <w:r>
        <w:t xml:space="preserve">, it is right that the </w:t>
      </w:r>
      <w:r w:rsidR="00703825">
        <w:t xml:space="preserve">income </w:t>
      </w:r>
      <w:r>
        <w:t xml:space="preserve">thresholds for HwF eligibility should also be </w:t>
      </w:r>
      <w:r w:rsidR="00FC4A3E">
        <w:t>uplifted</w:t>
      </w:r>
      <w:r>
        <w:t xml:space="preserve">, meaning more applicants are able to access the HwF scheme. </w:t>
      </w:r>
    </w:p>
    <w:p w:rsidR="000766DE" w:rsidP="000766DE" w:rsidRDefault="000766DE" w14:paraId="7C217060" w14:textId="77777777">
      <w:pPr>
        <w:pStyle w:val="ListParagraph"/>
      </w:pPr>
    </w:p>
    <w:p w:rsidR="0001051D" w:rsidP="0039398E" w:rsidRDefault="000766DE" w14:paraId="44E4A32D" w14:textId="675833D2">
      <w:pPr>
        <w:pStyle w:val="EBNumber"/>
        <w:numPr>
          <w:ilvl w:val="0"/>
          <w:numId w:val="29"/>
        </w:numPr>
        <w:tabs>
          <w:tab w:val="num" w:pos="567"/>
        </w:tabs>
        <w:spacing w:after="0"/>
        <w:ind w:left="357" w:hanging="357"/>
        <w:jc w:val="both"/>
      </w:pPr>
      <w:r>
        <w:t xml:space="preserve">The objective of this policy is to ensure that the court system is properly funded, whilst at the same time ensuring that those on low incomes can still obtain access to justice. </w:t>
      </w:r>
    </w:p>
    <w:p w:rsidR="000766DE" w:rsidP="00E702DA" w:rsidRDefault="000766DE" w14:paraId="3AD695BD" w14:textId="77777777">
      <w:pPr>
        <w:pStyle w:val="EBNumber"/>
        <w:numPr>
          <w:ilvl w:val="0"/>
          <w:numId w:val="0"/>
        </w:numPr>
        <w:spacing w:after="0"/>
      </w:pPr>
    </w:p>
    <w:p w:rsidR="000766DE" w:rsidP="000766DE" w:rsidRDefault="000766DE" w14:paraId="553B53B8" w14:textId="77777777">
      <w:pPr>
        <w:pStyle w:val="IANotes"/>
        <w:numPr>
          <w:ilvl w:val="0"/>
          <w:numId w:val="31"/>
        </w:numPr>
        <w:spacing w:before="240"/>
        <w:ind w:left="720" w:hanging="720"/>
        <w:rPr>
          <w:rFonts w:eastAsia="MS Mincho" w:cs="Arial"/>
          <w:b/>
          <w:bCs/>
          <w:color w:val="000000"/>
          <w:sz w:val="28"/>
          <w:szCs w:val="28"/>
          <w:lang w:eastAsia="ja-JP"/>
        </w:rPr>
      </w:pPr>
      <w:r w:rsidRPr="00E36C81">
        <w:rPr>
          <w:rFonts w:eastAsia="MS Mincho" w:cs="Arial"/>
          <w:b/>
          <w:bCs/>
          <w:color w:val="000000"/>
          <w:sz w:val="28"/>
          <w:szCs w:val="28"/>
          <w:lang w:eastAsia="ja-JP"/>
        </w:rPr>
        <w:t xml:space="preserve">Description of Options Considered </w:t>
      </w:r>
    </w:p>
    <w:p w:rsidRPr="009F7307" w:rsidR="000766DE" w:rsidP="000766DE" w:rsidRDefault="000766DE" w14:paraId="60078E70" w14:textId="77777777">
      <w:pPr>
        <w:pStyle w:val="IANotes"/>
        <w:tabs>
          <w:tab w:val="num" w:pos="360"/>
        </w:tabs>
        <w:ind w:left="357" w:hanging="357"/>
        <w:rPr>
          <w:rFonts w:eastAsia="MS Mincho" w:cs="Arial"/>
          <w:b/>
          <w:bCs/>
          <w:color w:val="000000"/>
          <w:sz w:val="28"/>
          <w:szCs w:val="28"/>
          <w:lang w:eastAsia="ja-JP"/>
        </w:rPr>
      </w:pPr>
    </w:p>
    <w:p w:rsidR="000766DE" w:rsidP="000766DE" w:rsidRDefault="000766DE" w14:paraId="1CF03B4D" w14:textId="66E93F05">
      <w:pPr>
        <w:pStyle w:val="EBNumber"/>
        <w:numPr>
          <w:ilvl w:val="0"/>
          <w:numId w:val="29"/>
        </w:numPr>
        <w:tabs>
          <w:tab w:val="num" w:pos="567"/>
        </w:tabs>
        <w:spacing w:after="0"/>
        <w:jc w:val="both"/>
      </w:pPr>
      <w:r>
        <w:t>To meet these policy objectives, the following options are considered in this IA</w:t>
      </w:r>
      <w:r w:rsidR="002F3325">
        <w:t>:</w:t>
      </w:r>
    </w:p>
    <w:p w:rsidR="000766DE" w:rsidP="000766DE" w:rsidRDefault="000766DE" w14:paraId="471FBFEE" w14:textId="77777777">
      <w:pPr>
        <w:pStyle w:val="EBNumber"/>
        <w:numPr>
          <w:ilvl w:val="0"/>
          <w:numId w:val="0"/>
        </w:numPr>
        <w:spacing w:after="0"/>
      </w:pPr>
    </w:p>
    <w:p w:rsidR="000766DE" w:rsidP="000766DE" w:rsidRDefault="000766DE" w14:paraId="2812E7D4" w14:textId="1BAE392B">
      <w:pPr>
        <w:pStyle w:val="EBNumber"/>
        <w:numPr>
          <w:ilvl w:val="0"/>
          <w:numId w:val="32"/>
        </w:numPr>
        <w:spacing w:after="0"/>
        <w:ind w:right="141"/>
        <w:rPr>
          <w:b/>
        </w:rPr>
      </w:pPr>
      <w:r w:rsidRPr="004D1CB9">
        <w:rPr>
          <w:b/>
          <w:bCs w:val="0"/>
        </w:rPr>
        <w:t xml:space="preserve">Option 0 – Do Nothing. </w:t>
      </w:r>
      <w:r w:rsidR="000A6D36">
        <w:rPr>
          <w:b/>
          <w:bCs w:val="0"/>
        </w:rPr>
        <w:t>Maintain the current HwF scheme.</w:t>
      </w:r>
      <w:r>
        <w:rPr>
          <w:b/>
          <w:bCs w:val="0"/>
        </w:rPr>
        <w:t xml:space="preserve"> </w:t>
      </w:r>
    </w:p>
    <w:p w:rsidR="000766DE" w:rsidP="000766DE" w:rsidRDefault="000766DE" w14:paraId="785465BC" w14:textId="77777777">
      <w:pPr>
        <w:pStyle w:val="EBNumber"/>
        <w:numPr>
          <w:ilvl w:val="0"/>
          <w:numId w:val="0"/>
        </w:numPr>
        <w:spacing w:after="0"/>
        <w:ind w:left="720" w:right="141"/>
        <w:rPr>
          <w:b/>
        </w:rPr>
      </w:pPr>
    </w:p>
    <w:p w:rsidR="000766DE" w:rsidP="000766DE" w:rsidRDefault="000766DE" w14:paraId="58CFE690" w14:textId="1280AA46">
      <w:pPr>
        <w:pStyle w:val="EBNumber"/>
        <w:numPr>
          <w:ilvl w:val="0"/>
          <w:numId w:val="32"/>
        </w:numPr>
        <w:spacing w:after="0"/>
        <w:ind w:right="141"/>
        <w:rPr>
          <w:b/>
        </w:rPr>
      </w:pPr>
      <w:r w:rsidRPr="00C17C28">
        <w:rPr>
          <w:b/>
        </w:rPr>
        <w:t xml:space="preserve">Option 1 – </w:t>
      </w:r>
      <w:r w:rsidR="005B5AAF">
        <w:rPr>
          <w:b/>
          <w:color w:val="auto"/>
        </w:rPr>
        <w:t>Upl</w:t>
      </w:r>
      <w:r w:rsidR="00CA3DA6">
        <w:rPr>
          <w:b/>
          <w:color w:val="auto"/>
        </w:rPr>
        <w:t>ift the income threshold, couple and child premiums used in the HwF means test in line with inflation, backdated to August 2016</w:t>
      </w:r>
      <w:r w:rsidR="002E77E7">
        <w:rPr>
          <w:b/>
          <w:color w:val="auto"/>
        </w:rPr>
        <w:t>.</w:t>
      </w:r>
      <w:r w:rsidR="00CA3DA6">
        <w:rPr>
          <w:b/>
          <w:color w:val="auto"/>
        </w:rPr>
        <w:t xml:space="preserve"> </w:t>
      </w:r>
    </w:p>
    <w:p w:rsidRPr="00C17C28" w:rsidR="000766DE" w:rsidP="000766DE" w:rsidRDefault="000766DE" w14:paraId="3ACD1986" w14:textId="77777777">
      <w:pPr>
        <w:pStyle w:val="EBNumber"/>
        <w:numPr>
          <w:ilvl w:val="0"/>
          <w:numId w:val="0"/>
        </w:numPr>
        <w:spacing w:after="0"/>
        <w:ind w:right="141"/>
        <w:rPr>
          <w:b/>
        </w:rPr>
      </w:pPr>
      <w:r>
        <w:rPr>
          <w:b/>
        </w:rPr>
        <w:t xml:space="preserve"> </w:t>
      </w:r>
    </w:p>
    <w:p w:rsidR="000766DE" w:rsidP="000766DE" w:rsidRDefault="000766DE" w14:paraId="69590324" w14:textId="0BD59352">
      <w:pPr>
        <w:pStyle w:val="EBNumber"/>
        <w:numPr>
          <w:ilvl w:val="0"/>
          <w:numId w:val="29"/>
        </w:numPr>
        <w:tabs>
          <w:tab w:val="num" w:pos="567"/>
        </w:tabs>
        <w:jc w:val="both"/>
      </w:pPr>
      <w:r>
        <w:t xml:space="preserve">Option 1 is the Government’s preferred option to </w:t>
      </w:r>
      <w:r w:rsidR="00C43E76">
        <w:t>meet</w:t>
      </w:r>
      <w:r>
        <w:t xml:space="preserve"> the </w:t>
      </w:r>
      <w:r w:rsidR="00C43E76">
        <w:t>policy objectives.</w:t>
      </w:r>
      <w:r>
        <w:t xml:space="preserve"> </w:t>
      </w:r>
    </w:p>
    <w:p w:rsidRPr="00B824E0" w:rsidR="000766DE" w:rsidP="000766DE" w:rsidRDefault="000766DE" w14:paraId="16DA77A3" w14:textId="77777777">
      <w:pPr>
        <w:pStyle w:val="EBNumber"/>
        <w:numPr>
          <w:ilvl w:val="0"/>
          <w:numId w:val="0"/>
        </w:numPr>
        <w:spacing w:before="240" w:after="0"/>
        <w:rPr>
          <w:b/>
        </w:rPr>
      </w:pPr>
      <w:r w:rsidRPr="00B824E0">
        <w:rPr>
          <w:b/>
        </w:rPr>
        <w:t>Option 0</w:t>
      </w:r>
    </w:p>
    <w:p w:rsidRPr="00397A80" w:rsidR="000766DE" w:rsidP="000766DE" w:rsidRDefault="000766DE" w14:paraId="562C6FD8" w14:textId="77777777">
      <w:pPr>
        <w:pStyle w:val="EBNumber"/>
        <w:numPr>
          <w:ilvl w:val="0"/>
          <w:numId w:val="0"/>
        </w:numPr>
        <w:spacing w:after="0"/>
        <w:rPr>
          <w:b/>
          <w:color w:val="auto"/>
          <w:sz w:val="28"/>
          <w:szCs w:val="28"/>
          <w:u w:val="single"/>
        </w:rPr>
      </w:pPr>
    </w:p>
    <w:p w:rsidR="000766DE" w:rsidP="000766DE" w:rsidRDefault="000766DE" w14:paraId="01CBA430" w14:textId="6D110556">
      <w:pPr>
        <w:pStyle w:val="EBNumber"/>
        <w:numPr>
          <w:ilvl w:val="0"/>
          <w:numId w:val="29"/>
        </w:numPr>
        <w:tabs>
          <w:tab w:val="num" w:pos="567"/>
        </w:tabs>
        <w:spacing w:after="0"/>
        <w:jc w:val="both"/>
      </w:pPr>
      <w:r>
        <w:t xml:space="preserve">Under the </w:t>
      </w:r>
      <w:r w:rsidR="005B5EFC">
        <w:t>“d</w:t>
      </w:r>
      <w:r>
        <w:t xml:space="preserve">o </w:t>
      </w:r>
      <w:r w:rsidR="005B5EFC">
        <w:t>n</w:t>
      </w:r>
      <w:r>
        <w:t>othing</w:t>
      </w:r>
      <w:r w:rsidR="005B5EFC">
        <w:t>”</w:t>
      </w:r>
      <w:r>
        <w:t xml:space="preserve"> option the current </w:t>
      </w:r>
      <w:r w:rsidR="000621ED">
        <w:t>HwF</w:t>
      </w:r>
      <w:r>
        <w:t xml:space="preserve"> scheme would remain unchanged. </w:t>
      </w:r>
    </w:p>
    <w:p w:rsidR="000766DE" w:rsidP="000766DE" w:rsidRDefault="000766DE" w14:paraId="7C667C6E" w14:textId="77777777">
      <w:pPr>
        <w:pStyle w:val="EBNumber"/>
        <w:numPr>
          <w:ilvl w:val="0"/>
          <w:numId w:val="0"/>
        </w:numPr>
        <w:spacing w:after="0"/>
        <w:ind w:left="360"/>
      </w:pPr>
    </w:p>
    <w:p w:rsidR="000766DE" w:rsidP="000766DE" w:rsidRDefault="000766DE" w14:paraId="02C0949C" w14:textId="4106A024">
      <w:pPr>
        <w:pStyle w:val="EBNumber"/>
        <w:numPr>
          <w:ilvl w:val="0"/>
          <w:numId w:val="29"/>
        </w:numPr>
        <w:tabs>
          <w:tab w:val="num" w:pos="567"/>
        </w:tabs>
        <w:spacing w:after="0"/>
        <w:jc w:val="both"/>
      </w:pPr>
      <w:bookmarkStart w:name="_Hlk10813062" w:id="28"/>
      <w:r>
        <w:t xml:space="preserve">If the current </w:t>
      </w:r>
      <w:r w:rsidR="000621ED">
        <w:t>HwF</w:t>
      </w:r>
      <w:r>
        <w:t xml:space="preserve"> scheme were to remain in place, the increase to fees would still lead to an increase in fee income remitted as the value of the fee is a determinant of the remission a person receives, whether they receive a full or partial remission. However, as </w:t>
      </w:r>
      <w:r w:rsidR="00ED377B">
        <w:t xml:space="preserve">household </w:t>
      </w:r>
      <w:r>
        <w:t>income</w:t>
      </w:r>
      <w:r w:rsidR="00ED377B">
        <w:t>s</w:t>
      </w:r>
      <w:r>
        <w:t xml:space="preserve"> rise over time the </w:t>
      </w:r>
      <w:r w:rsidR="009C146C">
        <w:t xml:space="preserve">number of people eligible for a remission, and the </w:t>
      </w:r>
      <w:r>
        <w:t>value of</w:t>
      </w:r>
      <w:r w:rsidR="005B1CBB">
        <w:t xml:space="preserve"> </w:t>
      </w:r>
      <w:r w:rsidR="009C146C">
        <w:t>the remission</w:t>
      </w:r>
      <w:r>
        <w:t xml:space="preserve"> (all else being equal), would gradually fall.  </w:t>
      </w:r>
    </w:p>
    <w:bookmarkEnd w:id="28"/>
    <w:p w:rsidRPr="007609FF" w:rsidR="000766DE" w:rsidP="000766DE" w:rsidRDefault="000766DE" w14:paraId="3111C677" w14:textId="77777777">
      <w:pPr>
        <w:pStyle w:val="EBNumber"/>
        <w:numPr>
          <w:ilvl w:val="0"/>
          <w:numId w:val="0"/>
        </w:numPr>
        <w:spacing w:after="0"/>
        <w:ind w:left="360"/>
      </w:pPr>
    </w:p>
    <w:p w:rsidRPr="00141E9D" w:rsidR="000766DE" w:rsidP="000766DE" w:rsidRDefault="000766DE" w14:paraId="11F79A01" w14:textId="77777777">
      <w:pPr>
        <w:pStyle w:val="EBNumber"/>
        <w:numPr>
          <w:ilvl w:val="0"/>
          <w:numId w:val="0"/>
        </w:numPr>
        <w:spacing w:after="0"/>
        <w:ind w:left="57"/>
        <w:rPr>
          <w:b/>
        </w:rPr>
      </w:pPr>
      <w:r w:rsidRPr="00B824E0">
        <w:rPr>
          <w:b/>
          <w:color w:val="auto"/>
        </w:rPr>
        <w:t>Option 1</w:t>
      </w:r>
      <w:r w:rsidRPr="00141E9D">
        <w:rPr>
          <w:b/>
          <w:color w:val="auto"/>
        </w:rPr>
        <w:t xml:space="preserve"> </w:t>
      </w:r>
    </w:p>
    <w:p w:rsidR="00B67F42" w:rsidP="000766DE" w:rsidRDefault="000766DE" w14:paraId="473189E2" w14:textId="6AB433A6">
      <w:pPr>
        <w:pStyle w:val="EBNumber"/>
        <w:numPr>
          <w:ilvl w:val="0"/>
          <w:numId w:val="29"/>
        </w:numPr>
        <w:tabs>
          <w:tab w:val="num" w:pos="567"/>
        </w:tabs>
        <w:spacing w:before="240"/>
        <w:jc w:val="both"/>
      </w:pPr>
      <w:bookmarkStart w:name="_Hlk62500314" w:id="29"/>
      <w:r w:rsidRPr="00964324">
        <w:t>Under this option</w:t>
      </w:r>
      <w:r>
        <w:t>,</w:t>
      </w:r>
      <w:r w:rsidRPr="00964324">
        <w:t xml:space="preserve"> </w:t>
      </w:r>
      <w:r>
        <w:t xml:space="preserve">the HwF income thresholds would be </w:t>
      </w:r>
      <w:r w:rsidR="00A93EF4">
        <w:t>uplifted</w:t>
      </w:r>
      <w:r>
        <w:t xml:space="preserve"> in line with </w:t>
      </w:r>
      <w:r w:rsidR="00B67F42">
        <w:t>CPIH</w:t>
      </w:r>
      <w:r>
        <w:t xml:space="preserve"> inflation, backdated to August 2016 through to </w:t>
      </w:r>
      <w:r w:rsidR="009D56EE">
        <w:t xml:space="preserve">the start of the </w:t>
      </w:r>
      <w:r>
        <w:t>2021</w:t>
      </w:r>
      <w:r w:rsidR="009D56EE">
        <w:t xml:space="preserve">/22 financial </w:t>
      </w:r>
      <w:r w:rsidRPr="00B805AE" w:rsidR="009D56EE">
        <w:t>year</w:t>
      </w:r>
      <w:r w:rsidRPr="00B805AE">
        <w:t>.</w:t>
      </w:r>
      <w:r>
        <w:t xml:space="preserve"> </w:t>
      </w:r>
      <w:r w:rsidR="0097011D">
        <w:t xml:space="preserve">The methodology to uplift HwF income thresholds is consistent with the methodology used to uplift selected court fees (see IA MoJ002/2021), with the exception that </w:t>
      </w:r>
      <w:r>
        <w:t>CPIH inflation has been used and thresholds have been rounded to the nearest five pounds</w:t>
      </w:r>
      <w:r>
        <w:rPr>
          <w:rStyle w:val="FootnoteReference"/>
        </w:rPr>
        <w:footnoteReference w:id="3"/>
      </w:r>
      <w:r>
        <w:t xml:space="preserve">. </w:t>
      </w:r>
      <w:r w:rsidR="00B67F42">
        <w:t xml:space="preserve">The CPIH index has been used </w:t>
      </w:r>
      <w:r w:rsidR="004F31F1">
        <w:t>to inflate the thresholds, rather than CPI, as it includes owner occup</w:t>
      </w:r>
      <w:r w:rsidR="00855952">
        <w:t>iers</w:t>
      </w:r>
      <w:r w:rsidR="005B5EFC">
        <w:t>’</w:t>
      </w:r>
      <w:r w:rsidR="00855952">
        <w:t xml:space="preserve"> housing costs which are relevant to individuals applying for HwF.</w:t>
      </w:r>
      <w:r w:rsidRPr="00B805AE" w:rsidR="006C410D">
        <w:t xml:space="preserve"> </w:t>
      </w:r>
      <w:r w:rsidRPr="00B805AE" w:rsidR="00F8193B">
        <w:t>The inflationary increase was calculated using 8 months of inflation as measured by the CPI</w:t>
      </w:r>
      <w:r w:rsidRPr="00B805AE" w:rsidR="00C6215D">
        <w:t>H</w:t>
      </w:r>
      <w:r w:rsidRPr="00B805AE" w:rsidR="00F8193B">
        <w:t xml:space="preserve"> annual rate from August 2016 to March 2017, another 12 months to March 2018, and so forth until March 2021</w:t>
      </w:r>
      <w:r w:rsidRPr="00B805AE" w:rsidR="00F8193B">
        <w:rPr>
          <w:rStyle w:val="FootnoteReference"/>
        </w:rPr>
        <w:footnoteReference w:id="4"/>
      </w:r>
      <w:r w:rsidRPr="00B805AE" w:rsidR="00F8193B">
        <w:t xml:space="preserve">. When the consultation was published, </w:t>
      </w:r>
      <w:r w:rsidRPr="00B805AE" w:rsidR="006C606D">
        <w:t>HwF thresholds</w:t>
      </w:r>
      <w:r w:rsidRPr="00B805AE" w:rsidR="00F8193B">
        <w:t xml:space="preserve"> had to be inflated using a forecast for the inflationary increase for Q1 2021. The publication of March 2021 CPI</w:t>
      </w:r>
      <w:r w:rsidR="00B805AE">
        <w:t>H</w:t>
      </w:r>
      <w:r w:rsidRPr="00B805AE" w:rsidR="00F8193B">
        <w:t xml:space="preserve"> data means that it is</w:t>
      </w:r>
      <w:r w:rsidRPr="00B805AE" w:rsidR="17A96798">
        <w:t xml:space="preserve"> now</w:t>
      </w:r>
      <w:r w:rsidRPr="00B805AE" w:rsidR="00F8193B">
        <w:t xml:space="preserve"> possible to base the increased </w:t>
      </w:r>
      <w:r w:rsidRPr="00B805AE" w:rsidR="006C606D">
        <w:t>thresholds</w:t>
      </w:r>
      <w:r w:rsidRPr="00B805AE" w:rsidR="00F8193B">
        <w:t xml:space="preserve"> on CPI</w:t>
      </w:r>
      <w:r w:rsidR="00566283">
        <w:t>H</w:t>
      </w:r>
      <w:r w:rsidRPr="00B805AE" w:rsidR="00F8193B">
        <w:t xml:space="preserve"> outturns</w:t>
      </w:r>
      <w:r w:rsidRPr="00B805AE" w:rsidR="008072EE">
        <w:t xml:space="preserve">, increasing the inflation rate </w:t>
      </w:r>
      <w:r w:rsidRPr="00B805AE" w:rsidR="00B805AE">
        <w:t xml:space="preserve">from 7.5% </w:t>
      </w:r>
      <w:r w:rsidRPr="00B805AE" w:rsidR="008072EE">
        <w:t>to 8%.</w:t>
      </w:r>
      <w:r w:rsidRPr="00B805AE" w:rsidR="00F8193B">
        <w:t xml:space="preserve"> </w:t>
      </w:r>
      <w:r w:rsidRPr="00B805AE">
        <w:t xml:space="preserve"> </w:t>
      </w:r>
    </w:p>
    <w:p w:rsidR="000766DE" w:rsidP="000766DE" w:rsidRDefault="000766DE" w14:paraId="24CEACCA" w14:textId="16125A43">
      <w:pPr>
        <w:pStyle w:val="EBNumber"/>
        <w:numPr>
          <w:ilvl w:val="0"/>
          <w:numId w:val="29"/>
        </w:numPr>
        <w:tabs>
          <w:tab w:val="num" w:pos="567"/>
        </w:tabs>
        <w:spacing w:before="240"/>
        <w:jc w:val="both"/>
      </w:pPr>
      <w:r>
        <w:t xml:space="preserve">The current and proposed thresholds are given in </w:t>
      </w:r>
      <w:r w:rsidR="005B1CBB">
        <w:t>T</w:t>
      </w:r>
      <w:r>
        <w:t>able 1, below. No changes are proposed to the capital thresholds or the passporting arrangements.</w:t>
      </w:r>
    </w:p>
    <w:p w:rsidRPr="00A5107F" w:rsidR="000766DE" w:rsidP="5F4E4FF4" w:rsidRDefault="000766DE" w14:paraId="27C78113" w14:textId="636DFE1A">
      <w:pPr>
        <w:pStyle w:val="EBNumber"/>
        <w:numPr>
          <w:ilvl w:val="1"/>
          <w:numId w:val="0"/>
        </w:numPr>
        <w:spacing w:before="240"/>
        <w:ind w:left="360"/>
        <w:rPr>
          <w:b/>
        </w:rPr>
      </w:pPr>
      <w:r w:rsidRPr="5F4E4FF4">
        <w:rPr>
          <w:b/>
        </w:rPr>
        <w:t xml:space="preserve">Table 1: Current and proposed </w:t>
      </w:r>
      <w:r w:rsidRPr="5F4E4FF4" w:rsidR="00A91372">
        <w:rPr>
          <w:b/>
        </w:rPr>
        <w:t>m</w:t>
      </w:r>
      <w:r w:rsidRPr="5F4E4FF4" w:rsidR="00D4253B">
        <w:rPr>
          <w:b/>
        </w:rPr>
        <w:t xml:space="preserve">onthly </w:t>
      </w:r>
      <w:r w:rsidRPr="5F4E4FF4">
        <w:rPr>
          <w:b/>
        </w:rPr>
        <w:t xml:space="preserve">HwF </w:t>
      </w:r>
      <w:r w:rsidRPr="5F4E4FF4" w:rsidR="00A91372">
        <w:rPr>
          <w:b/>
        </w:rPr>
        <w:t>i</w:t>
      </w:r>
      <w:r w:rsidRPr="5F4E4FF4">
        <w:rPr>
          <w:b/>
        </w:rPr>
        <w:t xml:space="preserve">ncome </w:t>
      </w:r>
      <w:r w:rsidRPr="5F4E4FF4" w:rsidR="00A91372">
        <w:rPr>
          <w:b/>
        </w:rPr>
        <w:t>t</w:t>
      </w:r>
      <w:r w:rsidRPr="5F4E4FF4">
        <w:rPr>
          <w:b/>
        </w:rPr>
        <w:t>hresholds</w:t>
      </w:r>
    </w:p>
    <w:tbl>
      <w:tblPr>
        <w:tblW w:w="7508" w:type="dxa"/>
        <w:tblLayout w:type="fixed"/>
        <w:tblLook w:val="04A0" w:firstRow="1" w:lastRow="0" w:firstColumn="1" w:lastColumn="0" w:noHBand="0" w:noVBand="1"/>
      </w:tblPr>
      <w:tblGrid>
        <w:gridCol w:w="3140"/>
        <w:gridCol w:w="1675"/>
        <w:gridCol w:w="1417"/>
        <w:gridCol w:w="1276"/>
      </w:tblGrid>
      <w:tr w:rsidRPr="00352D0D" w:rsidR="000766DE" w:rsidTr="005C27D0" w14:paraId="0D794E6E" w14:textId="77777777">
        <w:trPr>
          <w:trHeight w:val="576"/>
        </w:trPr>
        <w:tc>
          <w:tcPr>
            <w:tcW w:w="31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C5041" w:rsidR="000766DE" w:rsidP="005C27D0" w:rsidRDefault="000766DE" w14:paraId="2BAF7884" w14:textId="77777777">
            <w:pPr>
              <w:rPr>
                <w:rFonts w:cs="Arial"/>
                <w:color w:val="000000"/>
                <w:sz w:val="22"/>
                <w:szCs w:val="22"/>
                <w:lang w:eastAsia="en-GB"/>
              </w:rPr>
            </w:pPr>
            <w:r w:rsidRPr="006C5041">
              <w:rPr>
                <w:rFonts w:cs="Arial"/>
                <w:color w:val="000000"/>
                <w:sz w:val="22"/>
                <w:szCs w:val="22"/>
                <w:lang w:eastAsia="en-GB"/>
              </w:rPr>
              <w:t> </w:t>
            </w:r>
          </w:p>
        </w:tc>
        <w:tc>
          <w:tcPr>
            <w:tcW w:w="1675" w:type="dxa"/>
            <w:tcBorders>
              <w:top w:val="single" w:color="auto" w:sz="4" w:space="0"/>
              <w:left w:val="nil"/>
              <w:bottom w:val="single" w:color="auto" w:sz="4" w:space="0"/>
              <w:right w:val="single" w:color="auto" w:sz="4" w:space="0"/>
            </w:tcBorders>
            <w:shd w:val="clear" w:color="auto" w:fill="auto"/>
            <w:vAlign w:val="bottom"/>
            <w:hideMark/>
          </w:tcPr>
          <w:p w:rsidRPr="006C5041" w:rsidR="000766DE" w:rsidP="005C27D0" w:rsidRDefault="000766DE" w14:paraId="05AF25CA" w14:textId="77777777">
            <w:pPr>
              <w:jc w:val="center"/>
              <w:rPr>
                <w:rFonts w:cs="Arial"/>
                <w:b/>
                <w:bCs/>
                <w:color w:val="000000"/>
                <w:sz w:val="22"/>
                <w:szCs w:val="22"/>
                <w:lang w:eastAsia="en-GB"/>
              </w:rPr>
            </w:pPr>
            <w:r w:rsidRPr="006C5041">
              <w:rPr>
                <w:rFonts w:cs="Arial"/>
                <w:b/>
                <w:bCs/>
                <w:color w:val="000000"/>
                <w:sz w:val="22"/>
                <w:szCs w:val="22"/>
                <w:lang w:eastAsia="en-GB"/>
              </w:rPr>
              <w:t>Single Threshold</w:t>
            </w:r>
          </w:p>
        </w:tc>
        <w:tc>
          <w:tcPr>
            <w:tcW w:w="1417" w:type="dxa"/>
            <w:tcBorders>
              <w:top w:val="single" w:color="auto" w:sz="4" w:space="0"/>
              <w:left w:val="nil"/>
              <w:bottom w:val="single" w:color="auto" w:sz="4" w:space="0"/>
              <w:right w:val="single" w:color="auto" w:sz="4" w:space="0"/>
            </w:tcBorders>
            <w:shd w:val="clear" w:color="auto" w:fill="auto"/>
            <w:vAlign w:val="bottom"/>
            <w:hideMark/>
          </w:tcPr>
          <w:p w:rsidRPr="006C5041" w:rsidR="000766DE" w:rsidP="005C27D0" w:rsidRDefault="000766DE" w14:paraId="2B4974F3" w14:textId="77777777">
            <w:pPr>
              <w:jc w:val="center"/>
              <w:rPr>
                <w:rFonts w:cs="Arial"/>
                <w:b/>
                <w:bCs/>
                <w:color w:val="000000"/>
                <w:sz w:val="22"/>
                <w:szCs w:val="22"/>
                <w:lang w:eastAsia="en-GB"/>
              </w:rPr>
            </w:pPr>
            <w:r w:rsidRPr="006C5041">
              <w:rPr>
                <w:rFonts w:cs="Arial"/>
                <w:b/>
                <w:bCs/>
                <w:color w:val="000000"/>
                <w:sz w:val="22"/>
                <w:szCs w:val="22"/>
                <w:lang w:eastAsia="en-GB"/>
              </w:rPr>
              <w:t>Couple Premium</w:t>
            </w:r>
          </w:p>
        </w:tc>
        <w:tc>
          <w:tcPr>
            <w:tcW w:w="1276" w:type="dxa"/>
            <w:tcBorders>
              <w:top w:val="single" w:color="auto" w:sz="4" w:space="0"/>
              <w:left w:val="nil"/>
              <w:bottom w:val="single" w:color="auto" w:sz="4" w:space="0"/>
              <w:right w:val="single" w:color="auto" w:sz="4" w:space="0"/>
            </w:tcBorders>
            <w:shd w:val="clear" w:color="auto" w:fill="auto"/>
            <w:vAlign w:val="bottom"/>
            <w:hideMark/>
          </w:tcPr>
          <w:p w:rsidRPr="006C5041" w:rsidR="000766DE" w:rsidP="005C27D0" w:rsidRDefault="000766DE" w14:paraId="3C185B74" w14:textId="77777777">
            <w:pPr>
              <w:jc w:val="center"/>
              <w:rPr>
                <w:rFonts w:cs="Arial"/>
                <w:b/>
                <w:bCs/>
                <w:color w:val="000000"/>
                <w:sz w:val="22"/>
                <w:szCs w:val="22"/>
                <w:lang w:eastAsia="en-GB"/>
              </w:rPr>
            </w:pPr>
            <w:r w:rsidRPr="006C5041">
              <w:rPr>
                <w:rFonts w:cs="Arial"/>
                <w:b/>
                <w:bCs/>
                <w:color w:val="000000"/>
                <w:sz w:val="22"/>
                <w:szCs w:val="22"/>
                <w:lang w:eastAsia="en-GB"/>
              </w:rPr>
              <w:t>Child Premium</w:t>
            </w:r>
          </w:p>
        </w:tc>
      </w:tr>
      <w:tr w:rsidRPr="00352D0D" w:rsidR="000766DE" w:rsidTr="005C27D0" w14:paraId="2123315F" w14:textId="77777777">
        <w:trPr>
          <w:trHeight w:val="288"/>
        </w:trPr>
        <w:tc>
          <w:tcPr>
            <w:tcW w:w="3140" w:type="dxa"/>
            <w:tcBorders>
              <w:top w:val="nil"/>
              <w:left w:val="single" w:color="auto" w:sz="4" w:space="0"/>
              <w:bottom w:val="single" w:color="auto" w:sz="4" w:space="0"/>
              <w:right w:val="single" w:color="auto" w:sz="4" w:space="0"/>
            </w:tcBorders>
            <w:shd w:val="clear" w:color="auto" w:fill="auto"/>
            <w:noWrap/>
            <w:vAlign w:val="bottom"/>
            <w:hideMark/>
          </w:tcPr>
          <w:p w:rsidRPr="006C5041" w:rsidR="000766DE" w:rsidP="005C27D0" w:rsidRDefault="000766DE" w14:paraId="01C28AE9" w14:textId="77777777">
            <w:pPr>
              <w:rPr>
                <w:rFonts w:cs="Arial"/>
                <w:b/>
                <w:bCs/>
                <w:color w:val="000000"/>
                <w:sz w:val="22"/>
                <w:szCs w:val="22"/>
                <w:lang w:eastAsia="en-GB"/>
              </w:rPr>
            </w:pPr>
            <w:r w:rsidRPr="006C5041">
              <w:rPr>
                <w:rFonts w:cs="Arial"/>
                <w:b/>
                <w:bCs/>
                <w:color w:val="000000"/>
                <w:sz w:val="22"/>
                <w:szCs w:val="22"/>
                <w:lang w:eastAsia="en-GB"/>
              </w:rPr>
              <w:t>Current</w:t>
            </w:r>
          </w:p>
        </w:tc>
        <w:tc>
          <w:tcPr>
            <w:tcW w:w="1675" w:type="dxa"/>
            <w:tcBorders>
              <w:top w:val="nil"/>
              <w:left w:val="nil"/>
              <w:bottom w:val="single" w:color="auto" w:sz="4" w:space="0"/>
              <w:right w:val="single" w:color="auto" w:sz="4" w:space="0"/>
            </w:tcBorders>
            <w:shd w:val="clear" w:color="auto" w:fill="auto"/>
            <w:noWrap/>
            <w:vAlign w:val="bottom"/>
            <w:hideMark/>
          </w:tcPr>
          <w:p w:rsidRPr="006C5041" w:rsidR="000766DE" w:rsidP="005C27D0" w:rsidRDefault="000766DE" w14:paraId="1F57C1EC" w14:textId="77777777">
            <w:pPr>
              <w:rPr>
                <w:rFonts w:cs="Arial"/>
                <w:color w:val="000000"/>
                <w:sz w:val="22"/>
                <w:szCs w:val="22"/>
                <w:lang w:eastAsia="en-GB"/>
              </w:rPr>
            </w:pPr>
            <w:r w:rsidRPr="006C5041">
              <w:rPr>
                <w:rFonts w:cs="Arial"/>
                <w:color w:val="000000"/>
                <w:sz w:val="22"/>
                <w:szCs w:val="22"/>
                <w:lang w:eastAsia="en-GB"/>
              </w:rPr>
              <w:t xml:space="preserve"> £          1,085 </w:t>
            </w:r>
          </w:p>
        </w:tc>
        <w:tc>
          <w:tcPr>
            <w:tcW w:w="1417" w:type="dxa"/>
            <w:tcBorders>
              <w:top w:val="nil"/>
              <w:left w:val="nil"/>
              <w:bottom w:val="single" w:color="auto" w:sz="4" w:space="0"/>
              <w:right w:val="single" w:color="auto" w:sz="4" w:space="0"/>
            </w:tcBorders>
            <w:shd w:val="clear" w:color="auto" w:fill="auto"/>
            <w:noWrap/>
            <w:vAlign w:val="bottom"/>
            <w:hideMark/>
          </w:tcPr>
          <w:p w:rsidRPr="006C5041" w:rsidR="000766DE" w:rsidP="005C27D0" w:rsidRDefault="000766DE" w14:paraId="04B733D6" w14:textId="77777777">
            <w:pPr>
              <w:rPr>
                <w:rFonts w:cs="Arial"/>
                <w:color w:val="000000"/>
                <w:sz w:val="22"/>
                <w:szCs w:val="22"/>
                <w:lang w:eastAsia="en-GB"/>
              </w:rPr>
            </w:pPr>
            <w:r w:rsidRPr="006C5041">
              <w:rPr>
                <w:rFonts w:cs="Arial"/>
                <w:color w:val="000000"/>
                <w:sz w:val="22"/>
                <w:szCs w:val="22"/>
                <w:lang w:eastAsia="en-GB"/>
              </w:rPr>
              <w:t xml:space="preserve"> £       160 </w:t>
            </w:r>
          </w:p>
        </w:tc>
        <w:tc>
          <w:tcPr>
            <w:tcW w:w="1276" w:type="dxa"/>
            <w:tcBorders>
              <w:top w:val="nil"/>
              <w:left w:val="nil"/>
              <w:bottom w:val="single" w:color="auto" w:sz="4" w:space="0"/>
              <w:right w:val="single" w:color="auto" w:sz="4" w:space="0"/>
            </w:tcBorders>
            <w:shd w:val="clear" w:color="auto" w:fill="auto"/>
            <w:noWrap/>
            <w:vAlign w:val="bottom"/>
            <w:hideMark/>
          </w:tcPr>
          <w:p w:rsidRPr="006C5041" w:rsidR="000766DE" w:rsidP="005C27D0" w:rsidRDefault="000766DE" w14:paraId="034C4C99" w14:textId="77777777">
            <w:pPr>
              <w:rPr>
                <w:rFonts w:cs="Arial"/>
                <w:color w:val="000000"/>
                <w:sz w:val="22"/>
                <w:szCs w:val="22"/>
                <w:lang w:eastAsia="en-GB"/>
              </w:rPr>
            </w:pPr>
            <w:r w:rsidRPr="006C5041">
              <w:rPr>
                <w:rFonts w:cs="Arial"/>
                <w:color w:val="000000"/>
                <w:sz w:val="22"/>
                <w:szCs w:val="22"/>
                <w:lang w:eastAsia="en-GB"/>
              </w:rPr>
              <w:t xml:space="preserve"> £       245 </w:t>
            </w:r>
          </w:p>
        </w:tc>
      </w:tr>
      <w:tr w:rsidRPr="00352D0D" w:rsidR="000766DE" w:rsidTr="005C27D0" w14:paraId="1137E8BD" w14:textId="77777777">
        <w:trPr>
          <w:trHeight w:val="288"/>
        </w:trPr>
        <w:tc>
          <w:tcPr>
            <w:tcW w:w="3140" w:type="dxa"/>
            <w:tcBorders>
              <w:top w:val="nil"/>
              <w:left w:val="single" w:color="auto" w:sz="4" w:space="0"/>
              <w:bottom w:val="single" w:color="auto" w:sz="4" w:space="0"/>
              <w:right w:val="single" w:color="auto" w:sz="4" w:space="0"/>
            </w:tcBorders>
            <w:shd w:val="clear" w:color="auto" w:fill="auto"/>
            <w:noWrap/>
            <w:vAlign w:val="bottom"/>
            <w:hideMark/>
          </w:tcPr>
          <w:p w:rsidRPr="006C5041" w:rsidR="000766DE" w:rsidP="005C27D0" w:rsidRDefault="000766DE" w14:paraId="5E29CE4C" w14:textId="77777777">
            <w:pPr>
              <w:rPr>
                <w:rFonts w:cs="Arial"/>
                <w:b/>
                <w:bCs/>
                <w:color w:val="000000"/>
                <w:sz w:val="22"/>
                <w:szCs w:val="22"/>
                <w:lang w:eastAsia="en-GB"/>
              </w:rPr>
            </w:pPr>
            <w:r w:rsidRPr="006C5041">
              <w:rPr>
                <w:rFonts w:cs="Arial"/>
                <w:b/>
                <w:bCs/>
                <w:color w:val="000000"/>
                <w:sz w:val="22"/>
                <w:szCs w:val="22"/>
                <w:lang w:eastAsia="en-GB"/>
              </w:rPr>
              <w:t>Proposed</w:t>
            </w:r>
          </w:p>
        </w:tc>
        <w:tc>
          <w:tcPr>
            <w:tcW w:w="1675" w:type="dxa"/>
            <w:tcBorders>
              <w:top w:val="nil"/>
              <w:left w:val="nil"/>
              <w:bottom w:val="single" w:color="auto" w:sz="4" w:space="0"/>
              <w:right w:val="single" w:color="auto" w:sz="4" w:space="0"/>
            </w:tcBorders>
            <w:shd w:val="clear" w:color="auto" w:fill="auto"/>
            <w:noWrap/>
            <w:vAlign w:val="bottom"/>
            <w:hideMark/>
          </w:tcPr>
          <w:p w:rsidRPr="006C5041" w:rsidR="000766DE" w:rsidP="005C27D0" w:rsidRDefault="000766DE" w14:paraId="04DC20B7" w14:textId="46369CFF">
            <w:pPr>
              <w:rPr>
                <w:rFonts w:cs="Arial"/>
                <w:color w:val="000000"/>
                <w:sz w:val="22"/>
                <w:szCs w:val="22"/>
                <w:lang w:eastAsia="en-GB"/>
              </w:rPr>
            </w:pPr>
            <w:r w:rsidRPr="006C5041">
              <w:rPr>
                <w:rFonts w:cs="Arial"/>
                <w:color w:val="000000"/>
                <w:sz w:val="22"/>
                <w:szCs w:val="22"/>
                <w:lang w:eastAsia="en-GB"/>
              </w:rPr>
              <w:t xml:space="preserve"> £          1,1</w:t>
            </w:r>
            <w:r w:rsidR="00023395">
              <w:rPr>
                <w:rFonts w:cs="Arial"/>
                <w:color w:val="000000"/>
                <w:sz w:val="22"/>
                <w:szCs w:val="22"/>
                <w:lang w:eastAsia="en-GB"/>
              </w:rPr>
              <w:t>70</w:t>
            </w:r>
          </w:p>
        </w:tc>
        <w:tc>
          <w:tcPr>
            <w:tcW w:w="1417" w:type="dxa"/>
            <w:tcBorders>
              <w:top w:val="nil"/>
              <w:left w:val="nil"/>
              <w:bottom w:val="single" w:color="auto" w:sz="4" w:space="0"/>
              <w:right w:val="single" w:color="auto" w:sz="4" w:space="0"/>
            </w:tcBorders>
            <w:shd w:val="clear" w:color="auto" w:fill="auto"/>
            <w:noWrap/>
            <w:vAlign w:val="bottom"/>
            <w:hideMark/>
          </w:tcPr>
          <w:p w:rsidRPr="006C5041" w:rsidR="000766DE" w:rsidP="005C27D0" w:rsidRDefault="000766DE" w14:paraId="0BDFBD90" w14:textId="6799D72C">
            <w:pPr>
              <w:rPr>
                <w:rFonts w:cs="Arial"/>
                <w:color w:val="000000"/>
                <w:sz w:val="22"/>
                <w:szCs w:val="22"/>
                <w:lang w:eastAsia="en-GB"/>
              </w:rPr>
            </w:pPr>
            <w:r w:rsidRPr="006C5041">
              <w:rPr>
                <w:rFonts w:cs="Arial"/>
                <w:color w:val="000000"/>
                <w:sz w:val="22"/>
                <w:szCs w:val="22"/>
                <w:lang w:eastAsia="en-GB"/>
              </w:rPr>
              <w:t xml:space="preserve"> £       17</w:t>
            </w:r>
            <w:r w:rsidR="00023395">
              <w:rPr>
                <w:rFonts w:cs="Arial"/>
                <w:color w:val="000000"/>
                <w:sz w:val="22"/>
                <w:szCs w:val="22"/>
                <w:lang w:eastAsia="en-GB"/>
              </w:rPr>
              <w:t>5</w:t>
            </w:r>
          </w:p>
        </w:tc>
        <w:tc>
          <w:tcPr>
            <w:tcW w:w="1276" w:type="dxa"/>
            <w:tcBorders>
              <w:top w:val="nil"/>
              <w:left w:val="nil"/>
              <w:bottom w:val="single" w:color="auto" w:sz="4" w:space="0"/>
              <w:right w:val="single" w:color="auto" w:sz="4" w:space="0"/>
            </w:tcBorders>
            <w:shd w:val="clear" w:color="auto" w:fill="auto"/>
            <w:noWrap/>
            <w:vAlign w:val="bottom"/>
            <w:hideMark/>
          </w:tcPr>
          <w:p w:rsidRPr="006C5041" w:rsidR="000766DE" w:rsidP="005C27D0" w:rsidRDefault="000766DE" w14:paraId="2177EFD1" w14:textId="77777777">
            <w:pPr>
              <w:rPr>
                <w:rFonts w:cs="Arial"/>
                <w:color w:val="000000"/>
                <w:sz w:val="22"/>
                <w:szCs w:val="22"/>
                <w:lang w:eastAsia="en-GB"/>
              </w:rPr>
            </w:pPr>
            <w:r w:rsidRPr="006C5041">
              <w:rPr>
                <w:rFonts w:cs="Arial"/>
                <w:color w:val="000000"/>
                <w:sz w:val="22"/>
                <w:szCs w:val="22"/>
                <w:lang w:eastAsia="en-GB"/>
              </w:rPr>
              <w:t xml:space="preserve"> £       26</w:t>
            </w:r>
            <w:r>
              <w:rPr>
                <w:rFonts w:cs="Arial"/>
                <w:color w:val="000000"/>
                <w:sz w:val="22"/>
                <w:szCs w:val="22"/>
                <w:lang w:eastAsia="en-GB"/>
              </w:rPr>
              <w:t>5</w:t>
            </w:r>
            <w:r w:rsidRPr="006C5041">
              <w:rPr>
                <w:rFonts w:cs="Arial"/>
                <w:color w:val="000000"/>
                <w:sz w:val="22"/>
                <w:szCs w:val="22"/>
                <w:lang w:eastAsia="en-GB"/>
              </w:rPr>
              <w:t xml:space="preserve"> </w:t>
            </w:r>
          </w:p>
        </w:tc>
      </w:tr>
      <w:bookmarkEnd w:id="29"/>
    </w:tbl>
    <w:p w:rsidR="000766DE" w:rsidP="000766DE" w:rsidRDefault="000766DE" w14:paraId="28E85CE6" w14:textId="77777777">
      <w:pPr>
        <w:pStyle w:val="EBNumber"/>
        <w:numPr>
          <w:ilvl w:val="0"/>
          <w:numId w:val="0"/>
        </w:numPr>
        <w:spacing w:after="0"/>
      </w:pPr>
    </w:p>
    <w:p w:rsidR="000766DE" w:rsidP="000766DE" w:rsidRDefault="000766DE" w14:paraId="7540ACE8" w14:textId="3C520D4C">
      <w:pPr>
        <w:pStyle w:val="EBNumber"/>
        <w:numPr>
          <w:ilvl w:val="0"/>
          <w:numId w:val="29"/>
        </w:numPr>
        <w:tabs>
          <w:tab w:val="num" w:pos="567"/>
        </w:tabs>
        <w:spacing w:before="240"/>
        <w:jc w:val="both"/>
      </w:pPr>
      <w:r>
        <w:t>The current HwF scheme has an upper income threshold, above which no remission is awarded</w:t>
      </w:r>
      <w:r w:rsidR="00B7159C">
        <w:t xml:space="preserve">, as described in paragraph </w:t>
      </w:r>
      <w:r w:rsidR="002B53DC">
        <w:t>6</w:t>
      </w:r>
      <w:r w:rsidR="009E7E33">
        <w:t>.</w:t>
      </w:r>
      <w:r>
        <w:t xml:space="preserve"> This upper threshold w</w:t>
      </w:r>
      <w:r w:rsidR="00023395">
        <w:t>ill</w:t>
      </w:r>
      <w:r>
        <w:t xml:space="preserve"> remain at £4,000 plus the relevant threshold in </w:t>
      </w:r>
      <w:r w:rsidR="005B1CBB">
        <w:t>T</w:t>
      </w:r>
      <w:r>
        <w:t>able 1</w:t>
      </w:r>
      <w:r w:rsidR="00B7159C">
        <w:t xml:space="preserve">, meaning that for a single person the cap will rise </w:t>
      </w:r>
      <w:r w:rsidR="009C56A2">
        <w:t xml:space="preserve">from £5,085 to £5,170 and for a couple it will rise from </w:t>
      </w:r>
      <w:r w:rsidR="00590AE3">
        <w:t>£5,245 to £5,345</w:t>
      </w:r>
    </w:p>
    <w:p w:rsidR="000766DE" w:rsidP="000C2593" w:rsidRDefault="000766DE" w14:paraId="4D3639D1" w14:textId="32AD95A3">
      <w:pPr>
        <w:pStyle w:val="EBNumber"/>
        <w:numPr>
          <w:ilvl w:val="0"/>
          <w:numId w:val="29"/>
        </w:numPr>
        <w:tabs>
          <w:tab w:val="num" w:pos="567"/>
        </w:tabs>
        <w:jc w:val="both"/>
      </w:pPr>
      <w:r>
        <w:t xml:space="preserve">The new thresholds </w:t>
      </w:r>
      <w:r w:rsidR="000140D2">
        <w:t>w</w:t>
      </w:r>
      <w:r w:rsidR="00023395">
        <w:t>ill</w:t>
      </w:r>
      <w:r w:rsidR="000140D2">
        <w:t xml:space="preserve"> </w:t>
      </w:r>
      <w:r>
        <w:t xml:space="preserve">apply to all fees in </w:t>
      </w:r>
      <w:r w:rsidR="000140D2">
        <w:t xml:space="preserve">the </w:t>
      </w:r>
      <w:r>
        <w:t>Civil</w:t>
      </w:r>
      <w:r w:rsidR="00B605CC">
        <w:t xml:space="preserve"> and</w:t>
      </w:r>
      <w:r>
        <w:t xml:space="preserve"> Family </w:t>
      </w:r>
      <w:r w:rsidR="007C3381">
        <w:t>C</w:t>
      </w:r>
      <w:r>
        <w:t xml:space="preserve">ourts and Tribunals where the current </w:t>
      </w:r>
      <w:r w:rsidR="000621ED">
        <w:t>HwF</w:t>
      </w:r>
      <w:r>
        <w:t xml:space="preserve"> scheme is applicable.</w:t>
      </w:r>
      <w:r w:rsidR="006D756F">
        <w:t xml:space="preserve"> The new thresholds will also apply to the UK Supreme Court fee remissions scheme. </w:t>
      </w:r>
      <w:r w:rsidR="00CB6D40">
        <w:t>However, this is not expected to affect the value of remissions awarded by the UKSC as in practice, due to the nature of the cases involved and the limited number of applications for remission received, the UKSC assesses means on a case by case basis, rather than applying the HwF means-test.</w:t>
      </w:r>
    </w:p>
    <w:p w:rsidR="000766DE" w:rsidP="000766DE" w:rsidRDefault="000766DE" w14:paraId="3454D261" w14:textId="77777777">
      <w:pPr>
        <w:pStyle w:val="EBNumber"/>
        <w:numPr>
          <w:ilvl w:val="0"/>
          <w:numId w:val="0"/>
        </w:numPr>
        <w:spacing w:after="0"/>
      </w:pPr>
    </w:p>
    <w:p w:rsidRPr="00350311" w:rsidR="000766DE" w:rsidP="000766DE" w:rsidRDefault="000766DE" w14:paraId="3517A9B5" w14:textId="77777777">
      <w:pPr>
        <w:pStyle w:val="IANotes"/>
        <w:numPr>
          <w:ilvl w:val="0"/>
          <w:numId w:val="31"/>
        </w:numPr>
        <w:spacing w:before="240"/>
        <w:ind w:hanging="720"/>
        <w:rPr>
          <w:b/>
          <w:color w:val="auto"/>
          <w:sz w:val="28"/>
          <w:szCs w:val="28"/>
        </w:rPr>
      </w:pPr>
      <w:r w:rsidRPr="00350311">
        <w:rPr>
          <w:b/>
          <w:color w:val="auto"/>
          <w:sz w:val="28"/>
          <w:szCs w:val="28"/>
        </w:rPr>
        <w:t>Affected Stakeholder Groups, Organisations and Sectors</w:t>
      </w:r>
    </w:p>
    <w:p w:rsidRPr="00350311" w:rsidR="000766DE" w:rsidP="000766DE" w:rsidRDefault="000766DE" w14:paraId="67D64FC1" w14:textId="77777777">
      <w:pPr>
        <w:pStyle w:val="IANotes"/>
        <w:tabs>
          <w:tab w:val="num" w:pos="360"/>
        </w:tabs>
        <w:ind w:left="357" w:hanging="357"/>
        <w:rPr>
          <w:b/>
          <w:color w:val="auto"/>
          <w:sz w:val="28"/>
          <w:szCs w:val="28"/>
        </w:rPr>
      </w:pPr>
    </w:p>
    <w:p w:rsidRPr="00350311" w:rsidR="000766DE" w:rsidP="000766DE" w:rsidRDefault="000766DE" w14:paraId="23BE9880" w14:textId="12E240B9">
      <w:pPr>
        <w:pStyle w:val="EBNumber"/>
        <w:numPr>
          <w:ilvl w:val="0"/>
          <w:numId w:val="29"/>
        </w:numPr>
        <w:tabs>
          <w:tab w:val="num" w:pos="567"/>
        </w:tabs>
        <w:spacing w:after="0"/>
        <w:jc w:val="both"/>
        <w:rPr>
          <w:rFonts w:eastAsia="MS Mincho"/>
        </w:rPr>
      </w:pPr>
      <w:r>
        <w:t>The options assessed in this IA will primarily affect users of the services where fees are changing. A list of all the main groups that would be affected is shown below</w:t>
      </w:r>
      <w:r w:rsidRPr="11642C45">
        <w:rPr>
          <w:rFonts w:eastAsia="MS Mincho"/>
        </w:rPr>
        <w:t xml:space="preserve">: </w:t>
      </w:r>
    </w:p>
    <w:p w:rsidRPr="00350311" w:rsidR="000766DE" w:rsidP="000766DE" w:rsidRDefault="000766DE" w14:paraId="61ED23DD" w14:textId="77777777">
      <w:pPr>
        <w:pStyle w:val="EBNumber"/>
        <w:numPr>
          <w:ilvl w:val="0"/>
          <w:numId w:val="0"/>
        </w:numPr>
        <w:spacing w:after="0"/>
        <w:ind w:left="567"/>
        <w:rPr>
          <w:rFonts w:eastAsia="MS Mincho"/>
        </w:rPr>
      </w:pPr>
    </w:p>
    <w:p w:rsidRPr="00D122DD" w:rsidR="000766DE" w:rsidP="000766DE" w:rsidRDefault="00CC08F3" w14:paraId="6185CC6B" w14:textId="70629369">
      <w:pPr>
        <w:pStyle w:val="EBNumber"/>
        <w:numPr>
          <w:ilvl w:val="0"/>
          <w:numId w:val="30"/>
        </w:numPr>
        <w:tabs>
          <w:tab w:val="num" w:pos="567"/>
        </w:tabs>
        <w:spacing w:after="0"/>
        <w:ind w:left="896" w:hanging="357"/>
        <w:rPr>
          <w:rFonts w:eastAsia="MS Mincho"/>
        </w:rPr>
      </w:pPr>
      <w:r>
        <w:t>Court</w:t>
      </w:r>
      <w:r w:rsidR="000766DE">
        <w:t xml:space="preserve"> users</w:t>
      </w:r>
      <w:r w:rsidRPr="00350311" w:rsidR="000766DE">
        <w:t xml:space="preserve"> –</w:t>
      </w:r>
      <w:r w:rsidR="000766DE">
        <w:t xml:space="preserve"> those who use the Civil, Family courts and Tribunals where a court fee is charged. Normally just individuals are eligible for HwF</w:t>
      </w:r>
      <w:r w:rsidR="008B39B6">
        <w:t>, although sol</w:t>
      </w:r>
      <w:r w:rsidR="00B03CB0">
        <w:t>e</w:t>
      </w:r>
      <w:r w:rsidR="008B39B6">
        <w:t xml:space="preserve"> traders are </w:t>
      </w:r>
      <w:r w:rsidR="24612AE8">
        <w:t xml:space="preserve">also </w:t>
      </w:r>
      <w:r w:rsidR="008B39B6">
        <w:t>eligible;</w:t>
      </w:r>
      <w:r w:rsidR="000766DE">
        <w:t xml:space="preserve"> </w:t>
      </w:r>
      <w:r w:rsidRPr="00350311" w:rsidR="000766DE">
        <w:t xml:space="preserve"> </w:t>
      </w:r>
    </w:p>
    <w:p w:rsidRPr="00350311" w:rsidR="000766DE" w:rsidP="000766DE" w:rsidRDefault="000766DE" w14:paraId="65001DBA" w14:textId="77777777">
      <w:pPr>
        <w:pStyle w:val="EBNumber"/>
        <w:numPr>
          <w:ilvl w:val="0"/>
          <w:numId w:val="30"/>
        </w:numPr>
        <w:tabs>
          <w:tab w:val="num" w:pos="567"/>
        </w:tabs>
        <w:spacing w:after="0"/>
        <w:ind w:left="896" w:hanging="357"/>
      </w:pPr>
      <w:r w:rsidRPr="00350311">
        <w:t xml:space="preserve">HMCTS – who operate the services; </w:t>
      </w:r>
    </w:p>
    <w:p w:rsidRPr="00350311" w:rsidR="000766DE" w:rsidP="000766DE" w:rsidRDefault="000766DE" w14:paraId="5081683F" w14:textId="77777777">
      <w:pPr>
        <w:pStyle w:val="EBNumber"/>
        <w:numPr>
          <w:ilvl w:val="0"/>
          <w:numId w:val="30"/>
        </w:numPr>
        <w:tabs>
          <w:tab w:val="num" w:pos="567"/>
        </w:tabs>
        <w:spacing w:after="0"/>
        <w:ind w:left="896" w:hanging="357"/>
      </w:pPr>
      <w:r w:rsidRPr="00350311">
        <w:t>Taxpayers – who subsidise HMCTS;</w:t>
      </w:r>
    </w:p>
    <w:p w:rsidR="000766DE" w:rsidP="000766DE" w:rsidRDefault="000766DE" w14:paraId="0F892683" w14:textId="77777777">
      <w:pPr>
        <w:numPr>
          <w:ilvl w:val="0"/>
          <w:numId w:val="30"/>
        </w:numPr>
        <w:rPr>
          <w:rFonts w:cs="Arial"/>
          <w:sz w:val="22"/>
          <w:szCs w:val="22"/>
        </w:rPr>
      </w:pPr>
      <w:r w:rsidRPr="00350311">
        <w:rPr>
          <w:rFonts w:cs="Arial"/>
          <w:sz w:val="22"/>
          <w:szCs w:val="22"/>
        </w:rPr>
        <w:t>Legal services providers – who</w:t>
      </w:r>
      <w:r>
        <w:rPr>
          <w:rFonts w:cs="Arial"/>
          <w:sz w:val="22"/>
          <w:szCs w:val="22"/>
        </w:rPr>
        <w:t xml:space="preserve"> provide services to users of HMCTS</w:t>
      </w:r>
      <w:r w:rsidRPr="00350311">
        <w:rPr>
          <w:rFonts w:cs="Arial"/>
          <w:sz w:val="22"/>
          <w:szCs w:val="22"/>
        </w:rPr>
        <w:t>;</w:t>
      </w:r>
    </w:p>
    <w:p w:rsidRPr="00350311" w:rsidR="000766DE" w:rsidP="000766DE" w:rsidRDefault="000766DE" w14:paraId="1B97191A" w14:textId="4E029101">
      <w:pPr>
        <w:numPr>
          <w:ilvl w:val="0"/>
          <w:numId w:val="30"/>
        </w:numPr>
        <w:rPr>
          <w:rFonts w:cs="Arial"/>
          <w:sz w:val="22"/>
          <w:szCs w:val="22"/>
        </w:rPr>
      </w:pPr>
      <w:r>
        <w:rPr>
          <w:rFonts w:cs="Arial"/>
          <w:sz w:val="22"/>
          <w:szCs w:val="22"/>
        </w:rPr>
        <w:t xml:space="preserve">Support organisations – such as Citizen’s Advice or Support through Court, who provide advice and assistance to vulnerable </w:t>
      </w:r>
      <w:r w:rsidRPr="56ACDE80">
        <w:rPr>
          <w:rFonts w:cs="Arial"/>
          <w:sz w:val="22"/>
          <w:szCs w:val="22"/>
        </w:rPr>
        <w:t>HMCTS users</w:t>
      </w:r>
      <w:r>
        <w:rPr>
          <w:rFonts w:cs="Arial"/>
          <w:sz w:val="22"/>
          <w:szCs w:val="22"/>
        </w:rPr>
        <w:t xml:space="preserve">; </w:t>
      </w:r>
    </w:p>
    <w:p w:rsidRPr="00350311" w:rsidR="000766DE" w:rsidP="000766DE" w:rsidRDefault="000766DE" w14:paraId="0EAAC60D" w14:textId="293D7CE3">
      <w:pPr>
        <w:numPr>
          <w:ilvl w:val="0"/>
          <w:numId w:val="30"/>
        </w:numPr>
        <w:rPr>
          <w:rFonts w:cs="Arial"/>
          <w:sz w:val="22"/>
          <w:szCs w:val="22"/>
        </w:rPr>
      </w:pPr>
      <w:r w:rsidRPr="00350311">
        <w:rPr>
          <w:rFonts w:cs="Arial"/>
          <w:sz w:val="22"/>
          <w:szCs w:val="22"/>
        </w:rPr>
        <w:t xml:space="preserve">MoJ – who sponsor </w:t>
      </w:r>
      <w:r>
        <w:rPr>
          <w:rFonts w:cs="Arial"/>
          <w:sz w:val="22"/>
          <w:szCs w:val="22"/>
        </w:rPr>
        <w:t xml:space="preserve">HMCTS (which provides the </w:t>
      </w:r>
      <w:r w:rsidRPr="00350311">
        <w:rPr>
          <w:rFonts w:cs="Arial"/>
          <w:sz w:val="22"/>
          <w:szCs w:val="22"/>
        </w:rPr>
        <w:t xml:space="preserve">services </w:t>
      </w:r>
      <w:r>
        <w:rPr>
          <w:rFonts w:cs="Arial"/>
          <w:sz w:val="22"/>
          <w:szCs w:val="22"/>
        </w:rPr>
        <w:t>for which fees are charged)</w:t>
      </w:r>
      <w:r w:rsidR="006068CD">
        <w:rPr>
          <w:rFonts w:cs="Arial"/>
          <w:sz w:val="22"/>
          <w:szCs w:val="22"/>
        </w:rPr>
        <w:t>;</w:t>
      </w:r>
      <w:r>
        <w:rPr>
          <w:rFonts w:cs="Arial"/>
          <w:sz w:val="22"/>
          <w:szCs w:val="22"/>
        </w:rPr>
        <w:t xml:space="preserve">  </w:t>
      </w:r>
    </w:p>
    <w:p w:rsidRPr="00350311" w:rsidR="006D756F" w:rsidP="00E73C86" w:rsidRDefault="009302BC" w14:paraId="0B465F49" w14:textId="237601F0">
      <w:pPr>
        <w:pStyle w:val="ListParagraph"/>
        <w:numPr>
          <w:ilvl w:val="0"/>
          <w:numId w:val="30"/>
        </w:numPr>
        <w:rPr>
          <w:rFonts w:cs="Arial"/>
          <w:sz w:val="22"/>
          <w:szCs w:val="22"/>
        </w:rPr>
      </w:pPr>
      <w:r w:rsidRPr="5C77429A">
        <w:rPr>
          <w:rFonts w:cs="Arial"/>
          <w:sz w:val="22"/>
          <w:szCs w:val="22"/>
        </w:rPr>
        <w:t>The UKSC</w:t>
      </w:r>
      <w:r w:rsidRPr="5C77429A" w:rsidR="00294D71">
        <w:rPr>
          <w:rFonts w:cs="Arial"/>
          <w:sz w:val="22"/>
          <w:szCs w:val="22"/>
        </w:rPr>
        <w:t xml:space="preserve"> – who can award fee remissions </w:t>
      </w:r>
      <w:r w:rsidR="00B7200B">
        <w:rPr>
          <w:rFonts w:cs="Arial"/>
          <w:sz w:val="22"/>
          <w:szCs w:val="22"/>
        </w:rPr>
        <w:t xml:space="preserve">under </w:t>
      </w:r>
      <w:r w:rsidRPr="00E1447C" w:rsidR="00E1447C">
        <w:rPr>
          <w:rFonts w:cs="Arial"/>
          <w:sz w:val="22"/>
          <w:szCs w:val="22"/>
        </w:rPr>
        <w:t>Schedule 2 of The Supreme Court Fees Order 2009</w:t>
      </w:r>
      <w:r w:rsidRPr="5C77429A" w:rsidR="00294D71">
        <w:rPr>
          <w:rFonts w:cs="Arial"/>
          <w:sz w:val="22"/>
          <w:szCs w:val="22"/>
        </w:rPr>
        <w:t>.</w:t>
      </w:r>
      <w:r w:rsidRPr="00DA4255" w:rsidR="00DA4255">
        <w:rPr>
          <w:rFonts w:cs="Arial"/>
          <w:sz w:val="22"/>
          <w:szCs w:val="22"/>
        </w:rPr>
        <w:t xml:space="preserve"> </w:t>
      </w:r>
      <w:r w:rsidR="00DA4255">
        <w:rPr>
          <w:rFonts w:cs="Arial"/>
          <w:sz w:val="22"/>
          <w:szCs w:val="22"/>
        </w:rPr>
        <w:t>The Income thresholds in this scheme are aligned with HwF and to ensure consistency above the schemes, will also be uplifted.</w:t>
      </w:r>
    </w:p>
    <w:p w:rsidRPr="005564E0" w:rsidR="000766DE" w:rsidP="000766DE" w:rsidRDefault="000766DE" w14:paraId="487C9EC3" w14:textId="7B7A6811">
      <w:pPr>
        <w:pStyle w:val="EBNumber"/>
        <w:numPr>
          <w:ilvl w:val="1"/>
          <w:numId w:val="0"/>
        </w:numPr>
        <w:spacing w:after="0"/>
        <w:ind w:left="900"/>
        <w:rPr>
          <w:rFonts w:eastAsia="MS Mincho"/>
          <w:highlight w:val="yellow"/>
        </w:rPr>
      </w:pPr>
    </w:p>
    <w:p w:rsidRPr="00350311" w:rsidR="000766DE" w:rsidP="000766DE" w:rsidRDefault="00AC16EE" w14:paraId="6FE387F6" w14:textId="2617C96F">
      <w:pPr>
        <w:pStyle w:val="IANotes"/>
        <w:numPr>
          <w:ilvl w:val="0"/>
          <w:numId w:val="31"/>
        </w:numPr>
        <w:spacing w:before="240"/>
        <w:ind w:hanging="720"/>
        <w:rPr>
          <w:b/>
          <w:color w:val="auto"/>
          <w:sz w:val="28"/>
          <w:szCs w:val="28"/>
        </w:rPr>
      </w:pPr>
      <w:r>
        <w:rPr>
          <w:b/>
          <w:color w:val="auto"/>
          <w:sz w:val="28"/>
          <w:szCs w:val="28"/>
        </w:rPr>
        <w:t xml:space="preserve">Cost and Benefit Analysis </w:t>
      </w:r>
    </w:p>
    <w:p w:rsidRPr="00350311" w:rsidR="000766DE" w:rsidP="000766DE" w:rsidRDefault="000766DE" w14:paraId="06E3E281" w14:textId="77777777">
      <w:pPr>
        <w:pStyle w:val="EBNumber"/>
        <w:numPr>
          <w:ilvl w:val="0"/>
          <w:numId w:val="0"/>
        </w:numPr>
        <w:spacing w:after="0"/>
        <w:rPr>
          <w:color w:val="auto"/>
        </w:rPr>
      </w:pPr>
    </w:p>
    <w:p w:rsidR="000766DE" w:rsidP="000766DE" w:rsidRDefault="000766DE" w14:paraId="6F752555" w14:textId="77777777">
      <w:pPr>
        <w:pStyle w:val="EBNumber"/>
        <w:numPr>
          <w:ilvl w:val="0"/>
          <w:numId w:val="29"/>
        </w:numPr>
        <w:tabs>
          <w:tab w:val="num" w:pos="567"/>
        </w:tabs>
        <w:jc w:val="both"/>
        <w:rPr>
          <w:lang w:eastAsia="en-US"/>
        </w:rPr>
      </w:pPr>
      <w:r>
        <w:t>This IA follows the procedures and criteria set out in the IA Guidance and is consistent with the HM Treasury Green Book.</w:t>
      </w:r>
    </w:p>
    <w:p w:rsidR="000766DE" w:rsidP="000766DE" w:rsidRDefault="000766DE" w14:paraId="7C26301A" w14:textId="77777777">
      <w:pPr>
        <w:pStyle w:val="EBNumber"/>
        <w:numPr>
          <w:ilvl w:val="0"/>
          <w:numId w:val="29"/>
        </w:numPr>
        <w:tabs>
          <w:tab w:val="num" w:pos="567"/>
        </w:tabs>
        <w:spacing w:before="240"/>
        <w:jc w:val="both"/>
      </w:pPr>
      <w:r>
        <w:t>Where possible, IAs identify both monetised and non-monetised impacts on individuals, groups and businesses in England and Wales with the aim of understanding what the overall impact on society might be from the proposals under consideration. IAs place a strong focus on monetisation of costs and benefits. There are often, however, important impacts which cannot sensibly be monetised. These might be impacts on certain groups of society or data privacy impacts, both positive and negative. Impacts in this IA are therefore interpreted broadly, to include both monetisable and non-monetisable costs and benefits, with due weight given to those that are not monetised.</w:t>
      </w:r>
    </w:p>
    <w:p w:rsidR="000766DE" w:rsidP="000766DE" w:rsidRDefault="000766DE" w14:paraId="601049F5" w14:textId="77777777">
      <w:pPr>
        <w:pStyle w:val="ListParagraph"/>
        <w:rPr>
          <w:rFonts w:cs="Arial" w:eastAsiaTheme="minorHAnsi"/>
          <w:sz w:val="22"/>
          <w:szCs w:val="22"/>
        </w:rPr>
      </w:pPr>
    </w:p>
    <w:p w:rsidR="000766DE" w:rsidP="000766DE" w:rsidRDefault="000766DE" w14:paraId="6BF22739" w14:textId="4E9E0056">
      <w:pPr>
        <w:pStyle w:val="EBNumber"/>
        <w:numPr>
          <w:ilvl w:val="0"/>
          <w:numId w:val="29"/>
        </w:numPr>
        <w:tabs>
          <w:tab w:val="num" w:pos="567"/>
        </w:tabs>
        <w:jc w:val="both"/>
      </w:pPr>
      <w:r>
        <w:t xml:space="preserve">The costs and benefits of each proposal are compared to </w:t>
      </w:r>
      <w:r w:rsidR="00901132">
        <w:t>O</w:t>
      </w:r>
      <w:r>
        <w:t>ption 0, the counterfactual or “do nothing” scenario, where HwF</w:t>
      </w:r>
      <w:r w:rsidR="005B1CBB">
        <w:t xml:space="preserve"> income</w:t>
      </w:r>
      <w:r>
        <w:t xml:space="preserve"> thresholds are maintained at their current levels. As the counterfactual is compared to itself, the costs and benefits are necessarily zero, as is its net present value (NPV).</w:t>
      </w:r>
    </w:p>
    <w:p w:rsidR="000766DE" w:rsidP="000766DE" w:rsidRDefault="000766DE" w14:paraId="43D7B323" w14:textId="77777777">
      <w:pPr>
        <w:pStyle w:val="EBNumber"/>
        <w:numPr>
          <w:ilvl w:val="0"/>
          <w:numId w:val="0"/>
        </w:numPr>
        <w:spacing w:after="0"/>
        <w:ind w:left="360"/>
        <w:rPr>
          <w:u w:val="single"/>
        </w:rPr>
      </w:pPr>
    </w:p>
    <w:p w:rsidR="000766DE" w:rsidP="000766DE" w:rsidRDefault="00B263FE" w14:paraId="45002240" w14:textId="44334554">
      <w:pPr>
        <w:pStyle w:val="EBNumber"/>
        <w:numPr>
          <w:ilvl w:val="0"/>
          <w:numId w:val="0"/>
        </w:numPr>
        <w:spacing w:after="0"/>
        <w:ind w:left="360"/>
        <w:rPr>
          <w:b/>
          <w:sz w:val="24"/>
          <w:szCs w:val="24"/>
          <w:u w:val="single"/>
        </w:rPr>
      </w:pPr>
      <w:r>
        <w:rPr>
          <w:b/>
          <w:sz w:val="24"/>
          <w:szCs w:val="24"/>
          <w:u w:val="single"/>
        </w:rPr>
        <w:t>Methodology</w:t>
      </w:r>
      <w:r w:rsidR="00AC16EE">
        <w:rPr>
          <w:b/>
          <w:sz w:val="24"/>
          <w:szCs w:val="24"/>
          <w:u w:val="single"/>
        </w:rPr>
        <w:t xml:space="preserve"> </w:t>
      </w:r>
    </w:p>
    <w:p w:rsidR="000766DE" w:rsidP="000766DE" w:rsidRDefault="000766DE" w14:paraId="312ED79A" w14:textId="50681F22">
      <w:pPr>
        <w:pStyle w:val="EBNumber"/>
        <w:numPr>
          <w:ilvl w:val="0"/>
          <w:numId w:val="0"/>
        </w:numPr>
        <w:spacing w:after="0"/>
        <w:ind w:left="360"/>
        <w:rPr>
          <w:b/>
          <w:sz w:val="24"/>
          <w:szCs w:val="24"/>
          <w:u w:val="single"/>
        </w:rPr>
      </w:pPr>
    </w:p>
    <w:p w:rsidRPr="000171D3" w:rsidR="00AC16EE" w:rsidP="11642C45" w:rsidRDefault="00AC16EE" w14:paraId="361CF707" w14:textId="04FB7D46">
      <w:pPr>
        <w:pStyle w:val="EBNumber"/>
        <w:numPr>
          <w:ilvl w:val="0"/>
          <w:numId w:val="29"/>
        </w:numPr>
        <w:spacing w:after="0"/>
        <w:rPr>
          <w:b/>
          <w:u w:val="single"/>
        </w:rPr>
      </w:pPr>
      <w:r>
        <w:t xml:space="preserve">The aim of </w:t>
      </w:r>
      <w:r w:rsidR="008E2200">
        <w:t>the</w:t>
      </w:r>
      <w:r>
        <w:t xml:space="preserve"> </w:t>
      </w:r>
      <w:r w:rsidR="008E2200">
        <w:t>analysis</w:t>
      </w:r>
      <w:r>
        <w:t xml:space="preserve"> was to estimate the amount of additional fee income that would be ‘remitted’ as a result of the increase </w:t>
      </w:r>
      <w:r w:rsidR="002771C7">
        <w:t>to</w:t>
      </w:r>
      <w:r>
        <w:t xml:space="preserve"> the HwF income thresholds.</w:t>
      </w:r>
      <w:r w:rsidR="004A273F">
        <w:t xml:space="preserve"> </w:t>
      </w:r>
      <w:r w:rsidR="003573BE">
        <w:t>The approach</w:t>
      </w:r>
      <w:r w:rsidR="008E2200">
        <w:t xml:space="preserve"> taken to model this</w:t>
      </w:r>
      <w:r w:rsidR="003573BE">
        <w:t xml:space="preserve"> was to estimate the increase in </w:t>
      </w:r>
      <w:r w:rsidR="00934F75">
        <w:t xml:space="preserve">the </w:t>
      </w:r>
      <w:r w:rsidR="00EF1739">
        <w:t xml:space="preserve">proportion of </w:t>
      </w:r>
      <w:r w:rsidR="000C36F1">
        <w:t xml:space="preserve">fee </w:t>
      </w:r>
      <w:r w:rsidR="00EF1739">
        <w:t>income</w:t>
      </w:r>
      <w:r w:rsidR="000C36F1">
        <w:t xml:space="preserve"> due</w:t>
      </w:r>
      <w:r w:rsidR="00EF1739">
        <w:t xml:space="preserve"> that would be remitted (‘remission rate’)</w:t>
      </w:r>
      <w:r w:rsidR="003573BE">
        <w:t xml:space="preserve"> for the main jurisdictions</w:t>
      </w:r>
      <w:r w:rsidR="00934F75">
        <w:t xml:space="preserve"> where fees are remitted</w:t>
      </w:r>
      <w:r w:rsidR="00E23C87">
        <w:t xml:space="preserve"> and apply these rates to the total fees due</w:t>
      </w:r>
      <w:r w:rsidR="007437B5">
        <w:t xml:space="preserve"> using 2019/20 data</w:t>
      </w:r>
      <w:r w:rsidR="00E23C87">
        <w:t>.</w:t>
      </w:r>
      <w:r w:rsidR="008E2200">
        <w:t xml:space="preserve"> ‘Remission rates’ refer to the proportion of total fee income due that is refunded/not-charged, rather than the proportion of claimants that get a remission.</w:t>
      </w:r>
    </w:p>
    <w:p w:rsidRPr="000171D3" w:rsidR="00AC16EE" w:rsidP="00AC16EE" w:rsidRDefault="00AC16EE" w14:paraId="245161B6" w14:textId="77777777">
      <w:pPr>
        <w:pStyle w:val="EBNumber"/>
        <w:numPr>
          <w:ilvl w:val="0"/>
          <w:numId w:val="0"/>
        </w:numPr>
        <w:spacing w:after="0"/>
        <w:ind w:left="425" w:hanging="425"/>
      </w:pPr>
    </w:p>
    <w:p w:rsidRPr="000171D3" w:rsidR="004A273F" w:rsidP="11642C45" w:rsidRDefault="00AC16EE" w14:paraId="326E746C" w14:textId="2F0F2E5F">
      <w:pPr>
        <w:pStyle w:val="EBNumber"/>
        <w:numPr>
          <w:ilvl w:val="0"/>
          <w:numId w:val="29"/>
        </w:numPr>
        <w:spacing w:after="0"/>
        <w:rPr>
          <w:b/>
          <w:u w:val="single"/>
        </w:rPr>
      </w:pPr>
      <w:r>
        <w:t>HMCTS data allows us to calculate the proportion of</w:t>
      </w:r>
      <w:r w:rsidR="003573BE">
        <w:t xml:space="preserve"> total</w:t>
      </w:r>
      <w:r>
        <w:t xml:space="preserve"> fee income</w:t>
      </w:r>
      <w:r w:rsidR="003573BE">
        <w:t xml:space="preserve"> due across all fees</w:t>
      </w:r>
      <w:r>
        <w:t xml:space="preserve"> that is currently ‘remitted’. However, HMCTS does not collect data on claimant’s income and earnings and so it </w:t>
      </w:r>
      <w:r w:rsidR="00023395">
        <w:t xml:space="preserve">is </w:t>
      </w:r>
      <w:r>
        <w:t xml:space="preserve">not possible to know exactly how many more </w:t>
      </w:r>
      <w:r w:rsidR="004A273F">
        <w:t>court users</w:t>
      </w:r>
      <w:r>
        <w:t xml:space="preserve"> might receive a remission (and how much they would receive)</w:t>
      </w:r>
      <w:r w:rsidR="004A273F">
        <w:t>, as a result of the policy change.</w:t>
      </w:r>
      <w:r>
        <w:t xml:space="preserve"> This is therefore estimated using </w:t>
      </w:r>
      <w:r w:rsidR="004A273F">
        <w:t xml:space="preserve">a </w:t>
      </w:r>
      <w:r w:rsidR="006A41B0">
        <w:t>version</w:t>
      </w:r>
      <w:r w:rsidR="004A273F">
        <w:t xml:space="preserve"> of the Department for Work and Pensions’ (DWP) Policy Simulation Model (PSM). The PSM is representative of the general population and includes full income and benefit information</w:t>
      </w:r>
      <w:r w:rsidR="00934F75">
        <w:t xml:space="preserve">. More details on the PSM are given in </w:t>
      </w:r>
      <w:r w:rsidR="009F57DD">
        <w:t>A</w:t>
      </w:r>
      <w:r w:rsidR="00934F75">
        <w:t xml:space="preserve">nnex </w:t>
      </w:r>
      <w:r w:rsidR="009F57DD">
        <w:t>B</w:t>
      </w:r>
      <w:r w:rsidR="00934F75">
        <w:t>.</w:t>
      </w:r>
    </w:p>
    <w:p w:rsidRPr="00F43F03" w:rsidR="004A273F" w:rsidP="00F43F03" w:rsidRDefault="004A273F" w14:paraId="79B48460" w14:textId="77777777">
      <w:pPr>
        <w:rPr>
          <w:b/>
          <w:u w:val="single"/>
        </w:rPr>
      </w:pPr>
    </w:p>
    <w:p w:rsidR="004A273F" w:rsidP="004A273F" w:rsidRDefault="004A273F" w14:paraId="5E04D036" w14:textId="7BDED29E">
      <w:pPr>
        <w:pStyle w:val="EBNumber"/>
        <w:numPr>
          <w:ilvl w:val="0"/>
          <w:numId w:val="29"/>
        </w:numPr>
        <w:spacing w:after="0"/>
      </w:pPr>
      <w:r>
        <w:t xml:space="preserve">An overview of the how the modelling is done is outlined in the steps below, with more detail given in </w:t>
      </w:r>
      <w:r w:rsidR="009F57DD">
        <w:t>A</w:t>
      </w:r>
      <w:r>
        <w:t xml:space="preserve">nnex </w:t>
      </w:r>
      <w:r w:rsidR="009F57DD">
        <w:t>B</w:t>
      </w:r>
      <w:r>
        <w:t xml:space="preserve">. </w:t>
      </w:r>
    </w:p>
    <w:p w:rsidR="004A273F" w:rsidP="000171D3" w:rsidRDefault="004A273F" w14:paraId="5BD8610D" w14:textId="77777777">
      <w:pPr>
        <w:pStyle w:val="ListParagraph"/>
      </w:pPr>
    </w:p>
    <w:p w:rsidR="002D2F70" w:rsidP="008E2200" w:rsidRDefault="004A273F" w14:paraId="1C895E6F" w14:textId="43C35782">
      <w:pPr>
        <w:pStyle w:val="EBNumber"/>
        <w:numPr>
          <w:ilvl w:val="0"/>
          <w:numId w:val="0"/>
        </w:numPr>
        <w:spacing w:after="0"/>
        <w:ind w:left="363"/>
      </w:pPr>
      <w:r w:rsidRPr="000171D3">
        <w:rPr>
          <w:b/>
        </w:rPr>
        <w:t>Step 1</w:t>
      </w:r>
      <w:r>
        <w:t>: Eligibility for a fee remission</w:t>
      </w:r>
      <w:r w:rsidR="002D2F70">
        <w:t>, and the size of this remission, is tested</w:t>
      </w:r>
      <w:r w:rsidR="00251C5F">
        <w:t xml:space="preserve"> for each household in the PSM</w:t>
      </w:r>
      <w:r w:rsidR="002D2F70">
        <w:t xml:space="preserve"> using an average fee. This is done for the baseline (Option 0) and </w:t>
      </w:r>
      <w:r w:rsidR="00934F75">
        <w:t>O</w:t>
      </w:r>
      <w:r w:rsidR="002D2F70">
        <w:t>ption 1.</w:t>
      </w:r>
    </w:p>
    <w:p w:rsidR="002D2F70" w:rsidP="008E2200" w:rsidRDefault="002D2F70" w14:paraId="450E1722" w14:textId="77777777">
      <w:pPr>
        <w:pStyle w:val="EBNumber"/>
        <w:numPr>
          <w:ilvl w:val="0"/>
          <w:numId w:val="0"/>
        </w:numPr>
        <w:spacing w:after="0"/>
        <w:ind w:left="363"/>
      </w:pPr>
    </w:p>
    <w:p w:rsidR="002D2F70" w:rsidP="008E2200" w:rsidRDefault="002D2F70" w14:paraId="6F6FB649" w14:textId="594CEA43">
      <w:pPr>
        <w:pStyle w:val="EBNumber"/>
        <w:numPr>
          <w:ilvl w:val="0"/>
          <w:numId w:val="0"/>
        </w:numPr>
        <w:spacing w:after="0"/>
        <w:ind w:left="363"/>
      </w:pPr>
      <w:r w:rsidRPr="000171D3">
        <w:rPr>
          <w:b/>
        </w:rPr>
        <w:t>Step 2</w:t>
      </w:r>
      <w:r>
        <w:t xml:space="preserve">: The weights in the PSM are adjusted to make the sample more representative of court users. This is done using information on the characteristics of court users, see </w:t>
      </w:r>
      <w:r w:rsidR="009F57DD">
        <w:t>A</w:t>
      </w:r>
      <w:r>
        <w:t xml:space="preserve">nnex </w:t>
      </w:r>
      <w:r w:rsidR="009F57DD">
        <w:t>B</w:t>
      </w:r>
      <w:r>
        <w:t xml:space="preserve">. </w:t>
      </w:r>
    </w:p>
    <w:p w:rsidR="002D2F70" w:rsidP="008E2200" w:rsidRDefault="002D2F70" w14:paraId="40EAF3D6" w14:textId="77777777">
      <w:pPr>
        <w:pStyle w:val="EBNumber"/>
        <w:numPr>
          <w:ilvl w:val="0"/>
          <w:numId w:val="0"/>
        </w:numPr>
        <w:spacing w:after="0"/>
        <w:ind w:left="363"/>
      </w:pPr>
    </w:p>
    <w:p w:rsidR="004A273F" w:rsidP="008E2200" w:rsidRDefault="002D2F70" w14:paraId="600C885E" w14:textId="7E17620B">
      <w:pPr>
        <w:pStyle w:val="EBNumber"/>
        <w:numPr>
          <w:ilvl w:val="0"/>
          <w:numId w:val="0"/>
        </w:numPr>
        <w:spacing w:after="0"/>
        <w:ind w:left="363"/>
      </w:pPr>
      <w:r w:rsidRPr="000171D3">
        <w:rPr>
          <w:b/>
        </w:rPr>
        <w:t>Step 3</w:t>
      </w:r>
      <w:r>
        <w:t xml:space="preserve">: The </w:t>
      </w:r>
      <w:r w:rsidR="00CF0E6A">
        <w:t>output</w:t>
      </w:r>
      <w:r w:rsidR="00050CDC">
        <w:t>s</w:t>
      </w:r>
      <w:r w:rsidR="00CF0E6A">
        <w:t xml:space="preserve"> from the PSM modelling </w:t>
      </w:r>
      <w:r w:rsidR="00050CDC">
        <w:t>are scaled down to</w:t>
      </w:r>
      <w:r w:rsidR="00CF0E6A">
        <w:t xml:space="preserve"> a</w:t>
      </w:r>
      <w:r w:rsidR="00706A10">
        <w:t xml:space="preserve">lign to the </w:t>
      </w:r>
      <w:r w:rsidR="003573BE">
        <w:t xml:space="preserve">actual remission rates calculated from HMCTS data. It is then possible to estimate how much more of gross income is remitted under </w:t>
      </w:r>
      <w:r w:rsidR="00CF0E6A">
        <w:t>O</w:t>
      </w:r>
      <w:r w:rsidR="003573BE">
        <w:t xml:space="preserve">ption 1 compared with </w:t>
      </w:r>
      <w:r w:rsidR="00CF0E6A">
        <w:t>O</w:t>
      </w:r>
      <w:r w:rsidR="003573BE">
        <w:t xml:space="preserve">ption 0. This is </w:t>
      </w:r>
      <w:r w:rsidR="00CF0E6A">
        <w:t xml:space="preserve">the </w:t>
      </w:r>
      <w:r w:rsidR="003573BE">
        <w:t>additional cost to HMCTS.</w:t>
      </w:r>
    </w:p>
    <w:p w:rsidR="003573BE" w:rsidP="004A273F" w:rsidRDefault="003573BE" w14:paraId="4B5F0FC5" w14:textId="18ECC539">
      <w:pPr>
        <w:pStyle w:val="EBNumber"/>
        <w:numPr>
          <w:ilvl w:val="0"/>
          <w:numId w:val="0"/>
        </w:numPr>
        <w:spacing w:after="0"/>
      </w:pPr>
    </w:p>
    <w:p w:rsidR="00E23C87" w:rsidP="00BB3487" w:rsidRDefault="003573BE" w14:paraId="2C157B59" w14:textId="557DF1C4">
      <w:pPr>
        <w:pStyle w:val="EBNumber"/>
        <w:numPr>
          <w:ilvl w:val="0"/>
          <w:numId w:val="29"/>
        </w:numPr>
        <w:spacing w:after="0"/>
      </w:pPr>
      <w:r>
        <w:t>Steps 1 to 3 are carried out for the four main fee areas where remissions are awarded, with a</w:t>
      </w:r>
      <w:r w:rsidR="00706A10">
        <w:t>n</w:t>
      </w:r>
      <w:r>
        <w:t xml:space="preserve"> </w:t>
      </w:r>
      <w:r w:rsidR="00110643">
        <w:t>appropriate</w:t>
      </w:r>
      <w:r>
        <w:t xml:space="preserve"> average fee and weighting used for each. The areas are: County Civil, High Court, Divorce and Private Famil</w:t>
      </w:r>
      <w:r w:rsidR="00C46416">
        <w:t xml:space="preserve">y </w:t>
      </w:r>
      <w:r>
        <w:t>Law</w:t>
      </w:r>
      <w:r w:rsidR="00E23C87">
        <w:t xml:space="preserve">. These four </w:t>
      </w:r>
      <w:r w:rsidR="00C46416">
        <w:t>categories of fee</w:t>
      </w:r>
      <w:r w:rsidR="00CF0E6A">
        <w:t xml:space="preserve"> covered 9</w:t>
      </w:r>
      <w:r w:rsidR="00C46416">
        <w:t>5</w:t>
      </w:r>
      <w:r w:rsidR="00CF0E6A">
        <w:t>% of HwF awards in 2019/20.</w:t>
      </w:r>
      <w:r w:rsidR="006A7D76">
        <w:t xml:space="preserve"> Table 2 gives the current remission rates calculated from HMCTS data and the expected remission rate</w:t>
      </w:r>
      <w:r w:rsidR="002771C7">
        <w:t>s</w:t>
      </w:r>
      <w:r w:rsidR="006A7D76">
        <w:t xml:space="preserve"> under </w:t>
      </w:r>
      <w:r w:rsidR="00B52B51">
        <w:t>O</w:t>
      </w:r>
      <w:r w:rsidR="006A7D76">
        <w:t xml:space="preserve">ption 1 for these four </w:t>
      </w:r>
      <w:r w:rsidR="00C46416">
        <w:t>fee categories</w:t>
      </w:r>
      <w:r w:rsidR="006A7D76">
        <w:t xml:space="preserve">. </w:t>
      </w:r>
    </w:p>
    <w:p w:rsidR="00BB3487" w:rsidP="00E23C87" w:rsidRDefault="00BB3487" w14:paraId="0FD30F57" w14:textId="77777777">
      <w:pPr>
        <w:pStyle w:val="EBNumber"/>
        <w:numPr>
          <w:ilvl w:val="0"/>
          <w:numId w:val="0"/>
        </w:numPr>
        <w:rPr>
          <w:b/>
        </w:rPr>
      </w:pPr>
    </w:p>
    <w:p w:rsidRPr="0041523E" w:rsidR="00E23C87" w:rsidP="00E23C87" w:rsidRDefault="00E23C87" w14:paraId="35799060" w14:textId="05A46C15">
      <w:pPr>
        <w:pStyle w:val="EBNumber"/>
        <w:numPr>
          <w:ilvl w:val="0"/>
          <w:numId w:val="0"/>
        </w:numPr>
        <w:rPr>
          <w:b/>
        </w:rPr>
      </w:pPr>
      <w:r w:rsidRPr="0041523E">
        <w:rPr>
          <w:b/>
        </w:rPr>
        <w:t xml:space="preserve">Table 2: </w:t>
      </w:r>
      <w:r>
        <w:rPr>
          <w:b/>
        </w:rPr>
        <w:t xml:space="preserve">Proportion of </w:t>
      </w:r>
      <w:r w:rsidR="006A7D76">
        <w:rPr>
          <w:b/>
        </w:rPr>
        <w:t xml:space="preserve">total </w:t>
      </w:r>
      <w:r>
        <w:rPr>
          <w:b/>
        </w:rPr>
        <w:t xml:space="preserve">fee income due </w:t>
      </w:r>
      <w:r w:rsidR="006A7D76">
        <w:rPr>
          <w:b/>
        </w:rPr>
        <w:t>that is remitted (‘remission rate’) in Option 0 and Option 1; 2019/20</w:t>
      </w:r>
    </w:p>
    <w:tbl>
      <w:tblPr>
        <w:tblW w:w="8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06"/>
        <w:gridCol w:w="1843"/>
        <w:gridCol w:w="2126"/>
      </w:tblGrid>
      <w:tr w:rsidRPr="00694363" w:rsidR="006A7D76" w:rsidTr="003E3AE0" w14:paraId="15AB7549" w14:textId="77777777">
        <w:trPr>
          <w:trHeight w:val="995"/>
        </w:trPr>
        <w:tc>
          <w:tcPr>
            <w:tcW w:w="4106" w:type="dxa"/>
            <w:shd w:val="clear" w:color="auto" w:fill="auto"/>
            <w:vAlign w:val="bottom"/>
            <w:hideMark/>
          </w:tcPr>
          <w:p w:rsidRPr="000171D3" w:rsidR="006A7D76" w:rsidP="00E23C87" w:rsidRDefault="006A7D76" w14:paraId="7B66759D" w14:textId="77777777">
            <w:pPr>
              <w:rPr>
                <w:rFonts w:cs="Arial"/>
                <w:b/>
                <w:bCs/>
                <w:color w:val="000000"/>
                <w:sz w:val="22"/>
                <w:szCs w:val="22"/>
                <w:lang w:eastAsia="en-GB"/>
              </w:rPr>
            </w:pPr>
            <w:r w:rsidRPr="000171D3">
              <w:rPr>
                <w:rFonts w:cs="Arial"/>
                <w:b/>
                <w:bCs/>
                <w:color w:val="000000"/>
                <w:sz w:val="22"/>
                <w:szCs w:val="22"/>
                <w:lang w:eastAsia="en-GB"/>
              </w:rPr>
              <w:t>Jurisdiction and fee band</w:t>
            </w:r>
          </w:p>
        </w:tc>
        <w:tc>
          <w:tcPr>
            <w:tcW w:w="1843" w:type="dxa"/>
            <w:shd w:val="clear" w:color="auto" w:fill="auto"/>
            <w:vAlign w:val="bottom"/>
            <w:hideMark/>
          </w:tcPr>
          <w:p w:rsidRPr="000171D3" w:rsidR="006A7D76" w:rsidP="00E23C87" w:rsidRDefault="006A7D76" w14:paraId="24BAFAC1" w14:textId="77777777">
            <w:pPr>
              <w:jc w:val="center"/>
              <w:rPr>
                <w:rFonts w:cs="Arial"/>
                <w:b/>
                <w:bCs/>
                <w:color w:val="000000"/>
                <w:sz w:val="22"/>
                <w:szCs w:val="22"/>
                <w:lang w:eastAsia="en-GB"/>
              </w:rPr>
            </w:pPr>
            <w:r w:rsidRPr="000171D3">
              <w:rPr>
                <w:rFonts w:cs="Arial"/>
                <w:b/>
                <w:bCs/>
                <w:color w:val="000000"/>
                <w:sz w:val="22"/>
                <w:szCs w:val="22"/>
                <w:lang w:eastAsia="en-GB"/>
              </w:rPr>
              <w:t>Current remission rate (19/20 data)</w:t>
            </w:r>
          </w:p>
        </w:tc>
        <w:tc>
          <w:tcPr>
            <w:tcW w:w="2126" w:type="dxa"/>
            <w:shd w:val="clear" w:color="auto" w:fill="auto"/>
            <w:vAlign w:val="bottom"/>
            <w:hideMark/>
          </w:tcPr>
          <w:p w:rsidRPr="000171D3" w:rsidR="006A7D76" w:rsidP="00E23C87" w:rsidRDefault="006A7D76" w14:paraId="6F29122F" w14:textId="0B04FA05">
            <w:pPr>
              <w:jc w:val="center"/>
              <w:rPr>
                <w:rFonts w:cs="Arial"/>
                <w:b/>
                <w:bCs/>
                <w:color w:val="000000"/>
                <w:sz w:val="22"/>
                <w:szCs w:val="22"/>
                <w:lang w:eastAsia="en-GB"/>
              </w:rPr>
            </w:pPr>
            <w:r w:rsidRPr="000171D3">
              <w:rPr>
                <w:rFonts w:cs="Arial"/>
                <w:b/>
                <w:bCs/>
                <w:color w:val="000000"/>
                <w:sz w:val="22"/>
                <w:szCs w:val="22"/>
                <w:lang w:eastAsia="en-GB"/>
              </w:rPr>
              <w:t>Remission Rates under Option 1</w:t>
            </w:r>
          </w:p>
        </w:tc>
      </w:tr>
      <w:tr w:rsidRPr="00694363" w:rsidR="006A7D76" w:rsidTr="000171D3" w14:paraId="0FBD6AA3" w14:textId="77777777">
        <w:trPr>
          <w:trHeight w:val="288"/>
        </w:trPr>
        <w:tc>
          <w:tcPr>
            <w:tcW w:w="4106" w:type="dxa"/>
            <w:shd w:val="clear" w:color="auto" w:fill="auto"/>
            <w:noWrap/>
            <w:vAlign w:val="bottom"/>
            <w:hideMark/>
          </w:tcPr>
          <w:p w:rsidRPr="000171D3" w:rsidR="006A7D76" w:rsidP="00E23C87" w:rsidRDefault="006A7D76" w14:paraId="6DBF2DAF" w14:textId="77777777">
            <w:pPr>
              <w:rPr>
                <w:rFonts w:cs="Arial"/>
                <w:bCs/>
                <w:color w:val="000000"/>
                <w:sz w:val="22"/>
                <w:szCs w:val="22"/>
                <w:lang w:eastAsia="en-GB"/>
              </w:rPr>
            </w:pPr>
            <w:r w:rsidRPr="000171D3">
              <w:rPr>
                <w:rFonts w:cs="Arial"/>
                <w:bCs/>
                <w:color w:val="000000"/>
                <w:sz w:val="22"/>
                <w:szCs w:val="22"/>
                <w:lang w:eastAsia="en-GB"/>
              </w:rPr>
              <w:t xml:space="preserve">County Civil </w:t>
            </w:r>
          </w:p>
        </w:tc>
        <w:tc>
          <w:tcPr>
            <w:tcW w:w="1843" w:type="dxa"/>
            <w:shd w:val="clear" w:color="auto" w:fill="auto"/>
            <w:noWrap/>
            <w:vAlign w:val="bottom"/>
            <w:hideMark/>
          </w:tcPr>
          <w:p w:rsidRPr="000171D3" w:rsidR="006A7D76" w:rsidP="000171D3" w:rsidRDefault="006A7D76" w14:paraId="5A488D4E" w14:textId="77777777">
            <w:pPr>
              <w:jc w:val="center"/>
              <w:rPr>
                <w:rFonts w:cs="Arial"/>
                <w:color w:val="000000"/>
                <w:sz w:val="22"/>
                <w:szCs w:val="22"/>
                <w:lang w:eastAsia="en-GB"/>
              </w:rPr>
            </w:pPr>
            <w:r w:rsidRPr="000171D3">
              <w:rPr>
                <w:rFonts w:cs="Arial"/>
                <w:color w:val="000000"/>
                <w:sz w:val="22"/>
                <w:szCs w:val="22"/>
                <w:lang w:eastAsia="en-GB"/>
              </w:rPr>
              <w:t>17%</w:t>
            </w:r>
          </w:p>
        </w:tc>
        <w:tc>
          <w:tcPr>
            <w:tcW w:w="2126" w:type="dxa"/>
            <w:shd w:val="clear" w:color="auto" w:fill="auto"/>
            <w:noWrap/>
            <w:vAlign w:val="bottom"/>
            <w:hideMark/>
          </w:tcPr>
          <w:p w:rsidRPr="000171D3" w:rsidR="006A7D76" w:rsidP="000171D3" w:rsidRDefault="006A7D76" w14:paraId="06128678" w14:textId="1FB2A764">
            <w:pPr>
              <w:jc w:val="center"/>
              <w:rPr>
                <w:rFonts w:cs="Arial"/>
                <w:color w:val="000000"/>
                <w:sz w:val="22"/>
                <w:szCs w:val="22"/>
                <w:lang w:eastAsia="en-GB"/>
              </w:rPr>
            </w:pPr>
            <w:r w:rsidRPr="00527C37">
              <w:rPr>
                <w:rFonts w:cs="Arial"/>
                <w:color w:val="000000" w:themeColor="text1"/>
                <w:sz w:val="22"/>
                <w:szCs w:val="22"/>
                <w:lang w:eastAsia="en-GB"/>
              </w:rPr>
              <w:t>18%</w:t>
            </w:r>
          </w:p>
        </w:tc>
      </w:tr>
      <w:tr w:rsidRPr="00694363" w:rsidR="006A7D76" w:rsidTr="000171D3" w14:paraId="4F93FB1B" w14:textId="77777777">
        <w:trPr>
          <w:trHeight w:val="288"/>
        </w:trPr>
        <w:tc>
          <w:tcPr>
            <w:tcW w:w="4106" w:type="dxa"/>
            <w:shd w:val="clear" w:color="auto" w:fill="auto"/>
            <w:noWrap/>
            <w:vAlign w:val="bottom"/>
            <w:hideMark/>
          </w:tcPr>
          <w:p w:rsidRPr="000171D3" w:rsidR="006A7D76" w:rsidP="00E23C87" w:rsidRDefault="00C46416" w14:paraId="70B095CD" w14:textId="7F5208FB">
            <w:pPr>
              <w:rPr>
                <w:rFonts w:cs="Arial"/>
                <w:bCs/>
                <w:color w:val="000000"/>
                <w:sz w:val="22"/>
                <w:szCs w:val="22"/>
                <w:lang w:eastAsia="en-GB"/>
              </w:rPr>
            </w:pPr>
            <w:r>
              <w:rPr>
                <w:rFonts w:cs="Arial"/>
                <w:bCs/>
                <w:color w:val="000000"/>
                <w:sz w:val="22"/>
                <w:szCs w:val="22"/>
                <w:lang w:eastAsia="en-GB"/>
              </w:rPr>
              <w:t>Divorce Application Fee</w:t>
            </w:r>
          </w:p>
        </w:tc>
        <w:tc>
          <w:tcPr>
            <w:tcW w:w="1843" w:type="dxa"/>
            <w:shd w:val="clear" w:color="auto" w:fill="auto"/>
            <w:noWrap/>
            <w:vAlign w:val="bottom"/>
            <w:hideMark/>
          </w:tcPr>
          <w:p w:rsidRPr="000171D3" w:rsidR="006A7D76" w:rsidP="000171D3" w:rsidRDefault="006A7D76" w14:paraId="416FC838" w14:textId="399EE79D">
            <w:pPr>
              <w:jc w:val="center"/>
              <w:rPr>
                <w:rFonts w:cs="Arial"/>
                <w:color w:val="000000"/>
                <w:sz w:val="22"/>
                <w:szCs w:val="22"/>
                <w:lang w:eastAsia="en-GB"/>
              </w:rPr>
            </w:pPr>
            <w:r w:rsidRPr="000171D3">
              <w:rPr>
                <w:rFonts w:cs="Arial"/>
                <w:color w:val="000000"/>
                <w:sz w:val="22"/>
                <w:szCs w:val="22"/>
                <w:lang w:eastAsia="en-GB"/>
              </w:rPr>
              <w:t>2</w:t>
            </w:r>
            <w:r w:rsidR="00C46416">
              <w:rPr>
                <w:rFonts w:cs="Arial"/>
                <w:color w:val="000000"/>
                <w:sz w:val="22"/>
                <w:szCs w:val="22"/>
                <w:lang w:eastAsia="en-GB"/>
              </w:rPr>
              <w:t>0</w:t>
            </w:r>
            <w:r w:rsidRPr="000171D3">
              <w:rPr>
                <w:rFonts w:cs="Arial"/>
                <w:color w:val="000000"/>
                <w:sz w:val="22"/>
                <w:szCs w:val="22"/>
                <w:lang w:eastAsia="en-GB"/>
              </w:rPr>
              <w:t>%</w:t>
            </w:r>
          </w:p>
        </w:tc>
        <w:tc>
          <w:tcPr>
            <w:tcW w:w="2126" w:type="dxa"/>
            <w:shd w:val="clear" w:color="auto" w:fill="auto"/>
            <w:noWrap/>
            <w:vAlign w:val="bottom"/>
            <w:hideMark/>
          </w:tcPr>
          <w:p w:rsidRPr="000171D3" w:rsidR="006A7D76" w:rsidP="000171D3" w:rsidRDefault="006A7D76" w14:paraId="611A78AA" w14:textId="77777777">
            <w:pPr>
              <w:jc w:val="center"/>
              <w:rPr>
                <w:rFonts w:cs="Arial"/>
                <w:color w:val="000000"/>
                <w:sz w:val="22"/>
                <w:szCs w:val="22"/>
                <w:lang w:eastAsia="en-GB"/>
              </w:rPr>
            </w:pPr>
            <w:r w:rsidRPr="000171D3">
              <w:rPr>
                <w:rFonts w:cs="Arial"/>
                <w:color w:val="000000"/>
                <w:sz w:val="22"/>
                <w:szCs w:val="22"/>
                <w:lang w:eastAsia="en-GB"/>
              </w:rPr>
              <w:t>22%</w:t>
            </w:r>
          </w:p>
        </w:tc>
      </w:tr>
      <w:tr w:rsidRPr="00694363" w:rsidR="006A7D76" w:rsidTr="000171D3" w14:paraId="673F03EB" w14:textId="77777777">
        <w:trPr>
          <w:trHeight w:val="288"/>
        </w:trPr>
        <w:tc>
          <w:tcPr>
            <w:tcW w:w="4106" w:type="dxa"/>
            <w:shd w:val="clear" w:color="auto" w:fill="auto"/>
            <w:noWrap/>
            <w:vAlign w:val="bottom"/>
            <w:hideMark/>
          </w:tcPr>
          <w:p w:rsidRPr="000171D3" w:rsidR="006A7D76" w:rsidP="00E23C87" w:rsidRDefault="00C46416" w14:paraId="7B15237B" w14:textId="5EAFB0EB">
            <w:pPr>
              <w:rPr>
                <w:rFonts w:cs="Arial"/>
                <w:bCs/>
                <w:color w:val="000000"/>
                <w:sz w:val="22"/>
                <w:szCs w:val="22"/>
                <w:lang w:eastAsia="en-GB"/>
              </w:rPr>
            </w:pPr>
            <w:r>
              <w:rPr>
                <w:rFonts w:cs="Arial"/>
                <w:bCs/>
                <w:color w:val="000000"/>
                <w:sz w:val="22"/>
                <w:szCs w:val="22"/>
                <w:lang w:eastAsia="en-GB"/>
              </w:rPr>
              <w:t>Private Family Law Application Fees</w:t>
            </w:r>
          </w:p>
        </w:tc>
        <w:tc>
          <w:tcPr>
            <w:tcW w:w="1843" w:type="dxa"/>
            <w:shd w:val="clear" w:color="auto" w:fill="auto"/>
            <w:noWrap/>
            <w:vAlign w:val="bottom"/>
            <w:hideMark/>
          </w:tcPr>
          <w:p w:rsidRPr="000171D3" w:rsidR="006A7D76" w:rsidP="000171D3" w:rsidRDefault="00C46416" w14:paraId="74FF1C5E" w14:textId="3C94C5A7">
            <w:pPr>
              <w:jc w:val="center"/>
              <w:rPr>
                <w:rFonts w:cs="Arial"/>
                <w:color w:val="000000"/>
                <w:sz w:val="22"/>
                <w:szCs w:val="22"/>
                <w:lang w:eastAsia="en-GB"/>
              </w:rPr>
            </w:pPr>
            <w:r>
              <w:rPr>
                <w:rFonts w:cs="Arial"/>
                <w:color w:val="000000"/>
                <w:sz w:val="22"/>
                <w:szCs w:val="22"/>
                <w:lang w:eastAsia="en-GB"/>
              </w:rPr>
              <w:t>25</w:t>
            </w:r>
            <w:r w:rsidRPr="000171D3" w:rsidR="006A7D76">
              <w:rPr>
                <w:rFonts w:cs="Arial"/>
                <w:color w:val="000000"/>
                <w:sz w:val="22"/>
                <w:szCs w:val="22"/>
                <w:lang w:eastAsia="en-GB"/>
              </w:rPr>
              <w:t>%</w:t>
            </w:r>
          </w:p>
        </w:tc>
        <w:tc>
          <w:tcPr>
            <w:tcW w:w="2126" w:type="dxa"/>
            <w:shd w:val="clear" w:color="auto" w:fill="auto"/>
            <w:noWrap/>
            <w:vAlign w:val="bottom"/>
            <w:hideMark/>
          </w:tcPr>
          <w:p w:rsidRPr="000171D3" w:rsidR="006A7D76" w:rsidP="000171D3" w:rsidRDefault="00C46416" w14:paraId="3002673B" w14:textId="6952FFCF">
            <w:pPr>
              <w:jc w:val="center"/>
              <w:rPr>
                <w:rFonts w:cs="Arial"/>
                <w:color w:val="000000"/>
                <w:sz w:val="22"/>
                <w:szCs w:val="22"/>
                <w:lang w:eastAsia="en-GB"/>
              </w:rPr>
            </w:pPr>
            <w:r>
              <w:rPr>
                <w:rFonts w:cs="Arial"/>
                <w:color w:val="000000"/>
                <w:sz w:val="22"/>
                <w:szCs w:val="22"/>
                <w:lang w:eastAsia="en-GB"/>
              </w:rPr>
              <w:t>27</w:t>
            </w:r>
            <w:r w:rsidRPr="000171D3" w:rsidR="006A7D76">
              <w:rPr>
                <w:rFonts w:cs="Arial"/>
                <w:color w:val="000000"/>
                <w:sz w:val="22"/>
                <w:szCs w:val="22"/>
                <w:lang w:eastAsia="en-GB"/>
              </w:rPr>
              <w:t>%</w:t>
            </w:r>
          </w:p>
        </w:tc>
      </w:tr>
      <w:tr w:rsidRPr="00694363" w:rsidR="006A7D76" w:rsidTr="000171D3" w14:paraId="2D4222C6" w14:textId="77777777">
        <w:trPr>
          <w:trHeight w:val="288"/>
        </w:trPr>
        <w:tc>
          <w:tcPr>
            <w:tcW w:w="4106" w:type="dxa"/>
            <w:shd w:val="clear" w:color="auto" w:fill="auto"/>
            <w:noWrap/>
            <w:vAlign w:val="bottom"/>
            <w:hideMark/>
          </w:tcPr>
          <w:p w:rsidRPr="000171D3" w:rsidR="006A7D76" w:rsidP="00E23C87" w:rsidRDefault="006A7D76" w14:paraId="77864521" w14:textId="77777777">
            <w:pPr>
              <w:rPr>
                <w:rFonts w:cs="Arial"/>
                <w:bCs/>
                <w:color w:val="000000"/>
                <w:sz w:val="22"/>
                <w:szCs w:val="22"/>
                <w:lang w:eastAsia="en-GB"/>
              </w:rPr>
            </w:pPr>
            <w:r w:rsidRPr="000171D3">
              <w:rPr>
                <w:rFonts w:cs="Arial"/>
                <w:bCs/>
                <w:color w:val="000000"/>
                <w:sz w:val="22"/>
                <w:szCs w:val="22"/>
                <w:lang w:eastAsia="en-GB"/>
              </w:rPr>
              <w:t>High Court</w:t>
            </w:r>
          </w:p>
        </w:tc>
        <w:tc>
          <w:tcPr>
            <w:tcW w:w="1843" w:type="dxa"/>
            <w:shd w:val="clear" w:color="auto" w:fill="auto"/>
            <w:noWrap/>
            <w:vAlign w:val="bottom"/>
            <w:hideMark/>
          </w:tcPr>
          <w:p w:rsidRPr="000171D3" w:rsidR="006A7D76" w:rsidP="000171D3" w:rsidRDefault="006A7D76" w14:paraId="7516FF5E" w14:textId="77777777">
            <w:pPr>
              <w:jc w:val="center"/>
              <w:rPr>
                <w:rFonts w:cs="Arial"/>
                <w:color w:val="000000"/>
                <w:sz w:val="22"/>
                <w:szCs w:val="22"/>
                <w:lang w:eastAsia="en-GB"/>
              </w:rPr>
            </w:pPr>
            <w:r w:rsidRPr="000171D3">
              <w:rPr>
                <w:rFonts w:cs="Arial"/>
                <w:color w:val="000000"/>
                <w:sz w:val="22"/>
                <w:szCs w:val="22"/>
                <w:lang w:eastAsia="en-GB"/>
              </w:rPr>
              <w:t>26%</w:t>
            </w:r>
          </w:p>
        </w:tc>
        <w:tc>
          <w:tcPr>
            <w:tcW w:w="2126" w:type="dxa"/>
            <w:shd w:val="clear" w:color="auto" w:fill="auto"/>
            <w:noWrap/>
            <w:vAlign w:val="bottom"/>
            <w:hideMark/>
          </w:tcPr>
          <w:p w:rsidRPr="000171D3" w:rsidR="006A7D76" w:rsidP="000171D3" w:rsidRDefault="006A7D76" w14:paraId="5F507916" w14:textId="77777777">
            <w:pPr>
              <w:jc w:val="center"/>
              <w:rPr>
                <w:rFonts w:cs="Arial"/>
                <w:color w:val="000000"/>
                <w:sz w:val="22"/>
                <w:szCs w:val="22"/>
                <w:lang w:eastAsia="en-GB"/>
              </w:rPr>
            </w:pPr>
            <w:r w:rsidRPr="000171D3">
              <w:rPr>
                <w:rFonts w:cs="Arial"/>
                <w:color w:val="000000"/>
                <w:sz w:val="22"/>
                <w:szCs w:val="22"/>
                <w:lang w:eastAsia="en-GB"/>
              </w:rPr>
              <w:t>28%</w:t>
            </w:r>
          </w:p>
        </w:tc>
      </w:tr>
    </w:tbl>
    <w:p w:rsidR="00E23C87" w:rsidP="00E23C87" w:rsidRDefault="00E23C87" w14:paraId="5D3CE157" w14:textId="77777777">
      <w:pPr>
        <w:pStyle w:val="EBNumber"/>
        <w:numPr>
          <w:ilvl w:val="0"/>
          <w:numId w:val="0"/>
        </w:numPr>
        <w:rPr>
          <w:i/>
          <w:sz w:val="20"/>
          <w:szCs w:val="20"/>
        </w:rPr>
      </w:pPr>
    </w:p>
    <w:p w:rsidR="00E23C87" w:rsidP="00E23C87" w:rsidRDefault="00E23C87" w14:paraId="039DB787" w14:textId="77777777">
      <w:pPr>
        <w:pStyle w:val="EBNumber"/>
        <w:numPr>
          <w:ilvl w:val="0"/>
          <w:numId w:val="0"/>
        </w:numPr>
        <w:ind w:left="502" w:hanging="360"/>
        <w:rPr>
          <w:i/>
          <w:sz w:val="20"/>
          <w:szCs w:val="20"/>
        </w:rPr>
      </w:pPr>
      <w:r w:rsidRPr="0041523E">
        <w:rPr>
          <w:i/>
          <w:sz w:val="20"/>
          <w:szCs w:val="20"/>
        </w:rPr>
        <w:t>Note: 201</w:t>
      </w:r>
      <w:r>
        <w:rPr>
          <w:i/>
          <w:sz w:val="20"/>
          <w:szCs w:val="20"/>
        </w:rPr>
        <w:t>9</w:t>
      </w:r>
      <w:r w:rsidRPr="0041523E">
        <w:rPr>
          <w:i/>
          <w:sz w:val="20"/>
          <w:szCs w:val="20"/>
        </w:rPr>
        <w:t>/</w:t>
      </w:r>
      <w:r>
        <w:rPr>
          <w:i/>
          <w:sz w:val="20"/>
          <w:szCs w:val="20"/>
        </w:rPr>
        <w:t>20</w:t>
      </w:r>
      <w:r w:rsidRPr="0041523E">
        <w:rPr>
          <w:i/>
          <w:sz w:val="20"/>
          <w:szCs w:val="20"/>
        </w:rPr>
        <w:t xml:space="preserve"> remission rates have been calculated using HwF management information and gross fee income.</w:t>
      </w:r>
      <w:r>
        <w:rPr>
          <w:i/>
          <w:sz w:val="20"/>
          <w:szCs w:val="20"/>
        </w:rPr>
        <w:t xml:space="preserve"> In the county civil jurisdiction, case types where income is only received from organisations (e.g. mortgage repossession) are excluded. Public family law is excluded as these fees are paid by public bodies. </w:t>
      </w:r>
    </w:p>
    <w:p w:rsidR="00E23C87" w:rsidP="00E23C87" w:rsidRDefault="00E23C87" w14:paraId="14CDC7E0" w14:textId="77777777">
      <w:pPr>
        <w:pStyle w:val="EBNumber"/>
        <w:numPr>
          <w:ilvl w:val="0"/>
          <w:numId w:val="0"/>
        </w:numPr>
        <w:spacing w:after="0"/>
        <w:ind w:left="502"/>
      </w:pPr>
    </w:p>
    <w:p w:rsidR="006A7D76" w:rsidP="0016425D" w:rsidRDefault="006A7D76" w14:paraId="2D84A8F7" w14:textId="26F1F832">
      <w:pPr>
        <w:pStyle w:val="EBNumber"/>
        <w:numPr>
          <w:ilvl w:val="0"/>
          <w:numId w:val="29"/>
        </w:numPr>
        <w:tabs>
          <w:tab w:val="num" w:pos="567"/>
        </w:tabs>
        <w:jc w:val="both"/>
      </w:pPr>
      <w:r>
        <w:t>Remission rates calculated from the PSM will be higher than actual remission rates, as a share of fee income will be paid by organisation</w:t>
      </w:r>
      <w:r w:rsidR="00CC75A3">
        <w:t>s (who are not eligible),</w:t>
      </w:r>
      <w:r>
        <w:t xml:space="preserve"> or paid under a ‘no win, no fee’ arrangement, and because some eligible claimants may not apply. </w:t>
      </w:r>
      <w:r w:rsidR="000E57F5">
        <w:t>That</w:t>
      </w:r>
      <w:r>
        <w:t xml:space="preserve"> is why the</w:t>
      </w:r>
      <w:r w:rsidR="00C73DC9">
        <w:t xml:space="preserve"> remission rates calculated in the PSM are aligned</w:t>
      </w:r>
      <w:r>
        <w:t xml:space="preserve"> </w:t>
      </w:r>
      <w:r w:rsidR="00C73DC9">
        <w:t>to c</w:t>
      </w:r>
      <w:r>
        <w:t xml:space="preserve">urrent HMCTS remission rates, rather than remission rates calculated from the PSM being used directly in the modelling. </w:t>
      </w:r>
    </w:p>
    <w:p w:rsidR="000766DE" w:rsidP="000766DE" w:rsidRDefault="000766DE" w14:paraId="6F45A280" w14:textId="1010AFB5">
      <w:pPr>
        <w:pStyle w:val="EBNumber"/>
        <w:numPr>
          <w:ilvl w:val="0"/>
          <w:numId w:val="0"/>
        </w:numPr>
        <w:spacing w:after="0"/>
        <w:rPr>
          <w:u w:val="single"/>
        </w:rPr>
      </w:pPr>
    </w:p>
    <w:p w:rsidRPr="00C869D5" w:rsidR="0016425D" w:rsidP="0016425D" w:rsidRDefault="0016425D" w14:paraId="63F1B729" w14:textId="77777777">
      <w:pPr>
        <w:pStyle w:val="EBNumber"/>
        <w:numPr>
          <w:ilvl w:val="0"/>
          <w:numId w:val="0"/>
        </w:numPr>
        <w:ind w:left="723" w:hanging="360"/>
        <w:rPr>
          <w:u w:val="single"/>
        </w:rPr>
      </w:pPr>
      <w:r w:rsidRPr="00C869D5">
        <w:rPr>
          <w:u w:val="single"/>
        </w:rPr>
        <w:t>Optimism Bias</w:t>
      </w:r>
    </w:p>
    <w:p w:rsidR="0016425D" w:rsidP="0016425D" w:rsidRDefault="0016425D" w14:paraId="4B0C8B44" w14:textId="41280DC2">
      <w:pPr>
        <w:pStyle w:val="EBNumber"/>
        <w:numPr>
          <w:ilvl w:val="0"/>
          <w:numId w:val="29"/>
        </w:numPr>
        <w:tabs>
          <w:tab w:val="num" w:pos="567"/>
        </w:tabs>
        <w:jc w:val="both"/>
      </w:pPr>
      <w:r>
        <w:t xml:space="preserve"> A 20% optimism bias has been applied to the main estimate, giving an upper bound of £</w:t>
      </w:r>
      <w:r w:rsidR="00C46416">
        <w:t>7</w:t>
      </w:r>
      <w:r>
        <w:t xml:space="preserve">m p.a. as the additional amount of fee income that might be remitted. </w:t>
      </w:r>
    </w:p>
    <w:p w:rsidR="0016425D" w:rsidP="000766DE" w:rsidRDefault="0016425D" w14:paraId="6B3178BC" w14:textId="77777777">
      <w:pPr>
        <w:pStyle w:val="EBNumber"/>
        <w:numPr>
          <w:ilvl w:val="0"/>
          <w:numId w:val="0"/>
        </w:numPr>
        <w:spacing w:after="0"/>
        <w:rPr>
          <w:u w:val="single"/>
        </w:rPr>
      </w:pPr>
    </w:p>
    <w:p w:rsidR="000766DE" w:rsidP="009C3726" w:rsidRDefault="00541FB9" w14:paraId="32F50CCF" w14:textId="4654EA68">
      <w:pPr>
        <w:pStyle w:val="EBNumber"/>
        <w:numPr>
          <w:ilvl w:val="0"/>
          <w:numId w:val="0"/>
        </w:numPr>
        <w:ind w:left="363"/>
        <w:rPr>
          <w:u w:val="single"/>
        </w:rPr>
      </w:pPr>
      <w:r>
        <w:rPr>
          <w:u w:val="single"/>
        </w:rPr>
        <w:t>Volume of Remissions</w:t>
      </w:r>
    </w:p>
    <w:p w:rsidR="0016425D" w:rsidP="0016425D" w:rsidRDefault="000766DE" w14:paraId="46ACAA8C" w14:textId="234931C2">
      <w:pPr>
        <w:pStyle w:val="EBNumber"/>
        <w:numPr>
          <w:ilvl w:val="0"/>
          <w:numId w:val="29"/>
        </w:numPr>
        <w:tabs>
          <w:tab w:val="num" w:pos="567"/>
        </w:tabs>
        <w:jc w:val="both"/>
      </w:pPr>
      <w:r>
        <w:t xml:space="preserve">Table 3 gives the amount of fee income that was remitted in 2019/20 by jurisdiction under the current HwF scheme, and the estimated amount under </w:t>
      </w:r>
      <w:r w:rsidR="00155032">
        <w:t xml:space="preserve">Option </w:t>
      </w:r>
      <w:r w:rsidR="0016425D">
        <w:t>1</w:t>
      </w:r>
      <w:r>
        <w:t xml:space="preserve">. The table shows that in 2019/20 </w:t>
      </w:r>
      <w:r w:rsidRPr="11642C45">
        <w:rPr>
          <w:rFonts w:eastAsia="Arial"/>
        </w:rPr>
        <w:t>£92.7</w:t>
      </w:r>
      <w:r>
        <w:t>m of fee income was remitted. This is estimated to rise to £9</w:t>
      </w:r>
      <w:r w:rsidR="00E55150">
        <w:t>8</w:t>
      </w:r>
      <w:r>
        <w:t>.</w:t>
      </w:r>
      <w:r w:rsidR="00E55150">
        <w:t>2</w:t>
      </w:r>
      <w:r>
        <w:t xml:space="preserve"> </w:t>
      </w:r>
      <w:r w:rsidRPr="11642C45">
        <w:rPr>
          <w:rFonts w:eastAsia="Arial"/>
        </w:rPr>
        <w:t>- £</w:t>
      </w:r>
      <w:r w:rsidRPr="11642C45" w:rsidR="009256A2">
        <w:rPr>
          <w:rFonts w:eastAsia="Arial"/>
        </w:rPr>
        <w:t>99</w:t>
      </w:r>
      <w:r w:rsidRPr="11642C45" w:rsidR="00E55150">
        <w:rPr>
          <w:rFonts w:eastAsia="Arial"/>
        </w:rPr>
        <w:t>.3</w:t>
      </w:r>
      <w:r w:rsidRPr="11642C45">
        <w:rPr>
          <w:rFonts w:eastAsia="Arial"/>
        </w:rPr>
        <w:t>m</w:t>
      </w:r>
      <w:r>
        <w:t xml:space="preserve"> under the proposed option; an increase of £</w:t>
      </w:r>
      <w:r w:rsidRPr="11642C45" w:rsidR="009256A2">
        <w:rPr>
          <w:rFonts w:eastAsia="Arial"/>
        </w:rPr>
        <w:t>5.</w:t>
      </w:r>
      <w:r w:rsidRPr="11642C45" w:rsidR="00E55150">
        <w:rPr>
          <w:rFonts w:eastAsia="Arial"/>
        </w:rPr>
        <w:t>5</w:t>
      </w:r>
      <w:r w:rsidRPr="11642C45">
        <w:rPr>
          <w:rFonts w:eastAsia="Arial"/>
        </w:rPr>
        <w:t xml:space="preserve"> - £</w:t>
      </w:r>
      <w:r w:rsidRPr="11642C45" w:rsidR="009256A2">
        <w:rPr>
          <w:rFonts w:eastAsia="Arial"/>
        </w:rPr>
        <w:t>6.</w:t>
      </w:r>
      <w:r w:rsidRPr="11642C45" w:rsidR="00E55150">
        <w:rPr>
          <w:rFonts w:eastAsia="Arial"/>
        </w:rPr>
        <w:t>6</w:t>
      </w:r>
      <w:r w:rsidRPr="11642C45">
        <w:rPr>
          <w:rFonts w:eastAsia="Arial"/>
        </w:rPr>
        <w:t>m</w:t>
      </w:r>
      <w:r>
        <w:t>.</w:t>
      </w:r>
      <w:r w:rsidR="00EF5939">
        <w:t xml:space="preserve"> Optimism bias has been applied to the central estimate to give a range for the remission under option 1.</w:t>
      </w:r>
      <w:r w:rsidR="00D26AF5">
        <w:t xml:space="preserve"> </w:t>
      </w:r>
    </w:p>
    <w:p w:rsidR="000766DE" w:rsidP="009C3726" w:rsidRDefault="000766DE" w14:paraId="59ABEAB9" w14:textId="353816A5">
      <w:pPr>
        <w:pStyle w:val="EBNumber"/>
        <w:numPr>
          <w:ilvl w:val="0"/>
          <w:numId w:val="29"/>
        </w:numPr>
        <w:tabs>
          <w:tab w:val="num" w:pos="567"/>
        </w:tabs>
        <w:jc w:val="both"/>
      </w:pPr>
      <w:r>
        <w:t xml:space="preserve">2019/20 is considered to be a good approximation for subsequent years, as neither fees </w:t>
      </w:r>
      <w:r w:rsidR="2B529C7A">
        <w:t>n</w:t>
      </w:r>
      <w:r>
        <w:t>or HwF thresholds are annually uplifted with inflation.</w:t>
      </w:r>
      <w:r w:rsidR="009256ED">
        <w:t xml:space="preserve"> However, it is possible that </w:t>
      </w:r>
      <w:r w:rsidR="009C086A">
        <w:t>the remission rate may rise due to the current economic climate.</w:t>
      </w:r>
    </w:p>
    <w:p w:rsidR="000766DE" w:rsidP="009256A2" w:rsidRDefault="000766DE" w14:paraId="33589DBD" w14:textId="190D2490">
      <w:pPr>
        <w:pStyle w:val="EBNumber"/>
        <w:numPr>
          <w:ilvl w:val="0"/>
          <w:numId w:val="0"/>
        </w:numPr>
        <w:ind w:left="425" w:hanging="425"/>
      </w:pPr>
    </w:p>
    <w:p w:rsidR="000766DE" w:rsidP="000766DE" w:rsidRDefault="000766DE" w14:paraId="69A83007" w14:textId="77777777">
      <w:pPr>
        <w:pStyle w:val="EBNumber"/>
        <w:numPr>
          <w:ilvl w:val="0"/>
          <w:numId w:val="0"/>
        </w:numPr>
        <w:ind w:left="142"/>
        <w:rPr>
          <w:rFonts w:eastAsia="Arial"/>
          <w:b/>
        </w:rPr>
      </w:pPr>
      <w:r w:rsidRPr="6AFCBEDE">
        <w:rPr>
          <w:b/>
        </w:rPr>
        <w:t xml:space="preserve">Table 3: Fee Income remitted; baseline and current option (2019/20), </w:t>
      </w:r>
      <w:r w:rsidRPr="6AFCBEDE">
        <w:rPr>
          <w:rFonts w:eastAsia="Arial"/>
          <w:b/>
        </w:rPr>
        <w:t>£millions</w:t>
      </w:r>
    </w:p>
    <w:tbl>
      <w:tblPr>
        <w:tblW w:w="8513" w:type="dxa"/>
        <w:tblLook w:val="04A0" w:firstRow="1" w:lastRow="0" w:firstColumn="1" w:lastColumn="0" w:noHBand="0" w:noVBand="1"/>
      </w:tblPr>
      <w:tblGrid>
        <w:gridCol w:w="3256"/>
        <w:gridCol w:w="1491"/>
        <w:gridCol w:w="1911"/>
        <w:gridCol w:w="1855"/>
      </w:tblGrid>
      <w:tr w:rsidRPr="00D545D7" w:rsidR="000766DE" w:rsidTr="00E55150" w14:paraId="6D394847" w14:textId="77777777">
        <w:trPr>
          <w:trHeight w:val="1440"/>
        </w:trPr>
        <w:tc>
          <w:tcPr>
            <w:tcW w:w="32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C3726" w:rsidR="000766DE" w:rsidP="005C27D0" w:rsidRDefault="000766DE" w14:paraId="74476A9C" w14:textId="77777777">
            <w:pPr>
              <w:rPr>
                <w:rFonts w:cs="Arial"/>
                <w:b/>
                <w:color w:val="000000"/>
                <w:sz w:val="22"/>
                <w:szCs w:val="22"/>
                <w:lang w:eastAsia="en-GB"/>
              </w:rPr>
            </w:pPr>
            <w:r w:rsidRPr="009C3726">
              <w:rPr>
                <w:rFonts w:cs="Arial"/>
                <w:b/>
                <w:color w:val="000000"/>
                <w:sz w:val="22"/>
                <w:szCs w:val="22"/>
                <w:lang w:eastAsia="en-GB"/>
              </w:rPr>
              <w:t>Jurisdiction and fee band</w:t>
            </w:r>
          </w:p>
        </w:tc>
        <w:tc>
          <w:tcPr>
            <w:tcW w:w="1491" w:type="dxa"/>
            <w:tcBorders>
              <w:top w:val="single" w:color="auto" w:sz="4" w:space="0"/>
              <w:left w:val="nil"/>
              <w:bottom w:val="single" w:color="auto" w:sz="4" w:space="0"/>
              <w:right w:val="single" w:color="auto" w:sz="4" w:space="0"/>
            </w:tcBorders>
            <w:shd w:val="clear" w:color="auto" w:fill="auto"/>
            <w:vAlign w:val="bottom"/>
            <w:hideMark/>
          </w:tcPr>
          <w:p w:rsidRPr="009C3726" w:rsidR="000766DE" w:rsidP="005C27D0" w:rsidRDefault="000766DE" w14:paraId="72D1DC5A" w14:textId="77777777">
            <w:pPr>
              <w:jc w:val="center"/>
              <w:rPr>
                <w:rFonts w:cs="Arial"/>
                <w:b/>
                <w:color w:val="000000"/>
                <w:sz w:val="22"/>
                <w:szCs w:val="22"/>
                <w:lang w:eastAsia="en-GB"/>
              </w:rPr>
            </w:pPr>
            <w:r w:rsidRPr="009C3726">
              <w:rPr>
                <w:rFonts w:cs="Arial"/>
                <w:b/>
                <w:color w:val="000000"/>
                <w:sz w:val="22"/>
                <w:szCs w:val="22"/>
                <w:lang w:eastAsia="en-GB"/>
              </w:rPr>
              <w:t>Current Remission (2019/20)</w:t>
            </w:r>
          </w:p>
        </w:tc>
        <w:tc>
          <w:tcPr>
            <w:tcW w:w="1911" w:type="dxa"/>
            <w:tcBorders>
              <w:top w:val="single" w:color="auto" w:sz="4" w:space="0"/>
              <w:left w:val="nil"/>
              <w:bottom w:val="single" w:color="auto" w:sz="4" w:space="0"/>
              <w:right w:val="single" w:color="auto" w:sz="4" w:space="0"/>
            </w:tcBorders>
            <w:shd w:val="clear" w:color="auto" w:fill="auto"/>
            <w:vAlign w:val="bottom"/>
            <w:hideMark/>
          </w:tcPr>
          <w:p w:rsidRPr="009C3726" w:rsidR="000766DE" w:rsidP="005C27D0" w:rsidRDefault="000766DE" w14:paraId="77FF684C" w14:textId="77777777">
            <w:pPr>
              <w:jc w:val="center"/>
              <w:rPr>
                <w:rFonts w:cs="Arial"/>
                <w:b/>
                <w:color w:val="000000"/>
                <w:sz w:val="22"/>
                <w:szCs w:val="22"/>
                <w:lang w:eastAsia="en-GB"/>
              </w:rPr>
            </w:pPr>
            <w:r w:rsidRPr="009C3726">
              <w:rPr>
                <w:rFonts w:cs="Arial"/>
                <w:b/>
                <w:color w:val="000000"/>
                <w:sz w:val="22"/>
                <w:szCs w:val="22"/>
                <w:lang w:eastAsia="en-GB"/>
              </w:rPr>
              <w:t>Remission under Option 1</w:t>
            </w:r>
          </w:p>
        </w:tc>
        <w:tc>
          <w:tcPr>
            <w:tcW w:w="1855" w:type="dxa"/>
            <w:tcBorders>
              <w:top w:val="single" w:color="auto" w:sz="4" w:space="0"/>
              <w:left w:val="nil"/>
              <w:bottom w:val="single" w:color="auto" w:sz="4" w:space="0"/>
              <w:right w:val="single" w:color="auto" w:sz="4" w:space="0"/>
            </w:tcBorders>
            <w:shd w:val="clear" w:color="auto" w:fill="auto"/>
            <w:vAlign w:val="bottom"/>
            <w:hideMark/>
          </w:tcPr>
          <w:p w:rsidRPr="009C3726" w:rsidR="000766DE" w:rsidP="005C27D0" w:rsidRDefault="000766DE" w14:paraId="1C511257" w14:textId="77777777">
            <w:pPr>
              <w:jc w:val="center"/>
              <w:rPr>
                <w:rFonts w:cs="Arial"/>
                <w:b/>
                <w:color w:val="000000"/>
                <w:sz w:val="22"/>
                <w:szCs w:val="22"/>
                <w:lang w:eastAsia="en-GB"/>
              </w:rPr>
            </w:pPr>
            <w:r w:rsidRPr="009C3726">
              <w:rPr>
                <w:rFonts w:cs="Arial"/>
                <w:b/>
                <w:color w:val="000000"/>
                <w:sz w:val="22"/>
                <w:szCs w:val="22"/>
                <w:lang w:eastAsia="en-GB"/>
              </w:rPr>
              <w:t>Increase in Remission</w:t>
            </w:r>
          </w:p>
        </w:tc>
      </w:tr>
      <w:tr w:rsidRPr="00D545D7" w:rsidR="000766DE" w:rsidTr="00E55150" w14:paraId="3DD8FE6E" w14:textId="77777777">
        <w:trPr>
          <w:trHeight w:val="576"/>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0766DE" w14:paraId="4996C03B" w14:textId="77777777">
            <w:pPr>
              <w:rPr>
                <w:rFonts w:cs="Arial"/>
                <w:color w:val="000000"/>
                <w:sz w:val="22"/>
                <w:szCs w:val="22"/>
                <w:lang w:eastAsia="en-GB"/>
              </w:rPr>
            </w:pPr>
            <w:r w:rsidRPr="009C3726">
              <w:rPr>
                <w:rFonts w:cs="Arial"/>
                <w:color w:val="000000"/>
                <w:sz w:val="22"/>
                <w:szCs w:val="22"/>
                <w:lang w:eastAsia="en-GB"/>
              </w:rPr>
              <w:t xml:space="preserve">County Civil </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37597BC3" w14:textId="77777777">
            <w:pPr>
              <w:jc w:val="center"/>
              <w:rPr>
                <w:rFonts w:cs="Arial"/>
                <w:color w:val="000000"/>
                <w:sz w:val="22"/>
                <w:szCs w:val="22"/>
                <w:lang w:eastAsia="en-GB"/>
              </w:rPr>
            </w:pPr>
            <w:r w:rsidRPr="009C3726">
              <w:rPr>
                <w:rFonts w:cs="Arial"/>
                <w:color w:val="000000"/>
                <w:sz w:val="22"/>
                <w:szCs w:val="22"/>
                <w:lang w:eastAsia="en-GB"/>
              </w:rPr>
              <w:t>£54.2</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7EEDC9FE" w14:textId="2F568F0F">
            <w:pPr>
              <w:jc w:val="center"/>
              <w:rPr>
                <w:rFonts w:cs="Arial"/>
                <w:color w:val="000000"/>
                <w:sz w:val="22"/>
                <w:szCs w:val="22"/>
                <w:lang w:eastAsia="en-GB"/>
              </w:rPr>
            </w:pPr>
            <w:r w:rsidRPr="009C3726">
              <w:rPr>
                <w:rFonts w:cs="Arial"/>
                <w:color w:val="000000"/>
                <w:sz w:val="22"/>
                <w:szCs w:val="22"/>
                <w:lang w:eastAsia="en-GB"/>
              </w:rPr>
              <w:t>£57.</w:t>
            </w:r>
            <w:r w:rsidR="00E55150">
              <w:rPr>
                <w:rFonts w:cs="Arial"/>
                <w:color w:val="000000"/>
                <w:sz w:val="22"/>
                <w:szCs w:val="22"/>
                <w:lang w:eastAsia="en-GB"/>
              </w:rPr>
              <w:t>5</w:t>
            </w:r>
            <w:r w:rsidRPr="009C3726">
              <w:rPr>
                <w:rFonts w:cs="Arial"/>
                <w:color w:val="000000"/>
                <w:sz w:val="22"/>
                <w:szCs w:val="22"/>
                <w:lang w:eastAsia="en-GB"/>
              </w:rPr>
              <w:t xml:space="preserve"> - £5</w:t>
            </w:r>
            <w:r w:rsidR="00E55150">
              <w:rPr>
                <w:rFonts w:cs="Arial"/>
                <w:color w:val="000000"/>
                <w:sz w:val="22"/>
                <w:szCs w:val="22"/>
                <w:lang w:eastAsia="en-GB"/>
              </w:rPr>
              <w:t>8</w:t>
            </w:r>
            <w:r w:rsidRPr="009C3726">
              <w:rPr>
                <w:rFonts w:cs="Arial"/>
                <w:color w:val="000000"/>
                <w:sz w:val="22"/>
                <w:szCs w:val="22"/>
                <w:lang w:eastAsia="en-GB"/>
              </w:rPr>
              <w:t>.</w:t>
            </w:r>
            <w:r w:rsidR="00E55150">
              <w:rPr>
                <w:rFonts w:cs="Arial"/>
                <w:color w:val="000000"/>
                <w:sz w:val="22"/>
                <w:szCs w:val="22"/>
                <w:lang w:eastAsia="en-GB"/>
              </w:rPr>
              <w:t>2</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036B1388" w14:textId="288E67E5">
            <w:pPr>
              <w:jc w:val="center"/>
              <w:rPr>
                <w:rFonts w:cs="Arial"/>
                <w:color w:val="000000"/>
                <w:sz w:val="22"/>
                <w:szCs w:val="22"/>
                <w:lang w:eastAsia="en-GB"/>
              </w:rPr>
            </w:pPr>
            <w:r w:rsidRPr="009C3726">
              <w:rPr>
                <w:rFonts w:cs="Arial"/>
                <w:color w:val="000000"/>
                <w:sz w:val="22"/>
                <w:szCs w:val="22"/>
                <w:lang w:eastAsia="en-GB"/>
              </w:rPr>
              <w:t>£3.</w:t>
            </w:r>
            <w:r w:rsidR="00E55150">
              <w:rPr>
                <w:rFonts w:cs="Arial"/>
                <w:color w:val="000000"/>
                <w:sz w:val="22"/>
                <w:szCs w:val="22"/>
                <w:lang w:eastAsia="en-GB"/>
              </w:rPr>
              <w:t>4</w:t>
            </w:r>
            <w:r w:rsidRPr="009C3726">
              <w:rPr>
                <w:rFonts w:cs="Arial"/>
                <w:color w:val="000000"/>
                <w:sz w:val="22"/>
                <w:szCs w:val="22"/>
                <w:lang w:eastAsia="en-GB"/>
              </w:rPr>
              <w:t xml:space="preserve"> - £</w:t>
            </w:r>
            <w:r w:rsidR="00E55150">
              <w:rPr>
                <w:rFonts w:cs="Arial"/>
                <w:color w:val="000000"/>
                <w:sz w:val="22"/>
                <w:szCs w:val="22"/>
                <w:lang w:eastAsia="en-GB"/>
              </w:rPr>
              <w:t>4</w:t>
            </w:r>
          </w:p>
        </w:tc>
      </w:tr>
      <w:tr w:rsidRPr="00D545D7" w:rsidR="000766DE" w:rsidTr="00E55150" w14:paraId="2B68000D"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E55150" w14:paraId="48A59A60" w14:textId="29614557">
            <w:pPr>
              <w:rPr>
                <w:rFonts w:cs="Arial"/>
                <w:color w:val="000000"/>
                <w:sz w:val="22"/>
                <w:szCs w:val="22"/>
                <w:lang w:eastAsia="en-GB"/>
              </w:rPr>
            </w:pPr>
            <w:r>
              <w:rPr>
                <w:rFonts w:cs="Arial"/>
                <w:color w:val="000000"/>
                <w:sz w:val="22"/>
                <w:szCs w:val="22"/>
                <w:lang w:eastAsia="en-GB"/>
              </w:rPr>
              <w:t>Divorce Application Fee</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14203B9B" w14:textId="77777777">
            <w:pPr>
              <w:jc w:val="center"/>
              <w:rPr>
                <w:rFonts w:cs="Arial"/>
                <w:color w:val="000000"/>
                <w:sz w:val="22"/>
                <w:szCs w:val="22"/>
                <w:lang w:eastAsia="en-GB"/>
              </w:rPr>
            </w:pPr>
            <w:r w:rsidRPr="009C3726">
              <w:rPr>
                <w:rFonts w:cs="Arial"/>
                <w:color w:val="000000"/>
                <w:sz w:val="22"/>
                <w:szCs w:val="22"/>
                <w:lang w:eastAsia="en-GB"/>
              </w:rPr>
              <w:t>£13.5</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339B5DE9" w14:textId="4D474FC5">
            <w:pPr>
              <w:jc w:val="center"/>
              <w:rPr>
                <w:rFonts w:cs="Arial"/>
                <w:color w:val="000000"/>
                <w:sz w:val="22"/>
                <w:szCs w:val="22"/>
                <w:lang w:eastAsia="en-GB"/>
              </w:rPr>
            </w:pPr>
            <w:r w:rsidRPr="009C3726">
              <w:rPr>
                <w:rFonts w:cs="Arial"/>
                <w:color w:val="000000"/>
                <w:sz w:val="22"/>
                <w:szCs w:val="22"/>
                <w:lang w:eastAsia="en-GB"/>
              </w:rPr>
              <w:t>£14.</w:t>
            </w:r>
            <w:r w:rsidR="00E55150">
              <w:rPr>
                <w:rFonts w:cs="Arial"/>
                <w:color w:val="000000"/>
                <w:sz w:val="22"/>
                <w:szCs w:val="22"/>
                <w:lang w:eastAsia="en-GB"/>
              </w:rPr>
              <w:t>2</w:t>
            </w:r>
            <w:r w:rsidRPr="009C3726">
              <w:rPr>
                <w:rFonts w:cs="Arial"/>
                <w:color w:val="000000"/>
                <w:sz w:val="22"/>
                <w:szCs w:val="22"/>
                <w:lang w:eastAsia="en-GB"/>
              </w:rPr>
              <w:t xml:space="preserve"> - £14.</w:t>
            </w:r>
            <w:r w:rsidRPr="009C3726" w:rsidR="009256A2">
              <w:rPr>
                <w:rFonts w:cs="Arial"/>
                <w:color w:val="000000"/>
                <w:sz w:val="22"/>
                <w:szCs w:val="22"/>
                <w:lang w:eastAsia="en-GB"/>
              </w:rPr>
              <w:t>3</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6A6E7AC0" w14:textId="069A7514">
            <w:pPr>
              <w:jc w:val="center"/>
              <w:rPr>
                <w:rFonts w:cs="Arial"/>
                <w:color w:val="000000"/>
                <w:sz w:val="22"/>
                <w:szCs w:val="22"/>
                <w:lang w:eastAsia="en-GB"/>
              </w:rPr>
            </w:pPr>
            <w:r w:rsidRPr="009C3726">
              <w:rPr>
                <w:rFonts w:cs="Arial"/>
                <w:color w:val="000000"/>
                <w:sz w:val="22"/>
                <w:szCs w:val="22"/>
                <w:lang w:eastAsia="en-GB"/>
              </w:rPr>
              <w:t>£0.</w:t>
            </w:r>
            <w:r w:rsidRPr="009C3726" w:rsidR="009256A2">
              <w:rPr>
                <w:rFonts w:cs="Arial"/>
                <w:color w:val="000000"/>
                <w:sz w:val="22"/>
                <w:szCs w:val="22"/>
                <w:lang w:eastAsia="en-GB"/>
              </w:rPr>
              <w:t>7</w:t>
            </w:r>
            <w:r w:rsidRPr="009C3726">
              <w:rPr>
                <w:rFonts w:cs="Arial"/>
                <w:color w:val="000000"/>
                <w:sz w:val="22"/>
                <w:szCs w:val="22"/>
                <w:lang w:eastAsia="en-GB"/>
              </w:rPr>
              <w:t xml:space="preserve"> - £</w:t>
            </w:r>
            <w:r w:rsidRPr="009C3726" w:rsidR="009256A2">
              <w:rPr>
                <w:rFonts w:cs="Arial"/>
                <w:color w:val="000000"/>
                <w:sz w:val="22"/>
                <w:szCs w:val="22"/>
                <w:lang w:eastAsia="en-GB"/>
              </w:rPr>
              <w:t>0.</w:t>
            </w:r>
            <w:r w:rsidR="00E55150">
              <w:rPr>
                <w:rFonts w:cs="Arial"/>
                <w:color w:val="000000"/>
                <w:sz w:val="22"/>
                <w:szCs w:val="22"/>
                <w:lang w:eastAsia="en-GB"/>
              </w:rPr>
              <w:t>9</w:t>
            </w:r>
          </w:p>
        </w:tc>
      </w:tr>
      <w:tr w:rsidRPr="00D545D7" w:rsidR="000766DE" w:rsidTr="00E55150" w14:paraId="02BED29E"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0766DE" w14:paraId="4FD6C691" w14:textId="772A9BEF">
            <w:pPr>
              <w:rPr>
                <w:rFonts w:cs="Arial"/>
                <w:color w:val="000000"/>
                <w:sz w:val="22"/>
                <w:szCs w:val="22"/>
                <w:lang w:eastAsia="en-GB"/>
              </w:rPr>
            </w:pPr>
            <w:r w:rsidRPr="009C3726">
              <w:rPr>
                <w:rFonts w:cs="Arial"/>
                <w:color w:val="000000"/>
                <w:sz w:val="22"/>
                <w:szCs w:val="22"/>
                <w:lang w:eastAsia="en-GB"/>
              </w:rPr>
              <w:t>Private Family Law</w:t>
            </w:r>
            <w:r w:rsidR="00E55150">
              <w:rPr>
                <w:rFonts w:cs="Arial"/>
                <w:color w:val="000000"/>
                <w:sz w:val="22"/>
                <w:szCs w:val="22"/>
                <w:lang w:eastAsia="en-GB"/>
              </w:rPr>
              <w:t xml:space="preserve"> Applications Fees</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7D8C8C54" w14:textId="4AE5A6DE">
            <w:pPr>
              <w:jc w:val="center"/>
              <w:rPr>
                <w:rFonts w:cs="Arial"/>
                <w:color w:val="000000"/>
                <w:sz w:val="22"/>
                <w:szCs w:val="22"/>
                <w:lang w:eastAsia="en-GB"/>
              </w:rPr>
            </w:pPr>
            <w:r w:rsidRPr="009C3726">
              <w:rPr>
                <w:rFonts w:cs="Arial"/>
                <w:color w:val="000000"/>
                <w:sz w:val="22"/>
                <w:szCs w:val="22"/>
                <w:lang w:eastAsia="en-GB"/>
              </w:rPr>
              <w:t>£</w:t>
            </w:r>
            <w:r w:rsidR="00E55150">
              <w:rPr>
                <w:rFonts w:cs="Arial"/>
                <w:color w:val="000000"/>
                <w:sz w:val="22"/>
                <w:szCs w:val="22"/>
                <w:lang w:eastAsia="en-GB"/>
              </w:rPr>
              <w:t>3.1</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13F062B0" w14:textId="4E8008B2">
            <w:pPr>
              <w:jc w:val="center"/>
              <w:rPr>
                <w:rFonts w:cs="Arial"/>
                <w:color w:val="000000"/>
                <w:sz w:val="22"/>
                <w:szCs w:val="22"/>
                <w:lang w:eastAsia="en-GB"/>
              </w:rPr>
            </w:pPr>
            <w:r w:rsidRPr="009C3726">
              <w:rPr>
                <w:rFonts w:cs="Arial"/>
                <w:color w:val="000000"/>
                <w:sz w:val="22"/>
                <w:szCs w:val="22"/>
                <w:lang w:eastAsia="en-GB"/>
              </w:rPr>
              <w:t>£</w:t>
            </w:r>
            <w:r w:rsidR="00E55150">
              <w:rPr>
                <w:rFonts w:cs="Arial"/>
                <w:color w:val="000000"/>
                <w:sz w:val="22"/>
                <w:szCs w:val="22"/>
                <w:lang w:eastAsia="en-GB"/>
              </w:rPr>
              <w:t>3.3</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0806AA45" w14:textId="7871C9A7">
            <w:pPr>
              <w:jc w:val="center"/>
              <w:rPr>
                <w:rFonts w:cs="Arial"/>
                <w:color w:val="000000"/>
                <w:sz w:val="22"/>
                <w:szCs w:val="22"/>
                <w:lang w:eastAsia="en-GB"/>
              </w:rPr>
            </w:pPr>
            <w:r w:rsidRPr="009C3726">
              <w:rPr>
                <w:rFonts w:cs="Arial"/>
                <w:color w:val="000000"/>
                <w:sz w:val="22"/>
                <w:szCs w:val="22"/>
                <w:lang w:eastAsia="en-GB"/>
              </w:rPr>
              <w:t>£0.</w:t>
            </w:r>
            <w:r w:rsidR="00E55150">
              <w:rPr>
                <w:rFonts w:cs="Arial"/>
                <w:color w:val="000000"/>
                <w:sz w:val="22"/>
                <w:szCs w:val="22"/>
                <w:lang w:eastAsia="en-GB"/>
              </w:rPr>
              <w:t>2</w:t>
            </w:r>
          </w:p>
        </w:tc>
      </w:tr>
      <w:tr w:rsidRPr="00D545D7" w:rsidR="000766DE" w:rsidTr="00E55150" w14:paraId="6CC1F76F"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0766DE" w14:paraId="6DA297B1" w14:textId="77777777">
            <w:pPr>
              <w:rPr>
                <w:rFonts w:cs="Arial"/>
                <w:color w:val="000000"/>
                <w:sz w:val="22"/>
                <w:szCs w:val="22"/>
                <w:lang w:eastAsia="en-GB"/>
              </w:rPr>
            </w:pPr>
            <w:r w:rsidRPr="009C3726">
              <w:rPr>
                <w:rFonts w:cs="Arial"/>
                <w:color w:val="000000"/>
                <w:sz w:val="22"/>
                <w:szCs w:val="22"/>
                <w:lang w:eastAsia="en-GB"/>
              </w:rPr>
              <w:t>High Court</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11A24629" w14:textId="77777777">
            <w:pPr>
              <w:jc w:val="center"/>
              <w:rPr>
                <w:rFonts w:cs="Arial"/>
                <w:color w:val="000000"/>
                <w:sz w:val="22"/>
                <w:szCs w:val="22"/>
                <w:lang w:eastAsia="en-GB"/>
              </w:rPr>
            </w:pPr>
            <w:r w:rsidRPr="009C3726">
              <w:rPr>
                <w:rFonts w:cs="Arial"/>
                <w:color w:val="000000"/>
                <w:sz w:val="22"/>
                <w:szCs w:val="22"/>
                <w:lang w:eastAsia="en-GB"/>
              </w:rPr>
              <w:t>£17.1</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196A49D2" w14:textId="460190A9">
            <w:pPr>
              <w:jc w:val="center"/>
              <w:rPr>
                <w:rFonts w:cs="Arial"/>
                <w:color w:val="000000"/>
                <w:sz w:val="22"/>
                <w:szCs w:val="22"/>
                <w:lang w:eastAsia="en-GB"/>
              </w:rPr>
            </w:pPr>
            <w:r w:rsidRPr="009C3726">
              <w:rPr>
                <w:rFonts w:cs="Arial"/>
                <w:color w:val="000000"/>
                <w:sz w:val="22"/>
                <w:szCs w:val="22"/>
                <w:lang w:eastAsia="en-GB"/>
              </w:rPr>
              <w:t>£18</w:t>
            </w:r>
            <w:r w:rsidR="00E55150">
              <w:rPr>
                <w:rFonts w:cs="Arial"/>
                <w:color w:val="000000"/>
                <w:sz w:val="22"/>
                <w:szCs w:val="22"/>
                <w:lang w:eastAsia="en-GB"/>
              </w:rPr>
              <w:t>.1</w:t>
            </w:r>
            <w:r w:rsidRPr="009C3726">
              <w:rPr>
                <w:rFonts w:cs="Arial"/>
                <w:color w:val="000000"/>
                <w:sz w:val="22"/>
                <w:szCs w:val="22"/>
                <w:lang w:eastAsia="en-GB"/>
              </w:rPr>
              <w:t xml:space="preserve"> - £18.</w:t>
            </w:r>
            <w:r w:rsidR="00E55150">
              <w:rPr>
                <w:rFonts w:cs="Arial"/>
                <w:color w:val="000000"/>
                <w:sz w:val="22"/>
                <w:szCs w:val="22"/>
                <w:lang w:eastAsia="en-GB"/>
              </w:rPr>
              <w:t>3</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1D9EB63D" w14:textId="18C4151E">
            <w:pPr>
              <w:jc w:val="center"/>
              <w:rPr>
                <w:rFonts w:cs="Arial"/>
                <w:color w:val="000000"/>
                <w:sz w:val="22"/>
                <w:szCs w:val="22"/>
                <w:lang w:eastAsia="en-GB"/>
              </w:rPr>
            </w:pPr>
            <w:r w:rsidRPr="009C3726">
              <w:rPr>
                <w:rFonts w:cs="Arial"/>
                <w:color w:val="000000"/>
                <w:sz w:val="22"/>
                <w:szCs w:val="22"/>
                <w:lang w:eastAsia="en-GB"/>
              </w:rPr>
              <w:t>£</w:t>
            </w:r>
            <w:r w:rsidR="00E55150">
              <w:rPr>
                <w:rFonts w:cs="Arial"/>
                <w:color w:val="000000"/>
                <w:sz w:val="22"/>
                <w:szCs w:val="22"/>
                <w:lang w:eastAsia="en-GB"/>
              </w:rPr>
              <w:t>1.0</w:t>
            </w:r>
            <w:r w:rsidRPr="009C3726">
              <w:rPr>
                <w:rFonts w:cs="Arial"/>
                <w:color w:val="000000"/>
                <w:sz w:val="22"/>
                <w:szCs w:val="22"/>
                <w:lang w:eastAsia="en-GB"/>
              </w:rPr>
              <w:t xml:space="preserve"> - £1.</w:t>
            </w:r>
            <w:r w:rsidRPr="009C3726" w:rsidR="009256A2">
              <w:rPr>
                <w:rFonts w:cs="Arial"/>
                <w:color w:val="000000"/>
                <w:sz w:val="22"/>
                <w:szCs w:val="22"/>
                <w:lang w:eastAsia="en-GB"/>
              </w:rPr>
              <w:t>1</w:t>
            </w:r>
          </w:p>
        </w:tc>
      </w:tr>
      <w:tr w:rsidRPr="00D545D7" w:rsidR="000766DE" w:rsidTr="00E55150" w14:paraId="2548F712"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0766DE" w14:paraId="683E3CC8" w14:textId="77777777">
            <w:pPr>
              <w:rPr>
                <w:rFonts w:cs="Arial"/>
                <w:color w:val="000000"/>
                <w:sz w:val="22"/>
                <w:szCs w:val="22"/>
                <w:lang w:eastAsia="en-GB"/>
              </w:rPr>
            </w:pPr>
            <w:r w:rsidRPr="009C3726">
              <w:rPr>
                <w:rFonts w:cs="Arial"/>
                <w:color w:val="000000"/>
                <w:sz w:val="22"/>
                <w:szCs w:val="22"/>
                <w:lang w:eastAsia="en-GB"/>
              </w:rPr>
              <w:t>Court of Protection</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36AEAE62" w14:textId="77777777">
            <w:pPr>
              <w:jc w:val="center"/>
              <w:rPr>
                <w:rFonts w:cs="Arial"/>
                <w:color w:val="000000"/>
                <w:sz w:val="22"/>
                <w:szCs w:val="22"/>
                <w:lang w:eastAsia="en-GB"/>
              </w:rPr>
            </w:pPr>
            <w:r w:rsidRPr="009C3726">
              <w:rPr>
                <w:rFonts w:cs="Arial"/>
                <w:color w:val="000000"/>
                <w:sz w:val="22"/>
                <w:szCs w:val="22"/>
                <w:lang w:eastAsia="en-GB"/>
              </w:rPr>
              <w:t>£1.6</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6664A464" w14:textId="77777777">
            <w:pPr>
              <w:jc w:val="center"/>
              <w:rPr>
                <w:rFonts w:cs="Arial"/>
                <w:color w:val="000000"/>
                <w:sz w:val="22"/>
                <w:szCs w:val="22"/>
                <w:lang w:eastAsia="en-GB"/>
              </w:rPr>
            </w:pPr>
            <w:r w:rsidRPr="009C3726">
              <w:rPr>
                <w:rFonts w:cs="Arial"/>
                <w:color w:val="000000"/>
                <w:sz w:val="22"/>
                <w:szCs w:val="22"/>
                <w:lang w:eastAsia="en-GB"/>
              </w:rPr>
              <w:t>£1.7</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3E037269" w14:textId="77777777">
            <w:pPr>
              <w:jc w:val="center"/>
              <w:rPr>
                <w:rFonts w:cs="Arial"/>
                <w:color w:val="000000"/>
                <w:sz w:val="22"/>
                <w:szCs w:val="22"/>
                <w:lang w:eastAsia="en-GB"/>
              </w:rPr>
            </w:pPr>
            <w:r w:rsidRPr="009C3726">
              <w:rPr>
                <w:rFonts w:cs="Arial"/>
                <w:color w:val="000000"/>
                <w:sz w:val="22"/>
                <w:szCs w:val="22"/>
                <w:lang w:eastAsia="en-GB"/>
              </w:rPr>
              <w:t>£0.1</w:t>
            </w:r>
          </w:p>
        </w:tc>
      </w:tr>
      <w:tr w:rsidRPr="00D545D7" w:rsidR="000766DE" w:rsidTr="00E55150" w14:paraId="2C39BB38"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0766DE" w14:paraId="7B3B279B" w14:textId="77777777">
            <w:pPr>
              <w:rPr>
                <w:rFonts w:cs="Arial"/>
                <w:color w:val="000000"/>
                <w:sz w:val="22"/>
                <w:szCs w:val="22"/>
                <w:lang w:eastAsia="en-GB"/>
              </w:rPr>
            </w:pPr>
            <w:r w:rsidRPr="009C3726">
              <w:rPr>
                <w:rFonts w:cs="Arial"/>
                <w:color w:val="000000"/>
                <w:sz w:val="22"/>
                <w:szCs w:val="22"/>
                <w:lang w:eastAsia="en-GB"/>
              </w:rPr>
              <w:t>Probate</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276B5CBF" w14:textId="77777777">
            <w:pPr>
              <w:jc w:val="center"/>
              <w:rPr>
                <w:rFonts w:cs="Arial"/>
                <w:color w:val="000000"/>
                <w:sz w:val="22"/>
                <w:szCs w:val="22"/>
                <w:lang w:eastAsia="en-GB"/>
              </w:rPr>
            </w:pPr>
            <w:r w:rsidRPr="009C3726">
              <w:rPr>
                <w:rFonts w:cs="Arial"/>
                <w:color w:val="000000"/>
                <w:sz w:val="22"/>
                <w:szCs w:val="22"/>
                <w:lang w:eastAsia="en-GB"/>
              </w:rPr>
              <w:t>£0.0</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5CD1D38B" w14:textId="77777777">
            <w:pPr>
              <w:jc w:val="center"/>
              <w:rPr>
                <w:rFonts w:cs="Arial"/>
                <w:color w:val="000000"/>
                <w:sz w:val="22"/>
                <w:szCs w:val="22"/>
                <w:lang w:eastAsia="en-GB"/>
              </w:rPr>
            </w:pPr>
            <w:r w:rsidRPr="009C3726">
              <w:rPr>
                <w:rFonts w:cs="Arial"/>
                <w:color w:val="000000"/>
                <w:sz w:val="22"/>
                <w:szCs w:val="22"/>
                <w:lang w:eastAsia="en-GB"/>
              </w:rPr>
              <w:t>£0.0</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78AD5243" w14:textId="77777777">
            <w:pPr>
              <w:jc w:val="center"/>
              <w:rPr>
                <w:rFonts w:cs="Arial"/>
                <w:color w:val="000000"/>
                <w:sz w:val="22"/>
                <w:szCs w:val="22"/>
                <w:lang w:eastAsia="en-GB"/>
              </w:rPr>
            </w:pPr>
            <w:r w:rsidRPr="009C3726">
              <w:rPr>
                <w:rFonts w:cs="Arial"/>
                <w:color w:val="000000"/>
                <w:sz w:val="22"/>
                <w:szCs w:val="22"/>
                <w:lang w:eastAsia="en-GB"/>
              </w:rPr>
              <w:t>£0.0</w:t>
            </w:r>
          </w:p>
        </w:tc>
      </w:tr>
      <w:tr w:rsidRPr="00D545D7" w:rsidR="000766DE" w:rsidTr="00E55150" w14:paraId="78152E8C"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F77594" w14:paraId="3DD015F5" w14:textId="4B248A36">
            <w:pPr>
              <w:rPr>
                <w:rFonts w:cs="Arial"/>
                <w:color w:val="000000"/>
                <w:sz w:val="22"/>
                <w:szCs w:val="22"/>
                <w:lang w:eastAsia="en-GB"/>
              </w:rPr>
            </w:pPr>
            <w:r>
              <w:rPr>
                <w:rFonts w:cs="Arial"/>
                <w:color w:val="000000"/>
                <w:sz w:val="22"/>
                <w:szCs w:val="22"/>
                <w:lang w:eastAsia="en-GB"/>
              </w:rPr>
              <w:t xml:space="preserve">Civil </w:t>
            </w:r>
            <w:r w:rsidRPr="009C3726" w:rsidR="000766DE">
              <w:rPr>
                <w:rFonts w:cs="Arial"/>
                <w:color w:val="000000"/>
                <w:sz w:val="22"/>
                <w:szCs w:val="22"/>
                <w:lang w:eastAsia="en-GB"/>
              </w:rPr>
              <w:t>Magistrates</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72E71DD6" w14:textId="77777777">
            <w:pPr>
              <w:jc w:val="center"/>
              <w:rPr>
                <w:rFonts w:cs="Arial"/>
                <w:color w:val="000000"/>
                <w:sz w:val="22"/>
                <w:szCs w:val="22"/>
                <w:lang w:eastAsia="en-GB"/>
              </w:rPr>
            </w:pPr>
            <w:r w:rsidRPr="009C3726">
              <w:rPr>
                <w:rFonts w:cs="Arial"/>
                <w:color w:val="000000"/>
                <w:sz w:val="22"/>
                <w:szCs w:val="22"/>
                <w:lang w:eastAsia="en-GB"/>
              </w:rPr>
              <w:t>£0.0</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27707FAC" w14:textId="77777777">
            <w:pPr>
              <w:jc w:val="center"/>
              <w:rPr>
                <w:rFonts w:cs="Arial"/>
                <w:color w:val="000000"/>
                <w:sz w:val="22"/>
                <w:szCs w:val="22"/>
                <w:lang w:eastAsia="en-GB"/>
              </w:rPr>
            </w:pPr>
            <w:r w:rsidRPr="009C3726">
              <w:rPr>
                <w:rFonts w:cs="Arial"/>
                <w:color w:val="000000"/>
                <w:sz w:val="22"/>
                <w:szCs w:val="22"/>
                <w:lang w:eastAsia="en-GB"/>
              </w:rPr>
              <w:t>£0.0</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21DEB6BD" w14:textId="77777777">
            <w:pPr>
              <w:jc w:val="center"/>
              <w:rPr>
                <w:rFonts w:cs="Arial"/>
                <w:color w:val="000000"/>
                <w:sz w:val="22"/>
                <w:szCs w:val="22"/>
                <w:lang w:eastAsia="en-GB"/>
              </w:rPr>
            </w:pPr>
            <w:r w:rsidRPr="009C3726">
              <w:rPr>
                <w:rFonts w:cs="Arial"/>
                <w:color w:val="000000"/>
                <w:sz w:val="22"/>
                <w:szCs w:val="22"/>
                <w:lang w:eastAsia="en-GB"/>
              </w:rPr>
              <w:t>£0.0</w:t>
            </w:r>
          </w:p>
        </w:tc>
      </w:tr>
      <w:tr w:rsidRPr="00D545D7" w:rsidR="000766DE" w:rsidTr="00E55150" w14:paraId="5514C19B"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0766DE" w14:paraId="5FA7B269" w14:textId="77777777">
            <w:pPr>
              <w:rPr>
                <w:rFonts w:cs="Arial"/>
                <w:color w:val="000000"/>
                <w:sz w:val="22"/>
                <w:szCs w:val="22"/>
                <w:lang w:eastAsia="en-GB"/>
              </w:rPr>
            </w:pPr>
            <w:r w:rsidRPr="009C3726">
              <w:rPr>
                <w:rFonts w:cs="Arial"/>
                <w:color w:val="000000"/>
                <w:sz w:val="22"/>
                <w:szCs w:val="22"/>
                <w:lang w:eastAsia="en-GB"/>
              </w:rPr>
              <w:t xml:space="preserve">Tribunals </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3F74423B" w14:textId="77777777">
            <w:pPr>
              <w:jc w:val="center"/>
              <w:rPr>
                <w:rFonts w:cs="Arial"/>
                <w:color w:val="000000"/>
                <w:sz w:val="22"/>
                <w:szCs w:val="22"/>
                <w:lang w:eastAsia="en-GB"/>
              </w:rPr>
            </w:pPr>
            <w:r w:rsidRPr="009C3726">
              <w:rPr>
                <w:rFonts w:cs="Arial"/>
                <w:color w:val="000000"/>
                <w:sz w:val="22"/>
                <w:szCs w:val="22"/>
                <w:lang w:eastAsia="en-GB"/>
              </w:rPr>
              <w:t>£1.9</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6A1DB456" w14:textId="77777777">
            <w:pPr>
              <w:jc w:val="center"/>
              <w:rPr>
                <w:rFonts w:cs="Arial"/>
                <w:color w:val="000000"/>
                <w:sz w:val="22"/>
                <w:szCs w:val="22"/>
                <w:lang w:eastAsia="en-GB"/>
              </w:rPr>
            </w:pPr>
            <w:r w:rsidRPr="009C3726">
              <w:rPr>
                <w:rFonts w:cs="Arial"/>
                <w:color w:val="000000"/>
                <w:sz w:val="22"/>
                <w:szCs w:val="22"/>
                <w:lang w:eastAsia="en-GB"/>
              </w:rPr>
              <w:t>£2.0</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5C27D0" w:rsidRDefault="000766DE" w14:paraId="109C3E75" w14:textId="77777777">
            <w:pPr>
              <w:jc w:val="center"/>
              <w:rPr>
                <w:rFonts w:cs="Arial"/>
                <w:color w:val="000000"/>
                <w:sz w:val="22"/>
                <w:szCs w:val="22"/>
                <w:lang w:eastAsia="en-GB"/>
              </w:rPr>
            </w:pPr>
            <w:r w:rsidRPr="009C3726">
              <w:rPr>
                <w:rFonts w:cs="Arial"/>
                <w:color w:val="000000"/>
                <w:sz w:val="22"/>
                <w:szCs w:val="22"/>
                <w:lang w:eastAsia="en-GB"/>
              </w:rPr>
              <w:t>£0.1</w:t>
            </w:r>
          </w:p>
        </w:tc>
      </w:tr>
      <w:tr w:rsidRPr="00D545D7" w:rsidR="000766DE" w:rsidTr="00E55150" w14:paraId="09A56FB8"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C3726" w:rsidR="000766DE" w:rsidP="005C27D0" w:rsidRDefault="00E55150" w14:paraId="18542C81" w14:textId="0E8DFCCB">
            <w:pPr>
              <w:rPr>
                <w:rFonts w:cs="Arial"/>
                <w:color w:val="000000"/>
                <w:sz w:val="22"/>
                <w:szCs w:val="22"/>
                <w:lang w:eastAsia="en-GB"/>
              </w:rPr>
            </w:pPr>
            <w:r>
              <w:rPr>
                <w:rFonts w:cs="Arial"/>
                <w:color w:val="000000"/>
                <w:sz w:val="22"/>
                <w:szCs w:val="22"/>
                <w:lang w:eastAsia="en-GB"/>
              </w:rPr>
              <w:t>Remaining Family Fees</w:t>
            </w:r>
          </w:p>
        </w:tc>
        <w:tc>
          <w:tcPr>
            <w:tcW w:w="1491" w:type="dxa"/>
            <w:tcBorders>
              <w:top w:val="nil"/>
              <w:left w:val="nil"/>
              <w:bottom w:val="single" w:color="auto" w:sz="4" w:space="0"/>
              <w:right w:val="single" w:color="auto" w:sz="4" w:space="0"/>
            </w:tcBorders>
            <w:shd w:val="clear" w:color="auto" w:fill="auto"/>
            <w:noWrap/>
            <w:vAlign w:val="bottom"/>
            <w:hideMark/>
          </w:tcPr>
          <w:p w:rsidRPr="009C3726" w:rsidR="000766DE" w:rsidP="00E55150" w:rsidRDefault="00E55150" w14:paraId="703C187E" w14:textId="40BF7835">
            <w:pPr>
              <w:jc w:val="center"/>
              <w:rPr>
                <w:rFonts w:cs="Arial"/>
                <w:color w:val="000000"/>
                <w:sz w:val="22"/>
                <w:szCs w:val="22"/>
                <w:lang w:eastAsia="en-GB"/>
              </w:rPr>
            </w:pPr>
            <w:r>
              <w:rPr>
                <w:rFonts w:cs="Arial"/>
                <w:color w:val="000000"/>
                <w:sz w:val="22"/>
                <w:szCs w:val="22"/>
                <w:lang w:eastAsia="en-GB"/>
              </w:rPr>
              <w:t>£1.3</w:t>
            </w:r>
          </w:p>
        </w:tc>
        <w:tc>
          <w:tcPr>
            <w:tcW w:w="1911" w:type="dxa"/>
            <w:tcBorders>
              <w:top w:val="nil"/>
              <w:left w:val="nil"/>
              <w:bottom w:val="single" w:color="auto" w:sz="4" w:space="0"/>
              <w:right w:val="single" w:color="auto" w:sz="4" w:space="0"/>
            </w:tcBorders>
            <w:shd w:val="clear" w:color="auto" w:fill="auto"/>
            <w:noWrap/>
            <w:vAlign w:val="bottom"/>
            <w:hideMark/>
          </w:tcPr>
          <w:p w:rsidRPr="009C3726" w:rsidR="000766DE" w:rsidP="00E55150" w:rsidRDefault="00E55150" w14:paraId="4C848C7D" w14:textId="7D07953A">
            <w:pPr>
              <w:jc w:val="center"/>
              <w:rPr>
                <w:rFonts w:cs="Arial"/>
                <w:color w:val="000000"/>
                <w:sz w:val="22"/>
                <w:szCs w:val="22"/>
                <w:lang w:eastAsia="en-GB"/>
              </w:rPr>
            </w:pPr>
            <w:r>
              <w:rPr>
                <w:rFonts w:cs="Arial"/>
                <w:color w:val="000000"/>
                <w:sz w:val="22"/>
                <w:szCs w:val="22"/>
                <w:lang w:eastAsia="en-GB"/>
              </w:rPr>
              <w:t>£1.4</w:t>
            </w:r>
          </w:p>
        </w:tc>
        <w:tc>
          <w:tcPr>
            <w:tcW w:w="1855" w:type="dxa"/>
            <w:tcBorders>
              <w:top w:val="nil"/>
              <w:left w:val="nil"/>
              <w:bottom w:val="single" w:color="auto" w:sz="4" w:space="0"/>
              <w:right w:val="single" w:color="auto" w:sz="4" w:space="0"/>
            </w:tcBorders>
            <w:shd w:val="clear" w:color="auto" w:fill="auto"/>
            <w:noWrap/>
            <w:vAlign w:val="bottom"/>
            <w:hideMark/>
          </w:tcPr>
          <w:p w:rsidRPr="009C3726" w:rsidR="000766DE" w:rsidP="00E55150" w:rsidRDefault="00E55150" w14:paraId="140E74D9" w14:textId="7D1E47BF">
            <w:pPr>
              <w:jc w:val="center"/>
              <w:rPr>
                <w:rFonts w:cs="Arial"/>
                <w:color w:val="000000"/>
                <w:sz w:val="22"/>
                <w:szCs w:val="22"/>
                <w:lang w:eastAsia="en-GB"/>
              </w:rPr>
            </w:pPr>
            <w:r>
              <w:rPr>
                <w:rFonts w:cs="Arial"/>
                <w:color w:val="000000"/>
                <w:sz w:val="22"/>
                <w:szCs w:val="22"/>
                <w:lang w:eastAsia="en-GB"/>
              </w:rPr>
              <w:t>£0.1</w:t>
            </w:r>
          </w:p>
        </w:tc>
      </w:tr>
      <w:tr w:rsidRPr="00D545D7" w:rsidR="00E55150" w:rsidTr="00E55150" w14:paraId="2483106E"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tcPr>
          <w:p w:rsidRPr="009C3726" w:rsidR="00E55150" w:rsidP="005C27D0" w:rsidRDefault="00E55150" w14:paraId="65B90B01" w14:textId="77777777">
            <w:pPr>
              <w:rPr>
                <w:rFonts w:cs="Arial"/>
                <w:color w:val="000000"/>
                <w:sz w:val="22"/>
                <w:szCs w:val="22"/>
                <w:lang w:eastAsia="en-GB"/>
              </w:rPr>
            </w:pPr>
          </w:p>
        </w:tc>
        <w:tc>
          <w:tcPr>
            <w:tcW w:w="1491" w:type="dxa"/>
            <w:tcBorders>
              <w:top w:val="nil"/>
              <w:left w:val="nil"/>
              <w:bottom w:val="single" w:color="auto" w:sz="4" w:space="0"/>
              <w:right w:val="single" w:color="auto" w:sz="4" w:space="0"/>
            </w:tcBorders>
            <w:shd w:val="clear" w:color="auto" w:fill="auto"/>
            <w:noWrap/>
            <w:vAlign w:val="bottom"/>
          </w:tcPr>
          <w:p w:rsidRPr="009C3726" w:rsidR="00E55150" w:rsidP="005C27D0" w:rsidRDefault="00E55150" w14:paraId="06E82006" w14:textId="77777777">
            <w:pPr>
              <w:rPr>
                <w:rFonts w:cs="Arial"/>
                <w:color w:val="000000"/>
                <w:sz w:val="22"/>
                <w:szCs w:val="22"/>
                <w:lang w:eastAsia="en-GB"/>
              </w:rPr>
            </w:pPr>
          </w:p>
        </w:tc>
        <w:tc>
          <w:tcPr>
            <w:tcW w:w="1911" w:type="dxa"/>
            <w:tcBorders>
              <w:top w:val="nil"/>
              <w:left w:val="nil"/>
              <w:bottom w:val="single" w:color="auto" w:sz="4" w:space="0"/>
              <w:right w:val="single" w:color="auto" w:sz="4" w:space="0"/>
            </w:tcBorders>
            <w:shd w:val="clear" w:color="auto" w:fill="auto"/>
            <w:noWrap/>
            <w:vAlign w:val="bottom"/>
          </w:tcPr>
          <w:p w:rsidRPr="009C3726" w:rsidR="00E55150" w:rsidP="005C27D0" w:rsidRDefault="00E55150" w14:paraId="122146EC" w14:textId="77777777">
            <w:pPr>
              <w:rPr>
                <w:rFonts w:cs="Arial"/>
                <w:color w:val="000000"/>
                <w:sz w:val="22"/>
                <w:szCs w:val="22"/>
                <w:lang w:eastAsia="en-GB"/>
              </w:rPr>
            </w:pPr>
          </w:p>
        </w:tc>
        <w:tc>
          <w:tcPr>
            <w:tcW w:w="1855" w:type="dxa"/>
            <w:tcBorders>
              <w:top w:val="nil"/>
              <w:left w:val="nil"/>
              <w:bottom w:val="single" w:color="auto" w:sz="4" w:space="0"/>
              <w:right w:val="single" w:color="auto" w:sz="4" w:space="0"/>
            </w:tcBorders>
            <w:shd w:val="clear" w:color="auto" w:fill="auto"/>
            <w:noWrap/>
            <w:vAlign w:val="bottom"/>
          </w:tcPr>
          <w:p w:rsidRPr="009C3726" w:rsidR="00E55150" w:rsidP="005C27D0" w:rsidRDefault="00E55150" w14:paraId="21AA7CD1" w14:textId="77777777">
            <w:pPr>
              <w:rPr>
                <w:rFonts w:cs="Arial"/>
                <w:color w:val="000000"/>
                <w:sz w:val="22"/>
                <w:szCs w:val="22"/>
                <w:lang w:eastAsia="en-GB"/>
              </w:rPr>
            </w:pPr>
          </w:p>
        </w:tc>
      </w:tr>
      <w:tr w:rsidRPr="00D545D7" w:rsidR="000766DE" w:rsidTr="00E55150" w14:paraId="4766FEC8" w14:textId="77777777">
        <w:trPr>
          <w:trHeight w:val="288"/>
        </w:trPr>
        <w:tc>
          <w:tcPr>
            <w:tcW w:w="3256" w:type="dxa"/>
            <w:tcBorders>
              <w:top w:val="nil"/>
              <w:left w:val="single" w:color="auto" w:sz="4" w:space="0"/>
              <w:bottom w:val="single" w:color="auto" w:sz="4" w:space="0"/>
              <w:right w:val="single" w:color="auto" w:sz="4" w:space="0"/>
            </w:tcBorders>
            <w:shd w:val="clear" w:color="auto" w:fill="auto"/>
            <w:noWrap/>
            <w:vAlign w:val="bottom"/>
            <w:hideMark/>
          </w:tcPr>
          <w:p w:rsidRPr="009836C0" w:rsidR="000766DE" w:rsidP="005C27D0" w:rsidRDefault="000766DE" w14:paraId="2ABB92E1" w14:textId="77777777">
            <w:pPr>
              <w:rPr>
                <w:rFonts w:cs="Arial"/>
                <w:b/>
                <w:color w:val="000000"/>
                <w:sz w:val="22"/>
                <w:szCs w:val="22"/>
                <w:lang w:eastAsia="en-GB"/>
              </w:rPr>
            </w:pPr>
            <w:r w:rsidRPr="009836C0">
              <w:rPr>
                <w:rFonts w:cs="Arial"/>
                <w:b/>
                <w:color w:val="000000"/>
                <w:sz w:val="22"/>
                <w:szCs w:val="22"/>
                <w:lang w:eastAsia="en-GB"/>
              </w:rPr>
              <w:t>Total</w:t>
            </w:r>
          </w:p>
        </w:tc>
        <w:tc>
          <w:tcPr>
            <w:tcW w:w="1491" w:type="dxa"/>
            <w:tcBorders>
              <w:top w:val="nil"/>
              <w:left w:val="nil"/>
              <w:bottom w:val="single" w:color="auto" w:sz="4" w:space="0"/>
              <w:right w:val="single" w:color="auto" w:sz="4" w:space="0"/>
            </w:tcBorders>
            <w:shd w:val="clear" w:color="auto" w:fill="auto"/>
            <w:noWrap/>
            <w:vAlign w:val="bottom"/>
            <w:hideMark/>
          </w:tcPr>
          <w:p w:rsidRPr="009836C0" w:rsidR="000766DE" w:rsidP="005C27D0" w:rsidRDefault="000766DE" w14:paraId="78FE7B94" w14:textId="77777777">
            <w:pPr>
              <w:jc w:val="center"/>
              <w:rPr>
                <w:rFonts w:cs="Arial"/>
                <w:b/>
                <w:color w:val="000000"/>
                <w:sz w:val="22"/>
                <w:szCs w:val="22"/>
                <w:lang w:eastAsia="en-GB"/>
              </w:rPr>
            </w:pPr>
            <w:r w:rsidRPr="009836C0">
              <w:rPr>
                <w:rFonts w:cs="Arial"/>
                <w:b/>
                <w:color w:val="000000"/>
                <w:sz w:val="22"/>
                <w:szCs w:val="22"/>
                <w:lang w:eastAsia="en-GB"/>
              </w:rPr>
              <w:t>£92.7</w:t>
            </w:r>
          </w:p>
        </w:tc>
        <w:tc>
          <w:tcPr>
            <w:tcW w:w="1911" w:type="dxa"/>
            <w:tcBorders>
              <w:top w:val="nil"/>
              <w:left w:val="nil"/>
              <w:bottom w:val="single" w:color="auto" w:sz="4" w:space="0"/>
              <w:right w:val="single" w:color="auto" w:sz="4" w:space="0"/>
            </w:tcBorders>
            <w:shd w:val="clear" w:color="auto" w:fill="auto"/>
            <w:noWrap/>
            <w:vAlign w:val="bottom"/>
            <w:hideMark/>
          </w:tcPr>
          <w:p w:rsidRPr="009836C0" w:rsidR="000766DE" w:rsidP="005C27D0" w:rsidRDefault="000766DE" w14:paraId="55D7E5A9" w14:textId="64F9D131">
            <w:pPr>
              <w:jc w:val="center"/>
              <w:rPr>
                <w:rFonts w:cs="Arial"/>
                <w:b/>
                <w:color w:val="000000"/>
                <w:sz w:val="22"/>
                <w:szCs w:val="22"/>
                <w:lang w:eastAsia="en-GB"/>
              </w:rPr>
            </w:pPr>
            <w:r w:rsidRPr="009836C0">
              <w:rPr>
                <w:rFonts w:cs="Arial"/>
                <w:b/>
                <w:color w:val="000000"/>
                <w:sz w:val="22"/>
                <w:szCs w:val="22"/>
                <w:lang w:eastAsia="en-GB"/>
              </w:rPr>
              <w:t>£9</w:t>
            </w:r>
            <w:r w:rsidR="00E55150">
              <w:rPr>
                <w:rFonts w:cs="Arial"/>
                <w:b/>
                <w:color w:val="000000"/>
                <w:sz w:val="22"/>
                <w:szCs w:val="22"/>
                <w:lang w:eastAsia="en-GB"/>
              </w:rPr>
              <w:t>8.2</w:t>
            </w:r>
            <w:r w:rsidRPr="009836C0">
              <w:rPr>
                <w:rFonts w:cs="Arial"/>
                <w:b/>
                <w:color w:val="000000"/>
                <w:sz w:val="22"/>
                <w:szCs w:val="22"/>
                <w:lang w:eastAsia="en-GB"/>
              </w:rPr>
              <w:t xml:space="preserve"> - £</w:t>
            </w:r>
            <w:r w:rsidRPr="009836C0" w:rsidR="009256A2">
              <w:rPr>
                <w:rFonts w:cs="Arial"/>
                <w:b/>
                <w:color w:val="000000"/>
                <w:sz w:val="22"/>
                <w:szCs w:val="22"/>
                <w:lang w:eastAsia="en-GB"/>
              </w:rPr>
              <w:t>99</w:t>
            </w:r>
            <w:r w:rsidR="00E55150">
              <w:rPr>
                <w:rFonts w:cs="Arial"/>
                <w:b/>
                <w:color w:val="000000"/>
                <w:sz w:val="22"/>
                <w:szCs w:val="22"/>
                <w:lang w:eastAsia="en-GB"/>
              </w:rPr>
              <w:t>.3</w:t>
            </w:r>
          </w:p>
        </w:tc>
        <w:tc>
          <w:tcPr>
            <w:tcW w:w="1855" w:type="dxa"/>
            <w:tcBorders>
              <w:top w:val="nil"/>
              <w:left w:val="nil"/>
              <w:bottom w:val="single" w:color="auto" w:sz="4" w:space="0"/>
              <w:right w:val="single" w:color="auto" w:sz="4" w:space="0"/>
            </w:tcBorders>
            <w:shd w:val="clear" w:color="auto" w:fill="auto"/>
            <w:noWrap/>
            <w:vAlign w:val="bottom"/>
            <w:hideMark/>
          </w:tcPr>
          <w:p w:rsidRPr="009836C0" w:rsidR="000766DE" w:rsidP="005C27D0" w:rsidRDefault="000766DE" w14:paraId="569258D6" w14:textId="0D6397B3">
            <w:pPr>
              <w:jc w:val="center"/>
              <w:rPr>
                <w:rFonts w:cs="Arial"/>
                <w:b/>
                <w:color w:val="000000"/>
                <w:sz w:val="22"/>
                <w:szCs w:val="22"/>
                <w:lang w:eastAsia="en-GB"/>
              </w:rPr>
            </w:pPr>
            <w:r w:rsidRPr="009836C0">
              <w:rPr>
                <w:rFonts w:cs="Arial"/>
                <w:b/>
                <w:color w:val="000000"/>
                <w:sz w:val="22"/>
                <w:szCs w:val="22"/>
                <w:lang w:eastAsia="en-GB"/>
              </w:rPr>
              <w:t>£</w:t>
            </w:r>
            <w:r w:rsidRPr="009836C0" w:rsidR="009256A2">
              <w:rPr>
                <w:rFonts w:cs="Arial"/>
                <w:b/>
                <w:color w:val="000000"/>
                <w:sz w:val="22"/>
                <w:szCs w:val="22"/>
                <w:lang w:eastAsia="en-GB"/>
              </w:rPr>
              <w:t>5.</w:t>
            </w:r>
            <w:r w:rsidR="00E55150">
              <w:rPr>
                <w:rFonts w:cs="Arial"/>
                <w:b/>
                <w:color w:val="000000"/>
                <w:sz w:val="22"/>
                <w:szCs w:val="22"/>
                <w:lang w:eastAsia="en-GB"/>
              </w:rPr>
              <w:t>5</w:t>
            </w:r>
            <w:r w:rsidRPr="009836C0">
              <w:rPr>
                <w:rFonts w:cs="Arial"/>
                <w:b/>
                <w:color w:val="000000"/>
                <w:sz w:val="22"/>
                <w:szCs w:val="22"/>
                <w:lang w:eastAsia="en-GB"/>
              </w:rPr>
              <w:t xml:space="preserve"> - £</w:t>
            </w:r>
            <w:r w:rsidRPr="009836C0" w:rsidR="009256A2">
              <w:rPr>
                <w:rFonts w:cs="Arial"/>
                <w:b/>
                <w:color w:val="000000"/>
                <w:sz w:val="22"/>
                <w:szCs w:val="22"/>
                <w:lang w:eastAsia="en-GB"/>
              </w:rPr>
              <w:t>6.</w:t>
            </w:r>
            <w:r w:rsidR="00E55150">
              <w:rPr>
                <w:rFonts w:cs="Arial"/>
                <w:b/>
                <w:color w:val="000000"/>
                <w:sz w:val="22"/>
                <w:szCs w:val="22"/>
                <w:lang w:eastAsia="en-GB"/>
              </w:rPr>
              <w:t>6</w:t>
            </w:r>
          </w:p>
        </w:tc>
      </w:tr>
    </w:tbl>
    <w:p w:rsidRPr="00F57684" w:rsidR="00C46416" w:rsidP="00E55150" w:rsidRDefault="00C46416" w14:paraId="159E5D01" w14:textId="77777777">
      <w:pPr>
        <w:pStyle w:val="EBNumber"/>
        <w:numPr>
          <w:ilvl w:val="0"/>
          <w:numId w:val="0"/>
        </w:numPr>
        <w:rPr>
          <w:b/>
        </w:rPr>
      </w:pPr>
    </w:p>
    <w:p w:rsidR="00155032" w:rsidP="00155032" w:rsidRDefault="00155032" w14:paraId="06B0154C" w14:textId="559850D7">
      <w:pPr>
        <w:pStyle w:val="EBNumber"/>
        <w:numPr>
          <w:ilvl w:val="0"/>
          <w:numId w:val="29"/>
        </w:numPr>
        <w:tabs>
          <w:tab w:val="num" w:pos="567"/>
        </w:tabs>
        <w:jc w:val="both"/>
      </w:pPr>
      <w:r>
        <w:t>There are f</w:t>
      </w:r>
      <w:r w:rsidR="00E55150">
        <w:t>ive</w:t>
      </w:r>
      <w:r>
        <w:t xml:space="preserve"> </w:t>
      </w:r>
      <w:r w:rsidR="00E55150">
        <w:t>fee categories</w:t>
      </w:r>
      <w:r>
        <w:t xml:space="preserve"> not included in the PSM modelling as in 2019/20 they made up just </w:t>
      </w:r>
      <w:r w:rsidR="00E55150">
        <w:t>5</w:t>
      </w:r>
      <w:r>
        <w:t>% of total HwF awards</w:t>
      </w:r>
      <w:r w:rsidR="002E451D">
        <w:t>: the Court of Protection, Civil Magistrates, Probate</w:t>
      </w:r>
      <w:r w:rsidR="00E55150">
        <w:t>,</w:t>
      </w:r>
      <w:r w:rsidR="002E451D">
        <w:t xml:space="preserve"> Tribunals</w:t>
      </w:r>
      <w:r w:rsidR="00E55150">
        <w:t xml:space="preserve"> and family fee</w:t>
      </w:r>
      <w:r w:rsidR="00964F90">
        <w:t>s</w:t>
      </w:r>
      <w:r w:rsidR="00E55150">
        <w:t xml:space="preserve"> not already covered</w:t>
      </w:r>
      <w:r w:rsidR="002E451D">
        <w:t>.</w:t>
      </w:r>
      <w:r>
        <w:t xml:space="preserve"> To estimate the increase in the amount of fee income remitted in these f</w:t>
      </w:r>
      <w:r w:rsidR="00AB44D6">
        <w:t>ive</w:t>
      </w:r>
      <w:r>
        <w:t xml:space="preserve"> jurisdictions</w:t>
      </w:r>
      <w:r w:rsidR="00527C73">
        <w:t>,</w:t>
      </w:r>
      <w:r w:rsidR="00CB4E9E">
        <w:t xml:space="preserve"> the overall increase in the amount of fee income remitted for County Civil, High Court, Divorce and Private Family – an increase of 6% - </w:t>
      </w:r>
      <w:r w:rsidR="00F77594">
        <w:t>was</w:t>
      </w:r>
      <w:r w:rsidR="00CB4E9E">
        <w:t xml:space="preserve"> applied to these f</w:t>
      </w:r>
      <w:r w:rsidR="00964F90">
        <w:t>ive</w:t>
      </w:r>
      <w:r w:rsidR="00CB4E9E">
        <w:t xml:space="preserve"> jurisdictions.   </w:t>
      </w:r>
      <w:r>
        <w:t xml:space="preserve"> </w:t>
      </w:r>
    </w:p>
    <w:p w:rsidR="000766DE" w:rsidP="000766DE" w:rsidRDefault="000766DE" w14:paraId="6EA5642C" w14:textId="77777777">
      <w:pPr>
        <w:pStyle w:val="EBNumber"/>
        <w:numPr>
          <w:ilvl w:val="0"/>
          <w:numId w:val="0"/>
        </w:numPr>
        <w:ind w:left="142"/>
        <w:rPr>
          <w:u w:val="single"/>
        </w:rPr>
      </w:pPr>
    </w:p>
    <w:p w:rsidR="000766DE" w:rsidP="009C3726" w:rsidRDefault="000766DE" w14:paraId="5A00CF1D" w14:textId="77777777">
      <w:pPr>
        <w:pStyle w:val="EBNumber"/>
        <w:numPr>
          <w:ilvl w:val="0"/>
          <w:numId w:val="0"/>
        </w:numPr>
        <w:ind w:left="363"/>
        <w:rPr>
          <w:u w:val="single"/>
        </w:rPr>
      </w:pPr>
      <w:r>
        <w:rPr>
          <w:u w:val="single"/>
        </w:rPr>
        <w:t>Assumptions and Risks</w:t>
      </w:r>
    </w:p>
    <w:p w:rsidR="000766DE" w:rsidP="000766DE" w:rsidRDefault="000766DE" w14:paraId="6C16715C" w14:textId="77777777">
      <w:pPr>
        <w:pStyle w:val="EBNumber"/>
        <w:numPr>
          <w:ilvl w:val="0"/>
          <w:numId w:val="0"/>
        </w:numPr>
        <w:ind w:left="142"/>
        <w:rPr>
          <w:u w:val="single"/>
        </w:rPr>
      </w:pPr>
    </w:p>
    <w:p w:rsidR="000766DE" w:rsidP="009C3726" w:rsidRDefault="00155032" w14:paraId="3407D0DB" w14:textId="1E9BE1B8">
      <w:pPr>
        <w:pStyle w:val="EBNumber"/>
        <w:numPr>
          <w:ilvl w:val="0"/>
          <w:numId w:val="29"/>
        </w:numPr>
        <w:tabs>
          <w:tab w:val="num" w:pos="567"/>
        </w:tabs>
        <w:jc w:val="both"/>
      </w:pPr>
      <w:r>
        <w:t>T</w:t>
      </w:r>
      <w:r w:rsidR="000766DE">
        <w:t xml:space="preserve">he modelling approach rests on a number of assumptions which mean the estimated additional cost of option 1 could be higher or lower than estimated </w:t>
      </w:r>
      <w:r>
        <w:t>above.</w:t>
      </w:r>
      <w:r w:rsidR="000766DE">
        <w:t xml:space="preserve"> The key assumptions that could particularly affect the estimated cost are:</w:t>
      </w:r>
    </w:p>
    <w:p w:rsidR="000766DE" w:rsidP="000766DE" w:rsidRDefault="000766DE" w14:paraId="2AE433E8" w14:textId="7E0FA4ED">
      <w:pPr>
        <w:pStyle w:val="EBNumber"/>
        <w:numPr>
          <w:ilvl w:val="0"/>
          <w:numId w:val="34"/>
        </w:numPr>
        <w:tabs>
          <w:tab w:val="num" w:pos="567"/>
        </w:tabs>
        <w:jc w:val="both"/>
      </w:pPr>
      <w:r w:rsidRPr="00A35FB3">
        <w:rPr>
          <w:b/>
        </w:rPr>
        <w:t>Average fees</w:t>
      </w:r>
      <w:r>
        <w:t>: as the value of a remission is dependent on the fee being paid, the use of weighted average fees means that actual remissions rates will vary from those estimated by a</w:t>
      </w:r>
      <w:r w:rsidR="00155032">
        <w:t>ctual fees paid</w:t>
      </w:r>
      <w:r>
        <w:t>.</w:t>
      </w:r>
    </w:p>
    <w:p w:rsidR="000766DE" w:rsidP="000766DE" w:rsidRDefault="000766DE" w14:paraId="0FA816AA" w14:textId="61890816">
      <w:pPr>
        <w:pStyle w:val="EBNumber"/>
        <w:numPr>
          <w:ilvl w:val="0"/>
          <w:numId w:val="34"/>
        </w:numPr>
        <w:tabs>
          <w:tab w:val="num" w:pos="567"/>
        </w:tabs>
        <w:jc w:val="both"/>
      </w:pPr>
      <w:r w:rsidRPr="00A35FB3">
        <w:rPr>
          <w:b/>
        </w:rPr>
        <w:t>Weighting</w:t>
      </w:r>
      <w:r>
        <w:t xml:space="preserve">: while the </w:t>
      </w:r>
      <w:r w:rsidR="00155032">
        <w:t>PSM has been</w:t>
      </w:r>
      <w:r>
        <w:t xml:space="preserve"> weighted to reflect the characteristics of court users</w:t>
      </w:r>
      <w:r w:rsidR="00155032">
        <w:t xml:space="preserve"> (see details in </w:t>
      </w:r>
      <w:r w:rsidR="009F57DD">
        <w:t>A</w:t>
      </w:r>
      <w:r w:rsidR="00155032">
        <w:t xml:space="preserve">nnex </w:t>
      </w:r>
      <w:r w:rsidR="009F57DD">
        <w:t>B</w:t>
      </w:r>
      <w:r w:rsidR="00155032">
        <w:t>)</w:t>
      </w:r>
      <w:r>
        <w:t>, this is not as robust as full income/benefit information on court applicants, and so the gross incomes of court users will differ from that estimated by the model.</w:t>
      </w:r>
    </w:p>
    <w:p w:rsidR="000766DE" w:rsidP="000766DE" w:rsidRDefault="000766DE" w14:paraId="3E7A20E5" w14:textId="2B4784CB">
      <w:pPr>
        <w:pStyle w:val="EBNumber"/>
        <w:numPr>
          <w:ilvl w:val="0"/>
          <w:numId w:val="34"/>
        </w:numPr>
        <w:tabs>
          <w:tab w:val="num" w:pos="567"/>
        </w:tabs>
        <w:jc w:val="both"/>
      </w:pPr>
      <w:r w:rsidRPr="00A35FB3">
        <w:rPr>
          <w:b/>
        </w:rPr>
        <w:t>Take-up</w:t>
      </w:r>
      <w:r>
        <w:t xml:space="preserve">: as the model estimates the increase in remissions by adjusting the current remission rates by </w:t>
      </w:r>
      <w:r w:rsidR="00155032">
        <w:t xml:space="preserve">the </w:t>
      </w:r>
      <w:r>
        <w:t>proportional change in eligibility</w:t>
      </w:r>
      <w:r w:rsidR="00C67440">
        <w:t xml:space="preserve"> in the PSM dataset</w:t>
      </w:r>
      <w:r>
        <w:t>, the model implicitly assumes that the ‘take-up rate’ does not change. The ‘take-up rate’ refers to the proportion of individuals eligible for a court fee remission that actually</w:t>
      </w:r>
      <w:r w:rsidR="009256A2">
        <w:t xml:space="preserve"> </w:t>
      </w:r>
      <w:r>
        <w:t xml:space="preserve">apply for a remission. As we do not know what proportion of eligible individuals </w:t>
      </w:r>
      <w:r w:rsidR="00155032">
        <w:t xml:space="preserve">currently </w:t>
      </w:r>
      <w:r>
        <w:t>‘take-up’ a remission</w:t>
      </w:r>
      <w:r w:rsidR="00071E6A">
        <w:t>,</w:t>
      </w:r>
      <w:r>
        <w:t xml:space="preserve"> it is not possible to estimate how this might change. However, as </w:t>
      </w:r>
      <w:r w:rsidR="00155032">
        <w:t>Option 1</w:t>
      </w:r>
      <w:r>
        <w:t xml:space="preserve"> is a marginal change to the HwF scheme</w:t>
      </w:r>
      <w:r w:rsidR="00071E6A">
        <w:t>,</w:t>
      </w:r>
      <w:r>
        <w:t xml:space="preserve"> take-up is not expected to be significantly altered.</w:t>
      </w:r>
    </w:p>
    <w:p w:rsidR="00CB4E9E" w:rsidP="000766DE" w:rsidRDefault="00CB4E9E" w14:paraId="0421BD85" w14:textId="05C13B6D">
      <w:pPr>
        <w:pStyle w:val="EBNumber"/>
        <w:numPr>
          <w:ilvl w:val="0"/>
          <w:numId w:val="34"/>
        </w:numPr>
        <w:tabs>
          <w:tab w:val="num" w:pos="567"/>
        </w:tabs>
        <w:jc w:val="both"/>
      </w:pPr>
      <w:r>
        <w:rPr>
          <w:b/>
        </w:rPr>
        <w:t>Current Remissions</w:t>
      </w:r>
      <w:r w:rsidRPr="000171D3">
        <w:t>:</w:t>
      </w:r>
      <w:r>
        <w:t xml:space="preserve"> the modelling assumes that the amount of fee income currently remitted (Option 0) w</w:t>
      </w:r>
      <w:r w:rsidR="00017F95">
        <w:t>ill</w:t>
      </w:r>
      <w:r>
        <w:t xml:space="preserve"> remain relatively stable in absence of the changes proposed here. It is possible that the current financial climate may lead to an increase in remissions, and this is something that will be monitored.  </w:t>
      </w:r>
    </w:p>
    <w:p w:rsidRPr="00D15686" w:rsidR="00D15686" w:rsidP="00C869D5" w:rsidRDefault="00D15686" w14:paraId="30B500DB" w14:textId="77777777">
      <w:pPr>
        <w:pStyle w:val="EBNumber"/>
        <w:numPr>
          <w:ilvl w:val="0"/>
          <w:numId w:val="0"/>
        </w:numPr>
        <w:tabs>
          <w:tab w:val="num" w:pos="567"/>
        </w:tabs>
        <w:spacing w:before="240" w:after="0"/>
        <w:jc w:val="both"/>
        <w:rPr>
          <w:b/>
        </w:rPr>
      </w:pPr>
    </w:p>
    <w:p w:rsidRPr="00C869D5" w:rsidR="000766DE" w:rsidP="009C3726" w:rsidRDefault="000766DE" w14:paraId="5C4585A1" w14:textId="77777777">
      <w:pPr>
        <w:pStyle w:val="EBNumber"/>
        <w:numPr>
          <w:ilvl w:val="0"/>
          <w:numId w:val="0"/>
        </w:numPr>
        <w:ind w:left="723" w:hanging="360"/>
        <w:rPr>
          <w:u w:val="single"/>
        </w:rPr>
      </w:pPr>
      <w:r w:rsidRPr="00C869D5">
        <w:rPr>
          <w:u w:val="single"/>
        </w:rPr>
        <w:t>Demand</w:t>
      </w:r>
    </w:p>
    <w:p w:rsidR="007E26BB" w:rsidP="009C3726" w:rsidRDefault="000766DE" w14:paraId="518994D4" w14:textId="638D104E">
      <w:pPr>
        <w:pStyle w:val="EBNumber"/>
        <w:numPr>
          <w:ilvl w:val="0"/>
          <w:numId w:val="29"/>
        </w:numPr>
        <w:tabs>
          <w:tab w:val="num" w:pos="567"/>
        </w:tabs>
        <w:jc w:val="both"/>
      </w:pPr>
      <w:r>
        <w:t xml:space="preserve">It is possible that by expanding eligibility to the </w:t>
      </w:r>
      <w:r w:rsidR="000621ED">
        <w:t>HwF</w:t>
      </w:r>
      <w:r>
        <w:t xml:space="preserve"> scheme, the reduction in the fee payable could incentivise some individuals to issue a court application who may not have done so otherwise. However, we consider this to be a low risk </w:t>
      </w:r>
      <w:r w:rsidR="00A763F7">
        <w:t xml:space="preserve">as option 1 is a marginal adjustment to the income thresholds and so a shift in demand is unlikely. </w:t>
      </w:r>
    </w:p>
    <w:p w:rsidR="000766DE" w:rsidP="000766DE" w:rsidRDefault="000766DE" w14:paraId="792ABBFD" w14:textId="77777777">
      <w:pPr>
        <w:pStyle w:val="EBNumber"/>
        <w:numPr>
          <w:ilvl w:val="0"/>
          <w:numId w:val="0"/>
        </w:numPr>
        <w:spacing w:after="0"/>
        <w:rPr>
          <w:color w:val="auto"/>
          <w:u w:val="single"/>
        </w:rPr>
      </w:pPr>
    </w:p>
    <w:p w:rsidRPr="00B824E0" w:rsidR="000766DE" w:rsidP="009C3726" w:rsidRDefault="000766DE" w14:paraId="777ADD4E" w14:textId="77777777">
      <w:pPr>
        <w:pStyle w:val="EBNumber"/>
        <w:numPr>
          <w:ilvl w:val="0"/>
          <w:numId w:val="0"/>
        </w:numPr>
        <w:spacing w:after="0"/>
        <w:ind w:left="363"/>
        <w:rPr>
          <w:color w:val="auto"/>
          <w:u w:val="single"/>
        </w:rPr>
      </w:pPr>
      <w:r w:rsidRPr="00B824E0">
        <w:rPr>
          <w:color w:val="auto"/>
          <w:u w:val="single"/>
        </w:rPr>
        <w:t>Net Present Value</w:t>
      </w:r>
      <w:r>
        <w:rPr>
          <w:color w:val="auto"/>
          <w:u w:val="single"/>
        </w:rPr>
        <w:t xml:space="preserve"> (NPV)</w:t>
      </w:r>
    </w:p>
    <w:p w:rsidRPr="00D16CA4" w:rsidR="000766DE" w:rsidP="000766DE" w:rsidRDefault="000766DE" w14:paraId="3F88F80A" w14:textId="77777777">
      <w:pPr>
        <w:pStyle w:val="EBNumber"/>
        <w:numPr>
          <w:ilvl w:val="0"/>
          <w:numId w:val="0"/>
        </w:numPr>
        <w:spacing w:after="0"/>
        <w:ind w:left="360"/>
        <w:rPr>
          <w:b/>
          <w:color w:val="auto"/>
          <w:szCs w:val="28"/>
        </w:rPr>
      </w:pPr>
    </w:p>
    <w:p w:rsidR="000766DE" w:rsidP="009C3726" w:rsidRDefault="000766DE" w14:paraId="04A07778" w14:textId="0FBFFD47">
      <w:pPr>
        <w:pStyle w:val="EBNumber"/>
        <w:numPr>
          <w:ilvl w:val="0"/>
          <w:numId w:val="29"/>
        </w:numPr>
        <w:tabs>
          <w:tab w:val="num" w:pos="567"/>
        </w:tabs>
        <w:jc w:val="both"/>
      </w:pPr>
      <w:bookmarkStart w:name="OLE_LINK15" w:id="30"/>
      <w:bookmarkStart w:name="OLE_LINK16" w:id="31"/>
      <w:bookmarkStart w:name="OLE_LINK7" w:id="32"/>
      <w:bookmarkStart w:name="OLE_LINK8" w:id="33"/>
      <w:r>
        <w:t xml:space="preserve">Table 4 shows the additional cost to HMCTS over </w:t>
      </w:r>
      <w:r w:rsidR="00A763F7">
        <w:t>a</w:t>
      </w:r>
      <w:r>
        <w:t xml:space="preserve"> 10 year appraisal period. The changes to HwF are expected to cost HMCTS £</w:t>
      </w:r>
      <w:r w:rsidR="001E62DB">
        <w:t>6</w:t>
      </w:r>
      <w:r>
        <w:t>-</w:t>
      </w:r>
      <w:r w:rsidR="001E62DB">
        <w:t>7</w:t>
      </w:r>
      <w:r>
        <w:t>m per annum in foregone fee income; the cost is £3m in 2021/22 as the policy is expected to be introduced in October 2021.</w:t>
      </w:r>
    </w:p>
    <w:p w:rsidR="000766DE" w:rsidP="009C3726" w:rsidRDefault="000766DE" w14:paraId="1B13F649" w14:textId="48F99D9E">
      <w:pPr>
        <w:pStyle w:val="EBNumber"/>
        <w:numPr>
          <w:ilvl w:val="0"/>
          <w:numId w:val="29"/>
        </w:numPr>
        <w:tabs>
          <w:tab w:val="num" w:pos="567"/>
        </w:tabs>
        <w:jc w:val="both"/>
      </w:pPr>
      <w:r>
        <w:t>As the HwF thresholds will not continue to rise with inflation, the additional cost to HMCTS will fall over-time in real terms. Table 4 shows the additional cost to HMCTS after accounting for inflation, using the GDP deflator</w:t>
      </w:r>
      <w:r w:rsidR="00DF6805">
        <w:t xml:space="preserve">. </w:t>
      </w:r>
      <w:r>
        <w:t>The real, annual average cost to HMCTS is £5</w:t>
      </w:r>
      <w:r w:rsidR="001E62DB">
        <w:t>-6</w:t>
      </w:r>
      <w:r>
        <w:t>m.</w:t>
      </w:r>
    </w:p>
    <w:p w:rsidR="000766DE" w:rsidP="000766DE" w:rsidRDefault="000766DE" w14:paraId="67DC1121" w14:textId="77777777">
      <w:pPr>
        <w:pStyle w:val="EBNumber"/>
        <w:numPr>
          <w:ilvl w:val="0"/>
          <w:numId w:val="0"/>
        </w:numPr>
        <w:spacing w:after="0"/>
        <w:ind w:left="360"/>
      </w:pPr>
    </w:p>
    <w:p w:rsidR="000766DE" w:rsidP="000766DE" w:rsidRDefault="000766DE" w14:paraId="008A0B30" w14:textId="3533183B">
      <w:pPr>
        <w:pStyle w:val="EBNumber"/>
        <w:numPr>
          <w:ilvl w:val="0"/>
          <w:numId w:val="0"/>
        </w:numPr>
        <w:spacing w:after="0"/>
        <w:ind w:left="360"/>
        <w:rPr>
          <w:b/>
        </w:rPr>
      </w:pPr>
      <w:r w:rsidRPr="00A5107F">
        <w:rPr>
          <w:b/>
        </w:rPr>
        <w:t>Table 4: Additional cost of HwF scheme over 10 year appraisal period</w:t>
      </w:r>
      <w:r w:rsidRPr="00A5107F" w:rsidR="002455AA">
        <w:rPr>
          <w:b/>
        </w:rPr>
        <w:t>, £millions</w:t>
      </w:r>
    </w:p>
    <w:tbl>
      <w:tblPr>
        <w:tblW w:w="9866" w:type="dxa"/>
        <w:tblLook w:val="04A0" w:firstRow="1" w:lastRow="0" w:firstColumn="1" w:lastColumn="0" w:noHBand="0" w:noVBand="1"/>
      </w:tblPr>
      <w:tblGrid>
        <w:gridCol w:w="1087"/>
        <w:gridCol w:w="822"/>
        <w:gridCol w:w="822"/>
        <w:gridCol w:w="822"/>
        <w:gridCol w:w="822"/>
        <w:gridCol w:w="822"/>
        <w:gridCol w:w="822"/>
        <w:gridCol w:w="822"/>
        <w:gridCol w:w="822"/>
        <w:gridCol w:w="822"/>
        <w:gridCol w:w="822"/>
        <w:gridCol w:w="878"/>
      </w:tblGrid>
      <w:tr w:rsidRPr="003A1E4A" w:rsidR="001E62DB" w:rsidTr="001E62DB" w14:paraId="7D61F6BC" w14:textId="77777777">
        <w:trPr>
          <w:trHeight w:val="576"/>
        </w:trPr>
        <w:tc>
          <w:tcPr>
            <w:tcW w:w="1360"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3A1E4A" w:rsidR="001E62DB" w:rsidP="001E62DB" w:rsidRDefault="001E62DB" w14:paraId="2299307E"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69E60971" w14:textId="77777777">
            <w:pPr>
              <w:jc w:val="center"/>
              <w:rPr>
                <w:rFonts w:cs="Arial"/>
                <w:b/>
                <w:bCs/>
                <w:color w:val="000000"/>
                <w:sz w:val="22"/>
                <w:szCs w:val="22"/>
                <w:lang w:eastAsia="en-GB"/>
              </w:rPr>
            </w:pPr>
            <w:r w:rsidRPr="003A1E4A">
              <w:rPr>
                <w:rFonts w:cs="Arial"/>
                <w:b/>
                <w:bCs/>
                <w:color w:val="000000"/>
                <w:sz w:val="22"/>
                <w:szCs w:val="22"/>
                <w:lang w:eastAsia="en-GB"/>
              </w:rPr>
              <w:t>2021/22</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390532AE" w14:textId="77777777">
            <w:pPr>
              <w:jc w:val="center"/>
              <w:rPr>
                <w:rFonts w:cs="Arial"/>
                <w:b/>
                <w:bCs/>
                <w:color w:val="000000"/>
                <w:sz w:val="22"/>
                <w:szCs w:val="22"/>
                <w:lang w:eastAsia="en-GB"/>
              </w:rPr>
            </w:pPr>
            <w:r w:rsidRPr="003A1E4A">
              <w:rPr>
                <w:rFonts w:cs="Arial"/>
                <w:b/>
                <w:bCs/>
                <w:color w:val="000000"/>
                <w:sz w:val="22"/>
                <w:szCs w:val="22"/>
                <w:lang w:eastAsia="en-GB"/>
              </w:rPr>
              <w:t>2022/23</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17761601" w14:textId="77777777">
            <w:pPr>
              <w:jc w:val="center"/>
              <w:rPr>
                <w:rFonts w:cs="Arial"/>
                <w:b/>
                <w:bCs/>
                <w:color w:val="000000"/>
                <w:sz w:val="22"/>
                <w:szCs w:val="22"/>
                <w:lang w:eastAsia="en-GB"/>
              </w:rPr>
            </w:pPr>
            <w:r w:rsidRPr="003A1E4A">
              <w:rPr>
                <w:rFonts w:cs="Arial"/>
                <w:b/>
                <w:bCs/>
                <w:color w:val="000000"/>
                <w:sz w:val="22"/>
                <w:szCs w:val="22"/>
                <w:lang w:eastAsia="en-GB"/>
              </w:rPr>
              <w:t>2023/24</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2836E135" w14:textId="77777777">
            <w:pPr>
              <w:jc w:val="center"/>
              <w:rPr>
                <w:rFonts w:cs="Arial"/>
                <w:b/>
                <w:bCs/>
                <w:color w:val="000000"/>
                <w:sz w:val="22"/>
                <w:szCs w:val="22"/>
                <w:lang w:eastAsia="en-GB"/>
              </w:rPr>
            </w:pPr>
            <w:r w:rsidRPr="003A1E4A">
              <w:rPr>
                <w:rFonts w:cs="Arial"/>
                <w:b/>
                <w:bCs/>
                <w:color w:val="000000"/>
                <w:sz w:val="22"/>
                <w:szCs w:val="22"/>
                <w:lang w:eastAsia="en-GB"/>
              </w:rPr>
              <w:t>2024/25</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5C6A749C" w14:textId="77777777">
            <w:pPr>
              <w:jc w:val="center"/>
              <w:rPr>
                <w:rFonts w:cs="Arial"/>
                <w:b/>
                <w:bCs/>
                <w:color w:val="000000"/>
                <w:sz w:val="22"/>
                <w:szCs w:val="22"/>
                <w:lang w:eastAsia="en-GB"/>
              </w:rPr>
            </w:pPr>
            <w:r w:rsidRPr="003A1E4A">
              <w:rPr>
                <w:rFonts w:cs="Arial"/>
                <w:b/>
                <w:bCs/>
                <w:color w:val="000000"/>
                <w:sz w:val="22"/>
                <w:szCs w:val="22"/>
                <w:lang w:eastAsia="en-GB"/>
              </w:rPr>
              <w:t>2025/26</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7B087403" w14:textId="77777777">
            <w:pPr>
              <w:jc w:val="center"/>
              <w:rPr>
                <w:rFonts w:cs="Arial"/>
                <w:b/>
                <w:bCs/>
                <w:color w:val="000000"/>
                <w:sz w:val="22"/>
                <w:szCs w:val="22"/>
                <w:lang w:eastAsia="en-GB"/>
              </w:rPr>
            </w:pPr>
            <w:r w:rsidRPr="003A1E4A">
              <w:rPr>
                <w:rFonts w:cs="Arial"/>
                <w:b/>
                <w:bCs/>
                <w:color w:val="000000"/>
                <w:sz w:val="22"/>
                <w:szCs w:val="22"/>
                <w:lang w:eastAsia="en-GB"/>
              </w:rPr>
              <w:t>2026/27</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0E579426" w14:textId="77777777">
            <w:pPr>
              <w:jc w:val="center"/>
              <w:rPr>
                <w:rFonts w:cs="Arial"/>
                <w:b/>
                <w:bCs/>
                <w:color w:val="000000"/>
                <w:sz w:val="22"/>
                <w:szCs w:val="22"/>
                <w:lang w:eastAsia="en-GB"/>
              </w:rPr>
            </w:pPr>
            <w:r w:rsidRPr="003A1E4A">
              <w:rPr>
                <w:rFonts w:cs="Arial"/>
                <w:b/>
                <w:bCs/>
                <w:color w:val="000000"/>
                <w:sz w:val="22"/>
                <w:szCs w:val="22"/>
                <w:lang w:eastAsia="en-GB"/>
              </w:rPr>
              <w:t>2027/28</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50DB2F6D" w14:textId="77777777">
            <w:pPr>
              <w:jc w:val="center"/>
              <w:rPr>
                <w:rFonts w:cs="Arial"/>
                <w:b/>
                <w:bCs/>
                <w:color w:val="000000"/>
                <w:sz w:val="22"/>
                <w:szCs w:val="22"/>
                <w:lang w:eastAsia="en-GB"/>
              </w:rPr>
            </w:pPr>
            <w:r w:rsidRPr="003A1E4A">
              <w:rPr>
                <w:rFonts w:cs="Arial"/>
                <w:b/>
                <w:bCs/>
                <w:color w:val="000000"/>
                <w:sz w:val="22"/>
                <w:szCs w:val="22"/>
                <w:lang w:eastAsia="en-GB"/>
              </w:rPr>
              <w:t>2028/29</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03B7363A" w14:textId="77777777">
            <w:pPr>
              <w:jc w:val="center"/>
              <w:rPr>
                <w:rFonts w:cs="Arial"/>
                <w:b/>
                <w:bCs/>
                <w:color w:val="000000"/>
                <w:sz w:val="22"/>
                <w:szCs w:val="22"/>
                <w:lang w:eastAsia="en-GB"/>
              </w:rPr>
            </w:pPr>
            <w:r w:rsidRPr="003A1E4A">
              <w:rPr>
                <w:rFonts w:cs="Arial"/>
                <w:b/>
                <w:bCs/>
                <w:color w:val="000000"/>
                <w:sz w:val="22"/>
                <w:szCs w:val="22"/>
                <w:lang w:eastAsia="en-GB"/>
              </w:rPr>
              <w:t>2029/30</w:t>
            </w:r>
          </w:p>
        </w:tc>
        <w:tc>
          <w:tcPr>
            <w:tcW w:w="774" w:type="dxa"/>
            <w:tcBorders>
              <w:top w:val="single" w:color="auto" w:sz="8" w:space="0"/>
              <w:left w:val="nil"/>
              <w:bottom w:val="single" w:color="auto" w:sz="4" w:space="0"/>
              <w:right w:val="single" w:color="auto" w:sz="4" w:space="0"/>
            </w:tcBorders>
            <w:shd w:val="clear" w:color="auto" w:fill="auto"/>
            <w:vAlign w:val="bottom"/>
            <w:hideMark/>
          </w:tcPr>
          <w:p w:rsidRPr="003A1E4A" w:rsidR="001E62DB" w:rsidP="001E62DB" w:rsidRDefault="001E62DB" w14:paraId="26A80971" w14:textId="77777777">
            <w:pPr>
              <w:jc w:val="center"/>
              <w:rPr>
                <w:rFonts w:cs="Arial"/>
                <w:b/>
                <w:bCs/>
                <w:color w:val="000000"/>
                <w:sz w:val="22"/>
                <w:szCs w:val="22"/>
                <w:lang w:eastAsia="en-GB"/>
              </w:rPr>
            </w:pPr>
            <w:r w:rsidRPr="003A1E4A">
              <w:rPr>
                <w:rFonts w:cs="Arial"/>
                <w:b/>
                <w:bCs/>
                <w:color w:val="000000"/>
                <w:sz w:val="22"/>
                <w:szCs w:val="22"/>
                <w:lang w:eastAsia="en-GB"/>
              </w:rPr>
              <w:t>2030/31</w:t>
            </w:r>
          </w:p>
        </w:tc>
        <w:tc>
          <w:tcPr>
            <w:tcW w:w="766" w:type="dxa"/>
            <w:tcBorders>
              <w:top w:val="single" w:color="auto" w:sz="8" w:space="0"/>
              <w:left w:val="nil"/>
              <w:bottom w:val="single" w:color="auto" w:sz="4" w:space="0"/>
              <w:right w:val="single" w:color="auto" w:sz="8" w:space="0"/>
            </w:tcBorders>
            <w:shd w:val="clear" w:color="auto" w:fill="auto"/>
            <w:vAlign w:val="bottom"/>
            <w:hideMark/>
          </w:tcPr>
          <w:p w:rsidRPr="003A1E4A" w:rsidR="001E62DB" w:rsidP="001E62DB" w:rsidRDefault="001E62DB" w14:paraId="177EFAA3" w14:textId="77777777">
            <w:pPr>
              <w:jc w:val="center"/>
              <w:rPr>
                <w:rFonts w:cs="Arial"/>
                <w:b/>
                <w:bCs/>
                <w:color w:val="000000"/>
                <w:sz w:val="22"/>
                <w:szCs w:val="22"/>
                <w:lang w:eastAsia="en-GB"/>
              </w:rPr>
            </w:pPr>
            <w:r w:rsidRPr="003A1E4A">
              <w:rPr>
                <w:rFonts w:cs="Arial"/>
                <w:b/>
                <w:bCs/>
                <w:color w:val="000000"/>
                <w:sz w:val="22"/>
                <w:szCs w:val="22"/>
                <w:lang w:eastAsia="en-GB"/>
              </w:rPr>
              <w:t>Annual Average</w:t>
            </w:r>
          </w:p>
        </w:tc>
      </w:tr>
      <w:tr w:rsidRPr="003A1E4A" w:rsidR="001E62DB" w:rsidTr="001E62DB" w14:paraId="79F62072" w14:textId="77777777">
        <w:trPr>
          <w:trHeight w:val="288"/>
        </w:trPr>
        <w:tc>
          <w:tcPr>
            <w:tcW w:w="1360" w:type="dxa"/>
            <w:tcBorders>
              <w:top w:val="nil"/>
              <w:left w:val="single" w:color="auto" w:sz="8" w:space="0"/>
              <w:bottom w:val="nil"/>
              <w:right w:val="nil"/>
            </w:tcBorders>
            <w:shd w:val="clear" w:color="auto" w:fill="auto"/>
            <w:noWrap/>
            <w:vAlign w:val="bottom"/>
            <w:hideMark/>
          </w:tcPr>
          <w:p w:rsidRPr="003A1E4A" w:rsidR="001E62DB" w:rsidP="001E62DB" w:rsidRDefault="001E62DB" w14:paraId="32437AFD" w14:textId="77777777">
            <w:pPr>
              <w:rPr>
                <w:rFonts w:cs="Arial"/>
                <w:b/>
                <w:bCs/>
                <w:i/>
                <w:iCs/>
                <w:color w:val="000000"/>
                <w:sz w:val="22"/>
                <w:szCs w:val="22"/>
                <w:lang w:eastAsia="en-GB"/>
              </w:rPr>
            </w:pPr>
            <w:r w:rsidRPr="003A1E4A">
              <w:rPr>
                <w:rFonts w:cs="Arial"/>
                <w:b/>
                <w:bCs/>
                <w:i/>
                <w:iCs/>
                <w:color w:val="000000"/>
                <w:sz w:val="22"/>
                <w:szCs w:val="22"/>
                <w:lang w:eastAsia="en-GB"/>
              </w:rPr>
              <w:t>Nominal Cost</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61D21CF1"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54AD2C01"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127E1621"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0A23BBD2"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17E913E0"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63AC2EC5"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5F8B36D2"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7AC30EC5"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single" w:color="auto" w:sz="4" w:space="0"/>
              <w:left w:val="nil"/>
              <w:bottom w:val="nil"/>
              <w:right w:val="nil"/>
            </w:tcBorders>
            <w:shd w:val="clear" w:color="auto" w:fill="auto"/>
            <w:noWrap/>
            <w:vAlign w:val="bottom"/>
            <w:hideMark/>
          </w:tcPr>
          <w:p w:rsidRPr="003A1E4A" w:rsidR="001E62DB" w:rsidP="001E62DB" w:rsidRDefault="001E62DB" w14:paraId="281A9EC5" w14:textId="77777777">
            <w:pPr>
              <w:rPr>
                <w:rFonts w:cs="Arial"/>
                <w:color w:val="000000"/>
                <w:sz w:val="22"/>
                <w:szCs w:val="22"/>
                <w:lang w:eastAsia="en-GB"/>
              </w:rPr>
            </w:pPr>
            <w:r w:rsidRPr="003A1E4A">
              <w:rPr>
                <w:rFonts w:cs="Arial"/>
                <w:color w:val="000000"/>
                <w:sz w:val="22"/>
                <w:szCs w:val="22"/>
                <w:lang w:eastAsia="en-GB"/>
              </w:rPr>
              <w:t> </w:t>
            </w:r>
          </w:p>
        </w:tc>
        <w:tc>
          <w:tcPr>
            <w:tcW w:w="774" w:type="dxa"/>
            <w:tcBorders>
              <w:top w:val="nil"/>
              <w:left w:val="nil"/>
              <w:bottom w:val="nil"/>
              <w:right w:val="single" w:color="auto" w:sz="4" w:space="0"/>
            </w:tcBorders>
            <w:shd w:val="clear" w:color="auto" w:fill="auto"/>
            <w:noWrap/>
            <w:vAlign w:val="bottom"/>
            <w:hideMark/>
          </w:tcPr>
          <w:p w:rsidRPr="003A1E4A" w:rsidR="001E62DB" w:rsidP="001E62DB" w:rsidRDefault="001E62DB" w14:paraId="2049A124" w14:textId="77777777">
            <w:pPr>
              <w:rPr>
                <w:rFonts w:cs="Arial"/>
                <w:color w:val="000000"/>
                <w:sz w:val="22"/>
                <w:szCs w:val="22"/>
                <w:lang w:eastAsia="en-GB"/>
              </w:rPr>
            </w:pPr>
            <w:r w:rsidRPr="003A1E4A">
              <w:rPr>
                <w:rFonts w:cs="Arial"/>
                <w:color w:val="000000"/>
                <w:sz w:val="22"/>
                <w:szCs w:val="22"/>
                <w:lang w:eastAsia="en-GB"/>
              </w:rPr>
              <w:t> </w:t>
            </w:r>
          </w:p>
        </w:tc>
        <w:tc>
          <w:tcPr>
            <w:tcW w:w="766" w:type="dxa"/>
            <w:tcBorders>
              <w:top w:val="nil"/>
              <w:left w:val="nil"/>
              <w:bottom w:val="nil"/>
              <w:right w:val="single" w:color="auto" w:sz="8" w:space="0"/>
            </w:tcBorders>
            <w:shd w:val="clear" w:color="auto" w:fill="auto"/>
            <w:noWrap/>
            <w:vAlign w:val="bottom"/>
            <w:hideMark/>
          </w:tcPr>
          <w:p w:rsidRPr="003A1E4A" w:rsidR="001E62DB" w:rsidP="001E62DB" w:rsidRDefault="001E62DB" w14:paraId="43B7B70C" w14:textId="77777777">
            <w:pPr>
              <w:rPr>
                <w:rFonts w:cs="Arial"/>
                <w:color w:val="000000"/>
                <w:sz w:val="22"/>
                <w:szCs w:val="22"/>
                <w:lang w:eastAsia="en-GB"/>
              </w:rPr>
            </w:pPr>
            <w:r w:rsidRPr="003A1E4A">
              <w:rPr>
                <w:rFonts w:cs="Arial"/>
                <w:color w:val="000000"/>
                <w:sz w:val="22"/>
                <w:szCs w:val="22"/>
                <w:lang w:eastAsia="en-GB"/>
              </w:rPr>
              <w:t> </w:t>
            </w:r>
          </w:p>
        </w:tc>
      </w:tr>
      <w:tr w:rsidRPr="003A1E4A" w:rsidR="001E62DB" w:rsidTr="001E62DB" w14:paraId="12F16C21" w14:textId="77777777">
        <w:trPr>
          <w:trHeight w:val="288"/>
        </w:trPr>
        <w:tc>
          <w:tcPr>
            <w:tcW w:w="1360" w:type="dxa"/>
            <w:tcBorders>
              <w:top w:val="nil"/>
              <w:left w:val="single" w:color="auto" w:sz="8" w:space="0"/>
              <w:bottom w:val="nil"/>
              <w:right w:val="nil"/>
            </w:tcBorders>
            <w:shd w:val="clear" w:color="auto" w:fill="auto"/>
            <w:noWrap/>
            <w:vAlign w:val="bottom"/>
            <w:hideMark/>
          </w:tcPr>
          <w:p w:rsidRPr="003A1E4A" w:rsidR="001E62DB" w:rsidP="001E62DB" w:rsidRDefault="001E62DB" w14:paraId="7247B47D" w14:textId="77777777">
            <w:pPr>
              <w:rPr>
                <w:rFonts w:cs="Arial"/>
                <w:color w:val="000000"/>
                <w:sz w:val="22"/>
                <w:szCs w:val="22"/>
                <w:lang w:eastAsia="en-GB"/>
              </w:rPr>
            </w:pPr>
            <w:r w:rsidRPr="003A1E4A">
              <w:rPr>
                <w:rFonts w:cs="Arial"/>
                <w:color w:val="000000"/>
                <w:sz w:val="22"/>
                <w:szCs w:val="22"/>
                <w:lang w:eastAsia="en-GB"/>
              </w:rPr>
              <w:t>Main</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43E42203" w14:textId="77777777">
            <w:pPr>
              <w:jc w:val="center"/>
              <w:rPr>
                <w:rFonts w:cs="Arial"/>
                <w:color w:val="000000"/>
                <w:sz w:val="22"/>
                <w:szCs w:val="22"/>
                <w:lang w:eastAsia="en-GB"/>
              </w:rPr>
            </w:pPr>
            <w:r w:rsidRPr="003A1E4A">
              <w:rPr>
                <w:rFonts w:cs="Arial"/>
                <w:color w:val="000000"/>
                <w:sz w:val="22"/>
                <w:szCs w:val="22"/>
                <w:lang w:eastAsia="en-GB"/>
              </w:rPr>
              <w:t>-£3</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21F997A5"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7F3B6483"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248BF20C"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27D184F6"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2BE6999A"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489F6051"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253EE62F"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79115BFB"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nil"/>
              <w:right w:val="single" w:color="auto" w:sz="4" w:space="0"/>
            </w:tcBorders>
            <w:shd w:val="clear" w:color="auto" w:fill="auto"/>
            <w:noWrap/>
            <w:vAlign w:val="bottom"/>
            <w:hideMark/>
          </w:tcPr>
          <w:p w:rsidRPr="003A1E4A" w:rsidR="001E62DB" w:rsidP="001E62DB" w:rsidRDefault="001E62DB" w14:paraId="2A02B441" w14:textId="77777777">
            <w:pPr>
              <w:jc w:val="center"/>
              <w:rPr>
                <w:rFonts w:cs="Arial"/>
                <w:color w:val="000000"/>
                <w:sz w:val="22"/>
                <w:szCs w:val="22"/>
                <w:lang w:eastAsia="en-GB"/>
              </w:rPr>
            </w:pPr>
            <w:r w:rsidRPr="003A1E4A">
              <w:rPr>
                <w:rFonts w:cs="Arial"/>
                <w:color w:val="000000"/>
                <w:sz w:val="22"/>
                <w:szCs w:val="22"/>
                <w:lang w:eastAsia="en-GB"/>
              </w:rPr>
              <w:t>-£6</w:t>
            </w:r>
          </w:p>
        </w:tc>
        <w:tc>
          <w:tcPr>
            <w:tcW w:w="766" w:type="dxa"/>
            <w:tcBorders>
              <w:top w:val="nil"/>
              <w:left w:val="nil"/>
              <w:bottom w:val="nil"/>
              <w:right w:val="single" w:color="auto" w:sz="8" w:space="0"/>
            </w:tcBorders>
            <w:shd w:val="clear" w:color="auto" w:fill="auto"/>
            <w:noWrap/>
            <w:vAlign w:val="bottom"/>
            <w:hideMark/>
          </w:tcPr>
          <w:p w:rsidRPr="003A1E4A" w:rsidR="001E62DB" w:rsidP="001E62DB" w:rsidRDefault="001E62DB" w14:paraId="44C9F60F" w14:textId="77777777">
            <w:pPr>
              <w:jc w:val="right"/>
              <w:rPr>
                <w:rFonts w:cs="Arial"/>
                <w:color w:val="000000"/>
                <w:sz w:val="22"/>
                <w:szCs w:val="22"/>
                <w:lang w:eastAsia="en-GB"/>
              </w:rPr>
            </w:pPr>
            <w:r w:rsidRPr="003A1E4A">
              <w:rPr>
                <w:rFonts w:cs="Arial"/>
                <w:color w:val="000000"/>
                <w:sz w:val="22"/>
                <w:szCs w:val="22"/>
                <w:lang w:eastAsia="en-GB"/>
              </w:rPr>
              <w:t>-£5</w:t>
            </w:r>
          </w:p>
        </w:tc>
      </w:tr>
      <w:tr w:rsidRPr="003A1E4A" w:rsidR="001E62DB" w:rsidTr="001E62DB" w14:paraId="119C79C3" w14:textId="77777777">
        <w:trPr>
          <w:trHeight w:val="288"/>
        </w:trPr>
        <w:tc>
          <w:tcPr>
            <w:tcW w:w="1360" w:type="dxa"/>
            <w:tcBorders>
              <w:top w:val="nil"/>
              <w:left w:val="single" w:color="auto" w:sz="8" w:space="0"/>
              <w:bottom w:val="single" w:color="auto" w:sz="4" w:space="0"/>
              <w:right w:val="nil"/>
            </w:tcBorders>
            <w:shd w:val="clear" w:color="auto" w:fill="auto"/>
            <w:noWrap/>
            <w:vAlign w:val="bottom"/>
            <w:hideMark/>
          </w:tcPr>
          <w:p w:rsidRPr="003A1E4A" w:rsidR="001E62DB" w:rsidP="001E62DB" w:rsidRDefault="001E62DB" w14:paraId="52CDD6D3" w14:textId="77777777">
            <w:pPr>
              <w:rPr>
                <w:rFonts w:cs="Arial"/>
                <w:color w:val="000000"/>
                <w:sz w:val="22"/>
                <w:szCs w:val="22"/>
                <w:lang w:eastAsia="en-GB"/>
              </w:rPr>
            </w:pPr>
            <w:r w:rsidRPr="003A1E4A">
              <w:rPr>
                <w:rFonts w:cs="Arial"/>
                <w:color w:val="000000"/>
                <w:sz w:val="22"/>
                <w:szCs w:val="22"/>
                <w:lang w:eastAsia="en-GB"/>
              </w:rPr>
              <w:t>High</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3DB73644" w14:textId="77777777">
            <w:pPr>
              <w:jc w:val="center"/>
              <w:rPr>
                <w:rFonts w:cs="Arial"/>
                <w:color w:val="000000"/>
                <w:sz w:val="22"/>
                <w:szCs w:val="22"/>
                <w:lang w:eastAsia="en-GB"/>
              </w:rPr>
            </w:pPr>
            <w:r w:rsidRPr="003A1E4A">
              <w:rPr>
                <w:rFonts w:cs="Arial"/>
                <w:color w:val="000000"/>
                <w:sz w:val="22"/>
                <w:szCs w:val="22"/>
                <w:lang w:eastAsia="en-GB"/>
              </w:rPr>
              <w:t>-£3</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38A9B1D6" w14:textId="77777777">
            <w:pPr>
              <w:jc w:val="center"/>
              <w:rPr>
                <w:rFonts w:cs="Arial"/>
                <w:color w:val="000000"/>
                <w:sz w:val="22"/>
                <w:szCs w:val="22"/>
                <w:lang w:eastAsia="en-GB"/>
              </w:rPr>
            </w:pPr>
            <w:r w:rsidRPr="003A1E4A">
              <w:rPr>
                <w:rFonts w:cs="Arial"/>
                <w:color w:val="000000"/>
                <w:sz w:val="22"/>
                <w:szCs w:val="22"/>
                <w:lang w:eastAsia="en-GB"/>
              </w:rPr>
              <w:t>-£7</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61181E21" w14:textId="77777777">
            <w:pPr>
              <w:jc w:val="center"/>
              <w:rPr>
                <w:rFonts w:cs="Arial"/>
                <w:color w:val="000000"/>
                <w:sz w:val="22"/>
                <w:szCs w:val="22"/>
                <w:lang w:eastAsia="en-GB"/>
              </w:rPr>
            </w:pPr>
            <w:r w:rsidRPr="003A1E4A">
              <w:rPr>
                <w:rFonts w:cs="Arial"/>
                <w:color w:val="000000"/>
                <w:sz w:val="22"/>
                <w:szCs w:val="22"/>
                <w:lang w:eastAsia="en-GB"/>
              </w:rPr>
              <w:t>-£7</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7548CB73" w14:textId="77777777">
            <w:pPr>
              <w:jc w:val="center"/>
              <w:rPr>
                <w:rFonts w:cs="Arial"/>
                <w:color w:val="000000"/>
                <w:sz w:val="22"/>
                <w:szCs w:val="22"/>
                <w:lang w:eastAsia="en-GB"/>
              </w:rPr>
            </w:pPr>
            <w:r w:rsidRPr="003A1E4A">
              <w:rPr>
                <w:rFonts w:cs="Arial"/>
                <w:color w:val="000000"/>
                <w:sz w:val="22"/>
                <w:szCs w:val="22"/>
                <w:lang w:eastAsia="en-GB"/>
              </w:rPr>
              <w:t>-£7</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04B1F776" w14:textId="77777777">
            <w:pPr>
              <w:jc w:val="center"/>
              <w:rPr>
                <w:rFonts w:cs="Arial"/>
                <w:color w:val="000000"/>
                <w:sz w:val="22"/>
                <w:szCs w:val="22"/>
                <w:lang w:eastAsia="en-GB"/>
              </w:rPr>
            </w:pPr>
            <w:r w:rsidRPr="003A1E4A">
              <w:rPr>
                <w:rFonts w:cs="Arial"/>
                <w:color w:val="000000"/>
                <w:sz w:val="22"/>
                <w:szCs w:val="22"/>
                <w:lang w:eastAsia="en-GB"/>
              </w:rPr>
              <w:t>-£7</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3A6F26EF" w14:textId="77777777">
            <w:pPr>
              <w:jc w:val="center"/>
              <w:rPr>
                <w:rFonts w:cs="Arial"/>
                <w:color w:val="000000"/>
                <w:sz w:val="22"/>
                <w:szCs w:val="22"/>
                <w:lang w:eastAsia="en-GB"/>
              </w:rPr>
            </w:pPr>
            <w:r w:rsidRPr="003A1E4A">
              <w:rPr>
                <w:rFonts w:cs="Arial"/>
                <w:color w:val="000000"/>
                <w:sz w:val="22"/>
                <w:szCs w:val="22"/>
                <w:lang w:eastAsia="en-GB"/>
              </w:rPr>
              <w:t>-£7</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55357A16" w14:textId="77777777">
            <w:pPr>
              <w:jc w:val="center"/>
              <w:rPr>
                <w:rFonts w:cs="Arial"/>
                <w:color w:val="000000"/>
                <w:sz w:val="22"/>
                <w:szCs w:val="22"/>
                <w:lang w:eastAsia="en-GB"/>
              </w:rPr>
            </w:pPr>
            <w:r w:rsidRPr="003A1E4A">
              <w:rPr>
                <w:rFonts w:cs="Arial"/>
                <w:color w:val="000000"/>
                <w:sz w:val="22"/>
                <w:szCs w:val="22"/>
                <w:lang w:eastAsia="en-GB"/>
              </w:rPr>
              <w:t>-£7</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7F9980F8" w14:textId="77777777">
            <w:pPr>
              <w:jc w:val="center"/>
              <w:rPr>
                <w:rFonts w:cs="Arial"/>
                <w:color w:val="000000"/>
                <w:sz w:val="22"/>
                <w:szCs w:val="22"/>
                <w:lang w:eastAsia="en-GB"/>
              </w:rPr>
            </w:pPr>
            <w:r w:rsidRPr="003A1E4A">
              <w:rPr>
                <w:rFonts w:cs="Arial"/>
                <w:color w:val="000000"/>
                <w:sz w:val="22"/>
                <w:szCs w:val="22"/>
                <w:lang w:eastAsia="en-GB"/>
              </w:rPr>
              <w:t>-£7</w:t>
            </w:r>
          </w:p>
        </w:tc>
        <w:tc>
          <w:tcPr>
            <w:tcW w:w="774" w:type="dxa"/>
            <w:tcBorders>
              <w:top w:val="nil"/>
              <w:left w:val="nil"/>
              <w:bottom w:val="single" w:color="auto" w:sz="4" w:space="0"/>
              <w:right w:val="nil"/>
            </w:tcBorders>
            <w:shd w:val="clear" w:color="auto" w:fill="auto"/>
            <w:noWrap/>
            <w:vAlign w:val="bottom"/>
            <w:hideMark/>
          </w:tcPr>
          <w:p w:rsidRPr="003A1E4A" w:rsidR="001E62DB" w:rsidP="001E62DB" w:rsidRDefault="001E62DB" w14:paraId="3EF5A846" w14:textId="77777777">
            <w:pPr>
              <w:jc w:val="center"/>
              <w:rPr>
                <w:rFonts w:cs="Arial"/>
                <w:color w:val="000000"/>
                <w:sz w:val="22"/>
                <w:szCs w:val="22"/>
                <w:lang w:eastAsia="en-GB"/>
              </w:rPr>
            </w:pPr>
            <w:r w:rsidRPr="003A1E4A">
              <w:rPr>
                <w:rFonts w:cs="Arial"/>
                <w:color w:val="000000"/>
                <w:sz w:val="22"/>
                <w:szCs w:val="22"/>
                <w:lang w:eastAsia="en-GB"/>
              </w:rPr>
              <w:t>-£7</w:t>
            </w:r>
          </w:p>
        </w:tc>
        <w:tc>
          <w:tcPr>
            <w:tcW w:w="774" w:type="dxa"/>
            <w:tcBorders>
              <w:top w:val="nil"/>
              <w:left w:val="nil"/>
              <w:bottom w:val="single" w:color="auto" w:sz="4" w:space="0"/>
              <w:right w:val="single" w:color="auto" w:sz="4" w:space="0"/>
            </w:tcBorders>
            <w:shd w:val="clear" w:color="auto" w:fill="auto"/>
            <w:noWrap/>
            <w:vAlign w:val="bottom"/>
            <w:hideMark/>
          </w:tcPr>
          <w:p w:rsidRPr="003A1E4A" w:rsidR="001E62DB" w:rsidP="001E62DB" w:rsidRDefault="001E62DB" w14:paraId="71455AC5" w14:textId="77777777">
            <w:pPr>
              <w:jc w:val="center"/>
              <w:rPr>
                <w:rFonts w:cs="Arial"/>
                <w:color w:val="000000"/>
                <w:sz w:val="22"/>
                <w:szCs w:val="22"/>
                <w:lang w:eastAsia="en-GB"/>
              </w:rPr>
            </w:pPr>
            <w:r w:rsidRPr="003A1E4A">
              <w:rPr>
                <w:rFonts w:cs="Arial"/>
                <w:color w:val="000000"/>
                <w:sz w:val="22"/>
                <w:szCs w:val="22"/>
                <w:lang w:eastAsia="en-GB"/>
              </w:rPr>
              <w:t>-£7</w:t>
            </w:r>
          </w:p>
        </w:tc>
        <w:tc>
          <w:tcPr>
            <w:tcW w:w="766" w:type="dxa"/>
            <w:tcBorders>
              <w:top w:val="nil"/>
              <w:left w:val="nil"/>
              <w:bottom w:val="single" w:color="auto" w:sz="4" w:space="0"/>
              <w:right w:val="single" w:color="auto" w:sz="8" w:space="0"/>
            </w:tcBorders>
            <w:shd w:val="clear" w:color="auto" w:fill="auto"/>
            <w:noWrap/>
            <w:vAlign w:val="bottom"/>
            <w:hideMark/>
          </w:tcPr>
          <w:p w:rsidRPr="003A1E4A" w:rsidR="001E62DB" w:rsidP="001E62DB" w:rsidRDefault="001E62DB" w14:paraId="0CB83380" w14:textId="77777777">
            <w:pPr>
              <w:jc w:val="right"/>
              <w:rPr>
                <w:rFonts w:cs="Arial"/>
                <w:color w:val="000000"/>
                <w:sz w:val="22"/>
                <w:szCs w:val="22"/>
                <w:lang w:eastAsia="en-GB"/>
              </w:rPr>
            </w:pPr>
            <w:r w:rsidRPr="003A1E4A">
              <w:rPr>
                <w:rFonts w:cs="Arial"/>
                <w:color w:val="000000"/>
                <w:sz w:val="22"/>
                <w:szCs w:val="22"/>
                <w:lang w:eastAsia="en-GB"/>
              </w:rPr>
              <w:t>-£6</w:t>
            </w:r>
          </w:p>
        </w:tc>
      </w:tr>
      <w:tr w:rsidRPr="003A1E4A" w:rsidR="001E62DB" w:rsidTr="001E62DB" w14:paraId="199CF628" w14:textId="77777777">
        <w:trPr>
          <w:trHeight w:val="288"/>
        </w:trPr>
        <w:tc>
          <w:tcPr>
            <w:tcW w:w="2134" w:type="dxa"/>
            <w:gridSpan w:val="2"/>
            <w:tcBorders>
              <w:top w:val="nil"/>
              <w:left w:val="single" w:color="auto" w:sz="8" w:space="0"/>
              <w:bottom w:val="nil"/>
              <w:right w:val="nil"/>
            </w:tcBorders>
            <w:shd w:val="clear" w:color="auto" w:fill="auto"/>
            <w:noWrap/>
            <w:vAlign w:val="bottom"/>
            <w:hideMark/>
          </w:tcPr>
          <w:p w:rsidRPr="003A1E4A" w:rsidR="001E62DB" w:rsidP="001E62DB" w:rsidRDefault="001E62DB" w14:paraId="3AF7F386" w14:textId="77777777">
            <w:pPr>
              <w:rPr>
                <w:rFonts w:cs="Arial"/>
                <w:b/>
                <w:bCs/>
                <w:i/>
                <w:iCs/>
                <w:color w:val="000000"/>
                <w:sz w:val="22"/>
                <w:szCs w:val="22"/>
                <w:lang w:eastAsia="en-GB"/>
              </w:rPr>
            </w:pPr>
            <w:r w:rsidRPr="003A1E4A">
              <w:rPr>
                <w:rFonts w:cs="Arial"/>
                <w:b/>
                <w:bCs/>
                <w:i/>
                <w:iCs/>
                <w:color w:val="000000"/>
                <w:sz w:val="22"/>
                <w:szCs w:val="22"/>
                <w:lang w:eastAsia="en-GB"/>
              </w:rPr>
              <w:t>Cost in real prices</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554632AC" w14:textId="77777777">
            <w:pPr>
              <w:rPr>
                <w:rFonts w:cs="Arial"/>
                <w:b/>
                <w:bCs/>
                <w:i/>
                <w:iCs/>
                <w:color w:val="000000"/>
                <w:sz w:val="22"/>
                <w:szCs w:val="22"/>
                <w:lang w:eastAsia="en-GB"/>
              </w:rPr>
            </w:pPr>
          </w:p>
        </w:tc>
        <w:tc>
          <w:tcPr>
            <w:tcW w:w="774" w:type="dxa"/>
            <w:tcBorders>
              <w:top w:val="nil"/>
              <w:left w:val="nil"/>
              <w:bottom w:val="nil"/>
              <w:right w:val="nil"/>
            </w:tcBorders>
            <w:shd w:val="clear" w:color="auto" w:fill="auto"/>
            <w:noWrap/>
            <w:vAlign w:val="bottom"/>
            <w:hideMark/>
          </w:tcPr>
          <w:p w:rsidRPr="003A1E4A" w:rsidR="001E62DB" w:rsidP="001E62DB" w:rsidRDefault="001E62DB" w14:paraId="0112C5E8" w14:textId="77777777">
            <w:pPr>
              <w:jc w:val="center"/>
              <w:rPr>
                <w:rFonts w:cs="Arial"/>
                <w:sz w:val="22"/>
                <w:szCs w:val="22"/>
                <w:lang w:eastAsia="en-GB"/>
              </w:rPr>
            </w:pPr>
          </w:p>
        </w:tc>
        <w:tc>
          <w:tcPr>
            <w:tcW w:w="774" w:type="dxa"/>
            <w:tcBorders>
              <w:top w:val="nil"/>
              <w:left w:val="nil"/>
              <w:bottom w:val="nil"/>
              <w:right w:val="nil"/>
            </w:tcBorders>
            <w:shd w:val="clear" w:color="auto" w:fill="auto"/>
            <w:noWrap/>
            <w:vAlign w:val="bottom"/>
            <w:hideMark/>
          </w:tcPr>
          <w:p w:rsidRPr="003A1E4A" w:rsidR="001E62DB" w:rsidP="001E62DB" w:rsidRDefault="001E62DB" w14:paraId="483F0B74" w14:textId="77777777">
            <w:pPr>
              <w:jc w:val="center"/>
              <w:rPr>
                <w:rFonts w:cs="Arial"/>
                <w:sz w:val="22"/>
                <w:szCs w:val="22"/>
                <w:lang w:eastAsia="en-GB"/>
              </w:rPr>
            </w:pPr>
          </w:p>
        </w:tc>
        <w:tc>
          <w:tcPr>
            <w:tcW w:w="774" w:type="dxa"/>
            <w:tcBorders>
              <w:top w:val="nil"/>
              <w:left w:val="nil"/>
              <w:bottom w:val="nil"/>
              <w:right w:val="nil"/>
            </w:tcBorders>
            <w:shd w:val="clear" w:color="auto" w:fill="auto"/>
            <w:noWrap/>
            <w:vAlign w:val="bottom"/>
            <w:hideMark/>
          </w:tcPr>
          <w:p w:rsidRPr="003A1E4A" w:rsidR="001E62DB" w:rsidP="001E62DB" w:rsidRDefault="001E62DB" w14:paraId="35A7477F" w14:textId="77777777">
            <w:pPr>
              <w:jc w:val="center"/>
              <w:rPr>
                <w:rFonts w:cs="Arial"/>
                <w:sz w:val="22"/>
                <w:szCs w:val="22"/>
                <w:lang w:eastAsia="en-GB"/>
              </w:rPr>
            </w:pPr>
          </w:p>
        </w:tc>
        <w:tc>
          <w:tcPr>
            <w:tcW w:w="774" w:type="dxa"/>
            <w:tcBorders>
              <w:top w:val="nil"/>
              <w:left w:val="nil"/>
              <w:bottom w:val="nil"/>
              <w:right w:val="nil"/>
            </w:tcBorders>
            <w:shd w:val="clear" w:color="auto" w:fill="auto"/>
            <w:noWrap/>
            <w:vAlign w:val="bottom"/>
            <w:hideMark/>
          </w:tcPr>
          <w:p w:rsidRPr="003A1E4A" w:rsidR="001E62DB" w:rsidP="001E62DB" w:rsidRDefault="001E62DB" w14:paraId="6D6E96B8" w14:textId="77777777">
            <w:pPr>
              <w:jc w:val="center"/>
              <w:rPr>
                <w:rFonts w:cs="Arial"/>
                <w:sz w:val="22"/>
                <w:szCs w:val="22"/>
                <w:lang w:eastAsia="en-GB"/>
              </w:rPr>
            </w:pPr>
          </w:p>
        </w:tc>
        <w:tc>
          <w:tcPr>
            <w:tcW w:w="774" w:type="dxa"/>
            <w:tcBorders>
              <w:top w:val="nil"/>
              <w:left w:val="nil"/>
              <w:bottom w:val="nil"/>
              <w:right w:val="nil"/>
            </w:tcBorders>
            <w:shd w:val="clear" w:color="auto" w:fill="auto"/>
            <w:noWrap/>
            <w:vAlign w:val="bottom"/>
            <w:hideMark/>
          </w:tcPr>
          <w:p w:rsidRPr="003A1E4A" w:rsidR="001E62DB" w:rsidP="001E62DB" w:rsidRDefault="001E62DB" w14:paraId="46990AE7" w14:textId="77777777">
            <w:pPr>
              <w:jc w:val="center"/>
              <w:rPr>
                <w:rFonts w:cs="Arial"/>
                <w:sz w:val="22"/>
                <w:szCs w:val="22"/>
                <w:lang w:eastAsia="en-GB"/>
              </w:rPr>
            </w:pPr>
          </w:p>
        </w:tc>
        <w:tc>
          <w:tcPr>
            <w:tcW w:w="774" w:type="dxa"/>
            <w:tcBorders>
              <w:top w:val="nil"/>
              <w:left w:val="nil"/>
              <w:bottom w:val="nil"/>
              <w:right w:val="nil"/>
            </w:tcBorders>
            <w:shd w:val="clear" w:color="auto" w:fill="auto"/>
            <w:noWrap/>
            <w:vAlign w:val="bottom"/>
            <w:hideMark/>
          </w:tcPr>
          <w:p w:rsidRPr="003A1E4A" w:rsidR="001E62DB" w:rsidP="001E62DB" w:rsidRDefault="001E62DB" w14:paraId="784415B5" w14:textId="77777777">
            <w:pPr>
              <w:jc w:val="center"/>
              <w:rPr>
                <w:rFonts w:cs="Arial"/>
                <w:sz w:val="22"/>
                <w:szCs w:val="22"/>
                <w:lang w:eastAsia="en-GB"/>
              </w:rPr>
            </w:pPr>
          </w:p>
        </w:tc>
        <w:tc>
          <w:tcPr>
            <w:tcW w:w="774" w:type="dxa"/>
            <w:tcBorders>
              <w:top w:val="nil"/>
              <w:left w:val="nil"/>
              <w:bottom w:val="nil"/>
              <w:right w:val="nil"/>
            </w:tcBorders>
            <w:shd w:val="clear" w:color="auto" w:fill="auto"/>
            <w:noWrap/>
            <w:vAlign w:val="bottom"/>
            <w:hideMark/>
          </w:tcPr>
          <w:p w:rsidRPr="003A1E4A" w:rsidR="001E62DB" w:rsidP="001E62DB" w:rsidRDefault="001E62DB" w14:paraId="6701C021" w14:textId="77777777">
            <w:pPr>
              <w:jc w:val="center"/>
              <w:rPr>
                <w:rFonts w:cs="Arial"/>
                <w:sz w:val="22"/>
                <w:szCs w:val="22"/>
                <w:lang w:eastAsia="en-GB"/>
              </w:rPr>
            </w:pPr>
          </w:p>
        </w:tc>
        <w:tc>
          <w:tcPr>
            <w:tcW w:w="774" w:type="dxa"/>
            <w:tcBorders>
              <w:top w:val="nil"/>
              <w:left w:val="nil"/>
              <w:bottom w:val="nil"/>
              <w:right w:val="single" w:color="auto" w:sz="4" w:space="0"/>
            </w:tcBorders>
            <w:shd w:val="clear" w:color="auto" w:fill="auto"/>
            <w:noWrap/>
            <w:vAlign w:val="bottom"/>
            <w:hideMark/>
          </w:tcPr>
          <w:p w:rsidRPr="003A1E4A" w:rsidR="001E62DB" w:rsidP="001E62DB" w:rsidRDefault="001E62DB" w14:paraId="4934AA19" w14:textId="77777777">
            <w:pPr>
              <w:jc w:val="center"/>
              <w:rPr>
                <w:rFonts w:cs="Arial"/>
                <w:color w:val="000000"/>
                <w:sz w:val="22"/>
                <w:szCs w:val="22"/>
                <w:lang w:eastAsia="en-GB"/>
              </w:rPr>
            </w:pPr>
            <w:r w:rsidRPr="003A1E4A">
              <w:rPr>
                <w:rFonts w:cs="Arial"/>
                <w:color w:val="000000"/>
                <w:sz w:val="22"/>
                <w:szCs w:val="22"/>
                <w:lang w:eastAsia="en-GB"/>
              </w:rPr>
              <w:t> </w:t>
            </w:r>
          </w:p>
        </w:tc>
        <w:tc>
          <w:tcPr>
            <w:tcW w:w="766" w:type="dxa"/>
            <w:tcBorders>
              <w:top w:val="nil"/>
              <w:left w:val="nil"/>
              <w:bottom w:val="nil"/>
              <w:right w:val="single" w:color="auto" w:sz="8" w:space="0"/>
            </w:tcBorders>
            <w:shd w:val="clear" w:color="auto" w:fill="auto"/>
            <w:noWrap/>
            <w:vAlign w:val="bottom"/>
            <w:hideMark/>
          </w:tcPr>
          <w:p w:rsidRPr="003A1E4A" w:rsidR="001E62DB" w:rsidP="001E62DB" w:rsidRDefault="001E62DB" w14:paraId="046E6172" w14:textId="77777777">
            <w:pPr>
              <w:rPr>
                <w:rFonts w:cs="Arial"/>
                <w:color w:val="000000"/>
                <w:sz w:val="22"/>
                <w:szCs w:val="22"/>
                <w:lang w:eastAsia="en-GB"/>
              </w:rPr>
            </w:pPr>
            <w:r w:rsidRPr="003A1E4A">
              <w:rPr>
                <w:rFonts w:cs="Arial"/>
                <w:color w:val="000000"/>
                <w:sz w:val="22"/>
                <w:szCs w:val="22"/>
                <w:lang w:eastAsia="en-GB"/>
              </w:rPr>
              <w:t> </w:t>
            </w:r>
          </w:p>
        </w:tc>
      </w:tr>
      <w:tr w:rsidRPr="003A1E4A" w:rsidR="001E62DB" w:rsidTr="001E62DB" w14:paraId="4AF7714E" w14:textId="77777777">
        <w:trPr>
          <w:trHeight w:val="288"/>
        </w:trPr>
        <w:tc>
          <w:tcPr>
            <w:tcW w:w="1360" w:type="dxa"/>
            <w:tcBorders>
              <w:top w:val="nil"/>
              <w:left w:val="single" w:color="auto" w:sz="8" w:space="0"/>
              <w:bottom w:val="nil"/>
              <w:right w:val="nil"/>
            </w:tcBorders>
            <w:shd w:val="clear" w:color="auto" w:fill="auto"/>
            <w:noWrap/>
            <w:vAlign w:val="bottom"/>
            <w:hideMark/>
          </w:tcPr>
          <w:p w:rsidRPr="003A1E4A" w:rsidR="001E62DB" w:rsidP="001E62DB" w:rsidRDefault="001E62DB" w14:paraId="359C28A9" w14:textId="77777777">
            <w:pPr>
              <w:rPr>
                <w:rFonts w:cs="Arial"/>
                <w:color w:val="000000"/>
                <w:sz w:val="22"/>
                <w:szCs w:val="22"/>
                <w:lang w:eastAsia="en-GB"/>
              </w:rPr>
            </w:pPr>
            <w:r w:rsidRPr="003A1E4A">
              <w:rPr>
                <w:rFonts w:cs="Arial"/>
                <w:color w:val="000000"/>
                <w:sz w:val="22"/>
                <w:szCs w:val="22"/>
                <w:lang w:eastAsia="en-GB"/>
              </w:rPr>
              <w:t>Main</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42D0A3DA" w14:textId="77777777">
            <w:pPr>
              <w:jc w:val="center"/>
              <w:rPr>
                <w:rFonts w:cs="Arial"/>
                <w:color w:val="000000"/>
                <w:sz w:val="22"/>
                <w:szCs w:val="22"/>
                <w:lang w:eastAsia="en-GB"/>
              </w:rPr>
            </w:pPr>
            <w:r w:rsidRPr="003A1E4A">
              <w:rPr>
                <w:rFonts w:cs="Arial"/>
                <w:color w:val="000000"/>
                <w:sz w:val="22"/>
                <w:szCs w:val="22"/>
                <w:lang w:eastAsia="en-GB"/>
              </w:rPr>
              <w:t>-£3</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592AAE79" w14:textId="0440D5BC">
            <w:pPr>
              <w:jc w:val="center"/>
              <w:rPr>
                <w:rFonts w:cs="Arial"/>
                <w:color w:val="000000"/>
                <w:sz w:val="22"/>
                <w:szCs w:val="22"/>
                <w:lang w:eastAsia="en-GB"/>
              </w:rPr>
            </w:pPr>
            <w:r w:rsidRPr="003A1E4A">
              <w:rPr>
                <w:rFonts w:cs="Arial"/>
                <w:color w:val="000000"/>
                <w:sz w:val="22"/>
                <w:szCs w:val="22"/>
                <w:lang w:eastAsia="en-GB"/>
              </w:rPr>
              <w:t>-£</w:t>
            </w:r>
            <w:r w:rsidRPr="003A1E4A" w:rsidR="00EF0041">
              <w:rPr>
                <w:rFonts w:cs="Arial"/>
                <w:color w:val="000000"/>
                <w:sz w:val="22"/>
                <w:szCs w:val="22"/>
                <w:lang w:eastAsia="en-GB"/>
              </w:rPr>
              <w:t>6</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55742E59" w14:textId="77777777">
            <w:pPr>
              <w:jc w:val="center"/>
              <w:rPr>
                <w:rFonts w:cs="Arial"/>
                <w:color w:val="000000"/>
                <w:sz w:val="22"/>
                <w:szCs w:val="22"/>
                <w:lang w:eastAsia="en-GB"/>
              </w:rPr>
            </w:pPr>
            <w:r w:rsidRPr="003A1E4A">
              <w:rPr>
                <w:rFonts w:cs="Arial"/>
                <w:color w:val="000000"/>
                <w:sz w:val="22"/>
                <w:szCs w:val="22"/>
                <w:lang w:eastAsia="en-GB"/>
              </w:rPr>
              <w:t>-£5</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6522F6BA" w14:textId="77777777">
            <w:pPr>
              <w:jc w:val="center"/>
              <w:rPr>
                <w:rFonts w:cs="Arial"/>
                <w:color w:val="000000"/>
                <w:sz w:val="22"/>
                <w:szCs w:val="22"/>
                <w:lang w:eastAsia="en-GB"/>
              </w:rPr>
            </w:pPr>
            <w:r w:rsidRPr="003A1E4A">
              <w:rPr>
                <w:rFonts w:cs="Arial"/>
                <w:color w:val="000000"/>
                <w:sz w:val="22"/>
                <w:szCs w:val="22"/>
                <w:lang w:eastAsia="en-GB"/>
              </w:rPr>
              <w:t>-£5</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09603B14" w14:textId="77777777">
            <w:pPr>
              <w:jc w:val="center"/>
              <w:rPr>
                <w:rFonts w:cs="Arial"/>
                <w:color w:val="000000"/>
                <w:sz w:val="22"/>
                <w:szCs w:val="22"/>
                <w:lang w:eastAsia="en-GB"/>
              </w:rPr>
            </w:pPr>
            <w:r w:rsidRPr="003A1E4A">
              <w:rPr>
                <w:rFonts w:cs="Arial"/>
                <w:color w:val="000000"/>
                <w:sz w:val="22"/>
                <w:szCs w:val="22"/>
                <w:lang w:eastAsia="en-GB"/>
              </w:rPr>
              <w:t>-£5</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4BC72B42" w14:textId="77777777">
            <w:pPr>
              <w:jc w:val="center"/>
              <w:rPr>
                <w:rFonts w:cs="Arial"/>
                <w:color w:val="000000"/>
                <w:sz w:val="22"/>
                <w:szCs w:val="22"/>
                <w:lang w:eastAsia="en-GB"/>
              </w:rPr>
            </w:pPr>
            <w:r w:rsidRPr="003A1E4A">
              <w:rPr>
                <w:rFonts w:cs="Arial"/>
                <w:color w:val="000000"/>
                <w:sz w:val="22"/>
                <w:szCs w:val="22"/>
                <w:lang w:eastAsia="en-GB"/>
              </w:rPr>
              <w:t>-£5</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32D35746" w14:textId="77777777">
            <w:pPr>
              <w:jc w:val="center"/>
              <w:rPr>
                <w:rFonts w:cs="Arial"/>
                <w:color w:val="000000"/>
                <w:sz w:val="22"/>
                <w:szCs w:val="22"/>
                <w:lang w:eastAsia="en-GB"/>
              </w:rPr>
            </w:pPr>
            <w:r w:rsidRPr="003A1E4A">
              <w:rPr>
                <w:rFonts w:cs="Arial"/>
                <w:color w:val="000000"/>
                <w:sz w:val="22"/>
                <w:szCs w:val="22"/>
                <w:lang w:eastAsia="en-GB"/>
              </w:rPr>
              <w:t>-£5</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70C7D92A" w14:textId="77777777">
            <w:pPr>
              <w:jc w:val="center"/>
              <w:rPr>
                <w:rFonts w:cs="Arial"/>
                <w:color w:val="000000"/>
                <w:sz w:val="22"/>
                <w:szCs w:val="22"/>
                <w:lang w:eastAsia="en-GB"/>
              </w:rPr>
            </w:pPr>
            <w:r w:rsidRPr="003A1E4A">
              <w:rPr>
                <w:rFonts w:cs="Arial"/>
                <w:color w:val="000000"/>
                <w:sz w:val="22"/>
                <w:szCs w:val="22"/>
                <w:lang w:eastAsia="en-GB"/>
              </w:rPr>
              <w:t>-£5</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3DE31E10" w14:textId="77777777">
            <w:pPr>
              <w:jc w:val="center"/>
              <w:rPr>
                <w:rFonts w:cs="Arial"/>
                <w:color w:val="000000"/>
                <w:sz w:val="22"/>
                <w:szCs w:val="22"/>
                <w:lang w:eastAsia="en-GB"/>
              </w:rPr>
            </w:pPr>
            <w:r w:rsidRPr="003A1E4A">
              <w:rPr>
                <w:rFonts w:cs="Arial"/>
                <w:color w:val="000000"/>
                <w:sz w:val="22"/>
                <w:szCs w:val="22"/>
                <w:lang w:eastAsia="en-GB"/>
              </w:rPr>
              <w:t>-£5</w:t>
            </w:r>
          </w:p>
        </w:tc>
        <w:tc>
          <w:tcPr>
            <w:tcW w:w="774" w:type="dxa"/>
            <w:tcBorders>
              <w:top w:val="nil"/>
              <w:left w:val="nil"/>
              <w:bottom w:val="nil"/>
              <w:right w:val="nil"/>
            </w:tcBorders>
            <w:shd w:val="clear" w:color="auto" w:fill="auto"/>
            <w:noWrap/>
            <w:vAlign w:val="bottom"/>
            <w:hideMark/>
          </w:tcPr>
          <w:p w:rsidRPr="003A1E4A" w:rsidR="001E62DB" w:rsidP="001E62DB" w:rsidRDefault="001E62DB" w14:paraId="4D0524C0" w14:textId="77777777">
            <w:pPr>
              <w:jc w:val="center"/>
              <w:rPr>
                <w:rFonts w:cs="Arial"/>
                <w:color w:val="000000"/>
                <w:sz w:val="22"/>
                <w:szCs w:val="22"/>
                <w:lang w:eastAsia="en-GB"/>
              </w:rPr>
            </w:pPr>
            <w:r w:rsidRPr="003A1E4A">
              <w:rPr>
                <w:rFonts w:cs="Arial"/>
                <w:color w:val="000000"/>
                <w:sz w:val="22"/>
                <w:szCs w:val="22"/>
                <w:lang w:eastAsia="en-GB"/>
              </w:rPr>
              <w:t>-£5</w:t>
            </w:r>
          </w:p>
        </w:tc>
        <w:tc>
          <w:tcPr>
            <w:tcW w:w="766" w:type="dxa"/>
            <w:tcBorders>
              <w:top w:val="nil"/>
              <w:left w:val="nil"/>
              <w:bottom w:val="nil"/>
              <w:right w:val="single" w:color="auto" w:sz="8" w:space="0"/>
            </w:tcBorders>
            <w:shd w:val="clear" w:color="auto" w:fill="auto"/>
            <w:noWrap/>
            <w:vAlign w:val="bottom"/>
            <w:hideMark/>
          </w:tcPr>
          <w:p w:rsidRPr="003A1E4A" w:rsidR="001E62DB" w:rsidP="001E62DB" w:rsidRDefault="001E62DB" w14:paraId="595FCAE4" w14:textId="77777777">
            <w:pPr>
              <w:jc w:val="right"/>
              <w:rPr>
                <w:rFonts w:cs="Arial"/>
                <w:color w:val="000000"/>
                <w:sz w:val="22"/>
                <w:szCs w:val="22"/>
                <w:lang w:eastAsia="en-GB"/>
              </w:rPr>
            </w:pPr>
            <w:r w:rsidRPr="003A1E4A">
              <w:rPr>
                <w:rFonts w:cs="Arial"/>
                <w:color w:val="000000"/>
                <w:sz w:val="22"/>
                <w:szCs w:val="22"/>
                <w:lang w:eastAsia="en-GB"/>
              </w:rPr>
              <w:t>-£5</w:t>
            </w:r>
          </w:p>
        </w:tc>
      </w:tr>
      <w:tr w:rsidRPr="003A1E4A" w:rsidR="001E62DB" w:rsidTr="001E62DB" w14:paraId="0DAE63C9" w14:textId="77777777">
        <w:trPr>
          <w:trHeight w:val="300"/>
        </w:trPr>
        <w:tc>
          <w:tcPr>
            <w:tcW w:w="1360" w:type="dxa"/>
            <w:tcBorders>
              <w:top w:val="nil"/>
              <w:left w:val="single" w:color="auto" w:sz="8" w:space="0"/>
              <w:bottom w:val="single" w:color="auto" w:sz="8" w:space="0"/>
              <w:right w:val="nil"/>
            </w:tcBorders>
            <w:shd w:val="clear" w:color="auto" w:fill="auto"/>
            <w:noWrap/>
            <w:vAlign w:val="bottom"/>
            <w:hideMark/>
          </w:tcPr>
          <w:p w:rsidRPr="003A1E4A" w:rsidR="001E62DB" w:rsidP="001E62DB" w:rsidRDefault="001E62DB" w14:paraId="11C2AD6F" w14:textId="77777777">
            <w:pPr>
              <w:rPr>
                <w:rFonts w:cs="Arial"/>
                <w:color w:val="000000"/>
                <w:sz w:val="22"/>
                <w:szCs w:val="22"/>
                <w:lang w:eastAsia="en-GB"/>
              </w:rPr>
            </w:pPr>
            <w:r w:rsidRPr="003A1E4A">
              <w:rPr>
                <w:rFonts w:cs="Arial"/>
                <w:color w:val="000000"/>
                <w:sz w:val="22"/>
                <w:szCs w:val="22"/>
                <w:lang w:eastAsia="en-GB"/>
              </w:rPr>
              <w:t>High</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7484249B" w14:textId="77777777">
            <w:pPr>
              <w:jc w:val="center"/>
              <w:rPr>
                <w:rFonts w:cs="Arial"/>
                <w:color w:val="000000"/>
                <w:sz w:val="22"/>
                <w:szCs w:val="22"/>
                <w:lang w:eastAsia="en-GB"/>
              </w:rPr>
            </w:pPr>
            <w:r w:rsidRPr="003A1E4A">
              <w:rPr>
                <w:rFonts w:cs="Arial"/>
                <w:color w:val="000000"/>
                <w:sz w:val="22"/>
                <w:szCs w:val="22"/>
                <w:lang w:eastAsia="en-GB"/>
              </w:rPr>
              <w:t>-£3</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0C7D51BC" w14:textId="6E15586C">
            <w:pPr>
              <w:jc w:val="center"/>
              <w:rPr>
                <w:rFonts w:cs="Arial"/>
                <w:color w:val="000000"/>
                <w:sz w:val="22"/>
                <w:szCs w:val="22"/>
                <w:lang w:eastAsia="en-GB"/>
              </w:rPr>
            </w:pPr>
            <w:r w:rsidRPr="003A1E4A">
              <w:rPr>
                <w:rFonts w:cs="Arial"/>
                <w:color w:val="000000"/>
                <w:sz w:val="22"/>
                <w:szCs w:val="22"/>
                <w:lang w:eastAsia="en-GB"/>
              </w:rPr>
              <w:t>-£</w:t>
            </w:r>
            <w:r w:rsidRPr="003A1E4A" w:rsidR="00BD127B">
              <w:rPr>
                <w:rFonts w:cs="Arial"/>
                <w:color w:val="000000"/>
                <w:sz w:val="22"/>
                <w:szCs w:val="22"/>
                <w:lang w:eastAsia="en-GB"/>
              </w:rPr>
              <w:t>7</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3EB563DA" w14:textId="21663121">
            <w:pPr>
              <w:jc w:val="center"/>
              <w:rPr>
                <w:rFonts w:cs="Arial"/>
                <w:color w:val="000000"/>
                <w:sz w:val="22"/>
                <w:szCs w:val="22"/>
                <w:lang w:eastAsia="en-GB"/>
              </w:rPr>
            </w:pPr>
            <w:r w:rsidRPr="003A1E4A">
              <w:rPr>
                <w:rFonts w:cs="Arial"/>
                <w:color w:val="000000" w:themeColor="text1"/>
                <w:sz w:val="22"/>
                <w:szCs w:val="22"/>
                <w:lang w:eastAsia="en-GB"/>
              </w:rPr>
              <w:t>-£</w:t>
            </w:r>
            <w:r w:rsidRPr="003A1E4A" w:rsidR="00BD127B">
              <w:rPr>
                <w:rFonts w:cs="Arial"/>
                <w:color w:val="000000" w:themeColor="text1"/>
                <w:sz w:val="22"/>
                <w:szCs w:val="22"/>
                <w:lang w:eastAsia="en-GB"/>
              </w:rPr>
              <w:t>7</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4FC471C5"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3E4D68A9"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3AB4E9EC"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497EC3FF"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1F31EF7F"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59BD9727" w14:textId="77777777">
            <w:pPr>
              <w:jc w:val="center"/>
              <w:rPr>
                <w:rFonts w:cs="Arial"/>
                <w:color w:val="000000"/>
                <w:sz w:val="22"/>
                <w:szCs w:val="22"/>
                <w:lang w:eastAsia="en-GB"/>
              </w:rPr>
            </w:pPr>
            <w:r w:rsidRPr="003A1E4A">
              <w:rPr>
                <w:rFonts w:cs="Arial"/>
                <w:color w:val="000000"/>
                <w:sz w:val="22"/>
                <w:szCs w:val="22"/>
                <w:lang w:eastAsia="en-GB"/>
              </w:rPr>
              <w:t>-£6</w:t>
            </w:r>
          </w:p>
        </w:tc>
        <w:tc>
          <w:tcPr>
            <w:tcW w:w="774" w:type="dxa"/>
            <w:tcBorders>
              <w:top w:val="nil"/>
              <w:left w:val="nil"/>
              <w:bottom w:val="single" w:color="auto" w:sz="8" w:space="0"/>
              <w:right w:val="nil"/>
            </w:tcBorders>
            <w:shd w:val="clear" w:color="auto" w:fill="auto"/>
            <w:noWrap/>
            <w:vAlign w:val="bottom"/>
            <w:hideMark/>
          </w:tcPr>
          <w:p w:rsidRPr="003A1E4A" w:rsidR="001E62DB" w:rsidP="001E62DB" w:rsidRDefault="001E62DB" w14:paraId="595C9FF6" w14:textId="4764E3F4">
            <w:pPr>
              <w:jc w:val="center"/>
              <w:rPr>
                <w:rFonts w:cs="Arial"/>
                <w:color w:val="000000"/>
                <w:sz w:val="22"/>
                <w:szCs w:val="22"/>
                <w:lang w:eastAsia="en-GB"/>
              </w:rPr>
            </w:pPr>
            <w:r w:rsidRPr="003A1E4A">
              <w:rPr>
                <w:rFonts w:cs="Arial"/>
                <w:color w:val="000000"/>
                <w:sz w:val="22"/>
                <w:szCs w:val="22"/>
                <w:lang w:eastAsia="en-GB"/>
              </w:rPr>
              <w:t>-£</w:t>
            </w:r>
            <w:r w:rsidRPr="003A1E4A" w:rsidR="00AB36B0">
              <w:rPr>
                <w:rFonts w:cs="Arial"/>
                <w:color w:val="000000"/>
                <w:sz w:val="22"/>
                <w:szCs w:val="22"/>
                <w:lang w:eastAsia="en-GB"/>
              </w:rPr>
              <w:t>6</w:t>
            </w:r>
          </w:p>
        </w:tc>
        <w:tc>
          <w:tcPr>
            <w:tcW w:w="766" w:type="dxa"/>
            <w:tcBorders>
              <w:top w:val="nil"/>
              <w:left w:val="nil"/>
              <w:bottom w:val="single" w:color="auto" w:sz="8" w:space="0"/>
              <w:right w:val="single" w:color="auto" w:sz="8" w:space="0"/>
            </w:tcBorders>
            <w:shd w:val="clear" w:color="auto" w:fill="auto"/>
            <w:noWrap/>
            <w:vAlign w:val="bottom"/>
            <w:hideMark/>
          </w:tcPr>
          <w:p w:rsidRPr="003A1E4A" w:rsidR="001E62DB" w:rsidP="001E62DB" w:rsidRDefault="001E62DB" w14:paraId="517196AE" w14:textId="77777777">
            <w:pPr>
              <w:jc w:val="right"/>
              <w:rPr>
                <w:rFonts w:cs="Arial"/>
                <w:color w:val="000000"/>
                <w:sz w:val="22"/>
                <w:szCs w:val="22"/>
                <w:lang w:eastAsia="en-GB"/>
              </w:rPr>
            </w:pPr>
            <w:r w:rsidRPr="003A1E4A">
              <w:rPr>
                <w:rFonts w:cs="Arial"/>
                <w:color w:val="000000"/>
                <w:sz w:val="22"/>
                <w:szCs w:val="22"/>
                <w:lang w:eastAsia="en-GB"/>
              </w:rPr>
              <w:t>-£6</w:t>
            </w:r>
          </w:p>
        </w:tc>
      </w:tr>
    </w:tbl>
    <w:p w:rsidRPr="003A1E4A" w:rsidR="001E62DB" w:rsidP="000766DE" w:rsidRDefault="001E62DB" w14:paraId="043560E2" w14:textId="77777777">
      <w:pPr>
        <w:pStyle w:val="EBNumber"/>
        <w:numPr>
          <w:ilvl w:val="0"/>
          <w:numId w:val="0"/>
        </w:numPr>
        <w:spacing w:after="0"/>
        <w:ind w:left="360"/>
        <w:rPr>
          <w:b/>
        </w:rPr>
      </w:pPr>
    </w:p>
    <w:p w:rsidR="000766DE" w:rsidP="007D0CBF" w:rsidRDefault="000766DE" w14:paraId="184F5577" w14:textId="2BD41752">
      <w:pPr>
        <w:pStyle w:val="EBNumber"/>
        <w:numPr>
          <w:ilvl w:val="0"/>
          <w:numId w:val="0"/>
        </w:numPr>
        <w:spacing w:after="0"/>
      </w:pPr>
      <w:r>
        <w:t xml:space="preserve"> </w:t>
      </w:r>
    </w:p>
    <w:p w:rsidRPr="00D16CA4" w:rsidR="007D0CBF" w:rsidP="000766DE" w:rsidRDefault="007D0CBF" w14:paraId="028F67C7" w14:textId="77777777">
      <w:pPr>
        <w:pStyle w:val="EBNumber"/>
        <w:numPr>
          <w:ilvl w:val="0"/>
          <w:numId w:val="0"/>
        </w:numPr>
        <w:spacing w:after="0"/>
        <w:ind w:left="360"/>
      </w:pPr>
    </w:p>
    <w:p w:rsidR="000766DE" w:rsidP="000766DE" w:rsidRDefault="000766DE" w14:paraId="368E6A15" w14:textId="77777777">
      <w:pPr>
        <w:pStyle w:val="EBNumber"/>
        <w:numPr>
          <w:ilvl w:val="0"/>
          <w:numId w:val="0"/>
        </w:numPr>
        <w:spacing w:after="0"/>
        <w:ind w:left="567"/>
        <w:rPr>
          <w:color w:val="auto"/>
          <w:highlight w:val="yellow"/>
        </w:rPr>
      </w:pPr>
    </w:p>
    <w:p w:rsidRPr="009157FB" w:rsidR="000766DE" w:rsidP="009C3726" w:rsidRDefault="000766DE" w14:paraId="108875C8" w14:textId="78B97E8B">
      <w:pPr>
        <w:pStyle w:val="EBNumber"/>
        <w:numPr>
          <w:ilvl w:val="0"/>
          <w:numId w:val="29"/>
        </w:numPr>
        <w:tabs>
          <w:tab w:val="num" w:pos="567"/>
        </w:tabs>
        <w:jc w:val="both"/>
      </w:pPr>
      <w:r>
        <w:t xml:space="preserve">The cost to </w:t>
      </w:r>
      <w:r w:rsidR="002229A5">
        <w:t>H</w:t>
      </w:r>
      <w:r>
        <w:t xml:space="preserve">MCTS represents a net transfer to individuals who will now pay lower court fees. The NPV is therefore £0. </w:t>
      </w:r>
    </w:p>
    <w:p w:rsidRPr="005564E0" w:rsidR="000766DE" w:rsidP="000766DE" w:rsidRDefault="000766DE" w14:paraId="5E1B3E70" w14:textId="77777777">
      <w:pPr>
        <w:pStyle w:val="EBNumber"/>
        <w:numPr>
          <w:ilvl w:val="0"/>
          <w:numId w:val="0"/>
        </w:numPr>
        <w:spacing w:after="0"/>
        <w:ind w:left="567"/>
        <w:rPr>
          <w:color w:val="auto"/>
          <w:highlight w:val="yellow"/>
        </w:rPr>
      </w:pPr>
    </w:p>
    <w:p w:rsidRPr="00D16CA4" w:rsidR="000766DE" w:rsidP="007A535D" w:rsidRDefault="000766DE" w14:paraId="56374526" w14:textId="0A945DB1">
      <w:pPr>
        <w:pStyle w:val="EBNumber"/>
        <w:numPr>
          <w:ilvl w:val="0"/>
          <w:numId w:val="0"/>
        </w:numPr>
        <w:spacing w:after="0"/>
        <w:rPr>
          <w:b/>
          <w:u w:val="single"/>
        </w:rPr>
      </w:pPr>
      <w:r w:rsidRPr="00D16CA4">
        <w:rPr>
          <w:b/>
          <w:color w:val="auto"/>
          <w:u w:val="single"/>
        </w:rPr>
        <w:t xml:space="preserve">Option 1 </w:t>
      </w:r>
      <w:r w:rsidRPr="00D16CA4">
        <w:rPr>
          <w:b/>
          <w:u w:val="single"/>
        </w:rPr>
        <w:t xml:space="preserve">– </w:t>
      </w:r>
      <w:r w:rsidR="002455AA">
        <w:rPr>
          <w:b/>
          <w:color w:val="auto"/>
          <w:u w:val="single"/>
        </w:rPr>
        <w:t>Uplift</w:t>
      </w:r>
      <w:r w:rsidR="006D5F60">
        <w:rPr>
          <w:b/>
          <w:color w:val="auto"/>
          <w:u w:val="single"/>
        </w:rPr>
        <w:t xml:space="preserve"> the income threshold, couple and child premiums used in the</w:t>
      </w:r>
      <w:r>
        <w:rPr>
          <w:b/>
          <w:color w:val="auto"/>
          <w:u w:val="single"/>
        </w:rPr>
        <w:t xml:space="preserve"> HwF </w:t>
      </w:r>
      <w:r w:rsidR="006D5F60">
        <w:rPr>
          <w:b/>
          <w:color w:val="auto"/>
          <w:u w:val="single"/>
        </w:rPr>
        <w:t>means test</w:t>
      </w:r>
      <w:r>
        <w:rPr>
          <w:b/>
          <w:color w:val="auto"/>
          <w:u w:val="single"/>
        </w:rPr>
        <w:t xml:space="preserve"> with inflation, backdated to August 2016</w:t>
      </w:r>
      <w:r w:rsidR="006D5F60">
        <w:rPr>
          <w:b/>
          <w:color w:val="auto"/>
          <w:u w:val="single"/>
        </w:rPr>
        <w:t xml:space="preserve"> </w:t>
      </w:r>
    </w:p>
    <w:p w:rsidRPr="00D16CA4" w:rsidR="000766DE" w:rsidP="000766DE" w:rsidRDefault="000766DE" w14:paraId="2164A351" w14:textId="77777777">
      <w:pPr>
        <w:pStyle w:val="EBNumber"/>
        <w:numPr>
          <w:ilvl w:val="0"/>
          <w:numId w:val="0"/>
        </w:numPr>
        <w:spacing w:after="0"/>
        <w:ind w:left="360" w:hanging="360"/>
      </w:pPr>
    </w:p>
    <w:p w:rsidRPr="00D16CA4" w:rsidR="000766DE" w:rsidP="11642C45" w:rsidRDefault="000766DE" w14:paraId="2CDA0C1B" w14:textId="3E1AEB5B">
      <w:pPr>
        <w:pStyle w:val="Bulletundernumberedtext"/>
        <w:tabs>
          <w:tab w:val="clear" w:pos="717"/>
        </w:tabs>
        <w:spacing w:after="0"/>
        <w:ind w:left="0" w:firstLine="0"/>
        <w:rPr>
          <w:b/>
          <w:bCs/>
        </w:rPr>
      </w:pPr>
      <w:r w:rsidRPr="11642C45">
        <w:rPr>
          <w:b/>
          <w:bCs/>
        </w:rPr>
        <w:t>Costs of Option 1</w:t>
      </w:r>
    </w:p>
    <w:p w:rsidRPr="005564E0" w:rsidR="000766DE" w:rsidP="000766DE" w:rsidRDefault="000766DE" w14:paraId="440F2BB2" w14:textId="77777777">
      <w:pPr>
        <w:pStyle w:val="Bulletundernumberedtext"/>
        <w:tabs>
          <w:tab w:val="clear" w:pos="717"/>
        </w:tabs>
        <w:spacing w:after="0"/>
        <w:ind w:left="0" w:firstLine="0"/>
        <w:rPr>
          <w:b/>
          <w:sz w:val="24"/>
          <w:szCs w:val="24"/>
          <w:highlight w:val="yellow"/>
          <w:u w:val="single"/>
        </w:rPr>
      </w:pPr>
    </w:p>
    <w:p w:rsidRPr="00D16CA4" w:rsidR="000766DE" w:rsidP="000766DE" w:rsidRDefault="000766DE" w14:paraId="150C14DF" w14:textId="77777777">
      <w:pPr>
        <w:pStyle w:val="EBNumber"/>
        <w:numPr>
          <w:ilvl w:val="0"/>
          <w:numId w:val="0"/>
        </w:numPr>
        <w:spacing w:after="0"/>
        <w:ind w:left="360" w:hanging="360"/>
        <w:rPr>
          <w:color w:val="auto"/>
          <w:u w:val="single"/>
        </w:rPr>
      </w:pPr>
      <w:r w:rsidRPr="00D16CA4">
        <w:rPr>
          <w:color w:val="auto"/>
          <w:u w:val="single"/>
        </w:rPr>
        <w:t>Transitional costs</w:t>
      </w:r>
    </w:p>
    <w:p w:rsidRPr="00D16CA4" w:rsidR="000766DE" w:rsidP="000766DE" w:rsidRDefault="000766DE" w14:paraId="0B897440" w14:textId="77777777">
      <w:pPr>
        <w:pStyle w:val="EBNumber"/>
        <w:numPr>
          <w:ilvl w:val="0"/>
          <w:numId w:val="0"/>
        </w:numPr>
        <w:spacing w:after="0"/>
        <w:ind w:left="417" w:hanging="360"/>
        <w:rPr>
          <w:b/>
          <w:color w:val="auto"/>
        </w:rPr>
      </w:pPr>
    </w:p>
    <w:p w:rsidRPr="00D16CA4" w:rsidR="000766DE" w:rsidP="000766DE" w:rsidRDefault="000766DE" w14:paraId="333D686F" w14:textId="77777777">
      <w:pPr>
        <w:pStyle w:val="Heading5"/>
        <w:spacing w:before="0" w:after="0"/>
        <w:rPr>
          <w:rFonts w:cs="Arial"/>
          <w:b/>
          <w:szCs w:val="22"/>
        </w:rPr>
      </w:pPr>
      <w:r w:rsidRPr="00D16CA4">
        <w:rPr>
          <w:rFonts w:cs="Arial"/>
          <w:szCs w:val="22"/>
        </w:rPr>
        <w:t>HMCTS</w:t>
      </w:r>
    </w:p>
    <w:p w:rsidRPr="00D16CA4" w:rsidR="000766DE" w:rsidP="000766DE" w:rsidRDefault="000766DE" w14:paraId="55DC321B" w14:textId="77777777"/>
    <w:p w:rsidR="000766DE" w:rsidP="000766DE" w:rsidRDefault="000766DE" w14:paraId="7B7B1018" w14:textId="6C02E46C">
      <w:pPr>
        <w:pStyle w:val="EBNumber"/>
        <w:numPr>
          <w:ilvl w:val="0"/>
          <w:numId w:val="29"/>
        </w:numPr>
        <w:tabs>
          <w:tab w:val="num" w:pos="567"/>
        </w:tabs>
        <w:spacing w:after="0"/>
        <w:jc w:val="both"/>
      </w:pPr>
      <w:r>
        <w:t>HMCTS is expected to incur minor costs from amending guidance, the public online application form</w:t>
      </w:r>
      <w:r w:rsidR="64CC7625">
        <w:t>, the staff online application</w:t>
      </w:r>
      <w:r w:rsidR="007561AC">
        <w:t xml:space="preserve"> </w:t>
      </w:r>
      <w:r>
        <w:t xml:space="preserve">and </w:t>
      </w:r>
      <w:r w:rsidR="00AA2754">
        <w:t>HwF</w:t>
      </w:r>
      <w:r>
        <w:t xml:space="preserve"> calculator</w:t>
      </w:r>
      <w:r w:rsidR="34BC8D57">
        <w:t>s</w:t>
      </w:r>
      <w:r w:rsidR="00AA2754">
        <w:t xml:space="preserve"> used by staff.</w:t>
      </w:r>
    </w:p>
    <w:p w:rsidR="00871EC6" w:rsidP="009860CD" w:rsidRDefault="00871EC6" w14:paraId="4CF06067" w14:textId="0342DB38">
      <w:pPr>
        <w:pStyle w:val="EBNumber"/>
        <w:numPr>
          <w:ilvl w:val="0"/>
          <w:numId w:val="0"/>
        </w:numPr>
        <w:tabs>
          <w:tab w:val="num" w:pos="567"/>
        </w:tabs>
        <w:spacing w:after="0"/>
        <w:ind w:left="360"/>
        <w:jc w:val="both"/>
      </w:pPr>
    </w:p>
    <w:p w:rsidRPr="003E0D70" w:rsidR="009860CD" w:rsidP="009860CD" w:rsidRDefault="009860CD" w14:paraId="2AB52B92" w14:textId="77777777">
      <w:pPr>
        <w:pStyle w:val="EBNumber"/>
        <w:numPr>
          <w:ilvl w:val="0"/>
          <w:numId w:val="0"/>
        </w:numPr>
        <w:spacing w:after="0"/>
        <w:ind w:left="360" w:hanging="360"/>
        <w:rPr>
          <w:i/>
          <w:color w:val="auto"/>
        </w:rPr>
      </w:pPr>
      <w:r w:rsidRPr="003E0D70">
        <w:rPr>
          <w:i/>
          <w:color w:val="auto"/>
        </w:rPr>
        <w:t>HMCTS users, providers of legal services and support organisations</w:t>
      </w:r>
    </w:p>
    <w:p w:rsidR="009860CD" w:rsidP="009860CD" w:rsidRDefault="009860CD" w14:paraId="615C3DA1" w14:textId="77777777">
      <w:pPr>
        <w:pStyle w:val="EBNumber"/>
        <w:numPr>
          <w:ilvl w:val="0"/>
          <w:numId w:val="0"/>
        </w:numPr>
        <w:tabs>
          <w:tab w:val="num" w:pos="567"/>
        </w:tabs>
        <w:spacing w:after="0"/>
        <w:ind w:left="360"/>
        <w:jc w:val="both"/>
      </w:pPr>
    </w:p>
    <w:p w:rsidR="00964F90" w:rsidP="11642C45" w:rsidRDefault="009860CD" w14:paraId="3B256434" w14:textId="6FBFB188">
      <w:pPr>
        <w:pStyle w:val="ListParagraph"/>
        <w:numPr>
          <w:ilvl w:val="0"/>
          <w:numId w:val="29"/>
        </w:numPr>
        <w:jc w:val="both"/>
        <w:rPr>
          <w:rFonts w:cs="Arial"/>
          <w:color w:val="000000"/>
          <w:sz w:val="22"/>
          <w:szCs w:val="22"/>
          <w:lang w:eastAsia="en-GB"/>
        </w:rPr>
      </w:pPr>
      <w:r w:rsidRPr="11642C45">
        <w:rPr>
          <w:sz w:val="22"/>
          <w:szCs w:val="22"/>
        </w:rPr>
        <w:t xml:space="preserve">There </w:t>
      </w:r>
      <w:r w:rsidRPr="11642C45">
        <w:rPr>
          <w:rFonts w:cs="Arial"/>
          <w:color w:val="000000" w:themeColor="text1"/>
          <w:sz w:val="22"/>
          <w:szCs w:val="22"/>
          <w:lang w:eastAsia="en-GB"/>
        </w:rPr>
        <w:t xml:space="preserve">may be familiarisation and awareness costs incurred by individuals and legal services providers who use the court services where these fees are being changed. Support organisations, such as Citizen’s Advice and Support through Court, may also incur familiarisation costs and will need to amend any guidance and staff training documents. </w:t>
      </w:r>
    </w:p>
    <w:p w:rsidR="00964F90" w:rsidP="00964F90" w:rsidRDefault="00964F90" w14:paraId="779F2858" w14:textId="2FDBAA29">
      <w:pPr>
        <w:pStyle w:val="ListParagraph"/>
        <w:ind w:left="360"/>
        <w:jc w:val="both"/>
        <w:rPr>
          <w:rFonts w:cs="Arial"/>
          <w:bCs/>
          <w:color w:val="000000"/>
          <w:sz w:val="22"/>
          <w:szCs w:val="22"/>
          <w:lang w:eastAsia="en-GB"/>
        </w:rPr>
      </w:pPr>
    </w:p>
    <w:p w:rsidRPr="00B8427A" w:rsidR="00964F90" w:rsidP="007A535D" w:rsidRDefault="00964F90" w14:paraId="191BB9D8" w14:textId="5E3CA5F1">
      <w:pPr>
        <w:jc w:val="both"/>
        <w:rPr>
          <w:rFonts w:cs="Arial"/>
          <w:i/>
          <w:color w:val="000000"/>
          <w:sz w:val="22"/>
          <w:szCs w:val="22"/>
          <w:lang w:eastAsia="en-GB"/>
        </w:rPr>
      </w:pPr>
      <w:r w:rsidRPr="00B8427A">
        <w:rPr>
          <w:rFonts w:cs="Arial"/>
          <w:i/>
          <w:color w:val="000000"/>
          <w:sz w:val="22"/>
          <w:szCs w:val="22"/>
          <w:lang w:eastAsia="en-GB"/>
        </w:rPr>
        <w:t>UK Supreme Court</w:t>
      </w:r>
    </w:p>
    <w:p w:rsidRPr="00B8427A" w:rsidR="00964F90" w:rsidP="00B8427A" w:rsidRDefault="00964F90" w14:paraId="60DF9E8A" w14:textId="77777777">
      <w:pPr>
        <w:pStyle w:val="ListParagraph"/>
        <w:ind w:left="360"/>
        <w:jc w:val="both"/>
        <w:rPr>
          <w:rFonts w:cs="Arial"/>
          <w:color w:val="000000"/>
          <w:sz w:val="22"/>
          <w:szCs w:val="22"/>
          <w:lang w:eastAsia="en-GB"/>
        </w:rPr>
      </w:pPr>
    </w:p>
    <w:p w:rsidRPr="00B8427A" w:rsidR="00964F90" w:rsidP="11642C45" w:rsidRDefault="00964F90" w14:paraId="7E485204" w14:textId="3D8EB2A9">
      <w:pPr>
        <w:pStyle w:val="ListParagraph"/>
        <w:numPr>
          <w:ilvl w:val="0"/>
          <w:numId w:val="29"/>
        </w:numPr>
        <w:jc w:val="both"/>
        <w:rPr>
          <w:rFonts w:cs="Arial"/>
          <w:color w:val="000000"/>
          <w:sz w:val="22"/>
          <w:szCs w:val="22"/>
          <w:lang w:eastAsia="en-GB"/>
        </w:rPr>
      </w:pPr>
      <w:r w:rsidRPr="11642C45">
        <w:rPr>
          <w:sz w:val="22"/>
          <w:szCs w:val="22"/>
        </w:rPr>
        <w:t>There will be familiarisation and awareness costs to the UK Supreme Court, who will need to familiarise themselves with the revised thresholds and amend any guidance.</w:t>
      </w:r>
      <w:r w:rsidR="000A3E5B">
        <w:rPr>
          <w:sz w:val="22"/>
          <w:szCs w:val="22"/>
        </w:rPr>
        <w:t xml:space="preserve"> </w:t>
      </w:r>
      <w:r w:rsidRPr="00E66761" w:rsidR="00E66761">
        <w:rPr>
          <w:sz w:val="22"/>
          <w:szCs w:val="22"/>
        </w:rPr>
        <w:t xml:space="preserve">The costs associated with making these changes are expected to be minor.  </w:t>
      </w:r>
    </w:p>
    <w:p w:rsidRPr="009860CD" w:rsidR="000766DE" w:rsidP="009860CD" w:rsidRDefault="000766DE" w14:paraId="0348F063" w14:textId="0566B7AB">
      <w:pPr>
        <w:pStyle w:val="EBNumber"/>
        <w:numPr>
          <w:ilvl w:val="0"/>
          <w:numId w:val="0"/>
        </w:numPr>
        <w:tabs>
          <w:tab w:val="num" w:pos="567"/>
        </w:tabs>
        <w:spacing w:after="0"/>
        <w:jc w:val="both"/>
        <w:rPr>
          <w:highlight w:val="yellow"/>
        </w:rPr>
      </w:pPr>
    </w:p>
    <w:p w:rsidRPr="007537FA" w:rsidR="000766DE" w:rsidP="000766DE" w:rsidRDefault="000766DE" w14:paraId="203ABD90" w14:textId="77777777">
      <w:pPr>
        <w:pStyle w:val="EBNumber"/>
        <w:numPr>
          <w:ilvl w:val="0"/>
          <w:numId w:val="0"/>
        </w:numPr>
        <w:spacing w:after="0"/>
        <w:ind w:left="57"/>
        <w:rPr>
          <w:color w:val="auto"/>
          <w:u w:val="single"/>
        </w:rPr>
      </w:pPr>
      <w:r w:rsidRPr="007537FA">
        <w:rPr>
          <w:color w:val="auto"/>
          <w:u w:val="single"/>
        </w:rPr>
        <w:t>Ongoing costs</w:t>
      </w:r>
    </w:p>
    <w:p w:rsidRPr="005564E0" w:rsidR="000766DE" w:rsidP="000766DE" w:rsidRDefault="000766DE" w14:paraId="08870E9E" w14:textId="77777777">
      <w:pPr>
        <w:pStyle w:val="EBNumber"/>
        <w:numPr>
          <w:ilvl w:val="0"/>
          <w:numId w:val="0"/>
        </w:numPr>
        <w:spacing w:after="0"/>
        <w:ind w:left="417"/>
        <w:rPr>
          <w:b/>
          <w:color w:val="auto"/>
          <w:highlight w:val="yellow"/>
        </w:rPr>
      </w:pPr>
    </w:p>
    <w:p w:rsidRPr="007537FA" w:rsidR="000766DE" w:rsidP="000766DE" w:rsidRDefault="000766DE" w14:paraId="40486A96" w14:textId="20532B4F">
      <w:pPr>
        <w:outlineLvl w:val="4"/>
        <w:rPr>
          <w:bCs/>
          <w:i/>
          <w:iCs/>
          <w:sz w:val="22"/>
          <w:szCs w:val="26"/>
        </w:rPr>
      </w:pPr>
      <w:r>
        <w:rPr>
          <w:bCs/>
          <w:i/>
          <w:iCs/>
          <w:sz w:val="22"/>
          <w:szCs w:val="26"/>
        </w:rPr>
        <w:t>HMCTS</w:t>
      </w:r>
      <w:r w:rsidR="004E4D4F">
        <w:rPr>
          <w:bCs/>
          <w:i/>
          <w:iCs/>
          <w:sz w:val="22"/>
          <w:szCs w:val="26"/>
        </w:rPr>
        <w:t>, MoJ, Taxpayers</w:t>
      </w:r>
    </w:p>
    <w:p w:rsidRPr="007537FA" w:rsidR="000766DE" w:rsidP="000766DE" w:rsidRDefault="000766DE" w14:paraId="352DD642" w14:textId="77777777">
      <w:pPr>
        <w:outlineLvl w:val="4"/>
        <w:rPr>
          <w:bCs/>
          <w:i/>
          <w:iCs/>
          <w:sz w:val="22"/>
          <w:szCs w:val="26"/>
        </w:rPr>
      </w:pPr>
    </w:p>
    <w:p w:rsidR="006D756F" w:rsidP="00216856" w:rsidRDefault="000766DE" w14:paraId="220B1964" w14:textId="739BCE47">
      <w:pPr>
        <w:pStyle w:val="EBNumber"/>
        <w:numPr>
          <w:ilvl w:val="0"/>
          <w:numId w:val="29"/>
        </w:numPr>
        <w:tabs>
          <w:tab w:val="num" w:pos="567"/>
        </w:tabs>
        <w:jc w:val="both"/>
      </w:pPr>
      <w:r>
        <w:t xml:space="preserve">As shown in Table </w:t>
      </w:r>
      <w:r w:rsidR="005B1CBB">
        <w:t>4</w:t>
      </w:r>
      <w:r w:rsidR="00AA2754">
        <w:t xml:space="preserve"> above</w:t>
      </w:r>
      <w:r>
        <w:t xml:space="preserve">, the ongoing cost to HMCTS </w:t>
      </w:r>
      <w:r w:rsidR="004E4D4F">
        <w:t>(and therefore to the MoJ and the general taxpayer)</w:t>
      </w:r>
      <w:r>
        <w:t xml:space="preserve"> is £3m in 2021/22, rising to £</w:t>
      </w:r>
      <w:r w:rsidR="001E62DB">
        <w:t>6</w:t>
      </w:r>
      <w:r>
        <w:t>-</w:t>
      </w:r>
      <w:r w:rsidR="001E62DB">
        <w:t>7</w:t>
      </w:r>
      <w:r>
        <w:t>m per annum from 2022/23 onwards.</w:t>
      </w:r>
    </w:p>
    <w:p w:rsidRPr="006D756F" w:rsidR="006D756F" w:rsidDel="006D756F" w:rsidP="00216856" w:rsidRDefault="006D756F" w14:paraId="21983A99" w14:textId="77777777">
      <w:pPr>
        <w:pStyle w:val="EBNumber"/>
        <w:numPr>
          <w:ilvl w:val="0"/>
          <w:numId w:val="0"/>
        </w:numPr>
        <w:ind w:left="360"/>
        <w:jc w:val="both"/>
      </w:pPr>
    </w:p>
    <w:p w:rsidRPr="007537FA" w:rsidR="000766DE" w:rsidP="000766DE" w:rsidRDefault="000766DE" w14:paraId="12332CB9" w14:textId="77777777">
      <w:pPr>
        <w:pStyle w:val="IANotes"/>
        <w:rPr>
          <w:b/>
          <w:color w:val="auto"/>
        </w:rPr>
      </w:pPr>
      <w:r w:rsidRPr="007537FA">
        <w:rPr>
          <w:b/>
          <w:color w:val="auto"/>
        </w:rPr>
        <w:t>Benefits of Option 1</w:t>
      </w:r>
    </w:p>
    <w:p w:rsidRPr="007537FA" w:rsidR="000766DE" w:rsidP="000766DE" w:rsidRDefault="000766DE" w14:paraId="5047830F" w14:textId="77777777">
      <w:pPr>
        <w:pStyle w:val="IANotes"/>
        <w:rPr>
          <w:b/>
          <w:color w:val="auto"/>
          <w:sz w:val="24"/>
          <w:u w:val="single"/>
        </w:rPr>
      </w:pPr>
    </w:p>
    <w:p w:rsidR="000766DE" w:rsidP="000766DE" w:rsidRDefault="000766DE" w14:paraId="627BA5B9" w14:textId="77777777">
      <w:pPr>
        <w:pStyle w:val="IANotes"/>
        <w:rPr>
          <w:color w:val="auto"/>
          <w:szCs w:val="22"/>
          <w:u w:val="single"/>
        </w:rPr>
      </w:pPr>
      <w:r>
        <w:rPr>
          <w:color w:val="auto"/>
          <w:szCs w:val="22"/>
          <w:u w:val="single"/>
        </w:rPr>
        <w:t>Transitional Benefits</w:t>
      </w:r>
    </w:p>
    <w:p w:rsidR="000766DE" w:rsidP="000766DE" w:rsidRDefault="000766DE" w14:paraId="3C918ACA" w14:textId="77777777">
      <w:pPr>
        <w:pStyle w:val="IANotes"/>
        <w:rPr>
          <w:color w:val="auto"/>
          <w:szCs w:val="22"/>
          <w:u w:val="single"/>
        </w:rPr>
      </w:pPr>
    </w:p>
    <w:p w:rsidR="000766DE" w:rsidP="000766DE" w:rsidRDefault="000766DE" w14:paraId="36864665" w14:textId="77777777">
      <w:pPr>
        <w:pStyle w:val="EBNumber"/>
        <w:numPr>
          <w:ilvl w:val="0"/>
          <w:numId w:val="29"/>
        </w:numPr>
        <w:tabs>
          <w:tab w:val="num" w:pos="567"/>
        </w:tabs>
        <w:jc w:val="both"/>
      </w:pPr>
      <w:r>
        <w:t>No transitional benefits are expected.</w:t>
      </w:r>
    </w:p>
    <w:p w:rsidRPr="007537FA" w:rsidR="000766DE" w:rsidP="000766DE" w:rsidRDefault="000766DE" w14:paraId="58475074" w14:textId="77777777">
      <w:pPr>
        <w:pStyle w:val="IANotes"/>
        <w:spacing w:before="240"/>
        <w:rPr>
          <w:color w:val="auto"/>
          <w:szCs w:val="22"/>
          <w:u w:val="single"/>
        </w:rPr>
      </w:pPr>
      <w:r w:rsidRPr="007537FA">
        <w:rPr>
          <w:color w:val="auto"/>
          <w:szCs w:val="22"/>
          <w:u w:val="single"/>
        </w:rPr>
        <w:t>Ongoing benefits</w:t>
      </w:r>
    </w:p>
    <w:p w:rsidRPr="005564E0" w:rsidR="000766DE" w:rsidP="000766DE" w:rsidRDefault="000766DE" w14:paraId="42E66215" w14:textId="77777777">
      <w:pPr>
        <w:pStyle w:val="IANotes"/>
        <w:rPr>
          <w:b/>
          <w:color w:val="auto"/>
          <w:szCs w:val="22"/>
          <w:highlight w:val="yellow"/>
        </w:rPr>
      </w:pPr>
    </w:p>
    <w:p w:rsidRPr="007537FA" w:rsidR="000766DE" w:rsidP="000766DE" w:rsidRDefault="000766DE" w14:paraId="1B4DA7B5" w14:textId="77777777">
      <w:pPr>
        <w:pStyle w:val="EBNumber"/>
        <w:numPr>
          <w:ilvl w:val="0"/>
          <w:numId w:val="0"/>
        </w:numPr>
        <w:spacing w:after="0"/>
        <w:rPr>
          <w:i/>
          <w:color w:val="auto"/>
        </w:rPr>
      </w:pPr>
      <w:r w:rsidRPr="007537FA">
        <w:rPr>
          <w:i/>
          <w:color w:val="auto"/>
        </w:rPr>
        <w:t>Users of HMCTS services</w:t>
      </w:r>
    </w:p>
    <w:p w:rsidRPr="007537FA" w:rsidR="000766DE" w:rsidP="000766DE" w:rsidRDefault="000766DE" w14:paraId="0D2789B2" w14:textId="77777777">
      <w:pPr>
        <w:pStyle w:val="EBNumber"/>
        <w:numPr>
          <w:ilvl w:val="0"/>
          <w:numId w:val="0"/>
        </w:numPr>
        <w:spacing w:after="0"/>
        <w:ind w:left="417"/>
        <w:rPr>
          <w:i/>
          <w:color w:val="auto"/>
        </w:rPr>
      </w:pPr>
    </w:p>
    <w:p w:rsidR="000766DE" w:rsidP="009C3726" w:rsidRDefault="000766DE" w14:paraId="40DA3B52" w14:textId="4BCE1EFE">
      <w:pPr>
        <w:pStyle w:val="EBNumber"/>
        <w:numPr>
          <w:ilvl w:val="0"/>
          <w:numId w:val="29"/>
        </w:numPr>
        <w:tabs>
          <w:tab w:val="num" w:pos="567"/>
        </w:tabs>
        <w:jc w:val="both"/>
      </w:pPr>
      <w:bookmarkStart w:name="_Ref442350960" w:id="34"/>
      <w:r>
        <w:t>As a result of the fee changes, we estimate that HMCTS users will benefit by around £3m in 2020/21, the first six months of the fee change, and £</w:t>
      </w:r>
      <w:r w:rsidR="001E62DB">
        <w:t>6</w:t>
      </w:r>
      <w:r>
        <w:t>m-£</w:t>
      </w:r>
      <w:r w:rsidR="001E62DB">
        <w:t>7</w:t>
      </w:r>
      <w:r>
        <w:t xml:space="preserve">m </w:t>
      </w:r>
      <w:bookmarkEnd w:id="34"/>
      <w:r>
        <w:t>from 2022/23 onwards.</w:t>
      </w:r>
    </w:p>
    <w:p w:rsidRPr="00E42A2B" w:rsidR="000766DE" w:rsidP="000766DE" w:rsidRDefault="000766DE" w14:paraId="0F228179" w14:textId="77777777">
      <w:pPr>
        <w:rPr>
          <w:rStyle w:val="EBNumberCharChar"/>
        </w:rPr>
      </w:pPr>
    </w:p>
    <w:p w:rsidRPr="00E42A2B" w:rsidR="000766DE" w:rsidP="000766DE" w:rsidRDefault="000766DE" w14:paraId="39CDB9C7" w14:textId="77777777">
      <w:pPr>
        <w:pStyle w:val="IANotes"/>
        <w:numPr>
          <w:ilvl w:val="0"/>
          <w:numId w:val="31"/>
        </w:numPr>
        <w:spacing w:before="120"/>
        <w:ind w:left="720" w:hanging="720"/>
        <w:rPr>
          <w:b/>
          <w:color w:val="auto"/>
          <w:sz w:val="28"/>
          <w:szCs w:val="28"/>
        </w:rPr>
      </w:pPr>
      <w:bookmarkStart w:name="_Hlk500749408" w:id="35"/>
      <w:bookmarkEnd w:id="30"/>
      <w:bookmarkEnd w:id="31"/>
      <w:bookmarkEnd w:id="32"/>
      <w:bookmarkEnd w:id="33"/>
      <w:r w:rsidRPr="00E42A2B">
        <w:rPr>
          <w:b/>
          <w:color w:val="auto"/>
          <w:sz w:val="28"/>
          <w:szCs w:val="28"/>
        </w:rPr>
        <w:t xml:space="preserve">Risks and </w:t>
      </w:r>
      <w:r>
        <w:rPr>
          <w:b/>
          <w:color w:val="auto"/>
          <w:sz w:val="28"/>
          <w:szCs w:val="28"/>
        </w:rPr>
        <w:t>Sensitivity A</w:t>
      </w:r>
      <w:r w:rsidRPr="00E42A2B">
        <w:rPr>
          <w:b/>
          <w:color w:val="auto"/>
          <w:sz w:val="28"/>
          <w:szCs w:val="28"/>
        </w:rPr>
        <w:t>nalysis</w:t>
      </w:r>
      <w:bookmarkEnd w:id="35"/>
    </w:p>
    <w:p w:rsidR="000766DE" w:rsidP="000766DE" w:rsidRDefault="000766DE" w14:paraId="245CD153" w14:textId="77777777">
      <w:pPr>
        <w:pStyle w:val="EBNumber"/>
        <w:numPr>
          <w:ilvl w:val="0"/>
          <w:numId w:val="0"/>
        </w:numPr>
        <w:rPr>
          <w:i/>
        </w:rPr>
      </w:pPr>
    </w:p>
    <w:p w:rsidRPr="00064D0F" w:rsidR="000766DE" w:rsidP="000171D3" w:rsidRDefault="00E07754" w14:paraId="17D72250" w14:textId="535AD06D">
      <w:pPr>
        <w:pStyle w:val="EBNumber"/>
        <w:numPr>
          <w:ilvl w:val="0"/>
          <w:numId w:val="29"/>
        </w:numPr>
      </w:pPr>
      <w:r>
        <w:t xml:space="preserve">The main risks </w:t>
      </w:r>
      <w:r w:rsidR="00CF4BFE">
        <w:t xml:space="preserve">associated with this analysis are </w:t>
      </w:r>
      <w:r w:rsidRPr="002229A5" w:rsidR="00CF4BFE">
        <w:t>discussed in paragraph</w:t>
      </w:r>
      <w:r w:rsidRPr="002229A5" w:rsidR="00892EB6">
        <w:t xml:space="preserve"> 3</w:t>
      </w:r>
      <w:r w:rsidRPr="002229A5" w:rsidR="0071396D">
        <w:t>5</w:t>
      </w:r>
      <w:r w:rsidRPr="002229A5" w:rsidR="00CF4BFE">
        <w:t xml:space="preserve"> above. We have not conducted sensitivity analysis and have chosen instead to model the impact of uncertainty</w:t>
      </w:r>
      <w:r w:rsidR="00CF4BFE">
        <w:t xml:space="preserve"> via the use of optimism bias.  </w:t>
      </w:r>
    </w:p>
    <w:p w:rsidRPr="00A02E42" w:rsidR="000766DE" w:rsidP="000766DE" w:rsidRDefault="000766DE" w14:paraId="334C23A4" w14:textId="77777777">
      <w:pPr>
        <w:pStyle w:val="IANotes"/>
        <w:numPr>
          <w:ilvl w:val="0"/>
          <w:numId w:val="31"/>
        </w:numPr>
        <w:spacing w:before="240"/>
        <w:ind w:left="720" w:hanging="720"/>
        <w:rPr>
          <w:b/>
          <w:sz w:val="28"/>
          <w:szCs w:val="28"/>
        </w:rPr>
      </w:pPr>
      <w:r w:rsidRPr="00A02E42">
        <w:rPr>
          <w:b/>
          <w:color w:val="auto"/>
          <w:sz w:val="28"/>
          <w:szCs w:val="28"/>
        </w:rPr>
        <w:t>Enforcement and Implementation</w:t>
      </w:r>
    </w:p>
    <w:p w:rsidRPr="00A02E42" w:rsidR="000766DE" w:rsidP="000766DE" w:rsidRDefault="000766DE" w14:paraId="0B00167C" w14:textId="77777777">
      <w:pPr>
        <w:pStyle w:val="IANotes"/>
        <w:tabs>
          <w:tab w:val="num" w:pos="360"/>
        </w:tabs>
        <w:ind w:left="357" w:hanging="357"/>
        <w:rPr>
          <w:b/>
          <w:sz w:val="28"/>
          <w:szCs w:val="28"/>
        </w:rPr>
      </w:pPr>
    </w:p>
    <w:p w:rsidRPr="00A02E42" w:rsidR="00C5219F" w:rsidP="00DA1CCF" w:rsidRDefault="000766DE" w14:paraId="357D0CD2" w14:textId="7635A00D">
      <w:pPr>
        <w:pStyle w:val="EBNumber"/>
        <w:numPr>
          <w:ilvl w:val="0"/>
          <w:numId w:val="29"/>
        </w:numPr>
        <w:tabs>
          <w:tab w:val="num" w:pos="567"/>
        </w:tabs>
        <w:jc w:val="both"/>
      </w:pPr>
      <w:r>
        <w:t xml:space="preserve">A </w:t>
      </w:r>
      <w:r w:rsidR="000621ED">
        <w:t>HwF</w:t>
      </w:r>
      <w:r>
        <w:t xml:space="preserve"> application is required at each stage of the case where a fee is payable including where a hearing fee may be applicable. The applicant can apply to get some, or all of their money back if they</w:t>
      </w:r>
      <w:r w:rsidR="00176AB5">
        <w:t xml:space="preserve"> hav</w:t>
      </w:r>
      <w:r>
        <w:t>e paid a fee in the last 3 months. However, the applicant must have been eligible when they paid the fee.</w:t>
      </w:r>
    </w:p>
    <w:bookmarkEnd w:id="26"/>
    <w:bookmarkEnd w:id="27"/>
    <w:p w:rsidRPr="00A02E42" w:rsidR="000766DE" w:rsidP="000766DE" w:rsidRDefault="004114E3" w14:paraId="37803439" w14:textId="547334D8">
      <w:pPr>
        <w:pStyle w:val="IANotes"/>
        <w:numPr>
          <w:ilvl w:val="0"/>
          <w:numId w:val="31"/>
        </w:numPr>
        <w:spacing w:before="240"/>
        <w:ind w:left="720" w:hanging="720"/>
        <w:rPr>
          <w:b/>
          <w:color w:val="auto"/>
          <w:sz w:val="28"/>
          <w:szCs w:val="28"/>
        </w:rPr>
      </w:pPr>
      <w:r>
        <w:rPr>
          <w:b/>
          <w:color w:val="auto"/>
          <w:sz w:val="28"/>
          <w:szCs w:val="28"/>
        </w:rPr>
        <w:t>Wider Impacts</w:t>
      </w:r>
    </w:p>
    <w:p w:rsidRPr="00A02E42" w:rsidR="000766DE" w:rsidP="000766DE" w:rsidRDefault="000766DE" w14:paraId="4C6043FA" w14:textId="08200E3B">
      <w:pPr>
        <w:pStyle w:val="EBNumber"/>
        <w:numPr>
          <w:ilvl w:val="0"/>
          <w:numId w:val="0"/>
        </w:numPr>
        <w:spacing w:after="0"/>
      </w:pPr>
    </w:p>
    <w:p w:rsidR="00E6375C" w:rsidP="00E6375C" w:rsidRDefault="00E6375C" w14:paraId="251378E2" w14:textId="77777777">
      <w:pPr>
        <w:pStyle w:val="EBNumber"/>
        <w:numPr>
          <w:ilvl w:val="0"/>
          <w:numId w:val="0"/>
        </w:numPr>
        <w:spacing w:before="360"/>
        <w:jc w:val="both"/>
        <w:rPr>
          <w:b/>
        </w:rPr>
      </w:pPr>
      <w:r w:rsidRPr="00B15AA2">
        <w:rPr>
          <w:b/>
        </w:rPr>
        <w:t>Equality impacts</w:t>
      </w:r>
    </w:p>
    <w:p w:rsidR="00E6375C" w:rsidP="00E6375C" w:rsidRDefault="00E6375C" w14:paraId="77113EDB" w14:textId="458BCFCF">
      <w:pPr>
        <w:pStyle w:val="EBNumber"/>
        <w:numPr>
          <w:ilvl w:val="0"/>
          <w:numId w:val="29"/>
        </w:numPr>
        <w:tabs>
          <w:tab w:val="num" w:pos="567"/>
        </w:tabs>
        <w:spacing w:before="240"/>
        <w:jc w:val="both"/>
      </w:pPr>
      <w:r>
        <w:t>A separate equalities assessment has been produced for the options assessed in this IA.</w:t>
      </w:r>
    </w:p>
    <w:p w:rsidRPr="00B15AA2" w:rsidR="000766DE" w:rsidP="00E6375C" w:rsidRDefault="000766DE" w14:paraId="6BA53FB5" w14:textId="77777777">
      <w:pPr>
        <w:pStyle w:val="EBNumber"/>
        <w:numPr>
          <w:ilvl w:val="0"/>
          <w:numId w:val="0"/>
        </w:numPr>
        <w:spacing w:before="360"/>
        <w:jc w:val="both"/>
      </w:pPr>
      <w:r w:rsidRPr="00B15AA2">
        <w:rPr>
          <w:b/>
        </w:rPr>
        <w:t xml:space="preserve">Better Regulation </w:t>
      </w:r>
    </w:p>
    <w:p w:rsidRPr="005B5703" w:rsidR="000766DE" w:rsidP="0025548E" w:rsidRDefault="000766DE" w14:paraId="3F937C79" w14:textId="77777777">
      <w:pPr>
        <w:pStyle w:val="EBNumber"/>
        <w:numPr>
          <w:ilvl w:val="0"/>
          <w:numId w:val="29"/>
        </w:numPr>
        <w:tabs>
          <w:tab w:val="num" w:pos="567"/>
        </w:tabs>
        <w:spacing w:before="240"/>
        <w:jc w:val="both"/>
      </w:pPr>
      <w:r>
        <w:t xml:space="preserve">This measure is not classed as a regulatory provision under the Small Business Enterprise and Employment Act 2015 and so does not score against the department’s business impact target. </w:t>
      </w:r>
    </w:p>
    <w:p w:rsidRPr="0025548E" w:rsidR="0025548E" w:rsidP="0025548E" w:rsidRDefault="0025548E" w14:paraId="7CF8569D" w14:textId="782E5367">
      <w:pPr>
        <w:pStyle w:val="EBNumber"/>
        <w:numPr>
          <w:ilvl w:val="0"/>
          <w:numId w:val="31"/>
        </w:numPr>
        <w:spacing w:before="240"/>
        <w:jc w:val="both"/>
      </w:pPr>
      <w:r w:rsidRPr="0025548E">
        <w:rPr>
          <w:b/>
          <w:color w:val="auto"/>
          <w:sz w:val="28"/>
          <w:szCs w:val="28"/>
        </w:rPr>
        <w:t xml:space="preserve">Monitoring and Evaluation </w:t>
      </w:r>
    </w:p>
    <w:p w:rsidRPr="00A02E42" w:rsidR="0025548E" w:rsidP="0025548E" w:rsidRDefault="0025548E" w14:paraId="5E1FB726" w14:textId="77777777">
      <w:pPr>
        <w:pStyle w:val="EBNumber"/>
        <w:numPr>
          <w:ilvl w:val="0"/>
          <w:numId w:val="0"/>
        </w:numPr>
        <w:spacing w:after="0"/>
      </w:pPr>
    </w:p>
    <w:p w:rsidR="0025548E" w:rsidP="0025548E" w:rsidRDefault="0025548E" w14:paraId="01C21F39" w14:textId="4E3EE0CC">
      <w:pPr>
        <w:pStyle w:val="EBNumber"/>
        <w:numPr>
          <w:ilvl w:val="0"/>
          <w:numId w:val="29"/>
        </w:numPr>
        <w:tabs>
          <w:tab w:val="num" w:pos="567"/>
        </w:tabs>
        <w:jc w:val="both"/>
      </w:pPr>
      <w:r>
        <w:t xml:space="preserve">Help with Fee awards will be monitored using HwF Management Information. </w:t>
      </w:r>
    </w:p>
    <w:p w:rsidRPr="005B5703" w:rsidR="0025548E" w:rsidP="000171D3" w:rsidRDefault="0025548E" w14:paraId="5D57B233" w14:textId="77777777">
      <w:pPr>
        <w:pStyle w:val="EBNumber"/>
        <w:numPr>
          <w:ilvl w:val="0"/>
          <w:numId w:val="0"/>
        </w:numPr>
        <w:tabs>
          <w:tab w:val="num" w:pos="567"/>
        </w:tabs>
        <w:spacing w:before="240"/>
        <w:ind w:left="502"/>
        <w:jc w:val="both"/>
      </w:pPr>
    </w:p>
    <w:p w:rsidRPr="00A02E42" w:rsidR="00E6375C" w:rsidP="000766DE" w:rsidRDefault="00E6375C" w14:paraId="50CEB570" w14:textId="77777777">
      <w:pPr>
        <w:pStyle w:val="EBNumber"/>
        <w:numPr>
          <w:ilvl w:val="0"/>
          <w:numId w:val="0"/>
        </w:numPr>
        <w:spacing w:after="0"/>
      </w:pPr>
    </w:p>
    <w:p w:rsidR="000766DE" w:rsidP="000766DE" w:rsidRDefault="000766DE" w14:paraId="373C7E63" w14:textId="77777777">
      <w:pPr>
        <w:rPr>
          <w:b/>
        </w:rPr>
      </w:pPr>
    </w:p>
    <w:p w:rsidR="000766DE" w:rsidP="000766DE" w:rsidRDefault="000766DE" w14:paraId="26C970C9" w14:textId="77777777">
      <w:pPr>
        <w:rPr>
          <w:b/>
        </w:rPr>
      </w:pPr>
      <w:r>
        <w:rPr>
          <w:b/>
        </w:rPr>
        <w:br w:type="page"/>
      </w:r>
      <w:r>
        <w:rPr>
          <w:b/>
        </w:rPr>
        <w:t>A</w:t>
      </w:r>
      <w:r w:rsidRPr="000B5655">
        <w:rPr>
          <w:b/>
        </w:rPr>
        <w:t>nnex A:</w:t>
      </w:r>
      <w:r>
        <w:rPr>
          <w:b/>
        </w:rPr>
        <w:t xml:space="preserve"> Disregarded Benefits </w:t>
      </w:r>
    </w:p>
    <w:p w:rsidRPr="00CC7269" w:rsidR="000766DE" w:rsidP="000766DE" w:rsidRDefault="000766DE" w14:paraId="18F89A2D" w14:textId="77777777">
      <w:pPr>
        <w:spacing w:before="120" w:after="120"/>
        <w:jc w:val="both"/>
        <w:rPr>
          <w:rFonts w:cs="Arial"/>
          <w:b/>
        </w:rPr>
      </w:pPr>
    </w:p>
    <w:p w:rsidRPr="000E630E" w:rsidR="000766DE" w:rsidP="000766DE" w:rsidRDefault="000766DE" w14:paraId="143F6AF2"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Armed Forces Independence Payment (AFIP)</w:t>
      </w:r>
    </w:p>
    <w:p w:rsidRPr="000E630E" w:rsidR="000766DE" w:rsidP="000766DE" w:rsidRDefault="000766DE" w14:paraId="5FF67B09"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Attendance Allowance</w:t>
      </w:r>
    </w:p>
    <w:p w:rsidRPr="000E630E" w:rsidR="000766DE" w:rsidP="000766DE" w:rsidRDefault="000766DE" w14:paraId="0DDB0028"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Back to Work Bonus</w:t>
      </w:r>
    </w:p>
    <w:p w:rsidRPr="000E630E" w:rsidR="000766DE" w:rsidP="000766DE" w:rsidRDefault="000766DE" w14:paraId="25A1C9FC"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Bereavement Allowance</w:t>
      </w:r>
    </w:p>
    <w:p w:rsidRPr="000E630E" w:rsidR="000766DE" w:rsidP="000766DE" w:rsidRDefault="000766DE" w14:paraId="4ACE9F04"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Budgeting Advances paid under Universal Credit</w:t>
      </w:r>
    </w:p>
    <w:p w:rsidRPr="000E630E" w:rsidR="000766DE" w:rsidP="000766DE" w:rsidRDefault="000766DE" w14:paraId="73B72774"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Budgeting Loan</w:t>
      </w:r>
    </w:p>
    <w:p w:rsidRPr="000E630E" w:rsidR="000766DE" w:rsidP="000766DE" w:rsidRDefault="000766DE" w14:paraId="54718686"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Carer’s Allowance</w:t>
      </w:r>
    </w:p>
    <w:p w:rsidRPr="000E630E" w:rsidR="000766DE" w:rsidP="000766DE" w:rsidRDefault="000766DE" w14:paraId="2242A669"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Carer Element of Universal Credit</w:t>
      </w:r>
    </w:p>
    <w:p w:rsidRPr="000E630E" w:rsidR="000766DE" w:rsidP="000766DE" w:rsidRDefault="000766DE" w14:paraId="71F6DAEA"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Childcare Element of Working Tax Credit</w:t>
      </w:r>
    </w:p>
    <w:p w:rsidRPr="000E630E" w:rsidR="000766DE" w:rsidP="000766DE" w:rsidRDefault="000766DE" w14:paraId="26393BDE"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Childcare Element of Universal Credit</w:t>
      </w:r>
    </w:p>
    <w:p w:rsidRPr="000E630E" w:rsidR="000766DE" w:rsidP="000766DE" w:rsidRDefault="000766DE" w14:paraId="7CBA8D09"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Cold Weather Payment</w:t>
      </w:r>
    </w:p>
    <w:p w:rsidRPr="000E630E" w:rsidR="000766DE" w:rsidP="000766DE" w:rsidRDefault="000766DE" w14:paraId="1BC186DC"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Constant Attendance Allowance</w:t>
      </w:r>
    </w:p>
    <w:p w:rsidRPr="000E630E" w:rsidR="000766DE" w:rsidP="000766DE" w:rsidRDefault="000766DE" w14:paraId="6A5F71AC"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 xml:space="preserve">Direct payments made under Community Care, Services for Carer and Children’s Services </w:t>
      </w:r>
    </w:p>
    <w:p w:rsidRPr="000E630E" w:rsidR="000766DE" w:rsidP="000766DE" w:rsidRDefault="000766DE" w14:paraId="6A98C5D3"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Disability Living Allowance (DLA)</w:t>
      </w:r>
    </w:p>
    <w:p w:rsidRPr="000E630E" w:rsidR="000766DE" w:rsidP="000766DE" w:rsidRDefault="000766DE" w14:paraId="01EA108A"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Disabled and Severely Disabled elements of Child Tax Credit</w:t>
      </w:r>
    </w:p>
    <w:p w:rsidRPr="000E630E" w:rsidR="000766DE" w:rsidP="000766DE" w:rsidRDefault="000766DE" w14:paraId="0B892C4B"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Disabled and Severely Disabled Child elements of Working Tax Credit</w:t>
      </w:r>
    </w:p>
    <w:p w:rsidRPr="000E630E" w:rsidR="000766DE" w:rsidP="000766DE" w:rsidRDefault="000766DE" w14:paraId="2874E888"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Disabled and Severely Disabled Child elements of Universal Credit</w:t>
      </w:r>
    </w:p>
    <w:p w:rsidRPr="000E630E" w:rsidR="000766DE" w:rsidP="000766DE" w:rsidRDefault="000766DE" w14:paraId="2809651E"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Exceptionally Severe Disablement Allowance</w:t>
      </w:r>
    </w:p>
    <w:p w:rsidRPr="000E630E" w:rsidR="000766DE" w:rsidP="000766DE" w:rsidRDefault="000766DE" w14:paraId="0B78F194"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Financial support under an agreement for the foster care of a child 14</w:t>
      </w:r>
    </w:p>
    <w:p w:rsidRPr="000E630E" w:rsidR="000766DE" w:rsidP="000766DE" w:rsidRDefault="000766DE" w14:paraId="39D8630A"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Funeral Payment</w:t>
      </w:r>
    </w:p>
    <w:p w:rsidRPr="000E630E" w:rsidR="000766DE" w:rsidP="000766DE" w:rsidRDefault="000766DE" w14:paraId="3D5C5588"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Housing Benefit</w:t>
      </w:r>
    </w:p>
    <w:p w:rsidRPr="000E630E" w:rsidR="000766DE" w:rsidP="000766DE" w:rsidRDefault="000766DE" w14:paraId="1A4A0AF1"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Housing Credit Element of Pension Credit</w:t>
      </w:r>
    </w:p>
    <w:p w:rsidRPr="000E630E" w:rsidR="000766DE" w:rsidP="000766DE" w:rsidRDefault="000766DE" w14:paraId="25926C6F"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Housing Element of Universal Credit</w:t>
      </w:r>
    </w:p>
    <w:p w:rsidRPr="000E630E" w:rsidR="000766DE" w:rsidP="000766DE" w:rsidRDefault="000766DE" w14:paraId="7D56B098"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Industrial Injuries Disablement Benefit</w:t>
      </w:r>
    </w:p>
    <w:p w:rsidRPr="000E630E" w:rsidR="000766DE" w:rsidP="000766DE" w:rsidRDefault="000766DE" w14:paraId="01C1A1FF"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Independent Living Fund payments</w:t>
      </w:r>
    </w:p>
    <w:p w:rsidRPr="000E630E" w:rsidR="000766DE" w:rsidP="000766DE" w:rsidRDefault="000766DE" w14:paraId="7C7060F7"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Limited Capability for Work Element of Universal Credit</w:t>
      </w:r>
    </w:p>
    <w:p w:rsidRPr="000E630E" w:rsidR="000766DE" w:rsidP="000766DE" w:rsidRDefault="000766DE" w14:paraId="7E44DFD0"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Personal Independence Payment (PIP)</w:t>
      </w:r>
    </w:p>
    <w:p w:rsidRPr="000E630E" w:rsidR="000766DE" w:rsidP="000766DE" w:rsidRDefault="000766DE" w14:paraId="334B17B0"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Any pension paid under the Naval, Military and Air forces etc (Disablement and Death) service Pension Order 2006</w:t>
      </w:r>
    </w:p>
    <w:p w:rsidRPr="000E630E" w:rsidR="000766DE" w:rsidP="000766DE" w:rsidRDefault="000766DE" w14:paraId="62D88EC8"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Severe Disablement Allowance</w:t>
      </w:r>
    </w:p>
    <w:p w:rsidRPr="000E630E" w:rsidR="000766DE" w:rsidP="000766DE" w:rsidRDefault="000766DE" w14:paraId="28EA7250"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Short Term Benefit Advances (STBAs)</w:t>
      </w:r>
    </w:p>
    <w:p w:rsidRPr="000E630E" w:rsidR="000766DE" w:rsidP="000766DE" w:rsidRDefault="000766DE" w14:paraId="453030DE" w14:textId="77777777">
      <w:pPr>
        <w:pStyle w:val="ListParagraph"/>
        <w:numPr>
          <w:ilvl w:val="0"/>
          <w:numId w:val="33"/>
        </w:numPr>
        <w:spacing w:before="120" w:after="120"/>
        <w:contextualSpacing w:val="0"/>
        <w:jc w:val="both"/>
        <w:rPr>
          <w:rFonts w:cs="Arial"/>
          <w:sz w:val="22"/>
          <w:szCs w:val="22"/>
        </w:rPr>
      </w:pPr>
      <w:r w:rsidRPr="000E630E">
        <w:rPr>
          <w:rFonts w:cs="Arial"/>
          <w:sz w:val="22"/>
          <w:szCs w:val="22"/>
        </w:rPr>
        <w:t>Universal Credit Advances</w:t>
      </w:r>
    </w:p>
    <w:p w:rsidRPr="000E630E" w:rsidR="000766DE" w:rsidP="000766DE" w:rsidRDefault="000766DE" w14:paraId="64CF8B43" w14:textId="4D752D40">
      <w:pPr>
        <w:pStyle w:val="ListParagraph"/>
        <w:numPr>
          <w:ilvl w:val="0"/>
          <w:numId w:val="33"/>
        </w:numPr>
        <w:spacing w:before="120" w:after="120"/>
        <w:contextualSpacing w:val="0"/>
        <w:jc w:val="both"/>
        <w:rPr>
          <w:rFonts w:cs="Arial"/>
          <w:sz w:val="22"/>
          <w:szCs w:val="22"/>
        </w:rPr>
      </w:pPr>
      <w:r w:rsidRPr="000E630E">
        <w:rPr>
          <w:rFonts w:cs="Arial"/>
          <w:sz w:val="22"/>
          <w:szCs w:val="22"/>
        </w:rPr>
        <w:t>Widowed Parent’s Allowance</w:t>
      </w:r>
    </w:p>
    <w:p w:rsidR="00CF0E6A" w:rsidRDefault="00CF0E6A" w14:paraId="2355CDB0" w14:textId="77777777">
      <w:pPr>
        <w:rPr>
          <w:rFonts w:cs="Arial"/>
        </w:rPr>
      </w:pPr>
      <w:r>
        <w:rPr>
          <w:rFonts w:cs="Arial"/>
        </w:rPr>
        <w:br w:type="page"/>
      </w:r>
    </w:p>
    <w:p w:rsidRPr="000E630E" w:rsidR="00F467B7" w:rsidP="00CF0E6A" w:rsidRDefault="00CF0E6A" w14:paraId="6AEB390E" w14:textId="63843FF6">
      <w:pPr>
        <w:pStyle w:val="EBNumber"/>
        <w:numPr>
          <w:ilvl w:val="0"/>
          <w:numId w:val="0"/>
        </w:numPr>
        <w:spacing w:after="0"/>
        <w:ind w:left="360"/>
        <w:rPr>
          <w:b/>
          <w:sz w:val="24"/>
          <w:szCs w:val="24"/>
        </w:rPr>
      </w:pPr>
      <w:r w:rsidRPr="000E630E">
        <w:rPr>
          <w:b/>
          <w:sz w:val="24"/>
          <w:szCs w:val="24"/>
        </w:rPr>
        <w:t xml:space="preserve">Annex </w:t>
      </w:r>
      <w:r w:rsidR="009F57DD">
        <w:rPr>
          <w:b/>
          <w:sz w:val="24"/>
          <w:szCs w:val="24"/>
        </w:rPr>
        <w:t>B</w:t>
      </w:r>
      <w:r w:rsidRPr="000E630E">
        <w:rPr>
          <w:b/>
          <w:sz w:val="24"/>
          <w:szCs w:val="24"/>
        </w:rPr>
        <w:t xml:space="preserve">: </w:t>
      </w:r>
      <w:r w:rsidRPr="000E630E" w:rsidR="00026537">
        <w:rPr>
          <w:b/>
          <w:sz w:val="24"/>
          <w:szCs w:val="24"/>
        </w:rPr>
        <w:t xml:space="preserve">Modelling the </w:t>
      </w:r>
      <w:r w:rsidR="000E630E">
        <w:rPr>
          <w:b/>
          <w:sz w:val="24"/>
          <w:szCs w:val="24"/>
        </w:rPr>
        <w:t>i</w:t>
      </w:r>
      <w:r w:rsidRPr="000E630E" w:rsidR="00026537">
        <w:rPr>
          <w:b/>
          <w:sz w:val="24"/>
          <w:szCs w:val="24"/>
        </w:rPr>
        <w:t xml:space="preserve">ncrease in </w:t>
      </w:r>
      <w:r w:rsidR="000E630E">
        <w:rPr>
          <w:b/>
          <w:sz w:val="24"/>
          <w:szCs w:val="24"/>
        </w:rPr>
        <w:t>f</w:t>
      </w:r>
      <w:r w:rsidRPr="000E630E" w:rsidR="00026537">
        <w:rPr>
          <w:b/>
          <w:sz w:val="24"/>
          <w:szCs w:val="24"/>
        </w:rPr>
        <w:t xml:space="preserve">ee </w:t>
      </w:r>
      <w:r w:rsidR="000E630E">
        <w:rPr>
          <w:b/>
          <w:sz w:val="24"/>
          <w:szCs w:val="24"/>
        </w:rPr>
        <w:t>i</w:t>
      </w:r>
      <w:r w:rsidRPr="000E630E" w:rsidR="00026537">
        <w:rPr>
          <w:b/>
          <w:sz w:val="24"/>
          <w:szCs w:val="24"/>
        </w:rPr>
        <w:t xml:space="preserve">ncome </w:t>
      </w:r>
      <w:r w:rsidR="000E630E">
        <w:rPr>
          <w:b/>
          <w:sz w:val="24"/>
          <w:szCs w:val="24"/>
        </w:rPr>
        <w:t>r</w:t>
      </w:r>
      <w:r w:rsidRPr="000E630E" w:rsidR="00026537">
        <w:rPr>
          <w:b/>
          <w:sz w:val="24"/>
          <w:szCs w:val="24"/>
        </w:rPr>
        <w:t>emitted</w:t>
      </w:r>
    </w:p>
    <w:p w:rsidR="00F467B7" w:rsidP="00CF0E6A" w:rsidRDefault="00F467B7" w14:paraId="7D8964CE" w14:textId="1AED270D">
      <w:pPr>
        <w:pStyle w:val="EBNumber"/>
        <w:numPr>
          <w:ilvl w:val="0"/>
          <w:numId w:val="0"/>
        </w:numPr>
        <w:spacing w:after="0"/>
        <w:ind w:left="360"/>
        <w:rPr>
          <w:u w:val="single"/>
        </w:rPr>
      </w:pPr>
    </w:p>
    <w:p w:rsidRPr="000171D3" w:rsidR="00F467B7" w:rsidP="00CF0E6A" w:rsidRDefault="00F467B7" w14:paraId="16FFED13" w14:textId="6396AEE2">
      <w:pPr>
        <w:pStyle w:val="EBNumber"/>
        <w:numPr>
          <w:ilvl w:val="0"/>
          <w:numId w:val="0"/>
        </w:numPr>
        <w:spacing w:after="0"/>
        <w:ind w:left="360"/>
      </w:pPr>
      <w:r w:rsidRPr="000171D3">
        <w:t xml:space="preserve">This </w:t>
      </w:r>
      <w:r w:rsidR="00664979">
        <w:t>A</w:t>
      </w:r>
      <w:r w:rsidRPr="000171D3">
        <w:t xml:space="preserve">nnex provides more details on the DWP data used to estimate the change in fee income remitted between Option </w:t>
      </w:r>
      <w:r w:rsidR="00026537">
        <w:t>0</w:t>
      </w:r>
      <w:r w:rsidRPr="000171D3">
        <w:t xml:space="preserve"> and Option </w:t>
      </w:r>
      <w:r w:rsidR="00026537">
        <w:t>1</w:t>
      </w:r>
      <w:r w:rsidRPr="000171D3">
        <w:t xml:space="preserve"> and more details on how the data is weighted to make it more representative of court users.</w:t>
      </w:r>
    </w:p>
    <w:p w:rsidR="00F467B7" w:rsidP="00CF0E6A" w:rsidRDefault="00F467B7" w14:paraId="4D87FBCD" w14:textId="77777777">
      <w:pPr>
        <w:pStyle w:val="EBNumber"/>
        <w:numPr>
          <w:ilvl w:val="0"/>
          <w:numId w:val="0"/>
        </w:numPr>
        <w:spacing w:after="0"/>
        <w:ind w:left="360"/>
        <w:rPr>
          <w:u w:val="single"/>
        </w:rPr>
      </w:pPr>
    </w:p>
    <w:p w:rsidR="00CF0E6A" w:rsidP="00026537" w:rsidRDefault="00CF0E6A" w14:paraId="5C361DF0" w14:textId="5CE0865D">
      <w:pPr>
        <w:pStyle w:val="EBNumber"/>
        <w:numPr>
          <w:ilvl w:val="0"/>
          <w:numId w:val="0"/>
        </w:numPr>
        <w:spacing w:after="0"/>
        <w:ind w:left="360"/>
        <w:rPr>
          <w:u w:val="single"/>
        </w:rPr>
      </w:pPr>
      <w:r>
        <w:rPr>
          <w:u w:val="single"/>
        </w:rPr>
        <w:t xml:space="preserve"> </w:t>
      </w:r>
    </w:p>
    <w:p w:rsidR="00CF0E6A" w:rsidP="00CF0E6A" w:rsidRDefault="00CF0E6A" w14:paraId="2DC09FD2" w14:textId="0056B1FE">
      <w:pPr>
        <w:pStyle w:val="EBNumber"/>
        <w:numPr>
          <w:ilvl w:val="0"/>
          <w:numId w:val="0"/>
        </w:numPr>
        <w:spacing w:after="0"/>
        <w:ind w:left="360"/>
        <w:rPr>
          <w:u w:val="single"/>
        </w:rPr>
      </w:pPr>
      <w:r>
        <w:rPr>
          <w:u w:val="single"/>
        </w:rPr>
        <w:t>DWP Income and Benefits Data</w:t>
      </w:r>
    </w:p>
    <w:p w:rsidR="00CF0E6A" w:rsidP="00CF0E6A" w:rsidRDefault="00CF0E6A" w14:paraId="51C00EAF" w14:textId="77777777">
      <w:pPr>
        <w:pStyle w:val="EBNumber"/>
        <w:numPr>
          <w:ilvl w:val="0"/>
          <w:numId w:val="0"/>
        </w:numPr>
        <w:spacing w:after="0"/>
        <w:ind w:left="360"/>
        <w:rPr>
          <w:u w:val="single"/>
        </w:rPr>
      </w:pPr>
    </w:p>
    <w:p w:rsidR="00CF0E6A" w:rsidP="00026537" w:rsidRDefault="00CF0E6A" w14:paraId="50002FC8" w14:textId="77777777">
      <w:pPr>
        <w:pStyle w:val="EBNumber"/>
        <w:numPr>
          <w:ilvl w:val="1"/>
          <w:numId w:val="29"/>
        </w:numPr>
        <w:jc w:val="both"/>
      </w:pPr>
      <w:r>
        <w:t xml:space="preserve">The DWP Policy Simulation Model (PSM) is a household dataset giving detailed information on household composition, earnings, other income, and benefits. It is representative of the general population. The PSM is based upon the 2017/18 Family Resources Survey but gives information on income and benefits in 2022/23 prices. </w:t>
      </w:r>
    </w:p>
    <w:p w:rsidR="00CF0E6A" w:rsidP="00CF40DA" w:rsidRDefault="00CF0E6A" w14:paraId="3235EE30" w14:textId="4F853EDE">
      <w:pPr>
        <w:pStyle w:val="EBNumber"/>
        <w:numPr>
          <w:ilvl w:val="1"/>
          <w:numId w:val="29"/>
        </w:numPr>
        <w:jc w:val="both"/>
      </w:pPr>
      <w:r>
        <w:t xml:space="preserve">The information on households’ income and benefits is prior to the Covid-19 pandemic and so it is likely that the number of households in receipt of Universal Credit has increased. However, this is not expected to have a significant impact on HwF eligibility. </w:t>
      </w:r>
    </w:p>
    <w:p w:rsidRPr="00CE5D61" w:rsidR="00CF0E6A" w:rsidP="00CF40DA" w:rsidRDefault="00CF0E6A" w14:paraId="59FF7BCE" w14:textId="719E1D5B">
      <w:pPr>
        <w:pStyle w:val="EBNumber"/>
        <w:numPr>
          <w:ilvl w:val="1"/>
          <w:numId w:val="29"/>
        </w:numPr>
        <w:jc w:val="both"/>
        <w:rPr>
          <w:color w:val="FF0000"/>
        </w:rPr>
      </w:pPr>
      <w:r w:rsidRPr="11642C45">
        <w:rPr>
          <w:color w:val="000000" w:themeColor="text1"/>
        </w:rPr>
        <w:t xml:space="preserve">The PSM dataset does not include the full list of benefits that can be disregarded from income in the HwF means-test, and so only the following have been included: War Pension, Attendance Allowance, Severe Disablement Allowance, Housing Credit, Carer’s Allowance, Personal Independence Payment, Disability Living Allowance, and Winter Fuel Payment. The Housing Element of Universal Credit is also disregarded from gross income, but this is capped at the maximum amount of Universal Credit received by the benefit unit.  </w:t>
      </w:r>
    </w:p>
    <w:p w:rsidRPr="00C91FBD" w:rsidR="00CE5D61" w:rsidP="00CE5D61" w:rsidRDefault="00CE5D61" w14:paraId="3E0F52FB" w14:textId="77777777">
      <w:pPr>
        <w:pStyle w:val="EBNumber"/>
        <w:numPr>
          <w:ilvl w:val="0"/>
          <w:numId w:val="0"/>
        </w:numPr>
        <w:spacing w:after="0"/>
        <w:ind w:left="489"/>
        <w:jc w:val="both"/>
        <w:rPr>
          <w:color w:val="FF0000"/>
        </w:rPr>
      </w:pPr>
    </w:p>
    <w:p w:rsidR="00CF0E6A" w:rsidP="00CE5D61" w:rsidRDefault="00CF0E6A" w14:paraId="393D7BE8" w14:textId="77777777">
      <w:pPr>
        <w:pStyle w:val="EBNumber"/>
        <w:numPr>
          <w:ilvl w:val="0"/>
          <w:numId w:val="0"/>
        </w:numPr>
        <w:spacing w:after="0"/>
        <w:ind w:left="363"/>
        <w:rPr>
          <w:u w:val="single"/>
        </w:rPr>
      </w:pPr>
      <w:r w:rsidRPr="00534136">
        <w:rPr>
          <w:u w:val="single"/>
        </w:rPr>
        <w:t>Weighting the PSM</w:t>
      </w:r>
    </w:p>
    <w:p w:rsidR="00CE5D61" w:rsidP="00CF0E6A" w:rsidRDefault="00CE5D61" w14:paraId="7E5186CA" w14:textId="77777777">
      <w:pPr>
        <w:pStyle w:val="EBNumber"/>
        <w:numPr>
          <w:ilvl w:val="0"/>
          <w:numId w:val="0"/>
        </w:numPr>
        <w:ind w:left="363"/>
        <w:rPr>
          <w:u w:val="single"/>
        </w:rPr>
      </w:pPr>
    </w:p>
    <w:p w:rsidR="00CF0E6A" w:rsidP="003862FF" w:rsidRDefault="00F467B7" w14:paraId="06C7469B" w14:textId="3348BE44">
      <w:pPr>
        <w:pStyle w:val="EBNumber"/>
        <w:numPr>
          <w:ilvl w:val="1"/>
          <w:numId w:val="29"/>
        </w:numPr>
        <w:jc w:val="both"/>
      </w:pPr>
      <w:r>
        <w:t xml:space="preserve">Each household in the PSM data will have a weight – together, these weights act to make the dataset representative of the general population. However, </w:t>
      </w:r>
      <w:r w:rsidR="00CF0E6A">
        <w:t>court users may differ, not just from the general population, but may also differ across jurisdictions.</w:t>
      </w:r>
      <w:r>
        <w:t xml:space="preserve"> The weights in the PSM are therefore adjusted to make the sample better reflective of court users.</w:t>
      </w:r>
    </w:p>
    <w:p w:rsidR="00CF0E6A" w:rsidP="003862FF" w:rsidRDefault="00CF0E6A" w14:paraId="25EC5B30" w14:textId="2E7BFA18">
      <w:pPr>
        <w:pStyle w:val="EBNumber"/>
        <w:numPr>
          <w:ilvl w:val="1"/>
          <w:numId w:val="29"/>
        </w:numPr>
        <w:jc w:val="both"/>
      </w:pPr>
      <w:r>
        <w:t xml:space="preserve">The Civil Court Users Survey (CCSU) (2014/15) found that the “profile of individual claimants matches the general population of adults (aged 16 or older) reasonably closely”, although claimants were found slightly more likely to be male, aged 45 or over and self-employed. The weights in the PSM dataset </w:t>
      </w:r>
      <w:r w:rsidR="003862FF">
        <w:t>have</w:t>
      </w:r>
      <w:r>
        <w:t xml:space="preserve"> therefore </w:t>
      </w:r>
      <w:r w:rsidR="003862FF">
        <w:t xml:space="preserve">been </w:t>
      </w:r>
      <w:r>
        <w:t xml:space="preserve">adjusted to match the age profile of court users as reported in the CCSU and the proportion that are self-employed. Gender was not used to re-weight the data due to the difficulty of assigning a gender to a benefit unit. This weight is used when calculating remission rates in County Civil and High Court.  </w:t>
      </w:r>
    </w:p>
    <w:p w:rsidR="00CF0E6A" w:rsidP="003862FF" w:rsidRDefault="00CF0E6A" w14:paraId="777300B9" w14:textId="2B082597">
      <w:pPr>
        <w:pStyle w:val="EBNumber"/>
        <w:numPr>
          <w:ilvl w:val="1"/>
          <w:numId w:val="29"/>
        </w:numPr>
        <w:jc w:val="both"/>
      </w:pPr>
      <w:r>
        <w:t>To calculate remission rates in the family jurisdiction, alternative weights were calculated. For the divorce application fee, the weights in the DWP data were adjusted to match the age profile of those divorced in 2018, using ONS published statistics. However, accurately assessing applicant’s income for the divorce fee is particularly difficult due to the changing nature of their household income and circumstances.</w:t>
      </w:r>
    </w:p>
    <w:p w:rsidR="00CF0E6A" w:rsidP="003862FF" w:rsidRDefault="00CF0E6A" w14:paraId="11EFB391" w14:textId="06F0F61C">
      <w:pPr>
        <w:pStyle w:val="EBNumber"/>
        <w:numPr>
          <w:ilvl w:val="1"/>
          <w:numId w:val="29"/>
        </w:numPr>
        <w:jc w:val="both"/>
      </w:pPr>
      <w:r>
        <w:t xml:space="preserve">For </w:t>
      </w:r>
      <w:r w:rsidR="00EB573D">
        <w:t>Private Family Law fees</w:t>
      </w:r>
      <w:r>
        <w:t xml:space="preserve">, an alternative weight </w:t>
      </w:r>
      <w:r w:rsidR="003862FF">
        <w:t>was</w:t>
      </w:r>
      <w:r>
        <w:t xml:space="preserve"> developed to try to match the income distribution of households in the DWP dataset with that of </w:t>
      </w:r>
      <w:r w:rsidR="001C7073">
        <w:t>P</w:t>
      </w:r>
      <w:r>
        <w:t xml:space="preserve">rivate </w:t>
      </w:r>
      <w:r w:rsidR="001C7073">
        <w:t>F</w:t>
      </w:r>
      <w:r>
        <w:t xml:space="preserve">amily </w:t>
      </w:r>
      <w:r w:rsidR="001C7073">
        <w:t>L</w:t>
      </w:r>
      <w:r>
        <w:t xml:space="preserve">aw claimants. Data on the postcodes of </w:t>
      </w:r>
      <w:r w:rsidR="00EB573D">
        <w:t>Private F</w:t>
      </w:r>
      <w:r>
        <w:t xml:space="preserve">amily </w:t>
      </w:r>
      <w:r w:rsidR="00EB573D">
        <w:t>L</w:t>
      </w:r>
      <w:r>
        <w:t>aw claimants in 2019 was matched to ONS data giving an ‘income deprivation’ score for each Local Super Output Area</w:t>
      </w:r>
      <w:r>
        <w:rPr>
          <w:rStyle w:val="FootnoteReference"/>
        </w:rPr>
        <w:footnoteReference w:id="5"/>
      </w:r>
      <w:r>
        <w:t xml:space="preserve">. This was used to analyse the proportion of </w:t>
      </w:r>
      <w:r w:rsidR="00BE5EF8">
        <w:t>P</w:t>
      </w:r>
      <w:r w:rsidR="002C2149">
        <w:t xml:space="preserve">rivate </w:t>
      </w:r>
      <w:r w:rsidR="00BE5EF8">
        <w:t>F</w:t>
      </w:r>
      <w:r w:rsidR="002C2149">
        <w:t xml:space="preserve">amily </w:t>
      </w:r>
      <w:r w:rsidR="00BE5EF8">
        <w:t>L</w:t>
      </w:r>
      <w:r w:rsidR="002C2149">
        <w:t>aw claimants</w:t>
      </w:r>
      <w:r>
        <w:t xml:space="preserve"> falling within each percentile of income deprivation in order to give a proxy distribution for income. The gross income of households in the PSM was then equivalised and ranked so that the PSM weights could be adjusted to match the proxy income distribution of </w:t>
      </w:r>
      <w:r w:rsidR="00EB573D">
        <w:t>Private F</w:t>
      </w:r>
      <w:r>
        <w:t xml:space="preserve">amily </w:t>
      </w:r>
      <w:r w:rsidR="00EB573D">
        <w:t>L</w:t>
      </w:r>
      <w:r>
        <w:t xml:space="preserve">aw applicants. </w:t>
      </w:r>
    </w:p>
    <w:p w:rsidR="003E7B91" w:rsidP="003862FF" w:rsidRDefault="003E7B91" w14:paraId="6F0BB2C3" w14:textId="2D9967B2">
      <w:pPr>
        <w:pStyle w:val="EBNumber"/>
        <w:numPr>
          <w:ilvl w:val="1"/>
          <w:numId w:val="29"/>
        </w:numPr>
        <w:jc w:val="both"/>
      </w:pPr>
      <w:r>
        <w:t xml:space="preserve">A similar approach was considered for county court claimants, but this was not considered robust enough to use in the final modelling due to the difficulty in removing organisations from the </w:t>
      </w:r>
      <w:r w:rsidR="007143B5">
        <w:t>C</w:t>
      </w:r>
      <w:r>
        <w:t xml:space="preserve">ounty </w:t>
      </w:r>
      <w:r w:rsidR="007143B5">
        <w:t>C</w:t>
      </w:r>
      <w:r>
        <w:t>ourt claimant dataset.</w:t>
      </w:r>
    </w:p>
    <w:p w:rsidR="003E7B91" w:rsidP="003862FF" w:rsidRDefault="003E7B91" w14:paraId="6FA1950A" w14:textId="4A1E59A1">
      <w:pPr>
        <w:pStyle w:val="EBNumber"/>
        <w:numPr>
          <w:ilvl w:val="1"/>
          <w:numId w:val="29"/>
        </w:numPr>
        <w:jc w:val="both"/>
      </w:pPr>
      <w:r>
        <w:t xml:space="preserve">For </w:t>
      </w:r>
      <w:r w:rsidR="007A05BD">
        <w:t>each jurisdiction, a best attempt has been made to re-weight the PSM data to reflect the characteristics or incomes of court users. However, none of these are a substitute for actual income information on court claimants and, in the case of the County Court, the CCUS is now several years old. In the case of the family jurisdiction, postcode is only a proxy for income</w:t>
      </w:r>
      <w:r w:rsidR="00EB573D">
        <w:t xml:space="preserve">. </w:t>
      </w:r>
      <w:r w:rsidR="007A05BD">
        <w:t>There therefore remains a risk that eligibility and income foregone is higher or lower than estimated here.</w:t>
      </w:r>
    </w:p>
    <w:p w:rsidR="00CF0E6A" w:rsidP="005A7420" w:rsidRDefault="00CF0E6A" w14:paraId="33C88CFB" w14:textId="54F2373F">
      <w:pPr>
        <w:pStyle w:val="EBNumber"/>
        <w:numPr>
          <w:ilvl w:val="0"/>
          <w:numId w:val="0"/>
        </w:numPr>
        <w:ind w:left="425" w:hanging="425"/>
        <w:jc w:val="both"/>
      </w:pPr>
    </w:p>
    <w:p w:rsidRPr="00CC45ED" w:rsidR="000766DE" w:rsidP="00CC45ED" w:rsidRDefault="000766DE" w14:paraId="7287592E" w14:textId="77777777">
      <w:pPr>
        <w:spacing w:before="120" w:after="120"/>
        <w:ind w:left="142"/>
        <w:jc w:val="both"/>
        <w:rPr>
          <w:rFonts w:cs="Arial"/>
        </w:rPr>
      </w:pPr>
    </w:p>
    <w:p w:rsidR="000766DE" w:rsidP="000766DE" w:rsidRDefault="000766DE" w14:paraId="091E88A6" w14:textId="77777777">
      <w:pPr>
        <w:spacing w:before="120" w:after="120"/>
        <w:jc w:val="both"/>
        <w:rPr>
          <w:rFonts w:cs="Arial"/>
        </w:rPr>
      </w:pPr>
    </w:p>
    <w:p w:rsidRPr="00B016A8" w:rsidR="001F5DD9" w:rsidP="000766DE" w:rsidRDefault="001F5DD9" w14:paraId="348B1F51" w14:textId="428F6737">
      <w:pPr>
        <w:ind w:left="567"/>
        <w:rPr>
          <w:i/>
          <w:iCs/>
          <w:lang w:eastAsia="en-GB"/>
        </w:rPr>
      </w:pPr>
    </w:p>
    <w:sectPr w:rsidRPr="00B016A8" w:rsidR="001F5DD9" w:rsidSect="00807DB6">
      <w:headerReference w:type="even" r:id="rId17"/>
      <w:footerReference w:type="default" r:id="rId18"/>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D12" w:rsidRDefault="00CD5D12" w14:paraId="3D7C472B" w14:textId="77777777">
      <w:r>
        <w:separator/>
      </w:r>
    </w:p>
  </w:endnote>
  <w:endnote w:type="continuationSeparator" w:id="0">
    <w:p w:rsidR="00CD5D12" w:rsidRDefault="00CD5D12" w14:paraId="4D362A91" w14:textId="77777777">
      <w:r>
        <w:continuationSeparator/>
      </w:r>
    </w:p>
  </w:endnote>
  <w:endnote w:type="continuationNotice" w:id="1">
    <w:p w:rsidR="00CD5D12" w:rsidRDefault="00CD5D12" w14:paraId="0B11B9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UI">
    <w:altName w:val="SegoeUI"/>
    <w:charset w:val="00"/>
    <w:family w:val="swiss"/>
    <w:pitch w:val="variable"/>
    <w:sig w:usb0="800000EF" w:usb1="8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A0C" w:rsidRDefault="00007A0C" w14:paraId="246833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43FD" w:rsidR="00007A0C" w:rsidP="005A3880" w:rsidRDefault="00007A0C" w14:paraId="55D4708B" w14:textId="77777777">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Pr>
        <w:rStyle w:val="PageNumber"/>
        <w:rFonts w:eastAsia="SimSun"/>
        <w:b w:val="0"/>
        <w:noProof/>
        <w:szCs w:val="18"/>
      </w:rPr>
      <w:t>1</w:t>
    </w:r>
    <w:r w:rsidRPr="00EB43FD">
      <w:rPr>
        <w:rStyle w:val="PageNumber"/>
        <w:rFonts w:eastAsia="SimSun"/>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A0C" w:rsidRDefault="00007A0C" w14:paraId="068912C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43FD" w:rsidR="00007A0C" w:rsidP="000407D8" w:rsidRDefault="00007A0C" w14:paraId="31719F90" w14:textId="77777777">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Pr>
        <w:rStyle w:val="PageNumber"/>
        <w:b w:val="0"/>
        <w:noProof/>
        <w:szCs w:val="18"/>
      </w:rPr>
      <w:t>3</w:t>
    </w:r>
    <w:r w:rsidRPr="00EB43FD">
      <w:rPr>
        <w:rStyle w:val="PageNumber"/>
        <w:b w:val="0"/>
        <w:szCs w:val="18"/>
      </w:rPr>
      <w:fldChar w:fldCharType="end"/>
    </w:r>
  </w:p>
  <w:p w:rsidR="00007A0C" w:rsidRDefault="00007A0C" w14:paraId="6F033233" w14:textId="77777777"/>
  <w:p w:rsidR="00007A0C" w:rsidRDefault="00007A0C" w14:paraId="68A9B50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D12" w:rsidRDefault="00CD5D12" w14:paraId="51185BE3" w14:textId="77777777">
      <w:r>
        <w:separator/>
      </w:r>
    </w:p>
  </w:footnote>
  <w:footnote w:type="continuationSeparator" w:id="0">
    <w:p w:rsidR="00CD5D12" w:rsidRDefault="00CD5D12" w14:paraId="7AD4ECDA" w14:textId="77777777">
      <w:r>
        <w:continuationSeparator/>
      </w:r>
    </w:p>
  </w:footnote>
  <w:footnote w:type="continuationNotice" w:id="1">
    <w:p w:rsidR="00CD5D12" w:rsidRDefault="00CD5D12" w14:paraId="786A9237" w14:textId="77777777"/>
  </w:footnote>
  <w:footnote w:id="2">
    <w:p w:rsidR="00007A0C" w:rsidP="000766DE" w:rsidRDefault="00007A0C" w14:paraId="6FDC184F" w14:textId="77777777">
      <w:pPr>
        <w:pStyle w:val="FootnoteText"/>
      </w:pPr>
      <w:r>
        <w:rPr>
          <w:rStyle w:val="FootnoteReference"/>
        </w:rPr>
        <w:footnoteRef/>
      </w:r>
      <w:r>
        <w:t xml:space="preserve"> S1(1) Courts Act 2003 – “The Lord Chancellor is under a duty to ensure that there is an efficient and effective system to support the carrying on of the business of the Senior Courts, the Court of Protection, the county court, the family court and magistrates’ courts, and that appropriate services are provided for those courts.” See also s6A Promissory Oaths Act 1868 and s</w:t>
      </w:r>
      <w:r w:rsidRPr="000C1FDA">
        <w:t>180(3)(a) of the Anti-Social Behaviour Crime and Policing Act 2014.</w:t>
      </w:r>
    </w:p>
  </w:footnote>
  <w:footnote w:id="3">
    <w:p w:rsidR="00007A0C" w:rsidP="000766DE" w:rsidRDefault="00007A0C" w14:paraId="370223D3" w14:textId="284C24E1">
      <w:pPr>
        <w:pStyle w:val="FootnoteText"/>
      </w:pPr>
      <w:r>
        <w:rPr>
          <w:rStyle w:val="FootnoteReference"/>
        </w:rPr>
        <w:footnoteRef/>
      </w:r>
      <w:r>
        <w:t xml:space="preserve"> CPIH figures for March are used, consistent with the methodology to inflate fees.</w:t>
      </w:r>
    </w:p>
  </w:footnote>
  <w:footnote w:id="4">
    <w:p w:rsidR="00F8193B" w:rsidP="00F8193B" w:rsidRDefault="00F8193B" w14:paraId="18CED648" w14:textId="0D0D97B3">
      <w:pPr>
        <w:pStyle w:val="FootnoteText"/>
      </w:pPr>
      <w:r>
        <w:rPr>
          <w:rStyle w:val="FootnoteReference"/>
        </w:rPr>
        <w:footnoteRef/>
      </w:r>
      <w:r>
        <w:t xml:space="preserve"> Figures for CPI</w:t>
      </w:r>
      <w:r w:rsidR="006C606D">
        <w:t>H</w:t>
      </w:r>
      <w:r>
        <w:t xml:space="preserve"> annual rates can be found at </w:t>
      </w:r>
      <w:hyperlink w:history="1" r:id="rId1">
        <w:r w:rsidRPr="009D45E5">
          <w:rPr>
            <w:rStyle w:val="Hyperlink"/>
          </w:rPr>
          <w:t>https://www.ons.gov.uk/economy/inflationandpriceindices/timeseries/d7g7/mm23</w:t>
        </w:r>
      </w:hyperlink>
      <w:r>
        <w:t xml:space="preserve">. </w:t>
      </w:r>
    </w:p>
  </w:footnote>
  <w:footnote w:id="5">
    <w:p w:rsidR="00007A0C" w:rsidP="00CF0E6A" w:rsidRDefault="00007A0C" w14:paraId="2346DCBA" w14:textId="1C8588CD">
      <w:pPr>
        <w:pStyle w:val="EBNumber"/>
        <w:numPr>
          <w:ilvl w:val="0"/>
          <w:numId w:val="0"/>
        </w:numPr>
        <w:ind w:left="502"/>
      </w:pPr>
      <w:r>
        <w:rPr>
          <w:rStyle w:val="FootnoteReference"/>
        </w:rPr>
        <w:footnoteRef/>
      </w:r>
      <w:r>
        <w:t xml:space="preserve"> </w:t>
      </w:r>
      <w:r w:rsidRPr="009860CD">
        <w:rPr>
          <w:sz w:val="16"/>
        </w:rPr>
        <w:t xml:space="preserve">Using this approach it was possible to match </w:t>
      </w:r>
      <w:r w:rsidR="00A75995">
        <w:rPr>
          <w:sz w:val="16"/>
        </w:rPr>
        <w:t>9</w:t>
      </w:r>
      <w:r w:rsidR="00631413">
        <w:rPr>
          <w:sz w:val="16"/>
        </w:rPr>
        <w:t>6</w:t>
      </w:r>
      <w:r w:rsidRPr="009860CD">
        <w:rPr>
          <w:sz w:val="16"/>
        </w:rPr>
        <w:t xml:space="preserve">% of postcodes to an income deprivation score. </w:t>
      </w:r>
    </w:p>
    <w:p w:rsidR="00007A0C" w:rsidP="00CF0E6A" w:rsidRDefault="00007A0C" w14:paraId="708E9DD7"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A0C" w:rsidRDefault="00007A0C" w14:paraId="190188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A0C" w:rsidRDefault="00007A0C" w14:paraId="1A5B920D" w14:textId="77777777">
    <w:pPr>
      <w:pStyle w:val="Header"/>
    </w:pPr>
    <w:r>
      <w:fldChar w:fldCharType="begin"/>
    </w:r>
    <w:r>
      <w:instrText xml:space="preserve"> DOCPROPERTY  Classification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A0C" w:rsidRDefault="00007A0C" w14:paraId="027AA37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A0C" w:rsidRDefault="00007A0C" w14:paraId="1BBA35C1" w14:textId="77777777"/>
  <w:p w:rsidR="00007A0C" w:rsidRDefault="00007A0C" w14:paraId="51ACEAC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C676ECE"/>
    <w:multiLevelType w:val="hybridMultilevel"/>
    <w:tmpl w:val="E534947C"/>
    <w:lvl w:ilvl="0" w:tplc="BF442C30">
      <w:start w:val="7"/>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D715A9"/>
    <w:multiLevelType w:val="multilevel"/>
    <w:tmpl w:val="8786C674"/>
    <w:lvl w:ilvl="0">
      <w:start w:val="1"/>
      <w:numFmt w:val="decimal"/>
      <w:lvlText w:val="%1."/>
      <w:lvlJc w:val="left"/>
      <w:pPr>
        <w:tabs>
          <w:tab w:val="num" w:pos="360"/>
        </w:tabs>
        <w:ind w:left="360" w:hanging="360"/>
      </w:pPr>
      <w:rPr>
        <w:b w:val="0"/>
        <w:i w:val="0"/>
        <w:color w:val="auto"/>
        <w:sz w:val="22"/>
        <w:szCs w:val="22"/>
      </w:rPr>
    </w:lvl>
    <w:lvl w:ilvl="1">
      <w:start w:val="1"/>
      <w:numFmt w:val="decimal"/>
      <w:lvlText w:val="%2."/>
      <w:lvlJc w:val="left"/>
      <w:pPr>
        <w:tabs>
          <w:tab w:val="num" w:pos="54"/>
        </w:tabs>
        <w:ind w:left="489" w:hanging="432"/>
      </w:pPr>
      <w:rPr>
        <w:color w:val="auto"/>
      </w:rPr>
    </w:lvl>
    <w:lvl w:ilvl="2">
      <w:start w:val="1"/>
      <w:numFmt w:val="lowerRoman"/>
      <w:lvlText w:val="%3."/>
      <w:lvlJc w:val="right"/>
      <w:pPr>
        <w:tabs>
          <w:tab w:val="num" w:pos="1137"/>
        </w:tabs>
        <w:ind w:left="921" w:hanging="504"/>
      </w:pPr>
    </w:lvl>
    <w:lvl w:ilvl="3">
      <w:start w:val="1"/>
      <w:numFmt w:val="decimal"/>
      <w:lvlText w:val="%1.%2.%3.%4."/>
      <w:lvlJc w:val="left"/>
      <w:pPr>
        <w:tabs>
          <w:tab w:val="num" w:pos="1857"/>
        </w:tabs>
        <w:ind w:left="1425" w:hanging="648"/>
      </w:pPr>
    </w:lvl>
    <w:lvl w:ilvl="4">
      <w:start w:val="1"/>
      <w:numFmt w:val="decimal"/>
      <w:lvlText w:val="%1.%2.%3.%4.%5."/>
      <w:lvlJc w:val="left"/>
      <w:pPr>
        <w:tabs>
          <w:tab w:val="num" w:pos="2217"/>
        </w:tabs>
        <w:ind w:left="1929" w:hanging="792"/>
      </w:pPr>
    </w:lvl>
    <w:lvl w:ilvl="5">
      <w:start w:val="1"/>
      <w:numFmt w:val="decimal"/>
      <w:lvlText w:val="%1.%2.%3.%4.%5.%6."/>
      <w:lvlJc w:val="left"/>
      <w:pPr>
        <w:tabs>
          <w:tab w:val="num" w:pos="2937"/>
        </w:tabs>
        <w:ind w:left="2433" w:hanging="936"/>
      </w:pPr>
    </w:lvl>
    <w:lvl w:ilvl="6">
      <w:start w:val="1"/>
      <w:numFmt w:val="decimal"/>
      <w:lvlText w:val="%1.%2.%3.%4.%5.%6.%7."/>
      <w:lvlJc w:val="left"/>
      <w:pPr>
        <w:tabs>
          <w:tab w:val="num" w:pos="3297"/>
        </w:tabs>
        <w:ind w:left="2937" w:hanging="1080"/>
      </w:pPr>
    </w:lvl>
    <w:lvl w:ilvl="7">
      <w:start w:val="1"/>
      <w:numFmt w:val="decimal"/>
      <w:lvlText w:val="%1.%2.%3.%4.%5.%6.%7.%8."/>
      <w:lvlJc w:val="left"/>
      <w:pPr>
        <w:tabs>
          <w:tab w:val="num" w:pos="4017"/>
        </w:tabs>
        <w:ind w:left="3441" w:hanging="1224"/>
      </w:pPr>
    </w:lvl>
    <w:lvl w:ilvl="8">
      <w:start w:val="1"/>
      <w:numFmt w:val="decimal"/>
      <w:lvlText w:val="%1.%2.%3.%4.%5.%6.%7.%8.%9."/>
      <w:lvlJc w:val="left"/>
      <w:pPr>
        <w:tabs>
          <w:tab w:val="num" w:pos="4377"/>
        </w:tabs>
        <w:ind w:left="4017" w:hanging="1440"/>
      </w:pPr>
    </w:lvl>
  </w:abstractNum>
  <w:abstractNum w:abstractNumId="13" w15:restartNumberingAfterBreak="0">
    <w:nsid w:val="0F1B3D64"/>
    <w:multiLevelType w:val="hybridMultilevel"/>
    <w:tmpl w:val="D642611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2D767E5"/>
    <w:multiLevelType w:val="hybridMultilevel"/>
    <w:tmpl w:val="10109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7496F0C"/>
    <w:multiLevelType w:val="hybridMultilevel"/>
    <w:tmpl w:val="CE422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A2943E7"/>
    <w:multiLevelType w:val="multilevel"/>
    <w:tmpl w:val="3604C19E"/>
    <w:lvl w:ilvl="0">
      <w:start w:val="1"/>
      <w:numFmt w:val="bullet"/>
      <w:lvlText w:val=""/>
      <w:lvlJc w:val="left"/>
      <w:pPr>
        <w:tabs>
          <w:tab w:val="num" w:pos="284"/>
        </w:tabs>
        <w:ind w:left="284" w:hanging="284"/>
      </w:pPr>
      <w:rPr>
        <w:rFonts w:hint="default" w:ascii="Wingdings" w:hAnsi="Wingdings"/>
      </w:rPr>
    </w:lvl>
    <w:lvl w:ilvl="1">
      <w:start w:val="1"/>
      <w:numFmt w:val="bullet"/>
      <w:lvlText w:val=""/>
      <w:lvlJc w:val="left"/>
      <w:pPr>
        <w:tabs>
          <w:tab w:val="num" w:pos="567"/>
        </w:tabs>
        <w:ind w:left="567" w:hanging="283"/>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7" w15:restartNumberingAfterBreak="0">
    <w:nsid w:val="218B7795"/>
    <w:multiLevelType w:val="multilevel"/>
    <w:tmpl w:val="71123128"/>
    <w:lvl w:ilvl="0">
      <w:start w:val="1"/>
      <w:numFmt w:val="decimal"/>
      <w:lvlText w:val="%1."/>
      <w:lvlJc w:val="left"/>
      <w:pPr>
        <w:tabs>
          <w:tab w:val="num" w:pos="502"/>
        </w:tabs>
        <w:ind w:left="502" w:hanging="360"/>
      </w:pPr>
      <w:rPr>
        <w:rFonts w:hint="default" w:cs="Times New Roman"/>
        <w:b w:val="0"/>
        <w:i w:val="0"/>
        <w:color w:val="auto"/>
        <w:sz w:val="22"/>
        <w:szCs w:val="22"/>
      </w:rPr>
    </w:lvl>
    <w:lvl w:ilvl="1">
      <w:start w:val="1"/>
      <w:numFmt w:val="bullet"/>
      <w:lvlText w:val=""/>
      <w:lvlJc w:val="left"/>
      <w:pPr>
        <w:tabs>
          <w:tab w:val="num" w:pos="54"/>
        </w:tabs>
        <w:ind w:left="489" w:hanging="432"/>
      </w:pPr>
      <w:rPr>
        <w:rFonts w:hint="default" w:ascii="Symbol" w:hAnsi="Symbol"/>
      </w:rPr>
    </w:lvl>
    <w:lvl w:ilvl="2">
      <w:start w:val="1"/>
      <w:numFmt w:val="lowerRoman"/>
      <w:lvlText w:val="%3."/>
      <w:lvlJc w:val="right"/>
      <w:pPr>
        <w:tabs>
          <w:tab w:val="num" w:pos="1137"/>
        </w:tabs>
        <w:ind w:left="921" w:hanging="504"/>
      </w:pPr>
      <w:rPr>
        <w:rFonts w:hint="default"/>
      </w:rPr>
    </w:lvl>
    <w:lvl w:ilvl="3">
      <w:start w:val="1"/>
      <w:numFmt w:val="decimal"/>
      <w:lvlText w:val="%1.%2.%3.%4."/>
      <w:lvlJc w:val="left"/>
      <w:pPr>
        <w:tabs>
          <w:tab w:val="num" w:pos="1857"/>
        </w:tabs>
        <w:ind w:left="1425" w:hanging="648"/>
      </w:pPr>
      <w:rPr>
        <w:rFonts w:hint="default" w:cs="Times New Roman"/>
      </w:rPr>
    </w:lvl>
    <w:lvl w:ilvl="4">
      <w:start w:val="1"/>
      <w:numFmt w:val="decimal"/>
      <w:lvlText w:val="%1.%2.%3.%4.%5."/>
      <w:lvlJc w:val="left"/>
      <w:pPr>
        <w:tabs>
          <w:tab w:val="num" w:pos="2217"/>
        </w:tabs>
        <w:ind w:left="1929" w:hanging="792"/>
      </w:pPr>
      <w:rPr>
        <w:rFonts w:hint="default" w:cs="Times New Roman"/>
      </w:rPr>
    </w:lvl>
    <w:lvl w:ilvl="5">
      <w:start w:val="1"/>
      <w:numFmt w:val="decimal"/>
      <w:lvlText w:val="%1.%2.%3.%4.%5.%6."/>
      <w:lvlJc w:val="left"/>
      <w:pPr>
        <w:tabs>
          <w:tab w:val="num" w:pos="2937"/>
        </w:tabs>
        <w:ind w:left="2433" w:hanging="936"/>
      </w:pPr>
      <w:rPr>
        <w:rFonts w:hint="default" w:cs="Times New Roman"/>
      </w:rPr>
    </w:lvl>
    <w:lvl w:ilvl="6">
      <w:start w:val="1"/>
      <w:numFmt w:val="decimal"/>
      <w:lvlText w:val="%1.%2.%3.%4.%5.%6.%7."/>
      <w:lvlJc w:val="left"/>
      <w:pPr>
        <w:tabs>
          <w:tab w:val="num" w:pos="3297"/>
        </w:tabs>
        <w:ind w:left="2937" w:hanging="1080"/>
      </w:pPr>
      <w:rPr>
        <w:rFonts w:hint="default" w:cs="Times New Roman"/>
      </w:rPr>
    </w:lvl>
    <w:lvl w:ilvl="7">
      <w:start w:val="1"/>
      <w:numFmt w:val="decimal"/>
      <w:lvlText w:val="%1.%2.%3.%4.%5.%6.%7.%8."/>
      <w:lvlJc w:val="left"/>
      <w:pPr>
        <w:tabs>
          <w:tab w:val="num" w:pos="4017"/>
        </w:tabs>
        <w:ind w:left="3441" w:hanging="1224"/>
      </w:pPr>
      <w:rPr>
        <w:rFonts w:hint="default" w:cs="Times New Roman"/>
      </w:rPr>
    </w:lvl>
    <w:lvl w:ilvl="8">
      <w:start w:val="1"/>
      <w:numFmt w:val="decimal"/>
      <w:lvlText w:val="%1.%2.%3.%4.%5.%6.%7.%8.%9."/>
      <w:lvlJc w:val="left"/>
      <w:pPr>
        <w:tabs>
          <w:tab w:val="num" w:pos="4377"/>
        </w:tabs>
        <w:ind w:left="4017" w:hanging="1440"/>
      </w:pPr>
      <w:rPr>
        <w:rFonts w:hint="default" w:cs="Times New Roman"/>
      </w:rPr>
    </w:lvl>
  </w:abstractNum>
  <w:abstractNum w:abstractNumId="18" w15:restartNumberingAfterBreak="0">
    <w:nsid w:val="288D56FC"/>
    <w:multiLevelType w:val="hybridMultilevel"/>
    <w:tmpl w:val="A10CF338"/>
    <w:lvl w:ilvl="0" w:tplc="C6C4DDB2">
      <w:numFmt w:val="bullet"/>
      <w:lvlText w:val="•"/>
      <w:lvlJc w:val="left"/>
      <w:pPr>
        <w:ind w:left="1222" w:hanging="360"/>
      </w:pPr>
      <w:rPr>
        <w:rFonts w:hint="default" w:ascii="Arial" w:hAnsi="Arial" w:cs="Arial" w:eastAsiaTheme="minorHAnsi"/>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19" w15:restartNumberingAfterBreak="0">
    <w:nsid w:val="2B3F39F8"/>
    <w:multiLevelType w:val="multilevel"/>
    <w:tmpl w:val="130ADDBA"/>
    <w:lvl w:ilvl="0">
      <w:start w:val="1"/>
      <w:numFmt w:val="bullet"/>
      <w:pStyle w:val="EBBullet"/>
      <w:lvlText w:val=""/>
      <w:lvlJc w:val="left"/>
      <w:pPr>
        <w:tabs>
          <w:tab w:val="num" w:pos="284"/>
        </w:tabs>
        <w:ind w:left="284" w:hanging="284"/>
      </w:pPr>
      <w:rPr>
        <w:rFonts w:hint="default" w:ascii="Symbol" w:hAnsi="Symbol"/>
      </w:rPr>
    </w:lvl>
    <w:lvl w:ilvl="1">
      <w:start w:val="1"/>
      <w:numFmt w:val="bullet"/>
      <w:lvlText w:val=""/>
      <w:lvlJc w:val="left"/>
      <w:pPr>
        <w:tabs>
          <w:tab w:val="num" w:pos="567"/>
        </w:tabs>
        <w:ind w:left="567" w:hanging="283"/>
      </w:pPr>
      <w:rPr>
        <w:rFonts w:hint="default" w:ascii="Symbol" w:hAnsi="Symbol"/>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0" w15:restartNumberingAfterBreak="0">
    <w:nsid w:val="320F35A7"/>
    <w:multiLevelType w:val="hybridMultilevel"/>
    <w:tmpl w:val="048601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48A54CB"/>
    <w:multiLevelType w:val="hybridMultilevel"/>
    <w:tmpl w:val="FFFFFFFF"/>
    <w:lvl w:ilvl="0" w:tplc="7A22C778">
      <w:start w:val="1"/>
      <w:numFmt w:val="bullet"/>
      <w:lvlText w:val=""/>
      <w:lvlJc w:val="left"/>
      <w:pPr>
        <w:ind w:left="720" w:hanging="360"/>
      </w:pPr>
      <w:rPr>
        <w:rFonts w:hint="default" w:ascii="Symbol" w:hAnsi="Symbol"/>
      </w:rPr>
    </w:lvl>
    <w:lvl w:ilvl="1" w:tplc="DE9C9FB2">
      <w:start w:val="1"/>
      <w:numFmt w:val="bullet"/>
      <w:lvlText w:val="o"/>
      <w:lvlJc w:val="left"/>
      <w:pPr>
        <w:ind w:left="1440" w:hanging="360"/>
      </w:pPr>
      <w:rPr>
        <w:rFonts w:hint="default" w:ascii="Courier New" w:hAnsi="Courier New"/>
      </w:rPr>
    </w:lvl>
    <w:lvl w:ilvl="2" w:tplc="2186702A">
      <w:start w:val="1"/>
      <w:numFmt w:val="bullet"/>
      <w:lvlText w:val=""/>
      <w:lvlJc w:val="left"/>
      <w:pPr>
        <w:ind w:left="2160" w:hanging="360"/>
      </w:pPr>
      <w:rPr>
        <w:rFonts w:hint="default" w:ascii="Wingdings" w:hAnsi="Wingdings"/>
      </w:rPr>
    </w:lvl>
    <w:lvl w:ilvl="3" w:tplc="7B34E260">
      <w:start w:val="1"/>
      <w:numFmt w:val="bullet"/>
      <w:lvlText w:val=""/>
      <w:lvlJc w:val="left"/>
      <w:pPr>
        <w:ind w:left="2880" w:hanging="360"/>
      </w:pPr>
      <w:rPr>
        <w:rFonts w:hint="default" w:ascii="Symbol" w:hAnsi="Symbol"/>
      </w:rPr>
    </w:lvl>
    <w:lvl w:ilvl="4" w:tplc="4290EFAC">
      <w:start w:val="1"/>
      <w:numFmt w:val="bullet"/>
      <w:lvlText w:val="o"/>
      <w:lvlJc w:val="left"/>
      <w:pPr>
        <w:ind w:left="3600" w:hanging="360"/>
      </w:pPr>
      <w:rPr>
        <w:rFonts w:hint="default" w:ascii="Courier New" w:hAnsi="Courier New"/>
      </w:rPr>
    </w:lvl>
    <w:lvl w:ilvl="5" w:tplc="5B5E7894">
      <w:start w:val="1"/>
      <w:numFmt w:val="bullet"/>
      <w:lvlText w:val=""/>
      <w:lvlJc w:val="left"/>
      <w:pPr>
        <w:ind w:left="4320" w:hanging="360"/>
      </w:pPr>
      <w:rPr>
        <w:rFonts w:hint="default" w:ascii="Wingdings" w:hAnsi="Wingdings"/>
      </w:rPr>
    </w:lvl>
    <w:lvl w:ilvl="6" w:tplc="3AC4BF32">
      <w:start w:val="1"/>
      <w:numFmt w:val="bullet"/>
      <w:lvlText w:val=""/>
      <w:lvlJc w:val="left"/>
      <w:pPr>
        <w:ind w:left="5040" w:hanging="360"/>
      </w:pPr>
      <w:rPr>
        <w:rFonts w:hint="default" w:ascii="Symbol" w:hAnsi="Symbol"/>
      </w:rPr>
    </w:lvl>
    <w:lvl w:ilvl="7" w:tplc="74402552">
      <w:start w:val="1"/>
      <w:numFmt w:val="bullet"/>
      <w:lvlText w:val="o"/>
      <w:lvlJc w:val="left"/>
      <w:pPr>
        <w:ind w:left="5760" w:hanging="360"/>
      </w:pPr>
      <w:rPr>
        <w:rFonts w:hint="default" w:ascii="Courier New" w:hAnsi="Courier New"/>
      </w:rPr>
    </w:lvl>
    <w:lvl w:ilvl="8" w:tplc="18FA82DA">
      <w:start w:val="1"/>
      <w:numFmt w:val="bullet"/>
      <w:lvlText w:val=""/>
      <w:lvlJc w:val="left"/>
      <w:pPr>
        <w:ind w:left="6480" w:hanging="360"/>
      </w:pPr>
      <w:rPr>
        <w:rFonts w:hint="default" w:ascii="Wingdings" w:hAnsi="Wingdings"/>
      </w:rPr>
    </w:lvl>
  </w:abstractNum>
  <w:abstractNum w:abstractNumId="22" w15:restartNumberingAfterBreak="0">
    <w:nsid w:val="35F53942"/>
    <w:multiLevelType w:val="hybridMultilevel"/>
    <w:tmpl w:val="E07C81B8"/>
    <w:lvl w:ilvl="0" w:tplc="52A6FF32">
      <w:start w:val="38"/>
      <w:numFmt w:val="bullet"/>
      <w:lvlText w:val="-"/>
      <w:lvlJc w:val="left"/>
      <w:pPr>
        <w:ind w:left="862" w:hanging="360"/>
      </w:pPr>
      <w:rPr>
        <w:rFonts w:hint="default" w:ascii="Arial" w:hAnsi="Arial" w:eastAsia="Times New Roman" w:cs="Aria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3" w15:restartNumberingAfterBreak="0">
    <w:nsid w:val="3777104D"/>
    <w:multiLevelType w:val="multilevel"/>
    <w:tmpl w:val="02B2DD8E"/>
    <w:lvl w:ilvl="0">
      <w:start w:val="1"/>
      <w:numFmt w:val="decimal"/>
      <w:suff w:val="nothing"/>
      <w:lvlText w:val="%1"/>
      <w:lvlJc w:val="left"/>
      <w:rPr>
        <w:rFonts w:hint="default" w:cs="Times New Roman"/>
      </w:rPr>
    </w:lvl>
    <w:lvl w:ilvl="1">
      <w:start w:val="1"/>
      <w:numFmt w:val="decimal"/>
      <w:lvlText w:val="%1.%2."/>
      <w:lvlJc w:val="left"/>
      <w:pPr>
        <w:tabs>
          <w:tab w:val="num" w:pos="1080"/>
        </w:tabs>
        <w:ind w:left="792" w:hanging="432"/>
      </w:pPr>
      <w:rPr>
        <w:rFonts w:hint="default" w:cs="Times New Roman"/>
      </w:rPr>
    </w:lvl>
    <w:lvl w:ilvl="2">
      <w:start w:val="1"/>
      <w:numFmt w:val="decimal"/>
      <w:lvlText w:val="%1.%2.%3."/>
      <w:lvlJc w:val="left"/>
      <w:pPr>
        <w:tabs>
          <w:tab w:val="num" w:pos="1800"/>
        </w:tabs>
        <w:ind w:left="1224" w:hanging="504"/>
      </w:pPr>
      <w:rPr>
        <w:rFonts w:hint="default" w:cs="Times New Roman"/>
      </w:rPr>
    </w:lvl>
    <w:lvl w:ilvl="3">
      <w:start w:val="1"/>
      <w:numFmt w:val="decimal"/>
      <w:lvlText w:val="%1.%2.%3.%4."/>
      <w:lvlJc w:val="left"/>
      <w:pPr>
        <w:tabs>
          <w:tab w:val="num" w:pos="252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600"/>
        </w:tabs>
        <w:ind w:left="2736" w:hanging="936"/>
      </w:pPr>
      <w:rPr>
        <w:rFonts w:hint="default" w:cs="Times New Roman"/>
      </w:rPr>
    </w:lvl>
    <w:lvl w:ilvl="6">
      <w:start w:val="1"/>
      <w:numFmt w:val="decimal"/>
      <w:lvlText w:val="%1.%2.%3.%4.%5.%6.%7."/>
      <w:lvlJc w:val="left"/>
      <w:pPr>
        <w:tabs>
          <w:tab w:val="num" w:pos="4320"/>
        </w:tabs>
        <w:ind w:left="3240" w:hanging="1080"/>
      </w:pPr>
      <w:rPr>
        <w:rFonts w:hint="default" w:cs="Times New Roman"/>
      </w:rPr>
    </w:lvl>
    <w:lvl w:ilvl="7">
      <w:start w:val="1"/>
      <w:numFmt w:val="decimal"/>
      <w:lvlText w:val="%1.%2.%3.%4.%5.%6.%7.%8."/>
      <w:lvlJc w:val="left"/>
      <w:pPr>
        <w:tabs>
          <w:tab w:val="num" w:pos="5040"/>
        </w:tabs>
        <w:ind w:left="3744" w:hanging="1224"/>
      </w:pPr>
      <w:rPr>
        <w:rFonts w:hint="default" w:cs="Times New Roman"/>
      </w:rPr>
    </w:lvl>
    <w:lvl w:ilvl="8">
      <w:start w:val="1"/>
      <w:numFmt w:val="decimal"/>
      <w:lvlText w:val="%1.%2.%3.%4.%5.%6.%7.%8.%9."/>
      <w:lvlJc w:val="left"/>
      <w:pPr>
        <w:tabs>
          <w:tab w:val="num" w:pos="5760"/>
        </w:tabs>
        <w:ind w:left="4320" w:hanging="1440"/>
      </w:pPr>
      <w:rPr>
        <w:rFonts w:hint="default" w:cs="Times New Roman"/>
      </w:rPr>
    </w:lvl>
  </w:abstractNum>
  <w:abstractNum w:abstractNumId="24" w15:restartNumberingAfterBreak="0">
    <w:nsid w:val="39286B7D"/>
    <w:multiLevelType w:val="hybridMultilevel"/>
    <w:tmpl w:val="9D56981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A1B4C9B"/>
    <w:multiLevelType w:val="multilevel"/>
    <w:tmpl w:val="334415AA"/>
    <w:lvl w:ilvl="0">
      <w:start w:val="1"/>
      <w:numFmt w:val="bullet"/>
      <w:lvlText w:val=""/>
      <w:lvlJc w:val="left"/>
      <w:pPr>
        <w:tabs>
          <w:tab w:val="num" w:pos="284"/>
        </w:tabs>
        <w:ind w:left="284" w:hanging="284"/>
      </w:pPr>
      <w:rPr>
        <w:rFonts w:hint="default" w:ascii="Symbol" w:hAnsi="Symbol"/>
      </w:rPr>
    </w:lvl>
    <w:lvl w:ilvl="1">
      <w:start w:val="1"/>
      <w:numFmt w:val="bullet"/>
      <w:lvlText w:val=""/>
      <w:lvlJc w:val="left"/>
      <w:pPr>
        <w:tabs>
          <w:tab w:val="num" w:pos="567"/>
        </w:tabs>
        <w:ind w:left="567" w:hanging="283"/>
      </w:pPr>
      <w:rPr>
        <w:rFonts w:hint="default" w:ascii="Symbol" w:hAnsi="Symbol"/>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6" w15:restartNumberingAfterBreak="0">
    <w:nsid w:val="468364CE"/>
    <w:multiLevelType w:val="hybridMultilevel"/>
    <w:tmpl w:val="FFFFFFFF"/>
    <w:lvl w:ilvl="0" w:tplc="ECDE9436">
      <w:start w:val="1"/>
      <w:numFmt w:val="bullet"/>
      <w:lvlText w:val=""/>
      <w:lvlJc w:val="left"/>
      <w:pPr>
        <w:ind w:left="720" w:hanging="360"/>
      </w:pPr>
      <w:rPr>
        <w:rFonts w:hint="default" w:ascii="Symbol" w:hAnsi="Symbol"/>
      </w:rPr>
    </w:lvl>
    <w:lvl w:ilvl="1" w:tplc="4F66505A">
      <w:start w:val="1"/>
      <w:numFmt w:val="bullet"/>
      <w:lvlText w:val="o"/>
      <w:lvlJc w:val="left"/>
      <w:pPr>
        <w:ind w:left="1440" w:hanging="360"/>
      </w:pPr>
      <w:rPr>
        <w:rFonts w:hint="default" w:ascii="Courier New" w:hAnsi="Courier New"/>
      </w:rPr>
    </w:lvl>
    <w:lvl w:ilvl="2" w:tplc="0BB8E4C0">
      <w:start w:val="1"/>
      <w:numFmt w:val="bullet"/>
      <w:lvlText w:val=""/>
      <w:lvlJc w:val="left"/>
      <w:pPr>
        <w:ind w:left="2160" w:hanging="360"/>
      </w:pPr>
      <w:rPr>
        <w:rFonts w:hint="default" w:ascii="Wingdings" w:hAnsi="Wingdings"/>
      </w:rPr>
    </w:lvl>
    <w:lvl w:ilvl="3" w:tplc="1E748F7E">
      <w:start w:val="1"/>
      <w:numFmt w:val="bullet"/>
      <w:lvlText w:val=""/>
      <w:lvlJc w:val="left"/>
      <w:pPr>
        <w:ind w:left="2880" w:hanging="360"/>
      </w:pPr>
      <w:rPr>
        <w:rFonts w:hint="default" w:ascii="Symbol" w:hAnsi="Symbol"/>
      </w:rPr>
    </w:lvl>
    <w:lvl w:ilvl="4" w:tplc="69B4B300">
      <w:start w:val="1"/>
      <w:numFmt w:val="bullet"/>
      <w:lvlText w:val="o"/>
      <w:lvlJc w:val="left"/>
      <w:pPr>
        <w:ind w:left="3600" w:hanging="360"/>
      </w:pPr>
      <w:rPr>
        <w:rFonts w:hint="default" w:ascii="Courier New" w:hAnsi="Courier New"/>
      </w:rPr>
    </w:lvl>
    <w:lvl w:ilvl="5" w:tplc="7528DAF4">
      <w:start w:val="1"/>
      <w:numFmt w:val="bullet"/>
      <w:lvlText w:val=""/>
      <w:lvlJc w:val="left"/>
      <w:pPr>
        <w:ind w:left="4320" w:hanging="360"/>
      </w:pPr>
      <w:rPr>
        <w:rFonts w:hint="default" w:ascii="Wingdings" w:hAnsi="Wingdings"/>
      </w:rPr>
    </w:lvl>
    <w:lvl w:ilvl="6" w:tplc="3C665F32">
      <w:start w:val="1"/>
      <w:numFmt w:val="bullet"/>
      <w:lvlText w:val=""/>
      <w:lvlJc w:val="left"/>
      <w:pPr>
        <w:ind w:left="5040" w:hanging="360"/>
      </w:pPr>
      <w:rPr>
        <w:rFonts w:hint="default" w:ascii="Symbol" w:hAnsi="Symbol"/>
      </w:rPr>
    </w:lvl>
    <w:lvl w:ilvl="7" w:tplc="7DA80D72">
      <w:start w:val="1"/>
      <w:numFmt w:val="bullet"/>
      <w:lvlText w:val="o"/>
      <w:lvlJc w:val="left"/>
      <w:pPr>
        <w:ind w:left="5760" w:hanging="360"/>
      </w:pPr>
      <w:rPr>
        <w:rFonts w:hint="default" w:ascii="Courier New" w:hAnsi="Courier New"/>
      </w:rPr>
    </w:lvl>
    <w:lvl w:ilvl="8" w:tplc="2EC49F0A">
      <w:start w:val="1"/>
      <w:numFmt w:val="bullet"/>
      <w:lvlText w:val=""/>
      <w:lvlJc w:val="left"/>
      <w:pPr>
        <w:ind w:left="6480" w:hanging="360"/>
      </w:pPr>
      <w:rPr>
        <w:rFonts w:hint="default" w:ascii="Wingdings" w:hAnsi="Wingdings"/>
      </w:rPr>
    </w:lvl>
  </w:abstractNum>
  <w:abstractNum w:abstractNumId="27" w15:restartNumberingAfterBreak="0">
    <w:nsid w:val="4F5F32C3"/>
    <w:multiLevelType w:val="multilevel"/>
    <w:tmpl w:val="27A65722"/>
    <w:lvl w:ilvl="0">
      <w:start w:val="1"/>
      <w:numFmt w:val="bullet"/>
      <w:lvlText w:val=""/>
      <w:lvlJc w:val="left"/>
      <w:pPr>
        <w:tabs>
          <w:tab w:val="num" w:pos="284"/>
        </w:tabs>
        <w:ind w:left="284" w:hanging="284"/>
      </w:pPr>
      <w:rPr>
        <w:rFonts w:hint="default" w:ascii="Symbol" w:hAnsi="Symbol"/>
      </w:rPr>
    </w:lvl>
    <w:lvl w:ilvl="1">
      <w:start w:val="1"/>
      <w:numFmt w:val="bullet"/>
      <w:lvlText w:val=""/>
      <w:lvlJc w:val="left"/>
      <w:pPr>
        <w:tabs>
          <w:tab w:val="num" w:pos="567"/>
        </w:tabs>
        <w:ind w:left="567" w:hanging="283"/>
      </w:pPr>
      <w:rPr>
        <w:rFonts w:hint="default" w:ascii="Symbol" w:hAnsi="Symbol"/>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8" w15:restartNumberingAfterBreak="0">
    <w:nsid w:val="5A3C056E"/>
    <w:multiLevelType w:val="hybridMultilevel"/>
    <w:tmpl w:val="368E5BBE"/>
    <w:lvl w:ilvl="0" w:tplc="FD68283C">
      <w:start w:val="1"/>
      <w:numFmt w:val="upperLetter"/>
      <w:lvlText w:val="%1."/>
      <w:lvlJc w:val="left"/>
      <w:pPr>
        <w:ind w:left="360" w:hanging="360"/>
      </w:pPr>
      <w:rPr>
        <w:rFonts w:hint="default"/>
        <w:b/>
        <w:color w:val="auto"/>
        <w:sz w:val="28"/>
        <w:szCs w:val="28"/>
      </w:rPr>
    </w:lvl>
    <w:lvl w:ilvl="1" w:tplc="0809000F">
      <w:start w:val="1"/>
      <w:numFmt w:val="decimal"/>
      <w:lvlText w:val="%2."/>
      <w:lvlJc w:val="left"/>
      <w:pPr>
        <w:tabs>
          <w:tab w:val="num" w:pos="1440"/>
        </w:tabs>
        <w:ind w:left="1440" w:hanging="360"/>
      </w:pPr>
      <w:rPr>
        <w:rFonts w:hint="default" w:cs="Times New Roman"/>
        <w:color w:val="auto"/>
      </w:rPr>
    </w:lvl>
    <w:lvl w:ilvl="2" w:tplc="2BCC9392">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FB61638"/>
    <w:multiLevelType w:val="hybridMultilevel"/>
    <w:tmpl w:val="FFFFFFFF"/>
    <w:lvl w:ilvl="0" w:tplc="2EFCD6D2">
      <w:start w:val="1"/>
      <w:numFmt w:val="bullet"/>
      <w:lvlText w:val=""/>
      <w:lvlJc w:val="left"/>
      <w:pPr>
        <w:ind w:left="720" w:hanging="360"/>
      </w:pPr>
      <w:rPr>
        <w:rFonts w:hint="default" w:ascii="Symbol" w:hAnsi="Symbol"/>
      </w:rPr>
    </w:lvl>
    <w:lvl w:ilvl="1" w:tplc="CAE42A3A">
      <w:start w:val="1"/>
      <w:numFmt w:val="bullet"/>
      <w:lvlText w:val="o"/>
      <w:lvlJc w:val="left"/>
      <w:pPr>
        <w:ind w:left="1440" w:hanging="360"/>
      </w:pPr>
      <w:rPr>
        <w:rFonts w:hint="default" w:ascii="Courier New" w:hAnsi="Courier New"/>
      </w:rPr>
    </w:lvl>
    <w:lvl w:ilvl="2" w:tplc="3E4C482E">
      <w:start w:val="1"/>
      <w:numFmt w:val="bullet"/>
      <w:lvlText w:val=""/>
      <w:lvlJc w:val="left"/>
      <w:pPr>
        <w:ind w:left="2160" w:hanging="360"/>
      </w:pPr>
      <w:rPr>
        <w:rFonts w:hint="default" w:ascii="Wingdings" w:hAnsi="Wingdings"/>
      </w:rPr>
    </w:lvl>
    <w:lvl w:ilvl="3" w:tplc="7B48F71E">
      <w:start w:val="1"/>
      <w:numFmt w:val="bullet"/>
      <w:lvlText w:val=""/>
      <w:lvlJc w:val="left"/>
      <w:pPr>
        <w:ind w:left="2880" w:hanging="360"/>
      </w:pPr>
      <w:rPr>
        <w:rFonts w:hint="default" w:ascii="Symbol" w:hAnsi="Symbol"/>
      </w:rPr>
    </w:lvl>
    <w:lvl w:ilvl="4" w:tplc="D9A4142A">
      <w:start w:val="1"/>
      <w:numFmt w:val="bullet"/>
      <w:lvlText w:val="o"/>
      <w:lvlJc w:val="left"/>
      <w:pPr>
        <w:ind w:left="3600" w:hanging="360"/>
      </w:pPr>
      <w:rPr>
        <w:rFonts w:hint="default" w:ascii="Courier New" w:hAnsi="Courier New"/>
      </w:rPr>
    </w:lvl>
    <w:lvl w:ilvl="5" w:tplc="FA0C40A6">
      <w:start w:val="1"/>
      <w:numFmt w:val="bullet"/>
      <w:lvlText w:val=""/>
      <w:lvlJc w:val="left"/>
      <w:pPr>
        <w:ind w:left="4320" w:hanging="360"/>
      </w:pPr>
      <w:rPr>
        <w:rFonts w:hint="default" w:ascii="Wingdings" w:hAnsi="Wingdings"/>
      </w:rPr>
    </w:lvl>
    <w:lvl w:ilvl="6" w:tplc="A83C7A62">
      <w:start w:val="1"/>
      <w:numFmt w:val="bullet"/>
      <w:lvlText w:val=""/>
      <w:lvlJc w:val="left"/>
      <w:pPr>
        <w:ind w:left="5040" w:hanging="360"/>
      </w:pPr>
      <w:rPr>
        <w:rFonts w:hint="default" w:ascii="Symbol" w:hAnsi="Symbol"/>
      </w:rPr>
    </w:lvl>
    <w:lvl w:ilvl="7" w:tplc="68342028">
      <w:start w:val="1"/>
      <w:numFmt w:val="bullet"/>
      <w:lvlText w:val="o"/>
      <w:lvlJc w:val="left"/>
      <w:pPr>
        <w:ind w:left="5760" w:hanging="360"/>
      </w:pPr>
      <w:rPr>
        <w:rFonts w:hint="default" w:ascii="Courier New" w:hAnsi="Courier New"/>
      </w:rPr>
    </w:lvl>
    <w:lvl w:ilvl="8" w:tplc="1B72648E">
      <w:start w:val="1"/>
      <w:numFmt w:val="bullet"/>
      <w:lvlText w:val=""/>
      <w:lvlJc w:val="left"/>
      <w:pPr>
        <w:ind w:left="6480" w:hanging="360"/>
      </w:pPr>
      <w:rPr>
        <w:rFonts w:hint="default" w:ascii="Wingdings" w:hAnsi="Wingdings"/>
      </w:rPr>
    </w:lvl>
  </w:abstractNum>
  <w:abstractNum w:abstractNumId="30" w15:restartNumberingAfterBreak="0">
    <w:nsid w:val="60EB51AD"/>
    <w:multiLevelType w:val="hybridMultilevel"/>
    <w:tmpl w:val="5DDE6440"/>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31" w15:restartNumberingAfterBreak="0">
    <w:nsid w:val="62A22EA8"/>
    <w:multiLevelType w:val="hybridMultilevel"/>
    <w:tmpl w:val="42923B18"/>
    <w:lvl w:ilvl="0" w:tplc="08090001">
      <w:start w:val="1"/>
      <w:numFmt w:val="bullet"/>
      <w:lvlText w:val=""/>
      <w:lvlJc w:val="left"/>
      <w:pPr>
        <w:ind w:left="1222" w:hanging="360"/>
      </w:pPr>
      <w:rPr>
        <w:rFonts w:hint="default" w:ascii="Symbol" w:hAnsi="Symbol"/>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32" w15:restartNumberingAfterBreak="0">
    <w:nsid w:val="69275058"/>
    <w:multiLevelType w:val="multilevel"/>
    <w:tmpl w:val="656EADDE"/>
    <w:lvl w:ilvl="0">
      <w:start w:val="1"/>
      <w:numFmt w:val="bullet"/>
      <w:lvlText w:val=""/>
      <w:lvlJc w:val="left"/>
      <w:pPr>
        <w:tabs>
          <w:tab w:val="num" w:pos="900"/>
        </w:tabs>
        <w:ind w:left="900" w:hanging="360"/>
      </w:pPr>
      <w:rPr>
        <w:rFonts w:hint="default" w:ascii="Symbol" w:hAnsi="Symbol"/>
        <w:b w:val="0"/>
        <w:color w:val="auto"/>
      </w:rPr>
    </w:lvl>
    <w:lvl w:ilvl="1">
      <w:start w:val="1"/>
      <w:numFmt w:val="decimal"/>
      <w:lvlText w:val="%1.%2"/>
      <w:lvlJc w:val="left"/>
      <w:pPr>
        <w:tabs>
          <w:tab w:val="num" w:pos="717"/>
        </w:tabs>
        <w:ind w:left="1152" w:hanging="432"/>
      </w:pPr>
      <w:rPr>
        <w:rFonts w:hint="default" w:cs="Times New Roman"/>
      </w:rPr>
    </w:lvl>
    <w:lvl w:ilvl="2">
      <w:start w:val="1"/>
      <w:numFmt w:val="decimal"/>
      <w:lvlText w:val="%1.%2.%3."/>
      <w:lvlJc w:val="left"/>
      <w:pPr>
        <w:tabs>
          <w:tab w:val="num" w:pos="1800"/>
        </w:tabs>
        <w:ind w:left="1584" w:hanging="504"/>
      </w:pPr>
      <w:rPr>
        <w:rFonts w:hint="default" w:cs="Times New Roman"/>
      </w:rPr>
    </w:lvl>
    <w:lvl w:ilvl="3">
      <w:start w:val="1"/>
      <w:numFmt w:val="decimal"/>
      <w:lvlText w:val="%1.%2.%3.%4."/>
      <w:lvlJc w:val="left"/>
      <w:pPr>
        <w:tabs>
          <w:tab w:val="num" w:pos="2520"/>
        </w:tabs>
        <w:ind w:left="2088" w:hanging="648"/>
      </w:pPr>
      <w:rPr>
        <w:rFonts w:hint="default" w:cs="Times New Roman"/>
      </w:rPr>
    </w:lvl>
    <w:lvl w:ilvl="4">
      <w:start w:val="1"/>
      <w:numFmt w:val="decimal"/>
      <w:lvlText w:val="%1.%2.%3.%4.%5."/>
      <w:lvlJc w:val="left"/>
      <w:pPr>
        <w:tabs>
          <w:tab w:val="num" w:pos="2880"/>
        </w:tabs>
        <w:ind w:left="2592" w:hanging="792"/>
      </w:pPr>
      <w:rPr>
        <w:rFonts w:hint="default" w:cs="Times New Roman"/>
      </w:rPr>
    </w:lvl>
    <w:lvl w:ilvl="5">
      <w:start w:val="1"/>
      <w:numFmt w:val="decimal"/>
      <w:lvlText w:val="%1.%2.%3.%4.%5.%6."/>
      <w:lvlJc w:val="left"/>
      <w:pPr>
        <w:tabs>
          <w:tab w:val="num" w:pos="3600"/>
        </w:tabs>
        <w:ind w:left="3096" w:hanging="936"/>
      </w:pPr>
      <w:rPr>
        <w:rFonts w:hint="default" w:cs="Times New Roman"/>
      </w:rPr>
    </w:lvl>
    <w:lvl w:ilvl="6">
      <w:start w:val="1"/>
      <w:numFmt w:val="decimal"/>
      <w:lvlText w:val="%1.%2.%3.%4.%5.%6.%7."/>
      <w:lvlJc w:val="left"/>
      <w:pPr>
        <w:tabs>
          <w:tab w:val="num" w:pos="3960"/>
        </w:tabs>
        <w:ind w:left="3600" w:hanging="1080"/>
      </w:pPr>
      <w:rPr>
        <w:rFonts w:hint="default" w:cs="Times New Roman"/>
      </w:rPr>
    </w:lvl>
    <w:lvl w:ilvl="7">
      <w:start w:val="1"/>
      <w:numFmt w:val="decimal"/>
      <w:lvlText w:val="%1.%2.%3.%4.%5.%6.%7.%8."/>
      <w:lvlJc w:val="left"/>
      <w:pPr>
        <w:tabs>
          <w:tab w:val="num" w:pos="4680"/>
        </w:tabs>
        <w:ind w:left="4104" w:hanging="1224"/>
      </w:pPr>
      <w:rPr>
        <w:rFonts w:hint="default" w:cs="Times New Roman"/>
      </w:rPr>
    </w:lvl>
    <w:lvl w:ilvl="8">
      <w:start w:val="1"/>
      <w:numFmt w:val="decimal"/>
      <w:lvlText w:val="%1.%2.%3.%4.%5.%6.%7.%8.%9."/>
      <w:lvlJc w:val="left"/>
      <w:pPr>
        <w:tabs>
          <w:tab w:val="num" w:pos="5040"/>
        </w:tabs>
        <w:ind w:left="4680" w:hanging="1440"/>
      </w:pPr>
      <w:rPr>
        <w:rFonts w:hint="default" w:cs="Times New Roman"/>
      </w:rPr>
    </w:lvl>
  </w:abstractNum>
  <w:abstractNum w:abstractNumId="33" w15:restartNumberingAfterBreak="0">
    <w:nsid w:val="6DA116C9"/>
    <w:multiLevelType w:val="hybridMultilevel"/>
    <w:tmpl w:val="BE789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F2652A4"/>
    <w:multiLevelType w:val="hybridMultilevel"/>
    <w:tmpl w:val="5C56D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18851C2"/>
    <w:multiLevelType w:val="multilevel"/>
    <w:tmpl w:val="3626DD9A"/>
    <w:lvl w:ilvl="0">
      <w:start w:val="1"/>
      <w:numFmt w:val="decimal"/>
      <w:pStyle w:val="IARefNumber"/>
      <w:suff w:val="nothing"/>
      <w:lvlText w:val="%1"/>
      <w:lvlJc w:val="left"/>
      <w:pPr>
        <w:ind w:firstLine="113"/>
      </w:pPr>
      <w:rPr>
        <w:rFonts w:hint="default" w:cs="Times New Roman"/>
      </w:rPr>
    </w:lvl>
    <w:lvl w:ilvl="1">
      <w:start w:val="1"/>
      <w:numFmt w:val="decimal"/>
      <w:lvlText w:val="%1.%2."/>
      <w:lvlJc w:val="left"/>
      <w:pPr>
        <w:tabs>
          <w:tab w:val="num" w:pos="1080"/>
        </w:tabs>
        <w:ind w:left="792" w:hanging="432"/>
      </w:pPr>
      <w:rPr>
        <w:rFonts w:hint="default" w:cs="Times New Roman"/>
      </w:rPr>
    </w:lvl>
    <w:lvl w:ilvl="2">
      <w:start w:val="1"/>
      <w:numFmt w:val="decimal"/>
      <w:lvlText w:val="%1.%2.%3."/>
      <w:lvlJc w:val="left"/>
      <w:pPr>
        <w:tabs>
          <w:tab w:val="num" w:pos="1800"/>
        </w:tabs>
        <w:ind w:left="1224" w:hanging="504"/>
      </w:pPr>
      <w:rPr>
        <w:rFonts w:hint="default" w:cs="Times New Roman"/>
      </w:rPr>
    </w:lvl>
    <w:lvl w:ilvl="3">
      <w:start w:val="1"/>
      <w:numFmt w:val="decimal"/>
      <w:lvlText w:val="%1.%2.%3.%4."/>
      <w:lvlJc w:val="left"/>
      <w:pPr>
        <w:tabs>
          <w:tab w:val="num" w:pos="252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600"/>
        </w:tabs>
        <w:ind w:left="2736" w:hanging="936"/>
      </w:pPr>
      <w:rPr>
        <w:rFonts w:hint="default" w:cs="Times New Roman"/>
      </w:rPr>
    </w:lvl>
    <w:lvl w:ilvl="6">
      <w:start w:val="1"/>
      <w:numFmt w:val="decimal"/>
      <w:lvlText w:val="%1.%2.%3.%4.%5.%6.%7."/>
      <w:lvlJc w:val="left"/>
      <w:pPr>
        <w:tabs>
          <w:tab w:val="num" w:pos="4320"/>
        </w:tabs>
        <w:ind w:left="3240" w:hanging="1080"/>
      </w:pPr>
      <w:rPr>
        <w:rFonts w:hint="default" w:cs="Times New Roman"/>
      </w:rPr>
    </w:lvl>
    <w:lvl w:ilvl="7">
      <w:start w:val="1"/>
      <w:numFmt w:val="decimal"/>
      <w:lvlText w:val="%1.%2.%3.%4.%5.%6.%7.%8."/>
      <w:lvlJc w:val="left"/>
      <w:pPr>
        <w:tabs>
          <w:tab w:val="num" w:pos="5040"/>
        </w:tabs>
        <w:ind w:left="3744" w:hanging="1224"/>
      </w:pPr>
      <w:rPr>
        <w:rFonts w:hint="default" w:cs="Times New Roman"/>
      </w:rPr>
    </w:lvl>
    <w:lvl w:ilvl="8">
      <w:start w:val="1"/>
      <w:numFmt w:val="decimal"/>
      <w:lvlText w:val="%1.%2.%3.%4.%5.%6.%7.%8.%9."/>
      <w:lvlJc w:val="left"/>
      <w:pPr>
        <w:tabs>
          <w:tab w:val="num" w:pos="5760"/>
        </w:tabs>
        <w:ind w:left="4320" w:hanging="1440"/>
      </w:pPr>
      <w:rPr>
        <w:rFonts w:hint="default" w:cs="Times New Roman"/>
      </w:rPr>
    </w:lvl>
  </w:abstractNum>
  <w:abstractNum w:abstractNumId="36" w15:restartNumberingAfterBreak="0">
    <w:nsid w:val="7FB75C1D"/>
    <w:multiLevelType w:val="multilevel"/>
    <w:tmpl w:val="E2CC615A"/>
    <w:lvl w:ilvl="0">
      <w:start w:val="1"/>
      <w:numFmt w:val="none"/>
      <w:pStyle w:val="EBNumberRestart"/>
      <w:suff w:val="nothing"/>
      <w:lvlText w:val="%1"/>
      <w:lvlJc w:val="left"/>
      <w:rPr>
        <w:rFonts w:hint="default" w:cs="Times New Roman"/>
      </w:rPr>
    </w:lvl>
    <w:lvl w:ilvl="1">
      <w:start w:val="1"/>
      <w:numFmt w:val="decimal"/>
      <w:pStyle w:val="EBNumber"/>
      <w:lvlText w:val="%1%2."/>
      <w:lvlJc w:val="left"/>
      <w:pPr>
        <w:tabs>
          <w:tab w:val="num" w:pos="425"/>
        </w:tabs>
        <w:ind w:left="425" w:hanging="425"/>
      </w:pPr>
      <w:rPr>
        <w:rFonts w:hint="default" w:cs="Times New Roman"/>
      </w:rPr>
    </w:lvl>
    <w:lvl w:ilvl="2">
      <w:start w:val="1"/>
      <w:numFmt w:val="lowerLetter"/>
      <w:lvlText w:val="%1%3."/>
      <w:lvlJc w:val="left"/>
      <w:pPr>
        <w:tabs>
          <w:tab w:val="num" w:pos="851"/>
        </w:tabs>
        <w:ind w:left="851" w:hanging="426"/>
      </w:pPr>
      <w:rPr>
        <w:rFonts w:hint="default" w:cs="Times New Roman"/>
      </w:rPr>
    </w:lvl>
    <w:lvl w:ilvl="3">
      <w:start w:val="1"/>
      <w:numFmt w:val="none"/>
      <w:lvlText w:val="%1"/>
      <w:lvlJc w:val="left"/>
      <w:pPr>
        <w:tabs>
          <w:tab w:val="num" w:pos="2880"/>
        </w:tabs>
        <w:ind w:left="1728" w:hanging="648"/>
      </w:pPr>
      <w:rPr>
        <w:rFonts w:hint="default" w:cs="Times New Roman"/>
      </w:rPr>
    </w:lvl>
    <w:lvl w:ilvl="4">
      <w:start w:val="1"/>
      <w:numFmt w:val="none"/>
      <w:lvlText w:val="%1"/>
      <w:lvlJc w:val="left"/>
      <w:pPr>
        <w:tabs>
          <w:tab w:val="num" w:pos="3600"/>
        </w:tabs>
        <w:ind w:left="2232" w:hanging="792"/>
      </w:pPr>
      <w:rPr>
        <w:rFonts w:hint="default" w:cs="Times New Roman"/>
      </w:rPr>
    </w:lvl>
    <w:lvl w:ilvl="5">
      <w:start w:val="1"/>
      <w:numFmt w:val="none"/>
      <w:lvlText w:val="%1"/>
      <w:lvlJc w:val="left"/>
      <w:pPr>
        <w:tabs>
          <w:tab w:val="num" w:pos="4320"/>
        </w:tabs>
        <w:ind w:left="2736" w:hanging="936"/>
      </w:pPr>
      <w:rPr>
        <w:rFonts w:hint="default" w:cs="Times New Roman"/>
      </w:rPr>
    </w:lvl>
    <w:lvl w:ilvl="6">
      <w:start w:val="1"/>
      <w:numFmt w:val="none"/>
      <w:lvlText w:val="%1"/>
      <w:lvlJc w:val="left"/>
      <w:pPr>
        <w:tabs>
          <w:tab w:val="num" w:pos="5040"/>
        </w:tabs>
        <w:ind w:left="3240" w:hanging="1080"/>
      </w:pPr>
      <w:rPr>
        <w:rFonts w:hint="default" w:cs="Times New Roman"/>
      </w:rPr>
    </w:lvl>
    <w:lvl w:ilvl="7">
      <w:start w:val="1"/>
      <w:numFmt w:val="decimal"/>
      <w:lvlText w:val="%1.%2.%3.%4.%5.%6.%7.%8."/>
      <w:lvlJc w:val="left"/>
      <w:pPr>
        <w:tabs>
          <w:tab w:val="num" w:pos="5760"/>
        </w:tabs>
        <w:ind w:left="3744" w:hanging="1224"/>
      </w:pPr>
      <w:rPr>
        <w:rFonts w:hint="default" w:cs="Times New Roman"/>
      </w:rPr>
    </w:lvl>
    <w:lvl w:ilvl="8">
      <w:start w:val="1"/>
      <w:numFmt w:val="decimal"/>
      <w:lvlText w:val="%1.%2.%3.%4.%5.%6.%7.%8.%9."/>
      <w:lvlJc w:val="left"/>
      <w:pPr>
        <w:tabs>
          <w:tab w:val="num" w:pos="6480"/>
        </w:tabs>
        <w:ind w:left="4320" w:hanging="1440"/>
      </w:pPr>
      <w:rPr>
        <w:rFonts w:hint="default"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5"/>
  </w:num>
  <w:num w:numId="13">
    <w:abstractNumId w:val="10"/>
  </w:num>
  <w:num w:numId="14">
    <w:abstractNumId w:val="23"/>
  </w:num>
  <w:num w:numId="15">
    <w:abstractNumId w:val="19"/>
  </w:num>
  <w:num w:numId="16">
    <w:abstractNumId w:val="16"/>
  </w:num>
  <w:num w:numId="17">
    <w:abstractNumId w:val="19"/>
  </w:num>
  <w:num w:numId="18">
    <w:abstractNumId w:val="36"/>
  </w:num>
  <w:num w:numId="19">
    <w:abstractNumId w:val="36"/>
  </w:num>
  <w:num w:numId="20">
    <w:abstractNumId w:val="36"/>
  </w:num>
  <w:num w:numId="21">
    <w:abstractNumId w:val="19"/>
  </w:num>
  <w:num w:numId="22">
    <w:abstractNumId w:val="25"/>
  </w:num>
  <w:num w:numId="23">
    <w:abstractNumId w:val="27"/>
  </w:num>
  <w:num w:numId="24">
    <w:abstractNumId w:val="29"/>
  </w:num>
  <w:num w:numId="25">
    <w:abstractNumId w:val="26"/>
  </w:num>
  <w:num w:numId="26">
    <w:abstractNumId w:val="21"/>
  </w:num>
  <w:num w:numId="27">
    <w:abstractNumId w:val="14"/>
  </w:num>
  <w:num w:numId="28">
    <w:abstractNumId w:val="30"/>
  </w:num>
  <w:num w:numId="29">
    <w:abstractNumId w:val="12"/>
  </w:num>
  <w:num w:numId="30">
    <w:abstractNumId w:val="32"/>
  </w:num>
  <w:num w:numId="31">
    <w:abstractNumId w:val="28"/>
  </w:num>
  <w:num w:numId="32">
    <w:abstractNumId w:val="24"/>
  </w:num>
  <w:num w:numId="33">
    <w:abstractNumId w:val="33"/>
  </w:num>
  <w:num w:numId="34">
    <w:abstractNumId w:val="22"/>
  </w:num>
  <w:num w:numId="35">
    <w:abstractNumId w:val="18"/>
  </w:num>
  <w:num w:numId="36">
    <w:abstractNumId w:val="31"/>
  </w:num>
  <w:num w:numId="37">
    <w:abstractNumId w:val="20"/>
  </w:num>
  <w:num w:numId="38">
    <w:abstractNumId w:val="34"/>
  </w:num>
  <w:num w:numId="39">
    <w:abstractNumId w:val="13"/>
  </w:num>
  <w:num w:numId="40">
    <w:abstractNumId w:val="15"/>
  </w:num>
  <w:num w:numId="41">
    <w:abstractNumId w:val="17"/>
  </w:num>
  <w:num w:numId="4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 w:val="Created"/>
    <w:docVar w:name="VerNumber" w:val="3.9.0"/>
  </w:docVars>
  <w:rsids>
    <w:rsidRoot w:val="00044FE7"/>
    <w:rsid w:val="00000766"/>
    <w:rsid w:val="000019B2"/>
    <w:rsid w:val="00001E72"/>
    <w:rsid w:val="0000352E"/>
    <w:rsid w:val="00003A70"/>
    <w:rsid w:val="00003B95"/>
    <w:rsid w:val="00004116"/>
    <w:rsid w:val="00004992"/>
    <w:rsid w:val="0000505F"/>
    <w:rsid w:val="000058D2"/>
    <w:rsid w:val="0000616B"/>
    <w:rsid w:val="000071A5"/>
    <w:rsid w:val="000079C0"/>
    <w:rsid w:val="00007A0C"/>
    <w:rsid w:val="0001051D"/>
    <w:rsid w:val="00010950"/>
    <w:rsid w:val="00010EE1"/>
    <w:rsid w:val="00011C1A"/>
    <w:rsid w:val="00012458"/>
    <w:rsid w:val="000140D2"/>
    <w:rsid w:val="000142F1"/>
    <w:rsid w:val="0001460F"/>
    <w:rsid w:val="000166B7"/>
    <w:rsid w:val="000171D3"/>
    <w:rsid w:val="00017F95"/>
    <w:rsid w:val="00021306"/>
    <w:rsid w:val="000222F1"/>
    <w:rsid w:val="00022BE0"/>
    <w:rsid w:val="00022F52"/>
    <w:rsid w:val="00023080"/>
    <w:rsid w:val="00023395"/>
    <w:rsid w:val="0002370C"/>
    <w:rsid w:val="000239A7"/>
    <w:rsid w:val="00023E62"/>
    <w:rsid w:val="000251D0"/>
    <w:rsid w:val="00025CC4"/>
    <w:rsid w:val="00026537"/>
    <w:rsid w:val="00026555"/>
    <w:rsid w:val="00026AC0"/>
    <w:rsid w:val="000303B7"/>
    <w:rsid w:val="000318E3"/>
    <w:rsid w:val="0003786D"/>
    <w:rsid w:val="0004016B"/>
    <w:rsid w:val="000407D8"/>
    <w:rsid w:val="00041F17"/>
    <w:rsid w:val="00044FE7"/>
    <w:rsid w:val="00045828"/>
    <w:rsid w:val="00045BAD"/>
    <w:rsid w:val="00050CDC"/>
    <w:rsid w:val="00051403"/>
    <w:rsid w:val="0005148C"/>
    <w:rsid w:val="00052F44"/>
    <w:rsid w:val="00053711"/>
    <w:rsid w:val="0005543F"/>
    <w:rsid w:val="00056EE6"/>
    <w:rsid w:val="0006047F"/>
    <w:rsid w:val="0006053F"/>
    <w:rsid w:val="00060BE9"/>
    <w:rsid w:val="00061D9C"/>
    <w:rsid w:val="000621ED"/>
    <w:rsid w:val="0006424C"/>
    <w:rsid w:val="000647D0"/>
    <w:rsid w:val="00064D0F"/>
    <w:rsid w:val="000671A2"/>
    <w:rsid w:val="000676DB"/>
    <w:rsid w:val="00067CA0"/>
    <w:rsid w:val="00070617"/>
    <w:rsid w:val="00070EEB"/>
    <w:rsid w:val="00071299"/>
    <w:rsid w:val="00071E6A"/>
    <w:rsid w:val="00072272"/>
    <w:rsid w:val="0007524C"/>
    <w:rsid w:val="0007532E"/>
    <w:rsid w:val="000766DE"/>
    <w:rsid w:val="000767AC"/>
    <w:rsid w:val="0007695E"/>
    <w:rsid w:val="00076A78"/>
    <w:rsid w:val="00076C08"/>
    <w:rsid w:val="00082659"/>
    <w:rsid w:val="00082B07"/>
    <w:rsid w:val="00082B2E"/>
    <w:rsid w:val="00082BAC"/>
    <w:rsid w:val="00082C38"/>
    <w:rsid w:val="0008548C"/>
    <w:rsid w:val="000860CC"/>
    <w:rsid w:val="00086128"/>
    <w:rsid w:val="0008731F"/>
    <w:rsid w:val="00093598"/>
    <w:rsid w:val="0009381F"/>
    <w:rsid w:val="00094680"/>
    <w:rsid w:val="000956A1"/>
    <w:rsid w:val="000956FD"/>
    <w:rsid w:val="00096710"/>
    <w:rsid w:val="000A36EE"/>
    <w:rsid w:val="000A3E5B"/>
    <w:rsid w:val="000A5C5D"/>
    <w:rsid w:val="000A6D36"/>
    <w:rsid w:val="000A6E4B"/>
    <w:rsid w:val="000A79FC"/>
    <w:rsid w:val="000B0699"/>
    <w:rsid w:val="000B07A1"/>
    <w:rsid w:val="000B1176"/>
    <w:rsid w:val="000B1A2E"/>
    <w:rsid w:val="000B32ED"/>
    <w:rsid w:val="000B3E49"/>
    <w:rsid w:val="000B40E1"/>
    <w:rsid w:val="000B5B6D"/>
    <w:rsid w:val="000B5B9C"/>
    <w:rsid w:val="000B6008"/>
    <w:rsid w:val="000C0019"/>
    <w:rsid w:val="000C031E"/>
    <w:rsid w:val="000C165A"/>
    <w:rsid w:val="000C1D45"/>
    <w:rsid w:val="000C1F84"/>
    <w:rsid w:val="000C2593"/>
    <w:rsid w:val="000C30D8"/>
    <w:rsid w:val="000C36F1"/>
    <w:rsid w:val="000C4589"/>
    <w:rsid w:val="000C57D5"/>
    <w:rsid w:val="000C6A87"/>
    <w:rsid w:val="000D0E95"/>
    <w:rsid w:val="000D1CB0"/>
    <w:rsid w:val="000D1F4F"/>
    <w:rsid w:val="000D53EC"/>
    <w:rsid w:val="000D55B5"/>
    <w:rsid w:val="000D58BD"/>
    <w:rsid w:val="000D5ED5"/>
    <w:rsid w:val="000D6727"/>
    <w:rsid w:val="000D71FA"/>
    <w:rsid w:val="000D7F7C"/>
    <w:rsid w:val="000E02BE"/>
    <w:rsid w:val="000E110D"/>
    <w:rsid w:val="000E3308"/>
    <w:rsid w:val="000E3FD7"/>
    <w:rsid w:val="000E42C5"/>
    <w:rsid w:val="000E452D"/>
    <w:rsid w:val="000E57F5"/>
    <w:rsid w:val="000E630E"/>
    <w:rsid w:val="000E6AA2"/>
    <w:rsid w:val="000F004E"/>
    <w:rsid w:val="000F0840"/>
    <w:rsid w:val="000F37BB"/>
    <w:rsid w:val="000F4481"/>
    <w:rsid w:val="000F57BB"/>
    <w:rsid w:val="00101961"/>
    <w:rsid w:val="00102870"/>
    <w:rsid w:val="001037C3"/>
    <w:rsid w:val="001054AF"/>
    <w:rsid w:val="001075EE"/>
    <w:rsid w:val="00110396"/>
    <w:rsid w:val="00110643"/>
    <w:rsid w:val="001110DB"/>
    <w:rsid w:val="00111604"/>
    <w:rsid w:val="001118FE"/>
    <w:rsid w:val="001154C6"/>
    <w:rsid w:val="00115D70"/>
    <w:rsid w:val="001164DE"/>
    <w:rsid w:val="00120113"/>
    <w:rsid w:val="00121520"/>
    <w:rsid w:val="00121D0E"/>
    <w:rsid w:val="001235DD"/>
    <w:rsid w:val="0012369A"/>
    <w:rsid w:val="001243CD"/>
    <w:rsid w:val="0012460B"/>
    <w:rsid w:val="00127373"/>
    <w:rsid w:val="00131C08"/>
    <w:rsid w:val="00131CE4"/>
    <w:rsid w:val="00133A17"/>
    <w:rsid w:val="00133C58"/>
    <w:rsid w:val="00134EA8"/>
    <w:rsid w:val="001365F4"/>
    <w:rsid w:val="0014140D"/>
    <w:rsid w:val="00141B6F"/>
    <w:rsid w:val="00141C8D"/>
    <w:rsid w:val="0014336D"/>
    <w:rsid w:val="00143F26"/>
    <w:rsid w:val="001477D1"/>
    <w:rsid w:val="00150DAE"/>
    <w:rsid w:val="0015254E"/>
    <w:rsid w:val="00152C60"/>
    <w:rsid w:val="001535F3"/>
    <w:rsid w:val="00155032"/>
    <w:rsid w:val="0015540E"/>
    <w:rsid w:val="00156D65"/>
    <w:rsid w:val="00156E0C"/>
    <w:rsid w:val="00157DB6"/>
    <w:rsid w:val="00160691"/>
    <w:rsid w:val="00161099"/>
    <w:rsid w:val="00162E5E"/>
    <w:rsid w:val="00163F4B"/>
    <w:rsid w:val="0016425D"/>
    <w:rsid w:val="001647E3"/>
    <w:rsid w:val="00164F68"/>
    <w:rsid w:val="00165113"/>
    <w:rsid w:val="001676C9"/>
    <w:rsid w:val="001709E2"/>
    <w:rsid w:val="0017320B"/>
    <w:rsid w:val="00174118"/>
    <w:rsid w:val="00174C10"/>
    <w:rsid w:val="00175447"/>
    <w:rsid w:val="00176AB5"/>
    <w:rsid w:val="00180388"/>
    <w:rsid w:val="00182B85"/>
    <w:rsid w:val="00183038"/>
    <w:rsid w:val="00183882"/>
    <w:rsid w:val="001844B6"/>
    <w:rsid w:val="001851A3"/>
    <w:rsid w:val="001851B9"/>
    <w:rsid w:val="001855B1"/>
    <w:rsid w:val="00186D01"/>
    <w:rsid w:val="00187D13"/>
    <w:rsid w:val="0019021E"/>
    <w:rsid w:val="00190F9A"/>
    <w:rsid w:val="00194050"/>
    <w:rsid w:val="00194745"/>
    <w:rsid w:val="00194E96"/>
    <w:rsid w:val="001951BC"/>
    <w:rsid w:val="001A07F1"/>
    <w:rsid w:val="001A26EC"/>
    <w:rsid w:val="001A3B0B"/>
    <w:rsid w:val="001A4332"/>
    <w:rsid w:val="001A4432"/>
    <w:rsid w:val="001A478E"/>
    <w:rsid w:val="001A509E"/>
    <w:rsid w:val="001A6FE6"/>
    <w:rsid w:val="001A7749"/>
    <w:rsid w:val="001A7B61"/>
    <w:rsid w:val="001A7D6D"/>
    <w:rsid w:val="001B1210"/>
    <w:rsid w:val="001B305C"/>
    <w:rsid w:val="001B34EB"/>
    <w:rsid w:val="001B52FD"/>
    <w:rsid w:val="001C0644"/>
    <w:rsid w:val="001C0650"/>
    <w:rsid w:val="001C0AB0"/>
    <w:rsid w:val="001C0B58"/>
    <w:rsid w:val="001C216C"/>
    <w:rsid w:val="001C3363"/>
    <w:rsid w:val="001C65AF"/>
    <w:rsid w:val="001C7073"/>
    <w:rsid w:val="001C7C39"/>
    <w:rsid w:val="001D08E4"/>
    <w:rsid w:val="001D09CC"/>
    <w:rsid w:val="001D0AF4"/>
    <w:rsid w:val="001D12D6"/>
    <w:rsid w:val="001D1FC0"/>
    <w:rsid w:val="001D2096"/>
    <w:rsid w:val="001D3A43"/>
    <w:rsid w:val="001D3C11"/>
    <w:rsid w:val="001D42DF"/>
    <w:rsid w:val="001D4AA8"/>
    <w:rsid w:val="001D4D42"/>
    <w:rsid w:val="001D5EC9"/>
    <w:rsid w:val="001D6A57"/>
    <w:rsid w:val="001D6B90"/>
    <w:rsid w:val="001E0EBF"/>
    <w:rsid w:val="001E152A"/>
    <w:rsid w:val="001E1C7E"/>
    <w:rsid w:val="001E1DA0"/>
    <w:rsid w:val="001E473F"/>
    <w:rsid w:val="001E4D5C"/>
    <w:rsid w:val="001E62DB"/>
    <w:rsid w:val="001E69A2"/>
    <w:rsid w:val="001E6DD7"/>
    <w:rsid w:val="001E72B7"/>
    <w:rsid w:val="001F0E18"/>
    <w:rsid w:val="001F2F4E"/>
    <w:rsid w:val="001F4352"/>
    <w:rsid w:val="001F48F9"/>
    <w:rsid w:val="001F5423"/>
    <w:rsid w:val="001F5DD9"/>
    <w:rsid w:val="001F69E9"/>
    <w:rsid w:val="001F6D51"/>
    <w:rsid w:val="001F71C9"/>
    <w:rsid w:val="001F729D"/>
    <w:rsid w:val="001F7CF8"/>
    <w:rsid w:val="0020104C"/>
    <w:rsid w:val="0020151D"/>
    <w:rsid w:val="00201B79"/>
    <w:rsid w:val="00202BA0"/>
    <w:rsid w:val="00202E56"/>
    <w:rsid w:val="002033D6"/>
    <w:rsid w:val="00203758"/>
    <w:rsid w:val="00204AB1"/>
    <w:rsid w:val="00204C93"/>
    <w:rsid w:val="00205E05"/>
    <w:rsid w:val="0020708B"/>
    <w:rsid w:val="00207B21"/>
    <w:rsid w:val="00207D2A"/>
    <w:rsid w:val="00211257"/>
    <w:rsid w:val="00213F09"/>
    <w:rsid w:val="002144F0"/>
    <w:rsid w:val="0021574A"/>
    <w:rsid w:val="00216856"/>
    <w:rsid w:val="00216F02"/>
    <w:rsid w:val="0021731F"/>
    <w:rsid w:val="00217CA1"/>
    <w:rsid w:val="00220241"/>
    <w:rsid w:val="00220F29"/>
    <w:rsid w:val="00221BE8"/>
    <w:rsid w:val="00221FAD"/>
    <w:rsid w:val="002222B5"/>
    <w:rsid w:val="002229A5"/>
    <w:rsid w:val="00223ACF"/>
    <w:rsid w:val="0022490F"/>
    <w:rsid w:val="00225F9C"/>
    <w:rsid w:val="00226153"/>
    <w:rsid w:val="002274E5"/>
    <w:rsid w:val="0022767B"/>
    <w:rsid w:val="00227EBE"/>
    <w:rsid w:val="002306B7"/>
    <w:rsid w:val="00230802"/>
    <w:rsid w:val="00232C6D"/>
    <w:rsid w:val="00232D77"/>
    <w:rsid w:val="0023355B"/>
    <w:rsid w:val="0023360D"/>
    <w:rsid w:val="002338E8"/>
    <w:rsid w:val="002347A2"/>
    <w:rsid w:val="00241738"/>
    <w:rsid w:val="002425C2"/>
    <w:rsid w:val="00242C41"/>
    <w:rsid w:val="002437A8"/>
    <w:rsid w:val="00244962"/>
    <w:rsid w:val="002455AA"/>
    <w:rsid w:val="00246360"/>
    <w:rsid w:val="00246AF8"/>
    <w:rsid w:val="00250259"/>
    <w:rsid w:val="002516F5"/>
    <w:rsid w:val="00251C5F"/>
    <w:rsid w:val="00251ED1"/>
    <w:rsid w:val="002530A8"/>
    <w:rsid w:val="00253D16"/>
    <w:rsid w:val="00253F4D"/>
    <w:rsid w:val="00254C23"/>
    <w:rsid w:val="00255239"/>
    <w:rsid w:val="0025548E"/>
    <w:rsid w:val="002568A7"/>
    <w:rsid w:val="00257419"/>
    <w:rsid w:val="00260206"/>
    <w:rsid w:val="00261672"/>
    <w:rsid w:val="0026191F"/>
    <w:rsid w:val="00261AEF"/>
    <w:rsid w:val="0026224B"/>
    <w:rsid w:val="00262437"/>
    <w:rsid w:val="00265153"/>
    <w:rsid w:val="0026537E"/>
    <w:rsid w:val="0026604F"/>
    <w:rsid w:val="00266E9D"/>
    <w:rsid w:val="002718D6"/>
    <w:rsid w:val="00272539"/>
    <w:rsid w:val="00272F62"/>
    <w:rsid w:val="00272FA0"/>
    <w:rsid w:val="00273A3C"/>
    <w:rsid w:val="002757F3"/>
    <w:rsid w:val="002771C7"/>
    <w:rsid w:val="00281E7E"/>
    <w:rsid w:val="00282EFA"/>
    <w:rsid w:val="002837FC"/>
    <w:rsid w:val="00284797"/>
    <w:rsid w:val="00284C30"/>
    <w:rsid w:val="002858BC"/>
    <w:rsid w:val="00286282"/>
    <w:rsid w:val="0028755A"/>
    <w:rsid w:val="00287BA8"/>
    <w:rsid w:val="00287DF9"/>
    <w:rsid w:val="00290335"/>
    <w:rsid w:val="00291223"/>
    <w:rsid w:val="0029158C"/>
    <w:rsid w:val="00294D71"/>
    <w:rsid w:val="002966A6"/>
    <w:rsid w:val="002A06DA"/>
    <w:rsid w:val="002A2456"/>
    <w:rsid w:val="002A456F"/>
    <w:rsid w:val="002A6E2B"/>
    <w:rsid w:val="002A78B6"/>
    <w:rsid w:val="002B07AE"/>
    <w:rsid w:val="002B1CAC"/>
    <w:rsid w:val="002B2572"/>
    <w:rsid w:val="002B298A"/>
    <w:rsid w:val="002B476D"/>
    <w:rsid w:val="002B4D79"/>
    <w:rsid w:val="002B53DC"/>
    <w:rsid w:val="002B7335"/>
    <w:rsid w:val="002B77F5"/>
    <w:rsid w:val="002C09DC"/>
    <w:rsid w:val="002C1314"/>
    <w:rsid w:val="002C1D0C"/>
    <w:rsid w:val="002C1EC2"/>
    <w:rsid w:val="002C2149"/>
    <w:rsid w:val="002C2248"/>
    <w:rsid w:val="002C331D"/>
    <w:rsid w:val="002D022B"/>
    <w:rsid w:val="002D070B"/>
    <w:rsid w:val="002D1AE9"/>
    <w:rsid w:val="002D2639"/>
    <w:rsid w:val="002D2C3A"/>
    <w:rsid w:val="002D2D7E"/>
    <w:rsid w:val="002D2F70"/>
    <w:rsid w:val="002D3103"/>
    <w:rsid w:val="002D4104"/>
    <w:rsid w:val="002D4177"/>
    <w:rsid w:val="002D548B"/>
    <w:rsid w:val="002D66B1"/>
    <w:rsid w:val="002D7518"/>
    <w:rsid w:val="002D7616"/>
    <w:rsid w:val="002D7ECF"/>
    <w:rsid w:val="002E0653"/>
    <w:rsid w:val="002E18CE"/>
    <w:rsid w:val="002E1C94"/>
    <w:rsid w:val="002E451D"/>
    <w:rsid w:val="002E46DE"/>
    <w:rsid w:val="002E4B1C"/>
    <w:rsid w:val="002E5406"/>
    <w:rsid w:val="002E76B0"/>
    <w:rsid w:val="002E77E7"/>
    <w:rsid w:val="002E78D7"/>
    <w:rsid w:val="002F1CB1"/>
    <w:rsid w:val="002F3325"/>
    <w:rsid w:val="002F3633"/>
    <w:rsid w:val="002F4258"/>
    <w:rsid w:val="002F581D"/>
    <w:rsid w:val="002F5B67"/>
    <w:rsid w:val="002F653C"/>
    <w:rsid w:val="002F7D4C"/>
    <w:rsid w:val="002F7D6A"/>
    <w:rsid w:val="00300CED"/>
    <w:rsid w:val="00300D77"/>
    <w:rsid w:val="003030E1"/>
    <w:rsid w:val="00304677"/>
    <w:rsid w:val="00304C1D"/>
    <w:rsid w:val="003069E8"/>
    <w:rsid w:val="00307737"/>
    <w:rsid w:val="00307E85"/>
    <w:rsid w:val="00310269"/>
    <w:rsid w:val="00310BBC"/>
    <w:rsid w:val="00310E67"/>
    <w:rsid w:val="003111DB"/>
    <w:rsid w:val="0031131E"/>
    <w:rsid w:val="00311373"/>
    <w:rsid w:val="00311CCB"/>
    <w:rsid w:val="00312336"/>
    <w:rsid w:val="00313937"/>
    <w:rsid w:val="00314466"/>
    <w:rsid w:val="003149E9"/>
    <w:rsid w:val="00316B83"/>
    <w:rsid w:val="003172DE"/>
    <w:rsid w:val="00317A3A"/>
    <w:rsid w:val="00317DAD"/>
    <w:rsid w:val="003203C7"/>
    <w:rsid w:val="00320415"/>
    <w:rsid w:val="0032071B"/>
    <w:rsid w:val="00320A6A"/>
    <w:rsid w:val="003216A5"/>
    <w:rsid w:val="00321CA7"/>
    <w:rsid w:val="003228BF"/>
    <w:rsid w:val="00322E0B"/>
    <w:rsid w:val="00323107"/>
    <w:rsid w:val="00323C5A"/>
    <w:rsid w:val="00324485"/>
    <w:rsid w:val="003255C5"/>
    <w:rsid w:val="003261C3"/>
    <w:rsid w:val="00326B9B"/>
    <w:rsid w:val="00331DCE"/>
    <w:rsid w:val="00332055"/>
    <w:rsid w:val="00332280"/>
    <w:rsid w:val="003323DB"/>
    <w:rsid w:val="00332B05"/>
    <w:rsid w:val="003330C7"/>
    <w:rsid w:val="00335C9A"/>
    <w:rsid w:val="003409BF"/>
    <w:rsid w:val="00344C02"/>
    <w:rsid w:val="0034544E"/>
    <w:rsid w:val="00345525"/>
    <w:rsid w:val="00347039"/>
    <w:rsid w:val="0035117E"/>
    <w:rsid w:val="00351302"/>
    <w:rsid w:val="00351E80"/>
    <w:rsid w:val="0035253D"/>
    <w:rsid w:val="00355E73"/>
    <w:rsid w:val="00356841"/>
    <w:rsid w:val="003573BE"/>
    <w:rsid w:val="00357DAD"/>
    <w:rsid w:val="003640B6"/>
    <w:rsid w:val="00364715"/>
    <w:rsid w:val="00365687"/>
    <w:rsid w:val="00365789"/>
    <w:rsid w:val="003657AB"/>
    <w:rsid w:val="003659C7"/>
    <w:rsid w:val="00365BB5"/>
    <w:rsid w:val="00370A03"/>
    <w:rsid w:val="00370F77"/>
    <w:rsid w:val="00372A69"/>
    <w:rsid w:val="00376491"/>
    <w:rsid w:val="00380189"/>
    <w:rsid w:val="00380A15"/>
    <w:rsid w:val="00381107"/>
    <w:rsid w:val="00381308"/>
    <w:rsid w:val="003818E8"/>
    <w:rsid w:val="00382C56"/>
    <w:rsid w:val="00383295"/>
    <w:rsid w:val="003843CB"/>
    <w:rsid w:val="003848EF"/>
    <w:rsid w:val="00384905"/>
    <w:rsid w:val="00385BF8"/>
    <w:rsid w:val="003862FF"/>
    <w:rsid w:val="00386560"/>
    <w:rsid w:val="003868E1"/>
    <w:rsid w:val="0039398E"/>
    <w:rsid w:val="003946A1"/>
    <w:rsid w:val="0039562D"/>
    <w:rsid w:val="00395DFD"/>
    <w:rsid w:val="00395F95"/>
    <w:rsid w:val="00396C1A"/>
    <w:rsid w:val="003972F5"/>
    <w:rsid w:val="003A0243"/>
    <w:rsid w:val="003A05AC"/>
    <w:rsid w:val="003A12B1"/>
    <w:rsid w:val="003A151C"/>
    <w:rsid w:val="003A1E4A"/>
    <w:rsid w:val="003A244B"/>
    <w:rsid w:val="003A53C5"/>
    <w:rsid w:val="003A5EEC"/>
    <w:rsid w:val="003A6079"/>
    <w:rsid w:val="003A68AB"/>
    <w:rsid w:val="003A6C4B"/>
    <w:rsid w:val="003A7572"/>
    <w:rsid w:val="003B00FB"/>
    <w:rsid w:val="003B04F0"/>
    <w:rsid w:val="003B0B5D"/>
    <w:rsid w:val="003B1336"/>
    <w:rsid w:val="003B20FC"/>
    <w:rsid w:val="003B30DD"/>
    <w:rsid w:val="003B3E18"/>
    <w:rsid w:val="003B4D2C"/>
    <w:rsid w:val="003B72CF"/>
    <w:rsid w:val="003B78AB"/>
    <w:rsid w:val="003C062A"/>
    <w:rsid w:val="003C06DF"/>
    <w:rsid w:val="003C260D"/>
    <w:rsid w:val="003C2DEE"/>
    <w:rsid w:val="003C4286"/>
    <w:rsid w:val="003C5FC9"/>
    <w:rsid w:val="003C6C81"/>
    <w:rsid w:val="003D0F10"/>
    <w:rsid w:val="003D11C0"/>
    <w:rsid w:val="003D2341"/>
    <w:rsid w:val="003D2D82"/>
    <w:rsid w:val="003D33A3"/>
    <w:rsid w:val="003D478C"/>
    <w:rsid w:val="003D572E"/>
    <w:rsid w:val="003D57B2"/>
    <w:rsid w:val="003D5B99"/>
    <w:rsid w:val="003D6960"/>
    <w:rsid w:val="003D730A"/>
    <w:rsid w:val="003D77EE"/>
    <w:rsid w:val="003E006A"/>
    <w:rsid w:val="003E0510"/>
    <w:rsid w:val="003E0D70"/>
    <w:rsid w:val="003E1BBB"/>
    <w:rsid w:val="003E2295"/>
    <w:rsid w:val="003E3AE0"/>
    <w:rsid w:val="003E54B6"/>
    <w:rsid w:val="003E58BD"/>
    <w:rsid w:val="003E66BB"/>
    <w:rsid w:val="003E7A4D"/>
    <w:rsid w:val="003E7AC7"/>
    <w:rsid w:val="003E7B91"/>
    <w:rsid w:val="003F1D29"/>
    <w:rsid w:val="003F1F49"/>
    <w:rsid w:val="003F2FA0"/>
    <w:rsid w:val="003F42A7"/>
    <w:rsid w:val="003F5B42"/>
    <w:rsid w:val="003F6045"/>
    <w:rsid w:val="003F6AFD"/>
    <w:rsid w:val="003F71C5"/>
    <w:rsid w:val="004016DE"/>
    <w:rsid w:val="004025DC"/>
    <w:rsid w:val="00402E80"/>
    <w:rsid w:val="00403012"/>
    <w:rsid w:val="00403469"/>
    <w:rsid w:val="004041B8"/>
    <w:rsid w:val="00405ACA"/>
    <w:rsid w:val="00411133"/>
    <w:rsid w:val="004114E3"/>
    <w:rsid w:val="00411DF4"/>
    <w:rsid w:val="00415552"/>
    <w:rsid w:val="00416050"/>
    <w:rsid w:val="00417259"/>
    <w:rsid w:val="004175D4"/>
    <w:rsid w:val="00422963"/>
    <w:rsid w:val="004238D4"/>
    <w:rsid w:val="004240A9"/>
    <w:rsid w:val="0042494E"/>
    <w:rsid w:val="00426AB3"/>
    <w:rsid w:val="00427A94"/>
    <w:rsid w:val="00430D68"/>
    <w:rsid w:val="00431602"/>
    <w:rsid w:val="00432445"/>
    <w:rsid w:val="00433533"/>
    <w:rsid w:val="0043446F"/>
    <w:rsid w:val="00435680"/>
    <w:rsid w:val="0043683F"/>
    <w:rsid w:val="004374A8"/>
    <w:rsid w:val="00437C51"/>
    <w:rsid w:val="004406D1"/>
    <w:rsid w:val="00440A77"/>
    <w:rsid w:val="004422A6"/>
    <w:rsid w:val="004442E2"/>
    <w:rsid w:val="00445634"/>
    <w:rsid w:val="0045253C"/>
    <w:rsid w:val="00452B35"/>
    <w:rsid w:val="004547EA"/>
    <w:rsid w:val="0045541A"/>
    <w:rsid w:val="00455895"/>
    <w:rsid w:val="00455EAA"/>
    <w:rsid w:val="00456494"/>
    <w:rsid w:val="00457408"/>
    <w:rsid w:val="004577A1"/>
    <w:rsid w:val="004577E1"/>
    <w:rsid w:val="0045799A"/>
    <w:rsid w:val="00461B41"/>
    <w:rsid w:val="00462598"/>
    <w:rsid w:val="00463490"/>
    <w:rsid w:val="00466326"/>
    <w:rsid w:val="00470048"/>
    <w:rsid w:val="00470BEA"/>
    <w:rsid w:val="00470EA2"/>
    <w:rsid w:val="00471060"/>
    <w:rsid w:val="004716AC"/>
    <w:rsid w:val="00471E07"/>
    <w:rsid w:val="00472C95"/>
    <w:rsid w:val="004744BE"/>
    <w:rsid w:val="004763AF"/>
    <w:rsid w:val="00476BEC"/>
    <w:rsid w:val="0047739D"/>
    <w:rsid w:val="00481238"/>
    <w:rsid w:val="0048196D"/>
    <w:rsid w:val="00481DBF"/>
    <w:rsid w:val="00483D43"/>
    <w:rsid w:val="00483E1A"/>
    <w:rsid w:val="00483FB7"/>
    <w:rsid w:val="00485114"/>
    <w:rsid w:val="004860C0"/>
    <w:rsid w:val="00487074"/>
    <w:rsid w:val="0049072A"/>
    <w:rsid w:val="00490FCE"/>
    <w:rsid w:val="00490FF7"/>
    <w:rsid w:val="00492836"/>
    <w:rsid w:val="004930F6"/>
    <w:rsid w:val="00493B5E"/>
    <w:rsid w:val="0049416F"/>
    <w:rsid w:val="004948C9"/>
    <w:rsid w:val="00495404"/>
    <w:rsid w:val="00496029"/>
    <w:rsid w:val="00497389"/>
    <w:rsid w:val="00497931"/>
    <w:rsid w:val="004A14BC"/>
    <w:rsid w:val="004A273F"/>
    <w:rsid w:val="004A3D93"/>
    <w:rsid w:val="004A3EFD"/>
    <w:rsid w:val="004A3F27"/>
    <w:rsid w:val="004A7E39"/>
    <w:rsid w:val="004B1490"/>
    <w:rsid w:val="004B1880"/>
    <w:rsid w:val="004B3B7B"/>
    <w:rsid w:val="004B5251"/>
    <w:rsid w:val="004C0DDA"/>
    <w:rsid w:val="004C19D9"/>
    <w:rsid w:val="004C1BBB"/>
    <w:rsid w:val="004C1D93"/>
    <w:rsid w:val="004C3CF1"/>
    <w:rsid w:val="004C48FB"/>
    <w:rsid w:val="004C4C8F"/>
    <w:rsid w:val="004C5754"/>
    <w:rsid w:val="004D0574"/>
    <w:rsid w:val="004D065A"/>
    <w:rsid w:val="004D0C7C"/>
    <w:rsid w:val="004D118B"/>
    <w:rsid w:val="004D3FEF"/>
    <w:rsid w:val="004D5CA8"/>
    <w:rsid w:val="004D6282"/>
    <w:rsid w:val="004D6A72"/>
    <w:rsid w:val="004D728F"/>
    <w:rsid w:val="004E0D5E"/>
    <w:rsid w:val="004E1174"/>
    <w:rsid w:val="004E242F"/>
    <w:rsid w:val="004E29C6"/>
    <w:rsid w:val="004E332D"/>
    <w:rsid w:val="004E3E8F"/>
    <w:rsid w:val="004E4095"/>
    <w:rsid w:val="004E40F0"/>
    <w:rsid w:val="004E4D4F"/>
    <w:rsid w:val="004E4D8D"/>
    <w:rsid w:val="004E5E6C"/>
    <w:rsid w:val="004E6683"/>
    <w:rsid w:val="004E7145"/>
    <w:rsid w:val="004F0CD9"/>
    <w:rsid w:val="004F1488"/>
    <w:rsid w:val="004F31F1"/>
    <w:rsid w:val="004F5615"/>
    <w:rsid w:val="004F5871"/>
    <w:rsid w:val="004F5E43"/>
    <w:rsid w:val="004F76BC"/>
    <w:rsid w:val="004F7BA3"/>
    <w:rsid w:val="00500698"/>
    <w:rsid w:val="00500C9D"/>
    <w:rsid w:val="00502AED"/>
    <w:rsid w:val="00502F29"/>
    <w:rsid w:val="00503C39"/>
    <w:rsid w:val="00506528"/>
    <w:rsid w:val="00507986"/>
    <w:rsid w:val="00510AC6"/>
    <w:rsid w:val="005116B1"/>
    <w:rsid w:val="005138F1"/>
    <w:rsid w:val="00517351"/>
    <w:rsid w:val="00520444"/>
    <w:rsid w:val="005213FE"/>
    <w:rsid w:val="005216AE"/>
    <w:rsid w:val="005238F6"/>
    <w:rsid w:val="0052463E"/>
    <w:rsid w:val="005247B0"/>
    <w:rsid w:val="005250E6"/>
    <w:rsid w:val="00525511"/>
    <w:rsid w:val="00526617"/>
    <w:rsid w:val="00526B28"/>
    <w:rsid w:val="00527387"/>
    <w:rsid w:val="00527A7D"/>
    <w:rsid w:val="00527C37"/>
    <w:rsid w:val="00527C73"/>
    <w:rsid w:val="0053291D"/>
    <w:rsid w:val="00533D7B"/>
    <w:rsid w:val="00535433"/>
    <w:rsid w:val="005409C5"/>
    <w:rsid w:val="00540A7C"/>
    <w:rsid w:val="00541FB9"/>
    <w:rsid w:val="00544292"/>
    <w:rsid w:val="00544693"/>
    <w:rsid w:val="005448AD"/>
    <w:rsid w:val="005456EC"/>
    <w:rsid w:val="00545B28"/>
    <w:rsid w:val="00547154"/>
    <w:rsid w:val="00550B30"/>
    <w:rsid w:val="005542C5"/>
    <w:rsid w:val="00554795"/>
    <w:rsid w:val="00556DEA"/>
    <w:rsid w:val="00557DB2"/>
    <w:rsid w:val="00560465"/>
    <w:rsid w:val="0056070C"/>
    <w:rsid w:val="00560972"/>
    <w:rsid w:val="00562485"/>
    <w:rsid w:val="00563ACF"/>
    <w:rsid w:val="00563F7B"/>
    <w:rsid w:val="005640A6"/>
    <w:rsid w:val="00564A9A"/>
    <w:rsid w:val="00566283"/>
    <w:rsid w:val="0056664A"/>
    <w:rsid w:val="00566F8D"/>
    <w:rsid w:val="00570F8E"/>
    <w:rsid w:val="005719FD"/>
    <w:rsid w:val="00571B06"/>
    <w:rsid w:val="00572118"/>
    <w:rsid w:val="0057227B"/>
    <w:rsid w:val="00573359"/>
    <w:rsid w:val="00574A89"/>
    <w:rsid w:val="00575FFA"/>
    <w:rsid w:val="00576F30"/>
    <w:rsid w:val="00582997"/>
    <w:rsid w:val="00583D14"/>
    <w:rsid w:val="00584ADD"/>
    <w:rsid w:val="00586CE4"/>
    <w:rsid w:val="00586D82"/>
    <w:rsid w:val="00587594"/>
    <w:rsid w:val="005875FD"/>
    <w:rsid w:val="005879B8"/>
    <w:rsid w:val="00590AE3"/>
    <w:rsid w:val="00591130"/>
    <w:rsid w:val="00593648"/>
    <w:rsid w:val="00594141"/>
    <w:rsid w:val="00594AC6"/>
    <w:rsid w:val="00594F99"/>
    <w:rsid w:val="005957F6"/>
    <w:rsid w:val="00596353"/>
    <w:rsid w:val="0059679F"/>
    <w:rsid w:val="00596F19"/>
    <w:rsid w:val="005970B5"/>
    <w:rsid w:val="005978D0"/>
    <w:rsid w:val="005A0026"/>
    <w:rsid w:val="005A0B86"/>
    <w:rsid w:val="005A2999"/>
    <w:rsid w:val="005A2F43"/>
    <w:rsid w:val="005A2FC0"/>
    <w:rsid w:val="005A3880"/>
    <w:rsid w:val="005A66F6"/>
    <w:rsid w:val="005A7420"/>
    <w:rsid w:val="005A7A14"/>
    <w:rsid w:val="005B0038"/>
    <w:rsid w:val="005B07F0"/>
    <w:rsid w:val="005B1C29"/>
    <w:rsid w:val="005B1CBB"/>
    <w:rsid w:val="005B341F"/>
    <w:rsid w:val="005B44D6"/>
    <w:rsid w:val="005B4E69"/>
    <w:rsid w:val="005B4F78"/>
    <w:rsid w:val="005B5651"/>
    <w:rsid w:val="005B5AAF"/>
    <w:rsid w:val="005B5EFC"/>
    <w:rsid w:val="005B613F"/>
    <w:rsid w:val="005B63C0"/>
    <w:rsid w:val="005C0E7F"/>
    <w:rsid w:val="005C27D0"/>
    <w:rsid w:val="005C56BC"/>
    <w:rsid w:val="005D0BD1"/>
    <w:rsid w:val="005D27B8"/>
    <w:rsid w:val="005D2E03"/>
    <w:rsid w:val="005D3E03"/>
    <w:rsid w:val="005D4544"/>
    <w:rsid w:val="005D4F09"/>
    <w:rsid w:val="005D5178"/>
    <w:rsid w:val="005D539C"/>
    <w:rsid w:val="005D6EA8"/>
    <w:rsid w:val="005D6F05"/>
    <w:rsid w:val="005D752A"/>
    <w:rsid w:val="005E09D6"/>
    <w:rsid w:val="005E10E3"/>
    <w:rsid w:val="005E3FC7"/>
    <w:rsid w:val="005E5A4F"/>
    <w:rsid w:val="005F0CFA"/>
    <w:rsid w:val="005F1BE5"/>
    <w:rsid w:val="005F209B"/>
    <w:rsid w:val="005F32E7"/>
    <w:rsid w:val="005F54D7"/>
    <w:rsid w:val="005F698B"/>
    <w:rsid w:val="00600956"/>
    <w:rsid w:val="006011E1"/>
    <w:rsid w:val="00602401"/>
    <w:rsid w:val="00604158"/>
    <w:rsid w:val="0060666C"/>
    <w:rsid w:val="006068CD"/>
    <w:rsid w:val="00606C5F"/>
    <w:rsid w:val="0061103F"/>
    <w:rsid w:val="00614CE6"/>
    <w:rsid w:val="00614DEC"/>
    <w:rsid w:val="00615CA5"/>
    <w:rsid w:val="00615D43"/>
    <w:rsid w:val="00616AEF"/>
    <w:rsid w:val="00616BCC"/>
    <w:rsid w:val="00616E00"/>
    <w:rsid w:val="0061761A"/>
    <w:rsid w:val="006220C8"/>
    <w:rsid w:val="00622448"/>
    <w:rsid w:val="00623DFF"/>
    <w:rsid w:val="00624299"/>
    <w:rsid w:val="006243EB"/>
    <w:rsid w:val="00624F4F"/>
    <w:rsid w:val="00625536"/>
    <w:rsid w:val="00625AC1"/>
    <w:rsid w:val="00626698"/>
    <w:rsid w:val="006267F8"/>
    <w:rsid w:val="00627FAF"/>
    <w:rsid w:val="00630966"/>
    <w:rsid w:val="00630EC4"/>
    <w:rsid w:val="00630EC9"/>
    <w:rsid w:val="00631413"/>
    <w:rsid w:val="00631B4C"/>
    <w:rsid w:val="00632522"/>
    <w:rsid w:val="006328B1"/>
    <w:rsid w:val="00632CB9"/>
    <w:rsid w:val="006347FB"/>
    <w:rsid w:val="00635BAE"/>
    <w:rsid w:val="0064020B"/>
    <w:rsid w:val="00641D5A"/>
    <w:rsid w:val="00642777"/>
    <w:rsid w:val="006434DF"/>
    <w:rsid w:val="00643B89"/>
    <w:rsid w:val="00645936"/>
    <w:rsid w:val="00645DD2"/>
    <w:rsid w:val="00646433"/>
    <w:rsid w:val="00646B92"/>
    <w:rsid w:val="00647402"/>
    <w:rsid w:val="00650178"/>
    <w:rsid w:val="00650282"/>
    <w:rsid w:val="00650A11"/>
    <w:rsid w:val="00650A1C"/>
    <w:rsid w:val="006511BB"/>
    <w:rsid w:val="006531EF"/>
    <w:rsid w:val="00655DA6"/>
    <w:rsid w:val="00656305"/>
    <w:rsid w:val="0066034A"/>
    <w:rsid w:val="006629C1"/>
    <w:rsid w:val="006631B8"/>
    <w:rsid w:val="00664979"/>
    <w:rsid w:val="006656EC"/>
    <w:rsid w:val="006662EE"/>
    <w:rsid w:val="00667977"/>
    <w:rsid w:val="0067225D"/>
    <w:rsid w:val="006725A4"/>
    <w:rsid w:val="00674043"/>
    <w:rsid w:val="00676F37"/>
    <w:rsid w:val="0067720E"/>
    <w:rsid w:val="00677C65"/>
    <w:rsid w:val="0068051F"/>
    <w:rsid w:val="006812CF"/>
    <w:rsid w:val="006820E6"/>
    <w:rsid w:val="006824EE"/>
    <w:rsid w:val="00682716"/>
    <w:rsid w:val="00682804"/>
    <w:rsid w:val="00682BBC"/>
    <w:rsid w:val="00684490"/>
    <w:rsid w:val="00685CB3"/>
    <w:rsid w:val="00685E71"/>
    <w:rsid w:val="006867B7"/>
    <w:rsid w:val="00686F5E"/>
    <w:rsid w:val="006914EF"/>
    <w:rsid w:val="00692DE8"/>
    <w:rsid w:val="00693489"/>
    <w:rsid w:val="0069403E"/>
    <w:rsid w:val="006945C8"/>
    <w:rsid w:val="00695717"/>
    <w:rsid w:val="00695AD1"/>
    <w:rsid w:val="006A0437"/>
    <w:rsid w:val="006A0557"/>
    <w:rsid w:val="006A0782"/>
    <w:rsid w:val="006A0D24"/>
    <w:rsid w:val="006A1B09"/>
    <w:rsid w:val="006A2778"/>
    <w:rsid w:val="006A2A2C"/>
    <w:rsid w:val="006A2D92"/>
    <w:rsid w:val="006A385C"/>
    <w:rsid w:val="006A41B0"/>
    <w:rsid w:val="006A4D44"/>
    <w:rsid w:val="006A56C1"/>
    <w:rsid w:val="006A5A2E"/>
    <w:rsid w:val="006A7D76"/>
    <w:rsid w:val="006B04D1"/>
    <w:rsid w:val="006B2E83"/>
    <w:rsid w:val="006B36BC"/>
    <w:rsid w:val="006B3C41"/>
    <w:rsid w:val="006B4257"/>
    <w:rsid w:val="006B4E05"/>
    <w:rsid w:val="006B70AF"/>
    <w:rsid w:val="006C0521"/>
    <w:rsid w:val="006C17EA"/>
    <w:rsid w:val="006C410D"/>
    <w:rsid w:val="006C5C81"/>
    <w:rsid w:val="006C5CE3"/>
    <w:rsid w:val="006C606D"/>
    <w:rsid w:val="006C6483"/>
    <w:rsid w:val="006C6D1D"/>
    <w:rsid w:val="006C7426"/>
    <w:rsid w:val="006D1474"/>
    <w:rsid w:val="006D1F7D"/>
    <w:rsid w:val="006D29CD"/>
    <w:rsid w:val="006D2BE3"/>
    <w:rsid w:val="006D2BEB"/>
    <w:rsid w:val="006D2BF3"/>
    <w:rsid w:val="006D37CF"/>
    <w:rsid w:val="006D3DCE"/>
    <w:rsid w:val="006D5512"/>
    <w:rsid w:val="006D5F60"/>
    <w:rsid w:val="006D756F"/>
    <w:rsid w:val="006E11EC"/>
    <w:rsid w:val="006E17B6"/>
    <w:rsid w:val="006E39F3"/>
    <w:rsid w:val="006E7242"/>
    <w:rsid w:val="006F0945"/>
    <w:rsid w:val="006F3BB8"/>
    <w:rsid w:val="006F3DDB"/>
    <w:rsid w:val="00700524"/>
    <w:rsid w:val="0070149F"/>
    <w:rsid w:val="00702505"/>
    <w:rsid w:val="00703825"/>
    <w:rsid w:val="00703D2D"/>
    <w:rsid w:val="007052D7"/>
    <w:rsid w:val="0070562B"/>
    <w:rsid w:val="00706A10"/>
    <w:rsid w:val="00706FE9"/>
    <w:rsid w:val="00710BF9"/>
    <w:rsid w:val="00711639"/>
    <w:rsid w:val="0071191B"/>
    <w:rsid w:val="0071211B"/>
    <w:rsid w:val="00712914"/>
    <w:rsid w:val="0071360C"/>
    <w:rsid w:val="0071367B"/>
    <w:rsid w:val="0071396D"/>
    <w:rsid w:val="007139B6"/>
    <w:rsid w:val="007143B5"/>
    <w:rsid w:val="0071468E"/>
    <w:rsid w:val="007148AA"/>
    <w:rsid w:val="00714E2E"/>
    <w:rsid w:val="00715597"/>
    <w:rsid w:val="0071686F"/>
    <w:rsid w:val="00716A12"/>
    <w:rsid w:val="00716D5C"/>
    <w:rsid w:val="00716E66"/>
    <w:rsid w:val="00717760"/>
    <w:rsid w:val="00717800"/>
    <w:rsid w:val="007208D9"/>
    <w:rsid w:val="00720AF5"/>
    <w:rsid w:val="00720C9D"/>
    <w:rsid w:val="00720FFE"/>
    <w:rsid w:val="00724C0F"/>
    <w:rsid w:val="00732122"/>
    <w:rsid w:val="00732185"/>
    <w:rsid w:val="0073258B"/>
    <w:rsid w:val="00732BA8"/>
    <w:rsid w:val="0073350E"/>
    <w:rsid w:val="00733F8C"/>
    <w:rsid w:val="00734E99"/>
    <w:rsid w:val="007359A7"/>
    <w:rsid w:val="00736976"/>
    <w:rsid w:val="00736A54"/>
    <w:rsid w:val="00740754"/>
    <w:rsid w:val="00740F30"/>
    <w:rsid w:val="00740FC3"/>
    <w:rsid w:val="0074128D"/>
    <w:rsid w:val="007413CC"/>
    <w:rsid w:val="007437B5"/>
    <w:rsid w:val="00744ECC"/>
    <w:rsid w:val="0074677C"/>
    <w:rsid w:val="00746E21"/>
    <w:rsid w:val="0074740B"/>
    <w:rsid w:val="00747E73"/>
    <w:rsid w:val="0075393B"/>
    <w:rsid w:val="0075471A"/>
    <w:rsid w:val="007561AC"/>
    <w:rsid w:val="0075771C"/>
    <w:rsid w:val="007608D7"/>
    <w:rsid w:val="00761231"/>
    <w:rsid w:val="00763D76"/>
    <w:rsid w:val="00764FAA"/>
    <w:rsid w:val="00767A04"/>
    <w:rsid w:val="00771260"/>
    <w:rsid w:val="007733A9"/>
    <w:rsid w:val="00773719"/>
    <w:rsid w:val="00773B58"/>
    <w:rsid w:val="00774343"/>
    <w:rsid w:val="00774FD4"/>
    <w:rsid w:val="007754E1"/>
    <w:rsid w:val="00777487"/>
    <w:rsid w:val="007777A1"/>
    <w:rsid w:val="00777CDC"/>
    <w:rsid w:val="0078003D"/>
    <w:rsid w:val="00780AD7"/>
    <w:rsid w:val="00781723"/>
    <w:rsid w:val="0078273E"/>
    <w:rsid w:val="00782DCD"/>
    <w:rsid w:val="00782F88"/>
    <w:rsid w:val="0078471D"/>
    <w:rsid w:val="00784EC0"/>
    <w:rsid w:val="0078730F"/>
    <w:rsid w:val="00787583"/>
    <w:rsid w:val="0078760F"/>
    <w:rsid w:val="007913FD"/>
    <w:rsid w:val="0079221B"/>
    <w:rsid w:val="007925C2"/>
    <w:rsid w:val="007948D8"/>
    <w:rsid w:val="007957E9"/>
    <w:rsid w:val="00795AFD"/>
    <w:rsid w:val="00796A50"/>
    <w:rsid w:val="00797AF1"/>
    <w:rsid w:val="007A01E1"/>
    <w:rsid w:val="007A05BD"/>
    <w:rsid w:val="007A49C2"/>
    <w:rsid w:val="007A4BDD"/>
    <w:rsid w:val="007A535D"/>
    <w:rsid w:val="007B05B3"/>
    <w:rsid w:val="007B14CE"/>
    <w:rsid w:val="007B33D7"/>
    <w:rsid w:val="007B53A1"/>
    <w:rsid w:val="007B65A8"/>
    <w:rsid w:val="007B7470"/>
    <w:rsid w:val="007C08F8"/>
    <w:rsid w:val="007C1837"/>
    <w:rsid w:val="007C1879"/>
    <w:rsid w:val="007C2377"/>
    <w:rsid w:val="007C252A"/>
    <w:rsid w:val="007C293A"/>
    <w:rsid w:val="007C3381"/>
    <w:rsid w:val="007C4005"/>
    <w:rsid w:val="007D0CBF"/>
    <w:rsid w:val="007D0CC0"/>
    <w:rsid w:val="007D4716"/>
    <w:rsid w:val="007D537B"/>
    <w:rsid w:val="007D5964"/>
    <w:rsid w:val="007D6F3F"/>
    <w:rsid w:val="007E1522"/>
    <w:rsid w:val="007E17A8"/>
    <w:rsid w:val="007E190E"/>
    <w:rsid w:val="007E1D58"/>
    <w:rsid w:val="007E26BB"/>
    <w:rsid w:val="007E6CF8"/>
    <w:rsid w:val="007E6ECC"/>
    <w:rsid w:val="007F0ABE"/>
    <w:rsid w:val="007F0ED9"/>
    <w:rsid w:val="007F25A7"/>
    <w:rsid w:val="007F2645"/>
    <w:rsid w:val="007F3B72"/>
    <w:rsid w:val="007F43E5"/>
    <w:rsid w:val="007F4668"/>
    <w:rsid w:val="007F571B"/>
    <w:rsid w:val="007F6459"/>
    <w:rsid w:val="007F64C7"/>
    <w:rsid w:val="007F6DEF"/>
    <w:rsid w:val="00800E45"/>
    <w:rsid w:val="008031EC"/>
    <w:rsid w:val="008034D8"/>
    <w:rsid w:val="00804D21"/>
    <w:rsid w:val="008054F0"/>
    <w:rsid w:val="008056FD"/>
    <w:rsid w:val="00805BD3"/>
    <w:rsid w:val="00806A41"/>
    <w:rsid w:val="008072EE"/>
    <w:rsid w:val="00807DB6"/>
    <w:rsid w:val="00813840"/>
    <w:rsid w:val="00815425"/>
    <w:rsid w:val="008155E3"/>
    <w:rsid w:val="00817638"/>
    <w:rsid w:val="00820417"/>
    <w:rsid w:val="008228A5"/>
    <w:rsid w:val="00822B3C"/>
    <w:rsid w:val="00826F71"/>
    <w:rsid w:val="00830ED9"/>
    <w:rsid w:val="00834367"/>
    <w:rsid w:val="00834AB9"/>
    <w:rsid w:val="00834F01"/>
    <w:rsid w:val="00835811"/>
    <w:rsid w:val="008366BC"/>
    <w:rsid w:val="008369A3"/>
    <w:rsid w:val="00837300"/>
    <w:rsid w:val="00837F65"/>
    <w:rsid w:val="008410B6"/>
    <w:rsid w:val="00845B33"/>
    <w:rsid w:val="00846681"/>
    <w:rsid w:val="008476E9"/>
    <w:rsid w:val="008478CE"/>
    <w:rsid w:val="00847C2B"/>
    <w:rsid w:val="00847E7D"/>
    <w:rsid w:val="00847F14"/>
    <w:rsid w:val="00850B48"/>
    <w:rsid w:val="00850CF7"/>
    <w:rsid w:val="00854B58"/>
    <w:rsid w:val="008551B7"/>
    <w:rsid w:val="0085583B"/>
    <w:rsid w:val="00855952"/>
    <w:rsid w:val="00857E85"/>
    <w:rsid w:val="00860E75"/>
    <w:rsid w:val="0086103A"/>
    <w:rsid w:val="008617EA"/>
    <w:rsid w:val="0086208D"/>
    <w:rsid w:val="008629E3"/>
    <w:rsid w:val="00864321"/>
    <w:rsid w:val="008653C3"/>
    <w:rsid w:val="00865DC8"/>
    <w:rsid w:val="00866377"/>
    <w:rsid w:val="0086651A"/>
    <w:rsid w:val="00870D58"/>
    <w:rsid w:val="008712A0"/>
    <w:rsid w:val="008717D4"/>
    <w:rsid w:val="00871EC6"/>
    <w:rsid w:val="00872621"/>
    <w:rsid w:val="008727AA"/>
    <w:rsid w:val="008729DD"/>
    <w:rsid w:val="00873250"/>
    <w:rsid w:val="00873825"/>
    <w:rsid w:val="008739EF"/>
    <w:rsid w:val="00873ADE"/>
    <w:rsid w:val="00876134"/>
    <w:rsid w:val="00876F9A"/>
    <w:rsid w:val="00877C17"/>
    <w:rsid w:val="00881C1D"/>
    <w:rsid w:val="008839E5"/>
    <w:rsid w:val="00883C78"/>
    <w:rsid w:val="0088761A"/>
    <w:rsid w:val="00890A9E"/>
    <w:rsid w:val="00891977"/>
    <w:rsid w:val="00892576"/>
    <w:rsid w:val="00892AC6"/>
    <w:rsid w:val="00892EB6"/>
    <w:rsid w:val="00894601"/>
    <w:rsid w:val="00894CD3"/>
    <w:rsid w:val="00895D49"/>
    <w:rsid w:val="0089699B"/>
    <w:rsid w:val="00896F18"/>
    <w:rsid w:val="008A0E02"/>
    <w:rsid w:val="008A463F"/>
    <w:rsid w:val="008A4654"/>
    <w:rsid w:val="008A4BC7"/>
    <w:rsid w:val="008A4EA6"/>
    <w:rsid w:val="008A6491"/>
    <w:rsid w:val="008A6708"/>
    <w:rsid w:val="008A70C3"/>
    <w:rsid w:val="008A76B0"/>
    <w:rsid w:val="008A7CF1"/>
    <w:rsid w:val="008B0674"/>
    <w:rsid w:val="008B09A2"/>
    <w:rsid w:val="008B0B60"/>
    <w:rsid w:val="008B0CFF"/>
    <w:rsid w:val="008B0D0E"/>
    <w:rsid w:val="008B20C2"/>
    <w:rsid w:val="008B333C"/>
    <w:rsid w:val="008B39B6"/>
    <w:rsid w:val="008B3CD2"/>
    <w:rsid w:val="008B4BB6"/>
    <w:rsid w:val="008B5888"/>
    <w:rsid w:val="008B5C6E"/>
    <w:rsid w:val="008B75E1"/>
    <w:rsid w:val="008C011F"/>
    <w:rsid w:val="008C04DD"/>
    <w:rsid w:val="008C0805"/>
    <w:rsid w:val="008C096C"/>
    <w:rsid w:val="008C0B6E"/>
    <w:rsid w:val="008C1CAA"/>
    <w:rsid w:val="008C26F4"/>
    <w:rsid w:val="008C3539"/>
    <w:rsid w:val="008C4888"/>
    <w:rsid w:val="008C60FF"/>
    <w:rsid w:val="008C624A"/>
    <w:rsid w:val="008C6C40"/>
    <w:rsid w:val="008D1DB1"/>
    <w:rsid w:val="008D1DF0"/>
    <w:rsid w:val="008D35DA"/>
    <w:rsid w:val="008D3892"/>
    <w:rsid w:val="008D39AA"/>
    <w:rsid w:val="008D5118"/>
    <w:rsid w:val="008D55F9"/>
    <w:rsid w:val="008D6A9C"/>
    <w:rsid w:val="008E0D56"/>
    <w:rsid w:val="008E2200"/>
    <w:rsid w:val="008E2B2F"/>
    <w:rsid w:val="008E348C"/>
    <w:rsid w:val="008E4DFF"/>
    <w:rsid w:val="008E549E"/>
    <w:rsid w:val="008E54D0"/>
    <w:rsid w:val="008E5E23"/>
    <w:rsid w:val="008E67C0"/>
    <w:rsid w:val="008E6D19"/>
    <w:rsid w:val="008E7F9F"/>
    <w:rsid w:val="008F09FE"/>
    <w:rsid w:val="008F1046"/>
    <w:rsid w:val="008F18B3"/>
    <w:rsid w:val="008F1E40"/>
    <w:rsid w:val="008F281A"/>
    <w:rsid w:val="008F2DC7"/>
    <w:rsid w:val="008F4B1D"/>
    <w:rsid w:val="008F4BEE"/>
    <w:rsid w:val="008F5890"/>
    <w:rsid w:val="008F5B59"/>
    <w:rsid w:val="008F6DE1"/>
    <w:rsid w:val="008F6E9D"/>
    <w:rsid w:val="00900C12"/>
    <w:rsid w:val="00901132"/>
    <w:rsid w:val="00901EDF"/>
    <w:rsid w:val="00903CAE"/>
    <w:rsid w:val="00904B02"/>
    <w:rsid w:val="00904BBF"/>
    <w:rsid w:val="009050B9"/>
    <w:rsid w:val="00905752"/>
    <w:rsid w:val="00906288"/>
    <w:rsid w:val="00906E14"/>
    <w:rsid w:val="009076FD"/>
    <w:rsid w:val="0091113E"/>
    <w:rsid w:val="009128E8"/>
    <w:rsid w:val="00914944"/>
    <w:rsid w:val="009155A4"/>
    <w:rsid w:val="00916A25"/>
    <w:rsid w:val="009207A9"/>
    <w:rsid w:val="00920962"/>
    <w:rsid w:val="00920A27"/>
    <w:rsid w:val="009256A2"/>
    <w:rsid w:val="009256ED"/>
    <w:rsid w:val="009265A3"/>
    <w:rsid w:val="0092726F"/>
    <w:rsid w:val="009302BC"/>
    <w:rsid w:val="009308F0"/>
    <w:rsid w:val="0093251D"/>
    <w:rsid w:val="00932AC3"/>
    <w:rsid w:val="00934073"/>
    <w:rsid w:val="00934F75"/>
    <w:rsid w:val="00935F44"/>
    <w:rsid w:val="00936530"/>
    <w:rsid w:val="00936C94"/>
    <w:rsid w:val="00936C9F"/>
    <w:rsid w:val="00937CD8"/>
    <w:rsid w:val="00937DFB"/>
    <w:rsid w:val="00941D69"/>
    <w:rsid w:val="00942AF3"/>
    <w:rsid w:val="00944597"/>
    <w:rsid w:val="00944936"/>
    <w:rsid w:val="00944AA7"/>
    <w:rsid w:val="0094662F"/>
    <w:rsid w:val="009467DA"/>
    <w:rsid w:val="00946AD7"/>
    <w:rsid w:val="00947C30"/>
    <w:rsid w:val="00947F91"/>
    <w:rsid w:val="0095045E"/>
    <w:rsid w:val="00950571"/>
    <w:rsid w:val="00952D7C"/>
    <w:rsid w:val="009540D9"/>
    <w:rsid w:val="009546F6"/>
    <w:rsid w:val="0095626F"/>
    <w:rsid w:val="009569C9"/>
    <w:rsid w:val="00956BA1"/>
    <w:rsid w:val="00960808"/>
    <w:rsid w:val="00961356"/>
    <w:rsid w:val="009621D4"/>
    <w:rsid w:val="00962683"/>
    <w:rsid w:val="00962C9F"/>
    <w:rsid w:val="00963DA9"/>
    <w:rsid w:val="0096455D"/>
    <w:rsid w:val="00964F55"/>
    <w:rsid w:val="00964F90"/>
    <w:rsid w:val="00965999"/>
    <w:rsid w:val="00965CBF"/>
    <w:rsid w:val="00966271"/>
    <w:rsid w:val="0097011D"/>
    <w:rsid w:val="009709DA"/>
    <w:rsid w:val="00972FD6"/>
    <w:rsid w:val="0097372C"/>
    <w:rsid w:val="009769C6"/>
    <w:rsid w:val="00977F47"/>
    <w:rsid w:val="00980707"/>
    <w:rsid w:val="00980FD2"/>
    <w:rsid w:val="009836C0"/>
    <w:rsid w:val="009837EF"/>
    <w:rsid w:val="00984BDC"/>
    <w:rsid w:val="009857E0"/>
    <w:rsid w:val="009860CD"/>
    <w:rsid w:val="00987456"/>
    <w:rsid w:val="00987A1D"/>
    <w:rsid w:val="009918FB"/>
    <w:rsid w:val="00991CE2"/>
    <w:rsid w:val="009956EC"/>
    <w:rsid w:val="0099667D"/>
    <w:rsid w:val="00997747"/>
    <w:rsid w:val="009A0497"/>
    <w:rsid w:val="009A1142"/>
    <w:rsid w:val="009A1A9A"/>
    <w:rsid w:val="009A1AB8"/>
    <w:rsid w:val="009A2D21"/>
    <w:rsid w:val="009A3D03"/>
    <w:rsid w:val="009A69BC"/>
    <w:rsid w:val="009B157C"/>
    <w:rsid w:val="009B2293"/>
    <w:rsid w:val="009B25BD"/>
    <w:rsid w:val="009B303F"/>
    <w:rsid w:val="009B36BF"/>
    <w:rsid w:val="009B47DA"/>
    <w:rsid w:val="009B5872"/>
    <w:rsid w:val="009B5A80"/>
    <w:rsid w:val="009B671B"/>
    <w:rsid w:val="009B6ACF"/>
    <w:rsid w:val="009B6B48"/>
    <w:rsid w:val="009B7123"/>
    <w:rsid w:val="009B7B65"/>
    <w:rsid w:val="009C086A"/>
    <w:rsid w:val="009C0CEB"/>
    <w:rsid w:val="009C146C"/>
    <w:rsid w:val="009C3726"/>
    <w:rsid w:val="009C3E19"/>
    <w:rsid w:val="009C56A2"/>
    <w:rsid w:val="009C6236"/>
    <w:rsid w:val="009C74B5"/>
    <w:rsid w:val="009C768B"/>
    <w:rsid w:val="009C7BD2"/>
    <w:rsid w:val="009D0E47"/>
    <w:rsid w:val="009D1252"/>
    <w:rsid w:val="009D1F1C"/>
    <w:rsid w:val="009D2902"/>
    <w:rsid w:val="009D3AEC"/>
    <w:rsid w:val="009D3FE7"/>
    <w:rsid w:val="009D56EE"/>
    <w:rsid w:val="009D7957"/>
    <w:rsid w:val="009D7CE6"/>
    <w:rsid w:val="009E008F"/>
    <w:rsid w:val="009E0870"/>
    <w:rsid w:val="009E0D56"/>
    <w:rsid w:val="009E0FD1"/>
    <w:rsid w:val="009E22FA"/>
    <w:rsid w:val="009E262C"/>
    <w:rsid w:val="009E2A1A"/>
    <w:rsid w:val="009E3B03"/>
    <w:rsid w:val="009E636D"/>
    <w:rsid w:val="009E6430"/>
    <w:rsid w:val="009E720C"/>
    <w:rsid w:val="009E733D"/>
    <w:rsid w:val="009E771F"/>
    <w:rsid w:val="009E7E33"/>
    <w:rsid w:val="009F444F"/>
    <w:rsid w:val="009F48BD"/>
    <w:rsid w:val="009F56A0"/>
    <w:rsid w:val="009F57DD"/>
    <w:rsid w:val="009F6692"/>
    <w:rsid w:val="00A00F82"/>
    <w:rsid w:val="00A0250F"/>
    <w:rsid w:val="00A02AB8"/>
    <w:rsid w:val="00A03EE2"/>
    <w:rsid w:val="00A0444F"/>
    <w:rsid w:val="00A05393"/>
    <w:rsid w:val="00A05924"/>
    <w:rsid w:val="00A10737"/>
    <w:rsid w:val="00A1149B"/>
    <w:rsid w:val="00A12337"/>
    <w:rsid w:val="00A127AE"/>
    <w:rsid w:val="00A13C00"/>
    <w:rsid w:val="00A143E0"/>
    <w:rsid w:val="00A1576E"/>
    <w:rsid w:val="00A1768E"/>
    <w:rsid w:val="00A20E86"/>
    <w:rsid w:val="00A212FC"/>
    <w:rsid w:val="00A21C2A"/>
    <w:rsid w:val="00A21C3A"/>
    <w:rsid w:val="00A22274"/>
    <w:rsid w:val="00A223AF"/>
    <w:rsid w:val="00A2267C"/>
    <w:rsid w:val="00A23419"/>
    <w:rsid w:val="00A23826"/>
    <w:rsid w:val="00A23D00"/>
    <w:rsid w:val="00A3183D"/>
    <w:rsid w:val="00A32765"/>
    <w:rsid w:val="00A32793"/>
    <w:rsid w:val="00A33A8B"/>
    <w:rsid w:val="00A370E6"/>
    <w:rsid w:val="00A37130"/>
    <w:rsid w:val="00A376D1"/>
    <w:rsid w:val="00A412A4"/>
    <w:rsid w:val="00A41BCC"/>
    <w:rsid w:val="00A43409"/>
    <w:rsid w:val="00A44E29"/>
    <w:rsid w:val="00A45752"/>
    <w:rsid w:val="00A46BA8"/>
    <w:rsid w:val="00A5107F"/>
    <w:rsid w:val="00A54607"/>
    <w:rsid w:val="00A549AF"/>
    <w:rsid w:val="00A5615B"/>
    <w:rsid w:val="00A566F7"/>
    <w:rsid w:val="00A600CA"/>
    <w:rsid w:val="00A60788"/>
    <w:rsid w:val="00A624D4"/>
    <w:rsid w:val="00A63795"/>
    <w:rsid w:val="00A63817"/>
    <w:rsid w:val="00A63AEB"/>
    <w:rsid w:val="00A64DFC"/>
    <w:rsid w:val="00A64E67"/>
    <w:rsid w:val="00A65708"/>
    <w:rsid w:val="00A70845"/>
    <w:rsid w:val="00A70CB5"/>
    <w:rsid w:val="00A718BA"/>
    <w:rsid w:val="00A74FE2"/>
    <w:rsid w:val="00A75995"/>
    <w:rsid w:val="00A75DAF"/>
    <w:rsid w:val="00A763F7"/>
    <w:rsid w:val="00A76ACC"/>
    <w:rsid w:val="00A80316"/>
    <w:rsid w:val="00A80BA5"/>
    <w:rsid w:val="00A80DCD"/>
    <w:rsid w:val="00A820C9"/>
    <w:rsid w:val="00A8360B"/>
    <w:rsid w:val="00A837B4"/>
    <w:rsid w:val="00A857D9"/>
    <w:rsid w:val="00A90857"/>
    <w:rsid w:val="00A90A64"/>
    <w:rsid w:val="00A91372"/>
    <w:rsid w:val="00A91448"/>
    <w:rsid w:val="00A92245"/>
    <w:rsid w:val="00A92C5E"/>
    <w:rsid w:val="00A93A78"/>
    <w:rsid w:val="00A93E76"/>
    <w:rsid w:val="00A93EF4"/>
    <w:rsid w:val="00A94548"/>
    <w:rsid w:val="00A9601E"/>
    <w:rsid w:val="00AA081D"/>
    <w:rsid w:val="00AA25A1"/>
    <w:rsid w:val="00AA2754"/>
    <w:rsid w:val="00AA2B6A"/>
    <w:rsid w:val="00AA3306"/>
    <w:rsid w:val="00AA4B70"/>
    <w:rsid w:val="00AA72D9"/>
    <w:rsid w:val="00AA7756"/>
    <w:rsid w:val="00AB0C72"/>
    <w:rsid w:val="00AB2960"/>
    <w:rsid w:val="00AB36B0"/>
    <w:rsid w:val="00AB4141"/>
    <w:rsid w:val="00AB44D6"/>
    <w:rsid w:val="00AB4A42"/>
    <w:rsid w:val="00AB574B"/>
    <w:rsid w:val="00AB6DF3"/>
    <w:rsid w:val="00AB79EC"/>
    <w:rsid w:val="00AC06AD"/>
    <w:rsid w:val="00AC16EE"/>
    <w:rsid w:val="00AC1849"/>
    <w:rsid w:val="00AC1DB2"/>
    <w:rsid w:val="00AC23DD"/>
    <w:rsid w:val="00AC4436"/>
    <w:rsid w:val="00AC66AE"/>
    <w:rsid w:val="00AC6D7C"/>
    <w:rsid w:val="00AC758F"/>
    <w:rsid w:val="00AD01BB"/>
    <w:rsid w:val="00AD02B4"/>
    <w:rsid w:val="00AD0581"/>
    <w:rsid w:val="00AD4CDC"/>
    <w:rsid w:val="00AD5620"/>
    <w:rsid w:val="00AD5C7A"/>
    <w:rsid w:val="00AD640D"/>
    <w:rsid w:val="00AD6B21"/>
    <w:rsid w:val="00AD6CEF"/>
    <w:rsid w:val="00AD6D7F"/>
    <w:rsid w:val="00AE0999"/>
    <w:rsid w:val="00AE0DAF"/>
    <w:rsid w:val="00AE1E77"/>
    <w:rsid w:val="00AE28D8"/>
    <w:rsid w:val="00AE311C"/>
    <w:rsid w:val="00AE32FC"/>
    <w:rsid w:val="00AE3926"/>
    <w:rsid w:val="00AE42EF"/>
    <w:rsid w:val="00AE46AA"/>
    <w:rsid w:val="00AE58FE"/>
    <w:rsid w:val="00AE6061"/>
    <w:rsid w:val="00AF0388"/>
    <w:rsid w:val="00AF05EF"/>
    <w:rsid w:val="00AF0863"/>
    <w:rsid w:val="00AF29BB"/>
    <w:rsid w:val="00AF2B88"/>
    <w:rsid w:val="00AF5F2E"/>
    <w:rsid w:val="00AF63A9"/>
    <w:rsid w:val="00AF739D"/>
    <w:rsid w:val="00B00194"/>
    <w:rsid w:val="00B006A9"/>
    <w:rsid w:val="00B016A8"/>
    <w:rsid w:val="00B01ECE"/>
    <w:rsid w:val="00B02A20"/>
    <w:rsid w:val="00B03A0B"/>
    <w:rsid w:val="00B03CB0"/>
    <w:rsid w:val="00B06148"/>
    <w:rsid w:val="00B06800"/>
    <w:rsid w:val="00B068F2"/>
    <w:rsid w:val="00B07978"/>
    <w:rsid w:val="00B10278"/>
    <w:rsid w:val="00B11ED9"/>
    <w:rsid w:val="00B12922"/>
    <w:rsid w:val="00B13310"/>
    <w:rsid w:val="00B14F24"/>
    <w:rsid w:val="00B154EA"/>
    <w:rsid w:val="00B16720"/>
    <w:rsid w:val="00B206B4"/>
    <w:rsid w:val="00B20969"/>
    <w:rsid w:val="00B2109F"/>
    <w:rsid w:val="00B21702"/>
    <w:rsid w:val="00B22390"/>
    <w:rsid w:val="00B2258D"/>
    <w:rsid w:val="00B225B0"/>
    <w:rsid w:val="00B22DA9"/>
    <w:rsid w:val="00B23722"/>
    <w:rsid w:val="00B263FE"/>
    <w:rsid w:val="00B318B0"/>
    <w:rsid w:val="00B31E83"/>
    <w:rsid w:val="00B3230A"/>
    <w:rsid w:val="00B325B0"/>
    <w:rsid w:val="00B328FC"/>
    <w:rsid w:val="00B33921"/>
    <w:rsid w:val="00B3411C"/>
    <w:rsid w:val="00B40B55"/>
    <w:rsid w:val="00B4136C"/>
    <w:rsid w:val="00B4271C"/>
    <w:rsid w:val="00B42A04"/>
    <w:rsid w:val="00B42ECA"/>
    <w:rsid w:val="00B43453"/>
    <w:rsid w:val="00B450F8"/>
    <w:rsid w:val="00B47A0F"/>
    <w:rsid w:val="00B47CFD"/>
    <w:rsid w:val="00B50649"/>
    <w:rsid w:val="00B51DCA"/>
    <w:rsid w:val="00B51EDA"/>
    <w:rsid w:val="00B52B51"/>
    <w:rsid w:val="00B5337C"/>
    <w:rsid w:val="00B5400D"/>
    <w:rsid w:val="00B549E8"/>
    <w:rsid w:val="00B552A2"/>
    <w:rsid w:val="00B55516"/>
    <w:rsid w:val="00B557B6"/>
    <w:rsid w:val="00B55E3F"/>
    <w:rsid w:val="00B605CC"/>
    <w:rsid w:val="00B60A1E"/>
    <w:rsid w:val="00B61595"/>
    <w:rsid w:val="00B6327A"/>
    <w:rsid w:val="00B657A0"/>
    <w:rsid w:val="00B65FA8"/>
    <w:rsid w:val="00B66384"/>
    <w:rsid w:val="00B664D8"/>
    <w:rsid w:val="00B66502"/>
    <w:rsid w:val="00B67EB0"/>
    <w:rsid w:val="00B67F42"/>
    <w:rsid w:val="00B7014D"/>
    <w:rsid w:val="00B7017B"/>
    <w:rsid w:val="00B706A1"/>
    <w:rsid w:val="00B7159C"/>
    <w:rsid w:val="00B715D9"/>
    <w:rsid w:val="00B71F89"/>
    <w:rsid w:val="00B7200B"/>
    <w:rsid w:val="00B722B5"/>
    <w:rsid w:val="00B73F2E"/>
    <w:rsid w:val="00B74113"/>
    <w:rsid w:val="00B75254"/>
    <w:rsid w:val="00B805AE"/>
    <w:rsid w:val="00B808CB"/>
    <w:rsid w:val="00B80DEA"/>
    <w:rsid w:val="00B827C5"/>
    <w:rsid w:val="00B83B44"/>
    <w:rsid w:val="00B83D1F"/>
    <w:rsid w:val="00B84190"/>
    <w:rsid w:val="00B8427A"/>
    <w:rsid w:val="00B8565F"/>
    <w:rsid w:val="00B85B7C"/>
    <w:rsid w:val="00B9054F"/>
    <w:rsid w:val="00B9057D"/>
    <w:rsid w:val="00B91546"/>
    <w:rsid w:val="00B919DC"/>
    <w:rsid w:val="00B91D3B"/>
    <w:rsid w:val="00B93466"/>
    <w:rsid w:val="00B93E0A"/>
    <w:rsid w:val="00B94293"/>
    <w:rsid w:val="00B94B1E"/>
    <w:rsid w:val="00B95763"/>
    <w:rsid w:val="00B96994"/>
    <w:rsid w:val="00B9718C"/>
    <w:rsid w:val="00BA1691"/>
    <w:rsid w:val="00BA2000"/>
    <w:rsid w:val="00BA326C"/>
    <w:rsid w:val="00BA4224"/>
    <w:rsid w:val="00BA5191"/>
    <w:rsid w:val="00BA5F90"/>
    <w:rsid w:val="00BB059A"/>
    <w:rsid w:val="00BB1709"/>
    <w:rsid w:val="00BB249D"/>
    <w:rsid w:val="00BB27E0"/>
    <w:rsid w:val="00BB3487"/>
    <w:rsid w:val="00BB5186"/>
    <w:rsid w:val="00BB76DF"/>
    <w:rsid w:val="00BC1511"/>
    <w:rsid w:val="00BC17BE"/>
    <w:rsid w:val="00BC2FCC"/>
    <w:rsid w:val="00BC31C0"/>
    <w:rsid w:val="00BC468A"/>
    <w:rsid w:val="00BC4AF0"/>
    <w:rsid w:val="00BC5D8D"/>
    <w:rsid w:val="00BC6FA2"/>
    <w:rsid w:val="00BC7D24"/>
    <w:rsid w:val="00BD0413"/>
    <w:rsid w:val="00BD0C96"/>
    <w:rsid w:val="00BD127B"/>
    <w:rsid w:val="00BD2E17"/>
    <w:rsid w:val="00BD42C4"/>
    <w:rsid w:val="00BD483E"/>
    <w:rsid w:val="00BD53B6"/>
    <w:rsid w:val="00BD686E"/>
    <w:rsid w:val="00BD6B69"/>
    <w:rsid w:val="00BD6E3E"/>
    <w:rsid w:val="00BD7B1A"/>
    <w:rsid w:val="00BE0CDC"/>
    <w:rsid w:val="00BE129A"/>
    <w:rsid w:val="00BE2CB4"/>
    <w:rsid w:val="00BE2ED0"/>
    <w:rsid w:val="00BE3370"/>
    <w:rsid w:val="00BE3B2E"/>
    <w:rsid w:val="00BE4286"/>
    <w:rsid w:val="00BE4622"/>
    <w:rsid w:val="00BE5070"/>
    <w:rsid w:val="00BE5EF8"/>
    <w:rsid w:val="00BE5FB9"/>
    <w:rsid w:val="00BE647C"/>
    <w:rsid w:val="00BE650A"/>
    <w:rsid w:val="00BE655B"/>
    <w:rsid w:val="00BE6F1F"/>
    <w:rsid w:val="00BE7CC4"/>
    <w:rsid w:val="00BF218F"/>
    <w:rsid w:val="00BF268F"/>
    <w:rsid w:val="00BF385C"/>
    <w:rsid w:val="00BF6B96"/>
    <w:rsid w:val="00C03042"/>
    <w:rsid w:val="00C0349A"/>
    <w:rsid w:val="00C03B53"/>
    <w:rsid w:val="00C04A7D"/>
    <w:rsid w:val="00C06A01"/>
    <w:rsid w:val="00C079DC"/>
    <w:rsid w:val="00C110B0"/>
    <w:rsid w:val="00C1180B"/>
    <w:rsid w:val="00C120C0"/>
    <w:rsid w:val="00C13270"/>
    <w:rsid w:val="00C13877"/>
    <w:rsid w:val="00C13EF0"/>
    <w:rsid w:val="00C14AF4"/>
    <w:rsid w:val="00C15A21"/>
    <w:rsid w:val="00C15A2B"/>
    <w:rsid w:val="00C17AAA"/>
    <w:rsid w:val="00C202C8"/>
    <w:rsid w:val="00C20E27"/>
    <w:rsid w:val="00C214CE"/>
    <w:rsid w:val="00C22EBB"/>
    <w:rsid w:val="00C24ED8"/>
    <w:rsid w:val="00C2545A"/>
    <w:rsid w:val="00C26BA5"/>
    <w:rsid w:val="00C30AB4"/>
    <w:rsid w:val="00C31CC0"/>
    <w:rsid w:val="00C3203A"/>
    <w:rsid w:val="00C326DD"/>
    <w:rsid w:val="00C33045"/>
    <w:rsid w:val="00C33882"/>
    <w:rsid w:val="00C33DD7"/>
    <w:rsid w:val="00C364F8"/>
    <w:rsid w:val="00C41402"/>
    <w:rsid w:val="00C41A41"/>
    <w:rsid w:val="00C4306B"/>
    <w:rsid w:val="00C43BC4"/>
    <w:rsid w:val="00C43E76"/>
    <w:rsid w:val="00C44009"/>
    <w:rsid w:val="00C440C6"/>
    <w:rsid w:val="00C45162"/>
    <w:rsid w:val="00C46416"/>
    <w:rsid w:val="00C46EA7"/>
    <w:rsid w:val="00C47793"/>
    <w:rsid w:val="00C509D3"/>
    <w:rsid w:val="00C5219F"/>
    <w:rsid w:val="00C522A9"/>
    <w:rsid w:val="00C60191"/>
    <w:rsid w:val="00C609DE"/>
    <w:rsid w:val="00C60BBD"/>
    <w:rsid w:val="00C615B3"/>
    <w:rsid w:val="00C6215D"/>
    <w:rsid w:val="00C635A2"/>
    <w:rsid w:val="00C63CA5"/>
    <w:rsid w:val="00C66CEE"/>
    <w:rsid w:val="00C67440"/>
    <w:rsid w:val="00C67CDD"/>
    <w:rsid w:val="00C71078"/>
    <w:rsid w:val="00C71A85"/>
    <w:rsid w:val="00C72E28"/>
    <w:rsid w:val="00C734E1"/>
    <w:rsid w:val="00C73DC9"/>
    <w:rsid w:val="00C74661"/>
    <w:rsid w:val="00C746AE"/>
    <w:rsid w:val="00C75C12"/>
    <w:rsid w:val="00C80F57"/>
    <w:rsid w:val="00C81249"/>
    <w:rsid w:val="00C82288"/>
    <w:rsid w:val="00C83D30"/>
    <w:rsid w:val="00C850F4"/>
    <w:rsid w:val="00C85510"/>
    <w:rsid w:val="00C869D5"/>
    <w:rsid w:val="00C8786C"/>
    <w:rsid w:val="00C8797D"/>
    <w:rsid w:val="00C902D7"/>
    <w:rsid w:val="00C91FBD"/>
    <w:rsid w:val="00C94463"/>
    <w:rsid w:val="00C948AF"/>
    <w:rsid w:val="00C94CD6"/>
    <w:rsid w:val="00C96388"/>
    <w:rsid w:val="00C9661C"/>
    <w:rsid w:val="00C971CD"/>
    <w:rsid w:val="00CA10EB"/>
    <w:rsid w:val="00CA31D5"/>
    <w:rsid w:val="00CA3DA6"/>
    <w:rsid w:val="00CA5B78"/>
    <w:rsid w:val="00CA63A8"/>
    <w:rsid w:val="00CA6695"/>
    <w:rsid w:val="00CA70B9"/>
    <w:rsid w:val="00CA7123"/>
    <w:rsid w:val="00CB23EC"/>
    <w:rsid w:val="00CB3952"/>
    <w:rsid w:val="00CB4E9E"/>
    <w:rsid w:val="00CB511B"/>
    <w:rsid w:val="00CB5206"/>
    <w:rsid w:val="00CB6903"/>
    <w:rsid w:val="00CB6D40"/>
    <w:rsid w:val="00CB7C17"/>
    <w:rsid w:val="00CC08F3"/>
    <w:rsid w:val="00CC1544"/>
    <w:rsid w:val="00CC1D31"/>
    <w:rsid w:val="00CC27E6"/>
    <w:rsid w:val="00CC3809"/>
    <w:rsid w:val="00CC45ED"/>
    <w:rsid w:val="00CC5FC5"/>
    <w:rsid w:val="00CC75A3"/>
    <w:rsid w:val="00CC7744"/>
    <w:rsid w:val="00CD058E"/>
    <w:rsid w:val="00CD0985"/>
    <w:rsid w:val="00CD2C94"/>
    <w:rsid w:val="00CD3F58"/>
    <w:rsid w:val="00CD44C8"/>
    <w:rsid w:val="00CD5A0E"/>
    <w:rsid w:val="00CD5D12"/>
    <w:rsid w:val="00CD708C"/>
    <w:rsid w:val="00CD74B8"/>
    <w:rsid w:val="00CD7C25"/>
    <w:rsid w:val="00CE0DC6"/>
    <w:rsid w:val="00CE30A6"/>
    <w:rsid w:val="00CE42A1"/>
    <w:rsid w:val="00CE4719"/>
    <w:rsid w:val="00CE5D61"/>
    <w:rsid w:val="00CE6738"/>
    <w:rsid w:val="00CE7C01"/>
    <w:rsid w:val="00CE7E56"/>
    <w:rsid w:val="00CF0E6A"/>
    <w:rsid w:val="00CF16FB"/>
    <w:rsid w:val="00CF2024"/>
    <w:rsid w:val="00CF3FBF"/>
    <w:rsid w:val="00CF40DA"/>
    <w:rsid w:val="00CF4AD8"/>
    <w:rsid w:val="00CF4BFE"/>
    <w:rsid w:val="00CF61B6"/>
    <w:rsid w:val="00CF671F"/>
    <w:rsid w:val="00CF672C"/>
    <w:rsid w:val="00CF7F3B"/>
    <w:rsid w:val="00D00503"/>
    <w:rsid w:val="00D00846"/>
    <w:rsid w:val="00D01950"/>
    <w:rsid w:val="00D02C89"/>
    <w:rsid w:val="00D04919"/>
    <w:rsid w:val="00D052B4"/>
    <w:rsid w:val="00D07E33"/>
    <w:rsid w:val="00D10076"/>
    <w:rsid w:val="00D12778"/>
    <w:rsid w:val="00D130DA"/>
    <w:rsid w:val="00D130F7"/>
    <w:rsid w:val="00D13B5A"/>
    <w:rsid w:val="00D1488F"/>
    <w:rsid w:val="00D15686"/>
    <w:rsid w:val="00D16690"/>
    <w:rsid w:val="00D20645"/>
    <w:rsid w:val="00D20D4C"/>
    <w:rsid w:val="00D212A3"/>
    <w:rsid w:val="00D22AD5"/>
    <w:rsid w:val="00D232A8"/>
    <w:rsid w:val="00D23A87"/>
    <w:rsid w:val="00D2449C"/>
    <w:rsid w:val="00D24AAD"/>
    <w:rsid w:val="00D252D1"/>
    <w:rsid w:val="00D26AF5"/>
    <w:rsid w:val="00D2758D"/>
    <w:rsid w:val="00D3177D"/>
    <w:rsid w:val="00D337D1"/>
    <w:rsid w:val="00D33EFF"/>
    <w:rsid w:val="00D34F4F"/>
    <w:rsid w:val="00D357D2"/>
    <w:rsid w:val="00D35822"/>
    <w:rsid w:val="00D35E5E"/>
    <w:rsid w:val="00D406B9"/>
    <w:rsid w:val="00D41FA2"/>
    <w:rsid w:val="00D420BC"/>
    <w:rsid w:val="00D420DA"/>
    <w:rsid w:val="00D4253B"/>
    <w:rsid w:val="00D43C94"/>
    <w:rsid w:val="00D43E31"/>
    <w:rsid w:val="00D46213"/>
    <w:rsid w:val="00D478C9"/>
    <w:rsid w:val="00D50283"/>
    <w:rsid w:val="00D5127D"/>
    <w:rsid w:val="00D60604"/>
    <w:rsid w:val="00D62716"/>
    <w:rsid w:val="00D64154"/>
    <w:rsid w:val="00D64409"/>
    <w:rsid w:val="00D675F9"/>
    <w:rsid w:val="00D6772B"/>
    <w:rsid w:val="00D70300"/>
    <w:rsid w:val="00D71E10"/>
    <w:rsid w:val="00D71F7D"/>
    <w:rsid w:val="00D71F97"/>
    <w:rsid w:val="00D7239D"/>
    <w:rsid w:val="00D72A4C"/>
    <w:rsid w:val="00D73421"/>
    <w:rsid w:val="00D7450E"/>
    <w:rsid w:val="00D74A41"/>
    <w:rsid w:val="00D76907"/>
    <w:rsid w:val="00D810DA"/>
    <w:rsid w:val="00D81644"/>
    <w:rsid w:val="00D81BE6"/>
    <w:rsid w:val="00D85D6C"/>
    <w:rsid w:val="00D8754E"/>
    <w:rsid w:val="00D92FE3"/>
    <w:rsid w:val="00D93581"/>
    <w:rsid w:val="00D9441D"/>
    <w:rsid w:val="00D95AEB"/>
    <w:rsid w:val="00DA01B6"/>
    <w:rsid w:val="00DA04ED"/>
    <w:rsid w:val="00DA166D"/>
    <w:rsid w:val="00DA1CCF"/>
    <w:rsid w:val="00DA23C1"/>
    <w:rsid w:val="00DA24AD"/>
    <w:rsid w:val="00DA3039"/>
    <w:rsid w:val="00DA35CD"/>
    <w:rsid w:val="00DA4255"/>
    <w:rsid w:val="00DA664C"/>
    <w:rsid w:val="00DA791C"/>
    <w:rsid w:val="00DA7C42"/>
    <w:rsid w:val="00DA7EB3"/>
    <w:rsid w:val="00DB11F8"/>
    <w:rsid w:val="00DB17A2"/>
    <w:rsid w:val="00DB1D74"/>
    <w:rsid w:val="00DB25E4"/>
    <w:rsid w:val="00DB3596"/>
    <w:rsid w:val="00DB36C2"/>
    <w:rsid w:val="00DB45EC"/>
    <w:rsid w:val="00DB4917"/>
    <w:rsid w:val="00DB4C8A"/>
    <w:rsid w:val="00DB5F07"/>
    <w:rsid w:val="00DB6524"/>
    <w:rsid w:val="00DB6D0F"/>
    <w:rsid w:val="00DC14F0"/>
    <w:rsid w:val="00DC1945"/>
    <w:rsid w:val="00DC287A"/>
    <w:rsid w:val="00DC3DE0"/>
    <w:rsid w:val="00DC4D19"/>
    <w:rsid w:val="00DC5D87"/>
    <w:rsid w:val="00DC68C9"/>
    <w:rsid w:val="00DD0003"/>
    <w:rsid w:val="00DD0EE0"/>
    <w:rsid w:val="00DD1B1B"/>
    <w:rsid w:val="00DD32DC"/>
    <w:rsid w:val="00DD350B"/>
    <w:rsid w:val="00DD3629"/>
    <w:rsid w:val="00DD467E"/>
    <w:rsid w:val="00DD542E"/>
    <w:rsid w:val="00DD5DA5"/>
    <w:rsid w:val="00DD617D"/>
    <w:rsid w:val="00DE04E0"/>
    <w:rsid w:val="00DE06E0"/>
    <w:rsid w:val="00DE0B1A"/>
    <w:rsid w:val="00DE151B"/>
    <w:rsid w:val="00DE16D6"/>
    <w:rsid w:val="00DE2C80"/>
    <w:rsid w:val="00DE39C4"/>
    <w:rsid w:val="00DE408B"/>
    <w:rsid w:val="00DE55FF"/>
    <w:rsid w:val="00DE59C7"/>
    <w:rsid w:val="00DE5F6F"/>
    <w:rsid w:val="00DE79D3"/>
    <w:rsid w:val="00DE7F03"/>
    <w:rsid w:val="00DF2D6C"/>
    <w:rsid w:val="00DF2F4B"/>
    <w:rsid w:val="00DF5E27"/>
    <w:rsid w:val="00DF6805"/>
    <w:rsid w:val="00DF71A3"/>
    <w:rsid w:val="00E00448"/>
    <w:rsid w:val="00E00772"/>
    <w:rsid w:val="00E00B23"/>
    <w:rsid w:val="00E0117D"/>
    <w:rsid w:val="00E0310F"/>
    <w:rsid w:val="00E03125"/>
    <w:rsid w:val="00E0443E"/>
    <w:rsid w:val="00E0458B"/>
    <w:rsid w:val="00E04D95"/>
    <w:rsid w:val="00E05C6D"/>
    <w:rsid w:val="00E0769B"/>
    <w:rsid w:val="00E07754"/>
    <w:rsid w:val="00E10B5C"/>
    <w:rsid w:val="00E11760"/>
    <w:rsid w:val="00E119E8"/>
    <w:rsid w:val="00E12973"/>
    <w:rsid w:val="00E12DB3"/>
    <w:rsid w:val="00E131DE"/>
    <w:rsid w:val="00E141EC"/>
    <w:rsid w:val="00E1447C"/>
    <w:rsid w:val="00E14792"/>
    <w:rsid w:val="00E14DAE"/>
    <w:rsid w:val="00E155FA"/>
    <w:rsid w:val="00E16600"/>
    <w:rsid w:val="00E169CD"/>
    <w:rsid w:val="00E205A2"/>
    <w:rsid w:val="00E213F9"/>
    <w:rsid w:val="00E217A2"/>
    <w:rsid w:val="00E220F1"/>
    <w:rsid w:val="00E2280E"/>
    <w:rsid w:val="00E228DE"/>
    <w:rsid w:val="00E22C6D"/>
    <w:rsid w:val="00E23208"/>
    <w:rsid w:val="00E23C87"/>
    <w:rsid w:val="00E24758"/>
    <w:rsid w:val="00E261B7"/>
    <w:rsid w:val="00E264CC"/>
    <w:rsid w:val="00E2763D"/>
    <w:rsid w:val="00E27A92"/>
    <w:rsid w:val="00E3374A"/>
    <w:rsid w:val="00E345DB"/>
    <w:rsid w:val="00E3545D"/>
    <w:rsid w:val="00E3574A"/>
    <w:rsid w:val="00E35A46"/>
    <w:rsid w:val="00E36123"/>
    <w:rsid w:val="00E40533"/>
    <w:rsid w:val="00E405B8"/>
    <w:rsid w:val="00E41522"/>
    <w:rsid w:val="00E435D8"/>
    <w:rsid w:val="00E4448D"/>
    <w:rsid w:val="00E4670A"/>
    <w:rsid w:val="00E46F96"/>
    <w:rsid w:val="00E475AC"/>
    <w:rsid w:val="00E50D28"/>
    <w:rsid w:val="00E51807"/>
    <w:rsid w:val="00E53642"/>
    <w:rsid w:val="00E53896"/>
    <w:rsid w:val="00E53DD2"/>
    <w:rsid w:val="00E5501C"/>
    <w:rsid w:val="00E55150"/>
    <w:rsid w:val="00E5597A"/>
    <w:rsid w:val="00E55ABB"/>
    <w:rsid w:val="00E5686D"/>
    <w:rsid w:val="00E579D5"/>
    <w:rsid w:val="00E6038C"/>
    <w:rsid w:val="00E60876"/>
    <w:rsid w:val="00E60BCA"/>
    <w:rsid w:val="00E617D9"/>
    <w:rsid w:val="00E6233D"/>
    <w:rsid w:val="00E62FEA"/>
    <w:rsid w:val="00E6375C"/>
    <w:rsid w:val="00E64602"/>
    <w:rsid w:val="00E64AB3"/>
    <w:rsid w:val="00E64CCC"/>
    <w:rsid w:val="00E659E5"/>
    <w:rsid w:val="00E66761"/>
    <w:rsid w:val="00E67B60"/>
    <w:rsid w:val="00E67D90"/>
    <w:rsid w:val="00E702DA"/>
    <w:rsid w:val="00E72931"/>
    <w:rsid w:val="00E73C86"/>
    <w:rsid w:val="00E74DC5"/>
    <w:rsid w:val="00E75380"/>
    <w:rsid w:val="00E7665D"/>
    <w:rsid w:val="00E766DF"/>
    <w:rsid w:val="00E7698F"/>
    <w:rsid w:val="00E77F1E"/>
    <w:rsid w:val="00E8172C"/>
    <w:rsid w:val="00E81F35"/>
    <w:rsid w:val="00E820D3"/>
    <w:rsid w:val="00E82A56"/>
    <w:rsid w:val="00E82B1A"/>
    <w:rsid w:val="00E82C42"/>
    <w:rsid w:val="00E83D8A"/>
    <w:rsid w:val="00E90180"/>
    <w:rsid w:val="00E90731"/>
    <w:rsid w:val="00E926B2"/>
    <w:rsid w:val="00E94CA8"/>
    <w:rsid w:val="00E95A84"/>
    <w:rsid w:val="00E96CB5"/>
    <w:rsid w:val="00E9789E"/>
    <w:rsid w:val="00E97BF4"/>
    <w:rsid w:val="00E97F45"/>
    <w:rsid w:val="00E97FA3"/>
    <w:rsid w:val="00EA0632"/>
    <w:rsid w:val="00EA0B74"/>
    <w:rsid w:val="00EA2A88"/>
    <w:rsid w:val="00EA3E93"/>
    <w:rsid w:val="00EA4E8A"/>
    <w:rsid w:val="00EA755C"/>
    <w:rsid w:val="00EA78FF"/>
    <w:rsid w:val="00EB002B"/>
    <w:rsid w:val="00EB094A"/>
    <w:rsid w:val="00EB279B"/>
    <w:rsid w:val="00EB2CA5"/>
    <w:rsid w:val="00EB43FD"/>
    <w:rsid w:val="00EB44BE"/>
    <w:rsid w:val="00EB4682"/>
    <w:rsid w:val="00EB477D"/>
    <w:rsid w:val="00EB573D"/>
    <w:rsid w:val="00EB7FCF"/>
    <w:rsid w:val="00EC28E5"/>
    <w:rsid w:val="00EC5183"/>
    <w:rsid w:val="00EC6350"/>
    <w:rsid w:val="00EC6B93"/>
    <w:rsid w:val="00EC741D"/>
    <w:rsid w:val="00EC7464"/>
    <w:rsid w:val="00ED17C1"/>
    <w:rsid w:val="00ED377B"/>
    <w:rsid w:val="00EE0868"/>
    <w:rsid w:val="00EE0984"/>
    <w:rsid w:val="00EE1372"/>
    <w:rsid w:val="00EE1BFF"/>
    <w:rsid w:val="00EE1F4E"/>
    <w:rsid w:val="00EE585D"/>
    <w:rsid w:val="00EF0041"/>
    <w:rsid w:val="00EF0B62"/>
    <w:rsid w:val="00EF1739"/>
    <w:rsid w:val="00EF1989"/>
    <w:rsid w:val="00EF35D4"/>
    <w:rsid w:val="00EF3A40"/>
    <w:rsid w:val="00EF468B"/>
    <w:rsid w:val="00EF5429"/>
    <w:rsid w:val="00EF5939"/>
    <w:rsid w:val="00F0078E"/>
    <w:rsid w:val="00F02857"/>
    <w:rsid w:val="00F03424"/>
    <w:rsid w:val="00F041C3"/>
    <w:rsid w:val="00F048DC"/>
    <w:rsid w:val="00F04CDD"/>
    <w:rsid w:val="00F0606D"/>
    <w:rsid w:val="00F06858"/>
    <w:rsid w:val="00F071A7"/>
    <w:rsid w:val="00F0778D"/>
    <w:rsid w:val="00F077D3"/>
    <w:rsid w:val="00F07E0C"/>
    <w:rsid w:val="00F1025E"/>
    <w:rsid w:val="00F10B1C"/>
    <w:rsid w:val="00F12FFB"/>
    <w:rsid w:val="00F1328C"/>
    <w:rsid w:val="00F13817"/>
    <w:rsid w:val="00F13939"/>
    <w:rsid w:val="00F13B21"/>
    <w:rsid w:val="00F14463"/>
    <w:rsid w:val="00F14D68"/>
    <w:rsid w:val="00F162EF"/>
    <w:rsid w:val="00F1653E"/>
    <w:rsid w:val="00F16C75"/>
    <w:rsid w:val="00F1714A"/>
    <w:rsid w:val="00F17FE9"/>
    <w:rsid w:val="00F2128C"/>
    <w:rsid w:val="00F23291"/>
    <w:rsid w:val="00F25284"/>
    <w:rsid w:val="00F26CA1"/>
    <w:rsid w:val="00F30A38"/>
    <w:rsid w:val="00F31197"/>
    <w:rsid w:val="00F31416"/>
    <w:rsid w:val="00F32788"/>
    <w:rsid w:val="00F33190"/>
    <w:rsid w:val="00F332A2"/>
    <w:rsid w:val="00F33323"/>
    <w:rsid w:val="00F337B2"/>
    <w:rsid w:val="00F33D36"/>
    <w:rsid w:val="00F35D0B"/>
    <w:rsid w:val="00F35F69"/>
    <w:rsid w:val="00F37A71"/>
    <w:rsid w:val="00F4080E"/>
    <w:rsid w:val="00F43F03"/>
    <w:rsid w:val="00F45799"/>
    <w:rsid w:val="00F467B7"/>
    <w:rsid w:val="00F46C39"/>
    <w:rsid w:val="00F4755A"/>
    <w:rsid w:val="00F547A2"/>
    <w:rsid w:val="00F555C6"/>
    <w:rsid w:val="00F60727"/>
    <w:rsid w:val="00F60CC6"/>
    <w:rsid w:val="00F622E8"/>
    <w:rsid w:val="00F6362F"/>
    <w:rsid w:val="00F63895"/>
    <w:rsid w:val="00F63F4E"/>
    <w:rsid w:val="00F64822"/>
    <w:rsid w:val="00F65CB3"/>
    <w:rsid w:val="00F663C7"/>
    <w:rsid w:val="00F66B4C"/>
    <w:rsid w:val="00F66E31"/>
    <w:rsid w:val="00F6759D"/>
    <w:rsid w:val="00F707E3"/>
    <w:rsid w:val="00F70A77"/>
    <w:rsid w:val="00F71419"/>
    <w:rsid w:val="00F7192D"/>
    <w:rsid w:val="00F71CD0"/>
    <w:rsid w:val="00F71FC5"/>
    <w:rsid w:val="00F73049"/>
    <w:rsid w:val="00F7378F"/>
    <w:rsid w:val="00F77594"/>
    <w:rsid w:val="00F77609"/>
    <w:rsid w:val="00F77612"/>
    <w:rsid w:val="00F80AE5"/>
    <w:rsid w:val="00F8193B"/>
    <w:rsid w:val="00F846D6"/>
    <w:rsid w:val="00F84E50"/>
    <w:rsid w:val="00F86CB7"/>
    <w:rsid w:val="00F9065F"/>
    <w:rsid w:val="00F908B7"/>
    <w:rsid w:val="00F9142F"/>
    <w:rsid w:val="00F91F5A"/>
    <w:rsid w:val="00F92F01"/>
    <w:rsid w:val="00F941C2"/>
    <w:rsid w:val="00F95B2C"/>
    <w:rsid w:val="00F971E5"/>
    <w:rsid w:val="00FA0AA2"/>
    <w:rsid w:val="00FA509B"/>
    <w:rsid w:val="00FA7725"/>
    <w:rsid w:val="00FB0F81"/>
    <w:rsid w:val="00FB17F6"/>
    <w:rsid w:val="00FB3263"/>
    <w:rsid w:val="00FB5CFE"/>
    <w:rsid w:val="00FB642C"/>
    <w:rsid w:val="00FB6ED3"/>
    <w:rsid w:val="00FB79D5"/>
    <w:rsid w:val="00FC059D"/>
    <w:rsid w:val="00FC07D5"/>
    <w:rsid w:val="00FC0D50"/>
    <w:rsid w:val="00FC1175"/>
    <w:rsid w:val="00FC3832"/>
    <w:rsid w:val="00FC3F34"/>
    <w:rsid w:val="00FC4514"/>
    <w:rsid w:val="00FC4754"/>
    <w:rsid w:val="00FC4A3E"/>
    <w:rsid w:val="00FC5614"/>
    <w:rsid w:val="00FC6BFA"/>
    <w:rsid w:val="00FD1F2A"/>
    <w:rsid w:val="00FD4195"/>
    <w:rsid w:val="00FD5FBF"/>
    <w:rsid w:val="00FE2060"/>
    <w:rsid w:val="00FE31E9"/>
    <w:rsid w:val="00FE41CB"/>
    <w:rsid w:val="00FE4511"/>
    <w:rsid w:val="00FE4584"/>
    <w:rsid w:val="00FE574F"/>
    <w:rsid w:val="00FE610F"/>
    <w:rsid w:val="00FE7D43"/>
    <w:rsid w:val="00FE7FD0"/>
    <w:rsid w:val="00FF029E"/>
    <w:rsid w:val="00FF0918"/>
    <w:rsid w:val="00FF0A78"/>
    <w:rsid w:val="00FF160F"/>
    <w:rsid w:val="00FF2332"/>
    <w:rsid w:val="00FF446F"/>
    <w:rsid w:val="00FF48F9"/>
    <w:rsid w:val="00FF6F4D"/>
    <w:rsid w:val="00FF7B29"/>
    <w:rsid w:val="030DE957"/>
    <w:rsid w:val="0428073D"/>
    <w:rsid w:val="08297CF4"/>
    <w:rsid w:val="0CE159F1"/>
    <w:rsid w:val="0D858CAF"/>
    <w:rsid w:val="0EF7C2A3"/>
    <w:rsid w:val="11642C45"/>
    <w:rsid w:val="1185A769"/>
    <w:rsid w:val="155CFA1C"/>
    <w:rsid w:val="17979350"/>
    <w:rsid w:val="17A96798"/>
    <w:rsid w:val="18D503AB"/>
    <w:rsid w:val="19874933"/>
    <w:rsid w:val="20420177"/>
    <w:rsid w:val="204E4DBB"/>
    <w:rsid w:val="2319E716"/>
    <w:rsid w:val="24612AE8"/>
    <w:rsid w:val="25783FE9"/>
    <w:rsid w:val="257FD124"/>
    <w:rsid w:val="25C52363"/>
    <w:rsid w:val="2A1B5C56"/>
    <w:rsid w:val="2B529C7A"/>
    <w:rsid w:val="2BFEE362"/>
    <w:rsid w:val="2CCA09A5"/>
    <w:rsid w:val="2CCAA3CF"/>
    <w:rsid w:val="2D058229"/>
    <w:rsid w:val="30B2978D"/>
    <w:rsid w:val="311F198B"/>
    <w:rsid w:val="314B0261"/>
    <w:rsid w:val="315A8A43"/>
    <w:rsid w:val="34A8506A"/>
    <w:rsid w:val="34BC8D57"/>
    <w:rsid w:val="3566D4B8"/>
    <w:rsid w:val="3732F84E"/>
    <w:rsid w:val="3BC4B209"/>
    <w:rsid w:val="3DB5AE9C"/>
    <w:rsid w:val="3EFDEDCD"/>
    <w:rsid w:val="3F21A9B3"/>
    <w:rsid w:val="3FE4DAA3"/>
    <w:rsid w:val="41CADDD8"/>
    <w:rsid w:val="43061855"/>
    <w:rsid w:val="44445FBF"/>
    <w:rsid w:val="44E5181A"/>
    <w:rsid w:val="4B2B043B"/>
    <w:rsid w:val="4C687496"/>
    <w:rsid w:val="4C73DC88"/>
    <w:rsid w:val="50A3C5B1"/>
    <w:rsid w:val="50B69E66"/>
    <w:rsid w:val="5360041E"/>
    <w:rsid w:val="562CB765"/>
    <w:rsid w:val="57668A77"/>
    <w:rsid w:val="58C5ED89"/>
    <w:rsid w:val="59AD4A1E"/>
    <w:rsid w:val="5C77429A"/>
    <w:rsid w:val="5F4E4FF4"/>
    <w:rsid w:val="60424F41"/>
    <w:rsid w:val="6053693C"/>
    <w:rsid w:val="61B8570F"/>
    <w:rsid w:val="61DE1FA2"/>
    <w:rsid w:val="62D1E295"/>
    <w:rsid w:val="64CC7625"/>
    <w:rsid w:val="68BEAF90"/>
    <w:rsid w:val="6C163B50"/>
    <w:rsid w:val="6D3405A4"/>
    <w:rsid w:val="6EA37A4D"/>
    <w:rsid w:val="6FB1C663"/>
    <w:rsid w:val="73BCDE7E"/>
    <w:rsid w:val="76A4AE0C"/>
    <w:rsid w:val="788E2492"/>
    <w:rsid w:val="7A2E47C9"/>
    <w:rsid w:val="7D6593DF"/>
    <w:rsid w:val="7E8D488A"/>
    <w:rsid w:val="7FC094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B49E2"/>
  <w14:defaultImageDpi w14:val="0"/>
  <w15:docId w15:val="{F35146C1-8A93-4922-9F03-8ABEE7EA36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3" w:qFormat="1"/>
    <w:lsdException w:name="annotation text" w:uiPriority="99"/>
    <w:lsdException w:name="header" w:uiPriority="99"/>
    <w:lsdException w:name="footer" w:uiPriority="99"/>
    <w:lsdException w:name="caption" w:semiHidden="1" w:unhideWhenUsed="1" w:qFormat="1"/>
    <w:lsdException w:name="footnote reference" w:uiPriority="3"/>
    <w:lsdException w:name="annotation reference" w:uiPriority="99"/>
    <w:lsdException w:name="page number"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208D9"/>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A549AF"/>
    <w:pPr>
      <w:keepNext/>
      <w:keepLines/>
      <w:spacing w:before="240" w:after="120"/>
      <w:outlineLvl w:val="1"/>
    </w:pPr>
    <w:rPr>
      <w:rFonts w:ascii="Arial Bold" w:hAnsi="Arial Bold" w:cs="Arial"/>
      <w:b/>
      <w:bCs/>
      <w:color w:val="000000"/>
      <w:sz w:val="26"/>
      <w:szCs w:val="22"/>
      <w:lang w:eastAsia="en-GB"/>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qFormat/>
    <w:rsid w:val="002B7335"/>
    <w:pPr>
      <w:spacing w:before="240" w:after="120"/>
      <w:outlineLvl w:val="4"/>
    </w:pPr>
    <w:rPr>
      <w:bCs/>
      <w:i/>
      <w:iCs/>
      <w:sz w:val="2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lang w:val="x-none" w:eastAsia="en-US"/>
    </w:rPr>
  </w:style>
  <w:style w:type="character" w:styleId="Heading2Char" w:customStyle="1">
    <w:name w:val="Heading 2 Char"/>
    <w:aliases w:val="EBHeading1 Char"/>
    <w:basedOn w:val="DefaultParagraphFont"/>
    <w:link w:val="Heading2"/>
    <w:uiPriority w:val="9"/>
    <w:locked/>
    <w:rsid w:val="00A549AF"/>
    <w:rPr>
      <w:rFonts w:ascii="Arial Bold" w:hAnsi="Arial Bold" w:cs="Arial"/>
      <w:b/>
      <w:bCs/>
      <w:color w:val="000000"/>
      <w:sz w:val="26"/>
      <w:szCs w:val="22"/>
    </w:rPr>
  </w:style>
  <w:style w:type="character" w:styleId="Heading3Char" w:customStyle="1">
    <w:name w:val="Heading 3 Char"/>
    <w:aliases w:val="EBHeading2 Char"/>
    <w:basedOn w:val="DefaultParagraphFont"/>
    <w:link w:val="Heading3"/>
    <w:uiPriority w:val="9"/>
    <w:semiHidden/>
    <w:locked/>
    <w:rPr>
      <w:rFonts w:cs="Times New Roman" w:asciiTheme="majorHAnsi" w:hAnsiTheme="majorHAnsi" w:eastAsiaTheme="majorEastAsia"/>
      <w:b/>
      <w:bCs/>
      <w:sz w:val="26"/>
      <w:szCs w:val="26"/>
      <w:lang w:val="x-none" w:eastAsia="en-US"/>
    </w:rPr>
  </w:style>
  <w:style w:type="character" w:styleId="Heading4Char" w:customStyle="1">
    <w:name w:val="Heading 4 Char"/>
    <w:aliases w:val="EBHeading3 Char"/>
    <w:basedOn w:val="DefaultParagraphFont"/>
    <w:link w:val="Heading4"/>
    <w:uiPriority w:val="9"/>
    <w:semiHidden/>
    <w:locked/>
    <w:rPr>
      <w:rFonts w:cs="Times New Roman" w:asciiTheme="minorHAnsi" w:hAnsiTheme="minorHAnsi" w:eastAsiaTheme="minorEastAsia"/>
      <w:b/>
      <w:bCs/>
      <w:sz w:val="28"/>
      <w:szCs w:val="28"/>
      <w:lang w:val="x-none" w:eastAsia="en-US"/>
    </w:rPr>
  </w:style>
  <w:style w:type="character" w:styleId="Heading5Char" w:customStyle="1">
    <w:name w:val="Heading 5 Char"/>
    <w:aliases w:val="EBHeading4 Char"/>
    <w:basedOn w:val="DefaultParagraphFont"/>
    <w:link w:val="Heading5"/>
    <w:uiPriority w:val="99"/>
    <w:locked/>
    <w:rPr>
      <w:rFonts w:cs="Times New Roman" w:asciiTheme="minorHAnsi" w:hAnsiTheme="minorHAnsi" w:eastAsiaTheme="minorEastAsia"/>
      <w:b/>
      <w:bCs/>
      <w:i/>
      <w:iCs/>
      <w:sz w:val="26"/>
      <w:szCs w:val="26"/>
      <w:lang w:val="x-none" w:eastAsia="en-US"/>
    </w:rPr>
  </w:style>
  <w:style w:type="paragraph" w:styleId="IATableLabel" w:customStyle="1">
    <w:name w:val="IATableLabel"/>
    <w:basedOn w:val="Normal"/>
    <w:link w:val="IATableLabelCharChar"/>
    <w:uiPriority w:val="99"/>
    <w:rsid w:val="00402E80"/>
    <w:pPr>
      <w:spacing w:before="50" w:after="50"/>
      <w:ind w:left="113" w:right="113"/>
    </w:pPr>
    <w:rPr>
      <w:rFonts w:eastAsia="SimSun"/>
      <w:b/>
      <w:color w:val="000000"/>
      <w:spacing w:val="-5"/>
      <w:sz w:val="20"/>
      <w:szCs w:val="20"/>
      <w:lang w:eastAsia="zh-CN"/>
    </w:rPr>
  </w:style>
  <w:style w:type="character" w:styleId="IATableLabelCharChar" w:customStyle="1">
    <w:name w:val="IATableLabel Char Char"/>
    <w:link w:val="IATableLabel"/>
    <w:uiPriority w:val="99"/>
    <w:locked/>
    <w:rsid w:val="00402E80"/>
    <w:rPr>
      <w:rFonts w:ascii="Arial" w:hAnsi="Arial" w:eastAsia="SimSun"/>
      <w:b/>
      <w:color w:val="000000"/>
      <w:spacing w:val="-5"/>
      <w:lang w:val="en-GB" w:eastAsia="zh-CN"/>
    </w:rPr>
  </w:style>
  <w:style w:type="paragraph" w:styleId="IASpacer" w:customStyle="1">
    <w:name w:val="IASpacer"/>
    <w:basedOn w:val="Normal"/>
    <w:rsid w:val="007208D9"/>
    <w:pPr>
      <w:spacing w:line="80" w:lineRule="exact"/>
    </w:pPr>
    <w:rPr>
      <w:rFonts w:eastAsia="SimSun"/>
      <w:sz w:val="22"/>
      <w:lang w:eastAsia="zh-CN"/>
    </w:rPr>
  </w:style>
  <w:style w:type="paragraph" w:styleId="IATableText" w:customStyle="1">
    <w:name w:val="IATableText"/>
    <w:basedOn w:val="IATableLabel"/>
    <w:link w:val="IATableTextChar"/>
    <w:rsid w:val="00220F29"/>
    <w:rPr>
      <w:b w:val="0"/>
      <w:color w:val="auto"/>
      <w:sz w:val="22"/>
    </w:rPr>
  </w:style>
  <w:style w:type="character" w:styleId="IATableTextChar" w:customStyle="1">
    <w:name w:val="IATableText Char"/>
    <w:link w:val="IATableText"/>
    <w:locked/>
    <w:rsid w:val="00220F29"/>
    <w:rPr>
      <w:rFonts w:ascii="Arial" w:hAnsi="Arial" w:eastAsia="SimSun"/>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styleId="BodyTextChar" w:customStyle="1">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39"/>
    <w:rsid w:val="000265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styleId="TitleChar" w:customStyle="1">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styleId="IAHeadDept" w:customStyle="1">
    <w:name w:val="IAHeadDept"/>
    <w:basedOn w:val="IATableText"/>
    <w:link w:val="IAHeadDeptChar"/>
    <w:rsid w:val="00C120C0"/>
    <w:pPr>
      <w:spacing w:after="120"/>
      <w:ind w:left="0" w:right="57"/>
    </w:pPr>
    <w:rPr>
      <w:spacing w:val="-6"/>
      <w:szCs w:val="22"/>
    </w:rPr>
  </w:style>
  <w:style w:type="paragraph" w:styleId="IAHeadLabel" w:customStyle="1">
    <w:name w:val="IAHeadLabel"/>
    <w:basedOn w:val="IATableLabel"/>
    <w:link w:val="IAHeadLabelChar"/>
    <w:rsid w:val="00570F8E"/>
    <w:pPr>
      <w:spacing w:before="110"/>
      <w:ind w:left="0" w:right="0"/>
    </w:pPr>
  </w:style>
  <w:style w:type="character" w:styleId="IAHeadLabelChar" w:customStyle="1">
    <w:name w:val="IAHeadLabel Char"/>
    <w:basedOn w:val="IATableLabelCharChar"/>
    <w:link w:val="IAHeadLabel"/>
    <w:locked/>
    <w:rsid w:val="00570F8E"/>
    <w:rPr>
      <w:rFonts w:ascii="Arial" w:hAnsi="Arial" w:eastAsia="SimSun" w:cs="Times New Roman"/>
      <w:b/>
      <w:color w:val="000000"/>
      <w:spacing w:val="-5"/>
      <w:lang w:val="en-GB" w:eastAsia="zh-CN" w:bidi="ar-SA"/>
    </w:rPr>
  </w:style>
  <w:style w:type="table" w:styleId="TableIAHeading" w:customStyle="1">
    <w:name w:val="Table_IAHeading"/>
    <w:basedOn w:val="TableNormal"/>
    <w:semiHidden/>
    <w:rsid w:val="006A5A2E"/>
    <w:rPr>
      <w:rFonts w:eastAsia="SimSun"/>
      <w:color w:val="FFFFFF"/>
    </w:rPr>
    <w:tblPr>
      <w:tblBorders>
        <w:top w:val="single" w:color="008080" w:sz="12" w:space="0"/>
        <w:left w:val="single" w:color="008080" w:sz="12" w:space="0"/>
        <w:bottom w:val="single" w:color="008080" w:sz="12" w:space="0"/>
        <w:right w:val="single" w:color="008080" w:sz="12" w:space="0"/>
        <w:insideH w:val="single" w:color="008080" w:sz="12" w:space="0"/>
      </w:tblBorders>
      <w:tblCellMar>
        <w:left w:w="0" w:type="dxa"/>
        <w:right w:w="0" w:type="dxa"/>
      </w:tblCellMar>
    </w:tblPr>
    <w:tcPr>
      <w:shd w:val="clear" w:color="auto" w:fill="008080"/>
    </w:tcPr>
  </w:style>
  <w:style w:type="paragraph" w:styleId="IATableNotes" w:customStyle="1">
    <w:name w:val="IATableNotes"/>
    <w:basedOn w:val="Normal"/>
    <w:link w:val="IATableNotesChar"/>
    <w:rsid w:val="006A5A2E"/>
    <w:pPr>
      <w:spacing w:before="60" w:after="60"/>
      <w:ind w:left="113" w:right="113"/>
    </w:pPr>
    <w:rPr>
      <w:rFonts w:eastAsia="SimSun"/>
      <w:sz w:val="18"/>
      <w:szCs w:val="20"/>
      <w:lang w:eastAsia="zh-CN"/>
    </w:rPr>
  </w:style>
  <w:style w:type="character" w:styleId="IATableNotesChar" w:customStyle="1">
    <w:name w:val="IATableNotes Char"/>
    <w:link w:val="IATableNotes"/>
    <w:locked/>
    <w:rsid w:val="006A5A2E"/>
    <w:rPr>
      <w:rFonts w:ascii="Arial" w:hAnsi="Arial" w:eastAsia="SimSun"/>
      <w:sz w:val="18"/>
      <w:lang w:val="en-GB" w:eastAsia="zh-CN"/>
    </w:rPr>
  </w:style>
  <w:style w:type="paragraph" w:styleId="IASignOff" w:customStyle="1">
    <w:name w:val="IASignOff"/>
    <w:basedOn w:val="IATableNotes"/>
    <w:next w:val="IATableNotes"/>
    <w:link w:val="IASignOffChar"/>
    <w:semiHidden/>
    <w:rsid w:val="006A5A2E"/>
    <w:pPr>
      <w:spacing w:before="120" w:after="120"/>
      <w:ind w:left="567" w:right="567"/>
    </w:pPr>
    <w:rPr>
      <w:b/>
      <w:bCs/>
      <w:i/>
      <w:iCs/>
    </w:rPr>
  </w:style>
  <w:style w:type="character" w:styleId="IASignOffChar" w:customStyle="1">
    <w:name w:val="IASignOff Char"/>
    <w:link w:val="IASignOff"/>
    <w:locked/>
    <w:rsid w:val="006A5A2E"/>
    <w:rPr>
      <w:rFonts w:ascii="Arial" w:hAnsi="Arial" w:eastAsia="SimSun"/>
      <w:b/>
      <w:i/>
      <w:sz w:val="18"/>
      <w:lang w:val="en-GB" w:eastAsia="zh-CN"/>
    </w:rPr>
  </w:style>
  <w:style w:type="paragraph" w:styleId="IAHeadTitle" w:customStyle="1">
    <w:name w:val="IAHeadTitle"/>
    <w:basedOn w:val="IAHeadDept"/>
    <w:link w:val="IAHeadTitleChar"/>
    <w:rsid w:val="008228A5"/>
    <w:pPr>
      <w:spacing w:before="0" w:after="0"/>
    </w:pPr>
    <w:rPr>
      <w:b/>
      <w:sz w:val="28"/>
      <w:szCs w:val="28"/>
    </w:rPr>
  </w:style>
  <w:style w:type="paragraph" w:styleId="IASignature" w:customStyle="1">
    <w:name w:val="IA Signature"/>
    <w:basedOn w:val="IATableText"/>
    <w:rsid w:val="00C67CDD"/>
    <w:pPr>
      <w:tabs>
        <w:tab w:val="left" w:leader="dot" w:pos="6804"/>
        <w:tab w:val="right" w:leader="dot" w:pos="10206"/>
      </w:tabs>
      <w:spacing w:before="0" w:after="0"/>
      <w:ind w:left="0"/>
    </w:pPr>
  </w:style>
  <w:style w:type="paragraph" w:styleId="IASign-offlabel" w:customStyle="1">
    <w:name w:val="IA Sign-off label"/>
    <w:basedOn w:val="IAHeadLabel"/>
    <w:link w:val="IASign-offlabelChar"/>
    <w:rsid w:val="00FB5CFE"/>
    <w:pPr>
      <w:spacing w:after="120"/>
    </w:pPr>
    <w:rPr>
      <w:szCs w:val="22"/>
      <w:u w:val="single"/>
    </w:rPr>
  </w:style>
  <w:style w:type="character" w:styleId="IASign-offlabelChar" w:customStyle="1">
    <w:name w:val="IA Sign-off label Char"/>
    <w:link w:val="IASign-offlabel"/>
    <w:locked/>
    <w:rsid w:val="009050B9"/>
    <w:rPr>
      <w:rFonts w:ascii="Arial" w:hAnsi="Arial" w:eastAsia="SimSun"/>
      <w:b/>
      <w:color w:val="000000"/>
      <w:spacing w:val="-5"/>
      <w:sz w:val="22"/>
      <w:u w:val="single"/>
      <w:lang w:val="en-GB" w:eastAsia="zh-CN"/>
    </w:rPr>
  </w:style>
  <w:style w:type="paragraph" w:styleId="IASign-off" w:customStyle="1">
    <w:name w:val="IA Sign-off"/>
    <w:basedOn w:val="IATableText"/>
    <w:rsid w:val="00C67CDD"/>
    <w:pPr>
      <w:spacing w:before="0" w:after="0"/>
      <w:ind w:left="0" w:right="284"/>
    </w:pPr>
    <w:rPr>
      <w:b/>
      <w:i/>
    </w:rPr>
  </w:style>
  <w:style w:type="paragraph" w:styleId="IAHeading2" w:customStyle="1">
    <w:name w:val="IAHeading2"/>
    <w:basedOn w:val="Normal"/>
    <w:semiHidden/>
    <w:rsid w:val="000A79FC"/>
    <w:pPr>
      <w:keepNext/>
      <w:keepLines/>
      <w:spacing w:before="60" w:after="60"/>
      <w:ind w:left="113" w:right="113"/>
    </w:pPr>
    <w:rPr>
      <w:rFonts w:eastAsia="SimSun"/>
      <w:b/>
      <w:sz w:val="20"/>
      <w:lang w:eastAsia="zh-CN"/>
    </w:rPr>
  </w:style>
  <w:style w:type="table" w:styleId="TableIABox" w:customStyle="1">
    <w:name w:val="Table_IABox"/>
    <w:basedOn w:val="TableNormal"/>
    <w:rsid w:val="007777A1"/>
    <w:rPr>
      <w:rFonts w:eastAsia="SimSun"/>
    </w:rPr>
    <w:tblPr>
      <w:tblBorders>
        <w:top w:val="single" w:color="auto" w:sz="4" w:space="0"/>
        <w:left w:val="single" w:color="auto" w:sz="4" w:space="0"/>
        <w:bottom w:val="single" w:color="auto" w:sz="4" w:space="0"/>
        <w:right w:val="single" w:color="auto" w:sz="4" w:space="0"/>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styleId="HeaderChar" w:customStyle="1">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styleId="FooterChar" w:customStyle="1">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styleId="IANotes" w:customStyle="1">
    <w:name w:val="IANotes"/>
    <w:basedOn w:val="Normal"/>
    <w:uiPriority w:val="99"/>
    <w:rsid w:val="00650282"/>
    <w:rPr>
      <w:rFonts w:eastAsia="SimSun"/>
      <w:color w:val="008080"/>
      <w:sz w:val="22"/>
      <w:lang w:eastAsia="zh-CN"/>
    </w:rPr>
  </w:style>
  <w:style w:type="paragraph" w:styleId="IATableHeading" w:customStyle="1">
    <w:name w:val="IATableHeading"/>
    <w:basedOn w:val="IATableLabel"/>
    <w:rsid w:val="00716D5C"/>
    <w:rPr>
      <w:sz w:val="22"/>
      <w:szCs w:val="24"/>
    </w:rPr>
  </w:style>
  <w:style w:type="paragraph" w:styleId="FootnoteText">
    <w:name w:val="footnote text"/>
    <w:basedOn w:val="Normal"/>
    <w:link w:val="FootnoteTextChar"/>
    <w:uiPriority w:val="3"/>
    <w:qFormat/>
    <w:rsid w:val="00490FF7"/>
    <w:rPr>
      <w:rFonts w:eastAsia="SimSun"/>
      <w:sz w:val="16"/>
      <w:szCs w:val="20"/>
      <w:lang w:eastAsia="zh-CN"/>
    </w:rPr>
  </w:style>
  <w:style w:type="character" w:styleId="FootnoteTextChar" w:customStyle="1">
    <w:name w:val="Footnote Text Char"/>
    <w:basedOn w:val="DefaultParagraphFont"/>
    <w:link w:val="FootnoteText"/>
    <w:uiPriority w:val="3"/>
    <w:locked/>
    <w:rPr>
      <w:rFonts w:ascii="Arial" w:hAnsi="Arial" w:cs="Times New Roman"/>
      <w:lang w:val="x-none" w:eastAsia="en-US"/>
    </w:rPr>
  </w:style>
  <w:style w:type="character" w:styleId="FootnoteReference">
    <w:name w:val="footnote reference"/>
    <w:basedOn w:val="DefaultParagraphFont"/>
    <w:uiPriority w:val="3"/>
    <w:rsid w:val="00B84190"/>
    <w:rPr>
      <w:rFonts w:cs="Times New Roman"/>
      <w:sz w:val="22"/>
      <w:vertAlign w:val="superscript"/>
    </w:rPr>
  </w:style>
  <w:style w:type="paragraph" w:styleId="EBBodyPara" w:customStyle="1">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SegoeUI" w:hAnsi="SegoeUI" w:cs="SegoeUI"/>
      <w:sz w:val="18"/>
      <w:szCs w:val="18"/>
      <w:lang w:val="x-none" w:eastAsia="en-US"/>
    </w:rPr>
  </w:style>
  <w:style w:type="paragraph" w:styleId="EBNumber" w:customStyle="1">
    <w:name w:val="EBNumber"/>
    <w:basedOn w:val="BodyText"/>
    <w:link w:val="EBNumberCharChar"/>
    <w:rsid w:val="002B7335"/>
    <w:pPr>
      <w:numPr>
        <w:ilvl w:val="1"/>
        <w:numId w:val="20"/>
      </w:numPr>
    </w:pPr>
  </w:style>
  <w:style w:type="paragraph" w:styleId="EBNumberRestart" w:customStyle="1">
    <w:name w:val="EBNumberRestart"/>
    <w:basedOn w:val="BodyText"/>
    <w:next w:val="EBNumber"/>
    <w:rsid w:val="002B7335"/>
    <w:pPr>
      <w:numPr>
        <w:numId w:val="20"/>
      </w:numPr>
    </w:pPr>
  </w:style>
  <w:style w:type="paragraph" w:styleId="StyleIATableText10ptRight" w:customStyle="1">
    <w:name w:val="Style IATableText + 10 pt Right"/>
    <w:basedOn w:val="IATableText"/>
    <w:rsid w:val="008D39AA"/>
    <w:pPr>
      <w:ind w:left="0" w:right="57"/>
      <w:jc w:val="right"/>
    </w:pPr>
    <w:rPr>
      <w:rFonts w:eastAsia="Times New Roman"/>
      <w:sz w:val="20"/>
    </w:rPr>
  </w:style>
  <w:style w:type="paragraph" w:styleId="SecurityClass" w:customStyle="1">
    <w:name w:val="SecurityClass"/>
    <w:basedOn w:val="Header"/>
    <w:rsid w:val="00AE46AA"/>
  </w:style>
  <w:style w:type="paragraph" w:styleId="IARefNumber" w:customStyle="1">
    <w:name w:val="IARefNumber"/>
    <w:basedOn w:val="IATableText"/>
    <w:rsid w:val="001E152A"/>
    <w:pPr>
      <w:numPr>
        <w:numId w:val="12"/>
      </w:numPr>
      <w:ind w:left="0"/>
    </w:pPr>
  </w:style>
  <w:style w:type="character" w:styleId="Hyperlink">
    <w:name w:val="Hyperlink"/>
    <w:basedOn w:val="DefaultParagraphFont"/>
    <w:uiPriority w:val="99"/>
    <w:rsid w:val="00B4136C"/>
    <w:rPr>
      <w:rFonts w:cs="Times New Roman"/>
      <w:color w:val="auto"/>
      <w:u w:val="single"/>
    </w:rPr>
  </w:style>
  <w:style w:type="paragraph" w:styleId="POPBY" w:customStyle="1">
    <w:name w:val="POPBY"/>
    <w:basedOn w:val="IATableLabel"/>
    <w:uiPriority w:val="99"/>
    <w:rsid w:val="00AB574B"/>
  </w:style>
  <w:style w:type="paragraph" w:styleId="EBBullet" w:customStyle="1">
    <w:name w:val="EBBullet"/>
    <w:basedOn w:val="BodyText"/>
    <w:rsid w:val="002B7335"/>
    <w:pPr>
      <w:numPr>
        <w:numId w:val="17"/>
      </w:numPr>
    </w:pPr>
  </w:style>
  <w:style w:type="paragraph" w:styleId="IAHeadText" w:customStyle="1">
    <w:name w:val="IAHeadText"/>
    <w:basedOn w:val="IATableText"/>
    <w:rsid w:val="00632CB9"/>
    <w:pPr>
      <w:spacing w:before="0" w:after="0"/>
      <w:ind w:left="0" w:right="57"/>
    </w:pPr>
    <w:rPr>
      <w:spacing w:val="-6"/>
    </w:rPr>
  </w:style>
  <w:style w:type="paragraph" w:styleId="IAHeadLabel0" w:customStyle="1">
    <w:name w:val="IAHeadLabel0"/>
    <w:basedOn w:val="IAHeadLabel"/>
    <w:next w:val="IAHeadTitle"/>
    <w:rsid w:val="00632CB9"/>
    <w:pPr>
      <w:spacing w:before="0"/>
    </w:pPr>
  </w:style>
  <w:style w:type="paragraph" w:styleId="IATableLines" w:customStyle="1">
    <w:name w:val="IATableLines"/>
    <w:basedOn w:val="IATableText"/>
    <w:link w:val="IATableLinesChar"/>
    <w:rsid w:val="00E82A56"/>
    <w:pPr>
      <w:spacing w:before="0" w:after="0"/>
    </w:pPr>
  </w:style>
  <w:style w:type="paragraph" w:styleId="EvidenceHeadPIR" w:customStyle="1">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styleId="IASpacer2" w:customStyle="1">
    <w:name w:val="IASpacer2"/>
    <w:basedOn w:val="IASpacer"/>
    <w:rsid w:val="00311373"/>
    <w:pPr>
      <w:spacing w:line="40" w:lineRule="exact"/>
    </w:pPr>
  </w:style>
  <w:style w:type="paragraph" w:styleId="POPVBY" w:customStyle="1">
    <w:name w:val="POPVBY"/>
    <w:basedOn w:val="IATableLabel"/>
    <w:rsid w:val="00AB574B"/>
  </w:style>
  <w:style w:type="paragraph" w:styleId="POTPY" w:customStyle="1">
    <w:name w:val="POTPY"/>
    <w:basedOn w:val="IATableLabel"/>
    <w:rsid w:val="00F622E8"/>
  </w:style>
  <w:style w:type="paragraph" w:styleId="PONBLow" w:customStyle="1">
    <w:name w:val="PONBLow"/>
    <w:basedOn w:val="IATableLabel"/>
    <w:link w:val="PONBLowCharChar"/>
    <w:rsid w:val="00F622E8"/>
    <w:rPr>
      <w:b w:val="0"/>
      <w:szCs w:val="22"/>
    </w:rPr>
  </w:style>
  <w:style w:type="character" w:styleId="PONBLowCharChar" w:customStyle="1">
    <w:name w:val="PONBLow Char Char"/>
    <w:link w:val="PONBLow"/>
    <w:locked/>
    <w:rsid w:val="00F622E8"/>
    <w:rPr>
      <w:rFonts w:ascii="Arial" w:hAnsi="Arial" w:eastAsia="SimSun"/>
      <w:b/>
      <w:color w:val="000000"/>
      <w:spacing w:val="-5"/>
      <w:sz w:val="22"/>
      <w:lang w:val="en-GB" w:eastAsia="zh-CN"/>
    </w:rPr>
  </w:style>
  <w:style w:type="paragraph" w:styleId="PONBHigh" w:customStyle="1">
    <w:name w:val="PONBHigh"/>
    <w:basedOn w:val="IATableLabel"/>
    <w:link w:val="PONBHighChar"/>
    <w:rsid w:val="00F622E8"/>
    <w:rPr>
      <w:b w:val="0"/>
      <w:szCs w:val="22"/>
    </w:rPr>
  </w:style>
  <w:style w:type="character" w:styleId="PONBHighChar" w:customStyle="1">
    <w:name w:val="PONBHigh Char"/>
    <w:link w:val="PONBHigh"/>
    <w:locked/>
    <w:rsid w:val="00F622E8"/>
    <w:rPr>
      <w:rFonts w:ascii="Arial" w:hAnsi="Arial" w:eastAsia="SimSun"/>
      <w:b/>
      <w:color w:val="000000"/>
      <w:spacing w:val="-5"/>
      <w:sz w:val="22"/>
      <w:lang w:val="en-GB" w:eastAsia="zh-CN"/>
    </w:rPr>
  </w:style>
  <w:style w:type="paragraph" w:styleId="PONBBestEst" w:customStyle="1">
    <w:name w:val="PONBBestEst"/>
    <w:basedOn w:val="IATableLabel"/>
    <w:link w:val="PONBBestEstChar"/>
    <w:rsid w:val="00F622E8"/>
    <w:rPr>
      <w:b w:val="0"/>
      <w:szCs w:val="22"/>
    </w:rPr>
  </w:style>
  <w:style w:type="character" w:styleId="PONBBestEstChar" w:customStyle="1">
    <w:name w:val="PONBBestEst Char"/>
    <w:link w:val="PONBBestEst"/>
    <w:locked/>
    <w:rsid w:val="00F622E8"/>
    <w:rPr>
      <w:rFonts w:ascii="Arial" w:hAnsi="Arial" w:eastAsia="SimSun"/>
      <w:b/>
      <w:color w:val="000000"/>
      <w:spacing w:val="-5"/>
      <w:sz w:val="22"/>
      <w:lang w:val="en-GB" w:eastAsia="zh-CN"/>
    </w:rPr>
  </w:style>
  <w:style w:type="paragraph" w:styleId="POTTCostsHigh" w:customStyle="1">
    <w:name w:val="POTTCostsHigh"/>
    <w:basedOn w:val="IATableText"/>
    <w:rsid w:val="00B318B0"/>
    <w:pPr>
      <w:jc w:val="right"/>
    </w:pPr>
  </w:style>
  <w:style w:type="paragraph" w:styleId="POTTCostsLow" w:customStyle="1">
    <w:name w:val="POTTCostsLow"/>
    <w:basedOn w:val="POTTCostsHigh"/>
    <w:rsid w:val="00B318B0"/>
  </w:style>
  <w:style w:type="paragraph" w:styleId="POTTCostsBest" w:customStyle="1">
    <w:name w:val="POTTCostsBest"/>
    <w:basedOn w:val="IATableText"/>
    <w:rsid w:val="00B318B0"/>
    <w:pPr>
      <w:jc w:val="right"/>
    </w:pPr>
  </w:style>
  <w:style w:type="paragraph" w:styleId="POTTCostsYear" w:customStyle="1">
    <w:name w:val="POTTCostsYear"/>
    <w:basedOn w:val="IATableText"/>
    <w:rsid w:val="00B318B0"/>
    <w:pPr>
      <w:jc w:val="center"/>
    </w:pPr>
    <w:rPr>
      <w:szCs w:val="18"/>
    </w:rPr>
  </w:style>
  <w:style w:type="paragraph" w:styleId="POAACostsLow" w:customStyle="1">
    <w:name w:val="POAACostsLow"/>
    <w:basedOn w:val="IATableText"/>
    <w:rsid w:val="00B318B0"/>
    <w:pPr>
      <w:jc w:val="right"/>
    </w:pPr>
  </w:style>
  <w:style w:type="paragraph" w:styleId="POAACostsHigh" w:customStyle="1">
    <w:name w:val="POAACostsHigh"/>
    <w:basedOn w:val="POAACostsLow"/>
    <w:rsid w:val="00B318B0"/>
  </w:style>
  <w:style w:type="paragraph" w:styleId="POAACostsBest" w:customStyle="1">
    <w:name w:val="POAACostsBest"/>
    <w:basedOn w:val="IATableText"/>
    <w:rsid w:val="00B318B0"/>
    <w:pPr>
      <w:jc w:val="right"/>
    </w:pPr>
  </w:style>
  <w:style w:type="paragraph" w:styleId="POTCCostsLow" w:customStyle="1">
    <w:name w:val="POTCCostsLow"/>
    <w:basedOn w:val="IATableText"/>
    <w:rsid w:val="00B318B0"/>
    <w:pPr>
      <w:jc w:val="right"/>
    </w:pPr>
    <w:rPr>
      <w:b/>
    </w:rPr>
  </w:style>
  <w:style w:type="paragraph" w:styleId="POTCCostsHigh" w:customStyle="1">
    <w:name w:val="POTCCostsHigh"/>
    <w:basedOn w:val="IATableText"/>
    <w:rsid w:val="00B318B0"/>
    <w:pPr>
      <w:jc w:val="right"/>
    </w:pPr>
    <w:rPr>
      <w:b/>
    </w:rPr>
  </w:style>
  <w:style w:type="paragraph" w:styleId="POTCCostsBest" w:customStyle="1">
    <w:name w:val="POTCCostsBest"/>
    <w:basedOn w:val="IATableText"/>
    <w:rsid w:val="00B318B0"/>
    <w:pPr>
      <w:jc w:val="right"/>
    </w:pPr>
    <w:rPr>
      <w:b/>
    </w:rPr>
  </w:style>
  <w:style w:type="paragraph" w:styleId="IAPOQ1" w:customStyle="1">
    <w:name w:val="IAPOQ1"/>
    <w:basedOn w:val="IATableLabel"/>
    <w:rsid w:val="00B006A9"/>
  </w:style>
  <w:style w:type="paragraph" w:styleId="IAPOA1" w:customStyle="1">
    <w:name w:val="IAPOA1"/>
    <w:basedOn w:val="IATableLines"/>
    <w:rsid w:val="00B006A9"/>
  </w:style>
  <w:style w:type="paragraph" w:styleId="IAPOQ2" w:customStyle="1">
    <w:name w:val="IAPOQ2"/>
    <w:basedOn w:val="IATableLabel"/>
    <w:link w:val="IAPOQ2Char"/>
    <w:rsid w:val="00B006A9"/>
  </w:style>
  <w:style w:type="paragraph" w:styleId="IAPOA2" w:customStyle="1">
    <w:name w:val="IAPOA2"/>
    <w:basedOn w:val="IATableLines"/>
    <w:rsid w:val="00B006A9"/>
  </w:style>
  <w:style w:type="paragraph" w:styleId="POTTBenLow" w:customStyle="1">
    <w:name w:val="POTTBenLow"/>
    <w:basedOn w:val="POTTCostsLow"/>
    <w:rsid w:val="00B006A9"/>
  </w:style>
  <w:style w:type="paragraph" w:styleId="POTTBenHigh" w:customStyle="1">
    <w:name w:val="POTTBenHigh"/>
    <w:basedOn w:val="POTTCostsHigh"/>
    <w:rsid w:val="00B006A9"/>
  </w:style>
  <w:style w:type="paragraph" w:styleId="POTTBenBest" w:customStyle="1">
    <w:name w:val="POTTBenBest"/>
    <w:basedOn w:val="POTTCostsBest"/>
    <w:rsid w:val="00B006A9"/>
  </w:style>
  <w:style w:type="paragraph" w:styleId="POAABenLow" w:customStyle="1">
    <w:name w:val="POAABenLow"/>
    <w:basedOn w:val="POAACostsLow"/>
    <w:rsid w:val="00B006A9"/>
  </w:style>
  <w:style w:type="paragraph" w:styleId="POAABenHigh" w:customStyle="1">
    <w:name w:val="POAABenHigh"/>
    <w:basedOn w:val="POAABenLow"/>
    <w:rsid w:val="00B006A9"/>
  </w:style>
  <w:style w:type="paragraph" w:styleId="POAABenBest" w:customStyle="1">
    <w:name w:val="POAABenBest"/>
    <w:basedOn w:val="POAABenHigh"/>
    <w:rsid w:val="00B006A9"/>
  </w:style>
  <w:style w:type="paragraph" w:styleId="POTBBenLow" w:customStyle="1">
    <w:name w:val="POTBBenLow"/>
    <w:basedOn w:val="POTCCostsLow"/>
    <w:rsid w:val="00B006A9"/>
  </w:style>
  <w:style w:type="paragraph" w:styleId="POTBBenHigh" w:customStyle="1">
    <w:name w:val="POTBBenHigh"/>
    <w:basedOn w:val="POTBBenLow"/>
    <w:rsid w:val="00B006A9"/>
  </w:style>
  <w:style w:type="paragraph" w:styleId="POTBBenBest" w:customStyle="1">
    <w:name w:val="POTBBenBest"/>
    <w:basedOn w:val="POTBBenHigh"/>
    <w:rsid w:val="00B006A9"/>
  </w:style>
  <w:style w:type="paragraph" w:styleId="IPPOQ3" w:customStyle="1">
    <w:name w:val="IPPOQ3"/>
    <w:basedOn w:val="IAPOQ2"/>
    <w:link w:val="IPPOQ3Char"/>
    <w:rsid w:val="00F1653E"/>
  </w:style>
  <w:style w:type="paragraph" w:styleId="IAPOQ4" w:customStyle="1">
    <w:name w:val="IAPOQ4"/>
    <w:basedOn w:val="IPPOQ3"/>
    <w:link w:val="IAPOQ4Char"/>
    <w:rsid w:val="00F1653E"/>
  </w:style>
  <w:style w:type="paragraph" w:styleId="IAPOA3" w:customStyle="1">
    <w:name w:val="IAPOA3"/>
    <w:basedOn w:val="IAPOA2"/>
    <w:rsid w:val="00F1653E"/>
  </w:style>
  <w:style w:type="paragraph" w:styleId="IAPOA4" w:customStyle="1">
    <w:name w:val="IAPOA4"/>
    <w:basedOn w:val="IAPOA3"/>
    <w:rsid w:val="00F1653E"/>
  </w:style>
  <w:style w:type="paragraph" w:styleId="IAPOA5" w:customStyle="1">
    <w:name w:val="IAPOA5"/>
    <w:basedOn w:val="IAPOA4"/>
    <w:rsid w:val="00F1653E"/>
  </w:style>
  <w:style w:type="paragraph" w:styleId="IAPOQ5" w:customStyle="1">
    <w:name w:val="IAPOQ5"/>
    <w:basedOn w:val="IAPOQ4"/>
    <w:link w:val="IAPOQ5Char"/>
    <w:rsid w:val="00F1653E"/>
  </w:style>
  <w:style w:type="character" w:styleId="IAPOQ2Char" w:customStyle="1">
    <w:name w:val="IAPOQ2 Char"/>
    <w:basedOn w:val="IATableLabelCharChar"/>
    <w:link w:val="IAPOQ2"/>
    <w:locked/>
    <w:rsid w:val="00F1653E"/>
    <w:rPr>
      <w:rFonts w:ascii="Arial" w:hAnsi="Arial" w:eastAsia="SimSun" w:cs="Times New Roman"/>
      <w:b/>
      <w:color w:val="000000"/>
      <w:spacing w:val="-5"/>
      <w:lang w:val="en-GB" w:eastAsia="zh-CN" w:bidi="ar-SA"/>
    </w:rPr>
  </w:style>
  <w:style w:type="character" w:styleId="IPPOQ3Char" w:customStyle="1">
    <w:name w:val="IPPOQ3 Char"/>
    <w:basedOn w:val="IAPOQ2Char"/>
    <w:link w:val="IPPOQ3"/>
    <w:locked/>
    <w:rsid w:val="00F1653E"/>
    <w:rPr>
      <w:rFonts w:ascii="Arial" w:hAnsi="Arial" w:eastAsia="SimSun" w:cs="Times New Roman"/>
      <w:b/>
      <w:color w:val="000000"/>
      <w:spacing w:val="-5"/>
      <w:lang w:val="en-GB" w:eastAsia="zh-CN" w:bidi="ar-SA"/>
    </w:rPr>
  </w:style>
  <w:style w:type="character" w:styleId="IAPOQ4Char" w:customStyle="1">
    <w:name w:val="IAPOQ4 Char"/>
    <w:basedOn w:val="IPPOQ3Char"/>
    <w:link w:val="IAPOQ4"/>
    <w:locked/>
    <w:rsid w:val="00F1653E"/>
    <w:rPr>
      <w:rFonts w:ascii="Arial" w:hAnsi="Arial" w:eastAsia="SimSun" w:cs="Times New Roman"/>
      <w:b/>
      <w:color w:val="000000"/>
      <w:spacing w:val="-5"/>
      <w:lang w:val="en-GB" w:eastAsia="zh-CN" w:bidi="ar-SA"/>
    </w:rPr>
  </w:style>
  <w:style w:type="character" w:styleId="IAPOQ5Char" w:customStyle="1">
    <w:name w:val="IAPOQ5 Char"/>
    <w:basedOn w:val="IAPOQ4Char"/>
    <w:link w:val="IAPOQ5"/>
    <w:locked/>
    <w:rsid w:val="00F1653E"/>
    <w:rPr>
      <w:rFonts w:ascii="Arial" w:hAnsi="Arial" w:eastAsia="SimSun" w:cs="Times New Roman"/>
      <w:b/>
      <w:color w:val="000000"/>
      <w:spacing w:val="-5"/>
      <w:lang w:val="en-GB" w:eastAsia="zh-CN" w:bidi="ar-SA"/>
    </w:rPr>
  </w:style>
  <w:style w:type="paragraph" w:styleId="IAPODisRate" w:customStyle="1">
    <w:name w:val="IAPODisRate"/>
    <w:basedOn w:val="IATableLabel"/>
    <w:rsid w:val="00F1653E"/>
    <w:pPr>
      <w:ind w:left="0"/>
      <w:jc w:val="center"/>
    </w:pPr>
    <w:rPr>
      <w:b w:val="0"/>
    </w:rPr>
  </w:style>
  <w:style w:type="paragraph" w:styleId="IAPODICost" w:customStyle="1">
    <w:name w:val="IAPODICost"/>
    <w:basedOn w:val="IATableLabel"/>
    <w:link w:val="IAPODICostChar"/>
    <w:rsid w:val="000E3FD7"/>
    <w:rPr>
      <w:b w:val="0"/>
      <w:sz w:val="22"/>
      <w:szCs w:val="22"/>
    </w:rPr>
  </w:style>
  <w:style w:type="character" w:styleId="IAPODICostChar" w:customStyle="1">
    <w:name w:val="IAPODICost Char"/>
    <w:link w:val="IAPODICost"/>
    <w:locked/>
    <w:rsid w:val="000E3FD7"/>
    <w:rPr>
      <w:rFonts w:ascii="Arial" w:hAnsi="Arial" w:eastAsia="SimSun"/>
      <w:b/>
      <w:color w:val="000000"/>
      <w:spacing w:val="-5"/>
      <w:sz w:val="22"/>
      <w:lang w:val="en-GB" w:eastAsia="zh-CN"/>
    </w:rPr>
  </w:style>
  <w:style w:type="paragraph" w:styleId="IAPODIBen" w:customStyle="1">
    <w:name w:val="IAPODIBen"/>
    <w:basedOn w:val="IATableLabel"/>
    <w:link w:val="IAPODIBenChar"/>
    <w:rsid w:val="000E3FD7"/>
    <w:rPr>
      <w:b w:val="0"/>
      <w:sz w:val="22"/>
      <w:szCs w:val="22"/>
    </w:rPr>
  </w:style>
  <w:style w:type="paragraph" w:styleId="IAPODINet" w:customStyle="1">
    <w:name w:val="IAPODINet"/>
    <w:basedOn w:val="IATableLabel"/>
    <w:link w:val="IAPODINetChar"/>
    <w:rsid w:val="000E3FD7"/>
    <w:rPr>
      <w:b w:val="0"/>
      <w:sz w:val="22"/>
      <w:szCs w:val="22"/>
    </w:rPr>
  </w:style>
  <w:style w:type="paragraph" w:styleId="IAPODIOIOO" w:customStyle="1">
    <w:name w:val="IAPODIOIOO"/>
    <w:basedOn w:val="IATableLabel"/>
    <w:rsid w:val="000E3FD7"/>
    <w:rPr>
      <w:b w:val="0"/>
      <w:sz w:val="22"/>
      <w:szCs w:val="22"/>
    </w:rPr>
  </w:style>
  <w:style w:type="character" w:styleId="IAPODINetChar" w:customStyle="1">
    <w:name w:val="IAPODINet Char"/>
    <w:link w:val="IAPODINet"/>
    <w:locked/>
    <w:rsid w:val="000E3FD7"/>
    <w:rPr>
      <w:rFonts w:ascii="Arial" w:hAnsi="Arial" w:eastAsia="SimSun"/>
      <w:b/>
      <w:color w:val="000000"/>
      <w:spacing w:val="-5"/>
      <w:sz w:val="22"/>
      <w:lang w:val="en-GB" w:eastAsia="zh-CN"/>
    </w:rPr>
  </w:style>
  <w:style w:type="character" w:styleId="IAPODIBenChar" w:customStyle="1">
    <w:name w:val="IAPODIBen Char"/>
    <w:link w:val="IAPODIBen"/>
    <w:locked/>
    <w:rsid w:val="000E3FD7"/>
    <w:rPr>
      <w:rFonts w:ascii="Arial" w:hAnsi="Arial" w:eastAsia="SimSun"/>
      <w:b/>
      <w:color w:val="000000"/>
      <w:spacing w:val="-5"/>
      <w:sz w:val="22"/>
      <w:lang w:val="en-GB" w:eastAsia="zh-CN"/>
    </w:rPr>
  </w:style>
  <w:style w:type="paragraph" w:styleId="IAPODIMQ" w:customStyle="1">
    <w:name w:val="IAPODIMQ"/>
    <w:basedOn w:val="IATableText"/>
    <w:rsid w:val="000E3FD7"/>
    <w:rPr>
      <w:color w:val="000000"/>
      <w:sz w:val="20"/>
    </w:rPr>
  </w:style>
  <w:style w:type="paragraph" w:styleId="ebbullet0" w:customStyle="1">
    <w:name w:val="ebbullet"/>
    <w:basedOn w:val="Normal"/>
    <w:rsid w:val="001F5423"/>
    <w:pPr>
      <w:spacing w:before="100" w:beforeAutospacing="1" w:after="100" w:afterAutospacing="1"/>
    </w:pPr>
    <w:rPr>
      <w:rFonts w:ascii="Times New Roman" w:hAnsi="Times New Roman"/>
      <w:lang w:eastAsia="en-GB"/>
    </w:rPr>
  </w:style>
  <w:style w:type="paragraph" w:styleId="IATitle" w:customStyle="1">
    <w:name w:val="IATitle"/>
    <w:basedOn w:val="Normal"/>
    <w:rsid w:val="005F32E7"/>
    <w:pPr>
      <w:ind w:left="113"/>
    </w:pPr>
    <w:rPr>
      <w:rFonts w:eastAsia="SimSun" w:cs="Arial"/>
      <w:sz w:val="20"/>
    </w:rPr>
  </w:style>
  <w:style w:type="paragraph" w:styleId="IANo" w:customStyle="1">
    <w:name w:val="IANo"/>
    <w:basedOn w:val="Normal"/>
    <w:link w:val="IANoChar"/>
    <w:rsid w:val="005F32E7"/>
    <w:pPr>
      <w:ind w:left="113"/>
    </w:pPr>
    <w:rPr>
      <w:sz w:val="20"/>
      <w:szCs w:val="22"/>
    </w:rPr>
  </w:style>
  <w:style w:type="character" w:styleId="IAHeadDeptChar" w:customStyle="1">
    <w:name w:val="IAHeadDept Char"/>
    <w:link w:val="IAHeadDept"/>
    <w:locked/>
    <w:rsid w:val="008031EC"/>
    <w:rPr>
      <w:rFonts w:ascii="Arial" w:hAnsi="Arial" w:eastAsia="SimSun"/>
      <w:b/>
      <w:color w:val="000000"/>
      <w:spacing w:val="-6"/>
      <w:sz w:val="22"/>
      <w:lang w:val="en-GB" w:eastAsia="zh-CN"/>
    </w:rPr>
  </w:style>
  <w:style w:type="character" w:styleId="IAHeadTitleChar" w:customStyle="1">
    <w:name w:val="IAHeadTitle Char"/>
    <w:link w:val="IAHeadTitle"/>
    <w:locked/>
    <w:rsid w:val="008031EC"/>
    <w:rPr>
      <w:rFonts w:ascii="Arial" w:hAnsi="Arial" w:eastAsia="SimSun"/>
      <w:b/>
      <w:color w:val="000000"/>
      <w:spacing w:val="-6"/>
      <w:sz w:val="28"/>
      <w:lang w:val="en-GB" w:eastAsia="zh-CN"/>
    </w:rPr>
  </w:style>
  <w:style w:type="character" w:styleId="IANoChar" w:customStyle="1">
    <w:name w:val="IANo Char"/>
    <w:link w:val="IANo"/>
    <w:locked/>
    <w:rsid w:val="005F32E7"/>
    <w:rPr>
      <w:rFonts w:ascii="Arial" w:hAnsi="Arial" w:eastAsia="SimSun"/>
      <w:b/>
      <w:color w:val="000000"/>
      <w:spacing w:val="-6"/>
      <w:sz w:val="22"/>
      <w:lang w:val="en-GB" w:eastAsia="en-US"/>
    </w:rPr>
  </w:style>
  <w:style w:type="paragraph" w:styleId="IALeadDept" w:customStyle="1">
    <w:name w:val="IALeadDept"/>
    <w:basedOn w:val="Normal"/>
    <w:rsid w:val="005F32E7"/>
    <w:pPr>
      <w:ind w:left="113"/>
    </w:pPr>
    <w:rPr>
      <w:rFonts w:cs="Arial"/>
      <w:noProof/>
      <w:sz w:val="20"/>
    </w:rPr>
  </w:style>
  <w:style w:type="paragraph" w:styleId="IAOtherDepts" w:customStyle="1">
    <w:name w:val="IAOtherDepts"/>
    <w:basedOn w:val="IATableLabel"/>
    <w:rsid w:val="008031EC"/>
    <w:pPr>
      <w:spacing w:after="0"/>
    </w:pPr>
    <w:rPr>
      <w:b w:val="0"/>
    </w:rPr>
  </w:style>
  <w:style w:type="paragraph" w:styleId="IADate" w:customStyle="1">
    <w:name w:val="IADate"/>
    <w:basedOn w:val="IATableLabel"/>
    <w:link w:val="IADateChar"/>
    <w:rsid w:val="008031EC"/>
    <w:rPr>
      <w:b w:val="0"/>
      <w:sz w:val="22"/>
      <w:szCs w:val="22"/>
    </w:rPr>
  </w:style>
  <w:style w:type="paragraph" w:styleId="IAStage" w:customStyle="1">
    <w:name w:val="IAStage"/>
    <w:basedOn w:val="IATableLabel"/>
    <w:link w:val="IAStageChar"/>
    <w:rsid w:val="008031EC"/>
    <w:rPr>
      <w:b w:val="0"/>
      <w:sz w:val="22"/>
    </w:rPr>
  </w:style>
  <w:style w:type="paragraph" w:styleId="IASOI" w:customStyle="1">
    <w:name w:val="IASOI"/>
    <w:basedOn w:val="IATableLabel"/>
    <w:link w:val="IASOIChar"/>
    <w:rsid w:val="008031EC"/>
    <w:rPr>
      <w:b w:val="0"/>
      <w:sz w:val="22"/>
    </w:rPr>
  </w:style>
  <w:style w:type="paragraph" w:styleId="IATOM" w:customStyle="1">
    <w:name w:val="IATOM"/>
    <w:basedOn w:val="IATableLabel"/>
    <w:link w:val="IATOMChar"/>
    <w:rsid w:val="008031EC"/>
    <w:rPr>
      <w:b w:val="0"/>
      <w:sz w:val="22"/>
    </w:rPr>
  </w:style>
  <w:style w:type="paragraph" w:styleId="IACOE" w:customStyle="1">
    <w:name w:val="IACOE"/>
    <w:basedOn w:val="Normal"/>
    <w:link w:val="IACOEChar"/>
    <w:autoRedefine/>
    <w:rsid w:val="00B225B0"/>
    <w:rPr>
      <w:rFonts w:eastAsia="SimSun"/>
      <w:spacing w:val="-5"/>
      <w:sz w:val="20"/>
      <w:lang w:eastAsia="zh-CN"/>
    </w:rPr>
  </w:style>
  <w:style w:type="paragraph" w:styleId="IARPC" w:customStyle="1">
    <w:name w:val="IARPC"/>
    <w:basedOn w:val="Title"/>
    <w:link w:val="IARPCChar"/>
    <w:rsid w:val="00174C10"/>
    <w:rPr>
      <w:rFonts w:eastAsia="SimSun"/>
      <w:color w:val="000000"/>
      <w:sz w:val="24"/>
      <w:szCs w:val="24"/>
    </w:rPr>
  </w:style>
  <w:style w:type="paragraph" w:styleId="IAIIOTNPV" w:customStyle="1">
    <w:name w:val="IAIIOTNPV"/>
    <w:basedOn w:val="IATableLabel"/>
    <w:rsid w:val="008031EC"/>
    <w:pPr>
      <w:spacing w:before="0" w:after="0"/>
      <w:jc w:val="both"/>
    </w:pPr>
    <w:rPr>
      <w:b w:val="0"/>
      <w:sz w:val="22"/>
      <w:szCs w:val="22"/>
    </w:rPr>
  </w:style>
  <w:style w:type="paragraph" w:styleId="IAIOBNPV" w:customStyle="1">
    <w:name w:val="IAIOBNPV"/>
    <w:basedOn w:val="IATableLabel"/>
    <w:rsid w:val="008031EC"/>
    <w:pPr>
      <w:spacing w:before="0" w:after="0"/>
    </w:pPr>
    <w:rPr>
      <w:b w:val="0"/>
      <w:sz w:val="22"/>
      <w:szCs w:val="22"/>
    </w:rPr>
  </w:style>
  <w:style w:type="paragraph" w:styleId="IAIONCTBPY" w:customStyle="1">
    <w:name w:val="IAIONCTBPY"/>
    <w:basedOn w:val="IATableLabel"/>
    <w:rsid w:val="008031EC"/>
    <w:pPr>
      <w:spacing w:before="0" w:after="0"/>
    </w:pPr>
    <w:rPr>
      <w:b w:val="0"/>
      <w:sz w:val="22"/>
      <w:szCs w:val="22"/>
    </w:rPr>
  </w:style>
  <w:style w:type="paragraph" w:styleId="IAIOInScopeInOut" w:customStyle="1">
    <w:name w:val="IAIOInScopeInOut"/>
    <w:basedOn w:val="IATableLabel"/>
    <w:rsid w:val="008369A3"/>
    <w:pPr>
      <w:spacing w:before="0" w:after="0"/>
    </w:pPr>
    <w:rPr>
      <w:b w:val="0"/>
      <w:sz w:val="22"/>
      <w:szCs w:val="22"/>
    </w:rPr>
  </w:style>
  <w:style w:type="paragraph" w:styleId="IAIOPrefMQ" w:customStyle="1">
    <w:name w:val="IAIOPrefMQ"/>
    <w:basedOn w:val="IATableText"/>
    <w:rsid w:val="008369A3"/>
    <w:pPr>
      <w:spacing w:before="0" w:after="0"/>
    </w:pPr>
    <w:rPr>
      <w:color w:val="000000"/>
      <w:szCs w:val="22"/>
    </w:rPr>
  </w:style>
  <w:style w:type="paragraph" w:styleId="IAIOQ1" w:customStyle="1">
    <w:name w:val="IAIOQ1"/>
    <w:basedOn w:val="IATableLabel"/>
    <w:rsid w:val="008369A3"/>
  </w:style>
  <w:style w:type="paragraph" w:styleId="IAIOA1" w:customStyle="1">
    <w:name w:val="IAIOA1"/>
    <w:basedOn w:val="IATableLines"/>
    <w:rsid w:val="008369A3"/>
  </w:style>
  <w:style w:type="paragraph" w:styleId="IAIOQ2" w:customStyle="1">
    <w:name w:val="IAIOQ2"/>
    <w:basedOn w:val="IATableLabel"/>
    <w:rsid w:val="008369A3"/>
  </w:style>
  <w:style w:type="paragraph" w:styleId="IAIOA2" w:customStyle="1">
    <w:name w:val="IAIOA2"/>
    <w:basedOn w:val="IATableLines"/>
    <w:rsid w:val="008369A3"/>
  </w:style>
  <w:style w:type="paragraph" w:styleId="IAIOQ3" w:customStyle="1">
    <w:name w:val="IAIOQ3"/>
    <w:basedOn w:val="IATableLabel"/>
    <w:rsid w:val="008369A3"/>
  </w:style>
  <w:style w:type="paragraph" w:styleId="IAIOA3" w:customStyle="1">
    <w:name w:val="IAIOA3"/>
    <w:basedOn w:val="IATableLines"/>
    <w:rsid w:val="008369A3"/>
  </w:style>
  <w:style w:type="paragraph" w:styleId="IAIOPolicyReview" w:customStyle="1">
    <w:name w:val="IAIOPolicyReview"/>
    <w:basedOn w:val="IATableLabel"/>
    <w:link w:val="IAIOPolicyReviewChar"/>
    <w:rsid w:val="00F91F5A"/>
    <w:rPr>
      <w:b w:val="0"/>
      <w:sz w:val="22"/>
      <w:szCs w:val="22"/>
    </w:rPr>
  </w:style>
  <w:style w:type="character" w:styleId="IAIOPolicyReviewChar" w:customStyle="1">
    <w:name w:val="IAIOPolicyReview Char"/>
    <w:link w:val="IAIOPolicyReview"/>
    <w:locked/>
    <w:rsid w:val="00F91F5A"/>
    <w:rPr>
      <w:rFonts w:ascii="Arial" w:hAnsi="Arial" w:eastAsia="SimSun"/>
      <w:b/>
      <w:color w:val="000000"/>
      <w:spacing w:val="-5"/>
      <w:sz w:val="22"/>
      <w:lang w:val="en-GB" w:eastAsia="zh-CN"/>
    </w:rPr>
  </w:style>
  <w:style w:type="paragraph" w:styleId="IAIOReviewMonth" w:customStyle="1">
    <w:name w:val="IAIOReviewMonth"/>
    <w:basedOn w:val="IATableLabel"/>
    <w:link w:val="IAIOReviewMonthChar"/>
    <w:rsid w:val="00F91F5A"/>
    <w:rPr>
      <w:b w:val="0"/>
      <w:sz w:val="22"/>
      <w:szCs w:val="22"/>
    </w:rPr>
  </w:style>
  <w:style w:type="paragraph" w:styleId="IAIOReviewYear" w:customStyle="1">
    <w:name w:val="IAIOReviewYear"/>
    <w:basedOn w:val="IATableLabel"/>
    <w:link w:val="IAIOReviewYearChar"/>
    <w:rsid w:val="00F91F5A"/>
    <w:rPr>
      <w:b w:val="0"/>
      <w:sz w:val="22"/>
      <w:szCs w:val="22"/>
    </w:rPr>
  </w:style>
  <w:style w:type="paragraph" w:styleId="IAIOCheckEU" w:customStyle="1">
    <w:name w:val="IAIOCheckEU"/>
    <w:basedOn w:val="IATableText"/>
    <w:rsid w:val="00F91F5A"/>
    <w:pPr>
      <w:spacing w:before="0" w:after="0"/>
    </w:pPr>
    <w:rPr>
      <w:sz w:val="20"/>
    </w:rPr>
  </w:style>
  <w:style w:type="character" w:styleId="IAIOReviewYearChar" w:customStyle="1">
    <w:name w:val="IAIOReviewYear Char"/>
    <w:link w:val="IAIOReviewYear"/>
    <w:locked/>
    <w:rsid w:val="00F91F5A"/>
    <w:rPr>
      <w:rFonts w:ascii="Arial" w:hAnsi="Arial" w:eastAsia="SimSun"/>
      <w:b/>
      <w:color w:val="000000"/>
      <w:spacing w:val="-5"/>
      <w:sz w:val="22"/>
      <w:lang w:val="en-GB" w:eastAsia="zh-CN"/>
    </w:rPr>
  </w:style>
  <w:style w:type="character" w:styleId="IAIOReviewMonthChar" w:customStyle="1">
    <w:name w:val="IAIOReviewMonth Char"/>
    <w:link w:val="IAIOReviewMonth"/>
    <w:locked/>
    <w:rsid w:val="00F91F5A"/>
    <w:rPr>
      <w:rFonts w:ascii="Arial" w:hAnsi="Arial" w:eastAsia="SimSun"/>
      <w:b/>
      <w:color w:val="000000"/>
      <w:spacing w:val="-5"/>
      <w:sz w:val="22"/>
      <w:lang w:val="en-GB" w:eastAsia="zh-CN"/>
    </w:rPr>
  </w:style>
  <w:style w:type="paragraph" w:styleId="IAIOCheckMicro" w:customStyle="1">
    <w:name w:val="IAIOCheckMicro"/>
    <w:basedOn w:val="IATableLines"/>
    <w:link w:val="IAIOCheckMicroChar"/>
    <w:rsid w:val="00F91F5A"/>
    <w:rPr>
      <w:sz w:val="20"/>
    </w:rPr>
  </w:style>
  <w:style w:type="paragraph" w:styleId="IAIOCheck20" w:customStyle="1">
    <w:name w:val="IAIOCheck20"/>
    <w:basedOn w:val="IATableLines"/>
    <w:rsid w:val="00F91F5A"/>
    <w:rPr>
      <w:sz w:val="20"/>
    </w:rPr>
  </w:style>
  <w:style w:type="paragraph" w:styleId="IAIOCheckSmall" w:customStyle="1">
    <w:name w:val="IAIOCheckSmall"/>
    <w:basedOn w:val="IATableLines"/>
    <w:link w:val="IAIOCheckSmallChar"/>
    <w:rsid w:val="00F91F5A"/>
    <w:rPr>
      <w:sz w:val="20"/>
    </w:rPr>
  </w:style>
  <w:style w:type="paragraph" w:styleId="IAIOCheckMedium" w:customStyle="1">
    <w:name w:val="IAIOCheckMedium"/>
    <w:basedOn w:val="IATableLines"/>
    <w:link w:val="IAIOCheckMediumChar"/>
    <w:rsid w:val="00F91F5A"/>
    <w:rPr>
      <w:sz w:val="20"/>
    </w:rPr>
  </w:style>
  <w:style w:type="paragraph" w:styleId="IAIOCheckLarge" w:customStyle="1">
    <w:name w:val="IAIOCheckLarge"/>
    <w:basedOn w:val="IATableLines"/>
    <w:link w:val="IAIOCheckLargeChar"/>
    <w:rsid w:val="00F91F5A"/>
    <w:rPr>
      <w:sz w:val="20"/>
    </w:rPr>
  </w:style>
  <w:style w:type="paragraph" w:styleId="IAIOCO2Traded" w:customStyle="1">
    <w:name w:val="IAIOCO2Traded"/>
    <w:basedOn w:val="IATableLabel"/>
    <w:link w:val="IAIOCO2TradedChar"/>
    <w:rsid w:val="00F91F5A"/>
    <w:rPr>
      <w:b w:val="0"/>
      <w:sz w:val="22"/>
    </w:rPr>
  </w:style>
  <w:style w:type="paragraph" w:styleId="IAIOCO2NonTraded" w:customStyle="1">
    <w:name w:val="IAIOCO2NonTraded"/>
    <w:basedOn w:val="IAIOCO2Traded"/>
    <w:rsid w:val="008155E3"/>
    <w:rPr>
      <w:sz w:val="20"/>
    </w:rPr>
  </w:style>
  <w:style w:type="paragraph" w:styleId="IAIOtextSign" w:customStyle="1">
    <w:name w:val="IAIOtextSign"/>
    <w:basedOn w:val="Normal"/>
    <w:rsid w:val="00F91F5A"/>
    <w:pPr>
      <w:jc w:val="center"/>
    </w:pPr>
  </w:style>
  <w:style w:type="paragraph" w:styleId="IAIOSigDate" w:customStyle="1">
    <w:name w:val="IAIOSigDate"/>
    <w:basedOn w:val="Normal"/>
    <w:rsid w:val="00F91F5A"/>
    <w:pPr>
      <w:jc w:val="center"/>
    </w:pPr>
    <w:rPr>
      <w:sz w:val="22"/>
      <w:szCs w:val="22"/>
    </w:rPr>
  </w:style>
  <w:style w:type="paragraph" w:styleId="IAPODescription" w:customStyle="1">
    <w:name w:val="IAPODescription"/>
    <w:basedOn w:val="IAHeadLabel"/>
    <w:link w:val="IAPODescriptionCharChar"/>
    <w:rsid w:val="00D00846"/>
    <w:pPr>
      <w:spacing w:before="50"/>
    </w:pPr>
    <w:rPr>
      <w:b w:val="0"/>
    </w:rPr>
  </w:style>
  <w:style w:type="character" w:styleId="IAPODescriptionCharChar" w:customStyle="1">
    <w:name w:val="IAPODescription Char Char"/>
    <w:basedOn w:val="IAHeadLabelChar"/>
    <w:link w:val="IAPODescription"/>
    <w:locked/>
    <w:rsid w:val="00D00846"/>
    <w:rPr>
      <w:rFonts w:ascii="Arial" w:hAnsi="Arial" w:eastAsia="SimSun" w:cs="Times New Roman"/>
      <w:b/>
      <w:color w:val="000000"/>
      <w:spacing w:val="-5"/>
      <w:lang w:val="en-GB" w:eastAsia="zh-CN" w:bidi="ar-SA"/>
    </w:rPr>
  </w:style>
  <w:style w:type="character" w:styleId="IADateChar" w:customStyle="1">
    <w:name w:val="IADate Char"/>
    <w:link w:val="IADate"/>
    <w:locked/>
    <w:rsid w:val="00174C10"/>
    <w:rPr>
      <w:rFonts w:ascii="Arial" w:hAnsi="Arial" w:eastAsia="SimSun"/>
      <w:b/>
      <w:color w:val="000000"/>
      <w:spacing w:val="-5"/>
      <w:sz w:val="22"/>
      <w:lang w:val="en-GB" w:eastAsia="zh-CN"/>
    </w:rPr>
  </w:style>
  <w:style w:type="character" w:styleId="IATableLinesChar" w:customStyle="1">
    <w:name w:val="IATableLines Char"/>
    <w:basedOn w:val="IATableTextChar"/>
    <w:link w:val="IATableLines"/>
    <w:locked/>
    <w:rsid w:val="00174C10"/>
    <w:rPr>
      <w:rFonts w:ascii="Arial" w:hAnsi="Arial" w:eastAsia="SimSun" w:cs="Times New Roman"/>
      <w:b/>
      <w:color w:val="000000"/>
      <w:spacing w:val="-5"/>
      <w:sz w:val="22"/>
      <w:lang w:val="en-GB" w:eastAsia="zh-CN" w:bidi="ar-SA"/>
    </w:rPr>
  </w:style>
  <w:style w:type="character" w:styleId="IACOEChar" w:customStyle="1">
    <w:name w:val="IACOE Char"/>
    <w:link w:val="IACOE"/>
    <w:locked/>
    <w:rsid w:val="00B225B0"/>
    <w:rPr>
      <w:rFonts w:ascii="Arial" w:hAnsi="Arial" w:eastAsia="SimSun"/>
      <w:b/>
      <w:color w:val="000000"/>
      <w:spacing w:val="-5"/>
      <w:sz w:val="24"/>
      <w:lang w:val="en-GB" w:eastAsia="zh-CN"/>
    </w:rPr>
  </w:style>
  <w:style w:type="character" w:styleId="IAStageChar" w:customStyle="1">
    <w:name w:val="IAStage Char"/>
    <w:link w:val="IAStage"/>
    <w:locked/>
    <w:rsid w:val="00174C10"/>
    <w:rPr>
      <w:rFonts w:ascii="Arial" w:hAnsi="Arial" w:eastAsia="SimSun"/>
      <w:b/>
      <w:color w:val="000000"/>
      <w:spacing w:val="-5"/>
      <w:sz w:val="22"/>
      <w:lang w:val="en-GB" w:eastAsia="zh-CN"/>
    </w:rPr>
  </w:style>
  <w:style w:type="character" w:styleId="IASOIChar" w:customStyle="1">
    <w:name w:val="IASOI Char"/>
    <w:link w:val="IASOI"/>
    <w:locked/>
    <w:rsid w:val="00174C10"/>
    <w:rPr>
      <w:rFonts w:ascii="Arial" w:hAnsi="Arial" w:eastAsia="SimSun"/>
      <w:b/>
      <w:color w:val="000000"/>
      <w:spacing w:val="-5"/>
      <w:sz w:val="22"/>
      <w:lang w:val="en-GB" w:eastAsia="zh-CN"/>
    </w:rPr>
  </w:style>
  <w:style w:type="character" w:styleId="IATOMChar" w:customStyle="1">
    <w:name w:val="IATOM Char"/>
    <w:link w:val="IATOM"/>
    <w:locked/>
    <w:rsid w:val="00174C10"/>
    <w:rPr>
      <w:rFonts w:ascii="Arial" w:hAnsi="Arial" w:eastAsia="SimSun"/>
      <w:b/>
      <w:color w:val="000000"/>
      <w:spacing w:val="-5"/>
      <w:sz w:val="22"/>
      <w:lang w:val="en-GB" w:eastAsia="zh-CN"/>
    </w:rPr>
  </w:style>
  <w:style w:type="character" w:styleId="IARPCChar" w:customStyle="1">
    <w:name w:val="IARPC Char"/>
    <w:link w:val="IARPC"/>
    <w:locked/>
    <w:rsid w:val="00174C10"/>
    <w:rPr>
      <w:rFonts w:ascii="Arial" w:hAnsi="Arial" w:eastAsia="SimSun"/>
      <w:color w:val="000000"/>
      <w:kern w:val="28"/>
      <w:sz w:val="24"/>
      <w:lang w:val="en-GB" w:eastAsia="en-US"/>
    </w:rPr>
  </w:style>
  <w:style w:type="character" w:styleId="IAIOCheckMicroChar" w:customStyle="1">
    <w:name w:val="IAIOCheckMicro Char"/>
    <w:basedOn w:val="IATableLinesChar"/>
    <w:link w:val="IAIOCheckMicro"/>
    <w:locked/>
    <w:rsid w:val="00D478C9"/>
    <w:rPr>
      <w:rFonts w:ascii="Arial" w:hAnsi="Arial" w:eastAsia="SimSun" w:cs="Times New Roman"/>
      <w:b/>
      <w:color w:val="000000"/>
      <w:spacing w:val="-5"/>
      <w:sz w:val="22"/>
      <w:lang w:val="en-GB" w:eastAsia="zh-CN" w:bidi="ar-SA"/>
    </w:rPr>
  </w:style>
  <w:style w:type="character" w:styleId="IAIOCheckSmallChar" w:customStyle="1">
    <w:name w:val="IAIOCheckSmall Char"/>
    <w:basedOn w:val="IATableLinesChar"/>
    <w:link w:val="IAIOCheckSmall"/>
    <w:locked/>
    <w:rsid w:val="00D478C9"/>
    <w:rPr>
      <w:rFonts w:ascii="Arial" w:hAnsi="Arial" w:eastAsia="SimSun" w:cs="Times New Roman"/>
      <w:b/>
      <w:color w:val="000000"/>
      <w:spacing w:val="-5"/>
      <w:sz w:val="22"/>
      <w:lang w:val="en-GB" w:eastAsia="zh-CN" w:bidi="ar-SA"/>
    </w:rPr>
  </w:style>
  <w:style w:type="character" w:styleId="IAIOCheckMediumChar" w:customStyle="1">
    <w:name w:val="IAIOCheckMedium Char"/>
    <w:basedOn w:val="IATableLinesChar"/>
    <w:link w:val="IAIOCheckMedium"/>
    <w:locked/>
    <w:rsid w:val="00D478C9"/>
    <w:rPr>
      <w:rFonts w:ascii="Arial" w:hAnsi="Arial" w:eastAsia="SimSun" w:cs="Times New Roman"/>
      <w:b/>
      <w:color w:val="000000"/>
      <w:spacing w:val="-5"/>
      <w:sz w:val="22"/>
      <w:lang w:val="en-GB" w:eastAsia="zh-CN" w:bidi="ar-SA"/>
    </w:rPr>
  </w:style>
  <w:style w:type="character" w:styleId="IAIOCheckLargeChar" w:customStyle="1">
    <w:name w:val="IAIOCheckLarge Char"/>
    <w:basedOn w:val="IATableLinesChar"/>
    <w:link w:val="IAIOCheckLarge"/>
    <w:locked/>
    <w:rsid w:val="00D478C9"/>
    <w:rPr>
      <w:rFonts w:ascii="Arial" w:hAnsi="Arial" w:eastAsia="SimSun" w:cs="Times New Roman"/>
      <w:b/>
      <w:color w:val="000000"/>
      <w:spacing w:val="-5"/>
      <w:sz w:val="22"/>
      <w:lang w:val="en-GB" w:eastAsia="zh-CN" w:bidi="ar-SA"/>
    </w:rPr>
  </w:style>
  <w:style w:type="character" w:styleId="IAIOCO2TradedChar" w:customStyle="1">
    <w:name w:val="IAIOCO2Traded Char"/>
    <w:link w:val="IAIOCO2Traded"/>
    <w:locked/>
    <w:rsid w:val="00D478C9"/>
    <w:rPr>
      <w:rFonts w:ascii="Arial" w:hAnsi="Arial" w:eastAsia="SimSun"/>
      <w:b/>
      <w:color w:val="000000"/>
      <w:spacing w:val="-5"/>
      <w:sz w:val="22"/>
      <w:lang w:val="en-GB" w:eastAsia="zh-CN"/>
    </w:rPr>
  </w:style>
  <w:style w:type="character" w:styleId="IALabel" w:customStyle="1">
    <w:name w:val="IALabel"/>
    <w:rsid w:val="009F6692"/>
    <w:rPr>
      <w:color w:val="000000"/>
      <w:sz w:val="20"/>
    </w:rPr>
  </w:style>
  <w:style w:type="character" w:styleId="UnresolvedMention">
    <w:name w:val="Unresolved Mention"/>
    <w:basedOn w:val="DefaultParagraphFont"/>
    <w:uiPriority w:val="99"/>
    <w:unhideWhenUsed/>
    <w:rsid w:val="00D64409"/>
    <w:rPr>
      <w:color w:val="605E5C"/>
      <w:shd w:val="clear" w:color="auto" w:fill="E1DFDD"/>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D64409"/>
    <w:pPr>
      <w:ind w:left="720"/>
      <w:contextualSpacing/>
    </w:pPr>
  </w:style>
  <w:style w:type="character" w:styleId="EBNumberCharChar" w:customStyle="1">
    <w:name w:val="EBNumber Char Char"/>
    <w:basedOn w:val="DefaultParagraphFont"/>
    <w:link w:val="EBNumber"/>
    <w:locked/>
    <w:rsid w:val="000766DE"/>
    <w:rPr>
      <w:rFonts w:ascii="Arial" w:hAnsi="Arial" w:cs="Arial"/>
      <w:bCs/>
      <w:color w:val="000000"/>
      <w:sz w:val="22"/>
      <w:szCs w:val="22"/>
    </w:rPr>
  </w:style>
  <w:style w:type="character" w:styleId="CommentReference">
    <w:name w:val="annotation reference"/>
    <w:basedOn w:val="DefaultParagraphFont"/>
    <w:uiPriority w:val="99"/>
    <w:rsid w:val="000766DE"/>
    <w:rPr>
      <w:rFonts w:cs="Times New Roman"/>
      <w:sz w:val="16"/>
      <w:szCs w:val="16"/>
    </w:rPr>
  </w:style>
  <w:style w:type="paragraph" w:styleId="CommentText">
    <w:name w:val="annotation text"/>
    <w:basedOn w:val="Normal"/>
    <w:link w:val="CommentTextChar"/>
    <w:uiPriority w:val="99"/>
    <w:rsid w:val="000766DE"/>
    <w:rPr>
      <w:sz w:val="20"/>
      <w:szCs w:val="20"/>
    </w:rPr>
  </w:style>
  <w:style w:type="character" w:styleId="CommentTextChar" w:customStyle="1">
    <w:name w:val="Comment Text Char"/>
    <w:basedOn w:val="DefaultParagraphFont"/>
    <w:link w:val="CommentText"/>
    <w:uiPriority w:val="99"/>
    <w:rsid w:val="000766DE"/>
    <w:rPr>
      <w:rFonts w:ascii="Arial" w:hAnsi="Arial"/>
      <w:lang w:eastAsia="en-US"/>
    </w:rPr>
  </w:style>
  <w:style w:type="paragraph" w:styleId="Bulletundernumberedtext" w:customStyle="1">
    <w:name w:val="Bullet (under numbered text)"/>
    <w:uiPriority w:val="99"/>
    <w:rsid w:val="000766DE"/>
    <w:pPr>
      <w:tabs>
        <w:tab w:val="num" w:pos="717"/>
      </w:tabs>
      <w:spacing w:after="240"/>
      <w:ind w:left="714" w:hanging="357"/>
    </w:pPr>
    <w:rPr>
      <w:rFonts w:ascii="Arial" w:hAnsi="Arial"/>
      <w:sz w:val="22"/>
    </w:rPr>
  </w:style>
  <w:style w:type="character" w:styleId="ListParagraphChar" w:customStyle="1">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0766DE"/>
    <w:rPr>
      <w:rFonts w:ascii="Arial" w:hAnsi="Arial"/>
      <w:sz w:val="24"/>
      <w:szCs w:val="24"/>
      <w:lang w:eastAsia="en-US"/>
    </w:rPr>
  </w:style>
  <w:style w:type="paragraph" w:styleId="CommentSubject">
    <w:name w:val="annotation subject"/>
    <w:basedOn w:val="CommentText"/>
    <w:next w:val="CommentText"/>
    <w:link w:val="CommentSubjectChar"/>
    <w:rsid w:val="000766DE"/>
    <w:rPr>
      <w:b/>
      <w:bCs/>
    </w:rPr>
  </w:style>
  <w:style w:type="character" w:styleId="CommentSubjectChar" w:customStyle="1">
    <w:name w:val="Comment Subject Char"/>
    <w:basedOn w:val="CommentTextChar"/>
    <w:link w:val="CommentSubject"/>
    <w:rsid w:val="000766DE"/>
    <w:rPr>
      <w:rFonts w:ascii="Arial" w:hAnsi="Arial"/>
      <w:b/>
      <w:bCs/>
      <w:lang w:eastAsia="en-US"/>
    </w:rPr>
  </w:style>
  <w:style w:type="character" w:styleId="normaltextrun" w:customStyle="1">
    <w:name w:val="normaltextrun"/>
    <w:basedOn w:val="DefaultParagraphFont"/>
    <w:rsid w:val="00163F4B"/>
  </w:style>
  <w:style w:type="character" w:styleId="Mention">
    <w:name w:val="Mention"/>
    <w:basedOn w:val="DefaultParagraphFont"/>
    <w:uiPriority w:val="99"/>
    <w:unhideWhenUsed/>
    <w:rsid w:val="00B02A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1047">
      <w:bodyDiv w:val="1"/>
      <w:marLeft w:val="0"/>
      <w:marRight w:val="0"/>
      <w:marTop w:val="0"/>
      <w:marBottom w:val="0"/>
      <w:divBdr>
        <w:top w:val="none" w:sz="0" w:space="0" w:color="auto"/>
        <w:left w:val="none" w:sz="0" w:space="0" w:color="auto"/>
        <w:bottom w:val="none" w:sz="0" w:space="0" w:color="auto"/>
        <w:right w:val="none" w:sz="0" w:space="0" w:color="auto"/>
      </w:divBdr>
    </w:div>
    <w:div w:id="604845884">
      <w:bodyDiv w:val="1"/>
      <w:marLeft w:val="0"/>
      <w:marRight w:val="0"/>
      <w:marTop w:val="0"/>
      <w:marBottom w:val="0"/>
      <w:divBdr>
        <w:top w:val="none" w:sz="0" w:space="0" w:color="auto"/>
        <w:left w:val="none" w:sz="0" w:space="0" w:color="auto"/>
        <w:bottom w:val="none" w:sz="0" w:space="0" w:color="auto"/>
        <w:right w:val="none" w:sz="0" w:space="0" w:color="auto"/>
      </w:divBdr>
    </w:div>
    <w:div w:id="997852026">
      <w:bodyDiv w:val="1"/>
      <w:marLeft w:val="0"/>
      <w:marRight w:val="0"/>
      <w:marTop w:val="0"/>
      <w:marBottom w:val="0"/>
      <w:divBdr>
        <w:top w:val="none" w:sz="0" w:space="0" w:color="auto"/>
        <w:left w:val="none" w:sz="0" w:space="0" w:color="auto"/>
        <w:bottom w:val="none" w:sz="0" w:space="0" w:color="auto"/>
        <w:right w:val="none" w:sz="0" w:space="0" w:color="auto"/>
      </w:divBdr>
    </w:div>
    <w:div w:id="1012417057">
      <w:bodyDiv w:val="1"/>
      <w:marLeft w:val="0"/>
      <w:marRight w:val="0"/>
      <w:marTop w:val="0"/>
      <w:marBottom w:val="0"/>
      <w:divBdr>
        <w:top w:val="none" w:sz="0" w:space="0" w:color="auto"/>
        <w:left w:val="none" w:sz="0" w:space="0" w:color="auto"/>
        <w:bottom w:val="none" w:sz="0" w:space="0" w:color="auto"/>
        <w:right w:val="none" w:sz="0" w:space="0" w:color="auto"/>
      </w:divBdr>
    </w:div>
    <w:div w:id="1114590883">
      <w:bodyDiv w:val="1"/>
      <w:marLeft w:val="0"/>
      <w:marRight w:val="0"/>
      <w:marTop w:val="0"/>
      <w:marBottom w:val="0"/>
      <w:divBdr>
        <w:top w:val="none" w:sz="0" w:space="0" w:color="auto"/>
        <w:left w:val="none" w:sz="0" w:space="0" w:color="auto"/>
        <w:bottom w:val="none" w:sz="0" w:space="0" w:color="auto"/>
        <w:right w:val="none" w:sz="0" w:space="0" w:color="auto"/>
      </w:divBdr>
    </w:div>
    <w:div w:id="1802268163">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g7/mm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EB80B9DE1464BB714C586CAC31491" ma:contentTypeVersion="12" ma:contentTypeDescription="Create a new document." ma:contentTypeScope="" ma:versionID="335614d746e514ecb52cf26f7f199b35">
  <xsd:schema xmlns:xsd="http://www.w3.org/2001/XMLSchema" xmlns:xs="http://www.w3.org/2001/XMLSchema" xmlns:p="http://schemas.microsoft.com/office/2006/metadata/properties" xmlns:ns2="d6fdccf4-51f0-431b-bb8e-5e85c8693159" xmlns:ns3="4167d4cd-58e9-460a-8360-82986f7d46b3" targetNamespace="http://schemas.microsoft.com/office/2006/metadata/properties" ma:root="true" ma:fieldsID="ff0a1b5dbb4a99c6484061602cddfab2" ns2:_="" ns3:_="">
    <xsd:import namespace="d6fdccf4-51f0-431b-bb8e-5e85c8693159"/>
    <xsd:import namespace="4167d4cd-58e9-460a-8360-82986f7d4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dccf4-51f0-431b-bb8e-5e85c8693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67d4cd-58e9-460a-8360-82986f7d4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774C-3F57-4B3C-ACB3-1C951189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dccf4-51f0-431b-bb8e-5e85c8693159"/>
    <ds:schemaRef ds:uri="4167d4cd-58e9-460a-8360-82986f7d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56556-CAD5-4CC4-8ECD-87AA9FE2C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B84785-DEBC-4DCB-8936-399DEDC02A93}">
  <ds:schemaRefs>
    <ds:schemaRef ds:uri="http://schemas.microsoft.com/sharepoint/v3/contenttype/forms"/>
  </ds:schemaRefs>
</ds:datastoreItem>
</file>

<file path=customXml/itemProps4.xml><?xml version="1.0" encoding="utf-8"?>
<ds:datastoreItem xmlns:ds="http://schemas.openxmlformats.org/officeDocument/2006/customXml" ds:itemID="{698323BF-BCD3-43B7-80F3-13B49903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5237</Words>
  <Characters>29856</Characters>
  <Application>Microsoft Office Word</Application>
  <DocSecurity>4</DocSecurity>
  <Lines>248</Lines>
  <Paragraphs>70</Paragraphs>
  <ScaleCrop>false</ScaleCrop>
  <Company>BIS</Company>
  <LinksUpToDate>false</LinksUpToDate>
  <CharactersWithSpaces>35023</CharactersWithSpaces>
  <SharedDoc>false</SharedDoc>
  <HLinks>
    <vt:vector size="6" baseType="variant">
      <vt:variant>
        <vt:i4>589893</vt:i4>
      </vt:variant>
      <vt:variant>
        <vt:i4>0</vt:i4>
      </vt:variant>
      <vt:variant>
        <vt:i4>0</vt:i4>
      </vt:variant>
      <vt:variant>
        <vt:i4>5</vt:i4>
      </vt:variant>
      <vt:variant>
        <vt:lpwstr>https://www.ons.gov.uk/economy/inflationandpriceindices/timeseries/d7g7/mm23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template</dc:title>
  <dc:subject/>
  <dc:creator>Ricketts Simon (GO-Science)</dc:creator>
  <cp:keywords/>
  <dc:description/>
  <cp:lastModifiedBy>Johnston, Harry</cp:lastModifiedBy>
  <cp:revision>9</cp:revision>
  <cp:lastPrinted>2010-01-06T17:20:00Z</cp:lastPrinted>
  <dcterms:created xsi:type="dcterms:W3CDTF">2021-08-12T19:48:00Z</dcterms:created>
  <dcterms:modified xsi:type="dcterms:W3CDTF">2021-08-26T21:34:00Z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y fmtid="{D5CDD505-2E9C-101B-9397-08002B2CF9AE}" pid="4" name="MSIP_Label_ba62f585-b40f-4ab9-bafe-39150f03d124_Enabled">
    <vt:lpwstr>true</vt:lpwstr>
  </property>
  <property fmtid="{D5CDD505-2E9C-101B-9397-08002B2CF9AE}" pid="5" name="MSIP_Label_ba62f585-b40f-4ab9-bafe-39150f03d124_SetDate">
    <vt:lpwstr>2020-03-04T16:26:29Z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273723a1-3819-48e1-84df-000017ebce39</vt:lpwstr>
  </property>
  <property fmtid="{D5CDD505-2E9C-101B-9397-08002B2CF9AE}" pid="10" name="MSIP_Label_ba62f585-b40f-4ab9-bafe-39150f03d124_ContentBits">
    <vt:lpwstr>0</vt:lpwstr>
  </property>
  <property fmtid="{D5CDD505-2E9C-101B-9397-08002B2CF9AE}" pid="11" name="Business Unit">
    <vt:lpwstr>346;#Better Regulation Executive|9c4809b4-f43f-48c5-b33e-83ca9cbb5b79</vt:lpwstr>
  </property>
  <property fmtid="{D5CDD505-2E9C-101B-9397-08002B2CF9AE}" pid="12" name="ContentTypeId">
    <vt:lpwstr>0x01010044FEB80B9DE1464BB714C586CAC31491</vt:lpwstr>
  </property>
  <property fmtid="{D5CDD505-2E9C-101B-9397-08002B2CF9AE}" pid="13" name="_dlc_DocIdItemGuid">
    <vt:lpwstr>00c0b9f5-9558-4b89-ba6b-8d30ae16c9d3</vt:lpwstr>
  </property>
</Properties>
</file>