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62"/>
        <w:gridCol w:w="2240"/>
        <w:gridCol w:w="1977"/>
        <w:gridCol w:w="899"/>
        <w:gridCol w:w="3260"/>
      </w:tblGrid>
      <w:tr w:rsidR="00B50649" w14:paraId="21A66AB4" w14:textId="77777777" w:rsidTr="1E02CE5A">
        <w:trPr>
          <w:trHeight w:hRule="exact" w:val="2420"/>
        </w:trPr>
        <w:tc>
          <w:tcPr>
            <w:tcW w:w="6179" w:type="dxa"/>
            <w:gridSpan w:val="3"/>
            <w:tcBorders>
              <w:top w:val="single" w:sz="4" w:space="0" w:color="auto"/>
              <w:bottom w:val="single" w:sz="4" w:space="0" w:color="auto"/>
            </w:tcBorders>
          </w:tcPr>
          <w:p w14:paraId="2A9EB2B7" w14:textId="5DB51141" w:rsidR="007F0ED9" w:rsidRPr="00102870" w:rsidRDefault="0E28BC04" w:rsidP="00167278">
            <w:pPr>
              <w:pStyle w:val="IATitle"/>
            </w:pPr>
            <w:r w:rsidRPr="1E02CE5A">
              <w:rPr>
                <w:b/>
                <w:bCs/>
              </w:rPr>
              <w:t>Title</w:t>
            </w:r>
            <w:r w:rsidR="682B6BC3" w:rsidRPr="1E02CE5A">
              <w:rPr>
                <w:b/>
                <w:bCs/>
              </w:rPr>
              <w:t>:</w:t>
            </w:r>
            <w:r w:rsidR="682B6BC3">
              <w:t xml:space="preserve">   </w:t>
            </w:r>
            <w:r w:rsidR="782B962B" w:rsidRPr="1E02CE5A">
              <w:rPr>
                <w:sz w:val="22"/>
                <w:szCs w:val="22"/>
                <w:lang w:eastAsia="en-GB"/>
              </w:rPr>
              <w:t>Court fees Impact Assessment</w:t>
            </w:r>
            <w:r w:rsidR="120E2577" w:rsidRPr="1E02CE5A">
              <w:rPr>
                <w:sz w:val="22"/>
                <w:szCs w:val="22"/>
                <w:lang w:eastAsia="en-GB"/>
              </w:rPr>
              <w:t>:</w:t>
            </w:r>
            <w:r w:rsidR="682B6BC3" w:rsidRPr="1E02CE5A">
              <w:rPr>
                <w:sz w:val="22"/>
                <w:szCs w:val="22"/>
              </w:rPr>
              <w:t xml:space="preserve"> </w:t>
            </w:r>
            <w:bookmarkStart w:id="0" w:name="IATitle"/>
            <w:r w:rsidR="4490A085" w:rsidRPr="1E02CE5A">
              <w:rPr>
                <w:sz w:val="22"/>
                <w:szCs w:val="22"/>
              </w:rPr>
              <w:t>Uplifting</w:t>
            </w:r>
            <w:r w:rsidR="41397E61" w:rsidRPr="1E02CE5A">
              <w:rPr>
                <w:sz w:val="22"/>
                <w:szCs w:val="22"/>
              </w:rPr>
              <w:t xml:space="preserve"> selected</w:t>
            </w:r>
            <w:r w:rsidR="0902C1DE" w:rsidRPr="1E02CE5A">
              <w:rPr>
                <w:sz w:val="22"/>
                <w:szCs w:val="22"/>
              </w:rPr>
              <w:t xml:space="preserve"> court fees</w:t>
            </w:r>
            <w:r w:rsidR="41397E61" w:rsidRPr="1E02CE5A">
              <w:rPr>
                <w:sz w:val="22"/>
                <w:szCs w:val="22"/>
              </w:rPr>
              <w:t xml:space="preserve"> by inflation</w:t>
            </w:r>
            <w:bookmarkEnd w:id="0"/>
          </w:p>
          <w:p w14:paraId="03477CD5" w14:textId="77777777" w:rsidR="00FF6595" w:rsidRDefault="00FF6595" w:rsidP="00B00194">
            <w:pPr>
              <w:pStyle w:val="IAHeadTitle"/>
              <w:ind w:left="113"/>
              <w:rPr>
                <w:sz w:val="20"/>
                <w:szCs w:val="20"/>
              </w:rPr>
            </w:pPr>
          </w:p>
          <w:p w14:paraId="253AF0C5" w14:textId="2A5CDFA9" w:rsidR="00E14792" w:rsidRPr="00B00194" w:rsidRDefault="00D50283" w:rsidP="00B00194">
            <w:pPr>
              <w:pStyle w:val="IAHeadTitle"/>
              <w:ind w:left="113"/>
              <w:rPr>
                <w:rStyle w:val="IANoChar"/>
                <w:b/>
                <w:color w:val="auto"/>
                <w:sz w:val="20"/>
                <w:szCs w:val="20"/>
                <w:lang w:eastAsia="zh-CN"/>
              </w:rPr>
            </w:pPr>
            <w:r w:rsidRPr="007E190E">
              <w:rPr>
                <w:sz w:val="20"/>
                <w:szCs w:val="20"/>
              </w:rPr>
              <w:t>IA No:</w:t>
            </w:r>
            <w:r w:rsidR="00B00194">
              <w:rPr>
                <w:sz w:val="20"/>
                <w:szCs w:val="20"/>
              </w:rPr>
              <w:t xml:space="preserve"> </w:t>
            </w:r>
            <w:r w:rsidRPr="007E190E">
              <w:rPr>
                <w:sz w:val="20"/>
                <w:szCs w:val="20"/>
              </w:rPr>
              <w:t xml:space="preserve"> </w:t>
            </w:r>
            <w:r w:rsidR="002652C0">
              <w:rPr>
                <w:rStyle w:val="IANoChar"/>
                <w:rFonts w:cs="Arial"/>
                <w:sz w:val="20"/>
                <w:szCs w:val="20"/>
              </w:rPr>
              <w:t>MoJ</w:t>
            </w:r>
            <w:r w:rsidR="003A0A45">
              <w:rPr>
                <w:rStyle w:val="IANoChar"/>
                <w:rFonts w:cs="Arial"/>
                <w:sz w:val="20"/>
                <w:szCs w:val="20"/>
              </w:rPr>
              <w:t>002/2021</w:t>
            </w:r>
          </w:p>
          <w:p w14:paraId="61338AAF" w14:textId="147E2DED" w:rsidR="008C3539" w:rsidRDefault="008C3539" w:rsidP="008C3539">
            <w:pPr>
              <w:pStyle w:val="IAHeadLabel"/>
              <w:ind w:left="113"/>
            </w:pPr>
            <w:r>
              <w:t xml:space="preserve">RPC Reference No:   </w:t>
            </w:r>
            <w:r w:rsidR="002652C0">
              <w:fldChar w:fldCharType="begin">
                <w:ffData>
                  <w:name w:val="IARPCReference"/>
                  <w:enabled/>
                  <w:calcOnExit w:val="0"/>
                  <w:textInput>
                    <w:default w:val="N/A"/>
                  </w:textInput>
                </w:ffData>
              </w:fldChar>
            </w:r>
            <w:bookmarkStart w:id="1" w:name="IARPCReference"/>
            <w:r w:rsidR="002652C0">
              <w:instrText xml:space="preserve"> FORMTEXT </w:instrText>
            </w:r>
            <w:r w:rsidR="002652C0">
              <w:fldChar w:fldCharType="separate"/>
            </w:r>
            <w:r w:rsidR="002652C0">
              <w:rPr>
                <w:noProof/>
              </w:rPr>
              <w:t>N/A</w:t>
            </w:r>
            <w:r w:rsidR="002652C0">
              <w:fldChar w:fldCharType="end"/>
            </w:r>
            <w:bookmarkEnd w:id="1"/>
          </w:p>
          <w:p w14:paraId="7A4A1487" w14:textId="77777777" w:rsidR="00B637E6" w:rsidRDefault="00495404" w:rsidP="00A90857">
            <w:pPr>
              <w:pStyle w:val="IALeadDept"/>
              <w:rPr>
                <w:b/>
              </w:rPr>
            </w:pPr>
            <w:r w:rsidRPr="00A90857">
              <w:rPr>
                <w:b/>
              </w:rPr>
              <w:t>Lead department or agency:</w:t>
            </w:r>
            <w:r w:rsidR="002652C0">
              <w:rPr>
                <w:b/>
              </w:rPr>
              <w:t xml:space="preserve"> </w:t>
            </w:r>
          </w:p>
          <w:p w14:paraId="115C429B" w14:textId="287A638E" w:rsidR="001D5EC9" w:rsidRPr="005F32E7" w:rsidRDefault="002652C0" w:rsidP="00A90857">
            <w:pPr>
              <w:pStyle w:val="IALeadDept"/>
            </w:pPr>
            <w:r w:rsidRPr="00B637E6">
              <w:rPr>
                <w:bCs/>
              </w:rPr>
              <w:t>Ministry of Justice (MoJ)</w:t>
            </w:r>
            <w:r w:rsidR="00B00194">
              <w:t xml:space="preserve">        </w:t>
            </w:r>
            <w:bookmarkStart w:id="2" w:name="IALeadDept"/>
            <w:r w:rsidR="00290335" w:rsidRPr="005F32E7">
              <w:fldChar w:fldCharType="begin">
                <w:ffData>
                  <w:name w:val="IALeadDept"/>
                  <w:enabled/>
                  <w:calcOnExit w:val="0"/>
                  <w:textInput>
                    <w:maxLength w:val="100"/>
                  </w:textInput>
                </w:ffData>
              </w:fldChar>
            </w:r>
            <w:r w:rsidR="00290335" w:rsidRPr="005F32E7">
              <w:instrText xml:space="preserve"> FORMTEXT </w:instrText>
            </w:r>
            <w:r w:rsidR="00290335" w:rsidRPr="005F32E7">
              <w:fldChar w:fldCharType="separate"/>
            </w:r>
            <w:r w:rsidR="00290335" w:rsidRPr="005F32E7">
              <w:t> </w:t>
            </w:r>
            <w:r w:rsidR="00B00194">
              <w:t xml:space="preserve">   </w:t>
            </w:r>
            <w:r w:rsidR="00290335" w:rsidRPr="005F32E7">
              <w:t> </w:t>
            </w:r>
            <w:r w:rsidR="00290335" w:rsidRPr="005F32E7">
              <w:t> </w:t>
            </w:r>
            <w:r w:rsidR="00290335" w:rsidRPr="005F32E7">
              <w:t> </w:t>
            </w:r>
            <w:r w:rsidR="00290335" w:rsidRPr="005F32E7">
              <w:fldChar w:fldCharType="end"/>
            </w:r>
            <w:bookmarkEnd w:id="2"/>
          </w:p>
          <w:p w14:paraId="020FB14C" w14:textId="77777777" w:rsidR="00B637E6" w:rsidRDefault="00495404" w:rsidP="00B00194">
            <w:pPr>
              <w:pStyle w:val="IATableLabel"/>
              <w:spacing w:after="0"/>
            </w:pPr>
            <w:r w:rsidRPr="003E0510">
              <w:t>Other dep</w:t>
            </w:r>
            <w:r w:rsidRPr="00E217A2">
              <w:t>a</w:t>
            </w:r>
            <w:r w:rsidRPr="003E0510">
              <w:t>rtments or agencies:</w:t>
            </w:r>
          </w:p>
          <w:p w14:paraId="1B73DE6C" w14:textId="07026600" w:rsidR="00B93466" w:rsidRDefault="00B00194" w:rsidP="00B00194">
            <w:pPr>
              <w:pStyle w:val="IATableLabel"/>
              <w:spacing w:after="0"/>
            </w:pPr>
            <w:r w:rsidRPr="00B637E6">
              <w:rPr>
                <w:b w:val="0"/>
                <w:bCs/>
              </w:rPr>
              <w:t xml:space="preserve"> </w:t>
            </w:r>
            <w:r w:rsidR="002652C0" w:rsidRPr="00B637E6">
              <w:rPr>
                <w:b w:val="0"/>
                <w:bCs/>
              </w:rPr>
              <w:t>HM Courts and Tribunals Service (HMCTS)</w:t>
            </w:r>
            <w:r w:rsidRPr="00B637E6">
              <w:rPr>
                <w:b w:val="0"/>
                <w:bCs/>
              </w:rPr>
              <w:t xml:space="preserve"> </w:t>
            </w:r>
            <w:r w:rsidR="00DF2F4B" w:rsidRPr="00B637E6">
              <w:rPr>
                <w:b w:val="0"/>
                <w:bCs/>
              </w:rPr>
              <w:t xml:space="preserve"> </w:t>
            </w:r>
            <w:bookmarkStart w:id="3" w:name="IAOtherDepts"/>
            <w:r w:rsidR="000239A7">
              <w:fldChar w:fldCharType="begin">
                <w:ffData>
                  <w:name w:val="IAOtherDepts"/>
                  <w:enabled/>
                  <w:calcOnExit w:val="0"/>
                  <w:textInput>
                    <w:maxLength w:val="200"/>
                  </w:textInput>
                </w:ffData>
              </w:fldChar>
            </w:r>
            <w:r w:rsidR="000239A7">
              <w:instrText xml:space="preserve"> FORMTEXT </w:instrText>
            </w:r>
            <w:r w:rsidR="000239A7">
              <w:fldChar w:fldCharType="separate"/>
            </w:r>
            <w:r w:rsidR="000239A7">
              <w:rPr>
                <w:noProof/>
              </w:rPr>
              <w:t> </w:t>
            </w:r>
            <w:r w:rsidR="000239A7">
              <w:rPr>
                <w:noProof/>
              </w:rPr>
              <w:t> </w:t>
            </w:r>
            <w:r w:rsidR="000239A7">
              <w:rPr>
                <w:noProof/>
              </w:rPr>
              <w:t> </w:t>
            </w:r>
            <w:r w:rsidR="000239A7">
              <w:rPr>
                <w:noProof/>
              </w:rPr>
              <w:t> </w:t>
            </w:r>
            <w:r w:rsidR="000239A7">
              <w:rPr>
                <w:noProof/>
              </w:rPr>
              <w:t> </w:t>
            </w:r>
            <w:r w:rsidR="000239A7">
              <w:fldChar w:fldCharType="end"/>
            </w:r>
            <w:bookmarkEnd w:id="3"/>
          </w:p>
        </w:tc>
        <w:tc>
          <w:tcPr>
            <w:tcW w:w="4159" w:type="dxa"/>
            <w:gridSpan w:val="2"/>
            <w:tcBorders>
              <w:top w:val="single" w:sz="4" w:space="0" w:color="auto"/>
              <w:bottom w:val="single" w:sz="4" w:space="0" w:color="auto"/>
            </w:tcBorders>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14:paraId="798A3A5B" w14:textId="77777777" w:rsidTr="007E190E">
              <w:trPr>
                <w:trHeight w:hRule="exact" w:val="539"/>
              </w:trPr>
              <w:tc>
                <w:tcPr>
                  <w:tcW w:w="4088" w:type="dxa"/>
                  <w:tcBorders>
                    <w:bottom w:val="single" w:sz="4" w:space="0" w:color="333333"/>
                  </w:tcBorders>
                  <w:shd w:val="clear" w:color="auto" w:fill="333333"/>
                  <w:vAlign w:val="center"/>
                </w:tcPr>
                <w:p w14:paraId="47288BDB" w14:textId="77777777" w:rsidR="00B50649" w:rsidRPr="00383295" w:rsidRDefault="00B50649" w:rsidP="00E90731">
                  <w:pPr>
                    <w:pStyle w:val="Title"/>
                  </w:pPr>
                  <w:r w:rsidRPr="00383295">
                    <w:t>Impact Assessment (IA)</w:t>
                  </w:r>
                </w:p>
              </w:tc>
            </w:tr>
            <w:tr w:rsidR="00B50649" w:rsidRPr="00966271" w14:paraId="254D3FBF" w14:textId="77777777" w:rsidTr="007E190E">
              <w:tc>
                <w:tcPr>
                  <w:tcW w:w="4088" w:type="dxa"/>
                  <w:tcBorders>
                    <w:top w:val="single" w:sz="4" w:space="0" w:color="333333"/>
                    <w:bottom w:val="single" w:sz="4" w:space="0" w:color="333333"/>
                  </w:tcBorders>
                </w:tcPr>
                <w:p w14:paraId="46EDA12E" w14:textId="0D48105F" w:rsidR="001F69E9" w:rsidRPr="00631B4C" w:rsidRDefault="00B50649" w:rsidP="00C46EA7">
                  <w:pPr>
                    <w:pStyle w:val="IATableLabel"/>
                  </w:pPr>
                  <w:r w:rsidRPr="00631B4C">
                    <w:t>Date:</w:t>
                  </w:r>
                  <w:r w:rsidR="0071686F">
                    <w:t xml:space="preserve"> </w:t>
                  </w:r>
                  <w:bookmarkStart w:id="4" w:name="_GoBack"/>
                  <w:r w:rsidR="006629D4" w:rsidRPr="000D777B">
                    <w:rPr>
                      <w:b w:val="0"/>
                      <w:bCs/>
                    </w:rPr>
                    <w:t>31</w:t>
                  </w:r>
                  <w:r w:rsidR="00B45EE9" w:rsidRPr="000D777B">
                    <w:rPr>
                      <w:b w:val="0"/>
                      <w:bCs/>
                    </w:rPr>
                    <w:t>/</w:t>
                  </w:r>
                  <w:r w:rsidR="006629D4" w:rsidRPr="000D777B">
                    <w:rPr>
                      <w:b w:val="0"/>
                      <w:bCs/>
                    </w:rPr>
                    <w:t>08</w:t>
                  </w:r>
                  <w:r w:rsidR="0011469D" w:rsidRPr="000D777B">
                    <w:rPr>
                      <w:b w:val="0"/>
                    </w:rPr>
                    <w:t>/2021</w:t>
                  </w:r>
                  <w:bookmarkEnd w:id="4"/>
                </w:p>
              </w:tc>
            </w:tr>
            <w:tr w:rsidR="00B50649" w:rsidRPr="00966271" w14:paraId="73099175" w14:textId="77777777" w:rsidTr="007E190E">
              <w:tc>
                <w:tcPr>
                  <w:tcW w:w="4088" w:type="dxa"/>
                  <w:tcBorders>
                    <w:top w:val="single" w:sz="4" w:space="0" w:color="333333"/>
                    <w:bottom w:val="single" w:sz="4" w:space="0" w:color="333333"/>
                  </w:tcBorders>
                </w:tcPr>
                <w:p w14:paraId="1F935AA8" w14:textId="1C8EFD58" w:rsidR="00B50649" w:rsidRPr="007F0ED9" w:rsidRDefault="00941D69" w:rsidP="00E90731">
                  <w:pPr>
                    <w:pStyle w:val="IATableLabel"/>
                  </w:pPr>
                  <w:bookmarkStart w:id="5" w:name="Stage"/>
                  <w:r w:rsidRPr="00AA7157">
                    <w:t xml:space="preserve">Stage: </w:t>
                  </w:r>
                  <w:bookmarkEnd w:id="5"/>
                  <w:r w:rsidR="005471F5" w:rsidRPr="00AA7157">
                    <w:rPr>
                      <w:rStyle w:val="IAStageChar"/>
                    </w:rPr>
                    <w:t>Implementation</w:t>
                  </w:r>
                </w:p>
              </w:tc>
            </w:tr>
            <w:tr w:rsidR="00B50649" w:rsidRPr="00966271" w14:paraId="0AA6C47A" w14:textId="77777777" w:rsidTr="007E190E">
              <w:tc>
                <w:tcPr>
                  <w:tcW w:w="4088" w:type="dxa"/>
                  <w:tcBorders>
                    <w:top w:val="single" w:sz="4" w:space="0" w:color="333333"/>
                    <w:bottom w:val="single" w:sz="4" w:space="0" w:color="333333"/>
                  </w:tcBorders>
                </w:tcPr>
                <w:p w14:paraId="511E18B5" w14:textId="76C8080C"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r w:rsidR="002652C0">
                    <w:rPr>
                      <w:rStyle w:val="IASOIChar"/>
                      <w:sz w:val="20"/>
                    </w:rPr>
                    <w:fldChar w:fldCharType="begin">
                      <w:ffData>
                        <w:name w:val="IAInterSource"/>
                        <w:enabled/>
                        <w:calcOnExit w:val="0"/>
                        <w:ddList>
                          <w:listEntry w:val="Domestic"/>
                          <w:listEntry w:val="EU"/>
                          <w:listEntry w:val="International"/>
                        </w:ddList>
                      </w:ffData>
                    </w:fldChar>
                  </w:r>
                  <w:bookmarkStart w:id="6" w:name="IAInterSource"/>
                  <w:r w:rsidR="002652C0">
                    <w:rPr>
                      <w:rStyle w:val="IASOIChar"/>
                      <w:sz w:val="20"/>
                    </w:rPr>
                    <w:instrText xml:space="preserve"> FORMDROPDOWN </w:instrText>
                  </w:r>
                  <w:r w:rsidR="00DB615C">
                    <w:rPr>
                      <w:rStyle w:val="IASOIChar"/>
                      <w:sz w:val="20"/>
                    </w:rPr>
                  </w:r>
                  <w:r w:rsidR="00DB615C">
                    <w:rPr>
                      <w:rStyle w:val="IASOIChar"/>
                      <w:sz w:val="20"/>
                    </w:rPr>
                    <w:fldChar w:fldCharType="separate"/>
                  </w:r>
                  <w:r w:rsidR="002652C0">
                    <w:rPr>
                      <w:rStyle w:val="IASOIChar"/>
                      <w:sz w:val="20"/>
                    </w:rPr>
                    <w:fldChar w:fldCharType="end"/>
                  </w:r>
                  <w:bookmarkEnd w:id="6"/>
                </w:p>
              </w:tc>
            </w:tr>
            <w:tr w:rsidR="00052F44" w:rsidRPr="007E190E" w14:paraId="498B71AA" w14:textId="77777777" w:rsidTr="007E190E">
              <w:tc>
                <w:tcPr>
                  <w:tcW w:w="4088" w:type="dxa"/>
                  <w:tcBorders>
                    <w:top w:val="single" w:sz="4" w:space="0" w:color="333333"/>
                    <w:bottom w:val="single" w:sz="4" w:space="0" w:color="333333"/>
                  </w:tcBorders>
                </w:tcPr>
                <w:p w14:paraId="3ACC454D" w14:textId="2F605331" w:rsidR="00052F44" w:rsidRPr="007E190E" w:rsidRDefault="00052F44" w:rsidP="00E90731">
                  <w:pPr>
                    <w:pStyle w:val="IATableLabel"/>
                    <w:rPr>
                      <w:b w:val="0"/>
                    </w:rPr>
                  </w:pPr>
                  <w:r w:rsidRPr="007F0ED9">
                    <w:t xml:space="preserve">Type of measure: </w:t>
                  </w:r>
                  <w:r w:rsidR="0010531D" w:rsidRPr="00AA7157">
                    <w:rPr>
                      <w:b w:val="0"/>
                    </w:rPr>
                    <w:t>Secondary Legislation</w:t>
                  </w:r>
                </w:p>
              </w:tc>
            </w:tr>
            <w:tr w:rsidR="00B50649" w:rsidRPr="007E190E" w14:paraId="293374C8" w14:textId="77777777" w:rsidTr="007E190E">
              <w:trPr>
                <w:trHeight w:val="1115"/>
              </w:trPr>
              <w:tc>
                <w:tcPr>
                  <w:tcW w:w="4088" w:type="dxa"/>
                  <w:tcBorders>
                    <w:top w:val="single" w:sz="4" w:space="0" w:color="333333"/>
                    <w:bottom w:val="single" w:sz="4" w:space="0" w:color="333333"/>
                  </w:tcBorders>
                </w:tcPr>
                <w:p w14:paraId="059466AB" w14:textId="3D80BE53" w:rsidR="00023080" w:rsidRPr="000F004E" w:rsidRDefault="00773719" w:rsidP="007E190E">
                  <w:pPr>
                    <w:ind w:left="113" w:right="113"/>
                  </w:pPr>
                  <w:r w:rsidRPr="007E190E">
                    <w:rPr>
                      <w:rStyle w:val="IATableLabelCharChar"/>
                      <w:sz w:val="20"/>
                      <w:szCs w:val="20"/>
                    </w:rPr>
                    <w:t>Contact for enquiries:</w:t>
                  </w:r>
                  <w:r w:rsidRPr="00D337D1">
                    <w:t xml:space="preserve"> </w:t>
                  </w:r>
                  <w:r w:rsidR="002652C0">
                    <w:rPr>
                      <w:rStyle w:val="IACOEChar"/>
                      <w:b w:val="0"/>
                      <w:sz w:val="20"/>
                    </w:rPr>
                    <w:fldChar w:fldCharType="begin">
                      <w:ffData>
                        <w:name w:val="IAEnquiryContacts"/>
                        <w:enabled/>
                        <w:calcOnExit w:val="0"/>
                        <w:textInput>
                          <w:default w:val="mojfeespolicy@justice.gov.uk"/>
                          <w:maxLength w:val="200"/>
                        </w:textInput>
                      </w:ffData>
                    </w:fldChar>
                  </w:r>
                  <w:bookmarkStart w:id="7" w:name="IAEnquiryContacts"/>
                  <w:r w:rsidR="002652C0">
                    <w:rPr>
                      <w:rStyle w:val="IACOEChar"/>
                      <w:b w:val="0"/>
                      <w:sz w:val="20"/>
                    </w:rPr>
                    <w:instrText xml:space="preserve"> FORMTEXT </w:instrText>
                  </w:r>
                  <w:r w:rsidR="002652C0">
                    <w:rPr>
                      <w:rStyle w:val="IACOEChar"/>
                      <w:b w:val="0"/>
                      <w:sz w:val="20"/>
                    </w:rPr>
                  </w:r>
                  <w:r w:rsidR="002652C0">
                    <w:rPr>
                      <w:rStyle w:val="IACOEChar"/>
                      <w:b w:val="0"/>
                      <w:sz w:val="20"/>
                    </w:rPr>
                    <w:fldChar w:fldCharType="separate"/>
                  </w:r>
                  <w:r w:rsidR="002652C0">
                    <w:rPr>
                      <w:rStyle w:val="IACOEChar"/>
                      <w:b w:val="0"/>
                      <w:noProof/>
                      <w:sz w:val="20"/>
                    </w:rPr>
                    <w:t>mojfeespolicy@justice.gov.uk</w:t>
                  </w:r>
                  <w:r w:rsidR="002652C0">
                    <w:rPr>
                      <w:rStyle w:val="IACOEChar"/>
                      <w:b w:val="0"/>
                      <w:sz w:val="20"/>
                    </w:rPr>
                    <w:fldChar w:fldCharType="end"/>
                  </w:r>
                  <w:bookmarkEnd w:id="7"/>
                </w:p>
              </w:tc>
            </w:tr>
            <w:tr w:rsidR="000C1D45" w:rsidRPr="007E190E" w14:paraId="32CB0703" w14:textId="77777777" w:rsidTr="007E190E">
              <w:trPr>
                <w:trHeight w:val="1115"/>
              </w:trPr>
              <w:tc>
                <w:tcPr>
                  <w:tcW w:w="4088" w:type="dxa"/>
                  <w:tcBorders>
                    <w:top w:val="single" w:sz="4" w:space="0" w:color="333333"/>
                    <w:bottom w:val="single" w:sz="4" w:space="0" w:color="333333"/>
                  </w:tcBorders>
                </w:tcPr>
                <w:p w14:paraId="3613DB26" w14:textId="77777777" w:rsidR="000C1D45" w:rsidRPr="007E190E" w:rsidRDefault="000C1D45" w:rsidP="00A32793">
                  <w:pPr>
                    <w:pStyle w:val="IATableLines"/>
                    <w:rPr>
                      <w:b/>
                      <w:color w:val="000000"/>
                      <w:sz w:val="20"/>
                    </w:rPr>
                  </w:pPr>
                </w:p>
              </w:tc>
            </w:tr>
            <w:tr w:rsidR="000C1D45" w:rsidRPr="007E190E" w14:paraId="6802EA12" w14:textId="77777777" w:rsidTr="007E190E">
              <w:trPr>
                <w:trHeight w:val="1115"/>
              </w:trPr>
              <w:tc>
                <w:tcPr>
                  <w:tcW w:w="4088" w:type="dxa"/>
                  <w:tcBorders>
                    <w:top w:val="single" w:sz="4" w:space="0" w:color="333333"/>
                    <w:bottom w:val="single" w:sz="4" w:space="0" w:color="333333"/>
                  </w:tcBorders>
                </w:tcPr>
                <w:p w14:paraId="31D8DF7F" w14:textId="77777777" w:rsidR="000C1D45" w:rsidRPr="007E190E" w:rsidRDefault="000C1D45" w:rsidP="00A32793">
                  <w:pPr>
                    <w:pStyle w:val="IATableLines"/>
                    <w:rPr>
                      <w:b/>
                      <w:color w:val="000000"/>
                      <w:sz w:val="20"/>
                    </w:rPr>
                  </w:pPr>
                </w:p>
              </w:tc>
            </w:tr>
            <w:tr w:rsidR="000C1D45" w:rsidRPr="007E190E" w14:paraId="266107BB" w14:textId="77777777" w:rsidTr="007E190E">
              <w:trPr>
                <w:trHeight w:val="1115"/>
              </w:trPr>
              <w:tc>
                <w:tcPr>
                  <w:tcW w:w="4088" w:type="dxa"/>
                  <w:tcBorders>
                    <w:top w:val="single" w:sz="4" w:space="0" w:color="333333"/>
                    <w:bottom w:val="single" w:sz="4" w:space="0" w:color="333333"/>
                  </w:tcBorders>
                </w:tcPr>
                <w:p w14:paraId="52DA93B2" w14:textId="77777777" w:rsidR="000C1D45" w:rsidRPr="007E190E" w:rsidRDefault="000C1D45" w:rsidP="00A32793">
                  <w:pPr>
                    <w:pStyle w:val="IATableLines"/>
                    <w:rPr>
                      <w:b/>
                      <w:color w:val="000000"/>
                      <w:sz w:val="20"/>
                    </w:rPr>
                  </w:pPr>
                </w:p>
              </w:tc>
            </w:tr>
            <w:tr w:rsidR="000C1D45" w:rsidRPr="007E190E" w14:paraId="03CB09E5" w14:textId="77777777" w:rsidTr="007E190E">
              <w:trPr>
                <w:trHeight w:val="1115"/>
              </w:trPr>
              <w:tc>
                <w:tcPr>
                  <w:tcW w:w="4088" w:type="dxa"/>
                  <w:tcBorders>
                    <w:top w:val="single" w:sz="4" w:space="0" w:color="333333"/>
                    <w:bottom w:val="single" w:sz="4" w:space="0" w:color="333333"/>
                  </w:tcBorders>
                </w:tcPr>
                <w:p w14:paraId="73725245" w14:textId="77777777" w:rsidR="000C1D45" w:rsidRPr="007E190E" w:rsidRDefault="000C1D45" w:rsidP="00A32793">
                  <w:pPr>
                    <w:pStyle w:val="IATableLines"/>
                    <w:rPr>
                      <w:b/>
                      <w:color w:val="000000"/>
                      <w:sz w:val="20"/>
                    </w:rPr>
                  </w:pPr>
                </w:p>
              </w:tc>
            </w:tr>
            <w:tr w:rsidR="000C1D45" w:rsidRPr="007E190E" w14:paraId="0D8E6F09" w14:textId="77777777" w:rsidTr="007E190E">
              <w:trPr>
                <w:trHeight w:val="1115"/>
              </w:trPr>
              <w:tc>
                <w:tcPr>
                  <w:tcW w:w="4088" w:type="dxa"/>
                  <w:tcBorders>
                    <w:top w:val="single" w:sz="4" w:space="0" w:color="333333"/>
                    <w:bottom w:val="single" w:sz="4" w:space="0" w:color="333333"/>
                  </w:tcBorders>
                </w:tcPr>
                <w:p w14:paraId="1F474E2A" w14:textId="77777777" w:rsidR="000C1D45" w:rsidRPr="007E190E" w:rsidRDefault="000C1D45" w:rsidP="00A32793">
                  <w:pPr>
                    <w:pStyle w:val="IATableLines"/>
                    <w:rPr>
                      <w:b/>
                      <w:color w:val="000000"/>
                      <w:sz w:val="20"/>
                    </w:rPr>
                  </w:pPr>
                </w:p>
              </w:tc>
            </w:tr>
            <w:tr w:rsidR="000C1D45" w:rsidRPr="007E190E" w14:paraId="25F3101C" w14:textId="77777777" w:rsidTr="007E190E">
              <w:trPr>
                <w:trHeight w:val="1115"/>
              </w:trPr>
              <w:tc>
                <w:tcPr>
                  <w:tcW w:w="4088" w:type="dxa"/>
                  <w:tcBorders>
                    <w:top w:val="single" w:sz="4" w:space="0" w:color="333333"/>
                  </w:tcBorders>
                </w:tcPr>
                <w:p w14:paraId="2C467494" w14:textId="77777777" w:rsidR="000C1D45" w:rsidRPr="007E190E" w:rsidRDefault="000C1D45" w:rsidP="00A32793">
                  <w:pPr>
                    <w:pStyle w:val="IATableLines"/>
                    <w:rPr>
                      <w:b/>
                      <w:color w:val="000000"/>
                      <w:sz w:val="20"/>
                    </w:rPr>
                  </w:pPr>
                </w:p>
              </w:tc>
            </w:tr>
          </w:tbl>
          <w:p w14:paraId="78BDBA71" w14:textId="77777777" w:rsidR="00B50649" w:rsidRPr="007E190E" w:rsidRDefault="00B50649">
            <w:pPr>
              <w:rPr>
                <w:rFonts w:eastAsia="SimSun"/>
              </w:rPr>
            </w:pPr>
          </w:p>
        </w:tc>
      </w:tr>
      <w:tr w:rsidR="000C1D45" w:rsidRPr="007E190E" w14:paraId="3360621A" w14:textId="77777777" w:rsidTr="1E02CE5A">
        <w:trPr>
          <w:trHeight w:hRule="exact" w:val="410"/>
        </w:trPr>
        <w:tc>
          <w:tcPr>
            <w:tcW w:w="6179" w:type="dxa"/>
            <w:gridSpan w:val="3"/>
            <w:tcBorders>
              <w:top w:val="single" w:sz="4" w:space="0" w:color="auto"/>
              <w:left w:val="nil"/>
              <w:bottom w:val="single" w:sz="4" w:space="0" w:color="auto"/>
            </w:tcBorders>
          </w:tcPr>
          <w:p w14:paraId="0858335E" w14:textId="77777777" w:rsidR="000C1D45" w:rsidRPr="007E190E" w:rsidRDefault="000C1D45" w:rsidP="007E190E">
            <w:pPr>
              <w:pStyle w:val="Heading1"/>
              <w:spacing w:before="60"/>
              <w:rPr>
                <w:rFonts w:eastAsia="SimSun" w:hint="eastAsia"/>
                <w:sz w:val="28"/>
                <w:szCs w:val="28"/>
              </w:rPr>
            </w:pPr>
            <w:r w:rsidRPr="007E190E">
              <w:rPr>
                <w:rFonts w:eastAsia="SimSun"/>
                <w:sz w:val="28"/>
                <w:szCs w:val="28"/>
              </w:rPr>
              <w:t xml:space="preserve">Summary: Intervention and Options </w:t>
            </w:r>
          </w:p>
          <w:p w14:paraId="3AB74490" w14:textId="77777777" w:rsidR="000C1D45" w:rsidRPr="007E190E" w:rsidRDefault="000C1D45" w:rsidP="007E190E">
            <w:pPr>
              <w:pStyle w:val="IAHeadLabel0"/>
              <w:spacing w:before="50"/>
              <w:ind w:left="113"/>
              <w:rPr>
                <w:sz w:val="28"/>
                <w:szCs w:val="28"/>
              </w:rPr>
            </w:pPr>
          </w:p>
        </w:tc>
        <w:tc>
          <w:tcPr>
            <w:tcW w:w="4159" w:type="dxa"/>
            <w:gridSpan w:val="2"/>
            <w:tcBorders>
              <w:top w:val="single" w:sz="4" w:space="0" w:color="auto"/>
              <w:bottom w:val="single" w:sz="4" w:space="0" w:color="auto"/>
            </w:tcBorders>
            <w:shd w:val="clear" w:color="auto" w:fill="E0E0E0"/>
            <w:vAlign w:val="center"/>
          </w:tcPr>
          <w:p w14:paraId="23CE109F" w14:textId="4B1FD885" w:rsidR="000C1D45" w:rsidRPr="007E190E" w:rsidRDefault="000C1D45" w:rsidP="00307737">
            <w:pPr>
              <w:pStyle w:val="Title"/>
              <w:rPr>
                <w:rFonts w:eastAsia="SimSun"/>
                <w:b/>
                <w:color w:val="auto"/>
                <w:sz w:val="24"/>
                <w:szCs w:val="24"/>
              </w:rPr>
            </w:pPr>
            <w:r w:rsidRPr="007E190E">
              <w:rPr>
                <w:rFonts w:eastAsia="SimSun"/>
                <w:b/>
                <w:color w:val="auto"/>
                <w:sz w:val="24"/>
                <w:szCs w:val="24"/>
              </w:rPr>
              <w:t>RPC</w:t>
            </w:r>
            <w:r w:rsidR="00EC6B93" w:rsidRPr="007E190E">
              <w:rPr>
                <w:rFonts w:eastAsia="SimSun"/>
                <w:b/>
                <w:color w:val="auto"/>
                <w:sz w:val="24"/>
                <w:szCs w:val="24"/>
              </w:rPr>
              <w:t xml:space="preserve"> Opinion</w:t>
            </w:r>
            <w:r w:rsidRPr="007E190E">
              <w:rPr>
                <w:rFonts w:eastAsia="SimSun"/>
                <w:b/>
                <w:color w:val="auto"/>
                <w:sz w:val="24"/>
                <w:szCs w:val="24"/>
              </w:rPr>
              <w:t xml:space="preserve">: </w:t>
            </w:r>
            <w:r w:rsidR="002652C0">
              <w:rPr>
                <w:rStyle w:val="IARPCChar"/>
                <w:szCs w:val="24"/>
              </w:rPr>
              <w:fldChar w:fldCharType="begin">
                <w:ffData>
                  <w:name w:val="IARPC"/>
                  <w:enabled/>
                  <w:calcOnExit w:val="0"/>
                  <w:ddList>
                    <w:listEntry w:val="RPC Opinion Status"/>
                    <w:listEntry w:val="Awaiting Scrutiny"/>
                    <w:listEntry w:val="RED"/>
                    <w:listEntry w:val="AMBER"/>
                    <w:listEntry w:val="GREEN"/>
                    <w:listEntry w:val="EANDCB Validated"/>
                    <w:listEntry w:val="Not Applicable"/>
                  </w:ddList>
                </w:ffData>
              </w:fldChar>
            </w:r>
            <w:bookmarkStart w:id="8" w:name="IARPC"/>
            <w:r w:rsidR="002652C0">
              <w:rPr>
                <w:rStyle w:val="IARPCChar"/>
                <w:szCs w:val="24"/>
              </w:rPr>
              <w:instrText xml:space="preserve"> FORMDROPDOWN </w:instrText>
            </w:r>
            <w:r w:rsidR="00DB615C">
              <w:rPr>
                <w:rStyle w:val="IARPCChar"/>
                <w:szCs w:val="24"/>
              </w:rPr>
            </w:r>
            <w:r w:rsidR="00DB615C">
              <w:rPr>
                <w:rStyle w:val="IARPCChar"/>
                <w:szCs w:val="24"/>
              </w:rPr>
              <w:fldChar w:fldCharType="separate"/>
            </w:r>
            <w:r w:rsidR="002652C0">
              <w:rPr>
                <w:rStyle w:val="IARPCChar"/>
                <w:szCs w:val="24"/>
              </w:rPr>
              <w:fldChar w:fldCharType="end"/>
            </w:r>
            <w:bookmarkEnd w:id="8"/>
          </w:p>
        </w:tc>
      </w:tr>
      <w:tr w:rsidR="00372A69" w:rsidRPr="007E190E" w14:paraId="0A460EEB" w14:textId="77777777" w:rsidTr="1E02CE5A">
        <w:trPr>
          <w:trHeight w:hRule="exact" w:val="90"/>
        </w:trPr>
        <w:tc>
          <w:tcPr>
            <w:tcW w:w="10338" w:type="dxa"/>
            <w:gridSpan w:val="5"/>
            <w:tcBorders>
              <w:top w:val="single" w:sz="4" w:space="0" w:color="auto"/>
              <w:left w:val="nil"/>
              <w:bottom w:val="nil"/>
            </w:tcBorders>
          </w:tcPr>
          <w:p w14:paraId="13A05E15" w14:textId="77777777" w:rsidR="00372A69" w:rsidRPr="007E190E" w:rsidRDefault="00372A69" w:rsidP="00372A69">
            <w:pPr>
              <w:rPr>
                <w:rFonts w:eastAsia="SimSun"/>
              </w:rPr>
            </w:pPr>
          </w:p>
        </w:tc>
      </w:tr>
      <w:tr w:rsidR="00372A69" w:rsidRPr="000E02BE" w14:paraId="544F0F01" w14:textId="77777777" w:rsidTr="1E02CE5A">
        <w:tblPrEx>
          <w:tblBorders>
            <w:insideV w:val="none" w:sz="0" w:space="0" w:color="auto"/>
          </w:tblBorders>
        </w:tblPrEx>
        <w:trPr>
          <w:trHeight w:hRule="exact" w:val="312"/>
        </w:trPr>
        <w:tc>
          <w:tcPr>
            <w:tcW w:w="10338" w:type="dxa"/>
            <w:gridSpan w:val="5"/>
            <w:tcBorders>
              <w:top w:val="single" w:sz="4" w:space="0" w:color="auto"/>
              <w:bottom w:val="nil"/>
            </w:tcBorders>
            <w:shd w:val="clear" w:color="auto" w:fill="E0E0E0"/>
          </w:tcPr>
          <w:p w14:paraId="3CB70531" w14:textId="4797B532" w:rsidR="00372A69" w:rsidRPr="000E02BE" w:rsidRDefault="00372A69" w:rsidP="006A0557">
            <w:pPr>
              <w:pStyle w:val="IATableLabel"/>
              <w:ind w:left="0"/>
              <w:jc w:val="center"/>
            </w:pPr>
            <w:bookmarkStart w:id="9" w:name="CostText"/>
            <w:r>
              <w:t>Cost of Preferred (or more likely) Optio</w:t>
            </w:r>
            <w:r w:rsidR="00F06858">
              <w:t>n</w:t>
            </w:r>
            <w:bookmarkEnd w:id="9"/>
            <w:r w:rsidR="00310BBC">
              <w:t xml:space="preserve"> </w:t>
            </w:r>
            <w:r w:rsidR="00310BBC" w:rsidRPr="00310BBC">
              <w:rPr>
                <w:b w:val="0"/>
              </w:rPr>
              <w:t>(in 201</w:t>
            </w:r>
            <w:r w:rsidR="00D64409">
              <w:rPr>
                <w:b w:val="0"/>
              </w:rPr>
              <w:t>9</w:t>
            </w:r>
            <w:r w:rsidR="00310BBC" w:rsidRPr="00310BBC">
              <w:rPr>
                <w:b w:val="0"/>
              </w:rPr>
              <w:t xml:space="preserve"> prices)</w:t>
            </w:r>
          </w:p>
        </w:tc>
      </w:tr>
      <w:tr w:rsidR="00DE39C4" w:rsidRPr="000E02BE" w14:paraId="03DC0428" w14:textId="77777777" w:rsidTr="1E02CE5A">
        <w:tblPrEx>
          <w:tblBorders>
            <w:insideV w:val="none" w:sz="0" w:space="0" w:color="auto"/>
          </w:tblBorders>
        </w:tblPrEx>
        <w:trPr>
          <w:trHeight w:hRule="exact" w:val="571"/>
        </w:trPr>
        <w:tc>
          <w:tcPr>
            <w:tcW w:w="1962" w:type="dxa"/>
            <w:tcBorders>
              <w:top w:val="single" w:sz="4" w:space="0" w:color="auto"/>
              <w:bottom w:val="nil"/>
              <w:right w:val="single" w:sz="4" w:space="0" w:color="auto"/>
            </w:tcBorders>
            <w:shd w:val="clear" w:color="auto" w:fill="E0E0E0"/>
            <w:vAlign w:val="center"/>
          </w:tcPr>
          <w:p w14:paraId="77FF69E8" w14:textId="77777777" w:rsidR="00DE39C4" w:rsidRPr="000E02BE" w:rsidRDefault="00DE39C4" w:rsidP="006A0557">
            <w:pPr>
              <w:pStyle w:val="IATableLabel"/>
              <w:spacing w:before="0" w:after="0"/>
            </w:pPr>
            <w:r>
              <w:t>Total Net Present Social Value</w:t>
            </w:r>
          </w:p>
        </w:tc>
        <w:tc>
          <w:tcPr>
            <w:tcW w:w="2240" w:type="dxa"/>
            <w:tcBorders>
              <w:top w:val="single" w:sz="4" w:space="0" w:color="auto"/>
              <w:bottom w:val="nil"/>
              <w:right w:val="single" w:sz="4" w:space="0" w:color="auto"/>
            </w:tcBorders>
            <w:shd w:val="clear" w:color="auto" w:fill="E0E0E0"/>
            <w:vAlign w:val="center"/>
          </w:tcPr>
          <w:p w14:paraId="1C8EF39A" w14:textId="77777777" w:rsidR="00DE39C4" w:rsidRPr="000E02BE" w:rsidRDefault="00DE39C4" w:rsidP="006A0557">
            <w:pPr>
              <w:pStyle w:val="IATableLabel"/>
              <w:spacing w:before="0" w:after="0"/>
            </w:pPr>
            <w:r>
              <w:t>Business Net Present Value</w:t>
            </w:r>
          </w:p>
        </w:tc>
        <w:tc>
          <w:tcPr>
            <w:tcW w:w="2876" w:type="dxa"/>
            <w:gridSpan w:val="2"/>
            <w:tcBorders>
              <w:top w:val="single" w:sz="4" w:space="0" w:color="auto"/>
              <w:bottom w:val="nil"/>
              <w:right w:val="single" w:sz="4" w:space="0" w:color="auto"/>
            </w:tcBorders>
            <w:shd w:val="clear" w:color="auto" w:fill="E0E0E0"/>
            <w:vAlign w:val="center"/>
          </w:tcPr>
          <w:p w14:paraId="33241A69" w14:textId="178D4C49" w:rsidR="00DE39C4" w:rsidRPr="000E02BE" w:rsidRDefault="00DE39C4" w:rsidP="006C6483">
            <w:pPr>
              <w:pStyle w:val="IATableLabel"/>
              <w:spacing w:before="0" w:after="0"/>
            </w:pPr>
            <w:r>
              <w:t xml:space="preserve">Net cost to business per year </w:t>
            </w:r>
          </w:p>
        </w:tc>
        <w:tc>
          <w:tcPr>
            <w:tcW w:w="3260" w:type="dxa"/>
            <w:tcBorders>
              <w:top w:val="single" w:sz="4" w:space="0" w:color="auto"/>
              <w:left w:val="single" w:sz="4" w:space="0" w:color="auto"/>
            </w:tcBorders>
            <w:shd w:val="clear" w:color="auto" w:fill="E0E0E0"/>
            <w:vAlign w:val="center"/>
          </w:tcPr>
          <w:p w14:paraId="0B160238" w14:textId="77777777" w:rsidR="00DE39C4" w:rsidRDefault="00DE39C4" w:rsidP="00000766">
            <w:pPr>
              <w:pStyle w:val="IATableLabel"/>
              <w:spacing w:before="0" w:after="0"/>
            </w:pPr>
            <w:r>
              <w:t>Business Impact Target Status</w:t>
            </w:r>
          </w:p>
          <w:bookmarkStart w:id="10" w:name="IAPrefMQ"/>
          <w:p w14:paraId="665FCA2D" w14:textId="77777777" w:rsidR="00DE39C4" w:rsidRPr="000E02BE" w:rsidRDefault="00DE39C4" w:rsidP="008369A3">
            <w:pPr>
              <w:pStyle w:val="IAIOPrefMQ"/>
            </w:pPr>
            <w:r>
              <w:fldChar w:fldCharType="begin">
                <w:ffData>
                  <w:name w:val="IAPrefMQ"/>
                  <w:enabled/>
                  <w:calcOnExit w:val="0"/>
                  <w:ddList>
                    <w:listEntry w:val="Qualifying provision"/>
                    <w:listEntry w:val="Non qualifying provision"/>
                    <w:listEntry w:val="Not a regulatory provision"/>
                  </w:ddList>
                </w:ffData>
              </w:fldChar>
            </w:r>
            <w:r>
              <w:instrText xml:space="preserve"> FORMDROPDOWN </w:instrText>
            </w:r>
            <w:r w:rsidR="00DB615C">
              <w:fldChar w:fldCharType="separate"/>
            </w:r>
            <w:r>
              <w:fldChar w:fldCharType="end"/>
            </w:r>
            <w:bookmarkEnd w:id="10"/>
          </w:p>
        </w:tc>
      </w:tr>
      <w:tr w:rsidR="00DE39C4" w:rsidRPr="0061761A" w14:paraId="557E95FF" w14:textId="77777777" w:rsidTr="1E02CE5A">
        <w:tblPrEx>
          <w:tblBorders>
            <w:insideV w:val="none" w:sz="0" w:space="0" w:color="auto"/>
          </w:tblBorders>
        </w:tblPrEx>
        <w:trPr>
          <w:trHeight w:hRule="exact" w:val="340"/>
        </w:trPr>
        <w:tc>
          <w:tcPr>
            <w:tcW w:w="1962" w:type="dxa"/>
            <w:tcBorders>
              <w:top w:val="nil"/>
              <w:bottom w:val="single" w:sz="4" w:space="0" w:color="auto"/>
              <w:right w:val="single" w:sz="4" w:space="0" w:color="auto"/>
            </w:tcBorders>
            <w:shd w:val="clear" w:color="auto" w:fill="E0E0E0"/>
            <w:vAlign w:val="center"/>
          </w:tcPr>
          <w:p w14:paraId="2A9823E9" w14:textId="7F5DBFF7" w:rsidR="00DE39C4" w:rsidRPr="000E02BE" w:rsidRDefault="003B4D56" w:rsidP="008369A3">
            <w:pPr>
              <w:pStyle w:val="IAIIOTNPV"/>
            </w:pPr>
            <w:r>
              <w:t>N</w:t>
            </w:r>
            <w:r w:rsidR="00F32DA2">
              <w:t>/A</w:t>
            </w:r>
          </w:p>
        </w:tc>
        <w:tc>
          <w:tcPr>
            <w:tcW w:w="2240" w:type="dxa"/>
            <w:tcBorders>
              <w:top w:val="nil"/>
              <w:bottom w:val="single" w:sz="4" w:space="0" w:color="auto"/>
              <w:right w:val="single" w:sz="4" w:space="0" w:color="auto"/>
            </w:tcBorders>
            <w:shd w:val="clear" w:color="auto" w:fill="E0E0E0"/>
            <w:vAlign w:val="center"/>
          </w:tcPr>
          <w:p w14:paraId="29A67005" w14:textId="67D279A7" w:rsidR="00DE39C4" w:rsidRPr="000E02BE" w:rsidRDefault="00F32DA2" w:rsidP="008369A3">
            <w:pPr>
              <w:pStyle w:val="IAIOBNPV"/>
            </w:pPr>
            <w:r>
              <w:t>N/A</w:t>
            </w:r>
          </w:p>
        </w:tc>
        <w:tc>
          <w:tcPr>
            <w:tcW w:w="2876" w:type="dxa"/>
            <w:gridSpan w:val="2"/>
            <w:tcBorders>
              <w:top w:val="nil"/>
              <w:bottom w:val="single" w:sz="4" w:space="0" w:color="auto"/>
              <w:right w:val="single" w:sz="4" w:space="0" w:color="auto"/>
            </w:tcBorders>
            <w:shd w:val="clear" w:color="auto" w:fill="E0E0E0"/>
            <w:vAlign w:val="center"/>
          </w:tcPr>
          <w:p w14:paraId="71244981" w14:textId="3388766C" w:rsidR="00DE39C4" w:rsidRPr="000E02BE" w:rsidRDefault="00F32DA2" w:rsidP="008369A3">
            <w:pPr>
              <w:pStyle w:val="IAIONCTBPY"/>
            </w:pPr>
            <w:r>
              <w:t>N/A</w:t>
            </w:r>
          </w:p>
        </w:tc>
        <w:tc>
          <w:tcPr>
            <w:tcW w:w="3260" w:type="dxa"/>
            <w:vAlign w:val="center"/>
          </w:tcPr>
          <w:p w14:paraId="1824C3F7" w14:textId="6ECA9477" w:rsidR="00DE39C4" w:rsidRPr="000E02BE" w:rsidRDefault="000A7CCC" w:rsidP="008369A3">
            <w:pPr>
              <w:pStyle w:val="IAIOPrefMQ"/>
            </w:pPr>
            <w:r>
              <w:t>N/A</w:t>
            </w:r>
          </w:p>
        </w:tc>
      </w:tr>
      <w:tr w:rsidR="007208D9" w:rsidRPr="00826F71" w14:paraId="696EFFCC" w14:textId="77777777" w:rsidTr="1E02CE5A">
        <w:trPr>
          <w:trHeight w:hRule="exact" w:val="3377"/>
        </w:trPr>
        <w:tc>
          <w:tcPr>
            <w:tcW w:w="10338" w:type="dxa"/>
            <w:gridSpan w:val="5"/>
            <w:tcBorders>
              <w:top w:val="single" w:sz="4" w:space="0" w:color="auto"/>
              <w:left w:val="single" w:sz="4" w:space="0" w:color="auto"/>
              <w:bottom w:val="single" w:sz="4" w:space="0" w:color="auto"/>
              <w:right w:val="single" w:sz="4" w:space="0" w:color="auto"/>
            </w:tcBorders>
          </w:tcPr>
          <w:p w14:paraId="744D4B79" w14:textId="7CB03021" w:rsidR="007208D9" w:rsidRPr="00EA0B74" w:rsidRDefault="00686F5E" w:rsidP="008369A3">
            <w:pPr>
              <w:pStyle w:val="IAIOQ1"/>
            </w:pPr>
            <w:bookmarkStart w:id="11" w:name="Summary1"/>
            <w:r>
              <w:t>What is the problem under consideration? Why is government</w:t>
            </w:r>
            <w:r w:rsidR="00D64409">
              <w:t xml:space="preserve"> action or</w:t>
            </w:r>
            <w:r>
              <w:t xml:space="preserve"> intervention necessary?</w:t>
            </w:r>
            <w:bookmarkEnd w:id="11"/>
          </w:p>
          <w:p w14:paraId="4A151FD7" w14:textId="73AE8C0A" w:rsidR="00A6110D" w:rsidRDefault="00FB4A83" w:rsidP="000B7211">
            <w:pPr>
              <w:pStyle w:val="IATableLines"/>
              <w:rPr>
                <w:rFonts w:cs="Arial"/>
                <w:szCs w:val="22"/>
              </w:rPr>
            </w:pPr>
            <w:r>
              <w:rPr>
                <w:rFonts w:cs="Arial"/>
                <w:szCs w:val="22"/>
              </w:rPr>
              <w:t>Civil c</w:t>
            </w:r>
            <w:r w:rsidR="002D3602" w:rsidRPr="00D527D2">
              <w:rPr>
                <w:rFonts w:cs="Arial"/>
                <w:szCs w:val="22"/>
              </w:rPr>
              <w:t>ourt fees are</w:t>
            </w:r>
            <w:r w:rsidR="00053B18" w:rsidRPr="00D527D2">
              <w:rPr>
                <w:rFonts w:cs="Arial"/>
                <w:szCs w:val="22"/>
              </w:rPr>
              <w:t xml:space="preserve"> </w:t>
            </w:r>
            <w:r w:rsidR="00053B18" w:rsidRPr="00E26567">
              <w:rPr>
                <w:szCs w:val="22"/>
              </w:rPr>
              <w:t xml:space="preserve">a reasonable means of making resources available to secure access to </w:t>
            </w:r>
            <w:proofErr w:type="gramStart"/>
            <w:r w:rsidR="00053B18" w:rsidRPr="00E26567">
              <w:rPr>
                <w:szCs w:val="22"/>
              </w:rPr>
              <w:t>justice</w:t>
            </w:r>
            <w:r w:rsidR="0010659E">
              <w:rPr>
                <w:szCs w:val="22"/>
              </w:rPr>
              <w:t>,</w:t>
            </w:r>
            <w:r w:rsidR="002D3602">
              <w:rPr>
                <w:szCs w:val="22"/>
              </w:rPr>
              <w:t xml:space="preserve"> </w:t>
            </w:r>
            <w:r w:rsidR="002D3602" w:rsidRPr="00D527D2">
              <w:rPr>
                <w:rFonts w:cs="Arial"/>
                <w:szCs w:val="22"/>
              </w:rPr>
              <w:t>and</w:t>
            </w:r>
            <w:proofErr w:type="gramEnd"/>
            <w:r w:rsidR="002D3602" w:rsidRPr="00D527D2">
              <w:rPr>
                <w:rFonts w:cs="Arial"/>
                <w:szCs w:val="22"/>
              </w:rPr>
              <w:t xml:space="preserve"> accounted for £724m in income against £2bn in running costs for HM</w:t>
            </w:r>
            <w:r w:rsidR="00305751" w:rsidRPr="00D527D2">
              <w:rPr>
                <w:rFonts w:cs="Arial"/>
                <w:szCs w:val="22"/>
              </w:rPr>
              <w:t xml:space="preserve"> </w:t>
            </w:r>
            <w:r w:rsidR="002D3602" w:rsidRPr="00D527D2">
              <w:rPr>
                <w:rFonts w:cs="Arial"/>
                <w:szCs w:val="22"/>
              </w:rPr>
              <w:t>C</w:t>
            </w:r>
            <w:r w:rsidR="00305751" w:rsidRPr="00D527D2">
              <w:rPr>
                <w:rFonts w:cs="Arial"/>
                <w:szCs w:val="22"/>
              </w:rPr>
              <w:t xml:space="preserve">ourts and </w:t>
            </w:r>
            <w:r w:rsidR="002D3602" w:rsidRPr="00D527D2">
              <w:rPr>
                <w:rFonts w:cs="Arial"/>
                <w:szCs w:val="22"/>
              </w:rPr>
              <w:t>T</w:t>
            </w:r>
            <w:r w:rsidR="00305751" w:rsidRPr="00D527D2">
              <w:rPr>
                <w:rFonts w:cs="Arial"/>
                <w:szCs w:val="22"/>
              </w:rPr>
              <w:t xml:space="preserve">ribunal </w:t>
            </w:r>
            <w:r w:rsidR="002D3602" w:rsidRPr="00D527D2">
              <w:rPr>
                <w:rFonts w:cs="Arial"/>
                <w:szCs w:val="22"/>
              </w:rPr>
              <w:t>S</w:t>
            </w:r>
            <w:r w:rsidR="00305751" w:rsidRPr="00D527D2">
              <w:rPr>
                <w:rFonts w:cs="Arial"/>
                <w:szCs w:val="22"/>
              </w:rPr>
              <w:t>ervice</w:t>
            </w:r>
            <w:r w:rsidR="009A3D94">
              <w:rPr>
                <w:rFonts w:cs="Arial"/>
                <w:szCs w:val="22"/>
              </w:rPr>
              <w:t xml:space="preserve"> (HMCTS)</w:t>
            </w:r>
            <w:r w:rsidR="002D3602" w:rsidRPr="00D527D2">
              <w:rPr>
                <w:rFonts w:cs="Arial"/>
                <w:szCs w:val="22"/>
              </w:rPr>
              <w:t xml:space="preserve"> in 2019/20. </w:t>
            </w:r>
            <w:r w:rsidR="00305751" w:rsidRPr="00D527D2">
              <w:rPr>
                <w:rFonts w:cs="Arial"/>
                <w:szCs w:val="22"/>
              </w:rPr>
              <w:t xml:space="preserve">While </w:t>
            </w:r>
            <w:r w:rsidR="002D3602" w:rsidRPr="00D527D2">
              <w:rPr>
                <w:rFonts w:cs="Arial"/>
                <w:szCs w:val="22"/>
              </w:rPr>
              <w:t>the running costs of</w:t>
            </w:r>
            <w:r w:rsidR="003E5250">
              <w:rPr>
                <w:rFonts w:cs="Arial"/>
                <w:szCs w:val="22"/>
              </w:rPr>
              <w:t xml:space="preserve"> HMCTS</w:t>
            </w:r>
            <w:r w:rsidR="002D3602" w:rsidRPr="00D527D2">
              <w:rPr>
                <w:rFonts w:cs="Arial"/>
                <w:szCs w:val="22"/>
              </w:rPr>
              <w:t xml:space="preserve"> </w:t>
            </w:r>
            <w:r w:rsidR="002C2A2D" w:rsidRPr="00D527D2">
              <w:rPr>
                <w:rFonts w:cs="Arial"/>
                <w:szCs w:val="22"/>
              </w:rPr>
              <w:t xml:space="preserve">and the </w:t>
            </w:r>
            <w:r w:rsidR="00B116A4" w:rsidRPr="00D527D2">
              <w:rPr>
                <w:rFonts w:cs="Arial"/>
                <w:szCs w:val="22"/>
              </w:rPr>
              <w:t xml:space="preserve">general UK </w:t>
            </w:r>
            <w:r w:rsidR="00B27B40" w:rsidRPr="00D527D2">
              <w:rPr>
                <w:rFonts w:cs="Arial"/>
                <w:szCs w:val="22"/>
              </w:rPr>
              <w:t>price level ha</w:t>
            </w:r>
            <w:r w:rsidR="00E05868" w:rsidRPr="00D527D2">
              <w:rPr>
                <w:rFonts w:cs="Arial"/>
                <w:szCs w:val="22"/>
              </w:rPr>
              <w:t>ve</w:t>
            </w:r>
            <w:r w:rsidR="00B27B40" w:rsidRPr="00D527D2">
              <w:rPr>
                <w:rFonts w:cs="Arial"/>
                <w:szCs w:val="22"/>
              </w:rPr>
              <w:t xml:space="preserve"> been rising, </w:t>
            </w:r>
            <w:proofErr w:type="gramStart"/>
            <w:r w:rsidR="00C22C74" w:rsidRPr="00D527D2">
              <w:rPr>
                <w:rFonts w:cs="Arial"/>
                <w:szCs w:val="22"/>
              </w:rPr>
              <w:t>the majority of</w:t>
            </w:r>
            <w:proofErr w:type="gramEnd"/>
            <w:r w:rsidR="002D3602" w:rsidRPr="00D527D2">
              <w:rPr>
                <w:rFonts w:cs="Arial"/>
                <w:szCs w:val="22"/>
              </w:rPr>
              <w:t xml:space="preserve"> court fees have not</w:t>
            </w:r>
            <w:r w:rsidR="00C22C74" w:rsidRPr="00D527D2">
              <w:rPr>
                <w:rFonts w:cs="Arial"/>
                <w:szCs w:val="22"/>
              </w:rPr>
              <w:t xml:space="preserve"> been increased since 2016</w:t>
            </w:r>
            <w:r w:rsidR="002D3602" w:rsidRPr="00D527D2">
              <w:rPr>
                <w:rFonts w:cs="Arial"/>
                <w:szCs w:val="22"/>
              </w:rPr>
              <w:t xml:space="preserve"> mean</w:t>
            </w:r>
            <w:r w:rsidR="00E05868" w:rsidRPr="00D527D2">
              <w:rPr>
                <w:rFonts w:cs="Arial"/>
                <w:szCs w:val="22"/>
              </w:rPr>
              <w:t>ing</w:t>
            </w:r>
            <w:r w:rsidR="002D3602" w:rsidRPr="00D527D2">
              <w:rPr>
                <w:rFonts w:cs="Arial"/>
                <w:szCs w:val="22"/>
              </w:rPr>
              <w:t xml:space="preserve"> that </w:t>
            </w:r>
            <w:r w:rsidR="00094228" w:rsidRPr="00D527D2">
              <w:rPr>
                <w:rFonts w:cs="Arial"/>
                <w:szCs w:val="22"/>
              </w:rPr>
              <w:t xml:space="preserve">the value of many </w:t>
            </w:r>
            <w:r w:rsidR="002D3602" w:rsidRPr="00D527D2">
              <w:rPr>
                <w:rFonts w:cs="Arial"/>
                <w:szCs w:val="22"/>
              </w:rPr>
              <w:t>have fallen in real terms. To ensure</w:t>
            </w:r>
            <w:r w:rsidR="002D3602" w:rsidRPr="00D527D2" w:rsidDel="00932589">
              <w:rPr>
                <w:rFonts w:cs="Arial"/>
                <w:szCs w:val="22"/>
              </w:rPr>
              <w:t xml:space="preserve"> </w:t>
            </w:r>
            <w:r w:rsidR="002D3602" w:rsidRPr="00D527D2">
              <w:rPr>
                <w:rFonts w:cs="Arial"/>
                <w:szCs w:val="22"/>
              </w:rPr>
              <w:t xml:space="preserve">access to justice is maintained through a properly funded court system, we are </w:t>
            </w:r>
            <w:r w:rsidR="00A1153A" w:rsidRPr="00D527D2">
              <w:rPr>
                <w:rFonts w:cs="Arial"/>
                <w:szCs w:val="22"/>
              </w:rPr>
              <w:t xml:space="preserve">proposing to </w:t>
            </w:r>
            <w:r w:rsidR="000C2A10" w:rsidRPr="00D527D2">
              <w:rPr>
                <w:rFonts w:cs="Arial"/>
                <w:szCs w:val="22"/>
              </w:rPr>
              <w:t>uplift</w:t>
            </w:r>
            <w:r w:rsidR="002D3602" w:rsidRPr="00D527D2">
              <w:rPr>
                <w:rFonts w:cs="Arial"/>
                <w:szCs w:val="22"/>
              </w:rPr>
              <w:t xml:space="preserve"> select</w:t>
            </w:r>
            <w:r w:rsidR="006B6D68" w:rsidRPr="00D527D2">
              <w:rPr>
                <w:rFonts w:cs="Arial"/>
                <w:szCs w:val="22"/>
              </w:rPr>
              <w:t>ed</w:t>
            </w:r>
            <w:r w:rsidR="002D3602" w:rsidRPr="00D527D2">
              <w:rPr>
                <w:rFonts w:cs="Arial"/>
                <w:szCs w:val="22"/>
              </w:rPr>
              <w:t xml:space="preserve"> court fees</w:t>
            </w:r>
            <w:r w:rsidR="000C2A10" w:rsidRPr="00D527D2">
              <w:rPr>
                <w:rFonts w:cs="Arial"/>
                <w:szCs w:val="22"/>
              </w:rPr>
              <w:t xml:space="preserve"> with</w:t>
            </w:r>
            <w:r w:rsidR="002D3602" w:rsidRPr="00D527D2">
              <w:rPr>
                <w:rFonts w:cs="Arial"/>
                <w:szCs w:val="22"/>
              </w:rPr>
              <w:t xml:space="preserve"> </w:t>
            </w:r>
            <w:r w:rsidR="006A2CD6">
              <w:rPr>
                <w:rFonts w:cs="Arial"/>
                <w:szCs w:val="22"/>
              </w:rPr>
              <w:t xml:space="preserve">the </w:t>
            </w:r>
            <w:r w:rsidR="00B7401F">
              <w:rPr>
                <w:rFonts w:cs="Arial"/>
                <w:szCs w:val="22"/>
              </w:rPr>
              <w:t xml:space="preserve">Consumer Price </w:t>
            </w:r>
            <w:r w:rsidR="006A2CD6">
              <w:rPr>
                <w:rFonts w:cs="Arial"/>
                <w:szCs w:val="22"/>
              </w:rPr>
              <w:t>Index</w:t>
            </w:r>
            <w:r w:rsidR="00B7401F">
              <w:rPr>
                <w:rFonts w:cs="Arial"/>
                <w:szCs w:val="22"/>
              </w:rPr>
              <w:t xml:space="preserve"> (CPI)</w:t>
            </w:r>
            <w:r w:rsidR="000C2A10" w:rsidRPr="00D527D2">
              <w:rPr>
                <w:rFonts w:cs="Arial"/>
                <w:szCs w:val="22"/>
              </w:rPr>
              <w:t xml:space="preserve"> backdated to August 2016 or the date of the last fee change if later,</w:t>
            </w:r>
            <w:r w:rsidR="002D3602" w:rsidRPr="00D527D2">
              <w:rPr>
                <w:rFonts w:cs="Arial"/>
                <w:szCs w:val="22"/>
              </w:rPr>
              <w:t xml:space="preserve"> to </w:t>
            </w:r>
            <w:r w:rsidR="00094228" w:rsidRPr="00D527D2">
              <w:rPr>
                <w:rFonts w:cs="Arial"/>
                <w:szCs w:val="22"/>
              </w:rPr>
              <w:t>offset</w:t>
            </w:r>
            <w:r w:rsidR="00AE65D0" w:rsidRPr="00D527D2">
              <w:rPr>
                <w:rFonts w:cs="Arial"/>
                <w:szCs w:val="22"/>
              </w:rPr>
              <w:t xml:space="preserve"> </w:t>
            </w:r>
            <w:r w:rsidR="00656CFD" w:rsidRPr="00D527D2">
              <w:rPr>
                <w:rFonts w:cs="Arial"/>
                <w:szCs w:val="22"/>
              </w:rPr>
              <w:t>inflation</w:t>
            </w:r>
            <w:r w:rsidR="002D3602" w:rsidRPr="00D527D2" w:rsidDel="00656CFD">
              <w:rPr>
                <w:rFonts w:cs="Arial"/>
                <w:szCs w:val="22"/>
              </w:rPr>
              <w:t xml:space="preserve"> </w:t>
            </w:r>
            <w:r w:rsidR="002D3602" w:rsidRPr="00D527D2">
              <w:rPr>
                <w:rFonts w:cs="Arial"/>
                <w:szCs w:val="22"/>
              </w:rPr>
              <w:t xml:space="preserve">over this period. </w:t>
            </w:r>
            <w:r w:rsidR="00AB2DD6" w:rsidRPr="00D527D2">
              <w:rPr>
                <w:szCs w:val="22"/>
              </w:rPr>
              <w:t>Government intervention is required because</w:t>
            </w:r>
            <w:r w:rsidR="002F205D">
              <w:rPr>
                <w:szCs w:val="22"/>
              </w:rPr>
              <w:t xml:space="preserve"> changing fees requires secondary legislation.</w:t>
            </w:r>
            <w:r w:rsidR="00AB2DD6" w:rsidRPr="00D527D2">
              <w:rPr>
                <w:szCs w:val="22"/>
              </w:rPr>
              <w:t xml:space="preserve"> </w:t>
            </w:r>
            <w:r w:rsidR="00A6110D" w:rsidRPr="00D527D2">
              <w:rPr>
                <w:rFonts w:cs="Arial"/>
                <w:szCs w:val="22"/>
              </w:rPr>
              <w:t xml:space="preserve">To ensure access to justice is maintained, the </w:t>
            </w:r>
            <w:r w:rsidR="00210E6A">
              <w:rPr>
                <w:rFonts w:cs="Arial"/>
                <w:szCs w:val="22"/>
              </w:rPr>
              <w:t>G</w:t>
            </w:r>
            <w:r w:rsidR="00A6110D" w:rsidRPr="00D527D2">
              <w:rPr>
                <w:rFonts w:cs="Arial"/>
                <w:szCs w:val="22"/>
              </w:rPr>
              <w:t xml:space="preserve">overnment will also uplift the </w:t>
            </w:r>
            <w:r w:rsidR="00A50CD8">
              <w:rPr>
                <w:rFonts w:cs="Arial"/>
                <w:szCs w:val="22"/>
              </w:rPr>
              <w:t xml:space="preserve">Help with Fees </w:t>
            </w:r>
            <w:r w:rsidR="00D94FBC">
              <w:rPr>
                <w:rFonts w:cs="Arial"/>
                <w:szCs w:val="22"/>
              </w:rPr>
              <w:t>(</w:t>
            </w:r>
            <w:proofErr w:type="spellStart"/>
            <w:r w:rsidR="00D94FBC">
              <w:rPr>
                <w:rFonts w:cs="Arial"/>
                <w:szCs w:val="22"/>
              </w:rPr>
              <w:t>HwF</w:t>
            </w:r>
            <w:proofErr w:type="spellEnd"/>
            <w:r w:rsidR="00D94FBC">
              <w:rPr>
                <w:rFonts w:cs="Arial"/>
                <w:szCs w:val="22"/>
              </w:rPr>
              <w:t>)</w:t>
            </w:r>
            <w:r w:rsidR="00A50CD8">
              <w:rPr>
                <w:rFonts w:cs="Arial"/>
                <w:szCs w:val="22"/>
              </w:rPr>
              <w:t xml:space="preserve"> </w:t>
            </w:r>
            <w:r w:rsidR="00A6110D" w:rsidRPr="00D527D2">
              <w:rPr>
                <w:rFonts w:cs="Arial"/>
                <w:szCs w:val="22"/>
              </w:rPr>
              <w:t>income threshold</w:t>
            </w:r>
            <w:r w:rsidR="00A6110D" w:rsidRPr="00D527D2" w:rsidDel="00CB0A07">
              <w:rPr>
                <w:rFonts w:cs="Arial"/>
                <w:szCs w:val="22"/>
              </w:rPr>
              <w:t xml:space="preserve"> </w:t>
            </w:r>
            <w:r w:rsidR="00A6110D" w:rsidRPr="00D527D2">
              <w:rPr>
                <w:rFonts w:cs="Arial"/>
                <w:szCs w:val="22"/>
              </w:rPr>
              <w:t>means test</w:t>
            </w:r>
            <w:r w:rsidR="00B7401F">
              <w:rPr>
                <w:rFonts w:cs="Arial"/>
                <w:szCs w:val="22"/>
              </w:rPr>
              <w:t xml:space="preserve"> using </w:t>
            </w:r>
            <w:r w:rsidR="00963F49">
              <w:rPr>
                <w:rFonts w:cs="Arial"/>
                <w:szCs w:val="22"/>
              </w:rPr>
              <w:t>CPI</w:t>
            </w:r>
            <w:r w:rsidR="00B7401F">
              <w:rPr>
                <w:rFonts w:cs="Arial"/>
                <w:szCs w:val="22"/>
              </w:rPr>
              <w:t xml:space="preserve"> with owner occupiers</w:t>
            </w:r>
            <w:r w:rsidR="00963F49">
              <w:rPr>
                <w:rFonts w:cs="Arial"/>
                <w:szCs w:val="22"/>
              </w:rPr>
              <w:t>’</w:t>
            </w:r>
            <w:r w:rsidR="00B7401F">
              <w:rPr>
                <w:rFonts w:cs="Arial"/>
                <w:szCs w:val="22"/>
              </w:rPr>
              <w:t xml:space="preserve"> housing costs (CPIH)</w:t>
            </w:r>
            <w:r w:rsidR="00A6110D" w:rsidRPr="00D527D2">
              <w:rPr>
                <w:rFonts w:cs="Arial"/>
                <w:szCs w:val="22"/>
              </w:rPr>
              <w:t>. This is considered in Impact Assessment MoJ003/2021, and the</w:t>
            </w:r>
            <w:r w:rsidR="00E80517" w:rsidRPr="00D527D2">
              <w:rPr>
                <w:rFonts w:cs="Arial"/>
                <w:szCs w:val="22"/>
              </w:rPr>
              <w:t xml:space="preserve"> impacts of</w:t>
            </w:r>
            <w:r w:rsidR="00A6110D" w:rsidRPr="00D527D2">
              <w:rPr>
                <w:rFonts w:cs="Arial"/>
                <w:szCs w:val="22"/>
              </w:rPr>
              <w:t xml:space="preserve"> </w:t>
            </w:r>
            <w:r w:rsidR="00E80517" w:rsidRPr="00D527D2">
              <w:rPr>
                <w:rFonts w:cs="Arial"/>
                <w:szCs w:val="22"/>
              </w:rPr>
              <w:t>both measures</w:t>
            </w:r>
            <w:r w:rsidR="000E641E" w:rsidRPr="00D527D2">
              <w:rPr>
                <w:rFonts w:cs="Arial"/>
                <w:szCs w:val="22"/>
              </w:rPr>
              <w:t xml:space="preserve"> are</w:t>
            </w:r>
            <w:r w:rsidR="00A6110D" w:rsidRPr="00D527D2">
              <w:rPr>
                <w:rFonts w:cs="Arial"/>
                <w:szCs w:val="22"/>
              </w:rPr>
              <w:t xml:space="preserve"> brought together in an overarching Impact Assessment MoJ004/2021.</w:t>
            </w:r>
            <w:r w:rsidR="003204A5">
              <w:rPr>
                <w:rFonts w:cs="Arial"/>
                <w:szCs w:val="22"/>
              </w:rPr>
              <w:t xml:space="preserve"> </w:t>
            </w:r>
          </w:p>
          <w:p w14:paraId="54555A1D" w14:textId="1C718557" w:rsidR="00A6110D" w:rsidRPr="00C120C0" w:rsidRDefault="00A6110D" w:rsidP="000B7211">
            <w:pPr>
              <w:pStyle w:val="IATableLines"/>
            </w:pPr>
          </w:p>
        </w:tc>
      </w:tr>
    </w:tbl>
    <w:p w14:paraId="62581936" w14:textId="77777777" w:rsidR="007208D9" w:rsidRDefault="007208D9" w:rsidP="007208D9">
      <w:pPr>
        <w:pStyle w:val="IASpacer"/>
      </w:pPr>
    </w:p>
    <w:tbl>
      <w:tblPr>
        <w:tblW w:w="5071"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40"/>
      </w:tblGrid>
      <w:tr w:rsidR="007208D9" w:rsidRPr="00826F71" w14:paraId="07B34A21" w14:textId="77777777" w:rsidTr="002C3CCD">
        <w:trPr>
          <w:trHeight w:hRule="exact" w:val="1612"/>
        </w:trPr>
        <w:tc>
          <w:tcPr>
            <w:tcW w:w="10340" w:type="dxa"/>
            <w:tcBorders>
              <w:top w:val="single" w:sz="4" w:space="0" w:color="auto"/>
              <w:bottom w:val="single" w:sz="4" w:space="0" w:color="auto"/>
            </w:tcBorders>
          </w:tcPr>
          <w:p w14:paraId="197141E5" w14:textId="77777777" w:rsidR="00D64409" w:rsidRPr="00EA0B74" w:rsidRDefault="00D64409" w:rsidP="00D64409">
            <w:pPr>
              <w:pStyle w:val="IAIOQ2"/>
            </w:pPr>
            <w:bookmarkStart w:id="12" w:name="Summary2"/>
            <w:r>
              <w:t>What are the policy objectives of the action or intervention and the intended effects?</w:t>
            </w:r>
            <w:bookmarkEnd w:id="12"/>
          </w:p>
          <w:p w14:paraId="4F219F7E" w14:textId="0E25A7BF" w:rsidR="00A008A3" w:rsidRPr="00B854FD" w:rsidRDefault="00A008A3" w:rsidP="1505FC04">
            <w:pPr>
              <w:pStyle w:val="IATableLines"/>
              <w:rPr>
                <w:rFonts w:cs="Arial"/>
                <w:szCs w:val="22"/>
              </w:rPr>
            </w:pPr>
            <w:bookmarkStart w:id="13" w:name="_Hlk62830883"/>
            <w:r w:rsidRPr="00B854FD">
              <w:rPr>
                <w:rFonts w:cs="Arial"/>
                <w:szCs w:val="22"/>
              </w:rPr>
              <w:t>The policy objectives are</w:t>
            </w:r>
            <w:r w:rsidR="004B02A7" w:rsidRPr="00B854FD">
              <w:rPr>
                <w:rFonts w:cs="Arial"/>
                <w:szCs w:val="22"/>
                <w:lang w:eastAsia="en-GB"/>
              </w:rPr>
              <w:t xml:space="preserve"> </w:t>
            </w:r>
            <w:r w:rsidR="00284025" w:rsidRPr="00B854FD">
              <w:rPr>
                <w:rFonts w:cs="Arial"/>
                <w:szCs w:val="22"/>
                <w:lang w:eastAsia="en-GB"/>
              </w:rPr>
              <w:t>to protect access to justice by ensuring that the courts and tribunals are adequately resourced</w:t>
            </w:r>
            <w:r w:rsidR="00E603A5" w:rsidRPr="00B854FD">
              <w:rPr>
                <w:rFonts w:cs="Arial"/>
                <w:szCs w:val="22"/>
                <w:lang w:eastAsia="en-GB"/>
              </w:rPr>
              <w:t>;</w:t>
            </w:r>
            <w:r w:rsidR="006C3461" w:rsidRPr="00B854FD">
              <w:rPr>
                <w:rFonts w:cs="Arial"/>
                <w:szCs w:val="22"/>
                <w:lang w:eastAsia="en-GB"/>
              </w:rPr>
              <w:t xml:space="preserve"> and</w:t>
            </w:r>
            <w:r w:rsidR="00412D7A" w:rsidRPr="00B854FD">
              <w:rPr>
                <w:rFonts w:cs="Arial"/>
                <w:szCs w:val="22"/>
                <w:lang w:eastAsia="en-GB"/>
              </w:rPr>
              <w:t xml:space="preserve"> </w:t>
            </w:r>
            <w:r w:rsidR="00284025" w:rsidRPr="00B854FD">
              <w:rPr>
                <w:rFonts w:cs="Arial"/>
                <w:szCs w:val="22"/>
                <w:lang w:eastAsia="en-GB"/>
              </w:rPr>
              <w:t>to reduce the overall taxpayer subsidy for HMCTS</w:t>
            </w:r>
            <w:r w:rsidR="00412D7A" w:rsidRPr="00B854FD">
              <w:rPr>
                <w:rFonts w:cs="Arial"/>
                <w:szCs w:val="22"/>
                <w:lang w:eastAsia="en-GB"/>
              </w:rPr>
              <w:t>.</w:t>
            </w:r>
            <w:r w:rsidR="00CF29F4" w:rsidRPr="00B854FD">
              <w:rPr>
                <w:rFonts w:cs="Arial"/>
                <w:szCs w:val="22"/>
                <w:lang w:eastAsia="en-GB"/>
              </w:rPr>
              <w:t xml:space="preserve"> </w:t>
            </w:r>
            <w:r w:rsidR="1BC5320A" w:rsidRPr="00B854FD">
              <w:rPr>
                <w:rFonts w:cs="Arial"/>
                <w:szCs w:val="22"/>
                <w:lang w:eastAsia="en-GB"/>
              </w:rPr>
              <w:t>By u</w:t>
            </w:r>
            <w:r w:rsidR="7A64981E" w:rsidRPr="00B854FD">
              <w:rPr>
                <w:rFonts w:cs="Arial"/>
                <w:szCs w:val="22"/>
              </w:rPr>
              <w:t>plift</w:t>
            </w:r>
            <w:r w:rsidR="1BC5320A" w:rsidRPr="00B854FD">
              <w:rPr>
                <w:rFonts w:cs="Arial"/>
                <w:szCs w:val="22"/>
              </w:rPr>
              <w:t>ing</w:t>
            </w:r>
            <w:r w:rsidR="7A64981E" w:rsidRPr="00B854FD">
              <w:rPr>
                <w:rFonts w:cs="Arial"/>
                <w:szCs w:val="22"/>
              </w:rPr>
              <w:t xml:space="preserve"> </w:t>
            </w:r>
            <w:r w:rsidR="74F70074" w:rsidRPr="00B854FD">
              <w:rPr>
                <w:rFonts w:cs="Arial"/>
                <w:szCs w:val="22"/>
              </w:rPr>
              <w:t>select</w:t>
            </w:r>
            <w:r w:rsidR="4DDE68FC" w:rsidRPr="00B854FD">
              <w:rPr>
                <w:rFonts w:cs="Arial"/>
                <w:szCs w:val="22"/>
              </w:rPr>
              <w:t>ed</w:t>
            </w:r>
            <w:r w:rsidR="74F70074" w:rsidRPr="00B854FD">
              <w:rPr>
                <w:rFonts w:cs="Arial"/>
                <w:szCs w:val="22"/>
              </w:rPr>
              <w:t xml:space="preserve"> </w:t>
            </w:r>
            <w:r w:rsidR="7A64981E" w:rsidRPr="00B854FD">
              <w:rPr>
                <w:rFonts w:cs="Arial"/>
                <w:szCs w:val="22"/>
              </w:rPr>
              <w:t xml:space="preserve">fees to reflect historic inflation backdated to </w:t>
            </w:r>
            <w:r w:rsidR="0C20224B" w:rsidRPr="00B854FD">
              <w:rPr>
                <w:rFonts w:cs="Arial"/>
                <w:szCs w:val="22"/>
              </w:rPr>
              <w:t xml:space="preserve">August </w:t>
            </w:r>
            <w:r w:rsidR="7A64981E" w:rsidRPr="00B854FD">
              <w:rPr>
                <w:rFonts w:cs="Arial"/>
                <w:szCs w:val="22"/>
              </w:rPr>
              <w:t>2016 (the last time large scale fee increases were made)</w:t>
            </w:r>
            <w:r w:rsidR="7FAE41A9" w:rsidRPr="00B854FD">
              <w:rPr>
                <w:rFonts w:cs="Arial"/>
                <w:szCs w:val="22"/>
              </w:rPr>
              <w:t xml:space="preserve">, or the date of last change </w:t>
            </w:r>
            <w:r w:rsidR="0832FB41" w:rsidRPr="00B854FD">
              <w:rPr>
                <w:rFonts w:cs="Arial"/>
                <w:szCs w:val="22"/>
              </w:rPr>
              <w:t xml:space="preserve">if it </w:t>
            </w:r>
            <w:r w:rsidR="7FAE41A9" w:rsidRPr="00B854FD">
              <w:rPr>
                <w:rFonts w:cs="Arial"/>
                <w:szCs w:val="22"/>
              </w:rPr>
              <w:t>was later</w:t>
            </w:r>
            <w:r w:rsidR="4A529CF5" w:rsidRPr="00B854FD">
              <w:rPr>
                <w:rFonts w:cs="Arial"/>
                <w:szCs w:val="22"/>
              </w:rPr>
              <w:t>,</w:t>
            </w:r>
            <w:r w:rsidR="1BC5320A" w:rsidRPr="00B854FD">
              <w:rPr>
                <w:rFonts w:cs="Arial"/>
                <w:szCs w:val="22"/>
              </w:rPr>
              <w:t xml:space="preserve"> the MoJ</w:t>
            </w:r>
            <w:r w:rsidR="00E72F5C" w:rsidRPr="00B854FD">
              <w:rPr>
                <w:rFonts w:cs="Arial"/>
                <w:szCs w:val="22"/>
              </w:rPr>
              <w:t xml:space="preserve"> </w:t>
            </w:r>
            <w:r w:rsidR="1BC5320A" w:rsidRPr="00B854FD">
              <w:rPr>
                <w:rFonts w:cs="Arial"/>
                <w:szCs w:val="22"/>
              </w:rPr>
              <w:t>will</w:t>
            </w:r>
            <w:r w:rsidR="25279C93" w:rsidRPr="00B854FD">
              <w:rPr>
                <w:rFonts w:cs="Arial"/>
                <w:szCs w:val="22"/>
              </w:rPr>
              <w:t xml:space="preserve"> increase </w:t>
            </w:r>
            <w:r w:rsidR="00A254D1" w:rsidRPr="00B854FD">
              <w:rPr>
                <w:rFonts w:cs="Arial"/>
                <w:szCs w:val="22"/>
              </w:rPr>
              <w:t xml:space="preserve">the </w:t>
            </w:r>
            <w:r w:rsidR="25279C93" w:rsidRPr="00B854FD">
              <w:rPr>
                <w:rFonts w:cs="Arial"/>
                <w:szCs w:val="22"/>
              </w:rPr>
              <w:t xml:space="preserve">funding </w:t>
            </w:r>
            <w:r w:rsidR="008020A6">
              <w:rPr>
                <w:rFonts w:cs="Arial"/>
                <w:szCs w:val="22"/>
              </w:rPr>
              <w:t xml:space="preserve">for HMCTS </w:t>
            </w:r>
            <w:r w:rsidR="25279C93" w:rsidRPr="00B854FD">
              <w:rPr>
                <w:rFonts w:cs="Arial"/>
                <w:szCs w:val="22"/>
              </w:rPr>
              <w:t>by</w:t>
            </w:r>
            <w:r w:rsidR="1BC5320A" w:rsidRPr="00B854FD">
              <w:rPr>
                <w:rFonts w:cs="Arial"/>
                <w:szCs w:val="22"/>
              </w:rPr>
              <w:t xml:space="preserve"> </w:t>
            </w:r>
            <w:r w:rsidR="25279C93" w:rsidRPr="00B854FD">
              <w:rPr>
                <w:rFonts w:cs="Arial"/>
                <w:szCs w:val="22"/>
              </w:rPr>
              <w:t>raising</w:t>
            </w:r>
            <w:r w:rsidR="5E9F6A65" w:rsidRPr="00B854FD">
              <w:rPr>
                <w:rFonts w:cs="Arial"/>
                <w:szCs w:val="22"/>
              </w:rPr>
              <w:t xml:space="preserve"> fee income</w:t>
            </w:r>
            <w:r w:rsidR="00EB7282">
              <w:rPr>
                <w:rFonts w:cs="Arial"/>
                <w:szCs w:val="22"/>
              </w:rPr>
              <w:t>.</w:t>
            </w:r>
          </w:p>
          <w:p w14:paraId="6B783017" w14:textId="77777777" w:rsidR="009B49FF" w:rsidRDefault="009B49FF" w:rsidP="1505FC04">
            <w:pPr>
              <w:pStyle w:val="IATableLines"/>
              <w:rPr>
                <w:rFonts w:cs="Arial"/>
                <w:sz w:val="20"/>
              </w:rPr>
            </w:pPr>
          </w:p>
          <w:p w14:paraId="10A5BD11" w14:textId="77777777" w:rsidR="009B49FF" w:rsidRPr="00AE4E68" w:rsidRDefault="009B49FF" w:rsidP="1505FC04">
            <w:pPr>
              <w:pStyle w:val="IATableLines"/>
              <w:rPr>
                <w:rFonts w:cs="Arial"/>
                <w:sz w:val="20"/>
              </w:rPr>
            </w:pPr>
          </w:p>
          <w:bookmarkEnd w:id="13"/>
          <w:p w14:paraId="79FD5BAF" w14:textId="77D28D4E" w:rsidR="00E75380" w:rsidRPr="00C120C0" w:rsidRDefault="00E75380" w:rsidP="00D64409">
            <w:pPr>
              <w:pStyle w:val="IATableLines"/>
            </w:pPr>
          </w:p>
        </w:tc>
      </w:tr>
    </w:tbl>
    <w:p w14:paraId="042F89B7" w14:textId="77777777" w:rsidR="007208D9" w:rsidRPr="00826F71" w:rsidRDefault="007208D9" w:rsidP="007208D9">
      <w:pPr>
        <w:pStyle w:val="IASpacer"/>
      </w:pP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332"/>
      </w:tblGrid>
      <w:tr w:rsidR="00686F5E" w:rsidRPr="00826F71" w14:paraId="2AF63F02" w14:textId="77777777" w:rsidTr="002C3CCD">
        <w:trPr>
          <w:trHeight w:hRule="exact" w:val="2744"/>
        </w:trPr>
        <w:tc>
          <w:tcPr>
            <w:tcW w:w="10352" w:type="dxa"/>
            <w:tcBorders>
              <w:top w:val="single" w:sz="4" w:space="0" w:color="auto"/>
              <w:bottom w:val="single" w:sz="4" w:space="0" w:color="auto"/>
            </w:tcBorders>
          </w:tcPr>
          <w:p w14:paraId="66483402" w14:textId="77777777" w:rsidR="00D64409" w:rsidRDefault="00D64409" w:rsidP="00D64409">
            <w:pPr>
              <w:pStyle w:val="IAIOQ3"/>
            </w:pPr>
            <w:bookmarkStart w:id="14" w:name="IAIOQ3"/>
            <w:bookmarkStart w:id="15" w:name="Summary3"/>
            <w:r>
              <w:t>What policy options have been considered, including any alternatives to regulation? Please justify preferred option (further details in Evidence Base)</w:t>
            </w:r>
            <w:bookmarkStart w:id="16" w:name="IAIOA3"/>
            <w:bookmarkEnd w:id="14"/>
          </w:p>
          <w:bookmarkEnd w:id="16"/>
          <w:p w14:paraId="367BAE7B" w14:textId="77777777" w:rsidR="00D50283" w:rsidRPr="00AE4E68" w:rsidRDefault="00D50283" w:rsidP="00D64409">
            <w:pPr>
              <w:pStyle w:val="IATableLines"/>
              <w:rPr>
                <w:sz w:val="20"/>
              </w:rPr>
            </w:pPr>
          </w:p>
          <w:p w14:paraId="47BAD0F8" w14:textId="77777777" w:rsidR="00935B21" w:rsidRPr="00526678" w:rsidRDefault="00935B21" w:rsidP="00935B21">
            <w:pPr>
              <w:pStyle w:val="IAIOQ3"/>
              <w:rPr>
                <w:b w:val="0"/>
                <w:color w:val="auto"/>
                <w:sz w:val="22"/>
                <w:szCs w:val="22"/>
              </w:rPr>
            </w:pPr>
            <w:r w:rsidRPr="00526678">
              <w:rPr>
                <w:b w:val="0"/>
                <w:color w:val="auto"/>
                <w:sz w:val="22"/>
                <w:szCs w:val="22"/>
              </w:rPr>
              <w:t xml:space="preserve">The following options are considered in this Impact Assessment (IA): </w:t>
            </w:r>
          </w:p>
          <w:p w14:paraId="64EF8D7D" w14:textId="77777777" w:rsidR="00935B21" w:rsidRPr="00526678" w:rsidRDefault="00935B21" w:rsidP="00A47F8A">
            <w:pPr>
              <w:pStyle w:val="IAIOQ3"/>
              <w:numPr>
                <w:ilvl w:val="0"/>
                <w:numId w:val="6"/>
              </w:numPr>
              <w:rPr>
                <w:b w:val="0"/>
                <w:color w:val="auto"/>
                <w:sz w:val="22"/>
                <w:szCs w:val="22"/>
              </w:rPr>
            </w:pPr>
            <w:r w:rsidRPr="00526678">
              <w:rPr>
                <w:b w:val="0"/>
                <w:color w:val="auto"/>
                <w:sz w:val="22"/>
                <w:szCs w:val="22"/>
              </w:rPr>
              <w:t>Option 0: Do Nothing. Maintain the current fee structure.</w:t>
            </w:r>
          </w:p>
          <w:p w14:paraId="75ED370C" w14:textId="74C76DA1" w:rsidR="00284025" w:rsidRPr="00526678" w:rsidRDefault="00935B21" w:rsidP="00A47F8A">
            <w:pPr>
              <w:pStyle w:val="IAIOQ3"/>
              <w:numPr>
                <w:ilvl w:val="0"/>
                <w:numId w:val="6"/>
              </w:numPr>
              <w:rPr>
                <w:b w:val="0"/>
                <w:color w:val="auto"/>
                <w:sz w:val="22"/>
                <w:szCs w:val="22"/>
              </w:rPr>
            </w:pPr>
            <w:r w:rsidRPr="00526678">
              <w:rPr>
                <w:b w:val="0"/>
                <w:color w:val="auto"/>
                <w:sz w:val="22"/>
                <w:szCs w:val="22"/>
              </w:rPr>
              <w:t xml:space="preserve">Option 1: </w:t>
            </w:r>
            <w:r w:rsidR="004F45EA">
              <w:rPr>
                <w:b w:val="0"/>
                <w:color w:val="auto"/>
                <w:sz w:val="22"/>
                <w:szCs w:val="22"/>
              </w:rPr>
              <w:t>Uplift</w:t>
            </w:r>
            <w:r w:rsidRPr="00526678">
              <w:rPr>
                <w:b w:val="0"/>
                <w:color w:val="auto"/>
                <w:sz w:val="22"/>
                <w:szCs w:val="22"/>
              </w:rPr>
              <w:t xml:space="preserve"> </w:t>
            </w:r>
            <w:r w:rsidR="00550D1C" w:rsidRPr="00526678">
              <w:rPr>
                <w:b w:val="0"/>
                <w:color w:val="auto"/>
                <w:sz w:val="22"/>
                <w:szCs w:val="22"/>
              </w:rPr>
              <w:t>selected court fees by inflation</w:t>
            </w:r>
            <w:r w:rsidR="004F26A6" w:rsidRPr="00526678">
              <w:rPr>
                <w:b w:val="0"/>
                <w:color w:val="auto"/>
                <w:sz w:val="22"/>
                <w:szCs w:val="22"/>
              </w:rPr>
              <w:t>, backdated</w:t>
            </w:r>
            <w:r w:rsidR="00BA2B93" w:rsidRPr="00526678">
              <w:rPr>
                <w:b w:val="0"/>
                <w:color w:val="auto"/>
                <w:sz w:val="22"/>
                <w:szCs w:val="22"/>
              </w:rPr>
              <w:t xml:space="preserve"> to August 2016 (or date of last fee change</w:t>
            </w:r>
            <w:r w:rsidR="00752C67" w:rsidRPr="00526678">
              <w:rPr>
                <w:b w:val="0"/>
                <w:color w:val="auto"/>
                <w:sz w:val="22"/>
                <w:szCs w:val="22"/>
              </w:rPr>
              <w:t>, if later)</w:t>
            </w:r>
            <w:r w:rsidRPr="00526678">
              <w:rPr>
                <w:b w:val="0"/>
                <w:sz w:val="22"/>
                <w:szCs w:val="22"/>
              </w:rPr>
              <w:t>.</w:t>
            </w:r>
          </w:p>
          <w:p w14:paraId="07322D08" w14:textId="43C8F25C" w:rsidR="00935B21" w:rsidRPr="00300E79" w:rsidRDefault="00300E79" w:rsidP="00300E79">
            <w:pPr>
              <w:pStyle w:val="IAIOQ3"/>
              <w:rPr>
                <w:b w:val="0"/>
                <w:color w:val="auto"/>
                <w:szCs w:val="22"/>
              </w:rPr>
            </w:pPr>
            <w:r w:rsidRPr="00526678">
              <w:rPr>
                <w:b w:val="0"/>
                <w:sz w:val="22"/>
                <w:szCs w:val="22"/>
              </w:rPr>
              <w:t xml:space="preserve">The Government’s preferred option is to implement Option 1 as it will reduce the subsidisation required by the taxpayer and will ensure HMCTS can continue to deliver access to justice for all. </w:t>
            </w:r>
          </w:p>
        </w:tc>
      </w:tr>
    </w:tbl>
    <w:p w14:paraId="43DC04EC" w14:textId="77777777" w:rsidR="00686F5E" w:rsidRDefault="00686F5E">
      <w:pPr>
        <w:pStyle w:val="IASpacer2"/>
      </w:pP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332"/>
      </w:tblGrid>
      <w:tr w:rsidR="00720FFE" w14:paraId="53C97780" w14:textId="77777777" w:rsidTr="00950571">
        <w:tc>
          <w:tcPr>
            <w:tcW w:w="5000" w:type="pct"/>
          </w:tcPr>
          <w:tbl>
            <w:tblPr>
              <w:tblpPr w:leftFromText="180" w:rightFromText="180" w:vertAnchor="text" w:horzAnchor="margin" w:tblpY="314"/>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51"/>
              <w:gridCol w:w="1098"/>
              <w:gridCol w:w="871"/>
              <w:gridCol w:w="347"/>
              <w:gridCol w:w="633"/>
              <w:gridCol w:w="1178"/>
            </w:tblGrid>
            <w:tr w:rsidR="00C24ED8" w:rsidRPr="00D50283" w14:paraId="7C2F95A3" w14:textId="77777777" w:rsidTr="00C24ED8">
              <w:trPr>
                <w:trHeight w:hRule="exact" w:val="340"/>
              </w:trPr>
              <w:tc>
                <w:tcPr>
                  <w:tcW w:w="7349" w:type="dxa"/>
                  <w:gridSpan w:val="2"/>
                  <w:shd w:val="clear" w:color="auto" w:fill="E0E0E0"/>
                  <w:vAlign w:val="center"/>
                </w:tcPr>
                <w:p w14:paraId="5A4A88EA" w14:textId="77777777" w:rsidR="00C24ED8" w:rsidRPr="00D50283" w:rsidRDefault="00C24ED8" w:rsidP="00C24ED8">
                  <w:pPr>
                    <w:pStyle w:val="IATableText"/>
                    <w:spacing w:before="0" w:after="0"/>
                    <w:rPr>
                      <w:iCs/>
                      <w:sz w:val="20"/>
                    </w:rPr>
                  </w:pPr>
                  <w:r>
                    <w:rPr>
                      <w:iCs/>
                      <w:sz w:val="20"/>
                    </w:rPr>
                    <w:t xml:space="preserve">Is this measure likely to impact on international trade and investment? </w:t>
                  </w:r>
                </w:p>
              </w:tc>
              <w:tc>
                <w:tcPr>
                  <w:tcW w:w="3029" w:type="dxa"/>
                  <w:gridSpan w:val="4"/>
                  <w:shd w:val="clear" w:color="auto" w:fill="E0E0E0"/>
                  <w:vAlign w:val="center"/>
                </w:tcPr>
                <w:p w14:paraId="78735923" w14:textId="4CB83F0D" w:rsidR="00C24ED8" w:rsidRDefault="00300E79" w:rsidP="00C24ED8">
                  <w:pPr>
                    <w:pStyle w:val="IAIOCheckEU"/>
                  </w:pPr>
                  <w:r>
                    <w:t>No</w:t>
                  </w:r>
                </w:p>
              </w:tc>
            </w:tr>
            <w:tr w:rsidR="00C24ED8" w:rsidRPr="00D50283" w14:paraId="38090AEE" w14:textId="77777777" w:rsidTr="00C24ED8">
              <w:trPr>
                <w:trHeight w:val="460"/>
              </w:trPr>
              <w:tc>
                <w:tcPr>
                  <w:tcW w:w="6251" w:type="dxa"/>
                  <w:shd w:val="clear" w:color="auto" w:fill="E0E0E0"/>
                  <w:vAlign w:val="center"/>
                </w:tcPr>
                <w:p w14:paraId="488C8D38" w14:textId="77777777" w:rsidR="00C24ED8" w:rsidRPr="00720FFE" w:rsidRDefault="00C24ED8" w:rsidP="00C24ED8">
                  <w:pPr>
                    <w:pStyle w:val="IATableLines"/>
                    <w:rPr>
                      <w:b/>
                      <w:color w:val="000000"/>
                      <w:sz w:val="20"/>
                    </w:rPr>
                  </w:pPr>
                  <w:r w:rsidRPr="00D50283">
                    <w:rPr>
                      <w:rFonts w:cs="Arial"/>
                      <w:sz w:val="20"/>
                    </w:rPr>
                    <w:t>Are a</w:t>
                  </w:r>
                  <w:r>
                    <w:rPr>
                      <w:rFonts w:cs="Arial"/>
                      <w:sz w:val="20"/>
                    </w:rPr>
                    <w:t>ny of these organisations in scope</w:t>
                  </w:r>
                  <w:r w:rsidRPr="00D50283">
                    <w:rPr>
                      <w:rFonts w:cs="Arial"/>
                      <w:sz w:val="20"/>
                    </w:rPr>
                    <w:t>?</w:t>
                  </w:r>
                </w:p>
              </w:tc>
              <w:tc>
                <w:tcPr>
                  <w:tcW w:w="1098" w:type="dxa"/>
                  <w:shd w:val="clear" w:color="auto" w:fill="E0E0E0"/>
                  <w:vAlign w:val="center"/>
                </w:tcPr>
                <w:p w14:paraId="700FA9E8" w14:textId="77777777" w:rsidR="00C24ED8" w:rsidRDefault="00C24ED8" w:rsidP="00C24ED8">
                  <w:pPr>
                    <w:pStyle w:val="IATableLines"/>
                    <w:rPr>
                      <w:b/>
                      <w:sz w:val="20"/>
                    </w:rPr>
                  </w:pPr>
                  <w:r w:rsidRPr="00720FFE">
                    <w:rPr>
                      <w:b/>
                      <w:color w:val="000000"/>
                      <w:sz w:val="20"/>
                    </w:rPr>
                    <w:t>Micr</w:t>
                  </w:r>
                  <w:bookmarkStart w:id="17" w:name="IACheckMicro"/>
                  <w:r w:rsidR="00300E79">
                    <w:rPr>
                      <w:b/>
                      <w:color w:val="000000"/>
                      <w:sz w:val="20"/>
                    </w:rPr>
                    <w:t>o</w:t>
                  </w:r>
                  <w:bookmarkEnd w:id="17"/>
                </w:p>
                <w:p w14:paraId="531272B0" w14:textId="72E32A8B" w:rsidR="00300E79" w:rsidRPr="00300E79" w:rsidRDefault="00300E79" w:rsidP="00C24ED8">
                  <w:pPr>
                    <w:pStyle w:val="IATableLines"/>
                    <w:rPr>
                      <w:color w:val="000000"/>
                      <w:sz w:val="20"/>
                    </w:rPr>
                  </w:pPr>
                  <w:r w:rsidRPr="00300E79">
                    <w:rPr>
                      <w:color w:val="000000"/>
                      <w:sz w:val="20"/>
                    </w:rPr>
                    <w:t>No</w:t>
                  </w:r>
                </w:p>
              </w:tc>
              <w:tc>
                <w:tcPr>
                  <w:tcW w:w="871" w:type="dxa"/>
                  <w:shd w:val="clear" w:color="auto" w:fill="E0E0E0"/>
                  <w:vAlign w:val="center"/>
                </w:tcPr>
                <w:p w14:paraId="061697EE" w14:textId="77777777" w:rsidR="00C24ED8" w:rsidRDefault="00C24ED8" w:rsidP="00C24ED8">
                  <w:pPr>
                    <w:pStyle w:val="IATableLines"/>
                    <w:rPr>
                      <w:rStyle w:val="IAIOCheckSmallChar"/>
                      <w:b w:val="0"/>
                    </w:rPr>
                  </w:pPr>
                  <w:r w:rsidRPr="00720FFE">
                    <w:rPr>
                      <w:b/>
                      <w:color w:val="000000"/>
                      <w:sz w:val="20"/>
                    </w:rPr>
                    <w:t>Small</w:t>
                  </w:r>
                </w:p>
                <w:p w14:paraId="05C69F82" w14:textId="1C1C4E85" w:rsidR="00300E79" w:rsidRPr="00300E79" w:rsidRDefault="00300E79" w:rsidP="00C24ED8">
                  <w:pPr>
                    <w:pStyle w:val="IATableLines"/>
                    <w:rPr>
                      <w:b/>
                      <w:color w:val="000000"/>
                      <w:sz w:val="20"/>
                    </w:rPr>
                  </w:pPr>
                  <w:r w:rsidRPr="00300E79">
                    <w:rPr>
                      <w:rStyle w:val="IAIOCheckSmallChar"/>
                      <w:b w:val="0"/>
                    </w:rPr>
                    <w:t>No</w:t>
                  </w:r>
                </w:p>
              </w:tc>
              <w:tc>
                <w:tcPr>
                  <w:tcW w:w="980" w:type="dxa"/>
                  <w:gridSpan w:val="2"/>
                  <w:shd w:val="clear" w:color="auto" w:fill="E0E0E0"/>
                  <w:vAlign w:val="center"/>
                </w:tcPr>
                <w:p w14:paraId="1B4FF7DE" w14:textId="77777777" w:rsidR="00C24ED8" w:rsidRDefault="00C24ED8" w:rsidP="00C24ED8">
                  <w:pPr>
                    <w:pStyle w:val="IATableLines"/>
                    <w:rPr>
                      <w:rStyle w:val="IAIOCheckMediumChar"/>
                      <w:b w:val="0"/>
                    </w:rPr>
                  </w:pPr>
                  <w:r w:rsidRPr="00720FFE">
                    <w:rPr>
                      <w:b/>
                      <w:color w:val="000000"/>
                      <w:sz w:val="20"/>
                    </w:rPr>
                    <w:t>Medium</w:t>
                  </w:r>
                </w:p>
                <w:p w14:paraId="2FE20256" w14:textId="5E282636" w:rsidR="00300E79" w:rsidRPr="00300E79" w:rsidRDefault="00300E79" w:rsidP="00C24ED8">
                  <w:pPr>
                    <w:pStyle w:val="IATableLines"/>
                    <w:rPr>
                      <w:b/>
                      <w:color w:val="000000"/>
                      <w:sz w:val="20"/>
                    </w:rPr>
                  </w:pPr>
                  <w:r w:rsidRPr="00300E79">
                    <w:rPr>
                      <w:rStyle w:val="IAIOCheckMediumChar"/>
                      <w:b w:val="0"/>
                    </w:rPr>
                    <w:t>No</w:t>
                  </w:r>
                </w:p>
              </w:tc>
              <w:tc>
                <w:tcPr>
                  <w:tcW w:w="1178" w:type="dxa"/>
                  <w:shd w:val="clear" w:color="auto" w:fill="E0E0E0"/>
                  <w:vAlign w:val="center"/>
                </w:tcPr>
                <w:p w14:paraId="6D81A71D" w14:textId="77777777" w:rsidR="00C24ED8" w:rsidRDefault="00C24ED8" w:rsidP="00C24ED8">
                  <w:pPr>
                    <w:pStyle w:val="IATableLines"/>
                    <w:rPr>
                      <w:rStyle w:val="IAIOCheckLargeChar"/>
                      <w:b w:val="0"/>
                    </w:rPr>
                  </w:pPr>
                  <w:r w:rsidRPr="00720FFE">
                    <w:rPr>
                      <w:b/>
                      <w:color w:val="000000"/>
                      <w:sz w:val="20"/>
                    </w:rPr>
                    <w:t>Large</w:t>
                  </w:r>
                </w:p>
                <w:p w14:paraId="0C807B5B" w14:textId="6090925B" w:rsidR="00300E79" w:rsidRPr="00300E79" w:rsidRDefault="00300E79" w:rsidP="00C24ED8">
                  <w:pPr>
                    <w:pStyle w:val="IATableLines"/>
                    <w:rPr>
                      <w:b/>
                      <w:color w:val="000000"/>
                      <w:sz w:val="20"/>
                    </w:rPr>
                  </w:pPr>
                  <w:r w:rsidRPr="00300E79">
                    <w:rPr>
                      <w:rStyle w:val="IAIOCheckLargeChar"/>
                      <w:b w:val="0"/>
                    </w:rPr>
                    <w:t>No</w:t>
                  </w:r>
                </w:p>
              </w:tc>
            </w:tr>
            <w:tr w:rsidR="00C24ED8" w14:paraId="2BC8851D" w14:textId="77777777" w:rsidTr="00C24ED8">
              <w:trPr>
                <w:trHeight w:hRule="exact" w:val="567"/>
              </w:trPr>
              <w:tc>
                <w:tcPr>
                  <w:tcW w:w="7349" w:type="dxa"/>
                  <w:gridSpan w:val="2"/>
                  <w:shd w:val="clear" w:color="auto" w:fill="E0E0E0"/>
                  <w:vAlign w:val="center"/>
                </w:tcPr>
                <w:p w14:paraId="4DF52121" w14:textId="77777777" w:rsidR="00C24ED8" w:rsidRDefault="00C24ED8" w:rsidP="00C24ED8">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(Million tonnes CO</w:t>
                  </w:r>
                  <w:r w:rsidRPr="00FC07D5">
                    <w:rPr>
                      <w:rFonts w:cs="Arial"/>
                      <w:sz w:val="20"/>
                      <w:vertAlign w:val="subscript"/>
                    </w:rPr>
                    <w:t>2</w:t>
                  </w:r>
                  <w:r>
                    <w:rPr>
                      <w:rFonts w:cs="Arial"/>
                      <w:sz w:val="20"/>
                    </w:rPr>
                    <w:t xml:space="preserve"> equivalent)</w:t>
                  </w:r>
                  <w:r>
                    <w:rPr>
                      <w:spacing w:val="0"/>
                      <w:sz w:val="18"/>
                    </w:rPr>
                    <w:t xml:space="preserve">  </w:t>
                  </w:r>
                </w:p>
              </w:tc>
              <w:tc>
                <w:tcPr>
                  <w:tcW w:w="1218" w:type="dxa"/>
                  <w:gridSpan w:val="2"/>
                  <w:shd w:val="clear" w:color="auto" w:fill="E0E0E0"/>
                </w:tcPr>
                <w:p w14:paraId="5004D291" w14:textId="3D0F95B4" w:rsidR="00C24ED8" w:rsidRDefault="00C24ED8" w:rsidP="00C24ED8">
                  <w:pPr>
                    <w:pStyle w:val="IATableLabel"/>
                  </w:pPr>
                  <w:r>
                    <w:t xml:space="preserve">Traded:   </w:t>
                  </w:r>
                  <w:r>
                    <w:br/>
                  </w:r>
                  <w:bookmarkStart w:id="18" w:name="IACO2Traded"/>
                  <w:r w:rsidR="00300E79">
                    <w:rPr>
                      <w:rStyle w:val="IAIOCO2TradedChar"/>
                      <w:sz w:val="20"/>
                    </w:rPr>
                    <w:t>n</w:t>
                  </w:r>
                  <w:r w:rsidR="00300E79">
                    <w:rPr>
                      <w:rStyle w:val="IAIOCO2TradedChar"/>
                    </w:rPr>
                    <w:t>/a</w:t>
                  </w:r>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fldChar w:fldCharType="end"/>
                  </w:r>
                  <w:bookmarkEnd w:id="18"/>
                </w:p>
              </w:tc>
              <w:tc>
                <w:tcPr>
                  <w:tcW w:w="1811" w:type="dxa"/>
                  <w:gridSpan w:val="2"/>
                  <w:shd w:val="clear" w:color="auto" w:fill="E0E0E0"/>
                </w:tcPr>
                <w:p w14:paraId="640EEDE0" w14:textId="386D7385" w:rsidR="00C24ED8" w:rsidRDefault="00C24ED8" w:rsidP="00C24ED8">
                  <w:pPr>
                    <w:pStyle w:val="IATableLabel"/>
                  </w:pPr>
                  <w:r>
                    <w:t xml:space="preserve">Non-traded:   </w:t>
                  </w:r>
                  <w:r>
                    <w:br/>
                  </w:r>
                  <w:r w:rsidR="00300E79">
                    <w:rPr>
                      <w:rStyle w:val="IAIOCO2TradedChar"/>
                    </w:rPr>
                    <w:t>n/a</w:t>
                  </w:r>
                </w:p>
              </w:tc>
            </w:tr>
          </w:tbl>
          <w:p w14:paraId="6AB5995D" w14:textId="55CEE9B6" w:rsidR="00720FFE" w:rsidRPr="007E190E" w:rsidRDefault="00720FFE" w:rsidP="00332B05">
            <w:pPr>
              <w:pStyle w:val="IATableLabel"/>
              <w:rPr>
                <w:b w:val="0"/>
                <w:sz w:val="22"/>
                <w:szCs w:val="22"/>
              </w:rPr>
            </w:pPr>
            <w:r w:rsidRPr="00D02C89">
              <w:t xml:space="preserve">Will the policy be reviewed? </w:t>
            </w:r>
            <w:r w:rsidR="00B90518">
              <w:rPr>
                <w:b w:val="0"/>
                <w:sz w:val="22"/>
                <w:szCs w:val="22"/>
              </w:rPr>
              <w:t xml:space="preserve"> </w:t>
            </w:r>
            <w:proofErr w:type="gramStart"/>
            <w:r w:rsidR="0082286E" w:rsidRPr="009A5A1B">
              <w:rPr>
                <w:b w:val="0"/>
                <w:sz w:val="22"/>
                <w:szCs w:val="22"/>
              </w:rPr>
              <w:t>yes</w:t>
            </w:r>
            <w:r w:rsidRPr="007E190E">
              <w:rPr>
                <w:sz w:val="22"/>
                <w:szCs w:val="22"/>
              </w:rPr>
              <w:t xml:space="preserve"> </w:t>
            </w:r>
            <w:r w:rsidRPr="00D02C89">
              <w:t xml:space="preserve"> If</w:t>
            </w:r>
            <w:proofErr w:type="gramEnd"/>
            <w:r w:rsidRPr="00D02C89">
              <w:t xml:space="preserve"> applicable, set review date:  </w:t>
            </w:r>
            <w:bookmarkStart w:id="19" w:name="IAReviewMonth"/>
            <w:r w:rsidR="00BB249D" w:rsidRPr="009A5A1B">
              <w:rPr>
                <w:rStyle w:val="IAIOReviewMonthChar"/>
                <w:szCs w:val="22"/>
              </w:rPr>
              <w:fldChar w:fldCharType="begin">
                <w:ffData>
                  <w:name w:val="IAReviewMonth"/>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9A5A1B">
              <w:rPr>
                <w:rStyle w:val="IAIOReviewMonthChar"/>
                <w:szCs w:val="22"/>
              </w:rPr>
              <w:instrText xml:space="preserve"> FORMDROPDOWN </w:instrText>
            </w:r>
            <w:r w:rsidR="00DB615C">
              <w:rPr>
                <w:rStyle w:val="IAIOReviewMonthChar"/>
                <w:szCs w:val="22"/>
              </w:rPr>
            </w:r>
            <w:r w:rsidR="00DB615C">
              <w:rPr>
                <w:rStyle w:val="IAIOReviewMonthChar"/>
                <w:szCs w:val="22"/>
              </w:rPr>
              <w:fldChar w:fldCharType="separate"/>
            </w:r>
            <w:r w:rsidR="00BB249D" w:rsidRPr="009A5A1B">
              <w:rPr>
                <w:rStyle w:val="IAIOReviewMonthChar"/>
                <w:szCs w:val="22"/>
              </w:rPr>
              <w:fldChar w:fldCharType="end"/>
            </w:r>
            <w:bookmarkEnd w:id="19"/>
            <w:r w:rsidRPr="009A5A1B">
              <w:rPr>
                <w:b w:val="0"/>
                <w:sz w:val="22"/>
                <w:szCs w:val="22"/>
              </w:rPr>
              <w:t>/</w:t>
            </w:r>
            <w:bookmarkStart w:id="20" w:name="IAReviewYear"/>
            <w:r w:rsidR="00BB249D" w:rsidRPr="009A5A1B">
              <w:rPr>
                <w:rStyle w:val="IAIOReviewYearChar"/>
                <w:szCs w:val="22"/>
              </w:rPr>
              <w:fldChar w:fldCharType="begin">
                <w:ffData>
                  <w:name w:val="IAReviewYear"/>
                  <w:enabled/>
                  <w:calcOnExit w:val="0"/>
                  <w:ddList>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9A5A1B">
              <w:rPr>
                <w:rStyle w:val="IAIOReviewYearChar"/>
                <w:szCs w:val="22"/>
              </w:rPr>
              <w:instrText xml:space="preserve"> FORMDROPDOWN </w:instrText>
            </w:r>
            <w:r w:rsidR="00DB615C">
              <w:rPr>
                <w:rStyle w:val="IAIOReviewYearChar"/>
                <w:szCs w:val="22"/>
              </w:rPr>
            </w:r>
            <w:r w:rsidR="00DB615C">
              <w:rPr>
                <w:rStyle w:val="IAIOReviewYearChar"/>
                <w:szCs w:val="22"/>
              </w:rPr>
              <w:fldChar w:fldCharType="separate"/>
            </w:r>
            <w:r w:rsidR="00BB249D" w:rsidRPr="009A5A1B">
              <w:rPr>
                <w:rStyle w:val="IAIOReviewYearChar"/>
                <w:szCs w:val="22"/>
              </w:rPr>
              <w:fldChar w:fldCharType="end"/>
            </w:r>
            <w:bookmarkEnd w:id="20"/>
          </w:p>
        </w:tc>
      </w:tr>
    </w:tbl>
    <w:p w14:paraId="72FA46DC" w14:textId="77777777" w:rsidR="007E190E" w:rsidRPr="007E190E" w:rsidRDefault="007E190E" w:rsidP="007E190E">
      <w:pPr>
        <w:rPr>
          <w:vanish/>
        </w:rPr>
      </w:pPr>
      <w:bookmarkStart w:id="21" w:name="Summary4"/>
      <w:bookmarkEnd w:id="15"/>
    </w:p>
    <w:p w14:paraId="03B7A98F" w14:textId="77777777" w:rsidR="00452B35" w:rsidRPr="00DF2F4B" w:rsidRDefault="00452B35">
      <w:pPr>
        <w:pStyle w:val="IASign-off"/>
        <w:rPr>
          <w:sz w:val="20"/>
        </w:rPr>
      </w:pPr>
      <w:bookmarkStart w:id="22" w:name="SignOfftext"/>
      <w:bookmarkEnd w:id="21"/>
      <w:r w:rsidRPr="00DF2F4B">
        <w:rPr>
          <w:sz w:val="20"/>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452B35" w14:paraId="35748F33" w14:textId="77777777" w:rsidTr="008B0B60">
        <w:trPr>
          <w:trHeight w:hRule="exact" w:val="767"/>
        </w:trPr>
        <w:tc>
          <w:tcPr>
            <w:tcW w:w="2350" w:type="pct"/>
            <w:vAlign w:val="bottom"/>
          </w:tcPr>
          <w:p w14:paraId="37F084B4" w14:textId="77777777" w:rsidR="00452B35" w:rsidRDefault="00452B35" w:rsidP="00A94548">
            <w:pPr>
              <w:pStyle w:val="IASignature"/>
              <w:tabs>
                <w:tab w:val="clear" w:pos="6804"/>
                <w:tab w:val="left" w:leader="dot" w:pos="7380"/>
              </w:tabs>
            </w:pPr>
            <w:r w:rsidRPr="00455EAA">
              <w:t>Signed by the</w:t>
            </w:r>
            <w:r>
              <w:t xml:space="preserve"> responsible </w:t>
            </w:r>
            <w:bookmarkStart w:id="23" w:name="IASignedBy"/>
            <w:r w:rsidR="00A94548">
              <w:fldChar w:fldCharType="begin">
                <w:ffData>
                  <w:name w:val="IASignedBy"/>
                  <w:enabled/>
                  <w:calcOnExit w:val="0"/>
                  <w:ddList>
                    <w:listEntry w:val="SELECT SIGNATORY"/>
                    <w:listEntry w:val="Chair"/>
                    <w:listEntry w:val="Chief Executive"/>
                    <w:listEntry w:val="Minister"/>
                  </w:ddList>
                </w:ffData>
              </w:fldChar>
            </w:r>
            <w:r w:rsidR="00A94548">
              <w:instrText xml:space="preserve"> FORMDROPDOWN </w:instrText>
            </w:r>
            <w:r w:rsidR="00DB615C">
              <w:fldChar w:fldCharType="separate"/>
            </w:r>
            <w:r w:rsidR="00A94548">
              <w:fldChar w:fldCharType="end"/>
            </w:r>
            <w:bookmarkEnd w:id="23"/>
            <w:r w:rsidRPr="00455EAA">
              <w:t>:</w:t>
            </w:r>
          </w:p>
        </w:tc>
        <w:tc>
          <w:tcPr>
            <w:tcW w:w="1122" w:type="pct"/>
            <w:tcBorders>
              <w:bottom w:val="dashSmallGap" w:sz="4" w:space="0" w:color="auto"/>
            </w:tcBorders>
            <w:vAlign w:val="bottom"/>
          </w:tcPr>
          <w:p w14:paraId="211FB83F" w14:textId="77777777" w:rsidR="00452B35" w:rsidRPr="00AB4A42" w:rsidRDefault="00452B35" w:rsidP="00C13EF0">
            <w:pPr>
              <w:pStyle w:val="IAIOtextSign"/>
            </w:pPr>
          </w:p>
        </w:tc>
        <w:tc>
          <w:tcPr>
            <w:tcW w:w="625" w:type="pct"/>
            <w:vAlign w:val="bottom"/>
          </w:tcPr>
          <w:p w14:paraId="58EC0DF8" w14:textId="77777777" w:rsidR="00452B35" w:rsidRDefault="00452B35" w:rsidP="00C13EF0">
            <w:pPr>
              <w:pStyle w:val="IASignature"/>
              <w:tabs>
                <w:tab w:val="clear" w:pos="6804"/>
                <w:tab w:val="left" w:leader="dot" w:pos="7380"/>
              </w:tabs>
            </w:pPr>
            <w:r>
              <w:t> </w:t>
            </w:r>
            <w:r w:rsidRPr="00455EAA">
              <w:t>Date:</w:t>
            </w:r>
          </w:p>
        </w:tc>
        <w:bookmarkStart w:id="24" w:name="SigDate"/>
        <w:tc>
          <w:tcPr>
            <w:tcW w:w="902" w:type="pct"/>
            <w:tcBorders>
              <w:bottom w:val="dashSmallGap" w:sz="4" w:space="0" w:color="auto"/>
            </w:tcBorders>
            <w:vAlign w:val="bottom"/>
          </w:tcPr>
          <w:p w14:paraId="72E0CF10" w14:textId="77777777" w:rsidR="00452B35" w:rsidRPr="005D0BD1" w:rsidRDefault="00452B35" w:rsidP="00C13EF0">
            <w:pPr>
              <w:pStyle w:val="IAIOSigDate"/>
            </w:pPr>
            <w:r>
              <w:fldChar w:fldCharType="begin">
                <w:ffData>
                  <w:name w:val="SigDate"/>
                  <w:enabled/>
                  <w:calcOnExit w:val="0"/>
                  <w:textInput/>
                </w:ffData>
              </w:fldChar>
            </w:r>
            <w:r>
              <w:instrText xml:space="preserve"> FORMTEXT </w:instrText>
            </w:r>
            <w:r>
              <w:fldChar w:fldCharType="separate"/>
            </w:r>
            <w:r w:rsidR="00C03042">
              <w:t xml:space="preserve"> </w:t>
            </w:r>
            <w:r>
              <w:fldChar w:fldCharType="end"/>
            </w:r>
            <w:bookmarkEnd w:id="24"/>
          </w:p>
        </w:tc>
      </w:tr>
      <w:bookmarkEnd w:id="22"/>
    </w:tbl>
    <w:p w14:paraId="53A67111" w14:textId="77777777" w:rsidR="00F1328C" w:rsidRDefault="00F1328C" w:rsidP="005A3880">
      <w:pPr>
        <w:pStyle w:val="Heading1"/>
        <w:spacing w:before="0"/>
        <w:sectPr w:rsidR="00F1328C" w:rsidSect="005A3880">
          <w:headerReference w:type="default" r:id="rId11"/>
          <w:footerReference w:type="default" r:id="rId12"/>
          <w:footnotePr>
            <w:numRestart w:val="eachSect"/>
          </w:footnotePr>
          <w:type w:val="continuous"/>
          <w:pgSz w:w="11907" w:h="16840" w:code="9"/>
          <w:pgMar w:top="680" w:right="851" w:bottom="680" w:left="851" w:header="284" w:footer="284" w:gutter="0"/>
          <w:cols w:space="708"/>
          <w:docGrid w:linePitch="360"/>
        </w:sectPr>
      </w:pPr>
    </w:p>
    <w:p w14:paraId="334C7557" w14:textId="77777777"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044FE7">
        <w:rPr>
          <w:rFonts w:ascii="Arial" w:hAnsi="Arial"/>
          <w:b w:val="0"/>
          <w:bCs w:val="0"/>
          <w:noProof/>
        </w:rPr>
        <w:t>1</w:t>
      </w:r>
      <w:r>
        <w:rPr>
          <w:rFonts w:ascii="Arial" w:hAnsi="Arial"/>
          <w:b w:val="0"/>
          <w:bCs w:val="0"/>
        </w:rPr>
        <w:fldChar w:fldCharType="end"/>
      </w:r>
    </w:p>
    <w:p w14:paraId="173E4E1E" w14:textId="23FA7FE4" w:rsidR="001844B6" w:rsidRDefault="001844B6" w:rsidP="005A3880">
      <w:pPr>
        <w:pStyle w:val="IAHeadLabel"/>
        <w:spacing w:before="50"/>
      </w:pPr>
      <w:r w:rsidRPr="00892576">
        <w:t xml:space="preserve">Description: </w:t>
      </w:r>
      <w:r w:rsidRPr="006B70AF">
        <w:t xml:space="preserve"> </w:t>
      </w:r>
      <w:r w:rsidR="004F45EA">
        <w:rPr>
          <w:b w:val="0"/>
        </w:rPr>
        <w:t>Uplift</w:t>
      </w:r>
      <w:r w:rsidR="00C376BB" w:rsidRPr="00C376BB">
        <w:rPr>
          <w:rStyle w:val="IAPODescriptionCharChar"/>
        </w:rPr>
        <w:t xml:space="preserve"> selected court fees </w:t>
      </w:r>
      <w:r w:rsidR="008B52E3">
        <w:rPr>
          <w:rStyle w:val="IAPODescriptionCharChar"/>
        </w:rPr>
        <w:t>by</w:t>
      </w:r>
      <w:r w:rsidR="008B52E3" w:rsidRPr="00C376BB">
        <w:rPr>
          <w:rStyle w:val="IAPODescriptionCharChar"/>
        </w:rPr>
        <w:t xml:space="preserve"> </w:t>
      </w:r>
      <w:r w:rsidR="00C376BB" w:rsidRPr="00C376BB">
        <w:rPr>
          <w:rStyle w:val="IAPODescriptionCharChar"/>
        </w:rPr>
        <w:t>inflation, backdated to August 2016 (or date of last fee change, if later)</w:t>
      </w:r>
    </w:p>
    <w:p w14:paraId="4C47A1A0" w14:textId="77777777" w:rsidR="001844B6" w:rsidRDefault="001844B6" w:rsidP="005A3880">
      <w:pPr>
        <w:pStyle w:val="IAHeadLabel"/>
        <w:spacing w:before="50"/>
      </w:pPr>
      <w:r>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1844B6" w:rsidRPr="007E190E" w14:paraId="40269D48" w14:textId="77777777" w:rsidTr="00D64409">
        <w:trPr>
          <w:trHeight w:hRule="exact" w:val="312"/>
        </w:trPr>
        <w:tc>
          <w:tcPr>
            <w:tcW w:w="1402" w:type="dxa"/>
            <w:vMerge w:val="restart"/>
            <w:tcBorders>
              <w:top w:val="single" w:sz="12" w:space="0" w:color="auto"/>
              <w:left w:val="single" w:sz="12" w:space="0" w:color="auto"/>
              <w:right w:val="single" w:sz="12" w:space="0" w:color="auto"/>
            </w:tcBorders>
          </w:tcPr>
          <w:p w14:paraId="731050F6" w14:textId="62D4C4E1" w:rsidR="001844B6" w:rsidRPr="00826F71" w:rsidRDefault="001844B6" w:rsidP="005A3880">
            <w:pPr>
              <w:pStyle w:val="POPBY"/>
            </w:pPr>
            <w:r w:rsidRPr="00826F71">
              <w:t>Price Base Year</w:t>
            </w:r>
            <w:r w:rsidR="00F57C9C">
              <w:t xml:space="preserve"> </w:t>
            </w:r>
            <w:r w:rsidR="00F57C9C">
              <w:rPr>
                <w:b w:val="0"/>
              </w:rPr>
              <w:t>21/22</w:t>
            </w:r>
          </w:p>
        </w:tc>
        <w:tc>
          <w:tcPr>
            <w:tcW w:w="1260" w:type="dxa"/>
            <w:vMerge w:val="restart"/>
            <w:tcBorders>
              <w:top w:val="single" w:sz="12" w:space="0" w:color="auto"/>
              <w:left w:val="single" w:sz="12" w:space="0" w:color="auto"/>
              <w:right w:val="single" w:sz="12" w:space="0" w:color="auto"/>
            </w:tcBorders>
          </w:tcPr>
          <w:p w14:paraId="53FEE567" w14:textId="4048A6A8" w:rsidR="001844B6" w:rsidRPr="00826F71" w:rsidRDefault="001844B6" w:rsidP="005A3880">
            <w:pPr>
              <w:pStyle w:val="POPVBY"/>
            </w:pPr>
            <w:r w:rsidRPr="00826F71">
              <w:t>PV Base Year</w:t>
            </w:r>
            <w:r>
              <w:t xml:space="preserve"> </w:t>
            </w:r>
            <w:r w:rsidR="00F57C9C">
              <w:rPr>
                <w:b w:val="0"/>
              </w:rPr>
              <w:t>21/22</w:t>
            </w:r>
          </w:p>
        </w:tc>
        <w:tc>
          <w:tcPr>
            <w:tcW w:w="1440" w:type="dxa"/>
            <w:vMerge w:val="restart"/>
            <w:tcBorders>
              <w:top w:val="single" w:sz="12" w:space="0" w:color="auto"/>
              <w:left w:val="single" w:sz="12" w:space="0" w:color="auto"/>
              <w:right w:val="single" w:sz="12" w:space="0" w:color="auto"/>
            </w:tcBorders>
          </w:tcPr>
          <w:p w14:paraId="74B379F4" w14:textId="77777777" w:rsidR="001844B6" w:rsidRPr="00826F71" w:rsidRDefault="001844B6" w:rsidP="005A3880">
            <w:pPr>
              <w:pStyle w:val="POTPY"/>
            </w:pPr>
            <w:r w:rsidRPr="00826F71">
              <w:t>Time Period Years</w:t>
            </w:r>
            <w:r>
              <w:t xml:space="preserve">  </w:t>
            </w:r>
            <w:r w:rsidRPr="007E190E">
              <w:rPr>
                <w:b w:val="0"/>
              </w:rPr>
              <w:fldChar w:fldCharType="begin">
                <w:ffData>
                  <w:name w:val="Text57"/>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Pr="007E190E">
              <w:rPr>
                <w:b w:val="0"/>
                <w:noProof/>
              </w:rPr>
              <w:t> </w:t>
            </w:r>
            <w:r w:rsidRPr="007E190E">
              <w:rPr>
                <w:b w:val="0"/>
                <w:noProof/>
              </w:rPr>
              <w:t> </w:t>
            </w:r>
            <w:r w:rsidRPr="007E190E">
              <w:rPr>
                <w:b w:val="0"/>
                <w:noProof/>
              </w:rPr>
              <w:t> </w:t>
            </w:r>
            <w:r w:rsidRPr="007E190E">
              <w:rPr>
                <w:b w:val="0"/>
                <w:noProof/>
              </w:rPr>
              <w:t> </w:t>
            </w:r>
            <w:r w:rsidRPr="007E190E">
              <w:rPr>
                <w:b w:val="0"/>
              </w:rPr>
              <w:fldChar w:fldCharType="end"/>
            </w:r>
          </w:p>
        </w:tc>
        <w:tc>
          <w:tcPr>
            <w:tcW w:w="6260" w:type="dxa"/>
            <w:gridSpan w:val="3"/>
            <w:tcBorders>
              <w:top w:val="single" w:sz="12" w:space="0" w:color="auto"/>
              <w:left w:val="single" w:sz="12" w:space="0" w:color="auto"/>
              <w:right w:val="single" w:sz="12" w:space="0" w:color="auto"/>
            </w:tcBorders>
            <w:shd w:val="clear" w:color="auto" w:fill="FFFFFF"/>
          </w:tcPr>
          <w:p w14:paraId="245A882B" w14:textId="77777777" w:rsidR="001844B6" w:rsidRPr="00826F71" w:rsidRDefault="001844B6" w:rsidP="007E190E">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7E190E" w14:paraId="53A4C8BD" w14:textId="77777777" w:rsidTr="00D64409">
        <w:trPr>
          <w:trHeight w:hRule="exact" w:val="340"/>
        </w:trPr>
        <w:tc>
          <w:tcPr>
            <w:tcW w:w="1402" w:type="dxa"/>
            <w:vMerge/>
            <w:tcBorders>
              <w:left w:val="single" w:sz="12" w:space="0" w:color="auto"/>
              <w:bottom w:val="single" w:sz="12" w:space="0" w:color="auto"/>
              <w:right w:val="single" w:sz="12" w:space="0" w:color="auto"/>
            </w:tcBorders>
          </w:tcPr>
          <w:p w14:paraId="246CADD2" w14:textId="77777777" w:rsidR="001844B6" w:rsidRPr="007E190E" w:rsidRDefault="001844B6" w:rsidP="007E190E">
            <w:pPr>
              <w:pStyle w:val="IATableNotes"/>
              <w:ind w:left="0"/>
              <w:rPr>
                <w:b/>
                <w:sz w:val="20"/>
              </w:rPr>
            </w:pPr>
          </w:p>
        </w:tc>
        <w:tc>
          <w:tcPr>
            <w:tcW w:w="1260" w:type="dxa"/>
            <w:vMerge/>
            <w:tcBorders>
              <w:left w:val="single" w:sz="12" w:space="0" w:color="auto"/>
              <w:bottom w:val="single" w:sz="12" w:space="0" w:color="auto"/>
              <w:right w:val="single" w:sz="12" w:space="0" w:color="auto"/>
            </w:tcBorders>
          </w:tcPr>
          <w:p w14:paraId="785522E2" w14:textId="77777777" w:rsidR="001844B6" w:rsidRPr="007E190E" w:rsidRDefault="001844B6" w:rsidP="007E190E">
            <w:pPr>
              <w:pStyle w:val="IATableNotes"/>
              <w:ind w:left="0"/>
              <w:rPr>
                <w:b/>
                <w:sz w:val="20"/>
              </w:rPr>
            </w:pPr>
          </w:p>
        </w:tc>
        <w:tc>
          <w:tcPr>
            <w:tcW w:w="1440" w:type="dxa"/>
            <w:vMerge/>
            <w:tcBorders>
              <w:left w:val="single" w:sz="12" w:space="0" w:color="auto"/>
              <w:bottom w:val="single" w:sz="12" w:space="0" w:color="auto"/>
              <w:right w:val="single" w:sz="12" w:space="0" w:color="auto"/>
            </w:tcBorders>
          </w:tcPr>
          <w:p w14:paraId="752830E2" w14:textId="77777777" w:rsidR="001844B6" w:rsidRPr="007E190E" w:rsidRDefault="001844B6" w:rsidP="007E190E">
            <w:pPr>
              <w:pStyle w:val="IATableNotes"/>
              <w:ind w:left="0"/>
              <w:rPr>
                <w:b/>
                <w:sz w:val="20"/>
              </w:rPr>
            </w:pPr>
          </w:p>
        </w:tc>
        <w:tc>
          <w:tcPr>
            <w:tcW w:w="1800" w:type="dxa"/>
            <w:tcBorders>
              <w:top w:val="single" w:sz="12" w:space="0" w:color="auto"/>
              <w:left w:val="single" w:sz="12" w:space="0" w:color="auto"/>
              <w:bottom w:val="single" w:sz="12" w:space="0" w:color="auto"/>
              <w:right w:val="single" w:sz="12" w:space="0" w:color="auto"/>
            </w:tcBorders>
          </w:tcPr>
          <w:p w14:paraId="21E846D0" w14:textId="77777777" w:rsidR="001844B6" w:rsidRPr="007E190E" w:rsidRDefault="001844B6" w:rsidP="005A3880">
            <w:pPr>
              <w:pStyle w:val="IATableLabel"/>
              <w:rPr>
                <w:bCs/>
              </w:rPr>
            </w:pPr>
            <w:r w:rsidRPr="00304C1D">
              <w:t>Low:</w:t>
            </w:r>
            <w:r w:rsidRPr="00826F71">
              <w:t xml:space="preserve"> </w:t>
            </w:r>
            <w:r w:rsidRPr="007E190E">
              <w:rPr>
                <w:rStyle w:val="PONBLowCharChar"/>
                <w:sz w:val="20"/>
                <w:szCs w:val="22"/>
              </w:rPr>
              <w:fldChar w:fldCharType="begin">
                <w:ffData>
                  <w:name w:val="Text58"/>
                  <w:enabled/>
                  <w:calcOnExit w:val="0"/>
                  <w:textInput>
                    <w:default w:val="Optional"/>
                    <w:maxLength w:val="8"/>
                  </w:textInput>
                </w:ffData>
              </w:fldChar>
            </w:r>
            <w:r w:rsidRPr="007E190E">
              <w:rPr>
                <w:rStyle w:val="PONBLowCharChar"/>
                <w:sz w:val="20"/>
                <w:szCs w:val="22"/>
              </w:rPr>
              <w:instrText xml:space="preserve"> FORMTEXT </w:instrText>
            </w:r>
            <w:r w:rsidRPr="007E190E">
              <w:rPr>
                <w:rStyle w:val="PONBLowCharChar"/>
                <w:sz w:val="20"/>
                <w:szCs w:val="22"/>
              </w:rPr>
            </w:r>
            <w:r w:rsidRPr="007E190E">
              <w:rPr>
                <w:rStyle w:val="PONBLowCharChar"/>
                <w:sz w:val="20"/>
                <w:szCs w:val="22"/>
              </w:rPr>
              <w:fldChar w:fldCharType="separate"/>
            </w:r>
            <w:r w:rsidRPr="007E190E">
              <w:rPr>
                <w:rStyle w:val="PONBLowCharChar"/>
                <w:noProof/>
                <w:sz w:val="20"/>
                <w:szCs w:val="22"/>
              </w:rPr>
              <w:t>Optional</w:t>
            </w:r>
            <w:r w:rsidRPr="007E190E">
              <w:rPr>
                <w:rStyle w:val="PONBLowCharChar"/>
                <w:sz w:val="20"/>
                <w:szCs w:val="22"/>
              </w:rPr>
              <w:fldChar w:fldCharType="end"/>
            </w:r>
          </w:p>
        </w:tc>
        <w:tc>
          <w:tcPr>
            <w:tcW w:w="1827" w:type="dxa"/>
            <w:tcBorders>
              <w:top w:val="single" w:sz="12" w:space="0" w:color="auto"/>
              <w:left w:val="single" w:sz="12" w:space="0" w:color="auto"/>
              <w:bottom w:val="single" w:sz="12" w:space="0" w:color="auto"/>
              <w:right w:val="single" w:sz="12" w:space="0" w:color="auto"/>
            </w:tcBorders>
          </w:tcPr>
          <w:p w14:paraId="66F16503" w14:textId="77777777" w:rsidR="001844B6" w:rsidRPr="007E190E" w:rsidRDefault="001844B6" w:rsidP="005A3880">
            <w:pPr>
              <w:pStyle w:val="IATableLabel"/>
              <w:rPr>
                <w:rFonts w:cs="Arial"/>
                <w:bCs/>
                <w:szCs w:val="18"/>
              </w:rPr>
            </w:pPr>
            <w:r w:rsidRPr="00304C1D">
              <w:t>High:</w:t>
            </w:r>
            <w:r w:rsidRPr="00826F71">
              <w:t xml:space="preserve"> </w:t>
            </w:r>
            <w:r w:rsidRPr="007E190E">
              <w:rPr>
                <w:rStyle w:val="PONBHighChar"/>
                <w:sz w:val="20"/>
                <w:szCs w:val="22"/>
              </w:rPr>
              <w:fldChar w:fldCharType="begin">
                <w:ffData>
                  <w:name w:val="Text59"/>
                  <w:enabled/>
                  <w:calcOnExit w:val="0"/>
                  <w:textInput>
                    <w:default w:val="Optional"/>
                    <w:maxLength w:val="8"/>
                  </w:textInput>
                </w:ffData>
              </w:fldChar>
            </w:r>
            <w:r w:rsidRPr="007E190E">
              <w:rPr>
                <w:rStyle w:val="PONBHighChar"/>
                <w:sz w:val="20"/>
                <w:szCs w:val="22"/>
              </w:rPr>
              <w:instrText xml:space="preserve"> FORMTEXT </w:instrText>
            </w:r>
            <w:r w:rsidRPr="007E190E">
              <w:rPr>
                <w:rStyle w:val="PONBHighChar"/>
                <w:sz w:val="20"/>
                <w:szCs w:val="22"/>
              </w:rPr>
            </w:r>
            <w:r w:rsidRPr="007E190E">
              <w:rPr>
                <w:rStyle w:val="PONBHighChar"/>
                <w:sz w:val="20"/>
                <w:szCs w:val="22"/>
              </w:rPr>
              <w:fldChar w:fldCharType="separate"/>
            </w:r>
            <w:r w:rsidRPr="007E190E">
              <w:rPr>
                <w:rStyle w:val="PONBHighChar"/>
                <w:noProof/>
                <w:sz w:val="20"/>
                <w:szCs w:val="22"/>
              </w:rPr>
              <w:t>Optional</w:t>
            </w:r>
            <w:r w:rsidRPr="007E190E">
              <w:rPr>
                <w:rStyle w:val="PONBHighChar"/>
                <w:sz w:val="20"/>
                <w:szCs w:val="22"/>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55BD20EB" w14:textId="154126DE" w:rsidR="001844B6" w:rsidRPr="007E190E" w:rsidRDefault="001844B6" w:rsidP="005A3880">
            <w:pPr>
              <w:pStyle w:val="IATableLabel"/>
              <w:rPr>
                <w:szCs w:val="18"/>
              </w:rPr>
            </w:pPr>
            <w:r w:rsidRPr="00304C1D">
              <w:t xml:space="preserve">Best </w:t>
            </w:r>
            <w:r>
              <w:t>E</w:t>
            </w:r>
            <w:r w:rsidRPr="00304C1D">
              <w:t>stimate:</w:t>
            </w:r>
            <w:r w:rsidRPr="00826F71">
              <w:t xml:space="preserve"> </w:t>
            </w:r>
            <w:r w:rsidR="004C0C9D">
              <w:rPr>
                <w:rStyle w:val="PONBBestEstChar"/>
                <w:sz w:val="20"/>
                <w:szCs w:val="22"/>
              </w:rPr>
              <w:t>N/A</w:t>
            </w:r>
          </w:p>
        </w:tc>
      </w:tr>
    </w:tbl>
    <w:p w14:paraId="73B5CDAE" w14:textId="77777777" w:rsidR="001844B6" w:rsidRDefault="001844B6" w:rsidP="005A3880">
      <w:pPr>
        <w:pStyle w:val="IASpacer"/>
      </w:pPr>
    </w:p>
    <w:tbl>
      <w:tblPr>
        <w:tblW w:w="507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2"/>
        <w:gridCol w:w="1878"/>
        <w:gridCol w:w="1700"/>
        <w:gridCol w:w="698"/>
        <w:gridCol w:w="2517"/>
        <w:gridCol w:w="1555"/>
        <w:gridCol w:w="1957"/>
      </w:tblGrid>
      <w:tr w:rsidR="001844B6" w:rsidRPr="007E190E" w14:paraId="61FD520F" w14:textId="77777777" w:rsidTr="002C71AA">
        <w:trPr>
          <w:trHeight w:hRule="exact" w:val="562"/>
        </w:trPr>
        <w:tc>
          <w:tcPr>
            <w:tcW w:w="1885" w:type="dxa"/>
            <w:gridSpan w:val="2"/>
            <w:tcBorders>
              <w:top w:val="single" w:sz="12" w:space="0" w:color="auto"/>
              <w:bottom w:val="single" w:sz="12" w:space="0" w:color="auto"/>
              <w:right w:val="single" w:sz="12" w:space="0" w:color="auto"/>
            </w:tcBorders>
            <w:shd w:val="clear" w:color="auto" w:fill="FFFFFF" w:themeFill="background1"/>
          </w:tcPr>
          <w:p w14:paraId="20A06FF1" w14:textId="77777777" w:rsidR="001844B6" w:rsidRPr="007E190E" w:rsidRDefault="001844B6" w:rsidP="005A3880">
            <w:pPr>
              <w:pStyle w:val="IATableLabel"/>
              <w:rPr>
                <w:sz w:val="24"/>
                <w:szCs w:val="24"/>
              </w:rPr>
            </w:pPr>
            <w:r w:rsidRPr="007E190E">
              <w:rPr>
                <w:sz w:val="24"/>
                <w:szCs w:val="24"/>
              </w:rPr>
              <w:t>COSTS (£m)</w:t>
            </w:r>
          </w:p>
        </w:tc>
        <w:tc>
          <w:tcPr>
            <w:tcW w:w="2398" w:type="dxa"/>
            <w:gridSpan w:val="2"/>
            <w:tcBorders>
              <w:top w:val="single" w:sz="12" w:space="0" w:color="auto"/>
              <w:left w:val="single" w:sz="12" w:space="0" w:color="auto"/>
              <w:right w:val="single" w:sz="12" w:space="0" w:color="auto"/>
            </w:tcBorders>
          </w:tcPr>
          <w:p w14:paraId="45F34166" w14:textId="77777777" w:rsidR="001844B6" w:rsidRPr="00826F71" w:rsidRDefault="001844B6" w:rsidP="007E190E">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2020BF85" w14:textId="77777777" w:rsidR="001844B6" w:rsidRPr="00826F71" w:rsidRDefault="001844B6" w:rsidP="007E190E">
            <w:pPr>
              <w:pStyle w:val="IATableLabel"/>
              <w:jc w:val="right"/>
            </w:pPr>
            <w:r>
              <w:br/>
            </w:r>
          </w:p>
        </w:tc>
        <w:tc>
          <w:tcPr>
            <w:tcW w:w="2517" w:type="dxa"/>
            <w:tcBorders>
              <w:top w:val="single" w:sz="12" w:space="0" w:color="auto"/>
              <w:left w:val="single" w:sz="12" w:space="0" w:color="auto"/>
              <w:bottom w:val="single" w:sz="12" w:space="0" w:color="auto"/>
              <w:right w:val="single" w:sz="12" w:space="0" w:color="auto"/>
            </w:tcBorders>
          </w:tcPr>
          <w:p w14:paraId="23602683"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3512" w:type="dxa"/>
            <w:gridSpan w:val="2"/>
            <w:tcBorders>
              <w:top w:val="single" w:sz="12" w:space="0" w:color="auto"/>
              <w:left w:val="single" w:sz="12" w:space="0" w:color="auto"/>
              <w:bottom w:val="single" w:sz="12" w:space="0" w:color="auto"/>
            </w:tcBorders>
          </w:tcPr>
          <w:p w14:paraId="3AB23739" w14:textId="77777777" w:rsidR="001844B6" w:rsidRPr="00826F71" w:rsidRDefault="001844B6" w:rsidP="007E190E">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1844B6" w:rsidRPr="007E190E" w14:paraId="4458011D" w14:textId="77777777" w:rsidTr="002C71AA">
        <w:trPr>
          <w:trHeight w:hRule="exact" w:val="345"/>
        </w:trPr>
        <w:tc>
          <w:tcPr>
            <w:tcW w:w="1891" w:type="dxa"/>
            <w:gridSpan w:val="2"/>
            <w:tcBorders>
              <w:top w:val="single" w:sz="12" w:space="0" w:color="auto"/>
              <w:bottom w:val="single" w:sz="12" w:space="0" w:color="auto"/>
              <w:right w:val="single" w:sz="12" w:space="0" w:color="auto"/>
            </w:tcBorders>
            <w:vAlign w:val="center"/>
          </w:tcPr>
          <w:p w14:paraId="4E41E6CF" w14:textId="77777777" w:rsidR="001844B6" w:rsidRPr="00F63895" w:rsidRDefault="001844B6" w:rsidP="005A3880">
            <w:pPr>
              <w:pStyle w:val="IATableLabel"/>
            </w:pPr>
            <w:r w:rsidRPr="00F63895">
              <w:t xml:space="preserve">Low </w:t>
            </w:r>
          </w:p>
        </w:tc>
        <w:tc>
          <w:tcPr>
            <w:tcW w:w="1700" w:type="dxa"/>
            <w:tcBorders>
              <w:top w:val="single" w:sz="12" w:space="0" w:color="auto"/>
              <w:left w:val="single" w:sz="12" w:space="0" w:color="auto"/>
              <w:bottom w:val="single" w:sz="12" w:space="0" w:color="auto"/>
              <w:right w:val="single" w:sz="12" w:space="0" w:color="auto"/>
            </w:tcBorders>
            <w:vAlign w:val="center"/>
          </w:tcPr>
          <w:p w14:paraId="5140797A" w14:textId="77777777" w:rsidR="001844B6" w:rsidRPr="007E190E" w:rsidRDefault="001844B6" w:rsidP="005A3880">
            <w:pPr>
              <w:pStyle w:val="POTTCostsLow"/>
              <w:rPr>
                <w:sz w:val="20"/>
              </w:rPr>
            </w:pPr>
            <w:r w:rsidRPr="007E190E">
              <w:rPr>
                <w:sz w:val="20"/>
              </w:rPr>
              <w:fldChar w:fldCharType="begin">
                <w:ffData>
                  <w:name w:val="Text45"/>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698" w:type="dxa"/>
            <w:vMerge w:val="restart"/>
            <w:tcBorders>
              <w:top w:val="single" w:sz="12" w:space="0" w:color="auto"/>
              <w:left w:val="single" w:sz="12" w:space="0" w:color="auto"/>
              <w:right w:val="single" w:sz="12" w:space="0" w:color="auto"/>
            </w:tcBorders>
            <w:vAlign w:val="center"/>
          </w:tcPr>
          <w:p w14:paraId="318114D6" w14:textId="77777777" w:rsidR="001844B6" w:rsidRPr="007E190E" w:rsidRDefault="001844B6" w:rsidP="005A3880">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noProof/>
                <w:sz w:val="20"/>
                <w:szCs w:val="20"/>
              </w:rPr>
              <w:t> </w:t>
            </w:r>
            <w:r w:rsidRPr="007E190E">
              <w:rPr>
                <w:noProof/>
                <w:sz w:val="20"/>
                <w:szCs w:val="20"/>
              </w:rPr>
              <w:t> </w:t>
            </w:r>
            <w:r w:rsidRPr="007E190E">
              <w:rPr>
                <w:noProof/>
                <w:sz w:val="20"/>
                <w:szCs w:val="20"/>
              </w:rPr>
              <w:t> </w:t>
            </w:r>
            <w:r w:rsidRPr="007E190E">
              <w:rPr>
                <w:sz w:val="20"/>
                <w:szCs w:val="20"/>
              </w:rPr>
              <w:fldChar w:fldCharType="end"/>
            </w:r>
          </w:p>
        </w:tc>
        <w:tc>
          <w:tcPr>
            <w:tcW w:w="2517" w:type="dxa"/>
            <w:tcBorders>
              <w:top w:val="single" w:sz="12" w:space="0" w:color="auto"/>
              <w:left w:val="single" w:sz="12" w:space="0" w:color="auto"/>
              <w:bottom w:val="single" w:sz="12" w:space="0" w:color="auto"/>
              <w:right w:val="single" w:sz="12" w:space="0" w:color="auto"/>
            </w:tcBorders>
            <w:vAlign w:val="center"/>
          </w:tcPr>
          <w:p w14:paraId="40093593" w14:textId="6C635C31" w:rsidR="001844B6" w:rsidRPr="00273D55" w:rsidRDefault="00EA6979" w:rsidP="005A3880">
            <w:pPr>
              <w:pStyle w:val="POAACostsLow"/>
              <w:rPr>
                <w:sz w:val="20"/>
              </w:rPr>
            </w:pPr>
            <w:r w:rsidRPr="00273D55">
              <w:rPr>
                <w:sz w:val="20"/>
              </w:rPr>
              <w:t>£1</w:t>
            </w:r>
            <w:r w:rsidR="00525173" w:rsidRPr="00273D55">
              <w:rPr>
                <w:sz w:val="20"/>
              </w:rPr>
              <w:t>8</w:t>
            </w:r>
            <w:r w:rsidRPr="00273D55">
              <w:rPr>
                <w:sz w:val="20"/>
              </w:rPr>
              <w:t>m</w:t>
            </w:r>
          </w:p>
        </w:tc>
        <w:tc>
          <w:tcPr>
            <w:tcW w:w="3511" w:type="dxa"/>
            <w:gridSpan w:val="2"/>
            <w:tcBorders>
              <w:top w:val="single" w:sz="12" w:space="0" w:color="auto"/>
              <w:left w:val="single" w:sz="12" w:space="0" w:color="auto"/>
              <w:bottom w:val="single" w:sz="12" w:space="0" w:color="auto"/>
            </w:tcBorders>
            <w:vAlign w:val="center"/>
          </w:tcPr>
          <w:p w14:paraId="3C592E75" w14:textId="77777777" w:rsidR="001844B6" w:rsidRPr="007E190E" w:rsidRDefault="001844B6" w:rsidP="005A3880">
            <w:pPr>
              <w:pStyle w:val="POTCCostsLow"/>
              <w:rPr>
                <w:sz w:val="20"/>
              </w:rPr>
            </w:pPr>
            <w:r w:rsidRPr="007E190E">
              <w:rPr>
                <w:sz w:val="20"/>
              </w:rPr>
              <w:fldChar w:fldCharType="begin">
                <w:ffData>
                  <w:name w:val="Text52"/>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2A188929" w14:textId="77777777" w:rsidTr="002C71AA">
        <w:trPr>
          <w:trHeight w:hRule="exact" w:val="345"/>
        </w:trPr>
        <w:tc>
          <w:tcPr>
            <w:tcW w:w="1891" w:type="dxa"/>
            <w:gridSpan w:val="2"/>
            <w:tcBorders>
              <w:top w:val="single" w:sz="12" w:space="0" w:color="auto"/>
              <w:bottom w:val="single" w:sz="12" w:space="0" w:color="auto"/>
              <w:right w:val="single" w:sz="12" w:space="0" w:color="auto"/>
            </w:tcBorders>
            <w:vAlign w:val="center"/>
          </w:tcPr>
          <w:p w14:paraId="7F2FA1BA" w14:textId="77777777" w:rsidR="001844B6" w:rsidRPr="00F63895" w:rsidRDefault="001844B6" w:rsidP="005A3880">
            <w:pPr>
              <w:pStyle w:val="IATableLabel"/>
            </w:pPr>
            <w:r w:rsidRPr="00F63895">
              <w:t xml:space="preserve">High </w:t>
            </w:r>
          </w:p>
        </w:tc>
        <w:tc>
          <w:tcPr>
            <w:tcW w:w="1700" w:type="dxa"/>
            <w:tcBorders>
              <w:top w:val="single" w:sz="12" w:space="0" w:color="auto"/>
              <w:left w:val="single" w:sz="12" w:space="0" w:color="auto"/>
              <w:bottom w:val="single" w:sz="12" w:space="0" w:color="auto"/>
              <w:right w:val="single" w:sz="12" w:space="0" w:color="auto"/>
            </w:tcBorders>
            <w:vAlign w:val="center"/>
          </w:tcPr>
          <w:p w14:paraId="615C67DC" w14:textId="77777777" w:rsidR="001844B6" w:rsidRPr="007E190E" w:rsidRDefault="001844B6" w:rsidP="005A3880">
            <w:pPr>
              <w:pStyle w:val="POTTCostsHigh"/>
              <w:rPr>
                <w:sz w:val="20"/>
              </w:rPr>
            </w:pPr>
            <w:r w:rsidRPr="007E190E">
              <w:rPr>
                <w:sz w:val="20"/>
              </w:rPr>
              <w:fldChar w:fldCharType="begin">
                <w:ffData>
                  <w:name w:val="Text46"/>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698" w:type="dxa"/>
            <w:vMerge/>
            <w:vAlign w:val="center"/>
          </w:tcPr>
          <w:p w14:paraId="3109568A" w14:textId="77777777" w:rsidR="001844B6" w:rsidRPr="007E190E" w:rsidRDefault="001844B6" w:rsidP="007E190E">
            <w:pPr>
              <w:pStyle w:val="IATableText"/>
              <w:jc w:val="right"/>
              <w:rPr>
                <w:sz w:val="20"/>
              </w:rPr>
            </w:pPr>
          </w:p>
        </w:tc>
        <w:tc>
          <w:tcPr>
            <w:tcW w:w="2517" w:type="dxa"/>
            <w:tcBorders>
              <w:top w:val="single" w:sz="12" w:space="0" w:color="auto"/>
              <w:left w:val="single" w:sz="12" w:space="0" w:color="auto"/>
              <w:bottom w:val="single" w:sz="12" w:space="0" w:color="auto"/>
              <w:right w:val="single" w:sz="12" w:space="0" w:color="auto"/>
            </w:tcBorders>
            <w:vAlign w:val="center"/>
          </w:tcPr>
          <w:p w14:paraId="4E49AA06" w14:textId="532ABC25" w:rsidR="001844B6" w:rsidRPr="00273D55" w:rsidRDefault="00EA6979" w:rsidP="005A3880">
            <w:pPr>
              <w:pStyle w:val="POAACostsHigh"/>
              <w:rPr>
                <w:b/>
                <w:sz w:val="20"/>
              </w:rPr>
            </w:pPr>
            <w:r w:rsidRPr="00273D55">
              <w:rPr>
                <w:b/>
                <w:sz w:val="20"/>
              </w:rPr>
              <w:t>Optional</w:t>
            </w:r>
          </w:p>
        </w:tc>
        <w:tc>
          <w:tcPr>
            <w:tcW w:w="3511" w:type="dxa"/>
            <w:gridSpan w:val="2"/>
            <w:tcBorders>
              <w:top w:val="single" w:sz="12" w:space="0" w:color="auto"/>
              <w:left w:val="single" w:sz="12" w:space="0" w:color="auto"/>
              <w:bottom w:val="single" w:sz="12" w:space="0" w:color="auto"/>
            </w:tcBorders>
            <w:vAlign w:val="center"/>
          </w:tcPr>
          <w:p w14:paraId="7B0C835D" w14:textId="77777777" w:rsidR="001844B6" w:rsidRPr="007E190E" w:rsidRDefault="001844B6" w:rsidP="005A3880">
            <w:pPr>
              <w:pStyle w:val="POTCCostsHigh"/>
              <w:rPr>
                <w:sz w:val="20"/>
              </w:rPr>
            </w:pPr>
            <w:r w:rsidRPr="007E190E">
              <w:rPr>
                <w:sz w:val="20"/>
              </w:rPr>
              <w:fldChar w:fldCharType="begin">
                <w:ffData>
                  <w:name w:val="Text53"/>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AE4E68" w:rsidRPr="007E190E" w14:paraId="63E1E9EE" w14:textId="77777777" w:rsidTr="002C71AA">
        <w:trPr>
          <w:trHeight w:hRule="exact" w:val="345"/>
        </w:trPr>
        <w:tc>
          <w:tcPr>
            <w:tcW w:w="1891" w:type="dxa"/>
            <w:gridSpan w:val="2"/>
            <w:tcBorders>
              <w:top w:val="single" w:sz="12" w:space="0" w:color="auto"/>
              <w:bottom w:val="single" w:sz="12" w:space="0" w:color="auto"/>
              <w:right w:val="single" w:sz="12" w:space="0" w:color="auto"/>
            </w:tcBorders>
            <w:shd w:val="clear" w:color="auto" w:fill="FFFFFF" w:themeFill="background1"/>
            <w:vAlign w:val="center"/>
          </w:tcPr>
          <w:p w14:paraId="0A52C5D6" w14:textId="77777777" w:rsidR="001844B6" w:rsidRPr="00F63895" w:rsidRDefault="001844B6" w:rsidP="005A3880">
            <w:pPr>
              <w:pStyle w:val="IATableLabel"/>
            </w:pPr>
            <w:r w:rsidRPr="00F63895">
              <w:t>Best Estimate</w:t>
            </w:r>
          </w:p>
          <w:p w14:paraId="247C5159" w14:textId="77777777" w:rsidR="001844B6" w:rsidRPr="007E190E" w:rsidRDefault="001844B6" w:rsidP="007E190E">
            <w:pPr>
              <w:pStyle w:val="IATableNotes"/>
              <w:spacing w:beforeLines="40" w:before="96"/>
              <w:ind w:left="0" w:right="-22"/>
              <w:jc w:val="center"/>
              <w:rPr>
                <w:rFonts w:cs="Arial"/>
                <w:b/>
                <w:sz w:val="20"/>
              </w:rPr>
            </w:pPr>
          </w:p>
        </w:tc>
        <w:tc>
          <w:tcPr>
            <w:tcW w:w="170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0499C6C" w14:textId="124EF28C" w:rsidR="001844B6" w:rsidRPr="007E190E" w:rsidRDefault="00EA6996" w:rsidP="005A3880">
            <w:pPr>
              <w:pStyle w:val="POTTCostsBest"/>
              <w:rPr>
                <w:sz w:val="20"/>
              </w:rPr>
            </w:pPr>
            <w:r>
              <w:rPr>
                <w:sz w:val="20"/>
              </w:rPr>
              <w:t>N/A</w:t>
            </w:r>
          </w:p>
        </w:tc>
        <w:tc>
          <w:tcPr>
            <w:tcW w:w="698" w:type="dxa"/>
            <w:vMerge/>
            <w:vAlign w:val="center"/>
          </w:tcPr>
          <w:p w14:paraId="3302B3F3" w14:textId="77777777" w:rsidR="001844B6" w:rsidRPr="007E190E" w:rsidRDefault="001844B6" w:rsidP="007E190E">
            <w:pPr>
              <w:pStyle w:val="IATableText"/>
              <w:jc w:val="right"/>
              <w:rPr>
                <w:sz w:val="20"/>
              </w:rPr>
            </w:pPr>
          </w:p>
        </w:tc>
        <w:tc>
          <w:tcPr>
            <w:tcW w:w="251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BE4D85" w14:textId="4006DB97" w:rsidR="001844B6" w:rsidRPr="00273D55" w:rsidRDefault="00BD0EA6" w:rsidP="005A3880">
            <w:pPr>
              <w:pStyle w:val="POAACostsBest"/>
              <w:rPr>
                <w:sz w:val="20"/>
              </w:rPr>
            </w:pPr>
            <w:r w:rsidRPr="00273D55">
              <w:rPr>
                <w:sz w:val="20"/>
              </w:rPr>
              <w:t>£</w:t>
            </w:r>
            <w:r w:rsidR="00525173" w:rsidRPr="00273D55">
              <w:rPr>
                <w:sz w:val="20"/>
              </w:rPr>
              <w:t>22</w:t>
            </w:r>
            <w:r w:rsidR="00825901" w:rsidRPr="00273D55">
              <w:rPr>
                <w:sz w:val="20"/>
              </w:rPr>
              <w:t>m</w:t>
            </w:r>
          </w:p>
        </w:tc>
        <w:tc>
          <w:tcPr>
            <w:tcW w:w="3511" w:type="dxa"/>
            <w:gridSpan w:val="2"/>
            <w:tcBorders>
              <w:top w:val="single" w:sz="12" w:space="0" w:color="auto"/>
              <w:left w:val="single" w:sz="12" w:space="0" w:color="auto"/>
              <w:bottom w:val="single" w:sz="12" w:space="0" w:color="auto"/>
            </w:tcBorders>
            <w:shd w:val="clear" w:color="auto" w:fill="FFFFFF" w:themeFill="background1"/>
            <w:vAlign w:val="center"/>
          </w:tcPr>
          <w:p w14:paraId="64B08B6E" w14:textId="6D15143F" w:rsidR="001844B6" w:rsidRPr="007E190E" w:rsidRDefault="004C0C9D" w:rsidP="005A3880">
            <w:pPr>
              <w:pStyle w:val="POTCCostsBest"/>
              <w:rPr>
                <w:sz w:val="20"/>
              </w:rPr>
            </w:pPr>
            <w:r>
              <w:rPr>
                <w:sz w:val="20"/>
              </w:rPr>
              <w:t>N/A</w:t>
            </w:r>
            <w:r w:rsidR="001844B6" w:rsidRPr="007E190E">
              <w:rPr>
                <w:sz w:val="20"/>
              </w:rPr>
              <w:fldChar w:fldCharType="begin">
                <w:ffData>
                  <w:name w:val="Text54"/>
                  <w:enabled/>
                  <w:calcOnExit w:val="0"/>
                  <w:textInput>
                    <w:maxLength w:val="14"/>
                  </w:textInput>
                </w:ffData>
              </w:fldChar>
            </w:r>
            <w:r w:rsidR="001844B6" w:rsidRPr="007E190E">
              <w:rPr>
                <w:sz w:val="20"/>
              </w:rPr>
              <w:instrText xml:space="preserve"> FORMTEXT </w:instrText>
            </w:r>
            <w:r w:rsidR="001844B6" w:rsidRPr="007E190E">
              <w:rPr>
                <w:sz w:val="20"/>
              </w:rPr>
            </w:r>
            <w:r w:rsidR="001844B6" w:rsidRPr="007E190E">
              <w:rPr>
                <w:sz w:val="20"/>
              </w:rPr>
              <w:fldChar w:fldCharType="separate"/>
            </w:r>
            <w:r w:rsidR="001844B6" w:rsidRPr="007E190E">
              <w:rPr>
                <w:noProof/>
                <w:sz w:val="20"/>
              </w:rPr>
              <w:t> </w:t>
            </w:r>
            <w:r w:rsidR="001844B6" w:rsidRPr="007E190E">
              <w:rPr>
                <w:noProof/>
                <w:sz w:val="20"/>
              </w:rPr>
              <w:t> </w:t>
            </w:r>
            <w:r w:rsidR="001844B6" w:rsidRPr="007E190E">
              <w:rPr>
                <w:noProof/>
                <w:sz w:val="20"/>
              </w:rPr>
              <w:t> </w:t>
            </w:r>
            <w:r w:rsidR="001844B6" w:rsidRPr="007E190E">
              <w:rPr>
                <w:noProof/>
                <w:sz w:val="20"/>
              </w:rPr>
              <w:t> </w:t>
            </w:r>
            <w:r w:rsidR="001844B6" w:rsidRPr="007E190E">
              <w:rPr>
                <w:noProof/>
                <w:sz w:val="20"/>
              </w:rPr>
              <w:t> </w:t>
            </w:r>
            <w:r w:rsidR="001844B6" w:rsidRPr="007E190E">
              <w:rPr>
                <w:sz w:val="20"/>
              </w:rPr>
              <w:fldChar w:fldCharType="end"/>
            </w:r>
          </w:p>
        </w:tc>
      </w:tr>
      <w:tr w:rsidR="001844B6" w:rsidRPr="00826F71" w14:paraId="5ADDE4DC" w14:textId="77777777" w:rsidTr="002C71AA">
        <w:trPr>
          <w:trHeight w:hRule="exact" w:val="1372"/>
        </w:trPr>
        <w:tc>
          <w:tcPr>
            <w:tcW w:w="10312" w:type="dxa"/>
            <w:gridSpan w:val="7"/>
            <w:tcBorders>
              <w:bottom w:val="single" w:sz="12" w:space="0" w:color="auto"/>
            </w:tcBorders>
          </w:tcPr>
          <w:p w14:paraId="6CD829AC" w14:textId="77777777" w:rsidR="001844B6" w:rsidRPr="007E190E"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3BC3A000" w14:textId="756AF205" w:rsidR="001844B6" w:rsidRPr="00826F71" w:rsidRDefault="00E7063A" w:rsidP="005A3880">
            <w:pPr>
              <w:pStyle w:val="IAPOA1"/>
            </w:pPr>
            <w:r w:rsidRPr="00273D55">
              <w:rPr>
                <w:sz w:val="20"/>
                <w:szCs w:val="18"/>
              </w:rPr>
              <w:t xml:space="preserve">The ongoing cost to </w:t>
            </w:r>
            <w:r w:rsidR="00F57C9C" w:rsidRPr="00273D55">
              <w:rPr>
                <w:sz w:val="20"/>
                <w:szCs w:val="18"/>
              </w:rPr>
              <w:t xml:space="preserve">court users from uplifting the fees </w:t>
            </w:r>
            <w:r w:rsidR="00C178FE" w:rsidRPr="00273D55">
              <w:rPr>
                <w:sz w:val="20"/>
                <w:szCs w:val="18"/>
              </w:rPr>
              <w:t xml:space="preserve">by </w:t>
            </w:r>
            <w:r w:rsidR="00F57C9C" w:rsidRPr="00273D55">
              <w:rPr>
                <w:sz w:val="20"/>
                <w:szCs w:val="18"/>
              </w:rPr>
              <w:t>inflation</w:t>
            </w:r>
            <w:r w:rsidRPr="00273D55">
              <w:rPr>
                <w:sz w:val="20"/>
                <w:szCs w:val="18"/>
              </w:rPr>
              <w:t xml:space="preserve"> is estimated to be around £</w:t>
            </w:r>
            <w:r w:rsidR="00525173" w:rsidRPr="00273D55">
              <w:rPr>
                <w:sz w:val="20"/>
                <w:szCs w:val="18"/>
              </w:rPr>
              <w:t>20</w:t>
            </w:r>
            <w:r w:rsidR="00D4281E" w:rsidRPr="00273D55">
              <w:rPr>
                <w:sz w:val="20"/>
                <w:szCs w:val="18"/>
              </w:rPr>
              <w:t>m</w:t>
            </w:r>
            <w:r w:rsidR="004C0C9D" w:rsidRPr="00273D55">
              <w:rPr>
                <w:sz w:val="20"/>
                <w:szCs w:val="18"/>
              </w:rPr>
              <w:t>-£</w:t>
            </w:r>
            <w:r w:rsidR="00D4281E" w:rsidRPr="00273D55">
              <w:rPr>
                <w:sz w:val="20"/>
                <w:szCs w:val="18"/>
              </w:rPr>
              <w:t>2</w:t>
            </w:r>
            <w:r w:rsidR="00525173" w:rsidRPr="00273D55">
              <w:rPr>
                <w:sz w:val="20"/>
                <w:szCs w:val="18"/>
              </w:rPr>
              <w:t>5</w:t>
            </w:r>
            <w:r w:rsidR="00D4281E" w:rsidRPr="00273D55">
              <w:rPr>
                <w:sz w:val="20"/>
                <w:szCs w:val="18"/>
              </w:rPr>
              <w:t>m</w:t>
            </w:r>
            <w:r w:rsidRPr="00273D55">
              <w:rPr>
                <w:sz w:val="20"/>
                <w:szCs w:val="18"/>
              </w:rPr>
              <w:t xml:space="preserve"> per annum</w:t>
            </w:r>
            <w:r w:rsidR="004C0C9D" w:rsidRPr="00273D55">
              <w:rPr>
                <w:sz w:val="20"/>
                <w:szCs w:val="18"/>
              </w:rPr>
              <w:t>. This equates to an annual average of £</w:t>
            </w:r>
            <w:r w:rsidR="00525173" w:rsidRPr="00273D55">
              <w:rPr>
                <w:sz w:val="20"/>
                <w:szCs w:val="18"/>
              </w:rPr>
              <w:t>18</w:t>
            </w:r>
            <w:r w:rsidR="004C0C9D" w:rsidRPr="00273D55">
              <w:rPr>
                <w:sz w:val="20"/>
                <w:szCs w:val="18"/>
              </w:rPr>
              <w:t>m-£</w:t>
            </w:r>
            <w:r w:rsidR="00525173" w:rsidRPr="00273D55">
              <w:rPr>
                <w:sz w:val="20"/>
                <w:szCs w:val="18"/>
              </w:rPr>
              <w:t>22</w:t>
            </w:r>
            <w:r w:rsidR="004C0C9D" w:rsidRPr="00273D55">
              <w:rPr>
                <w:sz w:val="20"/>
                <w:szCs w:val="18"/>
              </w:rPr>
              <w:t>m in real terms</w:t>
            </w:r>
            <w:r w:rsidRPr="001A0B2D">
              <w:rPr>
                <w:sz w:val="20"/>
                <w:szCs w:val="18"/>
              </w:rPr>
              <w:t xml:space="preserve">. </w:t>
            </w:r>
            <w:r w:rsidR="00F57C9C" w:rsidRPr="001A0B2D">
              <w:rPr>
                <w:sz w:val="20"/>
                <w:szCs w:val="18"/>
              </w:rPr>
              <w:t>A</w:t>
            </w:r>
            <w:r w:rsidRPr="001A0B2D">
              <w:rPr>
                <w:sz w:val="20"/>
                <w:szCs w:val="18"/>
              </w:rPr>
              <w:t xml:space="preserve">s </w:t>
            </w:r>
            <w:r w:rsidR="00F57C9C" w:rsidRPr="001A0B2D">
              <w:rPr>
                <w:sz w:val="20"/>
                <w:szCs w:val="18"/>
              </w:rPr>
              <w:t>this</w:t>
            </w:r>
            <w:r w:rsidRPr="001A0B2D">
              <w:rPr>
                <w:sz w:val="20"/>
                <w:szCs w:val="18"/>
              </w:rPr>
              <w:t xml:space="preserve"> represents a direct transfer from </w:t>
            </w:r>
            <w:r w:rsidR="00F57C9C" w:rsidRPr="001A0B2D">
              <w:rPr>
                <w:sz w:val="20"/>
                <w:szCs w:val="18"/>
              </w:rPr>
              <w:t xml:space="preserve">court users to </w:t>
            </w:r>
            <w:r w:rsidRPr="001A0B2D">
              <w:rPr>
                <w:sz w:val="20"/>
                <w:szCs w:val="18"/>
              </w:rPr>
              <w:t xml:space="preserve">HMCTS </w:t>
            </w:r>
            <w:r w:rsidR="00F57C9C" w:rsidRPr="001A0B2D">
              <w:rPr>
                <w:sz w:val="20"/>
                <w:szCs w:val="18"/>
              </w:rPr>
              <w:t>it</w:t>
            </w:r>
            <w:r w:rsidRPr="001A0B2D">
              <w:rPr>
                <w:sz w:val="20"/>
                <w:szCs w:val="18"/>
              </w:rPr>
              <w:t xml:space="preserve"> does not form part of the NPV</w:t>
            </w:r>
            <w:r w:rsidR="00F57C9C" w:rsidRPr="001A0B2D">
              <w:rPr>
                <w:sz w:val="20"/>
                <w:szCs w:val="18"/>
              </w:rPr>
              <w:t>.</w:t>
            </w:r>
          </w:p>
        </w:tc>
      </w:tr>
      <w:tr w:rsidR="001844B6" w:rsidRPr="00826F71" w14:paraId="6C705C06" w14:textId="77777777" w:rsidTr="002C71AA">
        <w:trPr>
          <w:trHeight w:hRule="exact" w:val="1227"/>
        </w:trPr>
        <w:tc>
          <w:tcPr>
            <w:tcW w:w="10312" w:type="dxa"/>
            <w:gridSpan w:val="7"/>
            <w:tcBorders>
              <w:top w:val="single" w:sz="12" w:space="0" w:color="auto"/>
              <w:bottom w:val="single" w:sz="12" w:space="0" w:color="auto"/>
            </w:tcBorders>
          </w:tcPr>
          <w:p w14:paraId="0DA1A2FE" w14:textId="77777777" w:rsidR="001844B6" w:rsidRPr="007E190E" w:rsidRDefault="001844B6" w:rsidP="005A3880">
            <w:pPr>
              <w:pStyle w:val="IAPOQ2"/>
              <w:rPr>
                <w:szCs w:val="22"/>
              </w:rPr>
            </w:pPr>
            <w:r w:rsidRPr="00544292">
              <w:t>Other</w:t>
            </w:r>
            <w:r w:rsidRPr="00826F71">
              <w:t xml:space="preserve"> key non-monetised costs</w:t>
            </w:r>
            <w:r w:rsidRPr="00544292">
              <w:t xml:space="preserve"> by ‘main affected groups’ </w:t>
            </w:r>
          </w:p>
          <w:p w14:paraId="096BFF27" w14:textId="3A39D89E" w:rsidR="00F57C9C" w:rsidRPr="001A0B2D" w:rsidRDefault="00F57C9C" w:rsidP="00F57C9C">
            <w:pPr>
              <w:pStyle w:val="IATableLines"/>
              <w:spacing w:before="60" w:after="60"/>
              <w:rPr>
                <w:rFonts w:eastAsia="Arial" w:cs="Arial"/>
                <w:sz w:val="20"/>
              </w:rPr>
            </w:pPr>
            <w:r w:rsidRPr="3C868F9C">
              <w:rPr>
                <w:sz w:val="20"/>
              </w:rPr>
              <w:t xml:space="preserve">There </w:t>
            </w:r>
            <w:r w:rsidR="004E2AB3">
              <w:rPr>
                <w:sz w:val="20"/>
              </w:rPr>
              <w:t>will</w:t>
            </w:r>
            <w:r w:rsidRPr="3C868F9C">
              <w:rPr>
                <w:sz w:val="20"/>
              </w:rPr>
              <w:t xml:space="preserve"> be some transitional costs to HMCTS (from </w:t>
            </w:r>
            <w:proofErr w:type="gramStart"/>
            <w:r w:rsidRPr="3C868F9C">
              <w:rPr>
                <w:sz w:val="20"/>
              </w:rPr>
              <w:t>making adjustments to</w:t>
            </w:r>
            <w:proofErr w:type="gramEnd"/>
            <w:r w:rsidRPr="3C868F9C">
              <w:rPr>
                <w:sz w:val="20"/>
              </w:rPr>
              <w:t xml:space="preserve"> IT systems and reissuing forms and guidance). </w:t>
            </w:r>
            <w:r w:rsidR="004E2AB3">
              <w:rPr>
                <w:sz w:val="20"/>
              </w:rPr>
              <w:t>These have</w:t>
            </w:r>
            <w:r w:rsidR="00253007">
              <w:rPr>
                <w:sz w:val="20"/>
              </w:rPr>
              <w:t xml:space="preserve"> not been monetised and are not expected to be substantial. </w:t>
            </w:r>
            <w:r w:rsidRPr="3C868F9C">
              <w:rPr>
                <w:sz w:val="20"/>
              </w:rPr>
              <w:t xml:space="preserve">There may also be costs related to familiarisation with the increased fees for HMCTS staff, legal professionals, and customers. </w:t>
            </w:r>
          </w:p>
          <w:p w14:paraId="0CF6A04D" w14:textId="64040621" w:rsidR="001844B6" w:rsidRPr="007E190E" w:rsidRDefault="001844B6" w:rsidP="005A3880">
            <w:pPr>
              <w:pStyle w:val="IAPOA2"/>
              <w:rPr>
                <w:szCs w:val="22"/>
              </w:rPr>
            </w:pPr>
          </w:p>
        </w:tc>
      </w:tr>
      <w:tr w:rsidR="001844B6" w:rsidRPr="007E190E" w14:paraId="238F2CEA" w14:textId="77777777" w:rsidTr="002C71AA">
        <w:trPr>
          <w:trHeight w:hRule="exact" w:val="562"/>
        </w:trPr>
        <w:tc>
          <w:tcPr>
            <w:tcW w:w="1885" w:type="dxa"/>
            <w:gridSpan w:val="2"/>
            <w:tcBorders>
              <w:bottom w:val="single" w:sz="12" w:space="0" w:color="auto"/>
              <w:right w:val="single" w:sz="12" w:space="0" w:color="auto"/>
            </w:tcBorders>
            <w:shd w:val="clear" w:color="auto" w:fill="FFFFFF" w:themeFill="background1"/>
          </w:tcPr>
          <w:p w14:paraId="2D8738E8" w14:textId="703ABBAA" w:rsidR="001844B6" w:rsidRPr="007E190E" w:rsidRDefault="001844B6" w:rsidP="005A3880">
            <w:pPr>
              <w:pStyle w:val="IATableLabel"/>
              <w:rPr>
                <w:sz w:val="24"/>
                <w:szCs w:val="24"/>
              </w:rPr>
            </w:pPr>
            <w:r w:rsidRPr="007E190E">
              <w:rPr>
                <w:sz w:val="24"/>
                <w:szCs w:val="24"/>
              </w:rPr>
              <w:t xml:space="preserve">BENEFITS </w:t>
            </w:r>
            <w:r w:rsidR="00B21702">
              <w:rPr>
                <w:sz w:val="24"/>
                <w:szCs w:val="24"/>
              </w:rPr>
              <w:t>(</w:t>
            </w:r>
            <w:r w:rsidRPr="007E190E">
              <w:rPr>
                <w:sz w:val="24"/>
                <w:szCs w:val="24"/>
              </w:rPr>
              <w:t>£m)</w:t>
            </w:r>
          </w:p>
        </w:tc>
        <w:tc>
          <w:tcPr>
            <w:tcW w:w="2398" w:type="dxa"/>
            <w:gridSpan w:val="2"/>
            <w:tcBorders>
              <w:top w:val="single" w:sz="12" w:space="0" w:color="auto"/>
              <w:left w:val="single" w:sz="12" w:space="0" w:color="auto"/>
              <w:right w:val="single" w:sz="12" w:space="0" w:color="auto"/>
            </w:tcBorders>
          </w:tcPr>
          <w:p w14:paraId="379EF752" w14:textId="77777777" w:rsidR="001844B6" w:rsidRPr="00826F71" w:rsidRDefault="001844B6" w:rsidP="007E190E">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6882D2DD" w14:textId="77777777" w:rsidR="001844B6" w:rsidRPr="00826F71" w:rsidRDefault="001844B6" w:rsidP="007E190E">
            <w:pPr>
              <w:pStyle w:val="IATableLabel"/>
              <w:jc w:val="right"/>
            </w:pPr>
            <w:r>
              <w:br/>
            </w:r>
          </w:p>
        </w:tc>
        <w:tc>
          <w:tcPr>
            <w:tcW w:w="2517" w:type="dxa"/>
            <w:tcBorders>
              <w:left w:val="single" w:sz="12" w:space="0" w:color="auto"/>
              <w:bottom w:val="single" w:sz="12" w:space="0" w:color="auto"/>
              <w:right w:val="single" w:sz="12" w:space="0" w:color="auto"/>
            </w:tcBorders>
          </w:tcPr>
          <w:p w14:paraId="7DE04C76"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3512" w:type="dxa"/>
            <w:gridSpan w:val="2"/>
            <w:tcBorders>
              <w:top w:val="single" w:sz="12" w:space="0" w:color="auto"/>
              <w:left w:val="single" w:sz="12" w:space="0" w:color="auto"/>
              <w:bottom w:val="single" w:sz="12" w:space="0" w:color="auto"/>
            </w:tcBorders>
          </w:tcPr>
          <w:p w14:paraId="20E24574" w14:textId="77777777" w:rsidR="001844B6" w:rsidRPr="00826F71" w:rsidRDefault="001844B6" w:rsidP="007E190E">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1844B6" w:rsidRPr="007E190E" w14:paraId="4F133AA6" w14:textId="77777777" w:rsidTr="002C71AA">
        <w:trPr>
          <w:trHeight w:hRule="exact" w:val="345"/>
        </w:trPr>
        <w:tc>
          <w:tcPr>
            <w:tcW w:w="1891" w:type="dxa"/>
            <w:gridSpan w:val="2"/>
            <w:tcBorders>
              <w:top w:val="single" w:sz="12" w:space="0" w:color="auto"/>
              <w:bottom w:val="single" w:sz="12" w:space="0" w:color="auto"/>
              <w:right w:val="single" w:sz="12" w:space="0" w:color="auto"/>
            </w:tcBorders>
            <w:vAlign w:val="center"/>
          </w:tcPr>
          <w:p w14:paraId="46BAC235" w14:textId="77777777" w:rsidR="001844B6" w:rsidRPr="00826F71" w:rsidRDefault="001844B6" w:rsidP="005A3880">
            <w:pPr>
              <w:pStyle w:val="IATableLabel"/>
            </w:pPr>
            <w:r w:rsidRPr="00826F71">
              <w:t xml:space="preserve">Low </w:t>
            </w:r>
          </w:p>
        </w:tc>
        <w:tc>
          <w:tcPr>
            <w:tcW w:w="1700" w:type="dxa"/>
            <w:tcBorders>
              <w:top w:val="single" w:sz="12" w:space="0" w:color="auto"/>
              <w:left w:val="single" w:sz="12" w:space="0" w:color="auto"/>
              <w:bottom w:val="single" w:sz="12" w:space="0" w:color="auto"/>
              <w:right w:val="single" w:sz="12" w:space="0" w:color="auto"/>
            </w:tcBorders>
            <w:vAlign w:val="center"/>
          </w:tcPr>
          <w:p w14:paraId="05B943C0" w14:textId="77777777" w:rsidR="001844B6" w:rsidRPr="007E190E" w:rsidRDefault="001844B6" w:rsidP="005A3880">
            <w:pPr>
              <w:pStyle w:val="POTT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698" w:type="dxa"/>
            <w:vMerge w:val="restart"/>
            <w:tcBorders>
              <w:top w:val="single" w:sz="12" w:space="0" w:color="auto"/>
              <w:left w:val="single" w:sz="12" w:space="0" w:color="auto"/>
              <w:right w:val="single" w:sz="12" w:space="0" w:color="auto"/>
            </w:tcBorders>
            <w:vAlign w:val="center"/>
          </w:tcPr>
          <w:p w14:paraId="2F68BDB8" w14:textId="77777777" w:rsidR="001844B6" w:rsidRPr="007E190E" w:rsidRDefault="001844B6" w:rsidP="007E190E">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517" w:type="dxa"/>
            <w:tcBorders>
              <w:top w:val="single" w:sz="12" w:space="0" w:color="auto"/>
              <w:left w:val="single" w:sz="12" w:space="0" w:color="auto"/>
              <w:bottom w:val="single" w:sz="12" w:space="0" w:color="auto"/>
              <w:right w:val="single" w:sz="12" w:space="0" w:color="auto"/>
            </w:tcBorders>
            <w:vAlign w:val="center"/>
          </w:tcPr>
          <w:p w14:paraId="604312AF" w14:textId="2BFDFFE9" w:rsidR="001844B6" w:rsidRPr="00455D70" w:rsidRDefault="00EA6979" w:rsidP="005A3880">
            <w:pPr>
              <w:pStyle w:val="POAABenLow"/>
              <w:rPr>
                <w:sz w:val="20"/>
              </w:rPr>
            </w:pPr>
            <w:r w:rsidRPr="00455D70">
              <w:rPr>
                <w:sz w:val="20"/>
              </w:rPr>
              <w:t>£1</w:t>
            </w:r>
            <w:r w:rsidR="00672DE3" w:rsidRPr="00455D70">
              <w:rPr>
                <w:sz w:val="20"/>
              </w:rPr>
              <w:t>8</w:t>
            </w:r>
            <w:r w:rsidRPr="00455D70">
              <w:rPr>
                <w:sz w:val="20"/>
              </w:rPr>
              <w:t>m</w:t>
            </w:r>
          </w:p>
        </w:tc>
        <w:tc>
          <w:tcPr>
            <w:tcW w:w="3511" w:type="dxa"/>
            <w:gridSpan w:val="2"/>
            <w:tcBorders>
              <w:top w:val="single" w:sz="12" w:space="0" w:color="auto"/>
              <w:left w:val="single" w:sz="12" w:space="0" w:color="auto"/>
              <w:bottom w:val="single" w:sz="12" w:space="0" w:color="auto"/>
            </w:tcBorders>
            <w:vAlign w:val="center"/>
          </w:tcPr>
          <w:p w14:paraId="0830B16C" w14:textId="77777777" w:rsidR="001844B6" w:rsidRPr="007E190E" w:rsidRDefault="001844B6" w:rsidP="005A3880">
            <w:pPr>
              <w:pStyle w:val="POTB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1844B6" w:rsidRPr="007E190E" w14:paraId="7EDA2791" w14:textId="77777777" w:rsidTr="002C71AA">
        <w:trPr>
          <w:trHeight w:hRule="exact" w:val="345"/>
        </w:trPr>
        <w:tc>
          <w:tcPr>
            <w:tcW w:w="1891" w:type="dxa"/>
            <w:gridSpan w:val="2"/>
            <w:tcBorders>
              <w:top w:val="single" w:sz="12" w:space="0" w:color="auto"/>
              <w:bottom w:val="single" w:sz="12" w:space="0" w:color="auto"/>
              <w:right w:val="single" w:sz="12" w:space="0" w:color="auto"/>
            </w:tcBorders>
            <w:vAlign w:val="center"/>
          </w:tcPr>
          <w:p w14:paraId="2FBDD7E9" w14:textId="77777777" w:rsidR="001844B6" w:rsidRPr="00826F71" w:rsidRDefault="001844B6" w:rsidP="005A3880">
            <w:pPr>
              <w:pStyle w:val="IATableLabel"/>
            </w:pPr>
            <w:r w:rsidRPr="00826F71">
              <w:t xml:space="preserve">High </w:t>
            </w:r>
          </w:p>
        </w:tc>
        <w:tc>
          <w:tcPr>
            <w:tcW w:w="1700" w:type="dxa"/>
            <w:tcBorders>
              <w:top w:val="single" w:sz="12" w:space="0" w:color="auto"/>
              <w:left w:val="single" w:sz="12" w:space="0" w:color="auto"/>
              <w:bottom w:val="single" w:sz="12" w:space="0" w:color="auto"/>
              <w:right w:val="single" w:sz="12" w:space="0" w:color="auto"/>
            </w:tcBorders>
            <w:vAlign w:val="center"/>
          </w:tcPr>
          <w:p w14:paraId="2110C4D0" w14:textId="77777777" w:rsidR="001844B6" w:rsidRPr="007E190E" w:rsidRDefault="001844B6" w:rsidP="005A3880">
            <w:pPr>
              <w:pStyle w:val="POTT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c>
          <w:tcPr>
            <w:tcW w:w="698" w:type="dxa"/>
            <w:vMerge/>
            <w:vAlign w:val="center"/>
          </w:tcPr>
          <w:p w14:paraId="1B5B17C3" w14:textId="77777777" w:rsidR="001844B6" w:rsidRPr="007E190E" w:rsidRDefault="001844B6" w:rsidP="007E190E">
            <w:pPr>
              <w:pStyle w:val="IATableText"/>
              <w:jc w:val="right"/>
              <w:rPr>
                <w:sz w:val="20"/>
              </w:rPr>
            </w:pPr>
          </w:p>
        </w:tc>
        <w:tc>
          <w:tcPr>
            <w:tcW w:w="2517" w:type="dxa"/>
            <w:tcBorders>
              <w:top w:val="single" w:sz="12" w:space="0" w:color="auto"/>
              <w:left w:val="single" w:sz="12" w:space="0" w:color="auto"/>
              <w:bottom w:val="single" w:sz="12" w:space="0" w:color="auto"/>
              <w:right w:val="single" w:sz="12" w:space="0" w:color="auto"/>
            </w:tcBorders>
            <w:vAlign w:val="center"/>
          </w:tcPr>
          <w:p w14:paraId="10AB5029" w14:textId="7D419ECC" w:rsidR="001844B6" w:rsidRPr="00455D70" w:rsidRDefault="00EA6979" w:rsidP="005A3880">
            <w:pPr>
              <w:pStyle w:val="POAABenHigh"/>
              <w:rPr>
                <w:b/>
                <w:sz w:val="20"/>
              </w:rPr>
            </w:pPr>
            <w:r w:rsidRPr="00455D70">
              <w:rPr>
                <w:b/>
                <w:sz w:val="20"/>
              </w:rPr>
              <w:t>Optional</w:t>
            </w:r>
          </w:p>
        </w:tc>
        <w:tc>
          <w:tcPr>
            <w:tcW w:w="3511" w:type="dxa"/>
            <w:gridSpan w:val="2"/>
            <w:tcBorders>
              <w:top w:val="single" w:sz="12" w:space="0" w:color="auto"/>
              <w:left w:val="single" w:sz="12" w:space="0" w:color="auto"/>
              <w:bottom w:val="single" w:sz="12" w:space="0" w:color="auto"/>
            </w:tcBorders>
            <w:vAlign w:val="center"/>
          </w:tcPr>
          <w:p w14:paraId="172EF0D7" w14:textId="77777777" w:rsidR="001844B6" w:rsidRPr="007E190E" w:rsidRDefault="001844B6" w:rsidP="005A3880">
            <w:pPr>
              <w:pStyle w:val="POTB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Optional</w:t>
            </w:r>
            <w:r w:rsidRPr="007E190E">
              <w:rPr>
                <w:sz w:val="20"/>
              </w:rPr>
              <w:fldChar w:fldCharType="end"/>
            </w:r>
          </w:p>
        </w:tc>
      </w:tr>
      <w:tr w:rsidR="00AE4E68" w:rsidRPr="007E190E" w14:paraId="20B66F08" w14:textId="77777777" w:rsidTr="002C71AA">
        <w:trPr>
          <w:trHeight w:hRule="exact" w:val="345"/>
        </w:trPr>
        <w:tc>
          <w:tcPr>
            <w:tcW w:w="1891" w:type="dxa"/>
            <w:gridSpan w:val="2"/>
            <w:tcBorders>
              <w:top w:val="single" w:sz="12" w:space="0" w:color="auto"/>
              <w:bottom w:val="single" w:sz="12" w:space="0" w:color="auto"/>
              <w:right w:val="single" w:sz="12" w:space="0" w:color="auto"/>
            </w:tcBorders>
            <w:shd w:val="clear" w:color="auto" w:fill="FFFFFF" w:themeFill="background1"/>
            <w:vAlign w:val="center"/>
          </w:tcPr>
          <w:p w14:paraId="122CE01D" w14:textId="77777777" w:rsidR="001844B6" w:rsidRPr="00826F71" w:rsidRDefault="001844B6" w:rsidP="005A3880">
            <w:pPr>
              <w:pStyle w:val="IATableLabel"/>
            </w:pPr>
            <w:r w:rsidRPr="00826F71">
              <w:t xml:space="preserve">Best </w:t>
            </w:r>
            <w:r>
              <w:t>E</w:t>
            </w:r>
            <w:r w:rsidRPr="00826F71">
              <w:t>stimate</w:t>
            </w:r>
          </w:p>
          <w:p w14:paraId="5E9E6484" w14:textId="77777777" w:rsidR="001844B6" w:rsidRPr="007E190E" w:rsidRDefault="001844B6" w:rsidP="007E190E">
            <w:pPr>
              <w:pStyle w:val="IATableNotes"/>
              <w:spacing w:beforeLines="40" w:before="96"/>
              <w:ind w:left="0" w:right="-22"/>
              <w:jc w:val="center"/>
              <w:rPr>
                <w:rFonts w:cs="Arial"/>
                <w:b/>
                <w:sz w:val="20"/>
              </w:rPr>
            </w:pPr>
          </w:p>
        </w:tc>
        <w:tc>
          <w:tcPr>
            <w:tcW w:w="170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830DB1" w14:textId="1CB8EFC7" w:rsidR="001844B6" w:rsidRPr="007E190E" w:rsidRDefault="00BD0EA6" w:rsidP="005A3880">
            <w:pPr>
              <w:pStyle w:val="POTTBenBest"/>
              <w:rPr>
                <w:sz w:val="20"/>
              </w:rPr>
            </w:pPr>
            <w:r>
              <w:rPr>
                <w:sz w:val="20"/>
              </w:rPr>
              <w:t>N/A</w:t>
            </w:r>
          </w:p>
        </w:tc>
        <w:tc>
          <w:tcPr>
            <w:tcW w:w="698" w:type="dxa"/>
            <w:vMerge/>
            <w:vAlign w:val="center"/>
          </w:tcPr>
          <w:p w14:paraId="27B1352A" w14:textId="77777777" w:rsidR="001844B6" w:rsidRPr="007E190E" w:rsidRDefault="001844B6" w:rsidP="007E190E">
            <w:pPr>
              <w:pStyle w:val="IATableText"/>
              <w:jc w:val="right"/>
              <w:rPr>
                <w:sz w:val="20"/>
              </w:rPr>
            </w:pPr>
          </w:p>
        </w:tc>
        <w:tc>
          <w:tcPr>
            <w:tcW w:w="251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515B75" w14:textId="433D7FB6" w:rsidR="001844B6" w:rsidRPr="00455D70" w:rsidRDefault="00BD0EA6" w:rsidP="005A3880">
            <w:pPr>
              <w:pStyle w:val="POAABenBest"/>
              <w:rPr>
                <w:sz w:val="20"/>
              </w:rPr>
            </w:pPr>
            <w:r w:rsidRPr="00455D70">
              <w:rPr>
                <w:sz w:val="20"/>
              </w:rPr>
              <w:t>£</w:t>
            </w:r>
            <w:r w:rsidR="00672DE3" w:rsidRPr="00455D70">
              <w:rPr>
                <w:sz w:val="20"/>
              </w:rPr>
              <w:t>22</w:t>
            </w:r>
            <w:r w:rsidR="009B5CBF" w:rsidRPr="00455D70">
              <w:rPr>
                <w:sz w:val="20"/>
              </w:rPr>
              <w:t>m</w:t>
            </w:r>
          </w:p>
        </w:tc>
        <w:tc>
          <w:tcPr>
            <w:tcW w:w="3511" w:type="dxa"/>
            <w:gridSpan w:val="2"/>
            <w:tcBorders>
              <w:top w:val="single" w:sz="12" w:space="0" w:color="auto"/>
              <w:left w:val="single" w:sz="12" w:space="0" w:color="auto"/>
              <w:bottom w:val="single" w:sz="12" w:space="0" w:color="auto"/>
            </w:tcBorders>
            <w:shd w:val="clear" w:color="auto" w:fill="FFFFFF" w:themeFill="background1"/>
            <w:vAlign w:val="center"/>
          </w:tcPr>
          <w:p w14:paraId="502E711E" w14:textId="77777777" w:rsidR="001844B6" w:rsidRPr="007E190E" w:rsidRDefault="001844B6" w:rsidP="005A3880">
            <w:pPr>
              <w:pStyle w:val="POTB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r>
      <w:tr w:rsidR="001844B6" w:rsidRPr="00826F71" w14:paraId="48F6B96F" w14:textId="77777777" w:rsidTr="002C71AA">
        <w:trPr>
          <w:trHeight w:hRule="exact" w:val="1277"/>
        </w:trPr>
        <w:tc>
          <w:tcPr>
            <w:tcW w:w="10312" w:type="dxa"/>
            <w:gridSpan w:val="7"/>
            <w:tcBorders>
              <w:bottom w:val="single" w:sz="12" w:space="0" w:color="auto"/>
            </w:tcBorders>
          </w:tcPr>
          <w:p w14:paraId="11CE454C" w14:textId="77777777" w:rsidR="001844B6" w:rsidRPr="007E190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314541B6" w14:textId="36D267E3" w:rsidR="001844B6" w:rsidRPr="001A0B2D" w:rsidRDefault="00F57C9C" w:rsidP="005A3880">
            <w:pPr>
              <w:pStyle w:val="IAPOA3"/>
              <w:rPr>
                <w:sz w:val="20"/>
              </w:rPr>
            </w:pPr>
            <w:r w:rsidRPr="00455D70">
              <w:rPr>
                <w:sz w:val="20"/>
              </w:rPr>
              <w:t>The ongoing benefit to the MoJ arising from uplifting the fees in line with inflation is estimated to be around £</w:t>
            </w:r>
            <w:r w:rsidR="00672DE3" w:rsidRPr="00455D70">
              <w:rPr>
                <w:sz w:val="20"/>
              </w:rPr>
              <w:t>20</w:t>
            </w:r>
            <w:r w:rsidR="009B5CBF" w:rsidRPr="00455D70">
              <w:rPr>
                <w:sz w:val="20"/>
              </w:rPr>
              <w:t>m</w:t>
            </w:r>
            <w:r w:rsidR="004C0C9D" w:rsidRPr="00455D70">
              <w:rPr>
                <w:sz w:val="20"/>
              </w:rPr>
              <w:t>-£</w:t>
            </w:r>
            <w:r w:rsidR="009B5CBF" w:rsidRPr="00455D70">
              <w:rPr>
                <w:sz w:val="20"/>
              </w:rPr>
              <w:t>2</w:t>
            </w:r>
            <w:r w:rsidR="00672DE3" w:rsidRPr="00455D70">
              <w:rPr>
                <w:sz w:val="20"/>
              </w:rPr>
              <w:t>5</w:t>
            </w:r>
            <w:r w:rsidR="009B5CBF" w:rsidRPr="00455D70">
              <w:rPr>
                <w:sz w:val="20"/>
              </w:rPr>
              <w:t>m</w:t>
            </w:r>
            <w:r w:rsidRPr="00455D70">
              <w:rPr>
                <w:sz w:val="20"/>
              </w:rPr>
              <w:t xml:space="preserve"> per annum</w:t>
            </w:r>
            <w:r w:rsidR="004C0C9D" w:rsidRPr="00455D70">
              <w:rPr>
                <w:sz w:val="20"/>
              </w:rPr>
              <w:t>, equating to an annual average of £</w:t>
            </w:r>
            <w:r w:rsidR="009B5CBF" w:rsidRPr="00455D70">
              <w:rPr>
                <w:sz w:val="20"/>
              </w:rPr>
              <w:t>1</w:t>
            </w:r>
            <w:r w:rsidR="00672DE3" w:rsidRPr="00455D70">
              <w:rPr>
                <w:sz w:val="20"/>
              </w:rPr>
              <w:t>8</w:t>
            </w:r>
            <w:r w:rsidR="009B5CBF" w:rsidRPr="00455D70">
              <w:rPr>
                <w:sz w:val="20"/>
              </w:rPr>
              <w:t>m</w:t>
            </w:r>
            <w:r w:rsidR="004C0C9D" w:rsidRPr="00455D70">
              <w:rPr>
                <w:sz w:val="20"/>
              </w:rPr>
              <w:t>-£</w:t>
            </w:r>
            <w:r w:rsidR="00672DE3" w:rsidRPr="00455D70">
              <w:rPr>
                <w:sz w:val="20"/>
              </w:rPr>
              <w:t>22</w:t>
            </w:r>
            <w:r w:rsidR="009B5CBF" w:rsidRPr="00455D70">
              <w:rPr>
                <w:sz w:val="20"/>
              </w:rPr>
              <w:t>m</w:t>
            </w:r>
            <w:r w:rsidR="004C0C9D" w:rsidRPr="00455D70">
              <w:rPr>
                <w:sz w:val="20"/>
              </w:rPr>
              <w:t xml:space="preserve"> in real terms</w:t>
            </w:r>
            <w:r w:rsidR="004C0C9D" w:rsidRPr="001A0B2D">
              <w:rPr>
                <w:sz w:val="20"/>
              </w:rPr>
              <w:t>.</w:t>
            </w:r>
            <w:r w:rsidRPr="001A0B2D">
              <w:rPr>
                <w:sz w:val="20"/>
              </w:rPr>
              <w:t xml:space="preserve"> As above, this represents a direct transfer from court users to HMCTS and so is not included in the NPV.</w:t>
            </w:r>
          </w:p>
        </w:tc>
      </w:tr>
      <w:tr w:rsidR="001844B6" w:rsidRPr="00826F71" w14:paraId="258A9ADB" w14:textId="77777777" w:rsidTr="002C71AA">
        <w:trPr>
          <w:trHeight w:hRule="exact" w:val="720"/>
        </w:trPr>
        <w:tc>
          <w:tcPr>
            <w:tcW w:w="10312" w:type="dxa"/>
            <w:gridSpan w:val="7"/>
            <w:tcBorders>
              <w:top w:val="single" w:sz="12" w:space="0" w:color="auto"/>
              <w:left w:val="single" w:sz="12" w:space="0" w:color="auto"/>
              <w:bottom w:val="single" w:sz="12" w:space="0" w:color="auto"/>
              <w:right w:val="single" w:sz="12" w:space="0" w:color="auto"/>
            </w:tcBorders>
          </w:tcPr>
          <w:p w14:paraId="3C34BAC1" w14:textId="77777777" w:rsidR="001844B6" w:rsidRPr="007E190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4DED5960" w14:textId="579D1BC9" w:rsidR="001844B6" w:rsidRPr="00826F71" w:rsidRDefault="00EE7C63" w:rsidP="008478B3">
            <w:pPr>
              <w:pStyle w:val="IAPOA4"/>
            </w:pPr>
            <w:r w:rsidRPr="005D6F8A">
              <w:rPr>
                <w:sz w:val="20"/>
              </w:rPr>
              <w:t>None</w:t>
            </w:r>
          </w:p>
        </w:tc>
      </w:tr>
      <w:tr w:rsidR="001844B6" w:rsidRPr="00826F71" w14:paraId="6A1C8944" w14:textId="77777777" w:rsidTr="002C71AA">
        <w:trPr>
          <w:trHeight w:hRule="exact" w:val="343"/>
        </w:trPr>
        <w:tc>
          <w:tcPr>
            <w:tcW w:w="8361" w:type="dxa"/>
            <w:gridSpan w:val="6"/>
            <w:tcBorders>
              <w:top w:val="single" w:sz="12" w:space="0" w:color="auto"/>
              <w:bottom w:val="single" w:sz="12" w:space="0" w:color="auto"/>
              <w:right w:val="single" w:sz="12" w:space="0" w:color="auto"/>
            </w:tcBorders>
          </w:tcPr>
          <w:p w14:paraId="51639B60" w14:textId="77777777" w:rsidR="001844B6" w:rsidRDefault="001844B6" w:rsidP="007E190E">
            <w:pPr>
              <w:pStyle w:val="IATableLabel"/>
              <w:tabs>
                <w:tab w:val="left" w:pos="7655"/>
              </w:tabs>
            </w:pPr>
            <w:r w:rsidRPr="00F1653E">
              <w:rPr>
                <w:rStyle w:val="IAPOQ5Char"/>
                <w:b/>
              </w:rPr>
              <w:t>Key assumptions/sensitivities/risks</w:t>
            </w:r>
            <w:r>
              <w:tab/>
              <w:t>Discount rate (%)</w:t>
            </w:r>
          </w:p>
          <w:p w14:paraId="754C8737" w14:textId="77777777" w:rsidR="001844B6" w:rsidRPr="00455895" w:rsidRDefault="001844B6" w:rsidP="005A3880">
            <w:pPr>
              <w:pStyle w:val="IATableLabel"/>
            </w:pPr>
          </w:p>
        </w:tc>
        <w:tc>
          <w:tcPr>
            <w:tcW w:w="1951" w:type="dxa"/>
            <w:tcBorders>
              <w:top w:val="single" w:sz="12" w:space="0" w:color="auto"/>
              <w:left w:val="single" w:sz="12" w:space="0" w:color="auto"/>
              <w:bottom w:val="single" w:sz="12" w:space="0" w:color="auto"/>
            </w:tcBorders>
          </w:tcPr>
          <w:p w14:paraId="13EC44EA" w14:textId="77777777" w:rsidR="001844B6" w:rsidRPr="007E6CF8" w:rsidRDefault="001844B6" w:rsidP="005A3880">
            <w:pPr>
              <w:pStyle w:val="IAPODisRate"/>
            </w:pPr>
            <w:r w:rsidRPr="00D337D1">
              <w:fldChar w:fldCharType="begin">
                <w:ffData>
                  <w:name w:val=""/>
                  <w:enabled/>
                  <w:calcOnExit w:val="0"/>
                  <w:textInput>
                    <w:maxLength w:val="5"/>
                  </w:textInput>
                </w:ffData>
              </w:fldChar>
            </w:r>
            <w:r w:rsidRPr="00D337D1">
              <w:instrText xml:space="preserve"> FORMTEXT </w:instrText>
            </w:r>
            <w:r w:rsidRPr="00D337D1">
              <w:fldChar w:fldCharType="separate"/>
            </w:r>
            <w:r>
              <w:rPr>
                <w:noProof/>
              </w:rPr>
              <w:t> </w:t>
            </w:r>
            <w:r>
              <w:rPr>
                <w:noProof/>
              </w:rPr>
              <w:t> </w:t>
            </w:r>
            <w:r>
              <w:rPr>
                <w:noProof/>
              </w:rPr>
              <w:t> </w:t>
            </w:r>
            <w:r>
              <w:rPr>
                <w:noProof/>
              </w:rPr>
              <w:t> </w:t>
            </w:r>
            <w:r>
              <w:rPr>
                <w:noProof/>
              </w:rPr>
              <w:t> </w:t>
            </w:r>
            <w:r w:rsidRPr="00D337D1">
              <w:fldChar w:fldCharType="end"/>
            </w:r>
          </w:p>
        </w:tc>
      </w:tr>
      <w:tr w:rsidR="001844B6" w:rsidRPr="007E190E" w14:paraId="794359BD" w14:textId="77777777" w:rsidTr="002C71AA">
        <w:trPr>
          <w:gridBefore w:val="1"/>
          <w:wBefore w:w="13" w:type="dxa"/>
          <w:trHeight w:hRule="exact" w:val="3040"/>
        </w:trPr>
        <w:tc>
          <w:tcPr>
            <w:tcW w:w="10305" w:type="dxa"/>
            <w:gridSpan w:val="6"/>
            <w:tcBorders>
              <w:top w:val="nil"/>
              <w:left w:val="single" w:sz="12" w:space="0" w:color="auto"/>
              <w:bottom w:val="single" w:sz="12" w:space="0" w:color="auto"/>
              <w:right w:val="single" w:sz="12" w:space="0" w:color="auto"/>
            </w:tcBorders>
          </w:tcPr>
          <w:p w14:paraId="0BE18091" w14:textId="77777777" w:rsidR="00297840" w:rsidRDefault="00297840" w:rsidP="00297840">
            <w:pPr>
              <w:pStyle w:val="IAPOA2"/>
              <w:rPr>
                <w:sz w:val="20"/>
              </w:rPr>
            </w:pPr>
            <w:r>
              <w:rPr>
                <w:sz w:val="20"/>
              </w:rPr>
              <w:t>For the purposes of this IA, the following assumptions have been made:</w:t>
            </w:r>
          </w:p>
          <w:p w14:paraId="1BFD8371" w14:textId="77777777" w:rsidR="00A978D5" w:rsidRDefault="5BE6FB7F" w:rsidP="00B7401F">
            <w:pPr>
              <w:pStyle w:val="IAPOA2"/>
              <w:numPr>
                <w:ilvl w:val="0"/>
                <w:numId w:val="25"/>
              </w:numPr>
              <w:ind w:left="473"/>
              <w:rPr>
                <w:sz w:val="20"/>
              </w:rPr>
            </w:pPr>
            <w:r w:rsidRPr="4EB2173D">
              <w:rPr>
                <w:sz w:val="20"/>
              </w:rPr>
              <w:t xml:space="preserve">The implementation date is assumed to be October 2021. </w:t>
            </w:r>
          </w:p>
          <w:p w14:paraId="5212D5A7" w14:textId="0B61F83B" w:rsidR="00B54575" w:rsidRDefault="005D6F8A" w:rsidP="00B7401F">
            <w:pPr>
              <w:pStyle w:val="IAPOA2"/>
              <w:numPr>
                <w:ilvl w:val="0"/>
                <w:numId w:val="25"/>
              </w:numPr>
              <w:ind w:left="473"/>
              <w:rPr>
                <w:sz w:val="20"/>
              </w:rPr>
            </w:pPr>
            <w:r>
              <w:rPr>
                <w:sz w:val="20"/>
              </w:rPr>
              <w:t>Caseload</w:t>
            </w:r>
            <w:r w:rsidR="5BE6FB7F" w:rsidRPr="4EB2173D">
              <w:rPr>
                <w:sz w:val="20"/>
              </w:rPr>
              <w:t xml:space="preserve"> volumes for 2018/19 are used to estimate the income from the fee changes</w:t>
            </w:r>
            <w:r w:rsidR="00A656C9" w:rsidRPr="00455D70">
              <w:rPr>
                <w:sz w:val="20"/>
              </w:rPr>
              <w:t xml:space="preserve">, supplemented by electronic payment data for 2019/20 for a small number of fees. </w:t>
            </w:r>
          </w:p>
          <w:p w14:paraId="5D04292D" w14:textId="7AF704B2" w:rsidR="00B54575" w:rsidRDefault="5BE6FB7F" w:rsidP="00B7401F">
            <w:pPr>
              <w:pStyle w:val="IAPOA2"/>
              <w:numPr>
                <w:ilvl w:val="0"/>
                <w:numId w:val="25"/>
              </w:numPr>
              <w:ind w:left="473"/>
              <w:rPr>
                <w:sz w:val="20"/>
              </w:rPr>
            </w:pPr>
            <w:r w:rsidRPr="4EB2173D">
              <w:rPr>
                <w:sz w:val="20"/>
              </w:rPr>
              <w:t xml:space="preserve">An optimism bias of 20% is included to account for uncertainty in volumes due to fluctuations and demand responses to the increases in fees. </w:t>
            </w:r>
          </w:p>
          <w:p w14:paraId="512BD72A" w14:textId="77777777" w:rsidR="00B54575" w:rsidRDefault="5BE6FB7F" w:rsidP="00B7401F">
            <w:pPr>
              <w:pStyle w:val="IAPOA2"/>
              <w:numPr>
                <w:ilvl w:val="0"/>
                <w:numId w:val="25"/>
              </w:numPr>
              <w:ind w:left="473"/>
              <w:rPr>
                <w:sz w:val="20"/>
              </w:rPr>
            </w:pPr>
            <w:r w:rsidRPr="4EB2173D">
              <w:rPr>
                <w:sz w:val="20"/>
              </w:rPr>
              <w:t xml:space="preserve">Fees </w:t>
            </w:r>
            <w:r w:rsidR="00F46B77" w:rsidRPr="4EB2173D" w:rsidDel="5BE6FB7F">
              <w:rPr>
                <w:sz w:val="20"/>
              </w:rPr>
              <w:t>are</w:t>
            </w:r>
            <w:r w:rsidRPr="4EB2173D">
              <w:rPr>
                <w:sz w:val="20"/>
              </w:rPr>
              <w:t xml:space="preserve"> inflated in line with CPI inflation, backdated to August 2016, or </w:t>
            </w:r>
            <w:r w:rsidR="7166618D" w:rsidRPr="4EB2173D">
              <w:rPr>
                <w:sz w:val="20"/>
              </w:rPr>
              <w:t xml:space="preserve">the </w:t>
            </w:r>
            <w:r w:rsidRPr="4EB2173D">
              <w:rPr>
                <w:sz w:val="20"/>
              </w:rPr>
              <w:t xml:space="preserve">date of </w:t>
            </w:r>
            <w:r w:rsidR="6C324E76" w:rsidRPr="4EB2173D">
              <w:rPr>
                <w:sz w:val="20"/>
              </w:rPr>
              <w:t xml:space="preserve">the </w:t>
            </w:r>
            <w:r w:rsidRPr="4EB2173D">
              <w:rPr>
                <w:sz w:val="20"/>
              </w:rPr>
              <w:t>last fee change if later.</w:t>
            </w:r>
          </w:p>
          <w:p w14:paraId="4B81670E" w14:textId="0CC60426" w:rsidR="00B54575" w:rsidRDefault="008E014A" w:rsidP="00D92549">
            <w:pPr>
              <w:pStyle w:val="IAPOA2"/>
              <w:numPr>
                <w:ilvl w:val="0"/>
                <w:numId w:val="25"/>
              </w:numPr>
              <w:ind w:left="473"/>
              <w:rPr>
                <w:sz w:val="20"/>
              </w:rPr>
            </w:pPr>
            <w:r w:rsidRPr="00455D70">
              <w:rPr>
                <w:sz w:val="20"/>
              </w:rPr>
              <w:t>CPI</w:t>
            </w:r>
            <w:r w:rsidR="00A65B4E" w:rsidRPr="00455D70">
              <w:rPr>
                <w:sz w:val="20"/>
              </w:rPr>
              <w:t xml:space="preserve"> </w:t>
            </w:r>
            <w:r w:rsidR="5BE6FB7F" w:rsidRPr="4EB2173D">
              <w:rPr>
                <w:sz w:val="20"/>
              </w:rPr>
              <w:t xml:space="preserve">inflation rates </w:t>
            </w:r>
            <w:r w:rsidR="008E5176">
              <w:rPr>
                <w:sz w:val="20"/>
              </w:rPr>
              <w:t xml:space="preserve">have been used </w:t>
            </w:r>
            <w:r w:rsidR="5BE6FB7F" w:rsidRPr="4EB2173D">
              <w:rPr>
                <w:sz w:val="20"/>
              </w:rPr>
              <w:t xml:space="preserve">to uprate </w:t>
            </w:r>
            <w:r w:rsidR="0082286E" w:rsidRPr="00455D70">
              <w:rPr>
                <w:sz w:val="20"/>
              </w:rPr>
              <w:t xml:space="preserve">HMCTS </w:t>
            </w:r>
            <w:r w:rsidR="009010EA">
              <w:rPr>
                <w:sz w:val="20"/>
              </w:rPr>
              <w:t>unit costs</w:t>
            </w:r>
            <w:r w:rsidR="00F46B77">
              <w:rPr>
                <w:sz w:val="20"/>
              </w:rPr>
              <w:t xml:space="preserve"> </w:t>
            </w:r>
            <w:r w:rsidR="5BE6FB7F" w:rsidRPr="4EB2173D">
              <w:rPr>
                <w:sz w:val="20"/>
              </w:rPr>
              <w:t>from 2018/19</w:t>
            </w:r>
            <w:r w:rsidR="009010EA">
              <w:rPr>
                <w:sz w:val="20"/>
              </w:rPr>
              <w:t xml:space="preserve"> to 2021/22</w:t>
            </w:r>
            <w:r w:rsidR="00E77402">
              <w:rPr>
                <w:sz w:val="20"/>
              </w:rPr>
              <w:t xml:space="preserve">. </w:t>
            </w:r>
          </w:p>
          <w:p w14:paraId="56062D63" w14:textId="77777777" w:rsidR="00E114C8" w:rsidRDefault="00E77402" w:rsidP="00A61724">
            <w:pPr>
              <w:pStyle w:val="IAPOA2"/>
              <w:numPr>
                <w:ilvl w:val="0"/>
                <w:numId w:val="25"/>
              </w:numPr>
              <w:ind w:left="473"/>
              <w:rPr>
                <w:sz w:val="20"/>
              </w:rPr>
            </w:pPr>
            <w:r>
              <w:rPr>
                <w:sz w:val="20"/>
              </w:rPr>
              <w:t>Fees</w:t>
            </w:r>
            <w:r w:rsidR="00A52B93">
              <w:rPr>
                <w:sz w:val="20"/>
              </w:rPr>
              <w:t xml:space="preserve"> have been</w:t>
            </w:r>
            <w:r w:rsidR="5BE6FB7F" w:rsidRPr="4EB2173D">
              <w:rPr>
                <w:sz w:val="20"/>
              </w:rPr>
              <w:t xml:space="preserve"> rounded to the nearest whole pound</w:t>
            </w:r>
            <w:r w:rsidR="00C461F1">
              <w:rPr>
                <w:sz w:val="20"/>
              </w:rPr>
              <w:t xml:space="preserve"> (rounded down where necessary to avoid over-recovery)</w:t>
            </w:r>
            <w:r w:rsidR="00F46B77">
              <w:rPr>
                <w:sz w:val="20"/>
              </w:rPr>
              <w:t>.</w:t>
            </w:r>
          </w:p>
          <w:p w14:paraId="3F5780B6" w14:textId="56F960B8" w:rsidR="00E114C8" w:rsidRDefault="00B24EB6" w:rsidP="003139CB">
            <w:pPr>
              <w:pStyle w:val="IAPOA2"/>
              <w:numPr>
                <w:ilvl w:val="0"/>
                <w:numId w:val="25"/>
              </w:numPr>
              <w:ind w:left="473"/>
              <w:rPr>
                <w:sz w:val="20"/>
              </w:rPr>
            </w:pPr>
            <w:r>
              <w:rPr>
                <w:sz w:val="20"/>
              </w:rPr>
              <w:t xml:space="preserve">Net </w:t>
            </w:r>
            <w:r w:rsidR="005B00C7">
              <w:rPr>
                <w:sz w:val="20"/>
              </w:rPr>
              <w:t xml:space="preserve">fee income </w:t>
            </w:r>
            <w:r w:rsidR="00DF7948">
              <w:rPr>
                <w:sz w:val="20"/>
              </w:rPr>
              <w:t xml:space="preserve">assumes no change in </w:t>
            </w:r>
            <w:r w:rsidR="005C0B1B">
              <w:rPr>
                <w:sz w:val="20"/>
              </w:rPr>
              <w:t xml:space="preserve">the </w:t>
            </w:r>
            <w:r w:rsidR="000E659D">
              <w:rPr>
                <w:sz w:val="20"/>
              </w:rPr>
              <w:t xml:space="preserve">current </w:t>
            </w:r>
            <w:r w:rsidR="005C0B1B">
              <w:rPr>
                <w:sz w:val="20"/>
              </w:rPr>
              <w:t xml:space="preserve">Help with Fees </w:t>
            </w:r>
            <w:r w:rsidR="008642AA">
              <w:rPr>
                <w:sz w:val="20"/>
              </w:rPr>
              <w:t>scheme</w:t>
            </w:r>
            <w:r w:rsidR="000E659D">
              <w:rPr>
                <w:sz w:val="20"/>
              </w:rPr>
              <w:t>.</w:t>
            </w:r>
            <w:r w:rsidR="6AD4F825" w:rsidRPr="4EB2173D">
              <w:rPr>
                <w:sz w:val="20"/>
              </w:rPr>
              <w:t xml:space="preserve"> </w:t>
            </w:r>
          </w:p>
          <w:p w14:paraId="4D3AEDD3" w14:textId="46081697" w:rsidR="001844B6" w:rsidRPr="00F46B77" w:rsidRDefault="5BE6FB7F" w:rsidP="005D6F8A">
            <w:pPr>
              <w:pStyle w:val="IAPOA2"/>
              <w:numPr>
                <w:ilvl w:val="0"/>
                <w:numId w:val="25"/>
              </w:numPr>
              <w:ind w:left="473"/>
              <w:rPr>
                <w:sz w:val="20"/>
              </w:rPr>
            </w:pPr>
            <w:r w:rsidRPr="4EB2173D">
              <w:rPr>
                <w:sz w:val="20"/>
              </w:rPr>
              <w:t>T</w:t>
            </w:r>
            <w:r w:rsidR="04EC8D40" w:rsidRPr="4EB2173D">
              <w:rPr>
                <w:sz w:val="20"/>
              </w:rPr>
              <w:t xml:space="preserve">here is no net detrimental impact on outcomes in either civil or family court cases or for </w:t>
            </w:r>
            <w:r w:rsidR="32E4B2AC" w:rsidRPr="4EB2173D">
              <w:rPr>
                <w:sz w:val="20"/>
              </w:rPr>
              <w:t xml:space="preserve">Court of </w:t>
            </w:r>
            <w:r w:rsidR="00683625">
              <w:rPr>
                <w:sz w:val="20"/>
              </w:rPr>
              <w:t>Protection</w:t>
            </w:r>
            <w:r w:rsidR="00E87E54" w:rsidRPr="000D70F9">
              <w:rPr>
                <w:sz w:val="20"/>
              </w:rPr>
              <w:t xml:space="preserve"> </w:t>
            </w:r>
            <w:r w:rsidR="04EC8D40" w:rsidRPr="4EB2173D">
              <w:rPr>
                <w:sz w:val="20"/>
              </w:rPr>
              <w:t>or access to justice</w:t>
            </w:r>
            <w:r w:rsidR="04EC8D40">
              <w:t>.</w:t>
            </w:r>
          </w:p>
          <w:p w14:paraId="63CAE1BF" w14:textId="0DDA2B64" w:rsidR="000D70F9" w:rsidRPr="000D70F9" w:rsidRDefault="000D70F9" w:rsidP="00F46B77">
            <w:pPr>
              <w:pStyle w:val="IAPOA5"/>
              <w:ind w:left="57" w:right="0"/>
              <w:rPr>
                <w:sz w:val="20"/>
              </w:rPr>
            </w:pPr>
          </w:p>
        </w:tc>
      </w:tr>
    </w:tbl>
    <w:p w14:paraId="27D6A372" w14:textId="77777777" w:rsidR="001844B6" w:rsidRDefault="001844B6" w:rsidP="005A3880">
      <w:pPr>
        <w:pStyle w:val="IASpacer"/>
      </w:pPr>
    </w:p>
    <w:p w14:paraId="2A963596" w14:textId="0C738676" w:rsidR="0005543F" w:rsidRDefault="0005543F" w:rsidP="005A3880">
      <w:pPr>
        <w:pStyle w:val="IAHeadLabel"/>
        <w:spacing w:before="50"/>
      </w:pPr>
    </w:p>
    <w:p w14:paraId="70490296" w14:textId="136F2975" w:rsidR="001844B6" w:rsidRDefault="00F63895" w:rsidP="005A3880">
      <w:pPr>
        <w:pStyle w:val="IAHeadLabel"/>
        <w:spacing w:before="50"/>
      </w:pPr>
      <w:r>
        <w:t xml:space="preserve">BUSINESS </w:t>
      </w:r>
      <w:r w:rsidR="001844B6">
        <w:t xml:space="preserve">ASSESSMENT (Option </w:t>
      </w:r>
      <w:r w:rsidR="001E69A2">
        <w:rPr>
          <w:noProof/>
        </w:rPr>
        <w:fldChar w:fldCharType="begin"/>
      </w:r>
      <w:r w:rsidR="001E69A2">
        <w:rPr>
          <w:noProof/>
        </w:rPr>
        <w:instrText xml:space="preserve"> SEQ BA </w:instrText>
      </w:r>
      <w:r w:rsidR="001E69A2">
        <w:rPr>
          <w:noProof/>
        </w:rPr>
        <w:fldChar w:fldCharType="separate"/>
      </w:r>
      <w:r w:rsidR="00044FE7">
        <w:rPr>
          <w:noProof/>
        </w:rPr>
        <w:t>1</w:t>
      </w:r>
      <w:r w:rsidR="001E69A2">
        <w:rPr>
          <w:noProof/>
        </w:rPr>
        <w:fldChar w:fldCharType="end"/>
      </w:r>
      <w:r w:rsidR="001844B6">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FD4195" w:rsidRPr="000E02BE" w14:paraId="1F316219" w14:textId="77777777" w:rsidTr="00D64409">
        <w:trPr>
          <w:trHeight w:hRule="exact" w:val="384"/>
        </w:trPr>
        <w:tc>
          <w:tcPr>
            <w:tcW w:w="5529" w:type="dxa"/>
            <w:gridSpan w:val="3"/>
            <w:tcBorders>
              <w:top w:val="single" w:sz="12" w:space="0" w:color="auto"/>
              <w:left w:val="single" w:sz="12" w:space="0" w:color="auto"/>
              <w:bottom w:val="nil"/>
              <w:right w:val="single" w:sz="12" w:space="0" w:color="auto"/>
            </w:tcBorders>
          </w:tcPr>
          <w:p w14:paraId="3BF51AD8" w14:textId="77777777" w:rsidR="00FD4195" w:rsidRPr="000E02BE" w:rsidRDefault="00FD4195" w:rsidP="005A3880">
            <w:pPr>
              <w:pStyle w:val="IATableLabel"/>
            </w:pPr>
            <w:r w:rsidRPr="000E02BE">
              <w:t xml:space="preserve">Direct impact on </w:t>
            </w:r>
            <w:r>
              <w:t>business (Equivalent Annual) £m</w:t>
            </w:r>
            <w:r w:rsidRPr="000E02BE">
              <w:t xml:space="preserve">: </w:t>
            </w:r>
          </w:p>
        </w:tc>
        <w:tc>
          <w:tcPr>
            <w:tcW w:w="4823" w:type="dxa"/>
            <w:vMerge w:val="restart"/>
            <w:tcBorders>
              <w:top w:val="single" w:sz="12" w:space="0" w:color="auto"/>
              <w:left w:val="single" w:sz="12" w:space="0" w:color="auto"/>
              <w:right w:val="single" w:sz="12" w:space="0" w:color="auto"/>
            </w:tcBorders>
          </w:tcPr>
          <w:p w14:paraId="4513AF1A" w14:textId="77777777" w:rsidR="00FD4195" w:rsidRPr="000E02BE" w:rsidRDefault="00FD4195" w:rsidP="00C96388">
            <w:pPr>
              <w:pStyle w:val="IATableLabel"/>
            </w:pPr>
            <w:r>
              <w:t>Score for Business Impact Target (qualifying provisions only)</w:t>
            </w:r>
            <w:r w:rsidR="00C96388">
              <w:t xml:space="preserve"> £m:</w:t>
            </w:r>
          </w:p>
        </w:tc>
      </w:tr>
      <w:tr w:rsidR="00FD4195" w:rsidRPr="00E75380" w14:paraId="195CC3CB" w14:textId="77777777" w:rsidTr="00D64409">
        <w:trPr>
          <w:trHeight w:hRule="exact" w:val="340"/>
        </w:trPr>
        <w:tc>
          <w:tcPr>
            <w:tcW w:w="1985" w:type="dxa"/>
            <w:vMerge w:val="restart"/>
            <w:tcBorders>
              <w:top w:val="single" w:sz="12" w:space="0" w:color="auto"/>
              <w:left w:val="single" w:sz="12" w:space="0" w:color="auto"/>
              <w:right w:val="single" w:sz="12" w:space="0" w:color="auto"/>
            </w:tcBorders>
            <w:shd w:val="clear" w:color="auto" w:fill="FFFFFF"/>
          </w:tcPr>
          <w:p w14:paraId="448D10E7" w14:textId="430C1208" w:rsidR="00FD4195" w:rsidRPr="00F63895" w:rsidRDefault="00FD4195" w:rsidP="005A3880">
            <w:pPr>
              <w:pStyle w:val="IATableLabel"/>
            </w:pPr>
            <w:r w:rsidRPr="00F63895">
              <w:t xml:space="preserve">Costs: </w:t>
            </w:r>
            <w:r w:rsidR="00B724B6">
              <w:t>N/A</w:t>
            </w:r>
          </w:p>
        </w:tc>
        <w:tc>
          <w:tcPr>
            <w:tcW w:w="1843" w:type="dxa"/>
            <w:vMerge w:val="restart"/>
            <w:tcBorders>
              <w:top w:val="single" w:sz="12" w:space="0" w:color="auto"/>
              <w:left w:val="single" w:sz="12" w:space="0" w:color="auto"/>
              <w:right w:val="single" w:sz="12" w:space="0" w:color="auto"/>
            </w:tcBorders>
            <w:shd w:val="clear" w:color="auto" w:fill="FFFFFF"/>
          </w:tcPr>
          <w:p w14:paraId="72CE541E" w14:textId="503AF8FF" w:rsidR="00FD4195" w:rsidRPr="00F63895" w:rsidRDefault="00FD4195" w:rsidP="005A3880">
            <w:pPr>
              <w:pStyle w:val="IATableLabel"/>
            </w:pPr>
            <w:r w:rsidRPr="00F63895">
              <w:t xml:space="preserve">Benefits: </w:t>
            </w:r>
            <w:r w:rsidR="007B2FDF">
              <w:rPr>
                <w:b w:val="0"/>
              </w:rPr>
              <w:t>N/A</w:t>
            </w:r>
          </w:p>
        </w:tc>
        <w:tc>
          <w:tcPr>
            <w:tcW w:w="1701" w:type="dxa"/>
            <w:vMerge w:val="restart"/>
            <w:tcBorders>
              <w:top w:val="single" w:sz="12" w:space="0" w:color="auto"/>
              <w:left w:val="single" w:sz="12" w:space="0" w:color="auto"/>
              <w:right w:val="single" w:sz="12" w:space="0" w:color="auto"/>
            </w:tcBorders>
            <w:shd w:val="clear" w:color="auto" w:fill="FFFFFF"/>
          </w:tcPr>
          <w:p w14:paraId="707DF9CF" w14:textId="6735B7F1" w:rsidR="00FD4195" w:rsidRPr="00F63895" w:rsidRDefault="00FD4195" w:rsidP="005A3880">
            <w:pPr>
              <w:pStyle w:val="IATableLabel"/>
            </w:pPr>
            <w:r w:rsidRPr="00F63895">
              <w:t xml:space="preserve">Net: </w:t>
            </w:r>
            <w:bookmarkStart w:id="25" w:name="Text69"/>
            <w:r w:rsidR="007B2FDF">
              <w:rPr>
                <w:b w:val="0"/>
              </w:rPr>
              <w:t>N/A</w:t>
            </w:r>
            <w:r w:rsidRPr="00F63895">
              <w:rPr>
                <w:rStyle w:val="IAPODINetChar"/>
                <w:sz w:val="20"/>
              </w:rPr>
              <w:fldChar w:fldCharType="begin">
                <w:ffData>
                  <w:name w:val="Text69"/>
                  <w:enabled/>
                  <w:calcOnExit w:val="0"/>
                  <w:textInput>
                    <w:maxLength w:val="9"/>
                  </w:textInput>
                </w:ffData>
              </w:fldChar>
            </w:r>
            <w:r w:rsidRPr="00F63895">
              <w:rPr>
                <w:rStyle w:val="IAPODINetChar"/>
                <w:sz w:val="20"/>
              </w:rPr>
              <w:instrText xml:space="preserve"> FORMTEXT </w:instrText>
            </w:r>
            <w:r w:rsidRPr="00F63895">
              <w:rPr>
                <w:rStyle w:val="IAPODINetChar"/>
                <w:sz w:val="20"/>
              </w:rPr>
            </w:r>
            <w:r w:rsidRPr="00F63895">
              <w:rPr>
                <w:rStyle w:val="IAPODINetChar"/>
                <w:sz w:val="20"/>
              </w:rPr>
              <w:fldChar w:fldCharType="separate"/>
            </w:r>
            <w:r w:rsidRPr="00F63895">
              <w:rPr>
                <w:rStyle w:val="IAPODINetChar"/>
                <w:noProof/>
                <w:sz w:val="20"/>
              </w:rPr>
              <w:t> </w:t>
            </w:r>
            <w:r w:rsidRPr="00F63895">
              <w:rPr>
                <w:rStyle w:val="IAPODINetChar"/>
                <w:noProof/>
                <w:sz w:val="20"/>
              </w:rPr>
              <w:t> </w:t>
            </w:r>
            <w:r w:rsidRPr="00F63895">
              <w:rPr>
                <w:rStyle w:val="IAPODINetChar"/>
                <w:noProof/>
                <w:sz w:val="20"/>
              </w:rPr>
              <w:t> </w:t>
            </w:r>
            <w:r w:rsidRPr="00F63895">
              <w:rPr>
                <w:rStyle w:val="IAPODINetChar"/>
                <w:noProof/>
                <w:sz w:val="20"/>
              </w:rPr>
              <w:t> </w:t>
            </w:r>
            <w:r w:rsidRPr="00F63895">
              <w:rPr>
                <w:rStyle w:val="IAPODINetChar"/>
                <w:noProof/>
                <w:sz w:val="20"/>
              </w:rPr>
              <w:t> </w:t>
            </w:r>
            <w:r w:rsidRPr="00F63895">
              <w:rPr>
                <w:rStyle w:val="IAPODINetChar"/>
                <w:sz w:val="20"/>
              </w:rPr>
              <w:fldChar w:fldCharType="end"/>
            </w:r>
            <w:bookmarkEnd w:id="25"/>
          </w:p>
        </w:tc>
        <w:tc>
          <w:tcPr>
            <w:tcW w:w="4823" w:type="dxa"/>
            <w:vMerge/>
            <w:tcBorders>
              <w:left w:val="single" w:sz="12" w:space="0" w:color="auto"/>
              <w:bottom w:val="single" w:sz="12" w:space="0" w:color="auto"/>
              <w:right w:val="single" w:sz="12" w:space="0" w:color="auto"/>
            </w:tcBorders>
            <w:shd w:val="clear" w:color="auto" w:fill="FFFFFF"/>
          </w:tcPr>
          <w:p w14:paraId="2BE55E3B" w14:textId="77777777" w:rsidR="00FD4195" w:rsidRPr="00F63895" w:rsidRDefault="00FD4195" w:rsidP="005A3880">
            <w:pPr>
              <w:pStyle w:val="IAPODIMQ"/>
            </w:pPr>
          </w:p>
        </w:tc>
      </w:tr>
      <w:tr w:rsidR="00FD4195" w:rsidRPr="00E75380" w14:paraId="161EB523" w14:textId="77777777" w:rsidTr="00D64409">
        <w:trPr>
          <w:trHeight w:hRule="exact" w:val="340"/>
        </w:trPr>
        <w:tc>
          <w:tcPr>
            <w:tcW w:w="1985" w:type="dxa"/>
            <w:vMerge/>
            <w:tcBorders>
              <w:left w:val="single" w:sz="12" w:space="0" w:color="auto"/>
              <w:bottom w:val="single" w:sz="12" w:space="0" w:color="auto"/>
              <w:right w:val="single" w:sz="12" w:space="0" w:color="auto"/>
            </w:tcBorders>
            <w:shd w:val="clear" w:color="auto" w:fill="FFFFFF"/>
          </w:tcPr>
          <w:p w14:paraId="16D00BBB" w14:textId="77777777" w:rsidR="00FD4195" w:rsidRPr="00F63895" w:rsidRDefault="00FD4195" w:rsidP="005A3880">
            <w:pPr>
              <w:pStyle w:val="IATableLabel"/>
            </w:pPr>
          </w:p>
        </w:tc>
        <w:tc>
          <w:tcPr>
            <w:tcW w:w="1843" w:type="dxa"/>
            <w:vMerge/>
            <w:tcBorders>
              <w:left w:val="single" w:sz="12" w:space="0" w:color="auto"/>
              <w:bottom w:val="single" w:sz="12" w:space="0" w:color="auto"/>
              <w:right w:val="single" w:sz="12" w:space="0" w:color="auto"/>
            </w:tcBorders>
            <w:shd w:val="clear" w:color="auto" w:fill="FFFFFF"/>
          </w:tcPr>
          <w:p w14:paraId="465EB543" w14:textId="77777777" w:rsidR="00FD4195" w:rsidRPr="00F63895" w:rsidRDefault="00FD4195" w:rsidP="005A3880">
            <w:pPr>
              <w:pStyle w:val="IATableLabel"/>
            </w:pPr>
          </w:p>
        </w:tc>
        <w:tc>
          <w:tcPr>
            <w:tcW w:w="1701" w:type="dxa"/>
            <w:vMerge/>
            <w:tcBorders>
              <w:left w:val="single" w:sz="12" w:space="0" w:color="auto"/>
              <w:bottom w:val="single" w:sz="12" w:space="0" w:color="auto"/>
              <w:right w:val="single" w:sz="12" w:space="0" w:color="auto"/>
            </w:tcBorders>
            <w:shd w:val="clear" w:color="auto" w:fill="FFFFFF"/>
          </w:tcPr>
          <w:p w14:paraId="3A5CAB40" w14:textId="77777777" w:rsidR="00FD4195" w:rsidRPr="00F63895" w:rsidRDefault="00FD4195" w:rsidP="005A3880">
            <w:pPr>
              <w:pStyle w:val="IATableLabel"/>
            </w:pPr>
          </w:p>
        </w:tc>
        <w:bookmarkStart w:id="26" w:name="Text71"/>
        <w:tc>
          <w:tcPr>
            <w:tcW w:w="4823" w:type="dxa"/>
            <w:tcBorders>
              <w:top w:val="single" w:sz="12" w:space="0" w:color="auto"/>
              <w:left w:val="single" w:sz="12" w:space="0" w:color="auto"/>
              <w:bottom w:val="single" w:sz="12" w:space="0" w:color="auto"/>
              <w:right w:val="single" w:sz="12" w:space="0" w:color="auto"/>
            </w:tcBorders>
            <w:shd w:val="clear" w:color="auto" w:fill="FFFFFF"/>
          </w:tcPr>
          <w:p w14:paraId="10227CE9" w14:textId="77777777" w:rsidR="00FD4195" w:rsidRPr="00F63895" w:rsidRDefault="00D41FA2" w:rsidP="005A3880">
            <w:pPr>
              <w:pStyle w:val="IAPODIMQ"/>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3317C5EC" w14:textId="77777777"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14:paraId="6978B742" w14:textId="4FE977D2" w:rsidR="00D64409" w:rsidRDefault="00D64409" w:rsidP="00D64409">
      <w:pPr>
        <w:pStyle w:val="Heading1"/>
      </w:pPr>
      <w:r w:rsidRPr="00C347F0">
        <w:lastRenderedPageBreak/>
        <w:t>Evidence Base</w:t>
      </w:r>
      <w:r>
        <w:t xml:space="preserve"> </w:t>
      </w:r>
    </w:p>
    <w:p w14:paraId="4CA6DCF0" w14:textId="77777777" w:rsidR="002652C0" w:rsidRPr="00F2089E" w:rsidRDefault="002652C0" w:rsidP="00A47F8A">
      <w:pPr>
        <w:pStyle w:val="IANotes"/>
        <w:numPr>
          <w:ilvl w:val="0"/>
          <w:numId w:val="5"/>
        </w:numPr>
        <w:spacing w:before="240"/>
        <w:ind w:left="720" w:hanging="720"/>
        <w:rPr>
          <w:b/>
          <w:color w:val="auto"/>
          <w:sz w:val="28"/>
          <w:szCs w:val="28"/>
        </w:rPr>
      </w:pPr>
      <w:r w:rsidRPr="00E36C81">
        <w:rPr>
          <w:b/>
          <w:color w:val="auto"/>
          <w:sz w:val="28"/>
          <w:szCs w:val="28"/>
        </w:rPr>
        <w:t>Background</w:t>
      </w:r>
    </w:p>
    <w:p w14:paraId="3876B263" w14:textId="77777777" w:rsidR="002652C0" w:rsidRDefault="002652C0" w:rsidP="002652C0">
      <w:pPr>
        <w:pStyle w:val="EBNumber"/>
        <w:numPr>
          <w:ilvl w:val="0"/>
          <w:numId w:val="0"/>
        </w:numPr>
        <w:spacing w:after="0"/>
        <w:ind w:left="567"/>
      </w:pPr>
      <w:r>
        <w:t xml:space="preserve">  </w:t>
      </w:r>
    </w:p>
    <w:p w14:paraId="3CA65994" w14:textId="00C565F2" w:rsidR="002652C0" w:rsidRPr="00E23AB6" w:rsidRDefault="002652C0" w:rsidP="00A47F8A">
      <w:pPr>
        <w:pStyle w:val="EBNumber"/>
        <w:numPr>
          <w:ilvl w:val="0"/>
          <w:numId w:val="4"/>
        </w:numPr>
        <w:tabs>
          <w:tab w:val="num" w:pos="567"/>
        </w:tabs>
        <w:jc w:val="both"/>
      </w:pPr>
      <w:r w:rsidRPr="00E23AB6">
        <w:t xml:space="preserve">HM Courts and Tribunals Service (HMCTS) delivers a benefit for courts users and the general public by providing a place where people can enforce and defend their rights. </w:t>
      </w:r>
      <w:proofErr w:type="gramStart"/>
      <w:r w:rsidRPr="00E23AB6">
        <w:t>A large number of</w:t>
      </w:r>
      <w:proofErr w:type="gramEnd"/>
      <w:r w:rsidRPr="00E23AB6">
        <w:t xml:space="preserve"> people use the services of HMCTS every year. Whether it be</w:t>
      </w:r>
      <w:r w:rsidRPr="00E23AB6" w:rsidDel="007220CE">
        <w:t xml:space="preserve"> </w:t>
      </w:r>
      <w:r w:rsidR="007220CE" w:rsidRPr="00E23AB6">
        <w:t xml:space="preserve">separated </w:t>
      </w:r>
      <w:r w:rsidRPr="00E23AB6">
        <w:t>parents in a family court, a vulnerable witness to a crime, or someone appealing a benefits decision, people interact with HMCTS at some of the most difficult times in their lives.</w:t>
      </w:r>
      <w:r w:rsidRPr="00E23AB6">
        <w:rPr>
          <w:rFonts w:eastAsiaTheme="minorEastAsia"/>
          <w:color w:val="auto"/>
          <w:lang w:eastAsia="en-US"/>
        </w:rPr>
        <w:t xml:space="preserve"> </w:t>
      </w:r>
    </w:p>
    <w:p w14:paraId="54C765E5" w14:textId="2034F56F" w:rsidR="002652C0" w:rsidRPr="0043120B" w:rsidRDefault="1D5EB024" w:rsidP="4EB2173D">
      <w:pPr>
        <w:pStyle w:val="EBNumber"/>
        <w:numPr>
          <w:ilvl w:val="0"/>
          <w:numId w:val="4"/>
        </w:numPr>
        <w:tabs>
          <w:tab w:val="num" w:pos="567"/>
        </w:tabs>
        <w:jc w:val="both"/>
      </w:pPr>
      <w:bookmarkStart w:id="27" w:name="_Ref56183762"/>
      <w:r w:rsidRPr="00E23AB6">
        <w:t>Fees</w:t>
      </w:r>
      <w:r w:rsidR="006B62B7" w:rsidRPr="00E23AB6">
        <w:t xml:space="preserve"> in </w:t>
      </w:r>
      <w:r w:rsidR="006B62B7">
        <w:t>c</w:t>
      </w:r>
      <w:r w:rsidR="006B62B7" w:rsidRPr="00E23AB6">
        <w:t>ivil</w:t>
      </w:r>
      <w:r w:rsidR="002A738B">
        <w:t xml:space="preserve"> and</w:t>
      </w:r>
      <w:r w:rsidR="00EA3470">
        <w:t xml:space="preserve"> f</w:t>
      </w:r>
      <w:r w:rsidR="006B62B7" w:rsidRPr="00E23AB6">
        <w:t>amily</w:t>
      </w:r>
      <w:r w:rsidR="00F86280">
        <w:t xml:space="preserve"> </w:t>
      </w:r>
      <w:r w:rsidR="006B62B7" w:rsidRPr="00E23AB6">
        <w:t>cases</w:t>
      </w:r>
      <w:r w:rsidRPr="00E23AB6">
        <w:t xml:space="preserve"> are an important source of funding for the courts, and a reasonable means of making resources available to secure access to justice. Under s92 of the Courts Act 2003, the Lord Chancellor has the power to prescribe fees</w:t>
      </w:r>
      <w:r w:rsidR="6827E84E" w:rsidRPr="00E23AB6">
        <w:t xml:space="preserve"> in respect of things done by the courts,</w:t>
      </w:r>
      <w:r w:rsidRPr="00E23AB6">
        <w:t xml:space="preserve"> which helps to ensure he fulfils his statutory duty to ensure </w:t>
      </w:r>
      <w:r w:rsidRPr="00E23AB6">
        <w:rPr>
          <w:i/>
        </w:rPr>
        <w:t xml:space="preserve">an efficient and effective </w:t>
      </w:r>
      <w:r w:rsidRPr="00E23AB6">
        <w:t>courts system.</w:t>
      </w:r>
      <w:r w:rsidR="002652C0" w:rsidRPr="004E11FA">
        <w:rPr>
          <w:rStyle w:val="FootnoteReference"/>
        </w:rPr>
        <w:footnoteReference w:id="2"/>
      </w:r>
      <w:bookmarkEnd w:id="27"/>
      <w:r w:rsidRPr="0043120B">
        <w:t xml:space="preserve"> </w:t>
      </w:r>
    </w:p>
    <w:p w14:paraId="6E4FF1B6" w14:textId="75001B56" w:rsidR="006C033C" w:rsidRPr="004F45EA" w:rsidRDefault="00EA6996" w:rsidP="009150DC">
      <w:pPr>
        <w:pStyle w:val="EBNumber"/>
        <w:numPr>
          <w:ilvl w:val="0"/>
          <w:numId w:val="4"/>
        </w:numPr>
        <w:tabs>
          <w:tab w:val="num" w:pos="567"/>
        </w:tabs>
        <w:jc w:val="both"/>
      </w:pPr>
      <w:proofErr w:type="gramStart"/>
      <w:r w:rsidRPr="0043120B">
        <w:t>The general legal principle,</w:t>
      </w:r>
      <w:proofErr w:type="gramEnd"/>
      <w:r w:rsidRPr="0043120B">
        <w:t xml:space="preserve"> set out in </w:t>
      </w:r>
      <w:r w:rsidR="641478B4" w:rsidRPr="0043120B">
        <w:t xml:space="preserve">HMT’s </w:t>
      </w:r>
      <w:r w:rsidRPr="0043120B">
        <w:t>Managing Public Money</w:t>
      </w:r>
      <w:r w:rsidR="641478B4" w:rsidRPr="0043120B">
        <w:t xml:space="preserve"> guidance</w:t>
      </w:r>
      <w:r w:rsidRPr="004F45EA">
        <w:rPr>
          <w:rStyle w:val="FootnoteReference"/>
        </w:rPr>
        <w:footnoteReference w:id="3"/>
      </w:r>
      <w:r w:rsidRPr="004F45EA">
        <w:t>, is that fees should not be set at a level that exceeds the cost of the service provided without express Parliamentary approval. The only</w:t>
      </w:r>
      <w:r w:rsidR="72A15BEF" w:rsidRPr="004F45EA">
        <w:t xml:space="preserve"> court</w:t>
      </w:r>
      <w:r w:rsidRPr="004F45EA">
        <w:t xml:space="preserve"> fees that may be set at a level that exceeds costs are those set under the enhanced </w:t>
      </w:r>
      <w:r w:rsidR="083CC4BD" w:rsidRPr="004F45EA">
        <w:t xml:space="preserve">court </w:t>
      </w:r>
      <w:r w:rsidRPr="004F45EA">
        <w:t>fee power (section 180 of the Anti-social Behaviour, Crime and Policing Act 2014).</w:t>
      </w:r>
    </w:p>
    <w:p w14:paraId="009CE7F3" w14:textId="1A576D3E" w:rsidR="002652C0" w:rsidRPr="008607B0" w:rsidRDefault="002652C0" w:rsidP="00A47F8A">
      <w:pPr>
        <w:pStyle w:val="EBNumber"/>
        <w:numPr>
          <w:ilvl w:val="0"/>
          <w:numId w:val="4"/>
        </w:numPr>
        <w:tabs>
          <w:tab w:val="num" w:pos="567"/>
        </w:tabs>
        <w:spacing w:before="240"/>
        <w:jc w:val="both"/>
      </w:pPr>
      <w:r w:rsidRPr="008607B0">
        <w:t xml:space="preserve">Within HMCTS, there are </w:t>
      </w:r>
      <w:r w:rsidR="006A716D" w:rsidRPr="008607B0">
        <w:t xml:space="preserve">c. 370 </w:t>
      </w:r>
      <w:r w:rsidRPr="008607B0">
        <w:t>separate fees charged for civil and family proceedings in the courts of England and Wales</w:t>
      </w:r>
      <w:r w:rsidR="006A716D" w:rsidRPr="008607B0">
        <w:t xml:space="preserve">, and </w:t>
      </w:r>
      <w:r w:rsidR="00E70973" w:rsidRPr="008607B0">
        <w:t xml:space="preserve">in </w:t>
      </w:r>
      <w:r w:rsidR="006A716D" w:rsidRPr="008607B0">
        <w:t>some tribunals</w:t>
      </w:r>
      <w:r w:rsidRPr="008607B0">
        <w:t>.</w:t>
      </w:r>
      <w:r w:rsidR="00252DE6" w:rsidRPr="00931F91">
        <w:rPr>
          <w:rStyle w:val="FootnoteReference"/>
        </w:rPr>
        <w:footnoteReference w:id="4"/>
      </w:r>
      <w:r w:rsidRPr="008607B0">
        <w:t xml:space="preserve"> </w:t>
      </w:r>
      <w:r w:rsidR="006A716D" w:rsidRPr="008607B0">
        <w:t>T</w:t>
      </w:r>
      <w:r w:rsidR="006C0E22" w:rsidRPr="008607B0">
        <w:t>hese fees are not routinely increased</w:t>
      </w:r>
      <w:r w:rsidR="006C0E22">
        <w:rPr>
          <w:rStyle w:val="FootnoteReference"/>
        </w:rPr>
        <w:footnoteReference w:id="5"/>
      </w:r>
      <w:r w:rsidR="006C0E22" w:rsidRPr="008607B0">
        <w:t xml:space="preserve"> and</w:t>
      </w:r>
      <w:r w:rsidR="000964AB" w:rsidRPr="008607B0">
        <w:t>,</w:t>
      </w:r>
      <w:r w:rsidR="00AC5201" w:rsidRPr="008607B0">
        <w:t xml:space="preserve"> as</w:t>
      </w:r>
      <w:r w:rsidR="006C0E22" w:rsidRPr="008607B0">
        <w:t xml:space="preserve"> t</w:t>
      </w:r>
      <w:r w:rsidR="006A716D" w:rsidRPr="008607B0">
        <w:t xml:space="preserve">he vast </w:t>
      </w:r>
      <w:r w:rsidR="006A716D" w:rsidRPr="0041136B">
        <w:t xml:space="preserve">majority of </w:t>
      </w:r>
      <w:r w:rsidR="000964AB" w:rsidRPr="0041136B">
        <w:t>fees</w:t>
      </w:r>
      <w:r w:rsidR="006A716D" w:rsidRPr="0041136B">
        <w:t xml:space="preserve"> have not been increased since 2016</w:t>
      </w:r>
      <w:r w:rsidR="006C0E22" w:rsidRPr="0041136B">
        <w:t xml:space="preserve">, they have been falling in real terms </w:t>
      </w:r>
      <w:r w:rsidR="00D94F7F" w:rsidRPr="0041136B">
        <w:t>due to inflation</w:t>
      </w:r>
      <w:r w:rsidR="006C0E22" w:rsidRPr="0041136B">
        <w:t>.</w:t>
      </w:r>
      <w:r w:rsidRPr="008607B0">
        <w:t xml:space="preserve"> </w:t>
      </w:r>
    </w:p>
    <w:p w14:paraId="365511A5" w14:textId="40B3117B" w:rsidR="00594950" w:rsidRDefault="00594950" w:rsidP="00B7401F">
      <w:pPr>
        <w:pStyle w:val="EBNumber"/>
        <w:numPr>
          <w:ilvl w:val="0"/>
          <w:numId w:val="4"/>
        </w:numPr>
        <w:tabs>
          <w:tab w:val="num" w:pos="426"/>
        </w:tabs>
        <w:spacing w:after="0"/>
        <w:jc w:val="both"/>
      </w:pPr>
      <w:r w:rsidRPr="008607B0">
        <w:t xml:space="preserve">Between August 2016 and </w:t>
      </w:r>
      <w:r w:rsidR="00042FE5" w:rsidRPr="00042FE5">
        <w:t>March</w:t>
      </w:r>
      <w:r w:rsidR="00CB72FD" w:rsidRPr="00042FE5">
        <w:t xml:space="preserve"> 2021</w:t>
      </w:r>
      <w:r w:rsidRPr="008607B0">
        <w:t xml:space="preserve">, </w:t>
      </w:r>
      <w:r w:rsidR="004F1517">
        <w:t xml:space="preserve">the </w:t>
      </w:r>
      <w:r w:rsidRPr="008607B0">
        <w:t>UK's general price level, as defined by the Consumer Price Index (CPI), rose by around 7.</w:t>
      </w:r>
      <w:r w:rsidR="00042FE5" w:rsidRPr="00042FE5">
        <w:t>8</w:t>
      </w:r>
      <w:r w:rsidRPr="008607B0">
        <w:t xml:space="preserve">%, representing a substantial fall in income to HMCTS in real terms, other things being equal. If fee income is not raised to keep pace with inflation, court services may be affected, and the overall taxpayer subsidy </w:t>
      </w:r>
      <w:r w:rsidR="00C61AAD">
        <w:t>for</w:t>
      </w:r>
      <w:r w:rsidRPr="008607B0">
        <w:t xml:space="preserve"> HMCTS will likely increase. The option assessed in the Impact Assessment (IA) seeks to address this issue by increasing </w:t>
      </w:r>
      <w:r w:rsidR="008F12F1">
        <w:t>12</w:t>
      </w:r>
      <w:r w:rsidR="00FA160D">
        <w:t>8</w:t>
      </w:r>
      <w:r w:rsidRPr="008607B0">
        <w:t xml:space="preserve"> fees by inflation backdated to August 2016</w:t>
      </w:r>
      <w:r w:rsidR="00DC58E2" w:rsidRPr="00042FE5">
        <w:t>, or the date of the last fee change if later</w:t>
      </w:r>
      <w:r w:rsidRPr="008607B0">
        <w:t>.</w:t>
      </w:r>
    </w:p>
    <w:p w14:paraId="0078B433" w14:textId="77777777" w:rsidR="00594950" w:rsidRPr="008607B0" w:rsidRDefault="00594950" w:rsidP="008607B0">
      <w:pPr>
        <w:pStyle w:val="EBNumber"/>
        <w:numPr>
          <w:ilvl w:val="0"/>
          <w:numId w:val="0"/>
        </w:numPr>
        <w:spacing w:after="0"/>
        <w:ind w:left="360"/>
        <w:jc w:val="both"/>
      </w:pPr>
    </w:p>
    <w:p w14:paraId="38B0D6E9" w14:textId="30B2784C" w:rsidR="00D35D21" w:rsidRPr="008607B0" w:rsidRDefault="00AC5201" w:rsidP="00A47F8A">
      <w:pPr>
        <w:pStyle w:val="EBNumber"/>
        <w:numPr>
          <w:ilvl w:val="0"/>
          <w:numId w:val="4"/>
        </w:numPr>
        <w:tabs>
          <w:tab w:val="num" w:pos="567"/>
        </w:tabs>
        <w:jc w:val="both"/>
      </w:pPr>
      <w:r w:rsidRPr="008607B0">
        <w:t xml:space="preserve">Annex A provides full details of the </w:t>
      </w:r>
      <w:r w:rsidR="008F12F1">
        <w:t>12</w:t>
      </w:r>
      <w:r w:rsidR="00FA160D">
        <w:t>8</w:t>
      </w:r>
      <w:r w:rsidRPr="008607B0">
        <w:t xml:space="preserve"> fees which are proposed to</w:t>
      </w:r>
      <w:r w:rsidR="00A55CA9" w:rsidRPr="008607B0">
        <w:t xml:space="preserve"> be</w:t>
      </w:r>
      <w:r w:rsidRPr="008607B0">
        <w:t xml:space="preserve"> increase</w:t>
      </w:r>
      <w:r w:rsidR="00A55CA9" w:rsidRPr="008607B0">
        <w:t>d</w:t>
      </w:r>
      <w:r w:rsidR="000E114A" w:rsidRPr="008607B0">
        <w:t>.</w:t>
      </w:r>
      <w:r w:rsidRPr="008607B0">
        <w:t xml:space="preserve"> </w:t>
      </w:r>
      <w:r w:rsidR="00D35D21" w:rsidRPr="008607B0">
        <w:t xml:space="preserve"> </w:t>
      </w:r>
      <w:r w:rsidR="006D4338" w:rsidRPr="008607B0">
        <w:t xml:space="preserve">The court fees proposed to increase </w:t>
      </w:r>
      <w:r w:rsidR="004B494C" w:rsidRPr="008607B0">
        <w:t>have been selected</w:t>
      </w:r>
      <w:r w:rsidR="00031227" w:rsidRPr="008607B0">
        <w:t xml:space="preserve"> from</w:t>
      </w:r>
      <w:r w:rsidR="00C529CF" w:rsidRPr="008607B0">
        <w:t xml:space="preserve"> those</w:t>
      </w:r>
      <w:r w:rsidR="00810DD3" w:rsidRPr="008607B0">
        <w:t xml:space="preserve"> that </w:t>
      </w:r>
      <w:r w:rsidR="00335E1B" w:rsidRPr="008607B0">
        <w:t>are currently</w:t>
      </w:r>
      <w:r w:rsidR="004618D5" w:rsidRPr="008607B0">
        <w:t xml:space="preserve"> set </w:t>
      </w:r>
      <w:r w:rsidR="00F03A0C" w:rsidRPr="008607B0">
        <w:t xml:space="preserve">below their unit cost, or that have been set under the enhanced </w:t>
      </w:r>
      <w:r w:rsidR="00B71B7B" w:rsidRPr="008607B0">
        <w:t>court fee power</w:t>
      </w:r>
      <w:r w:rsidR="00A97AA2" w:rsidRPr="008607B0">
        <w:t xml:space="preserve">. Further details can be found </w:t>
      </w:r>
      <w:r w:rsidR="00A957C2" w:rsidRPr="008607B0">
        <w:t xml:space="preserve">in the </w:t>
      </w:r>
      <w:r w:rsidR="00BC3651" w:rsidRPr="008607B0">
        <w:t xml:space="preserve">methodology and key assumptions section </w:t>
      </w:r>
      <w:r w:rsidR="0099114D" w:rsidRPr="008607B0">
        <w:t>starting at</w:t>
      </w:r>
      <w:r w:rsidR="00A97AA2" w:rsidRPr="008607B0">
        <w:t xml:space="preserve"> paragraph</w:t>
      </w:r>
      <w:r w:rsidR="00BC3651" w:rsidRPr="008607B0">
        <w:t xml:space="preserve"> </w:t>
      </w:r>
      <w:r w:rsidR="00680D14" w:rsidRPr="00680D14">
        <w:fldChar w:fldCharType="begin"/>
      </w:r>
      <w:r w:rsidR="00680D14" w:rsidRPr="00680D14">
        <w:instrText xml:space="preserve"> REF _Ref63872184 \r \h </w:instrText>
      </w:r>
      <w:r w:rsidR="00680D14">
        <w:instrText xml:space="preserve"> \* MERGEFORMAT </w:instrText>
      </w:r>
      <w:r w:rsidR="00680D14" w:rsidRPr="00680D14">
        <w:fldChar w:fldCharType="separate"/>
      </w:r>
      <w:r w:rsidR="00F8144E">
        <w:t>23</w:t>
      </w:r>
      <w:r w:rsidR="00680D14" w:rsidRPr="00680D14">
        <w:fldChar w:fldCharType="end"/>
      </w:r>
      <w:r w:rsidR="00A55CA9" w:rsidRPr="00680D14">
        <w:t xml:space="preserve"> below</w:t>
      </w:r>
      <w:r w:rsidR="00C529CF" w:rsidRPr="008607B0">
        <w:t>.</w:t>
      </w:r>
      <w:r w:rsidR="009E4EEA" w:rsidRPr="008607B0">
        <w:t xml:space="preserve"> </w:t>
      </w:r>
      <w:r w:rsidR="00834D6B" w:rsidRPr="008607B0">
        <w:fldChar w:fldCharType="begin"/>
      </w:r>
      <w:r w:rsidR="00834D6B" w:rsidRPr="008607B0">
        <w:instrText xml:space="preserve"> REF _Ref63617723 </w:instrText>
      </w:r>
      <w:r w:rsidR="00931F91">
        <w:instrText xml:space="preserve"> \* MERGEFORMAT </w:instrText>
      </w:r>
      <w:r w:rsidR="00834D6B" w:rsidRPr="008607B0">
        <w:fldChar w:fldCharType="separate"/>
      </w:r>
      <w:r w:rsidR="00834D6B" w:rsidRPr="008607B0">
        <w:t xml:space="preserve">Table </w:t>
      </w:r>
      <w:r w:rsidR="00834D6B" w:rsidRPr="008607B0">
        <w:rPr>
          <w:noProof/>
        </w:rPr>
        <w:t>1</w:t>
      </w:r>
      <w:r w:rsidR="00834D6B" w:rsidRPr="008607B0">
        <w:fldChar w:fldCharType="end"/>
      </w:r>
      <w:r w:rsidR="00D35D21" w:rsidRPr="008607B0">
        <w:t xml:space="preserve"> below provides a summary of the number of affected fees, by fees order:</w:t>
      </w:r>
    </w:p>
    <w:p w14:paraId="077DA145" w14:textId="50C70A37" w:rsidR="00834D6B" w:rsidRPr="003A6172" w:rsidRDefault="00834D6B" w:rsidP="003A6172">
      <w:pPr>
        <w:pStyle w:val="EBNumber"/>
        <w:numPr>
          <w:ilvl w:val="0"/>
          <w:numId w:val="0"/>
        </w:numPr>
        <w:tabs>
          <w:tab w:val="num" w:pos="567"/>
        </w:tabs>
        <w:ind w:left="360"/>
        <w:jc w:val="both"/>
        <w:rPr>
          <w:b/>
        </w:rPr>
      </w:pPr>
      <w:bookmarkStart w:id="28" w:name="_Ref63617723"/>
      <w:r w:rsidRPr="00B8681D">
        <w:rPr>
          <w:b/>
        </w:rPr>
        <w:t xml:space="preserve">Table </w:t>
      </w:r>
      <w:r w:rsidRPr="00B8681D">
        <w:rPr>
          <w:b/>
        </w:rPr>
        <w:fldChar w:fldCharType="begin"/>
      </w:r>
      <w:r w:rsidRPr="00B8681D">
        <w:rPr>
          <w:b/>
        </w:rPr>
        <w:instrText xml:space="preserve"> SEQ Table \* ARABIC </w:instrText>
      </w:r>
      <w:r w:rsidRPr="00B8681D">
        <w:rPr>
          <w:b/>
        </w:rPr>
        <w:fldChar w:fldCharType="separate"/>
      </w:r>
      <w:r w:rsidR="00A55E92" w:rsidRPr="00B8681D">
        <w:rPr>
          <w:b/>
        </w:rPr>
        <w:t>1</w:t>
      </w:r>
      <w:r w:rsidRPr="00B8681D">
        <w:rPr>
          <w:b/>
        </w:rPr>
        <w:fldChar w:fldCharType="end"/>
      </w:r>
      <w:bookmarkEnd w:id="28"/>
      <w:r w:rsidR="00D35D21" w:rsidRPr="00B8681D">
        <w:rPr>
          <w:b/>
        </w:rPr>
        <w:t>: Fees affected, by fees order</w:t>
      </w:r>
    </w:p>
    <w:tbl>
      <w:tblPr>
        <w:tblW w:w="6247"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1140"/>
      </w:tblGrid>
      <w:tr w:rsidR="00D35D21" w:rsidRPr="00D35D21" w14:paraId="5725300D" w14:textId="77777777" w:rsidTr="5BA0F7BB">
        <w:trPr>
          <w:trHeight w:val="290"/>
        </w:trPr>
        <w:tc>
          <w:tcPr>
            <w:tcW w:w="5107" w:type="dxa"/>
            <w:shd w:val="clear" w:color="auto" w:fill="auto"/>
            <w:noWrap/>
            <w:vAlign w:val="bottom"/>
            <w:hideMark/>
          </w:tcPr>
          <w:p w14:paraId="7A5438DE" w14:textId="77777777" w:rsidR="00D35D21" w:rsidRPr="00B8681D" w:rsidRDefault="00D35D21" w:rsidP="00D35D21">
            <w:pPr>
              <w:rPr>
                <w:rFonts w:cs="Arial"/>
                <w:b/>
                <w:color w:val="000000"/>
                <w:sz w:val="22"/>
                <w:szCs w:val="22"/>
                <w:lang w:eastAsia="en-GB"/>
              </w:rPr>
            </w:pPr>
            <w:r w:rsidRPr="00B8681D">
              <w:rPr>
                <w:rFonts w:cs="Arial"/>
                <w:b/>
                <w:color w:val="000000"/>
                <w:sz w:val="22"/>
                <w:szCs w:val="22"/>
                <w:lang w:eastAsia="en-GB"/>
              </w:rPr>
              <w:t>Fees Order</w:t>
            </w:r>
          </w:p>
        </w:tc>
        <w:tc>
          <w:tcPr>
            <w:tcW w:w="1140" w:type="dxa"/>
            <w:shd w:val="clear" w:color="auto" w:fill="auto"/>
            <w:noWrap/>
            <w:vAlign w:val="bottom"/>
            <w:hideMark/>
          </w:tcPr>
          <w:p w14:paraId="0C168627" w14:textId="77777777" w:rsidR="00D35D21" w:rsidRPr="00B8681D" w:rsidRDefault="00D35D21" w:rsidP="00D35D21">
            <w:pPr>
              <w:rPr>
                <w:rFonts w:cs="Arial"/>
                <w:b/>
                <w:color w:val="000000"/>
                <w:sz w:val="22"/>
                <w:szCs w:val="22"/>
                <w:lang w:eastAsia="en-GB"/>
              </w:rPr>
            </w:pPr>
            <w:r w:rsidRPr="00B8681D">
              <w:rPr>
                <w:rFonts w:cs="Arial"/>
                <w:b/>
                <w:color w:val="000000"/>
                <w:sz w:val="22"/>
                <w:szCs w:val="22"/>
                <w:lang w:eastAsia="en-GB"/>
              </w:rPr>
              <w:t>Number of fees</w:t>
            </w:r>
          </w:p>
        </w:tc>
      </w:tr>
      <w:tr w:rsidR="00D35D21" w:rsidRPr="00D35D21" w14:paraId="37C729DF" w14:textId="77777777" w:rsidTr="5BA0F7BB">
        <w:trPr>
          <w:trHeight w:val="290"/>
        </w:trPr>
        <w:tc>
          <w:tcPr>
            <w:tcW w:w="5107" w:type="dxa"/>
            <w:shd w:val="clear" w:color="auto" w:fill="auto"/>
            <w:noWrap/>
            <w:vAlign w:val="bottom"/>
            <w:hideMark/>
          </w:tcPr>
          <w:p w14:paraId="48B1512B" w14:textId="52AE2CAF" w:rsidR="00D35D21" w:rsidRPr="00B8681D" w:rsidRDefault="000D6BA7" w:rsidP="00D35D21">
            <w:pPr>
              <w:rPr>
                <w:rFonts w:cs="Arial"/>
                <w:color w:val="000000"/>
                <w:sz w:val="22"/>
                <w:szCs w:val="22"/>
                <w:lang w:eastAsia="en-GB"/>
              </w:rPr>
            </w:pPr>
            <w:r>
              <w:rPr>
                <w:rFonts w:cs="Arial"/>
                <w:color w:val="000000"/>
                <w:sz w:val="22"/>
                <w:szCs w:val="22"/>
                <w:lang w:eastAsia="en-GB"/>
              </w:rPr>
              <w:t xml:space="preserve">The </w:t>
            </w:r>
            <w:r w:rsidR="00D35D21" w:rsidRPr="00B8681D">
              <w:rPr>
                <w:rFonts w:cs="Arial"/>
                <w:color w:val="000000"/>
                <w:sz w:val="22"/>
                <w:szCs w:val="22"/>
                <w:lang w:eastAsia="en-GB"/>
              </w:rPr>
              <w:t>Civil Proceedings</w:t>
            </w:r>
            <w:r>
              <w:rPr>
                <w:rFonts w:cs="Arial"/>
                <w:color w:val="000000"/>
                <w:sz w:val="22"/>
                <w:szCs w:val="22"/>
                <w:lang w:eastAsia="en-GB"/>
              </w:rPr>
              <w:t xml:space="preserve"> Fees Order 2008 No </w:t>
            </w:r>
            <w:r w:rsidR="00207DC1">
              <w:rPr>
                <w:rFonts w:cs="Arial"/>
                <w:color w:val="000000"/>
                <w:sz w:val="22"/>
                <w:szCs w:val="22"/>
                <w:lang w:eastAsia="en-GB"/>
              </w:rPr>
              <w:t>1053</w:t>
            </w:r>
          </w:p>
        </w:tc>
        <w:tc>
          <w:tcPr>
            <w:tcW w:w="1140" w:type="dxa"/>
            <w:shd w:val="clear" w:color="auto" w:fill="auto"/>
            <w:noWrap/>
            <w:vAlign w:val="bottom"/>
            <w:hideMark/>
          </w:tcPr>
          <w:p w14:paraId="5583AE6B" w14:textId="55F9D754" w:rsidR="00D35D21" w:rsidRPr="00B8681D" w:rsidRDefault="00D35D21" w:rsidP="00D35D21">
            <w:pPr>
              <w:jc w:val="right"/>
              <w:rPr>
                <w:rFonts w:cs="Arial"/>
                <w:color w:val="000000"/>
                <w:sz w:val="22"/>
                <w:szCs w:val="22"/>
                <w:lang w:eastAsia="en-GB"/>
              </w:rPr>
            </w:pPr>
            <w:r w:rsidRPr="00B8681D">
              <w:rPr>
                <w:rFonts w:cs="Arial"/>
                <w:color w:val="000000"/>
                <w:sz w:val="22"/>
                <w:szCs w:val="22"/>
                <w:lang w:eastAsia="en-GB"/>
              </w:rPr>
              <w:t>6</w:t>
            </w:r>
            <w:r w:rsidR="008F12F1">
              <w:rPr>
                <w:rFonts w:cs="Arial"/>
                <w:color w:val="000000"/>
                <w:sz w:val="22"/>
                <w:szCs w:val="22"/>
                <w:lang w:eastAsia="en-GB"/>
              </w:rPr>
              <w:t>6</w:t>
            </w:r>
          </w:p>
        </w:tc>
      </w:tr>
      <w:tr w:rsidR="00D35D21" w:rsidRPr="00D35D21" w14:paraId="51A4A5BD" w14:textId="77777777" w:rsidTr="5BA0F7BB">
        <w:trPr>
          <w:trHeight w:val="290"/>
        </w:trPr>
        <w:tc>
          <w:tcPr>
            <w:tcW w:w="5107" w:type="dxa"/>
            <w:shd w:val="clear" w:color="auto" w:fill="auto"/>
            <w:noWrap/>
            <w:vAlign w:val="bottom"/>
            <w:hideMark/>
          </w:tcPr>
          <w:p w14:paraId="6E9E122C" w14:textId="2A6AB4E8" w:rsidR="00D35D21" w:rsidRPr="00B8681D" w:rsidRDefault="00D35D21" w:rsidP="00D35D21">
            <w:pPr>
              <w:rPr>
                <w:rFonts w:cs="Arial"/>
                <w:color w:val="000000"/>
                <w:sz w:val="22"/>
                <w:szCs w:val="22"/>
                <w:lang w:eastAsia="en-GB"/>
              </w:rPr>
            </w:pPr>
            <w:r w:rsidRPr="00B8681D">
              <w:rPr>
                <w:rFonts w:cs="Arial"/>
                <w:color w:val="000000"/>
                <w:sz w:val="22"/>
                <w:szCs w:val="22"/>
                <w:lang w:eastAsia="en-GB"/>
              </w:rPr>
              <w:t xml:space="preserve">Family Proceedings </w:t>
            </w:r>
            <w:r w:rsidR="00207DC1">
              <w:rPr>
                <w:rFonts w:cs="Arial"/>
                <w:color w:val="000000"/>
                <w:sz w:val="22"/>
                <w:szCs w:val="22"/>
                <w:lang w:eastAsia="en-GB"/>
              </w:rPr>
              <w:t>Fees Order 2008 No 1054</w:t>
            </w:r>
          </w:p>
        </w:tc>
        <w:tc>
          <w:tcPr>
            <w:tcW w:w="1140" w:type="dxa"/>
            <w:shd w:val="clear" w:color="auto" w:fill="auto"/>
            <w:noWrap/>
            <w:vAlign w:val="bottom"/>
            <w:hideMark/>
          </w:tcPr>
          <w:p w14:paraId="412C0ABC" w14:textId="49BDC291" w:rsidR="00D35D21" w:rsidRPr="00B8681D" w:rsidRDefault="00D35D21" w:rsidP="00D35D21">
            <w:pPr>
              <w:jc w:val="right"/>
              <w:rPr>
                <w:rFonts w:cs="Arial"/>
                <w:color w:val="000000"/>
                <w:sz w:val="22"/>
                <w:szCs w:val="22"/>
                <w:lang w:eastAsia="en-GB"/>
              </w:rPr>
            </w:pPr>
            <w:r w:rsidRPr="00B8681D">
              <w:rPr>
                <w:rFonts w:cs="Arial"/>
                <w:color w:val="000000"/>
                <w:sz w:val="22"/>
                <w:szCs w:val="22"/>
                <w:lang w:eastAsia="en-GB"/>
              </w:rPr>
              <w:t>4</w:t>
            </w:r>
            <w:r w:rsidR="00FA160D">
              <w:rPr>
                <w:rFonts w:cs="Arial"/>
                <w:color w:val="000000"/>
                <w:sz w:val="22"/>
                <w:szCs w:val="22"/>
                <w:lang w:eastAsia="en-GB"/>
              </w:rPr>
              <w:t>2</w:t>
            </w:r>
          </w:p>
        </w:tc>
      </w:tr>
      <w:tr w:rsidR="00D35D21" w:rsidRPr="00D35D21" w14:paraId="610ED5CB" w14:textId="77777777" w:rsidTr="5BA0F7BB">
        <w:trPr>
          <w:trHeight w:val="290"/>
        </w:trPr>
        <w:tc>
          <w:tcPr>
            <w:tcW w:w="5107" w:type="dxa"/>
            <w:shd w:val="clear" w:color="auto" w:fill="auto"/>
            <w:noWrap/>
            <w:vAlign w:val="bottom"/>
            <w:hideMark/>
          </w:tcPr>
          <w:p w14:paraId="34771C87" w14:textId="1E430A47" w:rsidR="00D35D21" w:rsidRPr="00B8681D" w:rsidRDefault="39121F59" w:rsidP="00D35D21">
            <w:pPr>
              <w:rPr>
                <w:rFonts w:cs="Arial"/>
                <w:color w:val="000000"/>
                <w:sz w:val="22"/>
                <w:szCs w:val="22"/>
                <w:lang w:eastAsia="en-GB"/>
              </w:rPr>
            </w:pPr>
            <w:r w:rsidRPr="00B8681D">
              <w:rPr>
                <w:rFonts w:cs="Arial"/>
                <w:color w:val="000000" w:themeColor="text1"/>
                <w:sz w:val="22"/>
                <w:szCs w:val="22"/>
                <w:lang w:eastAsia="en-GB"/>
              </w:rPr>
              <w:t>Magistrates</w:t>
            </w:r>
            <w:r w:rsidR="2E0CB8EE" w:rsidRPr="00B8681D">
              <w:rPr>
                <w:rFonts w:cs="Arial"/>
                <w:color w:val="000000" w:themeColor="text1"/>
                <w:sz w:val="22"/>
                <w:szCs w:val="22"/>
                <w:lang w:eastAsia="en-GB"/>
              </w:rPr>
              <w:t>’</w:t>
            </w:r>
            <w:r w:rsidRPr="00B8681D">
              <w:rPr>
                <w:rFonts w:cs="Arial"/>
                <w:color w:val="000000" w:themeColor="text1"/>
                <w:sz w:val="22"/>
                <w:szCs w:val="22"/>
                <w:lang w:eastAsia="en-GB"/>
              </w:rPr>
              <w:t xml:space="preserve"> Courts</w:t>
            </w:r>
            <w:r w:rsidR="00207DC1">
              <w:rPr>
                <w:rFonts w:cs="Arial"/>
                <w:color w:val="000000" w:themeColor="text1"/>
                <w:sz w:val="22"/>
                <w:szCs w:val="22"/>
                <w:lang w:eastAsia="en-GB"/>
              </w:rPr>
              <w:t xml:space="preserve"> Fees Order</w:t>
            </w:r>
            <w:r w:rsidR="00AF035E">
              <w:rPr>
                <w:rFonts w:cs="Arial"/>
                <w:color w:val="000000" w:themeColor="text1"/>
                <w:sz w:val="22"/>
                <w:szCs w:val="22"/>
                <w:lang w:eastAsia="en-GB"/>
              </w:rPr>
              <w:t xml:space="preserve"> 2008 No 1052</w:t>
            </w:r>
          </w:p>
        </w:tc>
        <w:tc>
          <w:tcPr>
            <w:tcW w:w="1140" w:type="dxa"/>
            <w:shd w:val="clear" w:color="auto" w:fill="auto"/>
            <w:noWrap/>
            <w:vAlign w:val="bottom"/>
            <w:hideMark/>
          </w:tcPr>
          <w:p w14:paraId="588E2ADA" w14:textId="14C5E6B6" w:rsidR="00D35D21" w:rsidRPr="00B8681D" w:rsidRDefault="0082286E" w:rsidP="00D35D21">
            <w:pPr>
              <w:jc w:val="right"/>
              <w:rPr>
                <w:rFonts w:cs="Arial"/>
                <w:color w:val="000000"/>
                <w:sz w:val="22"/>
                <w:szCs w:val="22"/>
                <w:lang w:eastAsia="en-GB"/>
              </w:rPr>
            </w:pPr>
            <w:r w:rsidRPr="00352795">
              <w:rPr>
                <w:rFonts w:cs="Arial"/>
                <w:color w:val="000000"/>
                <w:sz w:val="22"/>
                <w:szCs w:val="22"/>
                <w:lang w:eastAsia="en-GB"/>
              </w:rPr>
              <w:t>17</w:t>
            </w:r>
          </w:p>
        </w:tc>
      </w:tr>
      <w:tr w:rsidR="00D35D21" w:rsidRPr="00D35D21" w14:paraId="491ADEB8" w14:textId="77777777" w:rsidTr="5BA0F7BB">
        <w:trPr>
          <w:trHeight w:val="290"/>
        </w:trPr>
        <w:tc>
          <w:tcPr>
            <w:tcW w:w="5107" w:type="dxa"/>
            <w:shd w:val="clear" w:color="auto" w:fill="auto"/>
            <w:noWrap/>
            <w:vAlign w:val="bottom"/>
            <w:hideMark/>
          </w:tcPr>
          <w:p w14:paraId="112CBC78" w14:textId="46F04657" w:rsidR="00D35D21" w:rsidRPr="00B8681D" w:rsidRDefault="00D35D21" w:rsidP="00D35D21">
            <w:pPr>
              <w:rPr>
                <w:rFonts w:cs="Arial"/>
                <w:color w:val="000000"/>
                <w:sz w:val="22"/>
                <w:szCs w:val="22"/>
                <w:lang w:eastAsia="en-GB"/>
              </w:rPr>
            </w:pPr>
            <w:r w:rsidRPr="00B8681D">
              <w:rPr>
                <w:rFonts w:cs="Arial"/>
                <w:color w:val="000000"/>
                <w:sz w:val="22"/>
                <w:szCs w:val="22"/>
                <w:lang w:eastAsia="en-GB"/>
              </w:rPr>
              <w:t>Court of Protection</w:t>
            </w:r>
            <w:r w:rsidR="00AF035E">
              <w:rPr>
                <w:rFonts w:cs="Arial"/>
                <w:color w:val="000000"/>
                <w:sz w:val="22"/>
                <w:szCs w:val="22"/>
                <w:lang w:eastAsia="en-GB"/>
              </w:rPr>
              <w:t xml:space="preserve"> Fees Order 2007 No 1745</w:t>
            </w:r>
          </w:p>
        </w:tc>
        <w:tc>
          <w:tcPr>
            <w:tcW w:w="1140" w:type="dxa"/>
            <w:shd w:val="clear" w:color="auto" w:fill="auto"/>
            <w:noWrap/>
            <w:vAlign w:val="bottom"/>
            <w:hideMark/>
          </w:tcPr>
          <w:p w14:paraId="7C46F466" w14:textId="77777777" w:rsidR="00D35D21" w:rsidRPr="00B8681D" w:rsidRDefault="00D35D21" w:rsidP="00D35D21">
            <w:pPr>
              <w:jc w:val="right"/>
              <w:rPr>
                <w:rFonts w:cs="Arial"/>
                <w:color w:val="000000"/>
                <w:sz w:val="22"/>
                <w:szCs w:val="22"/>
                <w:lang w:eastAsia="en-GB"/>
              </w:rPr>
            </w:pPr>
            <w:r w:rsidRPr="00B8681D">
              <w:rPr>
                <w:rFonts w:cs="Arial"/>
                <w:color w:val="000000"/>
                <w:sz w:val="22"/>
                <w:szCs w:val="22"/>
                <w:lang w:eastAsia="en-GB"/>
              </w:rPr>
              <w:t>3</w:t>
            </w:r>
          </w:p>
        </w:tc>
      </w:tr>
      <w:tr w:rsidR="00D35D21" w:rsidRPr="00D35D21" w14:paraId="0E3078A3" w14:textId="77777777" w:rsidTr="5BA0F7BB">
        <w:trPr>
          <w:trHeight w:val="290"/>
        </w:trPr>
        <w:tc>
          <w:tcPr>
            <w:tcW w:w="5107" w:type="dxa"/>
            <w:shd w:val="clear" w:color="auto" w:fill="auto"/>
            <w:noWrap/>
            <w:vAlign w:val="bottom"/>
            <w:hideMark/>
          </w:tcPr>
          <w:p w14:paraId="1B6EAA33" w14:textId="77777777" w:rsidR="00D35D21" w:rsidRPr="00B8681D" w:rsidRDefault="00D35D21" w:rsidP="00D35D21">
            <w:pPr>
              <w:rPr>
                <w:rFonts w:cs="Arial"/>
                <w:b/>
                <w:color w:val="000000"/>
                <w:sz w:val="22"/>
                <w:szCs w:val="22"/>
                <w:lang w:eastAsia="en-GB"/>
              </w:rPr>
            </w:pPr>
            <w:r w:rsidRPr="00B8681D">
              <w:rPr>
                <w:rFonts w:cs="Arial"/>
                <w:b/>
                <w:color w:val="000000"/>
                <w:sz w:val="22"/>
                <w:szCs w:val="22"/>
                <w:lang w:eastAsia="en-GB"/>
              </w:rPr>
              <w:t xml:space="preserve">Total </w:t>
            </w:r>
          </w:p>
        </w:tc>
        <w:tc>
          <w:tcPr>
            <w:tcW w:w="1140" w:type="dxa"/>
            <w:shd w:val="clear" w:color="auto" w:fill="auto"/>
            <w:noWrap/>
            <w:vAlign w:val="bottom"/>
            <w:hideMark/>
          </w:tcPr>
          <w:p w14:paraId="7F84369F" w14:textId="0FDE0F0B" w:rsidR="00D35D21" w:rsidRPr="00B8681D" w:rsidRDefault="00D35D21" w:rsidP="00D35D21">
            <w:pPr>
              <w:jc w:val="right"/>
              <w:rPr>
                <w:rFonts w:cs="Arial"/>
                <w:b/>
                <w:color w:val="000000"/>
                <w:sz w:val="22"/>
                <w:szCs w:val="22"/>
                <w:lang w:eastAsia="en-GB"/>
              </w:rPr>
            </w:pPr>
            <w:r w:rsidRPr="00352795">
              <w:rPr>
                <w:rFonts w:cs="Arial"/>
                <w:b/>
                <w:color w:val="000000"/>
                <w:sz w:val="22"/>
                <w:szCs w:val="22"/>
                <w:lang w:eastAsia="en-GB"/>
              </w:rPr>
              <w:t>1</w:t>
            </w:r>
            <w:r w:rsidR="008F12F1">
              <w:rPr>
                <w:rFonts w:cs="Arial"/>
                <w:b/>
                <w:color w:val="000000"/>
                <w:sz w:val="22"/>
                <w:szCs w:val="22"/>
                <w:lang w:eastAsia="en-GB"/>
              </w:rPr>
              <w:t>2</w:t>
            </w:r>
            <w:r w:rsidR="00FA160D">
              <w:rPr>
                <w:rFonts w:cs="Arial"/>
                <w:b/>
                <w:color w:val="000000"/>
                <w:sz w:val="22"/>
                <w:szCs w:val="22"/>
                <w:lang w:eastAsia="en-GB"/>
              </w:rPr>
              <w:t>8</w:t>
            </w:r>
          </w:p>
        </w:tc>
      </w:tr>
    </w:tbl>
    <w:p w14:paraId="6C858279" w14:textId="310F72B8" w:rsidR="00AC5201" w:rsidRPr="00A008A3" w:rsidRDefault="00AC5201" w:rsidP="00D35D21">
      <w:pPr>
        <w:pStyle w:val="EBNumber"/>
        <w:numPr>
          <w:ilvl w:val="0"/>
          <w:numId w:val="0"/>
        </w:numPr>
        <w:tabs>
          <w:tab w:val="num" w:pos="567"/>
        </w:tabs>
        <w:ind w:left="360"/>
        <w:jc w:val="both"/>
        <w:rPr>
          <w:sz w:val="24"/>
        </w:rPr>
      </w:pPr>
      <w:r w:rsidRPr="00A008A3">
        <w:rPr>
          <w:sz w:val="24"/>
        </w:rPr>
        <w:t xml:space="preserve"> </w:t>
      </w:r>
    </w:p>
    <w:p w14:paraId="69E8719E" w14:textId="0CDA363B" w:rsidR="002C495B" w:rsidRPr="00814849" w:rsidRDefault="50296359" w:rsidP="4EB2173D">
      <w:pPr>
        <w:pStyle w:val="EBNumber"/>
        <w:numPr>
          <w:ilvl w:val="0"/>
          <w:numId w:val="4"/>
        </w:numPr>
        <w:tabs>
          <w:tab w:val="num" w:pos="567"/>
        </w:tabs>
        <w:spacing w:before="240"/>
        <w:jc w:val="both"/>
      </w:pPr>
      <w:r w:rsidRPr="00814849">
        <w:t>C</w:t>
      </w:r>
      <w:r w:rsidR="6422F9FC" w:rsidRPr="00814849">
        <w:t xml:space="preserve">ourt fees should not prevent anyone from </w:t>
      </w:r>
      <w:r w:rsidR="6C882464" w:rsidRPr="00814849">
        <w:t>accessing</w:t>
      </w:r>
      <w:r w:rsidR="6422F9FC" w:rsidRPr="00814849">
        <w:t xml:space="preserve"> justice and so </w:t>
      </w:r>
      <w:r w:rsidRPr="00814849">
        <w:t xml:space="preserve">HMCTS operates </w:t>
      </w:r>
      <w:r w:rsidR="6422F9FC" w:rsidRPr="00814849">
        <w:t>the Help with Fees (</w:t>
      </w:r>
      <w:proofErr w:type="spellStart"/>
      <w:r w:rsidR="6422F9FC" w:rsidRPr="00814849">
        <w:t>HwF</w:t>
      </w:r>
      <w:proofErr w:type="spellEnd"/>
      <w:r w:rsidR="6422F9FC" w:rsidRPr="00814849">
        <w:t>) scheme</w:t>
      </w:r>
      <w:r w:rsidRPr="00814849">
        <w:t>, which</w:t>
      </w:r>
      <w:r w:rsidR="6422F9FC" w:rsidRPr="00814849">
        <w:t xml:space="preserve"> offers a full or partial fee remission for court users</w:t>
      </w:r>
      <w:r w:rsidR="17E92C7C" w:rsidRPr="00814849">
        <w:t xml:space="preserve"> who </w:t>
      </w:r>
      <w:r w:rsidR="53533615" w:rsidRPr="00814849">
        <w:t xml:space="preserve">only have a small </w:t>
      </w:r>
      <w:r w:rsidR="53533615" w:rsidRPr="00814849">
        <w:lastRenderedPageBreak/>
        <w:t xml:space="preserve">amount of savings and </w:t>
      </w:r>
      <w:r w:rsidR="0037262B" w:rsidRPr="00814849">
        <w:t xml:space="preserve">who </w:t>
      </w:r>
      <w:r w:rsidR="17E92C7C" w:rsidRPr="00814849">
        <w:t xml:space="preserve">are in receipt of certain benefits </w:t>
      </w:r>
      <w:r w:rsidR="56856752" w:rsidRPr="00814849">
        <w:t>or who are</w:t>
      </w:r>
      <w:r w:rsidR="6422F9FC" w:rsidRPr="00814849">
        <w:t xml:space="preserve"> on a low income.</w:t>
      </w:r>
      <w:r w:rsidR="00F527BE" w:rsidRPr="00814849">
        <w:t xml:space="preserve"> Therefore, and alongside the option described in this IA, the government is also proposing to uplift the income thresholds in the </w:t>
      </w:r>
      <w:proofErr w:type="spellStart"/>
      <w:r w:rsidR="00F527BE" w:rsidRPr="00814849">
        <w:t>HwF</w:t>
      </w:r>
      <w:proofErr w:type="spellEnd"/>
      <w:r w:rsidR="00F527BE" w:rsidRPr="00814849">
        <w:t xml:space="preserve"> means test</w:t>
      </w:r>
      <w:r w:rsidR="00814849" w:rsidRPr="00814849">
        <w:t xml:space="preserve"> by C</w:t>
      </w:r>
      <w:r w:rsidR="00FA5612">
        <w:t>PI</w:t>
      </w:r>
      <w:r w:rsidR="00814849" w:rsidRPr="00814849">
        <w:t xml:space="preserve"> including owner occupier</w:t>
      </w:r>
      <w:r w:rsidR="00FA5612">
        <w:t>s’</w:t>
      </w:r>
      <w:r w:rsidR="00814849" w:rsidRPr="00814849">
        <w:t xml:space="preserve"> housing costs</w:t>
      </w:r>
      <w:r w:rsidR="00FA5612">
        <w:t xml:space="preserve"> (CPIH)</w:t>
      </w:r>
      <w:r w:rsidR="00814849" w:rsidRPr="00814849">
        <w:t>.</w:t>
      </w:r>
    </w:p>
    <w:p w14:paraId="15D9C283" w14:textId="33768B98" w:rsidR="00182082" w:rsidRPr="00CD46E9" w:rsidRDefault="00182082" w:rsidP="00182082">
      <w:pPr>
        <w:pStyle w:val="EBNumber"/>
        <w:numPr>
          <w:ilvl w:val="0"/>
          <w:numId w:val="4"/>
        </w:numPr>
        <w:spacing w:before="240"/>
        <w:jc w:val="both"/>
      </w:pPr>
      <w:r w:rsidRPr="00CD46E9">
        <w:t>A consultation paper, “Increasing selected court fees and Help with Fees income thresholds by inflation” was published on 22 March 2021. It invited comments on the proposals discussed above – that is, on the proposal to increase selected court fees and Help with Fees income thresholds by inflation.</w:t>
      </w:r>
    </w:p>
    <w:p w14:paraId="0FB112B1" w14:textId="77777777" w:rsidR="00680D14" w:rsidRDefault="00680D14" w:rsidP="00680D14">
      <w:pPr>
        <w:pStyle w:val="EBNumber"/>
        <w:numPr>
          <w:ilvl w:val="0"/>
          <w:numId w:val="0"/>
        </w:numPr>
        <w:tabs>
          <w:tab w:val="num" w:pos="426"/>
        </w:tabs>
        <w:spacing w:after="0"/>
        <w:ind w:left="360"/>
        <w:jc w:val="both"/>
      </w:pPr>
    </w:p>
    <w:p w14:paraId="556F0978" w14:textId="50F9F91D" w:rsidR="00680D14" w:rsidRDefault="00182082" w:rsidP="00680D14">
      <w:pPr>
        <w:pStyle w:val="EBNumber"/>
        <w:numPr>
          <w:ilvl w:val="0"/>
          <w:numId w:val="4"/>
        </w:numPr>
        <w:tabs>
          <w:tab w:val="num" w:pos="426"/>
        </w:tabs>
        <w:spacing w:after="0"/>
        <w:jc w:val="both"/>
      </w:pPr>
      <w:r w:rsidRPr="00CD46E9">
        <w:t xml:space="preserve">The consultation period closed on 17 May 2021. We received 89 responses, the majority of which came from legal services </w:t>
      </w:r>
      <w:r w:rsidR="731D60A9" w:rsidRPr="00CD46E9">
        <w:t>providers</w:t>
      </w:r>
      <w:r w:rsidRPr="00CD46E9">
        <w:t xml:space="preserve"> and local authorities. A consultation response has been published alongside this impact assessment.</w:t>
      </w:r>
      <w:r w:rsidRPr="00CD46E9">
        <w:rPr>
          <w:rStyle w:val="FootnoteReference"/>
        </w:rPr>
        <w:footnoteReference w:id="6"/>
      </w:r>
      <w:r w:rsidR="002E3061">
        <w:t xml:space="preserve"> </w:t>
      </w:r>
      <w:r w:rsidR="002E3061" w:rsidRPr="00CD46E9">
        <w:t xml:space="preserve">Having considered the responses to the consultation, the Ministry of Justice (MoJ) has decided to proceed with the increases proposed in the consultation. </w:t>
      </w:r>
    </w:p>
    <w:p w14:paraId="38E41EAF" w14:textId="068ADA38" w:rsidR="00182082" w:rsidRDefault="00182082" w:rsidP="00680D14">
      <w:pPr>
        <w:pStyle w:val="EBNumber"/>
        <w:numPr>
          <w:ilvl w:val="0"/>
          <w:numId w:val="0"/>
        </w:numPr>
        <w:spacing w:after="0"/>
        <w:ind w:left="360"/>
        <w:jc w:val="both"/>
      </w:pPr>
    </w:p>
    <w:p w14:paraId="61CB782E" w14:textId="77777777" w:rsidR="002F205D" w:rsidRDefault="002F205D" w:rsidP="002F205D">
      <w:pPr>
        <w:pStyle w:val="EBNumber"/>
        <w:numPr>
          <w:ilvl w:val="0"/>
          <w:numId w:val="4"/>
        </w:numPr>
        <w:tabs>
          <w:tab w:val="num" w:pos="567"/>
        </w:tabs>
        <w:spacing w:before="240"/>
        <w:jc w:val="both"/>
      </w:pPr>
      <w:r w:rsidRPr="00814849">
        <w:t xml:space="preserve">In summary, this IA assesses the impact of uplifting certain fees to reflect historic inflation backdated to August 2016, or the date of the last fee change if later. It should therefore be considered alongside IA MoJ003/2021, which assesses the impact of uplifting the income thresholds of the </w:t>
      </w:r>
      <w:proofErr w:type="spellStart"/>
      <w:r w:rsidRPr="00814849">
        <w:t>HwF</w:t>
      </w:r>
      <w:proofErr w:type="spellEnd"/>
      <w:r w:rsidRPr="00814849">
        <w:t xml:space="preserve"> scheme using inflation, also backdated to August 2016. Finally, IA MoJ004/2021 summarises the total cost/benefit impacts of these two separate changes.</w:t>
      </w:r>
    </w:p>
    <w:p w14:paraId="36150081" w14:textId="77777777" w:rsidR="002652C0" w:rsidRPr="00A008A3" w:rsidRDefault="002652C0" w:rsidP="00680D14">
      <w:pPr>
        <w:pStyle w:val="EBNumber"/>
        <w:numPr>
          <w:ilvl w:val="0"/>
          <w:numId w:val="0"/>
        </w:numPr>
        <w:spacing w:after="0"/>
        <w:rPr>
          <w:sz w:val="24"/>
        </w:rPr>
      </w:pPr>
    </w:p>
    <w:p w14:paraId="3B9989C5" w14:textId="77777777" w:rsidR="004D1DF0" w:rsidRDefault="004D1DF0"/>
    <w:p w14:paraId="700A8C78" w14:textId="4E881A8E" w:rsidR="00A008A3" w:rsidRDefault="00A008A3" w:rsidP="00A47F8A">
      <w:pPr>
        <w:pStyle w:val="ListParagraph"/>
        <w:numPr>
          <w:ilvl w:val="0"/>
          <w:numId w:val="5"/>
        </w:numPr>
      </w:pPr>
      <w:r w:rsidRPr="00A008A3">
        <w:rPr>
          <w:rFonts w:eastAsia="SimSun"/>
          <w:b/>
          <w:sz w:val="28"/>
          <w:szCs w:val="28"/>
          <w:lang w:eastAsia="zh-CN"/>
        </w:rPr>
        <w:t>Policy Rationale and Objectives</w:t>
      </w:r>
    </w:p>
    <w:p w14:paraId="5FBBD506" w14:textId="77777777" w:rsidR="00A008A3" w:rsidRDefault="00A008A3" w:rsidP="00A008A3"/>
    <w:p w14:paraId="43E823B7" w14:textId="22F7A211" w:rsidR="00A008A3" w:rsidRPr="0029783A" w:rsidRDefault="00A008A3" w:rsidP="00A47F8A">
      <w:pPr>
        <w:pStyle w:val="EBNumber"/>
        <w:numPr>
          <w:ilvl w:val="0"/>
          <w:numId w:val="4"/>
        </w:numPr>
        <w:tabs>
          <w:tab w:val="num" w:pos="426"/>
        </w:tabs>
        <w:spacing w:after="0"/>
        <w:jc w:val="both"/>
      </w:pPr>
      <w:r w:rsidRPr="0029783A">
        <w:t xml:space="preserve">The conventional economic approach to government intervention is based on efficiency or equity arguments. Government may consider intervening if there are strong enough failures in the way markets operate, </w:t>
      </w:r>
      <w:r w:rsidR="00AB4C02" w:rsidRPr="0029783A">
        <w:t>for example</w:t>
      </w:r>
      <w:r w:rsidRPr="0029783A">
        <w:t xml:space="preserve"> monopolies overcharging debtors, or if there are strong enough failures in existing government interventions, </w:t>
      </w:r>
      <w:r w:rsidR="00AB4C02" w:rsidRPr="0029783A">
        <w:t>such as</w:t>
      </w:r>
      <w:r w:rsidRPr="0029783A">
        <w:t xml:space="preserve"> outdated regulations generating inefficiencies. In all cases the proposed intervention should avoid generating a further set of disproportionate costs and distortions. Government may also intervene for reasons of equity (fairness) and for re-distributional reasons (e.g. reallocating resources from one group in society to another). </w:t>
      </w:r>
    </w:p>
    <w:p w14:paraId="7B594F4D" w14:textId="77AE7D6E" w:rsidR="00A008A3" w:rsidRPr="0029783A" w:rsidRDefault="00A008A3" w:rsidP="00A008A3">
      <w:pPr>
        <w:pStyle w:val="EBNumber"/>
        <w:numPr>
          <w:ilvl w:val="0"/>
          <w:numId w:val="0"/>
        </w:numPr>
        <w:spacing w:after="0"/>
        <w:ind w:left="360"/>
        <w:jc w:val="both"/>
      </w:pPr>
    </w:p>
    <w:p w14:paraId="3BAF09D5" w14:textId="6A3ED6F1" w:rsidR="00A008A3" w:rsidRDefault="00A008A3" w:rsidP="00A47F8A">
      <w:pPr>
        <w:pStyle w:val="EBNumber"/>
        <w:numPr>
          <w:ilvl w:val="0"/>
          <w:numId w:val="4"/>
        </w:numPr>
        <w:tabs>
          <w:tab w:val="num" w:pos="426"/>
        </w:tabs>
        <w:spacing w:after="0"/>
        <w:jc w:val="both"/>
      </w:pPr>
      <w:r w:rsidRPr="0029783A">
        <w:t>The primary rationale for intervention in this case is efficiency. As noted in paragraph</w:t>
      </w:r>
      <w:r w:rsidR="00AD4413">
        <w:t xml:space="preserve"> </w:t>
      </w:r>
      <w:r w:rsidR="00680D14">
        <w:fldChar w:fldCharType="begin"/>
      </w:r>
      <w:r w:rsidR="00680D14">
        <w:instrText xml:space="preserve"> REF _Ref56183762 \r \h </w:instrText>
      </w:r>
      <w:r w:rsidR="00680D14">
        <w:fldChar w:fldCharType="separate"/>
      </w:r>
      <w:r w:rsidR="00680D14">
        <w:t>2</w:t>
      </w:r>
      <w:r w:rsidR="00680D14">
        <w:fldChar w:fldCharType="end"/>
      </w:r>
      <w:r w:rsidRPr="0029783A">
        <w:t>, fees are an important source of funding for the courts and tribunals</w:t>
      </w:r>
      <w:r w:rsidR="002D3349" w:rsidRPr="0029783A">
        <w:t xml:space="preserve"> system</w:t>
      </w:r>
      <w:r w:rsidRPr="0029783A">
        <w:t xml:space="preserve">. </w:t>
      </w:r>
      <w:r w:rsidR="00926A76" w:rsidRPr="0029783A">
        <w:t>A properly funded court</w:t>
      </w:r>
      <w:r w:rsidR="00375E7E" w:rsidRPr="0029783A">
        <w:t>s</w:t>
      </w:r>
      <w:r w:rsidR="00926A76" w:rsidRPr="0029783A">
        <w:t xml:space="preserve"> system, which everyone can access, is essential to ensure that </w:t>
      </w:r>
      <w:r w:rsidR="00E43F12" w:rsidRPr="0029783A">
        <w:t>access to justice</w:t>
      </w:r>
      <w:r w:rsidR="00751747" w:rsidRPr="0029783A">
        <w:t xml:space="preserve"> and the rule of law are maintained</w:t>
      </w:r>
      <w:r w:rsidR="00E43F12" w:rsidRPr="0029783A">
        <w:t xml:space="preserve"> in the long term</w:t>
      </w:r>
      <w:r w:rsidR="00751747" w:rsidRPr="0029783A">
        <w:t>.</w:t>
      </w:r>
      <w:r w:rsidR="003C3AEF" w:rsidRPr="0029783A">
        <w:t xml:space="preserve"> </w:t>
      </w:r>
      <w:r w:rsidR="00926A76" w:rsidRPr="0029783A">
        <w:t xml:space="preserve">The </w:t>
      </w:r>
      <w:r w:rsidR="00C76174" w:rsidRPr="0029783A">
        <w:t xml:space="preserve">associated </w:t>
      </w:r>
      <w:r w:rsidR="00926A76" w:rsidRPr="0029783A">
        <w:t>policy objectives are</w:t>
      </w:r>
      <w:r w:rsidR="00926A76" w:rsidRPr="0029783A" w:rsidDel="00D90406">
        <w:t xml:space="preserve"> </w:t>
      </w:r>
      <w:r w:rsidR="00926A76" w:rsidRPr="0029783A">
        <w:t>to ensure that the court system is properly funded</w:t>
      </w:r>
      <w:r w:rsidR="00935B41" w:rsidRPr="0029783A">
        <w:t>, whilst reducing the overall taxpayer subsidy.</w:t>
      </w:r>
      <w:r w:rsidR="00935B41" w:rsidRPr="0029783A" w:rsidDel="00746D0F">
        <w:t xml:space="preserve"> </w:t>
      </w:r>
      <w:r w:rsidR="005D76E0" w:rsidRPr="0029783A">
        <w:t xml:space="preserve">Increasing </w:t>
      </w:r>
      <w:r w:rsidR="18AD7EB6" w:rsidRPr="0029783A">
        <w:t>selected</w:t>
      </w:r>
      <w:r w:rsidR="005D76E0" w:rsidRPr="0029783A">
        <w:t xml:space="preserve"> f</w:t>
      </w:r>
      <w:r w:rsidR="00935B41" w:rsidRPr="0029783A">
        <w:t xml:space="preserve">ees in line with </w:t>
      </w:r>
      <w:r w:rsidR="005966CE" w:rsidRPr="0029783A">
        <w:t xml:space="preserve">historic </w:t>
      </w:r>
      <w:r w:rsidR="00935B41" w:rsidRPr="0029783A">
        <w:t xml:space="preserve">inflation </w:t>
      </w:r>
      <w:r w:rsidR="00A14C87" w:rsidRPr="0029783A">
        <w:t>(</w:t>
      </w:r>
      <w:r w:rsidR="00AD1171" w:rsidRPr="0029783A">
        <w:t>backdated to</w:t>
      </w:r>
      <w:r w:rsidR="00935B41" w:rsidRPr="0029783A">
        <w:t xml:space="preserve"> August 2016</w:t>
      </w:r>
      <w:r w:rsidR="00AD1171" w:rsidRPr="0029783A">
        <w:t>, or date of last change if later</w:t>
      </w:r>
      <w:r w:rsidR="00D3580D" w:rsidRPr="0029783A">
        <w:t>)</w:t>
      </w:r>
      <w:r w:rsidR="00935B41" w:rsidRPr="0029783A">
        <w:t xml:space="preserve"> will raise </w:t>
      </w:r>
      <w:r w:rsidR="00A736C3" w:rsidRPr="0029783A">
        <w:t>funding</w:t>
      </w:r>
      <w:r w:rsidR="00935B41" w:rsidRPr="0029783A">
        <w:t xml:space="preserve"> </w:t>
      </w:r>
      <w:r w:rsidR="00E35F9F" w:rsidRPr="0029783A">
        <w:t>to</w:t>
      </w:r>
      <w:r w:rsidR="00935B41" w:rsidRPr="0029783A">
        <w:t xml:space="preserve"> help recover the running costs of HMCTS. </w:t>
      </w:r>
    </w:p>
    <w:p w14:paraId="524CCBB4" w14:textId="77777777" w:rsidR="00182082" w:rsidRDefault="00182082" w:rsidP="00182082">
      <w:pPr>
        <w:pStyle w:val="ListParagraph"/>
      </w:pPr>
    </w:p>
    <w:p w14:paraId="1B6155B1" w14:textId="77777777" w:rsidR="00926A76" w:rsidRDefault="00926A76" w:rsidP="00926A76">
      <w:pPr>
        <w:pStyle w:val="EBNumber"/>
        <w:numPr>
          <w:ilvl w:val="0"/>
          <w:numId w:val="0"/>
        </w:numPr>
        <w:spacing w:after="0"/>
        <w:ind w:left="360"/>
      </w:pPr>
    </w:p>
    <w:p w14:paraId="002115D6" w14:textId="77777777" w:rsidR="00926A76" w:rsidRDefault="00926A76" w:rsidP="00A47F8A">
      <w:pPr>
        <w:pStyle w:val="IANotes"/>
        <w:numPr>
          <w:ilvl w:val="0"/>
          <w:numId w:val="5"/>
        </w:numPr>
        <w:spacing w:before="240"/>
        <w:ind w:left="720" w:hanging="720"/>
        <w:rPr>
          <w:rFonts w:eastAsia="MS Mincho" w:cs="Arial"/>
          <w:b/>
          <w:bCs/>
          <w:color w:val="000000"/>
          <w:sz w:val="28"/>
          <w:szCs w:val="28"/>
          <w:lang w:eastAsia="ja-JP"/>
        </w:rPr>
      </w:pPr>
      <w:r w:rsidRPr="00E36C81">
        <w:rPr>
          <w:rFonts w:eastAsia="MS Mincho" w:cs="Arial"/>
          <w:b/>
          <w:bCs/>
          <w:color w:val="000000"/>
          <w:sz w:val="28"/>
          <w:szCs w:val="28"/>
          <w:lang w:eastAsia="ja-JP"/>
        </w:rPr>
        <w:t xml:space="preserve">Description of Options Considered </w:t>
      </w:r>
    </w:p>
    <w:p w14:paraId="104F5E81" w14:textId="77777777" w:rsidR="00926A76" w:rsidRPr="009F7307" w:rsidRDefault="00926A76" w:rsidP="00926A76">
      <w:pPr>
        <w:pStyle w:val="IANotes"/>
        <w:tabs>
          <w:tab w:val="num" w:pos="360"/>
        </w:tabs>
        <w:ind w:left="357" w:hanging="357"/>
        <w:rPr>
          <w:rFonts w:eastAsia="MS Mincho" w:cs="Arial"/>
          <w:b/>
          <w:bCs/>
          <w:color w:val="000000"/>
          <w:sz w:val="28"/>
          <w:szCs w:val="28"/>
          <w:lang w:eastAsia="ja-JP"/>
        </w:rPr>
      </w:pPr>
    </w:p>
    <w:p w14:paraId="4FE93156" w14:textId="5EA3906A" w:rsidR="00926A76" w:rsidRPr="0029783A" w:rsidRDefault="00926A76" w:rsidP="00A47F8A">
      <w:pPr>
        <w:pStyle w:val="EBNumber"/>
        <w:numPr>
          <w:ilvl w:val="0"/>
          <w:numId w:val="4"/>
        </w:numPr>
        <w:tabs>
          <w:tab w:val="num" w:pos="567"/>
        </w:tabs>
        <w:spacing w:after="0"/>
        <w:jc w:val="both"/>
      </w:pPr>
      <w:r w:rsidRPr="0029783A">
        <w:t>To meet these policy objectives, the following options are considered in this</w:t>
      </w:r>
      <w:r w:rsidR="00572226" w:rsidRPr="0029783A">
        <w:t xml:space="preserve"> </w:t>
      </w:r>
      <w:r w:rsidRPr="0029783A">
        <w:t>IA:</w:t>
      </w:r>
    </w:p>
    <w:p w14:paraId="40169A79" w14:textId="77777777" w:rsidR="00926A76" w:rsidRPr="0029783A" w:rsidRDefault="00926A76" w:rsidP="00926A76">
      <w:pPr>
        <w:pStyle w:val="EBNumber"/>
        <w:numPr>
          <w:ilvl w:val="0"/>
          <w:numId w:val="0"/>
        </w:numPr>
        <w:spacing w:after="0"/>
      </w:pPr>
    </w:p>
    <w:p w14:paraId="3E30E508" w14:textId="193B981F" w:rsidR="00926A76" w:rsidRPr="0029783A" w:rsidRDefault="00926A76" w:rsidP="00A47F8A">
      <w:pPr>
        <w:pStyle w:val="EBNumber"/>
        <w:numPr>
          <w:ilvl w:val="0"/>
          <w:numId w:val="8"/>
        </w:numPr>
        <w:spacing w:after="0"/>
        <w:ind w:right="141"/>
        <w:rPr>
          <w:b/>
        </w:rPr>
      </w:pPr>
      <w:r w:rsidRPr="0029783A">
        <w:rPr>
          <w:b/>
        </w:rPr>
        <w:t xml:space="preserve">Option 0 – Do Nothing. </w:t>
      </w:r>
      <w:r w:rsidR="002E3061">
        <w:rPr>
          <w:b/>
        </w:rPr>
        <w:t>Maintain the current fee structure.</w:t>
      </w:r>
      <w:r w:rsidRPr="0029783A">
        <w:rPr>
          <w:b/>
        </w:rPr>
        <w:t xml:space="preserve"> </w:t>
      </w:r>
    </w:p>
    <w:p w14:paraId="74CF2BE9" w14:textId="77777777" w:rsidR="00926A76" w:rsidRPr="0029783A" w:rsidRDefault="00926A76" w:rsidP="00926A76">
      <w:pPr>
        <w:pStyle w:val="EBNumber"/>
        <w:numPr>
          <w:ilvl w:val="0"/>
          <w:numId w:val="0"/>
        </w:numPr>
        <w:spacing w:after="0"/>
        <w:ind w:left="720" w:right="141"/>
        <w:rPr>
          <w:b/>
        </w:rPr>
      </w:pPr>
    </w:p>
    <w:p w14:paraId="4AD478D6" w14:textId="2F089F95" w:rsidR="00926A76" w:rsidRPr="0029783A" w:rsidRDefault="00926A76" w:rsidP="00A47F8A">
      <w:pPr>
        <w:pStyle w:val="EBNumber"/>
        <w:numPr>
          <w:ilvl w:val="0"/>
          <w:numId w:val="8"/>
        </w:numPr>
        <w:spacing w:after="0"/>
        <w:ind w:right="141"/>
        <w:rPr>
          <w:b/>
        </w:rPr>
      </w:pPr>
      <w:r w:rsidRPr="0029783A">
        <w:rPr>
          <w:b/>
        </w:rPr>
        <w:t xml:space="preserve">Option 1 – </w:t>
      </w:r>
      <w:bookmarkStart w:id="29" w:name="_Hlk62836644"/>
      <w:r w:rsidR="00C376BB" w:rsidRPr="0029783A">
        <w:rPr>
          <w:b/>
        </w:rPr>
        <w:t>Increase s</w:t>
      </w:r>
      <w:r w:rsidRPr="0029783A">
        <w:rPr>
          <w:b/>
        </w:rPr>
        <w:t xml:space="preserve">elected court fees </w:t>
      </w:r>
      <w:r w:rsidR="00711856" w:rsidRPr="0029783A">
        <w:rPr>
          <w:b/>
        </w:rPr>
        <w:t xml:space="preserve">by </w:t>
      </w:r>
      <w:r w:rsidR="00C376BB" w:rsidRPr="0029783A">
        <w:rPr>
          <w:b/>
        </w:rPr>
        <w:t>inflation</w:t>
      </w:r>
      <w:r w:rsidRPr="0029783A">
        <w:rPr>
          <w:b/>
          <w:color w:val="auto"/>
        </w:rPr>
        <w:t xml:space="preserve">, backdated to August 2016 (or date of last fee change, if </w:t>
      </w:r>
      <w:r w:rsidR="00C376BB" w:rsidRPr="0029783A">
        <w:rPr>
          <w:b/>
          <w:color w:val="auto"/>
        </w:rPr>
        <w:t>later</w:t>
      </w:r>
      <w:r w:rsidRPr="0029783A">
        <w:rPr>
          <w:b/>
          <w:color w:val="auto"/>
        </w:rPr>
        <w:t>)</w:t>
      </w:r>
      <w:bookmarkEnd w:id="29"/>
    </w:p>
    <w:p w14:paraId="542C98DC" w14:textId="77777777" w:rsidR="00926A76" w:rsidRPr="0029783A" w:rsidRDefault="00926A76" w:rsidP="00926A76">
      <w:pPr>
        <w:pStyle w:val="EBNumber"/>
        <w:numPr>
          <w:ilvl w:val="0"/>
          <w:numId w:val="0"/>
        </w:numPr>
        <w:spacing w:after="0"/>
        <w:ind w:right="141"/>
        <w:rPr>
          <w:b/>
        </w:rPr>
      </w:pPr>
      <w:r w:rsidRPr="0029783A">
        <w:rPr>
          <w:b/>
        </w:rPr>
        <w:t xml:space="preserve"> </w:t>
      </w:r>
    </w:p>
    <w:p w14:paraId="4DF11812" w14:textId="5D8135FE" w:rsidR="00926A76" w:rsidRPr="0029783A" w:rsidRDefault="00926A76" w:rsidP="00A47F8A">
      <w:pPr>
        <w:pStyle w:val="EBNumber"/>
        <w:numPr>
          <w:ilvl w:val="0"/>
          <w:numId w:val="4"/>
        </w:numPr>
        <w:tabs>
          <w:tab w:val="num" w:pos="567"/>
        </w:tabs>
        <w:jc w:val="both"/>
      </w:pPr>
      <w:r w:rsidRPr="0029783A">
        <w:t>Option 1 is the Government’s preferred option</w:t>
      </w:r>
      <w:r w:rsidRPr="0029783A" w:rsidDel="00572226">
        <w:t xml:space="preserve"> </w:t>
      </w:r>
      <w:r w:rsidR="00E23732" w:rsidRPr="0029783A">
        <w:t>as it best meets the policy objectives</w:t>
      </w:r>
      <w:r w:rsidRPr="0029783A">
        <w:t>.</w:t>
      </w:r>
    </w:p>
    <w:p w14:paraId="353556D0" w14:textId="77777777" w:rsidR="00926A76" w:rsidRPr="0029783A" w:rsidRDefault="00926A76" w:rsidP="00926A76">
      <w:pPr>
        <w:pStyle w:val="EBNumber"/>
        <w:numPr>
          <w:ilvl w:val="0"/>
          <w:numId w:val="0"/>
        </w:numPr>
        <w:spacing w:before="240" w:after="0"/>
        <w:rPr>
          <w:b/>
        </w:rPr>
      </w:pPr>
      <w:r w:rsidRPr="0029783A">
        <w:rPr>
          <w:b/>
        </w:rPr>
        <w:t>Option 0</w:t>
      </w:r>
    </w:p>
    <w:p w14:paraId="5A502F18" w14:textId="77777777" w:rsidR="00926A76" w:rsidRPr="0029783A" w:rsidRDefault="00926A76" w:rsidP="00926A76">
      <w:pPr>
        <w:pStyle w:val="EBNumber"/>
        <w:numPr>
          <w:ilvl w:val="0"/>
          <w:numId w:val="0"/>
        </w:numPr>
        <w:spacing w:after="0"/>
        <w:rPr>
          <w:b/>
          <w:color w:val="auto"/>
          <w:u w:val="single"/>
        </w:rPr>
      </w:pPr>
    </w:p>
    <w:p w14:paraId="512B9B23" w14:textId="198DC4D0" w:rsidR="00926A76" w:rsidRPr="0029783A" w:rsidRDefault="00926A76" w:rsidP="00A47F8A">
      <w:pPr>
        <w:pStyle w:val="EBNumber"/>
        <w:numPr>
          <w:ilvl w:val="0"/>
          <w:numId w:val="4"/>
        </w:numPr>
        <w:tabs>
          <w:tab w:val="num" w:pos="567"/>
        </w:tabs>
        <w:spacing w:after="0"/>
        <w:jc w:val="both"/>
      </w:pPr>
      <w:r w:rsidRPr="0029783A">
        <w:lastRenderedPageBreak/>
        <w:t xml:space="preserve">Under the </w:t>
      </w:r>
      <w:r w:rsidR="00C609E9" w:rsidRPr="0029783A">
        <w:t>“</w:t>
      </w:r>
      <w:r w:rsidRPr="0029783A">
        <w:t xml:space="preserve">Do </w:t>
      </w:r>
      <w:r w:rsidRPr="0029783A" w:rsidDel="00C609E9">
        <w:t>N</w:t>
      </w:r>
      <w:r w:rsidRPr="0029783A">
        <w:t>othing</w:t>
      </w:r>
      <w:r w:rsidR="00C609E9" w:rsidRPr="0029783A">
        <w:t>”</w:t>
      </w:r>
      <w:r w:rsidRPr="0029783A">
        <w:t xml:space="preserve"> option the </w:t>
      </w:r>
      <w:r w:rsidR="00BD0737" w:rsidRPr="0029783A">
        <w:t xml:space="preserve">selected </w:t>
      </w:r>
      <w:r w:rsidRPr="0029783A">
        <w:t xml:space="preserve">court fees would remain unchanged. </w:t>
      </w:r>
      <w:r w:rsidR="00CB20AF" w:rsidRPr="0029783A">
        <w:t>As the real value of these fees has fallen since 2016, this option would represent a decline in the resources available to HMCTS.</w:t>
      </w:r>
      <w:r w:rsidRPr="0029783A">
        <w:t xml:space="preserve"> </w:t>
      </w:r>
    </w:p>
    <w:p w14:paraId="10EB6B61" w14:textId="77777777" w:rsidR="00926A76" w:rsidRPr="0029783A" w:rsidRDefault="00926A76" w:rsidP="00926A76">
      <w:pPr>
        <w:pStyle w:val="EBNumber"/>
        <w:numPr>
          <w:ilvl w:val="0"/>
          <w:numId w:val="0"/>
        </w:numPr>
        <w:spacing w:after="0"/>
      </w:pPr>
    </w:p>
    <w:p w14:paraId="32831DAA" w14:textId="77777777" w:rsidR="00926A76" w:rsidRDefault="00926A76" w:rsidP="00926A76">
      <w:pPr>
        <w:pStyle w:val="EBNumber"/>
        <w:numPr>
          <w:ilvl w:val="0"/>
          <w:numId w:val="0"/>
        </w:numPr>
        <w:spacing w:after="0"/>
        <w:ind w:left="57"/>
        <w:rPr>
          <w:b/>
          <w:color w:val="auto"/>
        </w:rPr>
      </w:pPr>
      <w:r w:rsidRPr="0029783A">
        <w:rPr>
          <w:b/>
          <w:color w:val="auto"/>
        </w:rPr>
        <w:t xml:space="preserve">Option 1 </w:t>
      </w:r>
    </w:p>
    <w:p w14:paraId="498E1E99" w14:textId="77777777" w:rsidR="00763DAA" w:rsidRPr="00A1169F" w:rsidRDefault="00763DAA" w:rsidP="00926A76">
      <w:pPr>
        <w:pStyle w:val="EBNumber"/>
        <w:numPr>
          <w:ilvl w:val="0"/>
          <w:numId w:val="0"/>
        </w:numPr>
        <w:spacing w:after="0"/>
        <w:ind w:left="57"/>
        <w:rPr>
          <w:b/>
        </w:rPr>
      </w:pPr>
    </w:p>
    <w:p w14:paraId="012FA032" w14:textId="54F3CEB8" w:rsidR="000224B0" w:rsidRPr="00A1169F" w:rsidRDefault="005E0582" w:rsidP="008F1CAB">
      <w:pPr>
        <w:pStyle w:val="EBNumber"/>
        <w:numPr>
          <w:ilvl w:val="0"/>
          <w:numId w:val="4"/>
        </w:numPr>
        <w:tabs>
          <w:tab w:val="clear" w:pos="360"/>
          <w:tab w:val="num" w:pos="501"/>
          <w:tab w:val="num" w:pos="567"/>
          <w:tab w:val="num" w:pos="1210"/>
        </w:tabs>
        <w:jc w:val="both"/>
      </w:pPr>
      <w:r w:rsidRPr="00380673">
        <w:t xml:space="preserve">Under this option, </w:t>
      </w:r>
      <w:r w:rsidR="008F12F1">
        <w:t>12</w:t>
      </w:r>
      <w:r w:rsidR="00FA160D">
        <w:t>8</w:t>
      </w:r>
      <w:r w:rsidRPr="00380673">
        <w:t xml:space="preserve"> fees would be increased in line with CPI inflation, backdated </w:t>
      </w:r>
      <w:r w:rsidR="15F4174C" w:rsidRPr="00380673">
        <w:t>from</w:t>
      </w:r>
      <w:r w:rsidRPr="00380673">
        <w:t xml:space="preserve"> August 2016 through to </w:t>
      </w:r>
      <w:r w:rsidR="008F1CAB" w:rsidRPr="00A1169F">
        <w:t>the start of the 2021/22 financial year</w:t>
      </w:r>
      <w:r w:rsidR="008F1CAB" w:rsidRPr="00A1169F">
        <w:rPr>
          <w:rStyle w:val="FootnoteReference"/>
        </w:rPr>
        <w:footnoteReference w:id="7"/>
      </w:r>
      <w:r w:rsidR="4B7011B3" w:rsidRPr="00A1169F">
        <w:t>, by 7.</w:t>
      </w:r>
      <w:r w:rsidR="008F1CAB" w:rsidRPr="00A1169F">
        <w:t>8</w:t>
      </w:r>
      <w:r w:rsidR="4B7011B3" w:rsidRPr="00A1169F">
        <w:t>%.</w:t>
      </w:r>
      <w:bookmarkStart w:id="30" w:name="_Ref63613578"/>
      <w:r w:rsidR="006C3284" w:rsidRPr="78D15B43">
        <w:rPr>
          <w:rStyle w:val="FootnoteReference"/>
        </w:rPr>
        <w:footnoteReference w:id="8"/>
      </w:r>
      <w:bookmarkEnd w:id="30"/>
      <w:r w:rsidRPr="00380673">
        <w:t xml:space="preserve"> </w:t>
      </w:r>
    </w:p>
    <w:p w14:paraId="110CB67C" w14:textId="1B214B59" w:rsidR="008F1CAB" w:rsidRPr="00A1169F" w:rsidRDefault="00876133" w:rsidP="008F1CAB">
      <w:pPr>
        <w:pStyle w:val="EBNumber"/>
        <w:numPr>
          <w:ilvl w:val="0"/>
          <w:numId w:val="4"/>
        </w:numPr>
        <w:tabs>
          <w:tab w:val="clear" w:pos="360"/>
          <w:tab w:val="num" w:pos="501"/>
          <w:tab w:val="num" w:pos="567"/>
          <w:tab w:val="num" w:pos="1210"/>
        </w:tabs>
        <w:jc w:val="both"/>
      </w:pPr>
      <w:r w:rsidRPr="00380673">
        <w:t xml:space="preserve">CPI </w:t>
      </w:r>
      <w:r w:rsidR="00652D90">
        <w:t xml:space="preserve">is used to uplift the </w:t>
      </w:r>
      <w:r w:rsidR="00A31D2B">
        <w:t>fees</w:t>
      </w:r>
      <w:r w:rsidR="00652D90">
        <w:t xml:space="preserve"> as this provides a good measure of the general increase to prices as well as inflation experienced by HMCTS</w:t>
      </w:r>
      <w:r w:rsidR="007C52E9">
        <w:t>.</w:t>
      </w:r>
      <w:r w:rsidR="008F1CAB" w:rsidRPr="008F1CAB">
        <w:t xml:space="preserve"> </w:t>
      </w:r>
      <w:r w:rsidR="008F1CAB">
        <w:t>F</w:t>
      </w:r>
      <w:r w:rsidR="008F1CAB" w:rsidRPr="00FB5A88">
        <w:t xml:space="preserve">ees are rounded to the nearest whole pound, but fees set solely under the section 92 power, and which are therefore not already authorised to recover above unit cost, are not to be increased above their unit cost. </w:t>
      </w:r>
      <w:r w:rsidR="008F1CAB" w:rsidRPr="00A1169F">
        <w:t>The CPI increase is slightly higher than the figure used in the consultation as this was based on a forecast for 2021 Quarter 1. The publication of CPI figures for March 2021 mean it is now possible to inflate the thresholds using CPI actuals.</w:t>
      </w:r>
      <w:r w:rsidR="000E0D63" w:rsidRPr="00A1169F">
        <w:t xml:space="preserve"> </w:t>
      </w:r>
    </w:p>
    <w:p w14:paraId="09F1155C" w14:textId="2FC15C69" w:rsidR="00224A56" w:rsidRPr="006311E9" w:rsidRDefault="00224A56" w:rsidP="008F1CAB">
      <w:pPr>
        <w:pStyle w:val="EBNumber"/>
        <w:numPr>
          <w:ilvl w:val="0"/>
          <w:numId w:val="0"/>
        </w:numPr>
        <w:tabs>
          <w:tab w:val="num" w:pos="567"/>
        </w:tabs>
        <w:spacing w:before="240"/>
        <w:ind w:left="360"/>
        <w:jc w:val="both"/>
        <w:rPr>
          <w:rFonts w:eastAsia="Arial"/>
          <w:color w:val="000000" w:themeColor="text1"/>
        </w:rPr>
      </w:pPr>
    </w:p>
    <w:p w14:paraId="00CD1D87" w14:textId="77777777" w:rsidR="00224A56" w:rsidRPr="009063A8" w:rsidRDefault="00224A56" w:rsidP="009063A8">
      <w:pPr>
        <w:pStyle w:val="IANotes"/>
        <w:numPr>
          <w:ilvl w:val="0"/>
          <w:numId w:val="5"/>
        </w:numPr>
        <w:spacing w:before="240"/>
        <w:ind w:left="720" w:hanging="720"/>
        <w:rPr>
          <w:rFonts w:eastAsia="MS Mincho" w:cs="Arial"/>
          <w:b/>
          <w:bCs/>
          <w:color w:val="000000"/>
          <w:sz w:val="28"/>
          <w:szCs w:val="28"/>
          <w:lang w:eastAsia="ja-JP"/>
        </w:rPr>
      </w:pPr>
      <w:r w:rsidRPr="009063A8">
        <w:rPr>
          <w:rFonts w:eastAsia="MS Mincho" w:cs="Arial"/>
          <w:b/>
          <w:bCs/>
          <w:color w:val="000000"/>
          <w:sz w:val="28"/>
          <w:szCs w:val="28"/>
          <w:lang w:eastAsia="ja-JP"/>
        </w:rPr>
        <w:t>Affected Stakeholder Groups, Organisations and Sectors</w:t>
      </w:r>
    </w:p>
    <w:p w14:paraId="57F272DF" w14:textId="77777777" w:rsidR="00224A56" w:rsidRPr="00224A56" w:rsidRDefault="00224A56" w:rsidP="00224A56">
      <w:pPr>
        <w:pStyle w:val="IANotes"/>
        <w:tabs>
          <w:tab w:val="num" w:pos="360"/>
        </w:tabs>
        <w:ind w:left="357" w:hanging="357"/>
        <w:rPr>
          <w:b/>
          <w:color w:val="auto"/>
          <w:sz w:val="24"/>
        </w:rPr>
      </w:pPr>
    </w:p>
    <w:p w14:paraId="0B2DC303" w14:textId="77777777" w:rsidR="00224A56" w:rsidRPr="00D3074C" w:rsidRDefault="00224A56" w:rsidP="00A47F8A">
      <w:pPr>
        <w:pStyle w:val="EBNumber"/>
        <w:numPr>
          <w:ilvl w:val="0"/>
          <w:numId w:val="4"/>
        </w:numPr>
        <w:tabs>
          <w:tab w:val="num" w:pos="567"/>
        </w:tabs>
        <w:spacing w:after="0"/>
        <w:jc w:val="both"/>
        <w:rPr>
          <w:rFonts w:eastAsia="MS Mincho"/>
        </w:rPr>
      </w:pPr>
      <w:r w:rsidRPr="00D3074C">
        <w:t>The options assessed in this IA will primarily affect users of the services where fees are changing. A list of all the main groups that would be affected is shown below</w:t>
      </w:r>
      <w:r w:rsidRPr="00D3074C">
        <w:rPr>
          <w:rFonts w:eastAsia="MS Mincho"/>
        </w:rPr>
        <w:t xml:space="preserve">: </w:t>
      </w:r>
    </w:p>
    <w:p w14:paraId="759EFB8A" w14:textId="77777777" w:rsidR="00224A56" w:rsidRPr="00D3074C" w:rsidRDefault="00224A56" w:rsidP="00224A56">
      <w:pPr>
        <w:pStyle w:val="EBNumber"/>
        <w:numPr>
          <w:ilvl w:val="0"/>
          <w:numId w:val="0"/>
        </w:numPr>
        <w:spacing w:after="0"/>
        <w:ind w:left="567"/>
        <w:rPr>
          <w:rFonts w:eastAsia="MS Mincho"/>
        </w:rPr>
      </w:pPr>
    </w:p>
    <w:p w14:paraId="6F24D8D6" w14:textId="50E18C5C" w:rsidR="00224A56" w:rsidRPr="00D3074C" w:rsidRDefault="006C4882" w:rsidP="001023A7">
      <w:pPr>
        <w:pStyle w:val="EBNumber"/>
        <w:numPr>
          <w:ilvl w:val="0"/>
          <w:numId w:val="9"/>
        </w:numPr>
        <w:spacing w:after="0"/>
        <w:ind w:left="896" w:hanging="357"/>
        <w:rPr>
          <w:rFonts w:eastAsia="MS Mincho"/>
        </w:rPr>
      </w:pPr>
      <w:r w:rsidRPr="00D3074C">
        <w:t xml:space="preserve">Court </w:t>
      </w:r>
      <w:r w:rsidR="00224A56" w:rsidRPr="00D3074C">
        <w:t xml:space="preserve">users – those who use the services for which fees in Annex A are changed. </w:t>
      </w:r>
      <w:r w:rsidR="006B6A54" w:rsidRPr="00D3074C">
        <w:t>Court</w:t>
      </w:r>
      <w:r w:rsidR="001023A7" w:rsidRPr="00D3074C">
        <w:t xml:space="preserve"> users include</w:t>
      </w:r>
      <w:r w:rsidR="00D61ABC" w:rsidRPr="00A3545F">
        <w:t>, among others</w:t>
      </w:r>
      <w:r w:rsidR="00D61ABC">
        <w:t>,</w:t>
      </w:r>
      <w:r w:rsidR="001023A7" w:rsidRPr="00D3074C">
        <w:t xml:space="preserve"> individuals, Local Government Authorities, landlords</w:t>
      </w:r>
      <w:r w:rsidR="00D61ABC">
        <w:t xml:space="preserve">, </w:t>
      </w:r>
      <w:r w:rsidR="00D61ABC" w:rsidRPr="00A3545F">
        <w:t>debt management</w:t>
      </w:r>
      <w:r w:rsidR="001023A7" w:rsidRPr="00D3074C">
        <w:t xml:space="preserve"> and utility companies.</w:t>
      </w:r>
      <w:r w:rsidR="00D61ABC">
        <w:t xml:space="preserve"> </w:t>
      </w:r>
      <w:r w:rsidR="00D61ABC" w:rsidRPr="00A3545F">
        <w:t xml:space="preserve">It also includes unsuccessful defendants who </w:t>
      </w:r>
      <w:r w:rsidR="24B9D740">
        <w:t xml:space="preserve">are ordered to pay their opponent’s costs, </w:t>
      </w:r>
      <w:r w:rsidR="006F2CE6">
        <w:t>including court fees,</w:t>
      </w:r>
      <w:r w:rsidR="00D61ABC" w:rsidRPr="00A3545F">
        <w:t xml:space="preserve"> </w:t>
      </w:r>
      <w:r w:rsidR="6CE96226">
        <w:t>at the conclusion of proceedings</w:t>
      </w:r>
      <w:r w:rsidR="00D61ABC">
        <w:t>.</w:t>
      </w:r>
    </w:p>
    <w:p w14:paraId="739F85BF" w14:textId="77777777" w:rsidR="00224A56" w:rsidRPr="00D3074C" w:rsidRDefault="00224A56" w:rsidP="00A47F8A">
      <w:pPr>
        <w:pStyle w:val="EBNumber"/>
        <w:numPr>
          <w:ilvl w:val="0"/>
          <w:numId w:val="9"/>
        </w:numPr>
        <w:tabs>
          <w:tab w:val="num" w:pos="567"/>
        </w:tabs>
        <w:spacing w:after="0"/>
        <w:ind w:left="896" w:hanging="357"/>
      </w:pPr>
      <w:r w:rsidRPr="00D3074C">
        <w:t xml:space="preserve">HMCTS – who operate the services; </w:t>
      </w:r>
    </w:p>
    <w:p w14:paraId="49DAE1E7" w14:textId="07934664" w:rsidR="00224A56" w:rsidRPr="00D3074C" w:rsidRDefault="00224A56" w:rsidP="00A47F8A">
      <w:pPr>
        <w:pStyle w:val="EBNumber"/>
        <w:numPr>
          <w:ilvl w:val="0"/>
          <w:numId w:val="9"/>
        </w:numPr>
        <w:tabs>
          <w:tab w:val="num" w:pos="567"/>
        </w:tabs>
        <w:spacing w:after="0"/>
        <w:ind w:left="896" w:hanging="357"/>
      </w:pPr>
      <w:r w:rsidRPr="00D3074C">
        <w:t>Taxpayers – who subsidise HMCTS</w:t>
      </w:r>
      <w:r w:rsidR="005D1252" w:rsidRPr="00D3074C">
        <w:t>,</w:t>
      </w:r>
      <w:r w:rsidRPr="00D3074C">
        <w:t xml:space="preserve"> as overall HMCTS income falls below its overall costs;</w:t>
      </w:r>
    </w:p>
    <w:p w14:paraId="6D193BF3" w14:textId="77777777" w:rsidR="00224A56" w:rsidRPr="00D3074C" w:rsidRDefault="00224A56" w:rsidP="00A47F8A">
      <w:pPr>
        <w:numPr>
          <w:ilvl w:val="0"/>
          <w:numId w:val="9"/>
        </w:numPr>
        <w:rPr>
          <w:rFonts w:cs="Arial"/>
          <w:sz w:val="22"/>
          <w:szCs w:val="22"/>
        </w:rPr>
      </w:pPr>
      <w:r w:rsidRPr="00D3074C">
        <w:rPr>
          <w:rFonts w:cs="Arial"/>
          <w:sz w:val="22"/>
          <w:szCs w:val="22"/>
        </w:rPr>
        <w:t>Legal services providers – who provide services to users of HMCTS;</w:t>
      </w:r>
    </w:p>
    <w:p w14:paraId="7C1DBBBB" w14:textId="6F4A06AE" w:rsidR="00224A56" w:rsidRPr="00D3074C" w:rsidRDefault="00224A56" w:rsidP="00A47F8A">
      <w:pPr>
        <w:numPr>
          <w:ilvl w:val="0"/>
          <w:numId w:val="9"/>
        </w:numPr>
        <w:rPr>
          <w:rFonts w:cs="Arial"/>
          <w:sz w:val="22"/>
          <w:szCs w:val="22"/>
        </w:rPr>
      </w:pPr>
      <w:r w:rsidRPr="00D3074C">
        <w:rPr>
          <w:rFonts w:cs="Arial"/>
          <w:sz w:val="22"/>
          <w:szCs w:val="22"/>
        </w:rPr>
        <w:t>M</w:t>
      </w:r>
      <w:r w:rsidR="006C4882" w:rsidRPr="00D3074C">
        <w:rPr>
          <w:rFonts w:cs="Arial"/>
          <w:sz w:val="22"/>
          <w:szCs w:val="22"/>
        </w:rPr>
        <w:t xml:space="preserve">inistry </w:t>
      </w:r>
      <w:r w:rsidRPr="00D3074C">
        <w:rPr>
          <w:rFonts w:cs="Arial"/>
          <w:sz w:val="22"/>
          <w:szCs w:val="22"/>
        </w:rPr>
        <w:t>o</w:t>
      </w:r>
      <w:r w:rsidR="006C4882" w:rsidRPr="00D3074C">
        <w:rPr>
          <w:rFonts w:cs="Arial"/>
          <w:sz w:val="22"/>
          <w:szCs w:val="22"/>
        </w:rPr>
        <w:t xml:space="preserve">f </w:t>
      </w:r>
      <w:r w:rsidRPr="00D3074C">
        <w:rPr>
          <w:rFonts w:cs="Arial"/>
          <w:sz w:val="22"/>
          <w:szCs w:val="22"/>
        </w:rPr>
        <w:t>J</w:t>
      </w:r>
      <w:r w:rsidR="006C4882" w:rsidRPr="00D3074C">
        <w:rPr>
          <w:rFonts w:cs="Arial"/>
          <w:sz w:val="22"/>
          <w:szCs w:val="22"/>
        </w:rPr>
        <w:t>ustice (MoJ)</w:t>
      </w:r>
      <w:r w:rsidRPr="00D3074C">
        <w:rPr>
          <w:rFonts w:cs="Arial"/>
          <w:sz w:val="22"/>
          <w:szCs w:val="22"/>
        </w:rPr>
        <w:t xml:space="preserve"> – who sponsor HMCTS (which provides the services for which fees are charged).  </w:t>
      </w:r>
    </w:p>
    <w:p w14:paraId="1BB7E8DA" w14:textId="77777777" w:rsidR="00224A56" w:rsidRPr="00224A56" w:rsidRDefault="00224A56" w:rsidP="00224A56">
      <w:pPr>
        <w:pStyle w:val="EBNumber"/>
        <w:numPr>
          <w:ilvl w:val="0"/>
          <w:numId w:val="0"/>
        </w:numPr>
        <w:spacing w:after="0"/>
        <w:ind w:left="900"/>
        <w:rPr>
          <w:rFonts w:eastAsia="MS Mincho"/>
          <w:sz w:val="24"/>
          <w:szCs w:val="24"/>
          <w:highlight w:val="yellow"/>
        </w:rPr>
      </w:pPr>
    </w:p>
    <w:p w14:paraId="5229C859" w14:textId="40D1D47C" w:rsidR="00102871" w:rsidRPr="00350311" w:rsidRDefault="00FD5737" w:rsidP="003B6B7A">
      <w:pPr>
        <w:pStyle w:val="IANotes"/>
        <w:numPr>
          <w:ilvl w:val="0"/>
          <w:numId w:val="5"/>
        </w:numPr>
        <w:spacing w:before="240"/>
        <w:ind w:left="720" w:hanging="720"/>
        <w:rPr>
          <w:b/>
          <w:color w:val="auto"/>
          <w:sz w:val="28"/>
          <w:szCs w:val="28"/>
        </w:rPr>
      </w:pPr>
      <w:bookmarkStart w:id="31" w:name="_Ref437262130"/>
      <w:r w:rsidRPr="00FD5737">
        <w:rPr>
          <w:b/>
          <w:color w:val="auto"/>
          <w:sz w:val="28"/>
          <w:szCs w:val="28"/>
        </w:rPr>
        <w:t>Cost &amp; Benefit Analysis</w:t>
      </w:r>
    </w:p>
    <w:bookmarkEnd w:id="31"/>
    <w:p w14:paraId="5842E628" w14:textId="77777777" w:rsidR="00224A56" w:rsidRPr="00212255" w:rsidRDefault="00224A56" w:rsidP="00224A56">
      <w:pPr>
        <w:pStyle w:val="EBNumber"/>
        <w:numPr>
          <w:ilvl w:val="0"/>
          <w:numId w:val="0"/>
        </w:numPr>
        <w:spacing w:after="0"/>
        <w:rPr>
          <w:color w:val="auto"/>
        </w:rPr>
      </w:pPr>
    </w:p>
    <w:p w14:paraId="19846613" w14:textId="77777777" w:rsidR="00224A56" w:rsidRPr="00212255" w:rsidRDefault="00224A56" w:rsidP="00A47F8A">
      <w:pPr>
        <w:pStyle w:val="EBNumber"/>
        <w:numPr>
          <w:ilvl w:val="0"/>
          <w:numId w:val="4"/>
        </w:numPr>
        <w:tabs>
          <w:tab w:val="num" w:pos="567"/>
        </w:tabs>
        <w:jc w:val="both"/>
        <w:rPr>
          <w:lang w:eastAsia="en-US"/>
        </w:rPr>
      </w:pPr>
      <w:r w:rsidRPr="00212255">
        <w:t>This IA follows the procedures and criteria set out in the IA Guidance and is consistent with the HM Treasury Green Book.</w:t>
      </w:r>
    </w:p>
    <w:p w14:paraId="074C9CB4" w14:textId="77777777" w:rsidR="00224A56" w:rsidRPr="00212255" w:rsidRDefault="00224A56" w:rsidP="00A47F8A">
      <w:pPr>
        <w:pStyle w:val="EBNumber"/>
        <w:numPr>
          <w:ilvl w:val="0"/>
          <w:numId w:val="4"/>
        </w:numPr>
        <w:tabs>
          <w:tab w:val="num" w:pos="567"/>
        </w:tabs>
        <w:spacing w:before="240"/>
        <w:jc w:val="both"/>
      </w:pPr>
      <w:r w:rsidRPr="00212255">
        <w:t xml:space="preserve">Where possible, IAs identify both monetised and non-monetised impacts on individuals, groups and businesses in England and Wales with the aim of understanding what the overall impact on society might be from the proposals under consideration. IAs place a strong focus on monetisation of costs and benefits. There are often, however, important impacts which cannot sensibly be monetised. These might be impacts on certain groups of society or data privacy impacts, both positive and negative. Impacts in this IA are therefore interpreted broadly, to include both </w:t>
      </w:r>
      <w:proofErr w:type="spellStart"/>
      <w:r w:rsidRPr="00212255">
        <w:t>monetisable</w:t>
      </w:r>
      <w:proofErr w:type="spellEnd"/>
      <w:r w:rsidRPr="00212255">
        <w:t xml:space="preserve"> and non-</w:t>
      </w:r>
      <w:proofErr w:type="spellStart"/>
      <w:r w:rsidRPr="00212255">
        <w:t>monetisable</w:t>
      </w:r>
      <w:proofErr w:type="spellEnd"/>
      <w:r w:rsidRPr="00212255">
        <w:t xml:space="preserve"> costs and benefits, with due weight given to those that are not monetised.</w:t>
      </w:r>
    </w:p>
    <w:p w14:paraId="212468E7" w14:textId="77777777" w:rsidR="00224A56" w:rsidRPr="00212255" w:rsidRDefault="00224A56" w:rsidP="00224A56">
      <w:pPr>
        <w:pStyle w:val="ListParagraph"/>
        <w:rPr>
          <w:rFonts w:eastAsiaTheme="minorHAnsi" w:cs="Arial"/>
          <w:sz w:val="22"/>
          <w:szCs w:val="22"/>
        </w:rPr>
      </w:pPr>
    </w:p>
    <w:p w14:paraId="0CD932A6" w14:textId="258F3DDA" w:rsidR="00224A56" w:rsidRDefault="00224A56" w:rsidP="00A47F8A">
      <w:pPr>
        <w:pStyle w:val="EBNumber"/>
        <w:numPr>
          <w:ilvl w:val="0"/>
          <w:numId w:val="4"/>
        </w:numPr>
        <w:tabs>
          <w:tab w:val="num" w:pos="567"/>
        </w:tabs>
        <w:jc w:val="both"/>
      </w:pPr>
      <w:r w:rsidRPr="00212255">
        <w:t>The costs and benefits of each proposal are compared to option 0, the counterfactual or “do nothing” scenario, where fees are maintained at their current levels. As the counterfactual is compared to itself, the costs and benefits are necessarily zero, as is its net present value (NPV).</w:t>
      </w:r>
    </w:p>
    <w:p w14:paraId="7BDCA802" w14:textId="77777777" w:rsidR="00DA7C70" w:rsidRDefault="00DA7C70" w:rsidP="00DA7C70">
      <w:pPr>
        <w:pStyle w:val="ListParagraph"/>
      </w:pPr>
    </w:p>
    <w:p w14:paraId="0378BDC9" w14:textId="0B49294A" w:rsidR="00224A56" w:rsidRPr="00512624" w:rsidRDefault="00DA7C70" w:rsidP="00512624">
      <w:pPr>
        <w:pStyle w:val="EBNumber"/>
        <w:numPr>
          <w:ilvl w:val="0"/>
          <w:numId w:val="4"/>
        </w:numPr>
        <w:tabs>
          <w:tab w:val="clear" w:pos="360"/>
          <w:tab w:val="num" w:pos="501"/>
          <w:tab w:val="num" w:pos="567"/>
          <w:tab w:val="num" w:pos="1210"/>
        </w:tabs>
        <w:jc w:val="both"/>
      </w:pPr>
      <w:r w:rsidRPr="00D43526">
        <w:t xml:space="preserve">The estimate of costs and benefits is higher than the consultation Impact Assessment </w:t>
      </w:r>
      <w:r w:rsidR="00853A60" w:rsidRPr="00D43526">
        <w:t>because e</w:t>
      </w:r>
      <w:r w:rsidRPr="00D43526">
        <w:t xml:space="preserve">lectronic payment data has been used to supplement the recorded volumes of fees paid, used to </w:t>
      </w:r>
      <w:r w:rsidRPr="00D43526">
        <w:lastRenderedPageBreak/>
        <w:t>estimate income from the fee change.</w:t>
      </w:r>
      <w:r w:rsidR="008A0356" w:rsidRPr="00D43526">
        <w:t xml:space="preserve"> This means that it is possible to estimate </w:t>
      </w:r>
      <w:r w:rsidR="00F80D88" w:rsidRPr="00D43526">
        <w:t>fee income for some fees where previously it had not been possible.</w:t>
      </w:r>
      <w:r w:rsidR="00155264">
        <w:t xml:space="preserve"> This is explained in more detail in paragraph </w:t>
      </w:r>
      <w:r w:rsidR="0053643A">
        <w:fldChar w:fldCharType="begin"/>
      </w:r>
      <w:r w:rsidR="0053643A">
        <w:instrText xml:space="preserve"> REF _Ref75866968 \r \h </w:instrText>
      </w:r>
      <w:r w:rsidR="0053643A">
        <w:fldChar w:fldCharType="separate"/>
      </w:r>
      <w:r w:rsidR="0053643A">
        <w:t>33</w:t>
      </w:r>
      <w:r w:rsidR="0053643A">
        <w:fldChar w:fldCharType="end"/>
      </w:r>
      <w:r w:rsidR="00155264">
        <w:t>.</w:t>
      </w:r>
    </w:p>
    <w:p w14:paraId="70EAC85F" w14:textId="77777777" w:rsidR="001E3C48" w:rsidRPr="00224A56" w:rsidRDefault="001E3C48" w:rsidP="00224A56">
      <w:pPr>
        <w:pStyle w:val="EBNumber"/>
        <w:numPr>
          <w:ilvl w:val="0"/>
          <w:numId w:val="0"/>
        </w:numPr>
        <w:spacing w:after="0"/>
        <w:ind w:left="360"/>
        <w:rPr>
          <w:sz w:val="24"/>
          <w:szCs w:val="24"/>
          <w:u w:val="single"/>
        </w:rPr>
      </w:pPr>
    </w:p>
    <w:p w14:paraId="0572872A" w14:textId="38DC31DE" w:rsidR="00224A56" w:rsidRPr="006C3284" w:rsidRDefault="00224A56" w:rsidP="00224A56">
      <w:pPr>
        <w:pStyle w:val="EBNumber"/>
        <w:numPr>
          <w:ilvl w:val="0"/>
          <w:numId w:val="0"/>
        </w:numPr>
        <w:spacing w:after="0"/>
        <w:rPr>
          <w:b/>
          <w:bCs w:val="0"/>
          <w:sz w:val="24"/>
          <w:szCs w:val="24"/>
        </w:rPr>
      </w:pPr>
      <w:r w:rsidRPr="006C3284">
        <w:rPr>
          <w:b/>
          <w:bCs w:val="0"/>
          <w:sz w:val="24"/>
          <w:szCs w:val="24"/>
        </w:rPr>
        <w:t>Methodology</w:t>
      </w:r>
      <w:r w:rsidR="00FE171B">
        <w:rPr>
          <w:b/>
          <w:bCs w:val="0"/>
          <w:sz w:val="24"/>
          <w:szCs w:val="24"/>
        </w:rPr>
        <w:t xml:space="preserve"> and key assumptions</w:t>
      </w:r>
    </w:p>
    <w:p w14:paraId="3B5491FF" w14:textId="77777777" w:rsidR="00D85B2C" w:rsidRPr="00A31D2B" w:rsidRDefault="00D85B2C" w:rsidP="006C3284">
      <w:pPr>
        <w:pStyle w:val="EBNumber"/>
        <w:numPr>
          <w:ilvl w:val="0"/>
          <w:numId w:val="4"/>
        </w:numPr>
        <w:tabs>
          <w:tab w:val="num" w:pos="567"/>
        </w:tabs>
        <w:spacing w:before="240" w:after="0"/>
        <w:jc w:val="both"/>
      </w:pPr>
      <w:bookmarkStart w:id="32" w:name="_Ref63872184"/>
      <w:r w:rsidRPr="00A31D2B">
        <w:t>The impacts described in this IA are based on modelling and assumptions. These are described below. The risks associated with these assumptions are described in section F.</w:t>
      </w:r>
      <w:bookmarkEnd w:id="32"/>
    </w:p>
    <w:p w14:paraId="18EFB764" w14:textId="6C70C903" w:rsidR="006C3284" w:rsidRPr="006C3284" w:rsidRDefault="006C3284" w:rsidP="006C3284">
      <w:pPr>
        <w:pStyle w:val="EBNumber"/>
        <w:numPr>
          <w:ilvl w:val="0"/>
          <w:numId w:val="4"/>
        </w:numPr>
        <w:tabs>
          <w:tab w:val="num" w:pos="567"/>
        </w:tabs>
        <w:spacing w:before="240" w:after="0"/>
        <w:jc w:val="both"/>
      </w:pPr>
      <w:r w:rsidRPr="00A31D2B">
        <w:t>The MoJ</w:t>
      </w:r>
      <w:r w:rsidRPr="00A31D2B" w:rsidDel="00A2318D">
        <w:t xml:space="preserve"> </w:t>
      </w:r>
      <w:r w:rsidRPr="00A31D2B">
        <w:t xml:space="preserve">reviews court fees and in 2020 undertook an exercise to map each </w:t>
      </w:r>
      <w:r w:rsidR="00BB3170" w:rsidRPr="00A31D2B">
        <w:t xml:space="preserve">court </w:t>
      </w:r>
      <w:r w:rsidRPr="00A31D2B">
        <w:t xml:space="preserve">fee to the cost of that </w:t>
      </w:r>
      <w:proofErr w:type="gramStart"/>
      <w:r w:rsidRPr="00A31D2B">
        <w:t>particular service</w:t>
      </w:r>
      <w:proofErr w:type="gramEnd"/>
      <w:r w:rsidRPr="00A31D2B">
        <w:t xml:space="preserve">, referred to as a fee’s unit cost, using data for 2018/19. </w:t>
      </w:r>
      <w:r w:rsidR="00995A44" w:rsidRPr="00A31D2B">
        <w:t xml:space="preserve">Inflationary increases have been applied to these ‘unit costs’ to give an estimated cost for 2021/22. </w:t>
      </w:r>
      <w:r w:rsidR="00740174" w:rsidRPr="0052577F">
        <w:t>The consultation IA applied an internal HMCTS inflation rate</w:t>
      </w:r>
      <w:r w:rsidR="00661A0E" w:rsidRPr="0052577F">
        <w:t>, whereas we have now used CPI</w:t>
      </w:r>
      <w:r w:rsidR="003A24E5" w:rsidRPr="0052577F">
        <w:t xml:space="preserve">. As </w:t>
      </w:r>
      <w:r w:rsidR="004428F6">
        <w:t>the</w:t>
      </w:r>
      <w:r w:rsidR="003A24E5" w:rsidRPr="0052577F">
        <w:t xml:space="preserve"> CPI inflation rate for the period 2018/19 to 202</w:t>
      </w:r>
      <w:r w:rsidR="00F13429" w:rsidRPr="0052577F">
        <w:t xml:space="preserve">1/22 is lower than the </w:t>
      </w:r>
      <w:r w:rsidR="00541A71" w:rsidRPr="0052577F">
        <w:t xml:space="preserve">HMCTS inflation rate, </w:t>
      </w:r>
      <w:r w:rsidR="002A60BF" w:rsidRPr="0052577F">
        <w:t>a small number of</w:t>
      </w:r>
      <w:r w:rsidR="00541A71" w:rsidRPr="0052577F">
        <w:t xml:space="preserve"> fees </w:t>
      </w:r>
      <w:r w:rsidR="00314832" w:rsidRPr="0052577F">
        <w:t>have now increased by a smaller amount</w:t>
      </w:r>
      <w:r w:rsidR="00541A71" w:rsidRPr="0052577F">
        <w:t>.</w:t>
      </w:r>
      <w:r w:rsidR="00496177">
        <w:t xml:space="preserve"> </w:t>
      </w:r>
    </w:p>
    <w:p w14:paraId="2046709B" w14:textId="56C0181A" w:rsidR="003029BC" w:rsidRPr="00B216FD" w:rsidRDefault="004F1F08" w:rsidP="0034352A">
      <w:pPr>
        <w:pStyle w:val="EBNumber"/>
        <w:numPr>
          <w:ilvl w:val="0"/>
          <w:numId w:val="4"/>
        </w:numPr>
        <w:tabs>
          <w:tab w:val="num" w:pos="567"/>
        </w:tabs>
        <w:spacing w:before="240" w:after="0"/>
        <w:jc w:val="both"/>
      </w:pPr>
      <w:r w:rsidRPr="00E430FC">
        <w:t xml:space="preserve">Fees have been inflated using CPI inflation, backdated from August 2016 (or later, for the </w:t>
      </w:r>
      <w:r w:rsidRPr="00B216FD">
        <w:t>1</w:t>
      </w:r>
      <w:r w:rsidR="00314832" w:rsidRPr="00B216FD">
        <w:t>3</w:t>
      </w:r>
      <w:r w:rsidRPr="00E430FC">
        <w:t xml:space="preserve"> fees that were last changed after August 2016)</w:t>
      </w:r>
      <w:r w:rsidR="00156DF9">
        <w:rPr>
          <w:rStyle w:val="FootnoteReference"/>
        </w:rPr>
        <w:footnoteReference w:id="9"/>
      </w:r>
      <w:r w:rsidRPr="00E430FC">
        <w:t xml:space="preserve"> to the first quarter of 2021. </w:t>
      </w:r>
      <w:r w:rsidR="0034352A" w:rsidRPr="00B216FD">
        <w:t>The inflationary increase was calculated using 8 months of inflation as measured by the CPI annual rate from August 2016 to March 2017, another 12 months to March 2</w:t>
      </w:r>
      <w:r w:rsidR="00733E5B" w:rsidRPr="00B216FD">
        <w:t>0</w:t>
      </w:r>
      <w:r w:rsidR="0034352A" w:rsidRPr="00B216FD">
        <w:t>18, and so forth until March 2021</w:t>
      </w:r>
      <w:r w:rsidR="0034352A" w:rsidRPr="00B216FD">
        <w:rPr>
          <w:rStyle w:val="FootnoteReference"/>
        </w:rPr>
        <w:footnoteReference w:id="10"/>
      </w:r>
      <w:r w:rsidR="0034352A" w:rsidRPr="00B216FD">
        <w:t xml:space="preserve">. </w:t>
      </w:r>
      <w:r w:rsidR="003F4766" w:rsidRPr="00B216FD">
        <w:t>When the consultation was published</w:t>
      </w:r>
      <w:r w:rsidR="00113355" w:rsidRPr="00B216FD">
        <w:t>,</w:t>
      </w:r>
      <w:r w:rsidR="003F4766" w:rsidRPr="00B216FD">
        <w:t xml:space="preserve"> fees had to be inflated using a forecast for the inflationary increase for Q1 2021. The publication of March 2021 CPI data </w:t>
      </w:r>
      <w:r w:rsidR="00501B63" w:rsidRPr="00B216FD">
        <w:t xml:space="preserve">means that it is </w:t>
      </w:r>
      <w:r w:rsidR="7307C723" w:rsidRPr="00B216FD">
        <w:t xml:space="preserve">now </w:t>
      </w:r>
      <w:r w:rsidR="00501B63" w:rsidRPr="00B216FD">
        <w:t xml:space="preserve">possible to base the increased </w:t>
      </w:r>
      <w:r w:rsidR="007A27EA" w:rsidRPr="00B216FD">
        <w:t xml:space="preserve">fees on CPI outturns. The inflation rate for </w:t>
      </w:r>
      <w:proofErr w:type="gramStart"/>
      <w:r w:rsidR="007A27EA" w:rsidRPr="00B216FD">
        <w:t>the majority of</w:t>
      </w:r>
      <w:proofErr w:type="gramEnd"/>
      <w:r w:rsidR="007A27EA" w:rsidRPr="00B216FD">
        <w:t xml:space="preserve"> the fees has changed from 7.7% to 7.8%. </w:t>
      </w:r>
    </w:p>
    <w:p w14:paraId="2D7ACD95" w14:textId="473154DD" w:rsidR="0034352A" w:rsidRPr="00771157" w:rsidRDefault="00CE3D53" w:rsidP="0034352A">
      <w:pPr>
        <w:pStyle w:val="EBNumber"/>
        <w:numPr>
          <w:ilvl w:val="0"/>
          <w:numId w:val="4"/>
        </w:numPr>
        <w:tabs>
          <w:tab w:val="num" w:pos="567"/>
        </w:tabs>
        <w:spacing w:before="240" w:after="0"/>
        <w:jc w:val="both"/>
      </w:pPr>
      <w:r>
        <w:t>U</w:t>
      </w:r>
      <w:r w:rsidR="003029BC" w:rsidRPr="001844DB">
        <w:t xml:space="preserve">sing CPI inflation to uprate the unit costs, using CPI outturns for March 2021 and </w:t>
      </w:r>
      <w:bookmarkStart w:id="33" w:name="_Hlk75449777"/>
      <w:r w:rsidR="00EC3875" w:rsidRPr="001844DB">
        <w:t>updating</w:t>
      </w:r>
      <w:r w:rsidR="003029BC" w:rsidRPr="001844DB">
        <w:t xml:space="preserve"> the calculation of the fees that were last changed after July 2016</w:t>
      </w:r>
      <w:bookmarkEnd w:id="33"/>
      <w:r w:rsidR="003029BC" w:rsidRPr="001844DB">
        <w:t xml:space="preserve"> has led to 37 fee levels being different to what was </w:t>
      </w:r>
      <w:r w:rsidR="54EA9373">
        <w:t xml:space="preserve">proposed </w:t>
      </w:r>
      <w:r w:rsidR="003029BC" w:rsidRPr="001844DB">
        <w:t xml:space="preserve">in the consultation. </w:t>
      </w:r>
      <w:r w:rsidR="000150CE" w:rsidRPr="001844DB">
        <w:t xml:space="preserve">Three of the fees are no longer being increased, 22 fees are increasing by a higher amount (on average £1) and 12 fees are increasing by a lower amount (on average £3).  </w:t>
      </w:r>
      <w:r w:rsidR="006C3ABE" w:rsidRPr="001844DB">
        <w:t>The final fee values can be viewed in Annex A.</w:t>
      </w:r>
      <w:r w:rsidR="00771157" w:rsidRPr="001844DB">
        <w:t xml:space="preserve"> </w:t>
      </w:r>
    </w:p>
    <w:p w14:paraId="6581D5B6" w14:textId="6212D329" w:rsidR="00A97187" w:rsidRPr="001A67BA" w:rsidRDefault="005A7B7C" w:rsidP="00E410B7">
      <w:pPr>
        <w:pStyle w:val="EBNumber"/>
        <w:numPr>
          <w:ilvl w:val="0"/>
          <w:numId w:val="4"/>
        </w:numPr>
        <w:spacing w:before="240"/>
        <w:jc w:val="both"/>
      </w:pPr>
      <w:r w:rsidRPr="001A67BA">
        <w:t xml:space="preserve">CPI is used to uplift the fees as this provides a good measure of the general increase to prices as well as inflation experienced by HMCTS. </w:t>
      </w:r>
      <w:r w:rsidR="00A97187" w:rsidRPr="001A67BA">
        <w:t>The main reasons for doing so are:</w:t>
      </w:r>
    </w:p>
    <w:p w14:paraId="2D074AE8" w14:textId="7C25826B" w:rsidR="005A7B7C" w:rsidRPr="001A67BA" w:rsidRDefault="00D22F40" w:rsidP="00424C59">
      <w:pPr>
        <w:pStyle w:val="EBNumber"/>
        <w:numPr>
          <w:ilvl w:val="0"/>
          <w:numId w:val="31"/>
        </w:numPr>
        <w:tabs>
          <w:tab w:val="num" w:pos="567"/>
        </w:tabs>
        <w:spacing w:before="240"/>
        <w:jc w:val="both"/>
      </w:pPr>
      <w:r w:rsidRPr="001A67BA">
        <w:t xml:space="preserve">The </w:t>
      </w:r>
      <w:r w:rsidR="00D604AE">
        <w:t>Lords Economic Affairs Select Committee</w:t>
      </w:r>
      <w:r w:rsidR="00E410B7" w:rsidRPr="001A67BA">
        <w:t xml:space="preserve"> published a report in 2019</w:t>
      </w:r>
      <w:r w:rsidR="00B244D4" w:rsidRPr="001A67BA">
        <w:rPr>
          <w:rStyle w:val="FootnoteReference"/>
        </w:rPr>
        <w:footnoteReference w:id="11"/>
      </w:r>
      <w:r w:rsidR="00E410B7" w:rsidRPr="001A67BA">
        <w:t xml:space="preserve">, </w:t>
      </w:r>
      <w:r w:rsidR="00AC2558">
        <w:t xml:space="preserve">suggesting </w:t>
      </w:r>
      <w:r w:rsidR="00E410B7" w:rsidRPr="001A67BA">
        <w:t>that government could be accused of ‘index shopping’ when not using CPI as the default</w:t>
      </w:r>
      <w:r w:rsidR="00C86FDF">
        <w:t xml:space="preserve"> measure of inflation</w:t>
      </w:r>
      <w:r w:rsidR="00E410B7" w:rsidRPr="001A67BA">
        <w:t xml:space="preserve">. </w:t>
      </w:r>
      <w:proofErr w:type="gramStart"/>
      <w:r w:rsidR="00DA345D" w:rsidRPr="001A67BA">
        <w:t>In particular, at</w:t>
      </w:r>
      <w:proofErr w:type="gramEnd"/>
      <w:r w:rsidR="00DA345D" w:rsidRPr="001A67BA">
        <w:t xml:space="preserve"> p</w:t>
      </w:r>
      <w:r w:rsidR="00E410B7" w:rsidRPr="001A67BA">
        <w:t>ara</w:t>
      </w:r>
      <w:r w:rsidR="00DA345D" w:rsidRPr="001A67BA">
        <w:t>graph</w:t>
      </w:r>
      <w:r w:rsidR="00E410B7" w:rsidRPr="001A67BA">
        <w:t xml:space="preserve"> 156,</w:t>
      </w:r>
      <w:r w:rsidR="006561CD" w:rsidRPr="001A67BA">
        <w:t xml:space="preserve"> the report states</w:t>
      </w:r>
      <w:r w:rsidR="00E410B7" w:rsidRPr="001A67BA">
        <w:t xml:space="preserve"> “While the single general measure is being determined, the Government should switch to CPI for uprating purposes in all areas where it is not bound by contract to use RPI</w:t>
      </w:r>
      <w:r w:rsidR="006561CD" w:rsidRPr="001A67BA">
        <w:t>.</w:t>
      </w:r>
      <w:r w:rsidR="00E410B7" w:rsidRPr="001A67BA">
        <w:t>”</w:t>
      </w:r>
    </w:p>
    <w:p w14:paraId="57C2E5F2" w14:textId="3D5B05CC" w:rsidR="007D7FA6" w:rsidRPr="001A67BA" w:rsidRDefault="007D7FA6" w:rsidP="00424C59">
      <w:pPr>
        <w:pStyle w:val="EBNumber"/>
        <w:numPr>
          <w:ilvl w:val="0"/>
          <w:numId w:val="31"/>
        </w:numPr>
        <w:tabs>
          <w:tab w:val="num" w:pos="567"/>
        </w:tabs>
        <w:spacing w:before="240"/>
        <w:jc w:val="both"/>
      </w:pPr>
      <w:r w:rsidRPr="001A67BA">
        <w:t xml:space="preserve">CPI </w:t>
      </w:r>
      <w:r w:rsidR="00567B3F" w:rsidRPr="001A67BA">
        <w:t xml:space="preserve">inflation </w:t>
      </w:r>
      <w:r w:rsidR="00F74B84" w:rsidRPr="001A67BA">
        <w:t>data is published by the Office of National Statistics (ONS)</w:t>
      </w:r>
      <w:r w:rsidR="00050A7D" w:rsidRPr="001A67BA">
        <w:t xml:space="preserve"> </w:t>
      </w:r>
      <w:r w:rsidR="0029733A" w:rsidRPr="001A67BA">
        <w:t>and is widely accepted as a good indicator of the general increase in prices,</w:t>
      </w:r>
      <w:r w:rsidR="00650F2B" w:rsidRPr="001A67BA">
        <w:t xml:space="preserve"> ensuring transparen</w:t>
      </w:r>
      <w:r w:rsidR="0029733A" w:rsidRPr="001A67BA">
        <w:t>t methodology</w:t>
      </w:r>
      <w:r w:rsidR="00650F2B" w:rsidRPr="001A67BA">
        <w:t xml:space="preserve"> of the rates used.</w:t>
      </w:r>
    </w:p>
    <w:p w14:paraId="70E741F9" w14:textId="683CF18B" w:rsidR="006C3284" w:rsidRDefault="00217B1D" w:rsidP="006C3284">
      <w:pPr>
        <w:pStyle w:val="EBNumber"/>
        <w:numPr>
          <w:ilvl w:val="0"/>
          <w:numId w:val="4"/>
        </w:numPr>
        <w:tabs>
          <w:tab w:val="num" w:pos="567"/>
        </w:tabs>
        <w:spacing w:before="240" w:after="0"/>
        <w:jc w:val="both"/>
      </w:pPr>
      <w:r w:rsidRPr="008D4689">
        <w:t xml:space="preserve">Fees that are legally not allowed to recover above the cost of the service </w:t>
      </w:r>
      <w:r w:rsidR="006C3284" w:rsidRPr="008D4689">
        <w:t xml:space="preserve">are capped at their </w:t>
      </w:r>
      <w:r w:rsidR="00995A44" w:rsidRPr="008D4689">
        <w:t>estimated</w:t>
      </w:r>
      <w:r w:rsidR="006C3284" w:rsidRPr="008D4689">
        <w:t xml:space="preserve"> unit cost for 2021/22,</w:t>
      </w:r>
      <w:r w:rsidR="00981939" w:rsidRPr="008D4689">
        <w:t xml:space="preserve"> whereas </w:t>
      </w:r>
      <w:r w:rsidRPr="008D4689">
        <w:t>‘</w:t>
      </w:r>
      <w:r w:rsidR="00981939" w:rsidRPr="008D4689">
        <w:t>e</w:t>
      </w:r>
      <w:r w:rsidR="006C3284" w:rsidRPr="008D4689">
        <w:t>nhanced fees</w:t>
      </w:r>
      <w:r w:rsidRPr="008D4689">
        <w:t>’ (fees that can legally over-recover)</w:t>
      </w:r>
      <w:r w:rsidR="006C3284" w:rsidRPr="008D4689">
        <w:t xml:space="preserve"> are not capped.</w:t>
      </w:r>
      <w:r w:rsidR="00981939" w:rsidRPr="008D4689">
        <w:t xml:space="preserve"> Fees have been rounded to the nearest po</w:t>
      </w:r>
      <w:r w:rsidR="001A504A" w:rsidRPr="008D4689">
        <w:t>u</w:t>
      </w:r>
      <w:r w:rsidR="00981939" w:rsidRPr="008D4689">
        <w:t>nd (rounded down in the case of cost-recovery fees in order to prevent inadvertent over-recovery).</w:t>
      </w:r>
    </w:p>
    <w:p w14:paraId="67C2EB0B" w14:textId="73CA4F9B" w:rsidR="00FF415A" w:rsidRPr="008D4689" w:rsidRDefault="001E18F5" w:rsidP="00FF415A">
      <w:pPr>
        <w:pStyle w:val="EBNumber"/>
        <w:numPr>
          <w:ilvl w:val="0"/>
          <w:numId w:val="4"/>
        </w:numPr>
        <w:spacing w:before="240"/>
        <w:jc w:val="both"/>
      </w:pPr>
      <w:r w:rsidRPr="008D4689">
        <w:t xml:space="preserve">The court fees proposed to increase have been selected from those that are set below their unit cost, or that have been set under the enhanced court fee power. </w:t>
      </w:r>
      <w:r w:rsidR="006C3284" w:rsidRPr="008D4689">
        <w:t xml:space="preserve">Not all </w:t>
      </w:r>
      <w:r w:rsidR="009B3718">
        <w:t>such</w:t>
      </w:r>
      <w:r w:rsidR="006C3284" w:rsidRPr="008D4689">
        <w:t xml:space="preserve"> fees were included in </w:t>
      </w:r>
      <w:r w:rsidR="00B31020" w:rsidRPr="008D4689">
        <w:t>Option 1</w:t>
      </w:r>
      <w:r w:rsidR="006C3284" w:rsidRPr="008D4689">
        <w:t xml:space="preserve"> for inflationary increases</w:t>
      </w:r>
      <w:r w:rsidR="009B3718">
        <w:t xml:space="preserve"> as</w:t>
      </w:r>
      <w:r w:rsidR="006C3284" w:rsidRPr="008D4689">
        <w:t xml:space="preserve"> </w:t>
      </w:r>
      <w:r w:rsidR="009B3718">
        <w:t>w</w:t>
      </w:r>
      <w:r w:rsidR="00FF415A" w:rsidRPr="008D4689">
        <w:t xml:space="preserve">e have excluded some fees from the proposal, including, for example: </w:t>
      </w:r>
    </w:p>
    <w:p w14:paraId="0F6D779F" w14:textId="77777777" w:rsidR="006C3284" w:rsidRPr="00194715" w:rsidRDefault="006C3284" w:rsidP="00721CD8">
      <w:pPr>
        <w:pStyle w:val="EBNumber"/>
        <w:numPr>
          <w:ilvl w:val="1"/>
          <w:numId w:val="11"/>
        </w:numPr>
        <w:spacing w:after="0"/>
        <w:jc w:val="both"/>
      </w:pPr>
      <w:r w:rsidRPr="00194715">
        <w:t>Tribunal fees;</w:t>
      </w:r>
    </w:p>
    <w:p w14:paraId="7592C575" w14:textId="77777777" w:rsidR="006C3284" w:rsidRPr="00194715" w:rsidRDefault="006C3284" w:rsidP="00721CD8">
      <w:pPr>
        <w:pStyle w:val="EBNumber"/>
        <w:numPr>
          <w:ilvl w:val="1"/>
          <w:numId w:val="11"/>
        </w:numPr>
        <w:spacing w:after="0"/>
        <w:jc w:val="both"/>
      </w:pPr>
      <w:r w:rsidRPr="00194715">
        <w:t>Fees reduced to cost recovery levels in August 2020</w:t>
      </w:r>
      <w:r w:rsidRPr="003D683C">
        <w:rPr>
          <w:rStyle w:val="FootnoteReference"/>
        </w:rPr>
        <w:footnoteReference w:id="12"/>
      </w:r>
      <w:r w:rsidRPr="00194715">
        <w:t>;</w:t>
      </w:r>
    </w:p>
    <w:p w14:paraId="1AAE0A46" w14:textId="77777777" w:rsidR="006C3284" w:rsidRPr="00194715" w:rsidRDefault="006C3284" w:rsidP="00721CD8">
      <w:pPr>
        <w:pStyle w:val="EBNumber"/>
        <w:numPr>
          <w:ilvl w:val="1"/>
          <w:numId w:val="11"/>
        </w:numPr>
        <w:spacing w:after="0"/>
        <w:jc w:val="both"/>
      </w:pPr>
      <w:r w:rsidRPr="00194715">
        <w:lastRenderedPageBreak/>
        <w:t>Fees included in the MoJ Consultation: Alignment of the fees for online and paper civil money and possession claims</w:t>
      </w:r>
      <w:r w:rsidRPr="003D683C">
        <w:rPr>
          <w:rStyle w:val="FootnoteReference"/>
        </w:rPr>
        <w:footnoteReference w:id="13"/>
      </w:r>
      <w:r w:rsidRPr="00194715">
        <w:t>;</w:t>
      </w:r>
    </w:p>
    <w:p w14:paraId="4BE60761" w14:textId="72D4102D" w:rsidR="006C3284" w:rsidRPr="00194715" w:rsidRDefault="006C3284" w:rsidP="00721CD8">
      <w:pPr>
        <w:pStyle w:val="EBNumber"/>
        <w:numPr>
          <w:ilvl w:val="1"/>
          <w:numId w:val="11"/>
        </w:numPr>
        <w:spacing w:after="0"/>
        <w:jc w:val="both"/>
      </w:pPr>
      <w:r w:rsidRPr="00194715">
        <w:t>Probate application fees;</w:t>
      </w:r>
    </w:p>
    <w:p w14:paraId="52B60441" w14:textId="77777777" w:rsidR="006C3284" w:rsidRPr="00194715" w:rsidRDefault="006C3284" w:rsidP="00721CD8">
      <w:pPr>
        <w:pStyle w:val="EBNumber"/>
        <w:numPr>
          <w:ilvl w:val="1"/>
          <w:numId w:val="11"/>
        </w:numPr>
        <w:spacing w:after="0"/>
        <w:jc w:val="both"/>
      </w:pPr>
      <w:r w:rsidRPr="00194715">
        <w:t>Fees for Judicial Reviews (JR) in Civil Courts;</w:t>
      </w:r>
    </w:p>
    <w:p w14:paraId="2BCE20A9" w14:textId="77777777" w:rsidR="006C3284" w:rsidRPr="00194715" w:rsidRDefault="006C3284" w:rsidP="00721CD8">
      <w:pPr>
        <w:pStyle w:val="EBNumber"/>
        <w:numPr>
          <w:ilvl w:val="1"/>
          <w:numId w:val="11"/>
        </w:numPr>
        <w:spacing w:after="0"/>
        <w:jc w:val="both"/>
      </w:pPr>
      <w:r w:rsidRPr="00194715">
        <w:t>Fees that are currently set at £0;</w:t>
      </w:r>
    </w:p>
    <w:p w14:paraId="1DC7AE37" w14:textId="2D12EB22" w:rsidR="006C3284" w:rsidRPr="00194715" w:rsidRDefault="006C3284" w:rsidP="00721CD8">
      <w:pPr>
        <w:pStyle w:val="EBNumber"/>
        <w:numPr>
          <w:ilvl w:val="1"/>
          <w:numId w:val="11"/>
        </w:numPr>
        <w:spacing w:after="0"/>
        <w:jc w:val="both"/>
      </w:pPr>
      <w:r w:rsidRPr="00194715">
        <w:t>Fees where after rounding they do not change.</w:t>
      </w:r>
    </w:p>
    <w:p w14:paraId="314B0F6E" w14:textId="02F37453" w:rsidR="006C3284" w:rsidRPr="00910244" w:rsidRDefault="006C3284" w:rsidP="004477C8">
      <w:pPr>
        <w:pStyle w:val="EBNumber"/>
        <w:numPr>
          <w:ilvl w:val="0"/>
          <w:numId w:val="0"/>
        </w:numPr>
        <w:tabs>
          <w:tab w:val="num" w:pos="567"/>
        </w:tabs>
        <w:ind w:left="425" w:hanging="425"/>
        <w:jc w:val="both"/>
        <w:rPr>
          <w:rFonts w:eastAsia="Arial"/>
          <w:color w:val="000000" w:themeColor="text1"/>
        </w:rPr>
      </w:pPr>
    </w:p>
    <w:p w14:paraId="30C245B0" w14:textId="284E4BC0" w:rsidR="00D244A6" w:rsidRPr="0011324E" w:rsidRDefault="00D244A6" w:rsidP="00AE4E68">
      <w:pPr>
        <w:pStyle w:val="EBNumber"/>
        <w:numPr>
          <w:ilvl w:val="0"/>
          <w:numId w:val="4"/>
        </w:numPr>
        <w:tabs>
          <w:tab w:val="num" w:pos="567"/>
        </w:tabs>
        <w:jc w:val="both"/>
      </w:pPr>
      <w:r w:rsidRPr="0011324E">
        <w:t xml:space="preserve">Of the </w:t>
      </w:r>
      <w:r w:rsidR="008F12F1">
        <w:t>12</w:t>
      </w:r>
      <w:r w:rsidR="00FA160D">
        <w:t>8</w:t>
      </w:r>
      <w:r w:rsidRPr="0011324E">
        <w:t xml:space="preserve"> fees that would be increased in line with CPI inflation, </w:t>
      </w:r>
      <w:r w:rsidR="008973AD" w:rsidRPr="0011324E">
        <w:t>87</w:t>
      </w:r>
      <w:r w:rsidRPr="0011324E">
        <w:t xml:space="preserve"> are set under cost recovery and 43 </w:t>
      </w:r>
      <w:r w:rsidR="00BD5960" w:rsidRPr="0011324E">
        <w:t>are</w:t>
      </w:r>
      <w:r w:rsidRPr="0011324E">
        <w:t xml:space="preserve"> set under the enhanced fee power</w:t>
      </w:r>
      <w:r w:rsidR="00A21C12" w:rsidRPr="0011324E">
        <w:t xml:space="preserve"> (of these 11 are below cost)</w:t>
      </w:r>
      <w:r w:rsidRPr="0011324E">
        <w:t>.</w:t>
      </w:r>
    </w:p>
    <w:p w14:paraId="247B0889" w14:textId="392DE54B" w:rsidR="002179B5" w:rsidRPr="00910244" w:rsidRDefault="00224A56" w:rsidP="00AE4E68">
      <w:pPr>
        <w:pStyle w:val="EBNumber"/>
        <w:numPr>
          <w:ilvl w:val="0"/>
          <w:numId w:val="4"/>
        </w:numPr>
        <w:tabs>
          <w:tab w:val="num" w:pos="567"/>
        </w:tabs>
        <w:jc w:val="both"/>
      </w:pPr>
      <w:bookmarkStart w:id="34" w:name="_Ref75337751"/>
      <w:r w:rsidRPr="00910244">
        <w:t>In order to calculate the impact on HMCTS fee income, the change in fee has been multiplied by the expected volumes of users of the service for each fee that is to change</w:t>
      </w:r>
      <w:r w:rsidR="00D21EC2" w:rsidRPr="00910244">
        <w:t xml:space="preserve">, </w:t>
      </w:r>
      <w:proofErr w:type="gramStart"/>
      <w:r w:rsidR="00D21EC2" w:rsidRPr="00910244">
        <w:t>taking into account</w:t>
      </w:r>
      <w:proofErr w:type="gramEnd"/>
      <w:r w:rsidR="00E04901" w:rsidRPr="00910244">
        <w:t xml:space="preserve"> remissions</w:t>
      </w:r>
      <w:r w:rsidRPr="00910244">
        <w:t xml:space="preserve">. </w:t>
      </w:r>
      <w:r w:rsidR="002179B5" w:rsidRPr="00910244">
        <w:t xml:space="preserve">There is uncertainty around the volumes for </w:t>
      </w:r>
      <w:proofErr w:type="gramStart"/>
      <w:r w:rsidR="002179B5" w:rsidRPr="00910244">
        <w:t>a number of</w:t>
      </w:r>
      <w:proofErr w:type="gramEnd"/>
      <w:r w:rsidR="002179B5" w:rsidRPr="00910244">
        <w:t xml:space="preserve"> reasons, including a possible demand response from court users to the fee increases.</w:t>
      </w:r>
      <w:bookmarkEnd w:id="34"/>
    </w:p>
    <w:p w14:paraId="0BA9F28D" w14:textId="77777777" w:rsidR="00D85B2C" w:rsidRPr="00BF7F73" w:rsidRDefault="00D85B2C" w:rsidP="00AE4E68">
      <w:pPr>
        <w:pStyle w:val="EBNumber"/>
        <w:numPr>
          <w:ilvl w:val="1"/>
          <w:numId w:val="0"/>
        </w:numPr>
        <w:tabs>
          <w:tab w:val="num" w:pos="567"/>
        </w:tabs>
        <w:ind w:left="57"/>
        <w:jc w:val="both"/>
        <w:rPr>
          <w:u w:val="single"/>
        </w:rPr>
      </w:pPr>
      <w:r w:rsidRPr="00BF7F73">
        <w:rPr>
          <w:u w:val="single"/>
        </w:rPr>
        <w:t>Volumes</w:t>
      </w:r>
    </w:p>
    <w:p w14:paraId="70270E4A" w14:textId="6902FFBF" w:rsidR="00D85B2C" w:rsidRDefault="00D85B2C" w:rsidP="00E7758A">
      <w:pPr>
        <w:pStyle w:val="EBNumber"/>
        <w:numPr>
          <w:ilvl w:val="0"/>
          <w:numId w:val="4"/>
        </w:numPr>
        <w:jc w:val="both"/>
      </w:pPr>
      <w:r w:rsidRPr="00BF7F73">
        <w:t>The change in fee income from Option 1 has been assessed using volumes for 2018/19, the latest date for which volumes by fee are available.</w:t>
      </w:r>
      <w:r>
        <w:t xml:space="preserve"> </w:t>
      </w:r>
      <w:r w:rsidR="001F6EC2">
        <w:t>Fee volumes are estimated</w:t>
      </w:r>
      <w:r>
        <w:t xml:space="preserve"> by </w:t>
      </w:r>
      <w:r w:rsidR="001F6EC2">
        <w:t>fees being mapped to ser</w:t>
      </w:r>
      <w:r w:rsidR="00F53745">
        <w:t>vices in the civil and family courts. However, i</w:t>
      </w:r>
      <w:r w:rsidR="00C65BFE">
        <w:t>n</w:t>
      </w:r>
      <w:r w:rsidR="00F53745">
        <w:t xml:space="preserve"> some case</w:t>
      </w:r>
      <w:r w:rsidR="00420EA8">
        <w:t>s</w:t>
      </w:r>
      <w:r w:rsidR="000C4245">
        <w:t xml:space="preserve"> </w:t>
      </w:r>
      <w:r>
        <w:t xml:space="preserve">it is not possible to </w:t>
      </w:r>
      <w:r w:rsidR="00535217">
        <w:t xml:space="preserve">estimate the </w:t>
      </w:r>
      <w:r>
        <w:t xml:space="preserve">volume </w:t>
      </w:r>
      <w:r w:rsidR="00535217">
        <w:t>for a fee</w:t>
      </w:r>
      <w:r w:rsidR="000C4245">
        <w:t xml:space="preserve">, either because </w:t>
      </w:r>
      <w:r w:rsidR="007116CD">
        <w:t xml:space="preserve">a group of fees is mapped to one service or </w:t>
      </w:r>
      <w:r w:rsidR="00725DAF">
        <w:t xml:space="preserve">because a fee cannot </w:t>
      </w:r>
      <w:r w:rsidR="009C0981">
        <w:t>be</w:t>
      </w:r>
      <w:r w:rsidR="00197034">
        <w:t xml:space="preserve"> directly</w:t>
      </w:r>
      <w:r w:rsidR="009C0981">
        <w:t xml:space="preserve"> mapped to </w:t>
      </w:r>
      <w:r w:rsidR="00D1678A">
        <w:t>a service</w:t>
      </w:r>
      <w:r w:rsidR="001909CF">
        <w:t xml:space="preserve"> </w:t>
      </w:r>
      <w:r w:rsidR="007116CD">
        <w:t>(</w:t>
      </w:r>
      <w:r w:rsidRPr="00BF7F73">
        <w:t xml:space="preserve">this is the case for </w:t>
      </w:r>
      <w:r w:rsidR="003854DD" w:rsidRPr="00A33DA1">
        <w:t>6</w:t>
      </w:r>
      <w:r w:rsidR="004754E8" w:rsidRPr="00A33DA1">
        <w:t>5</w:t>
      </w:r>
      <w:r w:rsidRPr="00BF7F73">
        <w:t xml:space="preserve"> fees</w:t>
      </w:r>
      <w:r w:rsidR="0098711E" w:rsidRPr="00BF7F73">
        <w:t xml:space="preserve"> of those being considered in </w:t>
      </w:r>
      <w:r w:rsidR="004C2EF0" w:rsidRPr="00BF7F73">
        <w:t>Option 1</w:t>
      </w:r>
      <w:r w:rsidRPr="00BF7F73">
        <w:t>).</w:t>
      </w:r>
    </w:p>
    <w:p w14:paraId="35D3C146" w14:textId="02EC1854" w:rsidR="00BD5960" w:rsidRPr="00A13705" w:rsidRDefault="00BD5960" w:rsidP="00BD5960">
      <w:pPr>
        <w:pStyle w:val="ListParagraph"/>
        <w:numPr>
          <w:ilvl w:val="0"/>
          <w:numId w:val="4"/>
        </w:numPr>
        <w:rPr>
          <w:rFonts w:cs="Arial"/>
          <w:color w:val="000000"/>
          <w:sz w:val="22"/>
          <w:szCs w:val="22"/>
          <w:lang w:eastAsia="en-GB"/>
        </w:rPr>
      </w:pPr>
      <w:bookmarkStart w:id="35" w:name="_Hlk75455418"/>
      <w:bookmarkStart w:id="36" w:name="_Ref75866968"/>
      <w:r w:rsidRPr="00A33DA1">
        <w:rPr>
          <w:sz w:val="22"/>
          <w:szCs w:val="22"/>
        </w:rPr>
        <w:t>During the consultation period</w:t>
      </w:r>
      <w:r w:rsidR="5D10E12E" w:rsidRPr="4A28EB10">
        <w:rPr>
          <w:sz w:val="22"/>
          <w:szCs w:val="22"/>
        </w:rPr>
        <w:t>,</w:t>
      </w:r>
      <w:r w:rsidRPr="00A33DA1">
        <w:rPr>
          <w:sz w:val="22"/>
          <w:szCs w:val="22"/>
        </w:rPr>
        <w:t xml:space="preserve"> we undertook further analysis to supplement volumes data for those fees with missing volumes data. We used HMCTS </w:t>
      </w:r>
      <w:r w:rsidR="008E726B" w:rsidRPr="00A33DA1">
        <w:rPr>
          <w:sz w:val="22"/>
          <w:szCs w:val="22"/>
        </w:rPr>
        <w:t xml:space="preserve">transaction level information on </w:t>
      </w:r>
      <w:r w:rsidRPr="00A33DA1">
        <w:rPr>
          <w:sz w:val="22"/>
          <w:szCs w:val="22"/>
        </w:rPr>
        <w:t xml:space="preserve">electronic payment </w:t>
      </w:r>
      <w:r w:rsidR="008E726B" w:rsidRPr="00A33DA1">
        <w:rPr>
          <w:sz w:val="22"/>
          <w:szCs w:val="22"/>
        </w:rPr>
        <w:t xml:space="preserve">processes </w:t>
      </w:r>
      <w:r w:rsidRPr="00A33DA1">
        <w:rPr>
          <w:sz w:val="22"/>
          <w:szCs w:val="22"/>
        </w:rPr>
        <w:t xml:space="preserve">for 2019/20 to supplement the recorded volumes of </w:t>
      </w:r>
      <w:proofErr w:type="gramStart"/>
      <w:r w:rsidR="00CE19B1" w:rsidRPr="00A33DA1">
        <w:rPr>
          <w:sz w:val="22"/>
          <w:szCs w:val="22"/>
        </w:rPr>
        <w:t>a number of</w:t>
      </w:r>
      <w:proofErr w:type="gramEnd"/>
      <w:r w:rsidR="00D80DAB" w:rsidRPr="00A33DA1">
        <w:rPr>
          <w:sz w:val="22"/>
          <w:szCs w:val="22"/>
        </w:rPr>
        <w:t xml:space="preserve"> fees, </w:t>
      </w:r>
      <w:r w:rsidR="00CE19B1" w:rsidRPr="00A33DA1">
        <w:rPr>
          <w:sz w:val="22"/>
          <w:szCs w:val="22"/>
        </w:rPr>
        <w:t xml:space="preserve">as well as </w:t>
      </w:r>
      <w:r w:rsidR="00CE19B1" w:rsidRPr="00A13705">
        <w:rPr>
          <w:sz w:val="22"/>
          <w:szCs w:val="22"/>
        </w:rPr>
        <w:t xml:space="preserve">additional court volumes data, </w:t>
      </w:r>
      <w:r w:rsidR="00D80DAB" w:rsidRPr="00A13705">
        <w:rPr>
          <w:sz w:val="22"/>
          <w:szCs w:val="22"/>
        </w:rPr>
        <w:t>adding a total of c. 2.5m additional instances of payment of fees</w:t>
      </w:r>
      <w:bookmarkEnd w:id="35"/>
      <w:r w:rsidRPr="00A13705">
        <w:rPr>
          <w:sz w:val="22"/>
          <w:szCs w:val="22"/>
        </w:rPr>
        <w:t>.</w:t>
      </w:r>
      <w:bookmarkEnd w:id="36"/>
      <w:r w:rsidRPr="00A13705">
        <w:rPr>
          <w:sz w:val="22"/>
          <w:szCs w:val="22"/>
        </w:rPr>
        <w:t xml:space="preserve"> </w:t>
      </w:r>
    </w:p>
    <w:p w14:paraId="0D483BDA" w14:textId="17AA5ACC" w:rsidR="00BD5960" w:rsidRPr="00BF7F73" w:rsidRDefault="00BD5960" w:rsidP="00BD5960">
      <w:pPr>
        <w:pStyle w:val="EBNumber"/>
        <w:numPr>
          <w:ilvl w:val="0"/>
          <w:numId w:val="0"/>
        </w:numPr>
        <w:ind w:left="360"/>
        <w:jc w:val="both"/>
      </w:pPr>
    </w:p>
    <w:p w14:paraId="1EC980DF" w14:textId="1CD1320C" w:rsidR="006F3EBC" w:rsidRPr="00F6773E" w:rsidRDefault="00930BF1" w:rsidP="00E7758A">
      <w:pPr>
        <w:pStyle w:val="EBNumber"/>
        <w:numPr>
          <w:ilvl w:val="0"/>
          <w:numId w:val="4"/>
        </w:numPr>
        <w:jc w:val="both"/>
      </w:pPr>
      <w:bookmarkStart w:id="37" w:name="_Ref75337764"/>
      <w:r w:rsidRPr="00910244">
        <w:t xml:space="preserve">Since the first national Covid-19 lockdown in </w:t>
      </w:r>
      <w:r w:rsidR="002A275A" w:rsidRPr="00910244">
        <w:t xml:space="preserve">March </w:t>
      </w:r>
      <w:r w:rsidRPr="00910244">
        <w:t xml:space="preserve">2020, </w:t>
      </w:r>
      <w:r w:rsidR="6EDE7FD7" w:rsidRPr="00910244">
        <w:t xml:space="preserve">the number of proceedings filed </w:t>
      </w:r>
      <w:r w:rsidR="00015674" w:rsidRPr="00910244">
        <w:t>ha</w:t>
      </w:r>
      <w:r w:rsidR="01DDA634" w:rsidRPr="00910244">
        <w:t>s</w:t>
      </w:r>
      <w:r w:rsidRPr="00910244">
        <w:t xml:space="preserve"> decreased and</w:t>
      </w:r>
      <w:r w:rsidR="004E2702" w:rsidRPr="00910244">
        <w:t>,</w:t>
      </w:r>
      <w:r w:rsidRPr="00910244">
        <w:t xml:space="preserve"> although they have gradually been increasing</w:t>
      </w:r>
      <w:r w:rsidR="33BA9CAD" w:rsidRPr="00910244">
        <w:t xml:space="preserve"> since then</w:t>
      </w:r>
      <w:r w:rsidR="004E2702" w:rsidRPr="00910244">
        <w:t>,</w:t>
      </w:r>
      <w:r w:rsidRPr="00910244">
        <w:t xml:space="preserve"> they are not yet back to levels seen in 2019/20</w:t>
      </w:r>
      <w:r w:rsidR="002E1B99" w:rsidRPr="00910244">
        <w:t xml:space="preserve"> across all jurisdictions</w:t>
      </w:r>
      <w:r w:rsidR="004E2702" w:rsidRPr="00910244">
        <w:t xml:space="preserve">. </w:t>
      </w:r>
      <w:r w:rsidR="00B177E6" w:rsidRPr="00910244">
        <w:t xml:space="preserve">Relative to their respective pre-Covid-19 weekly averages in the </w:t>
      </w:r>
      <w:r w:rsidR="00E96C3A" w:rsidRPr="00910244">
        <w:t>eight</w:t>
      </w:r>
      <w:r w:rsidR="00B177E6" w:rsidRPr="00910244">
        <w:t xml:space="preserve"> weeks ending </w:t>
      </w:r>
      <w:r w:rsidR="00D86A70" w:rsidRPr="00A13705">
        <w:t>23</w:t>
      </w:r>
      <w:r w:rsidR="00D86A70" w:rsidRPr="00A13705">
        <w:rPr>
          <w:vertAlign w:val="superscript"/>
        </w:rPr>
        <w:t>rd</w:t>
      </w:r>
      <w:r w:rsidR="00D86A70" w:rsidRPr="00A13705">
        <w:t xml:space="preserve"> May 2021</w:t>
      </w:r>
      <w:r w:rsidR="00B177E6" w:rsidRPr="00910244">
        <w:t>, c</w:t>
      </w:r>
      <w:r w:rsidR="00E84E00" w:rsidRPr="00910244">
        <w:t xml:space="preserve">ivil </w:t>
      </w:r>
      <w:r w:rsidR="006F6159" w:rsidRPr="00910244">
        <w:t xml:space="preserve">court </w:t>
      </w:r>
      <w:r w:rsidR="00E13DBC" w:rsidRPr="00910244">
        <w:t>applications</w:t>
      </w:r>
      <w:r w:rsidR="00E84E00" w:rsidRPr="00910244">
        <w:t xml:space="preserve"> were </w:t>
      </w:r>
      <w:r w:rsidR="00D86A70" w:rsidRPr="00A13705">
        <w:t>20</w:t>
      </w:r>
      <w:r w:rsidR="00E84E00" w:rsidRPr="00910244">
        <w:t>% below</w:t>
      </w:r>
      <w:r w:rsidR="00B177E6" w:rsidRPr="00910244">
        <w:t>, public famil</w:t>
      </w:r>
      <w:r w:rsidR="003E606A" w:rsidRPr="00910244">
        <w:t xml:space="preserve">y law </w:t>
      </w:r>
      <w:r w:rsidR="006278B3" w:rsidRPr="00A13705">
        <w:t>was 12% below, private family law was 5% below and divorce was 3% below.</w:t>
      </w:r>
      <w:r w:rsidR="00B177E6" w:rsidRPr="78D15B43">
        <w:rPr>
          <w:rStyle w:val="FootnoteReference"/>
        </w:rPr>
        <w:footnoteReference w:id="14"/>
      </w:r>
      <w:r w:rsidR="00FF155F" w:rsidRPr="00910244">
        <w:rPr>
          <w:rStyle w:val="CommentReference"/>
          <w:rFonts w:cs="Times New Roman"/>
          <w:color w:val="auto"/>
          <w:sz w:val="22"/>
          <w:szCs w:val="22"/>
          <w:lang w:eastAsia="en-US"/>
        </w:rPr>
        <w:t xml:space="preserve"> </w:t>
      </w:r>
      <w:r w:rsidR="00E84E00" w:rsidRPr="00910244">
        <w:t xml:space="preserve"> </w:t>
      </w:r>
      <w:r w:rsidR="006F3EBC" w:rsidRPr="00910244">
        <w:t xml:space="preserve">It should be noted that </w:t>
      </w:r>
      <w:r w:rsidR="00E74BBB" w:rsidRPr="00910244">
        <w:t>these figures are subject to the data quality issues associated with large administrative systems, which can lead to the figures for previous periods being revised each publication</w:t>
      </w:r>
      <w:r w:rsidR="00721CD8" w:rsidRPr="00910244">
        <w:t xml:space="preserve"> and w</w:t>
      </w:r>
      <w:r w:rsidR="00E74BBB" w:rsidRPr="00910244">
        <w:t xml:space="preserve">eekly </w:t>
      </w:r>
      <w:r w:rsidR="00E74BBB" w:rsidRPr="00F6773E">
        <w:t>figures tend to be subject to larger revision than less frequent figures.</w:t>
      </w:r>
      <w:bookmarkEnd w:id="37"/>
    </w:p>
    <w:p w14:paraId="1D7B6DF3" w14:textId="0A8CB5B8" w:rsidR="004325AA" w:rsidRDefault="005156F8" w:rsidP="00E7758A">
      <w:pPr>
        <w:pStyle w:val="EBNumber"/>
        <w:numPr>
          <w:ilvl w:val="0"/>
          <w:numId w:val="4"/>
        </w:numPr>
        <w:jc w:val="both"/>
      </w:pPr>
      <w:bookmarkStart w:id="38" w:name="_Ref75876044"/>
      <w:bookmarkStart w:id="39" w:name="_Ref63699213"/>
      <w:r>
        <w:t>A</w:t>
      </w:r>
      <w:r w:rsidR="00E84E00">
        <w:t xml:space="preserve"> </w:t>
      </w:r>
      <w:r w:rsidR="00BF6BC5">
        <w:t>reduction</w:t>
      </w:r>
      <w:r w:rsidR="00721CD8">
        <w:t xml:space="preserve"> of 20</w:t>
      </w:r>
      <w:r>
        <w:t xml:space="preserve">% has been applied to </w:t>
      </w:r>
      <w:r w:rsidR="00FD1530">
        <w:t xml:space="preserve">volumes to </w:t>
      </w:r>
      <w:r w:rsidR="00BB0D8D">
        <w:t>account for</w:t>
      </w:r>
      <w:r w:rsidR="001C5660">
        <w:t xml:space="preserve"> the </w:t>
      </w:r>
      <w:r w:rsidR="00E84E00">
        <w:t xml:space="preserve">uncertainty, both due to fluctuations in volumes and </w:t>
      </w:r>
      <w:r w:rsidR="00F6773E">
        <w:t xml:space="preserve">possible </w:t>
      </w:r>
      <w:r w:rsidR="00E84E00">
        <w:t xml:space="preserve">demand response (see paragraphs </w:t>
      </w:r>
      <w:r w:rsidR="00CE3D53">
        <w:fldChar w:fldCharType="begin"/>
      </w:r>
      <w:r w:rsidR="00CE3D53">
        <w:instrText xml:space="preserve"> REF _Ref75867557 \r \h </w:instrText>
      </w:r>
      <w:r w:rsidR="00CE3D53">
        <w:fldChar w:fldCharType="separate"/>
      </w:r>
      <w:r w:rsidR="00CE3D53">
        <w:t>36</w:t>
      </w:r>
      <w:r w:rsidR="00CE3D53">
        <w:fldChar w:fldCharType="end"/>
      </w:r>
      <w:r w:rsidR="00CE3D53">
        <w:t>-</w:t>
      </w:r>
      <w:r w:rsidR="00CE3D53">
        <w:fldChar w:fldCharType="begin"/>
      </w:r>
      <w:r w:rsidR="00CE3D53">
        <w:instrText xml:space="preserve"> REF _Ref75867570 \r \h </w:instrText>
      </w:r>
      <w:r w:rsidR="00CE3D53">
        <w:fldChar w:fldCharType="separate"/>
      </w:r>
      <w:r w:rsidR="00CE3D53">
        <w:t>40</w:t>
      </w:r>
      <w:r w:rsidR="00CE3D53">
        <w:fldChar w:fldCharType="end"/>
      </w:r>
      <w:r w:rsidR="00F6773E">
        <w:t>)</w:t>
      </w:r>
      <w:r w:rsidR="00CE3D53">
        <w:t>.</w:t>
      </w:r>
      <w:bookmarkEnd w:id="38"/>
    </w:p>
    <w:bookmarkEnd w:id="39"/>
    <w:p w14:paraId="4D7FC19E" w14:textId="6A2F0C7C" w:rsidR="00E84E00" w:rsidRPr="00F6773E" w:rsidRDefault="00E84E00" w:rsidP="00F6773E">
      <w:pPr>
        <w:pStyle w:val="EBNumber"/>
        <w:numPr>
          <w:ilvl w:val="0"/>
          <w:numId w:val="0"/>
        </w:numPr>
        <w:ind w:left="360"/>
        <w:jc w:val="both"/>
      </w:pPr>
    </w:p>
    <w:p w14:paraId="666D1F7C" w14:textId="4D02669A" w:rsidR="002179B5" w:rsidRPr="00910244" w:rsidRDefault="002179B5" w:rsidP="002179B5">
      <w:pPr>
        <w:pStyle w:val="EBNumber"/>
        <w:numPr>
          <w:ilvl w:val="0"/>
          <w:numId w:val="0"/>
        </w:numPr>
        <w:tabs>
          <w:tab w:val="num" w:pos="567"/>
        </w:tabs>
        <w:ind w:left="142"/>
        <w:jc w:val="both"/>
        <w:rPr>
          <w:u w:val="single"/>
        </w:rPr>
      </w:pPr>
      <w:r w:rsidRPr="00910244">
        <w:rPr>
          <w:u w:val="single"/>
        </w:rPr>
        <w:t xml:space="preserve">Demand </w:t>
      </w:r>
    </w:p>
    <w:p w14:paraId="448E2DC2" w14:textId="77777777" w:rsidR="003C4F9D" w:rsidRDefault="00F368BD" w:rsidP="00070516">
      <w:pPr>
        <w:pStyle w:val="EBNumber"/>
        <w:numPr>
          <w:ilvl w:val="0"/>
          <w:numId w:val="4"/>
        </w:numPr>
        <w:jc w:val="both"/>
      </w:pPr>
      <w:bookmarkStart w:id="40" w:name="_Ref75867557"/>
      <w:bookmarkStart w:id="41" w:name="_Ref63697049"/>
      <w:r w:rsidRPr="00910244">
        <w:t xml:space="preserve">It is difficult to determine exactly how much raising a </w:t>
      </w:r>
      <w:proofErr w:type="gramStart"/>
      <w:r w:rsidRPr="00910244">
        <w:t>particular fee</w:t>
      </w:r>
      <w:proofErr w:type="gramEnd"/>
      <w:r w:rsidRPr="00910244">
        <w:t xml:space="preserve"> will impact on demand for that </w:t>
      </w:r>
      <w:r w:rsidR="00370376" w:rsidRPr="00910244">
        <w:t xml:space="preserve">specific </w:t>
      </w:r>
      <w:r w:rsidRPr="00910244">
        <w:t>court process. The existing research is largely qualitative rather than quantitative</w:t>
      </w:r>
      <w:r w:rsidR="003749DF" w:rsidRPr="00910244">
        <w:t xml:space="preserve">. </w:t>
      </w:r>
      <w:r w:rsidR="636040D1" w:rsidRPr="00910244">
        <w:t xml:space="preserve">The research which does exist demonstrates that </w:t>
      </w:r>
      <w:r w:rsidR="012CAB32" w:rsidRPr="00910244">
        <w:t>s</w:t>
      </w:r>
      <w:r w:rsidR="75184808" w:rsidRPr="00910244">
        <w:t>everal</w:t>
      </w:r>
      <w:r w:rsidR="003749DF" w:rsidRPr="00910244">
        <w:t xml:space="preserve"> factors influence the decision to take a case to court, such as access to legal representation, the availability of alternatives</w:t>
      </w:r>
      <w:r w:rsidR="00B76C82" w:rsidRPr="00910244">
        <w:t xml:space="preserve"> like</w:t>
      </w:r>
      <w:r w:rsidR="003749DF" w:rsidRPr="00910244">
        <w:t xml:space="preserve"> mediation, case-type and the perceived benefit of the outcome compared to the cost</w:t>
      </w:r>
      <w:r w:rsidRPr="00910244">
        <w:t>.</w:t>
      </w:r>
      <w:bookmarkEnd w:id="40"/>
      <w:r w:rsidRPr="00910244">
        <w:t xml:space="preserve"> </w:t>
      </w:r>
    </w:p>
    <w:p w14:paraId="43668219" w14:textId="4B65A2CF" w:rsidR="00D85B2C" w:rsidRPr="00DB428E" w:rsidRDefault="00F368BD" w:rsidP="00070516">
      <w:pPr>
        <w:pStyle w:val="EBNumber"/>
        <w:numPr>
          <w:ilvl w:val="0"/>
          <w:numId w:val="4"/>
        </w:numPr>
        <w:jc w:val="both"/>
      </w:pPr>
      <w:r w:rsidRPr="00910244">
        <w:t xml:space="preserve">For example, qualitative research carried out in 2014 explored the motivations to go to court amongst 54 civil and family court </w:t>
      </w:r>
      <w:r w:rsidRPr="00DB428E">
        <w:t>applicants.</w:t>
      </w:r>
      <w:r w:rsidRPr="00DB428E">
        <w:rPr>
          <w:rStyle w:val="FootnoteReference"/>
        </w:rPr>
        <w:footnoteReference w:id="15"/>
      </w:r>
      <w:r w:rsidRPr="00DB428E">
        <w:t xml:space="preserve"> The research found that emotional factors outweighed financial motivations in the decision to go to court amongst many applicants. In family matters</w:t>
      </w:r>
      <w:r w:rsidR="4390E578" w:rsidRPr="00DB428E">
        <w:t>,</w:t>
      </w:r>
      <w:r w:rsidRPr="00DB428E">
        <w:t xml:space="preserve"> this included concern over the welfare of </w:t>
      </w:r>
      <w:r w:rsidR="00B76C82" w:rsidRPr="00DB428E">
        <w:t xml:space="preserve">the </w:t>
      </w:r>
      <w:r w:rsidRPr="00DB428E">
        <w:t>child and in civil cases</w:t>
      </w:r>
      <w:r w:rsidR="3A168832" w:rsidRPr="00DB428E">
        <w:t>,</w:t>
      </w:r>
      <w:r w:rsidRPr="00DB428E">
        <w:t xml:space="preserve"> emotional motivations included securing recognition from others of the perceived validity of the case.</w:t>
      </w:r>
      <w:bookmarkEnd w:id="41"/>
      <w:r w:rsidRPr="00DB428E">
        <w:t xml:space="preserve">  </w:t>
      </w:r>
    </w:p>
    <w:p w14:paraId="7CFD548E" w14:textId="5EBCD599" w:rsidR="00B76C82" w:rsidRPr="00C66BDF" w:rsidRDefault="003749DF" w:rsidP="00070516">
      <w:pPr>
        <w:pStyle w:val="EBNumber"/>
        <w:numPr>
          <w:ilvl w:val="0"/>
          <w:numId w:val="4"/>
        </w:numPr>
        <w:jc w:val="both"/>
      </w:pPr>
      <w:r w:rsidRPr="0044723E">
        <w:lastRenderedPageBreak/>
        <w:t xml:space="preserve">This IA considers increases to </w:t>
      </w:r>
      <w:r w:rsidR="008F12F1">
        <w:t>12</w:t>
      </w:r>
      <w:r w:rsidR="00FA160D">
        <w:t>8</w:t>
      </w:r>
      <w:r w:rsidRPr="0044723E">
        <w:t xml:space="preserve"> </w:t>
      </w:r>
      <w:r w:rsidR="27E78A45" w:rsidRPr="0044723E">
        <w:t xml:space="preserve">court </w:t>
      </w:r>
      <w:r w:rsidRPr="0044723E">
        <w:t xml:space="preserve">fees. Although the </w:t>
      </w:r>
      <w:r w:rsidR="00772A87" w:rsidRPr="0044723E">
        <w:t xml:space="preserve">proposed </w:t>
      </w:r>
      <w:r w:rsidRPr="0044723E">
        <w:t>fee increases range from £1 to £</w:t>
      </w:r>
      <w:r w:rsidR="003021EC" w:rsidRPr="00A13705">
        <w:t>480</w:t>
      </w:r>
      <w:r w:rsidR="002F1143" w:rsidRPr="0044723E">
        <w:t>,</w:t>
      </w:r>
      <w:r w:rsidRPr="0044723E">
        <w:t xml:space="preserve"> </w:t>
      </w:r>
      <w:r w:rsidR="002F1143" w:rsidRPr="0044723E">
        <w:t>most</w:t>
      </w:r>
      <w:r w:rsidRPr="0044723E">
        <w:t xml:space="preserve"> of the fee changes are of low monetary value</w:t>
      </w:r>
      <w:r w:rsidR="00721CD8" w:rsidRPr="0044723E">
        <w:t>,</w:t>
      </w:r>
      <w:r w:rsidR="002F1143" w:rsidRPr="0044723E">
        <w:t xml:space="preserve"> with a weighted average of £</w:t>
      </w:r>
      <w:r w:rsidR="003021EC" w:rsidRPr="00A13705">
        <w:t>7</w:t>
      </w:r>
      <w:r w:rsidR="007253B7">
        <w:t>;</w:t>
      </w:r>
      <w:r w:rsidRPr="0044723E">
        <w:t xml:space="preserve"> 82% of the fee changes are </w:t>
      </w:r>
      <w:r w:rsidR="00042344" w:rsidRPr="0044723E">
        <w:t>less than £20 and 92% are less than £50.</w:t>
      </w:r>
      <w:r w:rsidRPr="0044723E">
        <w:t xml:space="preserve"> </w:t>
      </w:r>
      <w:proofErr w:type="gramStart"/>
      <w:r w:rsidR="00B76C82" w:rsidRPr="0044723E">
        <w:t>A large number of</w:t>
      </w:r>
      <w:proofErr w:type="gramEnd"/>
      <w:r w:rsidR="00B76C82" w:rsidRPr="0044723E">
        <w:t xml:space="preserve"> the fees being increased are</w:t>
      </w:r>
      <w:r w:rsidR="00772A87" w:rsidRPr="0044723E">
        <w:t xml:space="preserve"> also</w:t>
      </w:r>
      <w:r w:rsidR="00B76C82" w:rsidRPr="0044723E">
        <w:t xml:space="preserve"> for actions for which there is a lack of alternative remedies and/or </w:t>
      </w:r>
      <w:r w:rsidR="006C6BA3" w:rsidRPr="0044723E">
        <w:t xml:space="preserve">where there are </w:t>
      </w:r>
      <w:r w:rsidR="00B76C82" w:rsidRPr="0044723E">
        <w:t>strong non-</w:t>
      </w:r>
      <w:r w:rsidR="00B76C82" w:rsidRPr="00C66BDF">
        <w:t>financial motivation</w:t>
      </w:r>
      <w:r w:rsidR="006C6BA3" w:rsidRPr="00C66BDF">
        <w:t>s to pursue the case</w:t>
      </w:r>
      <w:r w:rsidR="00B76C82" w:rsidRPr="00C66BDF">
        <w:t xml:space="preserve">. </w:t>
      </w:r>
      <w:r w:rsidR="00951285" w:rsidRPr="00C66BDF">
        <w:t xml:space="preserve">For example, there are no alternatives for divorce cases. </w:t>
      </w:r>
      <w:r w:rsidR="006C6BA3" w:rsidRPr="00C66BDF">
        <w:t>Option 1</w:t>
      </w:r>
      <w:r w:rsidR="00B76C82" w:rsidRPr="00C66BDF">
        <w:t xml:space="preserve"> also </w:t>
      </w:r>
      <w:r w:rsidR="006C6BA3" w:rsidRPr="00C66BDF">
        <w:t xml:space="preserve">includes </w:t>
      </w:r>
      <w:r w:rsidR="00B76C82" w:rsidRPr="00C66BDF">
        <w:t>fees that relate to several courses of action, such as general application fees, for which it is difficult to estimate a demand response.</w:t>
      </w:r>
      <w:r w:rsidR="00951285" w:rsidRPr="00C66BDF">
        <w:t xml:space="preserve"> In addition, many of the fees to be changed are for applications within proceedings or enforcement and would be charged once a case is in process, rather than at issue, and so are less likely to impact on the decision to proceed</w:t>
      </w:r>
      <w:r w:rsidR="6856DAA5" w:rsidRPr="00C66BDF">
        <w:t xml:space="preserve"> (but might impact a decision to continue)</w:t>
      </w:r>
      <w:r w:rsidR="39320379" w:rsidRPr="00C66BDF">
        <w:t>.</w:t>
      </w:r>
    </w:p>
    <w:p w14:paraId="1BF81AF0" w14:textId="19EAB7F3" w:rsidR="00015674" w:rsidRPr="00C66BDF" w:rsidRDefault="00B76C82" w:rsidP="00070516">
      <w:pPr>
        <w:pStyle w:val="EBNumber"/>
        <w:numPr>
          <w:ilvl w:val="0"/>
          <w:numId w:val="4"/>
        </w:numPr>
        <w:jc w:val="both"/>
      </w:pPr>
      <w:bookmarkStart w:id="42" w:name="_Ref63697058"/>
      <w:r w:rsidRPr="00C66BDF">
        <w:t>For the reasons highlighted in the paragraph</w:t>
      </w:r>
      <w:r w:rsidR="00C4374B">
        <w:t>s</w:t>
      </w:r>
      <w:r w:rsidRPr="00C66BDF">
        <w:t xml:space="preserve"> above, </w:t>
      </w:r>
      <w:r w:rsidR="002F12BD" w:rsidRPr="00C66BDF">
        <w:t xml:space="preserve">we do not expect the fee changes to lead to a fall in demand. However, </w:t>
      </w:r>
      <w:r w:rsidR="008E499E" w:rsidRPr="00C66BDF">
        <w:t xml:space="preserve">as explained in paragraph </w:t>
      </w:r>
      <w:r w:rsidR="000B239B">
        <w:fldChar w:fldCharType="begin"/>
      </w:r>
      <w:r w:rsidR="000B239B">
        <w:instrText xml:space="preserve"> REF _Ref75876044 \r \h </w:instrText>
      </w:r>
      <w:r w:rsidR="000B239B">
        <w:fldChar w:fldCharType="separate"/>
      </w:r>
      <w:r w:rsidR="000B239B">
        <w:t>35</w:t>
      </w:r>
      <w:r w:rsidR="000B239B">
        <w:fldChar w:fldCharType="end"/>
      </w:r>
      <w:r w:rsidR="008E499E" w:rsidRPr="00C66BDF">
        <w:t>,</w:t>
      </w:r>
      <w:r w:rsidR="005149A7" w:rsidRPr="00C66BDF">
        <w:t xml:space="preserve"> </w:t>
      </w:r>
      <w:r w:rsidR="008E499E" w:rsidRPr="00C66BDF">
        <w:t>we have applied</w:t>
      </w:r>
      <w:r w:rsidR="007C7D01">
        <w:t xml:space="preserve"> </w:t>
      </w:r>
      <w:r w:rsidR="002F12BD" w:rsidRPr="00C66BDF">
        <w:t>an</w:t>
      </w:r>
      <w:r w:rsidR="00015674" w:rsidRPr="00C66BDF">
        <w:t xml:space="preserve"> optimism bias of 20%</w:t>
      </w:r>
      <w:r w:rsidR="002F12BD" w:rsidRPr="00C66BDF">
        <w:t xml:space="preserve"> to the volumes</w:t>
      </w:r>
      <w:r w:rsidR="008E499E" w:rsidRPr="00C66BDF">
        <w:t xml:space="preserve"> to reflect the uncertainty </w:t>
      </w:r>
      <w:r w:rsidR="008457B2" w:rsidRPr="00C66BDF">
        <w:t>that could arise from any change</w:t>
      </w:r>
      <w:r w:rsidR="00C4374B">
        <w:t>s</w:t>
      </w:r>
      <w:r w:rsidR="008457B2" w:rsidRPr="00C66BDF">
        <w:t xml:space="preserve"> in user behaviour</w:t>
      </w:r>
      <w:r w:rsidR="00E73B93">
        <w:t>.</w:t>
      </w:r>
      <w:r w:rsidR="00015674" w:rsidRPr="00C66BDF">
        <w:t xml:space="preserve"> </w:t>
      </w:r>
      <w:bookmarkEnd w:id="42"/>
    </w:p>
    <w:p w14:paraId="0E15FE07" w14:textId="06DBE2F3" w:rsidR="00325704" w:rsidRPr="00C66BDF" w:rsidRDefault="00325704" w:rsidP="00070516">
      <w:pPr>
        <w:pStyle w:val="EBNumber"/>
        <w:numPr>
          <w:ilvl w:val="0"/>
          <w:numId w:val="4"/>
        </w:numPr>
        <w:tabs>
          <w:tab w:val="num" w:pos="567"/>
        </w:tabs>
        <w:jc w:val="both"/>
      </w:pPr>
      <w:bookmarkStart w:id="43" w:name="_Ref75867570"/>
      <w:r w:rsidRPr="00C66BDF">
        <w:t xml:space="preserve">It has also been assumed that there is no detrimental impact on outcomes in either civil or family court cases, or </w:t>
      </w:r>
      <w:r w:rsidR="00F9589D" w:rsidRPr="00C66BDF">
        <w:t xml:space="preserve">on </w:t>
      </w:r>
      <w:r w:rsidRPr="00C66BDF">
        <w:t>access to justice.</w:t>
      </w:r>
      <w:bookmarkEnd w:id="43"/>
    </w:p>
    <w:p w14:paraId="7882E1A6" w14:textId="77777777" w:rsidR="0010600E" w:rsidRPr="00CC1BF3" w:rsidRDefault="0010600E" w:rsidP="00224A56">
      <w:pPr>
        <w:pStyle w:val="EBNumber"/>
        <w:numPr>
          <w:ilvl w:val="0"/>
          <w:numId w:val="0"/>
        </w:numPr>
        <w:spacing w:after="0"/>
        <w:rPr>
          <w:u w:val="single"/>
        </w:rPr>
      </w:pPr>
    </w:p>
    <w:p w14:paraId="7777E4A7" w14:textId="2E8D29A1" w:rsidR="00224A56" w:rsidRPr="00CC1BF3" w:rsidRDefault="00224A56" w:rsidP="00224A56">
      <w:pPr>
        <w:pStyle w:val="EBNumber"/>
        <w:numPr>
          <w:ilvl w:val="0"/>
          <w:numId w:val="0"/>
        </w:numPr>
        <w:spacing w:after="0"/>
        <w:rPr>
          <w:u w:val="single"/>
        </w:rPr>
      </w:pPr>
      <w:r w:rsidRPr="00CC1BF3">
        <w:rPr>
          <w:u w:val="single"/>
        </w:rPr>
        <w:t>Remissions</w:t>
      </w:r>
    </w:p>
    <w:p w14:paraId="62AE45BD" w14:textId="39E72419" w:rsidR="00EC2A85" w:rsidRPr="0015774B" w:rsidRDefault="00D805BF" w:rsidP="00EC2A85">
      <w:pPr>
        <w:pStyle w:val="EBNumber"/>
        <w:numPr>
          <w:ilvl w:val="0"/>
          <w:numId w:val="4"/>
        </w:numPr>
        <w:tabs>
          <w:tab w:val="num" w:pos="567"/>
        </w:tabs>
        <w:spacing w:before="240"/>
        <w:jc w:val="both"/>
      </w:pPr>
      <w:r w:rsidRPr="0015774B">
        <w:t xml:space="preserve">For the purposes of this IA we </w:t>
      </w:r>
      <w:r w:rsidR="00EC2A85" w:rsidRPr="0015774B">
        <w:t xml:space="preserve">estimate </w:t>
      </w:r>
      <w:r w:rsidR="00A35C20" w:rsidRPr="0015774B">
        <w:t>net</w:t>
      </w:r>
      <w:r w:rsidR="00EC2A85" w:rsidRPr="0015774B">
        <w:t xml:space="preserve"> fee income, </w:t>
      </w:r>
      <w:proofErr w:type="gramStart"/>
      <w:r w:rsidR="00EC2A85" w:rsidRPr="0015774B">
        <w:t>taking into account</w:t>
      </w:r>
      <w:proofErr w:type="gramEnd"/>
      <w:r w:rsidR="00EC2A85" w:rsidRPr="0015774B">
        <w:t xml:space="preserve"> the current fee remissions scheme.</w:t>
      </w:r>
      <w:r w:rsidR="00EC2A85" w:rsidRPr="0015774B" w:rsidDel="005D3473">
        <w:t xml:space="preserve"> </w:t>
      </w:r>
      <w:r w:rsidR="007456C2" w:rsidRPr="0015774B">
        <w:t xml:space="preserve">Net income has been estimated using </w:t>
      </w:r>
      <w:r w:rsidR="00E56669" w:rsidRPr="0015774B">
        <w:t xml:space="preserve">2019/20 remission rates calculated using </w:t>
      </w:r>
      <w:proofErr w:type="spellStart"/>
      <w:r w:rsidR="00E56669" w:rsidRPr="0015774B">
        <w:t>HwF</w:t>
      </w:r>
      <w:proofErr w:type="spellEnd"/>
      <w:r w:rsidR="00E56669" w:rsidRPr="0015774B">
        <w:t xml:space="preserve"> management information </w:t>
      </w:r>
      <w:r w:rsidR="007456C2" w:rsidRPr="0015774B">
        <w:t xml:space="preserve">for </w:t>
      </w:r>
      <w:r w:rsidR="00062D74" w:rsidRPr="0015774B">
        <w:t xml:space="preserve">2019/20 (the latest available year) </w:t>
      </w:r>
      <w:r w:rsidR="00E56669" w:rsidRPr="0015774B">
        <w:t xml:space="preserve">and gross fee income. </w:t>
      </w:r>
      <w:r w:rsidR="00EC2A85" w:rsidRPr="0015774B">
        <w:t xml:space="preserve">IA </w:t>
      </w:r>
      <w:r w:rsidR="00D950D2" w:rsidRPr="0015774B">
        <w:t>Mo</w:t>
      </w:r>
      <w:r w:rsidR="00A06951" w:rsidRPr="0015774B">
        <w:t>J</w:t>
      </w:r>
      <w:r w:rsidR="00D950D2" w:rsidRPr="0015774B">
        <w:t>004/2021</w:t>
      </w:r>
      <w:r w:rsidR="00EC2A85" w:rsidRPr="0015774B">
        <w:t xml:space="preserve"> summarises the total cost/benefit of the two separate changes being considered, namely inflating fees (assessed in this IA) and inflating the </w:t>
      </w:r>
      <w:proofErr w:type="spellStart"/>
      <w:r w:rsidR="00EC2A85" w:rsidRPr="0015774B">
        <w:t>HwF</w:t>
      </w:r>
      <w:proofErr w:type="spellEnd"/>
      <w:r w:rsidR="00EC2A85" w:rsidRPr="0015774B">
        <w:t xml:space="preserve"> thresholds (assessed in IA MoJ</w:t>
      </w:r>
      <w:r w:rsidR="00A06951" w:rsidRPr="0015774B">
        <w:t>003/2021</w:t>
      </w:r>
      <w:r w:rsidR="00EC2A85" w:rsidRPr="0015774B">
        <w:t>).</w:t>
      </w:r>
    </w:p>
    <w:p w14:paraId="08CC96D6" w14:textId="77777777" w:rsidR="00224A56" w:rsidRPr="00CC1BF3" w:rsidRDefault="00224A56" w:rsidP="00224A56">
      <w:pPr>
        <w:pStyle w:val="EBNumber"/>
        <w:numPr>
          <w:ilvl w:val="0"/>
          <w:numId w:val="0"/>
        </w:numPr>
        <w:spacing w:after="0"/>
        <w:ind w:left="360"/>
      </w:pPr>
    </w:p>
    <w:p w14:paraId="2BC3441E" w14:textId="0145710B" w:rsidR="00224A56" w:rsidRPr="00CC1BF3" w:rsidRDefault="00224A56" w:rsidP="00224A56">
      <w:pPr>
        <w:pStyle w:val="EBNumber"/>
        <w:numPr>
          <w:ilvl w:val="0"/>
          <w:numId w:val="0"/>
        </w:numPr>
        <w:spacing w:after="0"/>
        <w:rPr>
          <w:color w:val="auto"/>
          <w:u w:val="single"/>
        </w:rPr>
      </w:pPr>
      <w:r w:rsidRPr="00CC1BF3">
        <w:rPr>
          <w:color w:val="auto"/>
          <w:u w:val="single"/>
        </w:rPr>
        <w:t>Fee Income</w:t>
      </w:r>
    </w:p>
    <w:p w14:paraId="04F75106" w14:textId="77777777" w:rsidR="00DA3521" w:rsidRPr="00CC1BF3" w:rsidRDefault="00DA3521" w:rsidP="00DA3521">
      <w:pPr>
        <w:pStyle w:val="EBNumber"/>
        <w:numPr>
          <w:ilvl w:val="0"/>
          <w:numId w:val="0"/>
        </w:numPr>
        <w:ind w:left="502"/>
        <w:jc w:val="both"/>
      </w:pPr>
    </w:p>
    <w:p w14:paraId="600E51A4" w14:textId="78D7DCDB" w:rsidR="00DA3521" w:rsidRPr="00413BFE" w:rsidRDefault="00DA3521" w:rsidP="00413BFE">
      <w:pPr>
        <w:pStyle w:val="EBNumber"/>
        <w:numPr>
          <w:ilvl w:val="0"/>
          <w:numId w:val="4"/>
        </w:numPr>
        <w:jc w:val="both"/>
      </w:pPr>
      <w:r w:rsidRPr="00CC1BF3">
        <w:t xml:space="preserve">The income estimates in this IA have been calculated using </w:t>
      </w:r>
      <w:r w:rsidR="003021EC" w:rsidRPr="008246EA">
        <w:t>primarily</w:t>
      </w:r>
      <w:r w:rsidR="003021EC">
        <w:t xml:space="preserve"> </w:t>
      </w:r>
      <w:r w:rsidRPr="00CC1BF3">
        <w:t>2018/19 volumes</w:t>
      </w:r>
      <w:r w:rsidR="00C323D2">
        <w:rPr>
          <w:rStyle w:val="FootnoteReference"/>
        </w:rPr>
        <w:footnoteReference w:id="16"/>
      </w:r>
      <w:r w:rsidRPr="00CC1BF3">
        <w:t xml:space="preserve"> and multiplying these by the increase in the relevant fee</w:t>
      </w:r>
      <w:r w:rsidR="004B493F" w:rsidRPr="00CC1BF3">
        <w:t>,</w:t>
      </w:r>
      <w:r w:rsidR="00A02285" w:rsidRPr="00CC1BF3">
        <w:t xml:space="preserve"> </w:t>
      </w:r>
      <w:proofErr w:type="gramStart"/>
      <w:r w:rsidR="004B493F" w:rsidRPr="00CC1BF3">
        <w:t>taking into account</w:t>
      </w:r>
      <w:proofErr w:type="gramEnd"/>
      <w:r w:rsidR="004B493F" w:rsidRPr="00CC1BF3">
        <w:t xml:space="preserve"> </w:t>
      </w:r>
      <w:r w:rsidR="00596AFA" w:rsidRPr="00CC1BF3">
        <w:t xml:space="preserve">the </w:t>
      </w:r>
      <w:r w:rsidR="00D41C59" w:rsidRPr="00CC1BF3">
        <w:t xml:space="preserve">‘remission rate’, </w:t>
      </w:r>
      <w:r w:rsidR="00596AFA" w:rsidRPr="00CC1BF3">
        <w:t xml:space="preserve">i.e., </w:t>
      </w:r>
      <w:r w:rsidR="00D41C59" w:rsidRPr="00CC1BF3">
        <w:t>the percentage of gross fee income that is remitted</w:t>
      </w:r>
      <w:r w:rsidRPr="00CC1BF3">
        <w:t xml:space="preserve">. All income estimates have been rounded to the nearest £million. </w:t>
      </w:r>
      <w:r w:rsidR="005E6796" w:rsidRPr="00CC1BF3">
        <w:t xml:space="preserve">An optimism bias </w:t>
      </w:r>
      <w:r w:rsidR="002C1872">
        <w:t xml:space="preserve">is applied </w:t>
      </w:r>
      <w:r w:rsidR="005E6796" w:rsidRPr="00CC1BF3">
        <w:t xml:space="preserve">to account for the uncertainty in the volumes for the fees considered, both </w:t>
      </w:r>
      <w:r w:rsidR="007C2D5F">
        <w:t xml:space="preserve">to account for possible </w:t>
      </w:r>
      <w:r w:rsidR="005E6796" w:rsidRPr="00CC1BF3">
        <w:t xml:space="preserve">fluctuations in volumes and </w:t>
      </w:r>
      <w:r w:rsidR="007C2D5F">
        <w:t xml:space="preserve">possible negative </w:t>
      </w:r>
      <w:r w:rsidR="005E6796" w:rsidRPr="00CC1BF3">
        <w:t>demand response.</w:t>
      </w:r>
      <w:r w:rsidR="00190135">
        <w:t xml:space="preserve"> </w:t>
      </w:r>
      <w:r w:rsidRPr="00CC1BF3">
        <w:t>The analysis assumes an implementation date of</w:t>
      </w:r>
      <w:r w:rsidR="00382D26">
        <w:t xml:space="preserve"> October 2021</w:t>
      </w:r>
      <w:r w:rsidRPr="00CC1BF3">
        <w:t xml:space="preserve">. </w:t>
      </w:r>
    </w:p>
    <w:p w14:paraId="44D9A288" w14:textId="2822C011" w:rsidR="003558CB" w:rsidRPr="00CC1BF3" w:rsidRDefault="00382D26" w:rsidP="00DA3521">
      <w:pPr>
        <w:pStyle w:val="EBNumber"/>
        <w:numPr>
          <w:ilvl w:val="0"/>
          <w:numId w:val="4"/>
        </w:numPr>
        <w:tabs>
          <w:tab w:val="num" w:pos="567"/>
        </w:tabs>
        <w:spacing w:before="240"/>
        <w:jc w:val="both"/>
      </w:pPr>
      <w:r>
        <w:t xml:space="preserve">Table 2 </w:t>
      </w:r>
      <w:r w:rsidR="003558CB" w:rsidRPr="00CC1BF3">
        <w:t>gives the nominal annual estimated income from the fees to be changed, both with and without a 20% optimism bias</w:t>
      </w:r>
      <w:r w:rsidR="005E6796" w:rsidRPr="00CC1BF3">
        <w:t xml:space="preserve"> (</w:t>
      </w:r>
      <w:r w:rsidR="000811EF" w:rsidRPr="00CC1BF3">
        <w:t>low</w:t>
      </w:r>
      <w:r w:rsidR="005E6796" w:rsidRPr="00CC1BF3">
        <w:t xml:space="preserve"> and best estimate, respectively)</w:t>
      </w:r>
      <w:r w:rsidR="003558CB" w:rsidRPr="00CC1BF3">
        <w:t xml:space="preserve">. As fees do not keep track with inflation the </w:t>
      </w:r>
      <w:r w:rsidR="004979A6">
        <w:t xml:space="preserve">real value of the </w:t>
      </w:r>
      <w:r w:rsidR="003558CB" w:rsidRPr="00CC1BF3">
        <w:t>annual average</w:t>
      </w:r>
      <w:r w:rsidR="000930D9">
        <w:t xml:space="preserve"> income</w:t>
      </w:r>
      <w:r w:rsidR="003558CB" w:rsidRPr="00CC1BF3">
        <w:t xml:space="preserve"> will fall over time when measured in 2021/22 prices. Income estimates are rounded to the nearest £million.</w:t>
      </w:r>
    </w:p>
    <w:p w14:paraId="1AB40C63" w14:textId="558417AA" w:rsidR="00834D6B" w:rsidRPr="00CC1BF3" w:rsidRDefault="00834D6B" w:rsidP="00BB5449">
      <w:pPr>
        <w:pStyle w:val="Caption"/>
        <w:rPr>
          <w:b/>
          <w:sz w:val="22"/>
          <w:szCs w:val="22"/>
        </w:rPr>
      </w:pPr>
      <w:bookmarkStart w:id="44" w:name="_Ref63617876"/>
      <w:bookmarkStart w:id="45" w:name="_Ref63617870"/>
      <w:r w:rsidRPr="00CC1BF3">
        <w:rPr>
          <w:b/>
          <w:sz w:val="22"/>
          <w:szCs w:val="22"/>
        </w:rPr>
        <w:t xml:space="preserve">Table </w:t>
      </w:r>
      <w:r w:rsidRPr="00910244">
        <w:rPr>
          <w:b/>
          <w:sz w:val="22"/>
          <w:szCs w:val="22"/>
        </w:rPr>
        <w:fldChar w:fldCharType="begin"/>
      </w:r>
      <w:r w:rsidRPr="00CC1BF3">
        <w:rPr>
          <w:b/>
          <w:sz w:val="22"/>
          <w:szCs w:val="22"/>
        </w:rPr>
        <w:instrText xml:space="preserve"> SEQ Table \* ARABIC </w:instrText>
      </w:r>
      <w:r w:rsidRPr="00910244">
        <w:rPr>
          <w:b/>
          <w:sz w:val="22"/>
          <w:szCs w:val="22"/>
        </w:rPr>
        <w:fldChar w:fldCharType="separate"/>
      </w:r>
      <w:r w:rsidR="00A55E92" w:rsidRPr="00CC1BF3">
        <w:rPr>
          <w:b/>
          <w:sz w:val="22"/>
          <w:szCs w:val="22"/>
        </w:rPr>
        <w:t>2</w:t>
      </w:r>
      <w:r w:rsidRPr="00910244">
        <w:rPr>
          <w:b/>
          <w:sz w:val="22"/>
          <w:szCs w:val="22"/>
        </w:rPr>
        <w:fldChar w:fldCharType="end"/>
      </w:r>
      <w:bookmarkEnd w:id="44"/>
      <w:r w:rsidR="00224A56" w:rsidRPr="00CC1BF3">
        <w:rPr>
          <w:b/>
          <w:sz w:val="22"/>
          <w:szCs w:val="22"/>
        </w:rPr>
        <w:t xml:space="preserve">: </w:t>
      </w:r>
      <w:bookmarkStart w:id="46" w:name="_Ref63617864"/>
      <w:r w:rsidR="00224A56" w:rsidRPr="00CC1BF3">
        <w:rPr>
          <w:b/>
          <w:sz w:val="22"/>
          <w:szCs w:val="22"/>
        </w:rPr>
        <w:t xml:space="preserve">Annual </w:t>
      </w:r>
      <w:r w:rsidR="00BB5449" w:rsidRPr="00CC1BF3">
        <w:rPr>
          <w:b/>
          <w:sz w:val="22"/>
          <w:szCs w:val="22"/>
        </w:rPr>
        <w:t>n</w:t>
      </w:r>
      <w:r w:rsidR="00224A56" w:rsidRPr="00CC1BF3">
        <w:rPr>
          <w:b/>
          <w:sz w:val="22"/>
          <w:szCs w:val="22"/>
        </w:rPr>
        <w:t>ominal</w:t>
      </w:r>
      <w:r w:rsidR="00BB5449" w:rsidRPr="00CC1BF3">
        <w:rPr>
          <w:b/>
          <w:sz w:val="22"/>
          <w:szCs w:val="22"/>
        </w:rPr>
        <w:t xml:space="preserve"> estimated</w:t>
      </w:r>
      <w:r w:rsidR="00224A56" w:rsidRPr="00CC1BF3">
        <w:rPr>
          <w:b/>
          <w:sz w:val="22"/>
          <w:szCs w:val="22"/>
        </w:rPr>
        <w:t xml:space="preserve"> </w:t>
      </w:r>
      <w:r w:rsidR="00B64BD5" w:rsidRPr="00CC1BF3">
        <w:rPr>
          <w:b/>
          <w:sz w:val="22"/>
          <w:szCs w:val="22"/>
        </w:rPr>
        <w:t xml:space="preserve">net </w:t>
      </w:r>
      <w:r w:rsidR="00BB5449" w:rsidRPr="00CC1BF3">
        <w:rPr>
          <w:b/>
          <w:sz w:val="22"/>
          <w:szCs w:val="22"/>
        </w:rPr>
        <w:t>i</w:t>
      </w:r>
      <w:r w:rsidR="00224A56" w:rsidRPr="00CC1BF3">
        <w:rPr>
          <w:b/>
          <w:sz w:val="22"/>
          <w:szCs w:val="22"/>
        </w:rPr>
        <w:t xml:space="preserve">ncome from fees to be </w:t>
      </w:r>
      <w:r w:rsidR="003558CB" w:rsidRPr="00CC1BF3">
        <w:rPr>
          <w:b/>
          <w:sz w:val="22"/>
          <w:szCs w:val="22"/>
        </w:rPr>
        <w:t>inflated</w:t>
      </w:r>
      <w:r w:rsidR="00224A56" w:rsidRPr="00CC1BF3">
        <w:rPr>
          <w:b/>
          <w:sz w:val="22"/>
          <w:szCs w:val="22"/>
        </w:rPr>
        <w:t>, £millions</w:t>
      </w:r>
      <w:bookmarkEnd w:id="45"/>
      <w:bookmarkEnd w:id="46"/>
    </w:p>
    <w:tbl>
      <w:tblPr>
        <w:tblW w:w="9969" w:type="dxa"/>
        <w:tblInd w:w="-10" w:type="dxa"/>
        <w:tblLook w:val="04A0" w:firstRow="1" w:lastRow="0" w:firstColumn="1" w:lastColumn="0" w:noHBand="0" w:noVBand="1"/>
      </w:tblPr>
      <w:tblGrid>
        <w:gridCol w:w="1084"/>
        <w:gridCol w:w="780"/>
        <w:gridCol w:w="780"/>
        <w:gridCol w:w="780"/>
        <w:gridCol w:w="780"/>
        <w:gridCol w:w="780"/>
        <w:gridCol w:w="780"/>
        <w:gridCol w:w="780"/>
        <w:gridCol w:w="780"/>
        <w:gridCol w:w="780"/>
        <w:gridCol w:w="780"/>
        <w:gridCol w:w="1085"/>
      </w:tblGrid>
      <w:tr w:rsidR="003558CB" w:rsidRPr="003558CB" w14:paraId="7376AFC8" w14:textId="77777777" w:rsidTr="00BD72F8">
        <w:trPr>
          <w:trHeight w:val="284"/>
        </w:trPr>
        <w:tc>
          <w:tcPr>
            <w:tcW w:w="10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AA181A" w14:textId="6D405C60" w:rsidR="003558CB" w:rsidRPr="00CC1BF3" w:rsidRDefault="003558CB" w:rsidP="003558CB">
            <w:pPr>
              <w:rPr>
                <w:rFonts w:cs="Arial"/>
                <w:color w:val="000000"/>
                <w:sz w:val="22"/>
                <w:szCs w:val="22"/>
                <w:lang w:eastAsia="en-GB"/>
              </w:rPr>
            </w:pPr>
            <w:bookmarkStart w:id="47" w:name="_Hlk63618175"/>
            <w:r w:rsidRPr="00CC1BF3">
              <w:rPr>
                <w:rFonts w:cs="Arial"/>
                <w:b/>
                <w:i/>
                <w:color w:val="000000"/>
                <w:sz w:val="22"/>
                <w:szCs w:val="22"/>
                <w:lang w:eastAsia="en-GB"/>
              </w:rPr>
              <w:t>Nominal Income £m</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466B50B2" w14:textId="6AE3A116"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21/22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1E039FCC" w14:textId="72C7ACF6"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22/23</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0C161481" w14:textId="40AD5DC1"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23/24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461D3F9A" w14:textId="53C50AEF"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24/25</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6B1DCD43" w14:textId="6BC7892A"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25/26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715866C4" w14:textId="7437DA71"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26/27</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676B6EE7" w14:textId="0468588A"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27/28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1F8A7DF2" w14:textId="1175A883"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28/29</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1F0E6137" w14:textId="2C9309D3"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29/30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05B44C95" w14:textId="55122045"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30/31</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70EA9C2F" w14:textId="77777777" w:rsidR="003558CB" w:rsidRPr="00CC1BF3" w:rsidRDefault="003558CB" w:rsidP="003558CB">
            <w:pPr>
              <w:jc w:val="center"/>
              <w:rPr>
                <w:rFonts w:cs="Arial"/>
                <w:b/>
                <w:color w:val="000000"/>
                <w:sz w:val="22"/>
                <w:szCs w:val="22"/>
                <w:lang w:eastAsia="en-GB"/>
              </w:rPr>
            </w:pPr>
            <w:r w:rsidRPr="00CC1BF3">
              <w:rPr>
                <w:rFonts w:cs="Arial"/>
                <w:b/>
                <w:color w:val="000000"/>
                <w:sz w:val="22"/>
                <w:szCs w:val="22"/>
                <w:lang w:eastAsia="en-GB"/>
              </w:rPr>
              <w:t>Annual Average</w:t>
            </w:r>
          </w:p>
        </w:tc>
      </w:tr>
      <w:tr w:rsidR="007638F1" w:rsidRPr="003558CB" w14:paraId="403F3A9F" w14:textId="77777777" w:rsidTr="00BD72F8">
        <w:trPr>
          <w:trHeight w:val="139"/>
        </w:trPr>
        <w:tc>
          <w:tcPr>
            <w:tcW w:w="1084" w:type="dxa"/>
            <w:tcBorders>
              <w:top w:val="single" w:sz="8" w:space="0" w:color="auto"/>
              <w:left w:val="single" w:sz="8" w:space="0" w:color="auto"/>
              <w:bottom w:val="nil"/>
              <w:right w:val="nil"/>
            </w:tcBorders>
            <w:shd w:val="clear" w:color="auto" w:fill="auto"/>
            <w:noWrap/>
            <w:vAlign w:val="center"/>
            <w:hideMark/>
          </w:tcPr>
          <w:p w14:paraId="03EB54B1" w14:textId="4AEE3951" w:rsidR="007638F1" w:rsidRPr="00CC1BF3" w:rsidRDefault="007638F1" w:rsidP="007638F1">
            <w:pPr>
              <w:rPr>
                <w:rFonts w:cs="Arial"/>
                <w:color w:val="000000"/>
                <w:sz w:val="22"/>
                <w:szCs w:val="22"/>
                <w:lang w:eastAsia="en-GB"/>
              </w:rPr>
            </w:pPr>
            <w:r w:rsidRPr="00CC1BF3">
              <w:rPr>
                <w:rFonts w:cs="Arial"/>
                <w:color w:val="000000"/>
                <w:sz w:val="22"/>
                <w:szCs w:val="22"/>
                <w:lang w:eastAsia="en-GB"/>
              </w:rPr>
              <w:t>Best</w:t>
            </w:r>
          </w:p>
        </w:tc>
        <w:tc>
          <w:tcPr>
            <w:tcW w:w="780" w:type="dxa"/>
            <w:tcBorders>
              <w:top w:val="single" w:sz="8" w:space="0" w:color="auto"/>
              <w:left w:val="nil"/>
              <w:bottom w:val="nil"/>
              <w:right w:val="nil"/>
            </w:tcBorders>
            <w:shd w:val="clear" w:color="auto" w:fill="auto"/>
            <w:noWrap/>
            <w:hideMark/>
          </w:tcPr>
          <w:p w14:paraId="761CC411" w14:textId="37D931FA" w:rsidR="007638F1" w:rsidRPr="008246EA" w:rsidRDefault="007638F1" w:rsidP="007638F1">
            <w:pPr>
              <w:jc w:val="center"/>
              <w:rPr>
                <w:rFonts w:cs="Arial"/>
                <w:color w:val="000000"/>
                <w:sz w:val="22"/>
                <w:szCs w:val="22"/>
                <w:lang w:eastAsia="en-GB"/>
              </w:rPr>
            </w:pPr>
            <w:r w:rsidRPr="008246EA">
              <w:rPr>
                <w:sz w:val="22"/>
                <w:szCs w:val="22"/>
              </w:rPr>
              <w:t>£13</w:t>
            </w:r>
          </w:p>
        </w:tc>
        <w:tc>
          <w:tcPr>
            <w:tcW w:w="780" w:type="dxa"/>
            <w:tcBorders>
              <w:top w:val="single" w:sz="8" w:space="0" w:color="auto"/>
              <w:left w:val="nil"/>
              <w:bottom w:val="nil"/>
              <w:right w:val="nil"/>
            </w:tcBorders>
            <w:shd w:val="clear" w:color="auto" w:fill="auto"/>
            <w:noWrap/>
            <w:hideMark/>
          </w:tcPr>
          <w:p w14:paraId="489AC21A" w14:textId="370FE1E9" w:rsidR="007638F1" w:rsidRPr="008246EA" w:rsidRDefault="007638F1" w:rsidP="007638F1">
            <w:pPr>
              <w:jc w:val="center"/>
              <w:rPr>
                <w:rFonts w:cs="Arial"/>
                <w:color w:val="000000"/>
                <w:sz w:val="22"/>
                <w:szCs w:val="22"/>
                <w:lang w:eastAsia="en-GB"/>
              </w:rPr>
            </w:pPr>
            <w:r w:rsidRPr="008246EA">
              <w:rPr>
                <w:sz w:val="22"/>
                <w:szCs w:val="22"/>
              </w:rPr>
              <w:t>£25</w:t>
            </w:r>
          </w:p>
        </w:tc>
        <w:tc>
          <w:tcPr>
            <w:tcW w:w="780" w:type="dxa"/>
            <w:tcBorders>
              <w:top w:val="single" w:sz="8" w:space="0" w:color="auto"/>
              <w:left w:val="nil"/>
              <w:bottom w:val="nil"/>
              <w:right w:val="nil"/>
            </w:tcBorders>
            <w:shd w:val="clear" w:color="auto" w:fill="auto"/>
            <w:noWrap/>
            <w:hideMark/>
          </w:tcPr>
          <w:p w14:paraId="74153815" w14:textId="65854AF6" w:rsidR="007638F1" w:rsidRPr="008246EA" w:rsidRDefault="007638F1" w:rsidP="007638F1">
            <w:pPr>
              <w:jc w:val="center"/>
              <w:rPr>
                <w:rFonts w:cs="Arial"/>
                <w:color w:val="000000"/>
                <w:sz w:val="22"/>
                <w:szCs w:val="22"/>
                <w:lang w:eastAsia="en-GB"/>
              </w:rPr>
            </w:pPr>
            <w:r w:rsidRPr="008246EA">
              <w:rPr>
                <w:sz w:val="22"/>
                <w:szCs w:val="22"/>
              </w:rPr>
              <w:t>£25</w:t>
            </w:r>
          </w:p>
        </w:tc>
        <w:tc>
          <w:tcPr>
            <w:tcW w:w="780" w:type="dxa"/>
            <w:tcBorders>
              <w:top w:val="single" w:sz="8" w:space="0" w:color="auto"/>
              <w:left w:val="nil"/>
              <w:bottom w:val="nil"/>
              <w:right w:val="nil"/>
            </w:tcBorders>
            <w:shd w:val="clear" w:color="auto" w:fill="auto"/>
            <w:noWrap/>
            <w:hideMark/>
          </w:tcPr>
          <w:p w14:paraId="6D157942" w14:textId="30A2D769" w:rsidR="007638F1" w:rsidRPr="008246EA" w:rsidRDefault="007638F1" w:rsidP="007638F1">
            <w:pPr>
              <w:jc w:val="center"/>
              <w:rPr>
                <w:rFonts w:cs="Arial"/>
                <w:color w:val="000000"/>
                <w:sz w:val="22"/>
                <w:szCs w:val="22"/>
                <w:lang w:eastAsia="en-GB"/>
              </w:rPr>
            </w:pPr>
            <w:r w:rsidRPr="008246EA">
              <w:rPr>
                <w:sz w:val="22"/>
                <w:szCs w:val="22"/>
              </w:rPr>
              <w:t>£25</w:t>
            </w:r>
          </w:p>
        </w:tc>
        <w:tc>
          <w:tcPr>
            <w:tcW w:w="780" w:type="dxa"/>
            <w:tcBorders>
              <w:top w:val="single" w:sz="8" w:space="0" w:color="auto"/>
              <w:left w:val="nil"/>
              <w:bottom w:val="nil"/>
              <w:right w:val="nil"/>
            </w:tcBorders>
            <w:shd w:val="clear" w:color="auto" w:fill="auto"/>
            <w:noWrap/>
            <w:hideMark/>
          </w:tcPr>
          <w:p w14:paraId="6BD9CE16" w14:textId="01BEE273" w:rsidR="007638F1" w:rsidRPr="008246EA" w:rsidRDefault="007638F1" w:rsidP="007638F1">
            <w:pPr>
              <w:jc w:val="center"/>
              <w:rPr>
                <w:rFonts w:cs="Arial"/>
                <w:color w:val="000000"/>
                <w:sz w:val="22"/>
                <w:szCs w:val="22"/>
                <w:lang w:eastAsia="en-GB"/>
              </w:rPr>
            </w:pPr>
            <w:r w:rsidRPr="008246EA">
              <w:rPr>
                <w:sz w:val="22"/>
                <w:szCs w:val="22"/>
              </w:rPr>
              <w:t>£25</w:t>
            </w:r>
          </w:p>
        </w:tc>
        <w:tc>
          <w:tcPr>
            <w:tcW w:w="780" w:type="dxa"/>
            <w:tcBorders>
              <w:top w:val="single" w:sz="8" w:space="0" w:color="auto"/>
              <w:left w:val="nil"/>
              <w:bottom w:val="nil"/>
              <w:right w:val="nil"/>
            </w:tcBorders>
            <w:shd w:val="clear" w:color="auto" w:fill="auto"/>
            <w:noWrap/>
            <w:hideMark/>
          </w:tcPr>
          <w:p w14:paraId="1DC41E9A" w14:textId="51B0C2B3" w:rsidR="007638F1" w:rsidRPr="008246EA" w:rsidRDefault="007638F1" w:rsidP="007638F1">
            <w:pPr>
              <w:jc w:val="center"/>
              <w:rPr>
                <w:rFonts w:cs="Arial"/>
                <w:color w:val="000000"/>
                <w:sz w:val="22"/>
                <w:szCs w:val="22"/>
                <w:lang w:eastAsia="en-GB"/>
              </w:rPr>
            </w:pPr>
            <w:r w:rsidRPr="008246EA">
              <w:rPr>
                <w:sz w:val="22"/>
                <w:szCs w:val="22"/>
              </w:rPr>
              <w:t>£25</w:t>
            </w:r>
          </w:p>
        </w:tc>
        <w:tc>
          <w:tcPr>
            <w:tcW w:w="780" w:type="dxa"/>
            <w:tcBorders>
              <w:top w:val="single" w:sz="8" w:space="0" w:color="auto"/>
              <w:left w:val="nil"/>
              <w:bottom w:val="nil"/>
              <w:right w:val="nil"/>
            </w:tcBorders>
            <w:shd w:val="clear" w:color="auto" w:fill="auto"/>
            <w:noWrap/>
            <w:hideMark/>
          </w:tcPr>
          <w:p w14:paraId="07D6B01F" w14:textId="3D0245BE" w:rsidR="007638F1" w:rsidRPr="008246EA" w:rsidRDefault="007638F1" w:rsidP="007638F1">
            <w:pPr>
              <w:jc w:val="center"/>
              <w:rPr>
                <w:rFonts w:cs="Arial"/>
                <w:color w:val="000000"/>
                <w:sz w:val="22"/>
                <w:szCs w:val="22"/>
                <w:lang w:eastAsia="en-GB"/>
              </w:rPr>
            </w:pPr>
            <w:r w:rsidRPr="008246EA">
              <w:rPr>
                <w:sz w:val="22"/>
                <w:szCs w:val="22"/>
              </w:rPr>
              <w:t>£25</w:t>
            </w:r>
          </w:p>
        </w:tc>
        <w:tc>
          <w:tcPr>
            <w:tcW w:w="780" w:type="dxa"/>
            <w:tcBorders>
              <w:top w:val="single" w:sz="8" w:space="0" w:color="auto"/>
              <w:left w:val="nil"/>
              <w:bottom w:val="nil"/>
              <w:right w:val="nil"/>
            </w:tcBorders>
            <w:shd w:val="clear" w:color="auto" w:fill="auto"/>
            <w:noWrap/>
            <w:hideMark/>
          </w:tcPr>
          <w:p w14:paraId="522F5540" w14:textId="2B0FFBB5" w:rsidR="007638F1" w:rsidRPr="008246EA" w:rsidRDefault="007638F1" w:rsidP="007638F1">
            <w:pPr>
              <w:jc w:val="center"/>
              <w:rPr>
                <w:rFonts w:cs="Arial"/>
                <w:color w:val="000000"/>
                <w:sz w:val="22"/>
                <w:szCs w:val="22"/>
                <w:lang w:eastAsia="en-GB"/>
              </w:rPr>
            </w:pPr>
            <w:r w:rsidRPr="008246EA">
              <w:rPr>
                <w:sz w:val="22"/>
                <w:szCs w:val="22"/>
              </w:rPr>
              <w:t>£25</w:t>
            </w:r>
          </w:p>
        </w:tc>
        <w:tc>
          <w:tcPr>
            <w:tcW w:w="780" w:type="dxa"/>
            <w:tcBorders>
              <w:top w:val="single" w:sz="8" w:space="0" w:color="auto"/>
              <w:left w:val="nil"/>
              <w:bottom w:val="nil"/>
              <w:right w:val="nil"/>
            </w:tcBorders>
            <w:shd w:val="clear" w:color="auto" w:fill="auto"/>
            <w:noWrap/>
            <w:hideMark/>
          </w:tcPr>
          <w:p w14:paraId="7CE656BB" w14:textId="466C188F" w:rsidR="007638F1" w:rsidRPr="008246EA" w:rsidRDefault="007638F1" w:rsidP="007638F1">
            <w:pPr>
              <w:jc w:val="center"/>
              <w:rPr>
                <w:rFonts w:cs="Arial"/>
                <w:color w:val="000000"/>
                <w:sz w:val="22"/>
                <w:szCs w:val="22"/>
                <w:lang w:eastAsia="en-GB"/>
              </w:rPr>
            </w:pPr>
            <w:r w:rsidRPr="008246EA">
              <w:rPr>
                <w:sz w:val="22"/>
                <w:szCs w:val="22"/>
              </w:rPr>
              <w:t>£25</w:t>
            </w:r>
          </w:p>
        </w:tc>
        <w:tc>
          <w:tcPr>
            <w:tcW w:w="780" w:type="dxa"/>
            <w:tcBorders>
              <w:top w:val="single" w:sz="8" w:space="0" w:color="auto"/>
              <w:left w:val="nil"/>
              <w:bottom w:val="nil"/>
              <w:right w:val="single" w:sz="8" w:space="0" w:color="auto"/>
            </w:tcBorders>
            <w:shd w:val="clear" w:color="auto" w:fill="auto"/>
            <w:noWrap/>
            <w:hideMark/>
          </w:tcPr>
          <w:p w14:paraId="2B9A4603" w14:textId="0BB77177" w:rsidR="007638F1" w:rsidRPr="008246EA" w:rsidRDefault="007638F1" w:rsidP="007638F1">
            <w:pPr>
              <w:jc w:val="center"/>
              <w:rPr>
                <w:rFonts w:cs="Arial"/>
                <w:color w:val="000000"/>
                <w:sz w:val="22"/>
                <w:szCs w:val="22"/>
                <w:lang w:eastAsia="en-GB"/>
              </w:rPr>
            </w:pPr>
            <w:r w:rsidRPr="008246EA">
              <w:rPr>
                <w:sz w:val="22"/>
                <w:szCs w:val="22"/>
              </w:rPr>
              <w:t>£25</w:t>
            </w:r>
          </w:p>
        </w:tc>
        <w:tc>
          <w:tcPr>
            <w:tcW w:w="1085" w:type="dxa"/>
            <w:tcBorders>
              <w:top w:val="single" w:sz="8" w:space="0" w:color="auto"/>
              <w:left w:val="nil"/>
              <w:bottom w:val="nil"/>
              <w:right w:val="single" w:sz="8" w:space="0" w:color="auto"/>
            </w:tcBorders>
            <w:shd w:val="clear" w:color="auto" w:fill="auto"/>
            <w:noWrap/>
            <w:hideMark/>
          </w:tcPr>
          <w:p w14:paraId="587CA127" w14:textId="705F55D8" w:rsidR="007638F1" w:rsidRPr="008246EA" w:rsidRDefault="007638F1" w:rsidP="007638F1">
            <w:pPr>
              <w:jc w:val="center"/>
              <w:rPr>
                <w:rFonts w:cs="Arial"/>
                <w:color w:val="000000"/>
                <w:sz w:val="22"/>
                <w:szCs w:val="22"/>
                <w:lang w:eastAsia="en-GB"/>
              </w:rPr>
            </w:pPr>
            <w:r w:rsidRPr="008246EA">
              <w:rPr>
                <w:sz w:val="22"/>
                <w:szCs w:val="22"/>
              </w:rPr>
              <w:t>£24</w:t>
            </w:r>
          </w:p>
        </w:tc>
      </w:tr>
      <w:tr w:rsidR="007638F1" w:rsidRPr="003558CB" w14:paraId="15024B23" w14:textId="77777777" w:rsidTr="00BD72F8">
        <w:trPr>
          <w:trHeight w:val="144"/>
        </w:trPr>
        <w:tc>
          <w:tcPr>
            <w:tcW w:w="1084" w:type="dxa"/>
            <w:tcBorders>
              <w:top w:val="nil"/>
              <w:left w:val="single" w:sz="8" w:space="0" w:color="auto"/>
              <w:bottom w:val="single" w:sz="8" w:space="0" w:color="auto"/>
              <w:right w:val="nil"/>
            </w:tcBorders>
            <w:shd w:val="clear" w:color="auto" w:fill="auto"/>
            <w:noWrap/>
            <w:vAlign w:val="center"/>
            <w:hideMark/>
          </w:tcPr>
          <w:p w14:paraId="54B8BD5A" w14:textId="3E91E4B0" w:rsidR="007638F1" w:rsidRPr="00CC1BF3" w:rsidRDefault="007638F1" w:rsidP="007638F1">
            <w:pPr>
              <w:rPr>
                <w:rFonts w:cs="Arial"/>
                <w:color w:val="000000"/>
                <w:sz w:val="22"/>
                <w:szCs w:val="22"/>
                <w:lang w:eastAsia="en-GB"/>
              </w:rPr>
            </w:pPr>
            <w:r w:rsidRPr="00CC1BF3">
              <w:rPr>
                <w:rFonts w:cs="Arial"/>
                <w:color w:val="000000"/>
                <w:sz w:val="22"/>
                <w:szCs w:val="22"/>
                <w:lang w:eastAsia="en-GB"/>
              </w:rPr>
              <w:t>Low</w:t>
            </w:r>
          </w:p>
        </w:tc>
        <w:tc>
          <w:tcPr>
            <w:tcW w:w="780" w:type="dxa"/>
            <w:tcBorders>
              <w:top w:val="nil"/>
              <w:left w:val="nil"/>
              <w:bottom w:val="single" w:sz="8" w:space="0" w:color="auto"/>
              <w:right w:val="nil"/>
            </w:tcBorders>
            <w:shd w:val="clear" w:color="auto" w:fill="auto"/>
            <w:noWrap/>
            <w:hideMark/>
          </w:tcPr>
          <w:p w14:paraId="4E450C7F" w14:textId="39DDCD19" w:rsidR="007638F1" w:rsidRPr="008246EA" w:rsidRDefault="007638F1" w:rsidP="007638F1">
            <w:pPr>
              <w:jc w:val="center"/>
              <w:rPr>
                <w:rFonts w:cs="Arial"/>
                <w:color w:val="000000"/>
                <w:sz w:val="22"/>
                <w:szCs w:val="22"/>
                <w:lang w:eastAsia="en-GB"/>
              </w:rPr>
            </w:pPr>
            <w:r w:rsidRPr="008246EA">
              <w:rPr>
                <w:sz w:val="22"/>
                <w:szCs w:val="22"/>
              </w:rPr>
              <w:t>£10</w:t>
            </w:r>
          </w:p>
        </w:tc>
        <w:tc>
          <w:tcPr>
            <w:tcW w:w="780" w:type="dxa"/>
            <w:tcBorders>
              <w:top w:val="nil"/>
              <w:left w:val="nil"/>
              <w:bottom w:val="single" w:sz="8" w:space="0" w:color="auto"/>
              <w:right w:val="nil"/>
            </w:tcBorders>
            <w:shd w:val="clear" w:color="auto" w:fill="auto"/>
            <w:noWrap/>
            <w:hideMark/>
          </w:tcPr>
          <w:p w14:paraId="49FD4611" w14:textId="079A0FAE" w:rsidR="007638F1" w:rsidRPr="008246EA" w:rsidRDefault="007638F1" w:rsidP="007638F1">
            <w:pPr>
              <w:jc w:val="center"/>
              <w:rPr>
                <w:rFonts w:cs="Arial"/>
                <w:color w:val="000000"/>
                <w:sz w:val="22"/>
                <w:szCs w:val="22"/>
                <w:lang w:eastAsia="en-GB"/>
              </w:rPr>
            </w:pPr>
            <w:r w:rsidRPr="008246EA">
              <w:rPr>
                <w:sz w:val="22"/>
                <w:szCs w:val="22"/>
              </w:rPr>
              <w:t>£20</w:t>
            </w:r>
          </w:p>
        </w:tc>
        <w:tc>
          <w:tcPr>
            <w:tcW w:w="780" w:type="dxa"/>
            <w:tcBorders>
              <w:top w:val="nil"/>
              <w:left w:val="nil"/>
              <w:bottom w:val="single" w:sz="8" w:space="0" w:color="auto"/>
              <w:right w:val="nil"/>
            </w:tcBorders>
            <w:shd w:val="clear" w:color="auto" w:fill="auto"/>
            <w:noWrap/>
            <w:hideMark/>
          </w:tcPr>
          <w:p w14:paraId="1475E387" w14:textId="1FA14700" w:rsidR="007638F1" w:rsidRPr="008246EA" w:rsidRDefault="007638F1" w:rsidP="007638F1">
            <w:pPr>
              <w:jc w:val="center"/>
              <w:rPr>
                <w:rFonts w:cs="Arial"/>
                <w:color w:val="000000"/>
                <w:sz w:val="22"/>
                <w:szCs w:val="22"/>
                <w:lang w:eastAsia="en-GB"/>
              </w:rPr>
            </w:pPr>
            <w:r w:rsidRPr="008246EA">
              <w:rPr>
                <w:sz w:val="22"/>
                <w:szCs w:val="22"/>
              </w:rPr>
              <w:t>£20</w:t>
            </w:r>
          </w:p>
        </w:tc>
        <w:tc>
          <w:tcPr>
            <w:tcW w:w="780" w:type="dxa"/>
            <w:tcBorders>
              <w:top w:val="nil"/>
              <w:left w:val="nil"/>
              <w:bottom w:val="single" w:sz="8" w:space="0" w:color="auto"/>
              <w:right w:val="nil"/>
            </w:tcBorders>
            <w:shd w:val="clear" w:color="auto" w:fill="auto"/>
            <w:noWrap/>
            <w:hideMark/>
          </w:tcPr>
          <w:p w14:paraId="09A6745C" w14:textId="3322EB6E" w:rsidR="007638F1" w:rsidRPr="008246EA" w:rsidRDefault="007638F1" w:rsidP="007638F1">
            <w:pPr>
              <w:jc w:val="center"/>
              <w:rPr>
                <w:rFonts w:cs="Arial"/>
                <w:color w:val="000000"/>
                <w:sz w:val="22"/>
                <w:szCs w:val="22"/>
                <w:lang w:eastAsia="en-GB"/>
              </w:rPr>
            </w:pPr>
            <w:r w:rsidRPr="008246EA">
              <w:rPr>
                <w:sz w:val="22"/>
                <w:szCs w:val="22"/>
              </w:rPr>
              <w:t>£20</w:t>
            </w:r>
          </w:p>
        </w:tc>
        <w:tc>
          <w:tcPr>
            <w:tcW w:w="780" w:type="dxa"/>
            <w:tcBorders>
              <w:top w:val="nil"/>
              <w:left w:val="nil"/>
              <w:bottom w:val="single" w:sz="8" w:space="0" w:color="auto"/>
              <w:right w:val="nil"/>
            </w:tcBorders>
            <w:shd w:val="clear" w:color="auto" w:fill="auto"/>
            <w:noWrap/>
            <w:hideMark/>
          </w:tcPr>
          <w:p w14:paraId="51CA9762" w14:textId="11D3D43A" w:rsidR="007638F1" w:rsidRPr="008246EA" w:rsidRDefault="007638F1" w:rsidP="007638F1">
            <w:pPr>
              <w:jc w:val="center"/>
              <w:rPr>
                <w:rFonts w:cs="Arial"/>
                <w:color w:val="000000"/>
                <w:sz w:val="22"/>
                <w:szCs w:val="22"/>
                <w:lang w:eastAsia="en-GB"/>
              </w:rPr>
            </w:pPr>
            <w:r w:rsidRPr="008246EA">
              <w:rPr>
                <w:sz w:val="22"/>
                <w:szCs w:val="22"/>
              </w:rPr>
              <w:t>£20</w:t>
            </w:r>
          </w:p>
        </w:tc>
        <w:tc>
          <w:tcPr>
            <w:tcW w:w="780" w:type="dxa"/>
            <w:tcBorders>
              <w:top w:val="nil"/>
              <w:left w:val="nil"/>
              <w:bottom w:val="single" w:sz="8" w:space="0" w:color="auto"/>
              <w:right w:val="nil"/>
            </w:tcBorders>
            <w:shd w:val="clear" w:color="auto" w:fill="auto"/>
            <w:noWrap/>
            <w:hideMark/>
          </w:tcPr>
          <w:p w14:paraId="641E59A6" w14:textId="2DCB3213" w:rsidR="007638F1" w:rsidRPr="008246EA" w:rsidRDefault="007638F1" w:rsidP="007638F1">
            <w:pPr>
              <w:jc w:val="center"/>
              <w:rPr>
                <w:rFonts w:cs="Arial"/>
                <w:color w:val="000000"/>
                <w:sz w:val="22"/>
                <w:szCs w:val="22"/>
                <w:lang w:eastAsia="en-GB"/>
              </w:rPr>
            </w:pPr>
            <w:r w:rsidRPr="008246EA">
              <w:rPr>
                <w:sz w:val="22"/>
                <w:szCs w:val="22"/>
              </w:rPr>
              <w:t>£20</w:t>
            </w:r>
          </w:p>
        </w:tc>
        <w:tc>
          <w:tcPr>
            <w:tcW w:w="780" w:type="dxa"/>
            <w:tcBorders>
              <w:top w:val="nil"/>
              <w:left w:val="nil"/>
              <w:bottom w:val="single" w:sz="8" w:space="0" w:color="auto"/>
              <w:right w:val="nil"/>
            </w:tcBorders>
            <w:shd w:val="clear" w:color="auto" w:fill="auto"/>
            <w:noWrap/>
            <w:hideMark/>
          </w:tcPr>
          <w:p w14:paraId="7B622758" w14:textId="0A6F9A31" w:rsidR="007638F1" w:rsidRPr="008246EA" w:rsidRDefault="007638F1" w:rsidP="007638F1">
            <w:pPr>
              <w:jc w:val="center"/>
              <w:rPr>
                <w:rFonts w:cs="Arial"/>
                <w:color w:val="000000"/>
                <w:sz w:val="22"/>
                <w:szCs w:val="22"/>
                <w:lang w:eastAsia="en-GB"/>
              </w:rPr>
            </w:pPr>
            <w:r w:rsidRPr="008246EA">
              <w:rPr>
                <w:sz w:val="22"/>
                <w:szCs w:val="22"/>
              </w:rPr>
              <w:t>£20</w:t>
            </w:r>
          </w:p>
        </w:tc>
        <w:tc>
          <w:tcPr>
            <w:tcW w:w="780" w:type="dxa"/>
            <w:tcBorders>
              <w:top w:val="nil"/>
              <w:left w:val="nil"/>
              <w:bottom w:val="single" w:sz="8" w:space="0" w:color="auto"/>
              <w:right w:val="nil"/>
            </w:tcBorders>
            <w:shd w:val="clear" w:color="auto" w:fill="auto"/>
            <w:noWrap/>
            <w:hideMark/>
          </w:tcPr>
          <w:p w14:paraId="7F8C4656" w14:textId="66AF85D6" w:rsidR="007638F1" w:rsidRPr="008246EA" w:rsidRDefault="007638F1" w:rsidP="007638F1">
            <w:pPr>
              <w:jc w:val="center"/>
              <w:rPr>
                <w:rFonts w:cs="Arial"/>
                <w:color w:val="000000"/>
                <w:sz w:val="22"/>
                <w:szCs w:val="22"/>
                <w:lang w:eastAsia="en-GB"/>
              </w:rPr>
            </w:pPr>
            <w:r w:rsidRPr="008246EA">
              <w:rPr>
                <w:sz w:val="22"/>
                <w:szCs w:val="22"/>
              </w:rPr>
              <w:t>£20</w:t>
            </w:r>
          </w:p>
        </w:tc>
        <w:tc>
          <w:tcPr>
            <w:tcW w:w="780" w:type="dxa"/>
            <w:tcBorders>
              <w:top w:val="nil"/>
              <w:left w:val="nil"/>
              <w:bottom w:val="single" w:sz="8" w:space="0" w:color="auto"/>
              <w:right w:val="nil"/>
            </w:tcBorders>
            <w:shd w:val="clear" w:color="auto" w:fill="auto"/>
            <w:noWrap/>
            <w:hideMark/>
          </w:tcPr>
          <w:p w14:paraId="43735CAF" w14:textId="15FDAA4E" w:rsidR="007638F1" w:rsidRPr="008246EA" w:rsidRDefault="007638F1" w:rsidP="007638F1">
            <w:pPr>
              <w:jc w:val="center"/>
              <w:rPr>
                <w:rFonts w:cs="Arial"/>
                <w:color w:val="000000"/>
                <w:sz w:val="22"/>
                <w:szCs w:val="22"/>
                <w:lang w:eastAsia="en-GB"/>
              </w:rPr>
            </w:pPr>
            <w:r w:rsidRPr="008246EA">
              <w:rPr>
                <w:sz w:val="22"/>
                <w:szCs w:val="22"/>
              </w:rPr>
              <w:t>£20</w:t>
            </w:r>
          </w:p>
        </w:tc>
        <w:tc>
          <w:tcPr>
            <w:tcW w:w="780" w:type="dxa"/>
            <w:tcBorders>
              <w:top w:val="nil"/>
              <w:left w:val="nil"/>
              <w:bottom w:val="single" w:sz="8" w:space="0" w:color="auto"/>
              <w:right w:val="single" w:sz="8" w:space="0" w:color="auto"/>
            </w:tcBorders>
            <w:shd w:val="clear" w:color="auto" w:fill="auto"/>
            <w:noWrap/>
            <w:hideMark/>
          </w:tcPr>
          <w:p w14:paraId="3BB780C3" w14:textId="7101FE45" w:rsidR="007638F1" w:rsidRPr="008246EA" w:rsidRDefault="007638F1" w:rsidP="007638F1">
            <w:pPr>
              <w:jc w:val="center"/>
              <w:rPr>
                <w:rFonts w:cs="Arial"/>
                <w:color w:val="000000"/>
                <w:sz w:val="22"/>
                <w:szCs w:val="22"/>
                <w:lang w:eastAsia="en-GB"/>
              </w:rPr>
            </w:pPr>
            <w:r w:rsidRPr="008246EA">
              <w:rPr>
                <w:sz w:val="22"/>
                <w:szCs w:val="22"/>
              </w:rPr>
              <w:t>£20</w:t>
            </w:r>
          </w:p>
        </w:tc>
        <w:tc>
          <w:tcPr>
            <w:tcW w:w="1085" w:type="dxa"/>
            <w:tcBorders>
              <w:top w:val="nil"/>
              <w:left w:val="nil"/>
              <w:bottom w:val="single" w:sz="8" w:space="0" w:color="auto"/>
              <w:right w:val="single" w:sz="8" w:space="0" w:color="auto"/>
            </w:tcBorders>
            <w:shd w:val="clear" w:color="auto" w:fill="auto"/>
            <w:noWrap/>
            <w:hideMark/>
          </w:tcPr>
          <w:p w14:paraId="09D394DB" w14:textId="1A989F99" w:rsidR="007638F1" w:rsidRPr="008246EA" w:rsidRDefault="007638F1" w:rsidP="007638F1">
            <w:pPr>
              <w:jc w:val="center"/>
              <w:rPr>
                <w:rFonts w:cs="Arial"/>
                <w:color w:val="000000"/>
                <w:sz w:val="22"/>
                <w:szCs w:val="22"/>
                <w:lang w:eastAsia="en-GB"/>
              </w:rPr>
            </w:pPr>
            <w:r w:rsidRPr="008246EA">
              <w:rPr>
                <w:sz w:val="22"/>
                <w:szCs w:val="22"/>
              </w:rPr>
              <w:t>£19</w:t>
            </w:r>
          </w:p>
        </w:tc>
      </w:tr>
    </w:tbl>
    <w:bookmarkEnd w:id="47"/>
    <w:p w14:paraId="3EA8B429" w14:textId="62EBF5EB" w:rsidR="00224A56" w:rsidRPr="00877AC6" w:rsidRDefault="00877AC6" w:rsidP="00224A56">
      <w:pPr>
        <w:pStyle w:val="EBNumber"/>
        <w:numPr>
          <w:ilvl w:val="0"/>
          <w:numId w:val="0"/>
        </w:numPr>
        <w:ind w:left="502" w:hanging="360"/>
        <w:rPr>
          <w:i/>
          <w:iCs/>
        </w:rPr>
      </w:pPr>
      <w:r w:rsidRPr="00877AC6">
        <w:rPr>
          <w:i/>
          <w:iCs/>
        </w:rPr>
        <w:t xml:space="preserve">Based on 2018/19 volumes; 2021/22 figures are for </w:t>
      </w:r>
      <w:r>
        <w:rPr>
          <w:i/>
          <w:iCs/>
        </w:rPr>
        <w:t>6</w:t>
      </w:r>
      <w:r w:rsidRPr="00877AC6">
        <w:rPr>
          <w:i/>
          <w:iCs/>
        </w:rPr>
        <w:t xml:space="preserve"> months</w:t>
      </w:r>
      <w:r>
        <w:rPr>
          <w:i/>
          <w:iCs/>
        </w:rPr>
        <w:t>; i</w:t>
      </w:r>
      <w:r w:rsidRPr="00877AC6">
        <w:rPr>
          <w:i/>
          <w:iCs/>
        </w:rPr>
        <w:t xml:space="preserve">ncome is </w:t>
      </w:r>
      <w:r w:rsidR="0048730A">
        <w:rPr>
          <w:i/>
          <w:iCs/>
        </w:rPr>
        <w:t>net of</w:t>
      </w:r>
      <w:r w:rsidRPr="00877AC6">
        <w:rPr>
          <w:i/>
          <w:iCs/>
        </w:rPr>
        <w:t xml:space="preserve"> remissions.</w:t>
      </w:r>
    </w:p>
    <w:p w14:paraId="6914619C" w14:textId="2F6B6A1A" w:rsidR="00224A56" w:rsidRPr="00CC1BF3" w:rsidRDefault="00224A56" w:rsidP="00BB5449">
      <w:pPr>
        <w:pStyle w:val="EBNumber"/>
        <w:numPr>
          <w:ilvl w:val="0"/>
          <w:numId w:val="0"/>
        </w:numPr>
        <w:spacing w:after="0"/>
        <w:ind w:left="425" w:hanging="425"/>
        <w:rPr>
          <w:color w:val="auto"/>
        </w:rPr>
      </w:pPr>
    </w:p>
    <w:p w14:paraId="46D225DC" w14:textId="0AABDFB8" w:rsidR="00BB5449" w:rsidRPr="00CC1BF3" w:rsidRDefault="00BB5449" w:rsidP="00BB5449">
      <w:pPr>
        <w:pStyle w:val="EBNumber"/>
        <w:numPr>
          <w:ilvl w:val="0"/>
          <w:numId w:val="0"/>
        </w:numPr>
        <w:spacing w:after="0"/>
        <w:ind w:left="425" w:hanging="425"/>
        <w:rPr>
          <w:color w:val="auto"/>
        </w:rPr>
      </w:pPr>
    </w:p>
    <w:p w14:paraId="35E2A8D6" w14:textId="77777777" w:rsidR="00263BDF" w:rsidRPr="008246EA" w:rsidRDefault="006A6486" w:rsidP="00263BDF">
      <w:pPr>
        <w:pStyle w:val="EBNumber"/>
        <w:numPr>
          <w:ilvl w:val="0"/>
          <w:numId w:val="4"/>
        </w:numPr>
        <w:spacing w:after="0"/>
        <w:rPr>
          <w:color w:val="auto"/>
        </w:rPr>
      </w:pPr>
      <w:r>
        <w:rPr>
          <w:color w:val="auto"/>
        </w:rPr>
        <w:t xml:space="preserve">Table 3 </w:t>
      </w:r>
      <w:r w:rsidR="00BB5449" w:rsidRPr="00CC1BF3">
        <w:rPr>
          <w:color w:val="auto"/>
        </w:rPr>
        <w:t>shows the additional income adjusted for expected inflation.</w:t>
      </w:r>
      <w:r w:rsidR="00263BDF">
        <w:rPr>
          <w:color w:val="auto"/>
        </w:rPr>
        <w:t xml:space="preserve"> As noted above, it shows that, because fees do not keep track with inflation, the real value of the extra fee income falls over time.</w:t>
      </w:r>
    </w:p>
    <w:p w14:paraId="7EB23F6D" w14:textId="5373E246" w:rsidR="00BB5449" w:rsidRPr="00CC1BF3" w:rsidRDefault="00BB5449" w:rsidP="00EE5750">
      <w:pPr>
        <w:pStyle w:val="EBNumber"/>
        <w:numPr>
          <w:ilvl w:val="0"/>
          <w:numId w:val="0"/>
        </w:numPr>
        <w:spacing w:after="0"/>
        <w:ind w:left="360"/>
        <w:rPr>
          <w:color w:val="auto"/>
        </w:rPr>
      </w:pPr>
    </w:p>
    <w:p w14:paraId="37A6D636" w14:textId="01BE3893" w:rsidR="00BB5449" w:rsidRPr="00CC1BF3" w:rsidRDefault="00BB5449" w:rsidP="00BB5449">
      <w:pPr>
        <w:pStyle w:val="EBNumber"/>
        <w:numPr>
          <w:ilvl w:val="0"/>
          <w:numId w:val="0"/>
        </w:numPr>
        <w:spacing w:after="0"/>
        <w:ind w:left="425" w:hanging="425"/>
        <w:rPr>
          <w:color w:val="auto"/>
        </w:rPr>
      </w:pPr>
    </w:p>
    <w:p w14:paraId="798D2216" w14:textId="3D27256C" w:rsidR="00BB5449" w:rsidRPr="00CC1BF3" w:rsidRDefault="00BB5449" w:rsidP="00BB5449">
      <w:pPr>
        <w:pStyle w:val="Caption"/>
        <w:rPr>
          <w:b/>
          <w:sz w:val="22"/>
          <w:szCs w:val="22"/>
        </w:rPr>
      </w:pPr>
      <w:bookmarkStart w:id="48" w:name="_Ref63618401"/>
      <w:r w:rsidRPr="00CC1BF3">
        <w:rPr>
          <w:b/>
          <w:sz w:val="22"/>
          <w:szCs w:val="22"/>
        </w:rPr>
        <w:t xml:space="preserve">Table </w:t>
      </w:r>
      <w:r w:rsidRPr="00CC1BF3">
        <w:rPr>
          <w:b/>
          <w:sz w:val="22"/>
          <w:szCs w:val="22"/>
        </w:rPr>
        <w:fldChar w:fldCharType="begin"/>
      </w:r>
      <w:r w:rsidRPr="00CC1BF3">
        <w:rPr>
          <w:b/>
          <w:sz w:val="22"/>
          <w:szCs w:val="22"/>
        </w:rPr>
        <w:instrText xml:space="preserve"> SEQ Table \* ARABIC </w:instrText>
      </w:r>
      <w:r w:rsidRPr="00CC1BF3">
        <w:rPr>
          <w:b/>
          <w:sz w:val="22"/>
          <w:szCs w:val="22"/>
        </w:rPr>
        <w:fldChar w:fldCharType="separate"/>
      </w:r>
      <w:r w:rsidR="00A55E92" w:rsidRPr="00CC1BF3">
        <w:rPr>
          <w:b/>
          <w:sz w:val="22"/>
          <w:szCs w:val="22"/>
        </w:rPr>
        <w:t>3</w:t>
      </w:r>
      <w:r w:rsidRPr="00CC1BF3">
        <w:rPr>
          <w:b/>
          <w:sz w:val="22"/>
          <w:szCs w:val="22"/>
        </w:rPr>
        <w:fldChar w:fldCharType="end"/>
      </w:r>
      <w:bookmarkEnd w:id="48"/>
      <w:r w:rsidRPr="00CC1BF3">
        <w:rPr>
          <w:b/>
          <w:sz w:val="22"/>
          <w:szCs w:val="22"/>
        </w:rPr>
        <w:t xml:space="preserve">: Real value of estimated </w:t>
      </w:r>
      <w:r w:rsidR="00B64BD5" w:rsidRPr="00CC1BF3">
        <w:rPr>
          <w:b/>
          <w:sz w:val="22"/>
          <w:szCs w:val="22"/>
        </w:rPr>
        <w:t xml:space="preserve">net </w:t>
      </w:r>
      <w:r w:rsidRPr="00CC1BF3">
        <w:rPr>
          <w:b/>
          <w:sz w:val="22"/>
          <w:szCs w:val="22"/>
        </w:rPr>
        <w:t>income from fees to be inflated, £millions</w:t>
      </w:r>
    </w:p>
    <w:tbl>
      <w:tblPr>
        <w:tblW w:w="10052" w:type="dxa"/>
        <w:tblInd w:w="-10" w:type="dxa"/>
        <w:tblLook w:val="04A0" w:firstRow="1" w:lastRow="0" w:firstColumn="1" w:lastColumn="0" w:noHBand="0" w:noVBand="1"/>
      </w:tblPr>
      <w:tblGrid>
        <w:gridCol w:w="987"/>
        <w:gridCol w:w="798"/>
        <w:gridCol w:w="798"/>
        <w:gridCol w:w="798"/>
        <w:gridCol w:w="798"/>
        <w:gridCol w:w="798"/>
        <w:gridCol w:w="798"/>
        <w:gridCol w:w="798"/>
        <w:gridCol w:w="798"/>
        <w:gridCol w:w="798"/>
        <w:gridCol w:w="798"/>
        <w:gridCol w:w="1085"/>
      </w:tblGrid>
      <w:tr w:rsidR="000979BC" w:rsidRPr="003558CB" w14:paraId="35975F8F" w14:textId="77777777" w:rsidTr="00A22465">
        <w:trPr>
          <w:trHeight w:val="205"/>
        </w:trPr>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C930F3" w14:textId="47201226" w:rsidR="000979BC" w:rsidRPr="00CC1BF3" w:rsidRDefault="000979BC" w:rsidP="000979BC">
            <w:pPr>
              <w:rPr>
                <w:rFonts w:cs="Arial"/>
                <w:color w:val="000000"/>
                <w:sz w:val="22"/>
                <w:szCs w:val="22"/>
                <w:lang w:eastAsia="en-GB"/>
              </w:rPr>
            </w:pPr>
            <w:r w:rsidRPr="00CC1BF3">
              <w:rPr>
                <w:rFonts w:cs="Arial"/>
                <w:b/>
                <w:i/>
                <w:color w:val="000000"/>
                <w:sz w:val="22"/>
                <w:szCs w:val="22"/>
                <w:lang w:eastAsia="en-GB"/>
              </w:rPr>
              <w:lastRenderedPageBreak/>
              <w:t>Real Income £m</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10678930" w14:textId="4656777A"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21/22</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6F069EAC" w14:textId="6C580922"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22/23</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6C021B13" w14:textId="66ACE678"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23/24</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27D5AC01" w14:textId="69FB62C6"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24/25</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4B345ED4" w14:textId="386A53D4"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25/26</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3326DB42" w14:textId="5217AE8A"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26/27</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74B6508F" w14:textId="33F8F9CD"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27/28</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113D7922" w14:textId="549374A2"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28/29</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7E5CD880" w14:textId="4CBC75BA"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29/30</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4AEAADD2" w14:textId="34A7BDEF"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30/31</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281B2CEE" w14:textId="77777777" w:rsidR="000979BC" w:rsidRPr="00CC1BF3" w:rsidRDefault="000979BC" w:rsidP="000979BC">
            <w:pPr>
              <w:jc w:val="center"/>
              <w:rPr>
                <w:rFonts w:cs="Arial"/>
                <w:b/>
                <w:color w:val="000000"/>
                <w:sz w:val="22"/>
                <w:szCs w:val="22"/>
                <w:lang w:eastAsia="en-GB"/>
              </w:rPr>
            </w:pPr>
            <w:r w:rsidRPr="00CC1BF3">
              <w:rPr>
                <w:rFonts w:cs="Arial"/>
                <w:b/>
                <w:color w:val="000000"/>
                <w:sz w:val="22"/>
                <w:szCs w:val="22"/>
                <w:lang w:eastAsia="en-GB"/>
              </w:rPr>
              <w:t>Annual Average</w:t>
            </w:r>
          </w:p>
        </w:tc>
      </w:tr>
      <w:tr w:rsidR="007638F1" w:rsidRPr="003558CB" w14:paraId="52CCE6F0" w14:textId="77777777" w:rsidTr="00A22465">
        <w:trPr>
          <w:trHeight w:val="100"/>
        </w:trPr>
        <w:tc>
          <w:tcPr>
            <w:tcW w:w="987" w:type="dxa"/>
            <w:tcBorders>
              <w:top w:val="single" w:sz="8" w:space="0" w:color="auto"/>
              <w:left w:val="single" w:sz="8" w:space="0" w:color="auto"/>
              <w:bottom w:val="nil"/>
              <w:right w:val="nil"/>
            </w:tcBorders>
            <w:shd w:val="clear" w:color="auto" w:fill="auto"/>
            <w:noWrap/>
            <w:vAlign w:val="center"/>
            <w:hideMark/>
          </w:tcPr>
          <w:p w14:paraId="0B39B42A" w14:textId="1146216C" w:rsidR="007638F1" w:rsidRPr="00CC1BF3" w:rsidRDefault="007638F1" w:rsidP="007638F1">
            <w:pPr>
              <w:rPr>
                <w:rFonts w:cs="Arial"/>
                <w:color w:val="000000"/>
                <w:sz w:val="22"/>
                <w:szCs w:val="22"/>
                <w:lang w:eastAsia="en-GB"/>
              </w:rPr>
            </w:pPr>
            <w:r w:rsidRPr="00CC1BF3">
              <w:rPr>
                <w:rFonts w:cs="Arial"/>
                <w:color w:val="000000"/>
                <w:sz w:val="22"/>
                <w:szCs w:val="22"/>
                <w:lang w:eastAsia="en-GB"/>
              </w:rPr>
              <w:t>Best</w:t>
            </w:r>
          </w:p>
        </w:tc>
        <w:tc>
          <w:tcPr>
            <w:tcW w:w="798" w:type="dxa"/>
            <w:tcBorders>
              <w:top w:val="single" w:sz="8" w:space="0" w:color="auto"/>
              <w:left w:val="nil"/>
              <w:bottom w:val="nil"/>
              <w:right w:val="nil"/>
            </w:tcBorders>
            <w:shd w:val="clear" w:color="auto" w:fill="auto"/>
            <w:noWrap/>
            <w:hideMark/>
          </w:tcPr>
          <w:p w14:paraId="3FC1601D" w14:textId="1D4E3746" w:rsidR="007638F1" w:rsidRPr="008246EA" w:rsidRDefault="007638F1" w:rsidP="007638F1">
            <w:pPr>
              <w:jc w:val="center"/>
              <w:rPr>
                <w:rFonts w:cs="Arial"/>
                <w:color w:val="000000"/>
                <w:sz w:val="22"/>
                <w:szCs w:val="22"/>
                <w:lang w:eastAsia="en-GB"/>
              </w:rPr>
            </w:pPr>
            <w:r w:rsidRPr="008246EA">
              <w:rPr>
                <w:sz w:val="22"/>
                <w:szCs w:val="22"/>
              </w:rPr>
              <w:t>£13</w:t>
            </w:r>
          </w:p>
        </w:tc>
        <w:tc>
          <w:tcPr>
            <w:tcW w:w="798" w:type="dxa"/>
            <w:tcBorders>
              <w:top w:val="single" w:sz="8" w:space="0" w:color="auto"/>
              <w:left w:val="nil"/>
              <w:bottom w:val="nil"/>
              <w:right w:val="nil"/>
            </w:tcBorders>
            <w:shd w:val="clear" w:color="auto" w:fill="auto"/>
            <w:noWrap/>
            <w:hideMark/>
          </w:tcPr>
          <w:p w14:paraId="7890FC7E" w14:textId="303E583E" w:rsidR="007638F1" w:rsidRPr="008246EA" w:rsidRDefault="007638F1" w:rsidP="007638F1">
            <w:pPr>
              <w:jc w:val="center"/>
              <w:rPr>
                <w:rFonts w:cs="Arial"/>
                <w:color w:val="000000"/>
                <w:sz w:val="22"/>
                <w:szCs w:val="22"/>
                <w:lang w:eastAsia="en-GB"/>
              </w:rPr>
            </w:pPr>
            <w:r w:rsidRPr="008246EA">
              <w:rPr>
                <w:sz w:val="22"/>
                <w:szCs w:val="22"/>
              </w:rPr>
              <w:t>£25</w:t>
            </w:r>
          </w:p>
        </w:tc>
        <w:tc>
          <w:tcPr>
            <w:tcW w:w="798" w:type="dxa"/>
            <w:tcBorders>
              <w:top w:val="single" w:sz="8" w:space="0" w:color="auto"/>
              <w:left w:val="nil"/>
              <w:bottom w:val="nil"/>
              <w:right w:val="nil"/>
            </w:tcBorders>
            <w:shd w:val="clear" w:color="auto" w:fill="auto"/>
            <w:noWrap/>
            <w:hideMark/>
          </w:tcPr>
          <w:p w14:paraId="6D33644F" w14:textId="4C37E425" w:rsidR="007638F1" w:rsidRPr="008246EA" w:rsidRDefault="007638F1" w:rsidP="007638F1">
            <w:pPr>
              <w:jc w:val="center"/>
              <w:rPr>
                <w:rFonts w:cs="Arial"/>
                <w:color w:val="000000"/>
                <w:sz w:val="22"/>
                <w:szCs w:val="22"/>
                <w:lang w:eastAsia="en-GB"/>
              </w:rPr>
            </w:pPr>
            <w:r w:rsidRPr="008246EA">
              <w:rPr>
                <w:sz w:val="22"/>
                <w:szCs w:val="22"/>
              </w:rPr>
              <w:t>£25</w:t>
            </w:r>
          </w:p>
        </w:tc>
        <w:tc>
          <w:tcPr>
            <w:tcW w:w="798" w:type="dxa"/>
            <w:tcBorders>
              <w:top w:val="single" w:sz="8" w:space="0" w:color="auto"/>
              <w:left w:val="nil"/>
              <w:bottom w:val="nil"/>
              <w:right w:val="nil"/>
            </w:tcBorders>
            <w:shd w:val="clear" w:color="auto" w:fill="auto"/>
            <w:noWrap/>
            <w:hideMark/>
          </w:tcPr>
          <w:p w14:paraId="679C1253" w14:textId="64700004" w:rsidR="007638F1" w:rsidRPr="008246EA" w:rsidRDefault="007638F1" w:rsidP="007638F1">
            <w:pPr>
              <w:jc w:val="center"/>
              <w:rPr>
                <w:rFonts w:cs="Arial"/>
                <w:color w:val="000000"/>
                <w:sz w:val="22"/>
                <w:szCs w:val="22"/>
                <w:lang w:eastAsia="en-GB"/>
              </w:rPr>
            </w:pPr>
            <w:r w:rsidRPr="008246EA">
              <w:rPr>
                <w:sz w:val="22"/>
                <w:szCs w:val="22"/>
              </w:rPr>
              <w:t>£24</w:t>
            </w:r>
          </w:p>
        </w:tc>
        <w:tc>
          <w:tcPr>
            <w:tcW w:w="798" w:type="dxa"/>
            <w:tcBorders>
              <w:top w:val="single" w:sz="8" w:space="0" w:color="auto"/>
              <w:left w:val="nil"/>
              <w:bottom w:val="nil"/>
              <w:right w:val="nil"/>
            </w:tcBorders>
            <w:shd w:val="clear" w:color="auto" w:fill="auto"/>
            <w:noWrap/>
            <w:hideMark/>
          </w:tcPr>
          <w:p w14:paraId="6977DC15" w14:textId="7A1F545D" w:rsidR="007638F1" w:rsidRPr="008246EA" w:rsidRDefault="007638F1" w:rsidP="007638F1">
            <w:pPr>
              <w:jc w:val="center"/>
              <w:rPr>
                <w:rFonts w:cs="Arial"/>
                <w:color w:val="000000"/>
                <w:sz w:val="22"/>
                <w:szCs w:val="22"/>
                <w:lang w:eastAsia="en-GB"/>
              </w:rPr>
            </w:pPr>
            <w:r w:rsidRPr="008246EA">
              <w:rPr>
                <w:sz w:val="22"/>
                <w:szCs w:val="22"/>
              </w:rPr>
              <w:t>£24</w:t>
            </w:r>
          </w:p>
        </w:tc>
        <w:tc>
          <w:tcPr>
            <w:tcW w:w="798" w:type="dxa"/>
            <w:tcBorders>
              <w:top w:val="single" w:sz="8" w:space="0" w:color="auto"/>
              <w:left w:val="nil"/>
              <w:bottom w:val="nil"/>
              <w:right w:val="nil"/>
            </w:tcBorders>
            <w:shd w:val="clear" w:color="auto" w:fill="auto"/>
            <w:noWrap/>
            <w:hideMark/>
          </w:tcPr>
          <w:p w14:paraId="3642FAFB" w14:textId="2157D693" w:rsidR="007638F1" w:rsidRPr="008246EA" w:rsidRDefault="007638F1" w:rsidP="007638F1">
            <w:pPr>
              <w:jc w:val="center"/>
              <w:rPr>
                <w:rFonts w:cs="Arial"/>
                <w:color w:val="000000"/>
                <w:sz w:val="22"/>
                <w:szCs w:val="22"/>
                <w:lang w:eastAsia="en-GB"/>
              </w:rPr>
            </w:pPr>
            <w:r w:rsidRPr="008246EA">
              <w:rPr>
                <w:sz w:val="22"/>
                <w:szCs w:val="22"/>
              </w:rPr>
              <w:t>£23</w:t>
            </w:r>
          </w:p>
        </w:tc>
        <w:tc>
          <w:tcPr>
            <w:tcW w:w="798" w:type="dxa"/>
            <w:tcBorders>
              <w:top w:val="single" w:sz="8" w:space="0" w:color="auto"/>
              <w:left w:val="nil"/>
              <w:bottom w:val="nil"/>
              <w:right w:val="nil"/>
            </w:tcBorders>
            <w:shd w:val="clear" w:color="auto" w:fill="auto"/>
            <w:noWrap/>
            <w:hideMark/>
          </w:tcPr>
          <w:p w14:paraId="42A3317F" w14:textId="53765235" w:rsidR="007638F1" w:rsidRPr="008246EA" w:rsidRDefault="007638F1" w:rsidP="007638F1">
            <w:pPr>
              <w:jc w:val="center"/>
              <w:rPr>
                <w:rFonts w:cs="Arial"/>
                <w:color w:val="000000"/>
                <w:sz w:val="22"/>
                <w:szCs w:val="22"/>
                <w:lang w:eastAsia="en-GB"/>
              </w:rPr>
            </w:pPr>
            <w:r w:rsidRPr="008246EA">
              <w:rPr>
                <w:sz w:val="22"/>
                <w:szCs w:val="22"/>
              </w:rPr>
              <w:t>£23</w:t>
            </w:r>
          </w:p>
        </w:tc>
        <w:tc>
          <w:tcPr>
            <w:tcW w:w="798" w:type="dxa"/>
            <w:tcBorders>
              <w:top w:val="single" w:sz="8" w:space="0" w:color="auto"/>
              <w:left w:val="nil"/>
              <w:bottom w:val="nil"/>
              <w:right w:val="nil"/>
            </w:tcBorders>
            <w:shd w:val="clear" w:color="auto" w:fill="auto"/>
            <w:noWrap/>
            <w:hideMark/>
          </w:tcPr>
          <w:p w14:paraId="09AEA577" w14:textId="16EBBA02" w:rsidR="007638F1" w:rsidRPr="008246EA" w:rsidRDefault="007638F1" w:rsidP="007638F1">
            <w:pPr>
              <w:jc w:val="center"/>
              <w:rPr>
                <w:rFonts w:cs="Arial"/>
                <w:color w:val="000000"/>
                <w:sz w:val="22"/>
                <w:szCs w:val="22"/>
                <w:lang w:eastAsia="en-GB"/>
              </w:rPr>
            </w:pPr>
            <w:r w:rsidRPr="008246EA">
              <w:rPr>
                <w:sz w:val="22"/>
                <w:szCs w:val="22"/>
              </w:rPr>
              <w:t>£22</w:t>
            </w:r>
          </w:p>
        </w:tc>
        <w:tc>
          <w:tcPr>
            <w:tcW w:w="798" w:type="dxa"/>
            <w:tcBorders>
              <w:top w:val="single" w:sz="8" w:space="0" w:color="auto"/>
              <w:left w:val="nil"/>
              <w:bottom w:val="nil"/>
              <w:right w:val="nil"/>
            </w:tcBorders>
            <w:shd w:val="clear" w:color="auto" w:fill="auto"/>
            <w:noWrap/>
            <w:hideMark/>
          </w:tcPr>
          <w:p w14:paraId="0C0E6EEC" w14:textId="2AF25E07" w:rsidR="007638F1" w:rsidRPr="008246EA" w:rsidRDefault="007638F1" w:rsidP="007638F1">
            <w:pPr>
              <w:jc w:val="center"/>
              <w:rPr>
                <w:rFonts w:cs="Arial"/>
                <w:color w:val="000000"/>
                <w:sz w:val="22"/>
                <w:szCs w:val="22"/>
                <w:lang w:eastAsia="en-GB"/>
              </w:rPr>
            </w:pPr>
            <w:r w:rsidRPr="008246EA">
              <w:rPr>
                <w:sz w:val="22"/>
                <w:szCs w:val="22"/>
              </w:rPr>
              <w:t>£22</w:t>
            </w:r>
          </w:p>
        </w:tc>
        <w:tc>
          <w:tcPr>
            <w:tcW w:w="798" w:type="dxa"/>
            <w:tcBorders>
              <w:top w:val="single" w:sz="8" w:space="0" w:color="auto"/>
              <w:left w:val="nil"/>
              <w:bottom w:val="nil"/>
              <w:right w:val="single" w:sz="8" w:space="0" w:color="auto"/>
            </w:tcBorders>
            <w:shd w:val="clear" w:color="auto" w:fill="auto"/>
            <w:noWrap/>
            <w:hideMark/>
          </w:tcPr>
          <w:p w14:paraId="20C1F90D" w14:textId="48686400" w:rsidR="007638F1" w:rsidRPr="008246EA" w:rsidRDefault="007638F1" w:rsidP="007638F1">
            <w:pPr>
              <w:jc w:val="center"/>
              <w:rPr>
                <w:rFonts w:cs="Arial"/>
                <w:color w:val="000000"/>
                <w:sz w:val="22"/>
                <w:szCs w:val="22"/>
                <w:lang w:eastAsia="en-GB"/>
              </w:rPr>
            </w:pPr>
            <w:r w:rsidRPr="008246EA">
              <w:rPr>
                <w:sz w:val="22"/>
                <w:szCs w:val="22"/>
              </w:rPr>
              <w:t>£21</w:t>
            </w:r>
          </w:p>
        </w:tc>
        <w:tc>
          <w:tcPr>
            <w:tcW w:w="1085" w:type="dxa"/>
            <w:tcBorders>
              <w:top w:val="single" w:sz="8" w:space="0" w:color="auto"/>
              <w:left w:val="nil"/>
              <w:bottom w:val="nil"/>
              <w:right w:val="single" w:sz="8" w:space="0" w:color="auto"/>
            </w:tcBorders>
            <w:shd w:val="clear" w:color="auto" w:fill="auto"/>
            <w:noWrap/>
            <w:hideMark/>
          </w:tcPr>
          <w:p w14:paraId="4C7C2CBB" w14:textId="5C65BEF8" w:rsidR="007638F1" w:rsidRPr="008246EA" w:rsidRDefault="007638F1" w:rsidP="007638F1">
            <w:pPr>
              <w:jc w:val="center"/>
              <w:rPr>
                <w:rFonts w:cs="Arial"/>
                <w:color w:val="000000"/>
                <w:sz w:val="22"/>
                <w:szCs w:val="22"/>
                <w:lang w:eastAsia="en-GB"/>
              </w:rPr>
            </w:pPr>
            <w:r w:rsidRPr="008246EA">
              <w:rPr>
                <w:sz w:val="22"/>
                <w:szCs w:val="22"/>
              </w:rPr>
              <w:t>£22</w:t>
            </w:r>
          </w:p>
        </w:tc>
      </w:tr>
      <w:tr w:rsidR="007638F1" w:rsidRPr="003558CB" w14:paraId="3A6B07E7" w14:textId="77777777" w:rsidTr="00A22465">
        <w:trPr>
          <w:trHeight w:val="104"/>
        </w:trPr>
        <w:tc>
          <w:tcPr>
            <w:tcW w:w="987" w:type="dxa"/>
            <w:tcBorders>
              <w:top w:val="nil"/>
              <w:left w:val="single" w:sz="8" w:space="0" w:color="auto"/>
              <w:bottom w:val="single" w:sz="8" w:space="0" w:color="auto"/>
              <w:right w:val="nil"/>
            </w:tcBorders>
            <w:shd w:val="clear" w:color="auto" w:fill="auto"/>
            <w:noWrap/>
            <w:vAlign w:val="center"/>
            <w:hideMark/>
          </w:tcPr>
          <w:p w14:paraId="19C45956" w14:textId="673C27F7" w:rsidR="007638F1" w:rsidRPr="00CC1BF3" w:rsidRDefault="007638F1" w:rsidP="007638F1">
            <w:pPr>
              <w:rPr>
                <w:rFonts w:cs="Arial"/>
                <w:color w:val="000000"/>
                <w:sz w:val="22"/>
                <w:szCs w:val="22"/>
                <w:lang w:eastAsia="en-GB"/>
              </w:rPr>
            </w:pPr>
            <w:r w:rsidRPr="00CC1BF3">
              <w:rPr>
                <w:rFonts w:cs="Arial"/>
                <w:color w:val="000000"/>
                <w:sz w:val="22"/>
                <w:szCs w:val="22"/>
                <w:lang w:eastAsia="en-GB"/>
              </w:rPr>
              <w:t>Low</w:t>
            </w:r>
          </w:p>
        </w:tc>
        <w:tc>
          <w:tcPr>
            <w:tcW w:w="798" w:type="dxa"/>
            <w:tcBorders>
              <w:top w:val="nil"/>
              <w:left w:val="nil"/>
              <w:bottom w:val="single" w:sz="8" w:space="0" w:color="auto"/>
              <w:right w:val="nil"/>
            </w:tcBorders>
            <w:shd w:val="clear" w:color="auto" w:fill="auto"/>
            <w:noWrap/>
            <w:hideMark/>
          </w:tcPr>
          <w:p w14:paraId="1CA3EB0C" w14:textId="564BCC98" w:rsidR="007638F1" w:rsidRPr="008246EA" w:rsidRDefault="007638F1" w:rsidP="007638F1">
            <w:pPr>
              <w:jc w:val="center"/>
              <w:rPr>
                <w:rFonts w:cs="Arial"/>
                <w:color w:val="000000"/>
                <w:sz w:val="22"/>
                <w:szCs w:val="22"/>
                <w:lang w:eastAsia="en-GB"/>
              </w:rPr>
            </w:pPr>
            <w:r w:rsidRPr="008246EA">
              <w:rPr>
                <w:sz w:val="22"/>
                <w:szCs w:val="22"/>
              </w:rPr>
              <w:t>£10</w:t>
            </w:r>
          </w:p>
        </w:tc>
        <w:tc>
          <w:tcPr>
            <w:tcW w:w="798" w:type="dxa"/>
            <w:tcBorders>
              <w:top w:val="nil"/>
              <w:left w:val="nil"/>
              <w:bottom w:val="single" w:sz="8" w:space="0" w:color="auto"/>
              <w:right w:val="nil"/>
            </w:tcBorders>
            <w:shd w:val="clear" w:color="auto" w:fill="auto"/>
            <w:noWrap/>
            <w:hideMark/>
          </w:tcPr>
          <w:p w14:paraId="577CE4AE" w14:textId="2FBA4F72" w:rsidR="007638F1" w:rsidRPr="008246EA" w:rsidRDefault="007638F1" w:rsidP="007638F1">
            <w:pPr>
              <w:jc w:val="center"/>
              <w:rPr>
                <w:rFonts w:cs="Arial"/>
                <w:color w:val="000000"/>
                <w:sz w:val="22"/>
                <w:szCs w:val="22"/>
                <w:lang w:eastAsia="en-GB"/>
              </w:rPr>
            </w:pPr>
            <w:r w:rsidRPr="008246EA">
              <w:rPr>
                <w:sz w:val="22"/>
                <w:szCs w:val="22"/>
              </w:rPr>
              <w:t>£20</w:t>
            </w:r>
          </w:p>
        </w:tc>
        <w:tc>
          <w:tcPr>
            <w:tcW w:w="798" w:type="dxa"/>
            <w:tcBorders>
              <w:top w:val="nil"/>
              <w:left w:val="nil"/>
              <w:bottom w:val="single" w:sz="8" w:space="0" w:color="auto"/>
              <w:right w:val="nil"/>
            </w:tcBorders>
            <w:shd w:val="clear" w:color="auto" w:fill="auto"/>
            <w:noWrap/>
            <w:hideMark/>
          </w:tcPr>
          <w:p w14:paraId="6D5DBF53" w14:textId="5A6507CE" w:rsidR="007638F1" w:rsidRPr="008246EA" w:rsidRDefault="007638F1" w:rsidP="007638F1">
            <w:pPr>
              <w:jc w:val="center"/>
              <w:rPr>
                <w:rFonts w:cs="Arial"/>
                <w:color w:val="000000"/>
                <w:sz w:val="22"/>
                <w:szCs w:val="22"/>
                <w:lang w:eastAsia="en-GB"/>
              </w:rPr>
            </w:pPr>
            <w:r w:rsidRPr="008246EA">
              <w:rPr>
                <w:sz w:val="22"/>
                <w:szCs w:val="22"/>
              </w:rPr>
              <w:t>£20</w:t>
            </w:r>
          </w:p>
        </w:tc>
        <w:tc>
          <w:tcPr>
            <w:tcW w:w="798" w:type="dxa"/>
            <w:tcBorders>
              <w:top w:val="nil"/>
              <w:left w:val="nil"/>
              <w:bottom w:val="single" w:sz="8" w:space="0" w:color="auto"/>
              <w:right w:val="nil"/>
            </w:tcBorders>
            <w:shd w:val="clear" w:color="auto" w:fill="auto"/>
            <w:noWrap/>
            <w:hideMark/>
          </w:tcPr>
          <w:p w14:paraId="4081C45F" w14:textId="41CA3F04" w:rsidR="007638F1" w:rsidRPr="008246EA" w:rsidRDefault="007638F1" w:rsidP="007638F1">
            <w:pPr>
              <w:jc w:val="center"/>
              <w:rPr>
                <w:rFonts w:cs="Arial"/>
                <w:color w:val="000000"/>
                <w:sz w:val="22"/>
                <w:szCs w:val="22"/>
                <w:lang w:eastAsia="en-GB"/>
              </w:rPr>
            </w:pPr>
            <w:r w:rsidRPr="008246EA">
              <w:rPr>
                <w:sz w:val="22"/>
                <w:szCs w:val="22"/>
              </w:rPr>
              <w:t>£19</w:t>
            </w:r>
          </w:p>
        </w:tc>
        <w:tc>
          <w:tcPr>
            <w:tcW w:w="798" w:type="dxa"/>
            <w:tcBorders>
              <w:top w:val="nil"/>
              <w:left w:val="nil"/>
              <w:bottom w:val="single" w:sz="8" w:space="0" w:color="auto"/>
              <w:right w:val="nil"/>
            </w:tcBorders>
            <w:shd w:val="clear" w:color="auto" w:fill="auto"/>
            <w:noWrap/>
            <w:hideMark/>
          </w:tcPr>
          <w:p w14:paraId="4D5735AC" w14:textId="69103942" w:rsidR="007638F1" w:rsidRPr="008246EA" w:rsidRDefault="007638F1" w:rsidP="007638F1">
            <w:pPr>
              <w:jc w:val="center"/>
              <w:rPr>
                <w:rFonts w:cs="Arial"/>
                <w:color w:val="000000"/>
                <w:sz w:val="22"/>
                <w:szCs w:val="22"/>
                <w:lang w:eastAsia="en-GB"/>
              </w:rPr>
            </w:pPr>
            <w:r w:rsidRPr="008246EA">
              <w:rPr>
                <w:sz w:val="22"/>
                <w:szCs w:val="22"/>
              </w:rPr>
              <w:t>£19</w:t>
            </w:r>
          </w:p>
        </w:tc>
        <w:tc>
          <w:tcPr>
            <w:tcW w:w="798" w:type="dxa"/>
            <w:tcBorders>
              <w:top w:val="nil"/>
              <w:left w:val="nil"/>
              <w:bottom w:val="single" w:sz="8" w:space="0" w:color="auto"/>
              <w:right w:val="nil"/>
            </w:tcBorders>
            <w:shd w:val="clear" w:color="auto" w:fill="auto"/>
            <w:noWrap/>
            <w:hideMark/>
          </w:tcPr>
          <w:p w14:paraId="25B2D410" w14:textId="551A21E2" w:rsidR="007638F1" w:rsidRPr="008246EA" w:rsidRDefault="007638F1" w:rsidP="007638F1">
            <w:pPr>
              <w:jc w:val="center"/>
              <w:rPr>
                <w:rFonts w:cs="Arial"/>
                <w:color w:val="000000"/>
                <w:sz w:val="22"/>
                <w:szCs w:val="22"/>
                <w:lang w:eastAsia="en-GB"/>
              </w:rPr>
            </w:pPr>
            <w:r w:rsidRPr="008246EA">
              <w:rPr>
                <w:sz w:val="22"/>
                <w:szCs w:val="22"/>
              </w:rPr>
              <w:t>£19</w:t>
            </w:r>
          </w:p>
        </w:tc>
        <w:tc>
          <w:tcPr>
            <w:tcW w:w="798" w:type="dxa"/>
            <w:tcBorders>
              <w:top w:val="nil"/>
              <w:left w:val="nil"/>
              <w:bottom w:val="single" w:sz="8" w:space="0" w:color="auto"/>
              <w:right w:val="nil"/>
            </w:tcBorders>
            <w:shd w:val="clear" w:color="auto" w:fill="auto"/>
            <w:noWrap/>
            <w:hideMark/>
          </w:tcPr>
          <w:p w14:paraId="587E35B7" w14:textId="291CA638" w:rsidR="007638F1" w:rsidRPr="008246EA" w:rsidRDefault="007638F1" w:rsidP="007638F1">
            <w:pPr>
              <w:jc w:val="center"/>
              <w:rPr>
                <w:rFonts w:cs="Arial"/>
                <w:color w:val="000000"/>
                <w:sz w:val="22"/>
                <w:szCs w:val="22"/>
                <w:lang w:eastAsia="en-GB"/>
              </w:rPr>
            </w:pPr>
            <w:r w:rsidRPr="008246EA">
              <w:rPr>
                <w:sz w:val="22"/>
                <w:szCs w:val="22"/>
              </w:rPr>
              <w:t>£18</w:t>
            </w:r>
          </w:p>
        </w:tc>
        <w:tc>
          <w:tcPr>
            <w:tcW w:w="798" w:type="dxa"/>
            <w:tcBorders>
              <w:top w:val="nil"/>
              <w:left w:val="nil"/>
              <w:bottom w:val="single" w:sz="8" w:space="0" w:color="auto"/>
              <w:right w:val="nil"/>
            </w:tcBorders>
            <w:shd w:val="clear" w:color="auto" w:fill="auto"/>
            <w:noWrap/>
            <w:hideMark/>
          </w:tcPr>
          <w:p w14:paraId="7CDF8764" w14:textId="5EC712DE" w:rsidR="007638F1" w:rsidRPr="008246EA" w:rsidRDefault="007638F1" w:rsidP="007638F1">
            <w:pPr>
              <w:jc w:val="center"/>
              <w:rPr>
                <w:rFonts w:cs="Arial"/>
                <w:color w:val="000000"/>
                <w:sz w:val="22"/>
                <w:szCs w:val="22"/>
                <w:lang w:eastAsia="en-GB"/>
              </w:rPr>
            </w:pPr>
            <w:r w:rsidRPr="008246EA">
              <w:rPr>
                <w:sz w:val="22"/>
                <w:szCs w:val="22"/>
              </w:rPr>
              <w:t>£18</w:t>
            </w:r>
          </w:p>
        </w:tc>
        <w:tc>
          <w:tcPr>
            <w:tcW w:w="798" w:type="dxa"/>
            <w:tcBorders>
              <w:top w:val="nil"/>
              <w:left w:val="nil"/>
              <w:bottom w:val="single" w:sz="8" w:space="0" w:color="auto"/>
              <w:right w:val="nil"/>
            </w:tcBorders>
            <w:shd w:val="clear" w:color="auto" w:fill="auto"/>
            <w:noWrap/>
            <w:hideMark/>
          </w:tcPr>
          <w:p w14:paraId="265A0655" w14:textId="27DF6790" w:rsidR="007638F1" w:rsidRPr="008246EA" w:rsidRDefault="007638F1" w:rsidP="007638F1">
            <w:pPr>
              <w:jc w:val="center"/>
              <w:rPr>
                <w:rFonts w:cs="Arial"/>
                <w:color w:val="000000"/>
                <w:sz w:val="22"/>
                <w:szCs w:val="22"/>
                <w:lang w:eastAsia="en-GB"/>
              </w:rPr>
            </w:pPr>
            <w:r w:rsidRPr="008246EA">
              <w:rPr>
                <w:sz w:val="22"/>
                <w:szCs w:val="22"/>
              </w:rPr>
              <w:t>£17</w:t>
            </w:r>
          </w:p>
        </w:tc>
        <w:tc>
          <w:tcPr>
            <w:tcW w:w="798" w:type="dxa"/>
            <w:tcBorders>
              <w:top w:val="nil"/>
              <w:left w:val="nil"/>
              <w:bottom w:val="single" w:sz="8" w:space="0" w:color="auto"/>
              <w:right w:val="single" w:sz="8" w:space="0" w:color="auto"/>
            </w:tcBorders>
            <w:shd w:val="clear" w:color="auto" w:fill="auto"/>
            <w:noWrap/>
            <w:hideMark/>
          </w:tcPr>
          <w:p w14:paraId="66B1C038" w14:textId="249E756B" w:rsidR="007638F1" w:rsidRPr="008246EA" w:rsidRDefault="007638F1" w:rsidP="007638F1">
            <w:pPr>
              <w:jc w:val="center"/>
              <w:rPr>
                <w:rFonts w:cs="Arial"/>
                <w:color w:val="000000"/>
                <w:sz w:val="22"/>
                <w:szCs w:val="22"/>
                <w:lang w:eastAsia="en-GB"/>
              </w:rPr>
            </w:pPr>
            <w:r w:rsidRPr="008246EA">
              <w:rPr>
                <w:sz w:val="22"/>
                <w:szCs w:val="22"/>
              </w:rPr>
              <w:t>£17</w:t>
            </w:r>
          </w:p>
        </w:tc>
        <w:tc>
          <w:tcPr>
            <w:tcW w:w="1085" w:type="dxa"/>
            <w:tcBorders>
              <w:top w:val="nil"/>
              <w:left w:val="nil"/>
              <w:bottom w:val="single" w:sz="8" w:space="0" w:color="auto"/>
              <w:right w:val="single" w:sz="8" w:space="0" w:color="auto"/>
            </w:tcBorders>
            <w:shd w:val="clear" w:color="auto" w:fill="auto"/>
            <w:noWrap/>
            <w:hideMark/>
          </w:tcPr>
          <w:p w14:paraId="4C282046" w14:textId="4214BBCB" w:rsidR="007638F1" w:rsidRPr="008246EA" w:rsidRDefault="007638F1" w:rsidP="007638F1">
            <w:pPr>
              <w:jc w:val="center"/>
              <w:rPr>
                <w:rFonts w:cs="Arial"/>
                <w:color w:val="000000"/>
                <w:sz w:val="22"/>
                <w:szCs w:val="22"/>
                <w:lang w:eastAsia="en-GB"/>
              </w:rPr>
            </w:pPr>
            <w:r w:rsidRPr="008246EA">
              <w:rPr>
                <w:sz w:val="22"/>
                <w:szCs w:val="22"/>
              </w:rPr>
              <w:t>£18</w:t>
            </w:r>
          </w:p>
        </w:tc>
      </w:tr>
    </w:tbl>
    <w:p w14:paraId="12DB2186" w14:textId="6E38474B" w:rsidR="00BB5449" w:rsidRPr="00CC1BF3" w:rsidRDefault="00BB5449" w:rsidP="00BB5449">
      <w:pPr>
        <w:rPr>
          <w:sz w:val="22"/>
          <w:szCs w:val="22"/>
        </w:rPr>
      </w:pPr>
      <w:r w:rsidRPr="00877AC6">
        <w:rPr>
          <w:i/>
          <w:iCs/>
          <w:sz w:val="22"/>
          <w:szCs w:val="22"/>
        </w:rPr>
        <w:t xml:space="preserve">Based on 2018/19 volumes; 2021/22 figures are for </w:t>
      </w:r>
      <w:r w:rsidRPr="00CC1BF3">
        <w:rPr>
          <w:i/>
          <w:sz w:val="22"/>
          <w:szCs w:val="22"/>
        </w:rPr>
        <w:t>6</w:t>
      </w:r>
      <w:r w:rsidRPr="00877AC6">
        <w:rPr>
          <w:i/>
          <w:iCs/>
          <w:sz w:val="22"/>
          <w:szCs w:val="22"/>
        </w:rPr>
        <w:t xml:space="preserve"> months</w:t>
      </w:r>
      <w:r w:rsidRPr="00CC1BF3">
        <w:rPr>
          <w:i/>
          <w:sz w:val="22"/>
          <w:szCs w:val="22"/>
        </w:rPr>
        <w:t>; i</w:t>
      </w:r>
      <w:r w:rsidRPr="00877AC6">
        <w:rPr>
          <w:i/>
          <w:iCs/>
          <w:sz w:val="22"/>
          <w:szCs w:val="22"/>
        </w:rPr>
        <w:t xml:space="preserve">ncome is </w:t>
      </w:r>
      <w:r w:rsidR="0048730A">
        <w:rPr>
          <w:i/>
          <w:iCs/>
          <w:sz w:val="22"/>
          <w:szCs w:val="22"/>
        </w:rPr>
        <w:t>net of</w:t>
      </w:r>
      <w:r w:rsidRPr="00877AC6">
        <w:rPr>
          <w:i/>
          <w:iCs/>
          <w:sz w:val="22"/>
          <w:szCs w:val="22"/>
        </w:rPr>
        <w:t xml:space="preserve"> remissions.</w:t>
      </w:r>
    </w:p>
    <w:p w14:paraId="24FFBB39" w14:textId="77777777" w:rsidR="00BB5449" w:rsidRPr="00E15211" w:rsidRDefault="00BB5449" w:rsidP="00BB5449">
      <w:pPr>
        <w:pStyle w:val="EBNumber"/>
        <w:numPr>
          <w:ilvl w:val="0"/>
          <w:numId w:val="0"/>
        </w:numPr>
        <w:spacing w:after="0"/>
        <w:ind w:left="425" w:hanging="425"/>
        <w:rPr>
          <w:color w:val="auto"/>
        </w:rPr>
      </w:pPr>
    </w:p>
    <w:p w14:paraId="6AE7DB2B" w14:textId="77777777" w:rsidR="00BB5449" w:rsidRPr="00E15211" w:rsidRDefault="00BB5449" w:rsidP="00224A56">
      <w:pPr>
        <w:pStyle w:val="EBNumber"/>
        <w:numPr>
          <w:ilvl w:val="0"/>
          <w:numId w:val="0"/>
        </w:numPr>
        <w:spacing w:after="0"/>
        <w:rPr>
          <w:color w:val="auto"/>
          <w:u w:val="single"/>
        </w:rPr>
      </w:pPr>
    </w:p>
    <w:p w14:paraId="4DF1855F" w14:textId="6CF76B9A" w:rsidR="00224A56" w:rsidRPr="00E15211" w:rsidRDefault="00224A56" w:rsidP="00224A56">
      <w:pPr>
        <w:pStyle w:val="EBNumber"/>
        <w:numPr>
          <w:ilvl w:val="0"/>
          <w:numId w:val="0"/>
        </w:numPr>
        <w:spacing w:after="0"/>
        <w:rPr>
          <w:color w:val="auto"/>
          <w:u w:val="single"/>
        </w:rPr>
      </w:pPr>
      <w:r w:rsidRPr="00E15211">
        <w:rPr>
          <w:color w:val="auto"/>
          <w:u w:val="single"/>
        </w:rPr>
        <w:t>Net Present Value</w:t>
      </w:r>
    </w:p>
    <w:p w14:paraId="45967656" w14:textId="77777777" w:rsidR="00224A56" w:rsidRPr="00E15211" w:rsidRDefault="00224A56" w:rsidP="00224A56">
      <w:pPr>
        <w:pStyle w:val="EBNumber"/>
        <w:numPr>
          <w:ilvl w:val="0"/>
          <w:numId w:val="0"/>
        </w:numPr>
        <w:spacing w:after="0"/>
        <w:ind w:left="360"/>
        <w:rPr>
          <w:b/>
          <w:color w:val="auto"/>
        </w:rPr>
      </w:pPr>
    </w:p>
    <w:p w14:paraId="38469F81" w14:textId="46BA21FC" w:rsidR="00224A56" w:rsidRPr="006A6486" w:rsidRDefault="00FA025E" w:rsidP="00DA3521">
      <w:pPr>
        <w:pStyle w:val="EBNumber"/>
        <w:numPr>
          <w:ilvl w:val="0"/>
          <w:numId w:val="4"/>
        </w:numPr>
        <w:tabs>
          <w:tab w:val="num" w:pos="567"/>
        </w:tabs>
        <w:spacing w:after="0"/>
        <w:jc w:val="both"/>
      </w:pPr>
      <w:bookmarkStart w:id="49" w:name="OLE_LINK15"/>
      <w:bookmarkStart w:id="50" w:name="OLE_LINK16"/>
      <w:bookmarkStart w:id="51" w:name="OLE_LINK7"/>
      <w:bookmarkStart w:id="52" w:name="OLE_LINK8"/>
      <w:r>
        <w:t xml:space="preserve">The </w:t>
      </w:r>
      <w:r w:rsidR="00224A56" w:rsidRPr="00E15211">
        <w:t xml:space="preserve">fee changes are not included in the overall NPV as they represent a transfer payment between the individuals who use court services and HMCTS. </w:t>
      </w:r>
      <w:r w:rsidR="00571519">
        <w:t xml:space="preserve">While there are costs to HMCTS to implement the fee changes (see paragraph </w:t>
      </w:r>
      <w:r w:rsidR="000B239B">
        <w:fldChar w:fldCharType="begin"/>
      </w:r>
      <w:r w:rsidR="000B239B">
        <w:instrText xml:space="preserve"> REF _Ref74898660 \r \h </w:instrText>
      </w:r>
      <w:r w:rsidR="000B239B">
        <w:fldChar w:fldCharType="separate"/>
      </w:r>
      <w:r w:rsidR="000B239B">
        <w:t>46</w:t>
      </w:r>
      <w:r w:rsidR="000B239B">
        <w:fldChar w:fldCharType="end"/>
      </w:r>
      <w:r w:rsidR="00450F5C">
        <w:t>) these have not been possible to monetise.</w:t>
      </w:r>
    </w:p>
    <w:p w14:paraId="0861DEAD" w14:textId="2368FE25" w:rsidR="00224A56" w:rsidRPr="00910244" w:rsidRDefault="00224A56" w:rsidP="00224A56">
      <w:pPr>
        <w:pStyle w:val="EBNumber"/>
        <w:numPr>
          <w:ilvl w:val="0"/>
          <w:numId w:val="0"/>
        </w:numPr>
        <w:spacing w:after="0"/>
        <w:ind w:left="567"/>
        <w:rPr>
          <w:color w:val="auto"/>
          <w:highlight w:val="yellow"/>
        </w:rPr>
      </w:pPr>
    </w:p>
    <w:p w14:paraId="0DEA9BC6" w14:textId="77777777" w:rsidR="00B63097" w:rsidRPr="00224A56" w:rsidRDefault="00B63097" w:rsidP="00224A56">
      <w:pPr>
        <w:pStyle w:val="EBNumber"/>
        <w:numPr>
          <w:ilvl w:val="0"/>
          <w:numId w:val="0"/>
        </w:numPr>
        <w:spacing w:after="0"/>
        <w:ind w:left="567"/>
        <w:rPr>
          <w:color w:val="auto"/>
          <w:sz w:val="24"/>
          <w:szCs w:val="24"/>
          <w:highlight w:val="yellow"/>
        </w:rPr>
      </w:pPr>
    </w:p>
    <w:p w14:paraId="2DA838EA" w14:textId="4805D92A" w:rsidR="00224A56" w:rsidRPr="00512624" w:rsidRDefault="00B63097" w:rsidP="00EE5750">
      <w:pPr>
        <w:pStyle w:val="EBNumber"/>
        <w:numPr>
          <w:ilvl w:val="0"/>
          <w:numId w:val="0"/>
        </w:numPr>
        <w:spacing w:after="0"/>
        <w:ind w:left="425" w:hanging="425"/>
        <w:rPr>
          <w:b/>
          <w:u w:val="single"/>
        </w:rPr>
      </w:pPr>
      <w:r w:rsidRPr="00512624">
        <w:rPr>
          <w:b/>
          <w:u w:val="single"/>
        </w:rPr>
        <w:t>Option 1 – Increase selected court fees with inflation</w:t>
      </w:r>
      <w:r w:rsidRPr="00512624">
        <w:rPr>
          <w:b/>
          <w:color w:val="auto"/>
          <w:u w:val="single"/>
        </w:rPr>
        <w:t>, backdated to Augus</w:t>
      </w:r>
      <w:r w:rsidR="00EE5750" w:rsidRPr="00512624">
        <w:rPr>
          <w:b/>
          <w:color w:val="auto"/>
          <w:u w:val="single"/>
        </w:rPr>
        <w:t xml:space="preserve">t </w:t>
      </w:r>
      <w:r w:rsidRPr="00512624">
        <w:rPr>
          <w:b/>
          <w:color w:val="auto"/>
          <w:u w:val="single"/>
        </w:rPr>
        <w:t>2016 (or date of last fee change, if later)</w:t>
      </w:r>
    </w:p>
    <w:p w14:paraId="299C26FA" w14:textId="77777777" w:rsidR="00224A56" w:rsidRPr="00224A56" w:rsidRDefault="00224A56" w:rsidP="00224A56">
      <w:pPr>
        <w:pStyle w:val="EBNumber"/>
        <w:numPr>
          <w:ilvl w:val="0"/>
          <w:numId w:val="0"/>
        </w:numPr>
        <w:spacing w:after="0"/>
        <w:ind w:left="360" w:hanging="360"/>
        <w:rPr>
          <w:sz w:val="24"/>
          <w:szCs w:val="24"/>
        </w:rPr>
      </w:pPr>
    </w:p>
    <w:p w14:paraId="6690009C" w14:textId="77777777" w:rsidR="00224A56" w:rsidRPr="00EE5750" w:rsidRDefault="00224A56" w:rsidP="00224A56">
      <w:pPr>
        <w:pStyle w:val="Bulletundernumberedtext"/>
        <w:tabs>
          <w:tab w:val="clear" w:pos="717"/>
        </w:tabs>
        <w:spacing w:after="0"/>
        <w:ind w:left="0" w:firstLine="0"/>
        <w:rPr>
          <w:b/>
          <w:szCs w:val="22"/>
        </w:rPr>
      </w:pPr>
      <w:r w:rsidRPr="00EE5750">
        <w:rPr>
          <w:b/>
          <w:szCs w:val="22"/>
        </w:rPr>
        <w:t>Costs of Option 1</w:t>
      </w:r>
    </w:p>
    <w:p w14:paraId="3D745EED" w14:textId="77777777" w:rsidR="00224A56" w:rsidRPr="00224A56" w:rsidRDefault="00224A56" w:rsidP="00224A56">
      <w:pPr>
        <w:pStyle w:val="Bulletundernumberedtext"/>
        <w:tabs>
          <w:tab w:val="clear" w:pos="717"/>
        </w:tabs>
        <w:spacing w:after="0"/>
        <w:ind w:left="0" w:firstLine="0"/>
        <w:rPr>
          <w:b/>
          <w:sz w:val="24"/>
          <w:szCs w:val="24"/>
          <w:highlight w:val="yellow"/>
          <w:u w:val="single"/>
        </w:rPr>
      </w:pPr>
    </w:p>
    <w:p w14:paraId="346A8669" w14:textId="77777777" w:rsidR="00224A56" w:rsidRPr="0072251A" w:rsidRDefault="00224A56" w:rsidP="00224A56">
      <w:pPr>
        <w:pStyle w:val="EBNumber"/>
        <w:numPr>
          <w:ilvl w:val="0"/>
          <w:numId w:val="0"/>
        </w:numPr>
        <w:spacing w:after="0"/>
        <w:ind w:left="360" w:hanging="360"/>
        <w:rPr>
          <w:color w:val="auto"/>
          <w:u w:val="single"/>
        </w:rPr>
      </w:pPr>
      <w:r w:rsidRPr="0072251A">
        <w:rPr>
          <w:color w:val="auto"/>
          <w:u w:val="single"/>
        </w:rPr>
        <w:t>Transitional costs</w:t>
      </w:r>
    </w:p>
    <w:p w14:paraId="75B33B97" w14:textId="77777777" w:rsidR="00224A56" w:rsidRPr="0072251A" w:rsidRDefault="00224A56" w:rsidP="00224A56">
      <w:pPr>
        <w:pStyle w:val="EBNumber"/>
        <w:numPr>
          <w:ilvl w:val="0"/>
          <w:numId w:val="0"/>
        </w:numPr>
        <w:spacing w:after="0"/>
        <w:ind w:left="417" w:hanging="360"/>
        <w:rPr>
          <w:b/>
          <w:color w:val="auto"/>
        </w:rPr>
      </w:pPr>
    </w:p>
    <w:p w14:paraId="7801FAB3" w14:textId="77777777" w:rsidR="00224A56" w:rsidRPr="0072251A" w:rsidRDefault="00224A56" w:rsidP="00224A56">
      <w:pPr>
        <w:pStyle w:val="Heading5"/>
        <w:spacing w:before="0" w:after="0"/>
        <w:rPr>
          <w:rFonts w:cs="Arial"/>
          <w:b/>
          <w:szCs w:val="22"/>
        </w:rPr>
      </w:pPr>
      <w:r w:rsidRPr="0072251A">
        <w:rPr>
          <w:rFonts w:cs="Arial"/>
          <w:szCs w:val="22"/>
        </w:rPr>
        <w:t>HMCTS</w:t>
      </w:r>
    </w:p>
    <w:p w14:paraId="7EFBA620" w14:textId="77777777" w:rsidR="00224A56" w:rsidRPr="0072251A" w:rsidRDefault="00224A56" w:rsidP="00224A56">
      <w:pPr>
        <w:rPr>
          <w:sz w:val="22"/>
          <w:szCs w:val="22"/>
        </w:rPr>
      </w:pPr>
    </w:p>
    <w:p w14:paraId="172118A2" w14:textId="695BC763" w:rsidR="00224A56" w:rsidRPr="0072251A" w:rsidRDefault="00224A56" w:rsidP="00DA3521">
      <w:pPr>
        <w:pStyle w:val="EBNumber"/>
        <w:numPr>
          <w:ilvl w:val="0"/>
          <w:numId w:val="4"/>
        </w:numPr>
        <w:tabs>
          <w:tab w:val="num" w:pos="567"/>
        </w:tabs>
        <w:spacing w:after="0"/>
        <w:jc w:val="both"/>
      </w:pPr>
      <w:bookmarkStart w:id="53" w:name="_Ref74898660"/>
      <w:bookmarkStart w:id="54" w:name="_Hlk64293863"/>
      <w:r w:rsidRPr="0072251A">
        <w:t xml:space="preserve">HMCTS is expected to incur costs from amendments to IT systems, staff guidance and publications for </w:t>
      </w:r>
      <w:r w:rsidR="00804937" w:rsidRPr="0072251A">
        <w:t>court users</w:t>
      </w:r>
      <w:r w:rsidRPr="0072251A">
        <w:t xml:space="preserve">. There may also be costs related to HMCTS staff having to familiarise themselves with the new fees. These are </w:t>
      </w:r>
      <w:r w:rsidR="00E25134" w:rsidRPr="0072251A">
        <w:t xml:space="preserve">not </w:t>
      </w:r>
      <w:r w:rsidRPr="0072251A">
        <w:t xml:space="preserve">expected to be </w:t>
      </w:r>
      <w:r w:rsidR="00E25134" w:rsidRPr="0072251A">
        <w:t>substantial</w:t>
      </w:r>
      <w:r w:rsidR="00683EBE" w:rsidRPr="0072251A">
        <w:t>.</w:t>
      </w:r>
      <w:bookmarkEnd w:id="53"/>
    </w:p>
    <w:bookmarkEnd w:id="54"/>
    <w:p w14:paraId="6BBAADD4" w14:textId="77777777" w:rsidR="00224A56" w:rsidRPr="00224A56" w:rsidRDefault="00224A56" w:rsidP="00224A56">
      <w:pPr>
        <w:pStyle w:val="EBNumber"/>
        <w:numPr>
          <w:ilvl w:val="0"/>
          <w:numId w:val="0"/>
        </w:numPr>
        <w:spacing w:after="0"/>
        <w:ind w:left="567"/>
        <w:rPr>
          <w:color w:val="auto"/>
          <w:sz w:val="24"/>
          <w:szCs w:val="24"/>
          <w:highlight w:val="yellow"/>
        </w:rPr>
      </w:pPr>
    </w:p>
    <w:p w14:paraId="73AB99F2" w14:textId="77777777" w:rsidR="00224A56" w:rsidRPr="0072251A" w:rsidRDefault="00224A56" w:rsidP="00224A56">
      <w:pPr>
        <w:pStyle w:val="EBNumber"/>
        <w:numPr>
          <w:ilvl w:val="0"/>
          <w:numId w:val="0"/>
        </w:numPr>
        <w:spacing w:after="0"/>
        <w:ind w:left="360" w:hanging="360"/>
        <w:rPr>
          <w:i/>
          <w:color w:val="auto"/>
        </w:rPr>
      </w:pPr>
      <w:r w:rsidRPr="0072251A">
        <w:rPr>
          <w:i/>
          <w:color w:val="auto"/>
        </w:rPr>
        <w:t>HMCTS users and the providers of legal services</w:t>
      </w:r>
    </w:p>
    <w:p w14:paraId="193DC38A" w14:textId="77777777" w:rsidR="00224A56" w:rsidRPr="0072251A" w:rsidRDefault="00224A56" w:rsidP="00224A56">
      <w:pPr>
        <w:pStyle w:val="EBNumber"/>
        <w:numPr>
          <w:ilvl w:val="0"/>
          <w:numId w:val="0"/>
        </w:numPr>
        <w:spacing w:after="0"/>
        <w:ind w:left="417"/>
        <w:rPr>
          <w:i/>
          <w:color w:val="auto"/>
        </w:rPr>
      </w:pPr>
    </w:p>
    <w:p w14:paraId="71834AE3" w14:textId="77777777" w:rsidR="00224A56" w:rsidRPr="0072251A" w:rsidRDefault="00224A56" w:rsidP="00DA3521">
      <w:pPr>
        <w:pStyle w:val="EBNumber"/>
        <w:numPr>
          <w:ilvl w:val="0"/>
          <w:numId w:val="4"/>
        </w:numPr>
        <w:tabs>
          <w:tab w:val="num" w:pos="567"/>
        </w:tabs>
        <w:spacing w:after="0"/>
        <w:jc w:val="both"/>
      </w:pPr>
      <w:r w:rsidRPr="0072251A">
        <w:t xml:space="preserve">There may be familiarisation and awareness costs incurred by individuals and legal services providers who use the court services where these fees are being changed. These have not been monetised but are expected to be minor. </w:t>
      </w:r>
    </w:p>
    <w:p w14:paraId="54DCEACA" w14:textId="77777777" w:rsidR="00224A56" w:rsidRPr="00224A56" w:rsidRDefault="00224A56" w:rsidP="00224A56">
      <w:pPr>
        <w:pStyle w:val="EBNumber"/>
        <w:numPr>
          <w:ilvl w:val="0"/>
          <w:numId w:val="0"/>
        </w:numPr>
        <w:spacing w:after="0"/>
        <w:rPr>
          <w:sz w:val="24"/>
          <w:szCs w:val="24"/>
          <w:highlight w:val="yellow"/>
        </w:rPr>
      </w:pPr>
    </w:p>
    <w:p w14:paraId="3A2818D5" w14:textId="77777777" w:rsidR="00224A56" w:rsidRPr="00054710" w:rsidRDefault="00224A56" w:rsidP="00224A56">
      <w:pPr>
        <w:pStyle w:val="EBNumber"/>
        <w:numPr>
          <w:ilvl w:val="0"/>
          <w:numId w:val="0"/>
        </w:numPr>
        <w:spacing w:after="0"/>
        <w:ind w:left="57"/>
        <w:rPr>
          <w:color w:val="auto"/>
          <w:u w:val="single"/>
        </w:rPr>
      </w:pPr>
      <w:r w:rsidRPr="00054710">
        <w:rPr>
          <w:color w:val="auto"/>
          <w:u w:val="single"/>
        </w:rPr>
        <w:t>Ongoing costs</w:t>
      </w:r>
    </w:p>
    <w:p w14:paraId="2F4D67DD" w14:textId="77777777" w:rsidR="00224A56" w:rsidRPr="00224A56" w:rsidRDefault="00224A56" w:rsidP="00224A56">
      <w:pPr>
        <w:pStyle w:val="EBNumber"/>
        <w:numPr>
          <w:ilvl w:val="0"/>
          <w:numId w:val="0"/>
        </w:numPr>
        <w:spacing w:after="0"/>
        <w:ind w:left="417"/>
        <w:rPr>
          <w:b/>
          <w:color w:val="auto"/>
          <w:sz w:val="24"/>
          <w:szCs w:val="24"/>
          <w:highlight w:val="yellow"/>
        </w:rPr>
      </w:pPr>
    </w:p>
    <w:p w14:paraId="479663E0" w14:textId="6A8BECF8" w:rsidR="00224A56" w:rsidRPr="00054710" w:rsidRDefault="00355BB2" w:rsidP="00224A56">
      <w:pPr>
        <w:outlineLvl w:val="4"/>
        <w:rPr>
          <w:i/>
          <w:sz w:val="22"/>
          <w:szCs w:val="22"/>
        </w:rPr>
      </w:pPr>
      <w:r w:rsidRPr="00054710">
        <w:rPr>
          <w:i/>
          <w:sz w:val="22"/>
          <w:szCs w:val="22"/>
        </w:rPr>
        <w:t>Users of HMCTS services</w:t>
      </w:r>
    </w:p>
    <w:p w14:paraId="6F825300" w14:textId="77777777" w:rsidR="00224A56" w:rsidRPr="00224A56" w:rsidRDefault="00224A56" w:rsidP="00224A56">
      <w:pPr>
        <w:outlineLvl w:val="4"/>
        <w:rPr>
          <w:bCs/>
          <w:i/>
          <w:iCs/>
        </w:rPr>
      </w:pPr>
    </w:p>
    <w:p w14:paraId="75B723E7" w14:textId="675C0DD9" w:rsidR="00224A56" w:rsidRPr="0072251A" w:rsidRDefault="00224A56" w:rsidP="00AE4E68">
      <w:pPr>
        <w:pStyle w:val="EBNumber"/>
        <w:numPr>
          <w:ilvl w:val="0"/>
          <w:numId w:val="4"/>
        </w:numPr>
        <w:tabs>
          <w:tab w:val="num" w:pos="567"/>
        </w:tabs>
        <w:jc w:val="both"/>
      </w:pPr>
      <w:r w:rsidRPr="0072251A">
        <w:t xml:space="preserve">The fee changes </w:t>
      </w:r>
      <w:r w:rsidR="00355BB2" w:rsidRPr="0072251A">
        <w:t xml:space="preserve">are expected to </w:t>
      </w:r>
      <w:r w:rsidRPr="0072251A">
        <w:t xml:space="preserve">be introduced </w:t>
      </w:r>
      <w:r w:rsidR="0073155F" w:rsidRPr="0072251A">
        <w:t xml:space="preserve">in </w:t>
      </w:r>
      <w:r w:rsidR="00BD29F6">
        <w:t>October 2021</w:t>
      </w:r>
      <w:r w:rsidRPr="0072251A">
        <w:t xml:space="preserve">. </w:t>
      </w:r>
      <w:r w:rsidR="00355BB2" w:rsidRPr="0072251A">
        <w:t xml:space="preserve">Under the best estimate we estimate that HMCTS service users will see their costs increase by </w:t>
      </w:r>
      <w:r w:rsidR="00BD29F6">
        <w:t>£</w:t>
      </w:r>
      <w:r w:rsidR="00BD29F6" w:rsidRPr="000057C6">
        <w:t>1</w:t>
      </w:r>
      <w:r w:rsidR="007638F1" w:rsidRPr="000057C6">
        <w:t>3</w:t>
      </w:r>
      <w:r w:rsidR="00BD29F6">
        <w:t>m</w:t>
      </w:r>
      <w:r w:rsidR="00355BB2" w:rsidRPr="0072251A">
        <w:t xml:space="preserve"> in 2021/22, the first six months of the fee change, and </w:t>
      </w:r>
      <w:r w:rsidR="00BD29F6">
        <w:t>£</w:t>
      </w:r>
      <w:r w:rsidR="00BD29F6" w:rsidRPr="000057C6">
        <w:t>2</w:t>
      </w:r>
      <w:r w:rsidR="001E1B1E" w:rsidRPr="000057C6">
        <w:t>5</w:t>
      </w:r>
      <w:r w:rsidR="00BD29F6">
        <w:t>m</w:t>
      </w:r>
      <w:r w:rsidR="00355BB2" w:rsidRPr="0072251A">
        <w:t xml:space="preserve"> per annum after that (averaged over the remaining 9 years of the appraisal period and in 2021/22 prices)</w:t>
      </w:r>
      <w:r w:rsidRPr="0072251A">
        <w:t xml:space="preserve">. </w:t>
      </w:r>
    </w:p>
    <w:p w14:paraId="0DE94D55" w14:textId="77777777" w:rsidR="00224A56" w:rsidRPr="00224A56" w:rsidRDefault="00224A56" w:rsidP="00224A56">
      <w:pPr>
        <w:pStyle w:val="IANotes"/>
        <w:rPr>
          <w:b/>
          <w:color w:val="auto"/>
          <w:sz w:val="24"/>
          <w:highlight w:val="yellow"/>
          <w:u w:val="single"/>
        </w:rPr>
      </w:pPr>
    </w:p>
    <w:p w14:paraId="4A486575" w14:textId="77777777" w:rsidR="00224A56" w:rsidRPr="00512624" w:rsidRDefault="00224A56" w:rsidP="00224A56">
      <w:pPr>
        <w:pStyle w:val="IANotes"/>
        <w:rPr>
          <w:b/>
          <w:color w:val="auto"/>
          <w:szCs w:val="22"/>
        </w:rPr>
      </w:pPr>
      <w:r w:rsidRPr="00512624">
        <w:rPr>
          <w:b/>
          <w:color w:val="auto"/>
          <w:szCs w:val="22"/>
        </w:rPr>
        <w:t>Benefits of Option 1</w:t>
      </w:r>
    </w:p>
    <w:p w14:paraId="56692074" w14:textId="77777777" w:rsidR="00224A56" w:rsidRPr="00224A56" w:rsidRDefault="00224A56" w:rsidP="00224A56">
      <w:pPr>
        <w:pStyle w:val="IANotes"/>
        <w:rPr>
          <w:b/>
          <w:color w:val="auto"/>
          <w:sz w:val="24"/>
          <w:u w:val="single"/>
        </w:rPr>
      </w:pPr>
    </w:p>
    <w:p w14:paraId="1A0EF203" w14:textId="77777777" w:rsidR="00224A56" w:rsidRPr="00BD29F6" w:rsidRDefault="00224A56" w:rsidP="00224A56">
      <w:pPr>
        <w:pStyle w:val="IANotes"/>
        <w:rPr>
          <w:color w:val="auto"/>
          <w:szCs w:val="22"/>
          <w:u w:val="single"/>
        </w:rPr>
      </w:pPr>
      <w:r w:rsidRPr="00BD29F6">
        <w:rPr>
          <w:color w:val="auto"/>
          <w:szCs w:val="22"/>
          <w:u w:val="single"/>
        </w:rPr>
        <w:t>Transitional Benefits</w:t>
      </w:r>
    </w:p>
    <w:p w14:paraId="4A6717D5" w14:textId="77777777" w:rsidR="00224A56" w:rsidRPr="00BD29F6" w:rsidRDefault="00224A56" w:rsidP="00224A56">
      <w:pPr>
        <w:pStyle w:val="IANotes"/>
        <w:rPr>
          <w:color w:val="auto"/>
          <w:szCs w:val="22"/>
          <w:u w:val="single"/>
        </w:rPr>
      </w:pPr>
    </w:p>
    <w:p w14:paraId="700A2FCD" w14:textId="77777777" w:rsidR="00224A56" w:rsidRPr="00BD29F6" w:rsidRDefault="00224A56" w:rsidP="00DA3521">
      <w:pPr>
        <w:pStyle w:val="EBNumber"/>
        <w:numPr>
          <w:ilvl w:val="0"/>
          <w:numId w:val="4"/>
        </w:numPr>
        <w:tabs>
          <w:tab w:val="num" w:pos="567"/>
        </w:tabs>
        <w:jc w:val="both"/>
      </w:pPr>
      <w:r w:rsidRPr="00BD29F6">
        <w:t>No transitional benefits are expected.</w:t>
      </w:r>
    </w:p>
    <w:p w14:paraId="51D8BB1D" w14:textId="77777777" w:rsidR="00224A56" w:rsidRPr="00BD29F6" w:rsidRDefault="00224A56" w:rsidP="00224A56">
      <w:pPr>
        <w:pStyle w:val="IANotes"/>
        <w:spacing w:before="240"/>
        <w:rPr>
          <w:color w:val="auto"/>
          <w:szCs w:val="22"/>
          <w:u w:val="single"/>
        </w:rPr>
      </w:pPr>
      <w:r w:rsidRPr="00BD29F6">
        <w:rPr>
          <w:color w:val="auto"/>
          <w:szCs w:val="22"/>
          <w:u w:val="single"/>
        </w:rPr>
        <w:t>Ongoing benefits</w:t>
      </w:r>
    </w:p>
    <w:p w14:paraId="028F3A41" w14:textId="77777777" w:rsidR="00224A56" w:rsidRPr="00BD29F6" w:rsidRDefault="00224A56" w:rsidP="00224A56">
      <w:pPr>
        <w:pStyle w:val="IANotes"/>
        <w:rPr>
          <w:b/>
          <w:color w:val="auto"/>
          <w:szCs w:val="22"/>
          <w:highlight w:val="yellow"/>
        </w:rPr>
      </w:pPr>
    </w:p>
    <w:p w14:paraId="4BBA869C" w14:textId="174BE920" w:rsidR="00224A56" w:rsidRPr="00BD29F6" w:rsidRDefault="00355BB2" w:rsidP="00224A56">
      <w:pPr>
        <w:pStyle w:val="EBNumber"/>
        <w:numPr>
          <w:ilvl w:val="0"/>
          <w:numId w:val="0"/>
        </w:numPr>
        <w:spacing w:after="0"/>
        <w:rPr>
          <w:i/>
          <w:color w:val="auto"/>
        </w:rPr>
      </w:pPr>
      <w:r w:rsidRPr="00BD29F6">
        <w:rPr>
          <w:i/>
          <w:color w:val="auto"/>
        </w:rPr>
        <w:t>HMCTS and Taxpayers</w:t>
      </w:r>
    </w:p>
    <w:p w14:paraId="4DCAF4F3" w14:textId="77777777" w:rsidR="00224A56" w:rsidRPr="00BD29F6" w:rsidRDefault="00224A56" w:rsidP="00224A56">
      <w:pPr>
        <w:pStyle w:val="EBNumber"/>
        <w:numPr>
          <w:ilvl w:val="0"/>
          <w:numId w:val="0"/>
        </w:numPr>
        <w:spacing w:after="0"/>
        <w:ind w:left="417"/>
        <w:rPr>
          <w:i/>
          <w:color w:val="auto"/>
        </w:rPr>
      </w:pPr>
    </w:p>
    <w:p w14:paraId="7E23FCCB" w14:textId="1C004436" w:rsidR="00224A56" w:rsidRPr="0072251A" w:rsidRDefault="00B63097" w:rsidP="00AE4E68">
      <w:pPr>
        <w:pStyle w:val="EBNumber"/>
        <w:numPr>
          <w:ilvl w:val="0"/>
          <w:numId w:val="4"/>
        </w:numPr>
        <w:tabs>
          <w:tab w:val="num" w:pos="567"/>
        </w:tabs>
        <w:jc w:val="both"/>
      </w:pPr>
      <w:bookmarkStart w:id="55" w:name="_Ref442350960"/>
      <w:r w:rsidRPr="00BD29F6">
        <w:t xml:space="preserve">As a result of the overall fee changes, under the best estimate we estimate that HMCTS will benefit by </w:t>
      </w:r>
      <w:r w:rsidR="004C55C4">
        <w:t>£</w:t>
      </w:r>
      <w:r w:rsidR="004C55C4" w:rsidRPr="000057C6">
        <w:t>1</w:t>
      </w:r>
      <w:r w:rsidR="001E1B1E" w:rsidRPr="000057C6">
        <w:t>3</w:t>
      </w:r>
      <w:r w:rsidR="004C55C4">
        <w:t>m</w:t>
      </w:r>
      <w:r w:rsidRPr="00BD29F6">
        <w:t xml:space="preserve"> in 2021/22, the first </w:t>
      </w:r>
      <w:r w:rsidR="00217B1D" w:rsidRPr="00BD29F6">
        <w:t>six</w:t>
      </w:r>
      <w:r w:rsidRPr="00BD29F6">
        <w:t xml:space="preserve"> months of the fee change, and </w:t>
      </w:r>
      <w:r w:rsidR="004C55C4">
        <w:t>£</w:t>
      </w:r>
      <w:r w:rsidR="004C55C4" w:rsidRPr="000057C6">
        <w:t>2</w:t>
      </w:r>
      <w:r w:rsidR="001E1B1E" w:rsidRPr="000057C6">
        <w:t>5</w:t>
      </w:r>
      <w:r w:rsidR="004C55C4">
        <w:t>m</w:t>
      </w:r>
      <w:r w:rsidRPr="00BD29F6">
        <w:t xml:space="preserve"> per</w:t>
      </w:r>
      <w:r w:rsidRPr="0072251A">
        <w:t xml:space="preserve"> annum after that (averaged over the remaining 9 years of the appraisal period and in 2021/22 prices).</w:t>
      </w:r>
      <w:r w:rsidR="00224A56" w:rsidRPr="0072251A">
        <w:t xml:space="preserve"> </w:t>
      </w:r>
      <w:bookmarkEnd w:id="55"/>
    </w:p>
    <w:p w14:paraId="45A5F4E0" w14:textId="77777777" w:rsidR="00224A56" w:rsidRPr="00224A56" w:rsidRDefault="00224A56" w:rsidP="00224A56">
      <w:pPr>
        <w:pStyle w:val="EBNumber"/>
        <w:numPr>
          <w:ilvl w:val="0"/>
          <w:numId w:val="0"/>
        </w:numPr>
        <w:spacing w:after="0"/>
        <w:ind w:left="417"/>
        <w:rPr>
          <w:color w:val="auto"/>
          <w:sz w:val="24"/>
          <w:szCs w:val="24"/>
          <w:highlight w:val="yellow"/>
        </w:rPr>
      </w:pPr>
    </w:p>
    <w:p w14:paraId="0AB01C68" w14:textId="77777777" w:rsidR="00224A56" w:rsidRPr="00512624" w:rsidRDefault="00224A56" w:rsidP="00224A56">
      <w:pPr>
        <w:pStyle w:val="EBNumber"/>
        <w:numPr>
          <w:ilvl w:val="0"/>
          <w:numId w:val="0"/>
        </w:numPr>
        <w:spacing w:after="0"/>
        <w:ind w:left="57"/>
        <w:rPr>
          <w:b/>
          <w:color w:val="auto"/>
          <w:u w:val="single"/>
        </w:rPr>
      </w:pPr>
      <w:r w:rsidRPr="00512624">
        <w:rPr>
          <w:b/>
          <w:color w:val="auto"/>
          <w:u w:val="single"/>
        </w:rPr>
        <w:lastRenderedPageBreak/>
        <w:t>Net impact of Option 1</w:t>
      </w:r>
    </w:p>
    <w:p w14:paraId="213E6BE5" w14:textId="77777777" w:rsidR="00224A56" w:rsidRPr="00224A56" w:rsidRDefault="00224A56" w:rsidP="00224A56">
      <w:pPr>
        <w:pStyle w:val="EBNumber"/>
        <w:numPr>
          <w:ilvl w:val="0"/>
          <w:numId w:val="0"/>
        </w:numPr>
        <w:spacing w:after="0"/>
        <w:ind w:left="57"/>
        <w:rPr>
          <w:b/>
          <w:color w:val="auto"/>
          <w:sz w:val="24"/>
          <w:szCs w:val="24"/>
          <w:u w:val="single"/>
        </w:rPr>
      </w:pPr>
    </w:p>
    <w:p w14:paraId="72BDE6D0" w14:textId="77777777" w:rsidR="00224A56" w:rsidRPr="0072251A" w:rsidRDefault="00224A56" w:rsidP="00DA3521">
      <w:pPr>
        <w:pStyle w:val="EBNumber"/>
        <w:numPr>
          <w:ilvl w:val="0"/>
          <w:numId w:val="4"/>
        </w:numPr>
        <w:tabs>
          <w:tab w:val="num" w:pos="567"/>
        </w:tabs>
        <w:jc w:val="both"/>
        <w:rPr>
          <w:rStyle w:val="EBNumberCharChar"/>
          <w:color w:val="auto"/>
        </w:rPr>
      </w:pPr>
      <w:r w:rsidRPr="0072251A">
        <w:rPr>
          <w:rStyle w:val="EBNumberCharChar"/>
          <w:color w:val="auto"/>
        </w:rPr>
        <w:t xml:space="preserve">HMCTS is expected to incur small transitional costs from implementing the new fee amounts. Individuals and legal service providers are expected to incur negligible costs from familiarising themselves with the new fee structure. </w:t>
      </w:r>
    </w:p>
    <w:p w14:paraId="7A4CA35C" w14:textId="744BB4D1" w:rsidR="00224A56" w:rsidRPr="0072251A" w:rsidRDefault="00355BB2" w:rsidP="00DA3521">
      <w:pPr>
        <w:pStyle w:val="EBNumber"/>
        <w:numPr>
          <w:ilvl w:val="0"/>
          <w:numId w:val="4"/>
        </w:numPr>
        <w:tabs>
          <w:tab w:val="num" w:pos="567"/>
        </w:tabs>
        <w:spacing w:before="240"/>
        <w:jc w:val="both"/>
        <w:rPr>
          <w:rStyle w:val="EBNumberCharChar"/>
          <w:color w:val="auto"/>
        </w:rPr>
      </w:pPr>
      <w:bookmarkStart w:id="56" w:name="_Ref464636535"/>
      <w:r w:rsidRPr="0072251A">
        <w:rPr>
          <w:rStyle w:val="EBNumberCharChar"/>
        </w:rPr>
        <w:t xml:space="preserve">On an ongoing basis the overall changes in fees are expected to result in an increase in funding for HMCTS of </w:t>
      </w:r>
      <w:r w:rsidR="004C55C4">
        <w:rPr>
          <w:rStyle w:val="EBNumberCharChar"/>
        </w:rPr>
        <w:t>£</w:t>
      </w:r>
      <w:r w:rsidR="004C55C4" w:rsidRPr="000057C6">
        <w:rPr>
          <w:rStyle w:val="EBNumberCharChar"/>
        </w:rPr>
        <w:t>2</w:t>
      </w:r>
      <w:r w:rsidR="001E1B1E" w:rsidRPr="000057C6">
        <w:rPr>
          <w:rStyle w:val="EBNumberCharChar"/>
        </w:rPr>
        <w:t>5</w:t>
      </w:r>
      <w:r w:rsidR="004C55C4">
        <w:rPr>
          <w:rStyle w:val="EBNumberCharChar"/>
        </w:rPr>
        <w:t xml:space="preserve">m </w:t>
      </w:r>
      <w:r w:rsidR="7902D9FC" w:rsidRPr="0072251A">
        <w:rPr>
          <w:rStyle w:val="EBNumberCharChar"/>
        </w:rPr>
        <w:t>per annum</w:t>
      </w:r>
      <w:r w:rsidRPr="0072251A">
        <w:rPr>
          <w:rStyle w:val="EBNumberCharChar"/>
        </w:rPr>
        <w:t xml:space="preserve"> in 2021/22 prices. This benefit to the MoJ will be offset by the cost to HMCTS users, and therefore the ongoing net impact of this option is expected to be minimal.</w:t>
      </w:r>
      <w:bookmarkEnd w:id="56"/>
    </w:p>
    <w:p w14:paraId="6923EC8B" w14:textId="77777777" w:rsidR="00224A56" w:rsidRPr="00224A56" w:rsidRDefault="00224A56" w:rsidP="00224A56">
      <w:pPr>
        <w:rPr>
          <w:rStyle w:val="EBNumberCharChar"/>
          <w:sz w:val="24"/>
          <w:szCs w:val="24"/>
        </w:rPr>
      </w:pPr>
    </w:p>
    <w:p w14:paraId="22366E89" w14:textId="03D7374B" w:rsidR="00224A56" w:rsidRPr="00310A5F" w:rsidRDefault="00224A56" w:rsidP="00A47F8A">
      <w:pPr>
        <w:pStyle w:val="IANotes"/>
        <w:numPr>
          <w:ilvl w:val="0"/>
          <w:numId w:val="5"/>
        </w:numPr>
        <w:spacing w:before="120"/>
        <w:ind w:left="720" w:hanging="720"/>
        <w:rPr>
          <w:b/>
          <w:color w:val="auto"/>
          <w:sz w:val="28"/>
          <w:szCs w:val="28"/>
        </w:rPr>
      </w:pPr>
      <w:bookmarkStart w:id="57" w:name="_Hlk500749408"/>
      <w:bookmarkEnd w:id="49"/>
      <w:bookmarkEnd w:id="50"/>
      <w:bookmarkEnd w:id="51"/>
      <w:bookmarkEnd w:id="52"/>
      <w:r w:rsidRPr="00310A5F">
        <w:rPr>
          <w:b/>
          <w:color w:val="auto"/>
          <w:sz w:val="28"/>
          <w:szCs w:val="28"/>
        </w:rPr>
        <w:t>Risks and Sensitivity Analysis</w:t>
      </w:r>
      <w:bookmarkEnd w:id="57"/>
    </w:p>
    <w:p w14:paraId="1D3B2FAD" w14:textId="77777777" w:rsidR="00224A56" w:rsidRPr="00224A56" w:rsidRDefault="00224A56" w:rsidP="00224A56">
      <w:pPr>
        <w:pStyle w:val="EBNumber"/>
        <w:numPr>
          <w:ilvl w:val="0"/>
          <w:numId w:val="0"/>
        </w:numPr>
        <w:rPr>
          <w:i/>
          <w:sz w:val="24"/>
          <w:szCs w:val="24"/>
        </w:rPr>
      </w:pPr>
    </w:p>
    <w:p w14:paraId="02A0B247" w14:textId="0009C4F0" w:rsidR="00224A56" w:rsidRPr="004C55C4" w:rsidRDefault="00224A56" w:rsidP="00DA3521">
      <w:pPr>
        <w:pStyle w:val="EBNumber"/>
        <w:numPr>
          <w:ilvl w:val="0"/>
          <w:numId w:val="4"/>
        </w:numPr>
        <w:tabs>
          <w:tab w:val="num" w:pos="567"/>
        </w:tabs>
        <w:jc w:val="both"/>
      </w:pPr>
      <w:r w:rsidRPr="004C55C4">
        <w:t xml:space="preserve">As the impacts described in this IA are based on certain assumptions, there are also some associated risks. These risks, and their potential impacts, are described below. </w:t>
      </w:r>
    </w:p>
    <w:p w14:paraId="70D558AB" w14:textId="6D774B79" w:rsidR="00C13197" w:rsidRPr="00070272" w:rsidRDefault="00430DE9" w:rsidP="00466531">
      <w:pPr>
        <w:pStyle w:val="EBNumber"/>
        <w:numPr>
          <w:ilvl w:val="0"/>
          <w:numId w:val="4"/>
        </w:numPr>
        <w:tabs>
          <w:tab w:val="num" w:pos="567"/>
        </w:tabs>
        <w:jc w:val="both"/>
      </w:pPr>
      <w:r w:rsidRPr="004C55C4">
        <w:t xml:space="preserve">There is inherent uncertainty around the potential demand for court services in the future. A reduction of 20% has been applied to the </w:t>
      </w:r>
      <w:r w:rsidR="00C13197" w:rsidRPr="004C55C4">
        <w:t>18/19 fee volumes</w:t>
      </w:r>
      <w:r w:rsidRPr="004C55C4">
        <w:t xml:space="preserve"> to account for uncertainty in the future volume of, including demand for, </w:t>
      </w:r>
      <w:r w:rsidR="00C13197" w:rsidRPr="004C55C4">
        <w:t xml:space="preserve">the </w:t>
      </w:r>
      <w:r w:rsidRPr="004C55C4">
        <w:t>court services</w:t>
      </w:r>
      <w:r w:rsidR="00C13197" w:rsidRPr="004C55C4">
        <w:t xml:space="preserve"> subject to the proposed fee changes</w:t>
      </w:r>
      <w:r w:rsidRPr="004C55C4">
        <w:t xml:space="preserve">. </w:t>
      </w:r>
      <w:r w:rsidR="00C13197" w:rsidRPr="004C55C4">
        <w:t>This has the effect of reducing the estimated fee income by c. £</w:t>
      </w:r>
      <w:r w:rsidR="001E1B1E" w:rsidRPr="00C7267C">
        <w:t>5</w:t>
      </w:r>
      <w:r w:rsidR="00C13197" w:rsidRPr="004C55C4">
        <w:t>m p.a. for each full year of the policy change (see</w:t>
      </w:r>
      <w:r w:rsidR="008825F6">
        <w:t xml:space="preserve"> Table 2</w:t>
      </w:r>
      <w:r w:rsidR="00C13197" w:rsidRPr="004C55C4">
        <w:t>).</w:t>
      </w:r>
    </w:p>
    <w:p w14:paraId="4EC8FC65" w14:textId="72B83848" w:rsidR="00430DE9" w:rsidRPr="00070272" w:rsidRDefault="00430DE9" w:rsidP="00430DE9">
      <w:pPr>
        <w:pStyle w:val="EBNumber"/>
        <w:numPr>
          <w:ilvl w:val="0"/>
          <w:numId w:val="4"/>
        </w:numPr>
        <w:tabs>
          <w:tab w:val="num" w:pos="567"/>
        </w:tabs>
        <w:jc w:val="both"/>
      </w:pPr>
      <w:bookmarkStart w:id="58" w:name="_Ref63713641"/>
      <w:r w:rsidRPr="00070272">
        <w:t xml:space="preserve">The estimated income from inflating court fees is particularly sensitive to the volume of applicants and demand for court services. </w:t>
      </w:r>
      <w:r w:rsidR="00A0142E" w:rsidRPr="00070272">
        <w:t>T</w:t>
      </w:r>
      <w:r w:rsidRPr="00070272">
        <w:t xml:space="preserve">he estimates of income are </w:t>
      </w:r>
      <w:r w:rsidR="00CE6E8D" w:rsidRPr="00C7267C">
        <w:t xml:space="preserve">primarily </w:t>
      </w:r>
      <w:r w:rsidRPr="00070272">
        <w:t>based on 2018/19 volumes for the individual fees, but future volumes could be higher or lower than these. A sensitivity analysis was carried out to demonstrate how the income would vary if fee volumes were 10% higher or lower than those in 2018/19.</w:t>
      </w:r>
      <w:bookmarkEnd w:id="58"/>
      <w:r w:rsidRPr="00070272">
        <w:t xml:space="preserve"> </w:t>
      </w:r>
    </w:p>
    <w:p w14:paraId="5A1CE6FC" w14:textId="77777777" w:rsidR="00CB534D" w:rsidRPr="00070272" w:rsidRDefault="00CB534D" w:rsidP="00CB534D">
      <w:pPr>
        <w:pStyle w:val="ListParagraph"/>
        <w:rPr>
          <w:sz w:val="22"/>
          <w:szCs w:val="22"/>
        </w:rPr>
      </w:pPr>
    </w:p>
    <w:p w14:paraId="585F4668" w14:textId="7B695D2E" w:rsidR="00CB534D" w:rsidRPr="00070272" w:rsidRDefault="00A55E92" w:rsidP="00430DE9">
      <w:pPr>
        <w:pStyle w:val="EBNumber"/>
        <w:numPr>
          <w:ilvl w:val="0"/>
          <w:numId w:val="4"/>
        </w:numPr>
        <w:tabs>
          <w:tab w:val="num" w:pos="567"/>
        </w:tabs>
        <w:jc w:val="both"/>
      </w:pPr>
      <w:r w:rsidRPr="00533375">
        <w:fldChar w:fldCharType="begin"/>
      </w:r>
      <w:r w:rsidRPr="00533375">
        <w:instrText xml:space="preserve"> REF _Ref63702927 \h  \* MERGEFORMAT </w:instrText>
      </w:r>
      <w:r w:rsidRPr="00533375">
        <w:fldChar w:fldCharType="separate"/>
      </w:r>
      <w:r w:rsidRPr="00533375">
        <w:t>Table 4</w:t>
      </w:r>
      <w:r w:rsidRPr="00533375">
        <w:fldChar w:fldCharType="end"/>
      </w:r>
      <w:r w:rsidR="00CB534D" w:rsidRPr="00533375">
        <w:t xml:space="preserve"> </w:t>
      </w:r>
      <w:r w:rsidRPr="00533375">
        <w:t xml:space="preserve">and </w:t>
      </w:r>
      <w:r w:rsidRPr="00533375">
        <w:fldChar w:fldCharType="begin"/>
      </w:r>
      <w:r w:rsidRPr="00533375">
        <w:instrText xml:space="preserve"> REF _Ref63702935 \h  \* MERGEFORMAT </w:instrText>
      </w:r>
      <w:r w:rsidRPr="00533375">
        <w:fldChar w:fldCharType="separate"/>
      </w:r>
      <w:r w:rsidRPr="00533375">
        <w:t>Table</w:t>
      </w:r>
      <w:r w:rsidRPr="00533375">
        <w:rPr>
          <w:b/>
        </w:rPr>
        <w:t xml:space="preserve"> </w:t>
      </w:r>
      <w:r w:rsidRPr="00533375">
        <w:t>5</w:t>
      </w:r>
      <w:r w:rsidRPr="00533375">
        <w:fldChar w:fldCharType="end"/>
      </w:r>
      <w:r w:rsidRPr="00533375">
        <w:t xml:space="preserve"> </w:t>
      </w:r>
      <w:r w:rsidR="00CB534D" w:rsidRPr="00533375">
        <w:t>b</w:t>
      </w:r>
      <w:r w:rsidR="00CB534D" w:rsidRPr="00070272">
        <w:t xml:space="preserve">elow show the impact of the sensitivity analysis on the best estimate. </w:t>
      </w:r>
      <w:r w:rsidR="00FF6CEF" w:rsidRPr="00070272">
        <w:t xml:space="preserve">Inflating the fees as set out in Annex A is expected to increase funding for HMCTS under all the volume </w:t>
      </w:r>
      <w:r w:rsidR="00FF6CEF" w:rsidRPr="00533375">
        <w:t>scenarios considered. In real values, average annual additional funding contribution varies between £</w:t>
      </w:r>
      <w:r w:rsidR="00F3245D" w:rsidRPr="00C7267C">
        <w:t>20</w:t>
      </w:r>
      <w:r w:rsidR="00625EB6" w:rsidRPr="00533375">
        <w:t>m</w:t>
      </w:r>
      <w:r w:rsidR="00FF6CEF" w:rsidRPr="00533375">
        <w:t xml:space="preserve"> over ten years in the case of volumes being 10 per cent down on 2018/19 levels, to £</w:t>
      </w:r>
      <w:r w:rsidR="00625EB6" w:rsidRPr="00C7267C">
        <w:t>2</w:t>
      </w:r>
      <w:r w:rsidR="00F3245D" w:rsidRPr="00C7267C">
        <w:t>4</w:t>
      </w:r>
      <w:r w:rsidR="00625EB6" w:rsidRPr="00533375">
        <w:t>m</w:t>
      </w:r>
      <w:r w:rsidR="00FF6CEF" w:rsidRPr="00533375">
        <w:t xml:space="preserve"> for the case where volumes are 10% above 2018/19 levels. This is based on the best estimate scenario</w:t>
      </w:r>
      <w:r w:rsidR="000D72B7">
        <w:t xml:space="preserve">. </w:t>
      </w:r>
    </w:p>
    <w:p w14:paraId="33F811A0" w14:textId="6EB17C71" w:rsidR="00430DE9" w:rsidRPr="00070272" w:rsidRDefault="00430DE9" w:rsidP="00430DE9">
      <w:pPr>
        <w:pStyle w:val="EBNumber"/>
        <w:numPr>
          <w:ilvl w:val="0"/>
          <w:numId w:val="0"/>
        </w:numPr>
        <w:tabs>
          <w:tab w:val="num" w:pos="567"/>
        </w:tabs>
        <w:ind w:left="360"/>
        <w:jc w:val="both"/>
      </w:pPr>
    </w:p>
    <w:p w14:paraId="28979382" w14:textId="64EB3623" w:rsidR="00A55E92" w:rsidRPr="00070272" w:rsidRDefault="00A55E92" w:rsidP="00A55E92">
      <w:pPr>
        <w:pStyle w:val="Caption"/>
        <w:keepNext/>
        <w:rPr>
          <w:sz w:val="22"/>
          <w:szCs w:val="22"/>
        </w:rPr>
      </w:pPr>
      <w:bookmarkStart w:id="59" w:name="_Ref63702927"/>
      <w:r w:rsidRPr="00070272">
        <w:rPr>
          <w:b/>
          <w:sz w:val="22"/>
          <w:szCs w:val="22"/>
        </w:rPr>
        <w:t xml:space="preserve">Table </w:t>
      </w:r>
      <w:r w:rsidRPr="00533375">
        <w:rPr>
          <w:b/>
          <w:sz w:val="22"/>
          <w:szCs w:val="22"/>
        </w:rPr>
        <w:fldChar w:fldCharType="begin"/>
      </w:r>
      <w:r w:rsidRPr="00070272">
        <w:rPr>
          <w:b/>
          <w:sz w:val="22"/>
          <w:szCs w:val="22"/>
        </w:rPr>
        <w:instrText xml:space="preserve"> SEQ Table \* ARABIC </w:instrText>
      </w:r>
      <w:r w:rsidRPr="00533375">
        <w:rPr>
          <w:b/>
          <w:sz w:val="22"/>
          <w:szCs w:val="22"/>
        </w:rPr>
        <w:fldChar w:fldCharType="separate"/>
      </w:r>
      <w:r w:rsidRPr="00070272">
        <w:rPr>
          <w:b/>
          <w:sz w:val="22"/>
          <w:szCs w:val="22"/>
        </w:rPr>
        <w:t>4</w:t>
      </w:r>
      <w:r w:rsidRPr="00533375">
        <w:rPr>
          <w:b/>
          <w:sz w:val="22"/>
          <w:szCs w:val="22"/>
        </w:rPr>
        <w:fldChar w:fldCharType="end"/>
      </w:r>
      <w:bookmarkEnd w:id="59"/>
      <w:r w:rsidRPr="00070272">
        <w:rPr>
          <w:b/>
          <w:sz w:val="22"/>
          <w:szCs w:val="22"/>
        </w:rPr>
        <w:t>:</w:t>
      </w:r>
      <w:r w:rsidRPr="00070272">
        <w:rPr>
          <w:sz w:val="22"/>
          <w:szCs w:val="22"/>
        </w:rPr>
        <w:t xml:space="preserve"> </w:t>
      </w:r>
      <w:r w:rsidRPr="00070272">
        <w:rPr>
          <w:b/>
          <w:sz w:val="22"/>
          <w:szCs w:val="22"/>
        </w:rPr>
        <w:t>Sensitivity to changes in fees volumes, annual nominal best estimate income, £millions</w:t>
      </w:r>
    </w:p>
    <w:tbl>
      <w:tblPr>
        <w:tblW w:w="10482" w:type="dxa"/>
        <w:tblLook w:val="04A0" w:firstRow="1" w:lastRow="0" w:firstColumn="1" w:lastColumn="0" w:noHBand="0" w:noVBand="1"/>
      </w:tblPr>
      <w:tblGrid>
        <w:gridCol w:w="1457"/>
        <w:gridCol w:w="794"/>
        <w:gridCol w:w="794"/>
        <w:gridCol w:w="794"/>
        <w:gridCol w:w="794"/>
        <w:gridCol w:w="794"/>
        <w:gridCol w:w="794"/>
        <w:gridCol w:w="794"/>
        <w:gridCol w:w="794"/>
        <w:gridCol w:w="794"/>
        <w:gridCol w:w="794"/>
        <w:gridCol w:w="1085"/>
      </w:tblGrid>
      <w:tr w:rsidR="00A55E92" w:rsidRPr="00A55E92" w14:paraId="344499D4" w14:textId="77777777" w:rsidTr="001F1EC3">
        <w:trPr>
          <w:trHeight w:val="596"/>
        </w:trPr>
        <w:tc>
          <w:tcPr>
            <w:tcW w:w="1457" w:type="dxa"/>
            <w:tcBorders>
              <w:top w:val="single" w:sz="8" w:space="0" w:color="auto"/>
              <w:left w:val="single" w:sz="8" w:space="0" w:color="auto"/>
              <w:bottom w:val="nil"/>
              <w:right w:val="single" w:sz="8" w:space="0" w:color="auto"/>
            </w:tcBorders>
            <w:shd w:val="clear" w:color="auto" w:fill="auto"/>
            <w:vAlign w:val="center"/>
            <w:hideMark/>
          </w:tcPr>
          <w:p w14:paraId="1EEAD7F8"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Nominal Gross Income £m</w:t>
            </w:r>
          </w:p>
        </w:tc>
        <w:tc>
          <w:tcPr>
            <w:tcW w:w="794" w:type="dxa"/>
            <w:tcBorders>
              <w:top w:val="single" w:sz="8" w:space="0" w:color="auto"/>
              <w:left w:val="nil"/>
              <w:bottom w:val="nil"/>
              <w:right w:val="single" w:sz="8" w:space="0" w:color="auto"/>
            </w:tcBorders>
            <w:shd w:val="clear" w:color="auto" w:fill="auto"/>
            <w:vAlign w:val="center"/>
            <w:hideMark/>
          </w:tcPr>
          <w:p w14:paraId="326BFB7E"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21/22</w:t>
            </w:r>
          </w:p>
        </w:tc>
        <w:tc>
          <w:tcPr>
            <w:tcW w:w="794" w:type="dxa"/>
            <w:tcBorders>
              <w:top w:val="single" w:sz="8" w:space="0" w:color="auto"/>
              <w:left w:val="nil"/>
              <w:bottom w:val="nil"/>
              <w:right w:val="single" w:sz="8" w:space="0" w:color="auto"/>
            </w:tcBorders>
            <w:shd w:val="clear" w:color="auto" w:fill="auto"/>
            <w:vAlign w:val="center"/>
            <w:hideMark/>
          </w:tcPr>
          <w:p w14:paraId="739BE5AA"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22/23</w:t>
            </w:r>
          </w:p>
        </w:tc>
        <w:tc>
          <w:tcPr>
            <w:tcW w:w="794" w:type="dxa"/>
            <w:tcBorders>
              <w:top w:val="single" w:sz="8" w:space="0" w:color="auto"/>
              <w:left w:val="nil"/>
              <w:bottom w:val="nil"/>
              <w:right w:val="single" w:sz="8" w:space="0" w:color="auto"/>
            </w:tcBorders>
            <w:shd w:val="clear" w:color="auto" w:fill="auto"/>
            <w:vAlign w:val="center"/>
            <w:hideMark/>
          </w:tcPr>
          <w:p w14:paraId="3EC6A33E"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23/24</w:t>
            </w:r>
          </w:p>
        </w:tc>
        <w:tc>
          <w:tcPr>
            <w:tcW w:w="794" w:type="dxa"/>
            <w:tcBorders>
              <w:top w:val="single" w:sz="8" w:space="0" w:color="auto"/>
              <w:left w:val="nil"/>
              <w:bottom w:val="nil"/>
              <w:right w:val="single" w:sz="8" w:space="0" w:color="auto"/>
            </w:tcBorders>
            <w:shd w:val="clear" w:color="auto" w:fill="auto"/>
            <w:vAlign w:val="center"/>
            <w:hideMark/>
          </w:tcPr>
          <w:p w14:paraId="65715E5C"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24/25</w:t>
            </w:r>
          </w:p>
        </w:tc>
        <w:tc>
          <w:tcPr>
            <w:tcW w:w="794" w:type="dxa"/>
            <w:tcBorders>
              <w:top w:val="single" w:sz="8" w:space="0" w:color="auto"/>
              <w:left w:val="nil"/>
              <w:bottom w:val="nil"/>
              <w:right w:val="single" w:sz="8" w:space="0" w:color="auto"/>
            </w:tcBorders>
            <w:shd w:val="clear" w:color="auto" w:fill="auto"/>
            <w:vAlign w:val="center"/>
            <w:hideMark/>
          </w:tcPr>
          <w:p w14:paraId="493DCB49"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25/26</w:t>
            </w:r>
          </w:p>
        </w:tc>
        <w:tc>
          <w:tcPr>
            <w:tcW w:w="794" w:type="dxa"/>
            <w:tcBorders>
              <w:top w:val="single" w:sz="8" w:space="0" w:color="auto"/>
              <w:left w:val="nil"/>
              <w:bottom w:val="nil"/>
              <w:right w:val="single" w:sz="8" w:space="0" w:color="auto"/>
            </w:tcBorders>
            <w:shd w:val="clear" w:color="auto" w:fill="auto"/>
            <w:vAlign w:val="center"/>
            <w:hideMark/>
          </w:tcPr>
          <w:p w14:paraId="62AC7D85"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26/27</w:t>
            </w:r>
          </w:p>
        </w:tc>
        <w:tc>
          <w:tcPr>
            <w:tcW w:w="794" w:type="dxa"/>
            <w:tcBorders>
              <w:top w:val="single" w:sz="8" w:space="0" w:color="auto"/>
              <w:left w:val="nil"/>
              <w:bottom w:val="nil"/>
              <w:right w:val="single" w:sz="8" w:space="0" w:color="auto"/>
            </w:tcBorders>
            <w:shd w:val="clear" w:color="auto" w:fill="auto"/>
            <w:vAlign w:val="center"/>
            <w:hideMark/>
          </w:tcPr>
          <w:p w14:paraId="0E583488"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27/28</w:t>
            </w:r>
          </w:p>
        </w:tc>
        <w:tc>
          <w:tcPr>
            <w:tcW w:w="794" w:type="dxa"/>
            <w:tcBorders>
              <w:top w:val="single" w:sz="8" w:space="0" w:color="auto"/>
              <w:left w:val="nil"/>
              <w:bottom w:val="nil"/>
              <w:right w:val="single" w:sz="8" w:space="0" w:color="auto"/>
            </w:tcBorders>
            <w:shd w:val="clear" w:color="auto" w:fill="auto"/>
            <w:vAlign w:val="center"/>
            <w:hideMark/>
          </w:tcPr>
          <w:p w14:paraId="68E3F762"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28/29</w:t>
            </w:r>
          </w:p>
        </w:tc>
        <w:tc>
          <w:tcPr>
            <w:tcW w:w="794" w:type="dxa"/>
            <w:tcBorders>
              <w:top w:val="single" w:sz="8" w:space="0" w:color="auto"/>
              <w:left w:val="nil"/>
              <w:bottom w:val="nil"/>
              <w:right w:val="single" w:sz="8" w:space="0" w:color="auto"/>
            </w:tcBorders>
            <w:shd w:val="clear" w:color="auto" w:fill="auto"/>
            <w:vAlign w:val="center"/>
            <w:hideMark/>
          </w:tcPr>
          <w:p w14:paraId="0C964A5D"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29/30</w:t>
            </w:r>
          </w:p>
        </w:tc>
        <w:tc>
          <w:tcPr>
            <w:tcW w:w="794" w:type="dxa"/>
            <w:tcBorders>
              <w:top w:val="single" w:sz="8" w:space="0" w:color="auto"/>
              <w:left w:val="nil"/>
              <w:bottom w:val="nil"/>
              <w:right w:val="single" w:sz="8" w:space="0" w:color="auto"/>
            </w:tcBorders>
            <w:shd w:val="clear" w:color="auto" w:fill="auto"/>
            <w:vAlign w:val="center"/>
            <w:hideMark/>
          </w:tcPr>
          <w:p w14:paraId="7CAF8A81"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30/31</w:t>
            </w:r>
          </w:p>
        </w:tc>
        <w:tc>
          <w:tcPr>
            <w:tcW w:w="1085" w:type="dxa"/>
            <w:tcBorders>
              <w:top w:val="single" w:sz="8" w:space="0" w:color="auto"/>
              <w:left w:val="nil"/>
              <w:bottom w:val="nil"/>
              <w:right w:val="single" w:sz="8" w:space="0" w:color="auto"/>
            </w:tcBorders>
            <w:shd w:val="clear" w:color="auto" w:fill="auto"/>
            <w:vAlign w:val="center"/>
            <w:hideMark/>
          </w:tcPr>
          <w:p w14:paraId="756163F5" w14:textId="77777777" w:rsidR="00A55E92" w:rsidRPr="00070272" w:rsidRDefault="00A55E92" w:rsidP="00A55E92">
            <w:pPr>
              <w:jc w:val="center"/>
              <w:rPr>
                <w:rFonts w:cs="Arial"/>
                <w:b/>
                <w:color w:val="000000"/>
                <w:sz w:val="22"/>
                <w:szCs w:val="22"/>
                <w:lang w:eastAsia="en-GB"/>
              </w:rPr>
            </w:pPr>
            <w:r w:rsidRPr="00070272">
              <w:rPr>
                <w:rFonts w:cs="Arial"/>
                <w:b/>
                <w:color w:val="000000"/>
                <w:sz w:val="22"/>
                <w:szCs w:val="22"/>
                <w:lang w:eastAsia="en-GB"/>
              </w:rPr>
              <w:t>Annual Average</w:t>
            </w:r>
          </w:p>
        </w:tc>
      </w:tr>
      <w:tr w:rsidR="00F3245D" w:rsidRPr="00A55E92" w14:paraId="540EE04B" w14:textId="77777777" w:rsidTr="001F1EC3">
        <w:trPr>
          <w:trHeight w:val="303"/>
        </w:trPr>
        <w:tc>
          <w:tcPr>
            <w:tcW w:w="145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6CE1C2D" w14:textId="77777777" w:rsidR="00F3245D" w:rsidRPr="00070272" w:rsidRDefault="00F3245D" w:rsidP="00F3245D">
            <w:pPr>
              <w:rPr>
                <w:rFonts w:cs="Arial"/>
                <w:color w:val="000000"/>
                <w:sz w:val="22"/>
                <w:szCs w:val="22"/>
                <w:lang w:eastAsia="en-GB"/>
              </w:rPr>
            </w:pPr>
            <w:r w:rsidRPr="00070272">
              <w:rPr>
                <w:rFonts w:cs="Arial"/>
                <w:color w:val="000000"/>
                <w:sz w:val="22"/>
                <w:szCs w:val="22"/>
                <w:lang w:eastAsia="en-GB"/>
              </w:rPr>
              <w:t>10% reduction in volumes</w:t>
            </w:r>
          </w:p>
        </w:tc>
        <w:tc>
          <w:tcPr>
            <w:tcW w:w="794" w:type="dxa"/>
            <w:tcBorders>
              <w:top w:val="single" w:sz="4" w:space="0" w:color="auto"/>
              <w:left w:val="nil"/>
              <w:bottom w:val="single" w:sz="4" w:space="0" w:color="auto"/>
              <w:right w:val="single" w:sz="8" w:space="0" w:color="auto"/>
            </w:tcBorders>
            <w:shd w:val="clear" w:color="auto" w:fill="auto"/>
            <w:noWrap/>
            <w:hideMark/>
          </w:tcPr>
          <w:p w14:paraId="6C1BD318" w14:textId="17371EAB" w:rsidR="00F3245D" w:rsidRPr="00F3245D" w:rsidRDefault="00F3245D" w:rsidP="00F3245D">
            <w:pPr>
              <w:jc w:val="right"/>
              <w:rPr>
                <w:rFonts w:cs="Arial"/>
                <w:color w:val="000000"/>
                <w:sz w:val="22"/>
                <w:szCs w:val="22"/>
                <w:lang w:eastAsia="en-GB"/>
              </w:rPr>
            </w:pPr>
            <w:r w:rsidRPr="00F3245D">
              <w:rPr>
                <w:sz w:val="22"/>
                <w:szCs w:val="22"/>
              </w:rPr>
              <w:t>£11</w:t>
            </w:r>
          </w:p>
        </w:tc>
        <w:tc>
          <w:tcPr>
            <w:tcW w:w="794" w:type="dxa"/>
            <w:tcBorders>
              <w:top w:val="single" w:sz="4" w:space="0" w:color="auto"/>
              <w:left w:val="nil"/>
              <w:bottom w:val="single" w:sz="4" w:space="0" w:color="auto"/>
              <w:right w:val="single" w:sz="8" w:space="0" w:color="auto"/>
            </w:tcBorders>
            <w:shd w:val="clear" w:color="auto" w:fill="auto"/>
            <w:noWrap/>
            <w:hideMark/>
          </w:tcPr>
          <w:p w14:paraId="027E3D61" w14:textId="799A088A" w:rsidR="00F3245D" w:rsidRPr="00F3245D" w:rsidRDefault="00F3245D" w:rsidP="00F3245D">
            <w:pPr>
              <w:jc w:val="right"/>
              <w:rPr>
                <w:rFonts w:cs="Arial"/>
                <w:color w:val="000000"/>
                <w:sz w:val="22"/>
                <w:szCs w:val="22"/>
                <w:lang w:eastAsia="en-GB"/>
              </w:rPr>
            </w:pPr>
            <w:r w:rsidRPr="00F3245D">
              <w:rPr>
                <w:sz w:val="22"/>
                <w:szCs w:val="22"/>
              </w:rPr>
              <w:t>£23</w:t>
            </w:r>
          </w:p>
        </w:tc>
        <w:tc>
          <w:tcPr>
            <w:tcW w:w="794" w:type="dxa"/>
            <w:tcBorders>
              <w:top w:val="single" w:sz="4" w:space="0" w:color="auto"/>
              <w:left w:val="nil"/>
              <w:bottom w:val="single" w:sz="4" w:space="0" w:color="auto"/>
              <w:right w:val="single" w:sz="8" w:space="0" w:color="auto"/>
            </w:tcBorders>
            <w:shd w:val="clear" w:color="auto" w:fill="auto"/>
            <w:noWrap/>
            <w:hideMark/>
          </w:tcPr>
          <w:p w14:paraId="400556E1" w14:textId="1E2AC833" w:rsidR="00F3245D" w:rsidRPr="00F3245D" w:rsidRDefault="00F3245D" w:rsidP="00F3245D">
            <w:pPr>
              <w:jc w:val="right"/>
              <w:rPr>
                <w:rFonts w:cs="Arial"/>
                <w:color w:val="000000"/>
                <w:sz w:val="22"/>
                <w:szCs w:val="22"/>
                <w:lang w:eastAsia="en-GB"/>
              </w:rPr>
            </w:pPr>
            <w:r w:rsidRPr="00F3245D">
              <w:rPr>
                <w:sz w:val="22"/>
                <w:szCs w:val="22"/>
              </w:rPr>
              <w:t>£23</w:t>
            </w:r>
          </w:p>
        </w:tc>
        <w:tc>
          <w:tcPr>
            <w:tcW w:w="794" w:type="dxa"/>
            <w:tcBorders>
              <w:top w:val="single" w:sz="4" w:space="0" w:color="auto"/>
              <w:left w:val="nil"/>
              <w:bottom w:val="single" w:sz="4" w:space="0" w:color="auto"/>
              <w:right w:val="single" w:sz="8" w:space="0" w:color="auto"/>
            </w:tcBorders>
            <w:shd w:val="clear" w:color="auto" w:fill="auto"/>
            <w:noWrap/>
            <w:hideMark/>
          </w:tcPr>
          <w:p w14:paraId="27E2C8C3" w14:textId="784663EA" w:rsidR="00F3245D" w:rsidRPr="00F3245D" w:rsidRDefault="00F3245D" w:rsidP="00F3245D">
            <w:pPr>
              <w:jc w:val="right"/>
              <w:rPr>
                <w:rFonts w:cs="Arial"/>
                <w:color w:val="000000"/>
                <w:sz w:val="22"/>
                <w:szCs w:val="22"/>
                <w:lang w:eastAsia="en-GB"/>
              </w:rPr>
            </w:pPr>
            <w:r w:rsidRPr="00F3245D">
              <w:rPr>
                <w:sz w:val="22"/>
                <w:szCs w:val="22"/>
              </w:rPr>
              <w:t>£23</w:t>
            </w:r>
          </w:p>
        </w:tc>
        <w:tc>
          <w:tcPr>
            <w:tcW w:w="794" w:type="dxa"/>
            <w:tcBorders>
              <w:top w:val="single" w:sz="4" w:space="0" w:color="auto"/>
              <w:left w:val="nil"/>
              <w:bottom w:val="single" w:sz="4" w:space="0" w:color="auto"/>
              <w:right w:val="single" w:sz="8" w:space="0" w:color="auto"/>
            </w:tcBorders>
            <w:shd w:val="clear" w:color="auto" w:fill="auto"/>
            <w:noWrap/>
            <w:hideMark/>
          </w:tcPr>
          <w:p w14:paraId="423CB536" w14:textId="5FAE4555" w:rsidR="00F3245D" w:rsidRPr="00F3245D" w:rsidRDefault="00F3245D" w:rsidP="00F3245D">
            <w:pPr>
              <w:jc w:val="right"/>
              <w:rPr>
                <w:rFonts w:cs="Arial"/>
                <w:color w:val="000000"/>
                <w:sz w:val="22"/>
                <w:szCs w:val="22"/>
                <w:lang w:eastAsia="en-GB"/>
              </w:rPr>
            </w:pPr>
            <w:r w:rsidRPr="00F3245D">
              <w:rPr>
                <w:sz w:val="22"/>
                <w:szCs w:val="22"/>
              </w:rPr>
              <w:t>£23</w:t>
            </w:r>
          </w:p>
        </w:tc>
        <w:tc>
          <w:tcPr>
            <w:tcW w:w="794" w:type="dxa"/>
            <w:tcBorders>
              <w:top w:val="single" w:sz="4" w:space="0" w:color="auto"/>
              <w:left w:val="nil"/>
              <w:bottom w:val="single" w:sz="4" w:space="0" w:color="auto"/>
              <w:right w:val="single" w:sz="8" w:space="0" w:color="auto"/>
            </w:tcBorders>
            <w:shd w:val="clear" w:color="auto" w:fill="auto"/>
            <w:noWrap/>
            <w:hideMark/>
          </w:tcPr>
          <w:p w14:paraId="2E00A053" w14:textId="0729053B" w:rsidR="00F3245D" w:rsidRPr="00F3245D" w:rsidRDefault="00F3245D" w:rsidP="00F3245D">
            <w:pPr>
              <w:jc w:val="right"/>
              <w:rPr>
                <w:rFonts w:cs="Arial"/>
                <w:color w:val="000000"/>
                <w:sz w:val="22"/>
                <w:szCs w:val="22"/>
                <w:lang w:eastAsia="en-GB"/>
              </w:rPr>
            </w:pPr>
            <w:r w:rsidRPr="00F3245D">
              <w:rPr>
                <w:sz w:val="22"/>
                <w:szCs w:val="22"/>
              </w:rPr>
              <w:t>£23</w:t>
            </w:r>
          </w:p>
        </w:tc>
        <w:tc>
          <w:tcPr>
            <w:tcW w:w="794" w:type="dxa"/>
            <w:tcBorders>
              <w:top w:val="single" w:sz="4" w:space="0" w:color="auto"/>
              <w:left w:val="nil"/>
              <w:bottom w:val="single" w:sz="4" w:space="0" w:color="auto"/>
              <w:right w:val="single" w:sz="8" w:space="0" w:color="auto"/>
            </w:tcBorders>
            <w:shd w:val="clear" w:color="auto" w:fill="auto"/>
            <w:noWrap/>
            <w:hideMark/>
          </w:tcPr>
          <w:p w14:paraId="69136378" w14:textId="4698B480" w:rsidR="00F3245D" w:rsidRPr="00F3245D" w:rsidRDefault="00F3245D" w:rsidP="00F3245D">
            <w:pPr>
              <w:jc w:val="right"/>
              <w:rPr>
                <w:rFonts w:cs="Arial"/>
                <w:color w:val="000000"/>
                <w:sz w:val="22"/>
                <w:szCs w:val="22"/>
                <w:lang w:eastAsia="en-GB"/>
              </w:rPr>
            </w:pPr>
            <w:r w:rsidRPr="00F3245D">
              <w:rPr>
                <w:sz w:val="22"/>
                <w:szCs w:val="22"/>
              </w:rPr>
              <w:t>£23</w:t>
            </w:r>
          </w:p>
        </w:tc>
        <w:tc>
          <w:tcPr>
            <w:tcW w:w="794" w:type="dxa"/>
            <w:tcBorders>
              <w:top w:val="single" w:sz="4" w:space="0" w:color="auto"/>
              <w:left w:val="nil"/>
              <w:bottom w:val="single" w:sz="4" w:space="0" w:color="auto"/>
              <w:right w:val="single" w:sz="8" w:space="0" w:color="auto"/>
            </w:tcBorders>
            <w:shd w:val="clear" w:color="auto" w:fill="auto"/>
            <w:noWrap/>
            <w:hideMark/>
          </w:tcPr>
          <w:p w14:paraId="27DBF233" w14:textId="2B7FD0C2" w:rsidR="00F3245D" w:rsidRPr="00F3245D" w:rsidRDefault="00F3245D" w:rsidP="00F3245D">
            <w:pPr>
              <w:jc w:val="right"/>
              <w:rPr>
                <w:rFonts w:cs="Arial"/>
                <w:color w:val="000000"/>
                <w:sz w:val="22"/>
                <w:szCs w:val="22"/>
                <w:lang w:eastAsia="en-GB"/>
              </w:rPr>
            </w:pPr>
            <w:r w:rsidRPr="00F3245D">
              <w:rPr>
                <w:sz w:val="22"/>
                <w:szCs w:val="22"/>
              </w:rPr>
              <w:t>£23</w:t>
            </w:r>
          </w:p>
        </w:tc>
        <w:tc>
          <w:tcPr>
            <w:tcW w:w="794" w:type="dxa"/>
            <w:tcBorders>
              <w:top w:val="single" w:sz="4" w:space="0" w:color="auto"/>
              <w:left w:val="nil"/>
              <w:bottom w:val="single" w:sz="4" w:space="0" w:color="auto"/>
              <w:right w:val="single" w:sz="8" w:space="0" w:color="auto"/>
            </w:tcBorders>
            <w:shd w:val="clear" w:color="auto" w:fill="auto"/>
            <w:noWrap/>
            <w:hideMark/>
          </w:tcPr>
          <w:p w14:paraId="3BE74ED1" w14:textId="61667939" w:rsidR="00F3245D" w:rsidRPr="00F3245D" w:rsidRDefault="00F3245D" w:rsidP="00F3245D">
            <w:pPr>
              <w:jc w:val="right"/>
              <w:rPr>
                <w:rFonts w:cs="Arial"/>
                <w:color w:val="000000"/>
                <w:sz w:val="22"/>
                <w:szCs w:val="22"/>
                <w:lang w:eastAsia="en-GB"/>
              </w:rPr>
            </w:pPr>
            <w:r w:rsidRPr="00F3245D">
              <w:rPr>
                <w:sz w:val="22"/>
                <w:szCs w:val="22"/>
              </w:rPr>
              <w:t>£23</w:t>
            </w:r>
          </w:p>
        </w:tc>
        <w:tc>
          <w:tcPr>
            <w:tcW w:w="794" w:type="dxa"/>
            <w:tcBorders>
              <w:top w:val="single" w:sz="4" w:space="0" w:color="auto"/>
              <w:left w:val="nil"/>
              <w:bottom w:val="single" w:sz="4" w:space="0" w:color="auto"/>
              <w:right w:val="single" w:sz="8" w:space="0" w:color="auto"/>
            </w:tcBorders>
            <w:shd w:val="clear" w:color="auto" w:fill="auto"/>
            <w:noWrap/>
            <w:hideMark/>
          </w:tcPr>
          <w:p w14:paraId="33C77BEC" w14:textId="0A09F92F" w:rsidR="00F3245D" w:rsidRPr="00F3245D" w:rsidRDefault="00F3245D" w:rsidP="00F3245D">
            <w:pPr>
              <w:jc w:val="right"/>
              <w:rPr>
                <w:rFonts w:cs="Arial"/>
                <w:color w:val="000000"/>
                <w:sz w:val="22"/>
                <w:szCs w:val="22"/>
                <w:lang w:eastAsia="en-GB"/>
              </w:rPr>
            </w:pPr>
            <w:r w:rsidRPr="00F3245D">
              <w:rPr>
                <w:sz w:val="22"/>
                <w:szCs w:val="22"/>
              </w:rPr>
              <w:t>£23</w:t>
            </w:r>
          </w:p>
        </w:tc>
        <w:tc>
          <w:tcPr>
            <w:tcW w:w="1085" w:type="dxa"/>
            <w:tcBorders>
              <w:top w:val="single" w:sz="4" w:space="0" w:color="auto"/>
              <w:left w:val="single" w:sz="4" w:space="0" w:color="auto"/>
              <w:bottom w:val="single" w:sz="4" w:space="0" w:color="auto"/>
              <w:right w:val="single" w:sz="8" w:space="0" w:color="auto"/>
            </w:tcBorders>
            <w:shd w:val="clear" w:color="auto" w:fill="auto"/>
            <w:noWrap/>
            <w:hideMark/>
          </w:tcPr>
          <w:p w14:paraId="06E9D7F7" w14:textId="67E31A98" w:rsidR="00F3245D" w:rsidRPr="00F3245D" w:rsidRDefault="00F3245D" w:rsidP="00F3245D">
            <w:pPr>
              <w:jc w:val="right"/>
              <w:rPr>
                <w:rFonts w:cs="Arial"/>
                <w:color w:val="000000"/>
                <w:sz w:val="22"/>
                <w:szCs w:val="22"/>
                <w:lang w:eastAsia="en-GB"/>
              </w:rPr>
            </w:pPr>
            <w:r w:rsidRPr="00F3245D">
              <w:rPr>
                <w:sz w:val="22"/>
                <w:szCs w:val="22"/>
              </w:rPr>
              <w:t>£22</w:t>
            </w:r>
          </w:p>
        </w:tc>
      </w:tr>
      <w:tr w:rsidR="00F3245D" w:rsidRPr="00A55E92" w14:paraId="43F095AF" w14:textId="77777777" w:rsidTr="001F1EC3">
        <w:trPr>
          <w:trHeight w:val="292"/>
        </w:trPr>
        <w:tc>
          <w:tcPr>
            <w:tcW w:w="1457" w:type="dxa"/>
            <w:tcBorders>
              <w:top w:val="nil"/>
              <w:left w:val="single" w:sz="8" w:space="0" w:color="auto"/>
              <w:bottom w:val="single" w:sz="4" w:space="0" w:color="auto"/>
              <w:right w:val="single" w:sz="8" w:space="0" w:color="auto"/>
            </w:tcBorders>
            <w:shd w:val="clear" w:color="auto" w:fill="auto"/>
            <w:noWrap/>
            <w:vAlign w:val="bottom"/>
            <w:hideMark/>
          </w:tcPr>
          <w:p w14:paraId="59BF749C" w14:textId="77777777" w:rsidR="00F3245D" w:rsidRPr="00070272" w:rsidRDefault="00F3245D" w:rsidP="00F3245D">
            <w:pPr>
              <w:rPr>
                <w:rFonts w:cs="Arial"/>
                <w:color w:val="000000"/>
                <w:sz w:val="22"/>
                <w:szCs w:val="22"/>
                <w:lang w:eastAsia="en-GB"/>
              </w:rPr>
            </w:pPr>
            <w:r w:rsidRPr="00070272">
              <w:rPr>
                <w:rFonts w:cs="Arial"/>
                <w:color w:val="000000"/>
                <w:sz w:val="22"/>
                <w:szCs w:val="22"/>
                <w:lang w:eastAsia="en-GB"/>
              </w:rPr>
              <w:t>Best estimate</w:t>
            </w:r>
          </w:p>
        </w:tc>
        <w:tc>
          <w:tcPr>
            <w:tcW w:w="794" w:type="dxa"/>
            <w:tcBorders>
              <w:top w:val="nil"/>
              <w:left w:val="nil"/>
              <w:bottom w:val="single" w:sz="4" w:space="0" w:color="auto"/>
              <w:right w:val="single" w:sz="8" w:space="0" w:color="auto"/>
            </w:tcBorders>
            <w:shd w:val="clear" w:color="auto" w:fill="auto"/>
            <w:noWrap/>
            <w:hideMark/>
          </w:tcPr>
          <w:p w14:paraId="20E97CEF" w14:textId="681C366C" w:rsidR="00F3245D" w:rsidRPr="00F3245D" w:rsidRDefault="00F3245D" w:rsidP="00F3245D">
            <w:pPr>
              <w:jc w:val="right"/>
              <w:rPr>
                <w:rFonts w:cs="Arial"/>
                <w:color w:val="000000"/>
                <w:sz w:val="22"/>
                <w:szCs w:val="22"/>
                <w:lang w:eastAsia="en-GB"/>
              </w:rPr>
            </w:pPr>
            <w:r w:rsidRPr="00F3245D">
              <w:rPr>
                <w:sz w:val="22"/>
                <w:szCs w:val="22"/>
              </w:rPr>
              <w:t>£13</w:t>
            </w:r>
          </w:p>
        </w:tc>
        <w:tc>
          <w:tcPr>
            <w:tcW w:w="794" w:type="dxa"/>
            <w:tcBorders>
              <w:top w:val="nil"/>
              <w:left w:val="nil"/>
              <w:bottom w:val="single" w:sz="4" w:space="0" w:color="auto"/>
              <w:right w:val="single" w:sz="8" w:space="0" w:color="auto"/>
            </w:tcBorders>
            <w:shd w:val="clear" w:color="auto" w:fill="auto"/>
            <w:noWrap/>
            <w:hideMark/>
          </w:tcPr>
          <w:p w14:paraId="386AA4C2" w14:textId="225D79E7" w:rsidR="00F3245D" w:rsidRPr="00F3245D" w:rsidRDefault="00F3245D" w:rsidP="00F3245D">
            <w:pPr>
              <w:jc w:val="right"/>
              <w:rPr>
                <w:rFonts w:cs="Arial"/>
                <w:color w:val="000000"/>
                <w:sz w:val="22"/>
                <w:szCs w:val="22"/>
                <w:lang w:eastAsia="en-GB"/>
              </w:rPr>
            </w:pPr>
            <w:r w:rsidRPr="00F3245D">
              <w:rPr>
                <w:sz w:val="22"/>
                <w:szCs w:val="22"/>
              </w:rPr>
              <w:t>£25</w:t>
            </w:r>
          </w:p>
        </w:tc>
        <w:tc>
          <w:tcPr>
            <w:tcW w:w="794" w:type="dxa"/>
            <w:tcBorders>
              <w:top w:val="nil"/>
              <w:left w:val="nil"/>
              <w:bottom w:val="single" w:sz="4" w:space="0" w:color="auto"/>
              <w:right w:val="single" w:sz="8" w:space="0" w:color="auto"/>
            </w:tcBorders>
            <w:shd w:val="clear" w:color="auto" w:fill="auto"/>
            <w:noWrap/>
            <w:hideMark/>
          </w:tcPr>
          <w:p w14:paraId="6E3F6856" w14:textId="460B625D" w:rsidR="00F3245D" w:rsidRPr="00F3245D" w:rsidRDefault="00F3245D" w:rsidP="00F3245D">
            <w:pPr>
              <w:jc w:val="right"/>
              <w:rPr>
                <w:rFonts w:cs="Arial"/>
                <w:color w:val="000000"/>
                <w:sz w:val="22"/>
                <w:szCs w:val="22"/>
                <w:lang w:eastAsia="en-GB"/>
              </w:rPr>
            </w:pPr>
            <w:r w:rsidRPr="00F3245D">
              <w:rPr>
                <w:sz w:val="22"/>
                <w:szCs w:val="22"/>
              </w:rPr>
              <w:t>£25</w:t>
            </w:r>
          </w:p>
        </w:tc>
        <w:tc>
          <w:tcPr>
            <w:tcW w:w="794" w:type="dxa"/>
            <w:tcBorders>
              <w:top w:val="nil"/>
              <w:left w:val="nil"/>
              <w:bottom w:val="single" w:sz="4" w:space="0" w:color="auto"/>
              <w:right w:val="single" w:sz="8" w:space="0" w:color="auto"/>
            </w:tcBorders>
            <w:shd w:val="clear" w:color="auto" w:fill="auto"/>
            <w:noWrap/>
            <w:hideMark/>
          </w:tcPr>
          <w:p w14:paraId="11929E7C" w14:textId="71F44350" w:rsidR="00F3245D" w:rsidRPr="00F3245D" w:rsidRDefault="00F3245D" w:rsidP="00F3245D">
            <w:pPr>
              <w:jc w:val="right"/>
              <w:rPr>
                <w:rFonts w:cs="Arial"/>
                <w:color w:val="000000"/>
                <w:sz w:val="22"/>
                <w:szCs w:val="22"/>
                <w:lang w:eastAsia="en-GB"/>
              </w:rPr>
            </w:pPr>
            <w:r w:rsidRPr="00F3245D">
              <w:rPr>
                <w:sz w:val="22"/>
                <w:szCs w:val="22"/>
              </w:rPr>
              <w:t>£25</w:t>
            </w:r>
          </w:p>
        </w:tc>
        <w:tc>
          <w:tcPr>
            <w:tcW w:w="794" w:type="dxa"/>
            <w:tcBorders>
              <w:top w:val="nil"/>
              <w:left w:val="nil"/>
              <w:bottom w:val="single" w:sz="4" w:space="0" w:color="auto"/>
              <w:right w:val="single" w:sz="8" w:space="0" w:color="auto"/>
            </w:tcBorders>
            <w:shd w:val="clear" w:color="auto" w:fill="auto"/>
            <w:noWrap/>
            <w:hideMark/>
          </w:tcPr>
          <w:p w14:paraId="40D6BC9C" w14:textId="709FECFD" w:rsidR="00F3245D" w:rsidRPr="00F3245D" w:rsidRDefault="00F3245D" w:rsidP="00F3245D">
            <w:pPr>
              <w:jc w:val="right"/>
              <w:rPr>
                <w:rFonts w:cs="Arial"/>
                <w:color w:val="000000"/>
                <w:sz w:val="22"/>
                <w:szCs w:val="22"/>
                <w:lang w:eastAsia="en-GB"/>
              </w:rPr>
            </w:pPr>
            <w:r w:rsidRPr="00F3245D">
              <w:rPr>
                <w:sz w:val="22"/>
                <w:szCs w:val="22"/>
              </w:rPr>
              <w:t>£25</w:t>
            </w:r>
          </w:p>
        </w:tc>
        <w:tc>
          <w:tcPr>
            <w:tcW w:w="794" w:type="dxa"/>
            <w:tcBorders>
              <w:top w:val="nil"/>
              <w:left w:val="nil"/>
              <w:bottom w:val="single" w:sz="4" w:space="0" w:color="auto"/>
              <w:right w:val="single" w:sz="8" w:space="0" w:color="auto"/>
            </w:tcBorders>
            <w:shd w:val="clear" w:color="auto" w:fill="auto"/>
            <w:noWrap/>
            <w:hideMark/>
          </w:tcPr>
          <w:p w14:paraId="090E840B" w14:textId="19640E66" w:rsidR="00F3245D" w:rsidRPr="00F3245D" w:rsidRDefault="00F3245D" w:rsidP="00F3245D">
            <w:pPr>
              <w:jc w:val="right"/>
              <w:rPr>
                <w:rFonts w:cs="Arial"/>
                <w:color w:val="000000"/>
                <w:sz w:val="22"/>
                <w:szCs w:val="22"/>
                <w:lang w:eastAsia="en-GB"/>
              </w:rPr>
            </w:pPr>
            <w:r w:rsidRPr="00F3245D">
              <w:rPr>
                <w:sz w:val="22"/>
                <w:szCs w:val="22"/>
              </w:rPr>
              <w:t>£25</w:t>
            </w:r>
          </w:p>
        </w:tc>
        <w:tc>
          <w:tcPr>
            <w:tcW w:w="794" w:type="dxa"/>
            <w:tcBorders>
              <w:top w:val="nil"/>
              <w:left w:val="nil"/>
              <w:bottom w:val="single" w:sz="4" w:space="0" w:color="auto"/>
              <w:right w:val="single" w:sz="8" w:space="0" w:color="auto"/>
            </w:tcBorders>
            <w:shd w:val="clear" w:color="auto" w:fill="auto"/>
            <w:noWrap/>
            <w:hideMark/>
          </w:tcPr>
          <w:p w14:paraId="0CEC4588" w14:textId="5B95DD35" w:rsidR="00F3245D" w:rsidRPr="00F3245D" w:rsidRDefault="00F3245D" w:rsidP="00F3245D">
            <w:pPr>
              <w:jc w:val="right"/>
              <w:rPr>
                <w:rFonts w:cs="Arial"/>
                <w:color w:val="000000"/>
                <w:sz w:val="22"/>
                <w:szCs w:val="22"/>
                <w:lang w:eastAsia="en-GB"/>
              </w:rPr>
            </w:pPr>
            <w:r w:rsidRPr="00F3245D">
              <w:rPr>
                <w:sz w:val="22"/>
                <w:szCs w:val="22"/>
              </w:rPr>
              <w:t>£25</w:t>
            </w:r>
          </w:p>
        </w:tc>
        <w:tc>
          <w:tcPr>
            <w:tcW w:w="794" w:type="dxa"/>
            <w:tcBorders>
              <w:top w:val="nil"/>
              <w:left w:val="nil"/>
              <w:bottom w:val="single" w:sz="4" w:space="0" w:color="auto"/>
              <w:right w:val="single" w:sz="8" w:space="0" w:color="auto"/>
            </w:tcBorders>
            <w:shd w:val="clear" w:color="auto" w:fill="auto"/>
            <w:noWrap/>
            <w:hideMark/>
          </w:tcPr>
          <w:p w14:paraId="5F343A56" w14:textId="7820880D" w:rsidR="00F3245D" w:rsidRPr="00F3245D" w:rsidRDefault="00F3245D" w:rsidP="00F3245D">
            <w:pPr>
              <w:jc w:val="right"/>
              <w:rPr>
                <w:rFonts w:cs="Arial"/>
                <w:color w:val="000000"/>
                <w:sz w:val="22"/>
                <w:szCs w:val="22"/>
                <w:lang w:eastAsia="en-GB"/>
              </w:rPr>
            </w:pPr>
            <w:r w:rsidRPr="00F3245D">
              <w:rPr>
                <w:sz w:val="22"/>
                <w:szCs w:val="22"/>
              </w:rPr>
              <w:t>£25</w:t>
            </w:r>
          </w:p>
        </w:tc>
        <w:tc>
          <w:tcPr>
            <w:tcW w:w="794" w:type="dxa"/>
            <w:tcBorders>
              <w:top w:val="nil"/>
              <w:left w:val="nil"/>
              <w:bottom w:val="single" w:sz="4" w:space="0" w:color="auto"/>
              <w:right w:val="single" w:sz="8" w:space="0" w:color="auto"/>
            </w:tcBorders>
            <w:shd w:val="clear" w:color="auto" w:fill="auto"/>
            <w:noWrap/>
            <w:hideMark/>
          </w:tcPr>
          <w:p w14:paraId="71AEDD77" w14:textId="73E7BA27" w:rsidR="00F3245D" w:rsidRPr="00F3245D" w:rsidRDefault="00F3245D" w:rsidP="00F3245D">
            <w:pPr>
              <w:jc w:val="right"/>
              <w:rPr>
                <w:rFonts w:cs="Arial"/>
                <w:color w:val="000000"/>
                <w:sz w:val="22"/>
                <w:szCs w:val="22"/>
                <w:lang w:eastAsia="en-GB"/>
              </w:rPr>
            </w:pPr>
            <w:r w:rsidRPr="00F3245D">
              <w:rPr>
                <w:sz w:val="22"/>
                <w:szCs w:val="22"/>
              </w:rPr>
              <w:t>£25</w:t>
            </w:r>
          </w:p>
        </w:tc>
        <w:tc>
          <w:tcPr>
            <w:tcW w:w="794" w:type="dxa"/>
            <w:tcBorders>
              <w:top w:val="nil"/>
              <w:left w:val="nil"/>
              <w:bottom w:val="single" w:sz="4" w:space="0" w:color="auto"/>
              <w:right w:val="single" w:sz="8" w:space="0" w:color="auto"/>
            </w:tcBorders>
            <w:shd w:val="clear" w:color="auto" w:fill="auto"/>
            <w:noWrap/>
            <w:hideMark/>
          </w:tcPr>
          <w:p w14:paraId="5C731178" w14:textId="1563D193" w:rsidR="00F3245D" w:rsidRPr="00F3245D" w:rsidRDefault="00F3245D" w:rsidP="00F3245D">
            <w:pPr>
              <w:jc w:val="right"/>
              <w:rPr>
                <w:rFonts w:cs="Arial"/>
                <w:color w:val="000000"/>
                <w:sz w:val="22"/>
                <w:szCs w:val="22"/>
                <w:lang w:eastAsia="en-GB"/>
              </w:rPr>
            </w:pPr>
            <w:r w:rsidRPr="00F3245D">
              <w:rPr>
                <w:sz w:val="22"/>
                <w:szCs w:val="22"/>
              </w:rPr>
              <w:t>£25</w:t>
            </w:r>
          </w:p>
        </w:tc>
        <w:tc>
          <w:tcPr>
            <w:tcW w:w="1085" w:type="dxa"/>
            <w:tcBorders>
              <w:top w:val="nil"/>
              <w:left w:val="single" w:sz="4" w:space="0" w:color="auto"/>
              <w:bottom w:val="single" w:sz="4" w:space="0" w:color="auto"/>
              <w:right w:val="single" w:sz="8" w:space="0" w:color="auto"/>
            </w:tcBorders>
            <w:shd w:val="clear" w:color="auto" w:fill="auto"/>
            <w:noWrap/>
            <w:hideMark/>
          </w:tcPr>
          <w:p w14:paraId="45721085" w14:textId="09D7D721" w:rsidR="00F3245D" w:rsidRPr="00F3245D" w:rsidRDefault="00F3245D" w:rsidP="00F3245D">
            <w:pPr>
              <w:jc w:val="right"/>
              <w:rPr>
                <w:rFonts w:cs="Arial"/>
                <w:color w:val="000000"/>
                <w:sz w:val="22"/>
                <w:szCs w:val="22"/>
                <w:lang w:eastAsia="en-GB"/>
              </w:rPr>
            </w:pPr>
            <w:r w:rsidRPr="00F3245D">
              <w:rPr>
                <w:sz w:val="22"/>
                <w:szCs w:val="22"/>
              </w:rPr>
              <w:t>£24</w:t>
            </w:r>
          </w:p>
        </w:tc>
      </w:tr>
      <w:tr w:rsidR="00F3245D" w:rsidRPr="00A55E92" w14:paraId="2606289B" w14:textId="77777777" w:rsidTr="001F1EC3">
        <w:trPr>
          <w:trHeight w:val="303"/>
        </w:trPr>
        <w:tc>
          <w:tcPr>
            <w:tcW w:w="1457" w:type="dxa"/>
            <w:tcBorders>
              <w:top w:val="nil"/>
              <w:left w:val="single" w:sz="8" w:space="0" w:color="auto"/>
              <w:bottom w:val="single" w:sz="8" w:space="0" w:color="auto"/>
              <w:right w:val="single" w:sz="8" w:space="0" w:color="auto"/>
            </w:tcBorders>
            <w:shd w:val="clear" w:color="auto" w:fill="auto"/>
            <w:noWrap/>
            <w:vAlign w:val="bottom"/>
            <w:hideMark/>
          </w:tcPr>
          <w:p w14:paraId="7FAB2C78" w14:textId="77777777" w:rsidR="00F3245D" w:rsidRPr="00070272" w:rsidRDefault="00F3245D" w:rsidP="00F3245D">
            <w:pPr>
              <w:rPr>
                <w:rFonts w:cs="Arial"/>
                <w:color w:val="000000"/>
                <w:sz w:val="22"/>
                <w:szCs w:val="22"/>
                <w:lang w:eastAsia="en-GB"/>
              </w:rPr>
            </w:pPr>
            <w:r w:rsidRPr="00070272">
              <w:rPr>
                <w:rFonts w:cs="Arial"/>
                <w:color w:val="000000"/>
                <w:sz w:val="22"/>
                <w:szCs w:val="22"/>
                <w:lang w:eastAsia="en-GB"/>
              </w:rPr>
              <w:t>10% increase in volumes</w:t>
            </w:r>
          </w:p>
        </w:tc>
        <w:tc>
          <w:tcPr>
            <w:tcW w:w="794" w:type="dxa"/>
            <w:tcBorders>
              <w:top w:val="nil"/>
              <w:left w:val="nil"/>
              <w:bottom w:val="single" w:sz="8" w:space="0" w:color="auto"/>
              <w:right w:val="single" w:sz="8" w:space="0" w:color="auto"/>
            </w:tcBorders>
            <w:shd w:val="clear" w:color="auto" w:fill="auto"/>
            <w:noWrap/>
            <w:hideMark/>
          </w:tcPr>
          <w:p w14:paraId="64D5E5E3" w14:textId="0D9FB6BD" w:rsidR="00F3245D" w:rsidRPr="00F3245D" w:rsidRDefault="00F3245D" w:rsidP="00F3245D">
            <w:pPr>
              <w:jc w:val="right"/>
              <w:rPr>
                <w:rFonts w:cs="Arial"/>
                <w:color w:val="000000"/>
                <w:sz w:val="22"/>
                <w:szCs w:val="22"/>
                <w:lang w:eastAsia="en-GB"/>
              </w:rPr>
            </w:pPr>
            <w:r w:rsidRPr="00F3245D">
              <w:rPr>
                <w:sz w:val="22"/>
                <w:szCs w:val="22"/>
              </w:rPr>
              <w:t>£14</w:t>
            </w:r>
          </w:p>
        </w:tc>
        <w:tc>
          <w:tcPr>
            <w:tcW w:w="794" w:type="dxa"/>
            <w:tcBorders>
              <w:top w:val="nil"/>
              <w:left w:val="nil"/>
              <w:bottom w:val="single" w:sz="8" w:space="0" w:color="auto"/>
              <w:right w:val="single" w:sz="8" w:space="0" w:color="auto"/>
            </w:tcBorders>
            <w:shd w:val="clear" w:color="auto" w:fill="auto"/>
            <w:noWrap/>
            <w:hideMark/>
          </w:tcPr>
          <w:p w14:paraId="7CE11DB0" w14:textId="78DA1F44" w:rsidR="00F3245D" w:rsidRPr="00F3245D" w:rsidRDefault="00F3245D" w:rsidP="00F3245D">
            <w:pPr>
              <w:jc w:val="right"/>
              <w:rPr>
                <w:rFonts w:cs="Arial"/>
                <w:color w:val="000000"/>
                <w:sz w:val="22"/>
                <w:szCs w:val="22"/>
                <w:lang w:eastAsia="en-GB"/>
              </w:rPr>
            </w:pPr>
            <w:r w:rsidRPr="00F3245D">
              <w:rPr>
                <w:sz w:val="22"/>
                <w:szCs w:val="22"/>
              </w:rPr>
              <w:t>£28</w:t>
            </w:r>
          </w:p>
        </w:tc>
        <w:tc>
          <w:tcPr>
            <w:tcW w:w="794" w:type="dxa"/>
            <w:tcBorders>
              <w:top w:val="nil"/>
              <w:left w:val="nil"/>
              <w:bottom w:val="single" w:sz="8" w:space="0" w:color="auto"/>
              <w:right w:val="single" w:sz="8" w:space="0" w:color="auto"/>
            </w:tcBorders>
            <w:shd w:val="clear" w:color="auto" w:fill="auto"/>
            <w:noWrap/>
            <w:hideMark/>
          </w:tcPr>
          <w:p w14:paraId="633CDC2D" w14:textId="71CA327A" w:rsidR="00F3245D" w:rsidRPr="00F3245D" w:rsidRDefault="00F3245D" w:rsidP="00F3245D">
            <w:pPr>
              <w:jc w:val="right"/>
              <w:rPr>
                <w:rFonts w:cs="Arial"/>
                <w:color w:val="000000"/>
                <w:sz w:val="22"/>
                <w:szCs w:val="22"/>
                <w:lang w:eastAsia="en-GB"/>
              </w:rPr>
            </w:pPr>
            <w:r w:rsidRPr="00F3245D">
              <w:rPr>
                <w:sz w:val="22"/>
                <w:szCs w:val="22"/>
              </w:rPr>
              <w:t>£28</w:t>
            </w:r>
          </w:p>
        </w:tc>
        <w:tc>
          <w:tcPr>
            <w:tcW w:w="794" w:type="dxa"/>
            <w:tcBorders>
              <w:top w:val="nil"/>
              <w:left w:val="nil"/>
              <w:bottom w:val="single" w:sz="8" w:space="0" w:color="auto"/>
              <w:right w:val="single" w:sz="8" w:space="0" w:color="auto"/>
            </w:tcBorders>
            <w:shd w:val="clear" w:color="auto" w:fill="auto"/>
            <w:noWrap/>
            <w:hideMark/>
          </w:tcPr>
          <w:p w14:paraId="30D79246" w14:textId="02C01FB6" w:rsidR="00F3245D" w:rsidRPr="00F3245D" w:rsidRDefault="00F3245D" w:rsidP="00F3245D">
            <w:pPr>
              <w:jc w:val="right"/>
              <w:rPr>
                <w:rFonts w:cs="Arial"/>
                <w:color w:val="000000"/>
                <w:sz w:val="22"/>
                <w:szCs w:val="22"/>
                <w:lang w:eastAsia="en-GB"/>
              </w:rPr>
            </w:pPr>
            <w:r w:rsidRPr="00F3245D">
              <w:rPr>
                <w:sz w:val="22"/>
                <w:szCs w:val="22"/>
              </w:rPr>
              <w:t>£28</w:t>
            </w:r>
          </w:p>
        </w:tc>
        <w:tc>
          <w:tcPr>
            <w:tcW w:w="794" w:type="dxa"/>
            <w:tcBorders>
              <w:top w:val="nil"/>
              <w:left w:val="nil"/>
              <w:bottom w:val="single" w:sz="8" w:space="0" w:color="auto"/>
              <w:right w:val="single" w:sz="8" w:space="0" w:color="auto"/>
            </w:tcBorders>
            <w:shd w:val="clear" w:color="auto" w:fill="auto"/>
            <w:noWrap/>
            <w:hideMark/>
          </w:tcPr>
          <w:p w14:paraId="59135ECB" w14:textId="05D681DE" w:rsidR="00F3245D" w:rsidRPr="00F3245D" w:rsidRDefault="00F3245D" w:rsidP="00F3245D">
            <w:pPr>
              <w:jc w:val="right"/>
              <w:rPr>
                <w:rFonts w:cs="Arial"/>
                <w:color w:val="000000"/>
                <w:sz w:val="22"/>
                <w:szCs w:val="22"/>
                <w:lang w:eastAsia="en-GB"/>
              </w:rPr>
            </w:pPr>
            <w:r w:rsidRPr="00F3245D">
              <w:rPr>
                <w:sz w:val="22"/>
                <w:szCs w:val="22"/>
              </w:rPr>
              <w:t>£28</w:t>
            </w:r>
          </w:p>
        </w:tc>
        <w:tc>
          <w:tcPr>
            <w:tcW w:w="794" w:type="dxa"/>
            <w:tcBorders>
              <w:top w:val="nil"/>
              <w:left w:val="nil"/>
              <w:bottom w:val="single" w:sz="8" w:space="0" w:color="auto"/>
              <w:right w:val="single" w:sz="8" w:space="0" w:color="auto"/>
            </w:tcBorders>
            <w:shd w:val="clear" w:color="auto" w:fill="auto"/>
            <w:noWrap/>
            <w:hideMark/>
          </w:tcPr>
          <w:p w14:paraId="57288A01" w14:textId="7D3A7571" w:rsidR="00F3245D" w:rsidRPr="00F3245D" w:rsidRDefault="00F3245D" w:rsidP="00F3245D">
            <w:pPr>
              <w:jc w:val="right"/>
              <w:rPr>
                <w:rFonts w:cs="Arial"/>
                <w:color w:val="000000"/>
                <w:sz w:val="22"/>
                <w:szCs w:val="22"/>
                <w:lang w:eastAsia="en-GB"/>
              </w:rPr>
            </w:pPr>
            <w:r w:rsidRPr="00F3245D">
              <w:rPr>
                <w:sz w:val="22"/>
                <w:szCs w:val="22"/>
              </w:rPr>
              <w:t>£28</w:t>
            </w:r>
          </w:p>
        </w:tc>
        <w:tc>
          <w:tcPr>
            <w:tcW w:w="794" w:type="dxa"/>
            <w:tcBorders>
              <w:top w:val="nil"/>
              <w:left w:val="nil"/>
              <w:bottom w:val="single" w:sz="8" w:space="0" w:color="auto"/>
              <w:right w:val="single" w:sz="8" w:space="0" w:color="auto"/>
            </w:tcBorders>
            <w:shd w:val="clear" w:color="auto" w:fill="auto"/>
            <w:noWrap/>
            <w:hideMark/>
          </w:tcPr>
          <w:p w14:paraId="494336A8" w14:textId="2DF65115" w:rsidR="00F3245D" w:rsidRPr="00F3245D" w:rsidRDefault="00F3245D" w:rsidP="00F3245D">
            <w:pPr>
              <w:jc w:val="right"/>
              <w:rPr>
                <w:rFonts w:cs="Arial"/>
                <w:color w:val="000000"/>
                <w:sz w:val="22"/>
                <w:szCs w:val="22"/>
                <w:lang w:eastAsia="en-GB"/>
              </w:rPr>
            </w:pPr>
            <w:r w:rsidRPr="00F3245D">
              <w:rPr>
                <w:sz w:val="22"/>
                <w:szCs w:val="22"/>
              </w:rPr>
              <w:t>£28</w:t>
            </w:r>
          </w:p>
        </w:tc>
        <w:tc>
          <w:tcPr>
            <w:tcW w:w="794" w:type="dxa"/>
            <w:tcBorders>
              <w:top w:val="nil"/>
              <w:left w:val="nil"/>
              <w:bottom w:val="single" w:sz="8" w:space="0" w:color="auto"/>
              <w:right w:val="single" w:sz="8" w:space="0" w:color="auto"/>
            </w:tcBorders>
            <w:shd w:val="clear" w:color="auto" w:fill="auto"/>
            <w:noWrap/>
            <w:hideMark/>
          </w:tcPr>
          <w:p w14:paraId="3294B342" w14:textId="2BB0CF29" w:rsidR="00F3245D" w:rsidRPr="00F3245D" w:rsidRDefault="00F3245D" w:rsidP="00F3245D">
            <w:pPr>
              <w:jc w:val="right"/>
              <w:rPr>
                <w:rFonts w:cs="Arial"/>
                <w:color w:val="000000"/>
                <w:sz w:val="22"/>
                <w:szCs w:val="22"/>
                <w:lang w:eastAsia="en-GB"/>
              </w:rPr>
            </w:pPr>
            <w:r w:rsidRPr="00F3245D">
              <w:rPr>
                <w:sz w:val="22"/>
                <w:szCs w:val="22"/>
              </w:rPr>
              <w:t>£28</w:t>
            </w:r>
          </w:p>
        </w:tc>
        <w:tc>
          <w:tcPr>
            <w:tcW w:w="794" w:type="dxa"/>
            <w:tcBorders>
              <w:top w:val="nil"/>
              <w:left w:val="nil"/>
              <w:bottom w:val="single" w:sz="8" w:space="0" w:color="auto"/>
              <w:right w:val="single" w:sz="8" w:space="0" w:color="auto"/>
            </w:tcBorders>
            <w:shd w:val="clear" w:color="auto" w:fill="auto"/>
            <w:noWrap/>
            <w:hideMark/>
          </w:tcPr>
          <w:p w14:paraId="0DADB7DB" w14:textId="07524E8A" w:rsidR="00F3245D" w:rsidRPr="00F3245D" w:rsidRDefault="00F3245D" w:rsidP="00F3245D">
            <w:pPr>
              <w:jc w:val="right"/>
              <w:rPr>
                <w:rFonts w:cs="Arial"/>
                <w:color w:val="000000"/>
                <w:sz w:val="22"/>
                <w:szCs w:val="22"/>
                <w:lang w:eastAsia="en-GB"/>
              </w:rPr>
            </w:pPr>
            <w:r w:rsidRPr="00F3245D">
              <w:rPr>
                <w:sz w:val="22"/>
                <w:szCs w:val="22"/>
              </w:rPr>
              <w:t>£28</w:t>
            </w:r>
          </w:p>
        </w:tc>
        <w:tc>
          <w:tcPr>
            <w:tcW w:w="794" w:type="dxa"/>
            <w:tcBorders>
              <w:top w:val="nil"/>
              <w:left w:val="nil"/>
              <w:bottom w:val="single" w:sz="8" w:space="0" w:color="auto"/>
              <w:right w:val="single" w:sz="8" w:space="0" w:color="auto"/>
            </w:tcBorders>
            <w:shd w:val="clear" w:color="auto" w:fill="auto"/>
            <w:noWrap/>
            <w:hideMark/>
          </w:tcPr>
          <w:p w14:paraId="5C730DF8" w14:textId="1D2AEC84" w:rsidR="00F3245D" w:rsidRPr="00F3245D" w:rsidRDefault="00F3245D" w:rsidP="00F3245D">
            <w:pPr>
              <w:jc w:val="right"/>
              <w:rPr>
                <w:rFonts w:cs="Arial"/>
                <w:color w:val="000000"/>
                <w:sz w:val="22"/>
                <w:szCs w:val="22"/>
                <w:lang w:eastAsia="en-GB"/>
              </w:rPr>
            </w:pPr>
            <w:r w:rsidRPr="00F3245D">
              <w:rPr>
                <w:sz w:val="22"/>
                <w:szCs w:val="22"/>
              </w:rPr>
              <w:t>£28</w:t>
            </w:r>
          </w:p>
        </w:tc>
        <w:tc>
          <w:tcPr>
            <w:tcW w:w="1085" w:type="dxa"/>
            <w:tcBorders>
              <w:top w:val="nil"/>
              <w:left w:val="single" w:sz="4" w:space="0" w:color="auto"/>
              <w:bottom w:val="single" w:sz="8" w:space="0" w:color="auto"/>
              <w:right w:val="single" w:sz="8" w:space="0" w:color="auto"/>
            </w:tcBorders>
            <w:shd w:val="clear" w:color="auto" w:fill="auto"/>
            <w:noWrap/>
            <w:hideMark/>
          </w:tcPr>
          <w:p w14:paraId="44EBD2E3" w14:textId="726910A6" w:rsidR="00F3245D" w:rsidRPr="00F3245D" w:rsidRDefault="00F3245D" w:rsidP="00F3245D">
            <w:pPr>
              <w:jc w:val="right"/>
              <w:rPr>
                <w:rFonts w:cs="Arial"/>
                <w:color w:val="000000"/>
                <w:sz w:val="22"/>
                <w:szCs w:val="22"/>
                <w:lang w:eastAsia="en-GB"/>
              </w:rPr>
            </w:pPr>
            <w:r w:rsidRPr="00F3245D">
              <w:rPr>
                <w:sz w:val="22"/>
                <w:szCs w:val="22"/>
              </w:rPr>
              <w:t>£26</w:t>
            </w:r>
          </w:p>
        </w:tc>
      </w:tr>
    </w:tbl>
    <w:p w14:paraId="4CC19C5C" w14:textId="2CAEDEDB" w:rsidR="00A55E92" w:rsidRPr="00877AC6" w:rsidRDefault="00A55E92" w:rsidP="00A55E92">
      <w:pPr>
        <w:pStyle w:val="EBNumber"/>
        <w:numPr>
          <w:ilvl w:val="0"/>
          <w:numId w:val="0"/>
        </w:numPr>
        <w:ind w:left="502" w:hanging="360"/>
        <w:rPr>
          <w:i/>
          <w:iCs/>
        </w:rPr>
      </w:pPr>
      <w:r w:rsidRPr="00877AC6">
        <w:rPr>
          <w:i/>
          <w:iCs/>
        </w:rPr>
        <w:t xml:space="preserve">Based on 2018/19 volumes; 2021/22 figures are for </w:t>
      </w:r>
      <w:r>
        <w:rPr>
          <w:i/>
          <w:iCs/>
        </w:rPr>
        <w:t>6</w:t>
      </w:r>
      <w:r w:rsidRPr="00877AC6">
        <w:rPr>
          <w:i/>
          <w:iCs/>
        </w:rPr>
        <w:t xml:space="preserve"> months</w:t>
      </w:r>
      <w:r>
        <w:rPr>
          <w:i/>
          <w:iCs/>
        </w:rPr>
        <w:t>; i</w:t>
      </w:r>
      <w:r w:rsidRPr="00877AC6">
        <w:rPr>
          <w:i/>
          <w:iCs/>
        </w:rPr>
        <w:t xml:space="preserve">ncome is </w:t>
      </w:r>
      <w:r w:rsidR="00625EB6">
        <w:rPr>
          <w:i/>
          <w:iCs/>
        </w:rPr>
        <w:t>net of</w:t>
      </w:r>
      <w:r w:rsidRPr="00877AC6">
        <w:rPr>
          <w:i/>
          <w:iCs/>
        </w:rPr>
        <w:t xml:space="preserve"> remissions.</w:t>
      </w:r>
    </w:p>
    <w:p w14:paraId="47A5CCCF" w14:textId="77777777" w:rsidR="00A55E92" w:rsidRDefault="00A55E92" w:rsidP="00A55E92">
      <w:pPr>
        <w:pStyle w:val="Caption"/>
      </w:pPr>
    </w:p>
    <w:p w14:paraId="29FFEB25" w14:textId="1C8C264B" w:rsidR="00A55E92" w:rsidRPr="00EE5750" w:rsidRDefault="00A55E92" w:rsidP="00A55E92">
      <w:pPr>
        <w:pStyle w:val="Caption"/>
        <w:rPr>
          <w:sz w:val="22"/>
          <w:szCs w:val="22"/>
        </w:rPr>
      </w:pPr>
      <w:bookmarkStart w:id="60" w:name="_Ref63702935"/>
      <w:r w:rsidRPr="00EE5750">
        <w:rPr>
          <w:b/>
          <w:sz w:val="22"/>
          <w:szCs w:val="22"/>
        </w:rPr>
        <w:t xml:space="preserve">Table </w:t>
      </w:r>
      <w:r w:rsidRPr="00EE5750">
        <w:rPr>
          <w:b/>
          <w:sz w:val="22"/>
          <w:szCs w:val="22"/>
        </w:rPr>
        <w:fldChar w:fldCharType="begin"/>
      </w:r>
      <w:r w:rsidRPr="00EE5750">
        <w:rPr>
          <w:b/>
          <w:sz w:val="22"/>
          <w:szCs w:val="22"/>
        </w:rPr>
        <w:instrText xml:space="preserve"> SEQ Table \* ARABIC </w:instrText>
      </w:r>
      <w:r w:rsidRPr="00EE5750">
        <w:rPr>
          <w:b/>
          <w:sz w:val="22"/>
          <w:szCs w:val="22"/>
        </w:rPr>
        <w:fldChar w:fldCharType="separate"/>
      </w:r>
      <w:r w:rsidRPr="00EE5750">
        <w:rPr>
          <w:b/>
          <w:sz w:val="22"/>
          <w:szCs w:val="22"/>
        </w:rPr>
        <w:t>5</w:t>
      </w:r>
      <w:r w:rsidRPr="00EE5750">
        <w:rPr>
          <w:b/>
          <w:sz w:val="22"/>
          <w:szCs w:val="22"/>
        </w:rPr>
        <w:fldChar w:fldCharType="end"/>
      </w:r>
      <w:bookmarkEnd w:id="60"/>
      <w:r w:rsidRPr="00EE5750">
        <w:rPr>
          <w:b/>
          <w:sz w:val="22"/>
          <w:szCs w:val="22"/>
        </w:rPr>
        <w:t>:</w:t>
      </w:r>
      <w:r w:rsidRPr="00EE5750">
        <w:rPr>
          <w:sz w:val="22"/>
          <w:szCs w:val="22"/>
        </w:rPr>
        <w:t xml:space="preserve"> </w:t>
      </w:r>
      <w:r w:rsidRPr="00EE5750">
        <w:rPr>
          <w:b/>
          <w:sz w:val="22"/>
          <w:szCs w:val="22"/>
        </w:rPr>
        <w:t>Sensitivity to changes in fees volumes, real value best estimate income, £millions</w:t>
      </w:r>
    </w:p>
    <w:tbl>
      <w:tblPr>
        <w:tblW w:w="10489" w:type="dxa"/>
        <w:tblLook w:val="04A0" w:firstRow="1" w:lastRow="0" w:firstColumn="1" w:lastColumn="0" w:noHBand="0" w:noVBand="1"/>
      </w:tblPr>
      <w:tblGrid>
        <w:gridCol w:w="1408"/>
        <w:gridCol w:w="850"/>
        <w:gridCol w:w="767"/>
        <w:gridCol w:w="793"/>
        <w:gridCol w:w="850"/>
        <w:gridCol w:w="767"/>
        <w:gridCol w:w="792"/>
        <w:gridCol w:w="851"/>
        <w:gridCol w:w="767"/>
        <w:gridCol w:w="792"/>
        <w:gridCol w:w="767"/>
        <w:gridCol w:w="1085"/>
      </w:tblGrid>
      <w:tr w:rsidR="00A55E92" w:rsidRPr="00A55E92" w14:paraId="506F21E1" w14:textId="77777777" w:rsidTr="006444CF">
        <w:trPr>
          <w:trHeight w:val="419"/>
        </w:trPr>
        <w:tc>
          <w:tcPr>
            <w:tcW w:w="1408" w:type="dxa"/>
            <w:tcBorders>
              <w:top w:val="single" w:sz="8" w:space="0" w:color="auto"/>
              <w:left w:val="single" w:sz="8" w:space="0" w:color="auto"/>
              <w:bottom w:val="nil"/>
              <w:right w:val="single" w:sz="8" w:space="0" w:color="auto"/>
            </w:tcBorders>
            <w:shd w:val="clear" w:color="auto" w:fill="auto"/>
            <w:vAlign w:val="center"/>
            <w:hideMark/>
          </w:tcPr>
          <w:p w14:paraId="1A216D07" w14:textId="77777777"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Real Gross Income £m</w:t>
            </w:r>
          </w:p>
        </w:tc>
        <w:tc>
          <w:tcPr>
            <w:tcW w:w="850" w:type="dxa"/>
            <w:tcBorders>
              <w:top w:val="single" w:sz="8" w:space="0" w:color="auto"/>
              <w:left w:val="nil"/>
              <w:bottom w:val="nil"/>
              <w:right w:val="single" w:sz="8" w:space="0" w:color="auto"/>
            </w:tcBorders>
            <w:shd w:val="clear" w:color="auto" w:fill="auto"/>
            <w:vAlign w:val="center"/>
            <w:hideMark/>
          </w:tcPr>
          <w:p w14:paraId="0F605C18" w14:textId="77777777"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21/22</w:t>
            </w:r>
          </w:p>
        </w:tc>
        <w:tc>
          <w:tcPr>
            <w:tcW w:w="767" w:type="dxa"/>
            <w:tcBorders>
              <w:top w:val="single" w:sz="8" w:space="0" w:color="auto"/>
              <w:left w:val="nil"/>
              <w:bottom w:val="nil"/>
              <w:right w:val="single" w:sz="8" w:space="0" w:color="auto"/>
            </w:tcBorders>
            <w:shd w:val="clear" w:color="auto" w:fill="auto"/>
            <w:vAlign w:val="center"/>
            <w:hideMark/>
          </w:tcPr>
          <w:p w14:paraId="7EB9C12F" w14:textId="77777777"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22/23</w:t>
            </w:r>
          </w:p>
        </w:tc>
        <w:tc>
          <w:tcPr>
            <w:tcW w:w="793" w:type="dxa"/>
            <w:tcBorders>
              <w:top w:val="single" w:sz="8" w:space="0" w:color="auto"/>
              <w:left w:val="nil"/>
              <w:bottom w:val="nil"/>
              <w:right w:val="single" w:sz="8" w:space="0" w:color="auto"/>
            </w:tcBorders>
            <w:shd w:val="clear" w:color="auto" w:fill="auto"/>
            <w:vAlign w:val="center"/>
            <w:hideMark/>
          </w:tcPr>
          <w:p w14:paraId="37351851" w14:textId="77777777"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23/24</w:t>
            </w:r>
          </w:p>
        </w:tc>
        <w:tc>
          <w:tcPr>
            <w:tcW w:w="850" w:type="dxa"/>
            <w:tcBorders>
              <w:top w:val="single" w:sz="8" w:space="0" w:color="auto"/>
              <w:left w:val="nil"/>
              <w:bottom w:val="nil"/>
              <w:right w:val="single" w:sz="8" w:space="0" w:color="auto"/>
            </w:tcBorders>
            <w:shd w:val="clear" w:color="auto" w:fill="auto"/>
            <w:vAlign w:val="center"/>
            <w:hideMark/>
          </w:tcPr>
          <w:p w14:paraId="0AF2B92A" w14:textId="77777777"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24/25</w:t>
            </w:r>
          </w:p>
        </w:tc>
        <w:tc>
          <w:tcPr>
            <w:tcW w:w="767" w:type="dxa"/>
            <w:tcBorders>
              <w:top w:val="single" w:sz="8" w:space="0" w:color="auto"/>
              <w:left w:val="nil"/>
              <w:bottom w:val="nil"/>
              <w:right w:val="single" w:sz="8" w:space="0" w:color="auto"/>
            </w:tcBorders>
            <w:shd w:val="clear" w:color="auto" w:fill="auto"/>
            <w:vAlign w:val="center"/>
            <w:hideMark/>
          </w:tcPr>
          <w:p w14:paraId="3E99F5FF" w14:textId="77777777" w:rsidR="00794B20" w:rsidRPr="00596859" w:rsidRDefault="00794B20" w:rsidP="00A55E92">
            <w:pPr>
              <w:jc w:val="center"/>
              <w:rPr>
                <w:rFonts w:cs="Arial"/>
                <w:b/>
                <w:color w:val="000000"/>
                <w:sz w:val="22"/>
                <w:szCs w:val="22"/>
                <w:lang w:eastAsia="en-GB"/>
              </w:rPr>
            </w:pPr>
            <w:r w:rsidRPr="00596859">
              <w:rPr>
                <w:rFonts w:cs="Arial"/>
                <w:b/>
                <w:color w:val="000000"/>
                <w:sz w:val="22"/>
                <w:szCs w:val="22"/>
                <w:lang w:eastAsia="en-GB"/>
              </w:rPr>
              <w:t>25/26</w:t>
            </w:r>
          </w:p>
        </w:tc>
        <w:tc>
          <w:tcPr>
            <w:tcW w:w="792" w:type="dxa"/>
            <w:tcBorders>
              <w:top w:val="single" w:sz="8" w:space="0" w:color="auto"/>
              <w:left w:val="nil"/>
              <w:bottom w:val="nil"/>
              <w:right w:val="single" w:sz="8" w:space="0" w:color="auto"/>
            </w:tcBorders>
            <w:shd w:val="clear" w:color="auto" w:fill="auto"/>
            <w:vAlign w:val="center"/>
          </w:tcPr>
          <w:p w14:paraId="1CB63CA7" w14:textId="308F811A"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26</w:t>
            </w:r>
            <w:r w:rsidR="00794B20" w:rsidRPr="00596859">
              <w:rPr>
                <w:rFonts w:cs="Arial"/>
                <w:b/>
                <w:color w:val="000000"/>
                <w:sz w:val="22"/>
                <w:szCs w:val="22"/>
                <w:lang w:eastAsia="en-GB"/>
              </w:rPr>
              <w:t>/27</w:t>
            </w:r>
          </w:p>
        </w:tc>
        <w:tc>
          <w:tcPr>
            <w:tcW w:w="851" w:type="dxa"/>
            <w:tcBorders>
              <w:top w:val="single" w:sz="8" w:space="0" w:color="auto"/>
              <w:left w:val="nil"/>
              <w:bottom w:val="nil"/>
              <w:right w:val="single" w:sz="8" w:space="0" w:color="auto"/>
            </w:tcBorders>
            <w:shd w:val="clear" w:color="auto" w:fill="auto"/>
            <w:vAlign w:val="center"/>
            <w:hideMark/>
          </w:tcPr>
          <w:p w14:paraId="16419595" w14:textId="155BEBA3"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27</w:t>
            </w:r>
            <w:r w:rsidR="00794B20" w:rsidRPr="00596859">
              <w:rPr>
                <w:rFonts w:cs="Arial"/>
                <w:b/>
                <w:color w:val="000000"/>
                <w:sz w:val="22"/>
                <w:szCs w:val="22"/>
                <w:lang w:eastAsia="en-GB"/>
              </w:rPr>
              <w:t>/28</w:t>
            </w:r>
          </w:p>
        </w:tc>
        <w:tc>
          <w:tcPr>
            <w:tcW w:w="767" w:type="dxa"/>
            <w:tcBorders>
              <w:top w:val="single" w:sz="8" w:space="0" w:color="auto"/>
              <w:left w:val="nil"/>
              <w:bottom w:val="nil"/>
              <w:right w:val="single" w:sz="8" w:space="0" w:color="auto"/>
            </w:tcBorders>
            <w:shd w:val="clear" w:color="auto" w:fill="auto"/>
            <w:vAlign w:val="center"/>
            <w:hideMark/>
          </w:tcPr>
          <w:p w14:paraId="6D143078" w14:textId="69CA590E"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28</w:t>
            </w:r>
            <w:r w:rsidR="00794B20" w:rsidRPr="00596859">
              <w:rPr>
                <w:rFonts w:cs="Arial"/>
                <w:b/>
                <w:color w:val="000000"/>
                <w:sz w:val="22"/>
                <w:szCs w:val="22"/>
                <w:lang w:eastAsia="en-GB"/>
              </w:rPr>
              <w:t>/29</w:t>
            </w:r>
          </w:p>
        </w:tc>
        <w:tc>
          <w:tcPr>
            <w:tcW w:w="792" w:type="dxa"/>
            <w:tcBorders>
              <w:top w:val="single" w:sz="8" w:space="0" w:color="auto"/>
              <w:left w:val="nil"/>
              <w:bottom w:val="nil"/>
              <w:right w:val="single" w:sz="8" w:space="0" w:color="auto"/>
            </w:tcBorders>
            <w:shd w:val="clear" w:color="auto" w:fill="auto"/>
            <w:vAlign w:val="center"/>
            <w:hideMark/>
          </w:tcPr>
          <w:p w14:paraId="3A946667" w14:textId="01CA69B7"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29</w:t>
            </w:r>
            <w:r w:rsidR="00794B20" w:rsidRPr="00596859">
              <w:rPr>
                <w:rFonts w:cs="Arial"/>
                <w:b/>
                <w:color w:val="000000"/>
                <w:sz w:val="22"/>
                <w:szCs w:val="22"/>
                <w:lang w:eastAsia="en-GB"/>
              </w:rPr>
              <w:t>/30</w:t>
            </w:r>
          </w:p>
        </w:tc>
        <w:tc>
          <w:tcPr>
            <w:tcW w:w="767" w:type="dxa"/>
            <w:tcBorders>
              <w:top w:val="single" w:sz="8" w:space="0" w:color="auto"/>
              <w:left w:val="nil"/>
              <w:bottom w:val="nil"/>
              <w:right w:val="single" w:sz="8" w:space="0" w:color="auto"/>
            </w:tcBorders>
            <w:shd w:val="clear" w:color="auto" w:fill="auto"/>
            <w:vAlign w:val="center"/>
            <w:hideMark/>
          </w:tcPr>
          <w:p w14:paraId="6A294C2A" w14:textId="21A324C8" w:rsidR="00A55E92" w:rsidRPr="00596859" w:rsidRDefault="00A55E92" w:rsidP="00A55E92">
            <w:pPr>
              <w:jc w:val="center"/>
              <w:rPr>
                <w:rFonts w:cs="Arial"/>
                <w:b/>
                <w:bCs/>
                <w:color w:val="000000"/>
                <w:sz w:val="22"/>
                <w:szCs w:val="22"/>
                <w:lang w:eastAsia="en-GB"/>
              </w:rPr>
            </w:pPr>
            <w:r w:rsidRPr="00596859">
              <w:rPr>
                <w:rFonts w:cs="Arial"/>
                <w:b/>
                <w:bCs/>
                <w:color w:val="000000"/>
                <w:sz w:val="22"/>
                <w:szCs w:val="22"/>
                <w:lang w:eastAsia="en-GB"/>
              </w:rPr>
              <w:t>30</w:t>
            </w:r>
            <w:r w:rsidR="00794B20" w:rsidRPr="00596859">
              <w:rPr>
                <w:rFonts w:cs="Arial"/>
                <w:b/>
                <w:color w:val="000000"/>
                <w:sz w:val="22"/>
                <w:szCs w:val="22"/>
                <w:lang w:eastAsia="en-GB"/>
              </w:rPr>
              <w:t>/31</w:t>
            </w:r>
          </w:p>
        </w:tc>
        <w:tc>
          <w:tcPr>
            <w:tcW w:w="1085" w:type="dxa"/>
            <w:tcBorders>
              <w:top w:val="single" w:sz="8" w:space="0" w:color="auto"/>
              <w:left w:val="nil"/>
              <w:bottom w:val="nil"/>
              <w:right w:val="single" w:sz="8" w:space="0" w:color="auto"/>
            </w:tcBorders>
            <w:shd w:val="clear" w:color="auto" w:fill="auto"/>
            <w:vAlign w:val="center"/>
            <w:hideMark/>
          </w:tcPr>
          <w:p w14:paraId="4D5BE3CA" w14:textId="799DF482" w:rsidR="00A55E92" w:rsidRPr="00596859" w:rsidRDefault="00794B20" w:rsidP="00A55E92">
            <w:pPr>
              <w:jc w:val="center"/>
              <w:rPr>
                <w:rFonts w:cs="Arial"/>
                <w:b/>
                <w:bCs/>
                <w:color w:val="000000"/>
                <w:sz w:val="22"/>
                <w:szCs w:val="22"/>
                <w:lang w:eastAsia="en-GB"/>
              </w:rPr>
            </w:pPr>
            <w:r w:rsidRPr="00596859">
              <w:rPr>
                <w:rFonts w:cs="Arial"/>
                <w:b/>
                <w:color w:val="000000"/>
                <w:sz w:val="22"/>
                <w:szCs w:val="22"/>
                <w:lang w:eastAsia="en-GB"/>
              </w:rPr>
              <w:t>Annual Average</w:t>
            </w:r>
          </w:p>
        </w:tc>
      </w:tr>
      <w:tr w:rsidR="00F3245D" w:rsidRPr="00A55E92" w14:paraId="1A6A4416" w14:textId="77777777" w:rsidTr="006444CF">
        <w:trPr>
          <w:trHeight w:val="213"/>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27396F8" w14:textId="77777777" w:rsidR="00F3245D" w:rsidRPr="00596859" w:rsidRDefault="00F3245D" w:rsidP="00F3245D">
            <w:pPr>
              <w:rPr>
                <w:rFonts w:cs="Arial"/>
                <w:color w:val="000000"/>
                <w:sz w:val="22"/>
                <w:szCs w:val="22"/>
                <w:lang w:eastAsia="en-GB"/>
              </w:rPr>
            </w:pPr>
            <w:r w:rsidRPr="00596859">
              <w:rPr>
                <w:rFonts w:cs="Arial"/>
                <w:color w:val="000000"/>
                <w:sz w:val="22"/>
                <w:szCs w:val="22"/>
                <w:lang w:eastAsia="en-GB"/>
              </w:rPr>
              <w:t>10% reduction in volumes</w:t>
            </w:r>
          </w:p>
        </w:tc>
        <w:tc>
          <w:tcPr>
            <w:tcW w:w="850" w:type="dxa"/>
            <w:tcBorders>
              <w:top w:val="single" w:sz="4" w:space="0" w:color="auto"/>
              <w:left w:val="nil"/>
              <w:bottom w:val="single" w:sz="4" w:space="0" w:color="auto"/>
              <w:right w:val="single" w:sz="8" w:space="0" w:color="auto"/>
            </w:tcBorders>
            <w:shd w:val="clear" w:color="auto" w:fill="auto"/>
            <w:noWrap/>
            <w:hideMark/>
          </w:tcPr>
          <w:p w14:paraId="377386F4" w14:textId="2F065B55" w:rsidR="00F3245D" w:rsidRPr="00F3245D" w:rsidRDefault="00F3245D" w:rsidP="00F3245D">
            <w:pPr>
              <w:jc w:val="right"/>
              <w:rPr>
                <w:rFonts w:cs="Arial"/>
                <w:color w:val="000000"/>
                <w:sz w:val="22"/>
                <w:szCs w:val="22"/>
                <w:lang w:eastAsia="en-GB"/>
              </w:rPr>
            </w:pPr>
            <w:r w:rsidRPr="00F3245D">
              <w:rPr>
                <w:sz w:val="22"/>
                <w:szCs w:val="22"/>
              </w:rPr>
              <w:t>£11</w:t>
            </w:r>
          </w:p>
        </w:tc>
        <w:tc>
          <w:tcPr>
            <w:tcW w:w="767" w:type="dxa"/>
            <w:tcBorders>
              <w:top w:val="single" w:sz="4" w:space="0" w:color="auto"/>
              <w:left w:val="nil"/>
              <w:bottom w:val="single" w:sz="4" w:space="0" w:color="auto"/>
              <w:right w:val="single" w:sz="8" w:space="0" w:color="auto"/>
            </w:tcBorders>
            <w:shd w:val="clear" w:color="auto" w:fill="auto"/>
            <w:noWrap/>
            <w:hideMark/>
          </w:tcPr>
          <w:p w14:paraId="660D16D4" w14:textId="4096E485" w:rsidR="00F3245D" w:rsidRPr="00F3245D" w:rsidRDefault="00F3245D" w:rsidP="00F3245D">
            <w:pPr>
              <w:jc w:val="right"/>
              <w:rPr>
                <w:rFonts w:cs="Arial"/>
                <w:color w:val="000000"/>
                <w:sz w:val="22"/>
                <w:szCs w:val="22"/>
                <w:lang w:eastAsia="en-GB"/>
              </w:rPr>
            </w:pPr>
            <w:r w:rsidRPr="00F3245D">
              <w:rPr>
                <w:sz w:val="22"/>
                <w:szCs w:val="22"/>
              </w:rPr>
              <w:t>£23</w:t>
            </w:r>
          </w:p>
        </w:tc>
        <w:tc>
          <w:tcPr>
            <w:tcW w:w="793" w:type="dxa"/>
            <w:tcBorders>
              <w:top w:val="single" w:sz="4" w:space="0" w:color="auto"/>
              <w:left w:val="nil"/>
              <w:bottom w:val="single" w:sz="4" w:space="0" w:color="auto"/>
              <w:right w:val="single" w:sz="8" w:space="0" w:color="auto"/>
            </w:tcBorders>
            <w:shd w:val="clear" w:color="auto" w:fill="auto"/>
            <w:noWrap/>
            <w:hideMark/>
          </w:tcPr>
          <w:p w14:paraId="1F31BB34" w14:textId="094DE0AD" w:rsidR="00F3245D" w:rsidRPr="00F3245D" w:rsidRDefault="00F3245D" w:rsidP="00F3245D">
            <w:pPr>
              <w:jc w:val="right"/>
              <w:rPr>
                <w:rFonts w:cs="Arial"/>
                <w:color w:val="000000"/>
                <w:sz w:val="22"/>
                <w:szCs w:val="22"/>
                <w:lang w:eastAsia="en-GB"/>
              </w:rPr>
            </w:pPr>
            <w:r w:rsidRPr="00F3245D">
              <w:rPr>
                <w:sz w:val="22"/>
                <w:szCs w:val="22"/>
              </w:rPr>
              <w:t>£22</w:t>
            </w:r>
          </w:p>
        </w:tc>
        <w:tc>
          <w:tcPr>
            <w:tcW w:w="850" w:type="dxa"/>
            <w:tcBorders>
              <w:top w:val="single" w:sz="4" w:space="0" w:color="auto"/>
              <w:left w:val="nil"/>
              <w:bottom w:val="single" w:sz="4" w:space="0" w:color="auto"/>
              <w:right w:val="single" w:sz="8" w:space="0" w:color="auto"/>
            </w:tcBorders>
            <w:shd w:val="clear" w:color="auto" w:fill="auto"/>
            <w:noWrap/>
            <w:hideMark/>
          </w:tcPr>
          <w:p w14:paraId="51E77ADA" w14:textId="22042F34" w:rsidR="00F3245D" w:rsidRPr="00F3245D" w:rsidRDefault="00F3245D" w:rsidP="00F3245D">
            <w:pPr>
              <w:jc w:val="right"/>
              <w:rPr>
                <w:rFonts w:cs="Arial"/>
                <w:color w:val="000000"/>
                <w:sz w:val="22"/>
                <w:szCs w:val="22"/>
                <w:lang w:eastAsia="en-GB"/>
              </w:rPr>
            </w:pPr>
            <w:r w:rsidRPr="00F3245D">
              <w:rPr>
                <w:sz w:val="22"/>
                <w:szCs w:val="22"/>
              </w:rPr>
              <w:t>£22</w:t>
            </w:r>
          </w:p>
        </w:tc>
        <w:tc>
          <w:tcPr>
            <w:tcW w:w="767" w:type="dxa"/>
            <w:tcBorders>
              <w:top w:val="single" w:sz="4" w:space="0" w:color="auto"/>
              <w:left w:val="nil"/>
              <w:bottom w:val="single" w:sz="4" w:space="0" w:color="auto"/>
              <w:right w:val="single" w:sz="8" w:space="0" w:color="auto"/>
            </w:tcBorders>
            <w:shd w:val="clear" w:color="auto" w:fill="auto"/>
            <w:noWrap/>
            <w:hideMark/>
          </w:tcPr>
          <w:p w14:paraId="3860E98B" w14:textId="5C39326B" w:rsidR="00F3245D" w:rsidRPr="00F3245D" w:rsidRDefault="00F3245D" w:rsidP="00F3245D">
            <w:pPr>
              <w:jc w:val="right"/>
              <w:rPr>
                <w:rFonts w:cs="Arial"/>
                <w:color w:val="000000"/>
                <w:sz w:val="22"/>
                <w:szCs w:val="22"/>
                <w:lang w:eastAsia="en-GB"/>
              </w:rPr>
            </w:pPr>
            <w:r w:rsidRPr="00F3245D">
              <w:rPr>
                <w:sz w:val="22"/>
                <w:szCs w:val="22"/>
              </w:rPr>
              <w:t>£21</w:t>
            </w:r>
          </w:p>
        </w:tc>
        <w:tc>
          <w:tcPr>
            <w:tcW w:w="792" w:type="dxa"/>
            <w:tcBorders>
              <w:top w:val="single" w:sz="4" w:space="0" w:color="auto"/>
              <w:left w:val="nil"/>
              <w:bottom w:val="single" w:sz="4" w:space="0" w:color="auto"/>
              <w:right w:val="single" w:sz="8" w:space="0" w:color="auto"/>
            </w:tcBorders>
            <w:shd w:val="clear" w:color="auto" w:fill="auto"/>
            <w:noWrap/>
            <w:hideMark/>
          </w:tcPr>
          <w:p w14:paraId="78EC45FF" w14:textId="3165D860" w:rsidR="00F3245D" w:rsidRPr="00F3245D" w:rsidRDefault="00F3245D" w:rsidP="00F3245D">
            <w:pPr>
              <w:jc w:val="right"/>
              <w:rPr>
                <w:rFonts w:cs="Arial"/>
                <w:color w:val="000000"/>
                <w:sz w:val="22"/>
                <w:szCs w:val="22"/>
                <w:lang w:eastAsia="en-GB"/>
              </w:rPr>
            </w:pPr>
            <w:r w:rsidRPr="00F3245D">
              <w:rPr>
                <w:sz w:val="22"/>
                <w:szCs w:val="22"/>
              </w:rPr>
              <w:t>£21</w:t>
            </w:r>
          </w:p>
        </w:tc>
        <w:tc>
          <w:tcPr>
            <w:tcW w:w="851" w:type="dxa"/>
            <w:tcBorders>
              <w:top w:val="single" w:sz="4" w:space="0" w:color="auto"/>
              <w:left w:val="nil"/>
              <w:bottom w:val="single" w:sz="4" w:space="0" w:color="auto"/>
              <w:right w:val="single" w:sz="8" w:space="0" w:color="auto"/>
            </w:tcBorders>
            <w:shd w:val="clear" w:color="auto" w:fill="auto"/>
            <w:noWrap/>
            <w:hideMark/>
          </w:tcPr>
          <w:p w14:paraId="1B4632F0" w14:textId="1BE01625" w:rsidR="00F3245D" w:rsidRPr="00F3245D" w:rsidRDefault="00F3245D" w:rsidP="00F3245D">
            <w:pPr>
              <w:jc w:val="right"/>
              <w:rPr>
                <w:rFonts w:cs="Arial"/>
                <w:color w:val="000000"/>
                <w:sz w:val="22"/>
                <w:szCs w:val="22"/>
                <w:lang w:eastAsia="en-GB"/>
              </w:rPr>
            </w:pPr>
            <w:r w:rsidRPr="00F3245D">
              <w:rPr>
                <w:sz w:val="22"/>
                <w:szCs w:val="22"/>
              </w:rPr>
              <w:t>£20</w:t>
            </w:r>
          </w:p>
        </w:tc>
        <w:tc>
          <w:tcPr>
            <w:tcW w:w="767" w:type="dxa"/>
            <w:tcBorders>
              <w:top w:val="single" w:sz="4" w:space="0" w:color="auto"/>
              <w:left w:val="nil"/>
              <w:bottom w:val="single" w:sz="4" w:space="0" w:color="auto"/>
              <w:right w:val="single" w:sz="8" w:space="0" w:color="auto"/>
            </w:tcBorders>
            <w:shd w:val="clear" w:color="auto" w:fill="auto"/>
            <w:noWrap/>
            <w:hideMark/>
          </w:tcPr>
          <w:p w14:paraId="6F1CD8DB" w14:textId="6430C9A9" w:rsidR="00F3245D" w:rsidRPr="00F3245D" w:rsidRDefault="00F3245D" w:rsidP="00F3245D">
            <w:pPr>
              <w:jc w:val="right"/>
              <w:rPr>
                <w:rFonts w:cs="Arial"/>
                <w:color w:val="000000"/>
                <w:sz w:val="22"/>
                <w:szCs w:val="22"/>
                <w:lang w:eastAsia="en-GB"/>
              </w:rPr>
            </w:pPr>
            <w:r w:rsidRPr="00F3245D">
              <w:rPr>
                <w:sz w:val="22"/>
                <w:szCs w:val="22"/>
              </w:rPr>
              <w:t>£20</w:t>
            </w:r>
          </w:p>
        </w:tc>
        <w:tc>
          <w:tcPr>
            <w:tcW w:w="792" w:type="dxa"/>
            <w:tcBorders>
              <w:top w:val="single" w:sz="4" w:space="0" w:color="auto"/>
              <w:left w:val="nil"/>
              <w:bottom w:val="single" w:sz="4" w:space="0" w:color="auto"/>
              <w:right w:val="single" w:sz="8" w:space="0" w:color="auto"/>
            </w:tcBorders>
            <w:shd w:val="clear" w:color="auto" w:fill="auto"/>
            <w:noWrap/>
            <w:hideMark/>
          </w:tcPr>
          <w:p w14:paraId="40B84830" w14:textId="4B6E55C6" w:rsidR="00F3245D" w:rsidRPr="00F3245D" w:rsidRDefault="00F3245D" w:rsidP="00F3245D">
            <w:pPr>
              <w:jc w:val="right"/>
              <w:rPr>
                <w:rFonts w:cs="Arial"/>
                <w:color w:val="000000"/>
                <w:sz w:val="22"/>
                <w:szCs w:val="22"/>
                <w:lang w:eastAsia="en-GB"/>
              </w:rPr>
            </w:pPr>
            <w:r w:rsidRPr="00F3245D">
              <w:rPr>
                <w:sz w:val="22"/>
                <w:szCs w:val="22"/>
              </w:rPr>
              <w:t>£19</w:t>
            </w:r>
          </w:p>
        </w:tc>
        <w:tc>
          <w:tcPr>
            <w:tcW w:w="767" w:type="dxa"/>
            <w:tcBorders>
              <w:top w:val="single" w:sz="4" w:space="0" w:color="auto"/>
              <w:left w:val="nil"/>
              <w:bottom w:val="single" w:sz="4" w:space="0" w:color="auto"/>
              <w:right w:val="single" w:sz="8" w:space="0" w:color="auto"/>
            </w:tcBorders>
            <w:shd w:val="clear" w:color="auto" w:fill="auto"/>
            <w:noWrap/>
            <w:hideMark/>
          </w:tcPr>
          <w:p w14:paraId="78B63260" w14:textId="64B08EBC" w:rsidR="00F3245D" w:rsidRPr="00F3245D" w:rsidRDefault="00F3245D" w:rsidP="00F3245D">
            <w:pPr>
              <w:jc w:val="right"/>
              <w:rPr>
                <w:rFonts w:cs="Arial"/>
                <w:color w:val="000000"/>
                <w:sz w:val="22"/>
                <w:szCs w:val="22"/>
                <w:lang w:eastAsia="en-GB"/>
              </w:rPr>
            </w:pPr>
            <w:r w:rsidRPr="00F3245D">
              <w:rPr>
                <w:sz w:val="22"/>
                <w:szCs w:val="22"/>
              </w:rPr>
              <w:t>£19</w:t>
            </w:r>
          </w:p>
        </w:tc>
        <w:tc>
          <w:tcPr>
            <w:tcW w:w="1085" w:type="dxa"/>
            <w:tcBorders>
              <w:top w:val="single" w:sz="4" w:space="0" w:color="auto"/>
              <w:left w:val="single" w:sz="4" w:space="0" w:color="auto"/>
              <w:bottom w:val="single" w:sz="4" w:space="0" w:color="auto"/>
              <w:right w:val="single" w:sz="8" w:space="0" w:color="auto"/>
            </w:tcBorders>
            <w:shd w:val="clear" w:color="auto" w:fill="auto"/>
            <w:noWrap/>
            <w:hideMark/>
          </w:tcPr>
          <w:p w14:paraId="00B77E05" w14:textId="6B07A8BA" w:rsidR="00F3245D" w:rsidRPr="00F3245D" w:rsidRDefault="00F3245D" w:rsidP="00F3245D">
            <w:pPr>
              <w:jc w:val="right"/>
              <w:rPr>
                <w:rFonts w:cs="Arial"/>
                <w:color w:val="000000"/>
                <w:sz w:val="22"/>
                <w:szCs w:val="22"/>
                <w:lang w:eastAsia="en-GB"/>
              </w:rPr>
            </w:pPr>
            <w:r w:rsidRPr="00F3245D">
              <w:rPr>
                <w:sz w:val="22"/>
                <w:szCs w:val="22"/>
              </w:rPr>
              <w:t>£20</w:t>
            </w:r>
          </w:p>
        </w:tc>
      </w:tr>
      <w:tr w:rsidR="00F3245D" w:rsidRPr="00A55E92" w14:paraId="7CE711E0" w14:textId="77777777" w:rsidTr="006444CF">
        <w:trPr>
          <w:trHeight w:val="328"/>
        </w:trPr>
        <w:tc>
          <w:tcPr>
            <w:tcW w:w="1408" w:type="dxa"/>
            <w:tcBorders>
              <w:top w:val="nil"/>
              <w:left w:val="single" w:sz="8" w:space="0" w:color="auto"/>
              <w:bottom w:val="single" w:sz="4" w:space="0" w:color="auto"/>
              <w:right w:val="single" w:sz="8" w:space="0" w:color="auto"/>
            </w:tcBorders>
            <w:shd w:val="clear" w:color="auto" w:fill="auto"/>
            <w:noWrap/>
            <w:vAlign w:val="bottom"/>
            <w:hideMark/>
          </w:tcPr>
          <w:p w14:paraId="79C2B14B" w14:textId="77777777" w:rsidR="00F3245D" w:rsidRPr="00596859" w:rsidRDefault="00F3245D" w:rsidP="00F3245D">
            <w:pPr>
              <w:rPr>
                <w:rFonts w:cs="Arial"/>
                <w:color w:val="000000"/>
                <w:sz w:val="22"/>
                <w:szCs w:val="22"/>
                <w:lang w:eastAsia="en-GB"/>
              </w:rPr>
            </w:pPr>
            <w:r w:rsidRPr="00596859">
              <w:rPr>
                <w:rFonts w:cs="Arial"/>
                <w:color w:val="000000"/>
                <w:sz w:val="22"/>
                <w:szCs w:val="22"/>
                <w:lang w:eastAsia="en-GB"/>
              </w:rPr>
              <w:t>Best estimate</w:t>
            </w:r>
          </w:p>
        </w:tc>
        <w:tc>
          <w:tcPr>
            <w:tcW w:w="850" w:type="dxa"/>
            <w:tcBorders>
              <w:top w:val="nil"/>
              <w:left w:val="nil"/>
              <w:bottom w:val="single" w:sz="4" w:space="0" w:color="auto"/>
              <w:right w:val="single" w:sz="8" w:space="0" w:color="auto"/>
            </w:tcBorders>
            <w:shd w:val="clear" w:color="auto" w:fill="auto"/>
            <w:noWrap/>
            <w:hideMark/>
          </w:tcPr>
          <w:p w14:paraId="3D188385" w14:textId="10343F2F" w:rsidR="00F3245D" w:rsidRPr="00F3245D" w:rsidRDefault="00F3245D" w:rsidP="00F3245D">
            <w:pPr>
              <w:jc w:val="right"/>
              <w:rPr>
                <w:rFonts w:cs="Arial"/>
                <w:color w:val="000000"/>
                <w:sz w:val="22"/>
                <w:szCs w:val="22"/>
                <w:lang w:eastAsia="en-GB"/>
              </w:rPr>
            </w:pPr>
            <w:r w:rsidRPr="00F3245D">
              <w:rPr>
                <w:sz w:val="22"/>
                <w:szCs w:val="22"/>
              </w:rPr>
              <w:t>£13</w:t>
            </w:r>
          </w:p>
        </w:tc>
        <w:tc>
          <w:tcPr>
            <w:tcW w:w="767" w:type="dxa"/>
            <w:tcBorders>
              <w:top w:val="nil"/>
              <w:left w:val="nil"/>
              <w:bottom w:val="single" w:sz="4" w:space="0" w:color="auto"/>
              <w:right w:val="single" w:sz="8" w:space="0" w:color="auto"/>
            </w:tcBorders>
            <w:shd w:val="clear" w:color="auto" w:fill="auto"/>
            <w:noWrap/>
            <w:hideMark/>
          </w:tcPr>
          <w:p w14:paraId="707A4B86" w14:textId="2B3E5914" w:rsidR="00F3245D" w:rsidRPr="00F3245D" w:rsidRDefault="00F3245D" w:rsidP="00F3245D">
            <w:pPr>
              <w:jc w:val="right"/>
              <w:rPr>
                <w:rFonts w:cs="Arial"/>
                <w:color w:val="000000"/>
                <w:sz w:val="22"/>
                <w:szCs w:val="22"/>
                <w:lang w:eastAsia="en-GB"/>
              </w:rPr>
            </w:pPr>
            <w:r w:rsidRPr="00F3245D">
              <w:rPr>
                <w:sz w:val="22"/>
                <w:szCs w:val="22"/>
              </w:rPr>
              <w:t>£25</w:t>
            </w:r>
          </w:p>
        </w:tc>
        <w:tc>
          <w:tcPr>
            <w:tcW w:w="793" w:type="dxa"/>
            <w:tcBorders>
              <w:top w:val="nil"/>
              <w:left w:val="nil"/>
              <w:bottom w:val="single" w:sz="4" w:space="0" w:color="auto"/>
              <w:right w:val="single" w:sz="8" w:space="0" w:color="auto"/>
            </w:tcBorders>
            <w:shd w:val="clear" w:color="auto" w:fill="auto"/>
            <w:noWrap/>
            <w:hideMark/>
          </w:tcPr>
          <w:p w14:paraId="1EB03517" w14:textId="2A7B4CF6" w:rsidR="00F3245D" w:rsidRPr="00F3245D" w:rsidRDefault="00F3245D" w:rsidP="00F3245D">
            <w:pPr>
              <w:jc w:val="right"/>
              <w:rPr>
                <w:rFonts w:cs="Arial"/>
                <w:color w:val="000000"/>
                <w:sz w:val="22"/>
                <w:szCs w:val="22"/>
                <w:lang w:eastAsia="en-GB"/>
              </w:rPr>
            </w:pPr>
            <w:r w:rsidRPr="00F3245D">
              <w:rPr>
                <w:sz w:val="22"/>
                <w:szCs w:val="22"/>
              </w:rPr>
              <w:t>£25</w:t>
            </w:r>
          </w:p>
        </w:tc>
        <w:tc>
          <w:tcPr>
            <w:tcW w:w="850" w:type="dxa"/>
            <w:tcBorders>
              <w:top w:val="nil"/>
              <w:left w:val="nil"/>
              <w:bottom w:val="single" w:sz="4" w:space="0" w:color="auto"/>
              <w:right w:val="single" w:sz="8" w:space="0" w:color="auto"/>
            </w:tcBorders>
            <w:shd w:val="clear" w:color="auto" w:fill="auto"/>
            <w:noWrap/>
            <w:hideMark/>
          </w:tcPr>
          <w:p w14:paraId="68F16BED" w14:textId="6E56822E" w:rsidR="00F3245D" w:rsidRPr="00F3245D" w:rsidRDefault="00F3245D" w:rsidP="00F3245D">
            <w:pPr>
              <w:jc w:val="right"/>
              <w:rPr>
                <w:rFonts w:cs="Arial"/>
                <w:color w:val="000000"/>
                <w:sz w:val="22"/>
                <w:szCs w:val="22"/>
                <w:lang w:eastAsia="en-GB"/>
              </w:rPr>
            </w:pPr>
            <w:r w:rsidRPr="00F3245D">
              <w:rPr>
                <w:sz w:val="22"/>
                <w:szCs w:val="22"/>
              </w:rPr>
              <w:t>£24</w:t>
            </w:r>
          </w:p>
        </w:tc>
        <w:tc>
          <w:tcPr>
            <w:tcW w:w="767" w:type="dxa"/>
            <w:tcBorders>
              <w:top w:val="nil"/>
              <w:left w:val="nil"/>
              <w:bottom w:val="single" w:sz="4" w:space="0" w:color="auto"/>
              <w:right w:val="single" w:sz="8" w:space="0" w:color="auto"/>
            </w:tcBorders>
            <w:shd w:val="clear" w:color="auto" w:fill="auto"/>
            <w:noWrap/>
            <w:hideMark/>
          </w:tcPr>
          <w:p w14:paraId="10C64243" w14:textId="6186FB94" w:rsidR="00F3245D" w:rsidRPr="00F3245D" w:rsidRDefault="00F3245D" w:rsidP="00F3245D">
            <w:pPr>
              <w:jc w:val="right"/>
              <w:rPr>
                <w:rFonts w:cs="Arial"/>
                <w:color w:val="000000"/>
                <w:sz w:val="22"/>
                <w:szCs w:val="22"/>
                <w:lang w:eastAsia="en-GB"/>
              </w:rPr>
            </w:pPr>
            <w:r w:rsidRPr="00F3245D">
              <w:rPr>
                <w:sz w:val="22"/>
                <w:szCs w:val="22"/>
              </w:rPr>
              <w:t>£24</w:t>
            </w:r>
          </w:p>
        </w:tc>
        <w:tc>
          <w:tcPr>
            <w:tcW w:w="792" w:type="dxa"/>
            <w:tcBorders>
              <w:top w:val="nil"/>
              <w:left w:val="nil"/>
              <w:bottom w:val="single" w:sz="4" w:space="0" w:color="auto"/>
              <w:right w:val="single" w:sz="8" w:space="0" w:color="auto"/>
            </w:tcBorders>
            <w:shd w:val="clear" w:color="auto" w:fill="auto"/>
            <w:noWrap/>
            <w:hideMark/>
          </w:tcPr>
          <w:p w14:paraId="20E8ABAE" w14:textId="2E870C8D" w:rsidR="00F3245D" w:rsidRPr="00F3245D" w:rsidRDefault="00F3245D" w:rsidP="00F3245D">
            <w:pPr>
              <w:jc w:val="right"/>
              <w:rPr>
                <w:rFonts w:cs="Arial"/>
                <w:color w:val="000000"/>
                <w:sz w:val="22"/>
                <w:szCs w:val="22"/>
                <w:lang w:eastAsia="en-GB"/>
              </w:rPr>
            </w:pPr>
            <w:r w:rsidRPr="00F3245D">
              <w:rPr>
                <w:sz w:val="22"/>
                <w:szCs w:val="22"/>
              </w:rPr>
              <w:t>£23</w:t>
            </w:r>
          </w:p>
        </w:tc>
        <w:tc>
          <w:tcPr>
            <w:tcW w:w="851" w:type="dxa"/>
            <w:tcBorders>
              <w:top w:val="nil"/>
              <w:left w:val="nil"/>
              <w:bottom w:val="single" w:sz="4" w:space="0" w:color="auto"/>
              <w:right w:val="single" w:sz="8" w:space="0" w:color="auto"/>
            </w:tcBorders>
            <w:shd w:val="clear" w:color="auto" w:fill="auto"/>
            <w:noWrap/>
            <w:hideMark/>
          </w:tcPr>
          <w:p w14:paraId="190EF38D" w14:textId="315734F1" w:rsidR="00F3245D" w:rsidRPr="00F3245D" w:rsidRDefault="00F3245D" w:rsidP="00F3245D">
            <w:pPr>
              <w:jc w:val="right"/>
              <w:rPr>
                <w:rFonts w:cs="Arial"/>
                <w:color w:val="000000"/>
                <w:sz w:val="22"/>
                <w:szCs w:val="22"/>
                <w:lang w:eastAsia="en-GB"/>
              </w:rPr>
            </w:pPr>
            <w:r w:rsidRPr="00F3245D">
              <w:rPr>
                <w:sz w:val="22"/>
                <w:szCs w:val="22"/>
              </w:rPr>
              <w:t>£23</w:t>
            </w:r>
          </w:p>
        </w:tc>
        <w:tc>
          <w:tcPr>
            <w:tcW w:w="767" w:type="dxa"/>
            <w:tcBorders>
              <w:top w:val="nil"/>
              <w:left w:val="nil"/>
              <w:bottom w:val="single" w:sz="4" w:space="0" w:color="auto"/>
              <w:right w:val="single" w:sz="8" w:space="0" w:color="auto"/>
            </w:tcBorders>
            <w:shd w:val="clear" w:color="auto" w:fill="auto"/>
            <w:noWrap/>
            <w:hideMark/>
          </w:tcPr>
          <w:p w14:paraId="6DA22AAE" w14:textId="2B967B10" w:rsidR="00F3245D" w:rsidRPr="00F3245D" w:rsidRDefault="00F3245D" w:rsidP="00F3245D">
            <w:pPr>
              <w:jc w:val="right"/>
              <w:rPr>
                <w:rFonts w:cs="Arial"/>
                <w:color w:val="000000"/>
                <w:sz w:val="22"/>
                <w:szCs w:val="22"/>
                <w:lang w:eastAsia="en-GB"/>
              </w:rPr>
            </w:pPr>
            <w:r w:rsidRPr="00F3245D">
              <w:rPr>
                <w:sz w:val="22"/>
                <w:szCs w:val="22"/>
              </w:rPr>
              <w:t>£22</w:t>
            </w:r>
          </w:p>
        </w:tc>
        <w:tc>
          <w:tcPr>
            <w:tcW w:w="792" w:type="dxa"/>
            <w:tcBorders>
              <w:top w:val="nil"/>
              <w:left w:val="nil"/>
              <w:bottom w:val="single" w:sz="4" w:space="0" w:color="auto"/>
              <w:right w:val="single" w:sz="8" w:space="0" w:color="auto"/>
            </w:tcBorders>
            <w:shd w:val="clear" w:color="auto" w:fill="auto"/>
            <w:noWrap/>
            <w:hideMark/>
          </w:tcPr>
          <w:p w14:paraId="014C59D7" w14:textId="466D3777" w:rsidR="00F3245D" w:rsidRPr="00F3245D" w:rsidRDefault="00F3245D" w:rsidP="00F3245D">
            <w:pPr>
              <w:jc w:val="right"/>
              <w:rPr>
                <w:rFonts w:cs="Arial"/>
                <w:color w:val="000000"/>
                <w:sz w:val="22"/>
                <w:szCs w:val="22"/>
                <w:lang w:eastAsia="en-GB"/>
              </w:rPr>
            </w:pPr>
            <w:r w:rsidRPr="00F3245D">
              <w:rPr>
                <w:sz w:val="22"/>
                <w:szCs w:val="22"/>
              </w:rPr>
              <w:t>£22</w:t>
            </w:r>
          </w:p>
        </w:tc>
        <w:tc>
          <w:tcPr>
            <w:tcW w:w="767" w:type="dxa"/>
            <w:tcBorders>
              <w:top w:val="nil"/>
              <w:left w:val="nil"/>
              <w:bottom w:val="single" w:sz="4" w:space="0" w:color="auto"/>
              <w:right w:val="single" w:sz="8" w:space="0" w:color="auto"/>
            </w:tcBorders>
            <w:shd w:val="clear" w:color="auto" w:fill="auto"/>
            <w:noWrap/>
            <w:hideMark/>
          </w:tcPr>
          <w:p w14:paraId="691F2DB2" w14:textId="7A64BC61" w:rsidR="00F3245D" w:rsidRPr="00F3245D" w:rsidRDefault="00F3245D" w:rsidP="00F3245D">
            <w:pPr>
              <w:jc w:val="right"/>
              <w:rPr>
                <w:rFonts w:cs="Arial"/>
                <w:color w:val="000000"/>
                <w:sz w:val="22"/>
                <w:szCs w:val="22"/>
                <w:lang w:eastAsia="en-GB"/>
              </w:rPr>
            </w:pPr>
            <w:r w:rsidRPr="00F3245D">
              <w:rPr>
                <w:sz w:val="22"/>
                <w:szCs w:val="22"/>
              </w:rPr>
              <w:t>£21</w:t>
            </w:r>
          </w:p>
        </w:tc>
        <w:tc>
          <w:tcPr>
            <w:tcW w:w="1085" w:type="dxa"/>
            <w:tcBorders>
              <w:top w:val="nil"/>
              <w:left w:val="single" w:sz="4" w:space="0" w:color="auto"/>
              <w:bottom w:val="single" w:sz="4" w:space="0" w:color="auto"/>
              <w:right w:val="single" w:sz="8" w:space="0" w:color="auto"/>
            </w:tcBorders>
            <w:shd w:val="clear" w:color="auto" w:fill="auto"/>
            <w:noWrap/>
            <w:hideMark/>
          </w:tcPr>
          <w:p w14:paraId="6C290664" w14:textId="45556D70" w:rsidR="00F3245D" w:rsidRPr="00F3245D" w:rsidRDefault="00F3245D" w:rsidP="00F3245D">
            <w:pPr>
              <w:jc w:val="right"/>
              <w:rPr>
                <w:rFonts w:cs="Arial"/>
                <w:color w:val="000000"/>
                <w:sz w:val="22"/>
                <w:szCs w:val="22"/>
                <w:lang w:eastAsia="en-GB"/>
              </w:rPr>
            </w:pPr>
            <w:r w:rsidRPr="00F3245D">
              <w:rPr>
                <w:sz w:val="22"/>
                <w:szCs w:val="22"/>
              </w:rPr>
              <w:t>£22</w:t>
            </w:r>
          </w:p>
        </w:tc>
      </w:tr>
      <w:tr w:rsidR="00F3245D" w:rsidRPr="00A55E92" w14:paraId="0AADC193" w14:textId="77777777" w:rsidTr="006444CF">
        <w:trPr>
          <w:trHeight w:val="213"/>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14:paraId="47A5BFC7" w14:textId="77777777" w:rsidR="00F3245D" w:rsidRPr="00596859" w:rsidRDefault="00F3245D" w:rsidP="00F3245D">
            <w:pPr>
              <w:rPr>
                <w:rFonts w:cs="Arial"/>
                <w:color w:val="000000"/>
                <w:sz w:val="22"/>
                <w:szCs w:val="22"/>
                <w:lang w:eastAsia="en-GB"/>
              </w:rPr>
            </w:pPr>
            <w:r w:rsidRPr="00596859">
              <w:rPr>
                <w:rFonts w:cs="Arial"/>
                <w:color w:val="000000"/>
                <w:sz w:val="22"/>
                <w:szCs w:val="22"/>
                <w:lang w:eastAsia="en-GB"/>
              </w:rPr>
              <w:lastRenderedPageBreak/>
              <w:t>10% increase in volumes</w:t>
            </w:r>
          </w:p>
        </w:tc>
        <w:tc>
          <w:tcPr>
            <w:tcW w:w="850" w:type="dxa"/>
            <w:tcBorders>
              <w:top w:val="nil"/>
              <w:left w:val="nil"/>
              <w:bottom w:val="single" w:sz="8" w:space="0" w:color="auto"/>
              <w:right w:val="single" w:sz="8" w:space="0" w:color="auto"/>
            </w:tcBorders>
            <w:shd w:val="clear" w:color="auto" w:fill="auto"/>
            <w:noWrap/>
            <w:hideMark/>
          </w:tcPr>
          <w:p w14:paraId="3CBB0372" w14:textId="2E8DE673" w:rsidR="00F3245D" w:rsidRPr="00F3245D" w:rsidRDefault="00F3245D" w:rsidP="00F3245D">
            <w:pPr>
              <w:jc w:val="right"/>
              <w:rPr>
                <w:rFonts w:cs="Arial"/>
                <w:color w:val="000000"/>
                <w:sz w:val="22"/>
                <w:szCs w:val="22"/>
                <w:lang w:eastAsia="en-GB"/>
              </w:rPr>
            </w:pPr>
            <w:r w:rsidRPr="00F3245D">
              <w:rPr>
                <w:sz w:val="22"/>
                <w:szCs w:val="22"/>
              </w:rPr>
              <w:t>£14</w:t>
            </w:r>
          </w:p>
        </w:tc>
        <w:tc>
          <w:tcPr>
            <w:tcW w:w="767" w:type="dxa"/>
            <w:tcBorders>
              <w:top w:val="nil"/>
              <w:left w:val="nil"/>
              <w:bottom w:val="single" w:sz="8" w:space="0" w:color="auto"/>
              <w:right w:val="single" w:sz="8" w:space="0" w:color="auto"/>
            </w:tcBorders>
            <w:shd w:val="clear" w:color="auto" w:fill="auto"/>
            <w:noWrap/>
            <w:hideMark/>
          </w:tcPr>
          <w:p w14:paraId="6D7FF132" w14:textId="55DDBC47" w:rsidR="00F3245D" w:rsidRPr="00F3245D" w:rsidRDefault="00F3245D" w:rsidP="00F3245D">
            <w:pPr>
              <w:jc w:val="right"/>
              <w:rPr>
                <w:rFonts w:cs="Arial"/>
                <w:color w:val="000000"/>
                <w:sz w:val="22"/>
                <w:szCs w:val="22"/>
                <w:lang w:eastAsia="en-GB"/>
              </w:rPr>
            </w:pPr>
            <w:r w:rsidRPr="00F3245D">
              <w:rPr>
                <w:sz w:val="22"/>
                <w:szCs w:val="22"/>
              </w:rPr>
              <w:t>£28</w:t>
            </w:r>
          </w:p>
        </w:tc>
        <w:tc>
          <w:tcPr>
            <w:tcW w:w="793" w:type="dxa"/>
            <w:tcBorders>
              <w:top w:val="nil"/>
              <w:left w:val="nil"/>
              <w:bottom w:val="single" w:sz="8" w:space="0" w:color="auto"/>
              <w:right w:val="single" w:sz="8" w:space="0" w:color="auto"/>
            </w:tcBorders>
            <w:shd w:val="clear" w:color="auto" w:fill="auto"/>
            <w:noWrap/>
            <w:hideMark/>
          </w:tcPr>
          <w:p w14:paraId="605501A0" w14:textId="52F4D3F4" w:rsidR="00F3245D" w:rsidRPr="00F3245D" w:rsidRDefault="00F3245D" w:rsidP="00F3245D">
            <w:pPr>
              <w:jc w:val="right"/>
              <w:rPr>
                <w:rFonts w:cs="Arial"/>
                <w:color w:val="000000"/>
                <w:sz w:val="22"/>
                <w:szCs w:val="22"/>
                <w:lang w:eastAsia="en-GB"/>
              </w:rPr>
            </w:pPr>
            <w:r w:rsidRPr="00F3245D">
              <w:rPr>
                <w:sz w:val="22"/>
                <w:szCs w:val="22"/>
              </w:rPr>
              <w:t>£27</w:t>
            </w:r>
          </w:p>
        </w:tc>
        <w:tc>
          <w:tcPr>
            <w:tcW w:w="850" w:type="dxa"/>
            <w:tcBorders>
              <w:top w:val="nil"/>
              <w:left w:val="nil"/>
              <w:bottom w:val="single" w:sz="8" w:space="0" w:color="auto"/>
              <w:right w:val="single" w:sz="8" w:space="0" w:color="auto"/>
            </w:tcBorders>
            <w:shd w:val="clear" w:color="auto" w:fill="auto"/>
            <w:noWrap/>
            <w:hideMark/>
          </w:tcPr>
          <w:p w14:paraId="382C37B5" w14:textId="2108EAC5" w:rsidR="00F3245D" w:rsidRPr="00F3245D" w:rsidRDefault="00F3245D" w:rsidP="00F3245D">
            <w:pPr>
              <w:jc w:val="right"/>
              <w:rPr>
                <w:rFonts w:cs="Arial"/>
                <w:color w:val="000000"/>
                <w:sz w:val="22"/>
                <w:szCs w:val="22"/>
                <w:lang w:eastAsia="en-GB"/>
              </w:rPr>
            </w:pPr>
            <w:r w:rsidRPr="00F3245D">
              <w:rPr>
                <w:sz w:val="22"/>
                <w:szCs w:val="22"/>
              </w:rPr>
              <w:t>£27</w:t>
            </w:r>
          </w:p>
        </w:tc>
        <w:tc>
          <w:tcPr>
            <w:tcW w:w="767" w:type="dxa"/>
            <w:tcBorders>
              <w:top w:val="nil"/>
              <w:left w:val="nil"/>
              <w:bottom w:val="single" w:sz="8" w:space="0" w:color="auto"/>
              <w:right w:val="single" w:sz="8" w:space="0" w:color="auto"/>
            </w:tcBorders>
            <w:shd w:val="clear" w:color="auto" w:fill="auto"/>
            <w:noWrap/>
            <w:hideMark/>
          </w:tcPr>
          <w:p w14:paraId="1361F9C4" w14:textId="5D70EF0E" w:rsidR="00F3245D" w:rsidRPr="00F3245D" w:rsidRDefault="00F3245D" w:rsidP="00F3245D">
            <w:pPr>
              <w:jc w:val="right"/>
              <w:rPr>
                <w:rFonts w:cs="Arial"/>
                <w:color w:val="000000"/>
                <w:sz w:val="22"/>
                <w:szCs w:val="22"/>
                <w:lang w:eastAsia="en-GB"/>
              </w:rPr>
            </w:pPr>
            <w:r w:rsidRPr="00F3245D">
              <w:rPr>
                <w:sz w:val="22"/>
                <w:szCs w:val="22"/>
              </w:rPr>
              <w:t>£26</w:t>
            </w:r>
          </w:p>
        </w:tc>
        <w:tc>
          <w:tcPr>
            <w:tcW w:w="792" w:type="dxa"/>
            <w:tcBorders>
              <w:top w:val="nil"/>
              <w:left w:val="nil"/>
              <w:bottom w:val="single" w:sz="8" w:space="0" w:color="auto"/>
              <w:right w:val="single" w:sz="8" w:space="0" w:color="auto"/>
            </w:tcBorders>
            <w:shd w:val="clear" w:color="auto" w:fill="auto"/>
            <w:noWrap/>
            <w:hideMark/>
          </w:tcPr>
          <w:p w14:paraId="30B793F8" w14:textId="3B3DB201" w:rsidR="00F3245D" w:rsidRPr="00F3245D" w:rsidRDefault="00F3245D" w:rsidP="00F3245D">
            <w:pPr>
              <w:jc w:val="right"/>
              <w:rPr>
                <w:rFonts w:cs="Arial"/>
                <w:color w:val="000000"/>
                <w:sz w:val="22"/>
                <w:szCs w:val="22"/>
                <w:lang w:eastAsia="en-GB"/>
              </w:rPr>
            </w:pPr>
            <w:r w:rsidRPr="00F3245D">
              <w:rPr>
                <w:sz w:val="22"/>
                <w:szCs w:val="22"/>
              </w:rPr>
              <w:t>£25</w:t>
            </w:r>
          </w:p>
        </w:tc>
        <w:tc>
          <w:tcPr>
            <w:tcW w:w="851" w:type="dxa"/>
            <w:tcBorders>
              <w:top w:val="nil"/>
              <w:left w:val="nil"/>
              <w:bottom w:val="single" w:sz="8" w:space="0" w:color="auto"/>
              <w:right w:val="single" w:sz="8" w:space="0" w:color="auto"/>
            </w:tcBorders>
            <w:shd w:val="clear" w:color="auto" w:fill="auto"/>
            <w:noWrap/>
            <w:hideMark/>
          </w:tcPr>
          <w:p w14:paraId="0DB45AAD" w14:textId="3B9413F5" w:rsidR="00F3245D" w:rsidRPr="00F3245D" w:rsidRDefault="00F3245D" w:rsidP="00F3245D">
            <w:pPr>
              <w:jc w:val="right"/>
              <w:rPr>
                <w:rFonts w:cs="Arial"/>
                <w:color w:val="000000"/>
                <w:sz w:val="22"/>
                <w:szCs w:val="22"/>
                <w:lang w:eastAsia="en-GB"/>
              </w:rPr>
            </w:pPr>
            <w:r w:rsidRPr="00F3245D">
              <w:rPr>
                <w:sz w:val="22"/>
                <w:szCs w:val="22"/>
              </w:rPr>
              <w:t>£25</w:t>
            </w:r>
          </w:p>
        </w:tc>
        <w:tc>
          <w:tcPr>
            <w:tcW w:w="767" w:type="dxa"/>
            <w:tcBorders>
              <w:top w:val="nil"/>
              <w:left w:val="nil"/>
              <w:bottom w:val="single" w:sz="8" w:space="0" w:color="auto"/>
              <w:right w:val="single" w:sz="8" w:space="0" w:color="auto"/>
            </w:tcBorders>
            <w:shd w:val="clear" w:color="auto" w:fill="auto"/>
            <w:noWrap/>
            <w:hideMark/>
          </w:tcPr>
          <w:p w14:paraId="5B07608F" w14:textId="1EE0DF3F" w:rsidR="00F3245D" w:rsidRPr="00F3245D" w:rsidRDefault="00F3245D" w:rsidP="00F3245D">
            <w:pPr>
              <w:jc w:val="right"/>
              <w:rPr>
                <w:rFonts w:cs="Arial"/>
                <w:color w:val="000000"/>
                <w:sz w:val="22"/>
                <w:szCs w:val="22"/>
                <w:lang w:eastAsia="en-GB"/>
              </w:rPr>
            </w:pPr>
            <w:r w:rsidRPr="00F3245D">
              <w:rPr>
                <w:sz w:val="22"/>
                <w:szCs w:val="22"/>
              </w:rPr>
              <w:t>£24</w:t>
            </w:r>
          </w:p>
        </w:tc>
        <w:tc>
          <w:tcPr>
            <w:tcW w:w="792" w:type="dxa"/>
            <w:tcBorders>
              <w:top w:val="nil"/>
              <w:left w:val="nil"/>
              <w:bottom w:val="single" w:sz="8" w:space="0" w:color="auto"/>
              <w:right w:val="single" w:sz="8" w:space="0" w:color="auto"/>
            </w:tcBorders>
            <w:shd w:val="clear" w:color="auto" w:fill="auto"/>
            <w:noWrap/>
            <w:hideMark/>
          </w:tcPr>
          <w:p w14:paraId="45103341" w14:textId="604B2579" w:rsidR="00F3245D" w:rsidRPr="00F3245D" w:rsidRDefault="00F3245D" w:rsidP="00F3245D">
            <w:pPr>
              <w:jc w:val="right"/>
              <w:rPr>
                <w:rFonts w:cs="Arial"/>
                <w:color w:val="000000"/>
                <w:sz w:val="22"/>
                <w:szCs w:val="22"/>
                <w:lang w:eastAsia="en-GB"/>
              </w:rPr>
            </w:pPr>
            <w:r w:rsidRPr="00F3245D">
              <w:rPr>
                <w:sz w:val="22"/>
                <w:szCs w:val="22"/>
              </w:rPr>
              <w:t>£24</w:t>
            </w:r>
          </w:p>
        </w:tc>
        <w:tc>
          <w:tcPr>
            <w:tcW w:w="767" w:type="dxa"/>
            <w:tcBorders>
              <w:top w:val="nil"/>
              <w:left w:val="nil"/>
              <w:bottom w:val="single" w:sz="8" w:space="0" w:color="auto"/>
              <w:right w:val="single" w:sz="8" w:space="0" w:color="auto"/>
            </w:tcBorders>
            <w:shd w:val="clear" w:color="auto" w:fill="auto"/>
            <w:noWrap/>
            <w:hideMark/>
          </w:tcPr>
          <w:p w14:paraId="198B0E45" w14:textId="4013935E" w:rsidR="00F3245D" w:rsidRPr="00F3245D" w:rsidRDefault="00F3245D" w:rsidP="00F3245D">
            <w:pPr>
              <w:jc w:val="right"/>
              <w:rPr>
                <w:rFonts w:cs="Arial"/>
                <w:color w:val="000000"/>
                <w:sz w:val="22"/>
                <w:szCs w:val="22"/>
                <w:lang w:eastAsia="en-GB"/>
              </w:rPr>
            </w:pPr>
            <w:r w:rsidRPr="00F3245D">
              <w:rPr>
                <w:sz w:val="22"/>
                <w:szCs w:val="22"/>
              </w:rPr>
              <w:t>£23</w:t>
            </w:r>
          </w:p>
        </w:tc>
        <w:tc>
          <w:tcPr>
            <w:tcW w:w="1085" w:type="dxa"/>
            <w:tcBorders>
              <w:top w:val="nil"/>
              <w:left w:val="single" w:sz="4" w:space="0" w:color="auto"/>
              <w:bottom w:val="single" w:sz="8" w:space="0" w:color="auto"/>
              <w:right w:val="single" w:sz="8" w:space="0" w:color="auto"/>
            </w:tcBorders>
            <w:shd w:val="clear" w:color="auto" w:fill="auto"/>
            <w:noWrap/>
            <w:hideMark/>
          </w:tcPr>
          <w:p w14:paraId="06AF35C0" w14:textId="617DCF0C" w:rsidR="00F3245D" w:rsidRPr="00F3245D" w:rsidRDefault="00F3245D" w:rsidP="00F3245D">
            <w:pPr>
              <w:jc w:val="right"/>
              <w:rPr>
                <w:rFonts w:cs="Arial"/>
                <w:color w:val="000000"/>
                <w:sz w:val="22"/>
                <w:szCs w:val="22"/>
                <w:lang w:eastAsia="en-GB"/>
              </w:rPr>
            </w:pPr>
            <w:r w:rsidRPr="00F3245D">
              <w:rPr>
                <w:sz w:val="22"/>
                <w:szCs w:val="22"/>
              </w:rPr>
              <w:t>£24</w:t>
            </w:r>
          </w:p>
        </w:tc>
      </w:tr>
    </w:tbl>
    <w:p w14:paraId="3A9863CB" w14:textId="22AFE324" w:rsidR="00A55E92" w:rsidRPr="00877AC6" w:rsidRDefault="00A55E92" w:rsidP="00A55E92">
      <w:pPr>
        <w:pStyle w:val="EBNumber"/>
        <w:numPr>
          <w:ilvl w:val="0"/>
          <w:numId w:val="0"/>
        </w:numPr>
        <w:ind w:left="502" w:hanging="360"/>
        <w:rPr>
          <w:i/>
          <w:iCs/>
        </w:rPr>
      </w:pPr>
      <w:r w:rsidRPr="00877AC6">
        <w:rPr>
          <w:i/>
          <w:iCs/>
        </w:rPr>
        <w:t xml:space="preserve">Based on 2018/19 volumes; 2021/22 figures are for </w:t>
      </w:r>
      <w:r>
        <w:rPr>
          <w:i/>
          <w:iCs/>
        </w:rPr>
        <w:t>6</w:t>
      </w:r>
      <w:r w:rsidRPr="00877AC6">
        <w:rPr>
          <w:i/>
          <w:iCs/>
        </w:rPr>
        <w:t xml:space="preserve"> months</w:t>
      </w:r>
      <w:r>
        <w:rPr>
          <w:i/>
          <w:iCs/>
        </w:rPr>
        <w:t>; i</w:t>
      </w:r>
      <w:r w:rsidRPr="00877AC6">
        <w:rPr>
          <w:i/>
          <w:iCs/>
        </w:rPr>
        <w:t xml:space="preserve">ncome is </w:t>
      </w:r>
      <w:r w:rsidR="00625EB6">
        <w:rPr>
          <w:i/>
          <w:iCs/>
        </w:rPr>
        <w:t>net of</w:t>
      </w:r>
      <w:r w:rsidRPr="00877AC6">
        <w:rPr>
          <w:i/>
          <w:iCs/>
        </w:rPr>
        <w:t xml:space="preserve"> remissions.</w:t>
      </w:r>
    </w:p>
    <w:p w14:paraId="69E40AA2" w14:textId="4F26C1B2" w:rsidR="00224A56" w:rsidRPr="00430DE9" w:rsidRDefault="00224A56" w:rsidP="00430DE9">
      <w:pPr>
        <w:rPr>
          <w:bCs/>
          <w:iCs/>
          <w:lang w:eastAsia="en-GB"/>
        </w:rPr>
      </w:pPr>
    </w:p>
    <w:p w14:paraId="6C78D593" w14:textId="77777777" w:rsidR="00224A56" w:rsidRPr="00224A56" w:rsidRDefault="00224A56" w:rsidP="00224A56">
      <w:pPr>
        <w:rPr>
          <w:bCs/>
          <w:i/>
          <w:lang w:eastAsia="en-GB"/>
        </w:rPr>
      </w:pPr>
    </w:p>
    <w:p w14:paraId="6516D3C0" w14:textId="37C666E2" w:rsidR="00FB764A" w:rsidRPr="008B3260" w:rsidRDefault="00E95544" w:rsidP="00A47F8A">
      <w:pPr>
        <w:pStyle w:val="IANotes"/>
        <w:numPr>
          <w:ilvl w:val="0"/>
          <w:numId w:val="5"/>
        </w:numPr>
        <w:spacing w:before="240"/>
        <w:ind w:left="720" w:hanging="720"/>
        <w:rPr>
          <w:b/>
          <w:sz w:val="28"/>
          <w:szCs w:val="28"/>
        </w:rPr>
      </w:pPr>
      <w:r>
        <w:rPr>
          <w:b/>
          <w:color w:val="auto"/>
          <w:sz w:val="28"/>
          <w:szCs w:val="28"/>
        </w:rPr>
        <w:t>Wider Impacts</w:t>
      </w:r>
    </w:p>
    <w:p w14:paraId="5165C8CA" w14:textId="77777777" w:rsidR="00FB764A" w:rsidRPr="00912924" w:rsidRDefault="00E625F7" w:rsidP="00B7401F">
      <w:pPr>
        <w:pStyle w:val="IANotes"/>
        <w:spacing w:before="240"/>
        <w:rPr>
          <w:b/>
          <w:color w:val="000000" w:themeColor="text1"/>
          <w:szCs w:val="22"/>
        </w:rPr>
      </w:pPr>
      <w:r w:rsidRPr="00912924">
        <w:rPr>
          <w:b/>
          <w:color w:val="000000" w:themeColor="text1"/>
          <w:szCs w:val="22"/>
        </w:rPr>
        <w:t>Equality impacts</w:t>
      </w:r>
    </w:p>
    <w:p w14:paraId="694F571F" w14:textId="0777DAE8" w:rsidR="00E625F7" w:rsidRPr="00912924" w:rsidRDefault="00E625F7" w:rsidP="00B7401F">
      <w:pPr>
        <w:pStyle w:val="ListParagraph"/>
        <w:numPr>
          <w:ilvl w:val="0"/>
          <w:numId w:val="4"/>
        </w:numPr>
        <w:spacing w:before="240"/>
        <w:rPr>
          <w:rFonts w:cs="Arial"/>
          <w:color w:val="000000"/>
          <w:sz w:val="22"/>
          <w:szCs w:val="22"/>
          <w:lang w:eastAsia="en-GB"/>
        </w:rPr>
      </w:pPr>
      <w:r w:rsidRPr="00912924">
        <w:rPr>
          <w:rFonts w:cs="Arial"/>
          <w:color w:val="000000" w:themeColor="text1"/>
          <w:sz w:val="22"/>
          <w:szCs w:val="22"/>
          <w:lang w:eastAsia="en-GB"/>
        </w:rPr>
        <w:t>A separate equalities assessment has been produced for this proposal.</w:t>
      </w:r>
    </w:p>
    <w:p w14:paraId="1C15A4BD" w14:textId="59809B8B" w:rsidR="00AA5AF7" w:rsidRPr="00912924" w:rsidRDefault="00AA5AF7" w:rsidP="00B7401F">
      <w:pPr>
        <w:spacing w:before="240"/>
        <w:rPr>
          <w:rFonts w:cs="Arial"/>
          <w:b/>
          <w:bCs/>
          <w:color w:val="000000"/>
          <w:sz w:val="22"/>
          <w:szCs w:val="22"/>
          <w:lang w:eastAsia="en-GB"/>
        </w:rPr>
      </w:pPr>
      <w:r w:rsidRPr="086E8013">
        <w:rPr>
          <w:rFonts w:cs="Arial"/>
          <w:b/>
          <w:bCs/>
          <w:color w:val="000000" w:themeColor="text1"/>
          <w:sz w:val="22"/>
          <w:szCs w:val="22"/>
          <w:lang w:eastAsia="en-GB"/>
        </w:rPr>
        <w:t xml:space="preserve">Public </w:t>
      </w:r>
      <w:r w:rsidR="004B3668" w:rsidRPr="086E8013">
        <w:rPr>
          <w:rFonts w:cs="Arial"/>
          <w:b/>
          <w:bCs/>
          <w:color w:val="000000" w:themeColor="text1"/>
          <w:sz w:val="22"/>
          <w:szCs w:val="22"/>
          <w:lang w:eastAsia="en-GB"/>
        </w:rPr>
        <w:t>sector impacts</w:t>
      </w:r>
    </w:p>
    <w:p w14:paraId="3DD62EFC" w14:textId="48FFDA40" w:rsidR="002D5160" w:rsidRDefault="002D5160" w:rsidP="00C55D8A">
      <w:pPr>
        <w:pStyle w:val="EBNumber"/>
        <w:numPr>
          <w:ilvl w:val="0"/>
          <w:numId w:val="4"/>
        </w:numPr>
        <w:spacing w:before="360"/>
        <w:jc w:val="both"/>
      </w:pPr>
      <w:r>
        <w:t xml:space="preserve">Analysis of the impact to </w:t>
      </w:r>
      <w:r w:rsidR="00C55D8A">
        <w:t xml:space="preserve">local authorities, police and fire associations </w:t>
      </w:r>
      <w:r>
        <w:t>from the</w:t>
      </w:r>
      <w:r w:rsidR="00F413D7">
        <w:t>se</w:t>
      </w:r>
      <w:r>
        <w:t xml:space="preserve"> fee changes has been carried out based on the available data; however, for some fees not all payment channels will be covered and where a fee is </w:t>
      </w:r>
      <w:r w:rsidR="00881D09">
        <w:t xml:space="preserve">not </w:t>
      </w:r>
      <w:r>
        <w:t xml:space="preserve">paid solely by </w:t>
      </w:r>
      <w:r w:rsidR="00F413D7">
        <w:t>public users,</w:t>
      </w:r>
      <w:r>
        <w:t xml:space="preserve"> we are reliant on manual identification.  </w:t>
      </w:r>
    </w:p>
    <w:p w14:paraId="4787B0A1" w14:textId="2EFB04B0" w:rsidR="00CE6E8D" w:rsidRPr="007B56DD" w:rsidRDefault="00150D7E" w:rsidP="008B3260">
      <w:pPr>
        <w:pStyle w:val="EBNumber"/>
        <w:numPr>
          <w:ilvl w:val="0"/>
          <w:numId w:val="4"/>
        </w:numPr>
        <w:spacing w:before="360"/>
        <w:jc w:val="both"/>
      </w:pPr>
      <w:r w:rsidRPr="00EA6619">
        <w:t xml:space="preserve">There are </w:t>
      </w:r>
      <w:r w:rsidRPr="007B56DD">
        <w:t>t</w:t>
      </w:r>
      <w:r w:rsidR="00CE6E8D" w:rsidRPr="007B56DD">
        <w:t>hree</w:t>
      </w:r>
      <w:r w:rsidRPr="007B56DD">
        <w:t xml:space="preserve"> </w:t>
      </w:r>
      <w:r w:rsidR="00CE4B01" w:rsidRPr="007B56DD">
        <w:t xml:space="preserve">main </w:t>
      </w:r>
      <w:r w:rsidRPr="007B56DD">
        <w:t>fees being increased that are paid solely by local authorities. These are the fee for public law/supervision order cases (Application for proceedings under Section 31 of Act - Care or supervision proceedings instigated by Local Authorities)</w:t>
      </w:r>
      <w:r w:rsidR="00CE6E8D" w:rsidRPr="007B56DD">
        <w:t>, the fee for application for a placement order under Section 22</w:t>
      </w:r>
      <w:r w:rsidRPr="007B56DD">
        <w:t xml:space="preserve"> and the fee for </w:t>
      </w:r>
      <w:r w:rsidR="005043F1" w:rsidRPr="007B56DD">
        <w:t>r</w:t>
      </w:r>
      <w:r w:rsidRPr="007B56DD">
        <w:t>equest for an order to recover a specified road traffic debt</w:t>
      </w:r>
      <w:r w:rsidR="005043F1" w:rsidRPr="007B56DD">
        <w:t xml:space="preserve">. </w:t>
      </w:r>
    </w:p>
    <w:p w14:paraId="67005E3B" w14:textId="0D5B280D" w:rsidR="002F250E" w:rsidRPr="007B56DD" w:rsidRDefault="004B3668" w:rsidP="008B3260">
      <w:pPr>
        <w:pStyle w:val="EBNumber"/>
        <w:numPr>
          <w:ilvl w:val="0"/>
          <w:numId w:val="4"/>
        </w:numPr>
        <w:spacing w:before="360"/>
        <w:jc w:val="both"/>
      </w:pPr>
      <w:bookmarkStart w:id="61" w:name="_Ref75427676"/>
      <w:r w:rsidRPr="007B56DD">
        <w:t>The fee for public law/supervision order cases (Application for proceedings under Section 31 of Act - Care or supervision proceedings instigated by Local Authorities) is being increased by 7.</w:t>
      </w:r>
      <w:r w:rsidR="00F3245D" w:rsidRPr="007B56DD">
        <w:t>8</w:t>
      </w:r>
      <w:r w:rsidRPr="007B56DD">
        <w:t>%, from £2,055 to £2,21</w:t>
      </w:r>
      <w:r w:rsidR="00F3245D" w:rsidRPr="007B56DD">
        <w:t>5</w:t>
      </w:r>
      <w:r w:rsidRPr="007B56DD">
        <w:t xml:space="preserve"> (an increase of </w:t>
      </w:r>
      <w:r w:rsidRPr="007B56DD">
        <w:rPr>
          <w:rFonts w:eastAsia="Arial"/>
        </w:rPr>
        <w:t>£1</w:t>
      </w:r>
      <w:r w:rsidR="00F3245D" w:rsidRPr="007B56DD">
        <w:rPr>
          <w:rFonts w:eastAsia="Arial"/>
        </w:rPr>
        <w:t>60</w:t>
      </w:r>
      <w:r w:rsidRPr="007B56DD">
        <w:t>). The proposed inflated fee continues to be substantially below its unit cost. The increase to this fee is consistent with the increases of the remaining 1</w:t>
      </w:r>
      <w:r w:rsidR="00C81D4A" w:rsidRPr="007B56DD">
        <w:t>2</w:t>
      </w:r>
      <w:r w:rsidR="00FA160D">
        <w:t>8</w:t>
      </w:r>
      <w:r w:rsidRPr="007B56DD">
        <w:t xml:space="preserve"> fees being considered, which are paid by all litigants, including individuals, private companies, or public bodies. The inflated fee is estimated to cost local authorities an additional £2.4m (with optimism bias of 20%) to £3m (without optimism bias) p.a. from 2022/23 (£1.2m-£1.5m in 2021/22, assuming implementation in October 2021).</w:t>
      </w:r>
      <w:bookmarkEnd w:id="61"/>
    </w:p>
    <w:p w14:paraId="1B6B06B3" w14:textId="545458F3" w:rsidR="00CE6E8D" w:rsidRPr="007B56DD" w:rsidRDefault="002F250E" w:rsidP="008B3260">
      <w:pPr>
        <w:pStyle w:val="EBNumber"/>
        <w:numPr>
          <w:ilvl w:val="0"/>
          <w:numId w:val="4"/>
        </w:numPr>
        <w:spacing w:before="360"/>
        <w:jc w:val="both"/>
      </w:pPr>
      <w:bookmarkStart w:id="62" w:name="_Ref75427696"/>
      <w:bookmarkStart w:id="63" w:name="_Ref75428056"/>
      <w:r w:rsidRPr="007B56DD">
        <w:t xml:space="preserve">The fee for </w:t>
      </w:r>
      <w:r w:rsidR="00CE6E8D" w:rsidRPr="007B56DD">
        <w:t>application for a placement order under Section 22 is being increased by £35, from £455 to £490, and is estimated to cost an additional £70k to £90k p.a. from 2022/23.</w:t>
      </w:r>
      <w:bookmarkEnd w:id="62"/>
      <w:r w:rsidR="007531FF" w:rsidRPr="007B56DD">
        <w:t xml:space="preserve"> Other fees in the Family Proceedings Fees Order are estimated to cost local authorities an additional c. £140k to £180k p.a. from 2022/23.</w:t>
      </w:r>
      <w:bookmarkEnd w:id="63"/>
    </w:p>
    <w:p w14:paraId="4FB88C46" w14:textId="4DEB7D33" w:rsidR="002F250E" w:rsidRPr="007B56DD" w:rsidRDefault="002F250E" w:rsidP="008B3260">
      <w:pPr>
        <w:pStyle w:val="EBNumber"/>
        <w:numPr>
          <w:ilvl w:val="0"/>
          <w:numId w:val="4"/>
        </w:numPr>
        <w:spacing w:before="360"/>
        <w:jc w:val="both"/>
      </w:pPr>
      <w:bookmarkStart w:id="64" w:name="_Ref75876850"/>
      <w:r w:rsidRPr="007B56DD">
        <w:t xml:space="preserve">The fee </w:t>
      </w:r>
      <w:r w:rsidR="00550F30" w:rsidRPr="007B56DD">
        <w:t>to</w:t>
      </w:r>
      <w:r w:rsidRPr="007B56DD">
        <w:t xml:space="preserve"> request an order to recover a specified road traffic debt is being increased by £1, from £8 to £9 and is estimated to cost an additional £2m to £2.5m p.a. from 2022/2023.</w:t>
      </w:r>
      <w:r w:rsidR="00CE4B01" w:rsidRPr="007B56DD">
        <w:t xml:space="preserve"> </w:t>
      </w:r>
      <w:r w:rsidR="005778B0" w:rsidRPr="007B56DD">
        <w:t>This fee can be recovered from the debtor.</w:t>
      </w:r>
      <w:bookmarkEnd w:id="64"/>
    </w:p>
    <w:p w14:paraId="24DC1EAA" w14:textId="2A9B413A" w:rsidR="004B3668" w:rsidRPr="007B56DD" w:rsidRDefault="002F250E" w:rsidP="00A67A0D">
      <w:pPr>
        <w:pStyle w:val="EBNumber"/>
        <w:numPr>
          <w:ilvl w:val="0"/>
          <w:numId w:val="4"/>
        </w:numPr>
        <w:spacing w:before="360"/>
        <w:jc w:val="both"/>
      </w:pPr>
      <w:r w:rsidRPr="007B56DD">
        <w:t>During the consultation period we undertook an exercise to match HMCTS electronic payment data to fees paid by local authorities, police and fire services</w:t>
      </w:r>
      <w:r w:rsidR="00943793">
        <w:t xml:space="preserve">, using the </w:t>
      </w:r>
      <w:r w:rsidR="002847A3">
        <w:t>‘a</w:t>
      </w:r>
      <w:r w:rsidR="00943793">
        <w:t xml:space="preserve">ccount </w:t>
      </w:r>
      <w:r w:rsidR="002847A3">
        <w:t>n</w:t>
      </w:r>
      <w:r w:rsidR="00943793">
        <w:t>ame</w:t>
      </w:r>
      <w:r w:rsidR="002847A3">
        <w:t>’</w:t>
      </w:r>
      <w:r w:rsidR="00943793">
        <w:t xml:space="preserve"> to identify whether the payment was from a Local Authority or Police or Fire Services,</w:t>
      </w:r>
      <w:r w:rsidRPr="007B56DD">
        <w:t xml:space="preserve"> and found that</w:t>
      </w:r>
      <w:r w:rsidR="00A67A0D" w:rsidRPr="007B56DD">
        <w:t xml:space="preserve"> an additional c. £0.4m to £0.5m p.a. from 2022/23 </w:t>
      </w:r>
      <w:r w:rsidR="00A33A32" w:rsidRPr="007B56DD">
        <w:t>c</w:t>
      </w:r>
      <w:r w:rsidR="00A67A0D" w:rsidRPr="007B56DD">
        <w:t>ould be incurred in court fees</w:t>
      </w:r>
      <w:r w:rsidR="007531FF" w:rsidRPr="007B56DD">
        <w:t xml:space="preserve"> (this already includes fees in the Family Proceedings Fees Order referenced in paragraph </w:t>
      </w:r>
      <w:r w:rsidR="007531FF" w:rsidRPr="007B56DD">
        <w:fldChar w:fldCharType="begin"/>
      </w:r>
      <w:r w:rsidR="007531FF" w:rsidRPr="007B56DD">
        <w:instrText xml:space="preserve"> REF _Ref75428056 \r \h </w:instrText>
      </w:r>
      <w:r w:rsidR="005778B0" w:rsidRPr="007B56DD">
        <w:instrText xml:space="preserve"> \* MERGEFORMAT </w:instrText>
      </w:r>
      <w:r w:rsidR="007531FF" w:rsidRPr="007B56DD">
        <w:fldChar w:fldCharType="separate"/>
      </w:r>
      <w:r w:rsidR="00F8144E" w:rsidRPr="007B56DD">
        <w:t>60</w:t>
      </w:r>
      <w:r w:rsidR="007531FF" w:rsidRPr="007B56DD">
        <w:fldChar w:fldCharType="end"/>
      </w:r>
      <w:r w:rsidR="00E1247A" w:rsidRPr="007B56DD">
        <w:t xml:space="preserve"> and is in addition to the fees in paragraphs </w:t>
      </w:r>
      <w:r w:rsidR="00E1247A" w:rsidRPr="007B56DD">
        <w:fldChar w:fldCharType="begin"/>
      </w:r>
      <w:r w:rsidR="00E1247A" w:rsidRPr="007B56DD">
        <w:instrText xml:space="preserve"> REF _Ref75427676 \r \h  \* MERGEFORMAT </w:instrText>
      </w:r>
      <w:r w:rsidR="00E1247A" w:rsidRPr="007B56DD">
        <w:fldChar w:fldCharType="separate"/>
      </w:r>
      <w:r w:rsidR="00E1247A" w:rsidRPr="007B56DD">
        <w:t>59</w:t>
      </w:r>
      <w:r w:rsidR="00E1247A" w:rsidRPr="007B56DD">
        <w:fldChar w:fldCharType="end"/>
      </w:r>
      <w:r w:rsidR="00E1247A" w:rsidRPr="007B56DD">
        <w:t xml:space="preserve"> and </w:t>
      </w:r>
      <w:r w:rsidR="00E1247A" w:rsidRPr="007B56DD">
        <w:fldChar w:fldCharType="begin"/>
      </w:r>
      <w:r w:rsidR="00E1247A" w:rsidRPr="007B56DD">
        <w:instrText xml:space="preserve"> REF _Ref75876850 \r \h  \* MERGEFORMAT </w:instrText>
      </w:r>
      <w:r w:rsidR="00E1247A" w:rsidRPr="007B56DD">
        <w:fldChar w:fldCharType="separate"/>
      </w:r>
      <w:r w:rsidR="00E1247A" w:rsidRPr="007B56DD">
        <w:t>61</w:t>
      </w:r>
      <w:r w:rsidR="00E1247A" w:rsidRPr="007B56DD">
        <w:fldChar w:fldCharType="end"/>
      </w:r>
      <w:r w:rsidR="007531FF" w:rsidRPr="007B56DD">
        <w:t>)</w:t>
      </w:r>
      <w:r w:rsidR="00A67A0D" w:rsidRPr="007B56DD">
        <w:t>.</w:t>
      </w:r>
      <w:r w:rsidR="00A33A32" w:rsidRPr="007B56DD">
        <w:rPr>
          <w:rStyle w:val="FootnoteReference"/>
        </w:rPr>
        <w:footnoteReference w:id="17"/>
      </w:r>
    </w:p>
    <w:p w14:paraId="47B85858" w14:textId="77777777" w:rsidR="00CA0C09" w:rsidRDefault="00CA0C09" w:rsidP="00B7401F">
      <w:pPr>
        <w:spacing w:before="240"/>
        <w:rPr>
          <w:rFonts w:cs="Arial"/>
          <w:b/>
          <w:color w:val="000000"/>
          <w:sz w:val="22"/>
          <w:szCs w:val="22"/>
          <w:lang w:eastAsia="en-GB"/>
        </w:rPr>
      </w:pPr>
    </w:p>
    <w:p w14:paraId="35DC184F" w14:textId="5B18210A" w:rsidR="004B3668" w:rsidRPr="00912924" w:rsidRDefault="004B3668" w:rsidP="00B7401F">
      <w:pPr>
        <w:spacing w:before="240"/>
        <w:rPr>
          <w:rFonts w:cs="Arial"/>
          <w:b/>
          <w:color w:val="000000"/>
          <w:sz w:val="22"/>
          <w:szCs w:val="22"/>
          <w:lang w:eastAsia="en-GB"/>
        </w:rPr>
      </w:pPr>
      <w:r w:rsidRPr="00912924">
        <w:rPr>
          <w:rFonts w:cs="Arial"/>
          <w:b/>
          <w:color w:val="000000"/>
          <w:sz w:val="22"/>
          <w:szCs w:val="22"/>
          <w:lang w:eastAsia="en-GB"/>
        </w:rPr>
        <w:t>B</w:t>
      </w:r>
      <w:r w:rsidR="00CF2574" w:rsidRPr="00912924">
        <w:rPr>
          <w:rFonts w:cs="Arial"/>
          <w:b/>
          <w:color w:val="000000"/>
          <w:sz w:val="22"/>
          <w:szCs w:val="22"/>
          <w:lang w:eastAsia="en-GB"/>
        </w:rPr>
        <w:t>etter Regulation</w:t>
      </w:r>
    </w:p>
    <w:p w14:paraId="45E1882D" w14:textId="77777777" w:rsidR="00CF2574" w:rsidRPr="008B3260" w:rsidRDefault="00CF2574" w:rsidP="00CF2574">
      <w:pPr>
        <w:pStyle w:val="EBNumber"/>
        <w:numPr>
          <w:ilvl w:val="0"/>
          <w:numId w:val="4"/>
        </w:numPr>
        <w:tabs>
          <w:tab w:val="num" w:pos="567"/>
        </w:tabs>
        <w:spacing w:before="240"/>
        <w:jc w:val="both"/>
      </w:pPr>
      <w:r w:rsidRPr="00912924">
        <w:lastRenderedPageBreak/>
        <w:t>This measure is not classed as</w:t>
      </w:r>
      <w:r w:rsidRPr="008B3260">
        <w:t xml:space="preserve"> a regulatory provision under the Small Business Enterprise and Employment Act 2015 and so does not score against the department’s business impact target. </w:t>
      </w:r>
    </w:p>
    <w:p w14:paraId="6691EB89" w14:textId="558B8915" w:rsidR="00224A56" w:rsidRPr="00310A5F" w:rsidRDefault="00224A56" w:rsidP="00A47F8A">
      <w:pPr>
        <w:pStyle w:val="IANotes"/>
        <w:numPr>
          <w:ilvl w:val="0"/>
          <w:numId w:val="5"/>
        </w:numPr>
        <w:spacing w:before="240"/>
        <w:ind w:left="720" w:hanging="720"/>
        <w:rPr>
          <w:b/>
          <w:sz w:val="28"/>
          <w:szCs w:val="28"/>
        </w:rPr>
      </w:pPr>
      <w:r w:rsidRPr="00310A5F">
        <w:rPr>
          <w:b/>
          <w:color w:val="auto"/>
          <w:sz w:val="28"/>
          <w:szCs w:val="28"/>
        </w:rPr>
        <w:t>Enforcement and Implementation</w:t>
      </w:r>
    </w:p>
    <w:p w14:paraId="0705D033" w14:textId="77777777" w:rsidR="00224A56" w:rsidRPr="00912924" w:rsidRDefault="00224A56" w:rsidP="00224A56">
      <w:pPr>
        <w:pStyle w:val="IANotes"/>
        <w:tabs>
          <w:tab w:val="num" w:pos="360"/>
        </w:tabs>
        <w:ind w:left="357" w:hanging="357"/>
        <w:rPr>
          <w:b/>
          <w:szCs w:val="22"/>
        </w:rPr>
      </w:pPr>
    </w:p>
    <w:p w14:paraId="0510D773" w14:textId="04D2A3B3" w:rsidR="00224A56" w:rsidRPr="00224A56" w:rsidRDefault="00224A56" w:rsidP="008B3260">
      <w:pPr>
        <w:pStyle w:val="EBNumber"/>
        <w:numPr>
          <w:ilvl w:val="0"/>
          <w:numId w:val="4"/>
        </w:numPr>
        <w:tabs>
          <w:tab w:val="num" w:pos="567"/>
        </w:tabs>
        <w:jc w:val="both"/>
        <w:rPr>
          <w:sz w:val="24"/>
          <w:szCs w:val="24"/>
        </w:rPr>
      </w:pPr>
      <w:r w:rsidRPr="00912924">
        <w:t>All fees are payable in advance of the service being provided. The</w:t>
      </w:r>
      <w:r w:rsidRPr="00912924" w:rsidDel="004F256B">
        <w:t xml:space="preserve"> </w:t>
      </w:r>
      <w:r w:rsidR="004F256B" w:rsidRPr="00912924">
        <w:t>sanction for</w:t>
      </w:r>
      <w:r w:rsidRPr="00912924">
        <w:t xml:space="preserve"> non-payment </w:t>
      </w:r>
      <w:r w:rsidR="00E441A5" w:rsidRPr="00912924">
        <w:t xml:space="preserve">in most </w:t>
      </w:r>
      <w:r w:rsidR="00FF2C55" w:rsidRPr="00912924">
        <w:t>jurisdiction</w:t>
      </w:r>
      <w:r w:rsidR="00E441A5" w:rsidRPr="00912924">
        <w:t xml:space="preserve"> </w:t>
      </w:r>
      <w:r w:rsidRPr="00912924">
        <w:t>is that the service</w:t>
      </w:r>
      <w:r w:rsidR="00E441A5" w:rsidRPr="00912924">
        <w:t xml:space="preserve"> </w:t>
      </w:r>
      <w:r w:rsidRPr="00912924">
        <w:t xml:space="preserve">will not be </w:t>
      </w:r>
      <w:proofErr w:type="gramStart"/>
      <w:r w:rsidRPr="00912924">
        <w:t>provided</w:t>
      </w:r>
      <w:proofErr w:type="gramEnd"/>
      <w:r w:rsidRPr="00912924">
        <w:t xml:space="preserve"> and the application would not be permitted to proceed. This would continue to apply under the options being considered</w:t>
      </w:r>
      <w:r w:rsidRPr="00224A56">
        <w:rPr>
          <w:sz w:val="24"/>
          <w:szCs w:val="24"/>
        </w:rPr>
        <w:t xml:space="preserve">. </w:t>
      </w:r>
    </w:p>
    <w:p w14:paraId="7225FC9D" w14:textId="77777777" w:rsidR="00224A56" w:rsidRPr="00310A5F" w:rsidRDefault="00224A56" w:rsidP="00A47F8A">
      <w:pPr>
        <w:pStyle w:val="IANotes"/>
        <w:numPr>
          <w:ilvl w:val="0"/>
          <w:numId w:val="5"/>
        </w:numPr>
        <w:spacing w:before="240"/>
        <w:ind w:left="720" w:hanging="720"/>
        <w:rPr>
          <w:b/>
          <w:color w:val="auto"/>
          <w:sz w:val="28"/>
          <w:szCs w:val="28"/>
        </w:rPr>
      </w:pPr>
      <w:r w:rsidRPr="00310A5F">
        <w:rPr>
          <w:b/>
          <w:color w:val="auto"/>
          <w:sz w:val="28"/>
          <w:szCs w:val="28"/>
        </w:rPr>
        <w:t xml:space="preserve">Monitoring and Evaluation </w:t>
      </w:r>
    </w:p>
    <w:p w14:paraId="365908D3" w14:textId="77777777" w:rsidR="00224A56" w:rsidRPr="00224A56" w:rsidRDefault="00224A56" w:rsidP="00224A56">
      <w:pPr>
        <w:pStyle w:val="EBNumber"/>
        <w:numPr>
          <w:ilvl w:val="0"/>
          <w:numId w:val="0"/>
        </w:numPr>
        <w:spacing w:after="0"/>
        <w:rPr>
          <w:sz w:val="24"/>
          <w:szCs w:val="24"/>
        </w:rPr>
      </w:pPr>
    </w:p>
    <w:p w14:paraId="10B44ED0" w14:textId="1C20D4C8" w:rsidR="00224A56" w:rsidRPr="00912924" w:rsidRDefault="00083489" w:rsidP="008B3260">
      <w:pPr>
        <w:pStyle w:val="EBNumber"/>
        <w:numPr>
          <w:ilvl w:val="0"/>
          <w:numId w:val="4"/>
        </w:numPr>
        <w:tabs>
          <w:tab w:val="num" w:pos="567"/>
        </w:tabs>
        <w:jc w:val="both"/>
      </w:pPr>
      <w:r w:rsidRPr="00912924">
        <w:t xml:space="preserve">Fees are regularly reviewed as part of the </w:t>
      </w:r>
      <w:proofErr w:type="spellStart"/>
      <w:r w:rsidR="00FF6CEF" w:rsidRPr="00912924">
        <w:t>MoJ’s</w:t>
      </w:r>
      <w:proofErr w:type="spellEnd"/>
      <w:r w:rsidR="00FF6CEF" w:rsidRPr="00912924">
        <w:t xml:space="preserve"> </w:t>
      </w:r>
      <w:r w:rsidRPr="00912924">
        <w:t xml:space="preserve">internal ongoing monitoring process. </w:t>
      </w:r>
    </w:p>
    <w:p w14:paraId="6BB362D6" w14:textId="170684F2" w:rsidR="00310A5F" w:rsidRPr="00912924" w:rsidDel="00E625F7" w:rsidRDefault="00310A5F" w:rsidP="00912924">
      <w:pPr>
        <w:rPr>
          <w:rFonts w:cs="Arial"/>
          <w:bCs/>
          <w:color w:val="000000"/>
          <w:sz w:val="22"/>
          <w:szCs w:val="22"/>
          <w:lang w:eastAsia="en-GB"/>
        </w:rPr>
      </w:pPr>
    </w:p>
    <w:p w14:paraId="41762E5C" w14:textId="52C5790F" w:rsidR="00224A56" w:rsidRPr="00224A56" w:rsidRDefault="00224A56" w:rsidP="00310A5F">
      <w:pPr>
        <w:pStyle w:val="EBNumber"/>
        <w:numPr>
          <w:ilvl w:val="0"/>
          <w:numId w:val="0"/>
        </w:numPr>
        <w:tabs>
          <w:tab w:val="num" w:pos="567"/>
        </w:tabs>
        <w:spacing w:before="240"/>
        <w:jc w:val="both"/>
        <w:rPr>
          <w:sz w:val="24"/>
          <w:szCs w:val="24"/>
        </w:rPr>
      </w:pPr>
    </w:p>
    <w:p w14:paraId="39E40C8D" w14:textId="77777777" w:rsidR="00926A76" w:rsidRDefault="00926A76" w:rsidP="00926A76">
      <w:pPr>
        <w:pStyle w:val="EBNumber"/>
        <w:numPr>
          <w:ilvl w:val="0"/>
          <w:numId w:val="0"/>
        </w:numPr>
        <w:spacing w:after="0"/>
        <w:jc w:val="both"/>
      </w:pPr>
    </w:p>
    <w:p w14:paraId="4AA69A04" w14:textId="0910639D" w:rsidR="002652C0" w:rsidRDefault="00926A76" w:rsidP="00926A76">
      <w:pPr>
        <w:pStyle w:val="EBNumber"/>
        <w:numPr>
          <w:ilvl w:val="0"/>
          <w:numId w:val="0"/>
        </w:numPr>
        <w:spacing w:after="0"/>
        <w:jc w:val="both"/>
      </w:pPr>
      <w:r w:rsidRPr="00926A76">
        <w:rPr>
          <w:sz w:val="24"/>
          <w:szCs w:val="24"/>
        </w:rPr>
        <w:t xml:space="preserve">  </w:t>
      </w:r>
      <w:r w:rsidR="002652C0">
        <w:br w:type="page"/>
      </w:r>
    </w:p>
    <w:p w14:paraId="770ED677" w14:textId="656473FB" w:rsidR="002652C0" w:rsidRDefault="002652C0" w:rsidP="002652C0">
      <w:pPr>
        <w:spacing w:before="120" w:after="120"/>
        <w:jc w:val="both"/>
        <w:rPr>
          <w:b/>
        </w:rPr>
      </w:pPr>
      <w:r>
        <w:rPr>
          <w:b/>
        </w:rPr>
        <w:lastRenderedPageBreak/>
        <w:t>A</w:t>
      </w:r>
      <w:r w:rsidRPr="000B5655">
        <w:rPr>
          <w:b/>
        </w:rPr>
        <w:t xml:space="preserve">nnex A: Schedule of fees </w:t>
      </w:r>
      <w:r>
        <w:rPr>
          <w:b/>
        </w:rPr>
        <w:t>to apply inflationary increases</w:t>
      </w:r>
      <w:r w:rsidR="00DD36C2">
        <w:rPr>
          <w:b/>
        </w:rPr>
        <w:t>, with current and proposed fees</w:t>
      </w:r>
      <w:r>
        <w:rPr>
          <w:b/>
        </w:rPr>
        <w:t xml:space="preserve"> </w:t>
      </w:r>
    </w:p>
    <w:p w14:paraId="5A3A355F" w14:textId="7320DB9C" w:rsidR="00645184" w:rsidRPr="00DD36C2" w:rsidRDefault="00645184" w:rsidP="002652C0">
      <w:pPr>
        <w:spacing w:before="120" w:after="120"/>
        <w:jc w:val="both"/>
        <w:rPr>
          <w:b/>
          <w:sz w:val="28"/>
          <w:szCs w:val="28"/>
        </w:rPr>
      </w:pPr>
      <w:r w:rsidRPr="00DD36C2">
        <w:rPr>
          <w:b/>
          <w:sz w:val="28"/>
          <w:szCs w:val="28"/>
        </w:rPr>
        <w:t>Civil Proceedings Fees Order 2008</w:t>
      </w:r>
    </w:p>
    <w:p w14:paraId="06FDD045" w14:textId="77777777" w:rsidR="0005065A" w:rsidRDefault="0005065A" w:rsidP="0005065A">
      <w:pPr>
        <w:pStyle w:val="BodyText"/>
        <w:rPr>
          <w:i/>
        </w:rPr>
      </w:pPr>
      <w:r w:rsidRPr="00A56283">
        <w:rPr>
          <w:i/>
        </w:rPr>
        <w:t>The fees in scope in the Civil Proceedings Fees Orders include small claims hearing fees, copy fees for documents, fees relating to notice of summons, fees relating to other remedies,</w:t>
      </w:r>
      <w:r>
        <w:rPr>
          <w:i/>
        </w:rPr>
        <w:t xml:space="preserve"> and</w:t>
      </w:r>
      <w:r w:rsidRPr="00A56283">
        <w:rPr>
          <w:i/>
        </w:rPr>
        <w:t xml:space="preserve"> fees relating to the issue of certificates or specific orders.</w:t>
      </w:r>
    </w:p>
    <w:tbl>
      <w:tblPr>
        <w:tblStyle w:val="TableGrid2"/>
        <w:tblW w:w="9582" w:type="dxa"/>
        <w:tblLook w:val="04A0" w:firstRow="1" w:lastRow="0" w:firstColumn="1" w:lastColumn="0" w:noHBand="0" w:noVBand="1"/>
      </w:tblPr>
      <w:tblGrid>
        <w:gridCol w:w="1182"/>
        <w:gridCol w:w="4908"/>
        <w:gridCol w:w="1182"/>
        <w:gridCol w:w="1221"/>
        <w:gridCol w:w="1089"/>
      </w:tblGrid>
      <w:tr w:rsidR="00105F6A" w:rsidRPr="00D1063C" w14:paraId="7D2E8638" w14:textId="77777777" w:rsidTr="00105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Pr>
          <w:p w14:paraId="65246C89" w14:textId="77777777" w:rsidR="00105F6A" w:rsidRPr="0053038A" w:rsidRDefault="00105F6A" w:rsidP="00105F6A">
            <w:pPr>
              <w:spacing w:after="240" w:line="276" w:lineRule="auto"/>
              <w:rPr>
                <w:rFonts w:eastAsia="Arial" w:cs="Arial"/>
                <w:bCs/>
              </w:rPr>
            </w:pPr>
            <w:r w:rsidRPr="0053038A">
              <w:rPr>
                <w:rFonts w:eastAsia="Arial" w:cs="Arial"/>
                <w:bCs/>
              </w:rPr>
              <w:t>SI Ref ID</w:t>
            </w:r>
          </w:p>
        </w:tc>
        <w:tc>
          <w:tcPr>
            <w:tcW w:w="4908" w:type="dxa"/>
          </w:tcPr>
          <w:p w14:paraId="41649EA8" w14:textId="77777777" w:rsidR="00105F6A" w:rsidRPr="0053038A" w:rsidRDefault="00105F6A" w:rsidP="00105F6A">
            <w:pPr>
              <w:spacing w:after="240" w:line="276" w:lineRule="auto"/>
              <w:cnfStyle w:val="100000000000" w:firstRow="1" w:lastRow="0" w:firstColumn="0" w:lastColumn="0" w:oddVBand="0" w:evenVBand="0" w:oddHBand="0" w:evenHBand="0" w:firstRowFirstColumn="0" w:firstRowLastColumn="0" w:lastRowFirstColumn="0" w:lastRowLastColumn="0"/>
              <w:rPr>
                <w:rFonts w:eastAsia="Arial" w:cs="Arial"/>
                <w:bCs/>
              </w:rPr>
            </w:pPr>
            <w:r w:rsidRPr="0053038A">
              <w:rPr>
                <w:rFonts w:eastAsia="Arial" w:cs="Arial"/>
                <w:bCs/>
              </w:rPr>
              <w:t>Description</w:t>
            </w:r>
          </w:p>
        </w:tc>
        <w:tc>
          <w:tcPr>
            <w:tcW w:w="1182" w:type="dxa"/>
          </w:tcPr>
          <w:p w14:paraId="4C277988" w14:textId="77777777" w:rsidR="00105F6A" w:rsidRPr="0053038A" w:rsidRDefault="00105F6A" w:rsidP="00105F6A">
            <w:pPr>
              <w:spacing w:after="240" w:line="276" w:lineRule="auto"/>
              <w:cnfStyle w:val="100000000000" w:firstRow="1" w:lastRow="0" w:firstColumn="0" w:lastColumn="0" w:oddVBand="0" w:evenVBand="0" w:oddHBand="0" w:evenHBand="0" w:firstRowFirstColumn="0" w:firstRowLastColumn="0" w:lastRowFirstColumn="0" w:lastRowLastColumn="0"/>
              <w:rPr>
                <w:rFonts w:eastAsia="Arial" w:cs="Arial"/>
                <w:bCs/>
              </w:rPr>
            </w:pPr>
            <w:r w:rsidRPr="0053038A">
              <w:rPr>
                <w:rFonts w:eastAsia="Arial" w:cs="Arial"/>
                <w:bCs/>
              </w:rPr>
              <w:t>Current</w:t>
            </w:r>
          </w:p>
        </w:tc>
        <w:tc>
          <w:tcPr>
            <w:tcW w:w="1221" w:type="dxa"/>
          </w:tcPr>
          <w:p w14:paraId="216E42D4" w14:textId="77777777" w:rsidR="00105F6A" w:rsidRPr="0053038A" w:rsidRDefault="00105F6A" w:rsidP="00105F6A">
            <w:pPr>
              <w:spacing w:after="240" w:line="276" w:lineRule="auto"/>
              <w:cnfStyle w:val="100000000000" w:firstRow="1" w:lastRow="0" w:firstColumn="0" w:lastColumn="0" w:oddVBand="0" w:evenVBand="0" w:oddHBand="0" w:evenHBand="0" w:firstRowFirstColumn="0" w:firstRowLastColumn="0" w:lastRowFirstColumn="0" w:lastRowLastColumn="0"/>
              <w:rPr>
                <w:rFonts w:eastAsia="Arial" w:cs="Arial"/>
                <w:bCs/>
              </w:rPr>
            </w:pPr>
            <w:r w:rsidRPr="0053038A">
              <w:rPr>
                <w:rFonts w:eastAsia="Arial" w:cs="Arial"/>
                <w:bCs/>
              </w:rPr>
              <w:t>Proposed</w:t>
            </w:r>
          </w:p>
        </w:tc>
        <w:tc>
          <w:tcPr>
            <w:tcW w:w="1089" w:type="dxa"/>
          </w:tcPr>
          <w:p w14:paraId="1E06927D" w14:textId="77777777" w:rsidR="00105F6A" w:rsidRPr="0053038A" w:rsidRDefault="00105F6A" w:rsidP="00105F6A">
            <w:pPr>
              <w:spacing w:after="240" w:line="276" w:lineRule="auto"/>
              <w:cnfStyle w:val="100000000000" w:firstRow="1" w:lastRow="0" w:firstColumn="0" w:lastColumn="0" w:oddVBand="0" w:evenVBand="0" w:oddHBand="0" w:evenHBand="0" w:firstRowFirstColumn="0" w:firstRowLastColumn="0" w:lastRowFirstColumn="0" w:lastRowLastColumn="0"/>
              <w:rPr>
                <w:rFonts w:eastAsia="Arial" w:cs="Arial"/>
                <w:bCs/>
              </w:rPr>
            </w:pPr>
            <w:r w:rsidRPr="0053038A">
              <w:rPr>
                <w:rFonts w:eastAsia="Arial" w:cs="Arial"/>
                <w:bCs/>
              </w:rPr>
              <w:t>Increase</w:t>
            </w:r>
          </w:p>
        </w:tc>
      </w:tr>
      <w:tr w:rsidR="00105F6A" w:rsidRPr="00D1063C" w14:paraId="713E322F"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CE0171D" w14:textId="77777777" w:rsidR="00105F6A" w:rsidRPr="0053038A" w:rsidRDefault="00105F6A" w:rsidP="00105F6A">
            <w:pPr>
              <w:spacing w:after="240" w:line="276" w:lineRule="auto"/>
              <w:rPr>
                <w:rFonts w:eastAsia="Arial" w:cs="Arial"/>
              </w:rPr>
            </w:pPr>
            <w:r w:rsidRPr="0053038A">
              <w:rPr>
                <w:rFonts w:eastAsia="Arial" w:cs="Arial"/>
              </w:rPr>
              <w:t>1.5CC</w:t>
            </w:r>
          </w:p>
        </w:tc>
        <w:tc>
          <w:tcPr>
            <w:tcW w:w="4908" w:type="dxa"/>
          </w:tcPr>
          <w:p w14:paraId="3BE3AEA5"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Any other remedy (County Court)</w:t>
            </w:r>
          </w:p>
        </w:tc>
        <w:tc>
          <w:tcPr>
            <w:tcW w:w="1182" w:type="dxa"/>
          </w:tcPr>
          <w:p w14:paraId="28AFB434"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£308</w:t>
            </w:r>
          </w:p>
        </w:tc>
        <w:tc>
          <w:tcPr>
            <w:tcW w:w="1221" w:type="dxa"/>
          </w:tcPr>
          <w:p w14:paraId="77A0F492"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£332</w:t>
            </w:r>
          </w:p>
        </w:tc>
        <w:tc>
          <w:tcPr>
            <w:tcW w:w="1089" w:type="dxa"/>
          </w:tcPr>
          <w:p w14:paraId="74D38264"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£24</w:t>
            </w:r>
          </w:p>
        </w:tc>
      </w:tr>
      <w:tr w:rsidR="00105F6A" w:rsidRPr="00D1063C" w14:paraId="6B7CBD0B"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A1818A7" w14:textId="77777777" w:rsidR="00105F6A" w:rsidRPr="0053038A" w:rsidRDefault="00105F6A" w:rsidP="00105F6A">
            <w:pPr>
              <w:spacing w:after="240" w:line="276" w:lineRule="auto"/>
              <w:rPr>
                <w:rFonts w:eastAsia="Arial" w:cs="Arial"/>
              </w:rPr>
            </w:pPr>
            <w:r w:rsidRPr="0053038A">
              <w:rPr>
                <w:rFonts w:eastAsia="Arial" w:cs="Arial"/>
              </w:rPr>
              <w:t>1.5HC</w:t>
            </w:r>
          </w:p>
        </w:tc>
        <w:tc>
          <w:tcPr>
            <w:tcW w:w="4908" w:type="dxa"/>
          </w:tcPr>
          <w:p w14:paraId="0976A7F2"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Any other remedy (High Court)</w:t>
            </w:r>
          </w:p>
        </w:tc>
        <w:tc>
          <w:tcPr>
            <w:tcW w:w="1182" w:type="dxa"/>
          </w:tcPr>
          <w:p w14:paraId="2815AA56"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£528</w:t>
            </w:r>
          </w:p>
        </w:tc>
        <w:tc>
          <w:tcPr>
            <w:tcW w:w="1221" w:type="dxa"/>
          </w:tcPr>
          <w:p w14:paraId="62345A4A"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£569</w:t>
            </w:r>
          </w:p>
        </w:tc>
        <w:tc>
          <w:tcPr>
            <w:tcW w:w="1089" w:type="dxa"/>
          </w:tcPr>
          <w:p w14:paraId="0D78B9CE"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£41</w:t>
            </w:r>
          </w:p>
        </w:tc>
      </w:tr>
      <w:tr w:rsidR="00105F6A" w:rsidRPr="00D1063C" w14:paraId="02098145"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2B6D4B74" w14:textId="77777777" w:rsidR="00105F6A" w:rsidRPr="0053038A" w:rsidRDefault="00105F6A" w:rsidP="00105F6A">
            <w:pPr>
              <w:spacing w:after="240" w:line="276" w:lineRule="auto"/>
              <w:rPr>
                <w:rFonts w:eastAsia="Arial" w:cs="Arial"/>
              </w:rPr>
            </w:pPr>
            <w:r w:rsidRPr="0053038A">
              <w:rPr>
                <w:rFonts w:eastAsia="Arial" w:cs="Arial"/>
              </w:rPr>
              <w:t>1.6</w:t>
            </w:r>
          </w:p>
        </w:tc>
        <w:tc>
          <w:tcPr>
            <w:tcW w:w="4908" w:type="dxa"/>
          </w:tcPr>
          <w:p w14:paraId="1AF46FBE"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Filing proceedings against an unnamed party</w:t>
            </w:r>
          </w:p>
        </w:tc>
        <w:tc>
          <w:tcPr>
            <w:tcW w:w="1182" w:type="dxa"/>
          </w:tcPr>
          <w:p w14:paraId="2E6F944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£55</w:t>
            </w:r>
          </w:p>
        </w:tc>
        <w:tc>
          <w:tcPr>
            <w:tcW w:w="1221" w:type="dxa"/>
          </w:tcPr>
          <w:p w14:paraId="09975F5A"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£59</w:t>
            </w:r>
          </w:p>
        </w:tc>
        <w:tc>
          <w:tcPr>
            <w:tcW w:w="1089" w:type="dxa"/>
          </w:tcPr>
          <w:p w14:paraId="0F31BC1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w:t>
            </w:r>
          </w:p>
        </w:tc>
      </w:tr>
      <w:tr w:rsidR="00105F6A" w:rsidRPr="00D1063C" w14:paraId="6A1C041D"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1B0EF69" w14:textId="77777777" w:rsidR="00105F6A" w:rsidRPr="0053038A" w:rsidRDefault="00105F6A" w:rsidP="00105F6A">
            <w:pPr>
              <w:spacing w:after="240" w:line="276" w:lineRule="auto"/>
              <w:rPr>
                <w:rFonts w:eastAsia="Arial" w:cs="Arial"/>
              </w:rPr>
            </w:pPr>
            <w:r w:rsidRPr="0053038A">
              <w:rPr>
                <w:rFonts w:eastAsia="Arial" w:cs="Arial"/>
              </w:rPr>
              <w:t>1.8a</w:t>
            </w:r>
          </w:p>
        </w:tc>
        <w:tc>
          <w:tcPr>
            <w:tcW w:w="4908" w:type="dxa"/>
          </w:tcPr>
          <w:p w14:paraId="3BDD6397"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Permission to issue proceedings</w:t>
            </w:r>
          </w:p>
        </w:tc>
        <w:tc>
          <w:tcPr>
            <w:tcW w:w="1182" w:type="dxa"/>
          </w:tcPr>
          <w:p w14:paraId="37427D89"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£55</w:t>
            </w:r>
          </w:p>
        </w:tc>
        <w:tc>
          <w:tcPr>
            <w:tcW w:w="1221" w:type="dxa"/>
          </w:tcPr>
          <w:p w14:paraId="0CD6B6E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£59</w:t>
            </w:r>
          </w:p>
        </w:tc>
        <w:tc>
          <w:tcPr>
            <w:tcW w:w="1089" w:type="dxa"/>
          </w:tcPr>
          <w:p w14:paraId="2433965C"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w:t>
            </w:r>
          </w:p>
        </w:tc>
      </w:tr>
      <w:tr w:rsidR="00105F6A" w:rsidRPr="00D1063C" w14:paraId="77290577"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FD6AB52" w14:textId="77777777" w:rsidR="00105F6A" w:rsidRPr="0053038A" w:rsidRDefault="00105F6A" w:rsidP="00105F6A">
            <w:pPr>
              <w:spacing w:after="240" w:line="276" w:lineRule="auto"/>
              <w:rPr>
                <w:rFonts w:eastAsia="Arial" w:cs="Arial"/>
              </w:rPr>
            </w:pPr>
            <w:r w:rsidRPr="0053038A">
              <w:rPr>
                <w:rFonts w:eastAsia="Arial" w:cs="Arial"/>
              </w:rPr>
              <w:t>1.8b</w:t>
            </w:r>
          </w:p>
        </w:tc>
        <w:tc>
          <w:tcPr>
            <w:tcW w:w="4908" w:type="dxa"/>
          </w:tcPr>
          <w:p w14:paraId="79773A02"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Assessment of costs (under Part 3, Solicitors Act 1974)</w:t>
            </w:r>
          </w:p>
        </w:tc>
        <w:tc>
          <w:tcPr>
            <w:tcW w:w="1182" w:type="dxa"/>
          </w:tcPr>
          <w:p w14:paraId="6DF95B0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£55</w:t>
            </w:r>
          </w:p>
        </w:tc>
        <w:tc>
          <w:tcPr>
            <w:tcW w:w="1221" w:type="dxa"/>
          </w:tcPr>
          <w:p w14:paraId="122628F0"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£59</w:t>
            </w:r>
          </w:p>
        </w:tc>
        <w:tc>
          <w:tcPr>
            <w:tcW w:w="1089" w:type="dxa"/>
          </w:tcPr>
          <w:p w14:paraId="5CFD295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w:t>
            </w:r>
          </w:p>
        </w:tc>
      </w:tr>
      <w:tr w:rsidR="00105F6A" w:rsidRPr="00D1063C" w14:paraId="5AAD3075"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BC38BE8" w14:textId="77777777" w:rsidR="00105F6A" w:rsidRPr="0053038A" w:rsidRDefault="00105F6A" w:rsidP="00105F6A">
            <w:pPr>
              <w:spacing w:after="240" w:line="276" w:lineRule="auto"/>
              <w:rPr>
                <w:rFonts w:eastAsia="Arial" w:cs="Arial"/>
              </w:rPr>
            </w:pPr>
            <w:r w:rsidRPr="0053038A">
              <w:rPr>
                <w:rFonts w:eastAsia="Arial" w:cs="Arial"/>
              </w:rPr>
              <w:t>2.1a</w:t>
            </w:r>
          </w:p>
        </w:tc>
        <w:tc>
          <w:tcPr>
            <w:tcW w:w="4908" w:type="dxa"/>
          </w:tcPr>
          <w:p w14:paraId="17DB2FDB"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Hearing fee: Multi track case</w:t>
            </w:r>
          </w:p>
        </w:tc>
        <w:tc>
          <w:tcPr>
            <w:tcW w:w="1182" w:type="dxa"/>
          </w:tcPr>
          <w:p w14:paraId="4EC79FAD"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£1,090</w:t>
            </w:r>
          </w:p>
        </w:tc>
        <w:tc>
          <w:tcPr>
            <w:tcW w:w="1221" w:type="dxa"/>
          </w:tcPr>
          <w:p w14:paraId="5B4595C0" w14:textId="14AE26CB"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£1,17</w:t>
            </w:r>
            <w:r w:rsidR="001B5AF7" w:rsidRPr="00F77C7B">
              <w:rPr>
                <w:rFonts w:eastAsia="Arial" w:cs="Arial"/>
              </w:rPr>
              <w:t>5</w:t>
            </w:r>
          </w:p>
        </w:tc>
        <w:tc>
          <w:tcPr>
            <w:tcW w:w="1089" w:type="dxa"/>
          </w:tcPr>
          <w:p w14:paraId="178EC1CA" w14:textId="0CA16D29"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£8</w:t>
            </w:r>
            <w:r w:rsidR="001B5AF7" w:rsidRPr="00F77C7B">
              <w:rPr>
                <w:rFonts w:eastAsia="Arial" w:cs="Arial"/>
              </w:rPr>
              <w:t>5</w:t>
            </w:r>
          </w:p>
        </w:tc>
      </w:tr>
      <w:tr w:rsidR="00105F6A" w:rsidRPr="00D1063C" w14:paraId="018F6191"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128DCAF" w14:textId="77777777" w:rsidR="00105F6A" w:rsidRPr="0053038A" w:rsidRDefault="00105F6A" w:rsidP="00105F6A">
            <w:pPr>
              <w:spacing w:after="240" w:line="276" w:lineRule="auto"/>
              <w:rPr>
                <w:rFonts w:eastAsia="Arial" w:cs="Arial"/>
              </w:rPr>
            </w:pPr>
            <w:r w:rsidRPr="0053038A">
              <w:rPr>
                <w:rFonts w:eastAsia="Arial" w:cs="Arial"/>
              </w:rPr>
              <w:t>2.1ci</w:t>
            </w:r>
          </w:p>
        </w:tc>
        <w:tc>
          <w:tcPr>
            <w:tcW w:w="4908" w:type="dxa"/>
          </w:tcPr>
          <w:p w14:paraId="57A6F9CB"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Hearing fee: Small claims case (does not exceed </w:t>
            </w:r>
            <w:r w:rsidRPr="78701724">
              <w:rPr>
                <w:rFonts w:eastAsia="Arial" w:cs="Arial"/>
              </w:rPr>
              <w:t>£</w:t>
            </w:r>
            <w:r w:rsidRPr="0053038A">
              <w:rPr>
                <w:rFonts w:eastAsia="Arial" w:cs="Arial"/>
              </w:rPr>
              <w:t>300)</w:t>
            </w:r>
          </w:p>
        </w:tc>
        <w:tc>
          <w:tcPr>
            <w:tcW w:w="1182" w:type="dxa"/>
          </w:tcPr>
          <w:p w14:paraId="3BC9C0E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£25</w:t>
            </w:r>
          </w:p>
        </w:tc>
        <w:tc>
          <w:tcPr>
            <w:tcW w:w="1221" w:type="dxa"/>
          </w:tcPr>
          <w:p w14:paraId="45F9534D" w14:textId="22DD7621"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£27</w:t>
            </w:r>
          </w:p>
        </w:tc>
        <w:tc>
          <w:tcPr>
            <w:tcW w:w="1089" w:type="dxa"/>
          </w:tcPr>
          <w:p w14:paraId="08FD897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w:t>
            </w:r>
          </w:p>
        </w:tc>
      </w:tr>
      <w:tr w:rsidR="00105F6A" w:rsidRPr="00D1063C" w14:paraId="4160D727"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49EA827" w14:textId="77777777" w:rsidR="00105F6A" w:rsidRPr="0053038A" w:rsidRDefault="00105F6A" w:rsidP="00105F6A">
            <w:pPr>
              <w:spacing w:after="240" w:line="276" w:lineRule="auto"/>
              <w:rPr>
                <w:rFonts w:eastAsia="Arial" w:cs="Arial"/>
              </w:rPr>
            </w:pPr>
            <w:r w:rsidRPr="0053038A">
              <w:rPr>
                <w:rFonts w:eastAsia="Arial" w:cs="Arial"/>
              </w:rPr>
              <w:t>2.1cii</w:t>
            </w:r>
          </w:p>
        </w:tc>
        <w:tc>
          <w:tcPr>
            <w:tcW w:w="4908" w:type="dxa"/>
          </w:tcPr>
          <w:p w14:paraId="05A5CE05"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Hearing fee: Small claims case (exceeds </w:t>
            </w:r>
            <w:r w:rsidRPr="479A1711">
              <w:rPr>
                <w:rFonts w:eastAsia="Arial" w:cs="Arial"/>
              </w:rPr>
              <w:t>£</w:t>
            </w:r>
            <w:r w:rsidRPr="0053038A">
              <w:rPr>
                <w:rFonts w:eastAsia="Arial" w:cs="Arial"/>
              </w:rPr>
              <w:t xml:space="preserve">300 but not </w:t>
            </w:r>
            <w:r w:rsidRPr="479A1711">
              <w:rPr>
                <w:rFonts w:eastAsia="Arial" w:cs="Arial"/>
              </w:rPr>
              <w:t>£</w:t>
            </w:r>
            <w:r w:rsidRPr="0053038A">
              <w:rPr>
                <w:rFonts w:eastAsia="Arial" w:cs="Arial"/>
              </w:rPr>
              <w:t>500)</w:t>
            </w:r>
          </w:p>
        </w:tc>
        <w:tc>
          <w:tcPr>
            <w:tcW w:w="1182" w:type="dxa"/>
          </w:tcPr>
          <w:p w14:paraId="44DD396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£55</w:t>
            </w:r>
          </w:p>
        </w:tc>
        <w:tc>
          <w:tcPr>
            <w:tcW w:w="1221" w:type="dxa"/>
          </w:tcPr>
          <w:p w14:paraId="75F02F55"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£59</w:t>
            </w:r>
          </w:p>
        </w:tc>
        <w:tc>
          <w:tcPr>
            <w:tcW w:w="1089" w:type="dxa"/>
          </w:tcPr>
          <w:p w14:paraId="1A54C6F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w:t>
            </w:r>
          </w:p>
        </w:tc>
      </w:tr>
      <w:tr w:rsidR="00105F6A" w:rsidRPr="00D1063C" w14:paraId="28C4E573"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3B2AD793" w14:textId="77777777" w:rsidR="00105F6A" w:rsidRPr="0053038A" w:rsidRDefault="00105F6A" w:rsidP="00105F6A">
            <w:pPr>
              <w:spacing w:after="240" w:line="276" w:lineRule="auto"/>
              <w:rPr>
                <w:rFonts w:eastAsia="Arial" w:cs="Arial"/>
              </w:rPr>
            </w:pPr>
            <w:r w:rsidRPr="0053038A">
              <w:rPr>
                <w:rFonts w:eastAsia="Arial" w:cs="Arial"/>
              </w:rPr>
              <w:t>2.1ciii</w:t>
            </w:r>
          </w:p>
        </w:tc>
        <w:tc>
          <w:tcPr>
            <w:tcW w:w="4908" w:type="dxa"/>
          </w:tcPr>
          <w:p w14:paraId="759CE529"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Hearing fee: Small claims case (exceeds £500 but not £1,000)</w:t>
            </w:r>
          </w:p>
        </w:tc>
        <w:tc>
          <w:tcPr>
            <w:tcW w:w="1182" w:type="dxa"/>
          </w:tcPr>
          <w:p w14:paraId="1F10500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£80</w:t>
            </w:r>
          </w:p>
        </w:tc>
        <w:tc>
          <w:tcPr>
            <w:tcW w:w="1221" w:type="dxa"/>
          </w:tcPr>
          <w:p w14:paraId="4FDAF961" w14:textId="05DCE06E"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£8</w:t>
            </w:r>
            <w:r w:rsidR="00637242" w:rsidRPr="00F77C7B">
              <w:rPr>
                <w:rFonts w:eastAsia="Arial" w:cs="Arial"/>
              </w:rPr>
              <w:t>5</w:t>
            </w:r>
          </w:p>
        </w:tc>
        <w:tc>
          <w:tcPr>
            <w:tcW w:w="1089" w:type="dxa"/>
          </w:tcPr>
          <w:p w14:paraId="1E9DDA1A" w14:textId="15161205"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w:t>
            </w:r>
            <w:r w:rsidR="00637242" w:rsidRPr="00F77C7B">
              <w:rPr>
                <w:rFonts w:eastAsia="Arial" w:cs="Arial"/>
              </w:rPr>
              <w:t>5</w:t>
            </w:r>
          </w:p>
        </w:tc>
      </w:tr>
      <w:tr w:rsidR="00105F6A" w:rsidRPr="00D1063C" w14:paraId="3B384FF9"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24A323A0" w14:textId="77777777" w:rsidR="00105F6A" w:rsidRPr="0053038A" w:rsidRDefault="00105F6A" w:rsidP="00105F6A">
            <w:pPr>
              <w:spacing w:after="240" w:line="276" w:lineRule="auto"/>
              <w:rPr>
                <w:rFonts w:eastAsia="Arial" w:cs="Arial"/>
              </w:rPr>
            </w:pPr>
            <w:r w:rsidRPr="0053038A">
              <w:rPr>
                <w:rFonts w:eastAsia="Arial" w:cs="Arial"/>
              </w:rPr>
              <w:t>2.1civ</w:t>
            </w:r>
          </w:p>
        </w:tc>
        <w:tc>
          <w:tcPr>
            <w:tcW w:w="4908" w:type="dxa"/>
          </w:tcPr>
          <w:p w14:paraId="219A8978"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Hearing fee: Small claims case (exceeds </w:t>
            </w:r>
            <w:r w:rsidRPr="78701724">
              <w:rPr>
                <w:rFonts w:eastAsia="Arial" w:cs="Arial"/>
              </w:rPr>
              <w:t>£</w:t>
            </w:r>
            <w:r w:rsidRPr="0053038A">
              <w:rPr>
                <w:rFonts w:eastAsia="Arial" w:cs="Arial"/>
              </w:rPr>
              <w:t xml:space="preserve">1000 but not </w:t>
            </w:r>
            <w:r w:rsidRPr="78701724">
              <w:rPr>
                <w:rFonts w:eastAsia="Arial" w:cs="Arial"/>
              </w:rPr>
              <w:t>£</w:t>
            </w:r>
            <w:r w:rsidRPr="0053038A">
              <w:rPr>
                <w:rFonts w:eastAsia="Arial" w:cs="Arial"/>
              </w:rPr>
              <w:t>1500)</w:t>
            </w:r>
          </w:p>
        </w:tc>
        <w:tc>
          <w:tcPr>
            <w:tcW w:w="1182" w:type="dxa"/>
          </w:tcPr>
          <w:p w14:paraId="409879FD"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£115</w:t>
            </w:r>
          </w:p>
        </w:tc>
        <w:tc>
          <w:tcPr>
            <w:tcW w:w="1221" w:type="dxa"/>
          </w:tcPr>
          <w:p w14:paraId="348CBDFF" w14:textId="57341291"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£12</w:t>
            </w:r>
            <w:r w:rsidR="00785DA4" w:rsidRPr="00F77C7B">
              <w:rPr>
                <w:rFonts w:eastAsia="Arial" w:cs="Arial"/>
              </w:rPr>
              <w:t>3</w:t>
            </w:r>
          </w:p>
        </w:tc>
        <w:tc>
          <w:tcPr>
            <w:tcW w:w="1089" w:type="dxa"/>
          </w:tcPr>
          <w:p w14:paraId="1661A65F" w14:textId="72DC9CB4"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w:t>
            </w:r>
            <w:r w:rsidR="00785DA4" w:rsidRPr="00F77C7B">
              <w:rPr>
                <w:rFonts w:eastAsia="Arial" w:cs="Arial"/>
              </w:rPr>
              <w:t>8</w:t>
            </w:r>
          </w:p>
        </w:tc>
      </w:tr>
      <w:tr w:rsidR="00105F6A" w:rsidRPr="00D1063C" w14:paraId="4C2964FC"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A60C58A" w14:textId="77777777" w:rsidR="00105F6A" w:rsidRPr="0053038A" w:rsidRDefault="00105F6A" w:rsidP="00105F6A">
            <w:pPr>
              <w:spacing w:after="240" w:line="276" w:lineRule="auto"/>
              <w:rPr>
                <w:rFonts w:eastAsia="Arial" w:cs="Arial"/>
              </w:rPr>
            </w:pPr>
            <w:r w:rsidRPr="0053038A">
              <w:rPr>
                <w:rFonts w:eastAsia="Arial" w:cs="Arial"/>
              </w:rPr>
              <w:t>2.1cv</w:t>
            </w:r>
          </w:p>
        </w:tc>
        <w:tc>
          <w:tcPr>
            <w:tcW w:w="4908" w:type="dxa"/>
          </w:tcPr>
          <w:p w14:paraId="6D874746"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Hearing fee: Small claims case (exceeds £1,500 but not £3,000)</w:t>
            </w:r>
          </w:p>
        </w:tc>
        <w:tc>
          <w:tcPr>
            <w:tcW w:w="1182" w:type="dxa"/>
          </w:tcPr>
          <w:p w14:paraId="79C64A4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£170</w:t>
            </w:r>
          </w:p>
        </w:tc>
        <w:tc>
          <w:tcPr>
            <w:tcW w:w="1221" w:type="dxa"/>
          </w:tcPr>
          <w:p w14:paraId="471C7DC1" w14:textId="5EB92BE5"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£18</w:t>
            </w:r>
            <w:r w:rsidR="00E64AFD" w:rsidRPr="00F77C7B">
              <w:rPr>
                <w:rFonts w:eastAsia="Arial" w:cs="Arial"/>
              </w:rPr>
              <w:t>1</w:t>
            </w:r>
          </w:p>
        </w:tc>
        <w:tc>
          <w:tcPr>
            <w:tcW w:w="1089" w:type="dxa"/>
          </w:tcPr>
          <w:p w14:paraId="2B11279C" w14:textId="255B1F14"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£1</w:t>
            </w:r>
            <w:r w:rsidR="00E64AFD" w:rsidRPr="00F77C7B">
              <w:rPr>
                <w:rFonts w:eastAsia="Arial" w:cs="Arial"/>
              </w:rPr>
              <w:t>1</w:t>
            </w:r>
          </w:p>
        </w:tc>
      </w:tr>
      <w:tr w:rsidR="001B5AF7" w:rsidRPr="00D1063C" w14:paraId="76B52B40"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B14052A" w14:textId="77777777" w:rsidR="001B5AF7" w:rsidRPr="0053038A" w:rsidRDefault="001B5AF7" w:rsidP="001B5AF7">
            <w:pPr>
              <w:spacing w:after="240" w:line="276" w:lineRule="auto"/>
              <w:rPr>
                <w:rFonts w:eastAsia="Arial" w:cs="Arial"/>
              </w:rPr>
            </w:pPr>
            <w:r w:rsidRPr="0053038A">
              <w:rPr>
                <w:rFonts w:eastAsia="Arial" w:cs="Arial"/>
              </w:rPr>
              <w:t>2.1cvi</w:t>
            </w:r>
          </w:p>
        </w:tc>
        <w:tc>
          <w:tcPr>
            <w:tcW w:w="4908" w:type="dxa"/>
          </w:tcPr>
          <w:p w14:paraId="7A17127E"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Hearing fee: Small claims case (exceeds </w:t>
            </w:r>
            <w:r w:rsidRPr="78701724">
              <w:rPr>
                <w:rFonts w:eastAsia="Arial" w:cs="Arial"/>
              </w:rPr>
              <w:t>£</w:t>
            </w:r>
            <w:r w:rsidRPr="0053038A">
              <w:rPr>
                <w:rFonts w:eastAsia="Arial" w:cs="Arial"/>
              </w:rPr>
              <w:t>3000)</w:t>
            </w:r>
          </w:p>
        </w:tc>
        <w:tc>
          <w:tcPr>
            <w:tcW w:w="1182" w:type="dxa"/>
          </w:tcPr>
          <w:p w14:paraId="622D5DE3"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£335</w:t>
            </w:r>
          </w:p>
        </w:tc>
        <w:tc>
          <w:tcPr>
            <w:tcW w:w="1221" w:type="dxa"/>
          </w:tcPr>
          <w:p w14:paraId="0177BFE2" w14:textId="2FA72EBE"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£346</w:t>
            </w:r>
          </w:p>
        </w:tc>
        <w:tc>
          <w:tcPr>
            <w:tcW w:w="1089" w:type="dxa"/>
          </w:tcPr>
          <w:p w14:paraId="6A090296" w14:textId="3BB8F8D4"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£11</w:t>
            </w:r>
          </w:p>
        </w:tc>
      </w:tr>
      <w:tr w:rsidR="00105F6A" w:rsidRPr="00D1063C" w14:paraId="6E580E38"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1F493E19" w14:textId="77777777" w:rsidR="00105F6A" w:rsidRPr="0053038A" w:rsidRDefault="00105F6A" w:rsidP="00105F6A">
            <w:pPr>
              <w:spacing w:after="240" w:line="276" w:lineRule="auto"/>
              <w:rPr>
                <w:rFonts w:eastAsia="Arial" w:cs="Arial"/>
              </w:rPr>
            </w:pPr>
            <w:r w:rsidRPr="0053038A">
              <w:rPr>
                <w:rFonts w:eastAsia="Arial" w:cs="Arial"/>
              </w:rPr>
              <w:t>2.2</w:t>
            </w:r>
          </w:p>
        </w:tc>
        <w:tc>
          <w:tcPr>
            <w:tcW w:w="4908" w:type="dxa"/>
          </w:tcPr>
          <w:p w14:paraId="57E004B2"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Appellant</w:t>
            </w:r>
            <w:r>
              <w:rPr>
                <w:rFonts w:eastAsia="Arial" w:cs="Arial"/>
              </w:rPr>
              <w:t>’</w:t>
            </w:r>
            <w:r w:rsidRPr="0053038A">
              <w:rPr>
                <w:rFonts w:eastAsia="Arial" w:cs="Arial"/>
              </w:rPr>
              <w:t>s/respondent</w:t>
            </w:r>
            <w:r>
              <w:rPr>
                <w:rFonts w:eastAsia="Arial" w:cs="Arial"/>
              </w:rPr>
              <w:t>’</w:t>
            </w:r>
            <w:r w:rsidRPr="0053038A">
              <w:rPr>
                <w:rFonts w:eastAsia="Arial" w:cs="Arial"/>
              </w:rPr>
              <w:t>s notice (High Court)</w:t>
            </w:r>
          </w:p>
        </w:tc>
        <w:tc>
          <w:tcPr>
            <w:tcW w:w="1182" w:type="dxa"/>
          </w:tcPr>
          <w:p w14:paraId="482102AC"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£240</w:t>
            </w:r>
          </w:p>
        </w:tc>
        <w:tc>
          <w:tcPr>
            <w:tcW w:w="1221" w:type="dxa"/>
          </w:tcPr>
          <w:p w14:paraId="35704A7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£259</w:t>
            </w:r>
          </w:p>
        </w:tc>
        <w:tc>
          <w:tcPr>
            <w:tcW w:w="1089" w:type="dxa"/>
          </w:tcPr>
          <w:p w14:paraId="2FE48F3E"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£19</w:t>
            </w:r>
          </w:p>
        </w:tc>
      </w:tr>
      <w:tr w:rsidR="00105F6A" w:rsidRPr="00D1063C" w14:paraId="1CD64D7C"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3266C3C" w14:textId="77777777" w:rsidR="00105F6A" w:rsidRPr="0053038A" w:rsidRDefault="00105F6A" w:rsidP="00105F6A">
            <w:pPr>
              <w:spacing w:after="240" w:line="276" w:lineRule="auto"/>
              <w:rPr>
                <w:rFonts w:eastAsia="Arial" w:cs="Arial"/>
              </w:rPr>
            </w:pPr>
            <w:r w:rsidRPr="0053038A">
              <w:rPr>
                <w:rFonts w:eastAsia="Arial" w:cs="Arial"/>
              </w:rPr>
              <w:t>2.3a</w:t>
            </w:r>
          </w:p>
        </w:tc>
        <w:tc>
          <w:tcPr>
            <w:tcW w:w="4908" w:type="dxa"/>
          </w:tcPr>
          <w:p w14:paraId="3413173C"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Appellant</w:t>
            </w:r>
            <w:r>
              <w:rPr>
                <w:rFonts w:eastAsia="Arial" w:cs="Arial"/>
              </w:rPr>
              <w:t>’</w:t>
            </w:r>
            <w:r w:rsidRPr="0053038A">
              <w:rPr>
                <w:rFonts w:eastAsia="Arial" w:cs="Arial"/>
              </w:rPr>
              <w:t>s/respondent</w:t>
            </w:r>
            <w:r>
              <w:rPr>
                <w:rFonts w:eastAsia="Arial" w:cs="Arial"/>
              </w:rPr>
              <w:t>’</w:t>
            </w:r>
            <w:r w:rsidRPr="0053038A">
              <w:rPr>
                <w:rFonts w:eastAsia="Arial" w:cs="Arial"/>
              </w:rPr>
              <w:t>s notice (County court small claims)</w:t>
            </w:r>
          </w:p>
        </w:tc>
        <w:tc>
          <w:tcPr>
            <w:tcW w:w="1182" w:type="dxa"/>
          </w:tcPr>
          <w:p w14:paraId="5B6F1FAD"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£120</w:t>
            </w:r>
          </w:p>
        </w:tc>
        <w:tc>
          <w:tcPr>
            <w:tcW w:w="1221" w:type="dxa"/>
          </w:tcPr>
          <w:p w14:paraId="511F299B"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£129</w:t>
            </w:r>
          </w:p>
        </w:tc>
        <w:tc>
          <w:tcPr>
            <w:tcW w:w="1089" w:type="dxa"/>
          </w:tcPr>
          <w:p w14:paraId="338BFF85"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£9</w:t>
            </w:r>
          </w:p>
        </w:tc>
      </w:tr>
      <w:tr w:rsidR="00105F6A" w:rsidRPr="00D1063C" w14:paraId="5B82D8FD"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467626A" w14:textId="77777777" w:rsidR="00105F6A" w:rsidRPr="0053038A" w:rsidRDefault="00105F6A" w:rsidP="00105F6A">
            <w:pPr>
              <w:spacing w:after="240" w:line="276" w:lineRule="auto"/>
              <w:rPr>
                <w:rFonts w:eastAsia="Arial" w:cs="Arial"/>
              </w:rPr>
            </w:pPr>
            <w:r w:rsidRPr="0053038A">
              <w:rPr>
                <w:rFonts w:eastAsia="Arial" w:cs="Arial"/>
              </w:rPr>
              <w:lastRenderedPageBreak/>
              <w:t>2.3b</w:t>
            </w:r>
          </w:p>
        </w:tc>
        <w:tc>
          <w:tcPr>
            <w:tcW w:w="4908" w:type="dxa"/>
          </w:tcPr>
          <w:p w14:paraId="6D376A93"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Appellant</w:t>
            </w:r>
            <w:r>
              <w:rPr>
                <w:rFonts w:eastAsia="Arial" w:cs="Arial"/>
              </w:rPr>
              <w:t>’</w:t>
            </w:r>
            <w:r w:rsidRPr="0053038A">
              <w:rPr>
                <w:rFonts w:eastAsia="Arial" w:cs="Arial"/>
              </w:rPr>
              <w:t>s/respondent</w:t>
            </w:r>
            <w:r>
              <w:rPr>
                <w:rFonts w:eastAsia="Arial" w:cs="Arial"/>
              </w:rPr>
              <w:t>’</w:t>
            </w:r>
            <w:r w:rsidRPr="0053038A">
              <w:rPr>
                <w:rFonts w:eastAsia="Arial" w:cs="Arial"/>
              </w:rPr>
              <w:t>s notice (County court other claims)</w:t>
            </w:r>
          </w:p>
        </w:tc>
        <w:tc>
          <w:tcPr>
            <w:tcW w:w="1182" w:type="dxa"/>
          </w:tcPr>
          <w:p w14:paraId="0200831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£140</w:t>
            </w:r>
          </w:p>
        </w:tc>
        <w:tc>
          <w:tcPr>
            <w:tcW w:w="1221" w:type="dxa"/>
          </w:tcPr>
          <w:p w14:paraId="68B1BC3B"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£151</w:t>
            </w:r>
          </w:p>
        </w:tc>
        <w:tc>
          <w:tcPr>
            <w:tcW w:w="1089" w:type="dxa"/>
          </w:tcPr>
          <w:p w14:paraId="058F0A1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w:t>
            </w:r>
          </w:p>
        </w:tc>
      </w:tr>
      <w:tr w:rsidR="00105F6A" w:rsidRPr="00D1063C" w14:paraId="052E7F6C"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5CB4A6F" w14:textId="77777777" w:rsidR="00105F6A" w:rsidRPr="00E642C1" w:rsidRDefault="00105F6A" w:rsidP="00105F6A">
            <w:pPr>
              <w:spacing w:after="240" w:line="276" w:lineRule="auto"/>
              <w:rPr>
                <w:rFonts w:eastAsia="Arial" w:cs="Arial"/>
              </w:rPr>
            </w:pPr>
            <w:r w:rsidRPr="00E642C1">
              <w:rPr>
                <w:rFonts w:eastAsia="Arial" w:cs="Arial"/>
              </w:rPr>
              <w:t>2.4(a)</w:t>
            </w:r>
          </w:p>
        </w:tc>
        <w:tc>
          <w:tcPr>
            <w:tcW w:w="4908" w:type="dxa"/>
          </w:tcPr>
          <w:p w14:paraId="22F36D13" w14:textId="77777777" w:rsidR="00105F6A" w:rsidRPr="00E642C1"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E642C1">
              <w:rPr>
                <w:rFonts w:eastAsia="Arial" w:cs="Arial"/>
              </w:rPr>
              <w:t xml:space="preserve">General application (on notice) </w:t>
            </w:r>
            <w:proofErr w:type="spellStart"/>
            <w:r w:rsidRPr="00E642C1">
              <w:rPr>
                <w:rFonts w:eastAsia="Arial" w:cs="Arial"/>
              </w:rPr>
              <w:t>excl</w:t>
            </w:r>
            <w:proofErr w:type="spellEnd"/>
            <w:r w:rsidRPr="00E642C1">
              <w:rPr>
                <w:rFonts w:eastAsia="Arial" w:cs="Arial"/>
              </w:rPr>
              <w:t xml:space="preserve"> HA'97 &amp; Court Fund Pay Out</w:t>
            </w:r>
          </w:p>
        </w:tc>
        <w:tc>
          <w:tcPr>
            <w:tcW w:w="1182" w:type="dxa"/>
          </w:tcPr>
          <w:p w14:paraId="6FAC4931" w14:textId="77777777" w:rsidR="00105F6A" w:rsidRPr="00E642C1"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E642C1">
              <w:rPr>
                <w:rFonts w:eastAsia="Arial" w:cs="Arial"/>
              </w:rPr>
              <w:t>£255</w:t>
            </w:r>
          </w:p>
        </w:tc>
        <w:tc>
          <w:tcPr>
            <w:tcW w:w="1221" w:type="dxa"/>
          </w:tcPr>
          <w:p w14:paraId="3F80CE18" w14:textId="77777777" w:rsidR="00105F6A" w:rsidRPr="00E642C1"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E642C1">
              <w:rPr>
                <w:rFonts w:eastAsia="Arial" w:cs="Arial"/>
              </w:rPr>
              <w:t>£275</w:t>
            </w:r>
          </w:p>
        </w:tc>
        <w:tc>
          <w:tcPr>
            <w:tcW w:w="1089" w:type="dxa"/>
          </w:tcPr>
          <w:p w14:paraId="4B6F3AC5" w14:textId="77777777" w:rsidR="00105F6A" w:rsidRPr="00E642C1"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E642C1">
              <w:rPr>
                <w:rFonts w:eastAsia="Arial" w:cs="Arial"/>
              </w:rPr>
              <w:t>£20</w:t>
            </w:r>
          </w:p>
        </w:tc>
      </w:tr>
      <w:tr w:rsidR="00105F6A" w:rsidRPr="00D1063C" w14:paraId="1CB6B807"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3DAFC44" w14:textId="77777777" w:rsidR="00105F6A" w:rsidRPr="00E642C1" w:rsidRDefault="00105F6A" w:rsidP="00105F6A">
            <w:pPr>
              <w:spacing w:after="240" w:line="276" w:lineRule="auto"/>
              <w:rPr>
                <w:rFonts w:eastAsia="Arial" w:cs="Arial"/>
              </w:rPr>
            </w:pPr>
            <w:r w:rsidRPr="00DF4CCF">
              <w:rPr>
                <w:rFonts w:cs="Arial"/>
              </w:rPr>
              <w:t>2.4(</w:t>
            </w:r>
            <w:proofErr w:type="gramStart"/>
            <w:r w:rsidRPr="00DF4CCF">
              <w:rPr>
                <w:rFonts w:cs="Arial"/>
              </w:rPr>
              <w:t xml:space="preserve">b)   </w:t>
            </w:r>
            <w:proofErr w:type="gramEnd"/>
            <w:r w:rsidRPr="00DF4CCF">
              <w:rPr>
                <w:rFonts w:cs="Arial"/>
              </w:rPr>
              <w:t xml:space="preserve"> </w:t>
            </w:r>
          </w:p>
        </w:tc>
        <w:tc>
          <w:tcPr>
            <w:tcW w:w="4908" w:type="dxa"/>
          </w:tcPr>
          <w:p w14:paraId="630CB915" w14:textId="77777777" w:rsidR="00105F6A" w:rsidRPr="00E642C1"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DF4CCF">
              <w:rPr>
                <w:rFonts w:cs="Arial"/>
              </w:rPr>
              <w:t>General application (on notice) H</w:t>
            </w:r>
            <w:r>
              <w:rPr>
                <w:rFonts w:cs="Arial"/>
              </w:rPr>
              <w:t xml:space="preserve">arassment </w:t>
            </w:r>
            <w:r w:rsidRPr="00DF4CCF">
              <w:rPr>
                <w:rFonts w:cs="Arial"/>
              </w:rPr>
              <w:t>A</w:t>
            </w:r>
            <w:r>
              <w:rPr>
                <w:rFonts w:cs="Arial"/>
              </w:rPr>
              <w:t>ct 19</w:t>
            </w:r>
            <w:r w:rsidRPr="00DF4CCF">
              <w:rPr>
                <w:rFonts w:cs="Arial"/>
              </w:rPr>
              <w:t>97 &amp; Court Fund Pay Out</w:t>
            </w:r>
          </w:p>
        </w:tc>
        <w:tc>
          <w:tcPr>
            <w:tcW w:w="1182" w:type="dxa"/>
          </w:tcPr>
          <w:p w14:paraId="7A25488C" w14:textId="77777777" w:rsidR="00105F6A" w:rsidRPr="00E642C1"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DF4CCF">
              <w:rPr>
                <w:rFonts w:cs="Arial"/>
              </w:rPr>
              <w:t>£155</w:t>
            </w:r>
          </w:p>
        </w:tc>
        <w:tc>
          <w:tcPr>
            <w:tcW w:w="1221" w:type="dxa"/>
          </w:tcPr>
          <w:p w14:paraId="035D0E9C" w14:textId="77777777" w:rsidR="00105F6A" w:rsidRPr="00E642C1"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DF4CCF">
              <w:rPr>
                <w:rFonts w:cs="Arial"/>
              </w:rPr>
              <w:t>£167</w:t>
            </w:r>
          </w:p>
        </w:tc>
        <w:tc>
          <w:tcPr>
            <w:tcW w:w="1089" w:type="dxa"/>
          </w:tcPr>
          <w:p w14:paraId="240631F1" w14:textId="77777777" w:rsidR="00105F6A" w:rsidRPr="00E642C1"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DF4CCF">
              <w:rPr>
                <w:rFonts w:cs="Arial"/>
              </w:rPr>
              <w:t>£12</w:t>
            </w:r>
          </w:p>
        </w:tc>
      </w:tr>
      <w:tr w:rsidR="00105F6A" w:rsidRPr="00D1063C" w14:paraId="5CD19C99"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28BEB757" w14:textId="77777777" w:rsidR="00105F6A" w:rsidRPr="00E642C1" w:rsidRDefault="00105F6A" w:rsidP="00105F6A">
            <w:pPr>
              <w:spacing w:after="240" w:line="276" w:lineRule="auto"/>
              <w:rPr>
                <w:rFonts w:eastAsia="Arial" w:cs="Arial"/>
              </w:rPr>
            </w:pPr>
            <w:r w:rsidRPr="00DF4CCF">
              <w:rPr>
                <w:rFonts w:cs="Arial"/>
              </w:rPr>
              <w:t>2.5(a)</w:t>
            </w:r>
          </w:p>
        </w:tc>
        <w:tc>
          <w:tcPr>
            <w:tcW w:w="4908" w:type="dxa"/>
          </w:tcPr>
          <w:p w14:paraId="378C536E" w14:textId="77777777" w:rsidR="00105F6A" w:rsidRPr="00E642C1"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DF4CCF">
              <w:rPr>
                <w:rFonts w:cs="Arial"/>
              </w:rPr>
              <w:t>General application (by consent/without notice) excl</w:t>
            </w:r>
            <w:r>
              <w:rPr>
                <w:rFonts w:cs="Arial"/>
              </w:rPr>
              <w:t>uding</w:t>
            </w:r>
            <w:r w:rsidRPr="00DF4CCF">
              <w:rPr>
                <w:rFonts w:cs="Arial"/>
              </w:rPr>
              <w:t xml:space="preserve"> H</w:t>
            </w:r>
            <w:r>
              <w:rPr>
                <w:rFonts w:cs="Arial"/>
              </w:rPr>
              <w:t xml:space="preserve">arassment </w:t>
            </w:r>
            <w:r w:rsidRPr="00DF4CCF">
              <w:rPr>
                <w:rFonts w:cs="Arial"/>
              </w:rPr>
              <w:t>A</w:t>
            </w:r>
            <w:r>
              <w:rPr>
                <w:rFonts w:cs="Arial"/>
              </w:rPr>
              <w:t>ct 19</w:t>
            </w:r>
            <w:r w:rsidRPr="00DF4CCF">
              <w:rPr>
                <w:rFonts w:cs="Arial"/>
              </w:rPr>
              <w:t>97 &amp; Court Fund Pay Out</w:t>
            </w:r>
          </w:p>
        </w:tc>
        <w:tc>
          <w:tcPr>
            <w:tcW w:w="1182" w:type="dxa"/>
          </w:tcPr>
          <w:p w14:paraId="1D698019" w14:textId="77777777" w:rsidR="00105F6A" w:rsidRPr="00E642C1"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DF4CCF">
              <w:rPr>
                <w:rFonts w:cs="Arial"/>
              </w:rPr>
              <w:t>£100</w:t>
            </w:r>
          </w:p>
        </w:tc>
        <w:tc>
          <w:tcPr>
            <w:tcW w:w="1221" w:type="dxa"/>
          </w:tcPr>
          <w:p w14:paraId="73641074" w14:textId="77777777" w:rsidR="00105F6A" w:rsidRPr="00E642C1"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DF4CCF">
              <w:rPr>
                <w:rFonts w:cs="Arial"/>
              </w:rPr>
              <w:t>£108</w:t>
            </w:r>
          </w:p>
        </w:tc>
        <w:tc>
          <w:tcPr>
            <w:tcW w:w="1089" w:type="dxa"/>
          </w:tcPr>
          <w:p w14:paraId="60D81605" w14:textId="77777777" w:rsidR="00105F6A" w:rsidRPr="00E642C1"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DF4CCF">
              <w:rPr>
                <w:rFonts w:cs="Arial"/>
              </w:rPr>
              <w:t>£8</w:t>
            </w:r>
          </w:p>
        </w:tc>
      </w:tr>
      <w:tr w:rsidR="00105F6A" w:rsidRPr="00D1063C" w14:paraId="7071321F"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071912A" w14:textId="77777777" w:rsidR="00105F6A" w:rsidRPr="0053038A" w:rsidRDefault="00105F6A" w:rsidP="00105F6A">
            <w:pPr>
              <w:spacing w:after="240" w:line="276" w:lineRule="auto"/>
              <w:rPr>
                <w:rFonts w:eastAsia="Arial" w:cs="Arial"/>
              </w:rPr>
            </w:pPr>
            <w:r w:rsidRPr="0053038A">
              <w:rPr>
                <w:rFonts w:eastAsia="Arial" w:cs="Arial"/>
              </w:rPr>
              <w:t>2.5(b)</w:t>
            </w:r>
          </w:p>
        </w:tc>
        <w:tc>
          <w:tcPr>
            <w:tcW w:w="4908" w:type="dxa"/>
          </w:tcPr>
          <w:p w14:paraId="4FDAF490"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General application (by consent/without notice) HA'97 &amp; Court Fund Pay Out</w:t>
            </w:r>
          </w:p>
        </w:tc>
        <w:tc>
          <w:tcPr>
            <w:tcW w:w="1182" w:type="dxa"/>
          </w:tcPr>
          <w:p w14:paraId="1DE51F5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£50</w:t>
            </w:r>
          </w:p>
        </w:tc>
        <w:tc>
          <w:tcPr>
            <w:tcW w:w="1221" w:type="dxa"/>
          </w:tcPr>
          <w:p w14:paraId="79F01D13"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£54</w:t>
            </w:r>
          </w:p>
        </w:tc>
        <w:tc>
          <w:tcPr>
            <w:tcW w:w="1089" w:type="dxa"/>
          </w:tcPr>
          <w:p w14:paraId="0B98654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w:t>
            </w:r>
          </w:p>
        </w:tc>
      </w:tr>
      <w:tr w:rsidR="00105F6A" w:rsidRPr="00D1063C" w14:paraId="7FDDAD8B"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19CC25A" w14:textId="77777777" w:rsidR="00105F6A" w:rsidRPr="0053038A" w:rsidRDefault="00105F6A" w:rsidP="00105F6A">
            <w:pPr>
              <w:spacing w:after="240" w:line="276" w:lineRule="auto"/>
              <w:rPr>
                <w:rFonts w:eastAsia="Arial" w:cs="Arial"/>
              </w:rPr>
            </w:pPr>
            <w:r w:rsidRPr="0053038A">
              <w:rPr>
                <w:rFonts w:eastAsia="Arial" w:cs="Arial"/>
              </w:rPr>
              <w:t>3.1b</w:t>
            </w:r>
          </w:p>
        </w:tc>
        <w:tc>
          <w:tcPr>
            <w:tcW w:w="4908" w:type="dxa"/>
          </w:tcPr>
          <w:p w14:paraId="35D8D089"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Petition for bankruptcy (presented by creditor/</w:t>
            </w:r>
            <w:proofErr w:type="gramStart"/>
            <w:r w:rsidRPr="0053038A">
              <w:rPr>
                <w:rFonts w:eastAsia="Arial" w:cs="Arial"/>
              </w:rPr>
              <w:t>other</w:t>
            </w:r>
            <w:proofErr w:type="gramEnd"/>
            <w:r w:rsidRPr="0053038A">
              <w:rPr>
                <w:rFonts w:eastAsia="Arial" w:cs="Arial"/>
              </w:rPr>
              <w:t xml:space="preserve"> person)</w:t>
            </w:r>
          </w:p>
        </w:tc>
        <w:tc>
          <w:tcPr>
            <w:tcW w:w="1182" w:type="dxa"/>
          </w:tcPr>
          <w:p w14:paraId="59C4E97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£280</w:t>
            </w:r>
          </w:p>
        </w:tc>
        <w:tc>
          <w:tcPr>
            <w:tcW w:w="1221" w:type="dxa"/>
          </w:tcPr>
          <w:p w14:paraId="723C6D70"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£302</w:t>
            </w:r>
          </w:p>
        </w:tc>
        <w:tc>
          <w:tcPr>
            <w:tcW w:w="1089" w:type="dxa"/>
          </w:tcPr>
          <w:p w14:paraId="133F564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£22</w:t>
            </w:r>
          </w:p>
        </w:tc>
      </w:tr>
      <w:tr w:rsidR="00105F6A" w:rsidRPr="00D1063C" w14:paraId="1168DCF9"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6579FD5" w14:textId="77777777" w:rsidR="00105F6A" w:rsidRPr="0053038A" w:rsidRDefault="00105F6A" w:rsidP="00105F6A">
            <w:pPr>
              <w:spacing w:after="240" w:line="276" w:lineRule="auto"/>
              <w:rPr>
                <w:rFonts w:eastAsia="Arial" w:cs="Arial"/>
              </w:rPr>
            </w:pPr>
            <w:r w:rsidRPr="0053038A">
              <w:rPr>
                <w:rFonts w:eastAsia="Arial" w:cs="Arial"/>
              </w:rPr>
              <w:t>3.2</w:t>
            </w:r>
          </w:p>
        </w:tc>
        <w:tc>
          <w:tcPr>
            <w:tcW w:w="4908" w:type="dxa"/>
          </w:tcPr>
          <w:p w14:paraId="1A9BB5C7"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Petition for an administration order</w:t>
            </w:r>
          </w:p>
        </w:tc>
        <w:tc>
          <w:tcPr>
            <w:tcW w:w="1182" w:type="dxa"/>
          </w:tcPr>
          <w:p w14:paraId="62994F75"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£280</w:t>
            </w:r>
          </w:p>
        </w:tc>
        <w:tc>
          <w:tcPr>
            <w:tcW w:w="1221" w:type="dxa"/>
          </w:tcPr>
          <w:p w14:paraId="2E8A363D"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£302</w:t>
            </w:r>
          </w:p>
        </w:tc>
        <w:tc>
          <w:tcPr>
            <w:tcW w:w="1089" w:type="dxa"/>
          </w:tcPr>
          <w:p w14:paraId="074F89D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£22</w:t>
            </w:r>
          </w:p>
        </w:tc>
      </w:tr>
      <w:tr w:rsidR="00105F6A" w:rsidRPr="00D1063C" w14:paraId="1663226C"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EF1EF54" w14:textId="77777777" w:rsidR="00105F6A" w:rsidRPr="0053038A" w:rsidRDefault="00105F6A" w:rsidP="00105F6A">
            <w:pPr>
              <w:spacing w:after="240" w:line="276" w:lineRule="auto"/>
              <w:rPr>
                <w:rFonts w:eastAsia="Arial" w:cs="Arial"/>
              </w:rPr>
            </w:pPr>
            <w:r w:rsidRPr="0053038A">
              <w:rPr>
                <w:rFonts w:eastAsia="Arial" w:cs="Arial"/>
              </w:rPr>
              <w:t>3.3</w:t>
            </w:r>
          </w:p>
        </w:tc>
        <w:tc>
          <w:tcPr>
            <w:tcW w:w="4908" w:type="dxa"/>
          </w:tcPr>
          <w:p w14:paraId="22777688"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Any other petition</w:t>
            </w:r>
          </w:p>
        </w:tc>
        <w:tc>
          <w:tcPr>
            <w:tcW w:w="1182" w:type="dxa"/>
          </w:tcPr>
          <w:p w14:paraId="5C0B138D"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£280</w:t>
            </w:r>
          </w:p>
        </w:tc>
        <w:tc>
          <w:tcPr>
            <w:tcW w:w="1221" w:type="dxa"/>
          </w:tcPr>
          <w:p w14:paraId="2FF9E163"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£302</w:t>
            </w:r>
          </w:p>
        </w:tc>
        <w:tc>
          <w:tcPr>
            <w:tcW w:w="1089" w:type="dxa"/>
          </w:tcPr>
          <w:p w14:paraId="204872A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£22</w:t>
            </w:r>
          </w:p>
        </w:tc>
      </w:tr>
      <w:tr w:rsidR="00105F6A" w:rsidRPr="00D1063C" w14:paraId="23D9BC75"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42C5416" w14:textId="77777777" w:rsidR="00105F6A" w:rsidRPr="0053038A" w:rsidRDefault="00105F6A" w:rsidP="00105F6A">
            <w:pPr>
              <w:spacing w:after="240" w:line="276" w:lineRule="auto"/>
              <w:rPr>
                <w:rFonts w:eastAsia="Arial" w:cs="Arial"/>
              </w:rPr>
            </w:pPr>
            <w:r w:rsidRPr="0053038A">
              <w:rPr>
                <w:rFonts w:eastAsia="Arial" w:cs="Arial"/>
              </w:rPr>
              <w:t>3.4a</w:t>
            </w:r>
          </w:p>
        </w:tc>
        <w:tc>
          <w:tcPr>
            <w:tcW w:w="4908" w:type="dxa"/>
          </w:tcPr>
          <w:p w14:paraId="63A2BB70"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Request for a certificate of discharge from bankruptcy</w:t>
            </w:r>
          </w:p>
        </w:tc>
        <w:tc>
          <w:tcPr>
            <w:tcW w:w="1182" w:type="dxa"/>
          </w:tcPr>
          <w:p w14:paraId="74FDA3CE"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£70</w:t>
            </w:r>
          </w:p>
        </w:tc>
        <w:tc>
          <w:tcPr>
            <w:tcW w:w="1221" w:type="dxa"/>
          </w:tcPr>
          <w:p w14:paraId="41821A29"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£75</w:t>
            </w:r>
          </w:p>
        </w:tc>
        <w:tc>
          <w:tcPr>
            <w:tcW w:w="1089" w:type="dxa"/>
          </w:tcPr>
          <w:p w14:paraId="3732685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w:t>
            </w:r>
          </w:p>
        </w:tc>
      </w:tr>
      <w:tr w:rsidR="00105F6A" w:rsidRPr="00D1063C" w14:paraId="1501C971"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31F88BA" w14:textId="77777777" w:rsidR="00105F6A" w:rsidRPr="0053038A" w:rsidRDefault="00105F6A" w:rsidP="00105F6A">
            <w:pPr>
              <w:spacing w:after="240" w:line="276" w:lineRule="auto"/>
              <w:rPr>
                <w:rFonts w:eastAsia="Arial" w:cs="Arial"/>
              </w:rPr>
            </w:pPr>
            <w:r w:rsidRPr="0053038A">
              <w:rPr>
                <w:rFonts w:eastAsia="Arial" w:cs="Arial"/>
              </w:rPr>
              <w:t>3.4b</w:t>
            </w:r>
          </w:p>
        </w:tc>
        <w:tc>
          <w:tcPr>
            <w:tcW w:w="4908" w:type="dxa"/>
          </w:tcPr>
          <w:p w14:paraId="1BCD3891"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Copy of a certificate of discharge from bankruptcy</w:t>
            </w:r>
          </w:p>
        </w:tc>
        <w:tc>
          <w:tcPr>
            <w:tcW w:w="1182" w:type="dxa"/>
          </w:tcPr>
          <w:p w14:paraId="2AFFC2DB"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£10</w:t>
            </w:r>
          </w:p>
        </w:tc>
        <w:tc>
          <w:tcPr>
            <w:tcW w:w="1221" w:type="dxa"/>
          </w:tcPr>
          <w:p w14:paraId="30E31D8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w:t>
            </w:r>
          </w:p>
        </w:tc>
        <w:tc>
          <w:tcPr>
            <w:tcW w:w="1089" w:type="dxa"/>
          </w:tcPr>
          <w:p w14:paraId="13F0B94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w:t>
            </w:r>
          </w:p>
        </w:tc>
      </w:tr>
      <w:tr w:rsidR="00105F6A" w:rsidRPr="00D1063C" w14:paraId="4B7E0E0C"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E3AD09F" w14:textId="77777777" w:rsidR="00105F6A" w:rsidRPr="0053038A" w:rsidRDefault="00105F6A" w:rsidP="00105F6A">
            <w:pPr>
              <w:spacing w:after="240" w:line="276" w:lineRule="auto"/>
              <w:rPr>
                <w:rFonts w:eastAsia="Arial" w:cs="Arial"/>
              </w:rPr>
            </w:pPr>
            <w:r w:rsidRPr="0053038A">
              <w:rPr>
                <w:rFonts w:eastAsia="Arial" w:cs="Arial"/>
              </w:rPr>
              <w:t>3.11</w:t>
            </w:r>
          </w:p>
        </w:tc>
        <w:tc>
          <w:tcPr>
            <w:tcW w:w="4908" w:type="dxa"/>
          </w:tcPr>
          <w:p w14:paraId="41624A1D"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within proceedings (by consent/without notice)</w:t>
            </w:r>
          </w:p>
        </w:tc>
        <w:tc>
          <w:tcPr>
            <w:tcW w:w="1182" w:type="dxa"/>
          </w:tcPr>
          <w:p w14:paraId="72C21904"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£25</w:t>
            </w:r>
          </w:p>
        </w:tc>
        <w:tc>
          <w:tcPr>
            <w:tcW w:w="1221" w:type="dxa"/>
          </w:tcPr>
          <w:p w14:paraId="1B46B08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£26</w:t>
            </w:r>
          </w:p>
        </w:tc>
        <w:tc>
          <w:tcPr>
            <w:tcW w:w="1089" w:type="dxa"/>
          </w:tcPr>
          <w:p w14:paraId="01EF1179"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w:t>
            </w:r>
          </w:p>
        </w:tc>
      </w:tr>
      <w:tr w:rsidR="00105F6A" w:rsidRPr="00D1063C" w14:paraId="1D3BF32E"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3DEDB9F4" w14:textId="77777777" w:rsidR="00105F6A" w:rsidRPr="0053038A" w:rsidRDefault="00105F6A" w:rsidP="00105F6A">
            <w:pPr>
              <w:spacing w:after="240" w:line="276" w:lineRule="auto"/>
              <w:rPr>
                <w:rFonts w:eastAsia="Arial" w:cs="Arial"/>
              </w:rPr>
            </w:pPr>
            <w:r w:rsidRPr="0053038A">
              <w:rPr>
                <w:rFonts w:eastAsia="Arial" w:cs="Arial"/>
              </w:rPr>
              <w:t>3.12</w:t>
            </w:r>
          </w:p>
        </w:tc>
        <w:tc>
          <w:tcPr>
            <w:tcW w:w="4908" w:type="dxa"/>
          </w:tcPr>
          <w:p w14:paraId="64039D14"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within proceedings (with notice)</w:t>
            </w:r>
          </w:p>
        </w:tc>
        <w:tc>
          <w:tcPr>
            <w:tcW w:w="1182" w:type="dxa"/>
          </w:tcPr>
          <w:p w14:paraId="79AE077E"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£95</w:t>
            </w:r>
          </w:p>
        </w:tc>
        <w:tc>
          <w:tcPr>
            <w:tcW w:w="1221" w:type="dxa"/>
          </w:tcPr>
          <w:p w14:paraId="246256F3" w14:textId="461868BA"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w:t>
            </w:r>
            <w:r w:rsidR="0010063C" w:rsidRPr="00F77C7B">
              <w:rPr>
                <w:rFonts w:eastAsia="Arial" w:cs="Arial"/>
              </w:rPr>
              <w:t>99</w:t>
            </w:r>
          </w:p>
        </w:tc>
        <w:tc>
          <w:tcPr>
            <w:tcW w:w="1089" w:type="dxa"/>
          </w:tcPr>
          <w:p w14:paraId="6BAE6A96" w14:textId="294F9654"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w:t>
            </w:r>
            <w:r w:rsidR="0010063C" w:rsidRPr="00F77C7B">
              <w:rPr>
                <w:rFonts w:eastAsia="Arial" w:cs="Arial"/>
              </w:rPr>
              <w:t>4</w:t>
            </w:r>
          </w:p>
        </w:tc>
      </w:tr>
      <w:tr w:rsidR="00105F6A" w:rsidRPr="00D1063C" w14:paraId="552E0216"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1FECFAC3" w14:textId="77777777" w:rsidR="00105F6A" w:rsidRPr="0053038A" w:rsidRDefault="00105F6A" w:rsidP="00105F6A">
            <w:pPr>
              <w:spacing w:after="240" w:line="276" w:lineRule="auto"/>
              <w:rPr>
                <w:rFonts w:eastAsia="Arial" w:cs="Arial"/>
              </w:rPr>
            </w:pPr>
            <w:r w:rsidRPr="0053038A">
              <w:rPr>
                <w:rFonts w:eastAsia="Arial" w:cs="Arial"/>
              </w:rPr>
              <w:t>4.1a</w:t>
            </w:r>
          </w:p>
        </w:tc>
        <w:tc>
          <w:tcPr>
            <w:tcW w:w="4908" w:type="dxa"/>
          </w:tcPr>
          <w:p w14:paraId="615CD684"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Copy of a document (10 pages or less) </w:t>
            </w:r>
          </w:p>
        </w:tc>
        <w:tc>
          <w:tcPr>
            <w:tcW w:w="1182" w:type="dxa"/>
          </w:tcPr>
          <w:p w14:paraId="419E7153"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£10</w:t>
            </w:r>
          </w:p>
        </w:tc>
        <w:tc>
          <w:tcPr>
            <w:tcW w:w="1221" w:type="dxa"/>
          </w:tcPr>
          <w:p w14:paraId="766E622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w:t>
            </w:r>
          </w:p>
        </w:tc>
        <w:tc>
          <w:tcPr>
            <w:tcW w:w="1089" w:type="dxa"/>
          </w:tcPr>
          <w:p w14:paraId="03B86CAE"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w:t>
            </w:r>
          </w:p>
        </w:tc>
      </w:tr>
      <w:tr w:rsidR="00105F6A" w:rsidRPr="00D1063C" w14:paraId="2C4A4A33"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112ECA4" w14:textId="77777777" w:rsidR="00105F6A" w:rsidRPr="0053038A" w:rsidRDefault="00105F6A" w:rsidP="00105F6A">
            <w:pPr>
              <w:spacing w:after="240" w:line="276" w:lineRule="auto"/>
              <w:rPr>
                <w:rFonts w:eastAsia="Arial" w:cs="Arial"/>
              </w:rPr>
            </w:pPr>
            <w:r w:rsidRPr="0053038A">
              <w:rPr>
                <w:rFonts w:eastAsia="Arial" w:cs="Arial"/>
              </w:rPr>
              <w:t>4.2</w:t>
            </w:r>
          </w:p>
        </w:tc>
        <w:tc>
          <w:tcPr>
            <w:tcW w:w="4908" w:type="dxa"/>
          </w:tcPr>
          <w:p w14:paraId="2E0D49F0"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Copy of a document in electronic form (for each copy)</w:t>
            </w:r>
          </w:p>
        </w:tc>
        <w:tc>
          <w:tcPr>
            <w:tcW w:w="1182" w:type="dxa"/>
          </w:tcPr>
          <w:p w14:paraId="4EDA476A"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£10</w:t>
            </w:r>
          </w:p>
        </w:tc>
        <w:tc>
          <w:tcPr>
            <w:tcW w:w="1221" w:type="dxa"/>
          </w:tcPr>
          <w:p w14:paraId="26F2956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w:t>
            </w:r>
          </w:p>
        </w:tc>
        <w:tc>
          <w:tcPr>
            <w:tcW w:w="1089" w:type="dxa"/>
          </w:tcPr>
          <w:p w14:paraId="435B9AB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w:t>
            </w:r>
          </w:p>
        </w:tc>
      </w:tr>
      <w:tr w:rsidR="00105F6A" w:rsidRPr="00D1063C" w14:paraId="47EEBD63"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390D4E76" w14:textId="77777777" w:rsidR="00105F6A" w:rsidRPr="0053038A" w:rsidRDefault="00105F6A" w:rsidP="00105F6A">
            <w:pPr>
              <w:spacing w:after="240" w:line="276" w:lineRule="auto"/>
              <w:rPr>
                <w:rFonts w:eastAsia="Arial" w:cs="Arial"/>
              </w:rPr>
            </w:pPr>
            <w:r w:rsidRPr="0053038A">
              <w:rPr>
                <w:rFonts w:eastAsia="Arial" w:cs="Arial"/>
              </w:rPr>
              <w:t>5.1</w:t>
            </w:r>
          </w:p>
        </w:tc>
        <w:tc>
          <w:tcPr>
            <w:tcW w:w="4908" w:type="dxa"/>
          </w:tcPr>
          <w:p w14:paraId="4E87C6BB"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Where the party filing the request is legally aided</w:t>
            </w:r>
          </w:p>
        </w:tc>
        <w:tc>
          <w:tcPr>
            <w:tcW w:w="1182" w:type="dxa"/>
          </w:tcPr>
          <w:p w14:paraId="49DFC0C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£220</w:t>
            </w:r>
          </w:p>
        </w:tc>
        <w:tc>
          <w:tcPr>
            <w:tcW w:w="1221" w:type="dxa"/>
          </w:tcPr>
          <w:p w14:paraId="27F4ACFA"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£237</w:t>
            </w:r>
          </w:p>
        </w:tc>
        <w:tc>
          <w:tcPr>
            <w:tcW w:w="1089" w:type="dxa"/>
          </w:tcPr>
          <w:p w14:paraId="709CBC3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£17</w:t>
            </w:r>
          </w:p>
        </w:tc>
      </w:tr>
      <w:tr w:rsidR="001B5AF7" w:rsidRPr="00D1063C" w14:paraId="71727303"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2CE46C96" w14:textId="77777777" w:rsidR="001B5AF7" w:rsidRPr="0053038A" w:rsidRDefault="001B5AF7" w:rsidP="001B5AF7">
            <w:pPr>
              <w:spacing w:after="240" w:line="276" w:lineRule="auto"/>
              <w:rPr>
                <w:rFonts w:eastAsia="Arial" w:cs="Arial"/>
              </w:rPr>
            </w:pPr>
            <w:r w:rsidRPr="0053038A">
              <w:rPr>
                <w:rFonts w:eastAsia="Arial" w:cs="Arial"/>
              </w:rPr>
              <w:t>5.2a</w:t>
            </w:r>
          </w:p>
        </w:tc>
        <w:tc>
          <w:tcPr>
            <w:tcW w:w="4908" w:type="dxa"/>
          </w:tcPr>
          <w:p w14:paraId="5226865D"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Costs up to </w:t>
            </w:r>
            <w:r w:rsidRPr="78701724">
              <w:rPr>
                <w:rFonts w:eastAsia="Arial" w:cs="Arial"/>
              </w:rPr>
              <w:t>£</w:t>
            </w:r>
            <w:r w:rsidRPr="0053038A">
              <w:rPr>
                <w:rFonts w:eastAsia="Arial" w:cs="Arial"/>
              </w:rPr>
              <w:t xml:space="preserve">15000 </w:t>
            </w:r>
          </w:p>
        </w:tc>
        <w:tc>
          <w:tcPr>
            <w:tcW w:w="1182" w:type="dxa"/>
          </w:tcPr>
          <w:p w14:paraId="2AFD8FC1"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£369</w:t>
            </w:r>
          </w:p>
        </w:tc>
        <w:tc>
          <w:tcPr>
            <w:tcW w:w="1221" w:type="dxa"/>
          </w:tcPr>
          <w:p w14:paraId="5C809D27" w14:textId="1EAAB856"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£398</w:t>
            </w:r>
          </w:p>
        </w:tc>
        <w:tc>
          <w:tcPr>
            <w:tcW w:w="1089" w:type="dxa"/>
          </w:tcPr>
          <w:p w14:paraId="4D19CA4B" w14:textId="251BE035"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£29</w:t>
            </w:r>
          </w:p>
        </w:tc>
      </w:tr>
      <w:tr w:rsidR="001B5AF7" w:rsidRPr="00D1063C" w14:paraId="47E0C640"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EB33D24" w14:textId="77777777" w:rsidR="001B5AF7" w:rsidRPr="0053038A" w:rsidRDefault="001B5AF7" w:rsidP="001B5AF7">
            <w:pPr>
              <w:spacing w:after="240" w:line="276" w:lineRule="auto"/>
              <w:rPr>
                <w:rFonts w:eastAsia="Arial" w:cs="Arial"/>
              </w:rPr>
            </w:pPr>
            <w:r w:rsidRPr="0053038A">
              <w:rPr>
                <w:rFonts w:eastAsia="Arial" w:cs="Arial"/>
              </w:rPr>
              <w:lastRenderedPageBreak/>
              <w:t>5.2b</w:t>
            </w:r>
          </w:p>
        </w:tc>
        <w:tc>
          <w:tcPr>
            <w:tcW w:w="4908" w:type="dxa"/>
          </w:tcPr>
          <w:p w14:paraId="4D3D5C14"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Costs </w:t>
            </w:r>
            <w:r w:rsidRPr="78701724">
              <w:rPr>
                <w:rFonts w:eastAsia="Arial" w:cs="Arial"/>
              </w:rPr>
              <w:t>£</w:t>
            </w:r>
            <w:r w:rsidRPr="0053038A">
              <w:rPr>
                <w:rFonts w:eastAsia="Arial" w:cs="Arial"/>
              </w:rPr>
              <w:t xml:space="preserve">15000 - </w:t>
            </w:r>
            <w:r w:rsidRPr="78701724">
              <w:rPr>
                <w:rFonts w:eastAsia="Arial" w:cs="Arial"/>
              </w:rPr>
              <w:t>£</w:t>
            </w:r>
            <w:r w:rsidRPr="0053038A">
              <w:rPr>
                <w:rFonts w:eastAsia="Arial" w:cs="Arial"/>
              </w:rPr>
              <w:t xml:space="preserve">50000 </w:t>
            </w:r>
          </w:p>
        </w:tc>
        <w:tc>
          <w:tcPr>
            <w:tcW w:w="1182" w:type="dxa"/>
          </w:tcPr>
          <w:p w14:paraId="4602487A"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£743</w:t>
            </w:r>
          </w:p>
        </w:tc>
        <w:tc>
          <w:tcPr>
            <w:tcW w:w="1221" w:type="dxa"/>
          </w:tcPr>
          <w:p w14:paraId="60A348A9" w14:textId="5D5F5C45"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£801</w:t>
            </w:r>
          </w:p>
        </w:tc>
        <w:tc>
          <w:tcPr>
            <w:tcW w:w="1089" w:type="dxa"/>
          </w:tcPr>
          <w:p w14:paraId="73275B26" w14:textId="42641577"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£58</w:t>
            </w:r>
          </w:p>
        </w:tc>
      </w:tr>
      <w:tr w:rsidR="001B5AF7" w:rsidRPr="00D1063C" w14:paraId="1BB44F29"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1522726C" w14:textId="77777777" w:rsidR="001B5AF7" w:rsidRPr="0053038A" w:rsidRDefault="001B5AF7" w:rsidP="001B5AF7">
            <w:pPr>
              <w:spacing w:after="240" w:line="276" w:lineRule="auto"/>
              <w:rPr>
                <w:rFonts w:eastAsia="Arial" w:cs="Arial"/>
              </w:rPr>
            </w:pPr>
            <w:r w:rsidRPr="0053038A">
              <w:rPr>
                <w:rFonts w:eastAsia="Arial" w:cs="Arial"/>
              </w:rPr>
              <w:t>5.2c</w:t>
            </w:r>
          </w:p>
        </w:tc>
        <w:tc>
          <w:tcPr>
            <w:tcW w:w="4908" w:type="dxa"/>
          </w:tcPr>
          <w:p w14:paraId="658C65A9"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Costs </w:t>
            </w:r>
            <w:r w:rsidRPr="78701724">
              <w:rPr>
                <w:rFonts w:eastAsia="Arial" w:cs="Arial"/>
              </w:rPr>
              <w:t>£</w:t>
            </w:r>
            <w:r w:rsidRPr="0053038A">
              <w:rPr>
                <w:rFonts w:eastAsia="Arial" w:cs="Arial"/>
              </w:rPr>
              <w:t xml:space="preserve">50000 - </w:t>
            </w:r>
            <w:r w:rsidRPr="78701724">
              <w:rPr>
                <w:rFonts w:eastAsia="Arial" w:cs="Arial"/>
              </w:rPr>
              <w:t>£</w:t>
            </w:r>
            <w:r w:rsidRPr="0053038A">
              <w:rPr>
                <w:rFonts w:eastAsia="Arial" w:cs="Arial"/>
              </w:rPr>
              <w:t xml:space="preserve">100000 </w:t>
            </w:r>
          </w:p>
        </w:tc>
        <w:tc>
          <w:tcPr>
            <w:tcW w:w="1182" w:type="dxa"/>
          </w:tcPr>
          <w:p w14:paraId="5624E8B9"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£1,106</w:t>
            </w:r>
          </w:p>
        </w:tc>
        <w:tc>
          <w:tcPr>
            <w:tcW w:w="1221" w:type="dxa"/>
          </w:tcPr>
          <w:p w14:paraId="6100E35D" w14:textId="327851E2"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£1,192</w:t>
            </w:r>
          </w:p>
        </w:tc>
        <w:tc>
          <w:tcPr>
            <w:tcW w:w="1089" w:type="dxa"/>
          </w:tcPr>
          <w:p w14:paraId="7A1F3EAC" w14:textId="4DE87F9A"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£86</w:t>
            </w:r>
          </w:p>
        </w:tc>
      </w:tr>
      <w:tr w:rsidR="001B5AF7" w:rsidRPr="00D1063C" w14:paraId="5A72EAEF"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F4DA957" w14:textId="77777777" w:rsidR="001B5AF7" w:rsidRPr="0053038A" w:rsidRDefault="001B5AF7" w:rsidP="001B5AF7">
            <w:pPr>
              <w:spacing w:after="240" w:line="276" w:lineRule="auto"/>
              <w:rPr>
                <w:rFonts w:eastAsia="Arial" w:cs="Arial"/>
              </w:rPr>
            </w:pPr>
            <w:r w:rsidRPr="0053038A">
              <w:rPr>
                <w:rFonts w:eastAsia="Arial" w:cs="Arial"/>
              </w:rPr>
              <w:t>5.2d</w:t>
            </w:r>
          </w:p>
        </w:tc>
        <w:tc>
          <w:tcPr>
            <w:tcW w:w="4908" w:type="dxa"/>
          </w:tcPr>
          <w:p w14:paraId="11665975"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Costs </w:t>
            </w:r>
            <w:r w:rsidRPr="78701724">
              <w:rPr>
                <w:rFonts w:eastAsia="Arial" w:cs="Arial"/>
              </w:rPr>
              <w:t>£</w:t>
            </w:r>
            <w:r w:rsidRPr="0053038A">
              <w:rPr>
                <w:rFonts w:eastAsia="Arial" w:cs="Arial"/>
              </w:rPr>
              <w:t xml:space="preserve">100000 - </w:t>
            </w:r>
            <w:r w:rsidRPr="78701724">
              <w:rPr>
                <w:rFonts w:eastAsia="Arial" w:cs="Arial"/>
              </w:rPr>
              <w:t>£</w:t>
            </w:r>
            <w:r w:rsidRPr="0053038A">
              <w:rPr>
                <w:rFonts w:eastAsia="Arial" w:cs="Arial"/>
              </w:rPr>
              <w:t xml:space="preserve">150000 </w:t>
            </w:r>
          </w:p>
        </w:tc>
        <w:tc>
          <w:tcPr>
            <w:tcW w:w="1182" w:type="dxa"/>
          </w:tcPr>
          <w:p w14:paraId="1E8291E2"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£1,480</w:t>
            </w:r>
          </w:p>
        </w:tc>
        <w:tc>
          <w:tcPr>
            <w:tcW w:w="1221" w:type="dxa"/>
          </w:tcPr>
          <w:p w14:paraId="12233D4F" w14:textId="5E9801FC"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£1,595</w:t>
            </w:r>
          </w:p>
        </w:tc>
        <w:tc>
          <w:tcPr>
            <w:tcW w:w="1089" w:type="dxa"/>
          </w:tcPr>
          <w:p w14:paraId="6CF3A7A2" w14:textId="3D3E7580"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£115</w:t>
            </w:r>
          </w:p>
        </w:tc>
      </w:tr>
      <w:tr w:rsidR="001B5AF7" w:rsidRPr="00D1063C" w14:paraId="224ABCF1"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05ABC10C" w14:textId="77777777" w:rsidR="001B5AF7" w:rsidRPr="0053038A" w:rsidRDefault="001B5AF7" w:rsidP="001B5AF7">
            <w:pPr>
              <w:spacing w:after="240" w:line="276" w:lineRule="auto"/>
              <w:rPr>
                <w:rFonts w:eastAsia="Arial" w:cs="Arial"/>
              </w:rPr>
            </w:pPr>
            <w:r w:rsidRPr="0053038A">
              <w:rPr>
                <w:rFonts w:eastAsia="Arial" w:cs="Arial"/>
              </w:rPr>
              <w:t>5.2e</w:t>
            </w:r>
          </w:p>
        </w:tc>
        <w:tc>
          <w:tcPr>
            <w:tcW w:w="4908" w:type="dxa"/>
          </w:tcPr>
          <w:p w14:paraId="2919A441"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Costs </w:t>
            </w:r>
            <w:r w:rsidRPr="78701724">
              <w:rPr>
                <w:rFonts w:eastAsia="Arial" w:cs="Arial"/>
              </w:rPr>
              <w:t>£</w:t>
            </w:r>
            <w:r w:rsidRPr="0053038A">
              <w:rPr>
                <w:rFonts w:eastAsia="Arial" w:cs="Arial"/>
              </w:rPr>
              <w:t xml:space="preserve">150000 - </w:t>
            </w:r>
            <w:r w:rsidRPr="78701724">
              <w:rPr>
                <w:rFonts w:eastAsia="Arial" w:cs="Arial"/>
              </w:rPr>
              <w:t>£</w:t>
            </w:r>
            <w:r w:rsidRPr="0053038A">
              <w:rPr>
                <w:rFonts w:eastAsia="Arial" w:cs="Arial"/>
              </w:rPr>
              <w:t xml:space="preserve">200000 </w:t>
            </w:r>
          </w:p>
        </w:tc>
        <w:tc>
          <w:tcPr>
            <w:tcW w:w="1182" w:type="dxa"/>
          </w:tcPr>
          <w:p w14:paraId="57BF229C"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£1,848</w:t>
            </w:r>
          </w:p>
        </w:tc>
        <w:tc>
          <w:tcPr>
            <w:tcW w:w="1221" w:type="dxa"/>
          </w:tcPr>
          <w:p w14:paraId="5A9FA212" w14:textId="31C27E06"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£1,992</w:t>
            </w:r>
          </w:p>
        </w:tc>
        <w:tc>
          <w:tcPr>
            <w:tcW w:w="1089" w:type="dxa"/>
          </w:tcPr>
          <w:p w14:paraId="39197FDB" w14:textId="2286D3AA"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£144</w:t>
            </w:r>
          </w:p>
        </w:tc>
      </w:tr>
      <w:tr w:rsidR="001B5AF7" w:rsidRPr="00D1063C" w14:paraId="49EF2C38"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283F2EDC" w14:textId="77777777" w:rsidR="001B5AF7" w:rsidRPr="0053038A" w:rsidRDefault="001B5AF7" w:rsidP="001B5AF7">
            <w:pPr>
              <w:spacing w:after="240" w:line="276" w:lineRule="auto"/>
              <w:rPr>
                <w:rFonts w:eastAsia="Arial" w:cs="Arial"/>
              </w:rPr>
            </w:pPr>
            <w:r w:rsidRPr="0053038A">
              <w:rPr>
                <w:rFonts w:eastAsia="Arial" w:cs="Arial"/>
              </w:rPr>
              <w:t>5.2f</w:t>
            </w:r>
          </w:p>
        </w:tc>
        <w:tc>
          <w:tcPr>
            <w:tcW w:w="4908" w:type="dxa"/>
          </w:tcPr>
          <w:p w14:paraId="1AF58870"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Costs </w:t>
            </w:r>
            <w:r w:rsidRPr="78701724">
              <w:rPr>
                <w:rFonts w:eastAsia="Arial" w:cs="Arial"/>
              </w:rPr>
              <w:t>£</w:t>
            </w:r>
            <w:r w:rsidRPr="0053038A">
              <w:rPr>
                <w:rFonts w:eastAsia="Arial" w:cs="Arial"/>
              </w:rPr>
              <w:t xml:space="preserve">200000 - </w:t>
            </w:r>
            <w:r w:rsidRPr="78701724">
              <w:rPr>
                <w:rFonts w:eastAsia="Arial" w:cs="Arial"/>
              </w:rPr>
              <w:t>£</w:t>
            </w:r>
            <w:r w:rsidRPr="0053038A">
              <w:rPr>
                <w:rFonts w:eastAsia="Arial" w:cs="Arial"/>
              </w:rPr>
              <w:t xml:space="preserve">300000 </w:t>
            </w:r>
          </w:p>
        </w:tc>
        <w:tc>
          <w:tcPr>
            <w:tcW w:w="1182" w:type="dxa"/>
          </w:tcPr>
          <w:p w14:paraId="587FF459"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£2,772</w:t>
            </w:r>
          </w:p>
        </w:tc>
        <w:tc>
          <w:tcPr>
            <w:tcW w:w="1221" w:type="dxa"/>
          </w:tcPr>
          <w:p w14:paraId="3FCDD4FF" w14:textId="398EE211"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£2,988</w:t>
            </w:r>
          </w:p>
        </w:tc>
        <w:tc>
          <w:tcPr>
            <w:tcW w:w="1089" w:type="dxa"/>
          </w:tcPr>
          <w:p w14:paraId="56710C3C" w14:textId="048DEE3C"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£216</w:t>
            </w:r>
          </w:p>
        </w:tc>
      </w:tr>
      <w:tr w:rsidR="001B5AF7" w:rsidRPr="00D1063C" w14:paraId="6364D447"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78032B0" w14:textId="77777777" w:rsidR="001B5AF7" w:rsidRPr="0053038A" w:rsidRDefault="001B5AF7" w:rsidP="001B5AF7">
            <w:pPr>
              <w:spacing w:after="240" w:line="276" w:lineRule="auto"/>
              <w:rPr>
                <w:rFonts w:eastAsia="Arial" w:cs="Arial"/>
              </w:rPr>
            </w:pPr>
            <w:r w:rsidRPr="0053038A">
              <w:rPr>
                <w:rFonts w:eastAsia="Arial" w:cs="Arial"/>
              </w:rPr>
              <w:t>5.2g</w:t>
            </w:r>
          </w:p>
        </w:tc>
        <w:tc>
          <w:tcPr>
            <w:tcW w:w="4908" w:type="dxa"/>
          </w:tcPr>
          <w:p w14:paraId="0C257BAF"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Costs </w:t>
            </w:r>
            <w:r w:rsidRPr="78701724">
              <w:rPr>
                <w:rFonts w:eastAsia="Arial" w:cs="Arial"/>
              </w:rPr>
              <w:t>£</w:t>
            </w:r>
            <w:r w:rsidRPr="0053038A">
              <w:rPr>
                <w:rFonts w:eastAsia="Arial" w:cs="Arial"/>
              </w:rPr>
              <w:t xml:space="preserve">300000 - </w:t>
            </w:r>
            <w:r w:rsidRPr="78701724">
              <w:rPr>
                <w:rFonts w:eastAsia="Arial" w:cs="Arial"/>
              </w:rPr>
              <w:t>£</w:t>
            </w:r>
            <w:r w:rsidRPr="0053038A">
              <w:rPr>
                <w:rFonts w:eastAsia="Arial" w:cs="Arial"/>
              </w:rPr>
              <w:t xml:space="preserve">500000 </w:t>
            </w:r>
          </w:p>
        </w:tc>
        <w:tc>
          <w:tcPr>
            <w:tcW w:w="1182" w:type="dxa"/>
          </w:tcPr>
          <w:p w14:paraId="150691DD"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£4,620</w:t>
            </w:r>
          </w:p>
        </w:tc>
        <w:tc>
          <w:tcPr>
            <w:tcW w:w="1221" w:type="dxa"/>
          </w:tcPr>
          <w:p w14:paraId="381681FC" w14:textId="15E656D1"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£4,980</w:t>
            </w:r>
          </w:p>
        </w:tc>
        <w:tc>
          <w:tcPr>
            <w:tcW w:w="1089" w:type="dxa"/>
          </w:tcPr>
          <w:p w14:paraId="52856AF3" w14:textId="6B3E22F3"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£360</w:t>
            </w:r>
          </w:p>
        </w:tc>
      </w:tr>
      <w:tr w:rsidR="001B5AF7" w:rsidRPr="00D1063C" w14:paraId="758A9E5D"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2E308621" w14:textId="77777777" w:rsidR="001B5AF7" w:rsidRPr="0053038A" w:rsidRDefault="001B5AF7" w:rsidP="001B5AF7">
            <w:pPr>
              <w:spacing w:after="240" w:line="276" w:lineRule="auto"/>
              <w:rPr>
                <w:rFonts w:eastAsia="Arial" w:cs="Arial"/>
              </w:rPr>
            </w:pPr>
            <w:r w:rsidRPr="0053038A">
              <w:rPr>
                <w:rFonts w:eastAsia="Arial" w:cs="Arial"/>
              </w:rPr>
              <w:t>5.2h</w:t>
            </w:r>
          </w:p>
        </w:tc>
        <w:tc>
          <w:tcPr>
            <w:tcW w:w="4908" w:type="dxa"/>
          </w:tcPr>
          <w:p w14:paraId="16966DC4"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Costs Above </w:t>
            </w:r>
            <w:r w:rsidRPr="78701724">
              <w:rPr>
                <w:rFonts w:eastAsia="Arial" w:cs="Arial"/>
              </w:rPr>
              <w:t>£</w:t>
            </w:r>
            <w:r w:rsidRPr="0053038A">
              <w:rPr>
                <w:rFonts w:eastAsia="Arial" w:cs="Arial"/>
              </w:rPr>
              <w:t xml:space="preserve">500000 </w:t>
            </w:r>
          </w:p>
        </w:tc>
        <w:tc>
          <w:tcPr>
            <w:tcW w:w="1182" w:type="dxa"/>
          </w:tcPr>
          <w:p w14:paraId="23FDC083"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£6,160</w:t>
            </w:r>
          </w:p>
        </w:tc>
        <w:tc>
          <w:tcPr>
            <w:tcW w:w="1221" w:type="dxa"/>
          </w:tcPr>
          <w:p w14:paraId="58CF1FEE" w14:textId="42C2B3A8"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£6,640</w:t>
            </w:r>
          </w:p>
        </w:tc>
        <w:tc>
          <w:tcPr>
            <w:tcW w:w="1089" w:type="dxa"/>
          </w:tcPr>
          <w:p w14:paraId="1D08CC19" w14:textId="502D751C"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£480</w:t>
            </w:r>
          </w:p>
        </w:tc>
      </w:tr>
      <w:tr w:rsidR="00105F6A" w:rsidRPr="00D1063C" w14:paraId="37355C2C"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1EA5A55" w14:textId="77777777" w:rsidR="00105F6A" w:rsidRPr="0053038A" w:rsidRDefault="00105F6A" w:rsidP="00105F6A">
            <w:pPr>
              <w:spacing w:after="240" w:line="276" w:lineRule="auto"/>
              <w:rPr>
                <w:rFonts w:eastAsia="Arial" w:cs="Arial"/>
              </w:rPr>
            </w:pPr>
            <w:r w:rsidRPr="0053038A">
              <w:rPr>
                <w:rFonts w:eastAsia="Arial" w:cs="Arial"/>
              </w:rPr>
              <w:t>5.3</w:t>
            </w:r>
          </w:p>
        </w:tc>
        <w:tc>
          <w:tcPr>
            <w:tcW w:w="4908" w:type="dxa"/>
          </w:tcPr>
          <w:p w14:paraId="76985527"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Issue of default costs certificate - Civil</w:t>
            </w:r>
          </w:p>
        </w:tc>
        <w:tc>
          <w:tcPr>
            <w:tcW w:w="1182" w:type="dxa"/>
          </w:tcPr>
          <w:p w14:paraId="4D07B70C"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£66</w:t>
            </w:r>
          </w:p>
        </w:tc>
        <w:tc>
          <w:tcPr>
            <w:tcW w:w="1221" w:type="dxa"/>
          </w:tcPr>
          <w:p w14:paraId="3C06273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£71</w:t>
            </w:r>
          </w:p>
        </w:tc>
        <w:tc>
          <w:tcPr>
            <w:tcW w:w="1089" w:type="dxa"/>
          </w:tcPr>
          <w:p w14:paraId="531A68DA"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w:t>
            </w:r>
          </w:p>
        </w:tc>
      </w:tr>
      <w:tr w:rsidR="00105F6A" w:rsidRPr="00D1063C" w14:paraId="2EAB7D54"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151DC9D2" w14:textId="77777777" w:rsidR="00105F6A" w:rsidRPr="0053038A" w:rsidRDefault="00105F6A" w:rsidP="00105F6A">
            <w:pPr>
              <w:spacing w:after="240" w:line="276" w:lineRule="auto"/>
              <w:rPr>
                <w:rFonts w:eastAsia="Arial" w:cs="Arial"/>
              </w:rPr>
            </w:pPr>
            <w:r w:rsidRPr="0053038A">
              <w:rPr>
                <w:rFonts w:eastAsia="Arial" w:cs="Arial"/>
              </w:rPr>
              <w:t>5.4</w:t>
            </w:r>
          </w:p>
        </w:tc>
        <w:tc>
          <w:tcPr>
            <w:tcW w:w="4908" w:type="dxa"/>
          </w:tcPr>
          <w:p w14:paraId="32D43BDB"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Appeal (detailed assessment proceedings) </w:t>
            </w:r>
            <w:r>
              <w:rPr>
                <w:rFonts w:eastAsia="Arial" w:cs="Arial"/>
              </w:rPr>
              <w:t>–</w:t>
            </w:r>
            <w:r w:rsidRPr="0053038A">
              <w:rPr>
                <w:rFonts w:eastAsia="Arial" w:cs="Arial"/>
              </w:rPr>
              <w:t xml:space="preserve"> </w:t>
            </w:r>
            <w:r w:rsidRPr="78701724">
              <w:rPr>
                <w:rFonts w:eastAsia="Arial" w:cs="Arial"/>
              </w:rPr>
              <w:t>C</w:t>
            </w:r>
            <w:r w:rsidRPr="0053038A">
              <w:rPr>
                <w:rFonts w:eastAsia="Arial" w:cs="Arial"/>
              </w:rPr>
              <w:t>ivil</w:t>
            </w:r>
          </w:p>
        </w:tc>
        <w:tc>
          <w:tcPr>
            <w:tcW w:w="1182" w:type="dxa"/>
          </w:tcPr>
          <w:p w14:paraId="13090DBD"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£231</w:t>
            </w:r>
          </w:p>
        </w:tc>
        <w:tc>
          <w:tcPr>
            <w:tcW w:w="1221" w:type="dxa"/>
          </w:tcPr>
          <w:p w14:paraId="5D60C295"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£249</w:t>
            </w:r>
          </w:p>
        </w:tc>
        <w:tc>
          <w:tcPr>
            <w:tcW w:w="1089" w:type="dxa"/>
          </w:tcPr>
          <w:p w14:paraId="6415AD70"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£18</w:t>
            </w:r>
          </w:p>
        </w:tc>
      </w:tr>
      <w:tr w:rsidR="00105F6A" w:rsidRPr="00D1063C" w14:paraId="5A04CC23"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03F3B89D" w14:textId="77777777" w:rsidR="00105F6A" w:rsidRPr="0053038A" w:rsidRDefault="00105F6A" w:rsidP="00105F6A">
            <w:pPr>
              <w:spacing w:after="240" w:line="276" w:lineRule="auto"/>
              <w:rPr>
                <w:rFonts w:eastAsia="Arial" w:cs="Arial"/>
              </w:rPr>
            </w:pPr>
            <w:r w:rsidRPr="0053038A">
              <w:rPr>
                <w:rFonts w:eastAsia="Arial" w:cs="Arial"/>
              </w:rPr>
              <w:t>5.5</w:t>
            </w:r>
          </w:p>
        </w:tc>
        <w:tc>
          <w:tcPr>
            <w:tcW w:w="4908" w:type="dxa"/>
          </w:tcPr>
          <w:p w14:paraId="37FE223F"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Request/application to set aside a default costs certificate</w:t>
            </w:r>
          </w:p>
        </w:tc>
        <w:tc>
          <w:tcPr>
            <w:tcW w:w="1182" w:type="dxa"/>
          </w:tcPr>
          <w:p w14:paraId="2B74A21B"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£121</w:t>
            </w:r>
          </w:p>
        </w:tc>
        <w:tc>
          <w:tcPr>
            <w:tcW w:w="1221" w:type="dxa"/>
          </w:tcPr>
          <w:p w14:paraId="347BA9C5"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£130</w:t>
            </w:r>
          </w:p>
        </w:tc>
        <w:tc>
          <w:tcPr>
            <w:tcW w:w="1089" w:type="dxa"/>
          </w:tcPr>
          <w:p w14:paraId="072CBABE"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£9</w:t>
            </w:r>
          </w:p>
        </w:tc>
      </w:tr>
      <w:tr w:rsidR="001B5AF7" w:rsidRPr="00D1063C" w14:paraId="4A523EDB"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05182EA3" w14:textId="77777777" w:rsidR="001B5AF7" w:rsidRPr="0053038A" w:rsidRDefault="001B5AF7" w:rsidP="001B5AF7">
            <w:pPr>
              <w:spacing w:after="240" w:line="276" w:lineRule="auto"/>
              <w:rPr>
                <w:rFonts w:eastAsia="Arial" w:cs="Arial"/>
              </w:rPr>
            </w:pPr>
            <w:r w:rsidRPr="0053038A">
              <w:rPr>
                <w:rFonts w:eastAsia="Arial" w:cs="Arial"/>
              </w:rPr>
              <w:t>6.1</w:t>
            </w:r>
          </w:p>
        </w:tc>
        <w:tc>
          <w:tcPr>
            <w:tcW w:w="4908" w:type="dxa"/>
          </w:tcPr>
          <w:p w14:paraId="0BC1E77A"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On the filing of a request for detailed assessment for </w:t>
            </w:r>
            <w:r w:rsidRPr="78701724">
              <w:rPr>
                <w:rFonts w:eastAsia="Arial" w:cs="Arial"/>
              </w:rPr>
              <w:t>Court of Protection</w:t>
            </w:r>
          </w:p>
        </w:tc>
        <w:tc>
          <w:tcPr>
            <w:tcW w:w="1182" w:type="dxa"/>
          </w:tcPr>
          <w:p w14:paraId="28D9F901"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£85</w:t>
            </w:r>
          </w:p>
        </w:tc>
        <w:tc>
          <w:tcPr>
            <w:tcW w:w="1221" w:type="dxa"/>
          </w:tcPr>
          <w:p w14:paraId="4D32725B" w14:textId="13B27459"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£87</w:t>
            </w:r>
          </w:p>
        </w:tc>
        <w:tc>
          <w:tcPr>
            <w:tcW w:w="1089" w:type="dxa"/>
          </w:tcPr>
          <w:p w14:paraId="2359E27B" w14:textId="1430EA71"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£2</w:t>
            </w:r>
          </w:p>
        </w:tc>
      </w:tr>
      <w:tr w:rsidR="00105F6A" w:rsidRPr="00D1063C" w14:paraId="7AF44945"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50423DE9" w14:textId="77777777" w:rsidR="00105F6A" w:rsidRPr="0053038A" w:rsidRDefault="00105F6A" w:rsidP="00105F6A">
            <w:pPr>
              <w:spacing w:after="240" w:line="276" w:lineRule="auto"/>
              <w:rPr>
                <w:rFonts w:eastAsia="Arial" w:cs="Arial"/>
              </w:rPr>
            </w:pPr>
            <w:r w:rsidRPr="0053038A">
              <w:rPr>
                <w:rFonts w:eastAsia="Arial" w:cs="Arial"/>
              </w:rPr>
              <w:t>6.2</w:t>
            </w:r>
          </w:p>
        </w:tc>
        <w:tc>
          <w:tcPr>
            <w:tcW w:w="4908" w:type="dxa"/>
          </w:tcPr>
          <w:p w14:paraId="184DF222"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Appeal against a </w:t>
            </w:r>
            <w:r w:rsidRPr="78701724">
              <w:rPr>
                <w:rFonts w:eastAsia="Arial" w:cs="Arial"/>
              </w:rPr>
              <w:t>Court of</w:t>
            </w:r>
            <w:r>
              <w:rPr>
                <w:rFonts w:eastAsia="Arial" w:cs="Arial"/>
              </w:rPr>
              <w:t xml:space="preserve"> </w:t>
            </w:r>
            <w:r w:rsidRPr="78701724">
              <w:rPr>
                <w:rFonts w:eastAsia="Arial" w:cs="Arial"/>
              </w:rPr>
              <w:t>Protection</w:t>
            </w:r>
            <w:r w:rsidRPr="0053038A">
              <w:rPr>
                <w:rFonts w:eastAsia="Arial" w:cs="Arial"/>
              </w:rPr>
              <w:t xml:space="preserve"> costs assessment decision</w:t>
            </w:r>
          </w:p>
        </w:tc>
        <w:tc>
          <w:tcPr>
            <w:tcW w:w="1182" w:type="dxa"/>
          </w:tcPr>
          <w:p w14:paraId="014EB7B4"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£65</w:t>
            </w:r>
          </w:p>
        </w:tc>
        <w:tc>
          <w:tcPr>
            <w:tcW w:w="1221" w:type="dxa"/>
          </w:tcPr>
          <w:p w14:paraId="43EA3474"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£70</w:t>
            </w:r>
          </w:p>
        </w:tc>
        <w:tc>
          <w:tcPr>
            <w:tcW w:w="1089" w:type="dxa"/>
          </w:tcPr>
          <w:p w14:paraId="0AEB2B99"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w:t>
            </w:r>
          </w:p>
        </w:tc>
      </w:tr>
      <w:tr w:rsidR="00105F6A" w:rsidRPr="00D1063C" w14:paraId="071DA415"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08ABE138" w14:textId="77777777" w:rsidR="00105F6A" w:rsidRPr="0053038A" w:rsidRDefault="00105F6A" w:rsidP="00105F6A">
            <w:pPr>
              <w:spacing w:after="240" w:line="276" w:lineRule="auto"/>
              <w:rPr>
                <w:rFonts w:eastAsia="Arial" w:cs="Arial"/>
              </w:rPr>
            </w:pPr>
            <w:r w:rsidRPr="0053038A">
              <w:rPr>
                <w:rFonts w:eastAsia="Arial" w:cs="Arial"/>
              </w:rPr>
              <w:t>7.1</w:t>
            </w:r>
          </w:p>
        </w:tc>
        <w:tc>
          <w:tcPr>
            <w:tcW w:w="4908" w:type="dxa"/>
          </w:tcPr>
          <w:p w14:paraId="44EBCC47"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Sealing a writ of control/possession/delivery (High </w:t>
            </w:r>
            <w:r w:rsidRPr="78701724">
              <w:rPr>
                <w:rFonts w:eastAsia="Arial" w:cs="Arial"/>
              </w:rPr>
              <w:t>C</w:t>
            </w:r>
            <w:r w:rsidRPr="0053038A">
              <w:rPr>
                <w:rFonts w:eastAsia="Arial" w:cs="Arial"/>
              </w:rPr>
              <w:t>ourt)</w:t>
            </w:r>
          </w:p>
        </w:tc>
        <w:tc>
          <w:tcPr>
            <w:tcW w:w="1182" w:type="dxa"/>
          </w:tcPr>
          <w:p w14:paraId="25089CB5"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£66</w:t>
            </w:r>
          </w:p>
        </w:tc>
        <w:tc>
          <w:tcPr>
            <w:tcW w:w="1221" w:type="dxa"/>
          </w:tcPr>
          <w:p w14:paraId="5670883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£71</w:t>
            </w:r>
          </w:p>
        </w:tc>
        <w:tc>
          <w:tcPr>
            <w:tcW w:w="1089" w:type="dxa"/>
          </w:tcPr>
          <w:p w14:paraId="3626BC96"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w:t>
            </w:r>
          </w:p>
        </w:tc>
      </w:tr>
      <w:tr w:rsidR="00105F6A" w:rsidRPr="00D1063C" w14:paraId="02334846"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172C6816" w14:textId="77777777" w:rsidR="00105F6A" w:rsidRPr="0053038A" w:rsidRDefault="00105F6A" w:rsidP="00105F6A">
            <w:pPr>
              <w:spacing w:after="240" w:line="276" w:lineRule="auto"/>
              <w:rPr>
                <w:rFonts w:eastAsia="Arial" w:cs="Arial"/>
              </w:rPr>
            </w:pPr>
            <w:r w:rsidRPr="0053038A">
              <w:rPr>
                <w:rFonts w:eastAsia="Arial" w:cs="Arial"/>
              </w:rPr>
              <w:t>7.2</w:t>
            </w:r>
          </w:p>
        </w:tc>
        <w:tc>
          <w:tcPr>
            <w:tcW w:w="4908" w:type="dxa"/>
          </w:tcPr>
          <w:p w14:paraId="1DA1DF26"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Order requiring a judgement debtor or other person to attend court</w:t>
            </w:r>
          </w:p>
        </w:tc>
        <w:tc>
          <w:tcPr>
            <w:tcW w:w="1182" w:type="dxa"/>
          </w:tcPr>
          <w:p w14:paraId="65FA6F66"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£55</w:t>
            </w:r>
          </w:p>
        </w:tc>
        <w:tc>
          <w:tcPr>
            <w:tcW w:w="1221" w:type="dxa"/>
          </w:tcPr>
          <w:p w14:paraId="5390778B"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£59</w:t>
            </w:r>
          </w:p>
        </w:tc>
        <w:tc>
          <w:tcPr>
            <w:tcW w:w="1089" w:type="dxa"/>
          </w:tcPr>
          <w:p w14:paraId="6846E104"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w:t>
            </w:r>
          </w:p>
        </w:tc>
      </w:tr>
      <w:tr w:rsidR="001B5AF7" w:rsidRPr="00D1063C" w14:paraId="60DBC264"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0468558A" w14:textId="77777777" w:rsidR="001B5AF7" w:rsidRPr="0053038A" w:rsidRDefault="001B5AF7" w:rsidP="001B5AF7">
            <w:pPr>
              <w:spacing w:after="240" w:line="276" w:lineRule="auto"/>
              <w:rPr>
                <w:rFonts w:eastAsia="Arial" w:cs="Arial"/>
              </w:rPr>
            </w:pPr>
            <w:r w:rsidRPr="0053038A">
              <w:rPr>
                <w:rFonts w:eastAsia="Arial" w:cs="Arial"/>
              </w:rPr>
              <w:t>7.3a</w:t>
            </w:r>
          </w:p>
        </w:tc>
        <w:tc>
          <w:tcPr>
            <w:tcW w:w="4908" w:type="dxa"/>
          </w:tcPr>
          <w:p w14:paraId="31A633C7"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Third party debt order or the appointment of a receiver by way of equitable execution</w:t>
            </w:r>
          </w:p>
        </w:tc>
        <w:tc>
          <w:tcPr>
            <w:tcW w:w="1182" w:type="dxa"/>
          </w:tcPr>
          <w:p w14:paraId="501D1CF1"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£110</w:t>
            </w:r>
          </w:p>
        </w:tc>
        <w:tc>
          <w:tcPr>
            <w:tcW w:w="1221" w:type="dxa"/>
          </w:tcPr>
          <w:p w14:paraId="07EC3B55" w14:textId="58AD5BAE"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£119</w:t>
            </w:r>
          </w:p>
        </w:tc>
        <w:tc>
          <w:tcPr>
            <w:tcW w:w="1089" w:type="dxa"/>
          </w:tcPr>
          <w:p w14:paraId="0CACEBB9" w14:textId="43CE4C50"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£9</w:t>
            </w:r>
          </w:p>
        </w:tc>
      </w:tr>
      <w:tr w:rsidR="001B5AF7" w:rsidRPr="00D1063C" w14:paraId="5EA8E90D"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9BD5A48" w14:textId="77777777" w:rsidR="001B5AF7" w:rsidRPr="0053038A" w:rsidRDefault="001B5AF7" w:rsidP="001B5AF7">
            <w:pPr>
              <w:spacing w:after="240" w:line="276" w:lineRule="auto"/>
              <w:rPr>
                <w:rFonts w:eastAsia="Arial" w:cs="Arial"/>
              </w:rPr>
            </w:pPr>
            <w:r w:rsidRPr="0053038A">
              <w:rPr>
                <w:rFonts w:eastAsia="Arial" w:cs="Arial"/>
              </w:rPr>
              <w:t>7.3b</w:t>
            </w:r>
          </w:p>
        </w:tc>
        <w:tc>
          <w:tcPr>
            <w:tcW w:w="4908" w:type="dxa"/>
          </w:tcPr>
          <w:p w14:paraId="203D61D6"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for a charging order</w:t>
            </w:r>
          </w:p>
        </w:tc>
        <w:tc>
          <w:tcPr>
            <w:tcW w:w="1182" w:type="dxa"/>
          </w:tcPr>
          <w:p w14:paraId="6DDF14DF"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£110</w:t>
            </w:r>
          </w:p>
        </w:tc>
        <w:tc>
          <w:tcPr>
            <w:tcW w:w="1221" w:type="dxa"/>
          </w:tcPr>
          <w:p w14:paraId="2230AFD1" w14:textId="6228B86D"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£119</w:t>
            </w:r>
          </w:p>
        </w:tc>
        <w:tc>
          <w:tcPr>
            <w:tcW w:w="1089" w:type="dxa"/>
          </w:tcPr>
          <w:p w14:paraId="40D5A1B1" w14:textId="33A1C3F0"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£9</w:t>
            </w:r>
          </w:p>
        </w:tc>
      </w:tr>
      <w:tr w:rsidR="001B5AF7" w:rsidRPr="00D1063C" w14:paraId="2707B19E"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11018B31" w14:textId="77777777" w:rsidR="001B5AF7" w:rsidRPr="0053038A" w:rsidRDefault="001B5AF7" w:rsidP="001B5AF7">
            <w:pPr>
              <w:spacing w:after="240" w:line="276" w:lineRule="auto"/>
              <w:rPr>
                <w:rFonts w:eastAsia="Arial" w:cs="Arial"/>
              </w:rPr>
            </w:pPr>
            <w:r w:rsidRPr="0053038A">
              <w:rPr>
                <w:rFonts w:eastAsia="Arial" w:cs="Arial"/>
              </w:rPr>
              <w:t>7.4</w:t>
            </w:r>
          </w:p>
        </w:tc>
        <w:tc>
          <w:tcPr>
            <w:tcW w:w="4908" w:type="dxa"/>
          </w:tcPr>
          <w:p w14:paraId="034586C2" w14:textId="77777777" w:rsidR="001B5AF7" w:rsidRPr="0053038A" w:rsidRDefault="001B5AF7" w:rsidP="001B5AF7">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for a judgement summons</w:t>
            </w:r>
          </w:p>
        </w:tc>
        <w:tc>
          <w:tcPr>
            <w:tcW w:w="1182" w:type="dxa"/>
          </w:tcPr>
          <w:p w14:paraId="1D4F7D8C" w14:textId="77777777" w:rsidR="001B5AF7" w:rsidRPr="0053038A"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£110</w:t>
            </w:r>
          </w:p>
        </w:tc>
        <w:tc>
          <w:tcPr>
            <w:tcW w:w="1221" w:type="dxa"/>
          </w:tcPr>
          <w:p w14:paraId="0D9018C4" w14:textId="2DAC5305"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£119</w:t>
            </w:r>
          </w:p>
        </w:tc>
        <w:tc>
          <w:tcPr>
            <w:tcW w:w="1089" w:type="dxa"/>
          </w:tcPr>
          <w:p w14:paraId="6C12C475" w14:textId="7435F7A9" w:rsidR="001B5AF7" w:rsidRPr="00F77C7B" w:rsidRDefault="001B5AF7"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£9</w:t>
            </w:r>
          </w:p>
        </w:tc>
      </w:tr>
      <w:tr w:rsidR="00105F6A" w:rsidRPr="00D1063C" w14:paraId="31F05260"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D35D0A3" w14:textId="77777777" w:rsidR="00105F6A" w:rsidRPr="0053038A" w:rsidRDefault="00105F6A" w:rsidP="00105F6A">
            <w:pPr>
              <w:spacing w:after="240" w:line="276" w:lineRule="auto"/>
              <w:rPr>
                <w:rFonts w:eastAsia="Arial" w:cs="Arial"/>
              </w:rPr>
            </w:pPr>
            <w:r w:rsidRPr="0053038A">
              <w:rPr>
                <w:rFonts w:eastAsia="Arial" w:cs="Arial"/>
              </w:rPr>
              <w:t>7.5</w:t>
            </w:r>
          </w:p>
        </w:tc>
        <w:tc>
          <w:tcPr>
            <w:tcW w:w="4908" w:type="dxa"/>
          </w:tcPr>
          <w:p w14:paraId="4492000A"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Register a judgement or order, or for permission to enforce an arbitration award, </w:t>
            </w:r>
            <w:r w:rsidRPr="0053038A">
              <w:rPr>
                <w:rFonts w:eastAsia="Arial" w:cs="Arial"/>
              </w:rPr>
              <w:lastRenderedPageBreak/>
              <w:t>or for a certificate or a certified copy of a judgment or order for use abroad</w:t>
            </w:r>
          </w:p>
        </w:tc>
        <w:tc>
          <w:tcPr>
            <w:tcW w:w="1182" w:type="dxa"/>
          </w:tcPr>
          <w:p w14:paraId="30185F2B"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lastRenderedPageBreak/>
              <w:t>£66</w:t>
            </w:r>
          </w:p>
        </w:tc>
        <w:tc>
          <w:tcPr>
            <w:tcW w:w="1221" w:type="dxa"/>
          </w:tcPr>
          <w:p w14:paraId="3207BECD"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£71</w:t>
            </w:r>
          </w:p>
        </w:tc>
        <w:tc>
          <w:tcPr>
            <w:tcW w:w="1089" w:type="dxa"/>
          </w:tcPr>
          <w:p w14:paraId="6E2F919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w:t>
            </w:r>
          </w:p>
        </w:tc>
      </w:tr>
      <w:tr w:rsidR="00105F6A" w:rsidRPr="00D1063C" w14:paraId="0E2B9E59"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02E5F3AD" w14:textId="77777777" w:rsidR="00105F6A" w:rsidRPr="0053038A" w:rsidRDefault="00105F6A" w:rsidP="00105F6A">
            <w:pPr>
              <w:spacing w:after="240" w:line="276" w:lineRule="auto"/>
              <w:rPr>
                <w:rFonts w:eastAsia="Arial" w:cs="Arial"/>
              </w:rPr>
            </w:pPr>
            <w:r w:rsidRPr="0053038A">
              <w:rPr>
                <w:rFonts w:eastAsia="Arial" w:cs="Arial"/>
              </w:rPr>
              <w:t>8.3</w:t>
            </w:r>
          </w:p>
        </w:tc>
        <w:tc>
          <w:tcPr>
            <w:tcW w:w="4908" w:type="dxa"/>
          </w:tcPr>
          <w:p w14:paraId="4AC1D6C4"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to require judgement debtor to attend court</w:t>
            </w:r>
          </w:p>
        </w:tc>
        <w:tc>
          <w:tcPr>
            <w:tcW w:w="1182" w:type="dxa"/>
          </w:tcPr>
          <w:p w14:paraId="0958E969"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£55</w:t>
            </w:r>
          </w:p>
        </w:tc>
        <w:tc>
          <w:tcPr>
            <w:tcW w:w="1221" w:type="dxa"/>
          </w:tcPr>
          <w:p w14:paraId="32FF2136"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£59</w:t>
            </w:r>
          </w:p>
        </w:tc>
        <w:tc>
          <w:tcPr>
            <w:tcW w:w="1089" w:type="dxa"/>
          </w:tcPr>
          <w:p w14:paraId="00A9D3B6"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w:t>
            </w:r>
          </w:p>
        </w:tc>
      </w:tr>
      <w:tr w:rsidR="007B0126" w:rsidRPr="00D1063C" w14:paraId="5E31FDB2"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3A667CC6" w14:textId="77777777" w:rsidR="007B0126" w:rsidRPr="0053038A" w:rsidRDefault="007B0126" w:rsidP="007B0126">
            <w:pPr>
              <w:spacing w:after="240" w:line="276" w:lineRule="auto"/>
              <w:rPr>
                <w:rFonts w:eastAsia="Arial" w:cs="Arial"/>
              </w:rPr>
            </w:pPr>
            <w:r w:rsidRPr="0053038A">
              <w:rPr>
                <w:rFonts w:eastAsia="Arial" w:cs="Arial"/>
              </w:rPr>
              <w:t>8.4a</w:t>
            </w:r>
          </w:p>
        </w:tc>
        <w:tc>
          <w:tcPr>
            <w:tcW w:w="4908" w:type="dxa"/>
          </w:tcPr>
          <w:p w14:paraId="08CD7F01" w14:textId="77777777" w:rsidR="007B0126" w:rsidRPr="0053038A" w:rsidRDefault="007B0126" w:rsidP="007B0126">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Application for a </w:t>
            </w:r>
            <w:proofErr w:type="gramStart"/>
            <w:r w:rsidRPr="0053038A">
              <w:rPr>
                <w:rFonts w:eastAsia="Arial" w:cs="Arial"/>
              </w:rPr>
              <w:t>third party</w:t>
            </w:r>
            <w:proofErr w:type="gramEnd"/>
            <w:r w:rsidRPr="0053038A">
              <w:rPr>
                <w:rFonts w:eastAsia="Arial" w:cs="Arial"/>
              </w:rPr>
              <w:t xml:space="preserve"> debt order</w:t>
            </w:r>
          </w:p>
        </w:tc>
        <w:tc>
          <w:tcPr>
            <w:tcW w:w="1182" w:type="dxa"/>
          </w:tcPr>
          <w:p w14:paraId="4E8DF4AC" w14:textId="77777777" w:rsidR="007B0126" w:rsidRPr="0053038A" w:rsidRDefault="007B0126"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£110</w:t>
            </w:r>
          </w:p>
        </w:tc>
        <w:tc>
          <w:tcPr>
            <w:tcW w:w="1221" w:type="dxa"/>
          </w:tcPr>
          <w:p w14:paraId="36F043E0" w14:textId="5DB46E83" w:rsidR="007B0126" w:rsidRPr="00F77C7B" w:rsidRDefault="007B0126"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£119</w:t>
            </w:r>
          </w:p>
        </w:tc>
        <w:tc>
          <w:tcPr>
            <w:tcW w:w="1089" w:type="dxa"/>
          </w:tcPr>
          <w:p w14:paraId="3A68B69A" w14:textId="22851534" w:rsidR="007B0126" w:rsidRPr="00F77C7B" w:rsidRDefault="007B0126"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£9</w:t>
            </w:r>
          </w:p>
        </w:tc>
      </w:tr>
      <w:tr w:rsidR="007B0126" w:rsidRPr="00D1063C" w14:paraId="707C41B5"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3EDE8801" w14:textId="77777777" w:rsidR="007B0126" w:rsidRPr="0053038A" w:rsidRDefault="007B0126" w:rsidP="007B0126">
            <w:pPr>
              <w:spacing w:after="240" w:line="276" w:lineRule="auto"/>
              <w:rPr>
                <w:rFonts w:eastAsia="Arial" w:cs="Arial"/>
              </w:rPr>
            </w:pPr>
            <w:r w:rsidRPr="0053038A">
              <w:rPr>
                <w:rFonts w:eastAsia="Arial" w:cs="Arial"/>
              </w:rPr>
              <w:t>8.4b</w:t>
            </w:r>
          </w:p>
        </w:tc>
        <w:tc>
          <w:tcPr>
            <w:tcW w:w="4908" w:type="dxa"/>
          </w:tcPr>
          <w:p w14:paraId="7A146F3E" w14:textId="77777777" w:rsidR="007B0126" w:rsidRPr="0053038A" w:rsidRDefault="007B0126" w:rsidP="007B0126">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for a charging order</w:t>
            </w:r>
          </w:p>
        </w:tc>
        <w:tc>
          <w:tcPr>
            <w:tcW w:w="1182" w:type="dxa"/>
          </w:tcPr>
          <w:p w14:paraId="7CFC9867" w14:textId="77777777" w:rsidR="007B0126" w:rsidRPr="0053038A" w:rsidRDefault="007B0126"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£110</w:t>
            </w:r>
          </w:p>
        </w:tc>
        <w:tc>
          <w:tcPr>
            <w:tcW w:w="1221" w:type="dxa"/>
          </w:tcPr>
          <w:p w14:paraId="016FA36E" w14:textId="04FC8B45" w:rsidR="007B0126" w:rsidRPr="00F77C7B" w:rsidRDefault="007B0126"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£119</w:t>
            </w:r>
          </w:p>
        </w:tc>
        <w:tc>
          <w:tcPr>
            <w:tcW w:w="1089" w:type="dxa"/>
          </w:tcPr>
          <w:p w14:paraId="32DD57C0" w14:textId="6E9CB9E9" w:rsidR="007B0126" w:rsidRPr="00F77C7B" w:rsidRDefault="007B0126"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£9</w:t>
            </w:r>
          </w:p>
        </w:tc>
      </w:tr>
      <w:tr w:rsidR="007B0126" w:rsidRPr="00D1063C" w14:paraId="7BF820DB"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9F1A3BE" w14:textId="77777777" w:rsidR="007B0126" w:rsidRPr="0053038A" w:rsidRDefault="007B0126" w:rsidP="007B0126">
            <w:pPr>
              <w:spacing w:after="240" w:line="276" w:lineRule="auto"/>
              <w:rPr>
                <w:rFonts w:eastAsia="Arial" w:cs="Arial"/>
              </w:rPr>
            </w:pPr>
            <w:r w:rsidRPr="0053038A">
              <w:rPr>
                <w:rFonts w:eastAsia="Arial" w:cs="Arial"/>
              </w:rPr>
              <w:t>8.5</w:t>
            </w:r>
          </w:p>
        </w:tc>
        <w:tc>
          <w:tcPr>
            <w:tcW w:w="4908" w:type="dxa"/>
          </w:tcPr>
          <w:p w14:paraId="7623904E" w14:textId="77777777" w:rsidR="007B0126" w:rsidRPr="0053038A" w:rsidRDefault="007B0126" w:rsidP="007B0126">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for a judgement summons</w:t>
            </w:r>
          </w:p>
        </w:tc>
        <w:tc>
          <w:tcPr>
            <w:tcW w:w="1182" w:type="dxa"/>
          </w:tcPr>
          <w:p w14:paraId="4D63E9D6" w14:textId="77777777" w:rsidR="007B0126" w:rsidRPr="0053038A" w:rsidRDefault="007B0126"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£110</w:t>
            </w:r>
          </w:p>
        </w:tc>
        <w:tc>
          <w:tcPr>
            <w:tcW w:w="1221" w:type="dxa"/>
          </w:tcPr>
          <w:p w14:paraId="0D0E86FE" w14:textId="288CCC47" w:rsidR="007B0126" w:rsidRPr="00F77C7B" w:rsidRDefault="007B0126"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£119</w:t>
            </w:r>
          </w:p>
        </w:tc>
        <w:tc>
          <w:tcPr>
            <w:tcW w:w="1089" w:type="dxa"/>
          </w:tcPr>
          <w:p w14:paraId="015D865C" w14:textId="683EFD3E" w:rsidR="007B0126" w:rsidRPr="00F77C7B" w:rsidRDefault="007B0126"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t>£9</w:t>
            </w:r>
          </w:p>
        </w:tc>
      </w:tr>
      <w:tr w:rsidR="00105F6A" w:rsidRPr="00D1063C" w14:paraId="0E99631E"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9115C8E" w14:textId="77777777" w:rsidR="00105F6A" w:rsidRPr="0053038A" w:rsidRDefault="00105F6A" w:rsidP="00105F6A">
            <w:pPr>
              <w:spacing w:after="240" w:line="276" w:lineRule="auto"/>
              <w:rPr>
                <w:rFonts w:eastAsia="Arial" w:cs="Arial"/>
              </w:rPr>
            </w:pPr>
            <w:r w:rsidRPr="0053038A">
              <w:rPr>
                <w:rFonts w:eastAsia="Arial" w:cs="Arial"/>
              </w:rPr>
              <w:t>8.6</w:t>
            </w:r>
          </w:p>
        </w:tc>
        <w:tc>
          <w:tcPr>
            <w:tcW w:w="4908" w:type="dxa"/>
          </w:tcPr>
          <w:p w14:paraId="2A18A7A7"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Issue of a warrant of possession/warrant of delivery</w:t>
            </w:r>
          </w:p>
        </w:tc>
        <w:tc>
          <w:tcPr>
            <w:tcW w:w="1182" w:type="dxa"/>
          </w:tcPr>
          <w:p w14:paraId="0EE47315"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£121</w:t>
            </w:r>
          </w:p>
        </w:tc>
        <w:tc>
          <w:tcPr>
            <w:tcW w:w="1221" w:type="dxa"/>
          </w:tcPr>
          <w:p w14:paraId="6D1FB60E"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£130</w:t>
            </w:r>
          </w:p>
        </w:tc>
        <w:tc>
          <w:tcPr>
            <w:tcW w:w="1089" w:type="dxa"/>
          </w:tcPr>
          <w:p w14:paraId="74983796"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£9</w:t>
            </w:r>
          </w:p>
        </w:tc>
      </w:tr>
      <w:tr w:rsidR="00105F6A" w:rsidRPr="00D1063C" w14:paraId="5236433B"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2D7C1F7C" w14:textId="77777777" w:rsidR="00105F6A" w:rsidRPr="0053038A" w:rsidRDefault="00105F6A" w:rsidP="00105F6A">
            <w:pPr>
              <w:spacing w:after="240" w:line="276" w:lineRule="auto"/>
              <w:rPr>
                <w:rFonts w:eastAsia="Arial" w:cs="Arial"/>
              </w:rPr>
            </w:pPr>
            <w:r w:rsidRPr="0053038A">
              <w:rPr>
                <w:rFonts w:eastAsia="Arial" w:cs="Arial"/>
              </w:rPr>
              <w:t>8.7</w:t>
            </w:r>
          </w:p>
        </w:tc>
        <w:tc>
          <w:tcPr>
            <w:tcW w:w="4908" w:type="dxa"/>
          </w:tcPr>
          <w:p w14:paraId="0DD0AA9F"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for an attachment of earnings order - Civil</w:t>
            </w:r>
          </w:p>
        </w:tc>
        <w:tc>
          <w:tcPr>
            <w:tcW w:w="1182" w:type="dxa"/>
          </w:tcPr>
          <w:p w14:paraId="192E4FA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£110.00</w:t>
            </w:r>
          </w:p>
        </w:tc>
        <w:tc>
          <w:tcPr>
            <w:tcW w:w="1221" w:type="dxa"/>
          </w:tcPr>
          <w:p w14:paraId="20B3AFB6" w14:textId="21F3B026"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£11</w:t>
            </w:r>
            <w:r w:rsidR="007B0126" w:rsidRPr="00F77C7B">
              <w:rPr>
                <w:rFonts w:eastAsia="Arial" w:cs="Arial"/>
              </w:rPr>
              <w:t>9</w:t>
            </w:r>
          </w:p>
        </w:tc>
        <w:tc>
          <w:tcPr>
            <w:tcW w:w="1089" w:type="dxa"/>
          </w:tcPr>
          <w:p w14:paraId="2868A95E" w14:textId="0F6241CD"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w:t>
            </w:r>
            <w:r w:rsidR="007B0126" w:rsidRPr="00F77C7B">
              <w:rPr>
                <w:rFonts w:eastAsia="Arial" w:cs="Arial"/>
              </w:rPr>
              <w:t>9</w:t>
            </w:r>
          </w:p>
        </w:tc>
      </w:tr>
      <w:tr w:rsidR="00105F6A" w:rsidRPr="00D1063C" w14:paraId="296A0059"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06BDFE3C" w14:textId="77777777" w:rsidR="00105F6A" w:rsidRPr="0053038A" w:rsidRDefault="00105F6A" w:rsidP="00105F6A">
            <w:pPr>
              <w:spacing w:after="240" w:line="276" w:lineRule="auto"/>
              <w:rPr>
                <w:rFonts w:eastAsia="Arial" w:cs="Arial"/>
              </w:rPr>
            </w:pPr>
            <w:r w:rsidRPr="0053038A">
              <w:rPr>
                <w:rFonts w:eastAsia="Arial" w:cs="Arial"/>
              </w:rPr>
              <w:t>8.9</w:t>
            </w:r>
          </w:p>
        </w:tc>
        <w:tc>
          <w:tcPr>
            <w:tcW w:w="4908" w:type="dxa"/>
          </w:tcPr>
          <w:p w14:paraId="41CF086E"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for enforcement of an award of a sum of money or any other decision made by any court, tribunal, body or person</w:t>
            </w:r>
          </w:p>
        </w:tc>
        <w:tc>
          <w:tcPr>
            <w:tcW w:w="1182" w:type="dxa"/>
          </w:tcPr>
          <w:p w14:paraId="3E834C7C"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£44</w:t>
            </w:r>
          </w:p>
        </w:tc>
        <w:tc>
          <w:tcPr>
            <w:tcW w:w="1221" w:type="dxa"/>
          </w:tcPr>
          <w:p w14:paraId="4E1A19CC"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£47</w:t>
            </w:r>
          </w:p>
        </w:tc>
        <w:tc>
          <w:tcPr>
            <w:tcW w:w="1089" w:type="dxa"/>
          </w:tcPr>
          <w:p w14:paraId="5A5C7E66"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£3</w:t>
            </w:r>
          </w:p>
        </w:tc>
      </w:tr>
      <w:tr w:rsidR="00C072D7" w:rsidRPr="00D1063C" w14:paraId="1363BA13" w14:textId="77777777" w:rsidTr="00C072D7">
        <w:tc>
          <w:tcPr>
            <w:cnfStyle w:val="001000000000" w:firstRow="0" w:lastRow="0" w:firstColumn="1" w:lastColumn="0" w:oddVBand="0" w:evenVBand="0" w:oddHBand="0" w:evenHBand="0" w:firstRowFirstColumn="0" w:firstRowLastColumn="0" w:lastRowFirstColumn="0" w:lastRowLastColumn="0"/>
            <w:tcW w:w="1182" w:type="dxa"/>
          </w:tcPr>
          <w:p w14:paraId="05FD51C8" w14:textId="77777777" w:rsidR="00C072D7" w:rsidRPr="0053038A" w:rsidRDefault="00C072D7" w:rsidP="00A5228A">
            <w:pPr>
              <w:spacing w:after="240" w:line="276" w:lineRule="auto"/>
              <w:rPr>
                <w:rFonts w:eastAsia="Arial" w:cs="Arial"/>
              </w:rPr>
            </w:pPr>
            <w:r w:rsidRPr="0053038A">
              <w:rPr>
                <w:rFonts w:eastAsia="Arial" w:cs="Arial"/>
              </w:rPr>
              <w:t>8.1</w:t>
            </w:r>
            <w:r>
              <w:rPr>
                <w:rFonts w:eastAsia="Arial" w:cs="Arial"/>
              </w:rPr>
              <w:t>0</w:t>
            </w:r>
          </w:p>
        </w:tc>
        <w:tc>
          <w:tcPr>
            <w:tcW w:w="4908" w:type="dxa"/>
          </w:tcPr>
          <w:p w14:paraId="62370CB1" w14:textId="77777777" w:rsidR="00C072D7" w:rsidRPr="0053038A" w:rsidRDefault="00C072D7" w:rsidP="00A5228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Request for an order to recover a specified road traffic debt</w:t>
            </w:r>
          </w:p>
        </w:tc>
        <w:tc>
          <w:tcPr>
            <w:tcW w:w="1182" w:type="dxa"/>
          </w:tcPr>
          <w:p w14:paraId="74EED47D" w14:textId="77777777" w:rsidR="00C072D7" w:rsidRPr="0053038A" w:rsidRDefault="00C072D7" w:rsidP="00A5228A">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£8</w:t>
            </w:r>
          </w:p>
        </w:tc>
        <w:tc>
          <w:tcPr>
            <w:tcW w:w="1221" w:type="dxa"/>
          </w:tcPr>
          <w:p w14:paraId="095AB8B9" w14:textId="77777777" w:rsidR="00C072D7" w:rsidRPr="0053038A" w:rsidRDefault="00C072D7" w:rsidP="00A5228A">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£9</w:t>
            </w:r>
          </w:p>
        </w:tc>
        <w:tc>
          <w:tcPr>
            <w:tcW w:w="1089" w:type="dxa"/>
          </w:tcPr>
          <w:p w14:paraId="786D47AD" w14:textId="77777777" w:rsidR="00C072D7" w:rsidRPr="0053038A" w:rsidRDefault="00C072D7" w:rsidP="00A5228A">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w:t>
            </w:r>
          </w:p>
        </w:tc>
      </w:tr>
      <w:tr w:rsidR="00105F6A" w:rsidRPr="00D1063C" w14:paraId="3BBCC6F4"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629C2262" w14:textId="77777777" w:rsidR="00105F6A" w:rsidRPr="0053038A" w:rsidRDefault="00105F6A" w:rsidP="00105F6A">
            <w:pPr>
              <w:spacing w:after="240" w:line="276" w:lineRule="auto"/>
              <w:rPr>
                <w:rFonts w:eastAsia="Arial" w:cs="Arial"/>
              </w:rPr>
            </w:pPr>
            <w:r w:rsidRPr="0053038A">
              <w:rPr>
                <w:rFonts w:eastAsia="Arial" w:cs="Arial"/>
              </w:rPr>
              <w:t>8A.1</w:t>
            </w:r>
          </w:p>
        </w:tc>
        <w:tc>
          <w:tcPr>
            <w:tcW w:w="4908" w:type="dxa"/>
          </w:tcPr>
          <w:p w14:paraId="1ADFF174"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Service by a bailiff of an order to attend County Court for questioning</w:t>
            </w:r>
          </w:p>
        </w:tc>
        <w:tc>
          <w:tcPr>
            <w:tcW w:w="1182" w:type="dxa"/>
          </w:tcPr>
          <w:p w14:paraId="1C3EBF8B"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£110</w:t>
            </w:r>
          </w:p>
        </w:tc>
        <w:tc>
          <w:tcPr>
            <w:tcW w:w="1221" w:type="dxa"/>
          </w:tcPr>
          <w:p w14:paraId="2E46E727" w14:textId="0C11A063"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£11</w:t>
            </w:r>
            <w:r w:rsidR="007B0126" w:rsidRPr="00F77C7B">
              <w:rPr>
                <w:rFonts w:eastAsia="Arial" w:cs="Arial"/>
              </w:rPr>
              <w:t>9</w:t>
            </w:r>
          </w:p>
        </w:tc>
        <w:tc>
          <w:tcPr>
            <w:tcW w:w="1089" w:type="dxa"/>
          </w:tcPr>
          <w:p w14:paraId="711E8AB9" w14:textId="69FD681B"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w:t>
            </w:r>
            <w:r w:rsidR="007B0126" w:rsidRPr="00F77C7B">
              <w:rPr>
                <w:rFonts w:eastAsia="Arial" w:cs="Arial"/>
              </w:rPr>
              <w:t>9</w:t>
            </w:r>
          </w:p>
        </w:tc>
      </w:tr>
      <w:tr w:rsidR="00105F6A" w:rsidRPr="00D1063C" w14:paraId="6CC26125"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54296045" w14:textId="77777777" w:rsidR="00105F6A" w:rsidRPr="0053038A" w:rsidRDefault="00105F6A" w:rsidP="00105F6A">
            <w:pPr>
              <w:spacing w:after="240" w:line="276" w:lineRule="auto"/>
              <w:rPr>
                <w:rFonts w:eastAsia="Arial" w:cs="Arial"/>
              </w:rPr>
            </w:pPr>
            <w:r w:rsidRPr="0053038A">
              <w:rPr>
                <w:rFonts w:eastAsia="Arial" w:cs="Arial"/>
              </w:rPr>
              <w:t>10.1</w:t>
            </w:r>
          </w:p>
        </w:tc>
        <w:tc>
          <w:tcPr>
            <w:tcW w:w="4908" w:type="dxa"/>
          </w:tcPr>
          <w:p w14:paraId="525F2AE8"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Bills of sale</w:t>
            </w:r>
          </w:p>
        </w:tc>
        <w:tc>
          <w:tcPr>
            <w:tcW w:w="1182" w:type="dxa"/>
          </w:tcPr>
          <w:p w14:paraId="27FDD914"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£28</w:t>
            </w:r>
          </w:p>
        </w:tc>
        <w:tc>
          <w:tcPr>
            <w:tcW w:w="1221" w:type="dxa"/>
          </w:tcPr>
          <w:p w14:paraId="507DA317"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£30</w:t>
            </w:r>
          </w:p>
        </w:tc>
        <w:tc>
          <w:tcPr>
            <w:tcW w:w="1089" w:type="dxa"/>
          </w:tcPr>
          <w:p w14:paraId="7EE6867D"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£2</w:t>
            </w:r>
          </w:p>
        </w:tc>
      </w:tr>
      <w:tr w:rsidR="00105F6A" w:rsidRPr="00D1063C" w14:paraId="70072E66"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7815AC78" w14:textId="77777777" w:rsidR="00105F6A" w:rsidRPr="0053038A" w:rsidRDefault="00105F6A" w:rsidP="00105F6A">
            <w:pPr>
              <w:spacing w:after="240" w:line="276" w:lineRule="auto"/>
              <w:rPr>
                <w:rFonts w:eastAsia="Arial" w:cs="Arial"/>
              </w:rPr>
            </w:pPr>
            <w:r w:rsidRPr="0053038A">
              <w:rPr>
                <w:rFonts w:eastAsia="Arial" w:cs="Arial"/>
              </w:rPr>
              <w:t>10.2</w:t>
            </w:r>
          </w:p>
        </w:tc>
        <w:tc>
          <w:tcPr>
            <w:tcW w:w="4908" w:type="dxa"/>
          </w:tcPr>
          <w:p w14:paraId="72866450"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Official certificate of the result of a search (for each name)</w:t>
            </w:r>
          </w:p>
        </w:tc>
        <w:tc>
          <w:tcPr>
            <w:tcW w:w="1182" w:type="dxa"/>
          </w:tcPr>
          <w:p w14:paraId="28C3407C"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£50</w:t>
            </w:r>
          </w:p>
        </w:tc>
        <w:tc>
          <w:tcPr>
            <w:tcW w:w="1221" w:type="dxa"/>
          </w:tcPr>
          <w:p w14:paraId="658D8C6B"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£54</w:t>
            </w:r>
          </w:p>
        </w:tc>
        <w:tc>
          <w:tcPr>
            <w:tcW w:w="1089" w:type="dxa"/>
          </w:tcPr>
          <w:p w14:paraId="0250C7A1"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w:t>
            </w:r>
          </w:p>
        </w:tc>
      </w:tr>
      <w:tr w:rsidR="00105F6A" w:rsidRPr="00D1063C" w14:paraId="54367BD6"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5E8BE0C3" w14:textId="77777777" w:rsidR="00105F6A" w:rsidRPr="0053038A" w:rsidRDefault="00105F6A" w:rsidP="00105F6A">
            <w:pPr>
              <w:spacing w:after="240" w:line="276" w:lineRule="auto"/>
              <w:rPr>
                <w:rFonts w:eastAsia="Arial" w:cs="Arial"/>
              </w:rPr>
            </w:pPr>
            <w:r w:rsidRPr="0053038A">
              <w:rPr>
                <w:rFonts w:eastAsia="Arial" w:cs="Arial"/>
              </w:rPr>
              <w:t>10.3</w:t>
            </w:r>
          </w:p>
        </w:tc>
        <w:tc>
          <w:tcPr>
            <w:tcW w:w="4908" w:type="dxa"/>
          </w:tcPr>
          <w:p w14:paraId="373A845D"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Search, in person, of court records (per 15 minutes)</w:t>
            </w:r>
          </w:p>
        </w:tc>
        <w:tc>
          <w:tcPr>
            <w:tcW w:w="1182" w:type="dxa"/>
          </w:tcPr>
          <w:p w14:paraId="5AF4B05C"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w:t>
            </w:r>
          </w:p>
        </w:tc>
        <w:tc>
          <w:tcPr>
            <w:tcW w:w="1221" w:type="dxa"/>
          </w:tcPr>
          <w:p w14:paraId="781EABA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£12</w:t>
            </w:r>
          </w:p>
        </w:tc>
        <w:tc>
          <w:tcPr>
            <w:tcW w:w="1089" w:type="dxa"/>
          </w:tcPr>
          <w:p w14:paraId="4BAD58DA"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w:t>
            </w:r>
          </w:p>
        </w:tc>
      </w:tr>
      <w:tr w:rsidR="00105F6A" w:rsidRPr="00D1063C" w14:paraId="1B1D8BA8"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9399603" w14:textId="77777777" w:rsidR="00105F6A" w:rsidRPr="0053038A" w:rsidRDefault="00105F6A" w:rsidP="00105F6A">
            <w:pPr>
              <w:spacing w:after="240" w:line="276" w:lineRule="auto"/>
              <w:rPr>
                <w:rFonts w:eastAsia="Arial" w:cs="Arial"/>
              </w:rPr>
            </w:pPr>
            <w:r w:rsidRPr="0053038A">
              <w:rPr>
                <w:rFonts w:eastAsia="Arial" w:cs="Arial"/>
              </w:rPr>
              <w:t>12.1</w:t>
            </w:r>
          </w:p>
        </w:tc>
        <w:tc>
          <w:tcPr>
            <w:tcW w:w="4908" w:type="dxa"/>
          </w:tcPr>
          <w:p w14:paraId="413CBFB1"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Affidavit</w:t>
            </w:r>
          </w:p>
        </w:tc>
        <w:tc>
          <w:tcPr>
            <w:tcW w:w="1182" w:type="dxa"/>
          </w:tcPr>
          <w:p w14:paraId="5292B18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£12</w:t>
            </w:r>
          </w:p>
        </w:tc>
        <w:tc>
          <w:tcPr>
            <w:tcW w:w="1221" w:type="dxa"/>
          </w:tcPr>
          <w:p w14:paraId="60B18C24"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£13</w:t>
            </w:r>
          </w:p>
        </w:tc>
        <w:tc>
          <w:tcPr>
            <w:tcW w:w="1089" w:type="dxa"/>
          </w:tcPr>
          <w:p w14:paraId="165A23D6"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w:t>
            </w:r>
          </w:p>
        </w:tc>
      </w:tr>
      <w:tr w:rsidR="00105F6A" w:rsidRPr="00D1063C" w14:paraId="7A6C4987"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57836760" w14:textId="77777777" w:rsidR="00105F6A" w:rsidRPr="0053038A" w:rsidRDefault="00105F6A" w:rsidP="00105F6A">
            <w:pPr>
              <w:spacing w:after="240" w:line="276" w:lineRule="auto"/>
              <w:rPr>
                <w:rFonts w:eastAsia="Arial" w:cs="Arial"/>
              </w:rPr>
            </w:pPr>
            <w:r w:rsidRPr="0053038A">
              <w:rPr>
                <w:rFonts w:eastAsia="Arial" w:cs="Arial"/>
              </w:rPr>
              <w:t>13.1a</w:t>
            </w:r>
          </w:p>
        </w:tc>
        <w:tc>
          <w:tcPr>
            <w:tcW w:w="4908" w:type="dxa"/>
          </w:tcPr>
          <w:p w14:paraId="6721A251"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Application - permission to appeal/extension of time</w:t>
            </w:r>
          </w:p>
        </w:tc>
        <w:tc>
          <w:tcPr>
            <w:tcW w:w="1182" w:type="dxa"/>
          </w:tcPr>
          <w:p w14:paraId="105CF278"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£528</w:t>
            </w:r>
          </w:p>
        </w:tc>
        <w:tc>
          <w:tcPr>
            <w:tcW w:w="1221" w:type="dxa"/>
          </w:tcPr>
          <w:p w14:paraId="58CE8E6E"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£569</w:t>
            </w:r>
          </w:p>
        </w:tc>
        <w:tc>
          <w:tcPr>
            <w:tcW w:w="1089" w:type="dxa"/>
          </w:tcPr>
          <w:p w14:paraId="073AEB94"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£41</w:t>
            </w:r>
          </w:p>
        </w:tc>
      </w:tr>
      <w:tr w:rsidR="00105F6A" w:rsidRPr="00D1063C" w14:paraId="64A943F8"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274DCC29" w14:textId="77777777" w:rsidR="00105F6A" w:rsidRPr="0053038A" w:rsidRDefault="00105F6A" w:rsidP="00105F6A">
            <w:pPr>
              <w:spacing w:after="240" w:line="276" w:lineRule="auto"/>
              <w:rPr>
                <w:rFonts w:eastAsia="Arial" w:cs="Arial"/>
              </w:rPr>
            </w:pPr>
            <w:r w:rsidRPr="0053038A">
              <w:rPr>
                <w:rFonts w:eastAsia="Arial" w:cs="Arial"/>
              </w:rPr>
              <w:t>13.1b</w:t>
            </w:r>
          </w:p>
        </w:tc>
        <w:tc>
          <w:tcPr>
            <w:tcW w:w="4908" w:type="dxa"/>
          </w:tcPr>
          <w:p w14:paraId="6E9E0E25"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Permission to appeal is not required or has been granted</w:t>
            </w:r>
          </w:p>
        </w:tc>
        <w:tc>
          <w:tcPr>
            <w:tcW w:w="1182" w:type="dxa"/>
          </w:tcPr>
          <w:p w14:paraId="409185B2"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£1,199</w:t>
            </w:r>
          </w:p>
        </w:tc>
        <w:tc>
          <w:tcPr>
            <w:tcW w:w="1221" w:type="dxa"/>
          </w:tcPr>
          <w:p w14:paraId="29C2D901" w14:textId="5A41913D"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£1,29</w:t>
            </w:r>
            <w:r w:rsidR="007B0126" w:rsidRPr="00F77C7B">
              <w:rPr>
                <w:rFonts w:eastAsia="Arial" w:cs="Arial"/>
              </w:rPr>
              <w:t>2</w:t>
            </w:r>
          </w:p>
        </w:tc>
        <w:tc>
          <w:tcPr>
            <w:tcW w:w="1089" w:type="dxa"/>
          </w:tcPr>
          <w:p w14:paraId="330BBEF3" w14:textId="1F37A211"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£9</w:t>
            </w:r>
            <w:r w:rsidR="007B0126" w:rsidRPr="00F77C7B">
              <w:rPr>
                <w:rFonts w:eastAsia="Arial" w:cs="Arial"/>
              </w:rPr>
              <w:t>3</w:t>
            </w:r>
          </w:p>
        </w:tc>
      </w:tr>
      <w:tr w:rsidR="00105F6A" w:rsidRPr="00D1063C" w14:paraId="0986F876"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4CA17D2D" w14:textId="77777777" w:rsidR="00105F6A" w:rsidRPr="0053038A" w:rsidRDefault="00105F6A" w:rsidP="00105F6A">
            <w:pPr>
              <w:spacing w:after="240" w:line="276" w:lineRule="auto"/>
              <w:rPr>
                <w:rFonts w:eastAsia="Arial" w:cs="Arial"/>
              </w:rPr>
            </w:pPr>
            <w:r w:rsidRPr="0053038A">
              <w:rPr>
                <w:rFonts w:eastAsia="Arial" w:cs="Arial"/>
              </w:rPr>
              <w:lastRenderedPageBreak/>
              <w:t>13.1c</w:t>
            </w:r>
          </w:p>
        </w:tc>
        <w:tc>
          <w:tcPr>
            <w:tcW w:w="4908" w:type="dxa"/>
          </w:tcPr>
          <w:p w14:paraId="6A4BF964"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Appellant/respondent filing an appeal questionnaire</w:t>
            </w:r>
          </w:p>
        </w:tc>
        <w:tc>
          <w:tcPr>
            <w:tcW w:w="1182" w:type="dxa"/>
          </w:tcPr>
          <w:p w14:paraId="7FAB6D8E"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£1,199</w:t>
            </w:r>
          </w:p>
        </w:tc>
        <w:tc>
          <w:tcPr>
            <w:tcW w:w="1221" w:type="dxa"/>
          </w:tcPr>
          <w:p w14:paraId="6E96E6EE" w14:textId="2DC9A832"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£1,29</w:t>
            </w:r>
            <w:r w:rsidR="007B0126" w:rsidRPr="00F77C7B">
              <w:rPr>
                <w:rFonts w:eastAsia="Arial" w:cs="Arial"/>
              </w:rPr>
              <w:t>2</w:t>
            </w:r>
          </w:p>
        </w:tc>
        <w:tc>
          <w:tcPr>
            <w:tcW w:w="1089" w:type="dxa"/>
          </w:tcPr>
          <w:p w14:paraId="2E262C87" w14:textId="2B7F11B9" w:rsidR="00105F6A" w:rsidRPr="00F77C7B"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F77C7B">
              <w:rPr>
                <w:rFonts w:eastAsia="Arial" w:cs="Arial"/>
              </w:rPr>
              <w:t>£9</w:t>
            </w:r>
            <w:r w:rsidR="007B0126" w:rsidRPr="00F77C7B">
              <w:rPr>
                <w:rFonts w:eastAsia="Arial" w:cs="Arial"/>
              </w:rPr>
              <w:t>3</w:t>
            </w:r>
          </w:p>
        </w:tc>
      </w:tr>
      <w:tr w:rsidR="00105F6A" w:rsidRPr="00D1063C" w14:paraId="78B89BF6"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19F669F0" w14:textId="77777777" w:rsidR="00105F6A" w:rsidRPr="0053038A" w:rsidRDefault="00105F6A" w:rsidP="00105F6A">
            <w:pPr>
              <w:spacing w:after="240" w:line="276" w:lineRule="auto"/>
              <w:rPr>
                <w:rFonts w:eastAsia="Arial" w:cs="Arial"/>
              </w:rPr>
            </w:pPr>
            <w:r w:rsidRPr="0053038A">
              <w:rPr>
                <w:rFonts w:eastAsia="Arial" w:cs="Arial"/>
              </w:rPr>
              <w:t>13.2</w:t>
            </w:r>
          </w:p>
        </w:tc>
        <w:tc>
          <w:tcPr>
            <w:tcW w:w="4908" w:type="dxa"/>
          </w:tcPr>
          <w:p w14:paraId="1D4ACFF7"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 xml:space="preserve">On filing a </w:t>
            </w:r>
            <w:r w:rsidRPr="78701724">
              <w:rPr>
                <w:rFonts w:eastAsia="Arial" w:cs="Arial"/>
              </w:rPr>
              <w:t>respondent’s</w:t>
            </w:r>
            <w:r w:rsidRPr="0053038A">
              <w:rPr>
                <w:rFonts w:eastAsia="Arial" w:cs="Arial"/>
              </w:rPr>
              <w:t xml:space="preserve"> notice</w:t>
            </w:r>
          </w:p>
        </w:tc>
        <w:tc>
          <w:tcPr>
            <w:tcW w:w="1182" w:type="dxa"/>
          </w:tcPr>
          <w:p w14:paraId="5A18FDE9"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£528</w:t>
            </w:r>
          </w:p>
        </w:tc>
        <w:tc>
          <w:tcPr>
            <w:tcW w:w="1221" w:type="dxa"/>
          </w:tcPr>
          <w:p w14:paraId="0BD1C2EB"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£569</w:t>
            </w:r>
          </w:p>
        </w:tc>
        <w:tc>
          <w:tcPr>
            <w:tcW w:w="1089" w:type="dxa"/>
          </w:tcPr>
          <w:p w14:paraId="092F5ABC"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£41</w:t>
            </w:r>
          </w:p>
        </w:tc>
      </w:tr>
      <w:tr w:rsidR="00105F6A" w:rsidRPr="00D1063C" w14:paraId="606FE853" w14:textId="77777777" w:rsidTr="00105F6A">
        <w:tc>
          <w:tcPr>
            <w:cnfStyle w:val="001000000000" w:firstRow="0" w:lastRow="0" w:firstColumn="1" w:lastColumn="0" w:oddVBand="0" w:evenVBand="0" w:oddHBand="0" w:evenHBand="0" w:firstRowFirstColumn="0" w:firstRowLastColumn="0" w:lastRowFirstColumn="0" w:lastRowLastColumn="0"/>
            <w:tcW w:w="1182" w:type="dxa"/>
          </w:tcPr>
          <w:p w14:paraId="5D441903" w14:textId="77777777" w:rsidR="00105F6A" w:rsidRPr="0053038A" w:rsidRDefault="00105F6A" w:rsidP="00105F6A">
            <w:pPr>
              <w:spacing w:after="240" w:line="276" w:lineRule="auto"/>
              <w:rPr>
                <w:rFonts w:eastAsia="Arial" w:cs="Arial"/>
              </w:rPr>
            </w:pPr>
            <w:r w:rsidRPr="0053038A">
              <w:rPr>
                <w:rFonts w:eastAsia="Arial" w:cs="Arial"/>
              </w:rPr>
              <w:t>13.3</w:t>
            </w:r>
          </w:p>
        </w:tc>
        <w:tc>
          <w:tcPr>
            <w:tcW w:w="4908" w:type="dxa"/>
          </w:tcPr>
          <w:p w14:paraId="1880709E" w14:textId="77777777" w:rsidR="00105F6A" w:rsidRPr="0053038A" w:rsidRDefault="00105F6A" w:rsidP="00105F6A">
            <w:pPr>
              <w:spacing w:after="240" w:line="276"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On filing an application notice</w:t>
            </w:r>
          </w:p>
        </w:tc>
        <w:tc>
          <w:tcPr>
            <w:tcW w:w="1182" w:type="dxa"/>
          </w:tcPr>
          <w:p w14:paraId="126D1FCA"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£528</w:t>
            </w:r>
          </w:p>
        </w:tc>
        <w:tc>
          <w:tcPr>
            <w:tcW w:w="1221" w:type="dxa"/>
          </w:tcPr>
          <w:p w14:paraId="7F69394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£569</w:t>
            </w:r>
          </w:p>
        </w:tc>
        <w:tc>
          <w:tcPr>
            <w:tcW w:w="1089" w:type="dxa"/>
          </w:tcPr>
          <w:p w14:paraId="02C87CFF" w14:textId="77777777" w:rsidR="00105F6A" w:rsidRPr="0053038A" w:rsidRDefault="00105F6A" w:rsidP="00AE4001">
            <w:pPr>
              <w:spacing w:after="240" w:line="276" w:lineRule="auto"/>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53038A">
              <w:rPr>
                <w:rFonts w:eastAsia="Arial" w:cs="Arial"/>
              </w:rPr>
              <w:t>£41</w:t>
            </w:r>
          </w:p>
        </w:tc>
      </w:tr>
    </w:tbl>
    <w:p w14:paraId="422408EC" w14:textId="77777777" w:rsidR="00105F6A" w:rsidRDefault="00105F6A" w:rsidP="0005065A">
      <w:pPr>
        <w:pStyle w:val="BodyText"/>
        <w:rPr>
          <w:i/>
        </w:rPr>
      </w:pPr>
    </w:p>
    <w:p w14:paraId="22CCAA0B" w14:textId="77777777" w:rsidR="00105F6A" w:rsidRPr="00A56283" w:rsidRDefault="00105F6A" w:rsidP="0005065A">
      <w:pPr>
        <w:pStyle w:val="BodyText"/>
        <w:rPr>
          <w:i/>
        </w:rPr>
      </w:pPr>
    </w:p>
    <w:p w14:paraId="70B8DDFA" w14:textId="55F33C02" w:rsidR="002652C0" w:rsidRDefault="002652C0" w:rsidP="002652C0">
      <w:pPr>
        <w:rPr>
          <w:b/>
        </w:rPr>
      </w:pPr>
    </w:p>
    <w:p w14:paraId="6F51FB68" w14:textId="77777777" w:rsidR="0006435A" w:rsidRPr="0039618F" w:rsidRDefault="0006435A" w:rsidP="002652C0">
      <w:pPr>
        <w:rPr>
          <w:b/>
        </w:rPr>
      </w:pPr>
    </w:p>
    <w:p w14:paraId="2C5315EB" w14:textId="032E342A" w:rsidR="00DD36C2" w:rsidRDefault="00DD36C2" w:rsidP="002652C0">
      <w:pPr>
        <w:rPr>
          <w:b/>
          <w:bCs/>
          <w:sz w:val="28"/>
          <w:szCs w:val="28"/>
        </w:rPr>
      </w:pPr>
      <w:r w:rsidRPr="00DD36C2">
        <w:rPr>
          <w:b/>
          <w:bCs/>
          <w:sz w:val="28"/>
          <w:szCs w:val="28"/>
        </w:rPr>
        <w:t>Family Proceedings Fees Order 2008</w:t>
      </w:r>
      <w:r w:rsidR="00822F9E">
        <w:rPr>
          <w:b/>
          <w:bCs/>
          <w:sz w:val="28"/>
          <w:szCs w:val="28"/>
        </w:rPr>
        <w:t xml:space="preserve"> No 1054</w:t>
      </w:r>
    </w:p>
    <w:p w14:paraId="58B10A61" w14:textId="3C1FD53D" w:rsidR="0036325C" w:rsidRDefault="0036325C" w:rsidP="002652C0">
      <w:pPr>
        <w:rPr>
          <w:i/>
        </w:rPr>
      </w:pPr>
      <w:r>
        <w:rPr>
          <w:i/>
        </w:rPr>
        <w:t xml:space="preserve">The fees in scope in the Family Proceedings Fees Order include fees such as cases brought forward under the </w:t>
      </w:r>
      <w:r w:rsidRPr="003F18EF">
        <w:rPr>
          <w:i/>
        </w:rPr>
        <w:t>Children Act 1989</w:t>
      </w:r>
      <w:r>
        <w:rPr>
          <w:i/>
        </w:rPr>
        <w:t>, fees relating to divorce, copies of documents and issue fees for certificates or warrants.</w:t>
      </w:r>
    </w:p>
    <w:p w14:paraId="3CA35199" w14:textId="77777777" w:rsidR="00CA25AC" w:rsidRDefault="00CA25AC" w:rsidP="002652C0">
      <w:pPr>
        <w:rPr>
          <w:i/>
        </w:rPr>
      </w:pPr>
    </w:p>
    <w:tbl>
      <w:tblPr>
        <w:tblStyle w:val="TableGrid"/>
        <w:tblW w:w="9582" w:type="dxa"/>
        <w:tblLook w:val="04A0" w:firstRow="1" w:lastRow="0" w:firstColumn="1" w:lastColumn="0" w:noHBand="0" w:noVBand="1"/>
      </w:tblPr>
      <w:tblGrid>
        <w:gridCol w:w="1179"/>
        <w:gridCol w:w="4806"/>
        <w:gridCol w:w="1083"/>
        <w:gridCol w:w="1323"/>
        <w:gridCol w:w="1191"/>
      </w:tblGrid>
      <w:tr w:rsidR="00CA25AC" w14:paraId="1F07C3CD" w14:textId="77777777" w:rsidTr="000D777B">
        <w:tc>
          <w:tcPr>
            <w:tcW w:w="1179" w:type="dxa"/>
            <w:shd w:val="clear" w:color="auto" w:fill="000000" w:themeFill="text1"/>
          </w:tcPr>
          <w:p w14:paraId="3FFD92D8" w14:textId="77777777" w:rsidR="00CA25AC" w:rsidRPr="00054710" w:rsidRDefault="00CA25AC" w:rsidP="00105F6A">
            <w:pPr>
              <w:rPr>
                <w:b/>
                <w:color w:val="EEECE1" w:themeColor="background2"/>
              </w:rPr>
            </w:pPr>
            <w:r w:rsidRPr="00054710">
              <w:rPr>
                <w:b/>
                <w:color w:val="EEECE1" w:themeColor="background2"/>
              </w:rPr>
              <w:t>SI Ref ID</w:t>
            </w:r>
          </w:p>
        </w:tc>
        <w:tc>
          <w:tcPr>
            <w:tcW w:w="4806" w:type="dxa"/>
            <w:shd w:val="clear" w:color="auto" w:fill="000000" w:themeFill="text1"/>
          </w:tcPr>
          <w:p w14:paraId="7DF737AA" w14:textId="77777777" w:rsidR="00CA25AC" w:rsidRPr="00054710" w:rsidRDefault="00CA25AC" w:rsidP="00105F6A">
            <w:pPr>
              <w:rPr>
                <w:b/>
                <w:color w:val="EEECE1" w:themeColor="background2"/>
              </w:rPr>
            </w:pPr>
            <w:r w:rsidRPr="00054710">
              <w:rPr>
                <w:b/>
                <w:color w:val="EEECE1" w:themeColor="background2"/>
              </w:rPr>
              <w:t>Description</w:t>
            </w:r>
          </w:p>
        </w:tc>
        <w:tc>
          <w:tcPr>
            <w:tcW w:w="1083" w:type="dxa"/>
            <w:shd w:val="clear" w:color="auto" w:fill="000000" w:themeFill="text1"/>
          </w:tcPr>
          <w:p w14:paraId="101F74BD" w14:textId="77777777" w:rsidR="00CA25AC" w:rsidRPr="00054710" w:rsidRDefault="00CA25AC" w:rsidP="00105F6A">
            <w:pPr>
              <w:rPr>
                <w:b/>
                <w:color w:val="EEECE1" w:themeColor="background2"/>
              </w:rPr>
            </w:pPr>
            <w:r w:rsidRPr="00054710">
              <w:rPr>
                <w:b/>
                <w:color w:val="EEECE1" w:themeColor="background2"/>
              </w:rPr>
              <w:t>Current</w:t>
            </w:r>
          </w:p>
        </w:tc>
        <w:tc>
          <w:tcPr>
            <w:tcW w:w="1323" w:type="dxa"/>
            <w:shd w:val="clear" w:color="auto" w:fill="000000" w:themeFill="text1"/>
          </w:tcPr>
          <w:p w14:paraId="21CE336E" w14:textId="77777777" w:rsidR="00CA25AC" w:rsidRPr="00054710" w:rsidRDefault="00CA25AC" w:rsidP="00105F6A">
            <w:pPr>
              <w:rPr>
                <w:b/>
                <w:color w:val="EEECE1" w:themeColor="background2"/>
              </w:rPr>
            </w:pPr>
            <w:r w:rsidRPr="00054710">
              <w:rPr>
                <w:b/>
                <w:color w:val="EEECE1" w:themeColor="background2"/>
              </w:rPr>
              <w:t>Proposed</w:t>
            </w:r>
          </w:p>
        </w:tc>
        <w:tc>
          <w:tcPr>
            <w:tcW w:w="1191" w:type="dxa"/>
            <w:shd w:val="clear" w:color="auto" w:fill="000000" w:themeFill="text1"/>
          </w:tcPr>
          <w:p w14:paraId="7E97C259" w14:textId="77777777" w:rsidR="00CA25AC" w:rsidRPr="00054710" w:rsidRDefault="00CA25AC" w:rsidP="00105F6A">
            <w:pPr>
              <w:rPr>
                <w:b/>
                <w:color w:val="EEECE1" w:themeColor="background2"/>
              </w:rPr>
            </w:pPr>
            <w:r w:rsidRPr="00054710">
              <w:rPr>
                <w:b/>
                <w:color w:val="EEECE1" w:themeColor="background2"/>
              </w:rPr>
              <w:t>Increase</w:t>
            </w:r>
          </w:p>
        </w:tc>
      </w:tr>
      <w:tr w:rsidR="00CA25AC" w14:paraId="1EF88D7F" w14:textId="77777777" w:rsidTr="000D777B">
        <w:tc>
          <w:tcPr>
            <w:tcW w:w="1179" w:type="dxa"/>
          </w:tcPr>
          <w:p w14:paraId="07EF3F81" w14:textId="77777777" w:rsidR="00CA25AC" w:rsidRDefault="00CA25AC" w:rsidP="00105F6A">
            <w:r w:rsidRPr="007F4C87">
              <w:t>1.2</w:t>
            </w:r>
          </w:p>
        </w:tc>
        <w:tc>
          <w:tcPr>
            <w:tcW w:w="4806" w:type="dxa"/>
          </w:tcPr>
          <w:p w14:paraId="0063FBE7" w14:textId="77777777" w:rsidR="00CA25AC" w:rsidRDefault="00CA25AC" w:rsidP="00105F6A">
            <w:r w:rsidRPr="007F4C87">
              <w:t>Filing an application for a divorce, nullity or civil partnership dissolution</w:t>
            </w:r>
          </w:p>
        </w:tc>
        <w:tc>
          <w:tcPr>
            <w:tcW w:w="1083" w:type="dxa"/>
          </w:tcPr>
          <w:p w14:paraId="16C37DB3" w14:textId="77777777" w:rsidR="00CA25AC" w:rsidRDefault="00CA25AC" w:rsidP="00AE4001">
            <w:pPr>
              <w:jc w:val="right"/>
            </w:pPr>
            <w:r w:rsidRPr="007F4C87">
              <w:t>£550</w:t>
            </w:r>
          </w:p>
        </w:tc>
        <w:tc>
          <w:tcPr>
            <w:tcW w:w="1323" w:type="dxa"/>
          </w:tcPr>
          <w:p w14:paraId="64B9F905" w14:textId="693C36A7" w:rsidR="00CA25AC" w:rsidRPr="00F77C7B" w:rsidRDefault="00CA25AC" w:rsidP="00AE4001">
            <w:pPr>
              <w:jc w:val="right"/>
            </w:pPr>
            <w:r w:rsidRPr="00F77C7B">
              <w:t>£59</w:t>
            </w:r>
            <w:r w:rsidR="00E011EF" w:rsidRPr="00F77C7B">
              <w:t>3</w:t>
            </w:r>
          </w:p>
        </w:tc>
        <w:tc>
          <w:tcPr>
            <w:tcW w:w="1191" w:type="dxa"/>
          </w:tcPr>
          <w:p w14:paraId="4D93177A" w14:textId="7A2F3A61" w:rsidR="00CA25AC" w:rsidRPr="00F77C7B" w:rsidRDefault="00CA25AC" w:rsidP="00AE4001">
            <w:pPr>
              <w:jc w:val="right"/>
            </w:pPr>
            <w:r w:rsidRPr="00F77C7B">
              <w:t>£4</w:t>
            </w:r>
            <w:r w:rsidR="00E011EF" w:rsidRPr="00F77C7B">
              <w:t>3</w:t>
            </w:r>
          </w:p>
        </w:tc>
      </w:tr>
      <w:tr w:rsidR="00CA25AC" w14:paraId="19C412CB" w14:textId="77777777" w:rsidTr="000D777B">
        <w:tc>
          <w:tcPr>
            <w:tcW w:w="1179" w:type="dxa"/>
          </w:tcPr>
          <w:p w14:paraId="40590360" w14:textId="77777777" w:rsidR="00CA25AC" w:rsidRDefault="00CA25AC" w:rsidP="00105F6A">
            <w:r w:rsidRPr="007F4C87">
              <w:t>1.8</w:t>
            </w:r>
          </w:p>
        </w:tc>
        <w:tc>
          <w:tcPr>
            <w:tcW w:w="4806" w:type="dxa"/>
          </w:tcPr>
          <w:p w14:paraId="31E3433B" w14:textId="77777777" w:rsidR="00CA25AC" w:rsidRDefault="00CA25AC" w:rsidP="00105F6A">
            <w:r w:rsidRPr="007F4C87">
              <w:t>Application for parental order</w:t>
            </w:r>
          </w:p>
        </w:tc>
        <w:tc>
          <w:tcPr>
            <w:tcW w:w="1083" w:type="dxa"/>
          </w:tcPr>
          <w:p w14:paraId="7697019A" w14:textId="77777777" w:rsidR="00CA25AC" w:rsidRDefault="00CA25AC" w:rsidP="00AE4001">
            <w:pPr>
              <w:jc w:val="right"/>
            </w:pPr>
            <w:r w:rsidRPr="007F4C87">
              <w:t>£215</w:t>
            </w:r>
          </w:p>
        </w:tc>
        <w:tc>
          <w:tcPr>
            <w:tcW w:w="1323" w:type="dxa"/>
          </w:tcPr>
          <w:p w14:paraId="1A25629D" w14:textId="77777777" w:rsidR="00CA25AC" w:rsidRDefault="00CA25AC" w:rsidP="00AE4001">
            <w:pPr>
              <w:jc w:val="right"/>
            </w:pPr>
            <w:r w:rsidRPr="007F4C87">
              <w:t>£232</w:t>
            </w:r>
          </w:p>
        </w:tc>
        <w:tc>
          <w:tcPr>
            <w:tcW w:w="1191" w:type="dxa"/>
          </w:tcPr>
          <w:p w14:paraId="2744E9A4" w14:textId="77777777" w:rsidR="00CA25AC" w:rsidRDefault="00CA25AC" w:rsidP="00AE4001">
            <w:pPr>
              <w:jc w:val="right"/>
            </w:pPr>
            <w:r w:rsidRPr="007F4C87">
              <w:t>£17</w:t>
            </w:r>
          </w:p>
        </w:tc>
      </w:tr>
      <w:tr w:rsidR="00CA25AC" w14:paraId="3BEE8578" w14:textId="77777777" w:rsidTr="000D777B">
        <w:tc>
          <w:tcPr>
            <w:tcW w:w="1179" w:type="dxa"/>
          </w:tcPr>
          <w:p w14:paraId="1211C3E6" w14:textId="77777777" w:rsidR="00CA25AC" w:rsidRDefault="00CA25AC" w:rsidP="00105F6A">
            <w:r w:rsidRPr="007F4C87">
              <w:t>2.1a</w:t>
            </w:r>
          </w:p>
        </w:tc>
        <w:tc>
          <w:tcPr>
            <w:tcW w:w="4806" w:type="dxa"/>
          </w:tcPr>
          <w:p w14:paraId="4E951357" w14:textId="77777777" w:rsidR="00CA25AC" w:rsidRDefault="00CA25AC" w:rsidP="00105F6A">
            <w:r w:rsidRPr="007F4C87">
              <w:t xml:space="preserve">Parental responsibility (section 4(1)(c) or (3), 4A(1)(b) </w:t>
            </w:r>
            <w:proofErr w:type="gramStart"/>
            <w:r w:rsidRPr="007F4C87">
              <w:t>or(</w:t>
            </w:r>
            <w:proofErr w:type="gramEnd"/>
            <w:r w:rsidRPr="007F4C87">
              <w:t>3))</w:t>
            </w:r>
          </w:p>
        </w:tc>
        <w:tc>
          <w:tcPr>
            <w:tcW w:w="1083" w:type="dxa"/>
          </w:tcPr>
          <w:p w14:paraId="4813C0B4" w14:textId="77777777" w:rsidR="00CA25AC" w:rsidRDefault="00CA25AC" w:rsidP="00AE4001">
            <w:pPr>
              <w:jc w:val="right"/>
            </w:pPr>
            <w:r w:rsidRPr="007F4C87">
              <w:t>£215</w:t>
            </w:r>
          </w:p>
        </w:tc>
        <w:tc>
          <w:tcPr>
            <w:tcW w:w="1323" w:type="dxa"/>
          </w:tcPr>
          <w:p w14:paraId="38D499E6" w14:textId="77777777" w:rsidR="00CA25AC" w:rsidRDefault="00CA25AC" w:rsidP="00AE4001">
            <w:pPr>
              <w:jc w:val="right"/>
            </w:pPr>
            <w:r w:rsidRPr="007F4C87">
              <w:t>£232</w:t>
            </w:r>
          </w:p>
        </w:tc>
        <w:tc>
          <w:tcPr>
            <w:tcW w:w="1191" w:type="dxa"/>
          </w:tcPr>
          <w:p w14:paraId="4F20E498" w14:textId="77777777" w:rsidR="00CA25AC" w:rsidRDefault="00CA25AC" w:rsidP="00AE4001">
            <w:pPr>
              <w:jc w:val="right"/>
            </w:pPr>
            <w:r w:rsidRPr="007F4C87">
              <w:t>£17</w:t>
            </w:r>
          </w:p>
        </w:tc>
      </w:tr>
      <w:tr w:rsidR="00CA25AC" w14:paraId="54C40889" w14:textId="77777777" w:rsidTr="000D777B">
        <w:tc>
          <w:tcPr>
            <w:tcW w:w="1179" w:type="dxa"/>
          </w:tcPr>
          <w:p w14:paraId="488315CC" w14:textId="77777777" w:rsidR="00CA25AC" w:rsidRDefault="00CA25AC" w:rsidP="00105F6A">
            <w:r w:rsidRPr="007F4C87">
              <w:t>2.1b</w:t>
            </w:r>
          </w:p>
        </w:tc>
        <w:tc>
          <w:tcPr>
            <w:tcW w:w="4806" w:type="dxa"/>
          </w:tcPr>
          <w:p w14:paraId="67E81EB4" w14:textId="77777777" w:rsidR="00CA25AC" w:rsidRDefault="00CA25AC" w:rsidP="00105F6A">
            <w:r w:rsidRPr="007F4C87">
              <w:t>Parental responsibility (section 4ZA(1)(c) or (6))</w:t>
            </w:r>
          </w:p>
        </w:tc>
        <w:tc>
          <w:tcPr>
            <w:tcW w:w="1083" w:type="dxa"/>
          </w:tcPr>
          <w:p w14:paraId="4EEED94C" w14:textId="77777777" w:rsidR="00CA25AC" w:rsidRDefault="00CA25AC" w:rsidP="00AE4001">
            <w:pPr>
              <w:jc w:val="right"/>
            </w:pPr>
            <w:r w:rsidRPr="007F4C87">
              <w:t>£215</w:t>
            </w:r>
          </w:p>
        </w:tc>
        <w:tc>
          <w:tcPr>
            <w:tcW w:w="1323" w:type="dxa"/>
          </w:tcPr>
          <w:p w14:paraId="3C1326C1" w14:textId="77777777" w:rsidR="00CA25AC" w:rsidRDefault="00CA25AC" w:rsidP="00AE4001">
            <w:pPr>
              <w:jc w:val="right"/>
            </w:pPr>
            <w:r w:rsidRPr="007F4C87">
              <w:t>£232</w:t>
            </w:r>
          </w:p>
        </w:tc>
        <w:tc>
          <w:tcPr>
            <w:tcW w:w="1191" w:type="dxa"/>
          </w:tcPr>
          <w:p w14:paraId="45C29467" w14:textId="77777777" w:rsidR="00CA25AC" w:rsidRDefault="00CA25AC" w:rsidP="00AE4001">
            <w:pPr>
              <w:jc w:val="right"/>
            </w:pPr>
            <w:r w:rsidRPr="007F4C87">
              <w:t>£17</w:t>
            </w:r>
          </w:p>
        </w:tc>
      </w:tr>
      <w:tr w:rsidR="00CA25AC" w14:paraId="75854A5D" w14:textId="77777777" w:rsidTr="000D777B">
        <w:tc>
          <w:tcPr>
            <w:tcW w:w="1179" w:type="dxa"/>
          </w:tcPr>
          <w:p w14:paraId="7F8856CB" w14:textId="77777777" w:rsidR="00CA25AC" w:rsidRDefault="00CA25AC" w:rsidP="00105F6A">
            <w:r w:rsidRPr="007F4C87">
              <w:t>2.1c</w:t>
            </w:r>
          </w:p>
        </w:tc>
        <w:tc>
          <w:tcPr>
            <w:tcW w:w="4806" w:type="dxa"/>
          </w:tcPr>
          <w:p w14:paraId="2C76A095" w14:textId="77777777" w:rsidR="00CA25AC" w:rsidRDefault="00CA25AC" w:rsidP="00105F6A">
            <w:r w:rsidRPr="007F4C87">
              <w:t>Guardians (section 5(1) or 6(7))</w:t>
            </w:r>
          </w:p>
        </w:tc>
        <w:tc>
          <w:tcPr>
            <w:tcW w:w="1083" w:type="dxa"/>
          </w:tcPr>
          <w:p w14:paraId="5DFB5143" w14:textId="77777777" w:rsidR="00CA25AC" w:rsidRDefault="00CA25AC" w:rsidP="00AE4001">
            <w:pPr>
              <w:jc w:val="right"/>
            </w:pPr>
            <w:r w:rsidRPr="007F4C87">
              <w:t>£215</w:t>
            </w:r>
          </w:p>
        </w:tc>
        <w:tc>
          <w:tcPr>
            <w:tcW w:w="1323" w:type="dxa"/>
          </w:tcPr>
          <w:p w14:paraId="0D696F14" w14:textId="77777777" w:rsidR="00CA25AC" w:rsidRDefault="00CA25AC" w:rsidP="00AE4001">
            <w:pPr>
              <w:jc w:val="right"/>
            </w:pPr>
            <w:r w:rsidRPr="007F4C87">
              <w:t>£232</w:t>
            </w:r>
          </w:p>
        </w:tc>
        <w:tc>
          <w:tcPr>
            <w:tcW w:w="1191" w:type="dxa"/>
          </w:tcPr>
          <w:p w14:paraId="20D70FC9" w14:textId="77777777" w:rsidR="00CA25AC" w:rsidRDefault="00CA25AC" w:rsidP="00AE4001">
            <w:pPr>
              <w:jc w:val="right"/>
            </w:pPr>
            <w:r w:rsidRPr="007F4C87">
              <w:t>£17</w:t>
            </w:r>
          </w:p>
        </w:tc>
      </w:tr>
      <w:tr w:rsidR="00CA25AC" w14:paraId="042EA310" w14:textId="77777777" w:rsidTr="000D777B">
        <w:tc>
          <w:tcPr>
            <w:tcW w:w="1179" w:type="dxa"/>
          </w:tcPr>
          <w:p w14:paraId="1582C268" w14:textId="77777777" w:rsidR="00CA25AC" w:rsidRDefault="00CA25AC" w:rsidP="00105F6A">
            <w:r w:rsidRPr="007F4C87">
              <w:t>2.1d</w:t>
            </w:r>
          </w:p>
        </w:tc>
        <w:tc>
          <w:tcPr>
            <w:tcW w:w="4806" w:type="dxa"/>
          </w:tcPr>
          <w:p w14:paraId="5468C38E" w14:textId="77777777" w:rsidR="00CA25AC" w:rsidRDefault="00CA25AC" w:rsidP="00105F6A">
            <w:r w:rsidRPr="007F4C87">
              <w:t>Section 8 orders (section 10(1) or (2))</w:t>
            </w:r>
          </w:p>
        </w:tc>
        <w:tc>
          <w:tcPr>
            <w:tcW w:w="1083" w:type="dxa"/>
          </w:tcPr>
          <w:p w14:paraId="52230C21" w14:textId="77777777" w:rsidR="00CA25AC" w:rsidRDefault="00CA25AC" w:rsidP="00AE4001">
            <w:pPr>
              <w:jc w:val="right"/>
            </w:pPr>
            <w:r w:rsidRPr="007F4C87">
              <w:t>£215</w:t>
            </w:r>
          </w:p>
        </w:tc>
        <w:tc>
          <w:tcPr>
            <w:tcW w:w="1323" w:type="dxa"/>
          </w:tcPr>
          <w:p w14:paraId="25953D42" w14:textId="77777777" w:rsidR="00CA25AC" w:rsidRDefault="00CA25AC" w:rsidP="00AE4001">
            <w:pPr>
              <w:jc w:val="right"/>
            </w:pPr>
            <w:r w:rsidRPr="007F4C87">
              <w:t>£232</w:t>
            </w:r>
          </w:p>
        </w:tc>
        <w:tc>
          <w:tcPr>
            <w:tcW w:w="1191" w:type="dxa"/>
          </w:tcPr>
          <w:p w14:paraId="695BDCB3" w14:textId="77777777" w:rsidR="00CA25AC" w:rsidRDefault="00CA25AC" w:rsidP="00AE4001">
            <w:pPr>
              <w:jc w:val="right"/>
            </w:pPr>
            <w:r w:rsidRPr="007F4C87">
              <w:t>£17</w:t>
            </w:r>
          </w:p>
        </w:tc>
      </w:tr>
      <w:tr w:rsidR="00CA25AC" w14:paraId="26F34ACE" w14:textId="77777777" w:rsidTr="000D777B">
        <w:tc>
          <w:tcPr>
            <w:tcW w:w="1179" w:type="dxa"/>
          </w:tcPr>
          <w:p w14:paraId="0C323CBC" w14:textId="77777777" w:rsidR="00CA25AC" w:rsidRDefault="00CA25AC" w:rsidP="00105F6A">
            <w:r w:rsidRPr="007F4C87">
              <w:t>2.1e</w:t>
            </w:r>
          </w:p>
        </w:tc>
        <w:tc>
          <w:tcPr>
            <w:tcW w:w="4806" w:type="dxa"/>
          </w:tcPr>
          <w:p w14:paraId="7E50BA4E" w14:textId="77777777" w:rsidR="00CA25AC" w:rsidRDefault="00CA25AC" w:rsidP="00105F6A">
            <w:r w:rsidRPr="007F4C87">
              <w:t>Enforcement orders (section 11</w:t>
            </w:r>
            <w:proofErr w:type="gramStart"/>
            <w:r w:rsidRPr="007F4C87">
              <w:t>J(</w:t>
            </w:r>
            <w:proofErr w:type="gramEnd"/>
            <w:r w:rsidRPr="007F4C87">
              <w:t>2))</w:t>
            </w:r>
          </w:p>
        </w:tc>
        <w:tc>
          <w:tcPr>
            <w:tcW w:w="1083" w:type="dxa"/>
          </w:tcPr>
          <w:p w14:paraId="7A084382" w14:textId="77777777" w:rsidR="00CA25AC" w:rsidRDefault="00CA25AC" w:rsidP="00AE4001">
            <w:pPr>
              <w:jc w:val="right"/>
            </w:pPr>
            <w:r w:rsidRPr="007F4C87">
              <w:t>£215</w:t>
            </w:r>
          </w:p>
        </w:tc>
        <w:tc>
          <w:tcPr>
            <w:tcW w:w="1323" w:type="dxa"/>
          </w:tcPr>
          <w:p w14:paraId="2A12D820" w14:textId="77777777" w:rsidR="00CA25AC" w:rsidRDefault="00CA25AC" w:rsidP="00AE4001">
            <w:pPr>
              <w:jc w:val="right"/>
            </w:pPr>
            <w:r w:rsidRPr="007F4C87">
              <w:t>£232</w:t>
            </w:r>
          </w:p>
        </w:tc>
        <w:tc>
          <w:tcPr>
            <w:tcW w:w="1191" w:type="dxa"/>
          </w:tcPr>
          <w:p w14:paraId="2FFA0DE1" w14:textId="77777777" w:rsidR="00CA25AC" w:rsidRDefault="00CA25AC" w:rsidP="00AE4001">
            <w:pPr>
              <w:jc w:val="right"/>
            </w:pPr>
            <w:r w:rsidRPr="007F4C87">
              <w:t>£17</w:t>
            </w:r>
          </w:p>
        </w:tc>
      </w:tr>
      <w:tr w:rsidR="00CA25AC" w14:paraId="464FD129" w14:textId="77777777" w:rsidTr="000D777B">
        <w:tc>
          <w:tcPr>
            <w:tcW w:w="1179" w:type="dxa"/>
          </w:tcPr>
          <w:p w14:paraId="5E89810C" w14:textId="77777777" w:rsidR="00CA25AC" w:rsidRDefault="00CA25AC" w:rsidP="00105F6A">
            <w:r w:rsidRPr="007F4C87">
              <w:t>2.1f</w:t>
            </w:r>
          </w:p>
        </w:tc>
        <w:tc>
          <w:tcPr>
            <w:tcW w:w="4806" w:type="dxa"/>
          </w:tcPr>
          <w:p w14:paraId="5C289CBF" w14:textId="77777777" w:rsidR="00CA25AC" w:rsidRDefault="00CA25AC" w:rsidP="00105F6A">
            <w:r w:rsidRPr="007F4C87">
              <w:t>Compensation for financial loss (section 11</w:t>
            </w:r>
            <w:proofErr w:type="gramStart"/>
            <w:r w:rsidRPr="007F4C87">
              <w:t>O(</w:t>
            </w:r>
            <w:proofErr w:type="gramEnd"/>
            <w:r w:rsidRPr="007F4C87">
              <w:t>2))</w:t>
            </w:r>
          </w:p>
        </w:tc>
        <w:tc>
          <w:tcPr>
            <w:tcW w:w="1083" w:type="dxa"/>
          </w:tcPr>
          <w:p w14:paraId="1D12411A" w14:textId="77777777" w:rsidR="00CA25AC" w:rsidRDefault="00CA25AC" w:rsidP="00AE4001">
            <w:pPr>
              <w:jc w:val="right"/>
            </w:pPr>
            <w:r w:rsidRPr="007F4C87">
              <w:t>£215</w:t>
            </w:r>
          </w:p>
        </w:tc>
        <w:tc>
          <w:tcPr>
            <w:tcW w:w="1323" w:type="dxa"/>
          </w:tcPr>
          <w:p w14:paraId="605843A2" w14:textId="77777777" w:rsidR="00CA25AC" w:rsidRDefault="00CA25AC" w:rsidP="00AE4001">
            <w:pPr>
              <w:jc w:val="right"/>
            </w:pPr>
            <w:r w:rsidRPr="007F4C87">
              <w:t>£232</w:t>
            </w:r>
          </w:p>
        </w:tc>
        <w:tc>
          <w:tcPr>
            <w:tcW w:w="1191" w:type="dxa"/>
          </w:tcPr>
          <w:p w14:paraId="352778BE" w14:textId="77777777" w:rsidR="00CA25AC" w:rsidRDefault="00CA25AC" w:rsidP="00AE4001">
            <w:pPr>
              <w:jc w:val="right"/>
            </w:pPr>
            <w:r w:rsidRPr="007F4C87">
              <w:t>£17</w:t>
            </w:r>
          </w:p>
        </w:tc>
      </w:tr>
      <w:tr w:rsidR="00CA25AC" w14:paraId="3710B341" w14:textId="77777777" w:rsidTr="000D777B">
        <w:tc>
          <w:tcPr>
            <w:tcW w:w="1179" w:type="dxa"/>
          </w:tcPr>
          <w:p w14:paraId="7F17FE50" w14:textId="77777777" w:rsidR="00CA25AC" w:rsidRDefault="00CA25AC" w:rsidP="00105F6A">
            <w:r w:rsidRPr="007F4C87">
              <w:t>2.1g</w:t>
            </w:r>
          </w:p>
        </w:tc>
        <w:tc>
          <w:tcPr>
            <w:tcW w:w="4806" w:type="dxa"/>
          </w:tcPr>
          <w:p w14:paraId="56843CE5" w14:textId="77777777" w:rsidR="00CA25AC" w:rsidRDefault="00CA25AC" w:rsidP="00105F6A">
            <w:r w:rsidRPr="007F4C87">
              <w:t>Change of child</w:t>
            </w:r>
            <w:r>
              <w:t>’</w:t>
            </w:r>
            <w:r w:rsidRPr="007F4C87">
              <w:t>s surname or removal from jurisdiction while residence order in force (section 13(1))</w:t>
            </w:r>
          </w:p>
        </w:tc>
        <w:tc>
          <w:tcPr>
            <w:tcW w:w="1083" w:type="dxa"/>
          </w:tcPr>
          <w:p w14:paraId="2A210485" w14:textId="77777777" w:rsidR="00CA25AC" w:rsidRDefault="00CA25AC" w:rsidP="00AE4001">
            <w:pPr>
              <w:jc w:val="right"/>
            </w:pPr>
            <w:r w:rsidRPr="007F4C87">
              <w:t>£215</w:t>
            </w:r>
          </w:p>
        </w:tc>
        <w:tc>
          <w:tcPr>
            <w:tcW w:w="1323" w:type="dxa"/>
          </w:tcPr>
          <w:p w14:paraId="4FB7284C" w14:textId="77777777" w:rsidR="00CA25AC" w:rsidRDefault="00CA25AC" w:rsidP="00AE4001">
            <w:pPr>
              <w:jc w:val="right"/>
            </w:pPr>
            <w:r w:rsidRPr="007F4C87">
              <w:t>£232</w:t>
            </w:r>
          </w:p>
        </w:tc>
        <w:tc>
          <w:tcPr>
            <w:tcW w:w="1191" w:type="dxa"/>
          </w:tcPr>
          <w:p w14:paraId="4091DE7A" w14:textId="77777777" w:rsidR="00CA25AC" w:rsidRDefault="00CA25AC" w:rsidP="00AE4001">
            <w:pPr>
              <w:jc w:val="right"/>
            </w:pPr>
            <w:r w:rsidRPr="007F4C87">
              <w:t>£17</w:t>
            </w:r>
          </w:p>
        </w:tc>
      </w:tr>
      <w:tr w:rsidR="00CA25AC" w14:paraId="34C77928" w14:textId="77777777" w:rsidTr="000D777B">
        <w:tc>
          <w:tcPr>
            <w:tcW w:w="1179" w:type="dxa"/>
          </w:tcPr>
          <w:p w14:paraId="16B9A2A7" w14:textId="77777777" w:rsidR="00CA25AC" w:rsidRPr="007F4C87" w:rsidRDefault="00CA25AC" w:rsidP="00105F6A">
            <w:r>
              <w:t>2.1h</w:t>
            </w:r>
          </w:p>
        </w:tc>
        <w:tc>
          <w:tcPr>
            <w:tcW w:w="4806" w:type="dxa"/>
          </w:tcPr>
          <w:p w14:paraId="6AA19291" w14:textId="77777777" w:rsidR="00CA25AC" w:rsidRPr="007F4C87" w:rsidRDefault="00CA25AC" w:rsidP="00105F6A">
            <w:r w:rsidRPr="007F4C87">
              <w:t>Special guardianship orders (section 14</w:t>
            </w:r>
            <w:proofErr w:type="gramStart"/>
            <w:r w:rsidRPr="007F4C87">
              <w:t>A(</w:t>
            </w:r>
            <w:proofErr w:type="gramEnd"/>
            <w:r w:rsidRPr="007F4C87">
              <w:t>3) or (6)(a), 14C(3) or 14D(1))</w:t>
            </w:r>
          </w:p>
        </w:tc>
        <w:tc>
          <w:tcPr>
            <w:tcW w:w="1083" w:type="dxa"/>
          </w:tcPr>
          <w:p w14:paraId="5380C3D4" w14:textId="77777777" w:rsidR="00CA25AC" w:rsidRPr="007F4C87" w:rsidRDefault="00CA25AC" w:rsidP="00AE4001">
            <w:pPr>
              <w:jc w:val="right"/>
            </w:pPr>
            <w:r w:rsidRPr="007F4C87">
              <w:t>£215</w:t>
            </w:r>
          </w:p>
        </w:tc>
        <w:tc>
          <w:tcPr>
            <w:tcW w:w="1323" w:type="dxa"/>
          </w:tcPr>
          <w:p w14:paraId="0DE57F39" w14:textId="77777777" w:rsidR="00CA25AC" w:rsidRPr="007F4C87" w:rsidRDefault="00CA25AC" w:rsidP="00AE4001">
            <w:pPr>
              <w:jc w:val="right"/>
            </w:pPr>
            <w:r w:rsidRPr="007F4C87">
              <w:t>£232</w:t>
            </w:r>
          </w:p>
        </w:tc>
        <w:tc>
          <w:tcPr>
            <w:tcW w:w="1191" w:type="dxa"/>
          </w:tcPr>
          <w:p w14:paraId="384E7411" w14:textId="77777777" w:rsidR="00CA25AC" w:rsidRPr="007F4C87" w:rsidRDefault="00CA25AC" w:rsidP="00AE4001">
            <w:pPr>
              <w:jc w:val="right"/>
            </w:pPr>
            <w:r w:rsidRPr="007F4C87">
              <w:t>£17</w:t>
            </w:r>
          </w:p>
        </w:tc>
      </w:tr>
      <w:tr w:rsidR="00CA25AC" w14:paraId="2A49DFE3" w14:textId="77777777" w:rsidTr="000D777B">
        <w:tc>
          <w:tcPr>
            <w:tcW w:w="1179" w:type="dxa"/>
          </w:tcPr>
          <w:p w14:paraId="637FCA39" w14:textId="77777777" w:rsidR="00CA25AC" w:rsidRDefault="00CA25AC" w:rsidP="00105F6A">
            <w:r w:rsidRPr="007F4C87">
              <w:t>2.1i</w:t>
            </w:r>
          </w:p>
        </w:tc>
        <w:tc>
          <w:tcPr>
            <w:tcW w:w="4806" w:type="dxa"/>
          </w:tcPr>
          <w:p w14:paraId="387DCC9E" w14:textId="77777777" w:rsidR="00CA25AC" w:rsidRDefault="00CA25AC" w:rsidP="00105F6A">
            <w:r w:rsidRPr="007F4C87">
              <w:t xml:space="preserve">Secure accommodation order (section 25) </w:t>
            </w:r>
            <w:r>
              <w:t>–</w:t>
            </w:r>
            <w:r w:rsidRPr="007F4C87">
              <w:t xml:space="preserve"> England</w:t>
            </w:r>
          </w:p>
        </w:tc>
        <w:tc>
          <w:tcPr>
            <w:tcW w:w="1083" w:type="dxa"/>
          </w:tcPr>
          <w:p w14:paraId="4D1F900E" w14:textId="77777777" w:rsidR="00CA25AC" w:rsidRDefault="00CA25AC" w:rsidP="00AE4001">
            <w:pPr>
              <w:jc w:val="right"/>
            </w:pPr>
            <w:r w:rsidRPr="007F4C87">
              <w:t>£215</w:t>
            </w:r>
          </w:p>
        </w:tc>
        <w:tc>
          <w:tcPr>
            <w:tcW w:w="1323" w:type="dxa"/>
          </w:tcPr>
          <w:p w14:paraId="4EE64DF0" w14:textId="77777777" w:rsidR="00CA25AC" w:rsidRDefault="00CA25AC" w:rsidP="00AE4001">
            <w:pPr>
              <w:jc w:val="right"/>
            </w:pPr>
            <w:r w:rsidRPr="007F4C87">
              <w:t>£232</w:t>
            </w:r>
          </w:p>
        </w:tc>
        <w:tc>
          <w:tcPr>
            <w:tcW w:w="1191" w:type="dxa"/>
          </w:tcPr>
          <w:p w14:paraId="7448DCC1" w14:textId="77777777" w:rsidR="00CA25AC" w:rsidRDefault="00CA25AC" w:rsidP="00AE4001">
            <w:pPr>
              <w:jc w:val="right"/>
            </w:pPr>
            <w:r w:rsidRPr="007F4C87">
              <w:t>£17</w:t>
            </w:r>
          </w:p>
        </w:tc>
      </w:tr>
      <w:tr w:rsidR="00CA25AC" w14:paraId="50A86829" w14:textId="77777777" w:rsidTr="000D777B">
        <w:tc>
          <w:tcPr>
            <w:tcW w:w="1179" w:type="dxa"/>
          </w:tcPr>
          <w:p w14:paraId="6F1EC008" w14:textId="77777777" w:rsidR="00CA25AC" w:rsidRDefault="00CA25AC" w:rsidP="00105F6A">
            <w:r w:rsidRPr="007F4C87">
              <w:t>2.1ia</w:t>
            </w:r>
          </w:p>
        </w:tc>
        <w:tc>
          <w:tcPr>
            <w:tcW w:w="4806" w:type="dxa"/>
          </w:tcPr>
          <w:p w14:paraId="09B9F86F" w14:textId="77777777" w:rsidR="00CA25AC" w:rsidRDefault="00CA25AC" w:rsidP="00105F6A">
            <w:r w:rsidRPr="007F4C87">
              <w:t xml:space="preserve">Secure accommodation order (section 25) </w:t>
            </w:r>
            <w:r>
              <w:t>–</w:t>
            </w:r>
            <w:r w:rsidRPr="007F4C87">
              <w:t xml:space="preserve"> Wales</w:t>
            </w:r>
          </w:p>
        </w:tc>
        <w:tc>
          <w:tcPr>
            <w:tcW w:w="1083" w:type="dxa"/>
          </w:tcPr>
          <w:p w14:paraId="3E7C61D0" w14:textId="77777777" w:rsidR="00CA25AC" w:rsidRDefault="00CA25AC" w:rsidP="00AE4001">
            <w:pPr>
              <w:jc w:val="right"/>
            </w:pPr>
            <w:r w:rsidRPr="007F4C87">
              <w:t>£215</w:t>
            </w:r>
          </w:p>
        </w:tc>
        <w:tc>
          <w:tcPr>
            <w:tcW w:w="1323" w:type="dxa"/>
          </w:tcPr>
          <w:p w14:paraId="44C137D6" w14:textId="77777777" w:rsidR="00CA25AC" w:rsidRDefault="00CA25AC" w:rsidP="00AE4001">
            <w:pPr>
              <w:jc w:val="right"/>
            </w:pPr>
            <w:r w:rsidRPr="007F4C87">
              <w:t>£232</w:t>
            </w:r>
          </w:p>
        </w:tc>
        <w:tc>
          <w:tcPr>
            <w:tcW w:w="1191" w:type="dxa"/>
          </w:tcPr>
          <w:p w14:paraId="4387ED53" w14:textId="77777777" w:rsidR="00CA25AC" w:rsidRDefault="00CA25AC" w:rsidP="00AE4001">
            <w:pPr>
              <w:jc w:val="right"/>
            </w:pPr>
            <w:r w:rsidRPr="007F4C87">
              <w:t>£17</w:t>
            </w:r>
          </w:p>
        </w:tc>
      </w:tr>
      <w:tr w:rsidR="00CA25AC" w14:paraId="5F40DDB5" w14:textId="77777777" w:rsidTr="000D777B">
        <w:tc>
          <w:tcPr>
            <w:tcW w:w="1179" w:type="dxa"/>
          </w:tcPr>
          <w:p w14:paraId="67B0D305" w14:textId="77777777" w:rsidR="00CA25AC" w:rsidRDefault="00CA25AC" w:rsidP="00105F6A">
            <w:r w:rsidRPr="007F4C87">
              <w:t>2.1j</w:t>
            </w:r>
          </w:p>
        </w:tc>
        <w:tc>
          <w:tcPr>
            <w:tcW w:w="4806" w:type="dxa"/>
          </w:tcPr>
          <w:p w14:paraId="059C56C3" w14:textId="77777777" w:rsidR="00CA25AC" w:rsidRDefault="00CA25AC" w:rsidP="00105F6A">
            <w:r w:rsidRPr="007F4C87">
              <w:t>Change of child</w:t>
            </w:r>
            <w:r>
              <w:t>’</w:t>
            </w:r>
            <w:r w:rsidRPr="007F4C87">
              <w:t>s surname or removal from jurisdiction while care order in force (section 33(7))</w:t>
            </w:r>
          </w:p>
        </w:tc>
        <w:tc>
          <w:tcPr>
            <w:tcW w:w="1083" w:type="dxa"/>
          </w:tcPr>
          <w:p w14:paraId="59B9388D" w14:textId="77777777" w:rsidR="00CA25AC" w:rsidRDefault="00CA25AC" w:rsidP="00AE4001">
            <w:pPr>
              <w:jc w:val="right"/>
            </w:pPr>
            <w:r w:rsidRPr="007F4C87">
              <w:t>£215</w:t>
            </w:r>
          </w:p>
        </w:tc>
        <w:tc>
          <w:tcPr>
            <w:tcW w:w="1323" w:type="dxa"/>
          </w:tcPr>
          <w:p w14:paraId="31BB5E87" w14:textId="77777777" w:rsidR="00CA25AC" w:rsidRDefault="00CA25AC" w:rsidP="00AE4001">
            <w:pPr>
              <w:jc w:val="right"/>
            </w:pPr>
            <w:r w:rsidRPr="007F4C87">
              <w:t>£232</w:t>
            </w:r>
          </w:p>
        </w:tc>
        <w:tc>
          <w:tcPr>
            <w:tcW w:w="1191" w:type="dxa"/>
          </w:tcPr>
          <w:p w14:paraId="7C262AB2" w14:textId="77777777" w:rsidR="00CA25AC" w:rsidRDefault="00CA25AC" w:rsidP="00AE4001">
            <w:pPr>
              <w:jc w:val="right"/>
            </w:pPr>
            <w:r w:rsidRPr="007F4C87">
              <w:t>£17</w:t>
            </w:r>
          </w:p>
        </w:tc>
      </w:tr>
      <w:tr w:rsidR="00CA25AC" w14:paraId="2217C843" w14:textId="77777777" w:rsidTr="000D777B">
        <w:tc>
          <w:tcPr>
            <w:tcW w:w="1179" w:type="dxa"/>
          </w:tcPr>
          <w:p w14:paraId="56864A16" w14:textId="77777777" w:rsidR="00CA25AC" w:rsidRDefault="00CA25AC" w:rsidP="00105F6A">
            <w:r w:rsidRPr="007F4C87">
              <w:t>2.1k</w:t>
            </w:r>
          </w:p>
        </w:tc>
        <w:tc>
          <w:tcPr>
            <w:tcW w:w="4806" w:type="dxa"/>
          </w:tcPr>
          <w:p w14:paraId="78D505F4" w14:textId="77777777" w:rsidR="00CA25AC" w:rsidRDefault="00CA25AC" w:rsidP="00105F6A">
            <w:r w:rsidRPr="007F4C87">
              <w:t>Contact with child in care (section 34(2), (3), (4) or (9))</w:t>
            </w:r>
          </w:p>
        </w:tc>
        <w:tc>
          <w:tcPr>
            <w:tcW w:w="1083" w:type="dxa"/>
          </w:tcPr>
          <w:p w14:paraId="1F526B49" w14:textId="77777777" w:rsidR="00CA25AC" w:rsidRDefault="00CA25AC" w:rsidP="00AE4001">
            <w:pPr>
              <w:jc w:val="right"/>
            </w:pPr>
            <w:r w:rsidRPr="007F4C87">
              <w:t>£215</w:t>
            </w:r>
          </w:p>
        </w:tc>
        <w:tc>
          <w:tcPr>
            <w:tcW w:w="1323" w:type="dxa"/>
          </w:tcPr>
          <w:p w14:paraId="37EA9CEC" w14:textId="77777777" w:rsidR="00CA25AC" w:rsidRDefault="00CA25AC" w:rsidP="00AE4001">
            <w:pPr>
              <w:jc w:val="right"/>
            </w:pPr>
            <w:r w:rsidRPr="007F4C87">
              <w:t>£232</w:t>
            </w:r>
          </w:p>
        </w:tc>
        <w:tc>
          <w:tcPr>
            <w:tcW w:w="1191" w:type="dxa"/>
          </w:tcPr>
          <w:p w14:paraId="3E92D590" w14:textId="77777777" w:rsidR="00CA25AC" w:rsidRDefault="00CA25AC" w:rsidP="00AE4001">
            <w:pPr>
              <w:jc w:val="right"/>
            </w:pPr>
            <w:r w:rsidRPr="007F4C87">
              <w:t>£17</w:t>
            </w:r>
          </w:p>
        </w:tc>
      </w:tr>
      <w:tr w:rsidR="00CA25AC" w14:paraId="5046C4B7" w14:textId="77777777" w:rsidTr="000D777B">
        <w:tc>
          <w:tcPr>
            <w:tcW w:w="1179" w:type="dxa"/>
          </w:tcPr>
          <w:p w14:paraId="056A68BE" w14:textId="77777777" w:rsidR="00CA25AC" w:rsidRDefault="00CA25AC" w:rsidP="00105F6A">
            <w:r w:rsidRPr="007F4C87">
              <w:t>2.1l</w:t>
            </w:r>
          </w:p>
        </w:tc>
        <w:tc>
          <w:tcPr>
            <w:tcW w:w="4806" w:type="dxa"/>
          </w:tcPr>
          <w:p w14:paraId="5E40EF8D" w14:textId="77777777" w:rsidR="00CA25AC" w:rsidRDefault="00CA25AC" w:rsidP="00105F6A">
            <w:r w:rsidRPr="007F4C87">
              <w:t>Education supervision order (section 36(1))</w:t>
            </w:r>
          </w:p>
        </w:tc>
        <w:tc>
          <w:tcPr>
            <w:tcW w:w="1083" w:type="dxa"/>
          </w:tcPr>
          <w:p w14:paraId="7C32ECB4" w14:textId="77777777" w:rsidR="00CA25AC" w:rsidRDefault="00CA25AC" w:rsidP="00AE4001">
            <w:pPr>
              <w:jc w:val="right"/>
            </w:pPr>
            <w:r w:rsidRPr="007F4C87">
              <w:t>£215</w:t>
            </w:r>
          </w:p>
        </w:tc>
        <w:tc>
          <w:tcPr>
            <w:tcW w:w="1323" w:type="dxa"/>
          </w:tcPr>
          <w:p w14:paraId="48AFB897" w14:textId="77777777" w:rsidR="00CA25AC" w:rsidRDefault="00CA25AC" w:rsidP="00AE4001">
            <w:pPr>
              <w:jc w:val="right"/>
            </w:pPr>
            <w:r w:rsidRPr="007F4C87">
              <w:t>£232</w:t>
            </w:r>
          </w:p>
        </w:tc>
        <w:tc>
          <w:tcPr>
            <w:tcW w:w="1191" w:type="dxa"/>
          </w:tcPr>
          <w:p w14:paraId="184954CC" w14:textId="77777777" w:rsidR="00CA25AC" w:rsidRDefault="00CA25AC" w:rsidP="00AE4001">
            <w:pPr>
              <w:jc w:val="right"/>
            </w:pPr>
            <w:r w:rsidRPr="007F4C87">
              <w:t>£17</w:t>
            </w:r>
          </w:p>
        </w:tc>
      </w:tr>
      <w:tr w:rsidR="00CA25AC" w14:paraId="777637BE" w14:textId="77777777" w:rsidTr="000D777B">
        <w:tc>
          <w:tcPr>
            <w:tcW w:w="1179" w:type="dxa"/>
          </w:tcPr>
          <w:p w14:paraId="45F57992" w14:textId="77777777" w:rsidR="00CA25AC" w:rsidRDefault="00CA25AC" w:rsidP="00105F6A">
            <w:r w:rsidRPr="007F4C87">
              <w:t>2.1m</w:t>
            </w:r>
          </w:p>
        </w:tc>
        <w:tc>
          <w:tcPr>
            <w:tcW w:w="4806" w:type="dxa"/>
          </w:tcPr>
          <w:p w14:paraId="7545AEC0" w14:textId="77777777" w:rsidR="00CA25AC" w:rsidRDefault="00CA25AC" w:rsidP="00105F6A">
            <w:r w:rsidRPr="007F4C87">
              <w:t>Variation or discharge etc of care and supervision orders (section 39)</w:t>
            </w:r>
          </w:p>
        </w:tc>
        <w:tc>
          <w:tcPr>
            <w:tcW w:w="1083" w:type="dxa"/>
          </w:tcPr>
          <w:p w14:paraId="0D4DFE5A" w14:textId="77777777" w:rsidR="00CA25AC" w:rsidRDefault="00CA25AC" w:rsidP="00AE4001">
            <w:pPr>
              <w:jc w:val="right"/>
            </w:pPr>
            <w:r w:rsidRPr="007F4C87">
              <w:t>£215</w:t>
            </w:r>
          </w:p>
        </w:tc>
        <w:tc>
          <w:tcPr>
            <w:tcW w:w="1323" w:type="dxa"/>
          </w:tcPr>
          <w:p w14:paraId="04238D41" w14:textId="77777777" w:rsidR="00CA25AC" w:rsidRDefault="00CA25AC" w:rsidP="00AE4001">
            <w:pPr>
              <w:jc w:val="right"/>
            </w:pPr>
            <w:r w:rsidRPr="007F4C87">
              <w:t>£232</w:t>
            </w:r>
          </w:p>
        </w:tc>
        <w:tc>
          <w:tcPr>
            <w:tcW w:w="1191" w:type="dxa"/>
          </w:tcPr>
          <w:p w14:paraId="62EE9FD2" w14:textId="77777777" w:rsidR="00CA25AC" w:rsidRDefault="00CA25AC" w:rsidP="00AE4001">
            <w:pPr>
              <w:jc w:val="right"/>
            </w:pPr>
            <w:r w:rsidRPr="007F4C87">
              <w:t>£17</w:t>
            </w:r>
          </w:p>
        </w:tc>
      </w:tr>
      <w:tr w:rsidR="00CA25AC" w14:paraId="2D1DAFD4" w14:textId="77777777" w:rsidTr="000D777B">
        <w:tc>
          <w:tcPr>
            <w:tcW w:w="1179" w:type="dxa"/>
          </w:tcPr>
          <w:p w14:paraId="0D4568EA" w14:textId="77777777" w:rsidR="00CA25AC" w:rsidRDefault="00CA25AC" w:rsidP="00105F6A">
            <w:r w:rsidRPr="007F4C87">
              <w:t>2.1n</w:t>
            </w:r>
          </w:p>
        </w:tc>
        <w:tc>
          <w:tcPr>
            <w:tcW w:w="4806" w:type="dxa"/>
          </w:tcPr>
          <w:p w14:paraId="3AD69A45" w14:textId="77777777" w:rsidR="00CA25AC" w:rsidRDefault="00CA25AC" w:rsidP="00105F6A">
            <w:r w:rsidRPr="007F4C87">
              <w:t>Child assessment order (section 43(1))</w:t>
            </w:r>
          </w:p>
        </w:tc>
        <w:tc>
          <w:tcPr>
            <w:tcW w:w="1083" w:type="dxa"/>
          </w:tcPr>
          <w:p w14:paraId="55E92AEC" w14:textId="77777777" w:rsidR="00CA25AC" w:rsidRDefault="00CA25AC" w:rsidP="00AE4001">
            <w:pPr>
              <w:jc w:val="right"/>
            </w:pPr>
            <w:r w:rsidRPr="007F4C87">
              <w:t>£215</w:t>
            </w:r>
          </w:p>
        </w:tc>
        <w:tc>
          <w:tcPr>
            <w:tcW w:w="1323" w:type="dxa"/>
          </w:tcPr>
          <w:p w14:paraId="6D20821D" w14:textId="77777777" w:rsidR="00CA25AC" w:rsidRDefault="00CA25AC" w:rsidP="00AE4001">
            <w:pPr>
              <w:jc w:val="right"/>
            </w:pPr>
            <w:r w:rsidRPr="007F4C87">
              <w:t>£232</w:t>
            </w:r>
          </w:p>
        </w:tc>
        <w:tc>
          <w:tcPr>
            <w:tcW w:w="1191" w:type="dxa"/>
          </w:tcPr>
          <w:p w14:paraId="132C7F56" w14:textId="77777777" w:rsidR="00CA25AC" w:rsidRDefault="00CA25AC" w:rsidP="00AE4001">
            <w:pPr>
              <w:jc w:val="right"/>
            </w:pPr>
            <w:r w:rsidRPr="007F4C87">
              <w:t>£17</w:t>
            </w:r>
          </w:p>
        </w:tc>
      </w:tr>
      <w:tr w:rsidR="00CA25AC" w14:paraId="62AF5DDD" w14:textId="77777777" w:rsidTr="000D777B">
        <w:tc>
          <w:tcPr>
            <w:tcW w:w="1179" w:type="dxa"/>
          </w:tcPr>
          <w:p w14:paraId="66EF2A96" w14:textId="77777777" w:rsidR="00CA25AC" w:rsidRDefault="00CA25AC" w:rsidP="00105F6A">
            <w:r w:rsidRPr="007F4C87">
              <w:t>2.1o</w:t>
            </w:r>
          </w:p>
        </w:tc>
        <w:tc>
          <w:tcPr>
            <w:tcW w:w="4806" w:type="dxa"/>
          </w:tcPr>
          <w:p w14:paraId="00419CC7" w14:textId="77777777" w:rsidR="00CA25AC" w:rsidRDefault="00CA25AC" w:rsidP="00105F6A">
            <w:r w:rsidRPr="007F4C87">
              <w:t>Emergency protection orders (sections 44, 45 and 46)</w:t>
            </w:r>
          </w:p>
        </w:tc>
        <w:tc>
          <w:tcPr>
            <w:tcW w:w="1083" w:type="dxa"/>
          </w:tcPr>
          <w:p w14:paraId="7028416D" w14:textId="77777777" w:rsidR="00CA25AC" w:rsidRDefault="00CA25AC" w:rsidP="00AE4001">
            <w:pPr>
              <w:jc w:val="right"/>
            </w:pPr>
            <w:r w:rsidRPr="007F4C87">
              <w:t>£215</w:t>
            </w:r>
          </w:p>
        </w:tc>
        <w:tc>
          <w:tcPr>
            <w:tcW w:w="1323" w:type="dxa"/>
          </w:tcPr>
          <w:p w14:paraId="5362E936" w14:textId="77777777" w:rsidR="00CA25AC" w:rsidRDefault="00CA25AC" w:rsidP="00AE4001">
            <w:pPr>
              <w:jc w:val="right"/>
            </w:pPr>
            <w:r w:rsidRPr="007F4C87">
              <w:t>£232</w:t>
            </w:r>
          </w:p>
        </w:tc>
        <w:tc>
          <w:tcPr>
            <w:tcW w:w="1191" w:type="dxa"/>
          </w:tcPr>
          <w:p w14:paraId="1499932A" w14:textId="77777777" w:rsidR="00CA25AC" w:rsidRDefault="00CA25AC" w:rsidP="00AE4001">
            <w:pPr>
              <w:jc w:val="right"/>
            </w:pPr>
            <w:r w:rsidRPr="007F4C87">
              <w:t>£17</w:t>
            </w:r>
          </w:p>
        </w:tc>
      </w:tr>
      <w:tr w:rsidR="00CA25AC" w14:paraId="00C5E764" w14:textId="77777777" w:rsidTr="000D777B">
        <w:tc>
          <w:tcPr>
            <w:tcW w:w="1179" w:type="dxa"/>
          </w:tcPr>
          <w:p w14:paraId="7CB0DC8B" w14:textId="77777777" w:rsidR="00CA25AC" w:rsidRDefault="00CA25AC" w:rsidP="00105F6A">
            <w:r w:rsidRPr="007F4C87">
              <w:lastRenderedPageBreak/>
              <w:t>2.1p</w:t>
            </w:r>
          </w:p>
        </w:tc>
        <w:tc>
          <w:tcPr>
            <w:tcW w:w="4806" w:type="dxa"/>
          </w:tcPr>
          <w:p w14:paraId="2809CAF7" w14:textId="77777777" w:rsidR="00CA25AC" w:rsidRDefault="00CA25AC" w:rsidP="00105F6A">
            <w:r w:rsidRPr="007F4C87">
              <w:t>Warrant to assist person exercising powers under emergency protection order (section 48)</w:t>
            </w:r>
          </w:p>
        </w:tc>
        <w:tc>
          <w:tcPr>
            <w:tcW w:w="1083" w:type="dxa"/>
          </w:tcPr>
          <w:p w14:paraId="1ABC32FC" w14:textId="77777777" w:rsidR="00CA25AC" w:rsidRDefault="00CA25AC" w:rsidP="00AE4001">
            <w:pPr>
              <w:jc w:val="right"/>
            </w:pPr>
            <w:r w:rsidRPr="007F4C87">
              <w:t>£215</w:t>
            </w:r>
          </w:p>
        </w:tc>
        <w:tc>
          <w:tcPr>
            <w:tcW w:w="1323" w:type="dxa"/>
          </w:tcPr>
          <w:p w14:paraId="40FCAB70" w14:textId="77777777" w:rsidR="00CA25AC" w:rsidRDefault="00CA25AC" w:rsidP="00AE4001">
            <w:pPr>
              <w:jc w:val="right"/>
            </w:pPr>
            <w:r w:rsidRPr="007F4C87">
              <w:t>£232</w:t>
            </w:r>
          </w:p>
        </w:tc>
        <w:tc>
          <w:tcPr>
            <w:tcW w:w="1191" w:type="dxa"/>
          </w:tcPr>
          <w:p w14:paraId="3849C2E0" w14:textId="77777777" w:rsidR="00CA25AC" w:rsidRDefault="00CA25AC" w:rsidP="00AE4001">
            <w:pPr>
              <w:jc w:val="right"/>
            </w:pPr>
            <w:r w:rsidRPr="007F4C87">
              <w:t>£17</w:t>
            </w:r>
          </w:p>
        </w:tc>
      </w:tr>
      <w:tr w:rsidR="00CA25AC" w14:paraId="5CEBCE1E" w14:textId="77777777" w:rsidTr="000D777B">
        <w:tc>
          <w:tcPr>
            <w:tcW w:w="1179" w:type="dxa"/>
          </w:tcPr>
          <w:p w14:paraId="434A9CE7" w14:textId="77777777" w:rsidR="00CA25AC" w:rsidRDefault="00CA25AC" w:rsidP="00105F6A">
            <w:r w:rsidRPr="007F4C87">
              <w:t>2.1q</w:t>
            </w:r>
          </w:p>
        </w:tc>
        <w:tc>
          <w:tcPr>
            <w:tcW w:w="4806" w:type="dxa"/>
          </w:tcPr>
          <w:p w14:paraId="20721EE4" w14:textId="77777777" w:rsidR="00CA25AC" w:rsidRDefault="00CA25AC" w:rsidP="00105F6A">
            <w:r w:rsidRPr="007F4C87">
              <w:t>Recovery order (section 50)</w:t>
            </w:r>
          </w:p>
        </w:tc>
        <w:tc>
          <w:tcPr>
            <w:tcW w:w="1083" w:type="dxa"/>
          </w:tcPr>
          <w:p w14:paraId="5517CF05" w14:textId="77777777" w:rsidR="00CA25AC" w:rsidRDefault="00CA25AC" w:rsidP="00AE4001">
            <w:pPr>
              <w:jc w:val="right"/>
            </w:pPr>
            <w:r w:rsidRPr="007F4C87">
              <w:t>£215</w:t>
            </w:r>
          </w:p>
        </w:tc>
        <w:tc>
          <w:tcPr>
            <w:tcW w:w="1323" w:type="dxa"/>
          </w:tcPr>
          <w:p w14:paraId="0D6DC385" w14:textId="77777777" w:rsidR="00CA25AC" w:rsidRDefault="00CA25AC" w:rsidP="00AE4001">
            <w:pPr>
              <w:jc w:val="right"/>
            </w:pPr>
            <w:r w:rsidRPr="007F4C87">
              <w:t>£232</w:t>
            </w:r>
          </w:p>
        </w:tc>
        <w:tc>
          <w:tcPr>
            <w:tcW w:w="1191" w:type="dxa"/>
          </w:tcPr>
          <w:p w14:paraId="46F26A7B" w14:textId="77777777" w:rsidR="00CA25AC" w:rsidRDefault="00CA25AC" w:rsidP="00AE4001">
            <w:pPr>
              <w:jc w:val="right"/>
            </w:pPr>
            <w:r w:rsidRPr="007F4C87">
              <w:t>£17</w:t>
            </w:r>
          </w:p>
        </w:tc>
      </w:tr>
      <w:tr w:rsidR="00CA25AC" w14:paraId="2B0CD0D7" w14:textId="77777777" w:rsidTr="000D777B">
        <w:tc>
          <w:tcPr>
            <w:tcW w:w="1179" w:type="dxa"/>
          </w:tcPr>
          <w:p w14:paraId="08B790B6" w14:textId="77777777" w:rsidR="00CA25AC" w:rsidRPr="007F4C87" w:rsidRDefault="00CA25AC" w:rsidP="00105F6A">
            <w:r>
              <w:t>2.1s</w:t>
            </w:r>
          </w:p>
        </w:tc>
        <w:tc>
          <w:tcPr>
            <w:tcW w:w="4806" w:type="dxa"/>
          </w:tcPr>
          <w:p w14:paraId="053748FF" w14:textId="77777777" w:rsidR="00CA25AC" w:rsidRPr="007F4C87" w:rsidRDefault="00CA25AC" w:rsidP="00105F6A">
            <w:r w:rsidRPr="007F4C87">
              <w:t>Warrant to assist person exercising powers to search for children or inspect premises (section 102)</w:t>
            </w:r>
          </w:p>
        </w:tc>
        <w:tc>
          <w:tcPr>
            <w:tcW w:w="1083" w:type="dxa"/>
          </w:tcPr>
          <w:p w14:paraId="34F81EED" w14:textId="77777777" w:rsidR="00CA25AC" w:rsidRPr="007F4C87" w:rsidRDefault="00CA25AC" w:rsidP="00AE4001">
            <w:pPr>
              <w:jc w:val="right"/>
            </w:pPr>
            <w:r w:rsidRPr="007F4C87">
              <w:t>£215</w:t>
            </w:r>
          </w:p>
        </w:tc>
        <w:tc>
          <w:tcPr>
            <w:tcW w:w="1323" w:type="dxa"/>
          </w:tcPr>
          <w:p w14:paraId="2DC73E18" w14:textId="77777777" w:rsidR="00CA25AC" w:rsidRPr="007F4C87" w:rsidRDefault="00CA25AC" w:rsidP="00AE4001">
            <w:pPr>
              <w:jc w:val="right"/>
            </w:pPr>
            <w:r w:rsidRPr="007F4C87">
              <w:t>£232</w:t>
            </w:r>
          </w:p>
        </w:tc>
        <w:tc>
          <w:tcPr>
            <w:tcW w:w="1191" w:type="dxa"/>
          </w:tcPr>
          <w:p w14:paraId="4FA5E9F2" w14:textId="77777777" w:rsidR="00CA25AC" w:rsidRPr="007F4C87" w:rsidRDefault="00CA25AC" w:rsidP="00AE4001">
            <w:pPr>
              <w:jc w:val="right"/>
            </w:pPr>
            <w:r w:rsidRPr="007F4C87">
              <w:t>£17</w:t>
            </w:r>
          </w:p>
        </w:tc>
      </w:tr>
      <w:tr w:rsidR="00CA25AC" w14:paraId="1BD0FA22" w14:textId="77777777" w:rsidTr="000D777B">
        <w:tc>
          <w:tcPr>
            <w:tcW w:w="1179" w:type="dxa"/>
          </w:tcPr>
          <w:p w14:paraId="25B49F79" w14:textId="77777777" w:rsidR="00CA25AC" w:rsidRDefault="00CA25AC" w:rsidP="00105F6A">
            <w:r w:rsidRPr="007F4C87">
              <w:t>2.1t</w:t>
            </w:r>
          </w:p>
        </w:tc>
        <w:tc>
          <w:tcPr>
            <w:tcW w:w="4806" w:type="dxa"/>
          </w:tcPr>
          <w:p w14:paraId="1D56B6DB" w14:textId="77777777" w:rsidR="00CA25AC" w:rsidRDefault="00CA25AC" w:rsidP="00105F6A">
            <w:r w:rsidRPr="007F4C87">
              <w:t>Applications in respect of enforcement orders (paragraph 4(2), 6(2), 7(2) or 9(2) of Schedule A1)</w:t>
            </w:r>
          </w:p>
        </w:tc>
        <w:tc>
          <w:tcPr>
            <w:tcW w:w="1083" w:type="dxa"/>
          </w:tcPr>
          <w:p w14:paraId="22B1B77E" w14:textId="77777777" w:rsidR="00CA25AC" w:rsidRDefault="00CA25AC" w:rsidP="00AE4001">
            <w:pPr>
              <w:jc w:val="right"/>
            </w:pPr>
            <w:r w:rsidRPr="007F4C87">
              <w:t>£95</w:t>
            </w:r>
          </w:p>
        </w:tc>
        <w:tc>
          <w:tcPr>
            <w:tcW w:w="1323" w:type="dxa"/>
          </w:tcPr>
          <w:p w14:paraId="16D91EA3" w14:textId="77777777" w:rsidR="00CA25AC" w:rsidRDefault="00CA25AC" w:rsidP="00AE4001">
            <w:pPr>
              <w:jc w:val="right"/>
            </w:pPr>
            <w:r w:rsidRPr="007F4C87">
              <w:t>£102</w:t>
            </w:r>
          </w:p>
        </w:tc>
        <w:tc>
          <w:tcPr>
            <w:tcW w:w="1191" w:type="dxa"/>
          </w:tcPr>
          <w:p w14:paraId="22792018" w14:textId="77777777" w:rsidR="00CA25AC" w:rsidRDefault="00CA25AC" w:rsidP="00AE4001">
            <w:pPr>
              <w:jc w:val="right"/>
            </w:pPr>
            <w:r w:rsidRPr="007F4C87">
              <w:t>£7</w:t>
            </w:r>
          </w:p>
        </w:tc>
      </w:tr>
      <w:tr w:rsidR="00CA25AC" w14:paraId="1E3055DC" w14:textId="77777777" w:rsidTr="000D777B">
        <w:tc>
          <w:tcPr>
            <w:tcW w:w="1179" w:type="dxa"/>
          </w:tcPr>
          <w:p w14:paraId="3B18B3C8" w14:textId="77777777" w:rsidR="00CA25AC" w:rsidRDefault="00CA25AC" w:rsidP="00105F6A">
            <w:r w:rsidRPr="007F4C87">
              <w:t>2.1v</w:t>
            </w:r>
          </w:p>
        </w:tc>
        <w:tc>
          <w:tcPr>
            <w:tcW w:w="4806" w:type="dxa"/>
          </w:tcPr>
          <w:p w14:paraId="3DB5D9CC" w14:textId="77777777" w:rsidR="00CA25AC" w:rsidRDefault="00CA25AC" w:rsidP="00105F6A">
            <w:r w:rsidRPr="007F4C87">
              <w:t>Financial provision for children (paragraph 1(1) or (4), 2(1) or (5), 5(6), 6(5), (7) or (8), 8(2), 10(2), 11 or 14(1) of Schedule 1)</w:t>
            </w:r>
          </w:p>
        </w:tc>
        <w:tc>
          <w:tcPr>
            <w:tcW w:w="1083" w:type="dxa"/>
          </w:tcPr>
          <w:p w14:paraId="04712E4C" w14:textId="77777777" w:rsidR="00CA25AC" w:rsidRDefault="00CA25AC" w:rsidP="00AE4001">
            <w:pPr>
              <w:jc w:val="right"/>
            </w:pPr>
            <w:r w:rsidRPr="007F4C87">
              <w:t>£215</w:t>
            </w:r>
          </w:p>
        </w:tc>
        <w:tc>
          <w:tcPr>
            <w:tcW w:w="1323" w:type="dxa"/>
          </w:tcPr>
          <w:p w14:paraId="0509BC28" w14:textId="77777777" w:rsidR="00CA25AC" w:rsidRDefault="00CA25AC" w:rsidP="00AE4001">
            <w:pPr>
              <w:jc w:val="right"/>
            </w:pPr>
            <w:r w:rsidRPr="007F4C87">
              <w:t>£232</w:t>
            </w:r>
          </w:p>
        </w:tc>
        <w:tc>
          <w:tcPr>
            <w:tcW w:w="1191" w:type="dxa"/>
          </w:tcPr>
          <w:p w14:paraId="6183F3E4" w14:textId="77777777" w:rsidR="00CA25AC" w:rsidRDefault="00CA25AC" w:rsidP="00AE4001">
            <w:pPr>
              <w:jc w:val="right"/>
            </w:pPr>
            <w:r w:rsidRPr="007F4C87">
              <w:t>£17</w:t>
            </w:r>
          </w:p>
        </w:tc>
      </w:tr>
      <w:tr w:rsidR="00CA25AC" w14:paraId="52E270F3" w14:textId="77777777" w:rsidTr="000D777B">
        <w:tc>
          <w:tcPr>
            <w:tcW w:w="1179" w:type="dxa"/>
          </w:tcPr>
          <w:p w14:paraId="3F5A9F34" w14:textId="77777777" w:rsidR="00CA25AC" w:rsidRDefault="00CA25AC" w:rsidP="00105F6A">
            <w:r w:rsidRPr="007F4C87">
              <w:t>2.1w</w:t>
            </w:r>
          </w:p>
        </w:tc>
        <w:tc>
          <w:tcPr>
            <w:tcW w:w="4806" w:type="dxa"/>
          </w:tcPr>
          <w:p w14:paraId="129A7645" w14:textId="77777777" w:rsidR="00CA25AC" w:rsidRDefault="00CA25AC" w:rsidP="00105F6A">
            <w:r w:rsidRPr="007F4C87">
              <w:t>Approval of court for child in care of local authority to live abroad (paragraph 19(1) of Schedule 2) - England</w:t>
            </w:r>
          </w:p>
        </w:tc>
        <w:tc>
          <w:tcPr>
            <w:tcW w:w="1083" w:type="dxa"/>
          </w:tcPr>
          <w:p w14:paraId="4AB7E984" w14:textId="77777777" w:rsidR="00CA25AC" w:rsidRDefault="00CA25AC" w:rsidP="00AE4001">
            <w:pPr>
              <w:jc w:val="right"/>
            </w:pPr>
            <w:r w:rsidRPr="007F4C87">
              <w:t>£215</w:t>
            </w:r>
          </w:p>
        </w:tc>
        <w:tc>
          <w:tcPr>
            <w:tcW w:w="1323" w:type="dxa"/>
          </w:tcPr>
          <w:p w14:paraId="0C864C7D" w14:textId="77777777" w:rsidR="00CA25AC" w:rsidRDefault="00CA25AC" w:rsidP="00AE4001">
            <w:pPr>
              <w:jc w:val="right"/>
            </w:pPr>
            <w:r w:rsidRPr="007F4C87">
              <w:t>£232</w:t>
            </w:r>
          </w:p>
        </w:tc>
        <w:tc>
          <w:tcPr>
            <w:tcW w:w="1191" w:type="dxa"/>
          </w:tcPr>
          <w:p w14:paraId="17312198" w14:textId="77777777" w:rsidR="00CA25AC" w:rsidRDefault="00CA25AC" w:rsidP="00AE4001">
            <w:pPr>
              <w:jc w:val="right"/>
            </w:pPr>
            <w:r w:rsidRPr="007F4C87">
              <w:t>£17</w:t>
            </w:r>
          </w:p>
        </w:tc>
      </w:tr>
      <w:tr w:rsidR="00CA25AC" w14:paraId="075FCABB" w14:textId="77777777" w:rsidTr="000D777B">
        <w:tc>
          <w:tcPr>
            <w:tcW w:w="1179" w:type="dxa"/>
          </w:tcPr>
          <w:p w14:paraId="541404F9" w14:textId="77777777" w:rsidR="00CA25AC" w:rsidRDefault="00CA25AC" w:rsidP="00105F6A">
            <w:r w:rsidRPr="007F4C87">
              <w:t>2.1wa</w:t>
            </w:r>
          </w:p>
        </w:tc>
        <w:tc>
          <w:tcPr>
            <w:tcW w:w="4806" w:type="dxa"/>
          </w:tcPr>
          <w:p w14:paraId="1F0FB779" w14:textId="77777777" w:rsidR="00CA25AC" w:rsidRDefault="00CA25AC" w:rsidP="00105F6A">
            <w:r w:rsidRPr="007F4C87">
              <w:t>Approval of court for child in care of local authority to live abroad (paragraph 19(1) of Schedule 2) - Wales</w:t>
            </w:r>
          </w:p>
        </w:tc>
        <w:tc>
          <w:tcPr>
            <w:tcW w:w="1083" w:type="dxa"/>
          </w:tcPr>
          <w:p w14:paraId="38FE6FD4" w14:textId="77777777" w:rsidR="00CA25AC" w:rsidRDefault="00CA25AC" w:rsidP="00AE4001">
            <w:pPr>
              <w:jc w:val="right"/>
            </w:pPr>
            <w:r w:rsidRPr="007F4C87">
              <w:t>£215</w:t>
            </w:r>
          </w:p>
        </w:tc>
        <w:tc>
          <w:tcPr>
            <w:tcW w:w="1323" w:type="dxa"/>
          </w:tcPr>
          <w:p w14:paraId="1414EDD0" w14:textId="77777777" w:rsidR="00CA25AC" w:rsidRDefault="00CA25AC" w:rsidP="00AE4001">
            <w:pPr>
              <w:jc w:val="right"/>
            </w:pPr>
            <w:r w:rsidRPr="007F4C87">
              <w:t>£232</w:t>
            </w:r>
          </w:p>
        </w:tc>
        <w:tc>
          <w:tcPr>
            <w:tcW w:w="1191" w:type="dxa"/>
          </w:tcPr>
          <w:p w14:paraId="01F3F738" w14:textId="77777777" w:rsidR="00CA25AC" w:rsidRDefault="00CA25AC" w:rsidP="00AE4001">
            <w:pPr>
              <w:jc w:val="right"/>
            </w:pPr>
            <w:r w:rsidRPr="007F4C87">
              <w:t>£17</w:t>
            </w:r>
          </w:p>
        </w:tc>
      </w:tr>
      <w:tr w:rsidR="00CA25AC" w14:paraId="39BE6FF1" w14:textId="77777777" w:rsidTr="000D777B">
        <w:tc>
          <w:tcPr>
            <w:tcW w:w="1179" w:type="dxa"/>
          </w:tcPr>
          <w:p w14:paraId="00F121EF" w14:textId="77777777" w:rsidR="00CA25AC" w:rsidRPr="007F4C87" w:rsidRDefault="00CA25AC" w:rsidP="00105F6A">
            <w:r>
              <w:t>2.1x</w:t>
            </w:r>
          </w:p>
        </w:tc>
        <w:tc>
          <w:tcPr>
            <w:tcW w:w="4806" w:type="dxa"/>
          </w:tcPr>
          <w:p w14:paraId="3DAF888F" w14:textId="77777777" w:rsidR="00CA25AC" w:rsidRPr="007F4C87" w:rsidRDefault="00CA25AC" w:rsidP="00105F6A">
            <w:r w:rsidRPr="007F4C87">
              <w:t>Extension of supervision order (paragraph 6 of Schedule 3)</w:t>
            </w:r>
          </w:p>
        </w:tc>
        <w:tc>
          <w:tcPr>
            <w:tcW w:w="1083" w:type="dxa"/>
          </w:tcPr>
          <w:p w14:paraId="1216B01F" w14:textId="77777777" w:rsidR="00CA25AC" w:rsidRPr="007F4C87" w:rsidRDefault="00CA25AC" w:rsidP="00AE4001">
            <w:pPr>
              <w:jc w:val="right"/>
            </w:pPr>
            <w:r w:rsidRPr="007F4C87">
              <w:t>£215</w:t>
            </w:r>
          </w:p>
        </w:tc>
        <w:tc>
          <w:tcPr>
            <w:tcW w:w="1323" w:type="dxa"/>
          </w:tcPr>
          <w:p w14:paraId="0B6F48F7" w14:textId="77777777" w:rsidR="00CA25AC" w:rsidRPr="007F4C87" w:rsidRDefault="00CA25AC" w:rsidP="00AE4001">
            <w:pPr>
              <w:jc w:val="right"/>
            </w:pPr>
            <w:r w:rsidRPr="007F4C87">
              <w:t>£232</w:t>
            </w:r>
          </w:p>
        </w:tc>
        <w:tc>
          <w:tcPr>
            <w:tcW w:w="1191" w:type="dxa"/>
          </w:tcPr>
          <w:p w14:paraId="474EEBF2" w14:textId="77777777" w:rsidR="00CA25AC" w:rsidRPr="007F4C87" w:rsidRDefault="00CA25AC" w:rsidP="00AE4001">
            <w:pPr>
              <w:jc w:val="right"/>
            </w:pPr>
            <w:r w:rsidRPr="007F4C87">
              <w:t>£17</w:t>
            </w:r>
          </w:p>
        </w:tc>
      </w:tr>
      <w:tr w:rsidR="00CA25AC" w14:paraId="687BF671" w14:textId="77777777" w:rsidTr="000D777B">
        <w:tc>
          <w:tcPr>
            <w:tcW w:w="1179" w:type="dxa"/>
          </w:tcPr>
          <w:p w14:paraId="59D93FE6" w14:textId="77777777" w:rsidR="00CA25AC" w:rsidRDefault="00CA25AC" w:rsidP="00105F6A">
            <w:r w:rsidRPr="007F4C87">
              <w:t>2.1y</w:t>
            </w:r>
          </w:p>
        </w:tc>
        <w:tc>
          <w:tcPr>
            <w:tcW w:w="4806" w:type="dxa"/>
          </w:tcPr>
          <w:p w14:paraId="7E75421A" w14:textId="77777777" w:rsidR="00CA25AC" w:rsidRDefault="00CA25AC" w:rsidP="00105F6A">
            <w:r w:rsidRPr="007F4C87">
              <w:t>Extension or discharge of education supervision order (paragraph 15(2) or 17(1) of Schedule 3)</w:t>
            </w:r>
          </w:p>
        </w:tc>
        <w:tc>
          <w:tcPr>
            <w:tcW w:w="1083" w:type="dxa"/>
          </w:tcPr>
          <w:p w14:paraId="7375E0B2" w14:textId="77777777" w:rsidR="00CA25AC" w:rsidRDefault="00CA25AC" w:rsidP="00AE4001">
            <w:pPr>
              <w:jc w:val="right"/>
            </w:pPr>
            <w:r w:rsidRPr="007F4C87">
              <w:t>£215</w:t>
            </w:r>
          </w:p>
        </w:tc>
        <w:tc>
          <w:tcPr>
            <w:tcW w:w="1323" w:type="dxa"/>
          </w:tcPr>
          <w:p w14:paraId="0C39F33F" w14:textId="77777777" w:rsidR="00CA25AC" w:rsidRDefault="00CA25AC" w:rsidP="00AE4001">
            <w:pPr>
              <w:jc w:val="right"/>
            </w:pPr>
            <w:r w:rsidRPr="007F4C87">
              <w:t>£232</w:t>
            </w:r>
          </w:p>
        </w:tc>
        <w:tc>
          <w:tcPr>
            <w:tcW w:w="1191" w:type="dxa"/>
          </w:tcPr>
          <w:p w14:paraId="26355EA0" w14:textId="77777777" w:rsidR="00CA25AC" w:rsidRDefault="00CA25AC" w:rsidP="00AE4001">
            <w:pPr>
              <w:jc w:val="right"/>
            </w:pPr>
            <w:r w:rsidRPr="007F4C87">
              <w:t>£17</w:t>
            </w:r>
          </w:p>
        </w:tc>
      </w:tr>
      <w:tr w:rsidR="00CA25AC" w14:paraId="2869E48E" w14:textId="77777777" w:rsidTr="000D777B">
        <w:tc>
          <w:tcPr>
            <w:tcW w:w="1179" w:type="dxa"/>
          </w:tcPr>
          <w:p w14:paraId="76AA307A" w14:textId="77777777" w:rsidR="00CA25AC" w:rsidRDefault="00CA25AC" w:rsidP="00105F6A">
            <w:r w:rsidRPr="007F4C87">
              <w:t>2.1z</w:t>
            </w:r>
          </w:p>
        </w:tc>
        <w:tc>
          <w:tcPr>
            <w:tcW w:w="4806" w:type="dxa"/>
          </w:tcPr>
          <w:p w14:paraId="7A12B9F1" w14:textId="77777777" w:rsidR="00CA25AC" w:rsidRDefault="00CA25AC" w:rsidP="00105F6A">
            <w:r>
              <w:t>P</w:t>
            </w:r>
            <w:r w:rsidRPr="007F4C87">
              <w:t>aragraph 8(1) of Sch</w:t>
            </w:r>
            <w:r>
              <w:t>edule</w:t>
            </w:r>
            <w:r w:rsidRPr="007F4C87">
              <w:t xml:space="preserve"> 8 (appeals concerning foster parents)</w:t>
            </w:r>
          </w:p>
        </w:tc>
        <w:tc>
          <w:tcPr>
            <w:tcW w:w="1083" w:type="dxa"/>
          </w:tcPr>
          <w:p w14:paraId="3B745C0B" w14:textId="77777777" w:rsidR="00CA25AC" w:rsidRDefault="00CA25AC" w:rsidP="00AE4001">
            <w:pPr>
              <w:jc w:val="right"/>
            </w:pPr>
            <w:r w:rsidRPr="007F4C87">
              <w:t>£215</w:t>
            </w:r>
          </w:p>
        </w:tc>
        <w:tc>
          <w:tcPr>
            <w:tcW w:w="1323" w:type="dxa"/>
          </w:tcPr>
          <w:p w14:paraId="79FBF7D2" w14:textId="77777777" w:rsidR="00CA25AC" w:rsidRDefault="00CA25AC" w:rsidP="00AE4001">
            <w:pPr>
              <w:jc w:val="right"/>
            </w:pPr>
            <w:r w:rsidRPr="007F4C87">
              <w:t>£232</w:t>
            </w:r>
          </w:p>
        </w:tc>
        <w:tc>
          <w:tcPr>
            <w:tcW w:w="1191" w:type="dxa"/>
          </w:tcPr>
          <w:p w14:paraId="525F2DB9" w14:textId="77777777" w:rsidR="00CA25AC" w:rsidRDefault="00CA25AC" w:rsidP="00AE4001">
            <w:pPr>
              <w:jc w:val="right"/>
            </w:pPr>
            <w:r w:rsidRPr="007F4C87">
              <w:t>£17</w:t>
            </w:r>
          </w:p>
        </w:tc>
      </w:tr>
      <w:tr w:rsidR="00CA25AC" w14:paraId="6B4E4426" w14:textId="77777777" w:rsidTr="000D777B">
        <w:tc>
          <w:tcPr>
            <w:tcW w:w="1179" w:type="dxa"/>
          </w:tcPr>
          <w:p w14:paraId="0171E6F8" w14:textId="77777777" w:rsidR="00CA25AC" w:rsidRDefault="00CA25AC" w:rsidP="00105F6A">
            <w:r w:rsidRPr="007F4C87">
              <w:t>2.2</w:t>
            </w:r>
          </w:p>
        </w:tc>
        <w:tc>
          <w:tcPr>
            <w:tcW w:w="4806" w:type="dxa"/>
          </w:tcPr>
          <w:p w14:paraId="09B6613C" w14:textId="77777777" w:rsidR="00CA25AC" w:rsidRDefault="00CA25AC" w:rsidP="00105F6A">
            <w:r w:rsidRPr="007F4C87">
              <w:t>Application for proceedings under Section 31 of Act</w:t>
            </w:r>
          </w:p>
        </w:tc>
        <w:tc>
          <w:tcPr>
            <w:tcW w:w="1083" w:type="dxa"/>
          </w:tcPr>
          <w:p w14:paraId="34BCE38F" w14:textId="77777777" w:rsidR="00CA25AC" w:rsidRDefault="00CA25AC" w:rsidP="00AE4001">
            <w:pPr>
              <w:jc w:val="right"/>
            </w:pPr>
            <w:r w:rsidRPr="007F4C87">
              <w:t>£2,055</w:t>
            </w:r>
          </w:p>
        </w:tc>
        <w:tc>
          <w:tcPr>
            <w:tcW w:w="1323" w:type="dxa"/>
          </w:tcPr>
          <w:p w14:paraId="4D72C319" w14:textId="4D82F059" w:rsidR="00CA25AC" w:rsidRPr="00F77C7B" w:rsidRDefault="00CA25AC" w:rsidP="00AE4001">
            <w:pPr>
              <w:jc w:val="right"/>
            </w:pPr>
            <w:r w:rsidRPr="00F77C7B">
              <w:t>£2,21</w:t>
            </w:r>
            <w:r w:rsidR="007A6705" w:rsidRPr="00F77C7B">
              <w:t>5</w:t>
            </w:r>
          </w:p>
        </w:tc>
        <w:tc>
          <w:tcPr>
            <w:tcW w:w="1191" w:type="dxa"/>
          </w:tcPr>
          <w:p w14:paraId="46B3659E" w14:textId="40BB401A" w:rsidR="00CA25AC" w:rsidRPr="00F77C7B" w:rsidRDefault="00CA25AC" w:rsidP="00AE4001">
            <w:pPr>
              <w:jc w:val="right"/>
            </w:pPr>
            <w:r w:rsidRPr="00F77C7B">
              <w:t>£1</w:t>
            </w:r>
            <w:r w:rsidR="003241CB" w:rsidRPr="00F77C7B">
              <w:t>60</w:t>
            </w:r>
          </w:p>
        </w:tc>
      </w:tr>
      <w:tr w:rsidR="00CA25AC" w14:paraId="005D4622" w14:textId="77777777" w:rsidTr="000D777B">
        <w:tc>
          <w:tcPr>
            <w:tcW w:w="1179" w:type="dxa"/>
          </w:tcPr>
          <w:p w14:paraId="34995945" w14:textId="77777777" w:rsidR="00CA25AC" w:rsidRPr="007F4C87" w:rsidRDefault="00CA25AC" w:rsidP="00105F6A">
            <w:r>
              <w:t>3.1</w:t>
            </w:r>
          </w:p>
        </w:tc>
        <w:tc>
          <w:tcPr>
            <w:tcW w:w="4806" w:type="dxa"/>
          </w:tcPr>
          <w:p w14:paraId="7A028275" w14:textId="77777777" w:rsidR="00CA25AC" w:rsidRPr="007F4C87" w:rsidRDefault="00CA25AC" w:rsidP="00105F6A">
            <w:r w:rsidRPr="007F4C87">
              <w:t>Application/permission to apply for adoption</w:t>
            </w:r>
          </w:p>
        </w:tc>
        <w:tc>
          <w:tcPr>
            <w:tcW w:w="1083" w:type="dxa"/>
          </w:tcPr>
          <w:p w14:paraId="4D53ACE7" w14:textId="77777777" w:rsidR="00CA25AC" w:rsidRPr="007F4C87" w:rsidRDefault="00CA25AC" w:rsidP="00AE4001">
            <w:pPr>
              <w:jc w:val="right"/>
            </w:pPr>
            <w:r w:rsidRPr="007F4C87">
              <w:t>£170</w:t>
            </w:r>
          </w:p>
        </w:tc>
        <w:tc>
          <w:tcPr>
            <w:tcW w:w="1323" w:type="dxa"/>
          </w:tcPr>
          <w:p w14:paraId="1E1CF110" w14:textId="77777777" w:rsidR="00CA25AC" w:rsidRPr="007F4C87" w:rsidRDefault="00CA25AC" w:rsidP="00AE4001">
            <w:pPr>
              <w:jc w:val="right"/>
            </w:pPr>
            <w:r w:rsidRPr="007F4C87">
              <w:t>£183</w:t>
            </w:r>
          </w:p>
        </w:tc>
        <w:tc>
          <w:tcPr>
            <w:tcW w:w="1191" w:type="dxa"/>
          </w:tcPr>
          <w:p w14:paraId="5758AFCE" w14:textId="77777777" w:rsidR="00CA25AC" w:rsidRPr="007F4C87" w:rsidRDefault="00CA25AC" w:rsidP="00AE4001">
            <w:pPr>
              <w:jc w:val="right"/>
            </w:pPr>
            <w:r w:rsidRPr="007F4C87">
              <w:t>£13</w:t>
            </w:r>
          </w:p>
        </w:tc>
      </w:tr>
      <w:tr w:rsidR="00CA25AC" w14:paraId="7D8E87F3" w14:textId="77777777" w:rsidTr="000D777B">
        <w:tc>
          <w:tcPr>
            <w:tcW w:w="1179" w:type="dxa"/>
          </w:tcPr>
          <w:p w14:paraId="15584718" w14:textId="77777777" w:rsidR="00CA25AC" w:rsidRDefault="00CA25AC" w:rsidP="00105F6A">
            <w:r w:rsidRPr="007F4C87">
              <w:t>3.2</w:t>
            </w:r>
          </w:p>
        </w:tc>
        <w:tc>
          <w:tcPr>
            <w:tcW w:w="4806" w:type="dxa"/>
          </w:tcPr>
          <w:p w14:paraId="76AC14CC" w14:textId="77777777" w:rsidR="00CA25AC" w:rsidRDefault="00CA25AC" w:rsidP="00105F6A">
            <w:r w:rsidRPr="007F4C87">
              <w:t>Application for a placement order (under Section 22)</w:t>
            </w:r>
          </w:p>
        </w:tc>
        <w:tc>
          <w:tcPr>
            <w:tcW w:w="1083" w:type="dxa"/>
          </w:tcPr>
          <w:p w14:paraId="42A6BD58" w14:textId="77777777" w:rsidR="00CA25AC" w:rsidRDefault="00CA25AC" w:rsidP="00AE4001">
            <w:pPr>
              <w:jc w:val="right"/>
            </w:pPr>
            <w:r w:rsidRPr="007F4C87">
              <w:t>£455</w:t>
            </w:r>
          </w:p>
        </w:tc>
        <w:tc>
          <w:tcPr>
            <w:tcW w:w="1323" w:type="dxa"/>
          </w:tcPr>
          <w:p w14:paraId="11BA9FEE" w14:textId="77777777" w:rsidR="00CA25AC" w:rsidRDefault="00CA25AC" w:rsidP="00AE4001">
            <w:pPr>
              <w:jc w:val="right"/>
            </w:pPr>
            <w:r w:rsidRPr="007F4C87">
              <w:t>£490</w:t>
            </w:r>
          </w:p>
        </w:tc>
        <w:tc>
          <w:tcPr>
            <w:tcW w:w="1191" w:type="dxa"/>
          </w:tcPr>
          <w:p w14:paraId="3F962176" w14:textId="77777777" w:rsidR="00CA25AC" w:rsidRDefault="00CA25AC" w:rsidP="00AE4001">
            <w:pPr>
              <w:jc w:val="right"/>
            </w:pPr>
            <w:r w:rsidRPr="007F4C87">
              <w:t>£35</w:t>
            </w:r>
          </w:p>
        </w:tc>
      </w:tr>
      <w:tr w:rsidR="00CA25AC" w14:paraId="5AD8AB8E" w14:textId="77777777" w:rsidTr="000D777B">
        <w:tc>
          <w:tcPr>
            <w:tcW w:w="1179" w:type="dxa"/>
          </w:tcPr>
          <w:p w14:paraId="60027E8B" w14:textId="77777777" w:rsidR="00CA25AC" w:rsidRDefault="00CA25AC" w:rsidP="00105F6A">
            <w:r w:rsidRPr="007F4C87">
              <w:t>3.3</w:t>
            </w:r>
          </w:p>
        </w:tc>
        <w:tc>
          <w:tcPr>
            <w:tcW w:w="4806" w:type="dxa"/>
          </w:tcPr>
          <w:p w14:paraId="5ABD91B5" w14:textId="77777777" w:rsidR="00CA25AC" w:rsidRDefault="00CA25AC" w:rsidP="00105F6A">
            <w:r w:rsidRPr="007F4C87">
              <w:t>Application to the High Court</w:t>
            </w:r>
          </w:p>
        </w:tc>
        <w:tc>
          <w:tcPr>
            <w:tcW w:w="1083" w:type="dxa"/>
          </w:tcPr>
          <w:p w14:paraId="358BA638" w14:textId="77777777" w:rsidR="00CA25AC" w:rsidRDefault="00CA25AC" w:rsidP="00AE4001">
            <w:pPr>
              <w:jc w:val="right"/>
            </w:pPr>
            <w:r w:rsidRPr="007F4C87">
              <w:t>£170</w:t>
            </w:r>
          </w:p>
        </w:tc>
        <w:tc>
          <w:tcPr>
            <w:tcW w:w="1323" w:type="dxa"/>
          </w:tcPr>
          <w:p w14:paraId="49748789" w14:textId="77777777" w:rsidR="00CA25AC" w:rsidRDefault="00CA25AC" w:rsidP="00AE4001">
            <w:pPr>
              <w:jc w:val="right"/>
            </w:pPr>
            <w:r w:rsidRPr="007F4C87">
              <w:t>£183</w:t>
            </w:r>
          </w:p>
        </w:tc>
        <w:tc>
          <w:tcPr>
            <w:tcW w:w="1191" w:type="dxa"/>
          </w:tcPr>
          <w:p w14:paraId="168080C4" w14:textId="77777777" w:rsidR="00CA25AC" w:rsidRDefault="00CA25AC" w:rsidP="00AE4001">
            <w:pPr>
              <w:jc w:val="right"/>
            </w:pPr>
            <w:r w:rsidRPr="007F4C87">
              <w:t>£13</w:t>
            </w:r>
          </w:p>
        </w:tc>
      </w:tr>
      <w:tr w:rsidR="00CA25AC" w14:paraId="7D75EE84" w14:textId="77777777" w:rsidTr="000D777B">
        <w:tc>
          <w:tcPr>
            <w:tcW w:w="1179" w:type="dxa"/>
          </w:tcPr>
          <w:p w14:paraId="453A43F2" w14:textId="77777777" w:rsidR="00CA25AC" w:rsidRDefault="00CA25AC" w:rsidP="00105F6A">
            <w:r w:rsidRPr="007F4C87">
              <w:t>4.1</w:t>
            </w:r>
          </w:p>
        </w:tc>
        <w:tc>
          <w:tcPr>
            <w:tcW w:w="4806" w:type="dxa"/>
          </w:tcPr>
          <w:p w14:paraId="674D8130" w14:textId="77777777" w:rsidR="00CA25AC" w:rsidRDefault="00CA25AC" w:rsidP="00105F6A">
            <w:r w:rsidRPr="007F4C87">
              <w:t>Application for warning notice to be attached to a contact order</w:t>
            </w:r>
          </w:p>
        </w:tc>
        <w:tc>
          <w:tcPr>
            <w:tcW w:w="1083" w:type="dxa"/>
          </w:tcPr>
          <w:p w14:paraId="23620C52" w14:textId="77777777" w:rsidR="00CA25AC" w:rsidRDefault="00CA25AC" w:rsidP="00AE4001">
            <w:pPr>
              <w:jc w:val="right"/>
            </w:pPr>
            <w:r w:rsidRPr="007F4C87">
              <w:t>£50</w:t>
            </w:r>
          </w:p>
        </w:tc>
        <w:tc>
          <w:tcPr>
            <w:tcW w:w="1323" w:type="dxa"/>
          </w:tcPr>
          <w:p w14:paraId="037F5F43" w14:textId="77777777" w:rsidR="00CA25AC" w:rsidRDefault="00CA25AC" w:rsidP="00AE4001">
            <w:pPr>
              <w:jc w:val="right"/>
            </w:pPr>
            <w:r w:rsidRPr="007F4C87">
              <w:t>£54</w:t>
            </w:r>
          </w:p>
        </w:tc>
        <w:tc>
          <w:tcPr>
            <w:tcW w:w="1191" w:type="dxa"/>
          </w:tcPr>
          <w:p w14:paraId="48764D07" w14:textId="77777777" w:rsidR="00CA25AC" w:rsidRDefault="00CA25AC" w:rsidP="00AE4001">
            <w:pPr>
              <w:jc w:val="right"/>
            </w:pPr>
            <w:r w:rsidRPr="007F4C87">
              <w:t>£4</w:t>
            </w:r>
          </w:p>
        </w:tc>
      </w:tr>
      <w:tr w:rsidR="00CA25AC" w14:paraId="52ABEBCD" w14:textId="77777777" w:rsidTr="000D777B">
        <w:tc>
          <w:tcPr>
            <w:tcW w:w="1179" w:type="dxa"/>
          </w:tcPr>
          <w:p w14:paraId="304C2A27" w14:textId="77777777" w:rsidR="00CA25AC" w:rsidRDefault="00CA25AC" w:rsidP="00105F6A">
            <w:r w:rsidRPr="007F4C87">
              <w:t>5.1</w:t>
            </w:r>
          </w:p>
        </w:tc>
        <w:tc>
          <w:tcPr>
            <w:tcW w:w="4806" w:type="dxa"/>
          </w:tcPr>
          <w:p w14:paraId="74F9D8BB" w14:textId="77777777" w:rsidR="00CA25AC" w:rsidRDefault="00CA25AC" w:rsidP="00105F6A">
            <w:r w:rsidRPr="007F4C87">
              <w:t>Application (without notice)</w:t>
            </w:r>
          </w:p>
        </w:tc>
        <w:tc>
          <w:tcPr>
            <w:tcW w:w="1083" w:type="dxa"/>
          </w:tcPr>
          <w:p w14:paraId="2FFC7179" w14:textId="77777777" w:rsidR="00CA25AC" w:rsidRDefault="00CA25AC" w:rsidP="00AE4001">
            <w:pPr>
              <w:jc w:val="right"/>
            </w:pPr>
            <w:r w:rsidRPr="007F4C87">
              <w:t>£50</w:t>
            </w:r>
          </w:p>
        </w:tc>
        <w:tc>
          <w:tcPr>
            <w:tcW w:w="1323" w:type="dxa"/>
          </w:tcPr>
          <w:p w14:paraId="029A0C66" w14:textId="77777777" w:rsidR="00CA25AC" w:rsidRDefault="00CA25AC" w:rsidP="00AE4001">
            <w:pPr>
              <w:jc w:val="right"/>
            </w:pPr>
            <w:r w:rsidRPr="007F4C87">
              <w:t>£53</w:t>
            </w:r>
          </w:p>
        </w:tc>
        <w:tc>
          <w:tcPr>
            <w:tcW w:w="1191" w:type="dxa"/>
          </w:tcPr>
          <w:p w14:paraId="6ADA4592" w14:textId="77777777" w:rsidR="00CA25AC" w:rsidRDefault="00CA25AC" w:rsidP="00AE4001">
            <w:pPr>
              <w:jc w:val="right"/>
            </w:pPr>
            <w:r w:rsidRPr="007F4C87">
              <w:t>£3</w:t>
            </w:r>
          </w:p>
        </w:tc>
      </w:tr>
      <w:tr w:rsidR="00CA25AC" w14:paraId="2F4FBF4C" w14:textId="77777777" w:rsidTr="000D777B">
        <w:tc>
          <w:tcPr>
            <w:tcW w:w="1179" w:type="dxa"/>
          </w:tcPr>
          <w:p w14:paraId="2881E852" w14:textId="77777777" w:rsidR="00CA25AC" w:rsidRDefault="00CA25AC" w:rsidP="00105F6A">
            <w:r w:rsidRPr="007F4C87">
              <w:t>5.2</w:t>
            </w:r>
          </w:p>
        </w:tc>
        <w:tc>
          <w:tcPr>
            <w:tcW w:w="4806" w:type="dxa"/>
          </w:tcPr>
          <w:p w14:paraId="1ABA6B42" w14:textId="77777777" w:rsidR="00CA25AC" w:rsidRDefault="00CA25AC" w:rsidP="00105F6A">
            <w:r w:rsidRPr="007F4C87">
              <w:t>Application for decree nisi, conditional order, separation order (no fee if undefended)</w:t>
            </w:r>
          </w:p>
        </w:tc>
        <w:tc>
          <w:tcPr>
            <w:tcW w:w="1083" w:type="dxa"/>
          </w:tcPr>
          <w:p w14:paraId="7CB171CE" w14:textId="77777777" w:rsidR="00CA25AC" w:rsidRDefault="00CA25AC" w:rsidP="00AE4001">
            <w:pPr>
              <w:jc w:val="right"/>
            </w:pPr>
            <w:r w:rsidRPr="007F4C87">
              <w:t>£50</w:t>
            </w:r>
          </w:p>
        </w:tc>
        <w:tc>
          <w:tcPr>
            <w:tcW w:w="1323" w:type="dxa"/>
          </w:tcPr>
          <w:p w14:paraId="3E67D9D5" w14:textId="77777777" w:rsidR="00CA25AC" w:rsidRDefault="00CA25AC" w:rsidP="00AE4001">
            <w:pPr>
              <w:jc w:val="right"/>
            </w:pPr>
            <w:r w:rsidRPr="007F4C87">
              <w:t>£54</w:t>
            </w:r>
          </w:p>
        </w:tc>
        <w:tc>
          <w:tcPr>
            <w:tcW w:w="1191" w:type="dxa"/>
          </w:tcPr>
          <w:p w14:paraId="311C8CBB" w14:textId="77777777" w:rsidR="00CA25AC" w:rsidRDefault="00CA25AC" w:rsidP="00AE4001">
            <w:pPr>
              <w:jc w:val="right"/>
            </w:pPr>
            <w:r w:rsidRPr="007F4C87">
              <w:t>£4</w:t>
            </w:r>
          </w:p>
        </w:tc>
      </w:tr>
      <w:tr w:rsidR="00CA25AC" w14:paraId="01DA85EC" w14:textId="77777777" w:rsidTr="000D777B">
        <w:tc>
          <w:tcPr>
            <w:tcW w:w="1179" w:type="dxa"/>
          </w:tcPr>
          <w:p w14:paraId="216A8687" w14:textId="77777777" w:rsidR="00CA25AC" w:rsidRDefault="00CA25AC" w:rsidP="00105F6A">
            <w:r w:rsidRPr="007F4C87">
              <w:t>5.3</w:t>
            </w:r>
          </w:p>
        </w:tc>
        <w:tc>
          <w:tcPr>
            <w:tcW w:w="4806" w:type="dxa"/>
          </w:tcPr>
          <w:p w14:paraId="0EB79A33" w14:textId="77777777" w:rsidR="00CA25AC" w:rsidRDefault="00CA25AC" w:rsidP="00105F6A">
            <w:r w:rsidRPr="007F4C87">
              <w:t>Application (on notice) (unless otherwise listed)</w:t>
            </w:r>
          </w:p>
        </w:tc>
        <w:tc>
          <w:tcPr>
            <w:tcW w:w="1083" w:type="dxa"/>
          </w:tcPr>
          <w:p w14:paraId="34A35000" w14:textId="77777777" w:rsidR="00CA25AC" w:rsidRDefault="00CA25AC" w:rsidP="00AE4001">
            <w:pPr>
              <w:jc w:val="right"/>
            </w:pPr>
            <w:r w:rsidRPr="007F4C87">
              <w:t>£155</w:t>
            </w:r>
          </w:p>
        </w:tc>
        <w:tc>
          <w:tcPr>
            <w:tcW w:w="1323" w:type="dxa"/>
          </w:tcPr>
          <w:p w14:paraId="7840CFB0" w14:textId="77777777" w:rsidR="00CA25AC" w:rsidRDefault="00CA25AC" w:rsidP="00AE4001">
            <w:pPr>
              <w:jc w:val="right"/>
            </w:pPr>
            <w:r w:rsidRPr="007F4C87">
              <w:t>£167</w:t>
            </w:r>
          </w:p>
        </w:tc>
        <w:tc>
          <w:tcPr>
            <w:tcW w:w="1191" w:type="dxa"/>
          </w:tcPr>
          <w:p w14:paraId="696C7BE9" w14:textId="77777777" w:rsidR="00CA25AC" w:rsidRDefault="00CA25AC" w:rsidP="00AE4001">
            <w:pPr>
              <w:jc w:val="right"/>
            </w:pPr>
            <w:r w:rsidRPr="007F4C87">
              <w:t>£12</w:t>
            </w:r>
          </w:p>
        </w:tc>
      </w:tr>
      <w:tr w:rsidR="00CA25AC" w14:paraId="61DDE399" w14:textId="77777777" w:rsidTr="000D777B">
        <w:tc>
          <w:tcPr>
            <w:tcW w:w="1179" w:type="dxa"/>
          </w:tcPr>
          <w:p w14:paraId="37504DE8" w14:textId="77777777" w:rsidR="00CA25AC" w:rsidRDefault="00CA25AC" w:rsidP="00105F6A">
            <w:r w:rsidRPr="007F4C87">
              <w:t>5.4</w:t>
            </w:r>
          </w:p>
        </w:tc>
        <w:tc>
          <w:tcPr>
            <w:tcW w:w="4806" w:type="dxa"/>
          </w:tcPr>
          <w:p w14:paraId="1EC98657" w14:textId="77777777" w:rsidR="00CA25AC" w:rsidRDefault="00CA25AC" w:rsidP="00105F6A">
            <w:r w:rsidRPr="007F4C87">
              <w:t>Application for a financial order</w:t>
            </w:r>
          </w:p>
        </w:tc>
        <w:tc>
          <w:tcPr>
            <w:tcW w:w="1083" w:type="dxa"/>
          </w:tcPr>
          <w:p w14:paraId="343385E8" w14:textId="77777777" w:rsidR="00CA25AC" w:rsidRDefault="00CA25AC" w:rsidP="00AE4001">
            <w:pPr>
              <w:jc w:val="right"/>
            </w:pPr>
            <w:r w:rsidRPr="007F4C87">
              <w:t>£255</w:t>
            </w:r>
          </w:p>
        </w:tc>
        <w:tc>
          <w:tcPr>
            <w:tcW w:w="1323" w:type="dxa"/>
          </w:tcPr>
          <w:p w14:paraId="37A4E801" w14:textId="77777777" w:rsidR="00CA25AC" w:rsidRDefault="00CA25AC" w:rsidP="00AE4001">
            <w:pPr>
              <w:jc w:val="right"/>
            </w:pPr>
            <w:r w:rsidRPr="007F4C87">
              <w:t>£275</w:t>
            </w:r>
          </w:p>
        </w:tc>
        <w:tc>
          <w:tcPr>
            <w:tcW w:w="1191" w:type="dxa"/>
          </w:tcPr>
          <w:p w14:paraId="4C653638" w14:textId="77777777" w:rsidR="00CA25AC" w:rsidRDefault="00CA25AC" w:rsidP="00AE4001">
            <w:pPr>
              <w:jc w:val="right"/>
            </w:pPr>
            <w:r w:rsidRPr="007F4C87">
              <w:t>£20</w:t>
            </w:r>
          </w:p>
        </w:tc>
      </w:tr>
      <w:tr w:rsidR="00CA25AC" w14:paraId="6ED50820" w14:textId="77777777" w:rsidTr="000D777B">
        <w:tc>
          <w:tcPr>
            <w:tcW w:w="1179" w:type="dxa"/>
          </w:tcPr>
          <w:p w14:paraId="18715BF2" w14:textId="77777777" w:rsidR="00CA25AC" w:rsidRDefault="00CA25AC" w:rsidP="00105F6A">
            <w:r w:rsidRPr="007F4C87">
              <w:t>8.1a</w:t>
            </w:r>
          </w:p>
        </w:tc>
        <w:tc>
          <w:tcPr>
            <w:tcW w:w="4806" w:type="dxa"/>
          </w:tcPr>
          <w:p w14:paraId="4FE113F4" w14:textId="77777777" w:rsidR="00CA25AC" w:rsidRDefault="00CA25AC" w:rsidP="00105F6A">
            <w:r w:rsidRPr="007F4C87">
              <w:t>Copy of a document (10 pages or less)</w:t>
            </w:r>
          </w:p>
        </w:tc>
        <w:tc>
          <w:tcPr>
            <w:tcW w:w="1083" w:type="dxa"/>
          </w:tcPr>
          <w:p w14:paraId="08C74498" w14:textId="77777777" w:rsidR="00CA25AC" w:rsidRDefault="00CA25AC" w:rsidP="00AE4001">
            <w:pPr>
              <w:jc w:val="right"/>
            </w:pPr>
            <w:r w:rsidRPr="007F4C87">
              <w:t>£10</w:t>
            </w:r>
          </w:p>
        </w:tc>
        <w:tc>
          <w:tcPr>
            <w:tcW w:w="1323" w:type="dxa"/>
          </w:tcPr>
          <w:p w14:paraId="5F9F4399" w14:textId="77777777" w:rsidR="00CA25AC" w:rsidRDefault="00CA25AC" w:rsidP="00AE4001">
            <w:pPr>
              <w:jc w:val="right"/>
            </w:pPr>
            <w:r w:rsidRPr="007F4C87">
              <w:t>£11</w:t>
            </w:r>
          </w:p>
        </w:tc>
        <w:tc>
          <w:tcPr>
            <w:tcW w:w="1191" w:type="dxa"/>
          </w:tcPr>
          <w:p w14:paraId="7BF13040" w14:textId="77777777" w:rsidR="00CA25AC" w:rsidRDefault="00CA25AC" w:rsidP="00AE4001">
            <w:pPr>
              <w:jc w:val="right"/>
            </w:pPr>
            <w:r w:rsidRPr="007F4C87">
              <w:t>£1</w:t>
            </w:r>
          </w:p>
        </w:tc>
      </w:tr>
      <w:tr w:rsidR="00CA25AC" w14:paraId="419AEB89" w14:textId="77777777" w:rsidTr="000D777B">
        <w:tc>
          <w:tcPr>
            <w:tcW w:w="1179" w:type="dxa"/>
          </w:tcPr>
          <w:p w14:paraId="7DA59DA5" w14:textId="77777777" w:rsidR="00CA25AC" w:rsidRDefault="00CA25AC" w:rsidP="00105F6A">
            <w:r w:rsidRPr="007F4C87">
              <w:t>8.2</w:t>
            </w:r>
          </w:p>
        </w:tc>
        <w:tc>
          <w:tcPr>
            <w:tcW w:w="4806" w:type="dxa"/>
          </w:tcPr>
          <w:p w14:paraId="559DC40B" w14:textId="77777777" w:rsidR="00CA25AC" w:rsidRDefault="00CA25AC" w:rsidP="00105F6A">
            <w:r w:rsidRPr="007F4C87">
              <w:t>Copy of a document in electronic form (for each copy)</w:t>
            </w:r>
          </w:p>
        </w:tc>
        <w:tc>
          <w:tcPr>
            <w:tcW w:w="1083" w:type="dxa"/>
          </w:tcPr>
          <w:p w14:paraId="2076B2A3" w14:textId="77777777" w:rsidR="00CA25AC" w:rsidRDefault="00CA25AC" w:rsidP="00AE4001">
            <w:pPr>
              <w:jc w:val="right"/>
            </w:pPr>
            <w:r w:rsidRPr="007F4C87">
              <w:t>£10</w:t>
            </w:r>
          </w:p>
        </w:tc>
        <w:tc>
          <w:tcPr>
            <w:tcW w:w="1323" w:type="dxa"/>
          </w:tcPr>
          <w:p w14:paraId="04AFEC7D" w14:textId="77777777" w:rsidR="00CA25AC" w:rsidRDefault="00CA25AC" w:rsidP="00AE4001">
            <w:pPr>
              <w:jc w:val="right"/>
            </w:pPr>
            <w:r w:rsidRPr="007F4C87">
              <w:t>£11</w:t>
            </w:r>
          </w:p>
        </w:tc>
        <w:tc>
          <w:tcPr>
            <w:tcW w:w="1191" w:type="dxa"/>
          </w:tcPr>
          <w:p w14:paraId="6C101FA5" w14:textId="77777777" w:rsidR="00CA25AC" w:rsidRDefault="00CA25AC" w:rsidP="00AE4001">
            <w:pPr>
              <w:jc w:val="right"/>
            </w:pPr>
            <w:r w:rsidRPr="007F4C87">
              <w:t>£1</w:t>
            </w:r>
          </w:p>
        </w:tc>
      </w:tr>
      <w:tr w:rsidR="00CA25AC" w14:paraId="0C690CF8" w14:textId="77777777" w:rsidTr="000D777B">
        <w:tc>
          <w:tcPr>
            <w:tcW w:w="1179" w:type="dxa"/>
          </w:tcPr>
          <w:p w14:paraId="6F4AC481" w14:textId="77777777" w:rsidR="00CA25AC" w:rsidRDefault="00CA25AC" w:rsidP="00105F6A">
            <w:r w:rsidRPr="007F4C87">
              <w:t>9.3</w:t>
            </w:r>
          </w:p>
        </w:tc>
        <w:tc>
          <w:tcPr>
            <w:tcW w:w="4806" w:type="dxa"/>
          </w:tcPr>
          <w:p w14:paraId="22616B9F" w14:textId="77777777" w:rsidR="00CA25AC" w:rsidRDefault="00CA25AC" w:rsidP="00105F6A">
            <w:r w:rsidRPr="007F4C87">
              <w:t>Issue of default costs certificate - Family</w:t>
            </w:r>
          </w:p>
        </w:tc>
        <w:tc>
          <w:tcPr>
            <w:tcW w:w="1083" w:type="dxa"/>
          </w:tcPr>
          <w:p w14:paraId="0E6A75D3" w14:textId="77777777" w:rsidR="00CA25AC" w:rsidRDefault="00CA25AC" w:rsidP="00AE4001">
            <w:pPr>
              <w:jc w:val="right"/>
            </w:pPr>
            <w:r w:rsidRPr="007F4C87">
              <w:t>£60</w:t>
            </w:r>
          </w:p>
        </w:tc>
        <w:tc>
          <w:tcPr>
            <w:tcW w:w="1323" w:type="dxa"/>
          </w:tcPr>
          <w:p w14:paraId="2536E8EF" w14:textId="77777777" w:rsidR="00CA25AC" w:rsidRDefault="00CA25AC" w:rsidP="00AE4001">
            <w:pPr>
              <w:jc w:val="right"/>
            </w:pPr>
            <w:r w:rsidRPr="007F4C87">
              <w:t>£65</w:t>
            </w:r>
          </w:p>
        </w:tc>
        <w:tc>
          <w:tcPr>
            <w:tcW w:w="1191" w:type="dxa"/>
          </w:tcPr>
          <w:p w14:paraId="4692E507" w14:textId="77777777" w:rsidR="00CA25AC" w:rsidRDefault="00CA25AC" w:rsidP="00AE4001">
            <w:pPr>
              <w:jc w:val="right"/>
            </w:pPr>
            <w:r w:rsidRPr="007F4C87">
              <w:t>£5</w:t>
            </w:r>
          </w:p>
        </w:tc>
      </w:tr>
      <w:tr w:rsidR="00CA25AC" w14:paraId="2EBB9B59" w14:textId="77777777" w:rsidTr="000D777B">
        <w:tc>
          <w:tcPr>
            <w:tcW w:w="1179" w:type="dxa"/>
          </w:tcPr>
          <w:p w14:paraId="35234E40" w14:textId="77777777" w:rsidR="00CA25AC" w:rsidRDefault="00CA25AC" w:rsidP="00105F6A">
            <w:r w:rsidRPr="007F4C87">
              <w:t>12.1</w:t>
            </w:r>
          </w:p>
        </w:tc>
        <w:tc>
          <w:tcPr>
            <w:tcW w:w="4806" w:type="dxa"/>
          </w:tcPr>
          <w:p w14:paraId="267DC405" w14:textId="77777777" w:rsidR="00CA25AC" w:rsidRDefault="00CA25AC" w:rsidP="00105F6A">
            <w:r w:rsidRPr="007F4C87">
              <w:t>Application to question a judgement debtor or other person</w:t>
            </w:r>
          </w:p>
        </w:tc>
        <w:tc>
          <w:tcPr>
            <w:tcW w:w="1083" w:type="dxa"/>
          </w:tcPr>
          <w:p w14:paraId="41D5B454" w14:textId="77777777" w:rsidR="00CA25AC" w:rsidRDefault="00CA25AC" w:rsidP="00AE4001">
            <w:pPr>
              <w:jc w:val="right"/>
            </w:pPr>
            <w:r w:rsidRPr="007F4C87">
              <w:t>£50</w:t>
            </w:r>
          </w:p>
        </w:tc>
        <w:tc>
          <w:tcPr>
            <w:tcW w:w="1323" w:type="dxa"/>
          </w:tcPr>
          <w:p w14:paraId="3E73E36A" w14:textId="77777777" w:rsidR="00CA25AC" w:rsidRDefault="00CA25AC" w:rsidP="00AE4001">
            <w:pPr>
              <w:jc w:val="right"/>
            </w:pPr>
            <w:r w:rsidRPr="007F4C87">
              <w:t>£54</w:t>
            </w:r>
          </w:p>
        </w:tc>
        <w:tc>
          <w:tcPr>
            <w:tcW w:w="1191" w:type="dxa"/>
          </w:tcPr>
          <w:p w14:paraId="7EE83EBB" w14:textId="77777777" w:rsidR="00CA25AC" w:rsidRDefault="00CA25AC" w:rsidP="00AE4001">
            <w:pPr>
              <w:jc w:val="right"/>
            </w:pPr>
            <w:r w:rsidRPr="007F4C87">
              <w:t>£4</w:t>
            </w:r>
          </w:p>
        </w:tc>
      </w:tr>
      <w:tr w:rsidR="00CA25AC" w14:paraId="0108AD3E" w14:textId="77777777" w:rsidTr="000D777B">
        <w:tc>
          <w:tcPr>
            <w:tcW w:w="1179" w:type="dxa"/>
            <w:shd w:val="clear" w:color="auto" w:fill="auto"/>
          </w:tcPr>
          <w:p w14:paraId="6E437248" w14:textId="77777777" w:rsidR="00CA25AC" w:rsidRDefault="00CA25AC" w:rsidP="00105F6A">
            <w:r>
              <w:t>13.3</w:t>
            </w:r>
          </w:p>
        </w:tc>
        <w:tc>
          <w:tcPr>
            <w:tcW w:w="4806" w:type="dxa"/>
            <w:shd w:val="clear" w:color="auto" w:fill="auto"/>
          </w:tcPr>
          <w:p w14:paraId="2C8422E7" w14:textId="77777777" w:rsidR="00CA25AC" w:rsidRDefault="00CA25AC" w:rsidP="00105F6A">
            <w:r w:rsidRPr="007F4C87">
              <w:t>Issue for a warrant of possession or a warrant of delivery</w:t>
            </w:r>
          </w:p>
        </w:tc>
        <w:tc>
          <w:tcPr>
            <w:tcW w:w="1083" w:type="dxa"/>
            <w:shd w:val="clear" w:color="auto" w:fill="auto"/>
          </w:tcPr>
          <w:p w14:paraId="643BBD60" w14:textId="77777777" w:rsidR="00CA25AC" w:rsidRDefault="00CA25AC" w:rsidP="00AE4001">
            <w:pPr>
              <w:jc w:val="right"/>
            </w:pPr>
            <w:r w:rsidRPr="007F4C87">
              <w:t>£110</w:t>
            </w:r>
          </w:p>
        </w:tc>
        <w:tc>
          <w:tcPr>
            <w:tcW w:w="1323" w:type="dxa"/>
            <w:shd w:val="clear" w:color="auto" w:fill="auto"/>
          </w:tcPr>
          <w:p w14:paraId="62DCF453" w14:textId="1D9D2CE7" w:rsidR="00CA25AC" w:rsidRPr="00F77C7B" w:rsidRDefault="00CA25AC" w:rsidP="00AE4001">
            <w:pPr>
              <w:jc w:val="right"/>
            </w:pPr>
            <w:r w:rsidRPr="00F77C7B">
              <w:t>£11</w:t>
            </w:r>
            <w:r w:rsidR="00E011EF" w:rsidRPr="00F77C7B">
              <w:t>9</w:t>
            </w:r>
          </w:p>
        </w:tc>
        <w:tc>
          <w:tcPr>
            <w:tcW w:w="1191" w:type="dxa"/>
            <w:shd w:val="clear" w:color="auto" w:fill="auto"/>
          </w:tcPr>
          <w:p w14:paraId="5195F5EF" w14:textId="1E86A0C2" w:rsidR="00CA25AC" w:rsidRPr="00F77C7B" w:rsidRDefault="00CA25AC" w:rsidP="00AE4001">
            <w:pPr>
              <w:jc w:val="right"/>
            </w:pPr>
            <w:r w:rsidRPr="00F77C7B">
              <w:t>£</w:t>
            </w:r>
            <w:r w:rsidR="00E011EF" w:rsidRPr="00F77C7B">
              <w:t>9</w:t>
            </w:r>
          </w:p>
        </w:tc>
      </w:tr>
    </w:tbl>
    <w:p w14:paraId="370BD869" w14:textId="77777777" w:rsidR="00CA25AC" w:rsidRDefault="00CA25AC" w:rsidP="002652C0">
      <w:pPr>
        <w:rPr>
          <w:b/>
          <w:bCs/>
          <w:i/>
        </w:rPr>
      </w:pPr>
    </w:p>
    <w:p w14:paraId="503B1C72" w14:textId="77777777" w:rsidR="00CA25AC" w:rsidRDefault="00CA25AC" w:rsidP="002652C0">
      <w:pPr>
        <w:rPr>
          <w:b/>
          <w:bCs/>
          <w:sz w:val="28"/>
          <w:szCs w:val="28"/>
        </w:rPr>
      </w:pPr>
    </w:p>
    <w:p w14:paraId="02EE0273" w14:textId="3589DA38" w:rsidR="00DD36C2" w:rsidRDefault="00DD36C2" w:rsidP="002652C0"/>
    <w:p w14:paraId="16B1A2BE" w14:textId="77777777" w:rsidR="004E4D28" w:rsidRDefault="004E4D28" w:rsidP="002652C0">
      <w:pPr>
        <w:rPr>
          <w:b/>
          <w:bCs/>
          <w:sz w:val="28"/>
          <w:szCs w:val="28"/>
        </w:rPr>
      </w:pPr>
    </w:p>
    <w:p w14:paraId="04856DF0" w14:textId="5BE357EE" w:rsidR="008A6526" w:rsidRDefault="008A6526" w:rsidP="002652C0">
      <w:pPr>
        <w:rPr>
          <w:b/>
          <w:sz w:val="28"/>
          <w:szCs w:val="28"/>
        </w:rPr>
      </w:pPr>
      <w:r w:rsidRPr="008A6526">
        <w:rPr>
          <w:b/>
          <w:bCs/>
          <w:sz w:val="28"/>
          <w:szCs w:val="28"/>
        </w:rPr>
        <w:t xml:space="preserve">Magistrates Courts Fees Order 2008 </w:t>
      </w:r>
      <w:r w:rsidR="00164B05">
        <w:rPr>
          <w:b/>
          <w:bCs/>
          <w:sz w:val="28"/>
          <w:szCs w:val="28"/>
        </w:rPr>
        <w:t>No 1052</w:t>
      </w:r>
    </w:p>
    <w:p w14:paraId="20E82163" w14:textId="3CEDB0BE" w:rsidR="004E4D28" w:rsidRDefault="004E4D28" w:rsidP="00392723">
      <w:pPr>
        <w:pStyle w:val="BodyText"/>
        <w:rPr>
          <w:i/>
          <w:sz w:val="24"/>
          <w:szCs w:val="24"/>
        </w:rPr>
      </w:pPr>
      <w:r w:rsidRPr="004E4D28">
        <w:rPr>
          <w:i/>
          <w:sz w:val="24"/>
          <w:szCs w:val="24"/>
        </w:rPr>
        <w:t>The fees in scope from the Magistrates Courts Fees Order include fees such as application fees, hearings fees, copy fees, issue fees for documents or fees for the issue of warrants.</w:t>
      </w:r>
      <w:r w:rsidRPr="004E4D28">
        <w:rPr>
          <w:rStyle w:val="FootnoteReference"/>
          <w:rFonts w:eastAsiaTheme="majorEastAsia"/>
          <w:i/>
          <w:sz w:val="24"/>
          <w:szCs w:val="24"/>
        </w:rPr>
        <w:footnoteReference w:id="18"/>
      </w:r>
    </w:p>
    <w:tbl>
      <w:tblPr>
        <w:tblStyle w:val="TableGrid1"/>
        <w:tblW w:w="0" w:type="auto"/>
        <w:tblLook w:val="04A0" w:firstRow="1" w:lastRow="0" w:firstColumn="1" w:lastColumn="0" w:noHBand="0" w:noVBand="1"/>
      </w:tblPr>
      <w:tblGrid>
        <w:gridCol w:w="1219"/>
        <w:gridCol w:w="5074"/>
        <w:gridCol w:w="981"/>
        <w:gridCol w:w="1221"/>
        <w:gridCol w:w="1089"/>
      </w:tblGrid>
      <w:tr w:rsidR="003933EB" w14:paraId="7C50258E" w14:textId="77777777" w:rsidTr="00393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14:paraId="13CC6F13" w14:textId="77777777" w:rsidR="003933EB" w:rsidRDefault="003933EB" w:rsidP="00105F6A">
            <w:r>
              <w:t>SI Ref ID</w:t>
            </w:r>
          </w:p>
        </w:tc>
        <w:tc>
          <w:tcPr>
            <w:tcW w:w="5074" w:type="dxa"/>
          </w:tcPr>
          <w:p w14:paraId="24CDDD48" w14:textId="77777777" w:rsidR="003933EB" w:rsidRDefault="003933EB" w:rsidP="00105F6A">
            <w:pPr>
              <w:cnfStyle w:val="100000000000" w:firstRow="1" w:lastRow="0" w:firstColumn="0" w:lastColumn="0" w:oddVBand="0" w:evenVBand="0" w:oddHBand="0" w:evenHBand="0" w:firstRowFirstColumn="0" w:firstRowLastColumn="0" w:lastRowFirstColumn="0" w:lastRowLastColumn="0"/>
            </w:pPr>
            <w:r w:rsidRPr="00645184">
              <w:rPr>
                <w:b w:val="0"/>
                <w:bCs/>
              </w:rPr>
              <w:t>Description</w:t>
            </w:r>
          </w:p>
        </w:tc>
        <w:tc>
          <w:tcPr>
            <w:tcW w:w="981" w:type="dxa"/>
          </w:tcPr>
          <w:p w14:paraId="08AEE189" w14:textId="77777777" w:rsidR="003933EB" w:rsidRDefault="003933EB" w:rsidP="00105F6A">
            <w:pPr>
              <w:cnfStyle w:val="100000000000" w:firstRow="1" w:lastRow="0" w:firstColumn="0" w:lastColumn="0" w:oddVBand="0" w:evenVBand="0" w:oddHBand="0" w:evenHBand="0" w:firstRowFirstColumn="0" w:firstRowLastColumn="0" w:lastRowFirstColumn="0" w:lastRowLastColumn="0"/>
            </w:pPr>
            <w:r w:rsidRPr="00645184">
              <w:rPr>
                <w:b w:val="0"/>
                <w:bCs/>
              </w:rPr>
              <w:t>Current</w:t>
            </w:r>
          </w:p>
        </w:tc>
        <w:tc>
          <w:tcPr>
            <w:tcW w:w="1221" w:type="dxa"/>
          </w:tcPr>
          <w:p w14:paraId="380EF819" w14:textId="77777777" w:rsidR="003933EB" w:rsidRDefault="003933EB" w:rsidP="00105F6A">
            <w:pPr>
              <w:cnfStyle w:val="100000000000" w:firstRow="1" w:lastRow="0" w:firstColumn="0" w:lastColumn="0" w:oddVBand="0" w:evenVBand="0" w:oddHBand="0" w:evenHBand="0" w:firstRowFirstColumn="0" w:firstRowLastColumn="0" w:lastRowFirstColumn="0" w:lastRowLastColumn="0"/>
            </w:pPr>
            <w:r w:rsidRPr="00645184">
              <w:rPr>
                <w:b w:val="0"/>
                <w:bCs/>
              </w:rPr>
              <w:t>Proposed</w:t>
            </w:r>
          </w:p>
        </w:tc>
        <w:tc>
          <w:tcPr>
            <w:tcW w:w="1089" w:type="dxa"/>
          </w:tcPr>
          <w:p w14:paraId="31509AD2" w14:textId="77777777" w:rsidR="003933EB" w:rsidRDefault="003933EB" w:rsidP="00105F6A">
            <w:pPr>
              <w:cnfStyle w:val="100000000000" w:firstRow="1" w:lastRow="0" w:firstColumn="0" w:lastColumn="0" w:oddVBand="0" w:evenVBand="0" w:oddHBand="0" w:evenHBand="0" w:firstRowFirstColumn="0" w:firstRowLastColumn="0" w:lastRowFirstColumn="0" w:lastRowLastColumn="0"/>
            </w:pPr>
            <w:r w:rsidRPr="00645184">
              <w:rPr>
                <w:b w:val="0"/>
                <w:bCs/>
              </w:rPr>
              <w:t>Increase</w:t>
            </w:r>
          </w:p>
        </w:tc>
      </w:tr>
      <w:tr w:rsidR="003933EB" w14:paraId="5DD6BACE" w14:textId="77777777" w:rsidTr="00105F6A">
        <w:tc>
          <w:tcPr>
            <w:cnfStyle w:val="001000000000" w:firstRow="0" w:lastRow="0" w:firstColumn="1" w:lastColumn="0" w:oddVBand="0" w:evenVBand="0" w:oddHBand="0" w:evenHBand="0" w:firstRowFirstColumn="0" w:firstRowLastColumn="0" w:lastRowFirstColumn="0" w:lastRowLastColumn="0"/>
            <w:tcW w:w="1219" w:type="dxa"/>
          </w:tcPr>
          <w:p w14:paraId="217580B5" w14:textId="77777777" w:rsidR="003933EB" w:rsidRPr="00DE0B63" w:rsidRDefault="003933EB" w:rsidP="00105F6A">
            <w:r>
              <w:t>2.1</w:t>
            </w:r>
          </w:p>
        </w:tc>
        <w:tc>
          <w:tcPr>
            <w:tcW w:w="5074" w:type="dxa"/>
          </w:tcPr>
          <w:p w14:paraId="33D766B6" w14:textId="77777777" w:rsidR="003933EB" w:rsidRPr="00DE0B63" w:rsidRDefault="003933EB" w:rsidP="00105F6A">
            <w:pPr>
              <w:cnfStyle w:val="000000000000" w:firstRow="0" w:lastRow="0" w:firstColumn="0" w:lastColumn="0" w:oddVBand="0" w:evenVBand="0" w:oddHBand="0" w:evenHBand="0" w:firstRowFirstColumn="0" w:firstRowLastColumn="0" w:lastRowFirstColumn="0" w:lastRowLastColumn="0"/>
            </w:pPr>
            <w:r w:rsidRPr="00DE0B63">
              <w:t>Application to state a case for the opinion of the High Court</w:t>
            </w:r>
          </w:p>
        </w:tc>
        <w:tc>
          <w:tcPr>
            <w:tcW w:w="981" w:type="dxa"/>
          </w:tcPr>
          <w:p w14:paraId="698C2E7A" w14:textId="77777777" w:rsidR="003933EB" w:rsidRPr="00DE0B63"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£135</w:t>
            </w:r>
          </w:p>
        </w:tc>
        <w:tc>
          <w:tcPr>
            <w:tcW w:w="1221" w:type="dxa"/>
          </w:tcPr>
          <w:p w14:paraId="41E000C5" w14:textId="0683E333" w:rsidR="003933EB" w:rsidRPr="00F77C7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F77C7B">
              <w:t>£1</w:t>
            </w:r>
            <w:r w:rsidR="00BE27E0" w:rsidRPr="00F77C7B">
              <w:t>37</w:t>
            </w:r>
          </w:p>
        </w:tc>
        <w:tc>
          <w:tcPr>
            <w:tcW w:w="1089" w:type="dxa"/>
          </w:tcPr>
          <w:p w14:paraId="498A6879" w14:textId="5217CED7" w:rsidR="003933EB" w:rsidRPr="00F77C7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F77C7B">
              <w:t>£</w:t>
            </w:r>
            <w:r w:rsidR="00BE27E0" w:rsidRPr="00F77C7B">
              <w:t>2</w:t>
            </w:r>
          </w:p>
        </w:tc>
      </w:tr>
      <w:tr w:rsidR="003933EB" w14:paraId="6C23D4A1" w14:textId="77777777" w:rsidTr="00105F6A">
        <w:tc>
          <w:tcPr>
            <w:cnfStyle w:val="001000000000" w:firstRow="0" w:lastRow="0" w:firstColumn="1" w:lastColumn="0" w:oddVBand="0" w:evenVBand="0" w:oddHBand="0" w:evenHBand="0" w:firstRowFirstColumn="0" w:firstRowLastColumn="0" w:lastRowFirstColumn="0" w:lastRowLastColumn="0"/>
            <w:tcW w:w="1219" w:type="dxa"/>
          </w:tcPr>
          <w:p w14:paraId="11C94A4E" w14:textId="77777777" w:rsidR="003933EB" w:rsidRPr="00DE0B63" w:rsidRDefault="003933EB" w:rsidP="00105F6A">
            <w:r>
              <w:t>2.3</w:t>
            </w:r>
          </w:p>
        </w:tc>
        <w:tc>
          <w:tcPr>
            <w:tcW w:w="5074" w:type="dxa"/>
          </w:tcPr>
          <w:p w14:paraId="7234412A" w14:textId="77777777" w:rsidR="003933EB" w:rsidRPr="00DE0B63" w:rsidRDefault="003933EB" w:rsidP="00105F6A">
            <w:pPr>
              <w:cnfStyle w:val="000000000000" w:firstRow="0" w:lastRow="0" w:firstColumn="0" w:lastColumn="0" w:oddVBand="0" w:evenVBand="0" w:oddHBand="0" w:evenHBand="0" w:firstRowFirstColumn="0" w:firstRowLastColumn="0" w:lastRowFirstColumn="0" w:lastRowLastColumn="0"/>
            </w:pPr>
            <w:r w:rsidRPr="00DE0B63">
              <w:t>Appeal - proceedings under Schedule 5, Licensing Act 2003</w:t>
            </w:r>
          </w:p>
        </w:tc>
        <w:tc>
          <w:tcPr>
            <w:tcW w:w="981" w:type="dxa"/>
          </w:tcPr>
          <w:p w14:paraId="59B4D640" w14:textId="77777777" w:rsidR="003933EB" w:rsidRPr="00DE0B63"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£60</w:t>
            </w:r>
          </w:p>
        </w:tc>
        <w:tc>
          <w:tcPr>
            <w:tcW w:w="1221" w:type="dxa"/>
          </w:tcPr>
          <w:p w14:paraId="098C47F8" w14:textId="52E8580B" w:rsidR="003933EB" w:rsidRPr="00F77C7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F77C7B">
              <w:t>£6</w:t>
            </w:r>
            <w:r w:rsidR="00334884" w:rsidRPr="00F77C7B">
              <w:t>2</w:t>
            </w:r>
          </w:p>
        </w:tc>
        <w:tc>
          <w:tcPr>
            <w:tcW w:w="1089" w:type="dxa"/>
          </w:tcPr>
          <w:p w14:paraId="65B1AC17" w14:textId="5E0C714B" w:rsidR="003933EB" w:rsidRPr="00F77C7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F77C7B">
              <w:t>£</w:t>
            </w:r>
            <w:r w:rsidR="00334884" w:rsidRPr="00F77C7B">
              <w:t>2</w:t>
            </w:r>
          </w:p>
        </w:tc>
      </w:tr>
      <w:tr w:rsidR="003933EB" w14:paraId="7ADB4710" w14:textId="77777777" w:rsidTr="00105F6A">
        <w:tc>
          <w:tcPr>
            <w:cnfStyle w:val="001000000000" w:firstRow="0" w:lastRow="0" w:firstColumn="1" w:lastColumn="0" w:oddVBand="0" w:evenVBand="0" w:oddHBand="0" w:evenHBand="0" w:firstRowFirstColumn="0" w:firstRowLastColumn="0" w:lastRowFirstColumn="0" w:lastRowLastColumn="0"/>
            <w:tcW w:w="1219" w:type="dxa"/>
          </w:tcPr>
          <w:p w14:paraId="35A1225E" w14:textId="77777777" w:rsidR="003933EB" w:rsidRPr="00DE0B63" w:rsidRDefault="003933EB" w:rsidP="00105F6A">
            <w:r w:rsidRPr="00612D30">
              <w:t>2.4</w:t>
            </w:r>
          </w:p>
        </w:tc>
        <w:tc>
          <w:tcPr>
            <w:tcW w:w="5074" w:type="dxa"/>
          </w:tcPr>
          <w:p w14:paraId="01B04FFC" w14:textId="77777777" w:rsidR="003933EB" w:rsidRPr="00DE0B63" w:rsidRDefault="003933EB" w:rsidP="00105F6A">
            <w:pPr>
              <w:cnfStyle w:val="000000000000" w:firstRow="0" w:lastRow="0" w:firstColumn="0" w:lastColumn="0" w:oddVBand="0" w:evenVBand="0" w:oddHBand="0" w:evenHBand="0" w:firstRowFirstColumn="0" w:firstRowLastColumn="0" w:lastRowFirstColumn="0" w:lastRowLastColumn="0"/>
            </w:pPr>
            <w:r w:rsidRPr="00DE0B63">
              <w:t>Appeal (no other fee specified)</w:t>
            </w:r>
          </w:p>
        </w:tc>
        <w:tc>
          <w:tcPr>
            <w:tcW w:w="981" w:type="dxa"/>
          </w:tcPr>
          <w:p w14:paraId="63F9363C" w14:textId="77777777" w:rsidR="003933EB" w:rsidRPr="00DE0B63"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£60</w:t>
            </w:r>
          </w:p>
        </w:tc>
        <w:tc>
          <w:tcPr>
            <w:tcW w:w="1221" w:type="dxa"/>
          </w:tcPr>
          <w:p w14:paraId="6AA284C5" w14:textId="6049052D" w:rsidR="003933EB" w:rsidRPr="00F77C7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F77C7B">
              <w:t>£6</w:t>
            </w:r>
            <w:r w:rsidR="00334884" w:rsidRPr="00F77C7B">
              <w:t>2</w:t>
            </w:r>
          </w:p>
        </w:tc>
        <w:tc>
          <w:tcPr>
            <w:tcW w:w="1089" w:type="dxa"/>
          </w:tcPr>
          <w:p w14:paraId="77CC7CC3" w14:textId="16FBE5C9" w:rsidR="003933EB" w:rsidRPr="00F77C7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F77C7B">
              <w:t>£</w:t>
            </w:r>
            <w:r w:rsidR="00334884" w:rsidRPr="00F77C7B">
              <w:t>2</w:t>
            </w:r>
          </w:p>
        </w:tc>
      </w:tr>
      <w:tr w:rsidR="003933EB" w14:paraId="08AA57AD"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49422553" w14:textId="77777777" w:rsidR="003933EB" w:rsidRDefault="003933EB" w:rsidP="00105F6A">
            <w:r w:rsidRPr="00DE0B63">
              <w:t>3.2</w:t>
            </w:r>
          </w:p>
        </w:tc>
        <w:tc>
          <w:tcPr>
            <w:tcW w:w="5074" w:type="dxa"/>
          </w:tcPr>
          <w:p w14:paraId="099ECC61"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Request for a certificate of satisfaction</w:t>
            </w:r>
          </w:p>
        </w:tc>
        <w:tc>
          <w:tcPr>
            <w:tcW w:w="981" w:type="dxa"/>
          </w:tcPr>
          <w:p w14:paraId="2C1355F1"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£15</w:t>
            </w:r>
          </w:p>
        </w:tc>
        <w:tc>
          <w:tcPr>
            <w:tcW w:w="1221" w:type="dxa"/>
          </w:tcPr>
          <w:p w14:paraId="7CD4DAEF"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£16</w:t>
            </w:r>
          </w:p>
        </w:tc>
        <w:tc>
          <w:tcPr>
            <w:tcW w:w="1089" w:type="dxa"/>
          </w:tcPr>
          <w:p w14:paraId="0CE0019B"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w:t>
            </w:r>
          </w:p>
        </w:tc>
      </w:tr>
      <w:tr w:rsidR="003933EB" w14:paraId="18003123"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318CFFE5" w14:textId="77777777" w:rsidR="003933EB" w:rsidRDefault="003933EB" w:rsidP="00105F6A">
            <w:r w:rsidRPr="00DE0B63">
              <w:t>5.1a</w:t>
            </w:r>
          </w:p>
        </w:tc>
        <w:tc>
          <w:tcPr>
            <w:tcW w:w="5074" w:type="dxa"/>
          </w:tcPr>
          <w:p w14:paraId="0941CF3C"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Copy of a document (10 pages or less).</w:t>
            </w:r>
          </w:p>
        </w:tc>
        <w:tc>
          <w:tcPr>
            <w:tcW w:w="981" w:type="dxa"/>
          </w:tcPr>
          <w:p w14:paraId="3CB7D882"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£10</w:t>
            </w:r>
          </w:p>
        </w:tc>
        <w:tc>
          <w:tcPr>
            <w:tcW w:w="1221" w:type="dxa"/>
          </w:tcPr>
          <w:p w14:paraId="73F9D767"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£11</w:t>
            </w:r>
          </w:p>
        </w:tc>
        <w:tc>
          <w:tcPr>
            <w:tcW w:w="1089" w:type="dxa"/>
          </w:tcPr>
          <w:p w14:paraId="52C98500"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w:t>
            </w:r>
          </w:p>
        </w:tc>
      </w:tr>
      <w:tr w:rsidR="003933EB" w14:paraId="1F27F438"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5A69C0EA" w14:textId="77777777" w:rsidR="003933EB" w:rsidRDefault="003933EB" w:rsidP="00105F6A">
            <w:r w:rsidRPr="00DE0B63">
              <w:t>5.2</w:t>
            </w:r>
          </w:p>
        </w:tc>
        <w:tc>
          <w:tcPr>
            <w:tcW w:w="5074" w:type="dxa"/>
          </w:tcPr>
          <w:p w14:paraId="261AA980"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Copy of a document in electronic form (for each copy)</w:t>
            </w:r>
          </w:p>
        </w:tc>
        <w:tc>
          <w:tcPr>
            <w:tcW w:w="981" w:type="dxa"/>
          </w:tcPr>
          <w:p w14:paraId="67E55AD4"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£10</w:t>
            </w:r>
          </w:p>
        </w:tc>
        <w:tc>
          <w:tcPr>
            <w:tcW w:w="1221" w:type="dxa"/>
          </w:tcPr>
          <w:p w14:paraId="64DA7438"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£11</w:t>
            </w:r>
          </w:p>
        </w:tc>
        <w:tc>
          <w:tcPr>
            <w:tcW w:w="1089" w:type="dxa"/>
          </w:tcPr>
          <w:p w14:paraId="2BA97631"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w:t>
            </w:r>
          </w:p>
        </w:tc>
      </w:tr>
      <w:tr w:rsidR="003933EB" w14:paraId="1BFB16BB"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5AD0C795" w14:textId="77777777" w:rsidR="003933EB" w:rsidRDefault="003933EB" w:rsidP="00105F6A">
            <w:r w:rsidRPr="00DE0B63">
              <w:t>6.1</w:t>
            </w:r>
          </w:p>
        </w:tc>
        <w:tc>
          <w:tcPr>
            <w:tcW w:w="5074" w:type="dxa"/>
          </w:tcPr>
          <w:p w14:paraId="168584A9"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Request for licence/consent/authority (no other fee specified)</w:t>
            </w:r>
          </w:p>
        </w:tc>
        <w:tc>
          <w:tcPr>
            <w:tcW w:w="981" w:type="dxa"/>
          </w:tcPr>
          <w:p w14:paraId="1B3EFF98"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£25</w:t>
            </w:r>
          </w:p>
        </w:tc>
        <w:tc>
          <w:tcPr>
            <w:tcW w:w="1221" w:type="dxa"/>
          </w:tcPr>
          <w:p w14:paraId="5AE02689"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£27</w:t>
            </w:r>
          </w:p>
        </w:tc>
        <w:tc>
          <w:tcPr>
            <w:tcW w:w="1089" w:type="dxa"/>
          </w:tcPr>
          <w:p w14:paraId="64333813"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w:t>
            </w:r>
          </w:p>
        </w:tc>
      </w:tr>
      <w:tr w:rsidR="003933EB" w14:paraId="49BF8D83"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0AA3D802" w14:textId="77777777" w:rsidR="003933EB" w:rsidRDefault="003933EB" w:rsidP="00105F6A">
            <w:r w:rsidRPr="00DE0B63">
              <w:t>6.2</w:t>
            </w:r>
          </w:p>
        </w:tc>
        <w:tc>
          <w:tcPr>
            <w:tcW w:w="5074" w:type="dxa"/>
          </w:tcPr>
          <w:p w14:paraId="4AA2708F"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Application for renewal/variation of an existing licence</w:t>
            </w:r>
          </w:p>
        </w:tc>
        <w:tc>
          <w:tcPr>
            <w:tcW w:w="981" w:type="dxa"/>
          </w:tcPr>
          <w:p w14:paraId="54C501C1"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£25</w:t>
            </w:r>
          </w:p>
        </w:tc>
        <w:tc>
          <w:tcPr>
            <w:tcW w:w="1221" w:type="dxa"/>
          </w:tcPr>
          <w:p w14:paraId="24E120DB"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£27</w:t>
            </w:r>
          </w:p>
        </w:tc>
        <w:tc>
          <w:tcPr>
            <w:tcW w:w="1089" w:type="dxa"/>
          </w:tcPr>
          <w:p w14:paraId="6BB63FEE"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w:t>
            </w:r>
          </w:p>
        </w:tc>
      </w:tr>
      <w:tr w:rsidR="003933EB" w14:paraId="6630C071"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54A4C4C3" w14:textId="77777777" w:rsidR="003933EB" w:rsidRDefault="003933EB" w:rsidP="00105F6A">
            <w:r w:rsidRPr="00DE0B63">
              <w:t>6.3</w:t>
            </w:r>
          </w:p>
        </w:tc>
        <w:tc>
          <w:tcPr>
            <w:tcW w:w="5074" w:type="dxa"/>
          </w:tcPr>
          <w:p w14:paraId="501D5570"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Application for the revocation of licence (no other fee specified)</w:t>
            </w:r>
          </w:p>
        </w:tc>
        <w:tc>
          <w:tcPr>
            <w:tcW w:w="981" w:type="dxa"/>
          </w:tcPr>
          <w:p w14:paraId="10639969"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£25</w:t>
            </w:r>
          </w:p>
        </w:tc>
        <w:tc>
          <w:tcPr>
            <w:tcW w:w="1221" w:type="dxa"/>
          </w:tcPr>
          <w:p w14:paraId="5800FDF3"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£27</w:t>
            </w:r>
          </w:p>
        </w:tc>
        <w:tc>
          <w:tcPr>
            <w:tcW w:w="1089" w:type="dxa"/>
          </w:tcPr>
          <w:p w14:paraId="391B44F2"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w:t>
            </w:r>
          </w:p>
        </w:tc>
      </w:tr>
      <w:tr w:rsidR="003933EB" w14:paraId="0D2E5090" w14:textId="77777777" w:rsidTr="00105F6A">
        <w:tc>
          <w:tcPr>
            <w:cnfStyle w:val="001000000000" w:firstRow="0" w:lastRow="0" w:firstColumn="1" w:lastColumn="0" w:oddVBand="0" w:evenVBand="0" w:oddHBand="0" w:evenHBand="0" w:firstRowFirstColumn="0" w:firstRowLastColumn="0" w:lastRowFirstColumn="0" w:lastRowLastColumn="0"/>
            <w:tcW w:w="1219" w:type="dxa"/>
          </w:tcPr>
          <w:p w14:paraId="7753A8A8" w14:textId="77777777" w:rsidR="003933EB" w:rsidRPr="00DE0B63" w:rsidRDefault="003933EB" w:rsidP="00105F6A">
            <w:r w:rsidRPr="008A4645">
              <w:t>7.1</w:t>
            </w:r>
          </w:p>
        </w:tc>
        <w:tc>
          <w:tcPr>
            <w:tcW w:w="5074" w:type="dxa"/>
          </w:tcPr>
          <w:p w14:paraId="5F7A2DAA" w14:textId="77777777" w:rsidR="003933EB" w:rsidRPr="00DE0B63" w:rsidRDefault="003933EB" w:rsidP="00105F6A">
            <w:pPr>
              <w:cnfStyle w:val="000000000000" w:firstRow="0" w:lastRow="0" w:firstColumn="0" w:lastColumn="0" w:oddVBand="0" w:evenVBand="0" w:oddHBand="0" w:evenHBand="0" w:firstRowFirstColumn="0" w:firstRowLastColumn="0" w:lastRowFirstColumn="0" w:lastRowLastColumn="0"/>
            </w:pPr>
            <w:r w:rsidRPr="00DE0B63">
              <w:t>On taking attestation of a constable or special constable</w:t>
            </w:r>
          </w:p>
        </w:tc>
        <w:tc>
          <w:tcPr>
            <w:tcW w:w="981" w:type="dxa"/>
          </w:tcPr>
          <w:p w14:paraId="6D36BDAE" w14:textId="77777777" w:rsidR="003933EB" w:rsidRPr="00DE0B63"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£10</w:t>
            </w:r>
          </w:p>
        </w:tc>
        <w:tc>
          <w:tcPr>
            <w:tcW w:w="1221" w:type="dxa"/>
          </w:tcPr>
          <w:p w14:paraId="68179DC4" w14:textId="77777777" w:rsidR="003933EB" w:rsidRPr="00DE0B63"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£11</w:t>
            </w:r>
          </w:p>
        </w:tc>
        <w:tc>
          <w:tcPr>
            <w:tcW w:w="1089" w:type="dxa"/>
          </w:tcPr>
          <w:p w14:paraId="6D0C5539" w14:textId="77777777" w:rsidR="003933EB" w:rsidRPr="00DE0B63"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w:t>
            </w:r>
          </w:p>
        </w:tc>
      </w:tr>
      <w:tr w:rsidR="003933EB" w14:paraId="7D4C6F82"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44D56AAC" w14:textId="77777777" w:rsidR="003933EB" w:rsidRDefault="003933EB" w:rsidP="00105F6A">
            <w:r w:rsidRPr="00DE0B63">
              <w:t>7.2</w:t>
            </w:r>
          </w:p>
        </w:tc>
        <w:tc>
          <w:tcPr>
            <w:tcW w:w="5074" w:type="dxa"/>
          </w:tcPr>
          <w:p w14:paraId="4A6A1177"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For every oath (etc) where no other fee is specified.</w:t>
            </w:r>
          </w:p>
        </w:tc>
        <w:tc>
          <w:tcPr>
            <w:tcW w:w="981" w:type="dxa"/>
          </w:tcPr>
          <w:p w14:paraId="622CD8EC"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£25</w:t>
            </w:r>
          </w:p>
        </w:tc>
        <w:tc>
          <w:tcPr>
            <w:tcW w:w="1221" w:type="dxa"/>
          </w:tcPr>
          <w:p w14:paraId="6D8AB5A4"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£27</w:t>
            </w:r>
          </w:p>
        </w:tc>
        <w:tc>
          <w:tcPr>
            <w:tcW w:w="1089" w:type="dxa"/>
          </w:tcPr>
          <w:p w14:paraId="7D674198"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w:t>
            </w:r>
          </w:p>
        </w:tc>
      </w:tr>
      <w:tr w:rsidR="003933EB" w14:paraId="37BDBB6E"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655D9150" w14:textId="77777777" w:rsidR="003933EB" w:rsidRDefault="003933EB" w:rsidP="00105F6A">
            <w:r w:rsidRPr="00DE0B63">
              <w:t>8.2a</w:t>
            </w:r>
          </w:p>
        </w:tc>
        <w:tc>
          <w:tcPr>
            <w:tcW w:w="5074" w:type="dxa"/>
          </w:tcPr>
          <w:p w14:paraId="519C9668"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Application for leave/permission to commence proceedings (no other fee specified)</w:t>
            </w:r>
          </w:p>
        </w:tc>
        <w:tc>
          <w:tcPr>
            <w:tcW w:w="981" w:type="dxa"/>
          </w:tcPr>
          <w:p w14:paraId="7F4306A5"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£116</w:t>
            </w:r>
          </w:p>
        </w:tc>
        <w:tc>
          <w:tcPr>
            <w:tcW w:w="1221" w:type="dxa"/>
          </w:tcPr>
          <w:p w14:paraId="4962D33D"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£125</w:t>
            </w:r>
          </w:p>
        </w:tc>
        <w:tc>
          <w:tcPr>
            <w:tcW w:w="1089" w:type="dxa"/>
          </w:tcPr>
          <w:p w14:paraId="6F4EA931"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£9</w:t>
            </w:r>
          </w:p>
        </w:tc>
      </w:tr>
      <w:tr w:rsidR="003933EB" w14:paraId="3C890FEA"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04CC43E8" w14:textId="77777777" w:rsidR="003933EB" w:rsidRDefault="003933EB" w:rsidP="00105F6A">
            <w:r w:rsidRPr="00DE0B63">
              <w:t>8.2b</w:t>
            </w:r>
          </w:p>
        </w:tc>
        <w:tc>
          <w:tcPr>
            <w:tcW w:w="5074" w:type="dxa"/>
          </w:tcPr>
          <w:p w14:paraId="2B55BFB3"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Proceedings where leave/permission has been granted</w:t>
            </w:r>
          </w:p>
        </w:tc>
        <w:tc>
          <w:tcPr>
            <w:tcW w:w="981" w:type="dxa"/>
          </w:tcPr>
          <w:p w14:paraId="13A7F425"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£116</w:t>
            </w:r>
          </w:p>
        </w:tc>
        <w:tc>
          <w:tcPr>
            <w:tcW w:w="1221" w:type="dxa"/>
          </w:tcPr>
          <w:p w14:paraId="2D4DF92C"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£125</w:t>
            </w:r>
          </w:p>
        </w:tc>
        <w:tc>
          <w:tcPr>
            <w:tcW w:w="1089" w:type="dxa"/>
          </w:tcPr>
          <w:p w14:paraId="235CDCA3"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£9</w:t>
            </w:r>
          </w:p>
        </w:tc>
      </w:tr>
      <w:tr w:rsidR="003933EB" w14:paraId="1166355C"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6C8732D2" w14:textId="77777777" w:rsidR="003933EB" w:rsidRDefault="003933EB" w:rsidP="00105F6A">
            <w:r w:rsidRPr="00DE0B63">
              <w:t>9.1</w:t>
            </w:r>
          </w:p>
        </w:tc>
        <w:tc>
          <w:tcPr>
            <w:tcW w:w="5074" w:type="dxa"/>
          </w:tcPr>
          <w:p w14:paraId="19B5886B"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Application for a warrant of entry</w:t>
            </w:r>
          </w:p>
        </w:tc>
        <w:tc>
          <w:tcPr>
            <w:tcW w:w="981" w:type="dxa"/>
          </w:tcPr>
          <w:p w14:paraId="643F3A86"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£20</w:t>
            </w:r>
          </w:p>
        </w:tc>
        <w:tc>
          <w:tcPr>
            <w:tcW w:w="1221" w:type="dxa"/>
          </w:tcPr>
          <w:p w14:paraId="68B515B9"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£22</w:t>
            </w:r>
          </w:p>
        </w:tc>
        <w:tc>
          <w:tcPr>
            <w:tcW w:w="1089" w:type="dxa"/>
          </w:tcPr>
          <w:p w14:paraId="060F3B65"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w:t>
            </w:r>
          </w:p>
        </w:tc>
      </w:tr>
      <w:tr w:rsidR="003933EB" w14:paraId="383F58DB" w14:textId="77777777" w:rsidTr="003933EB">
        <w:tc>
          <w:tcPr>
            <w:cnfStyle w:val="001000000000" w:firstRow="0" w:lastRow="0" w:firstColumn="1" w:lastColumn="0" w:oddVBand="0" w:evenVBand="0" w:oddHBand="0" w:evenHBand="0" w:firstRowFirstColumn="0" w:firstRowLastColumn="0" w:lastRowFirstColumn="0" w:lastRowLastColumn="0"/>
            <w:tcW w:w="1219" w:type="dxa"/>
          </w:tcPr>
          <w:p w14:paraId="1919CF95" w14:textId="77777777" w:rsidR="003933EB" w:rsidRDefault="003933EB" w:rsidP="00105F6A">
            <w:r w:rsidRPr="00DE0B63">
              <w:t>9.2</w:t>
            </w:r>
          </w:p>
        </w:tc>
        <w:tc>
          <w:tcPr>
            <w:tcW w:w="5074" w:type="dxa"/>
          </w:tcPr>
          <w:p w14:paraId="0E3D53B6"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Application for any other warrant (no other fee specified).</w:t>
            </w:r>
          </w:p>
        </w:tc>
        <w:tc>
          <w:tcPr>
            <w:tcW w:w="981" w:type="dxa"/>
          </w:tcPr>
          <w:p w14:paraId="61C112A8"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£75</w:t>
            </w:r>
          </w:p>
        </w:tc>
        <w:tc>
          <w:tcPr>
            <w:tcW w:w="1221" w:type="dxa"/>
          </w:tcPr>
          <w:p w14:paraId="46F590F2"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£81</w:t>
            </w:r>
          </w:p>
        </w:tc>
        <w:tc>
          <w:tcPr>
            <w:tcW w:w="1089" w:type="dxa"/>
          </w:tcPr>
          <w:p w14:paraId="55C66C8E"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£6</w:t>
            </w:r>
          </w:p>
        </w:tc>
      </w:tr>
      <w:tr w:rsidR="003933EB" w14:paraId="379AEE78" w14:textId="77777777" w:rsidTr="003933EB">
        <w:tc>
          <w:tcPr>
            <w:cnfStyle w:val="001000000000" w:firstRow="0" w:lastRow="0" w:firstColumn="1" w:lastColumn="0" w:oddVBand="0" w:evenVBand="0" w:oddHBand="0" w:evenHBand="0" w:firstRowFirstColumn="0" w:firstRowLastColumn="0" w:lastRowFirstColumn="0" w:lastRowLastColumn="0"/>
            <w:tcW w:w="1219" w:type="dxa"/>
            <w:shd w:val="clear" w:color="auto" w:fill="auto"/>
          </w:tcPr>
          <w:p w14:paraId="71409828" w14:textId="77777777" w:rsidR="003933EB" w:rsidRDefault="003933EB" w:rsidP="00105F6A">
            <w:r w:rsidRPr="00DE0B63">
              <w:t>10.1</w:t>
            </w:r>
          </w:p>
        </w:tc>
        <w:tc>
          <w:tcPr>
            <w:tcW w:w="5074" w:type="dxa"/>
            <w:shd w:val="clear" w:color="auto" w:fill="auto"/>
          </w:tcPr>
          <w:p w14:paraId="561A2520"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Application for a warrant of commitment</w:t>
            </w:r>
          </w:p>
        </w:tc>
        <w:tc>
          <w:tcPr>
            <w:tcW w:w="981" w:type="dxa"/>
            <w:shd w:val="clear" w:color="auto" w:fill="auto"/>
          </w:tcPr>
          <w:p w14:paraId="440F1A5C"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£245</w:t>
            </w:r>
          </w:p>
        </w:tc>
        <w:tc>
          <w:tcPr>
            <w:tcW w:w="1221" w:type="dxa"/>
            <w:shd w:val="clear" w:color="auto" w:fill="auto"/>
          </w:tcPr>
          <w:p w14:paraId="12731E2E"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£264</w:t>
            </w:r>
          </w:p>
        </w:tc>
        <w:tc>
          <w:tcPr>
            <w:tcW w:w="1089" w:type="dxa"/>
            <w:shd w:val="clear" w:color="auto" w:fill="auto"/>
          </w:tcPr>
          <w:p w14:paraId="65598D9F"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£19</w:t>
            </w:r>
          </w:p>
        </w:tc>
      </w:tr>
      <w:tr w:rsidR="003933EB" w14:paraId="76D57D80" w14:textId="77777777" w:rsidTr="00105F6A">
        <w:tc>
          <w:tcPr>
            <w:cnfStyle w:val="001000000000" w:firstRow="0" w:lastRow="0" w:firstColumn="1" w:lastColumn="0" w:oddVBand="0" w:evenVBand="0" w:oddHBand="0" w:evenHBand="0" w:firstRowFirstColumn="0" w:firstRowLastColumn="0" w:lastRowFirstColumn="0" w:lastRowLastColumn="0"/>
            <w:tcW w:w="1219" w:type="dxa"/>
            <w:shd w:val="clear" w:color="auto" w:fill="auto"/>
          </w:tcPr>
          <w:p w14:paraId="4DBB460A" w14:textId="77777777" w:rsidR="003933EB" w:rsidRDefault="003933EB" w:rsidP="00105F6A">
            <w:r>
              <w:t>10.2</w:t>
            </w:r>
          </w:p>
        </w:tc>
        <w:tc>
          <w:tcPr>
            <w:tcW w:w="5074" w:type="dxa"/>
            <w:shd w:val="clear" w:color="auto" w:fill="auto"/>
          </w:tcPr>
          <w:p w14:paraId="247ABC4F" w14:textId="77777777" w:rsidR="003933EB" w:rsidRDefault="003933EB" w:rsidP="00105F6A">
            <w:pPr>
              <w:cnfStyle w:val="000000000000" w:firstRow="0" w:lastRow="0" w:firstColumn="0" w:lastColumn="0" w:oddVBand="0" w:evenVBand="0" w:oddHBand="0" w:evenHBand="0" w:firstRowFirstColumn="0" w:firstRowLastColumn="0" w:lastRowFirstColumn="0" w:lastRowLastColumn="0"/>
            </w:pPr>
            <w:r w:rsidRPr="00DE0B63">
              <w:t>Warrant of commitment (Child Support Act 1991)</w:t>
            </w:r>
          </w:p>
        </w:tc>
        <w:tc>
          <w:tcPr>
            <w:tcW w:w="981" w:type="dxa"/>
            <w:shd w:val="clear" w:color="auto" w:fill="auto"/>
          </w:tcPr>
          <w:p w14:paraId="1396F1E7"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£40</w:t>
            </w:r>
          </w:p>
        </w:tc>
        <w:tc>
          <w:tcPr>
            <w:tcW w:w="1221" w:type="dxa"/>
            <w:shd w:val="clear" w:color="auto" w:fill="auto"/>
          </w:tcPr>
          <w:p w14:paraId="20CADE2C"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£41</w:t>
            </w:r>
          </w:p>
        </w:tc>
        <w:tc>
          <w:tcPr>
            <w:tcW w:w="1089" w:type="dxa"/>
            <w:shd w:val="clear" w:color="auto" w:fill="auto"/>
          </w:tcPr>
          <w:p w14:paraId="21B9FAC1" w14:textId="77777777" w:rsidR="003933EB" w:rsidRDefault="003933EB" w:rsidP="00AE4001">
            <w:pPr>
              <w:jc w:val="right"/>
              <w:cnfStyle w:val="000000000000" w:firstRow="0" w:lastRow="0" w:firstColumn="0" w:lastColumn="0" w:oddVBand="0" w:evenVBand="0" w:oddHBand="0" w:evenHBand="0" w:firstRowFirstColumn="0" w:firstRowLastColumn="0" w:lastRowFirstColumn="0" w:lastRowLastColumn="0"/>
            </w:pPr>
            <w:r w:rsidRPr="00DE0B63">
              <w:t>£1</w:t>
            </w:r>
          </w:p>
        </w:tc>
      </w:tr>
    </w:tbl>
    <w:p w14:paraId="05A24D35" w14:textId="77777777" w:rsidR="00822F9E" w:rsidRDefault="00822F9E" w:rsidP="00392723">
      <w:pPr>
        <w:pStyle w:val="BodyText"/>
        <w:rPr>
          <w:i/>
          <w:sz w:val="24"/>
          <w:szCs w:val="24"/>
        </w:rPr>
      </w:pPr>
    </w:p>
    <w:p w14:paraId="3ABA54D6" w14:textId="77777777" w:rsidR="00B87ED8" w:rsidRPr="00392723" w:rsidRDefault="00B87ED8" w:rsidP="00392723">
      <w:pPr>
        <w:pStyle w:val="BodyText"/>
        <w:rPr>
          <w:i/>
          <w:sz w:val="24"/>
          <w:szCs w:val="24"/>
        </w:rPr>
      </w:pPr>
    </w:p>
    <w:p w14:paraId="25211DB0" w14:textId="11004C10" w:rsidR="008A6526" w:rsidRDefault="008A6526" w:rsidP="002652C0"/>
    <w:p w14:paraId="5372BE94" w14:textId="3CEE8FFE" w:rsidR="008A6526" w:rsidRDefault="008A6526" w:rsidP="002652C0">
      <w:pPr>
        <w:rPr>
          <w:b/>
          <w:sz w:val="28"/>
          <w:szCs w:val="28"/>
        </w:rPr>
      </w:pPr>
      <w:r w:rsidRPr="008A6526">
        <w:rPr>
          <w:b/>
          <w:bCs/>
          <w:sz w:val="28"/>
          <w:szCs w:val="28"/>
        </w:rPr>
        <w:t>Court of Protection Fees Order 2007</w:t>
      </w:r>
      <w:r w:rsidR="00353292">
        <w:rPr>
          <w:b/>
          <w:bCs/>
          <w:sz w:val="28"/>
          <w:szCs w:val="28"/>
        </w:rPr>
        <w:t xml:space="preserve"> No 1745</w:t>
      </w:r>
    </w:p>
    <w:p w14:paraId="65C0F4FF" w14:textId="69938340" w:rsidR="00392723" w:rsidRDefault="00392723" w:rsidP="002652C0">
      <w:r w:rsidRPr="00A56283">
        <w:rPr>
          <w:i/>
        </w:rPr>
        <w:t xml:space="preserve">The fees in scope from the Court of Protection Fees Order include the fee to apply for action under, a hearing under or </w:t>
      </w:r>
      <w:r>
        <w:rPr>
          <w:i/>
        </w:rPr>
        <w:t xml:space="preserve">to </w:t>
      </w:r>
      <w:r w:rsidRPr="00A56283">
        <w:rPr>
          <w:i/>
        </w:rPr>
        <w:t>appeal a decision made under the Mental Capacity Act 2005.</w:t>
      </w:r>
    </w:p>
    <w:tbl>
      <w:tblPr>
        <w:tblStyle w:val="TableGrid"/>
        <w:tblW w:w="0" w:type="auto"/>
        <w:tblLook w:val="04A0" w:firstRow="1" w:lastRow="0" w:firstColumn="1" w:lastColumn="0" w:noHBand="0" w:noVBand="1"/>
      </w:tblPr>
      <w:tblGrid>
        <w:gridCol w:w="1219"/>
        <w:gridCol w:w="5074"/>
        <w:gridCol w:w="1017"/>
        <w:gridCol w:w="1244"/>
        <w:gridCol w:w="1137"/>
      </w:tblGrid>
      <w:tr w:rsidR="00486665" w14:paraId="55E11685" w14:textId="77777777" w:rsidTr="004072A7">
        <w:tc>
          <w:tcPr>
            <w:tcW w:w="1219"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Pr>
          <w:p w14:paraId="302D8371" w14:textId="77777777" w:rsidR="00370233" w:rsidRDefault="00370233" w:rsidP="003C4B1A">
            <w:r>
              <w:t>SI Ref ID</w:t>
            </w:r>
          </w:p>
        </w:tc>
        <w:tc>
          <w:tcPr>
            <w:tcW w:w="5074"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Pr>
          <w:p w14:paraId="5D1858EC" w14:textId="77777777" w:rsidR="00370233" w:rsidRDefault="00370233" w:rsidP="003C4B1A">
            <w:r w:rsidRPr="00645184">
              <w:t>Description</w:t>
            </w:r>
          </w:p>
        </w:tc>
        <w:tc>
          <w:tcPr>
            <w:tcW w:w="981"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Pr>
          <w:p w14:paraId="0A182B88" w14:textId="77777777" w:rsidR="00370233" w:rsidRDefault="00370233" w:rsidP="003C4B1A">
            <w:r w:rsidRPr="00645184">
              <w:t>Current</w:t>
            </w:r>
          </w:p>
        </w:tc>
        <w:tc>
          <w:tcPr>
            <w:tcW w:w="1221"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Pr>
          <w:p w14:paraId="5C4AB30E" w14:textId="77777777" w:rsidR="00370233" w:rsidRDefault="00370233" w:rsidP="003C4B1A">
            <w:r w:rsidRPr="00645184">
              <w:t>Proposed</w:t>
            </w:r>
          </w:p>
        </w:tc>
        <w:tc>
          <w:tcPr>
            <w:tcW w:w="0"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Pr>
          <w:p w14:paraId="38C41832" w14:textId="77777777" w:rsidR="00370233" w:rsidRDefault="00370233" w:rsidP="003C4B1A">
            <w:r w:rsidRPr="00645184">
              <w:t>Increase</w:t>
            </w:r>
          </w:p>
        </w:tc>
      </w:tr>
      <w:tr w:rsidR="00370233" w14:paraId="5C60B5C8" w14:textId="77777777" w:rsidTr="004072A7">
        <w:tc>
          <w:tcPr>
            <w:tcW w:w="1219" w:type="dxa"/>
          </w:tcPr>
          <w:p w14:paraId="3729DCC9" w14:textId="77777777" w:rsidR="00370233" w:rsidRDefault="00370233" w:rsidP="003C4B1A">
            <w:r>
              <w:t>4</w:t>
            </w:r>
          </w:p>
        </w:tc>
        <w:tc>
          <w:tcPr>
            <w:tcW w:w="5074" w:type="dxa"/>
          </w:tcPr>
          <w:p w14:paraId="5C07D725" w14:textId="77777777" w:rsidR="00370233" w:rsidRDefault="00370233" w:rsidP="003C4B1A">
            <w:r w:rsidRPr="00F93A95">
              <w:t>Application fee (Article 4)</w:t>
            </w:r>
          </w:p>
        </w:tc>
        <w:tc>
          <w:tcPr>
            <w:tcW w:w="0" w:type="dxa"/>
          </w:tcPr>
          <w:p w14:paraId="33D59543" w14:textId="77777777" w:rsidR="00370233" w:rsidRDefault="00370233" w:rsidP="00AE4001">
            <w:pPr>
              <w:jc w:val="right"/>
            </w:pPr>
            <w:r w:rsidRPr="00F93A95">
              <w:t>£365</w:t>
            </w:r>
          </w:p>
        </w:tc>
        <w:tc>
          <w:tcPr>
            <w:tcW w:w="0" w:type="dxa"/>
          </w:tcPr>
          <w:p w14:paraId="23CBF79E" w14:textId="164ABB83" w:rsidR="00370233" w:rsidRDefault="00370233" w:rsidP="00AE4001">
            <w:pPr>
              <w:jc w:val="right"/>
            </w:pPr>
            <w:r w:rsidRPr="00F77C7B">
              <w:t>£37</w:t>
            </w:r>
            <w:r w:rsidR="005323BE" w:rsidRPr="00F77C7B">
              <w:t>1</w:t>
            </w:r>
          </w:p>
        </w:tc>
        <w:tc>
          <w:tcPr>
            <w:tcW w:w="1089" w:type="dxa"/>
          </w:tcPr>
          <w:p w14:paraId="62E73ECA" w14:textId="7F80AF41" w:rsidR="00370233" w:rsidRDefault="00370233" w:rsidP="00AE4001">
            <w:pPr>
              <w:jc w:val="right"/>
            </w:pPr>
            <w:r w:rsidRPr="00F77C7B">
              <w:t>£</w:t>
            </w:r>
            <w:r w:rsidR="007F3098" w:rsidRPr="00F77C7B">
              <w:t>6</w:t>
            </w:r>
          </w:p>
        </w:tc>
      </w:tr>
      <w:tr w:rsidR="00370233" w14:paraId="3B085CF3" w14:textId="77777777" w:rsidTr="004072A7">
        <w:tc>
          <w:tcPr>
            <w:tcW w:w="1219" w:type="dxa"/>
          </w:tcPr>
          <w:p w14:paraId="052A90CD" w14:textId="77777777" w:rsidR="00370233" w:rsidRDefault="00370233" w:rsidP="003C4B1A">
            <w:r w:rsidRPr="00F93A95">
              <w:lastRenderedPageBreak/>
              <w:t>5</w:t>
            </w:r>
          </w:p>
        </w:tc>
        <w:tc>
          <w:tcPr>
            <w:tcW w:w="5074" w:type="dxa"/>
          </w:tcPr>
          <w:p w14:paraId="4D01C577" w14:textId="77777777" w:rsidR="00370233" w:rsidRDefault="00370233" w:rsidP="003C4B1A">
            <w:r w:rsidRPr="00F93A95">
              <w:t xml:space="preserve">Appeal fee </w:t>
            </w:r>
            <w:r>
              <w:t>(</w:t>
            </w:r>
            <w:r w:rsidRPr="00F93A95">
              <w:t>Article 5</w:t>
            </w:r>
            <w:r>
              <w:t>)</w:t>
            </w:r>
          </w:p>
        </w:tc>
        <w:tc>
          <w:tcPr>
            <w:tcW w:w="0" w:type="dxa"/>
          </w:tcPr>
          <w:p w14:paraId="58013A86" w14:textId="77777777" w:rsidR="00370233" w:rsidRDefault="00370233" w:rsidP="00AE4001">
            <w:pPr>
              <w:jc w:val="right"/>
            </w:pPr>
            <w:r w:rsidRPr="00F93A95">
              <w:t>£230</w:t>
            </w:r>
          </w:p>
        </w:tc>
        <w:tc>
          <w:tcPr>
            <w:tcW w:w="0" w:type="dxa"/>
          </w:tcPr>
          <w:p w14:paraId="422F0DC8" w14:textId="7E5E5496" w:rsidR="00370233" w:rsidRPr="00F77C7B" w:rsidRDefault="00370233" w:rsidP="00AE4001">
            <w:pPr>
              <w:jc w:val="right"/>
            </w:pPr>
            <w:r w:rsidRPr="00F77C7B">
              <w:t>£23</w:t>
            </w:r>
            <w:r w:rsidR="007F3098" w:rsidRPr="00F77C7B">
              <w:t>4</w:t>
            </w:r>
          </w:p>
        </w:tc>
        <w:tc>
          <w:tcPr>
            <w:tcW w:w="1089" w:type="dxa"/>
          </w:tcPr>
          <w:p w14:paraId="2230891A" w14:textId="7F1B464B" w:rsidR="00370233" w:rsidRPr="00F77C7B" w:rsidRDefault="00370233" w:rsidP="00AE4001">
            <w:pPr>
              <w:jc w:val="right"/>
            </w:pPr>
            <w:r w:rsidRPr="00F77C7B">
              <w:t>£</w:t>
            </w:r>
            <w:r w:rsidR="007F3098" w:rsidRPr="00F77C7B">
              <w:t>4</w:t>
            </w:r>
          </w:p>
        </w:tc>
      </w:tr>
      <w:tr w:rsidR="00370233" w14:paraId="45C89C2D" w14:textId="77777777" w:rsidTr="004072A7">
        <w:tc>
          <w:tcPr>
            <w:tcW w:w="1219" w:type="dxa"/>
          </w:tcPr>
          <w:p w14:paraId="4AE29A16" w14:textId="77777777" w:rsidR="00370233" w:rsidRDefault="00370233" w:rsidP="003C4B1A">
            <w:r>
              <w:t>6</w:t>
            </w:r>
          </w:p>
        </w:tc>
        <w:tc>
          <w:tcPr>
            <w:tcW w:w="5074" w:type="dxa"/>
          </w:tcPr>
          <w:p w14:paraId="723E2697" w14:textId="77777777" w:rsidR="00370233" w:rsidRDefault="00370233" w:rsidP="003C4B1A">
            <w:r w:rsidRPr="00F93A95">
              <w:t>Hearing fees (Article 6)</w:t>
            </w:r>
          </w:p>
        </w:tc>
        <w:tc>
          <w:tcPr>
            <w:tcW w:w="0" w:type="dxa"/>
          </w:tcPr>
          <w:p w14:paraId="555B5E93" w14:textId="77777777" w:rsidR="00370233" w:rsidRDefault="00370233" w:rsidP="00AE4001">
            <w:pPr>
              <w:jc w:val="right"/>
            </w:pPr>
            <w:r w:rsidRPr="00F93A95">
              <w:t>£485</w:t>
            </w:r>
          </w:p>
        </w:tc>
        <w:tc>
          <w:tcPr>
            <w:tcW w:w="0" w:type="dxa"/>
          </w:tcPr>
          <w:p w14:paraId="2D4800A6" w14:textId="5EF5E471" w:rsidR="00370233" w:rsidRPr="00F77C7B" w:rsidRDefault="00370233" w:rsidP="00AE4001">
            <w:pPr>
              <w:jc w:val="right"/>
            </w:pPr>
            <w:r w:rsidRPr="00F77C7B">
              <w:t>£</w:t>
            </w:r>
            <w:r w:rsidR="007F3098" w:rsidRPr="00F77C7B">
              <w:t>494</w:t>
            </w:r>
          </w:p>
        </w:tc>
        <w:tc>
          <w:tcPr>
            <w:tcW w:w="1089" w:type="dxa"/>
          </w:tcPr>
          <w:p w14:paraId="3E4DB294" w14:textId="64634B22" w:rsidR="00370233" w:rsidRPr="00F77C7B" w:rsidRDefault="00370233" w:rsidP="00AE4001">
            <w:pPr>
              <w:jc w:val="right"/>
            </w:pPr>
            <w:r w:rsidRPr="00F77C7B">
              <w:t>£</w:t>
            </w:r>
            <w:r w:rsidR="007F3098" w:rsidRPr="00F77C7B">
              <w:t>9</w:t>
            </w:r>
          </w:p>
        </w:tc>
      </w:tr>
    </w:tbl>
    <w:p w14:paraId="3C1C3DF8" w14:textId="77777777" w:rsidR="00370233" w:rsidRDefault="00370233" w:rsidP="00370233">
      <w:pPr>
        <w:pStyle w:val="BodyText"/>
      </w:pPr>
    </w:p>
    <w:p w14:paraId="74C80A52" w14:textId="77777777" w:rsidR="008A6526" w:rsidRPr="008A6526" w:rsidRDefault="008A6526" w:rsidP="002652C0"/>
    <w:sectPr w:rsidR="008A6526" w:rsidRPr="008A6526" w:rsidSect="00807DB6">
      <w:headerReference w:type="even" r:id="rId13"/>
      <w:footerReference w:type="default" r:id="rId14"/>
      <w:footnotePr>
        <w:numRestart w:val="eachSect"/>
      </w:footnotePr>
      <w:pgSz w:w="11907" w:h="16840" w:code="9"/>
      <w:pgMar w:top="680" w:right="851" w:bottom="680" w:left="851" w:header="284" w:footer="284" w:gutter="0"/>
      <w:cols w:space="708"/>
      <w:formProt w:val="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DB563F" w16cex:dateUtc="2021-06-28T10:39:00Z"/>
  <w16cex:commentExtensible w16cex:durableId="3205CD57" w16cex:dateUtc="2021-06-30T08:21:25.865Z"/>
  <w16cex:commentExtensible w16cex:durableId="0479CB97" w16cex:dateUtc="2021-06-30T09:37:26.773Z"/>
  <w16cex:commentExtensible w16cex:durableId="32014B7D" w16cex:dateUtc="2021-06-30T10:18:28.0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59949" w14:textId="77777777" w:rsidR="00DB615C" w:rsidRDefault="00DB615C">
      <w:r>
        <w:separator/>
      </w:r>
    </w:p>
  </w:endnote>
  <w:endnote w:type="continuationSeparator" w:id="0">
    <w:p w14:paraId="00D86FF2" w14:textId="77777777" w:rsidR="00DB615C" w:rsidRDefault="00DB615C">
      <w:r>
        <w:continuationSeparator/>
      </w:r>
    </w:p>
  </w:endnote>
  <w:endnote w:type="continuationNotice" w:id="1">
    <w:p w14:paraId="045DBC6C" w14:textId="77777777" w:rsidR="00DB615C" w:rsidRDefault="00DB6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708B" w14:textId="77777777" w:rsidR="00C55D8A" w:rsidRPr="00EB43FD" w:rsidRDefault="00C55D8A"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9F90" w14:textId="77777777" w:rsidR="00C55D8A" w:rsidRPr="00EB43FD" w:rsidRDefault="00C55D8A"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Pr>
        <w:rStyle w:val="PageNumber"/>
        <w:b w:val="0"/>
        <w:noProof/>
        <w:szCs w:val="18"/>
      </w:rPr>
      <w:t>3</w:t>
    </w:r>
    <w:r w:rsidRPr="00EB43FD">
      <w:rPr>
        <w:rStyle w:val="PageNumber"/>
        <w:b w:val="0"/>
        <w:szCs w:val="18"/>
      </w:rPr>
      <w:fldChar w:fldCharType="end"/>
    </w:r>
  </w:p>
  <w:p w14:paraId="6F033233" w14:textId="77777777" w:rsidR="00C55D8A" w:rsidRDefault="00C55D8A"/>
  <w:p w14:paraId="68A9B507" w14:textId="77777777" w:rsidR="00C55D8A" w:rsidRDefault="00C55D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757FC" w14:textId="77777777" w:rsidR="00DB615C" w:rsidRDefault="00DB615C">
      <w:r>
        <w:separator/>
      </w:r>
    </w:p>
  </w:footnote>
  <w:footnote w:type="continuationSeparator" w:id="0">
    <w:p w14:paraId="75320900" w14:textId="77777777" w:rsidR="00DB615C" w:rsidRDefault="00DB615C">
      <w:r>
        <w:continuationSeparator/>
      </w:r>
    </w:p>
  </w:footnote>
  <w:footnote w:type="continuationNotice" w:id="1">
    <w:p w14:paraId="09D28106" w14:textId="77777777" w:rsidR="00DB615C" w:rsidRDefault="00DB615C"/>
  </w:footnote>
  <w:footnote w:id="2">
    <w:p w14:paraId="320199E5" w14:textId="77777777" w:rsidR="00C55D8A" w:rsidRDefault="00C55D8A" w:rsidP="002652C0">
      <w:pPr>
        <w:pStyle w:val="FootnoteText"/>
      </w:pPr>
      <w:r>
        <w:rPr>
          <w:rStyle w:val="FootnoteReference"/>
        </w:rPr>
        <w:footnoteRef/>
      </w:r>
      <w:r>
        <w:t xml:space="preserve"> S1(1) Courts Act 2003 – “The Lord Chancellor is under a duty to ensure that there is an efficient and effective system to support the carrying on of the business of the Senior Courts, the Court of Protection, the county court, the family court and magistrates’ courts, and that appropriate services are provided for those courts.” See also s6A Promissory Oaths Act 1868 and s</w:t>
      </w:r>
      <w:r w:rsidRPr="000C1FDA">
        <w:t>180(3)(a) of the Anti-Social Behaviour Crime and Policing Act 2014.</w:t>
      </w:r>
    </w:p>
  </w:footnote>
  <w:footnote w:id="3">
    <w:p w14:paraId="67727FB0" w14:textId="77777777" w:rsidR="00C55D8A" w:rsidRDefault="00C55D8A" w:rsidP="00EA6996">
      <w:pPr>
        <w:pStyle w:val="FootnoteText"/>
      </w:pPr>
      <w:r>
        <w:rPr>
          <w:rStyle w:val="FootnoteReference"/>
        </w:rPr>
        <w:footnoteRef/>
      </w:r>
      <w:r>
        <w:t xml:space="preserve">  ‘Managing Public Money’, Chapter 6 (Fees, Charges and Levies). July 2013.</w:t>
      </w:r>
    </w:p>
  </w:footnote>
  <w:footnote w:id="4">
    <w:p w14:paraId="0ED0D4D6" w14:textId="3575E08D" w:rsidR="00C55D8A" w:rsidRDefault="00C55D8A">
      <w:pPr>
        <w:pStyle w:val="FootnoteText"/>
      </w:pPr>
      <w:r>
        <w:rPr>
          <w:rStyle w:val="FootnoteReference"/>
        </w:rPr>
        <w:footnoteRef/>
      </w:r>
      <w:r>
        <w:t xml:space="preserve"> </w:t>
      </w:r>
      <w:proofErr w:type="gramStart"/>
      <w:r>
        <w:t>The vast majority of</w:t>
      </w:r>
      <w:proofErr w:type="gramEnd"/>
      <w:r>
        <w:t xml:space="preserve"> fees are charged in the courts, with only some tribunals charging fees, namely the Gambling Tribunal, Immigration and Asylum Chamber, Upper Tier Immigration and Asylum Chamber, the Property Chamber and the Upper Tribunal Lands Chamber</w:t>
      </w:r>
    </w:p>
  </w:footnote>
  <w:footnote w:id="5">
    <w:p w14:paraId="1B79DF1E" w14:textId="24614253" w:rsidR="00C55D8A" w:rsidRDefault="00C55D8A" w:rsidP="002535A8">
      <w:pPr>
        <w:pStyle w:val="FootnoteText"/>
      </w:pPr>
      <w:r>
        <w:rPr>
          <w:rStyle w:val="FootnoteReference"/>
        </w:rPr>
        <w:footnoteRef/>
      </w:r>
      <w:r>
        <w:t xml:space="preserve"> The last time that fees were increased in line with inflation was in 2013 (The Family Proceedings Fees (Amendment) Order 2013/1407; The Magistrates’ Courts Fees (Amendment) Order 2013/1409; The Civil Proceedings Fees (Amendment No. 2) Order 2013/1410).</w:t>
      </w:r>
    </w:p>
  </w:footnote>
  <w:footnote w:id="6">
    <w:p w14:paraId="606D5800" w14:textId="71DD8699" w:rsidR="00C55D8A" w:rsidRDefault="00C55D8A">
      <w:pPr>
        <w:pStyle w:val="FootnoteText"/>
      </w:pPr>
      <w:r>
        <w:rPr>
          <w:rStyle w:val="FootnoteReference"/>
        </w:rPr>
        <w:footnoteRef/>
      </w:r>
      <w:r>
        <w:t xml:space="preserve"> </w:t>
      </w:r>
      <w:r w:rsidRPr="00182082">
        <w:t>The response can be found at https://consult.justice.gov.uk/</w:t>
      </w:r>
    </w:p>
  </w:footnote>
  <w:footnote w:id="7">
    <w:p w14:paraId="5B0E1C7D" w14:textId="77777777" w:rsidR="00C55D8A" w:rsidRDefault="00C55D8A" w:rsidP="008F1CAB">
      <w:pPr>
        <w:pStyle w:val="FootnoteText"/>
      </w:pPr>
      <w:r>
        <w:rPr>
          <w:rStyle w:val="FootnoteReference"/>
        </w:rPr>
        <w:footnoteRef/>
      </w:r>
      <w:r>
        <w:t xml:space="preserve"> CPI inflation for the year to March of each year is used.  </w:t>
      </w:r>
    </w:p>
  </w:footnote>
  <w:footnote w:id="8">
    <w:p w14:paraId="757E4554" w14:textId="403B3D6F" w:rsidR="00C55D8A" w:rsidRDefault="00C55D8A">
      <w:pPr>
        <w:pStyle w:val="FootnoteText"/>
      </w:pPr>
      <w:r>
        <w:rPr>
          <w:rStyle w:val="FootnoteReference"/>
        </w:rPr>
        <w:footnoteRef/>
      </w:r>
      <w:r>
        <w:t xml:space="preserve"> </w:t>
      </w:r>
      <w:r w:rsidRPr="00635237">
        <w:t>13</w:t>
      </w:r>
      <w:r>
        <w:t xml:space="preserve"> fees will be increased by a lower rate, as they were last changed either in </w:t>
      </w:r>
      <w:r w:rsidRPr="00635237">
        <w:t xml:space="preserve">December 2016 (5 fees), </w:t>
      </w:r>
      <w:r>
        <w:t>July 2018 (2 fees) or July 2019 (</w:t>
      </w:r>
      <w:r w:rsidRPr="00635237">
        <w:t>6</w:t>
      </w:r>
      <w:r>
        <w:t xml:space="preserve"> fees).</w:t>
      </w:r>
    </w:p>
  </w:footnote>
  <w:footnote w:id="9">
    <w:p w14:paraId="7ED87AF2" w14:textId="0E8F6FB7" w:rsidR="00C55D8A" w:rsidRDefault="00C55D8A">
      <w:pPr>
        <w:pStyle w:val="FootnoteText"/>
      </w:pPr>
      <w:r>
        <w:rPr>
          <w:rStyle w:val="FootnoteReference"/>
        </w:rPr>
        <w:footnoteRef/>
      </w:r>
      <w:r>
        <w:t xml:space="preserve"> See footnote </w:t>
      </w:r>
      <w:r>
        <w:fldChar w:fldCharType="begin"/>
      </w:r>
      <w:r>
        <w:instrText xml:space="preserve"> NOTEREF _Ref63613578 \h </w:instrText>
      </w:r>
      <w:r>
        <w:fldChar w:fldCharType="separate"/>
      </w:r>
      <w:r>
        <w:t>6</w:t>
      </w:r>
      <w:r>
        <w:fldChar w:fldCharType="end"/>
      </w:r>
      <w:r>
        <w:t>.</w:t>
      </w:r>
    </w:p>
  </w:footnote>
  <w:footnote w:id="10">
    <w:p w14:paraId="548BE2B3" w14:textId="1D1EC1D8" w:rsidR="00C55D8A" w:rsidRDefault="00C55D8A">
      <w:pPr>
        <w:pStyle w:val="FootnoteText"/>
      </w:pPr>
      <w:r>
        <w:rPr>
          <w:rStyle w:val="FootnoteReference"/>
        </w:rPr>
        <w:footnoteRef/>
      </w:r>
      <w:r>
        <w:t xml:space="preserve"> Figures for CPI annual rates can be found at </w:t>
      </w:r>
      <w:hyperlink r:id="rId1" w:history="1">
        <w:r w:rsidRPr="009D45E5">
          <w:rPr>
            <w:rStyle w:val="Hyperlink"/>
          </w:rPr>
          <w:t>https://www.ons.gov.uk/economy/inflationandpriceindices/timeseries/d7g7/mm23</w:t>
        </w:r>
      </w:hyperlink>
      <w:r>
        <w:t xml:space="preserve">. </w:t>
      </w:r>
    </w:p>
  </w:footnote>
  <w:footnote w:id="11">
    <w:p w14:paraId="1C6F46CC" w14:textId="3228D2D0" w:rsidR="00C55D8A" w:rsidRDefault="00C55D8A">
      <w:pPr>
        <w:pStyle w:val="FootnoteText"/>
      </w:pPr>
      <w:r w:rsidRPr="00415E81">
        <w:rPr>
          <w:rStyle w:val="FootnoteReference"/>
        </w:rPr>
        <w:footnoteRef/>
      </w:r>
      <w:r w:rsidRPr="00415E81">
        <w:t xml:space="preserve"> Available at </w:t>
      </w:r>
      <w:hyperlink r:id="rId2" w:history="1">
        <w:r w:rsidRPr="00415E81">
          <w:rPr>
            <w:rStyle w:val="Hyperlink"/>
          </w:rPr>
          <w:t>https://publications.parliament.uk/pa/ld201719/ldselect/ldeconaf/246/246.pdf</w:t>
        </w:r>
      </w:hyperlink>
      <w:r>
        <w:t xml:space="preserve"> </w:t>
      </w:r>
    </w:p>
  </w:footnote>
  <w:footnote w:id="12">
    <w:p w14:paraId="301EBE40" w14:textId="77777777" w:rsidR="00C55D8A" w:rsidRDefault="00C55D8A" w:rsidP="006C3284">
      <w:pPr>
        <w:pStyle w:val="FootnoteText"/>
      </w:pPr>
      <w:r>
        <w:rPr>
          <w:rStyle w:val="FootnoteReference"/>
        </w:rPr>
        <w:footnoteRef/>
      </w:r>
      <w:r>
        <w:t xml:space="preserve"> </w:t>
      </w:r>
      <w:r w:rsidRPr="007D734E">
        <w:t>The Court Fees (Miscellaneous Amendments) Order 2020</w:t>
      </w:r>
    </w:p>
  </w:footnote>
  <w:footnote w:id="13">
    <w:p w14:paraId="267569D4" w14:textId="77777777" w:rsidR="00C55D8A" w:rsidRDefault="00C55D8A" w:rsidP="006C3284">
      <w:pPr>
        <w:pStyle w:val="FootnoteText"/>
      </w:pPr>
      <w:r>
        <w:rPr>
          <w:rStyle w:val="FootnoteReference"/>
        </w:rPr>
        <w:footnoteRef/>
      </w:r>
      <w:r>
        <w:t xml:space="preserve"> </w:t>
      </w:r>
      <w:r w:rsidRPr="007D734E">
        <w:t>https://consult.justice.gov.uk/digital-communications/civil-money-possession-claims-fees/</w:t>
      </w:r>
    </w:p>
  </w:footnote>
  <w:footnote w:id="14">
    <w:p w14:paraId="52E6FCE5" w14:textId="257BEBC4" w:rsidR="00C55D8A" w:rsidRDefault="00C55D8A">
      <w:pPr>
        <w:pStyle w:val="FootnoteText"/>
      </w:pPr>
      <w:r>
        <w:rPr>
          <w:rStyle w:val="FootnoteReference"/>
        </w:rPr>
        <w:footnoteRef/>
      </w:r>
      <w:r>
        <w:t xml:space="preserve"> HMCTS Management Information, 14 January 2021. </w:t>
      </w:r>
      <w:hyperlink r:id="rId3" w:history="1">
        <w:r w:rsidRPr="00226814">
          <w:rPr>
            <w:rStyle w:val="Hyperlink"/>
          </w:rPr>
          <w:t>https://www.gov.uk/government/statistical-data-sets/hmcts-weekly-management-information-during-coronavirus-march-2020-to-may-202</w:t>
        </w:r>
      </w:hyperlink>
      <w:r>
        <w:rPr>
          <w:rStyle w:val="Hyperlink"/>
        </w:rPr>
        <w:t>1</w:t>
      </w:r>
      <w:r>
        <w:t xml:space="preserve">. </w:t>
      </w:r>
    </w:p>
  </w:footnote>
  <w:footnote w:id="15">
    <w:p w14:paraId="249B7DD5" w14:textId="77777777" w:rsidR="00C55D8A" w:rsidRPr="0001453D" w:rsidRDefault="00C55D8A" w:rsidP="00F368BD">
      <w:pPr>
        <w:rPr>
          <w:sz w:val="16"/>
          <w:szCs w:val="16"/>
        </w:rPr>
      </w:pPr>
      <w:r>
        <w:rPr>
          <w:rStyle w:val="FootnoteReference"/>
        </w:rPr>
        <w:footnoteRef/>
      </w:r>
      <w:r>
        <w:t xml:space="preserve"> </w:t>
      </w:r>
      <w:hyperlink r:id="rId4" w:history="1">
        <w:r w:rsidRPr="0001453D">
          <w:rPr>
            <w:rStyle w:val="Hyperlink"/>
            <w:sz w:val="16"/>
            <w:szCs w:val="16"/>
          </w:rPr>
          <w:t>https://assets.publishing.service.gov.uk/government/uploads/system/uploads/attachment_data/file/299804/role-of-court-fees-in-decisions-to-bring-cases-to-courts.pdf</w:t>
        </w:r>
      </w:hyperlink>
    </w:p>
    <w:p w14:paraId="7C371ACF" w14:textId="77777777" w:rsidR="00C55D8A" w:rsidRDefault="00C55D8A" w:rsidP="00F368BD">
      <w:pPr>
        <w:pStyle w:val="FootnoteText"/>
      </w:pPr>
    </w:p>
  </w:footnote>
  <w:footnote w:id="16">
    <w:p w14:paraId="24FD7AF0" w14:textId="1B897906" w:rsidR="00C55D8A" w:rsidRDefault="00C55D8A">
      <w:pPr>
        <w:pStyle w:val="FootnoteText"/>
      </w:pPr>
      <w:r>
        <w:rPr>
          <w:rStyle w:val="FootnoteReference"/>
        </w:rPr>
        <w:footnoteRef/>
      </w:r>
      <w:r>
        <w:t xml:space="preserve"> Except where supplemented with HMCTS electronic payments data for a small number of fees.</w:t>
      </w:r>
    </w:p>
  </w:footnote>
  <w:footnote w:id="17">
    <w:p w14:paraId="5FFB8C64" w14:textId="40F18A01" w:rsidR="00C55D8A" w:rsidRDefault="00C55D8A">
      <w:pPr>
        <w:pStyle w:val="FootnoteText"/>
      </w:pPr>
      <w:r>
        <w:rPr>
          <w:rStyle w:val="FootnoteReference"/>
        </w:rPr>
        <w:footnoteRef/>
      </w:r>
      <w:r>
        <w:t xml:space="preserve"> </w:t>
      </w:r>
      <w:r w:rsidRPr="00A33A32">
        <w:t xml:space="preserve">It should be noted that the data in this analysis comes mostly from HMCTS data on payments on accounts for 2019/20, which has the following several limitations: a) will not cover fees paid by other routes/methods of payment such as Internet Fee Accounting System (IFAS), cheque or credit card payment; b) local authorities, police and fire services have been identified via a manual search of account names; c) does not cover all the </w:t>
      </w:r>
      <w:r w:rsidR="006F03FB">
        <w:t>12</w:t>
      </w:r>
      <w:r w:rsidR="008813C2">
        <w:t>8</w:t>
      </w:r>
      <w:r w:rsidRPr="00A33A32">
        <w:t xml:space="preserve"> fees included in the consultation (covers c. 113 fees); d) data does not always include information on fee code.</w:t>
      </w:r>
    </w:p>
  </w:footnote>
  <w:footnote w:id="18">
    <w:p w14:paraId="63A9F71A" w14:textId="77777777" w:rsidR="00C55D8A" w:rsidRDefault="00C55D8A" w:rsidP="004E4D28">
      <w:pPr>
        <w:pStyle w:val="FootnoteText"/>
      </w:pPr>
      <w:r>
        <w:rPr>
          <w:rStyle w:val="FootnoteReference"/>
        </w:rPr>
        <w:footnoteRef/>
      </w:r>
      <w:r>
        <w:t xml:space="preserve">   </w:t>
      </w:r>
      <w:r w:rsidRPr="00B00516">
        <w:rPr>
          <w:szCs w:val="16"/>
        </w:rPr>
        <w:t>Please note, Help with Fees is not available for copy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920D" w14:textId="77777777" w:rsidR="00C55D8A" w:rsidRDefault="00C55D8A">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35C1" w14:textId="77777777" w:rsidR="00C55D8A" w:rsidRDefault="00C55D8A"/>
  <w:p w14:paraId="51ACEAC7" w14:textId="77777777" w:rsidR="00C55D8A" w:rsidRDefault="00C55D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BAE141E"/>
    <w:lvl w:ilvl="0">
      <w:start w:val="1"/>
      <w:numFmt w:val="bullet"/>
      <w:pStyle w:val="ListBullet2"/>
      <w:lvlText w:val=""/>
      <w:lvlJc w:val="left"/>
      <w:pPr>
        <w:ind w:left="717" w:hanging="360"/>
      </w:pPr>
      <w:rPr>
        <w:rFonts w:ascii="Symbol" w:hAnsi="Symbol" w:hint="default"/>
        <w:color w:val="000000" w:themeColor="text1"/>
      </w:rPr>
    </w:lvl>
  </w:abstractNum>
  <w:abstractNum w:abstractNumId="1" w15:restartNumberingAfterBreak="0">
    <w:nsid w:val="028A0A70"/>
    <w:multiLevelType w:val="hybridMultilevel"/>
    <w:tmpl w:val="41DACC94"/>
    <w:lvl w:ilvl="0" w:tplc="DCB82754">
      <w:start w:val="1"/>
      <w:numFmt w:val="upperLetter"/>
      <w:lvlText w:val="%1."/>
      <w:lvlJc w:val="left"/>
      <w:pPr>
        <w:ind w:left="849" w:hanging="360"/>
      </w:pPr>
      <w:rPr>
        <w:rFonts w:hint="default"/>
      </w:rPr>
    </w:lvl>
    <w:lvl w:ilvl="1" w:tplc="08090019" w:tentative="1">
      <w:start w:val="1"/>
      <w:numFmt w:val="lowerLetter"/>
      <w:lvlText w:val="%2."/>
      <w:lvlJc w:val="left"/>
      <w:pPr>
        <w:ind w:left="1569" w:hanging="360"/>
      </w:pPr>
    </w:lvl>
    <w:lvl w:ilvl="2" w:tplc="0809001B" w:tentative="1">
      <w:start w:val="1"/>
      <w:numFmt w:val="lowerRoman"/>
      <w:lvlText w:val="%3."/>
      <w:lvlJc w:val="right"/>
      <w:pPr>
        <w:ind w:left="2289" w:hanging="180"/>
      </w:pPr>
    </w:lvl>
    <w:lvl w:ilvl="3" w:tplc="0809000F" w:tentative="1">
      <w:start w:val="1"/>
      <w:numFmt w:val="decimal"/>
      <w:lvlText w:val="%4."/>
      <w:lvlJc w:val="left"/>
      <w:pPr>
        <w:ind w:left="3009" w:hanging="360"/>
      </w:pPr>
    </w:lvl>
    <w:lvl w:ilvl="4" w:tplc="08090019" w:tentative="1">
      <w:start w:val="1"/>
      <w:numFmt w:val="lowerLetter"/>
      <w:lvlText w:val="%5."/>
      <w:lvlJc w:val="left"/>
      <w:pPr>
        <w:ind w:left="3729" w:hanging="360"/>
      </w:pPr>
    </w:lvl>
    <w:lvl w:ilvl="5" w:tplc="0809001B" w:tentative="1">
      <w:start w:val="1"/>
      <w:numFmt w:val="lowerRoman"/>
      <w:lvlText w:val="%6."/>
      <w:lvlJc w:val="right"/>
      <w:pPr>
        <w:ind w:left="4449" w:hanging="180"/>
      </w:pPr>
    </w:lvl>
    <w:lvl w:ilvl="6" w:tplc="0809000F" w:tentative="1">
      <w:start w:val="1"/>
      <w:numFmt w:val="decimal"/>
      <w:lvlText w:val="%7."/>
      <w:lvlJc w:val="left"/>
      <w:pPr>
        <w:ind w:left="5169" w:hanging="360"/>
      </w:pPr>
    </w:lvl>
    <w:lvl w:ilvl="7" w:tplc="08090019" w:tentative="1">
      <w:start w:val="1"/>
      <w:numFmt w:val="lowerLetter"/>
      <w:lvlText w:val="%8."/>
      <w:lvlJc w:val="left"/>
      <w:pPr>
        <w:ind w:left="5889" w:hanging="360"/>
      </w:pPr>
    </w:lvl>
    <w:lvl w:ilvl="8" w:tplc="0809001B" w:tentative="1">
      <w:start w:val="1"/>
      <w:numFmt w:val="lowerRoman"/>
      <w:lvlText w:val="%9."/>
      <w:lvlJc w:val="right"/>
      <w:pPr>
        <w:ind w:left="6609" w:hanging="180"/>
      </w:pPr>
    </w:lvl>
  </w:abstractNum>
  <w:abstractNum w:abstractNumId="2" w15:restartNumberingAfterBreak="0">
    <w:nsid w:val="0DD715A9"/>
    <w:multiLevelType w:val="multilevel"/>
    <w:tmpl w:val="71123128"/>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bullet"/>
      <w:lvlText w:val=""/>
      <w:lvlJc w:val="left"/>
      <w:pPr>
        <w:tabs>
          <w:tab w:val="num" w:pos="54"/>
        </w:tabs>
        <w:ind w:left="489" w:hanging="432"/>
      </w:pPr>
      <w:rPr>
        <w:rFonts w:ascii="Symbol" w:hAnsi="Symbol" w:hint="default"/>
      </w:rPr>
    </w:lvl>
    <w:lvl w:ilvl="2">
      <w:start w:val="1"/>
      <w:numFmt w:val="lowerRoman"/>
      <w:lvlText w:val="%3."/>
      <w:lvlJc w:val="right"/>
      <w:pPr>
        <w:tabs>
          <w:tab w:val="num" w:pos="1137"/>
        </w:tabs>
        <w:ind w:left="921" w:hanging="504"/>
      </w:pPr>
      <w:rPr>
        <w:rFonts w:hint="default"/>
      </w:rPr>
    </w:lvl>
    <w:lvl w:ilvl="3">
      <w:start w:val="1"/>
      <w:numFmt w:val="decimal"/>
      <w:lvlText w:val="%1.%2.%3.%4."/>
      <w:lvlJc w:val="left"/>
      <w:pPr>
        <w:tabs>
          <w:tab w:val="num" w:pos="1857"/>
        </w:tabs>
        <w:ind w:left="1425" w:hanging="648"/>
      </w:pPr>
      <w:rPr>
        <w:rFonts w:cs="Times New Roman" w:hint="default"/>
      </w:rPr>
    </w:lvl>
    <w:lvl w:ilvl="4">
      <w:start w:val="1"/>
      <w:numFmt w:val="decimal"/>
      <w:lvlText w:val="%1.%2.%3.%4.%5."/>
      <w:lvlJc w:val="left"/>
      <w:pPr>
        <w:tabs>
          <w:tab w:val="num" w:pos="2217"/>
        </w:tabs>
        <w:ind w:left="1929" w:hanging="792"/>
      </w:pPr>
      <w:rPr>
        <w:rFonts w:cs="Times New Roman" w:hint="default"/>
      </w:rPr>
    </w:lvl>
    <w:lvl w:ilvl="5">
      <w:start w:val="1"/>
      <w:numFmt w:val="decimal"/>
      <w:lvlText w:val="%1.%2.%3.%4.%5.%6."/>
      <w:lvlJc w:val="left"/>
      <w:pPr>
        <w:tabs>
          <w:tab w:val="num" w:pos="2937"/>
        </w:tabs>
        <w:ind w:left="2433" w:hanging="936"/>
      </w:pPr>
      <w:rPr>
        <w:rFonts w:cs="Times New Roman" w:hint="default"/>
      </w:rPr>
    </w:lvl>
    <w:lvl w:ilvl="6">
      <w:start w:val="1"/>
      <w:numFmt w:val="decimal"/>
      <w:lvlText w:val="%1.%2.%3.%4.%5.%6.%7."/>
      <w:lvlJc w:val="left"/>
      <w:pPr>
        <w:tabs>
          <w:tab w:val="num" w:pos="3297"/>
        </w:tabs>
        <w:ind w:left="2937" w:hanging="1080"/>
      </w:pPr>
      <w:rPr>
        <w:rFonts w:cs="Times New Roman" w:hint="default"/>
      </w:rPr>
    </w:lvl>
    <w:lvl w:ilvl="7">
      <w:start w:val="1"/>
      <w:numFmt w:val="decimal"/>
      <w:lvlText w:val="%1.%2.%3.%4.%5.%6.%7.%8."/>
      <w:lvlJc w:val="left"/>
      <w:pPr>
        <w:tabs>
          <w:tab w:val="num" w:pos="4017"/>
        </w:tabs>
        <w:ind w:left="3441" w:hanging="1224"/>
      </w:pPr>
      <w:rPr>
        <w:rFonts w:cs="Times New Roman" w:hint="default"/>
      </w:rPr>
    </w:lvl>
    <w:lvl w:ilvl="8">
      <w:start w:val="1"/>
      <w:numFmt w:val="decimal"/>
      <w:lvlText w:val="%1.%2.%3.%4.%5.%6.%7.%8.%9."/>
      <w:lvlJc w:val="left"/>
      <w:pPr>
        <w:tabs>
          <w:tab w:val="num" w:pos="4377"/>
        </w:tabs>
        <w:ind w:left="4017" w:hanging="1440"/>
      </w:pPr>
      <w:rPr>
        <w:rFonts w:cs="Times New Roman" w:hint="default"/>
      </w:rPr>
    </w:lvl>
  </w:abstractNum>
  <w:abstractNum w:abstractNumId="3" w15:restartNumberingAfterBreak="0">
    <w:nsid w:val="0F875BDD"/>
    <w:multiLevelType w:val="multilevel"/>
    <w:tmpl w:val="71123128"/>
    <w:lvl w:ilvl="0">
      <w:start w:val="1"/>
      <w:numFmt w:val="decimal"/>
      <w:lvlText w:val="%1."/>
      <w:lvlJc w:val="left"/>
      <w:pPr>
        <w:tabs>
          <w:tab w:val="num" w:pos="502"/>
        </w:tabs>
        <w:ind w:left="502" w:hanging="360"/>
      </w:pPr>
      <w:rPr>
        <w:rFonts w:cs="Times New Roman" w:hint="default"/>
        <w:b w:val="0"/>
        <w:i w:val="0"/>
        <w:color w:val="auto"/>
        <w:sz w:val="22"/>
        <w:szCs w:val="22"/>
      </w:rPr>
    </w:lvl>
    <w:lvl w:ilvl="1">
      <w:start w:val="1"/>
      <w:numFmt w:val="bullet"/>
      <w:lvlText w:val=""/>
      <w:lvlJc w:val="left"/>
      <w:pPr>
        <w:tabs>
          <w:tab w:val="num" w:pos="54"/>
        </w:tabs>
        <w:ind w:left="489" w:hanging="432"/>
      </w:pPr>
      <w:rPr>
        <w:rFonts w:ascii="Symbol" w:hAnsi="Symbol" w:hint="default"/>
      </w:rPr>
    </w:lvl>
    <w:lvl w:ilvl="2">
      <w:start w:val="1"/>
      <w:numFmt w:val="lowerRoman"/>
      <w:lvlText w:val="%3."/>
      <w:lvlJc w:val="right"/>
      <w:pPr>
        <w:tabs>
          <w:tab w:val="num" w:pos="1137"/>
        </w:tabs>
        <w:ind w:left="921" w:hanging="504"/>
      </w:pPr>
      <w:rPr>
        <w:rFonts w:hint="default"/>
      </w:rPr>
    </w:lvl>
    <w:lvl w:ilvl="3">
      <w:start w:val="1"/>
      <w:numFmt w:val="decimal"/>
      <w:lvlText w:val="%1.%2.%3.%4."/>
      <w:lvlJc w:val="left"/>
      <w:pPr>
        <w:tabs>
          <w:tab w:val="num" w:pos="1857"/>
        </w:tabs>
        <w:ind w:left="1425" w:hanging="648"/>
      </w:pPr>
      <w:rPr>
        <w:rFonts w:cs="Times New Roman" w:hint="default"/>
      </w:rPr>
    </w:lvl>
    <w:lvl w:ilvl="4">
      <w:start w:val="1"/>
      <w:numFmt w:val="decimal"/>
      <w:lvlText w:val="%1.%2.%3.%4.%5."/>
      <w:lvlJc w:val="left"/>
      <w:pPr>
        <w:tabs>
          <w:tab w:val="num" w:pos="2217"/>
        </w:tabs>
        <w:ind w:left="1929" w:hanging="792"/>
      </w:pPr>
      <w:rPr>
        <w:rFonts w:cs="Times New Roman" w:hint="default"/>
      </w:rPr>
    </w:lvl>
    <w:lvl w:ilvl="5">
      <w:start w:val="1"/>
      <w:numFmt w:val="decimal"/>
      <w:lvlText w:val="%1.%2.%3.%4.%5.%6."/>
      <w:lvlJc w:val="left"/>
      <w:pPr>
        <w:tabs>
          <w:tab w:val="num" w:pos="2937"/>
        </w:tabs>
        <w:ind w:left="2433" w:hanging="936"/>
      </w:pPr>
      <w:rPr>
        <w:rFonts w:cs="Times New Roman" w:hint="default"/>
      </w:rPr>
    </w:lvl>
    <w:lvl w:ilvl="6">
      <w:start w:val="1"/>
      <w:numFmt w:val="decimal"/>
      <w:lvlText w:val="%1.%2.%3.%4.%5.%6.%7."/>
      <w:lvlJc w:val="left"/>
      <w:pPr>
        <w:tabs>
          <w:tab w:val="num" w:pos="3297"/>
        </w:tabs>
        <w:ind w:left="2937" w:hanging="1080"/>
      </w:pPr>
      <w:rPr>
        <w:rFonts w:cs="Times New Roman" w:hint="default"/>
      </w:rPr>
    </w:lvl>
    <w:lvl w:ilvl="7">
      <w:start w:val="1"/>
      <w:numFmt w:val="decimal"/>
      <w:lvlText w:val="%1.%2.%3.%4.%5.%6.%7.%8."/>
      <w:lvlJc w:val="left"/>
      <w:pPr>
        <w:tabs>
          <w:tab w:val="num" w:pos="4017"/>
        </w:tabs>
        <w:ind w:left="3441" w:hanging="1224"/>
      </w:pPr>
      <w:rPr>
        <w:rFonts w:cs="Times New Roman" w:hint="default"/>
      </w:rPr>
    </w:lvl>
    <w:lvl w:ilvl="8">
      <w:start w:val="1"/>
      <w:numFmt w:val="decimal"/>
      <w:lvlText w:val="%1.%2.%3.%4.%5.%6.%7.%8.%9."/>
      <w:lvlJc w:val="left"/>
      <w:pPr>
        <w:tabs>
          <w:tab w:val="num" w:pos="4377"/>
        </w:tabs>
        <w:ind w:left="4017" w:hanging="1440"/>
      </w:pPr>
      <w:rPr>
        <w:rFonts w:cs="Times New Roman" w:hint="default"/>
      </w:rPr>
    </w:lvl>
  </w:abstractNum>
  <w:abstractNum w:abstractNumId="4" w15:restartNumberingAfterBreak="0">
    <w:nsid w:val="1A211F62"/>
    <w:multiLevelType w:val="hybridMultilevel"/>
    <w:tmpl w:val="3AD8F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141D7"/>
    <w:multiLevelType w:val="hybridMultilevel"/>
    <w:tmpl w:val="9CD6406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23CD35B1"/>
    <w:multiLevelType w:val="multilevel"/>
    <w:tmpl w:val="71123128"/>
    <w:lvl w:ilvl="0">
      <w:start w:val="1"/>
      <w:numFmt w:val="decimal"/>
      <w:lvlText w:val="%1."/>
      <w:lvlJc w:val="left"/>
      <w:pPr>
        <w:tabs>
          <w:tab w:val="num" w:pos="502"/>
        </w:tabs>
        <w:ind w:left="502" w:hanging="360"/>
      </w:pPr>
      <w:rPr>
        <w:rFonts w:cs="Times New Roman" w:hint="default"/>
        <w:b w:val="0"/>
        <w:i w:val="0"/>
        <w:color w:val="auto"/>
        <w:sz w:val="22"/>
        <w:szCs w:val="22"/>
      </w:rPr>
    </w:lvl>
    <w:lvl w:ilvl="1">
      <w:start w:val="1"/>
      <w:numFmt w:val="bullet"/>
      <w:lvlText w:val=""/>
      <w:lvlJc w:val="left"/>
      <w:pPr>
        <w:tabs>
          <w:tab w:val="num" w:pos="54"/>
        </w:tabs>
        <w:ind w:left="489" w:hanging="432"/>
      </w:pPr>
      <w:rPr>
        <w:rFonts w:ascii="Symbol" w:hAnsi="Symbol" w:hint="default"/>
      </w:rPr>
    </w:lvl>
    <w:lvl w:ilvl="2">
      <w:start w:val="1"/>
      <w:numFmt w:val="lowerRoman"/>
      <w:lvlText w:val="%3."/>
      <w:lvlJc w:val="right"/>
      <w:pPr>
        <w:tabs>
          <w:tab w:val="num" w:pos="1137"/>
        </w:tabs>
        <w:ind w:left="921" w:hanging="504"/>
      </w:pPr>
      <w:rPr>
        <w:rFonts w:hint="default"/>
      </w:rPr>
    </w:lvl>
    <w:lvl w:ilvl="3">
      <w:start w:val="1"/>
      <w:numFmt w:val="decimal"/>
      <w:lvlText w:val="%1.%2.%3.%4."/>
      <w:lvlJc w:val="left"/>
      <w:pPr>
        <w:tabs>
          <w:tab w:val="num" w:pos="1857"/>
        </w:tabs>
        <w:ind w:left="1425" w:hanging="648"/>
      </w:pPr>
      <w:rPr>
        <w:rFonts w:cs="Times New Roman" w:hint="default"/>
      </w:rPr>
    </w:lvl>
    <w:lvl w:ilvl="4">
      <w:start w:val="1"/>
      <w:numFmt w:val="decimal"/>
      <w:lvlText w:val="%1.%2.%3.%4.%5."/>
      <w:lvlJc w:val="left"/>
      <w:pPr>
        <w:tabs>
          <w:tab w:val="num" w:pos="2217"/>
        </w:tabs>
        <w:ind w:left="1929" w:hanging="792"/>
      </w:pPr>
      <w:rPr>
        <w:rFonts w:cs="Times New Roman" w:hint="default"/>
      </w:rPr>
    </w:lvl>
    <w:lvl w:ilvl="5">
      <w:start w:val="1"/>
      <w:numFmt w:val="decimal"/>
      <w:lvlText w:val="%1.%2.%3.%4.%5.%6."/>
      <w:lvlJc w:val="left"/>
      <w:pPr>
        <w:tabs>
          <w:tab w:val="num" w:pos="2937"/>
        </w:tabs>
        <w:ind w:left="2433" w:hanging="936"/>
      </w:pPr>
      <w:rPr>
        <w:rFonts w:cs="Times New Roman" w:hint="default"/>
      </w:rPr>
    </w:lvl>
    <w:lvl w:ilvl="6">
      <w:start w:val="1"/>
      <w:numFmt w:val="decimal"/>
      <w:lvlText w:val="%1.%2.%3.%4.%5.%6.%7."/>
      <w:lvlJc w:val="left"/>
      <w:pPr>
        <w:tabs>
          <w:tab w:val="num" w:pos="3297"/>
        </w:tabs>
        <w:ind w:left="2937" w:hanging="1080"/>
      </w:pPr>
      <w:rPr>
        <w:rFonts w:cs="Times New Roman" w:hint="default"/>
      </w:rPr>
    </w:lvl>
    <w:lvl w:ilvl="7">
      <w:start w:val="1"/>
      <w:numFmt w:val="decimal"/>
      <w:lvlText w:val="%1.%2.%3.%4.%5.%6.%7.%8."/>
      <w:lvlJc w:val="left"/>
      <w:pPr>
        <w:tabs>
          <w:tab w:val="num" w:pos="4017"/>
        </w:tabs>
        <w:ind w:left="3441" w:hanging="1224"/>
      </w:pPr>
      <w:rPr>
        <w:rFonts w:cs="Times New Roman" w:hint="default"/>
      </w:rPr>
    </w:lvl>
    <w:lvl w:ilvl="8">
      <w:start w:val="1"/>
      <w:numFmt w:val="decimal"/>
      <w:lvlText w:val="%1.%2.%3.%4.%5.%6.%7.%8.%9."/>
      <w:lvlJc w:val="left"/>
      <w:pPr>
        <w:tabs>
          <w:tab w:val="num" w:pos="4377"/>
        </w:tabs>
        <w:ind w:left="4017" w:hanging="1440"/>
      </w:pPr>
      <w:rPr>
        <w:rFonts w:cs="Times New Roman" w:hint="default"/>
      </w:rPr>
    </w:lvl>
  </w:abstractNum>
  <w:abstractNum w:abstractNumId="7" w15:restartNumberingAfterBreak="0">
    <w:nsid w:val="271755A4"/>
    <w:multiLevelType w:val="hybridMultilevel"/>
    <w:tmpl w:val="1E1463F0"/>
    <w:lvl w:ilvl="0" w:tplc="E146BD8C">
      <w:start w:val="1"/>
      <w:numFmt w:val="decimal"/>
      <w:lvlText w:val="%1.1"/>
      <w:lvlJc w:val="left"/>
      <w:pPr>
        <w:ind w:left="122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F39F8"/>
    <w:multiLevelType w:val="hybridMultilevel"/>
    <w:tmpl w:val="130ADDBA"/>
    <w:lvl w:ilvl="0" w:tplc="5F0CEDFC">
      <w:start w:val="1"/>
      <w:numFmt w:val="bullet"/>
      <w:pStyle w:val="EBBullet"/>
      <w:lvlText w:val=""/>
      <w:lvlJc w:val="left"/>
      <w:pPr>
        <w:tabs>
          <w:tab w:val="num" w:pos="284"/>
        </w:tabs>
        <w:ind w:left="284" w:hanging="284"/>
      </w:pPr>
      <w:rPr>
        <w:rFonts w:ascii="Symbol" w:hAnsi="Symbol" w:hint="default"/>
      </w:rPr>
    </w:lvl>
    <w:lvl w:ilvl="1" w:tplc="98A2023E">
      <w:start w:val="1"/>
      <w:numFmt w:val="bullet"/>
      <w:lvlText w:val=""/>
      <w:lvlJc w:val="left"/>
      <w:pPr>
        <w:tabs>
          <w:tab w:val="num" w:pos="567"/>
        </w:tabs>
        <w:ind w:left="567" w:hanging="283"/>
      </w:pPr>
      <w:rPr>
        <w:rFonts w:ascii="Symbol" w:hAnsi="Symbol" w:hint="default"/>
      </w:rPr>
    </w:lvl>
    <w:lvl w:ilvl="2" w:tplc="487075D6">
      <w:start w:val="1"/>
      <w:numFmt w:val="bullet"/>
      <w:lvlText w:val=""/>
      <w:lvlJc w:val="left"/>
      <w:pPr>
        <w:tabs>
          <w:tab w:val="num" w:pos="1080"/>
        </w:tabs>
        <w:ind w:left="1080" w:hanging="360"/>
      </w:pPr>
      <w:rPr>
        <w:rFonts w:ascii="Wingdings" w:hAnsi="Wingdings" w:hint="default"/>
      </w:rPr>
    </w:lvl>
    <w:lvl w:ilvl="3" w:tplc="0DE2DF28">
      <w:start w:val="1"/>
      <w:numFmt w:val="bullet"/>
      <w:lvlText w:val=""/>
      <w:lvlJc w:val="left"/>
      <w:pPr>
        <w:tabs>
          <w:tab w:val="num" w:pos="1440"/>
        </w:tabs>
        <w:ind w:left="1440" w:hanging="360"/>
      </w:pPr>
      <w:rPr>
        <w:rFonts w:ascii="Symbol" w:hAnsi="Symbol" w:hint="default"/>
      </w:rPr>
    </w:lvl>
    <w:lvl w:ilvl="4" w:tplc="997E08DE">
      <w:start w:val="1"/>
      <w:numFmt w:val="bullet"/>
      <w:lvlText w:val=""/>
      <w:lvlJc w:val="left"/>
      <w:pPr>
        <w:tabs>
          <w:tab w:val="num" w:pos="1800"/>
        </w:tabs>
        <w:ind w:left="1800" w:hanging="360"/>
      </w:pPr>
      <w:rPr>
        <w:rFonts w:ascii="Symbol" w:hAnsi="Symbol" w:hint="default"/>
      </w:rPr>
    </w:lvl>
    <w:lvl w:ilvl="5" w:tplc="ADA6427E">
      <w:start w:val="1"/>
      <w:numFmt w:val="bullet"/>
      <w:lvlText w:val=""/>
      <w:lvlJc w:val="left"/>
      <w:pPr>
        <w:tabs>
          <w:tab w:val="num" w:pos="2160"/>
        </w:tabs>
        <w:ind w:left="2160" w:hanging="360"/>
      </w:pPr>
      <w:rPr>
        <w:rFonts w:ascii="Wingdings" w:hAnsi="Wingdings" w:hint="default"/>
      </w:rPr>
    </w:lvl>
    <w:lvl w:ilvl="6" w:tplc="5EB80F7A">
      <w:start w:val="1"/>
      <w:numFmt w:val="bullet"/>
      <w:lvlText w:val=""/>
      <w:lvlJc w:val="left"/>
      <w:pPr>
        <w:tabs>
          <w:tab w:val="num" w:pos="2520"/>
        </w:tabs>
        <w:ind w:left="2520" w:hanging="360"/>
      </w:pPr>
      <w:rPr>
        <w:rFonts w:ascii="Wingdings" w:hAnsi="Wingdings" w:hint="default"/>
      </w:rPr>
    </w:lvl>
    <w:lvl w:ilvl="7" w:tplc="FA52CE04">
      <w:start w:val="1"/>
      <w:numFmt w:val="bullet"/>
      <w:lvlText w:val=""/>
      <w:lvlJc w:val="left"/>
      <w:pPr>
        <w:tabs>
          <w:tab w:val="num" w:pos="2880"/>
        </w:tabs>
        <w:ind w:left="2880" w:hanging="360"/>
      </w:pPr>
      <w:rPr>
        <w:rFonts w:ascii="Symbol" w:hAnsi="Symbol" w:hint="default"/>
      </w:rPr>
    </w:lvl>
    <w:lvl w:ilvl="8" w:tplc="2EA27936">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65922E0"/>
    <w:multiLevelType w:val="hybridMultilevel"/>
    <w:tmpl w:val="44782A5C"/>
    <w:lvl w:ilvl="0" w:tplc="6E3683C0">
      <w:start w:val="1"/>
      <w:numFmt w:val="decimal"/>
      <w:lvlText w:val="%1."/>
      <w:lvlJc w:val="left"/>
      <w:pPr>
        <w:ind w:left="720" w:hanging="360"/>
      </w:pPr>
    </w:lvl>
    <w:lvl w:ilvl="1" w:tplc="E78EC4B8">
      <w:start w:val="1"/>
      <w:numFmt w:val="lowerLetter"/>
      <w:lvlText w:val="%2."/>
      <w:lvlJc w:val="left"/>
      <w:pPr>
        <w:ind w:left="1440" w:hanging="360"/>
      </w:pPr>
    </w:lvl>
    <w:lvl w:ilvl="2" w:tplc="7D8A999A">
      <w:start w:val="1"/>
      <w:numFmt w:val="lowerRoman"/>
      <w:lvlText w:val="%3."/>
      <w:lvlJc w:val="right"/>
      <w:pPr>
        <w:ind w:left="2160" w:hanging="180"/>
      </w:pPr>
    </w:lvl>
    <w:lvl w:ilvl="3" w:tplc="2CAE8960">
      <w:start w:val="1"/>
      <w:numFmt w:val="decimal"/>
      <w:lvlText w:val="%4."/>
      <w:lvlJc w:val="left"/>
      <w:pPr>
        <w:ind w:left="2880" w:hanging="360"/>
      </w:pPr>
    </w:lvl>
    <w:lvl w:ilvl="4" w:tplc="8D405724">
      <w:start w:val="1"/>
      <w:numFmt w:val="lowerLetter"/>
      <w:lvlText w:val="%5."/>
      <w:lvlJc w:val="left"/>
      <w:pPr>
        <w:ind w:left="3600" w:hanging="360"/>
      </w:pPr>
    </w:lvl>
    <w:lvl w:ilvl="5" w:tplc="99BC42A2">
      <w:start w:val="1"/>
      <w:numFmt w:val="lowerRoman"/>
      <w:lvlText w:val="%6."/>
      <w:lvlJc w:val="right"/>
      <w:pPr>
        <w:ind w:left="4320" w:hanging="180"/>
      </w:pPr>
    </w:lvl>
    <w:lvl w:ilvl="6" w:tplc="B540C800">
      <w:start w:val="1"/>
      <w:numFmt w:val="decimal"/>
      <w:lvlText w:val="%7."/>
      <w:lvlJc w:val="left"/>
      <w:pPr>
        <w:ind w:left="5040" w:hanging="360"/>
      </w:pPr>
    </w:lvl>
    <w:lvl w:ilvl="7" w:tplc="3C68E45C">
      <w:start w:val="1"/>
      <w:numFmt w:val="lowerLetter"/>
      <w:lvlText w:val="%8."/>
      <w:lvlJc w:val="left"/>
      <w:pPr>
        <w:ind w:left="5760" w:hanging="360"/>
      </w:pPr>
    </w:lvl>
    <w:lvl w:ilvl="8" w:tplc="2BFA5D8E">
      <w:start w:val="1"/>
      <w:numFmt w:val="lowerRoman"/>
      <w:lvlText w:val="%9."/>
      <w:lvlJc w:val="right"/>
      <w:pPr>
        <w:ind w:left="6480" w:hanging="180"/>
      </w:pPr>
    </w:lvl>
  </w:abstractNum>
  <w:abstractNum w:abstractNumId="10" w15:restartNumberingAfterBreak="0">
    <w:nsid w:val="386B21F5"/>
    <w:multiLevelType w:val="hybridMultilevel"/>
    <w:tmpl w:val="C5FE43B6"/>
    <w:lvl w:ilvl="0" w:tplc="AF6C3B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286B7D"/>
    <w:multiLevelType w:val="hybridMultilevel"/>
    <w:tmpl w:val="9D569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82820"/>
    <w:multiLevelType w:val="hybridMultilevel"/>
    <w:tmpl w:val="208E2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B759E2"/>
    <w:multiLevelType w:val="multilevel"/>
    <w:tmpl w:val="269ECAD0"/>
    <w:lvl w:ilvl="0">
      <w:start w:val="1"/>
      <w:numFmt w:val="decimal"/>
      <w:lvlText w:val="%1."/>
      <w:lvlJc w:val="left"/>
      <w:pPr>
        <w:tabs>
          <w:tab w:val="num" w:pos="502"/>
        </w:tabs>
        <w:ind w:left="502" w:hanging="360"/>
      </w:pPr>
      <w:rPr>
        <w:rFonts w:cs="Times New Roman" w:hint="default"/>
        <w:b w:val="0"/>
        <w:i w:val="0"/>
        <w:color w:val="auto"/>
        <w:sz w:val="22"/>
        <w:szCs w:val="22"/>
      </w:rPr>
    </w:lvl>
    <w:lvl w:ilvl="1">
      <w:start w:val="1"/>
      <w:numFmt w:val="bullet"/>
      <w:lvlText w:val=""/>
      <w:lvlJc w:val="left"/>
      <w:pPr>
        <w:tabs>
          <w:tab w:val="num" w:pos="54"/>
        </w:tabs>
        <w:ind w:left="489" w:hanging="432"/>
      </w:pPr>
      <w:rPr>
        <w:rFonts w:ascii="Symbol" w:hAnsi="Symbol" w:hint="default"/>
      </w:rPr>
    </w:lvl>
    <w:lvl w:ilvl="2">
      <w:start w:val="1"/>
      <w:numFmt w:val="lowerRoman"/>
      <w:lvlText w:val="%3."/>
      <w:lvlJc w:val="right"/>
      <w:pPr>
        <w:tabs>
          <w:tab w:val="num" w:pos="1137"/>
        </w:tabs>
        <w:ind w:left="921" w:hanging="504"/>
      </w:pPr>
      <w:rPr>
        <w:rFonts w:hint="default"/>
      </w:rPr>
    </w:lvl>
    <w:lvl w:ilvl="3">
      <w:start w:val="1"/>
      <w:numFmt w:val="decimal"/>
      <w:lvlText w:val="%1.%2.%3.%4."/>
      <w:lvlJc w:val="left"/>
      <w:pPr>
        <w:tabs>
          <w:tab w:val="num" w:pos="1857"/>
        </w:tabs>
        <w:ind w:left="1425" w:hanging="648"/>
      </w:pPr>
      <w:rPr>
        <w:rFonts w:cs="Times New Roman" w:hint="default"/>
      </w:rPr>
    </w:lvl>
    <w:lvl w:ilvl="4">
      <w:start w:val="1"/>
      <w:numFmt w:val="decimal"/>
      <w:lvlText w:val="%1.%2.%3.%4.%5."/>
      <w:lvlJc w:val="left"/>
      <w:pPr>
        <w:tabs>
          <w:tab w:val="num" w:pos="2217"/>
        </w:tabs>
        <w:ind w:left="1929" w:hanging="792"/>
      </w:pPr>
      <w:rPr>
        <w:rFonts w:cs="Times New Roman" w:hint="default"/>
      </w:rPr>
    </w:lvl>
    <w:lvl w:ilvl="5">
      <w:start w:val="1"/>
      <w:numFmt w:val="decimal"/>
      <w:lvlText w:val="%1.%2.%3.%4.%5.%6."/>
      <w:lvlJc w:val="left"/>
      <w:pPr>
        <w:tabs>
          <w:tab w:val="num" w:pos="2937"/>
        </w:tabs>
        <w:ind w:left="2433" w:hanging="936"/>
      </w:pPr>
      <w:rPr>
        <w:rFonts w:cs="Times New Roman" w:hint="default"/>
      </w:rPr>
    </w:lvl>
    <w:lvl w:ilvl="6">
      <w:start w:val="1"/>
      <w:numFmt w:val="decimal"/>
      <w:lvlText w:val="%1.%2.%3.%4.%5.%6.%7."/>
      <w:lvlJc w:val="left"/>
      <w:pPr>
        <w:tabs>
          <w:tab w:val="num" w:pos="3297"/>
        </w:tabs>
        <w:ind w:left="2937" w:hanging="1080"/>
      </w:pPr>
      <w:rPr>
        <w:rFonts w:cs="Times New Roman" w:hint="default"/>
      </w:rPr>
    </w:lvl>
    <w:lvl w:ilvl="7">
      <w:start w:val="1"/>
      <w:numFmt w:val="decimal"/>
      <w:lvlText w:val="%1.%2.%3.%4.%5.%6.%7.%8."/>
      <w:lvlJc w:val="left"/>
      <w:pPr>
        <w:tabs>
          <w:tab w:val="num" w:pos="4017"/>
        </w:tabs>
        <w:ind w:left="3441" w:hanging="1224"/>
      </w:pPr>
      <w:rPr>
        <w:rFonts w:cs="Times New Roman" w:hint="default"/>
      </w:rPr>
    </w:lvl>
    <w:lvl w:ilvl="8">
      <w:start w:val="1"/>
      <w:numFmt w:val="decimal"/>
      <w:lvlText w:val="%1.%2.%3.%4.%5.%6.%7.%8.%9."/>
      <w:lvlJc w:val="left"/>
      <w:pPr>
        <w:tabs>
          <w:tab w:val="num" w:pos="4377"/>
        </w:tabs>
        <w:ind w:left="4017" w:hanging="1440"/>
      </w:pPr>
      <w:rPr>
        <w:rFonts w:cs="Times New Roman" w:hint="default"/>
      </w:rPr>
    </w:lvl>
  </w:abstractNum>
  <w:abstractNum w:abstractNumId="14" w15:restartNumberingAfterBreak="0">
    <w:nsid w:val="435A1727"/>
    <w:multiLevelType w:val="hybridMultilevel"/>
    <w:tmpl w:val="468E0C2E"/>
    <w:lvl w:ilvl="0" w:tplc="6DAA905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C056E"/>
    <w:multiLevelType w:val="hybridMultilevel"/>
    <w:tmpl w:val="D7A8E070"/>
    <w:lvl w:ilvl="0" w:tplc="08090015">
      <w:start w:val="1"/>
      <w:numFmt w:val="upperLetter"/>
      <w:lvlText w:val="%1."/>
      <w:lvlJc w:val="left"/>
      <w:pPr>
        <w:ind w:left="360" w:hanging="360"/>
      </w:pPr>
      <w:rPr>
        <w:rFonts w:hint="default"/>
        <w:b/>
        <w:color w:val="auto"/>
      </w:rPr>
    </w:lvl>
    <w:lvl w:ilvl="1" w:tplc="0809000F">
      <w:start w:val="1"/>
      <w:numFmt w:val="decimal"/>
      <w:lvlText w:val="%2."/>
      <w:lvlJc w:val="left"/>
      <w:pPr>
        <w:tabs>
          <w:tab w:val="num" w:pos="1440"/>
        </w:tabs>
        <w:ind w:left="1440" w:hanging="360"/>
      </w:pPr>
      <w:rPr>
        <w:rFonts w:cs="Times New Roman"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B080168"/>
    <w:multiLevelType w:val="hybridMultilevel"/>
    <w:tmpl w:val="8ECE0F4C"/>
    <w:lvl w:ilvl="0" w:tplc="58424EE4">
      <w:start w:val="1"/>
      <w:numFmt w:val="decimal"/>
      <w:pStyle w:val="Numberedparagraphs"/>
      <w:lvlText w:val="%1."/>
      <w:lvlJc w:val="left"/>
      <w:pPr>
        <w:ind w:left="360" w:hanging="360"/>
      </w:pPr>
      <w:rPr>
        <w:rFonts w:hint="default"/>
        <w:b w:val="0"/>
        <w:i w:val="0"/>
        <w:color w:val="auto"/>
      </w:rPr>
    </w:lvl>
    <w:lvl w:ilvl="1" w:tplc="0809000F">
      <w:start w:val="1"/>
      <w:numFmt w:val="decimal"/>
      <w:lvlText w:val="%2."/>
      <w:lvlJc w:val="left"/>
      <w:pPr>
        <w:tabs>
          <w:tab w:val="num" w:pos="1440"/>
        </w:tabs>
        <w:ind w:left="1440" w:hanging="360"/>
      </w:pPr>
      <w:rPr>
        <w:rFonts w:cs="Times New Roman"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0EB51AD"/>
    <w:multiLevelType w:val="hybridMultilevel"/>
    <w:tmpl w:val="5DDE64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68C109F5"/>
    <w:multiLevelType w:val="hybridMultilevel"/>
    <w:tmpl w:val="62EA48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69275058"/>
    <w:multiLevelType w:val="multilevel"/>
    <w:tmpl w:val="5EF07870"/>
    <w:lvl w:ilvl="0">
      <w:start w:val="1"/>
      <w:numFmt w:val="bullet"/>
      <w:lvlText w:val=""/>
      <w:lvlJc w:val="left"/>
      <w:pPr>
        <w:tabs>
          <w:tab w:val="num" w:pos="900"/>
        </w:tabs>
        <w:ind w:left="900" w:hanging="360"/>
      </w:pPr>
      <w:rPr>
        <w:rFonts w:ascii="Symbol" w:hAnsi="Symbol" w:hint="default"/>
        <w:b w:val="0"/>
        <w:color w:val="auto"/>
      </w:rPr>
    </w:lvl>
    <w:lvl w:ilvl="1">
      <w:start w:val="1"/>
      <w:numFmt w:val="decimal"/>
      <w:lvlText w:val="%1.%2"/>
      <w:lvlJc w:val="left"/>
      <w:pPr>
        <w:tabs>
          <w:tab w:val="num" w:pos="717"/>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718851C2"/>
    <w:multiLevelType w:val="multilevel"/>
    <w:tmpl w:val="F9D27444"/>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15:restartNumberingAfterBreak="0">
    <w:nsid w:val="73990517"/>
    <w:multiLevelType w:val="multilevel"/>
    <w:tmpl w:val="71123128"/>
    <w:lvl w:ilvl="0">
      <w:start w:val="1"/>
      <w:numFmt w:val="decimal"/>
      <w:lvlText w:val="%1."/>
      <w:lvlJc w:val="left"/>
      <w:pPr>
        <w:tabs>
          <w:tab w:val="num" w:pos="502"/>
        </w:tabs>
        <w:ind w:left="502" w:hanging="360"/>
      </w:pPr>
      <w:rPr>
        <w:rFonts w:cs="Times New Roman" w:hint="default"/>
        <w:b w:val="0"/>
        <w:i w:val="0"/>
        <w:color w:val="auto"/>
        <w:sz w:val="22"/>
        <w:szCs w:val="22"/>
      </w:rPr>
    </w:lvl>
    <w:lvl w:ilvl="1">
      <w:start w:val="1"/>
      <w:numFmt w:val="bullet"/>
      <w:lvlText w:val=""/>
      <w:lvlJc w:val="left"/>
      <w:pPr>
        <w:tabs>
          <w:tab w:val="num" w:pos="54"/>
        </w:tabs>
        <w:ind w:left="489" w:hanging="432"/>
      </w:pPr>
      <w:rPr>
        <w:rFonts w:ascii="Symbol" w:hAnsi="Symbol" w:hint="default"/>
      </w:rPr>
    </w:lvl>
    <w:lvl w:ilvl="2">
      <w:start w:val="1"/>
      <w:numFmt w:val="lowerRoman"/>
      <w:lvlText w:val="%3."/>
      <w:lvlJc w:val="right"/>
      <w:pPr>
        <w:tabs>
          <w:tab w:val="num" w:pos="1137"/>
        </w:tabs>
        <w:ind w:left="921" w:hanging="504"/>
      </w:pPr>
      <w:rPr>
        <w:rFonts w:hint="default"/>
      </w:rPr>
    </w:lvl>
    <w:lvl w:ilvl="3">
      <w:start w:val="1"/>
      <w:numFmt w:val="decimal"/>
      <w:lvlText w:val="%1.%2.%3.%4."/>
      <w:lvlJc w:val="left"/>
      <w:pPr>
        <w:tabs>
          <w:tab w:val="num" w:pos="1857"/>
        </w:tabs>
        <w:ind w:left="1425" w:hanging="648"/>
      </w:pPr>
      <w:rPr>
        <w:rFonts w:cs="Times New Roman" w:hint="default"/>
      </w:rPr>
    </w:lvl>
    <w:lvl w:ilvl="4">
      <w:start w:val="1"/>
      <w:numFmt w:val="decimal"/>
      <w:lvlText w:val="%1.%2.%3.%4.%5."/>
      <w:lvlJc w:val="left"/>
      <w:pPr>
        <w:tabs>
          <w:tab w:val="num" w:pos="2217"/>
        </w:tabs>
        <w:ind w:left="1929" w:hanging="792"/>
      </w:pPr>
      <w:rPr>
        <w:rFonts w:cs="Times New Roman" w:hint="default"/>
      </w:rPr>
    </w:lvl>
    <w:lvl w:ilvl="5">
      <w:start w:val="1"/>
      <w:numFmt w:val="decimal"/>
      <w:lvlText w:val="%1.%2.%3.%4.%5.%6."/>
      <w:lvlJc w:val="left"/>
      <w:pPr>
        <w:tabs>
          <w:tab w:val="num" w:pos="2937"/>
        </w:tabs>
        <w:ind w:left="2433" w:hanging="936"/>
      </w:pPr>
      <w:rPr>
        <w:rFonts w:cs="Times New Roman" w:hint="default"/>
      </w:rPr>
    </w:lvl>
    <w:lvl w:ilvl="6">
      <w:start w:val="1"/>
      <w:numFmt w:val="decimal"/>
      <w:lvlText w:val="%1.%2.%3.%4.%5.%6.%7."/>
      <w:lvlJc w:val="left"/>
      <w:pPr>
        <w:tabs>
          <w:tab w:val="num" w:pos="3297"/>
        </w:tabs>
        <w:ind w:left="2937" w:hanging="1080"/>
      </w:pPr>
      <w:rPr>
        <w:rFonts w:cs="Times New Roman" w:hint="default"/>
      </w:rPr>
    </w:lvl>
    <w:lvl w:ilvl="7">
      <w:start w:val="1"/>
      <w:numFmt w:val="decimal"/>
      <w:lvlText w:val="%1.%2.%3.%4.%5.%6.%7.%8."/>
      <w:lvlJc w:val="left"/>
      <w:pPr>
        <w:tabs>
          <w:tab w:val="num" w:pos="4017"/>
        </w:tabs>
        <w:ind w:left="3441" w:hanging="1224"/>
      </w:pPr>
      <w:rPr>
        <w:rFonts w:cs="Times New Roman" w:hint="default"/>
      </w:rPr>
    </w:lvl>
    <w:lvl w:ilvl="8">
      <w:start w:val="1"/>
      <w:numFmt w:val="decimal"/>
      <w:lvlText w:val="%1.%2.%3.%4.%5.%6.%7.%8.%9."/>
      <w:lvlJc w:val="left"/>
      <w:pPr>
        <w:tabs>
          <w:tab w:val="num" w:pos="4377"/>
        </w:tabs>
        <w:ind w:left="4017" w:hanging="1440"/>
      </w:pPr>
      <w:rPr>
        <w:rFonts w:cs="Times New Roman" w:hint="default"/>
      </w:rPr>
    </w:lvl>
  </w:abstractNum>
  <w:abstractNum w:abstractNumId="22" w15:restartNumberingAfterBreak="0">
    <w:nsid w:val="73CD41F5"/>
    <w:multiLevelType w:val="hybridMultilevel"/>
    <w:tmpl w:val="0AC0E5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7A707EC0"/>
    <w:multiLevelType w:val="hybridMultilevel"/>
    <w:tmpl w:val="25BE3E3A"/>
    <w:lvl w:ilvl="0" w:tplc="DC86B4F8">
      <w:start w:val="1"/>
      <w:numFmt w:val="decimal"/>
      <w:lvlText w:val="%1."/>
      <w:lvlJc w:val="left"/>
      <w:pPr>
        <w:ind w:left="473" w:hanging="360"/>
      </w:pPr>
      <w:rPr>
        <w:rFonts w:ascii="Arial" w:hAnsi="Arial" w:cs="Times New Roman"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15:restartNumberingAfterBreak="0">
    <w:nsid w:val="7C4F2DFD"/>
    <w:multiLevelType w:val="hybridMultilevel"/>
    <w:tmpl w:val="22CA20E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7C5A4933"/>
    <w:multiLevelType w:val="multilevel"/>
    <w:tmpl w:val="369665D2"/>
    <w:lvl w:ilvl="0">
      <w:start w:val="1"/>
      <w:numFmt w:val="decimal"/>
      <w:lvlText w:val="%1."/>
      <w:lvlJc w:val="left"/>
      <w:pPr>
        <w:tabs>
          <w:tab w:val="num" w:pos="502"/>
        </w:tabs>
        <w:ind w:left="502" w:hanging="360"/>
      </w:pPr>
      <w:rPr>
        <w:rFonts w:cs="Times New Roman" w:hint="default"/>
        <w:b w:val="0"/>
        <w:i w:val="0"/>
        <w:color w:val="auto"/>
        <w:sz w:val="22"/>
        <w:szCs w:val="22"/>
      </w:rPr>
    </w:lvl>
    <w:lvl w:ilvl="1">
      <w:start w:val="1"/>
      <w:numFmt w:val="bullet"/>
      <w:lvlText w:val=""/>
      <w:lvlJc w:val="left"/>
      <w:pPr>
        <w:tabs>
          <w:tab w:val="num" w:pos="54"/>
        </w:tabs>
        <w:ind w:left="489" w:hanging="432"/>
      </w:pPr>
      <w:rPr>
        <w:rFonts w:ascii="Symbol" w:hAnsi="Symbol" w:hint="default"/>
      </w:rPr>
    </w:lvl>
    <w:lvl w:ilvl="2">
      <w:start w:val="1"/>
      <w:numFmt w:val="lowerRoman"/>
      <w:lvlText w:val="%3."/>
      <w:lvlJc w:val="right"/>
      <w:pPr>
        <w:tabs>
          <w:tab w:val="num" w:pos="1137"/>
        </w:tabs>
        <w:ind w:left="921" w:hanging="504"/>
      </w:pPr>
      <w:rPr>
        <w:rFonts w:hint="default"/>
      </w:rPr>
    </w:lvl>
    <w:lvl w:ilvl="3">
      <w:start w:val="1"/>
      <w:numFmt w:val="decimal"/>
      <w:lvlText w:val="%1.%2.%3.%4."/>
      <w:lvlJc w:val="left"/>
      <w:pPr>
        <w:tabs>
          <w:tab w:val="num" w:pos="1857"/>
        </w:tabs>
        <w:ind w:left="1425" w:hanging="648"/>
      </w:pPr>
      <w:rPr>
        <w:rFonts w:cs="Times New Roman" w:hint="default"/>
      </w:rPr>
    </w:lvl>
    <w:lvl w:ilvl="4">
      <w:start w:val="1"/>
      <w:numFmt w:val="decimal"/>
      <w:lvlText w:val="%1.%2.%3.%4.%5."/>
      <w:lvlJc w:val="left"/>
      <w:pPr>
        <w:tabs>
          <w:tab w:val="num" w:pos="2217"/>
        </w:tabs>
        <w:ind w:left="1929" w:hanging="792"/>
      </w:pPr>
      <w:rPr>
        <w:rFonts w:cs="Times New Roman" w:hint="default"/>
      </w:rPr>
    </w:lvl>
    <w:lvl w:ilvl="5">
      <w:start w:val="1"/>
      <w:numFmt w:val="decimal"/>
      <w:lvlText w:val="%1.%2.%3.%4.%5.%6."/>
      <w:lvlJc w:val="left"/>
      <w:pPr>
        <w:tabs>
          <w:tab w:val="num" w:pos="2937"/>
        </w:tabs>
        <w:ind w:left="2433" w:hanging="936"/>
      </w:pPr>
      <w:rPr>
        <w:rFonts w:cs="Times New Roman" w:hint="default"/>
      </w:rPr>
    </w:lvl>
    <w:lvl w:ilvl="6">
      <w:start w:val="1"/>
      <w:numFmt w:val="decimal"/>
      <w:lvlText w:val="%1.%2.%3.%4.%5.%6.%7."/>
      <w:lvlJc w:val="left"/>
      <w:pPr>
        <w:tabs>
          <w:tab w:val="num" w:pos="3297"/>
        </w:tabs>
        <w:ind w:left="2937" w:hanging="1080"/>
      </w:pPr>
      <w:rPr>
        <w:rFonts w:cs="Times New Roman" w:hint="default"/>
      </w:rPr>
    </w:lvl>
    <w:lvl w:ilvl="7">
      <w:start w:val="1"/>
      <w:numFmt w:val="decimal"/>
      <w:lvlText w:val="%1.%2.%3.%4.%5.%6.%7.%8."/>
      <w:lvlJc w:val="left"/>
      <w:pPr>
        <w:tabs>
          <w:tab w:val="num" w:pos="4017"/>
        </w:tabs>
        <w:ind w:left="3441" w:hanging="1224"/>
      </w:pPr>
      <w:rPr>
        <w:rFonts w:cs="Times New Roman" w:hint="default"/>
      </w:rPr>
    </w:lvl>
    <w:lvl w:ilvl="8">
      <w:start w:val="1"/>
      <w:numFmt w:val="decimal"/>
      <w:lvlText w:val="%1.%2.%3.%4.%5.%6.%7.%8.%9."/>
      <w:lvlJc w:val="left"/>
      <w:pPr>
        <w:tabs>
          <w:tab w:val="num" w:pos="4377"/>
        </w:tabs>
        <w:ind w:left="4017" w:hanging="1440"/>
      </w:pPr>
      <w:rPr>
        <w:rFonts w:cs="Times New Roman" w:hint="default"/>
      </w:rPr>
    </w:lvl>
  </w:abstractNum>
  <w:abstractNum w:abstractNumId="26" w15:restartNumberingAfterBreak="0">
    <w:nsid w:val="7FB75C1D"/>
    <w:multiLevelType w:val="multilevel"/>
    <w:tmpl w:val="9E9E9A8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20"/>
  </w:num>
  <w:num w:numId="2">
    <w:abstractNumId w:val="8"/>
  </w:num>
  <w:num w:numId="3">
    <w:abstractNumId w:val="26"/>
  </w:num>
  <w:num w:numId="4">
    <w:abstractNumId w:val="2"/>
  </w:num>
  <w:num w:numId="5">
    <w:abstractNumId w:val="15"/>
  </w:num>
  <w:num w:numId="6">
    <w:abstractNumId w:val="17"/>
  </w:num>
  <w:num w:numId="7">
    <w:abstractNumId w:val="23"/>
  </w:num>
  <w:num w:numId="8">
    <w:abstractNumId w:val="11"/>
  </w:num>
  <w:num w:numId="9">
    <w:abstractNumId w:val="19"/>
  </w:num>
  <w:num w:numId="10">
    <w:abstractNumId w:val="12"/>
  </w:num>
  <w:num w:numId="11">
    <w:abstractNumId w:val="7"/>
  </w:num>
  <w:num w:numId="12">
    <w:abstractNumId w:val="16"/>
  </w:num>
  <w:num w:numId="13">
    <w:abstractNumId w:val="13"/>
  </w:num>
  <w:num w:numId="14">
    <w:abstractNumId w:val="14"/>
  </w:num>
  <w:num w:numId="15">
    <w:abstractNumId w:val="4"/>
  </w:num>
  <w:num w:numId="16">
    <w:abstractNumId w:val="26"/>
  </w:num>
  <w:num w:numId="17">
    <w:abstractNumId w:val="21"/>
  </w:num>
  <w:num w:numId="18">
    <w:abstractNumId w:val="3"/>
  </w:num>
  <w:num w:numId="19">
    <w:abstractNumId w:val="26"/>
  </w:num>
  <w:num w:numId="20">
    <w:abstractNumId w:val="26"/>
  </w:num>
  <w:num w:numId="21">
    <w:abstractNumId w:val="18"/>
  </w:num>
  <w:num w:numId="22">
    <w:abstractNumId w:val="22"/>
  </w:num>
  <w:num w:numId="23">
    <w:abstractNumId w:val="5"/>
  </w:num>
  <w:num w:numId="24">
    <w:abstractNumId w:val="9"/>
  </w:num>
  <w:num w:numId="25">
    <w:abstractNumId w:val="24"/>
  </w:num>
  <w:num w:numId="26">
    <w:abstractNumId w:val="6"/>
  </w:num>
  <w:num w:numId="27">
    <w:abstractNumId w:val="25"/>
  </w:num>
  <w:num w:numId="28">
    <w:abstractNumId w:val="0"/>
  </w:num>
  <w:num w:numId="29">
    <w:abstractNumId w:val="26"/>
  </w:num>
  <w:num w:numId="30">
    <w:abstractNumId w:val="10"/>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Doc" w:val="Created"/>
    <w:docVar w:name="VerNumber" w:val="3.9.0"/>
  </w:docVars>
  <w:rsids>
    <w:rsidRoot w:val="00044FE7"/>
    <w:rsid w:val="00000254"/>
    <w:rsid w:val="00000766"/>
    <w:rsid w:val="00000BF1"/>
    <w:rsid w:val="000019B2"/>
    <w:rsid w:val="00001E72"/>
    <w:rsid w:val="00002427"/>
    <w:rsid w:val="000036A5"/>
    <w:rsid w:val="00003A70"/>
    <w:rsid w:val="00003B95"/>
    <w:rsid w:val="0000505F"/>
    <w:rsid w:val="000057C6"/>
    <w:rsid w:val="0000598C"/>
    <w:rsid w:val="000071A5"/>
    <w:rsid w:val="000079C0"/>
    <w:rsid w:val="00007A9C"/>
    <w:rsid w:val="00010950"/>
    <w:rsid w:val="00010EE1"/>
    <w:rsid w:val="00012458"/>
    <w:rsid w:val="000142F1"/>
    <w:rsid w:val="0001453D"/>
    <w:rsid w:val="0001460F"/>
    <w:rsid w:val="000150CE"/>
    <w:rsid w:val="00015674"/>
    <w:rsid w:val="00015B42"/>
    <w:rsid w:val="000166B7"/>
    <w:rsid w:val="00016E70"/>
    <w:rsid w:val="0001778B"/>
    <w:rsid w:val="00017E5E"/>
    <w:rsid w:val="00021306"/>
    <w:rsid w:val="00021809"/>
    <w:rsid w:val="000222F1"/>
    <w:rsid w:val="000224B0"/>
    <w:rsid w:val="00022864"/>
    <w:rsid w:val="00022BE0"/>
    <w:rsid w:val="00022F52"/>
    <w:rsid w:val="00023080"/>
    <w:rsid w:val="0002370C"/>
    <w:rsid w:val="000239A7"/>
    <w:rsid w:val="00023E62"/>
    <w:rsid w:val="000251D0"/>
    <w:rsid w:val="00025CC4"/>
    <w:rsid w:val="00026111"/>
    <w:rsid w:val="00026555"/>
    <w:rsid w:val="00026AC0"/>
    <w:rsid w:val="00030FD2"/>
    <w:rsid w:val="00031227"/>
    <w:rsid w:val="000316C4"/>
    <w:rsid w:val="000318E3"/>
    <w:rsid w:val="0003428F"/>
    <w:rsid w:val="00034B3A"/>
    <w:rsid w:val="00036E4D"/>
    <w:rsid w:val="000371FD"/>
    <w:rsid w:val="0003786D"/>
    <w:rsid w:val="0004016B"/>
    <w:rsid w:val="000407D8"/>
    <w:rsid w:val="00042344"/>
    <w:rsid w:val="00042FE5"/>
    <w:rsid w:val="00043245"/>
    <w:rsid w:val="00043492"/>
    <w:rsid w:val="00044738"/>
    <w:rsid w:val="00044FE7"/>
    <w:rsid w:val="00045828"/>
    <w:rsid w:val="00045BAD"/>
    <w:rsid w:val="00046556"/>
    <w:rsid w:val="00046619"/>
    <w:rsid w:val="00047E04"/>
    <w:rsid w:val="0005065A"/>
    <w:rsid w:val="00050A7D"/>
    <w:rsid w:val="00051403"/>
    <w:rsid w:val="000517BF"/>
    <w:rsid w:val="00052F44"/>
    <w:rsid w:val="00053B18"/>
    <w:rsid w:val="0005412C"/>
    <w:rsid w:val="00054710"/>
    <w:rsid w:val="0005543F"/>
    <w:rsid w:val="00056EE6"/>
    <w:rsid w:val="00057A70"/>
    <w:rsid w:val="0006047F"/>
    <w:rsid w:val="0006053F"/>
    <w:rsid w:val="00061D9C"/>
    <w:rsid w:val="00062659"/>
    <w:rsid w:val="00062A81"/>
    <w:rsid w:val="00062D74"/>
    <w:rsid w:val="0006435A"/>
    <w:rsid w:val="00065EAD"/>
    <w:rsid w:val="000671A2"/>
    <w:rsid w:val="00067DA0"/>
    <w:rsid w:val="00070272"/>
    <w:rsid w:val="00070516"/>
    <w:rsid w:val="00070EEB"/>
    <w:rsid w:val="00071299"/>
    <w:rsid w:val="00072272"/>
    <w:rsid w:val="00073A33"/>
    <w:rsid w:val="0007524C"/>
    <w:rsid w:val="0007532E"/>
    <w:rsid w:val="00075A04"/>
    <w:rsid w:val="000763C7"/>
    <w:rsid w:val="000767AC"/>
    <w:rsid w:val="0007695E"/>
    <w:rsid w:val="00076A78"/>
    <w:rsid w:val="00076C08"/>
    <w:rsid w:val="00076C16"/>
    <w:rsid w:val="0007785D"/>
    <w:rsid w:val="00080893"/>
    <w:rsid w:val="000811EF"/>
    <w:rsid w:val="00081EBD"/>
    <w:rsid w:val="00081EE9"/>
    <w:rsid w:val="00082659"/>
    <w:rsid w:val="00082B07"/>
    <w:rsid w:val="00082B2E"/>
    <w:rsid w:val="00082BAC"/>
    <w:rsid w:val="00083489"/>
    <w:rsid w:val="00083CC6"/>
    <w:rsid w:val="00084E0F"/>
    <w:rsid w:val="000860CC"/>
    <w:rsid w:val="00086128"/>
    <w:rsid w:val="000863D4"/>
    <w:rsid w:val="0008731F"/>
    <w:rsid w:val="0008734A"/>
    <w:rsid w:val="000930D9"/>
    <w:rsid w:val="00093598"/>
    <w:rsid w:val="0009381F"/>
    <w:rsid w:val="00094228"/>
    <w:rsid w:val="00094680"/>
    <w:rsid w:val="00094A9E"/>
    <w:rsid w:val="000956FD"/>
    <w:rsid w:val="000964AB"/>
    <w:rsid w:val="000979BC"/>
    <w:rsid w:val="00097B82"/>
    <w:rsid w:val="000A11A9"/>
    <w:rsid w:val="000A2526"/>
    <w:rsid w:val="000A2862"/>
    <w:rsid w:val="000A35A9"/>
    <w:rsid w:val="000A36EE"/>
    <w:rsid w:val="000A4984"/>
    <w:rsid w:val="000A5C5D"/>
    <w:rsid w:val="000A6E4B"/>
    <w:rsid w:val="000A7577"/>
    <w:rsid w:val="000A79FC"/>
    <w:rsid w:val="000A7CCC"/>
    <w:rsid w:val="000B07A1"/>
    <w:rsid w:val="000B0F2B"/>
    <w:rsid w:val="000B0F38"/>
    <w:rsid w:val="000B1176"/>
    <w:rsid w:val="000B1A2E"/>
    <w:rsid w:val="000B239B"/>
    <w:rsid w:val="000B2F9E"/>
    <w:rsid w:val="000B3E49"/>
    <w:rsid w:val="000B7211"/>
    <w:rsid w:val="000C0019"/>
    <w:rsid w:val="000C031E"/>
    <w:rsid w:val="000C1365"/>
    <w:rsid w:val="000C165A"/>
    <w:rsid w:val="000C1D45"/>
    <w:rsid w:val="000C2A10"/>
    <w:rsid w:val="000C30D8"/>
    <w:rsid w:val="000C4245"/>
    <w:rsid w:val="000C4589"/>
    <w:rsid w:val="000C57D5"/>
    <w:rsid w:val="000C6407"/>
    <w:rsid w:val="000C6A87"/>
    <w:rsid w:val="000C6C74"/>
    <w:rsid w:val="000C70B0"/>
    <w:rsid w:val="000D0F4C"/>
    <w:rsid w:val="000D1CB0"/>
    <w:rsid w:val="000D3B40"/>
    <w:rsid w:val="000D4CB4"/>
    <w:rsid w:val="000D55B5"/>
    <w:rsid w:val="000D5851"/>
    <w:rsid w:val="000D58BD"/>
    <w:rsid w:val="000D5ED5"/>
    <w:rsid w:val="000D6BA7"/>
    <w:rsid w:val="000D70F9"/>
    <w:rsid w:val="000D72B7"/>
    <w:rsid w:val="000D777B"/>
    <w:rsid w:val="000D7DC0"/>
    <w:rsid w:val="000D7F7C"/>
    <w:rsid w:val="000E02BE"/>
    <w:rsid w:val="000E0B28"/>
    <w:rsid w:val="000E0D63"/>
    <w:rsid w:val="000E114A"/>
    <w:rsid w:val="000E170B"/>
    <w:rsid w:val="000E26C9"/>
    <w:rsid w:val="000E3308"/>
    <w:rsid w:val="000E3A00"/>
    <w:rsid w:val="000E3FD7"/>
    <w:rsid w:val="000E452D"/>
    <w:rsid w:val="000E620D"/>
    <w:rsid w:val="000E641E"/>
    <w:rsid w:val="000E659D"/>
    <w:rsid w:val="000E6A2B"/>
    <w:rsid w:val="000E6DFE"/>
    <w:rsid w:val="000F004E"/>
    <w:rsid w:val="000F0840"/>
    <w:rsid w:val="000F1BF1"/>
    <w:rsid w:val="000F27C0"/>
    <w:rsid w:val="000F34D0"/>
    <w:rsid w:val="000F37BB"/>
    <w:rsid w:val="000F3EDA"/>
    <w:rsid w:val="000F4481"/>
    <w:rsid w:val="000F57BB"/>
    <w:rsid w:val="000F6236"/>
    <w:rsid w:val="000F7957"/>
    <w:rsid w:val="0010063C"/>
    <w:rsid w:val="00100ABF"/>
    <w:rsid w:val="00100BD0"/>
    <w:rsid w:val="001018EE"/>
    <w:rsid w:val="00101961"/>
    <w:rsid w:val="001023A7"/>
    <w:rsid w:val="00102870"/>
    <w:rsid w:val="00102871"/>
    <w:rsid w:val="00105228"/>
    <w:rsid w:val="0010531D"/>
    <w:rsid w:val="001059AB"/>
    <w:rsid w:val="00105F6A"/>
    <w:rsid w:val="0010600E"/>
    <w:rsid w:val="00106574"/>
    <w:rsid w:val="0010659E"/>
    <w:rsid w:val="001101D0"/>
    <w:rsid w:val="00110396"/>
    <w:rsid w:val="001110DB"/>
    <w:rsid w:val="00112C6E"/>
    <w:rsid w:val="0011324E"/>
    <w:rsid w:val="00113355"/>
    <w:rsid w:val="001141DF"/>
    <w:rsid w:val="0011445E"/>
    <w:rsid w:val="0011469D"/>
    <w:rsid w:val="001154D3"/>
    <w:rsid w:val="00115D70"/>
    <w:rsid w:val="001168A7"/>
    <w:rsid w:val="00117F2D"/>
    <w:rsid w:val="00120113"/>
    <w:rsid w:val="001221C5"/>
    <w:rsid w:val="001235DD"/>
    <w:rsid w:val="0012369A"/>
    <w:rsid w:val="001243CD"/>
    <w:rsid w:val="0012460B"/>
    <w:rsid w:val="00127373"/>
    <w:rsid w:val="00127A17"/>
    <w:rsid w:val="001301EA"/>
    <w:rsid w:val="00131CE4"/>
    <w:rsid w:val="00133A17"/>
    <w:rsid w:val="00133C58"/>
    <w:rsid w:val="0013479E"/>
    <w:rsid w:val="00134EA8"/>
    <w:rsid w:val="00135098"/>
    <w:rsid w:val="001365F4"/>
    <w:rsid w:val="0014140D"/>
    <w:rsid w:val="00141B6F"/>
    <w:rsid w:val="0014336D"/>
    <w:rsid w:val="00143F26"/>
    <w:rsid w:val="001477D1"/>
    <w:rsid w:val="0015002F"/>
    <w:rsid w:val="00150D7E"/>
    <w:rsid w:val="00150DAE"/>
    <w:rsid w:val="0015254E"/>
    <w:rsid w:val="001528E0"/>
    <w:rsid w:val="00152C60"/>
    <w:rsid w:val="001535F3"/>
    <w:rsid w:val="00154F50"/>
    <w:rsid w:val="001550DD"/>
    <w:rsid w:val="00155264"/>
    <w:rsid w:val="00156DF9"/>
    <w:rsid w:val="00156E0C"/>
    <w:rsid w:val="0015774B"/>
    <w:rsid w:val="00160691"/>
    <w:rsid w:val="00161099"/>
    <w:rsid w:val="00162150"/>
    <w:rsid w:val="00162AA7"/>
    <w:rsid w:val="00164515"/>
    <w:rsid w:val="00164B05"/>
    <w:rsid w:val="00165113"/>
    <w:rsid w:val="001669DB"/>
    <w:rsid w:val="00166D52"/>
    <w:rsid w:val="00166EDC"/>
    <w:rsid w:val="00167278"/>
    <w:rsid w:val="001709E2"/>
    <w:rsid w:val="001725A3"/>
    <w:rsid w:val="001730D8"/>
    <w:rsid w:val="00174008"/>
    <w:rsid w:val="00174C10"/>
    <w:rsid w:val="00175447"/>
    <w:rsid w:val="00180869"/>
    <w:rsid w:val="001811B4"/>
    <w:rsid w:val="00182082"/>
    <w:rsid w:val="00182B85"/>
    <w:rsid w:val="00183038"/>
    <w:rsid w:val="00183882"/>
    <w:rsid w:val="001844B6"/>
    <w:rsid w:val="001844DB"/>
    <w:rsid w:val="001851A3"/>
    <w:rsid w:val="001851B9"/>
    <w:rsid w:val="001855B1"/>
    <w:rsid w:val="00186D01"/>
    <w:rsid w:val="00190124"/>
    <w:rsid w:val="00190135"/>
    <w:rsid w:val="0019021E"/>
    <w:rsid w:val="001909CF"/>
    <w:rsid w:val="00190C99"/>
    <w:rsid w:val="00190E08"/>
    <w:rsid w:val="00190F9A"/>
    <w:rsid w:val="00192662"/>
    <w:rsid w:val="0019316D"/>
    <w:rsid w:val="00194050"/>
    <w:rsid w:val="00194715"/>
    <w:rsid w:val="00194745"/>
    <w:rsid w:val="00194B5C"/>
    <w:rsid w:val="00194E96"/>
    <w:rsid w:val="001951BC"/>
    <w:rsid w:val="00195A07"/>
    <w:rsid w:val="00195ECD"/>
    <w:rsid w:val="00197034"/>
    <w:rsid w:val="001A07F1"/>
    <w:rsid w:val="001A0B2D"/>
    <w:rsid w:val="001A12CE"/>
    <w:rsid w:val="001A26EC"/>
    <w:rsid w:val="001A3B0B"/>
    <w:rsid w:val="001A4332"/>
    <w:rsid w:val="001A4432"/>
    <w:rsid w:val="001A44C2"/>
    <w:rsid w:val="001A478E"/>
    <w:rsid w:val="001A504A"/>
    <w:rsid w:val="001A509E"/>
    <w:rsid w:val="001A67BA"/>
    <w:rsid w:val="001A6FE6"/>
    <w:rsid w:val="001A7B61"/>
    <w:rsid w:val="001A7D6D"/>
    <w:rsid w:val="001B08DB"/>
    <w:rsid w:val="001B1210"/>
    <w:rsid w:val="001B2B1D"/>
    <w:rsid w:val="001B305C"/>
    <w:rsid w:val="001B34EB"/>
    <w:rsid w:val="001B4188"/>
    <w:rsid w:val="001B41C0"/>
    <w:rsid w:val="001B48CD"/>
    <w:rsid w:val="001B4C2B"/>
    <w:rsid w:val="001B5AF7"/>
    <w:rsid w:val="001C0644"/>
    <w:rsid w:val="001C0AB0"/>
    <w:rsid w:val="001C0B58"/>
    <w:rsid w:val="001C3363"/>
    <w:rsid w:val="001C4A8A"/>
    <w:rsid w:val="001C5660"/>
    <w:rsid w:val="001C6077"/>
    <w:rsid w:val="001C7C39"/>
    <w:rsid w:val="001D09CC"/>
    <w:rsid w:val="001D0AF4"/>
    <w:rsid w:val="001D12D6"/>
    <w:rsid w:val="001D1FC0"/>
    <w:rsid w:val="001D2096"/>
    <w:rsid w:val="001D3A43"/>
    <w:rsid w:val="001D3C11"/>
    <w:rsid w:val="001D4AA8"/>
    <w:rsid w:val="001D4C5B"/>
    <w:rsid w:val="001D4D42"/>
    <w:rsid w:val="001D5EC9"/>
    <w:rsid w:val="001D6B90"/>
    <w:rsid w:val="001D710F"/>
    <w:rsid w:val="001E152A"/>
    <w:rsid w:val="001E17F6"/>
    <w:rsid w:val="001E18F5"/>
    <w:rsid w:val="001E1B1E"/>
    <w:rsid w:val="001E1DA0"/>
    <w:rsid w:val="001E2642"/>
    <w:rsid w:val="001E3968"/>
    <w:rsid w:val="001E3C48"/>
    <w:rsid w:val="001E69A2"/>
    <w:rsid w:val="001F0C2C"/>
    <w:rsid w:val="001F1EC3"/>
    <w:rsid w:val="001F2256"/>
    <w:rsid w:val="001F42F5"/>
    <w:rsid w:val="001F4352"/>
    <w:rsid w:val="001F5423"/>
    <w:rsid w:val="001F599C"/>
    <w:rsid w:val="001F5DD9"/>
    <w:rsid w:val="001F669C"/>
    <w:rsid w:val="001F69E9"/>
    <w:rsid w:val="001F6A4C"/>
    <w:rsid w:val="001F6D51"/>
    <w:rsid w:val="001F6EC2"/>
    <w:rsid w:val="001F71C9"/>
    <w:rsid w:val="001F729D"/>
    <w:rsid w:val="001F7CF8"/>
    <w:rsid w:val="00200368"/>
    <w:rsid w:val="002005CB"/>
    <w:rsid w:val="002006B5"/>
    <w:rsid w:val="0020104C"/>
    <w:rsid w:val="0020151D"/>
    <w:rsid w:val="00201B79"/>
    <w:rsid w:val="00202E56"/>
    <w:rsid w:val="002033D6"/>
    <w:rsid w:val="00203758"/>
    <w:rsid w:val="002049A9"/>
    <w:rsid w:val="00204AB1"/>
    <w:rsid w:val="00205E05"/>
    <w:rsid w:val="00206CE0"/>
    <w:rsid w:val="0020708B"/>
    <w:rsid w:val="00207513"/>
    <w:rsid w:val="00207B21"/>
    <w:rsid w:val="00207D2A"/>
    <w:rsid w:val="00207DC1"/>
    <w:rsid w:val="00210389"/>
    <w:rsid w:val="00210E6A"/>
    <w:rsid w:val="00211257"/>
    <w:rsid w:val="002115D7"/>
    <w:rsid w:val="00212255"/>
    <w:rsid w:val="002144F0"/>
    <w:rsid w:val="00215A6E"/>
    <w:rsid w:val="00215FC1"/>
    <w:rsid w:val="002169B9"/>
    <w:rsid w:val="00216F02"/>
    <w:rsid w:val="0021731F"/>
    <w:rsid w:val="002179B5"/>
    <w:rsid w:val="00217B1D"/>
    <w:rsid w:val="00217CA1"/>
    <w:rsid w:val="00220F29"/>
    <w:rsid w:val="0022125B"/>
    <w:rsid w:val="00221FAD"/>
    <w:rsid w:val="002220EA"/>
    <w:rsid w:val="0022490F"/>
    <w:rsid w:val="00224A56"/>
    <w:rsid w:val="00225B1D"/>
    <w:rsid w:val="00225D34"/>
    <w:rsid w:val="00225F9C"/>
    <w:rsid w:val="002274E5"/>
    <w:rsid w:val="0022767B"/>
    <w:rsid w:val="00227EBE"/>
    <w:rsid w:val="00227F61"/>
    <w:rsid w:val="002306B7"/>
    <w:rsid w:val="002315EC"/>
    <w:rsid w:val="00232137"/>
    <w:rsid w:val="002322A5"/>
    <w:rsid w:val="0023355B"/>
    <w:rsid w:val="002347A2"/>
    <w:rsid w:val="00234E50"/>
    <w:rsid w:val="002363C2"/>
    <w:rsid w:val="00236C9B"/>
    <w:rsid w:val="00241738"/>
    <w:rsid w:val="0024226F"/>
    <w:rsid w:val="002425C2"/>
    <w:rsid w:val="00242A19"/>
    <w:rsid w:val="00242C41"/>
    <w:rsid w:val="002432AE"/>
    <w:rsid w:val="002437A8"/>
    <w:rsid w:val="00243A45"/>
    <w:rsid w:val="00244D96"/>
    <w:rsid w:val="00245425"/>
    <w:rsid w:val="00245770"/>
    <w:rsid w:val="00246360"/>
    <w:rsid w:val="00246589"/>
    <w:rsid w:val="0024683A"/>
    <w:rsid w:val="00246AF8"/>
    <w:rsid w:val="00250259"/>
    <w:rsid w:val="00251ED1"/>
    <w:rsid w:val="00252DE6"/>
    <w:rsid w:val="00253007"/>
    <w:rsid w:val="002530A8"/>
    <w:rsid w:val="002535A8"/>
    <w:rsid w:val="002535E3"/>
    <w:rsid w:val="002539AF"/>
    <w:rsid w:val="00253F4D"/>
    <w:rsid w:val="00255279"/>
    <w:rsid w:val="00255681"/>
    <w:rsid w:val="00255850"/>
    <w:rsid w:val="00260F17"/>
    <w:rsid w:val="0026191F"/>
    <w:rsid w:val="00262437"/>
    <w:rsid w:val="00263BDF"/>
    <w:rsid w:val="00264B42"/>
    <w:rsid w:val="00264C8B"/>
    <w:rsid w:val="00265153"/>
    <w:rsid w:val="002652C0"/>
    <w:rsid w:val="0026604F"/>
    <w:rsid w:val="0027157B"/>
    <w:rsid w:val="002718D6"/>
    <w:rsid w:val="00271C71"/>
    <w:rsid w:val="00272539"/>
    <w:rsid w:val="00272F62"/>
    <w:rsid w:val="00272FA0"/>
    <w:rsid w:val="00273A3C"/>
    <w:rsid w:val="00273D55"/>
    <w:rsid w:val="002763BD"/>
    <w:rsid w:val="00280B9F"/>
    <w:rsid w:val="00280FA3"/>
    <w:rsid w:val="00281E7E"/>
    <w:rsid w:val="00282EFA"/>
    <w:rsid w:val="002837FC"/>
    <w:rsid w:val="00283976"/>
    <w:rsid w:val="00284025"/>
    <w:rsid w:val="002842CB"/>
    <w:rsid w:val="002847A3"/>
    <w:rsid w:val="00284C30"/>
    <w:rsid w:val="002858BC"/>
    <w:rsid w:val="00286282"/>
    <w:rsid w:val="0028755A"/>
    <w:rsid w:val="00287BA8"/>
    <w:rsid w:val="00287DEA"/>
    <w:rsid w:val="00287DF9"/>
    <w:rsid w:val="00290335"/>
    <w:rsid w:val="00291508"/>
    <w:rsid w:val="0029158C"/>
    <w:rsid w:val="002937DA"/>
    <w:rsid w:val="00293CE2"/>
    <w:rsid w:val="00294C06"/>
    <w:rsid w:val="00296FB9"/>
    <w:rsid w:val="0029705B"/>
    <w:rsid w:val="0029733A"/>
    <w:rsid w:val="002977C9"/>
    <w:rsid w:val="0029783A"/>
    <w:rsid w:val="00297840"/>
    <w:rsid w:val="002A0030"/>
    <w:rsid w:val="002A06DA"/>
    <w:rsid w:val="002A252A"/>
    <w:rsid w:val="002A275A"/>
    <w:rsid w:val="002A41C9"/>
    <w:rsid w:val="002A456F"/>
    <w:rsid w:val="002A5107"/>
    <w:rsid w:val="002A60BF"/>
    <w:rsid w:val="002A6B71"/>
    <w:rsid w:val="002A6E2B"/>
    <w:rsid w:val="002A738B"/>
    <w:rsid w:val="002A7D48"/>
    <w:rsid w:val="002B03B7"/>
    <w:rsid w:val="002B0569"/>
    <w:rsid w:val="002B0C57"/>
    <w:rsid w:val="002B2572"/>
    <w:rsid w:val="002B3881"/>
    <w:rsid w:val="002B4D79"/>
    <w:rsid w:val="002B4EFF"/>
    <w:rsid w:val="002B7335"/>
    <w:rsid w:val="002B73AF"/>
    <w:rsid w:val="002B77F5"/>
    <w:rsid w:val="002B78AB"/>
    <w:rsid w:val="002C1872"/>
    <w:rsid w:val="002C1D0C"/>
    <w:rsid w:val="002C1EC2"/>
    <w:rsid w:val="002C2A2D"/>
    <w:rsid w:val="002C331D"/>
    <w:rsid w:val="002C3B26"/>
    <w:rsid w:val="002C3CCD"/>
    <w:rsid w:val="002C495B"/>
    <w:rsid w:val="002C71AA"/>
    <w:rsid w:val="002C72FB"/>
    <w:rsid w:val="002C7D91"/>
    <w:rsid w:val="002D0FA5"/>
    <w:rsid w:val="002D0FB8"/>
    <w:rsid w:val="002D10E9"/>
    <w:rsid w:val="002D1AE9"/>
    <w:rsid w:val="002D2D7E"/>
    <w:rsid w:val="002D3103"/>
    <w:rsid w:val="002D3349"/>
    <w:rsid w:val="002D3602"/>
    <w:rsid w:val="002D3C4B"/>
    <w:rsid w:val="002D4104"/>
    <w:rsid w:val="002D4177"/>
    <w:rsid w:val="002D5160"/>
    <w:rsid w:val="002D548B"/>
    <w:rsid w:val="002D614B"/>
    <w:rsid w:val="002D66B1"/>
    <w:rsid w:val="002D747C"/>
    <w:rsid w:val="002D7616"/>
    <w:rsid w:val="002D7ECF"/>
    <w:rsid w:val="002E0B59"/>
    <w:rsid w:val="002E13B8"/>
    <w:rsid w:val="002E1B99"/>
    <w:rsid w:val="002E1C94"/>
    <w:rsid w:val="002E3061"/>
    <w:rsid w:val="002E37B7"/>
    <w:rsid w:val="002E46DE"/>
    <w:rsid w:val="002E4B1C"/>
    <w:rsid w:val="002E5406"/>
    <w:rsid w:val="002E5FAE"/>
    <w:rsid w:val="002E78D7"/>
    <w:rsid w:val="002F1143"/>
    <w:rsid w:val="002F12BD"/>
    <w:rsid w:val="002F1CB1"/>
    <w:rsid w:val="002F205D"/>
    <w:rsid w:val="002F250E"/>
    <w:rsid w:val="002F2E48"/>
    <w:rsid w:val="002F3633"/>
    <w:rsid w:val="002F4A83"/>
    <w:rsid w:val="002F581D"/>
    <w:rsid w:val="002F5B67"/>
    <w:rsid w:val="002F653C"/>
    <w:rsid w:val="002F6950"/>
    <w:rsid w:val="002F7CAD"/>
    <w:rsid w:val="002F7D4C"/>
    <w:rsid w:val="00300171"/>
    <w:rsid w:val="0030055A"/>
    <w:rsid w:val="00300CED"/>
    <w:rsid w:val="00300D77"/>
    <w:rsid w:val="00300E79"/>
    <w:rsid w:val="003013EA"/>
    <w:rsid w:val="003021EC"/>
    <w:rsid w:val="0030288C"/>
    <w:rsid w:val="003029BC"/>
    <w:rsid w:val="003030E1"/>
    <w:rsid w:val="00303E79"/>
    <w:rsid w:val="003041BC"/>
    <w:rsid w:val="00304677"/>
    <w:rsid w:val="00304716"/>
    <w:rsid w:val="00304C1D"/>
    <w:rsid w:val="00305751"/>
    <w:rsid w:val="0030588B"/>
    <w:rsid w:val="00306763"/>
    <w:rsid w:val="003069E8"/>
    <w:rsid w:val="00307063"/>
    <w:rsid w:val="00307737"/>
    <w:rsid w:val="00307E85"/>
    <w:rsid w:val="00310042"/>
    <w:rsid w:val="00310269"/>
    <w:rsid w:val="00310275"/>
    <w:rsid w:val="00310A5F"/>
    <w:rsid w:val="00310AB3"/>
    <w:rsid w:val="00310BBC"/>
    <w:rsid w:val="00310E67"/>
    <w:rsid w:val="003111DB"/>
    <w:rsid w:val="00311373"/>
    <w:rsid w:val="0031151A"/>
    <w:rsid w:val="00311CCB"/>
    <w:rsid w:val="003132F0"/>
    <w:rsid w:val="00313937"/>
    <w:rsid w:val="003139CB"/>
    <w:rsid w:val="00314466"/>
    <w:rsid w:val="00314726"/>
    <w:rsid w:val="00314832"/>
    <w:rsid w:val="003149E9"/>
    <w:rsid w:val="00316551"/>
    <w:rsid w:val="003165D7"/>
    <w:rsid w:val="00316B83"/>
    <w:rsid w:val="00317C8C"/>
    <w:rsid w:val="00317DAD"/>
    <w:rsid w:val="003203C7"/>
    <w:rsid w:val="00320415"/>
    <w:rsid w:val="003204A5"/>
    <w:rsid w:val="003228BF"/>
    <w:rsid w:val="00322E0B"/>
    <w:rsid w:val="00322FB5"/>
    <w:rsid w:val="00323107"/>
    <w:rsid w:val="00323C5A"/>
    <w:rsid w:val="003241CB"/>
    <w:rsid w:val="00324485"/>
    <w:rsid w:val="0032530B"/>
    <w:rsid w:val="00325704"/>
    <w:rsid w:val="00330F76"/>
    <w:rsid w:val="003311A2"/>
    <w:rsid w:val="00331DCE"/>
    <w:rsid w:val="00332055"/>
    <w:rsid w:val="00332280"/>
    <w:rsid w:val="003323DB"/>
    <w:rsid w:val="00332B05"/>
    <w:rsid w:val="003330C7"/>
    <w:rsid w:val="00334884"/>
    <w:rsid w:val="00334FDE"/>
    <w:rsid w:val="00335C9A"/>
    <w:rsid w:val="00335E1B"/>
    <w:rsid w:val="003364F3"/>
    <w:rsid w:val="003371F0"/>
    <w:rsid w:val="003409BF"/>
    <w:rsid w:val="00341469"/>
    <w:rsid w:val="0034188C"/>
    <w:rsid w:val="00342B53"/>
    <w:rsid w:val="00343278"/>
    <w:rsid w:val="0034352A"/>
    <w:rsid w:val="003435D6"/>
    <w:rsid w:val="00345525"/>
    <w:rsid w:val="00346C4B"/>
    <w:rsid w:val="00347039"/>
    <w:rsid w:val="00350E8E"/>
    <w:rsid w:val="00351302"/>
    <w:rsid w:val="00352795"/>
    <w:rsid w:val="00352A98"/>
    <w:rsid w:val="00353292"/>
    <w:rsid w:val="00354CEF"/>
    <w:rsid w:val="003558CB"/>
    <w:rsid w:val="00355BB2"/>
    <w:rsid w:val="00355E73"/>
    <w:rsid w:val="00356841"/>
    <w:rsid w:val="00357DAD"/>
    <w:rsid w:val="00362824"/>
    <w:rsid w:val="0036325C"/>
    <w:rsid w:val="003640B6"/>
    <w:rsid w:val="003643FC"/>
    <w:rsid w:val="00364715"/>
    <w:rsid w:val="00365687"/>
    <w:rsid w:val="003657AB"/>
    <w:rsid w:val="0036581B"/>
    <w:rsid w:val="00367267"/>
    <w:rsid w:val="00370233"/>
    <w:rsid w:val="00370376"/>
    <w:rsid w:val="00370A03"/>
    <w:rsid w:val="00372527"/>
    <w:rsid w:val="0037262B"/>
    <w:rsid w:val="00372A69"/>
    <w:rsid w:val="003749DF"/>
    <w:rsid w:val="00375188"/>
    <w:rsid w:val="00375E7E"/>
    <w:rsid w:val="00376491"/>
    <w:rsid w:val="003770C9"/>
    <w:rsid w:val="00380189"/>
    <w:rsid w:val="00380673"/>
    <w:rsid w:val="00380A15"/>
    <w:rsid w:val="00381107"/>
    <w:rsid w:val="00381308"/>
    <w:rsid w:val="003818E8"/>
    <w:rsid w:val="00382D26"/>
    <w:rsid w:val="00383295"/>
    <w:rsid w:val="003835E2"/>
    <w:rsid w:val="00383DF7"/>
    <w:rsid w:val="003848EF"/>
    <w:rsid w:val="00384905"/>
    <w:rsid w:val="003854DD"/>
    <w:rsid w:val="00385BF8"/>
    <w:rsid w:val="00386560"/>
    <w:rsid w:val="00391EC2"/>
    <w:rsid w:val="00392723"/>
    <w:rsid w:val="003933EB"/>
    <w:rsid w:val="003946A1"/>
    <w:rsid w:val="00394DDB"/>
    <w:rsid w:val="00395DFD"/>
    <w:rsid w:val="00395F95"/>
    <w:rsid w:val="0039618F"/>
    <w:rsid w:val="00396C1A"/>
    <w:rsid w:val="003972F5"/>
    <w:rsid w:val="003A0243"/>
    <w:rsid w:val="003A0A45"/>
    <w:rsid w:val="003A12B1"/>
    <w:rsid w:val="003A151C"/>
    <w:rsid w:val="003A24E5"/>
    <w:rsid w:val="003A2F50"/>
    <w:rsid w:val="003A3FC0"/>
    <w:rsid w:val="003A53C5"/>
    <w:rsid w:val="003A5EEC"/>
    <w:rsid w:val="003A6079"/>
    <w:rsid w:val="003A6172"/>
    <w:rsid w:val="003A68AB"/>
    <w:rsid w:val="003A7572"/>
    <w:rsid w:val="003B00FB"/>
    <w:rsid w:val="003B04F0"/>
    <w:rsid w:val="003B1336"/>
    <w:rsid w:val="003B151E"/>
    <w:rsid w:val="003B20FC"/>
    <w:rsid w:val="003B2BE2"/>
    <w:rsid w:val="003B30DD"/>
    <w:rsid w:val="003B3E18"/>
    <w:rsid w:val="003B4D56"/>
    <w:rsid w:val="003B51B7"/>
    <w:rsid w:val="003B6B7A"/>
    <w:rsid w:val="003B72CF"/>
    <w:rsid w:val="003B78AB"/>
    <w:rsid w:val="003C00D5"/>
    <w:rsid w:val="003C2DEE"/>
    <w:rsid w:val="003C398F"/>
    <w:rsid w:val="003C3AEF"/>
    <w:rsid w:val="003C4286"/>
    <w:rsid w:val="003C4B1A"/>
    <w:rsid w:val="003C4F9D"/>
    <w:rsid w:val="003C5B7D"/>
    <w:rsid w:val="003C6C81"/>
    <w:rsid w:val="003C7987"/>
    <w:rsid w:val="003D0C78"/>
    <w:rsid w:val="003D11C0"/>
    <w:rsid w:val="003D1285"/>
    <w:rsid w:val="003D2341"/>
    <w:rsid w:val="003D2D82"/>
    <w:rsid w:val="003D33A3"/>
    <w:rsid w:val="003D4320"/>
    <w:rsid w:val="003D572E"/>
    <w:rsid w:val="003D57B2"/>
    <w:rsid w:val="003D58C2"/>
    <w:rsid w:val="003D683C"/>
    <w:rsid w:val="003D6960"/>
    <w:rsid w:val="003D6F08"/>
    <w:rsid w:val="003D77EE"/>
    <w:rsid w:val="003E0510"/>
    <w:rsid w:val="003E1978"/>
    <w:rsid w:val="003E1BBB"/>
    <w:rsid w:val="003E2295"/>
    <w:rsid w:val="003E3366"/>
    <w:rsid w:val="003E3418"/>
    <w:rsid w:val="003E3DD0"/>
    <w:rsid w:val="003E3FD6"/>
    <w:rsid w:val="003E5250"/>
    <w:rsid w:val="003E54B6"/>
    <w:rsid w:val="003E58BD"/>
    <w:rsid w:val="003E606A"/>
    <w:rsid w:val="003E66BB"/>
    <w:rsid w:val="003E7A4D"/>
    <w:rsid w:val="003F1D29"/>
    <w:rsid w:val="003F1F49"/>
    <w:rsid w:val="003F2FA0"/>
    <w:rsid w:val="003F3B94"/>
    <w:rsid w:val="003F42A7"/>
    <w:rsid w:val="003F4766"/>
    <w:rsid w:val="003F553D"/>
    <w:rsid w:val="003F6045"/>
    <w:rsid w:val="003F71C5"/>
    <w:rsid w:val="00400C2C"/>
    <w:rsid w:val="004016DE"/>
    <w:rsid w:val="004019FF"/>
    <w:rsid w:val="004025DC"/>
    <w:rsid w:val="00402CD8"/>
    <w:rsid w:val="00402E80"/>
    <w:rsid w:val="004039B7"/>
    <w:rsid w:val="004039FC"/>
    <w:rsid w:val="00404130"/>
    <w:rsid w:val="004041B8"/>
    <w:rsid w:val="00405ACA"/>
    <w:rsid w:val="004072A7"/>
    <w:rsid w:val="0041044D"/>
    <w:rsid w:val="0041136B"/>
    <w:rsid w:val="00412D7A"/>
    <w:rsid w:val="00413BFE"/>
    <w:rsid w:val="00415552"/>
    <w:rsid w:val="00415E81"/>
    <w:rsid w:val="00415F86"/>
    <w:rsid w:val="00416050"/>
    <w:rsid w:val="00416E67"/>
    <w:rsid w:val="00417259"/>
    <w:rsid w:val="004175D4"/>
    <w:rsid w:val="00420131"/>
    <w:rsid w:val="00420EA8"/>
    <w:rsid w:val="00422963"/>
    <w:rsid w:val="004240A9"/>
    <w:rsid w:val="0042494E"/>
    <w:rsid w:val="00424C59"/>
    <w:rsid w:val="00425DB3"/>
    <w:rsid w:val="00426AB3"/>
    <w:rsid w:val="004300EB"/>
    <w:rsid w:val="0043030F"/>
    <w:rsid w:val="00430C18"/>
    <w:rsid w:val="00430D68"/>
    <w:rsid w:val="00430DE9"/>
    <w:rsid w:val="0043120B"/>
    <w:rsid w:val="00432370"/>
    <w:rsid w:val="00432445"/>
    <w:rsid w:val="004325AA"/>
    <w:rsid w:val="00433533"/>
    <w:rsid w:val="0043440C"/>
    <w:rsid w:val="0043446F"/>
    <w:rsid w:val="004346C2"/>
    <w:rsid w:val="0043683F"/>
    <w:rsid w:val="004406D1"/>
    <w:rsid w:val="00440A77"/>
    <w:rsid w:val="00441DDB"/>
    <w:rsid w:val="004422A6"/>
    <w:rsid w:val="004428F6"/>
    <w:rsid w:val="004442E2"/>
    <w:rsid w:val="0044485F"/>
    <w:rsid w:val="00444957"/>
    <w:rsid w:val="00445634"/>
    <w:rsid w:val="0044723E"/>
    <w:rsid w:val="004473E7"/>
    <w:rsid w:val="004477C8"/>
    <w:rsid w:val="00450298"/>
    <w:rsid w:val="00450F5C"/>
    <w:rsid w:val="0045253C"/>
    <w:rsid w:val="00452B35"/>
    <w:rsid w:val="004547EA"/>
    <w:rsid w:val="00455895"/>
    <w:rsid w:val="00455D70"/>
    <w:rsid w:val="00455EAA"/>
    <w:rsid w:val="00456494"/>
    <w:rsid w:val="00457408"/>
    <w:rsid w:val="004577E1"/>
    <w:rsid w:val="0045799A"/>
    <w:rsid w:val="0046007F"/>
    <w:rsid w:val="004618D5"/>
    <w:rsid w:val="00462598"/>
    <w:rsid w:val="00462B18"/>
    <w:rsid w:val="0046334B"/>
    <w:rsid w:val="00463490"/>
    <w:rsid w:val="004638EB"/>
    <w:rsid w:val="00465865"/>
    <w:rsid w:val="00466326"/>
    <w:rsid w:val="0046652A"/>
    <w:rsid w:val="00466531"/>
    <w:rsid w:val="00470048"/>
    <w:rsid w:val="00470BEA"/>
    <w:rsid w:val="00471060"/>
    <w:rsid w:val="00471339"/>
    <w:rsid w:val="004716AC"/>
    <w:rsid w:val="00471E07"/>
    <w:rsid w:val="00472933"/>
    <w:rsid w:val="0047524A"/>
    <w:rsid w:val="004754E8"/>
    <w:rsid w:val="004763AF"/>
    <w:rsid w:val="00476686"/>
    <w:rsid w:val="00481238"/>
    <w:rsid w:val="0048196D"/>
    <w:rsid w:val="0048198E"/>
    <w:rsid w:val="00481C41"/>
    <w:rsid w:val="00481DBF"/>
    <w:rsid w:val="00482477"/>
    <w:rsid w:val="004826E7"/>
    <w:rsid w:val="00483838"/>
    <w:rsid w:val="00483E1A"/>
    <w:rsid w:val="00483FB7"/>
    <w:rsid w:val="00485114"/>
    <w:rsid w:val="00485B08"/>
    <w:rsid w:val="004860C0"/>
    <w:rsid w:val="00486665"/>
    <w:rsid w:val="004868FC"/>
    <w:rsid w:val="00487074"/>
    <w:rsid w:val="0048730A"/>
    <w:rsid w:val="0049072A"/>
    <w:rsid w:val="00490FCE"/>
    <w:rsid w:val="00490FF7"/>
    <w:rsid w:val="004910AD"/>
    <w:rsid w:val="00492F18"/>
    <w:rsid w:val="004930F6"/>
    <w:rsid w:val="00493B5E"/>
    <w:rsid w:val="00493C13"/>
    <w:rsid w:val="0049416F"/>
    <w:rsid w:val="004948C9"/>
    <w:rsid w:val="00495404"/>
    <w:rsid w:val="00495799"/>
    <w:rsid w:val="00496177"/>
    <w:rsid w:val="0049774C"/>
    <w:rsid w:val="00497931"/>
    <w:rsid w:val="004979A6"/>
    <w:rsid w:val="004A07FD"/>
    <w:rsid w:val="004A0E01"/>
    <w:rsid w:val="004A14BC"/>
    <w:rsid w:val="004A1AC6"/>
    <w:rsid w:val="004A20E2"/>
    <w:rsid w:val="004A3D93"/>
    <w:rsid w:val="004A3EFD"/>
    <w:rsid w:val="004A3F27"/>
    <w:rsid w:val="004A4977"/>
    <w:rsid w:val="004A655D"/>
    <w:rsid w:val="004A7E39"/>
    <w:rsid w:val="004B02A7"/>
    <w:rsid w:val="004B0B23"/>
    <w:rsid w:val="004B0BA6"/>
    <w:rsid w:val="004B1247"/>
    <w:rsid w:val="004B1880"/>
    <w:rsid w:val="004B3668"/>
    <w:rsid w:val="004B3B7B"/>
    <w:rsid w:val="004B4432"/>
    <w:rsid w:val="004B493F"/>
    <w:rsid w:val="004B494C"/>
    <w:rsid w:val="004B5251"/>
    <w:rsid w:val="004B60E0"/>
    <w:rsid w:val="004B6891"/>
    <w:rsid w:val="004B6A88"/>
    <w:rsid w:val="004B7D0E"/>
    <w:rsid w:val="004C0C9D"/>
    <w:rsid w:val="004C0DDA"/>
    <w:rsid w:val="004C1B3A"/>
    <w:rsid w:val="004C1BBB"/>
    <w:rsid w:val="004C2EF0"/>
    <w:rsid w:val="004C3CF1"/>
    <w:rsid w:val="004C4C8F"/>
    <w:rsid w:val="004C55C4"/>
    <w:rsid w:val="004C5754"/>
    <w:rsid w:val="004C684E"/>
    <w:rsid w:val="004C7ADD"/>
    <w:rsid w:val="004D0574"/>
    <w:rsid w:val="004D07DD"/>
    <w:rsid w:val="004D0ACA"/>
    <w:rsid w:val="004D0C7C"/>
    <w:rsid w:val="004D118B"/>
    <w:rsid w:val="004D19BF"/>
    <w:rsid w:val="004D1DF0"/>
    <w:rsid w:val="004D2106"/>
    <w:rsid w:val="004D238D"/>
    <w:rsid w:val="004D46BD"/>
    <w:rsid w:val="004D4DE9"/>
    <w:rsid w:val="004D56A5"/>
    <w:rsid w:val="004D5B73"/>
    <w:rsid w:val="004D60D3"/>
    <w:rsid w:val="004D6A72"/>
    <w:rsid w:val="004E1174"/>
    <w:rsid w:val="004E11FA"/>
    <w:rsid w:val="004E2254"/>
    <w:rsid w:val="004E242F"/>
    <w:rsid w:val="004E2702"/>
    <w:rsid w:val="004E297C"/>
    <w:rsid w:val="004E29C6"/>
    <w:rsid w:val="004E2AB3"/>
    <w:rsid w:val="004E3BA2"/>
    <w:rsid w:val="004E3E8F"/>
    <w:rsid w:val="004E4095"/>
    <w:rsid w:val="004E4D28"/>
    <w:rsid w:val="004E5E6C"/>
    <w:rsid w:val="004E6683"/>
    <w:rsid w:val="004E7E97"/>
    <w:rsid w:val="004F097D"/>
    <w:rsid w:val="004F1517"/>
    <w:rsid w:val="004F1F08"/>
    <w:rsid w:val="004F256B"/>
    <w:rsid w:val="004F26A6"/>
    <w:rsid w:val="004F43CB"/>
    <w:rsid w:val="004F45EA"/>
    <w:rsid w:val="004F4B44"/>
    <w:rsid w:val="004F5E43"/>
    <w:rsid w:val="004F5EED"/>
    <w:rsid w:val="004F6324"/>
    <w:rsid w:val="004F6C1C"/>
    <w:rsid w:val="004F6C84"/>
    <w:rsid w:val="004F7BA3"/>
    <w:rsid w:val="004F7E3A"/>
    <w:rsid w:val="00500698"/>
    <w:rsid w:val="00500C9D"/>
    <w:rsid w:val="005018F8"/>
    <w:rsid w:val="00501B63"/>
    <w:rsid w:val="00501C56"/>
    <w:rsid w:val="00502383"/>
    <w:rsid w:val="00503C39"/>
    <w:rsid w:val="005043F1"/>
    <w:rsid w:val="00504466"/>
    <w:rsid w:val="00506528"/>
    <w:rsid w:val="00507986"/>
    <w:rsid w:val="00510AC6"/>
    <w:rsid w:val="005116B1"/>
    <w:rsid w:val="00512624"/>
    <w:rsid w:val="00512A3F"/>
    <w:rsid w:val="005134A6"/>
    <w:rsid w:val="00513F3A"/>
    <w:rsid w:val="005148E8"/>
    <w:rsid w:val="005149A7"/>
    <w:rsid w:val="00514D3E"/>
    <w:rsid w:val="00515444"/>
    <w:rsid w:val="005156F8"/>
    <w:rsid w:val="00516749"/>
    <w:rsid w:val="00517156"/>
    <w:rsid w:val="00517351"/>
    <w:rsid w:val="0051CCD8"/>
    <w:rsid w:val="00520444"/>
    <w:rsid w:val="00520D3D"/>
    <w:rsid w:val="0052156E"/>
    <w:rsid w:val="005216AE"/>
    <w:rsid w:val="005238F6"/>
    <w:rsid w:val="0052463E"/>
    <w:rsid w:val="005250E6"/>
    <w:rsid w:val="00525173"/>
    <w:rsid w:val="00525511"/>
    <w:rsid w:val="0052577F"/>
    <w:rsid w:val="00525EDE"/>
    <w:rsid w:val="00526678"/>
    <w:rsid w:val="0052681F"/>
    <w:rsid w:val="00526B28"/>
    <w:rsid w:val="00527387"/>
    <w:rsid w:val="00527A7D"/>
    <w:rsid w:val="00530D6F"/>
    <w:rsid w:val="00531B8E"/>
    <w:rsid w:val="005323BE"/>
    <w:rsid w:val="00532766"/>
    <w:rsid w:val="00533375"/>
    <w:rsid w:val="00533D7B"/>
    <w:rsid w:val="0053480E"/>
    <w:rsid w:val="00535217"/>
    <w:rsid w:val="0053539A"/>
    <w:rsid w:val="00535433"/>
    <w:rsid w:val="0053643A"/>
    <w:rsid w:val="00536656"/>
    <w:rsid w:val="005367A3"/>
    <w:rsid w:val="005409C5"/>
    <w:rsid w:val="00540A7C"/>
    <w:rsid w:val="00541A71"/>
    <w:rsid w:val="00543423"/>
    <w:rsid w:val="00544292"/>
    <w:rsid w:val="005448AD"/>
    <w:rsid w:val="005456EC"/>
    <w:rsid w:val="00546B5F"/>
    <w:rsid w:val="00547154"/>
    <w:rsid w:val="005471F5"/>
    <w:rsid w:val="00550D1C"/>
    <w:rsid w:val="00550F30"/>
    <w:rsid w:val="005533C0"/>
    <w:rsid w:val="00554795"/>
    <w:rsid w:val="00556DEA"/>
    <w:rsid w:val="005570F8"/>
    <w:rsid w:val="00560465"/>
    <w:rsid w:val="0056070C"/>
    <w:rsid w:val="00560972"/>
    <w:rsid w:val="00561E46"/>
    <w:rsid w:val="00562485"/>
    <w:rsid w:val="00563F7B"/>
    <w:rsid w:val="005640A6"/>
    <w:rsid w:val="00564A9A"/>
    <w:rsid w:val="0056664A"/>
    <w:rsid w:val="00566725"/>
    <w:rsid w:val="005671DE"/>
    <w:rsid w:val="00567B3F"/>
    <w:rsid w:val="00570C5F"/>
    <w:rsid w:val="00570F8E"/>
    <w:rsid w:val="00571519"/>
    <w:rsid w:val="005719FD"/>
    <w:rsid w:val="00571B06"/>
    <w:rsid w:val="00572118"/>
    <w:rsid w:val="00572129"/>
    <w:rsid w:val="00572226"/>
    <w:rsid w:val="00573184"/>
    <w:rsid w:val="00573359"/>
    <w:rsid w:val="00574A89"/>
    <w:rsid w:val="00575FFA"/>
    <w:rsid w:val="00576CFC"/>
    <w:rsid w:val="00576F30"/>
    <w:rsid w:val="005778B0"/>
    <w:rsid w:val="005810EC"/>
    <w:rsid w:val="00581B9C"/>
    <w:rsid w:val="00582056"/>
    <w:rsid w:val="00582997"/>
    <w:rsid w:val="0058340A"/>
    <w:rsid w:val="00583DA0"/>
    <w:rsid w:val="00585415"/>
    <w:rsid w:val="00585E07"/>
    <w:rsid w:val="00586CE4"/>
    <w:rsid w:val="00586D82"/>
    <w:rsid w:val="005875FD"/>
    <w:rsid w:val="005879B8"/>
    <w:rsid w:val="00591130"/>
    <w:rsid w:val="00591F8B"/>
    <w:rsid w:val="005928BB"/>
    <w:rsid w:val="00593648"/>
    <w:rsid w:val="005936DB"/>
    <w:rsid w:val="00594141"/>
    <w:rsid w:val="00594950"/>
    <w:rsid w:val="00594AC6"/>
    <w:rsid w:val="00594F99"/>
    <w:rsid w:val="005966CE"/>
    <w:rsid w:val="0059679F"/>
    <w:rsid w:val="00596859"/>
    <w:rsid w:val="00596AFA"/>
    <w:rsid w:val="00596F19"/>
    <w:rsid w:val="005970B5"/>
    <w:rsid w:val="005978D0"/>
    <w:rsid w:val="005A0026"/>
    <w:rsid w:val="005A0B86"/>
    <w:rsid w:val="005A2ECF"/>
    <w:rsid w:val="005A2FC0"/>
    <w:rsid w:val="005A3880"/>
    <w:rsid w:val="005A3FFC"/>
    <w:rsid w:val="005A66F6"/>
    <w:rsid w:val="005A7876"/>
    <w:rsid w:val="005A7A14"/>
    <w:rsid w:val="005A7B7C"/>
    <w:rsid w:val="005A7C66"/>
    <w:rsid w:val="005B00C7"/>
    <w:rsid w:val="005B12B7"/>
    <w:rsid w:val="005B14FC"/>
    <w:rsid w:val="005B1C29"/>
    <w:rsid w:val="005B238B"/>
    <w:rsid w:val="005B341F"/>
    <w:rsid w:val="005B3690"/>
    <w:rsid w:val="005B42BA"/>
    <w:rsid w:val="005B44D6"/>
    <w:rsid w:val="005B5651"/>
    <w:rsid w:val="005B613F"/>
    <w:rsid w:val="005B63C0"/>
    <w:rsid w:val="005B6EEA"/>
    <w:rsid w:val="005B7A42"/>
    <w:rsid w:val="005C0B1B"/>
    <w:rsid w:val="005C0E7F"/>
    <w:rsid w:val="005C37CA"/>
    <w:rsid w:val="005C4757"/>
    <w:rsid w:val="005C63AF"/>
    <w:rsid w:val="005D0BD1"/>
    <w:rsid w:val="005D1252"/>
    <w:rsid w:val="005D1E9D"/>
    <w:rsid w:val="005D27B8"/>
    <w:rsid w:val="005D2CEE"/>
    <w:rsid w:val="005D2E03"/>
    <w:rsid w:val="005D3473"/>
    <w:rsid w:val="005D38E2"/>
    <w:rsid w:val="005D3E03"/>
    <w:rsid w:val="005D4544"/>
    <w:rsid w:val="005D4E16"/>
    <w:rsid w:val="005D4F09"/>
    <w:rsid w:val="005D5178"/>
    <w:rsid w:val="005D6EA8"/>
    <w:rsid w:val="005D6F05"/>
    <w:rsid w:val="005D6F8A"/>
    <w:rsid w:val="005D76E0"/>
    <w:rsid w:val="005E0402"/>
    <w:rsid w:val="005E051D"/>
    <w:rsid w:val="005E0582"/>
    <w:rsid w:val="005E0C4C"/>
    <w:rsid w:val="005E10E3"/>
    <w:rsid w:val="005E333C"/>
    <w:rsid w:val="005E3492"/>
    <w:rsid w:val="005E3FC7"/>
    <w:rsid w:val="005E6796"/>
    <w:rsid w:val="005E67D9"/>
    <w:rsid w:val="005F0E85"/>
    <w:rsid w:val="005F32E7"/>
    <w:rsid w:val="005F521C"/>
    <w:rsid w:val="005F54D7"/>
    <w:rsid w:val="005F698B"/>
    <w:rsid w:val="005F6B62"/>
    <w:rsid w:val="005F733D"/>
    <w:rsid w:val="005F7829"/>
    <w:rsid w:val="006004DC"/>
    <w:rsid w:val="00600956"/>
    <w:rsid w:val="006011E1"/>
    <w:rsid w:val="00601D0A"/>
    <w:rsid w:val="00602401"/>
    <w:rsid w:val="00602615"/>
    <w:rsid w:val="00602A98"/>
    <w:rsid w:val="00603015"/>
    <w:rsid w:val="00604158"/>
    <w:rsid w:val="006050E9"/>
    <w:rsid w:val="00605D02"/>
    <w:rsid w:val="0060666C"/>
    <w:rsid w:val="00606C5F"/>
    <w:rsid w:val="00606F7B"/>
    <w:rsid w:val="0060711B"/>
    <w:rsid w:val="00610F8C"/>
    <w:rsid w:val="0061103F"/>
    <w:rsid w:val="00611553"/>
    <w:rsid w:val="006124BE"/>
    <w:rsid w:val="006138EB"/>
    <w:rsid w:val="00614584"/>
    <w:rsid w:val="00614CE6"/>
    <w:rsid w:val="00614FDC"/>
    <w:rsid w:val="00615CA5"/>
    <w:rsid w:val="00615D43"/>
    <w:rsid w:val="00616BCC"/>
    <w:rsid w:val="00616E00"/>
    <w:rsid w:val="00617174"/>
    <w:rsid w:val="0061761A"/>
    <w:rsid w:val="0061773C"/>
    <w:rsid w:val="00620CE4"/>
    <w:rsid w:val="00620FC3"/>
    <w:rsid w:val="006212F6"/>
    <w:rsid w:val="00621832"/>
    <w:rsid w:val="00622448"/>
    <w:rsid w:val="006235FF"/>
    <w:rsid w:val="00623DFF"/>
    <w:rsid w:val="00624299"/>
    <w:rsid w:val="006243EB"/>
    <w:rsid w:val="00625536"/>
    <w:rsid w:val="00625AC1"/>
    <w:rsid w:val="00625EB6"/>
    <w:rsid w:val="006261AF"/>
    <w:rsid w:val="00626698"/>
    <w:rsid w:val="006267F8"/>
    <w:rsid w:val="006278B3"/>
    <w:rsid w:val="00630966"/>
    <w:rsid w:val="00630EC4"/>
    <w:rsid w:val="00630EC9"/>
    <w:rsid w:val="006311E9"/>
    <w:rsid w:val="00631B4C"/>
    <w:rsid w:val="00631C29"/>
    <w:rsid w:val="00632522"/>
    <w:rsid w:val="006328B1"/>
    <w:rsid w:val="00632CB9"/>
    <w:rsid w:val="00635237"/>
    <w:rsid w:val="00635BAE"/>
    <w:rsid w:val="0063674B"/>
    <w:rsid w:val="00636EF9"/>
    <w:rsid w:val="00637242"/>
    <w:rsid w:val="00637DDF"/>
    <w:rsid w:val="0064132A"/>
    <w:rsid w:val="00641D5A"/>
    <w:rsid w:val="00642777"/>
    <w:rsid w:val="00643B89"/>
    <w:rsid w:val="006444CF"/>
    <w:rsid w:val="00645184"/>
    <w:rsid w:val="00645936"/>
    <w:rsid w:val="00645DD2"/>
    <w:rsid w:val="00645ED6"/>
    <w:rsid w:val="00646433"/>
    <w:rsid w:val="00646B42"/>
    <w:rsid w:val="00646B92"/>
    <w:rsid w:val="006472A1"/>
    <w:rsid w:val="00647402"/>
    <w:rsid w:val="00650282"/>
    <w:rsid w:val="00650A11"/>
    <w:rsid w:val="00650A1C"/>
    <w:rsid w:val="00650F2B"/>
    <w:rsid w:val="006511BB"/>
    <w:rsid w:val="00652D90"/>
    <w:rsid w:val="006531EF"/>
    <w:rsid w:val="006550C2"/>
    <w:rsid w:val="00655DA6"/>
    <w:rsid w:val="006561CD"/>
    <w:rsid w:val="00656305"/>
    <w:rsid w:val="00656CFD"/>
    <w:rsid w:val="00657690"/>
    <w:rsid w:val="0066034A"/>
    <w:rsid w:val="006603B1"/>
    <w:rsid w:val="00660BCF"/>
    <w:rsid w:val="00661A0E"/>
    <w:rsid w:val="006627FA"/>
    <w:rsid w:val="006629D4"/>
    <w:rsid w:val="006631B8"/>
    <w:rsid w:val="006633D0"/>
    <w:rsid w:val="006646B3"/>
    <w:rsid w:val="006656EC"/>
    <w:rsid w:val="006662EE"/>
    <w:rsid w:val="00667977"/>
    <w:rsid w:val="006725A4"/>
    <w:rsid w:val="00672DE3"/>
    <w:rsid w:val="00673E07"/>
    <w:rsid w:val="00674043"/>
    <w:rsid w:val="0067720E"/>
    <w:rsid w:val="00677C65"/>
    <w:rsid w:val="0068051F"/>
    <w:rsid w:val="00680D14"/>
    <w:rsid w:val="006812CF"/>
    <w:rsid w:val="006820E6"/>
    <w:rsid w:val="006824EE"/>
    <w:rsid w:val="00682BBC"/>
    <w:rsid w:val="00683625"/>
    <w:rsid w:val="00683E61"/>
    <w:rsid w:val="00683EBE"/>
    <w:rsid w:val="00684490"/>
    <w:rsid w:val="00685CB3"/>
    <w:rsid w:val="006867B7"/>
    <w:rsid w:val="00686F5E"/>
    <w:rsid w:val="00687DB6"/>
    <w:rsid w:val="00691154"/>
    <w:rsid w:val="006914EF"/>
    <w:rsid w:val="00691872"/>
    <w:rsid w:val="00692DE8"/>
    <w:rsid w:val="006938DD"/>
    <w:rsid w:val="0069403E"/>
    <w:rsid w:val="006945C8"/>
    <w:rsid w:val="00696719"/>
    <w:rsid w:val="00697632"/>
    <w:rsid w:val="006A0557"/>
    <w:rsid w:val="006A0782"/>
    <w:rsid w:val="006A1B09"/>
    <w:rsid w:val="006A1BE6"/>
    <w:rsid w:val="006A2A2C"/>
    <w:rsid w:val="006A2CD6"/>
    <w:rsid w:val="006A2D92"/>
    <w:rsid w:val="006A56C1"/>
    <w:rsid w:val="006A5A2E"/>
    <w:rsid w:val="006A6486"/>
    <w:rsid w:val="006A716D"/>
    <w:rsid w:val="006A727F"/>
    <w:rsid w:val="006B0355"/>
    <w:rsid w:val="006B04D1"/>
    <w:rsid w:val="006B2D10"/>
    <w:rsid w:val="006B340E"/>
    <w:rsid w:val="006B3C41"/>
    <w:rsid w:val="006B4257"/>
    <w:rsid w:val="006B49FD"/>
    <w:rsid w:val="006B4DDA"/>
    <w:rsid w:val="006B4E05"/>
    <w:rsid w:val="006B577E"/>
    <w:rsid w:val="006B62B7"/>
    <w:rsid w:val="006B6A54"/>
    <w:rsid w:val="006B6AE6"/>
    <w:rsid w:val="006B6D68"/>
    <w:rsid w:val="006B70AF"/>
    <w:rsid w:val="006B7844"/>
    <w:rsid w:val="006C033C"/>
    <w:rsid w:val="006C0521"/>
    <w:rsid w:val="006C0E22"/>
    <w:rsid w:val="006C17EA"/>
    <w:rsid w:val="006C3284"/>
    <w:rsid w:val="006C3461"/>
    <w:rsid w:val="006C3ABE"/>
    <w:rsid w:val="006C4882"/>
    <w:rsid w:val="006C5CE3"/>
    <w:rsid w:val="006C6483"/>
    <w:rsid w:val="006C65FF"/>
    <w:rsid w:val="006C6BA3"/>
    <w:rsid w:val="006C7426"/>
    <w:rsid w:val="006D0F36"/>
    <w:rsid w:val="006D1474"/>
    <w:rsid w:val="006D1893"/>
    <w:rsid w:val="006D1F7D"/>
    <w:rsid w:val="006D29CD"/>
    <w:rsid w:val="006D2BE3"/>
    <w:rsid w:val="006D2BEB"/>
    <w:rsid w:val="006D2BF3"/>
    <w:rsid w:val="006D3483"/>
    <w:rsid w:val="006D37CF"/>
    <w:rsid w:val="006D3DCE"/>
    <w:rsid w:val="006D4338"/>
    <w:rsid w:val="006D6EB0"/>
    <w:rsid w:val="006E00EE"/>
    <w:rsid w:val="006E0497"/>
    <w:rsid w:val="006E11EC"/>
    <w:rsid w:val="006E17B6"/>
    <w:rsid w:val="006E2815"/>
    <w:rsid w:val="006E3074"/>
    <w:rsid w:val="006E601A"/>
    <w:rsid w:val="006E7242"/>
    <w:rsid w:val="006E77FD"/>
    <w:rsid w:val="006E7DD6"/>
    <w:rsid w:val="006F03FB"/>
    <w:rsid w:val="006F08B3"/>
    <w:rsid w:val="006F0945"/>
    <w:rsid w:val="006F21AD"/>
    <w:rsid w:val="006F2543"/>
    <w:rsid w:val="006F2CE6"/>
    <w:rsid w:val="006F3BB8"/>
    <w:rsid w:val="006F3EBC"/>
    <w:rsid w:val="006F6159"/>
    <w:rsid w:val="0070149F"/>
    <w:rsid w:val="00701F74"/>
    <w:rsid w:val="0070219D"/>
    <w:rsid w:val="00703D2D"/>
    <w:rsid w:val="00706FE9"/>
    <w:rsid w:val="00707B23"/>
    <w:rsid w:val="00710BF9"/>
    <w:rsid w:val="00710C7C"/>
    <w:rsid w:val="007116CD"/>
    <w:rsid w:val="00711856"/>
    <w:rsid w:val="0071191B"/>
    <w:rsid w:val="00712184"/>
    <w:rsid w:val="00712914"/>
    <w:rsid w:val="0071360C"/>
    <w:rsid w:val="0071367B"/>
    <w:rsid w:val="007139B6"/>
    <w:rsid w:val="0071468E"/>
    <w:rsid w:val="007148AA"/>
    <w:rsid w:val="0071502F"/>
    <w:rsid w:val="00715DAC"/>
    <w:rsid w:val="007160F7"/>
    <w:rsid w:val="0071686F"/>
    <w:rsid w:val="00716A12"/>
    <w:rsid w:val="00716D5C"/>
    <w:rsid w:val="00716E66"/>
    <w:rsid w:val="00717760"/>
    <w:rsid w:val="00717800"/>
    <w:rsid w:val="007178BB"/>
    <w:rsid w:val="007208D9"/>
    <w:rsid w:val="00720AF5"/>
    <w:rsid w:val="00720C9D"/>
    <w:rsid w:val="00720D9D"/>
    <w:rsid w:val="00720FFE"/>
    <w:rsid w:val="00721CD8"/>
    <w:rsid w:val="007220CE"/>
    <w:rsid w:val="0072251A"/>
    <w:rsid w:val="00724C0F"/>
    <w:rsid w:val="007253B7"/>
    <w:rsid w:val="00725DAF"/>
    <w:rsid w:val="00727563"/>
    <w:rsid w:val="0073155F"/>
    <w:rsid w:val="00731727"/>
    <w:rsid w:val="00731AAE"/>
    <w:rsid w:val="00731CC8"/>
    <w:rsid w:val="00732185"/>
    <w:rsid w:val="0073258B"/>
    <w:rsid w:val="00732BA8"/>
    <w:rsid w:val="0073350E"/>
    <w:rsid w:val="00733E5B"/>
    <w:rsid w:val="00733F8C"/>
    <w:rsid w:val="00734E99"/>
    <w:rsid w:val="007359A7"/>
    <w:rsid w:val="00736976"/>
    <w:rsid w:val="00736A54"/>
    <w:rsid w:val="0073707E"/>
    <w:rsid w:val="00740174"/>
    <w:rsid w:val="00740CD5"/>
    <w:rsid w:val="00740D9F"/>
    <w:rsid w:val="0074128D"/>
    <w:rsid w:val="00744381"/>
    <w:rsid w:val="00744ECC"/>
    <w:rsid w:val="007452DE"/>
    <w:rsid w:val="0074562C"/>
    <w:rsid w:val="007456C2"/>
    <w:rsid w:val="00746082"/>
    <w:rsid w:val="007464E7"/>
    <w:rsid w:val="0074677C"/>
    <w:rsid w:val="00746D0F"/>
    <w:rsid w:val="00746E21"/>
    <w:rsid w:val="0074740B"/>
    <w:rsid w:val="007474A0"/>
    <w:rsid w:val="00747E73"/>
    <w:rsid w:val="00751747"/>
    <w:rsid w:val="00752C67"/>
    <w:rsid w:val="007531FF"/>
    <w:rsid w:val="0075393B"/>
    <w:rsid w:val="0075471A"/>
    <w:rsid w:val="007552B4"/>
    <w:rsid w:val="007561F6"/>
    <w:rsid w:val="00756241"/>
    <w:rsid w:val="00757573"/>
    <w:rsid w:val="0075771C"/>
    <w:rsid w:val="007608D7"/>
    <w:rsid w:val="00761231"/>
    <w:rsid w:val="007638F1"/>
    <w:rsid w:val="00763D76"/>
    <w:rsid w:val="00763DAA"/>
    <w:rsid w:val="00764B6A"/>
    <w:rsid w:val="00764FAA"/>
    <w:rsid w:val="007672B7"/>
    <w:rsid w:val="00767A04"/>
    <w:rsid w:val="00767C30"/>
    <w:rsid w:val="00770F10"/>
    <w:rsid w:val="00771157"/>
    <w:rsid w:val="00772A87"/>
    <w:rsid w:val="007733A9"/>
    <w:rsid w:val="0077366B"/>
    <w:rsid w:val="00773719"/>
    <w:rsid w:val="00773B58"/>
    <w:rsid w:val="00774343"/>
    <w:rsid w:val="007754E1"/>
    <w:rsid w:val="007756E4"/>
    <w:rsid w:val="00777487"/>
    <w:rsid w:val="007777A1"/>
    <w:rsid w:val="0078003D"/>
    <w:rsid w:val="0078273E"/>
    <w:rsid w:val="00782A5F"/>
    <w:rsid w:val="00782DCD"/>
    <w:rsid w:val="00782F88"/>
    <w:rsid w:val="00783703"/>
    <w:rsid w:val="00783999"/>
    <w:rsid w:val="0078471D"/>
    <w:rsid w:val="00784EC0"/>
    <w:rsid w:val="00785DA4"/>
    <w:rsid w:val="0078730F"/>
    <w:rsid w:val="0078760F"/>
    <w:rsid w:val="007879E9"/>
    <w:rsid w:val="007913FD"/>
    <w:rsid w:val="0079221B"/>
    <w:rsid w:val="007925C2"/>
    <w:rsid w:val="007926BD"/>
    <w:rsid w:val="00794B20"/>
    <w:rsid w:val="00795EA6"/>
    <w:rsid w:val="00796A50"/>
    <w:rsid w:val="00796CDA"/>
    <w:rsid w:val="00797CB3"/>
    <w:rsid w:val="007A01E1"/>
    <w:rsid w:val="007A0820"/>
    <w:rsid w:val="007A0D06"/>
    <w:rsid w:val="007A2550"/>
    <w:rsid w:val="007A27EA"/>
    <w:rsid w:val="007A4315"/>
    <w:rsid w:val="007A49C2"/>
    <w:rsid w:val="007A4BDD"/>
    <w:rsid w:val="007A6705"/>
    <w:rsid w:val="007A6BE8"/>
    <w:rsid w:val="007B0126"/>
    <w:rsid w:val="007B05B3"/>
    <w:rsid w:val="007B14CE"/>
    <w:rsid w:val="007B1985"/>
    <w:rsid w:val="007B1A09"/>
    <w:rsid w:val="007B2FDF"/>
    <w:rsid w:val="007B33D7"/>
    <w:rsid w:val="007B40E3"/>
    <w:rsid w:val="007B42C7"/>
    <w:rsid w:val="007B4D22"/>
    <w:rsid w:val="007B4DD7"/>
    <w:rsid w:val="007B56DD"/>
    <w:rsid w:val="007B602A"/>
    <w:rsid w:val="007B6777"/>
    <w:rsid w:val="007B71F0"/>
    <w:rsid w:val="007B7671"/>
    <w:rsid w:val="007B7F4E"/>
    <w:rsid w:val="007C08F8"/>
    <w:rsid w:val="007C0B35"/>
    <w:rsid w:val="007C1837"/>
    <w:rsid w:val="007C2377"/>
    <w:rsid w:val="007C293A"/>
    <w:rsid w:val="007C2D5F"/>
    <w:rsid w:val="007C2D77"/>
    <w:rsid w:val="007C2DD1"/>
    <w:rsid w:val="007C4005"/>
    <w:rsid w:val="007C4476"/>
    <w:rsid w:val="007C52E9"/>
    <w:rsid w:val="007C7D01"/>
    <w:rsid w:val="007D0CC0"/>
    <w:rsid w:val="007D1F55"/>
    <w:rsid w:val="007D21F2"/>
    <w:rsid w:val="007D22D9"/>
    <w:rsid w:val="007D2F47"/>
    <w:rsid w:val="007D3C94"/>
    <w:rsid w:val="007D3F6D"/>
    <w:rsid w:val="007D537B"/>
    <w:rsid w:val="007D5CC9"/>
    <w:rsid w:val="007D5DA7"/>
    <w:rsid w:val="007D6B7B"/>
    <w:rsid w:val="007D6F3F"/>
    <w:rsid w:val="007D734E"/>
    <w:rsid w:val="007D7FA6"/>
    <w:rsid w:val="007E08A2"/>
    <w:rsid w:val="007E10CB"/>
    <w:rsid w:val="007E1522"/>
    <w:rsid w:val="007E1742"/>
    <w:rsid w:val="007E190E"/>
    <w:rsid w:val="007E1D58"/>
    <w:rsid w:val="007E5488"/>
    <w:rsid w:val="007E5B4F"/>
    <w:rsid w:val="007E6CF8"/>
    <w:rsid w:val="007E6ECC"/>
    <w:rsid w:val="007F0ABE"/>
    <w:rsid w:val="007F0ED9"/>
    <w:rsid w:val="007F1C89"/>
    <w:rsid w:val="007F25A7"/>
    <w:rsid w:val="007F2645"/>
    <w:rsid w:val="007F3098"/>
    <w:rsid w:val="007F3B47"/>
    <w:rsid w:val="007F4668"/>
    <w:rsid w:val="007F4E36"/>
    <w:rsid w:val="007F571B"/>
    <w:rsid w:val="007F64C7"/>
    <w:rsid w:val="008020A6"/>
    <w:rsid w:val="008031EC"/>
    <w:rsid w:val="008034D8"/>
    <w:rsid w:val="008043FA"/>
    <w:rsid w:val="00804937"/>
    <w:rsid w:val="008054F0"/>
    <w:rsid w:val="00805BD3"/>
    <w:rsid w:val="00805EBB"/>
    <w:rsid w:val="008065B8"/>
    <w:rsid w:val="0080788D"/>
    <w:rsid w:val="00807DB6"/>
    <w:rsid w:val="00810DD3"/>
    <w:rsid w:val="00810FBE"/>
    <w:rsid w:val="0081243D"/>
    <w:rsid w:val="0081249A"/>
    <w:rsid w:val="008134EB"/>
    <w:rsid w:val="00814849"/>
    <w:rsid w:val="00814955"/>
    <w:rsid w:val="00815425"/>
    <w:rsid w:val="008155E3"/>
    <w:rsid w:val="008158DF"/>
    <w:rsid w:val="00817638"/>
    <w:rsid w:val="00820A0D"/>
    <w:rsid w:val="0082286E"/>
    <w:rsid w:val="008228A5"/>
    <w:rsid w:val="008229B3"/>
    <w:rsid w:val="00822B3C"/>
    <w:rsid w:val="00822F9E"/>
    <w:rsid w:val="008245AE"/>
    <w:rsid w:val="008246EA"/>
    <w:rsid w:val="008249D9"/>
    <w:rsid w:val="00825901"/>
    <w:rsid w:val="00826086"/>
    <w:rsid w:val="00826F71"/>
    <w:rsid w:val="0082775E"/>
    <w:rsid w:val="008300FB"/>
    <w:rsid w:val="00830ED9"/>
    <w:rsid w:val="00832864"/>
    <w:rsid w:val="00833EF0"/>
    <w:rsid w:val="00834367"/>
    <w:rsid w:val="008344DC"/>
    <w:rsid w:val="00834AB9"/>
    <w:rsid w:val="00834AD0"/>
    <w:rsid w:val="00834D6B"/>
    <w:rsid w:val="00835811"/>
    <w:rsid w:val="00835DBF"/>
    <w:rsid w:val="008369A3"/>
    <w:rsid w:val="00837300"/>
    <w:rsid w:val="00837F65"/>
    <w:rsid w:val="00840093"/>
    <w:rsid w:val="008410B6"/>
    <w:rsid w:val="00844475"/>
    <w:rsid w:val="00844C62"/>
    <w:rsid w:val="008457B2"/>
    <w:rsid w:val="00845B33"/>
    <w:rsid w:val="008461F1"/>
    <w:rsid w:val="00846C17"/>
    <w:rsid w:val="00846D63"/>
    <w:rsid w:val="008478B3"/>
    <w:rsid w:val="008478CE"/>
    <w:rsid w:val="00847C2B"/>
    <w:rsid w:val="00847E7D"/>
    <w:rsid w:val="00847F14"/>
    <w:rsid w:val="00850B48"/>
    <w:rsid w:val="00850CF7"/>
    <w:rsid w:val="00852017"/>
    <w:rsid w:val="008524A7"/>
    <w:rsid w:val="00853A60"/>
    <w:rsid w:val="00853CE3"/>
    <w:rsid w:val="008547FB"/>
    <w:rsid w:val="00854B58"/>
    <w:rsid w:val="0085583B"/>
    <w:rsid w:val="00857E85"/>
    <w:rsid w:val="008607B0"/>
    <w:rsid w:val="00860E75"/>
    <w:rsid w:val="0086103A"/>
    <w:rsid w:val="008617EA"/>
    <w:rsid w:val="0086208D"/>
    <w:rsid w:val="008629E3"/>
    <w:rsid w:val="0086378B"/>
    <w:rsid w:val="008642AA"/>
    <w:rsid w:val="00864321"/>
    <w:rsid w:val="00864B0A"/>
    <w:rsid w:val="00864F01"/>
    <w:rsid w:val="00865654"/>
    <w:rsid w:val="00865DC8"/>
    <w:rsid w:val="0086651C"/>
    <w:rsid w:val="0086702B"/>
    <w:rsid w:val="00870D58"/>
    <w:rsid w:val="008712A0"/>
    <w:rsid w:val="008715C0"/>
    <w:rsid w:val="008717D4"/>
    <w:rsid w:val="00872073"/>
    <w:rsid w:val="0087213F"/>
    <w:rsid w:val="00872621"/>
    <w:rsid w:val="008727AA"/>
    <w:rsid w:val="008729DD"/>
    <w:rsid w:val="00873250"/>
    <w:rsid w:val="00873825"/>
    <w:rsid w:val="008739EF"/>
    <w:rsid w:val="00873ADE"/>
    <w:rsid w:val="0087566D"/>
    <w:rsid w:val="00876133"/>
    <w:rsid w:val="008762EB"/>
    <w:rsid w:val="00876E3E"/>
    <w:rsid w:val="00876F9A"/>
    <w:rsid w:val="00877AC6"/>
    <w:rsid w:val="00877C17"/>
    <w:rsid w:val="008813C2"/>
    <w:rsid w:val="0088193B"/>
    <w:rsid w:val="00881D09"/>
    <w:rsid w:val="00882145"/>
    <w:rsid w:val="008825F6"/>
    <w:rsid w:val="008829C3"/>
    <w:rsid w:val="008839E5"/>
    <w:rsid w:val="00883C78"/>
    <w:rsid w:val="00884325"/>
    <w:rsid w:val="0088488F"/>
    <w:rsid w:val="008848CB"/>
    <w:rsid w:val="00884AA1"/>
    <w:rsid w:val="00884FA4"/>
    <w:rsid w:val="0088761A"/>
    <w:rsid w:val="008904F3"/>
    <w:rsid w:val="00890A9E"/>
    <w:rsid w:val="00892576"/>
    <w:rsid w:val="008932BE"/>
    <w:rsid w:val="00893AF7"/>
    <w:rsid w:val="00894601"/>
    <w:rsid w:val="00894856"/>
    <w:rsid w:val="00894BB3"/>
    <w:rsid w:val="00894CD3"/>
    <w:rsid w:val="00895560"/>
    <w:rsid w:val="00895D49"/>
    <w:rsid w:val="0089699B"/>
    <w:rsid w:val="00896B45"/>
    <w:rsid w:val="008973AD"/>
    <w:rsid w:val="008A0356"/>
    <w:rsid w:val="008A0625"/>
    <w:rsid w:val="008A28D7"/>
    <w:rsid w:val="008A4360"/>
    <w:rsid w:val="008A43AE"/>
    <w:rsid w:val="008A4654"/>
    <w:rsid w:val="008A5C1F"/>
    <w:rsid w:val="008A6491"/>
    <w:rsid w:val="008A6526"/>
    <w:rsid w:val="008A6708"/>
    <w:rsid w:val="008A70C3"/>
    <w:rsid w:val="008A78EF"/>
    <w:rsid w:val="008A7CF1"/>
    <w:rsid w:val="008B0674"/>
    <w:rsid w:val="008B0B60"/>
    <w:rsid w:val="008B0CFF"/>
    <w:rsid w:val="008B1376"/>
    <w:rsid w:val="008B20C2"/>
    <w:rsid w:val="008B276C"/>
    <w:rsid w:val="008B3260"/>
    <w:rsid w:val="008B333C"/>
    <w:rsid w:val="008B387D"/>
    <w:rsid w:val="008B3CD2"/>
    <w:rsid w:val="008B52E3"/>
    <w:rsid w:val="008B5C6E"/>
    <w:rsid w:val="008B6D5B"/>
    <w:rsid w:val="008B75E1"/>
    <w:rsid w:val="008B7AAE"/>
    <w:rsid w:val="008C011F"/>
    <w:rsid w:val="008C0805"/>
    <w:rsid w:val="008C096C"/>
    <w:rsid w:val="008C0B6E"/>
    <w:rsid w:val="008C1CAA"/>
    <w:rsid w:val="008C26F4"/>
    <w:rsid w:val="008C3539"/>
    <w:rsid w:val="008C3CFB"/>
    <w:rsid w:val="008C4888"/>
    <w:rsid w:val="008C624A"/>
    <w:rsid w:val="008C6C40"/>
    <w:rsid w:val="008D1DB1"/>
    <w:rsid w:val="008D1DF0"/>
    <w:rsid w:val="008D35DA"/>
    <w:rsid w:val="008D3892"/>
    <w:rsid w:val="008D39AA"/>
    <w:rsid w:val="008D4689"/>
    <w:rsid w:val="008D4D07"/>
    <w:rsid w:val="008D5118"/>
    <w:rsid w:val="008D55F9"/>
    <w:rsid w:val="008D6526"/>
    <w:rsid w:val="008D67C9"/>
    <w:rsid w:val="008D6A9C"/>
    <w:rsid w:val="008D741A"/>
    <w:rsid w:val="008E014A"/>
    <w:rsid w:val="008E02D8"/>
    <w:rsid w:val="008E0CA8"/>
    <w:rsid w:val="008E0D56"/>
    <w:rsid w:val="008E1700"/>
    <w:rsid w:val="008E2B2F"/>
    <w:rsid w:val="008E348C"/>
    <w:rsid w:val="008E41AD"/>
    <w:rsid w:val="008E499E"/>
    <w:rsid w:val="008E4DFF"/>
    <w:rsid w:val="008E5176"/>
    <w:rsid w:val="008E549E"/>
    <w:rsid w:val="008E54D0"/>
    <w:rsid w:val="008E5E23"/>
    <w:rsid w:val="008E67C0"/>
    <w:rsid w:val="008E6CCF"/>
    <w:rsid w:val="008E6D04"/>
    <w:rsid w:val="008E726B"/>
    <w:rsid w:val="008E76B6"/>
    <w:rsid w:val="008E7A48"/>
    <w:rsid w:val="008E7E7B"/>
    <w:rsid w:val="008E7F9F"/>
    <w:rsid w:val="008F09FE"/>
    <w:rsid w:val="008F0C2C"/>
    <w:rsid w:val="008F1046"/>
    <w:rsid w:val="008F12F1"/>
    <w:rsid w:val="008F18B3"/>
    <w:rsid w:val="008F1CAB"/>
    <w:rsid w:val="008F1E40"/>
    <w:rsid w:val="008F20F7"/>
    <w:rsid w:val="008F281A"/>
    <w:rsid w:val="008F2DC7"/>
    <w:rsid w:val="008F2E43"/>
    <w:rsid w:val="008F5890"/>
    <w:rsid w:val="008F5B59"/>
    <w:rsid w:val="008F6069"/>
    <w:rsid w:val="008F6E9D"/>
    <w:rsid w:val="008F7051"/>
    <w:rsid w:val="008F75BF"/>
    <w:rsid w:val="00900C12"/>
    <w:rsid w:val="00900D33"/>
    <w:rsid w:val="009010EA"/>
    <w:rsid w:val="00901C1E"/>
    <w:rsid w:val="00901EDF"/>
    <w:rsid w:val="00903CAE"/>
    <w:rsid w:val="009045A8"/>
    <w:rsid w:val="009047ED"/>
    <w:rsid w:val="00904B02"/>
    <w:rsid w:val="00904BBF"/>
    <w:rsid w:val="009050B9"/>
    <w:rsid w:val="00905752"/>
    <w:rsid w:val="00906288"/>
    <w:rsid w:val="009063A8"/>
    <w:rsid w:val="00906E14"/>
    <w:rsid w:val="00907517"/>
    <w:rsid w:val="009076FD"/>
    <w:rsid w:val="00910244"/>
    <w:rsid w:val="0091113E"/>
    <w:rsid w:val="009128E8"/>
    <w:rsid w:val="00912924"/>
    <w:rsid w:val="00912E59"/>
    <w:rsid w:val="009150DC"/>
    <w:rsid w:val="00916716"/>
    <w:rsid w:val="00916A25"/>
    <w:rsid w:val="00917D5D"/>
    <w:rsid w:val="00917FB4"/>
    <w:rsid w:val="00917FEE"/>
    <w:rsid w:val="009207A9"/>
    <w:rsid w:val="00920962"/>
    <w:rsid w:val="00920A27"/>
    <w:rsid w:val="00922A79"/>
    <w:rsid w:val="00922B89"/>
    <w:rsid w:val="009244D2"/>
    <w:rsid w:val="00925F1B"/>
    <w:rsid w:val="00926491"/>
    <w:rsid w:val="00926A76"/>
    <w:rsid w:val="0092726F"/>
    <w:rsid w:val="00927B25"/>
    <w:rsid w:val="00930459"/>
    <w:rsid w:val="009308F0"/>
    <w:rsid w:val="00930BF1"/>
    <w:rsid w:val="00931C18"/>
    <w:rsid w:val="00931EE0"/>
    <w:rsid w:val="00931F91"/>
    <w:rsid w:val="0093251D"/>
    <w:rsid w:val="00932589"/>
    <w:rsid w:val="00934432"/>
    <w:rsid w:val="00935B21"/>
    <w:rsid w:val="00935B41"/>
    <w:rsid w:val="00935F44"/>
    <w:rsid w:val="0093660A"/>
    <w:rsid w:val="00936816"/>
    <w:rsid w:val="00936C36"/>
    <w:rsid w:val="00936C94"/>
    <w:rsid w:val="00937CD8"/>
    <w:rsid w:val="00937DFB"/>
    <w:rsid w:val="009404E6"/>
    <w:rsid w:val="00941D69"/>
    <w:rsid w:val="0094208D"/>
    <w:rsid w:val="00943793"/>
    <w:rsid w:val="009440BD"/>
    <w:rsid w:val="009443B8"/>
    <w:rsid w:val="00944597"/>
    <w:rsid w:val="00944936"/>
    <w:rsid w:val="00944AA7"/>
    <w:rsid w:val="0094662F"/>
    <w:rsid w:val="00946AD7"/>
    <w:rsid w:val="0094727E"/>
    <w:rsid w:val="00947C30"/>
    <w:rsid w:val="00947D58"/>
    <w:rsid w:val="00947F91"/>
    <w:rsid w:val="0095045E"/>
    <w:rsid w:val="00950571"/>
    <w:rsid w:val="009507A5"/>
    <w:rsid w:val="00951285"/>
    <w:rsid w:val="009513DA"/>
    <w:rsid w:val="00951DFC"/>
    <w:rsid w:val="00952C66"/>
    <w:rsid w:val="00952CA1"/>
    <w:rsid w:val="00952D7C"/>
    <w:rsid w:val="009530ED"/>
    <w:rsid w:val="009540D9"/>
    <w:rsid w:val="009546F6"/>
    <w:rsid w:val="00954C3C"/>
    <w:rsid w:val="0095580F"/>
    <w:rsid w:val="0095626F"/>
    <w:rsid w:val="009569C9"/>
    <w:rsid w:val="00956BA1"/>
    <w:rsid w:val="00961356"/>
    <w:rsid w:val="00962476"/>
    <w:rsid w:val="00962C9F"/>
    <w:rsid w:val="0096390B"/>
    <w:rsid w:val="00963DA9"/>
    <w:rsid w:val="00963F49"/>
    <w:rsid w:val="0096455D"/>
    <w:rsid w:val="00964F55"/>
    <w:rsid w:val="00965CBF"/>
    <w:rsid w:val="00966271"/>
    <w:rsid w:val="00967131"/>
    <w:rsid w:val="009677BF"/>
    <w:rsid w:val="00967F47"/>
    <w:rsid w:val="00970976"/>
    <w:rsid w:val="009709DA"/>
    <w:rsid w:val="00972353"/>
    <w:rsid w:val="00973380"/>
    <w:rsid w:val="0097372C"/>
    <w:rsid w:val="009737A1"/>
    <w:rsid w:val="00973E4C"/>
    <w:rsid w:val="009766D5"/>
    <w:rsid w:val="009769C6"/>
    <w:rsid w:val="00976CD2"/>
    <w:rsid w:val="00977F47"/>
    <w:rsid w:val="00980707"/>
    <w:rsid w:val="00980FD2"/>
    <w:rsid w:val="0098140C"/>
    <w:rsid w:val="00981939"/>
    <w:rsid w:val="009826D6"/>
    <w:rsid w:val="009837EF"/>
    <w:rsid w:val="0098399A"/>
    <w:rsid w:val="00984BDC"/>
    <w:rsid w:val="009857E0"/>
    <w:rsid w:val="0098711E"/>
    <w:rsid w:val="00987A1D"/>
    <w:rsid w:val="00990B7A"/>
    <w:rsid w:val="0099114D"/>
    <w:rsid w:val="0099149D"/>
    <w:rsid w:val="009918FB"/>
    <w:rsid w:val="00991CE2"/>
    <w:rsid w:val="00992AF4"/>
    <w:rsid w:val="00995137"/>
    <w:rsid w:val="0099518E"/>
    <w:rsid w:val="00995711"/>
    <w:rsid w:val="00995A44"/>
    <w:rsid w:val="009A047C"/>
    <w:rsid w:val="009A0497"/>
    <w:rsid w:val="009A1142"/>
    <w:rsid w:val="009A1A9A"/>
    <w:rsid w:val="009A26BD"/>
    <w:rsid w:val="009A2A1B"/>
    <w:rsid w:val="009A2D21"/>
    <w:rsid w:val="009A37D5"/>
    <w:rsid w:val="009A3D03"/>
    <w:rsid w:val="009A3D94"/>
    <w:rsid w:val="009A5A1B"/>
    <w:rsid w:val="009A683B"/>
    <w:rsid w:val="009B0470"/>
    <w:rsid w:val="009B099D"/>
    <w:rsid w:val="009B157C"/>
    <w:rsid w:val="009B2293"/>
    <w:rsid w:val="009B25BD"/>
    <w:rsid w:val="009B36BF"/>
    <w:rsid w:val="009B3718"/>
    <w:rsid w:val="009B49FF"/>
    <w:rsid w:val="009B5872"/>
    <w:rsid w:val="009B5A80"/>
    <w:rsid w:val="009B5CBF"/>
    <w:rsid w:val="009B671B"/>
    <w:rsid w:val="009B690D"/>
    <w:rsid w:val="009B6ACF"/>
    <w:rsid w:val="009B6B48"/>
    <w:rsid w:val="009B7123"/>
    <w:rsid w:val="009B7B65"/>
    <w:rsid w:val="009C0981"/>
    <w:rsid w:val="009C0CEB"/>
    <w:rsid w:val="009C3E19"/>
    <w:rsid w:val="009C4CA7"/>
    <w:rsid w:val="009C512F"/>
    <w:rsid w:val="009C74B5"/>
    <w:rsid w:val="009C7BD2"/>
    <w:rsid w:val="009D043B"/>
    <w:rsid w:val="009D0E47"/>
    <w:rsid w:val="009D1922"/>
    <w:rsid w:val="009D1F1C"/>
    <w:rsid w:val="009D22E5"/>
    <w:rsid w:val="009D2902"/>
    <w:rsid w:val="009D371D"/>
    <w:rsid w:val="009D3AEC"/>
    <w:rsid w:val="009D44AB"/>
    <w:rsid w:val="009D698E"/>
    <w:rsid w:val="009D7957"/>
    <w:rsid w:val="009D7CE6"/>
    <w:rsid w:val="009E008F"/>
    <w:rsid w:val="009E0870"/>
    <w:rsid w:val="009E0BF9"/>
    <w:rsid w:val="009E0D56"/>
    <w:rsid w:val="009E19CE"/>
    <w:rsid w:val="009E1A77"/>
    <w:rsid w:val="009E262C"/>
    <w:rsid w:val="009E3B03"/>
    <w:rsid w:val="009E4EEA"/>
    <w:rsid w:val="009E6430"/>
    <w:rsid w:val="009E6989"/>
    <w:rsid w:val="009E6FB0"/>
    <w:rsid w:val="009E720C"/>
    <w:rsid w:val="009E733D"/>
    <w:rsid w:val="009E771F"/>
    <w:rsid w:val="009F0532"/>
    <w:rsid w:val="009F0C82"/>
    <w:rsid w:val="009F48BD"/>
    <w:rsid w:val="009F56A0"/>
    <w:rsid w:val="009F5E3D"/>
    <w:rsid w:val="009F6692"/>
    <w:rsid w:val="009F6E61"/>
    <w:rsid w:val="00A008A3"/>
    <w:rsid w:val="00A00F82"/>
    <w:rsid w:val="00A0135E"/>
    <w:rsid w:val="00A0142E"/>
    <w:rsid w:val="00A02285"/>
    <w:rsid w:val="00A02AB8"/>
    <w:rsid w:val="00A02D23"/>
    <w:rsid w:val="00A0444F"/>
    <w:rsid w:val="00A05393"/>
    <w:rsid w:val="00A05924"/>
    <w:rsid w:val="00A06272"/>
    <w:rsid w:val="00A06951"/>
    <w:rsid w:val="00A1153A"/>
    <w:rsid w:val="00A1169F"/>
    <w:rsid w:val="00A12337"/>
    <w:rsid w:val="00A127AE"/>
    <w:rsid w:val="00A12993"/>
    <w:rsid w:val="00A13705"/>
    <w:rsid w:val="00A13C00"/>
    <w:rsid w:val="00A14341"/>
    <w:rsid w:val="00A143E0"/>
    <w:rsid w:val="00A1441D"/>
    <w:rsid w:val="00A14C87"/>
    <w:rsid w:val="00A16D7E"/>
    <w:rsid w:val="00A20E86"/>
    <w:rsid w:val="00A212FC"/>
    <w:rsid w:val="00A21C12"/>
    <w:rsid w:val="00A21C2A"/>
    <w:rsid w:val="00A21C3A"/>
    <w:rsid w:val="00A22274"/>
    <w:rsid w:val="00A223AF"/>
    <w:rsid w:val="00A22465"/>
    <w:rsid w:val="00A2267C"/>
    <w:rsid w:val="00A2318D"/>
    <w:rsid w:val="00A23419"/>
    <w:rsid w:val="00A23F75"/>
    <w:rsid w:val="00A254D1"/>
    <w:rsid w:val="00A2556A"/>
    <w:rsid w:val="00A25E63"/>
    <w:rsid w:val="00A263B3"/>
    <w:rsid w:val="00A270FA"/>
    <w:rsid w:val="00A27EEA"/>
    <w:rsid w:val="00A30D04"/>
    <w:rsid w:val="00A31642"/>
    <w:rsid w:val="00A31C0F"/>
    <w:rsid w:val="00A31D2B"/>
    <w:rsid w:val="00A32793"/>
    <w:rsid w:val="00A33874"/>
    <w:rsid w:val="00A33A32"/>
    <w:rsid w:val="00A33DA1"/>
    <w:rsid w:val="00A344CF"/>
    <w:rsid w:val="00A3545F"/>
    <w:rsid w:val="00A35620"/>
    <w:rsid w:val="00A35C20"/>
    <w:rsid w:val="00A376D1"/>
    <w:rsid w:val="00A412A4"/>
    <w:rsid w:val="00A41C78"/>
    <w:rsid w:val="00A44E29"/>
    <w:rsid w:val="00A45752"/>
    <w:rsid w:val="00A46BA8"/>
    <w:rsid w:val="00A47F8A"/>
    <w:rsid w:val="00A50CD8"/>
    <w:rsid w:val="00A5218A"/>
    <w:rsid w:val="00A5228A"/>
    <w:rsid w:val="00A52989"/>
    <w:rsid w:val="00A52B93"/>
    <w:rsid w:val="00A53847"/>
    <w:rsid w:val="00A54607"/>
    <w:rsid w:val="00A547A9"/>
    <w:rsid w:val="00A549AF"/>
    <w:rsid w:val="00A54B1A"/>
    <w:rsid w:val="00A55CA9"/>
    <w:rsid w:val="00A55E92"/>
    <w:rsid w:val="00A5615B"/>
    <w:rsid w:val="00A566F7"/>
    <w:rsid w:val="00A60788"/>
    <w:rsid w:val="00A6109D"/>
    <w:rsid w:val="00A6110D"/>
    <w:rsid w:val="00A61724"/>
    <w:rsid w:val="00A624D4"/>
    <w:rsid w:val="00A635D2"/>
    <w:rsid w:val="00A63795"/>
    <w:rsid w:val="00A63817"/>
    <w:rsid w:val="00A63AEB"/>
    <w:rsid w:val="00A641A3"/>
    <w:rsid w:val="00A642BE"/>
    <w:rsid w:val="00A649E2"/>
    <w:rsid w:val="00A64CEA"/>
    <w:rsid w:val="00A64DFC"/>
    <w:rsid w:val="00A64E67"/>
    <w:rsid w:val="00A65255"/>
    <w:rsid w:val="00A656C9"/>
    <w:rsid w:val="00A65708"/>
    <w:rsid w:val="00A65B4E"/>
    <w:rsid w:val="00A66B6D"/>
    <w:rsid w:val="00A67A0D"/>
    <w:rsid w:val="00A70629"/>
    <w:rsid w:val="00A70845"/>
    <w:rsid w:val="00A70A6E"/>
    <w:rsid w:val="00A70E32"/>
    <w:rsid w:val="00A72BA8"/>
    <w:rsid w:val="00A736C3"/>
    <w:rsid w:val="00A740BB"/>
    <w:rsid w:val="00A74E63"/>
    <w:rsid w:val="00A74FE2"/>
    <w:rsid w:val="00A75DAF"/>
    <w:rsid w:val="00A76ACC"/>
    <w:rsid w:val="00A77101"/>
    <w:rsid w:val="00A80316"/>
    <w:rsid w:val="00A80708"/>
    <w:rsid w:val="00A80DCD"/>
    <w:rsid w:val="00A81C6F"/>
    <w:rsid w:val="00A82147"/>
    <w:rsid w:val="00A8360B"/>
    <w:rsid w:val="00A841AB"/>
    <w:rsid w:val="00A844BF"/>
    <w:rsid w:val="00A857D9"/>
    <w:rsid w:val="00A85AFE"/>
    <w:rsid w:val="00A90857"/>
    <w:rsid w:val="00A90A64"/>
    <w:rsid w:val="00A90D5C"/>
    <w:rsid w:val="00A91448"/>
    <w:rsid w:val="00A92245"/>
    <w:rsid w:val="00A93A78"/>
    <w:rsid w:val="00A94548"/>
    <w:rsid w:val="00A957C2"/>
    <w:rsid w:val="00A95D73"/>
    <w:rsid w:val="00A96FE1"/>
    <w:rsid w:val="00A970A4"/>
    <w:rsid w:val="00A97187"/>
    <w:rsid w:val="00A978D5"/>
    <w:rsid w:val="00A97AA2"/>
    <w:rsid w:val="00AA0C92"/>
    <w:rsid w:val="00AA25A1"/>
    <w:rsid w:val="00AA2961"/>
    <w:rsid w:val="00AA2B6A"/>
    <w:rsid w:val="00AA3306"/>
    <w:rsid w:val="00AA4B70"/>
    <w:rsid w:val="00AA4E07"/>
    <w:rsid w:val="00AA4FDF"/>
    <w:rsid w:val="00AA537E"/>
    <w:rsid w:val="00AA5AF7"/>
    <w:rsid w:val="00AA614E"/>
    <w:rsid w:val="00AA680D"/>
    <w:rsid w:val="00AA7157"/>
    <w:rsid w:val="00AA7756"/>
    <w:rsid w:val="00AB0084"/>
    <w:rsid w:val="00AB1AB2"/>
    <w:rsid w:val="00AB2836"/>
    <w:rsid w:val="00AB293F"/>
    <w:rsid w:val="00AB2960"/>
    <w:rsid w:val="00AB2DD6"/>
    <w:rsid w:val="00AB2DED"/>
    <w:rsid w:val="00AB42F3"/>
    <w:rsid w:val="00AB4A42"/>
    <w:rsid w:val="00AB4C02"/>
    <w:rsid w:val="00AB5488"/>
    <w:rsid w:val="00AB574B"/>
    <w:rsid w:val="00AB6DF3"/>
    <w:rsid w:val="00AB79EC"/>
    <w:rsid w:val="00AC06AD"/>
    <w:rsid w:val="00AC13CB"/>
    <w:rsid w:val="00AC15CE"/>
    <w:rsid w:val="00AC1849"/>
    <w:rsid w:val="00AC1DB2"/>
    <w:rsid w:val="00AC23DD"/>
    <w:rsid w:val="00AC2558"/>
    <w:rsid w:val="00AC3838"/>
    <w:rsid w:val="00AC3C8D"/>
    <w:rsid w:val="00AC4436"/>
    <w:rsid w:val="00AC4593"/>
    <w:rsid w:val="00AC4FC8"/>
    <w:rsid w:val="00AC5201"/>
    <w:rsid w:val="00AC5FAC"/>
    <w:rsid w:val="00AC6D7C"/>
    <w:rsid w:val="00AC7095"/>
    <w:rsid w:val="00AC758F"/>
    <w:rsid w:val="00AD01BB"/>
    <w:rsid w:val="00AD02B4"/>
    <w:rsid w:val="00AD1171"/>
    <w:rsid w:val="00AD1B8B"/>
    <w:rsid w:val="00AD3130"/>
    <w:rsid w:val="00AD4413"/>
    <w:rsid w:val="00AD4CDC"/>
    <w:rsid w:val="00AD5620"/>
    <w:rsid w:val="00AD5C7A"/>
    <w:rsid w:val="00AD640D"/>
    <w:rsid w:val="00AD6B21"/>
    <w:rsid w:val="00AD6D7F"/>
    <w:rsid w:val="00AD79EF"/>
    <w:rsid w:val="00AE0DAF"/>
    <w:rsid w:val="00AE1E77"/>
    <w:rsid w:val="00AE311C"/>
    <w:rsid w:val="00AE32FC"/>
    <w:rsid w:val="00AE3926"/>
    <w:rsid w:val="00AE4001"/>
    <w:rsid w:val="00AE46AA"/>
    <w:rsid w:val="00AE4D23"/>
    <w:rsid w:val="00AE4E68"/>
    <w:rsid w:val="00AE52C3"/>
    <w:rsid w:val="00AE6061"/>
    <w:rsid w:val="00AE6518"/>
    <w:rsid w:val="00AE65D0"/>
    <w:rsid w:val="00AF035E"/>
    <w:rsid w:val="00AF0388"/>
    <w:rsid w:val="00AF05EF"/>
    <w:rsid w:val="00AF0863"/>
    <w:rsid w:val="00AF29BB"/>
    <w:rsid w:val="00AF2B88"/>
    <w:rsid w:val="00AF3378"/>
    <w:rsid w:val="00AF5805"/>
    <w:rsid w:val="00AF5F2E"/>
    <w:rsid w:val="00AF6367"/>
    <w:rsid w:val="00AF63A9"/>
    <w:rsid w:val="00AF739D"/>
    <w:rsid w:val="00AF748C"/>
    <w:rsid w:val="00AF7CD2"/>
    <w:rsid w:val="00B00194"/>
    <w:rsid w:val="00B006A9"/>
    <w:rsid w:val="00B016A8"/>
    <w:rsid w:val="00B01ECE"/>
    <w:rsid w:val="00B03F8F"/>
    <w:rsid w:val="00B06148"/>
    <w:rsid w:val="00B068F2"/>
    <w:rsid w:val="00B0743D"/>
    <w:rsid w:val="00B07636"/>
    <w:rsid w:val="00B10278"/>
    <w:rsid w:val="00B116A4"/>
    <w:rsid w:val="00B12922"/>
    <w:rsid w:val="00B13310"/>
    <w:rsid w:val="00B14388"/>
    <w:rsid w:val="00B153EC"/>
    <w:rsid w:val="00B154EA"/>
    <w:rsid w:val="00B156B8"/>
    <w:rsid w:val="00B16720"/>
    <w:rsid w:val="00B177E6"/>
    <w:rsid w:val="00B179B7"/>
    <w:rsid w:val="00B20969"/>
    <w:rsid w:val="00B2109F"/>
    <w:rsid w:val="00B216FD"/>
    <w:rsid w:val="00B21702"/>
    <w:rsid w:val="00B220CD"/>
    <w:rsid w:val="00B22390"/>
    <w:rsid w:val="00B2258D"/>
    <w:rsid w:val="00B225B0"/>
    <w:rsid w:val="00B244D4"/>
    <w:rsid w:val="00B24EB6"/>
    <w:rsid w:val="00B26A1F"/>
    <w:rsid w:val="00B27963"/>
    <w:rsid w:val="00B27AB5"/>
    <w:rsid w:val="00B27B40"/>
    <w:rsid w:val="00B30E67"/>
    <w:rsid w:val="00B31020"/>
    <w:rsid w:val="00B313C7"/>
    <w:rsid w:val="00B318B0"/>
    <w:rsid w:val="00B31E83"/>
    <w:rsid w:val="00B3230A"/>
    <w:rsid w:val="00B325B0"/>
    <w:rsid w:val="00B325E2"/>
    <w:rsid w:val="00B328FC"/>
    <w:rsid w:val="00B3396B"/>
    <w:rsid w:val="00B339C0"/>
    <w:rsid w:val="00B3411C"/>
    <w:rsid w:val="00B349F4"/>
    <w:rsid w:val="00B353C8"/>
    <w:rsid w:val="00B35A3D"/>
    <w:rsid w:val="00B37A7C"/>
    <w:rsid w:val="00B4136C"/>
    <w:rsid w:val="00B4271C"/>
    <w:rsid w:val="00B42A04"/>
    <w:rsid w:val="00B43453"/>
    <w:rsid w:val="00B450F8"/>
    <w:rsid w:val="00B45EE9"/>
    <w:rsid w:val="00B46ED3"/>
    <w:rsid w:val="00B47A0F"/>
    <w:rsid w:val="00B47CFD"/>
    <w:rsid w:val="00B47D0D"/>
    <w:rsid w:val="00B50649"/>
    <w:rsid w:val="00B519E1"/>
    <w:rsid w:val="00B51DCA"/>
    <w:rsid w:val="00B51EDA"/>
    <w:rsid w:val="00B5204C"/>
    <w:rsid w:val="00B529A3"/>
    <w:rsid w:val="00B537DF"/>
    <w:rsid w:val="00B538DA"/>
    <w:rsid w:val="00B5400D"/>
    <w:rsid w:val="00B54575"/>
    <w:rsid w:val="00B549E8"/>
    <w:rsid w:val="00B55516"/>
    <w:rsid w:val="00B557B6"/>
    <w:rsid w:val="00B55E3F"/>
    <w:rsid w:val="00B60A1E"/>
    <w:rsid w:val="00B60D98"/>
    <w:rsid w:val="00B61595"/>
    <w:rsid w:val="00B624EE"/>
    <w:rsid w:val="00B62D76"/>
    <w:rsid w:val="00B63097"/>
    <w:rsid w:val="00B6327A"/>
    <w:rsid w:val="00B637E6"/>
    <w:rsid w:val="00B64BD5"/>
    <w:rsid w:val="00B657A0"/>
    <w:rsid w:val="00B65FA8"/>
    <w:rsid w:val="00B66384"/>
    <w:rsid w:val="00B664D8"/>
    <w:rsid w:val="00B66502"/>
    <w:rsid w:val="00B66B69"/>
    <w:rsid w:val="00B67122"/>
    <w:rsid w:val="00B67EB0"/>
    <w:rsid w:val="00B7014D"/>
    <w:rsid w:val="00B7017B"/>
    <w:rsid w:val="00B701D3"/>
    <w:rsid w:val="00B71570"/>
    <w:rsid w:val="00B71B7B"/>
    <w:rsid w:val="00B71F83"/>
    <w:rsid w:val="00B722B5"/>
    <w:rsid w:val="00B724B6"/>
    <w:rsid w:val="00B72D7E"/>
    <w:rsid w:val="00B73913"/>
    <w:rsid w:val="00B73F2E"/>
    <w:rsid w:val="00B7401F"/>
    <w:rsid w:val="00B74113"/>
    <w:rsid w:val="00B7472A"/>
    <w:rsid w:val="00B76C82"/>
    <w:rsid w:val="00B827C5"/>
    <w:rsid w:val="00B83180"/>
    <w:rsid w:val="00B83B44"/>
    <w:rsid w:val="00B83D1F"/>
    <w:rsid w:val="00B84190"/>
    <w:rsid w:val="00B8451A"/>
    <w:rsid w:val="00B8495E"/>
    <w:rsid w:val="00B854FD"/>
    <w:rsid w:val="00B8681D"/>
    <w:rsid w:val="00B87ED8"/>
    <w:rsid w:val="00B90518"/>
    <w:rsid w:val="00B9057D"/>
    <w:rsid w:val="00B91546"/>
    <w:rsid w:val="00B919DC"/>
    <w:rsid w:val="00B91D3B"/>
    <w:rsid w:val="00B921D8"/>
    <w:rsid w:val="00B93466"/>
    <w:rsid w:val="00B94293"/>
    <w:rsid w:val="00B943C1"/>
    <w:rsid w:val="00B94B1E"/>
    <w:rsid w:val="00B95925"/>
    <w:rsid w:val="00B95AEA"/>
    <w:rsid w:val="00B960C3"/>
    <w:rsid w:val="00B96986"/>
    <w:rsid w:val="00B9718C"/>
    <w:rsid w:val="00B9761B"/>
    <w:rsid w:val="00B97E47"/>
    <w:rsid w:val="00BA030F"/>
    <w:rsid w:val="00BA1691"/>
    <w:rsid w:val="00BA2000"/>
    <w:rsid w:val="00BA2B93"/>
    <w:rsid w:val="00BA326C"/>
    <w:rsid w:val="00BA418D"/>
    <w:rsid w:val="00BA4224"/>
    <w:rsid w:val="00BA750B"/>
    <w:rsid w:val="00BB0D8D"/>
    <w:rsid w:val="00BB1709"/>
    <w:rsid w:val="00BB249D"/>
    <w:rsid w:val="00BB3170"/>
    <w:rsid w:val="00BB4056"/>
    <w:rsid w:val="00BB5449"/>
    <w:rsid w:val="00BB6882"/>
    <w:rsid w:val="00BB76DF"/>
    <w:rsid w:val="00BC1511"/>
    <w:rsid w:val="00BC17BE"/>
    <w:rsid w:val="00BC2FCC"/>
    <w:rsid w:val="00BC3651"/>
    <w:rsid w:val="00BC468A"/>
    <w:rsid w:val="00BC7594"/>
    <w:rsid w:val="00BC7D24"/>
    <w:rsid w:val="00BD02B5"/>
    <w:rsid w:val="00BD0413"/>
    <w:rsid w:val="00BD0737"/>
    <w:rsid w:val="00BD0C96"/>
    <w:rsid w:val="00BD0EA6"/>
    <w:rsid w:val="00BD1227"/>
    <w:rsid w:val="00BD18C9"/>
    <w:rsid w:val="00BD1D46"/>
    <w:rsid w:val="00BD29F6"/>
    <w:rsid w:val="00BD2E17"/>
    <w:rsid w:val="00BD321C"/>
    <w:rsid w:val="00BD40C0"/>
    <w:rsid w:val="00BD483E"/>
    <w:rsid w:val="00BD53CB"/>
    <w:rsid w:val="00BD5960"/>
    <w:rsid w:val="00BD6AB9"/>
    <w:rsid w:val="00BD6E3E"/>
    <w:rsid w:val="00BD72F8"/>
    <w:rsid w:val="00BD7B1A"/>
    <w:rsid w:val="00BE27E0"/>
    <w:rsid w:val="00BE2ED0"/>
    <w:rsid w:val="00BE3370"/>
    <w:rsid w:val="00BE3B2E"/>
    <w:rsid w:val="00BE4286"/>
    <w:rsid w:val="00BE4622"/>
    <w:rsid w:val="00BE517D"/>
    <w:rsid w:val="00BE5D29"/>
    <w:rsid w:val="00BE5FB9"/>
    <w:rsid w:val="00BE647C"/>
    <w:rsid w:val="00BE650A"/>
    <w:rsid w:val="00BE655B"/>
    <w:rsid w:val="00BE6C11"/>
    <w:rsid w:val="00BE7CC4"/>
    <w:rsid w:val="00BF0674"/>
    <w:rsid w:val="00BF0D65"/>
    <w:rsid w:val="00BF16C1"/>
    <w:rsid w:val="00BF1E60"/>
    <w:rsid w:val="00BF268F"/>
    <w:rsid w:val="00BF385C"/>
    <w:rsid w:val="00BF3C1C"/>
    <w:rsid w:val="00BF5ACE"/>
    <w:rsid w:val="00BF6B96"/>
    <w:rsid w:val="00BF6BC5"/>
    <w:rsid w:val="00BF7F73"/>
    <w:rsid w:val="00C01524"/>
    <w:rsid w:val="00C01AB8"/>
    <w:rsid w:val="00C03042"/>
    <w:rsid w:val="00C0349A"/>
    <w:rsid w:val="00C04A7D"/>
    <w:rsid w:val="00C04A83"/>
    <w:rsid w:val="00C06A01"/>
    <w:rsid w:val="00C06D77"/>
    <w:rsid w:val="00C072D7"/>
    <w:rsid w:val="00C079DC"/>
    <w:rsid w:val="00C07B68"/>
    <w:rsid w:val="00C11966"/>
    <w:rsid w:val="00C12096"/>
    <w:rsid w:val="00C120C0"/>
    <w:rsid w:val="00C123D8"/>
    <w:rsid w:val="00C12794"/>
    <w:rsid w:val="00C13197"/>
    <w:rsid w:val="00C13270"/>
    <w:rsid w:val="00C13EF0"/>
    <w:rsid w:val="00C14AF4"/>
    <w:rsid w:val="00C15A21"/>
    <w:rsid w:val="00C15C54"/>
    <w:rsid w:val="00C165D2"/>
    <w:rsid w:val="00C178FE"/>
    <w:rsid w:val="00C17AAA"/>
    <w:rsid w:val="00C202C8"/>
    <w:rsid w:val="00C20D94"/>
    <w:rsid w:val="00C21A1F"/>
    <w:rsid w:val="00C22BE2"/>
    <w:rsid w:val="00C22C74"/>
    <w:rsid w:val="00C22D8A"/>
    <w:rsid w:val="00C22EBB"/>
    <w:rsid w:val="00C23F17"/>
    <w:rsid w:val="00C24ED8"/>
    <w:rsid w:val="00C2545A"/>
    <w:rsid w:val="00C26BA5"/>
    <w:rsid w:val="00C2744E"/>
    <w:rsid w:val="00C30AB4"/>
    <w:rsid w:val="00C30D62"/>
    <w:rsid w:val="00C31CC0"/>
    <w:rsid w:val="00C3203A"/>
    <w:rsid w:val="00C323D2"/>
    <w:rsid w:val="00C32D51"/>
    <w:rsid w:val="00C33045"/>
    <w:rsid w:val="00C34833"/>
    <w:rsid w:val="00C364F8"/>
    <w:rsid w:val="00C376BB"/>
    <w:rsid w:val="00C40935"/>
    <w:rsid w:val="00C41280"/>
    <w:rsid w:val="00C41A41"/>
    <w:rsid w:val="00C422AF"/>
    <w:rsid w:val="00C422EF"/>
    <w:rsid w:val="00C4306B"/>
    <w:rsid w:val="00C4374B"/>
    <w:rsid w:val="00C43FB3"/>
    <w:rsid w:val="00C45162"/>
    <w:rsid w:val="00C461F1"/>
    <w:rsid w:val="00C46EA7"/>
    <w:rsid w:val="00C509D3"/>
    <w:rsid w:val="00C51C48"/>
    <w:rsid w:val="00C522A9"/>
    <w:rsid w:val="00C529CF"/>
    <w:rsid w:val="00C5532C"/>
    <w:rsid w:val="00C55444"/>
    <w:rsid w:val="00C55D8A"/>
    <w:rsid w:val="00C56E8C"/>
    <w:rsid w:val="00C570C3"/>
    <w:rsid w:val="00C57F28"/>
    <w:rsid w:val="00C60191"/>
    <w:rsid w:val="00C6048D"/>
    <w:rsid w:val="00C609E9"/>
    <w:rsid w:val="00C60A6B"/>
    <w:rsid w:val="00C60BBD"/>
    <w:rsid w:val="00C61AA7"/>
    <w:rsid w:val="00C61AAD"/>
    <w:rsid w:val="00C63432"/>
    <w:rsid w:val="00C63CA5"/>
    <w:rsid w:val="00C64748"/>
    <w:rsid w:val="00C65BFE"/>
    <w:rsid w:val="00C662B0"/>
    <w:rsid w:val="00C66BDF"/>
    <w:rsid w:val="00C673A5"/>
    <w:rsid w:val="00C67CDD"/>
    <w:rsid w:val="00C7267C"/>
    <w:rsid w:val="00C72F1C"/>
    <w:rsid w:val="00C734E1"/>
    <w:rsid w:val="00C73C0C"/>
    <w:rsid w:val="00C7465E"/>
    <w:rsid w:val="00C74661"/>
    <w:rsid w:val="00C746AE"/>
    <w:rsid w:val="00C74E0C"/>
    <w:rsid w:val="00C75C12"/>
    <w:rsid w:val="00C76174"/>
    <w:rsid w:val="00C811DF"/>
    <w:rsid w:val="00C81B07"/>
    <w:rsid w:val="00C81D4A"/>
    <w:rsid w:val="00C833CA"/>
    <w:rsid w:val="00C83BA3"/>
    <w:rsid w:val="00C8480C"/>
    <w:rsid w:val="00C850F4"/>
    <w:rsid w:val="00C85510"/>
    <w:rsid w:val="00C864E0"/>
    <w:rsid w:val="00C867ED"/>
    <w:rsid w:val="00C86FDF"/>
    <w:rsid w:val="00C8797D"/>
    <w:rsid w:val="00C902D7"/>
    <w:rsid w:val="00C90C8C"/>
    <w:rsid w:val="00C91A37"/>
    <w:rsid w:val="00C93410"/>
    <w:rsid w:val="00C94463"/>
    <w:rsid w:val="00C94CD6"/>
    <w:rsid w:val="00C94EE2"/>
    <w:rsid w:val="00C96388"/>
    <w:rsid w:val="00C9661C"/>
    <w:rsid w:val="00C971CD"/>
    <w:rsid w:val="00CA0C09"/>
    <w:rsid w:val="00CA10EB"/>
    <w:rsid w:val="00CA1941"/>
    <w:rsid w:val="00CA1F39"/>
    <w:rsid w:val="00CA255C"/>
    <w:rsid w:val="00CA25AC"/>
    <w:rsid w:val="00CA31D5"/>
    <w:rsid w:val="00CA35A8"/>
    <w:rsid w:val="00CA3B1B"/>
    <w:rsid w:val="00CA5B78"/>
    <w:rsid w:val="00CA6695"/>
    <w:rsid w:val="00CA70B9"/>
    <w:rsid w:val="00CB0A07"/>
    <w:rsid w:val="00CB1C20"/>
    <w:rsid w:val="00CB20AF"/>
    <w:rsid w:val="00CB511B"/>
    <w:rsid w:val="00CB534D"/>
    <w:rsid w:val="00CB72FD"/>
    <w:rsid w:val="00CC1145"/>
    <w:rsid w:val="00CC1544"/>
    <w:rsid w:val="00CC1BF3"/>
    <w:rsid w:val="00CC27F3"/>
    <w:rsid w:val="00CC3809"/>
    <w:rsid w:val="00CC3966"/>
    <w:rsid w:val="00CC3F9E"/>
    <w:rsid w:val="00CC708C"/>
    <w:rsid w:val="00CC7347"/>
    <w:rsid w:val="00CC7744"/>
    <w:rsid w:val="00CD058E"/>
    <w:rsid w:val="00CD1039"/>
    <w:rsid w:val="00CD1CA8"/>
    <w:rsid w:val="00CD2C94"/>
    <w:rsid w:val="00CD3C5E"/>
    <w:rsid w:val="00CD3F58"/>
    <w:rsid w:val="00CD44C8"/>
    <w:rsid w:val="00CD4673"/>
    <w:rsid w:val="00CD46E9"/>
    <w:rsid w:val="00CD5253"/>
    <w:rsid w:val="00CD5A0E"/>
    <w:rsid w:val="00CD74B8"/>
    <w:rsid w:val="00CD7A4A"/>
    <w:rsid w:val="00CD7B43"/>
    <w:rsid w:val="00CD7C25"/>
    <w:rsid w:val="00CE0E46"/>
    <w:rsid w:val="00CE1455"/>
    <w:rsid w:val="00CE19B1"/>
    <w:rsid w:val="00CE25EA"/>
    <w:rsid w:val="00CE30A6"/>
    <w:rsid w:val="00CE3D53"/>
    <w:rsid w:val="00CE42A1"/>
    <w:rsid w:val="00CE4B01"/>
    <w:rsid w:val="00CE5F33"/>
    <w:rsid w:val="00CE6738"/>
    <w:rsid w:val="00CE6E8D"/>
    <w:rsid w:val="00CE7C01"/>
    <w:rsid w:val="00CF0519"/>
    <w:rsid w:val="00CF2024"/>
    <w:rsid w:val="00CF2574"/>
    <w:rsid w:val="00CF26F8"/>
    <w:rsid w:val="00CF29F4"/>
    <w:rsid w:val="00CF315A"/>
    <w:rsid w:val="00CF3FBF"/>
    <w:rsid w:val="00CF4AD8"/>
    <w:rsid w:val="00CF5A48"/>
    <w:rsid w:val="00CF61B6"/>
    <w:rsid w:val="00CF671F"/>
    <w:rsid w:val="00D00503"/>
    <w:rsid w:val="00D00846"/>
    <w:rsid w:val="00D01812"/>
    <w:rsid w:val="00D01950"/>
    <w:rsid w:val="00D01E05"/>
    <w:rsid w:val="00D02C89"/>
    <w:rsid w:val="00D02CF6"/>
    <w:rsid w:val="00D04425"/>
    <w:rsid w:val="00D04919"/>
    <w:rsid w:val="00D04F4B"/>
    <w:rsid w:val="00D052B4"/>
    <w:rsid w:val="00D07E33"/>
    <w:rsid w:val="00D10076"/>
    <w:rsid w:val="00D10609"/>
    <w:rsid w:val="00D115BF"/>
    <w:rsid w:val="00D121BC"/>
    <w:rsid w:val="00D12778"/>
    <w:rsid w:val="00D133F1"/>
    <w:rsid w:val="00D13B5A"/>
    <w:rsid w:val="00D1488F"/>
    <w:rsid w:val="00D16690"/>
    <w:rsid w:val="00D1678A"/>
    <w:rsid w:val="00D204E6"/>
    <w:rsid w:val="00D20645"/>
    <w:rsid w:val="00D20AFB"/>
    <w:rsid w:val="00D20D4C"/>
    <w:rsid w:val="00D21CD3"/>
    <w:rsid w:val="00D21EC2"/>
    <w:rsid w:val="00D22AD5"/>
    <w:rsid w:val="00D22F40"/>
    <w:rsid w:val="00D23A87"/>
    <w:rsid w:val="00D2449C"/>
    <w:rsid w:val="00D244A6"/>
    <w:rsid w:val="00D24AAD"/>
    <w:rsid w:val="00D24CF8"/>
    <w:rsid w:val="00D252D1"/>
    <w:rsid w:val="00D2758D"/>
    <w:rsid w:val="00D275D5"/>
    <w:rsid w:val="00D27699"/>
    <w:rsid w:val="00D3074C"/>
    <w:rsid w:val="00D3177D"/>
    <w:rsid w:val="00D318DB"/>
    <w:rsid w:val="00D337D1"/>
    <w:rsid w:val="00D33EFF"/>
    <w:rsid w:val="00D34F4F"/>
    <w:rsid w:val="00D357D2"/>
    <w:rsid w:val="00D3580D"/>
    <w:rsid w:val="00D35822"/>
    <w:rsid w:val="00D35D21"/>
    <w:rsid w:val="00D35E5E"/>
    <w:rsid w:val="00D406B9"/>
    <w:rsid w:val="00D40771"/>
    <w:rsid w:val="00D40BA1"/>
    <w:rsid w:val="00D40D5C"/>
    <w:rsid w:val="00D4124F"/>
    <w:rsid w:val="00D41C59"/>
    <w:rsid w:val="00D41FA2"/>
    <w:rsid w:val="00D420DA"/>
    <w:rsid w:val="00D4281E"/>
    <w:rsid w:val="00D43526"/>
    <w:rsid w:val="00D43E31"/>
    <w:rsid w:val="00D478C9"/>
    <w:rsid w:val="00D50283"/>
    <w:rsid w:val="00D503F5"/>
    <w:rsid w:val="00D5127D"/>
    <w:rsid w:val="00D517F0"/>
    <w:rsid w:val="00D527D2"/>
    <w:rsid w:val="00D547F9"/>
    <w:rsid w:val="00D560CA"/>
    <w:rsid w:val="00D5687F"/>
    <w:rsid w:val="00D56A6A"/>
    <w:rsid w:val="00D604AE"/>
    <w:rsid w:val="00D60604"/>
    <w:rsid w:val="00D61ABC"/>
    <w:rsid w:val="00D62C0E"/>
    <w:rsid w:val="00D64154"/>
    <w:rsid w:val="00D64409"/>
    <w:rsid w:val="00D648A1"/>
    <w:rsid w:val="00D64937"/>
    <w:rsid w:val="00D64CC0"/>
    <w:rsid w:val="00D66D67"/>
    <w:rsid w:val="00D675F9"/>
    <w:rsid w:val="00D6772B"/>
    <w:rsid w:val="00D70300"/>
    <w:rsid w:val="00D71F7D"/>
    <w:rsid w:val="00D71F97"/>
    <w:rsid w:val="00D7239D"/>
    <w:rsid w:val="00D73421"/>
    <w:rsid w:val="00D7450E"/>
    <w:rsid w:val="00D74A41"/>
    <w:rsid w:val="00D75297"/>
    <w:rsid w:val="00D76907"/>
    <w:rsid w:val="00D80320"/>
    <w:rsid w:val="00D805BF"/>
    <w:rsid w:val="00D80DAB"/>
    <w:rsid w:val="00D81644"/>
    <w:rsid w:val="00D834B1"/>
    <w:rsid w:val="00D84B0C"/>
    <w:rsid w:val="00D858A3"/>
    <w:rsid w:val="00D8590B"/>
    <w:rsid w:val="00D85B2C"/>
    <w:rsid w:val="00D85D6C"/>
    <w:rsid w:val="00D86A70"/>
    <w:rsid w:val="00D86AFF"/>
    <w:rsid w:val="00D86D63"/>
    <w:rsid w:val="00D8754E"/>
    <w:rsid w:val="00D90406"/>
    <w:rsid w:val="00D91B2E"/>
    <w:rsid w:val="00D92549"/>
    <w:rsid w:val="00D92DBA"/>
    <w:rsid w:val="00D94384"/>
    <w:rsid w:val="00D9441D"/>
    <w:rsid w:val="00D94F7F"/>
    <w:rsid w:val="00D94FBC"/>
    <w:rsid w:val="00D95042"/>
    <w:rsid w:val="00D950D2"/>
    <w:rsid w:val="00D95AEB"/>
    <w:rsid w:val="00D95DF0"/>
    <w:rsid w:val="00DA04ED"/>
    <w:rsid w:val="00DA14AF"/>
    <w:rsid w:val="00DA166D"/>
    <w:rsid w:val="00DA21EE"/>
    <w:rsid w:val="00DA23C1"/>
    <w:rsid w:val="00DA2D26"/>
    <w:rsid w:val="00DA345D"/>
    <w:rsid w:val="00DA3521"/>
    <w:rsid w:val="00DA35CD"/>
    <w:rsid w:val="00DA664C"/>
    <w:rsid w:val="00DA674D"/>
    <w:rsid w:val="00DA7740"/>
    <w:rsid w:val="00DA791C"/>
    <w:rsid w:val="00DA7C70"/>
    <w:rsid w:val="00DB17A2"/>
    <w:rsid w:val="00DB1D74"/>
    <w:rsid w:val="00DB21A5"/>
    <w:rsid w:val="00DB25E4"/>
    <w:rsid w:val="00DB3596"/>
    <w:rsid w:val="00DB36C2"/>
    <w:rsid w:val="00DB428E"/>
    <w:rsid w:val="00DB45EC"/>
    <w:rsid w:val="00DB4917"/>
    <w:rsid w:val="00DB5F07"/>
    <w:rsid w:val="00DB609F"/>
    <w:rsid w:val="00DB615C"/>
    <w:rsid w:val="00DB6524"/>
    <w:rsid w:val="00DB6D0F"/>
    <w:rsid w:val="00DB7305"/>
    <w:rsid w:val="00DC000B"/>
    <w:rsid w:val="00DC0A1E"/>
    <w:rsid w:val="00DC14F0"/>
    <w:rsid w:val="00DC1945"/>
    <w:rsid w:val="00DC2A10"/>
    <w:rsid w:val="00DC36BF"/>
    <w:rsid w:val="00DC3773"/>
    <w:rsid w:val="00DC3B53"/>
    <w:rsid w:val="00DC3DE0"/>
    <w:rsid w:val="00DC3E13"/>
    <w:rsid w:val="00DC4D19"/>
    <w:rsid w:val="00DC547D"/>
    <w:rsid w:val="00DC58E2"/>
    <w:rsid w:val="00DC5D87"/>
    <w:rsid w:val="00DC5E0C"/>
    <w:rsid w:val="00DC68C9"/>
    <w:rsid w:val="00DC6BC1"/>
    <w:rsid w:val="00DD1B1B"/>
    <w:rsid w:val="00DD32DC"/>
    <w:rsid w:val="00DD36C2"/>
    <w:rsid w:val="00DD467E"/>
    <w:rsid w:val="00DD617D"/>
    <w:rsid w:val="00DD74A3"/>
    <w:rsid w:val="00DD750E"/>
    <w:rsid w:val="00DE04E0"/>
    <w:rsid w:val="00DE06E0"/>
    <w:rsid w:val="00DE0707"/>
    <w:rsid w:val="00DE2BF5"/>
    <w:rsid w:val="00DE39C4"/>
    <w:rsid w:val="00DE55FF"/>
    <w:rsid w:val="00DE5F6F"/>
    <w:rsid w:val="00DE678F"/>
    <w:rsid w:val="00DE6D0B"/>
    <w:rsid w:val="00DE79D3"/>
    <w:rsid w:val="00DE7F03"/>
    <w:rsid w:val="00DF1A2F"/>
    <w:rsid w:val="00DF2F4B"/>
    <w:rsid w:val="00DF2F6A"/>
    <w:rsid w:val="00DF3853"/>
    <w:rsid w:val="00DF71A3"/>
    <w:rsid w:val="00DF7948"/>
    <w:rsid w:val="00E00448"/>
    <w:rsid w:val="00E00B23"/>
    <w:rsid w:val="00E0117D"/>
    <w:rsid w:val="00E011EF"/>
    <w:rsid w:val="00E0140E"/>
    <w:rsid w:val="00E02C1A"/>
    <w:rsid w:val="00E0310F"/>
    <w:rsid w:val="00E03125"/>
    <w:rsid w:val="00E0316F"/>
    <w:rsid w:val="00E03C26"/>
    <w:rsid w:val="00E04901"/>
    <w:rsid w:val="00E049CD"/>
    <w:rsid w:val="00E04D95"/>
    <w:rsid w:val="00E05868"/>
    <w:rsid w:val="00E06191"/>
    <w:rsid w:val="00E061FA"/>
    <w:rsid w:val="00E06F26"/>
    <w:rsid w:val="00E0769B"/>
    <w:rsid w:val="00E10B5C"/>
    <w:rsid w:val="00E114C8"/>
    <w:rsid w:val="00E11760"/>
    <w:rsid w:val="00E119E8"/>
    <w:rsid w:val="00E1228A"/>
    <w:rsid w:val="00E1247A"/>
    <w:rsid w:val="00E12973"/>
    <w:rsid w:val="00E13DBC"/>
    <w:rsid w:val="00E141EC"/>
    <w:rsid w:val="00E14792"/>
    <w:rsid w:val="00E14DAE"/>
    <w:rsid w:val="00E15211"/>
    <w:rsid w:val="00E155FA"/>
    <w:rsid w:val="00E15A97"/>
    <w:rsid w:val="00E15AE0"/>
    <w:rsid w:val="00E16600"/>
    <w:rsid w:val="00E169CD"/>
    <w:rsid w:val="00E205A2"/>
    <w:rsid w:val="00E217A2"/>
    <w:rsid w:val="00E2243A"/>
    <w:rsid w:val="00E2280E"/>
    <w:rsid w:val="00E228DE"/>
    <w:rsid w:val="00E23208"/>
    <w:rsid w:val="00E23732"/>
    <w:rsid w:val="00E23AB6"/>
    <w:rsid w:val="00E24758"/>
    <w:rsid w:val="00E24BD6"/>
    <w:rsid w:val="00E25134"/>
    <w:rsid w:val="00E25359"/>
    <w:rsid w:val="00E26567"/>
    <w:rsid w:val="00E266EC"/>
    <w:rsid w:val="00E26ED5"/>
    <w:rsid w:val="00E27528"/>
    <w:rsid w:val="00E2763D"/>
    <w:rsid w:val="00E30D57"/>
    <w:rsid w:val="00E328A4"/>
    <w:rsid w:val="00E3374A"/>
    <w:rsid w:val="00E3411E"/>
    <w:rsid w:val="00E345DB"/>
    <w:rsid w:val="00E34C30"/>
    <w:rsid w:val="00E3545D"/>
    <w:rsid w:val="00E3574A"/>
    <w:rsid w:val="00E35A46"/>
    <w:rsid w:val="00E35F9F"/>
    <w:rsid w:val="00E36123"/>
    <w:rsid w:val="00E365CD"/>
    <w:rsid w:val="00E40533"/>
    <w:rsid w:val="00E405B8"/>
    <w:rsid w:val="00E410B7"/>
    <w:rsid w:val="00E430FC"/>
    <w:rsid w:val="00E435D8"/>
    <w:rsid w:val="00E43F12"/>
    <w:rsid w:val="00E441A5"/>
    <w:rsid w:val="00E4448D"/>
    <w:rsid w:val="00E45448"/>
    <w:rsid w:val="00E46818"/>
    <w:rsid w:val="00E46C8C"/>
    <w:rsid w:val="00E46F96"/>
    <w:rsid w:val="00E4746D"/>
    <w:rsid w:val="00E475AC"/>
    <w:rsid w:val="00E503A1"/>
    <w:rsid w:val="00E50D28"/>
    <w:rsid w:val="00E5163E"/>
    <w:rsid w:val="00E51807"/>
    <w:rsid w:val="00E53642"/>
    <w:rsid w:val="00E53896"/>
    <w:rsid w:val="00E55406"/>
    <w:rsid w:val="00E5597A"/>
    <w:rsid w:val="00E55ABB"/>
    <w:rsid w:val="00E56669"/>
    <w:rsid w:val="00E56842"/>
    <w:rsid w:val="00E5686D"/>
    <w:rsid w:val="00E6038C"/>
    <w:rsid w:val="00E603A5"/>
    <w:rsid w:val="00E60876"/>
    <w:rsid w:val="00E60BCA"/>
    <w:rsid w:val="00E625F7"/>
    <w:rsid w:val="00E62FEA"/>
    <w:rsid w:val="00E639D1"/>
    <w:rsid w:val="00E643AD"/>
    <w:rsid w:val="00E64602"/>
    <w:rsid w:val="00E64AB3"/>
    <w:rsid w:val="00E64AFD"/>
    <w:rsid w:val="00E65032"/>
    <w:rsid w:val="00E654D8"/>
    <w:rsid w:val="00E659E5"/>
    <w:rsid w:val="00E66565"/>
    <w:rsid w:val="00E67478"/>
    <w:rsid w:val="00E67B60"/>
    <w:rsid w:val="00E67D90"/>
    <w:rsid w:val="00E67F5F"/>
    <w:rsid w:val="00E7063A"/>
    <w:rsid w:val="00E70973"/>
    <w:rsid w:val="00E70A0C"/>
    <w:rsid w:val="00E72147"/>
    <w:rsid w:val="00E72750"/>
    <w:rsid w:val="00E72931"/>
    <w:rsid w:val="00E72F5C"/>
    <w:rsid w:val="00E73659"/>
    <w:rsid w:val="00E73B93"/>
    <w:rsid w:val="00E744EC"/>
    <w:rsid w:val="00E74BBB"/>
    <w:rsid w:val="00E74DC5"/>
    <w:rsid w:val="00E74F8D"/>
    <w:rsid w:val="00E75380"/>
    <w:rsid w:val="00E75489"/>
    <w:rsid w:val="00E763AE"/>
    <w:rsid w:val="00E7665D"/>
    <w:rsid w:val="00E766DF"/>
    <w:rsid w:val="00E7698F"/>
    <w:rsid w:val="00E77402"/>
    <w:rsid w:val="00E7758A"/>
    <w:rsid w:val="00E80517"/>
    <w:rsid w:val="00E8134A"/>
    <w:rsid w:val="00E8172C"/>
    <w:rsid w:val="00E81F35"/>
    <w:rsid w:val="00E82A56"/>
    <w:rsid w:val="00E82B1A"/>
    <w:rsid w:val="00E82D9C"/>
    <w:rsid w:val="00E82DD4"/>
    <w:rsid w:val="00E834D1"/>
    <w:rsid w:val="00E83D8A"/>
    <w:rsid w:val="00E84E00"/>
    <w:rsid w:val="00E87E54"/>
    <w:rsid w:val="00E90731"/>
    <w:rsid w:val="00E917B4"/>
    <w:rsid w:val="00E91D01"/>
    <w:rsid w:val="00E92F3D"/>
    <w:rsid w:val="00E9504E"/>
    <w:rsid w:val="00E953AE"/>
    <w:rsid w:val="00E95544"/>
    <w:rsid w:val="00E95A84"/>
    <w:rsid w:val="00E95EB2"/>
    <w:rsid w:val="00E96C3A"/>
    <w:rsid w:val="00E96CB5"/>
    <w:rsid w:val="00E96D2A"/>
    <w:rsid w:val="00E9789E"/>
    <w:rsid w:val="00E97BF4"/>
    <w:rsid w:val="00E97FA3"/>
    <w:rsid w:val="00EA002F"/>
    <w:rsid w:val="00EA0B74"/>
    <w:rsid w:val="00EA2A88"/>
    <w:rsid w:val="00EA3470"/>
    <w:rsid w:val="00EA3E93"/>
    <w:rsid w:val="00EA4276"/>
    <w:rsid w:val="00EA6619"/>
    <w:rsid w:val="00EA673B"/>
    <w:rsid w:val="00EA6979"/>
    <w:rsid w:val="00EA6996"/>
    <w:rsid w:val="00EA69B2"/>
    <w:rsid w:val="00EA78FF"/>
    <w:rsid w:val="00EB002B"/>
    <w:rsid w:val="00EB094A"/>
    <w:rsid w:val="00EB1209"/>
    <w:rsid w:val="00EB279B"/>
    <w:rsid w:val="00EB2CA5"/>
    <w:rsid w:val="00EB43FD"/>
    <w:rsid w:val="00EB44BE"/>
    <w:rsid w:val="00EB4682"/>
    <w:rsid w:val="00EB477D"/>
    <w:rsid w:val="00EB7282"/>
    <w:rsid w:val="00EB7FCF"/>
    <w:rsid w:val="00EC28E5"/>
    <w:rsid w:val="00EC2A85"/>
    <w:rsid w:val="00EC2DE0"/>
    <w:rsid w:val="00EC34B1"/>
    <w:rsid w:val="00EC3875"/>
    <w:rsid w:val="00EC5183"/>
    <w:rsid w:val="00EC5C27"/>
    <w:rsid w:val="00EC6350"/>
    <w:rsid w:val="00EC6B93"/>
    <w:rsid w:val="00EC741D"/>
    <w:rsid w:val="00ED07EE"/>
    <w:rsid w:val="00ED0B92"/>
    <w:rsid w:val="00ED3945"/>
    <w:rsid w:val="00ED3BA9"/>
    <w:rsid w:val="00ED5359"/>
    <w:rsid w:val="00ED58E7"/>
    <w:rsid w:val="00ED5A7B"/>
    <w:rsid w:val="00ED5D7D"/>
    <w:rsid w:val="00ED763B"/>
    <w:rsid w:val="00ED795C"/>
    <w:rsid w:val="00ED7EB8"/>
    <w:rsid w:val="00EE0868"/>
    <w:rsid w:val="00EE1372"/>
    <w:rsid w:val="00EE1BFF"/>
    <w:rsid w:val="00EE1F4E"/>
    <w:rsid w:val="00EE2168"/>
    <w:rsid w:val="00EE55FD"/>
    <w:rsid w:val="00EE5750"/>
    <w:rsid w:val="00EE585D"/>
    <w:rsid w:val="00EE5EA5"/>
    <w:rsid w:val="00EE6B17"/>
    <w:rsid w:val="00EE70D7"/>
    <w:rsid w:val="00EE7C63"/>
    <w:rsid w:val="00EF0B62"/>
    <w:rsid w:val="00EF102A"/>
    <w:rsid w:val="00EF1989"/>
    <w:rsid w:val="00EF1CB5"/>
    <w:rsid w:val="00EF3A40"/>
    <w:rsid w:val="00EF468B"/>
    <w:rsid w:val="00EF5429"/>
    <w:rsid w:val="00EF6309"/>
    <w:rsid w:val="00F004BD"/>
    <w:rsid w:val="00F0078E"/>
    <w:rsid w:val="00F01FD5"/>
    <w:rsid w:val="00F02857"/>
    <w:rsid w:val="00F03424"/>
    <w:rsid w:val="00F03A0C"/>
    <w:rsid w:val="00F04CDD"/>
    <w:rsid w:val="00F05425"/>
    <w:rsid w:val="00F0606D"/>
    <w:rsid w:val="00F061D0"/>
    <w:rsid w:val="00F06858"/>
    <w:rsid w:val="00F068D7"/>
    <w:rsid w:val="00F071A7"/>
    <w:rsid w:val="00F0778D"/>
    <w:rsid w:val="00F077D3"/>
    <w:rsid w:val="00F07E0C"/>
    <w:rsid w:val="00F1025E"/>
    <w:rsid w:val="00F10B1C"/>
    <w:rsid w:val="00F10CEC"/>
    <w:rsid w:val="00F11000"/>
    <w:rsid w:val="00F1273A"/>
    <w:rsid w:val="00F1328C"/>
    <w:rsid w:val="00F13429"/>
    <w:rsid w:val="00F13817"/>
    <w:rsid w:val="00F13939"/>
    <w:rsid w:val="00F13B21"/>
    <w:rsid w:val="00F14463"/>
    <w:rsid w:val="00F1485A"/>
    <w:rsid w:val="00F16427"/>
    <w:rsid w:val="00F1653E"/>
    <w:rsid w:val="00F1676D"/>
    <w:rsid w:val="00F16C75"/>
    <w:rsid w:val="00F17FE9"/>
    <w:rsid w:val="00F211B3"/>
    <w:rsid w:val="00F2128C"/>
    <w:rsid w:val="00F23291"/>
    <w:rsid w:val="00F2512D"/>
    <w:rsid w:val="00F25268"/>
    <w:rsid w:val="00F25284"/>
    <w:rsid w:val="00F26A45"/>
    <w:rsid w:val="00F26CA1"/>
    <w:rsid w:val="00F26E4D"/>
    <w:rsid w:val="00F27B06"/>
    <w:rsid w:val="00F308B0"/>
    <w:rsid w:val="00F31416"/>
    <w:rsid w:val="00F320D9"/>
    <w:rsid w:val="00F3245D"/>
    <w:rsid w:val="00F32523"/>
    <w:rsid w:val="00F3261F"/>
    <w:rsid w:val="00F32788"/>
    <w:rsid w:val="00F32DA2"/>
    <w:rsid w:val="00F33190"/>
    <w:rsid w:val="00F332A2"/>
    <w:rsid w:val="00F337B2"/>
    <w:rsid w:val="00F33ACC"/>
    <w:rsid w:val="00F33D36"/>
    <w:rsid w:val="00F34200"/>
    <w:rsid w:val="00F34FE5"/>
    <w:rsid w:val="00F368BD"/>
    <w:rsid w:val="00F36DE7"/>
    <w:rsid w:val="00F37051"/>
    <w:rsid w:val="00F4080E"/>
    <w:rsid w:val="00F413D7"/>
    <w:rsid w:val="00F422CA"/>
    <w:rsid w:val="00F425AA"/>
    <w:rsid w:val="00F42FDF"/>
    <w:rsid w:val="00F4513B"/>
    <w:rsid w:val="00F45799"/>
    <w:rsid w:val="00F46261"/>
    <w:rsid w:val="00F4635D"/>
    <w:rsid w:val="00F46B77"/>
    <w:rsid w:val="00F46C39"/>
    <w:rsid w:val="00F4755A"/>
    <w:rsid w:val="00F52109"/>
    <w:rsid w:val="00F527BE"/>
    <w:rsid w:val="00F53142"/>
    <w:rsid w:val="00F53745"/>
    <w:rsid w:val="00F547A2"/>
    <w:rsid w:val="00F54AA0"/>
    <w:rsid w:val="00F54EFE"/>
    <w:rsid w:val="00F555C6"/>
    <w:rsid w:val="00F55861"/>
    <w:rsid w:val="00F5635C"/>
    <w:rsid w:val="00F57C9C"/>
    <w:rsid w:val="00F6006F"/>
    <w:rsid w:val="00F606C0"/>
    <w:rsid w:val="00F60727"/>
    <w:rsid w:val="00F60CC6"/>
    <w:rsid w:val="00F622E8"/>
    <w:rsid w:val="00F624AC"/>
    <w:rsid w:val="00F63895"/>
    <w:rsid w:val="00F63F4E"/>
    <w:rsid w:val="00F647BC"/>
    <w:rsid w:val="00F64822"/>
    <w:rsid w:val="00F64BB6"/>
    <w:rsid w:val="00F65CB3"/>
    <w:rsid w:val="00F663C7"/>
    <w:rsid w:val="00F664AF"/>
    <w:rsid w:val="00F667BF"/>
    <w:rsid w:val="00F66B4C"/>
    <w:rsid w:val="00F6759D"/>
    <w:rsid w:val="00F6773E"/>
    <w:rsid w:val="00F707E3"/>
    <w:rsid w:val="00F70A77"/>
    <w:rsid w:val="00F7192D"/>
    <w:rsid w:val="00F71CD0"/>
    <w:rsid w:val="00F71FC5"/>
    <w:rsid w:val="00F72023"/>
    <w:rsid w:val="00F73049"/>
    <w:rsid w:val="00F7378F"/>
    <w:rsid w:val="00F73D86"/>
    <w:rsid w:val="00F74220"/>
    <w:rsid w:val="00F74B84"/>
    <w:rsid w:val="00F76044"/>
    <w:rsid w:val="00F765B7"/>
    <w:rsid w:val="00F76C1E"/>
    <w:rsid w:val="00F7720A"/>
    <w:rsid w:val="00F77609"/>
    <w:rsid w:val="00F77C7B"/>
    <w:rsid w:val="00F80AE5"/>
    <w:rsid w:val="00F80D88"/>
    <w:rsid w:val="00F8144E"/>
    <w:rsid w:val="00F846D6"/>
    <w:rsid w:val="00F84E50"/>
    <w:rsid w:val="00F86280"/>
    <w:rsid w:val="00F87D75"/>
    <w:rsid w:val="00F9065F"/>
    <w:rsid w:val="00F9142F"/>
    <w:rsid w:val="00F91C5F"/>
    <w:rsid w:val="00F91F5A"/>
    <w:rsid w:val="00F92F01"/>
    <w:rsid w:val="00F941C2"/>
    <w:rsid w:val="00F9589D"/>
    <w:rsid w:val="00F95B2C"/>
    <w:rsid w:val="00F95D4F"/>
    <w:rsid w:val="00F97101"/>
    <w:rsid w:val="00F971E5"/>
    <w:rsid w:val="00F9765F"/>
    <w:rsid w:val="00FA025E"/>
    <w:rsid w:val="00FA0AA2"/>
    <w:rsid w:val="00FA160D"/>
    <w:rsid w:val="00FA3F1A"/>
    <w:rsid w:val="00FA4586"/>
    <w:rsid w:val="00FA4E7C"/>
    <w:rsid w:val="00FA509B"/>
    <w:rsid w:val="00FA5612"/>
    <w:rsid w:val="00FB0F81"/>
    <w:rsid w:val="00FB15F3"/>
    <w:rsid w:val="00FB17F6"/>
    <w:rsid w:val="00FB3263"/>
    <w:rsid w:val="00FB4688"/>
    <w:rsid w:val="00FB4A83"/>
    <w:rsid w:val="00FB584B"/>
    <w:rsid w:val="00FB5CFE"/>
    <w:rsid w:val="00FB6701"/>
    <w:rsid w:val="00FB6ED3"/>
    <w:rsid w:val="00FB764A"/>
    <w:rsid w:val="00FB79D5"/>
    <w:rsid w:val="00FC0184"/>
    <w:rsid w:val="00FC059D"/>
    <w:rsid w:val="00FC071D"/>
    <w:rsid w:val="00FC07D5"/>
    <w:rsid w:val="00FC0D50"/>
    <w:rsid w:val="00FC1042"/>
    <w:rsid w:val="00FC3832"/>
    <w:rsid w:val="00FC3EB0"/>
    <w:rsid w:val="00FC4514"/>
    <w:rsid w:val="00FC4754"/>
    <w:rsid w:val="00FC4F3B"/>
    <w:rsid w:val="00FC51ED"/>
    <w:rsid w:val="00FC5872"/>
    <w:rsid w:val="00FC6099"/>
    <w:rsid w:val="00FC6BFA"/>
    <w:rsid w:val="00FC7F91"/>
    <w:rsid w:val="00FD1530"/>
    <w:rsid w:val="00FD170F"/>
    <w:rsid w:val="00FD1F2A"/>
    <w:rsid w:val="00FD39AD"/>
    <w:rsid w:val="00FD40EB"/>
    <w:rsid w:val="00FD4195"/>
    <w:rsid w:val="00FD5737"/>
    <w:rsid w:val="00FD5FBF"/>
    <w:rsid w:val="00FE0B9A"/>
    <w:rsid w:val="00FE16DE"/>
    <w:rsid w:val="00FE171B"/>
    <w:rsid w:val="00FE1AC0"/>
    <w:rsid w:val="00FE1BF3"/>
    <w:rsid w:val="00FE1CCE"/>
    <w:rsid w:val="00FE2060"/>
    <w:rsid w:val="00FE2956"/>
    <w:rsid w:val="00FE2C90"/>
    <w:rsid w:val="00FE41CB"/>
    <w:rsid w:val="00FE5329"/>
    <w:rsid w:val="00FE54D3"/>
    <w:rsid w:val="00FE574F"/>
    <w:rsid w:val="00FE610F"/>
    <w:rsid w:val="00FE66A5"/>
    <w:rsid w:val="00FF029E"/>
    <w:rsid w:val="00FF0918"/>
    <w:rsid w:val="00FF0A78"/>
    <w:rsid w:val="00FF155F"/>
    <w:rsid w:val="00FF160F"/>
    <w:rsid w:val="00FF2332"/>
    <w:rsid w:val="00FF2C55"/>
    <w:rsid w:val="00FF3D38"/>
    <w:rsid w:val="00FF3E75"/>
    <w:rsid w:val="00FF415A"/>
    <w:rsid w:val="00FF4229"/>
    <w:rsid w:val="00FF48F9"/>
    <w:rsid w:val="00FF6595"/>
    <w:rsid w:val="00FF6B85"/>
    <w:rsid w:val="00FF6CEF"/>
    <w:rsid w:val="00FF6EC9"/>
    <w:rsid w:val="00FF6F4D"/>
    <w:rsid w:val="00FF7B29"/>
    <w:rsid w:val="00FF7E8A"/>
    <w:rsid w:val="012CAB32"/>
    <w:rsid w:val="01DDA634"/>
    <w:rsid w:val="0224B6A0"/>
    <w:rsid w:val="02496183"/>
    <w:rsid w:val="02B953B5"/>
    <w:rsid w:val="04EC8D40"/>
    <w:rsid w:val="0542E65C"/>
    <w:rsid w:val="055828C6"/>
    <w:rsid w:val="063C0EE6"/>
    <w:rsid w:val="0678A167"/>
    <w:rsid w:val="06AAFF28"/>
    <w:rsid w:val="06D994F0"/>
    <w:rsid w:val="07701A26"/>
    <w:rsid w:val="07FE3EC3"/>
    <w:rsid w:val="0832FB41"/>
    <w:rsid w:val="083CC4BD"/>
    <w:rsid w:val="086E8013"/>
    <w:rsid w:val="088A2749"/>
    <w:rsid w:val="08C9CA87"/>
    <w:rsid w:val="0902C1DE"/>
    <w:rsid w:val="0955949C"/>
    <w:rsid w:val="0A7A41E0"/>
    <w:rsid w:val="0ABF29E8"/>
    <w:rsid w:val="0C20224B"/>
    <w:rsid w:val="0D80E091"/>
    <w:rsid w:val="0E1AA65E"/>
    <w:rsid w:val="0E28BC04"/>
    <w:rsid w:val="0E725036"/>
    <w:rsid w:val="0EAF2ED8"/>
    <w:rsid w:val="0F02B9DB"/>
    <w:rsid w:val="0F505BD3"/>
    <w:rsid w:val="0FB11C07"/>
    <w:rsid w:val="104B7FA4"/>
    <w:rsid w:val="10F68A48"/>
    <w:rsid w:val="1109CAAF"/>
    <w:rsid w:val="1198DD79"/>
    <w:rsid w:val="11CBCAC3"/>
    <w:rsid w:val="120E2577"/>
    <w:rsid w:val="12B7348D"/>
    <w:rsid w:val="1436FB49"/>
    <w:rsid w:val="1505FC04"/>
    <w:rsid w:val="156CD93D"/>
    <w:rsid w:val="15F4174C"/>
    <w:rsid w:val="17E92C7C"/>
    <w:rsid w:val="17F0B788"/>
    <w:rsid w:val="18694259"/>
    <w:rsid w:val="18AD7EB6"/>
    <w:rsid w:val="18C0D5DD"/>
    <w:rsid w:val="18DF2312"/>
    <w:rsid w:val="1AD1B3AC"/>
    <w:rsid w:val="1AEA3E9B"/>
    <w:rsid w:val="1BC5320A"/>
    <w:rsid w:val="1D5EB024"/>
    <w:rsid w:val="1D953D69"/>
    <w:rsid w:val="1DF956B8"/>
    <w:rsid w:val="1E02CE5A"/>
    <w:rsid w:val="1E176568"/>
    <w:rsid w:val="1EAE3196"/>
    <w:rsid w:val="1F4AE50C"/>
    <w:rsid w:val="20008480"/>
    <w:rsid w:val="20542C73"/>
    <w:rsid w:val="20B485CD"/>
    <w:rsid w:val="214E4890"/>
    <w:rsid w:val="22A318AF"/>
    <w:rsid w:val="2311BAA4"/>
    <w:rsid w:val="23F1FF74"/>
    <w:rsid w:val="243A3148"/>
    <w:rsid w:val="247801B4"/>
    <w:rsid w:val="24B9D740"/>
    <w:rsid w:val="25279C93"/>
    <w:rsid w:val="2647A847"/>
    <w:rsid w:val="279A7687"/>
    <w:rsid w:val="27C491E4"/>
    <w:rsid w:val="27E78A45"/>
    <w:rsid w:val="27ED811F"/>
    <w:rsid w:val="27FB81B0"/>
    <w:rsid w:val="28AA7A62"/>
    <w:rsid w:val="2A354A2D"/>
    <w:rsid w:val="2BBD3DBA"/>
    <w:rsid w:val="2CB39399"/>
    <w:rsid w:val="2CE191BC"/>
    <w:rsid w:val="2D141507"/>
    <w:rsid w:val="2D90B985"/>
    <w:rsid w:val="2DCE2DB0"/>
    <w:rsid w:val="2E0CB8EE"/>
    <w:rsid w:val="2E3A1A24"/>
    <w:rsid w:val="2E6F31D6"/>
    <w:rsid w:val="303C5B03"/>
    <w:rsid w:val="321D0DC0"/>
    <w:rsid w:val="32444894"/>
    <w:rsid w:val="326D8959"/>
    <w:rsid w:val="32E4B2AC"/>
    <w:rsid w:val="33148C6B"/>
    <w:rsid w:val="3325B344"/>
    <w:rsid w:val="336BD204"/>
    <w:rsid w:val="3395F357"/>
    <w:rsid w:val="33BA9CAD"/>
    <w:rsid w:val="33C7F314"/>
    <w:rsid w:val="33EE739F"/>
    <w:rsid w:val="347C5E26"/>
    <w:rsid w:val="348F1E9D"/>
    <w:rsid w:val="34AF4AC9"/>
    <w:rsid w:val="34B01473"/>
    <w:rsid w:val="3568F8C6"/>
    <w:rsid w:val="37410E58"/>
    <w:rsid w:val="39121F59"/>
    <w:rsid w:val="39320379"/>
    <w:rsid w:val="3A168832"/>
    <w:rsid w:val="3AE8093D"/>
    <w:rsid w:val="3B0745F2"/>
    <w:rsid w:val="3C32285B"/>
    <w:rsid w:val="3C868F9C"/>
    <w:rsid w:val="3CFC2DCB"/>
    <w:rsid w:val="3D5D136E"/>
    <w:rsid w:val="3E26FF12"/>
    <w:rsid w:val="3FDBCF97"/>
    <w:rsid w:val="409DF3A5"/>
    <w:rsid w:val="41294C46"/>
    <w:rsid w:val="41397E61"/>
    <w:rsid w:val="413E1C06"/>
    <w:rsid w:val="41AA5559"/>
    <w:rsid w:val="42CB5CC3"/>
    <w:rsid w:val="42CBC8E2"/>
    <w:rsid w:val="4390E578"/>
    <w:rsid w:val="43F2ADF2"/>
    <w:rsid w:val="4429CA59"/>
    <w:rsid w:val="4490A085"/>
    <w:rsid w:val="44A43AD3"/>
    <w:rsid w:val="4551327A"/>
    <w:rsid w:val="4568C91A"/>
    <w:rsid w:val="45FCF4E2"/>
    <w:rsid w:val="46D039DC"/>
    <w:rsid w:val="47309470"/>
    <w:rsid w:val="48D7BC6E"/>
    <w:rsid w:val="48F3672A"/>
    <w:rsid w:val="49007027"/>
    <w:rsid w:val="49C9B465"/>
    <w:rsid w:val="49E87B7B"/>
    <w:rsid w:val="4A28EB10"/>
    <w:rsid w:val="4A529CF5"/>
    <w:rsid w:val="4B7011B3"/>
    <w:rsid w:val="4C96FEB5"/>
    <w:rsid w:val="4CE7A891"/>
    <w:rsid w:val="4D18A3C1"/>
    <w:rsid w:val="4DDE68FC"/>
    <w:rsid w:val="4EB2173D"/>
    <w:rsid w:val="4F808075"/>
    <w:rsid w:val="4FA656D4"/>
    <w:rsid w:val="50296359"/>
    <w:rsid w:val="5150E70E"/>
    <w:rsid w:val="51712D50"/>
    <w:rsid w:val="5289B2FC"/>
    <w:rsid w:val="52C11882"/>
    <w:rsid w:val="53110439"/>
    <w:rsid w:val="53533615"/>
    <w:rsid w:val="542361D1"/>
    <w:rsid w:val="54EA9373"/>
    <w:rsid w:val="552F3999"/>
    <w:rsid w:val="5590AD9C"/>
    <w:rsid w:val="56856752"/>
    <w:rsid w:val="5742B017"/>
    <w:rsid w:val="58E483A4"/>
    <w:rsid w:val="5A7F6147"/>
    <w:rsid w:val="5B0F4D8C"/>
    <w:rsid w:val="5BA0F7BB"/>
    <w:rsid w:val="5BBC8738"/>
    <w:rsid w:val="5BE6FB7F"/>
    <w:rsid w:val="5BF92648"/>
    <w:rsid w:val="5D10E12E"/>
    <w:rsid w:val="5D7EBEFD"/>
    <w:rsid w:val="5E8DF32A"/>
    <w:rsid w:val="5E9F6A65"/>
    <w:rsid w:val="606D59B4"/>
    <w:rsid w:val="60A63AA4"/>
    <w:rsid w:val="60C2C69D"/>
    <w:rsid w:val="60F5993D"/>
    <w:rsid w:val="62B4C593"/>
    <w:rsid w:val="636040D1"/>
    <w:rsid w:val="641478B4"/>
    <w:rsid w:val="6422F9FC"/>
    <w:rsid w:val="657B7789"/>
    <w:rsid w:val="66601131"/>
    <w:rsid w:val="66AD78DC"/>
    <w:rsid w:val="66C7B393"/>
    <w:rsid w:val="676F95A5"/>
    <w:rsid w:val="6771050B"/>
    <w:rsid w:val="6827E84E"/>
    <w:rsid w:val="682B6BC3"/>
    <w:rsid w:val="6856DAA5"/>
    <w:rsid w:val="68A1254E"/>
    <w:rsid w:val="68D0D306"/>
    <w:rsid w:val="68FD6B8D"/>
    <w:rsid w:val="69C5729E"/>
    <w:rsid w:val="6AD4F825"/>
    <w:rsid w:val="6BB9D39D"/>
    <w:rsid w:val="6C324E76"/>
    <w:rsid w:val="6C36B715"/>
    <w:rsid w:val="6C45908C"/>
    <w:rsid w:val="6C882464"/>
    <w:rsid w:val="6CE96226"/>
    <w:rsid w:val="6D52CCF2"/>
    <w:rsid w:val="6E5015A9"/>
    <w:rsid w:val="6EC92DE5"/>
    <w:rsid w:val="6EDE7FD7"/>
    <w:rsid w:val="6FB63EE2"/>
    <w:rsid w:val="7111A4FE"/>
    <w:rsid w:val="7166618D"/>
    <w:rsid w:val="726315DE"/>
    <w:rsid w:val="72A15BEF"/>
    <w:rsid w:val="72A38421"/>
    <w:rsid w:val="7307C723"/>
    <w:rsid w:val="731D60A9"/>
    <w:rsid w:val="74F70074"/>
    <w:rsid w:val="75184808"/>
    <w:rsid w:val="75F93FFF"/>
    <w:rsid w:val="771F1497"/>
    <w:rsid w:val="780AA0E6"/>
    <w:rsid w:val="782B962B"/>
    <w:rsid w:val="78CB3425"/>
    <w:rsid w:val="78D15B43"/>
    <w:rsid w:val="7902D9FC"/>
    <w:rsid w:val="79480CD1"/>
    <w:rsid w:val="7992C31F"/>
    <w:rsid w:val="7A64981E"/>
    <w:rsid w:val="7A6609C9"/>
    <w:rsid w:val="7ABAF15E"/>
    <w:rsid w:val="7AC03A3F"/>
    <w:rsid w:val="7B983CE6"/>
    <w:rsid w:val="7CBB85EF"/>
    <w:rsid w:val="7ECDE449"/>
    <w:rsid w:val="7FAE41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B49E2"/>
  <w14:defaultImageDpi w14:val="0"/>
  <w15:docId w15:val="{8E4C8B86-A98C-40CC-B945-A50C51AC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3" w:qFormat="1"/>
    <w:lsdException w:name="annotation text" w:uiPriority="99"/>
    <w:lsdException w:name="header" w:uiPriority="99"/>
    <w:lsdException w:name="footer" w:uiPriority="99"/>
    <w:lsdException w:name="caption" w:semiHidden="1" w:unhideWhenUsed="1" w:qFormat="1"/>
    <w:lsdException w:name="footnote reference" w:uiPriority="3"/>
    <w:lsdException w:name="annotation reference" w:uiPriority="99"/>
    <w:lsdException w:name="page number" w:uiPriority="99"/>
    <w:lsdException w:name="List Bullet 2" w:uiPriority="2" w:qFormat="1"/>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49"/>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A549AF"/>
    <w:pPr>
      <w:keepNext/>
      <w:keepLines/>
      <w:spacing w:before="240" w:after="120"/>
      <w:outlineLvl w:val="1"/>
    </w:pPr>
    <w:rPr>
      <w:rFonts w:ascii="Arial Bold" w:hAnsi="Arial Bold" w:cs="Arial"/>
      <w:b/>
      <w:bCs/>
      <w:color w:val="000000"/>
      <w:sz w:val="26"/>
      <w:szCs w:val="22"/>
      <w:lang w:eastAsia="en-GB"/>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qFormat/>
    <w:rsid w:val="002B7335"/>
    <w:pPr>
      <w:spacing w:before="240" w:after="120"/>
      <w:outlineLvl w:val="4"/>
    </w:pPr>
    <w:rPr>
      <w:bCs/>
      <w:i/>
      <w:iCs/>
      <w:sz w:val="22"/>
      <w:szCs w:val="26"/>
    </w:rPr>
  </w:style>
  <w:style w:type="paragraph" w:styleId="Heading6">
    <w:name w:val="heading 6"/>
    <w:basedOn w:val="Normal"/>
    <w:next w:val="Normal"/>
    <w:link w:val="Heading6Char"/>
    <w:semiHidden/>
    <w:unhideWhenUsed/>
    <w:qFormat/>
    <w:rsid w:val="004D1DF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locked/>
    <w:rsid w:val="00A549AF"/>
    <w:rPr>
      <w:rFonts w:ascii="Arial Bold" w:hAnsi="Arial Bold" w:cs="Arial"/>
      <w:b/>
      <w:bCs/>
      <w:color w:val="000000"/>
      <w:sz w:val="26"/>
      <w:szCs w:val="22"/>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9"/>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lang w:eastAsia="en-GB"/>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3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uiPriority w:val="99"/>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3"/>
    <w:qFormat/>
    <w:rsid w:val="00490FF7"/>
    <w:rPr>
      <w:rFonts w:eastAsia="SimSun"/>
      <w:sz w:val="16"/>
      <w:szCs w:val="20"/>
      <w:lang w:eastAsia="zh-CN"/>
    </w:rPr>
  </w:style>
  <w:style w:type="character" w:customStyle="1" w:styleId="FootnoteTextChar">
    <w:name w:val="Footnote Text Char"/>
    <w:basedOn w:val="DefaultParagraphFont"/>
    <w:link w:val="FootnoteText"/>
    <w:uiPriority w:val="3"/>
    <w:locked/>
    <w:rPr>
      <w:rFonts w:ascii="Arial" w:hAnsi="Arial" w:cs="Times New Roman"/>
      <w:lang w:val="x-none" w:eastAsia="en-US"/>
    </w:rPr>
  </w:style>
  <w:style w:type="character" w:styleId="FootnoteReference">
    <w:name w:val="footnote reference"/>
    <w:basedOn w:val="DefaultParagraphFont"/>
    <w:uiPriority w:val="3"/>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link w:val="EBNumberCharChar"/>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uiPriority w:val="99"/>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uiPriority w:val="99"/>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UnresolvedMention">
    <w:name w:val="Unresolved Mention"/>
    <w:basedOn w:val="DefaultParagraphFont"/>
    <w:uiPriority w:val="99"/>
    <w:unhideWhenUsed/>
    <w:rsid w:val="00D64409"/>
    <w:rPr>
      <w:color w:val="605E5C"/>
      <w:shd w:val="clear" w:color="auto" w:fill="E1DFDD"/>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D64409"/>
    <w:pPr>
      <w:ind w:left="720"/>
      <w:contextualSpacing/>
    </w:pPr>
  </w:style>
  <w:style w:type="character" w:customStyle="1" w:styleId="EBNumberCharChar">
    <w:name w:val="EBNumber Char Char"/>
    <w:basedOn w:val="DefaultParagraphFont"/>
    <w:link w:val="EBNumber"/>
    <w:locked/>
    <w:rsid w:val="002652C0"/>
    <w:rPr>
      <w:rFonts w:ascii="Arial" w:hAnsi="Arial" w:cs="Arial"/>
      <w:bCs/>
      <w:color w:val="000000"/>
      <w:sz w:val="22"/>
      <w:szCs w:val="22"/>
    </w:rPr>
  </w:style>
  <w:style w:type="character" w:styleId="CommentReference">
    <w:name w:val="annotation reference"/>
    <w:basedOn w:val="DefaultParagraphFont"/>
    <w:uiPriority w:val="99"/>
    <w:rsid w:val="004D1DF0"/>
    <w:rPr>
      <w:sz w:val="16"/>
      <w:szCs w:val="16"/>
    </w:rPr>
  </w:style>
  <w:style w:type="paragraph" w:styleId="CommentText">
    <w:name w:val="annotation text"/>
    <w:basedOn w:val="Normal"/>
    <w:link w:val="CommentTextChar"/>
    <w:uiPriority w:val="99"/>
    <w:rsid w:val="004D1DF0"/>
    <w:rPr>
      <w:sz w:val="20"/>
      <w:szCs w:val="20"/>
    </w:rPr>
  </w:style>
  <w:style w:type="character" w:customStyle="1" w:styleId="CommentTextChar">
    <w:name w:val="Comment Text Char"/>
    <w:basedOn w:val="DefaultParagraphFont"/>
    <w:link w:val="CommentText"/>
    <w:uiPriority w:val="99"/>
    <w:rsid w:val="004D1DF0"/>
    <w:rPr>
      <w:rFonts w:ascii="Arial" w:hAnsi="Arial"/>
      <w:lang w:eastAsia="en-US"/>
    </w:rPr>
  </w:style>
  <w:style w:type="paragraph" w:styleId="CommentSubject">
    <w:name w:val="annotation subject"/>
    <w:basedOn w:val="CommentText"/>
    <w:next w:val="CommentText"/>
    <w:link w:val="CommentSubjectChar"/>
    <w:rsid w:val="004D1DF0"/>
    <w:rPr>
      <w:b/>
      <w:bCs/>
    </w:rPr>
  </w:style>
  <w:style w:type="character" w:customStyle="1" w:styleId="CommentSubjectChar">
    <w:name w:val="Comment Subject Char"/>
    <w:basedOn w:val="CommentTextChar"/>
    <w:link w:val="CommentSubject"/>
    <w:rsid w:val="004D1DF0"/>
    <w:rPr>
      <w:rFonts w:ascii="Arial" w:hAnsi="Arial"/>
      <w:b/>
      <w:bCs/>
      <w:lang w:eastAsia="en-US"/>
    </w:rPr>
  </w:style>
  <w:style w:type="character" w:customStyle="1" w:styleId="Heading6Char">
    <w:name w:val="Heading 6 Char"/>
    <w:basedOn w:val="DefaultParagraphFont"/>
    <w:link w:val="Heading6"/>
    <w:semiHidden/>
    <w:rsid w:val="004D1DF0"/>
    <w:rPr>
      <w:rFonts w:asciiTheme="majorHAnsi" w:eastAsiaTheme="majorEastAsia" w:hAnsiTheme="majorHAnsi" w:cstheme="majorBidi"/>
      <w:color w:val="243F60" w:themeColor="accent1" w:themeShade="7F"/>
      <w:sz w:val="24"/>
      <w:szCs w:val="24"/>
      <w:lang w:eastAsia="en-US"/>
    </w:rPr>
  </w:style>
  <w:style w:type="paragraph" w:customStyle="1" w:styleId="Bulletundernumberedtext">
    <w:name w:val="Bullet (under numbered text)"/>
    <w:uiPriority w:val="99"/>
    <w:rsid w:val="00224A56"/>
    <w:pPr>
      <w:tabs>
        <w:tab w:val="num" w:pos="717"/>
      </w:tabs>
      <w:spacing w:after="240"/>
      <w:ind w:left="714" w:hanging="357"/>
    </w:pPr>
    <w:rPr>
      <w:rFonts w:ascii="Arial" w:hAnsi="Arial"/>
      <w:sz w:val="22"/>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224A56"/>
    <w:rPr>
      <w:rFonts w:ascii="Arial" w:hAnsi="Arial"/>
      <w:sz w:val="24"/>
      <w:szCs w:val="24"/>
      <w:lang w:eastAsia="en-US"/>
    </w:rPr>
  </w:style>
  <w:style w:type="paragraph" w:customStyle="1" w:styleId="Numberedparagraphs">
    <w:name w:val="Numbered paragraphs"/>
    <w:basedOn w:val="EBNumber"/>
    <w:link w:val="NumberedparagraphsChar"/>
    <w:qFormat/>
    <w:rsid w:val="004477C8"/>
    <w:pPr>
      <w:numPr>
        <w:ilvl w:val="0"/>
        <w:numId w:val="12"/>
      </w:numPr>
    </w:pPr>
    <w:rPr>
      <w:sz w:val="24"/>
      <w:szCs w:val="24"/>
    </w:rPr>
  </w:style>
  <w:style w:type="character" w:customStyle="1" w:styleId="NumberedparagraphsChar">
    <w:name w:val="Numbered paragraphs Char"/>
    <w:basedOn w:val="EBNumberCharChar"/>
    <w:link w:val="Numberedparagraphs"/>
    <w:rsid w:val="004477C8"/>
    <w:rPr>
      <w:rFonts w:ascii="Arial" w:hAnsi="Arial" w:cs="Arial"/>
      <w:bCs/>
      <w:color w:val="000000"/>
      <w:sz w:val="24"/>
      <w:szCs w:val="24"/>
    </w:rPr>
  </w:style>
  <w:style w:type="paragraph" w:styleId="Caption">
    <w:name w:val="caption"/>
    <w:basedOn w:val="Normal"/>
    <w:next w:val="Normal"/>
    <w:unhideWhenUsed/>
    <w:qFormat/>
    <w:rsid w:val="00BB5449"/>
    <w:pPr>
      <w:spacing w:after="200"/>
    </w:pPr>
    <w:rPr>
      <w:iCs/>
      <w:color w:val="000000" w:themeColor="text1"/>
      <w:szCs w:val="18"/>
    </w:rPr>
  </w:style>
  <w:style w:type="paragraph" w:customStyle="1" w:styleId="FooterConfidentiality">
    <w:name w:val="FooterConfidentiality"/>
    <w:basedOn w:val="Normal"/>
    <w:rsid w:val="00F368BD"/>
    <w:pPr>
      <w:ind w:left="567"/>
      <w:jc w:val="center"/>
    </w:pPr>
    <w:rPr>
      <w:rFonts w:eastAsia="Times"/>
      <w:b/>
      <w:sz w:val="22"/>
      <w:szCs w:val="22"/>
    </w:rPr>
  </w:style>
  <w:style w:type="character" w:styleId="Mention">
    <w:name w:val="Mention"/>
    <w:basedOn w:val="DefaultParagraphFont"/>
    <w:uiPriority w:val="99"/>
    <w:unhideWhenUsed/>
    <w:rsid w:val="00065EAD"/>
    <w:rPr>
      <w:color w:val="2B579A"/>
      <w:shd w:val="clear" w:color="auto" w:fill="E1DFDD"/>
    </w:rPr>
  </w:style>
  <w:style w:type="paragraph" w:styleId="Revision">
    <w:name w:val="Revision"/>
    <w:hidden/>
    <w:uiPriority w:val="99"/>
    <w:semiHidden/>
    <w:rsid w:val="00065EAD"/>
    <w:rPr>
      <w:rFonts w:ascii="Arial" w:hAnsi="Arial"/>
      <w:sz w:val="24"/>
      <w:szCs w:val="24"/>
      <w:lang w:eastAsia="en-US"/>
    </w:rPr>
  </w:style>
  <w:style w:type="table" w:customStyle="1" w:styleId="TableGrid1">
    <w:name w:val="Table Grid1"/>
    <w:basedOn w:val="TableNormal"/>
    <w:next w:val="TableGrid"/>
    <w:uiPriority w:val="39"/>
    <w:rsid w:val="003933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0000" w:themeFill="text1"/>
      </w:tcPr>
    </w:tblStylePr>
    <w:tblStylePr w:type="firstCol">
      <w:rPr>
        <w:b/>
        <w:i w:val="0"/>
      </w:rPr>
    </w:tblStylePr>
  </w:style>
  <w:style w:type="paragraph" w:styleId="ListBullet2">
    <w:name w:val="List Bullet 2"/>
    <w:basedOn w:val="BodyText"/>
    <w:uiPriority w:val="2"/>
    <w:qFormat/>
    <w:rsid w:val="00B72D7E"/>
    <w:pPr>
      <w:numPr>
        <w:numId w:val="28"/>
      </w:numPr>
      <w:spacing w:after="240" w:line="276" w:lineRule="auto"/>
      <w:contextualSpacing/>
    </w:pPr>
    <w:rPr>
      <w:rFonts w:asciiTheme="minorHAnsi" w:eastAsiaTheme="minorHAnsi" w:hAnsiTheme="minorHAnsi" w:cstheme="minorBidi"/>
      <w:bCs w:val="0"/>
      <w:color w:val="auto"/>
      <w:sz w:val="24"/>
      <w:lang w:eastAsia="en-US"/>
    </w:rPr>
  </w:style>
  <w:style w:type="table" w:customStyle="1" w:styleId="TableGrid2">
    <w:name w:val="Table Grid2"/>
    <w:basedOn w:val="TableNormal"/>
    <w:next w:val="TableGrid"/>
    <w:uiPriority w:val="39"/>
    <w:rsid w:val="00105F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keepNext/>
        <w:keepLines/>
        <w:widowControl/>
        <w:wordWrap/>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0000"/>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2325">
      <w:bodyDiv w:val="1"/>
      <w:marLeft w:val="0"/>
      <w:marRight w:val="0"/>
      <w:marTop w:val="0"/>
      <w:marBottom w:val="0"/>
      <w:divBdr>
        <w:top w:val="none" w:sz="0" w:space="0" w:color="auto"/>
        <w:left w:val="none" w:sz="0" w:space="0" w:color="auto"/>
        <w:bottom w:val="none" w:sz="0" w:space="0" w:color="auto"/>
        <w:right w:val="none" w:sz="0" w:space="0" w:color="auto"/>
      </w:divBdr>
    </w:div>
    <w:div w:id="472257627">
      <w:bodyDiv w:val="1"/>
      <w:marLeft w:val="0"/>
      <w:marRight w:val="0"/>
      <w:marTop w:val="0"/>
      <w:marBottom w:val="0"/>
      <w:divBdr>
        <w:top w:val="none" w:sz="0" w:space="0" w:color="auto"/>
        <w:left w:val="none" w:sz="0" w:space="0" w:color="auto"/>
        <w:bottom w:val="none" w:sz="0" w:space="0" w:color="auto"/>
        <w:right w:val="none" w:sz="0" w:space="0" w:color="auto"/>
      </w:divBdr>
    </w:div>
    <w:div w:id="990407596">
      <w:bodyDiv w:val="1"/>
      <w:marLeft w:val="0"/>
      <w:marRight w:val="0"/>
      <w:marTop w:val="0"/>
      <w:marBottom w:val="0"/>
      <w:divBdr>
        <w:top w:val="none" w:sz="0" w:space="0" w:color="auto"/>
        <w:left w:val="none" w:sz="0" w:space="0" w:color="auto"/>
        <w:bottom w:val="none" w:sz="0" w:space="0" w:color="auto"/>
        <w:right w:val="none" w:sz="0" w:space="0" w:color="auto"/>
      </w:divBdr>
    </w:div>
    <w:div w:id="1273900301">
      <w:bodyDiv w:val="1"/>
      <w:marLeft w:val="0"/>
      <w:marRight w:val="0"/>
      <w:marTop w:val="0"/>
      <w:marBottom w:val="0"/>
      <w:divBdr>
        <w:top w:val="none" w:sz="0" w:space="0" w:color="auto"/>
        <w:left w:val="none" w:sz="0" w:space="0" w:color="auto"/>
        <w:bottom w:val="none" w:sz="0" w:space="0" w:color="auto"/>
        <w:right w:val="none" w:sz="0" w:space="0" w:color="auto"/>
      </w:divBdr>
    </w:div>
    <w:div w:id="1296061707">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al-data-sets/hmcts-weekly-management-information-during-coronavirus-march-2020-to-may-202" TargetMode="External"/><Relationship Id="rId2" Type="http://schemas.openxmlformats.org/officeDocument/2006/relationships/hyperlink" Target="https://publications.parliament.uk/pa/ld201719/ldselect/ldeconaf/246/246.pdf" TargetMode="External"/><Relationship Id="rId1" Type="http://schemas.openxmlformats.org/officeDocument/2006/relationships/hyperlink" Target="https://www.ons.gov.uk/economy/inflationandpriceindices/timeseries/d7g7/mm23" TargetMode="External"/><Relationship Id="rId4" Type="http://schemas.openxmlformats.org/officeDocument/2006/relationships/hyperlink" Target="https://assets.publishing.service.gov.uk/government/uploads/system/uploads/attachment_data/file/299804/role-of-court-fees-in-decisions-to-bring-cases-to-cou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EB80B9DE1464BB714C586CAC31491" ma:contentTypeVersion="12" ma:contentTypeDescription="Create a new document." ma:contentTypeScope="" ma:versionID="335614d746e514ecb52cf26f7f199b35">
  <xsd:schema xmlns:xsd="http://www.w3.org/2001/XMLSchema" xmlns:xs="http://www.w3.org/2001/XMLSchema" xmlns:p="http://schemas.microsoft.com/office/2006/metadata/properties" xmlns:ns2="d6fdccf4-51f0-431b-bb8e-5e85c8693159" xmlns:ns3="4167d4cd-58e9-460a-8360-82986f7d46b3" targetNamespace="http://schemas.microsoft.com/office/2006/metadata/properties" ma:root="true" ma:fieldsID="ff0a1b5dbb4a99c6484061602cddfab2" ns2:_="" ns3:_="">
    <xsd:import namespace="d6fdccf4-51f0-431b-bb8e-5e85c8693159"/>
    <xsd:import namespace="4167d4cd-58e9-460a-8360-82986f7d4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dccf4-51f0-431b-bb8e-5e85c8693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67d4cd-58e9-460a-8360-82986f7d4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6556-CAD5-4CC4-8ECD-87AA9FE2CB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84785-DEBC-4DCB-8936-399DEDC02A93}">
  <ds:schemaRefs>
    <ds:schemaRef ds:uri="http://schemas.microsoft.com/sharepoint/v3/contenttype/forms"/>
  </ds:schemaRefs>
</ds:datastoreItem>
</file>

<file path=customXml/itemProps3.xml><?xml version="1.0" encoding="utf-8"?>
<ds:datastoreItem xmlns:ds="http://schemas.openxmlformats.org/officeDocument/2006/customXml" ds:itemID="{C5D1C912-4507-4218-8465-C02C7F0B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dccf4-51f0-431b-bb8e-5e85c8693159"/>
    <ds:schemaRef ds:uri="4167d4cd-58e9-460a-8360-82986f7d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225E9-6605-4509-A740-3CBE2A7A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Impact Assessment template</vt:lpstr>
    </vt:vector>
  </TitlesOfParts>
  <Company>BIS</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template</dc:title>
  <dc:subject/>
  <dc:creator>Ricketts Simon (GO-Science)</dc:creator>
  <cp:keywords/>
  <dc:description/>
  <cp:lastModifiedBy>Johnston, Harry</cp:lastModifiedBy>
  <cp:revision>7</cp:revision>
  <cp:lastPrinted>2010-01-07T09:20:00Z</cp:lastPrinted>
  <dcterms:created xsi:type="dcterms:W3CDTF">2021-08-20T15:17:00Z</dcterms:created>
  <dcterms:modified xsi:type="dcterms:W3CDTF">2021-08-26T13:33:00Z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y fmtid="{D5CDD505-2E9C-101B-9397-08002B2CF9AE}" pid="4" name="MSIP_Label_ba62f585-b40f-4ab9-bafe-39150f03d124_Enabled">
    <vt:lpwstr>true</vt:lpwstr>
  </property>
  <property fmtid="{D5CDD505-2E9C-101B-9397-08002B2CF9AE}" pid="5" name="MSIP_Label_ba62f585-b40f-4ab9-bafe-39150f03d124_SetDate">
    <vt:lpwstr>2020-03-04T16:26:29Z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273723a1-3819-48e1-84df-000017ebce39</vt:lpwstr>
  </property>
  <property fmtid="{D5CDD505-2E9C-101B-9397-08002B2CF9AE}" pid="10" name="MSIP_Label_ba62f585-b40f-4ab9-bafe-39150f03d124_ContentBits">
    <vt:lpwstr>0</vt:lpwstr>
  </property>
  <property fmtid="{D5CDD505-2E9C-101B-9397-08002B2CF9AE}" pid="11" name="Business Unit">
    <vt:lpwstr>346;#Better Regulation Executive|9c4809b4-f43f-48c5-b33e-83ca9cbb5b79</vt:lpwstr>
  </property>
  <property fmtid="{D5CDD505-2E9C-101B-9397-08002B2CF9AE}" pid="12" name="ContentTypeId">
    <vt:lpwstr>0x01010044FEB80B9DE1464BB714C586CAC31491</vt:lpwstr>
  </property>
  <property fmtid="{D5CDD505-2E9C-101B-9397-08002B2CF9AE}" pid="13" name="_dlc_DocIdItemGuid">
    <vt:lpwstr>00c0b9f5-9558-4b89-ba6b-8d30ae16c9d3</vt:lpwstr>
  </property>
</Properties>
</file>