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30CA1" w14:textId="77777777" w:rsidR="000B0589" w:rsidRDefault="000B0589" w:rsidP="00BC2702">
      <w:pPr>
        <w:pStyle w:val="Conditions1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303DA62A" wp14:editId="1E46E7EC">
            <wp:extent cx="3419475" cy="359623"/>
            <wp:effectExtent l="0" t="0" r="0" b="2540"/>
            <wp:docPr id="4" name="Picture 1" descr="Planning Inspector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Planning Inspectorate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5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835F5" w14:textId="77777777" w:rsidR="000B0589" w:rsidRDefault="000B0589" w:rsidP="00A5760C"/>
    <w:p w14:paraId="18FADE0F" w14:textId="77777777" w:rsidR="000B0589" w:rsidRDefault="000B0589" w:rsidP="000B0589">
      <w:pPr>
        <w:spacing w:before="60" w:after="60"/>
      </w:pPr>
    </w:p>
    <w:tbl>
      <w:tblPr>
        <w:tblW w:w="9356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B0589" w:rsidRPr="005A0799" w14:paraId="1EAD33A6" w14:textId="77777777" w:rsidTr="006C1DD0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6B25A80F" w14:textId="3B1E58C6" w:rsidR="000B0589" w:rsidRPr="006C1DD0" w:rsidRDefault="006C1DD0" w:rsidP="002E2646">
            <w:pPr>
              <w:spacing w:before="120"/>
              <w:ind w:left="-108" w:right="34"/>
              <w:rPr>
                <w:b/>
                <w:color w:val="000000"/>
                <w:sz w:val="40"/>
                <w:szCs w:val="40"/>
              </w:rPr>
            </w:pPr>
            <w:bookmarkStart w:id="0" w:name="bmkTable00"/>
            <w:bookmarkEnd w:id="0"/>
            <w:r>
              <w:rPr>
                <w:b/>
                <w:color w:val="000000"/>
                <w:sz w:val="40"/>
                <w:szCs w:val="40"/>
              </w:rPr>
              <w:t>Application Decision</w:t>
            </w:r>
          </w:p>
        </w:tc>
      </w:tr>
      <w:tr w:rsidR="000B0589" w:rsidRPr="000C3F13" w14:paraId="0EF0A931" w14:textId="77777777" w:rsidTr="006C1DD0">
        <w:trPr>
          <w:cantSplit/>
          <w:trHeight w:val="23"/>
        </w:trPr>
        <w:tc>
          <w:tcPr>
            <w:tcW w:w="9356" w:type="dxa"/>
            <w:shd w:val="clear" w:color="auto" w:fill="auto"/>
            <w:vAlign w:val="center"/>
          </w:tcPr>
          <w:p w14:paraId="75A325DE" w14:textId="10AA1A3F" w:rsidR="000B0589" w:rsidRPr="006C1DD0" w:rsidRDefault="006C1DD0" w:rsidP="006C1DD0">
            <w:pPr>
              <w:spacing w:before="60"/>
              <w:ind w:left="-108" w:righ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Site visit made on </w:t>
            </w:r>
            <w:r w:rsidR="00015A0B">
              <w:rPr>
                <w:color w:val="000000"/>
                <w:szCs w:val="22"/>
              </w:rPr>
              <w:t>30</w:t>
            </w:r>
            <w:r>
              <w:rPr>
                <w:color w:val="000000"/>
                <w:szCs w:val="22"/>
              </w:rPr>
              <w:t xml:space="preserve"> </w:t>
            </w:r>
            <w:r w:rsidR="006C4D26">
              <w:rPr>
                <w:color w:val="000000"/>
                <w:szCs w:val="22"/>
              </w:rPr>
              <w:t>J</w:t>
            </w:r>
            <w:r w:rsidR="00015A0B">
              <w:rPr>
                <w:color w:val="000000"/>
                <w:szCs w:val="22"/>
              </w:rPr>
              <w:t>uly</w:t>
            </w:r>
            <w:r>
              <w:rPr>
                <w:color w:val="000000"/>
                <w:szCs w:val="22"/>
              </w:rPr>
              <w:t xml:space="preserve"> 2021</w:t>
            </w:r>
          </w:p>
        </w:tc>
      </w:tr>
      <w:tr w:rsidR="000B0589" w:rsidRPr="00361890" w14:paraId="6A451F41" w14:textId="77777777" w:rsidTr="006C1DD0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419773E0" w14:textId="63B702B4" w:rsidR="000B0589" w:rsidRPr="006C1DD0" w:rsidRDefault="006C1DD0" w:rsidP="006C1DD0">
            <w:pPr>
              <w:spacing w:before="180"/>
              <w:ind w:left="-108" w:right="34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by R J Perrins MA </w:t>
            </w:r>
          </w:p>
        </w:tc>
      </w:tr>
      <w:tr w:rsidR="000B0589" w:rsidRPr="00361890" w14:paraId="6AADEEB8" w14:textId="77777777" w:rsidTr="006C1DD0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78CCFA5E" w14:textId="77777777" w:rsidR="000B0589" w:rsidRPr="006C1DD0" w:rsidRDefault="006C1DD0" w:rsidP="002E2646">
            <w:pPr>
              <w:spacing w:before="120"/>
              <w:ind w:left="-108" w:right="3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an Inspector appointed by the Secretary of State for Environment, Food and Rural Affairs</w:t>
            </w:r>
          </w:p>
        </w:tc>
      </w:tr>
      <w:tr w:rsidR="000B0589" w:rsidRPr="00A101CD" w14:paraId="3771963F" w14:textId="77777777" w:rsidTr="006C1DD0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2DABEB60" w14:textId="203E00A7" w:rsidR="000B0589" w:rsidRPr="00A101CD" w:rsidRDefault="000B0589" w:rsidP="002E2646">
            <w:pPr>
              <w:spacing w:before="120"/>
              <w:ind w:left="-108" w:right="176"/>
              <w:rPr>
                <w:b/>
                <w:color w:val="000000"/>
                <w:sz w:val="16"/>
                <w:szCs w:val="16"/>
              </w:rPr>
            </w:pPr>
            <w:r w:rsidRPr="00A101CD">
              <w:rPr>
                <w:b/>
                <w:color w:val="000000"/>
                <w:sz w:val="16"/>
                <w:szCs w:val="16"/>
              </w:rPr>
              <w:t>Decision date:</w:t>
            </w:r>
            <w:r w:rsidR="002C21DC">
              <w:rPr>
                <w:b/>
                <w:color w:val="000000"/>
                <w:sz w:val="16"/>
                <w:szCs w:val="16"/>
              </w:rPr>
              <w:t xml:space="preserve"> 3 August 2021</w:t>
            </w:r>
          </w:p>
        </w:tc>
      </w:tr>
    </w:tbl>
    <w:p w14:paraId="4E5ADAAF" w14:textId="77777777" w:rsidR="006C1DD0" w:rsidRDefault="006C1DD0" w:rsidP="000B058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0"/>
      </w:tblGrid>
      <w:tr w:rsidR="006C1DD0" w14:paraId="232CB324" w14:textId="77777777" w:rsidTr="006C1DD0">
        <w:tc>
          <w:tcPr>
            <w:tcW w:w="9520" w:type="dxa"/>
            <w:shd w:val="clear" w:color="auto" w:fill="auto"/>
          </w:tcPr>
          <w:p w14:paraId="5328387A" w14:textId="5F8451F6" w:rsidR="006C1DD0" w:rsidRDefault="006C1DD0" w:rsidP="000B05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Appeal Ref: COM/</w:t>
            </w:r>
            <w:r w:rsidR="00E6104D">
              <w:rPr>
                <w:b/>
                <w:color w:val="000000"/>
              </w:rPr>
              <w:t>3259426</w:t>
            </w:r>
          </w:p>
          <w:p w14:paraId="050B724D" w14:textId="663C8A4A" w:rsidR="006C1DD0" w:rsidRPr="006C1DD0" w:rsidRDefault="00E6104D" w:rsidP="006C1DD0">
            <w:pPr>
              <w:spacing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Quantock</w:t>
            </w:r>
            <w:r w:rsidR="006C1DD0">
              <w:rPr>
                <w:b/>
                <w:color w:val="000000"/>
              </w:rPr>
              <w:t xml:space="preserve"> Common, </w:t>
            </w:r>
            <w:r w:rsidR="00BE1067">
              <w:rPr>
                <w:b/>
                <w:color w:val="000000"/>
              </w:rPr>
              <w:t>Holford</w:t>
            </w:r>
            <w:r w:rsidR="00ED1C74">
              <w:rPr>
                <w:b/>
                <w:color w:val="000000"/>
              </w:rPr>
              <w:t xml:space="preserve">, Bridgwater, Somerset </w:t>
            </w:r>
          </w:p>
        </w:tc>
      </w:tr>
      <w:tr w:rsidR="006C1DD0" w14:paraId="6653C6D7" w14:textId="77777777" w:rsidTr="006C1DD0">
        <w:tc>
          <w:tcPr>
            <w:tcW w:w="9520" w:type="dxa"/>
            <w:shd w:val="clear" w:color="auto" w:fill="auto"/>
          </w:tcPr>
          <w:p w14:paraId="6FD4A53F" w14:textId="7D9139A7" w:rsidR="006C1DD0" w:rsidRDefault="006C1DD0" w:rsidP="006C1DD0">
            <w:pPr>
              <w:pStyle w:val="TBullet"/>
            </w:pPr>
            <w:r>
              <w:t xml:space="preserve">The application, </w:t>
            </w:r>
            <w:r w:rsidR="006E43AB">
              <w:t xml:space="preserve">dated </w:t>
            </w:r>
            <w:r w:rsidR="00E704AB">
              <w:t>12 August</w:t>
            </w:r>
            <w:r w:rsidR="006E43AB">
              <w:t xml:space="preserve"> 2020</w:t>
            </w:r>
            <w:r>
              <w:t>, is made under Section 38 of the</w:t>
            </w:r>
          </w:p>
          <w:p w14:paraId="06A0EA93" w14:textId="3E38B962" w:rsidR="006C1DD0" w:rsidRDefault="006C1DD0" w:rsidP="00143236">
            <w:pPr>
              <w:pStyle w:val="TBullet"/>
              <w:numPr>
                <w:ilvl w:val="0"/>
                <w:numId w:val="0"/>
              </w:numPr>
              <w:ind w:left="360"/>
            </w:pPr>
            <w:r>
              <w:t>Commons Act 2006 (‘the 2006 Act’) for consent to carry out restricted works on common</w:t>
            </w:r>
            <w:r w:rsidR="00143236">
              <w:t xml:space="preserve"> </w:t>
            </w:r>
            <w:r>
              <w:t>land.</w:t>
            </w:r>
          </w:p>
        </w:tc>
      </w:tr>
      <w:tr w:rsidR="006C1DD0" w14:paraId="71DFED77" w14:textId="77777777" w:rsidTr="006C1DD0">
        <w:tc>
          <w:tcPr>
            <w:tcW w:w="9520" w:type="dxa"/>
            <w:shd w:val="clear" w:color="auto" w:fill="auto"/>
          </w:tcPr>
          <w:p w14:paraId="31785EF7" w14:textId="2AFD7569" w:rsidR="006C1DD0" w:rsidRDefault="006C1DD0" w:rsidP="006C1DD0">
            <w:pPr>
              <w:pStyle w:val="TBullet"/>
            </w:pPr>
            <w:r>
              <w:t>The app</w:t>
            </w:r>
            <w:r w:rsidR="00143236">
              <w:t>lication</w:t>
            </w:r>
            <w:r>
              <w:t xml:space="preserve"> is made by </w:t>
            </w:r>
            <w:r w:rsidR="00B71EEB">
              <w:t>the Quantock Commoners Association.</w:t>
            </w:r>
          </w:p>
        </w:tc>
      </w:tr>
      <w:tr w:rsidR="006C1DD0" w14:paraId="6FD532ED" w14:textId="77777777" w:rsidTr="006C1DD0">
        <w:tc>
          <w:tcPr>
            <w:tcW w:w="9520" w:type="dxa"/>
            <w:shd w:val="clear" w:color="auto" w:fill="auto"/>
          </w:tcPr>
          <w:p w14:paraId="322B6B4F" w14:textId="793E1C5E" w:rsidR="00143236" w:rsidRDefault="006C1DD0" w:rsidP="00143236">
            <w:pPr>
              <w:pStyle w:val="TBullet"/>
            </w:pPr>
            <w:r>
              <w:t xml:space="preserve">The </w:t>
            </w:r>
            <w:r w:rsidR="00143236">
              <w:t>works are described as:</w:t>
            </w:r>
            <w:r w:rsidR="00670D0A">
              <w:t xml:space="preserve"> To </w:t>
            </w:r>
            <w:r w:rsidR="0056552A">
              <w:t>e</w:t>
            </w:r>
            <w:r w:rsidR="0056552A" w:rsidRPr="0056552A">
              <w:t>xtend the period for an existing temporary stockproof wire fence of 264 metres</w:t>
            </w:r>
            <w:r w:rsidR="00502913">
              <w:t>,</w:t>
            </w:r>
            <w:r w:rsidR="0056552A" w:rsidRPr="0056552A">
              <w:t xml:space="preserve"> for a further 10 years the original permission was granted on the 21st of January </w:t>
            </w:r>
            <w:r w:rsidR="00CA1AB0" w:rsidRPr="0056552A">
              <w:t>2005.</w:t>
            </w:r>
            <w:r w:rsidR="00143236">
              <w:t xml:space="preserve"> </w:t>
            </w:r>
          </w:p>
          <w:p w14:paraId="0EBFD182" w14:textId="6A814182" w:rsidR="006C1DD0" w:rsidRDefault="006C1DD0" w:rsidP="00143236">
            <w:pPr>
              <w:pStyle w:val="TBullet"/>
              <w:numPr>
                <w:ilvl w:val="0"/>
                <w:numId w:val="0"/>
              </w:numPr>
              <w:ind w:left="360"/>
            </w:pPr>
          </w:p>
        </w:tc>
      </w:tr>
      <w:tr w:rsidR="006C1DD0" w14:paraId="008355F5" w14:textId="77777777" w:rsidTr="006C1DD0"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5CF36555" w14:textId="77777777" w:rsidR="006C1DD0" w:rsidRPr="006C1DD0" w:rsidRDefault="006C1DD0" w:rsidP="006C1DD0">
            <w:pPr>
              <w:rPr>
                <w:b/>
                <w:color w:val="000000"/>
                <w:sz w:val="4"/>
              </w:rPr>
            </w:pPr>
            <w:bookmarkStart w:id="1" w:name="bmkReturn"/>
            <w:bookmarkEnd w:id="1"/>
          </w:p>
        </w:tc>
      </w:tr>
    </w:tbl>
    <w:p w14:paraId="1B9DB698" w14:textId="3D0044C4" w:rsidR="000B0589" w:rsidRDefault="000B0589" w:rsidP="000B0589"/>
    <w:p w14:paraId="17851596" w14:textId="093832A2" w:rsidR="006C1DD0" w:rsidRDefault="006C1DD0" w:rsidP="006C1DD0">
      <w:pPr>
        <w:pStyle w:val="Heading6blackfont"/>
      </w:pPr>
      <w:r>
        <w:t>Decision</w:t>
      </w:r>
    </w:p>
    <w:p w14:paraId="67D31EE4" w14:textId="2E6F9C23" w:rsidR="0086217C" w:rsidRDefault="0086217C" w:rsidP="0086217C">
      <w:pPr>
        <w:pStyle w:val="Style1"/>
      </w:pPr>
      <w:r>
        <w:t xml:space="preserve">Consent is granted for the works in accordance with the application dated </w:t>
      </w:r>
      <w:r w:rsidR="00742177">
        <w:t>12</w:t>
      </w:r>
      <w:r w:rsidR="00FA24D8">
        <w:t xml:space="preserve"> August</w:t>
      </w:r>
      <w:r>
        <w:t xml:space="preserve"> 2020 and accompanying </w:t>
      </w:r>
      <w:r w:rsidR="00D52BB1">
        <w:t>drawing</w:t>
      </w:r>
      <w:r>
        <w:t>, subject to the following condition: -</w:t>
      </w:r>
    </w:p>
    <w:p w14:paraId="3C3C76F4" w14:textId="243F60C1" w:rsidR="0086217C" w:rsidRDefault="0086217C" w:rsidP="0086217C">
      <w:pPr>
        <w:pStyle w:val="Style1"/>
        <w:numPr>
          <w:ilvl w:val="0"/>
          <w:numId w:val="0"/>
        </w:numPr>
        <w:ind w:left="431"/>
      </w:pPr>
      <w:r>
        <w:tab/>
        <w:t xml:space="preserve">i. </w:t>
      </w:r>
      <w:r w:rsidR="0002301E" w:rsidRPr="0002301E">
        <w:t xml:space="preserve">all </w:t>
      </w:r>
      <w:r w:rsidR="00374AAA">
        <w:t>fencing and gates</w:t>
      </w:r>
      <w:r w:rsidR="0002301E" w:rsidRPr="0002301E">
        <w:t xml:space="preserve"> shall be removed, and the land restored to its former condition, within </w:t>
      </w:r>
      <w:r w:rsidR="00374AAA">
        <w:t>10</w:t>
      </w:r>
      <w:r w:rsidR="0002301E" w:rsidRPr="0002301E">
        <w:t xml:space="preserve"> years of </w:t>
      </w:r>
      <w:r w:rsidR="00C860D1">
        <w:t>the date of this</w:t>
      </w:r>
      <w:r w:rsidR="00374AAA">
        <w:t xml:space="preserve"> decision</w:t>
      </w:r>
      <w:r w:rsidR="0002301E" w:rsidRPr="0002301E">
        <w:t xml:space="preserve"> unless a further consent application is made and approved.</w:t>
      </w:r>
    </w:p>
    <w:p w14:paraId="76AC49C0" w14:textId="77777777" w:rsidR="0086217C" w:rsidRDefault="0086217C" w:rsidP="0086217C">
      <w:pPr>
        <w:pStyle w:val="Style1"/>
      </w:pPr>
      <w:r>
        <w:t>For the purposes of identification only, the location of the works is shown outlined on the attached drawing.</w:t>
      </w:r>
    </w:p>
    <w:p w14:paraId="23D642A8" w14:textId="40CB05F7" w:rsidR="00491600" w:rsidRDefault="00491600" w:rsidP="006C1DD0">
      <w:pPr>
        <w:pStyle w:val="Heading6blackfont"/>
      </w:pPr>
      <w:r>
        <w:t>Preliminary Matters</w:t>
      </w:r>
    </w:p>
    <w:p w14:paraId="12DB2EF7" w14:textId="115BB8BE" w:rsidR="0066463E" w:rsidRDefault="00491600" w:rsidP="00491600">
      <w:pPr>
        <w:pStyle w:val="Style1"/>
      </w:pPr>
      <w:r>
        <w:t xml:space="preserve">The application was initially made </w:t>
      </w:r>
      <w:r w:rsidR="0049610B">
        <w:t>on a set of superseded DEFRA forms</w:t>
      </w:r>
      <w:r w:rsidR="00EA1B9D">
        <w:t xml:space="preserve"> and</w:t>
      </w:r>
      <w:r w:rsidR="0066463E">
        <w:t xml:space="preserve"> the information therein was subsequently transferred to the correct application forms which were undated; I have therefore used the application date on the original forms.</w:t>
      </w:r>
    </w:p>
    <w:p w14:paraId="1B037C7B" w14:textId="7CCD2CA7" w:rsidR="00BE3E15" w:rsidRDefault="00BE3E15" w:rsidP="00491600">
      <w:pPr>
        <w:pStyle w:val="Style1"/>
      </w:pPr>
      <w:r>
        <w:t xml:space="preserve">The fencing was granted </w:t>
      </w:r>
      <w:r w:rsidR="00377A9D">
        <w:t>consent</w:t>
      </w:r>
      <w:r w:rsidR="00D051E8">
        <w:rPr>
          <w:rStyle w:val="FootnoteReference"/>
        </w:rPr>
        <w:footnoteReference w:id="1"/>
      </w:r>
      <w:r w:rsidR="00377A9D">
        <w:t xml:space="preserve"> for a period of ten years</w:t>
      </w:r>
      <w:r w:rsidR="000A6461">
        <w:t xml:space="preserve"> </w:t>
      </w:r>
      <w:r w:rsidR="00C66462">
        <w:t>on 21</w:t>
      </w:r>
      <w:r w:rsidR="000A6461">
        <w:t xml:space="preserve"> January 2005</w:t>
      </w:r>
      <w:r w:rsidR="00B13228">
        <w:t xml:space="preserve">. </w:t>
      </w:r>
      <w:r w:rsidR="00C66462">
        <w:t xml:space="preserve">The </w:t>
      </w:r>
      <w:r w:rsidR="00001E36">
        <w:t xml:space="preserve">2005 </w:t>
      </w:r>
      <w:r w:rsidR="00C66462">
        <w:t xml:space="preserve">decision </w:t>
      </w:r>
      <w:r w:rsidR="00001E36">
        <w:t xml:space="preserve">makes it clear that </w:t>
      </w:r>
      <w:r w:rsidR="00036D2A">
        <w:t>any proposal for continued fencing after the expiry of that consent would require a new application.</w:t>
      </w:r>
      <w:r w:rsidR="00001E36">
        <w:t xml:space="preserve"> </w:t>
      </w:r>
      <w:r w:rsidR="00866689">
        <w:t>I observed from my s</w:t>
      </w:r>
      <w:r w:rsidR="00806BB9">
        <w:t>i</w:t>
      </w:r>
      <w:r w:rsidR="00866689">
        <w:t>t</w:t>
      </w:r>
      <w:r w:rsidR="00806BB9">
        <w:t>e</w:t>
      </w:r>
      <w:r w:rsidR="00866689">
        <w:t xml:space="preserve"> visit that the fencing given consent at that time remains in situ and </w:t>
      </w:r>
      <w:r w:rsidR="005E300F">
        <w:t>is in good condition.</w:t>
      </w:r>
    </w:p>
    <w:p w14:paraId="0B37709C" w14:textId="048DBFC2" w:rsidR="00491600" w:rsidRDefault="00491600" w:rsidP="00491600">
      <w:pPr>
        <w:pStyle w:val="Style1"/>
      </w:pPr>
      <w:r>
        <w:t xml:space="preserve">Following advertisement of the </w:t>
      </w:r>
      <w:r w:rsidR="00E71C9C">
        <w:t>application</w:t>
      </w:r>
      <w:r>
        <w:t xml:space="preserve">, </w:t>
      </w:r>
      <w:r w:rsidR="00CF01C3">
        <w:t>1</w:t>
      </w:r>
      <w:r>
        <w:t xml:space="preserve"> objection</w:t>
      </w:r>
      <w:r w:rsidR="009E2267">
        <w:t xml:space="preserve"> </w:t>
      </w:r>
      <w:r w:rsidR="0005477A">
        <w:t>was</w:t>
      </w:r>
      <w:r>
        <w:t xml:space="preserve"> received from </w:t>
      </w:r>
      <w:r w:rsidR="009E2267">
        <w:t>the Open Spaces Society</w:t>
      </w:r>
      <w:r w:rsidR="00522C38">
        <w:t xml:space="preserve"> (OSS)</w:t>
      </w:r>
      <w:r w:rsidR="009E2267">
        <w:t>.</w:t>
      </w:r>
      <w:r>
        <w:t xml:space="preserve"> </w:t>
      </w:r>
    </w:p>
    <w:p w14:paraId="2A0574F8" w14:textId="7E8685F5" w:rsidR="00491600" w:rsidRDefault="00491600" w:rsidP="00AD2867">
      <w:pPr>
        <w:pStyle w:val="Style1"/>
      </w:pPr>
      <w:r>
        <w:t xml:space="preserve">I carried out an accompanied site visit </w:t>
      </w:r>
      <w:r w:rsidR="009E2267">
        <w:t xml:space="preserve">with </w:t>
      </w:r>
      <w:r w:rsidR="004971F9">
        <w:t xml:space="preserve">members of the </w:t>
      </w:r>
      <w:r w:rsidR="004971F9" w:rsidRPr="004971F9">
        <w:t xml:space="preserve">Quantock Commoners Association </w:t>
      </w:r>
      <w:r>
        <w:t xml:space="preserve">on </w:t>
      </w:r>
      <w:r w:rsidR="004971F9">
        <w:t>30 July</w:t>
      </w:r>
      <w:r w:rsidR="0005477A">
        <w:t xml:space="preserve"> 2021</w:t>
      </w:r>
      <w:r>
        <w:t>. The weather</w:t>
      </w:r>
      <w:r w:rsidR="0005477A">
        <w:t xml:space="preserve"> </w:t>
      </w:r>
      <w:r>
        <w:t xml:space="preserve">on the day was </w:t>
      </w:r>
      <w:r w:rsidR="004971F9">
        <w:t>bright and</w:t>
      </w:r>
      <w:r w:rsidR="00BE64F8">
        <w:t xml:space="preserve"> dry</w:t>
      </w:r>
      <w:r>
        <w:t xml:space="preserve">. I walked extensively around the area of </w:t>
      </w:r>
      <w:r w:rsidR="00E10D24">
        <w:t>Quantock</w:t>
      </w:r>
      <w:r w:rsidR="004971F9">
        <w:t xml:space="preserve"> Common and</w:t>
      </w:r>
      <w:r w:rsidR="00E10D24">
        <w:t xml:space="preserve"> </w:t>
      </w:r>
      <w:r w:rsidR="00E10D24">
        <w:lastRenderedPageBreak/>
        <w:t>Holford</w:t>
      </w:r>
      <w:r w:rsidR="0005477A">
        <w:t xml:space="preserve"> </w:t>
      </w:r>
      <w:r>
        <w:t>to familiarise myself</w:t>
      </w:r>
      <w:r w:rsidR="0005477A">
        <w:t xml:space="preserve"> </w:t>
      </w:r>
      <w:r>
        <w:t>with the general area and the location</w:t>
      </w:r>
      <w:r w:rsidR="0005477A">
        <w:t xml:space="preserve">, including </w:t>
      </w:r>
      <w:r w:rsidR="00E10D24">
        <w:t xml:space="preserve">access to </w:t>
      </w:r>
      <w:r w:rsidR="00CF5D2E">
        <w:t>the main A39.</w:t>
      </w:r>
    </w:p>
    <w:p w14:paraId="2AF63248" w14:textId="50206F12" w:rsidR="00491600" w:rsidRPr="00491600" w:rsidRDefault="00491600" w:rsidP="00BF1C0D">
      <w:pPr>
        <w:pStyle w:val="Style1"/>
      </w:pPr>
      <w:r>
        <w:t>This application has been determined on the basis of the written evidence, the</w:t>
      </w:r>
      <w:r w:rsidR="00473787">
        <w:t xml:space="preserve"> </w:t>
      </w:r>
      <w:r>
        <w:t>comments submitted and my own observation of the site</w:t>
      </w:r>
      <w:r w:rsidR="003E75BE">
        <w:t xml:space="preserve"> and surrounds.</w:t>
      </w:r>
    </w:p>
    <w:p w14:paraId="1626A96B" w14:textId="22708804" w:rsidR="006C1DD0" w:rsidRDefault="006C1DD0" w:rsidP="006C1DD0">
      <w:pPr>
        <w:pStyle w:val="Heading6blackfont"/>
      </w:pPr>
      <w:r>
        <w:t>Main Issues</w:t>
      </w:r>
    </w:p>
    <w:p w14:paraId="2EF5A4F6" w14:textId="5B24D55F" w:rsidR="000A7AB3" w:rsidRDefault="000A7AB3" w:rsidP="00635F99">
      <w:pPr>
        <w:pStyle w:val="Style1"/>
      </w:pPr>
      <w:r>
        <w:t>I am required by section 39 of the 2006 Act to have regard to the following in determining this application:-</w:t>
      </w:r>
    </w:p>
    <w:p w14:paraId="6F436453" w14:textId="07980749" w:rsidR="000A7AB3" w:rsidRDefault="000A7AB3" w:rsidP="000A7AB3">
      <w:pPr>
        <w:pStyle w:val="Style1"/>
        <w:numPr>
          <w:ilvl w:val="0"/>
          <w:numId w:val="0"/>
        </w:numPr>
        <w:ind w:left="431"/>
      </w:pPr>
      <w:r>
        <w:t>a. the interests of persons having rights in relation to, or occupying, the land (and in particular persons exercising rights of common over it);</w:t>
      </w:r>
    </w:p>
    <w:p w14:paraId="076CB393" w14:textId="77777777" w:rsidR="000A7AB3" w:rsidRDefault="000A7AB3" w:rsidP="000A7AB3">
      <w:pPr>
        <w:pStyle w:val="Style1"/>
        <w:numPr>
          <w:ilvl w:val="0"/>
          <w:numId w:val="0"/>
        </w:numPr>
        <w:ind w:left="431"/>
      </w:pPr>
      <w:r>
        <w:t>b. the interests of the neighbourhood;</w:t>
      </w:r>
    </w:p>
    <w:p w14:paraId="7031C5C6" w14:textId="316AD9F6" w:rsidR="000A7AB3" w:rsidRDefault="000A7AB3" w:rsidP="00EA2B93">
      <w:pPr>
        <w:pStyle w:val="Style1"/>
        <w:numPr>
          <w:ilvl w:val="0"/>
          <w:numId w:val="0"/>
        </w:numPr>
        <w:ind w:left="431"/>
      </w:pPr>
      <w:r>
        <w:t>c. the public interest</w:t>
      </w:r>
      <w:r w:rsidR="00544ABB">
        <w:rPr>
          <w:rStyle w:val="FootnoteReference"/>
        </w:rPr>
        <w:footnoteReference w:id="2"/>
      </w:r>
      <w:r>
        <w:t>; and</w:t>
      </w:r>
    </w:p>
    <w:p w14:paraId="407D1FAF" w14:textId="77777777" w:rsidR="000A7AB3" w:rsidRDefault="000A7AB3" w:rsidP="00EA2B93">
      <w:pPr>
        <w:pStyle w:val="Style1"/>
        <w:numPr>
          <w:ilvl w:val="0"/>
          <w:numId w:val="0"/>
        </w:numPr>
        <w:ind w:left="431"/>
      </w:pPr>
      <w:r>
        <w:t>d. any other matter considered to be relevant.</w:t>
      </w:r>
    </w:p>
    <w:p w14:paraId="37CDB15C" w14:textId="52BFE06E" w:rsidR="000A7AB3" w:rsidRDefault="000A7AB3" w:rsidP="00AE4234">
      <w:pPr>
        <w:pStyle w:val="Style1"/>
      </w:pPr>
      <w:r>
        <w:t>Section 39(3) provides that consent may be given under Section 38(1) in</w:t>
      </w:r>
      <w:r w:rsidR="00EA2B93">
        <w:t xml:space="preserve"> </w:t>
      </w:r>
      <w:r>
        <w:t>relation to all or part of the proposed works, and subject to such modifications</w:t>
      </w:r>
      <w:r w:rsidR="00EA2B93">
        <w:t xml:space="preserve"> </w:t>
      </w:r>
      <w:r>
        <w:t>and conditions relating to the proposed works as are thought to be fit.</w:t>
      </w:r>
    </w:p>
    <w:p w14:paraId="521EC710" w14:textId="00A5FC5A" w:rsidR="000A7AB3" w:rsidRPr="000A7AB3" w:rsidRDefault="000A7AB3" w:rsidP="00CA78D3">
      <w:pPr>
        <w:pStyle w:val="Style1"/>
      </w:pPr>
      <w:r>
        <w:t>In determining this application, I have had regard to the latest edition of</w:t>
      </w:r>
      <w:r w:rsidR="00EA2B93">
        <w:t xml:space="preserve"> </w:t>
      </w:r>
      <w:r>
        <w:t>Defra’s Common Land Consents Policy</w:t>
      </w:r>
      <w:r w:rsidR="002677F7">
        <w:rPr>
          <w:rStyle w:val="FootnoteReference"/>
        </w:rPr>
        <w:footnoteReference w:id="3"/>
      </w:r>
      <w:r w:rsidR="003F74B1">
        <w:t xml:space="preserve"> </w:t>
      </w:r>
      <w:r>
        <w:t>(‘the 2015 Policy’) which has been</w:t>
      </w:r>
      <w:r w:rsidR="003F74B1">
        <w:t xml:space="preserve"> </w:t>
      </w:r>
      <w:r>
        <w:t>published for the guidance of both the Planning Inspectorate and applicants.</w:t>
      </w:r>
      <w:r w:rsidR="003F74B1">
        <w:t xml:space="preserve"> </w:t>
      </w:r>
      <w:r>
        <w:t>However, every application will be considered on its merits and a determination</w:t>
      </w:r>
      <w:r w:rsidR="003F74B1">
        <w:t xml:space="preserve"> </w:t>
      </w:r>
      <w:r>
        <w:t>will depart from the policy if it appears appropriate to do so. In such cases, the</w:t>
      </w:r>
      <w:r w:rsidR="004A054B">
        <w:t xml:space="preserve"> </w:t>
      </w:r>
      <w:r>
        <w:t>decision will explain why it has departed from the policy.</w:t>
      </w:r>
    </w:p>
    <w:p w14:paraId="0C72B88B" w14:textId="1395940A" w:rsidR="00355FCC" w:rsidRDefault="006C1DD0" w:rsidP="006C1DD0">
      <w:pPr>
        <w:pStyle w:val="Heading6blackfont"/>
      </w:pPr>
      <w:r>
        <w:t>Reasons</w:t>
      </w:r>
    </w:p>
    <w:p w14:paraId="6C5D06EB" w14:textId="6335FC70" w:rsidR="00AA32A5" w:rsidRPr="00AA32A5" w:rsidRDefault="00AA32A5" w:rsidP="00AA32A5">
      <w:pPr>
        <w:pStyle w:val="Style1"/>
        <w:numPr>
          <w:ilvl w:val="0"/>
          <w:numId w:val="0"/>
        </w:numPr>
        <w:ind w:left="431" w:hanging="431"/>
        <w:rPr>
          <w:b/>
          <w:bCs/>
          <w:i/>
          <w:iCs/>
        </w:rPr>
      </w:pPr>
      <w:r w:rsidRPr="00AA32A5">
        <w:rPr>
          <w:b/>
          <w:bCs/>
          <w:i/>
          <w:iCs/>
        </w:rPr>
        <w:t>The interests of those occupying or having rights over the land</w:t>
      </w:r>
    </w:p>
    <w:p w14:paraId="3921EC20" w14:textId="005293CE" w:rsidR="0065038F" w:rsidRDefault="00134C87" w:rsidP="00EC27B5">
      <w:pPr>
        <w:pStyle w:val="Style1"/>
      </w:pPr>
      <w:r>
        <w:t xml:space="preserve">Nothing has been provided to show that anyone occupying or having rights over the land in question would be adversely affected by the </w:t>
      </w:r>
      <w:r w:rsidR="00CA1AB0">
        <w:t xml:space="preserve">stockproof </w:t>
      </w:r>
      <w:r w:rsidR="000C1DC9">
        <w:t>fencing</w:t>
      </w:r>
      <w:r w:rsidR="0065038F">
        <w:t>.</w:t>
      </w:r>
    </w:p>
    <w:p w14:paraId="37D2D715" w14:textId="2489458D" w:rsidR="00AA32A5" w:rsidRPr="00851B7E" w:rsidRDefault="00851B7E" w:rsidP="00851B7E">
      <w:pPr>
        <w:pStyle w:val="Style1"/>
        <w:numPr>
          <w:ilvl w:val="0"/>
          <w:numId w:val="0"/>
        </w:numPr>
        <w:rPr>
          <w:b/>
          <w:bCs/>
          <w:i/>
          <w:iCs/>
        </w:rPr>
      </w:pPr>
      <w:r w:rsidRPr="00851B7E">
        <w:rPr>
          <w:b/>
          <w:bCs/>
          <w:i/>
          <w:iCs/>
        </w:rPr>
        <w:t>The interests of the neighbourhood and public rights of access</w:t>
      </w:r>
    </w:p>
    <w:p w14:paraId="322EE0BC" w14:textId="2679C4B6" w:rsidR="0001603A" w:rsidRDefault="0001603A" w:rsidP="00720D1C">
      <w:pPr>
        <w:pStyle w:val="Style1"/>
      </w:pPr>
      <w:r>
        <w:t>The interests of the neighbourhood test relates to whether the works w</w:t>
      </w:r>
      <w:r w:rsidR="006C4D26">
        <w:t>ould</w:t>
      </w:r>
      <w:r>
        <w:t xml:space="preserve"> unacceptably interfere with the way the common is used by local people and is closely linked with public rights of access.</w:t>
      </w:r>
    </w:p>
    <w:p w14:paraId="5481A174" w14:textId="0CE72CCC" w:rsidR="003A03DB" w:rsidRDefault="0001603A" w:rsidP="00345A7C">
      <w:pPr>
        <w:pStyle w:val="Style1"/>
      </w:pPr>
      <w:r>
        <w:t xml:space="preserve">The area of the common concerned is traditionally used for </w:t>
      </w:r>
      <w:r w:rsidR="009A7D9E">
        <w:t>walking, horse riding and other informal recreation</w:t>
      </w:r>
      <w:r w:rsidR="005B38E4">
        <w:t xml:space="preserve">.  The </w:t>
      </w:r>
      <w:r w:rsidR="00E7302F">
        <w:t xml:space="preserve">bowling club </w:t>
      </w:r>
      <w:r w:rsidR="005B38E4">
        <w:t xml:space="preserve">car park </w:t>
      </w:r>
      <w:r w:rsidR="00E7302F">
        <w:t>is open to the public and I saw that it was well used</w:t>
      </w:r>
      <w:r w:rsidR="00137DEC">
        <w:t xml:space="preserve">.  </w:t>
      </w:r>
      <w:r w:rsidR="003216EA">
        <w:t xml:space="preserve">It is clear that the </w:t>
      </w:r>
      <w:r w:rsidR="003A03DB">
        <w:t>c</w:t>
      </w:r>
      <w:r w:rsidR="003216EA">
        <w:t xml:space="preserve">ommon is a valuable recreation asset to many. </w:t>
      </w:r>
      <w:r w:rsidR="00494A94">
        <w:t xml:space="preserve">The common can be accessed at various vantage points </w:t>
      </w:r>
      <w:r w:rsidR="00914C25">
        <w:t>in the local surrounds</w:t>
      </w:r>
      <w:r w:rsidR="003A03DB">
        <w:t>.</w:t>
      </w:r>
    </w:p>
    <w:p w14:paraId="329DD703" w14:textId="279DC945" w:rsidR="00DF4B34" w:rsidRDefault="00B970B1" w:rsidP="00456E63">
      <w:pPr>
        <w:pStyle w:val="Style1"/>
      </w:pPr>
      <w:r>
        <w:t xml:space="preserve">Against that background </w:t>
      </w:r>
      <w:r w:rsidR="007C1FBF">
        <w:t xml:space="preserve">I </w:t>
      </w:r>
      <w:r w:rsidR="00823751">
        <w:t xml:space="preserve">accept </w:t>
      </w:r>
      <w:r w:rsidR="003A03DB">
        <w:t xml:space="preserve">that the fencing </w:t>
      </w:r>
      <w:r w:rsidR="00FF463C">
        <w:t xml:space="preserve">has subdivided the common and prevents free access.  However, it is clear the main footpaths are well used and </w:t>
      </w:r>
      <w:r w:rsidR="0028314F">
        <w:t xml:space="preserve">access points where the fence line crosses those paths are well maintained </w:t>
      </w:r>
      <w:r w:rsidR="0028314F">
        <w:lastRenderedPageBreak/>
        <w:t xml:space="preserve">and easy to use.  </w:t>
      </w:r>
      <w:r w:rsidR="00DB69C5">
        <w:t>Furthermore,</w:t>
      </w:r>
      <w:r w:rsidR="0028314F">
        <w:t xml:space="preserve"> much of the fence is on areas of the common where access would b</w:t>
      </w:r>
      <w:r w:rsidR="00DB69C5">
        <w:t>e</w:t>
      </w:r>
      <w:r w:rsidR="0028314F">
        <w:t xml:space="preserve"> restricted in any event due to the terrain and </w:t>
      </w:r>
      <w:r w:rsidR="00DF4B34">
        <w:t>topography;</w:t>
      </w:r>
      <w:r w:rsidR="00DB69C5">
        <w:t xml:space="preserve"> rocky outcrops and steep slopes.  In that light any subdivision has had minimal effect </w:t>
      </w:r>
      <w:r w:rsidR="001A2869">
        <w:t xml:space="preserve">on how the common is used by </w:t>
      </w:r>
      <w:r w:rsidR="00097CF5">
        <w:t xml:space="preserve">local people.  </w:t>
      </w:r>
      <w:r w:rsidR="002F0CB1">
        <w:t>That is reflected by the lack of objection to this application</w:t>
      </w:r>
      <w:r w:rsidR="00BF07AA">
        <w:t xml:space="preserve"> from local residents.</w:t>
      </w:r>
    </w:p>
    <w:p w14:paraId="04CE71BA" w14:textId="428209AD" w:rsidR="00982597" w:rsidRDefault="00DF4B34" w:rsidP="00456E63">
      <w:pPr>
        <w:pStyle w:val="Style1"/>
      </w:pPr>
      <w:r>
        <w:t>Thus, f</w:t>
      </w:r>
      <w:r w:rsidR="00097CF5">
        <w:t>rom all that I have seen</w:t>
      </w:r>
      <w:r w:rsidR="00AF6B04">
        <w:t>,</w:t>
      </w:r>
      <w:r w:rsidR="00097CF5">
        <w:t xml:space="preserve"> and from the evidence before me</w:t>
      </w:r>
      <w:r w:rsidR="00AF6B04">
        <w:t>,</w:t>
      </w:r>
      <w:r w:rsidR="0085229A">
        <w:t xml:space="preserve"> I find that</w:t>
      </w:r>
      <w:r w:rsidR="00097CF5">
        <w:t xml:space="preserve"> the fencing has not had </w:t>
      </w:r>
      <w:r w:rsidR="00DC1387">
        <w:t>an unacceptable or lasting impact on local and public access rights over the common.</w:t>
      </w:r>
      <w:r w:rsidR="00982597" w:rsidRPr="00982597">
        <w:t xml:space="preserve"> </w:t>
      </w:r>
    </w:p>
    <w:p w14:paraId="1D8FB0A3" w14:textId="64539E46" w:rsidR="00AA32A5" w:rsidRDefault="00D14539" w:rsidP="00D14539">
      <w:pPr>
        <w:pStyle w:val="Style1"/>
        <w:numPr>
          <w:ilvl w:val="0"/>
          <w:numId w:val="0"/>
        </w:numPr>
        <w:rPr>
          <w:b/>
          <w:bCs/>
          <w:i/>
          <w:iCs/>
        </w:rPr>
      </w:pPr>
      <w:r w:rsidRPr="00D14539">
        <w:rPr>
          <w:b/>
          <w:bCs/>
          <w:i/>
          <w:iCs/>
        </w:rPr>
        <w:t>The public interest</w:t>
      </w:r>
    </w:p>
    <w:p w14:paraId="76EBC967" w14:textId="12DD9F4F" w:rsidR="00577118" w:rsidRPr="00577118" w:rsidRDefault="00577118" w:rsidP="00D14539">
      <w:pPr>
        <w:pStyle w:val="Style1"/>
        <w:numPr>
          <w:ilvl w:val="0"/>
          <w:numId w:val="0"/>
        </w:numPr>
        <w:rPr>
          <w:i/>
          <w:iCs/>
        </w:rPr>
      </w:pPr>
      <w:r w:rsidRPr="00577118">
        <w:rPr>
          <w:i/>
          <w:iCs/>
        </w:rPr>
        <w:t>Nature conservation</w:t>
      </w:r>
      <w:r w:rsidR="004F0E79" w:rsidRPr="004F0E79">
        <w:t xml:space="preserve"> </w:t>
      </w:r>
      <w:r w:rsidR="004F0E79" w:rsidRPr="004F0E79">
        <w:rPr>
          <w:i/>
          <w:iCs/>
        </w:rPr>
        <w:t>and archaeological remains and features of historic interes</w:t>
      </w:r>
      <w:r w:rsidR="004F0E79">
        <w:rPr>
          <w:i/>
          <w:iCs/>
        </w:rPr>
        <w:t>t</w:t>
      </w:r>
    </w:p>
    <w:p w14:paraId="0A764161" w14:textId="4774C581" w:rsidR="002A1F77" w:rsidRDefault="008610A7" w:rsidP="002A1F77">
      <w:pPr>
        <w:pStyle w:val="Style1"/>
      </w:pPr>
      <w:r>
        <w:t>The</w:t>
      </w:r>
      <w:r w:rsidR="00BB2E46">
        <w:t xml:space="preserve">re is nothing before me to suggest that </w:t>
      </w:r>
      <w:r w:rsidR="008C73E8">
        <w:t>anything has changed since</w:t>
      </w:r>
      <w:r w:rsidR="002E77FF">
        <w:t xml:space="preserve"> </w:t>
      </w:r>
      <w:r w:rsidR="008C73E8">
        <w:t>the matter was considered in 20</w:t>
      </w:r>
      <w:r w:rsidR="00DF4B34">
        <w:t>0</w:t>
      </w:r>
      <w:r w:rsidR="008C73E8">
        <w:t>5.  That is to say English Nature</w:t>
      </w:r>
      <w:r w:rsidR="002E77FF">
        <w:t xml:space="preserve"> (as was)</w:t>
      </w:r>
      <w:r w:rsidR="008C73E8">
        <w:t xml:space="preserve"> </w:t>
      </w:r>
      <w:r w:rsidR="00FF683D">
        <w:t xml:space="preserve">had no objections, the </w:t>
      </w:r>
      <w:r w:rsidR="006C0369">
        <w:t>National</w:t>
      </w:r>
      <w:r w:rsidR="00FF683D">
        <w:t xml:space="preserve"> Trust supported the </w:t>
      </w:r>
      <w:r w:rsidR="006C0369">
        <w:t>proposal as di</w:t>
      </w:r>
      <w:r w:rsidR="00C417AA">
        <w:t>d</w:t>
      </w:r>
      <w:r w:rsidR="006C0369">
        <w:t xml:space="preserve"> the Parish Council</w:t>
      </w:r>
      <w:r w:rsidR="00C417AA">
        <w:t xml:space="preserve">.  The Quantock Hills </w:t>
      </w:r>
      <w:r w:rsidR="00D5699F" w:rsidRPr="00D5699F">
        <w:t>Area of Outstanding Natural Beauty (AONB)</w:t>
      </w:r>
      <w:r w:rsidR="00C417AA">
        <w:t xml:space="preserve"> Service </w:t>
      </w:r>
      <w:r w:rsidR="002E77FF">
        <w:t xml:space="preserve">also </w:t>
      </w:r>
      <w:r w:rsidR="00BA7A0A">
        <w:t xml:space="preserve">set out that the fence was needed to </w:t>
      </w:r>
      <w:r w:rsidR="002E77FF">
        <w:t xml:space="preserve">actively </w:t>
      </w:r>
      <w:r w:rsidR="00BA7A0A">
        <w:t>manage the heathland S</w:t>
      </w:r>
      <w:r w:rsidR="000C1DC9">
        <w:t xml:space="preserve">ite of </w:t>
      </w:r>
      <w:r w:rsidR="00BA7A0A">
        <w:t>S</w:t>
      </w:r>
      <w:r w:rsidR="000C1DC9">
        <w:t xml:space="preserve">pecial </w:t>
      </w:r>
      <w:r w:rsidR="00BA7A0A">
        <w:t>S</w:t>
      </w:r>
      <w:r w:rsidR="009837EB">
        <w:t>cientific Interest and</w:t>
      </w:r>
      <w:r w:rsidR="00715193">
        <w:t xml:space="preserve"> I note</w:t>
      </w:r>
      <w:r w:rsidR="00DF4B34">
        <w:t xml:space="preserve"> </w:t>
      </w:r>
      <w:r w:rsidR="00715193">
        <w:t xml:space="preserve">the current Countryside Stewardship Agreement expires in </w:t>
      </w:r>
      <w:r w:rsidR="00DF4B34">
        <w:t>2023.</w:t>
      </w:r>
      <w:r w:rsidR="002E77FF">
        <w:t xml:space="preserve"> </w:t>
      </w:r>
      <w:r w:rsidR="006C0369">
        <w:t xml:space="preserve"> </w:t>
      </w:r>
      <w:r w:rsidR="00A468E7">
        <w:t>Natural England have made no adverse comments.</w:t>
      </w:r>
    </w:p>
    <w:p w14:paraId="712CF821" w14:textId="2E846D1A" w:rsidR="00125CDB" w:rsidRDefault="002E77FF" w:rsidP="00F9471E">
      <w:pPr>
        <w:pStyle w:val="Style1"/>
      </w:pPr>
      <w:r>
        <w:t>T</w:t>
      </w:r>
      <w:r w:rsidR="00505DAC">
        <w:t>here is no evidence before me to suggest that the works</w:t>
      </w:r>
      <w:r w:rsidR="00DF4B34">
        <w:t xml:space="preserve"> (which</w:t>
      </w:r>
      <w:r w:rsidR="000404E9">
        <w:t xml:space="preserve"> are complete in any event)</w:t>
      </w:r>
      <w:r w:rsidR="00505DAC">
        <w:t xml:space="preserve"> w</w:t>
      </w:r>
      <w:r w:rsidR="00DB19DE">
        <w:t xml:space="preserve">ould </w:t>
      </w:r>
      <w:r w:rsidR="00505DAC">
        <w:t xml:space="preserve">harm archaeological/historic interests.  </w:t>
      </w:r>
      <w:r w:rsidR="007556E3">
        <w:t>Thus,</w:t>
      </w:r>
      <w:r w:rsidR="00A468E7">
        <w:t xml:space="preserve"> there would be no adverse </w:t>
      </w:r>
      <w:r w:rsidR="00125CDB">
        <w:t>implications in respect of nature conservation</w:t>
      </w:r>
      <w:r w:rsidR="004F0E79">
        <w:t xml:space="preserve"> or historic inter</w:t>
      </w:r>
      <w:r w:rsidR="00505DAC">
        <w:t>e</w:t>
      </w:r>
      <w:r w:rsidR="004F0E79">
        <w:t>st</w:t>
      </w:r>
      <w:r w:rsidR="00125CDB">
        <w:t>.</w:t>
      </w:r>
    </w:p>
    <w:p w14:paraId="51621720" w14:textId="72163FA0" w:rsidR="00A468E7" w:rsidRDefault="00ED5A3A" w:rsidP="00125CDB">
      <w:pPr>
        <w:pStyle w:val="Style1"/>
        <w:numPr>
          <w:ilvl w:val="0"/>
          <w:numId w:val="0"/>
        </w:numPr>
      </w:pPr>
      <w:r>
        <w:rPr>
          <w:i/>
          <w:iCs/>
        </w:rPr>
        <w:t>Conservation of the landscape</w:t>
      </w:r>
      <w:r w:rsidR="00A468E7">
        <w:t xml:space="preserve"> </w:t>
      </w:r>
    </w:p>
    <w:p w14:paraId="7B95CDB5" w14:textId="3F7510B7" w:rsidR="008B2B92" w:rsidRDefault="002F421A" w:rsidP="00916D1D">
      <w:pPr>
        <w:pStyle w:val="Style1"/>
      </w:pPr>
      <w:r>
        <w:t>I accept t</w:t>
      </w:r>
      <w:r w:rsidR="003C119D">
        <w:t xml:space="preserve">he fencing </w:t>
      </w:r>
      <w:r w:rsidR="00136C8A">
        <w:t xml:space="preserve">has inevitably had an effect </w:t>
      </w:r>
      <w:r w:rsidR="00F430BC">
        <w:t>on the natural beauty of the common</w:t>
      </w:r>
      <w:r w:rsidR="00544C21">
        <w:t>,</w:t>
      </w:r>
      <w:r w:rsidR="00D73E14">
        <w:t xml:space="preserve"> with f</w:t>
      </w:r>
      <w:r w:rsidR="00F430BC">
        <w:t>encing and gates constructed where there would have been none</w:t>
      </w:r>
      <w:r w:rsidR="008B7922">
        <w:t xml:space="preserve">.  </w:t>
      </w:r>
      <w:r w:rsidR="00C556A2">
        <w:t xml:space="preserve">However, the fencing </w:t>
      </w:r>
      <w:r w:rsidR="003C119D">
        <w:t>and gate</w:t>
      </w:r>
      <w:r w:rsidR="00EA3CF2">
        <w:t xml:space="preserve">s, even to a </w:t>
      </w:r>
      <w:r w:rsidR="008B2B92">
        <w:t>first-time</w:t>
      </w:r>
      <w:r w:rsidR="00EA3CF2">
        <w:t xml:space="preserve"> visitor do not come as a surprise, the</w:t>
      </w:r>
      <w:r w:rsidR="0085229A">
        <w:t>y</w:t>
      </w:r>
      <w:r w:rsidR="00EA3CF2">
        <w:t xml:space="preserve"> do not draw the eye or lead the viewer to question how they came to be.  Stock proof fencing</w:t>
      </w:r>
      <w:r w:rsidR="00801236">
        <w:t xml:space="preserve"> and gates are not </w:t>
      </w:r>
      <w:r w:rsidR="008B2B92">
        <w:t>uncommon</w:t>
      </w:r>
      <w:r w:rsidR="003661E5">
        <w:t xml:space="preserve"> in the Quantocks</w:t>
      </w:r>
      <w:r w:rsidR="008B2B92">
        <w:t>,</w:t>
      </w:r>
      <w:r w:rsidR="00801236">
        <w:t xml:space="preserve"> and the design reflects that seen locally elsewhere.  Furthermore, given the passage of time</w:t>
      </w:r>
      <w:r w:rsidR="008B2B92">
        <w:t>,</w:t>
      </w:r>
      <w:r w:rsidR="00801236">
        <w:t xml:space="preserve"> the landscape has started to evolve around the</w:t>
      </w:r>
      <w:r w:rsidR="008B2B92">
        <w:t xml:space="preserve"> fence</w:t>
      </w:r>
      <w:r w:rsidR="003661E5">
        <w:t>, with vegetation screening much of it,</w:t>
      </w:r>
      <w:r w:rsidR="00801236">
        <w:t xml:space="preserve"> such that any effect on t</w:t>
      </w:r>
      <w:r w:rsidR="008B2B92">
        <w:t>he landscape has further decreased.  The fence is not</w:t>
      </w:r>
      <w:r w:rsidR="003661E5">
        <w:t>, therefore,</w:t>
      </w:r>
      <w:r w:rsidR="008B2B92">
        <w:t xml:space="preserve"> </w:t>
      </w:r>
      <w:r w:rsidR="008B2B92" w:rsidRPr="008B2B92">
        <w:t xml:space="preserve">at odds with the natural beauty of the </w:t>
      </w:r>
      <w:r w:rsidR="00511CDB">
        <w:t>of the Quantock Hills</w:t>
      </w:r>
      <w:r w:rsidR="00D5699F">
        <w:t xml:space="preserve"> AONB</w:t>
      </w:r>
      <w:r w:rsidR="00511CDB">
        <w:t>.</w:t>
      </w:r>
    </w:p>
    <w:p w14:paraId="77FBC4D2" w14:textId="1458DEC6" w:rsidR="00511CDB" w:rsidRDefault="001A1002" w:rsidP="00916D1D">
      <w:pPr>
        <w:pStyle w:val="Style1"/>
      </w:pPr>
      <w:r>
        <w:t>In that light</w:t>
      </w:r>
      <w:r w:rsidR="00831E67">
        <w:t>,</w:t>
      </w:r>
      <w:r>
        <w:t xml:space="preserve"> the suggestion that a cattle grid and short section of fence </w:t>
      </w:r>
      <w:r w:rsidR="003542AF">
        <w:t xml:space="preserve">would improve the effect carries little weight.  Furthermore, it is not clear if the Open Spaces Society have visited the common in recent times.  From my visit I could see that the proposed location of the cattle grid is not the only way </w:t>
      </w:r>
      <w:r w:rsidR="00396C5E">
        <w:t>livestock</w:t>
      </w:r>
      <w:r w:rsidR="003542AF">
        <w:t xml:space="preserve"> could access the village and subsequently the busy </w:t>
      </w:r>
      <w:r w:rsidR="003F5453">
        <w:t xml:space="preserve">main road.  It is clear that </w:t>
      </w:r>
      <w:r w:rsidR="009E6C42">
        <w:t xml:space="preserve">garden fences running along the rear of properties abutting onto the Common have become dilapidated in part.  There is </w:t>
      </w:r>
      <w:r w:rsidR="004772E3">
        <w:t>a well-used</w:t>
      </w:r>
      <w:r w:rsidR="009E6C42">
        <w:t xml:space="preserve"> unrestricted footpath </w:t>
      </w:r>
      <w:r w:rsidR="008C34E5">
        <w:t xml:space="preserve">leading between </w:t>
      </w:r>
      <w:r w:rsidR="004772E3">
        <w:t xml:space="preserve">residential </w:t>
      </w:r>
      <w:r w:rsidR="008C34E5">
        <w:t xml:space="preserve">properties to the </w:t>
      </w:r>
      <w:r w:rsidR="004772E3">
        <w:t xml:space="preserve">south of the common.  I was </w:t>
      </w:r>
      <w:r w:rsidR="000404E9">
        <w:t xml:space="preserve">also </w:t>
      </w:r>
      <w:r w:rsidR="004772E3">
        <w:t>able to walk</w:t>
      </w:r>
      <w:r w:rsidR="00605519">
        <w:t>, unrestricted,</w:t>
      </w:r>
      <w:r w:rsidR="00B80DD4">
        <w:t xml:space="preserve"> to the north past the </w:t>
      </w:r>
      <w:r w:rsidR="00634070">
        <w:t xml:space="preserve">dog pound </w:t>
      </w:r>
      <w:r w:rsidR="004258D3">
        <w:t xml:space="preserve">and in turn </w:t>
      </w:r>
      <w:r w:rsidR="00DD7267">
        <w:t xml:space="preserve">head east back into the village </w:t>
      </w:r>
      <w:r w:rsidR="001A5C83">
        <w:t>beyond where the cattle grid would be</w:t>
      </w:r>
      <w:r w:rsidR="00605519">
        <w:t xml:space="preserve">, thus bypassing it. Moreover, it </w:t>
      </w:r>
      <w:r w:rsidR="001B4CF6">
        <w:t>i</w:t>
      </w:r>
      <w:r w:rsidR="00605519">
        <w:t>s not clea</w:t>
      </w:r>
      <w:r w:rsidR="001B4CF6">
        <w:t>r</w:t>
      </w:r>
      <w:r w:rsidR="00605519">
        <w:t xml:space="preserve"> to me how far </w:t>
      </w:r>
      <w:r w:rsidR="001B4CF6">
        <w:t>livestock could roam unhindered</w:t>
      </w:r>
      <w:r w:rsidR="007835B6">
        <w:t xml:space="preserve"> to the north and then onto the A39.</w:t>
      </w:r>
    </w:p>
    <w:p w14:paraId="6284863E" w14:textId="4774E027" w:rsidR="007835B6" w:rsidRDefault="000404E9" w:rsidP="00916D1D">
      <w:pPr>
        <w:pStyle w:val="Style1"/>
      </w:pPr>
      <w:r>
        <w:t>Given all of that</w:t>
      </w:r>
      <w:r w:rsidR="007835B6">
        <w:t xml:space="preserve"> a cattle grid would not prevent livestock </w:t>
      </w:r>
      <w:r w:rsidR="006E5A4B">
        <w:t xml:space="preserve">wandering onto the main road where, without evidence to the contrary, </w:t>
      </w:r>
      <w:r w:rsidR="00773CA0">
        <w:t xml:space="preserve">highway safety remains a significant factor.  In </w:t>
      </w:r>
      <w:r w:rsidR="00DE3C5B">
        <w:t>addition,</w:t>
      </w:r>
      <w:r w:rsidR="00773CA0">
        <w:t xml:space="preserve"> if the cattle grid were to be installed, the </w:t>
      </w:r>
      <w:r w:rsidR="00773CA0">
        <w:lastRenderedPageBreak/>
        <w:t>amount of fencing</w:t>
      </w:r>
      <w:r w:rsidR="00FD51F8">
        <w:t xml:space="preserve"> required </w:t>
      </w:r>
      <w:r w:rsidR="00951873">
        <w:t xml:space="preserve">to be reinstated </w:t>
      </w:r>
      <w:r w:rsidR="00FD51F8">
        <w:t>to support the grid and the access restrictions</w:t>
      </w:r>
      <w:r w:rsidR="00433561">
        <w:t>/gates</w:t>
      </w:r>
      <w:r w:rsidR="00FD51F8">
        <w:t xml:space="preserve"> required elsewhere, as I have set out, would negate any be</w:t>
      </w:r>
      <w:r w:rsidR="00765608">
        <w:t xml:space="preserve">nefit. </w:t>
      </w:r>
    </w:p>
    <w:p w14:paraId="6F066013" w14:textId="2E75BCBE" w:rsidR="008F7A7A" w:rsidRDefault="00E97DB2" w:rsidP="00916D1D">
      <w:pPr>
        <w:pStyle w:val="Style1"/>
      </w:pPr>
      <w:r>
        <w:t>Whilst coming to that view I accept that</w:t>
      </w:r>
      <w:r w:rsidR="00962A88">
        <w:t xml:space="preserve"> </w:t>
      </w:r>
      <w:r>
        <w:t xml:space="preserve">a grid </w:t>
      </w:r>
      <w:r w:rsidR="00962A88">
        <w:t>would</w:t>
      </w:r>
      <w:r>
        <w:t xml:space="preserve"> not need </w:t>
      </w:r>
      <w:r w:rsidR="00962A88">
        <w:t>consent</w:t>
      </w:r>
      <w:r w:rsidR="00EE1156">
        <w:t xml:space="preserve"> under the 2006 Act</w:t>
      </w:r>
      <w:r w:rsidR="00962A88">
        <w:t xml:space="preserve"> and fencing </w:t>
      </w:r>
      <w:r w:rsidR="00B64CE4">
        <w:t xml:space="preserve">of the common </w:t>
      </w:r>
      <w:r w:rsidR="00962A88">
        <w:t xml:space="preserve">in perpetuity should not be a given.  To that end it seems to me that </w:t>
      </w:r>
      <w:r w:rsidR="00283EEC">
        <w:t>any proactive management of land should take into account all options for the future</w:t>
      </w:r>
      <w:r w:rsidR="00B64CE4">
        <w:t xml:space="preserve"> including costs and practical application</w:t>
      </w:r>
      <w:r w:rsidR="00283EEC">
        <w:t xml:space="preserve">.  The Open Spaces Society suggest a cattle grid could be funded </w:t>
      </w:r>
      <w:r w:rsidR="00B64CE4">
        <w:t xml:space="preserve">from </w:t>
      </w:r>
      <w:r w:rsidR="00FF599D">
        <w:t>elsewhere</w:t>
      </w:r>
      <w:r w:rsidR="00B64CE4">
        <w:t xml:space="preserve"> but supply no details</w:t>
      </w:r>
      <w:r w:rsidR="00975AA0">
        <w:t xml:space="preserve">.  </w:t>
      </w:r>
      <w:r w:rsidR="003B5E44">
        <w:t xml:space="preserve">A cost/benefit analysis may be helpful for the next decision maker should a further application come forward </w:t>
      </w:r>
      <w:r w:rsidR="003F1CB6">
        <w:t>after the expiry of this consent</w:t>
      </w:r>
      <w:r w:rsidR="00240CAB">
        <w:t>.</w:t>
      </w:r>
    </w:p>
    <w:p w14:paraId="02A38F2E" w14:textId="77777777" w:rsidR="00D97129" w:rsidRPr="00D97129" w:rsidRDefault="00D97129" w:rsidP="00D97129">
      <w:pPr>
        <w:pStyle w:val="Style1"/>
        <w:numPr>
          <w:ilvl w:val="0"/>
          <w:numId w:val="0"/>
        </w:numPr>
        <w:rPr>
          <w:b/>
          <w:bCs/>
        </w:rPr>
      </w:pPr>
      <w:r w:rsidRPr="00D97129">
        <w:rPr>
          <w:b/>
          <w:bCs/>
        </w:rPr>
        <w:t>Conclusion</w:t>
      </w:r>
    </w:p>
    <w:p w14:paraId="405272E8" w14:textId="757C3BB5" w:rsidR="00D97129" w:rsidRDefault="00D97129" w:rsidP="007E3125">
      <w:pPr>
        <w:pStyle w:val="Style1"/>
      </w:pPr>
      <w:r>
        <w:t xml:space="preserve">Having regard to the criteria set out above, and all the written representations, I conclude that </w:t>
      </w:r>
      <w:r w:rsidR="005D2E66">
        <w:t>little has changed since the previous consent</w:t>
      </w:r>
      <w:r w:rsidR="0038669A">
        <w:t xml:space="preserve"> where </w:t>
      </w:r>
      <w:r w:rsidR="00797615">
        <w:t xml:space="preserve">the </w:t>
      </w:r>
      <w:r w:rsidR="0038669A">
        <w:t>Secretary of State found that t</w:t>
      </w:r>
      <w:r w:rsidR="00DF3EE9" w:rsidRPr="00DF3EE9">
        <w:t>he works w</w:t>
      </w:r>
      <w:r w:rsidR="0038669A">
        <w:t>ould</w:t>
      </w:r>
      <w:r w:rsidR="00DF3EE9" w:rsidRPr="00DF3EE9">
        <w:t xml:space="preserve"> not adversely affect the health</w:t>
      </w:r>
      <w:r w:rsidR="00797615">
        <w:t>,</w:t>
      </w:r>
      <w:r w:rsidR="00DF3EE9" w:rsidRPr="00DF3EE9">
        <w:t xml:space="preserve"> comfort and convenience of the local inhabitants</w:t>
      </w:r>
      <w:r w:rsidR="0038669A">
        <w:t xml:space="preserve">.  </w:t>
      </w:r>
      <w:r w:rsidR="00240CAB">
        <w:t>Therefore,</w:t>
      </w:r>
      <w:r w:rsidR="0038669A">
        <w:t xml:space="preserve"> I find there </w:t>
      </w:r>
      <w:r w:rsidR="00B5311A">
        <w:t>would</w:t>
      </w:r>
      <w:r w:rsidR="0038669A">
        <w:t xml:space="preserve"> be no harm </w:t>
      </w:r>
      <w:r>
        <w:t>to the local neighbourhood</w:t>
      </w:r>
      <w:r w:rsidR="0024307C">
        <w:t>, public rights of access</w:t>
      </w:r>
      <w:r>
        <w:t xml:space="preserve"> </w:t>
      </w:r>
      <w:r w:rsidR="008D78EF">
        <w:t>or</w:t>
      </w:r>
      <w:r>
        <w:t xml:space="preserve"> the landscape, and</w:t>
      </w:r>
      <w:r w:rsidR="00B5311A">
        <w:t xml:space="preserve"> the application should </w:t>
      </w:r>
      <w:r w:rsidR="002058DA">
        <w:t>succeed,</w:t>
      </w:r>
      <w:r w:rsidR="00240CAB">
        <w:t xml:space="preserve"> and permission granted for a period of 10 years</w:t>
      </w:r>
      <w:r>
        <w:t>.</w:t>
      </w:r>
      <w:r w:rsidR="002058DA">
        <w:t xml:space="preserve">  I s</w:t>
      </w:r>
      <w:r w:rsidR="00820560">
        <w:t>hall condition that the fence be removed upon completion of those 10 years</w:t>
      </w:r>
      <w:r w:rsidR="008D78EF">
        <w:t>,</w:t>
      </w:r>
      <w:r w:rsidR="00820560">
        <w:t xml:space="preserve"> </w:t>
      </w:r>
      <w:r w:rsidR="008D78EF">
        <w:t xml:space="preserve">unless a further application is made and approved, </w:t>
      </w:r>
      <w:r w:rsidR="00820560">
        <w:t>to ensure the common is restored to its previous condition</w:t>
      </w:r>
      <w:r w:rsidR="001C0758">
        <w:t>.</w:t>
      </w:r>
      <w:r w:rsidR="00820560">
        <w:t xml:space="preserve"> </w:t>
      </w:r>
    </w:p>
    <w:p w14:paraId="360EF28B" w14:textId="0DD234F2" w:rsidR="00D97129" w:rsidRPr="00D97129" w:rsidRDefault="00D97129" w:rsidP="00D97129">
      <w:pPr>
        <w:pStyle w:val="Style1"/>
        <w:numPr>
          <w:ilvl w:val="0"/>
          <w:numId w:val="0"/>
        </w:numPr>
        <w:rPr>
          <w:rFonts w:ascii="Monotype Corsiva" w:hAnsi="Monotype Corsiva"/>
          <w:sz w:val="36"/>
          <w:szCs w:val="36"/>
        </w:rPr>
      </w:pPr>
      <w:r w:rsidRPr="00D97129">
        <w:rPr>
          <w:rFonts w:ascii="Monotype Corsiva" w:hAnsi="Monotype Corsiva"/>
          <w:sz w:val="36"/>
          <w:szCs w:val="36"/>
        </w:rPr>
        <w:t>Richard Perrins</w:t>
      </w:r>
    </w:p>
    <w:p w14:paraId="69B84E2F" w14:textId="767B842D" w:rsidR="0065038F" w:rsidRDefault="00D97129" w:rsidP="00D97129">
      <w:pPr>
        <w:pStyle w:val="Style1"/>
        <w:numPr>
          <w:ilvl w:val="0"/>
          <w:numId w:val="0"/>
        </w:numPr>
        <w:ind w:left="431" w:hanging="431"/>
      </w:pPr>
      <w:r>
        <w:t>Inspector</w:t>
      </w:r>
    </w:p>
    <w:p w14:paraId="29C1D575" w14:textId="77777777" w:rsidR="007A047D" w:rsidRDefault="007A047D" w:rsidP="0065038F">
      <w:pPr>
        <w:pStyle w:val="Style1"/>
        <w:numPr>
          <w:ilvl w:val="0"/>
          <w:numId w:val="0"/>
        </w:numPr>
        <w:ind w:left="431" w:hanging="431"/>
        <w:sectPr w:rsidR="007A047D" w:rsidSect="00E674DD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680" w:right="1077" w:bottom="1276" w:left="1525" w:header="624" w:footer="816" w:gutter="0"/>
          <w:cols w:space="720"/>
          <w:titlePg/>
        </w:sectPr>
      </w:pPr>
    </w:p>
    <w:p w14:paraId="3C6042F5" w14:textId="77777777" w:rsidR="007A047D" w:rsidRDefault="007A047D" w:rsidP="00C2702E">
      <w:r>
        <w:rPr>
          <w:noProof/>
        </w:rPr>
        <w:lastRenderedPageBreak/>
        <w:drawing>
          <wp:inline distT="0" distB="0" distL="0" distR="0" wp14:anchorId="09810344" wp14:editId="106CF188">
            <wp:extent cx="3419475" cy="359623"/>
            <wp:effectExtent l="0" t="0" r="0" b="2540"/>
            <wp:docPr id="6" name="Picture 1" descr="Planning Inspector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Planning Inspectorate log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5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58213" w14:textId="77777777" w:rsidR="007A047D" w:rsidRDefault="007A047D" w:rsidP="0061249D"/>
    <w:p w14:paraId="0C8C0146" w14:textId="77777777" w:rsidR="007A047D" w:rsidRDefault="007A047D" w:rsidP="006C1C1E">
      <w:pPr>
        <w:spacing w:before="60" w:after="60"/>
      </w:pPr>
    </w:p>
    <w:tbl>
      <w:tblPr>
        <w:tblW w:w="9356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A047D" w:rsidRPr="00FC29F3" w14:paraId="5C990A18" w14:textId="77777777" w:rsidTr="00531A33">
        <w:trPr>
          <w:cantSplit/>
          <w:trHeight w:val="659"/>
        </w:trPr>
        <w:tc>
          <w:tcPr>
            <w:tcW w:w="9356" w:type="dxa"/>
          </w:tcPr>
          <w:p w14:paraId="7219A342" w14:textId="77777777" w:rsidR="007A047D" w:rsidRPr="00FC29F3" w:rsidRDefault="007A047D" w:rsidP="00531A33">
            <w:pPr>
              <w:spacing w:before="120"/>
              <w:ind w:left="-108" w:right="34"/>
              <w:rPr>
                <w:b/>
                <w:sz w:val="40"/>
                <w:szCs w:val="40"/>
              </w:rPr>
            </w:pPr>
            <w:r w:rsidRPr="00FC29F3">
              <w:rPr>
                <w:b/>
                <w:sz w:val="40"/>
                <w:szCs w:val="40"/>
              </w:rPr>
              <w:t>Plan</w:t>
            </w:r>
          </w:p>
        </w:tc>
      </w:tr>
      <w:tr w:rsidR="007A047D" w:rsidRPr="00670AEE" w14:paraId="09BA6ACB" w14:textId="77777777" w:rsidTr="00531A33">
        <w:trPr>
          <w:cantSplit/>
          <w:trHeight w:val="425"/>
        </w:trPr>
        <w:tc>
          <w:tcPr>
            <w:tcW w:w="9356" w:type="dxa"/>
            <w:vAlign w:val="center"/>
          </w:tcPr>
          <w:p w14:paraId="762522F1" w14:textId="77777777" w:rsidR="007A047D" w:rsidRPr="00670AEE" w:rsidRDefault="007A047D" w:rsidP="00531A33">
            <w:pPr>
              <w:spacing w:before="60"/>
              <w:ind w:left="-108" w:right="34"/>
              <w:rPr>
                <w:sz w:val="20"/>
              </w:rPr>
            </w:pPr>
            <w:r w:rsidRPr="00670AEE">
              <w:rPr>
                <w:sz w:val="20"/>
              </w:rPr>
              <w:t>This is the plan referred to in my decision dated:</w:t>
            </w:r>
          </w:p>
        </w:tc>
      </w:tr>
      <w:tr w:rsidR="007A047D" w:rsidRPr="00F16236" w14:paraId="3C154111" w14:textId="77777777" w:rsidTr="00531A33">
        <w:trPr>
          <w:cantSplit/>
          <w:trHeight w:val="374"/>
        </w:trPr>
        <w:tc>
          <w:tcPr>
            <w:tcW w:w="9356" w:type="dxa"/>
          </w:tcPr>
          <w:p w14:paraId="4F9FAF4F" w14:textId="238CB37C" w:rsidR="007A047D" w:rsidRPr="00F16236" w:rsidRDefault="007A047D" w:rsidP="00531A33">
            <w:pPr>
              <w:spacing w:before="120"/>
              <w:ind w:left="-108" w:right="34"/>
              <w:rPr>
                <w:b/>
              </w:rPr>
            </w:pPr>
            <w:r w:rsidRPr="00F16236">
              <w:rPr>
                <w:b/>
                <w:sz w:val="20"/>
              </w:rPr>
              <w:t xml:space="preserve">by </w:t>
            </w:r>
            <w:r w:rsidR="005E69ED">
              <w:rPr>
                <w:b/>
                <w:sz w:val="20"/>
              </w:rPr>
              <w:t>RJ Perrins MA</w:t>
            </w:r>
          </w:p>
        </w:tc>
      </w:tr>
      <w:tr w:rsidR="007A047D" w:rsidRPr="00F16236" w14:paraId="5543069A" w14:textId="77777777" w:rsidTr="00531A33">
        <w:trPr>
          <w:cantSplit/>
          <w:trHeight w:val="720"/>
        </w:trPr>
        <w:tc>
          <w:tcPr>
            <w:tcW w:w="9356" w:type="dxa"/>
          </w:tcPr>
          <w:p w14:paraId="166DFB13" w14:textId="5B366D31" w:rsidR="007A047D" w:rsidRPr="00F16236" w:rsidRDefault="007A047D" w:rsidP="00531A33">
            <w:pPr>
              <w:spacing w:before="120"/>
              <w:ind w:left="-108" w:right="34"/>
              <w:rPr>
                <w:b/>
                <w:sz w:val="20"/>
              </w:rPr>
            </w:pPr>
            <w:r w:rsidRPr="00F16236">
              <w:rPr>
                <w:b/>
                <w:sz w:val="20"/>
              </w:rPr>
              <w:t>Land at:</w:t>
            </w:r>
            <w:r w:rsidR="00E02043">
              <w:t xml:space="preserve"> </w:t>
            </w:r>
            <w:r w:rsidR="00E02043" w:rsidRPr="00E02043">
              <w:rPr>
                <w:b/>
                <w:sz w:val="20"/>
              </w:rPr>
              <w:t>Quantock Common, Holford, Bridgwater, Somerset</w:t>
            </w:r>
          </w:p>
          <w:p w14:paraId="1445CFD6" w14:textId="306EF00C" w:rsidR="007A047D" w:rsidRPr="00F16236" w:rsidRDefault="007A047D" w:rsidP="00531A33">
            <w:pPr>
              <w:spacing w:before="120"/>
              <w:ind w:left="-108" w:right="34"/>
              <w:rPr>
                <w:b/>
              </w:rPr>
            </w:pPr>
            <w:r w:rsidRPr="00F16236">
              <w:rPr>
                <w:b/>
                <w:sz w:val="20"/>
              </w:rPr>
              <w:t xml:space="preserve">Reference: </w:t>
            </w:r>
            <w:r w:rsidR="00CB0652">
              <w:rPr>
                <w:b/>
                <w:sz w:val="20"/>
              </w:rPr>
              <w:t>COM/</w:t>
            </w:r>
            <w:r w:rsidR="005E69ED">
              <w:rPr>
                <w:b/>
                <w:sz w:val="20"/>
              </w:rPr>
              <w:t>3259426</w:t>
            </w:r>
          </w:p>
        </w:tc>
      </w:tr>
      <w:tr w:rsidR="007A047D" w:rsidRPr="00AB57D4" w14:paraId="374233DA" w14:textId="77777777" w:rsidTr="00531A33">
        <w:trPr>
          <w:cantSplit/>
          <w:trHeight w:hRule="exact" w:val="351"/>
        </w:trPr>
        <w:tc>
          <w:tcPr>
            <w:tcW w:w="9356" w:type="dxa"/>
          </w:tcPr>
          <w:p w14:paraId="07613530" w14:textId="10E8B89B" w:rsidR="007A047D" w:rsidRPr="00AB57D4" w:rsidRDefault="007A047D" w:rsidP="00531A33">
            <w:pPr>
              <w:spacing w:before="120"/>
              <w:ind w:left="-108" w:right="176"/>
              <w:rPr>
                <w:sz w:val="20"/>
              </w:rPr>
            </w:pPr>
            <w:r w:rsidRPr="00AB57D4">
              <w:rPr>
                <w:sz w:val="20"/>
              </w:rPr>
              <w:t>Scale:</w:t>
            </w:r>
            <w:r w:rsidR="00E02043">
              <w:rPr>
                <w:sz w:val="20"/>
              </w:rPr>
              <w:t xml:space="preserve"> Not to Scale</w:t>
            </w:r>
          </w:p>
        </w:tc>
      </w:tr>
    </w:tbl>
    <w:p w14:paraId="01CBFBA1" w14:textId="77777777" w:rsidR="007A047D" w:rsidRPr="00C2702E" w:rsidRDefault="007A047D" w:rsidP="00D76AC1"/>
    <w:p w14:paraId="0C08EB54" w14:textId="1165AE85" w:rsidR="0065038F" w:rsidRPr="0065038F" w:rsidRDefault="007A047D" w:rsidP="00CB0652">
      <w:pPr>
        <w:pStyle w:val="Style1"/>
        <w:numPr>
          <w:ilvl w:val="0"/>
          <w:numId w:val="0"/>
        </w:numPr>
        <w:ind w:left="431" w:hanging="431"/>
        <w:jc w:val="center"/>
      </w:pPr>
      <w:r>
        <w:rPr>
          <w:noProof/>
        </w:rPr>
        <w:drawing>
          <wp:inline distT="0" distB="0" distL="0" distR="0" wp14:anchorId="7DDA6B77" wp14:editId="0548EB74">
            <wp:extent cx="3848100" cy="6305138"/>
            <wp:effectExtent l="0" t="0" r="0" b="635"/>
            <wp:docPr id="7" name="Picture 7" descr="Drawing referred to in Paragrap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rawing referred to in Paragraph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810" cy="631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038F" w:rsidRPr="0065038F" w:rsidSect="00CD6AA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680" w:right="1077" w:bottom="1276" w:left="1525" w:header="624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A1CE7" w14:textId="77777777" w:rsidR="00D41E55" w:rsidRDefault="00D41E55" w:rsidP="00F62916">
      <w:r>
        <w:separator/>
      </w:r>
    </w:p>
  </w:endnote>
  <w:endnote w:type="continuationSeparator" w:id="0">
    <w:p w14:paraId="0530743E" w14:textId="77777777" w:rsidR="00D41E55" w:rsidRDefault="00D41E55" w:rsidP="00F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DDA16" w14:textId="77777777" w:rsidR="00366F95" w:rsidRDefault="00366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9437E9" w14:textId="77777777" w:rsidR="00366F95" w:rsidRDefault="00366F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48EB1" w14:textId="77777777" w:rsidR="00366F95" w:rsidRDefault="00366F95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A9C54E" wp14:editId="199463C3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3534D9" id="Line 17" o:spid="_x0000_s1026" alt="&quot;&quot;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"/>
          </w:pict>
        </mc:Fallback>
      </mc:AlternateContent>
    </w:r>
  </w:p>
  <w:p w14:paraId="0642E463" w14:textId="77777777" w:rsidR="00366F95" w:rsidRPr="00E45340" w:rsidRDefault="00D41E55" w:rsidP="00E45340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  <w:r w:rsidR="00E45340">
      <w:rPr>
        <w:sz w:val="16"/>
        <w:szCs w:val="16"/>
      </w:rPr>
      <w:t xml:space="preserve">                          </w:t>
    </w:r>
    <w:r w:rsidR="00366F95">
      <w:rPr>
        <w:rStyle w:val="PageNumber"/>
      </w:rPr>
      <w:fldChar w:fldCharType="begin"/>
    </w:r>
    <w:r w:rsidR="00366F95">
      <w:rPr>
        <w:rStyle w:val="PageNumber"/>
      </w:rPr>
      <w:instrText xml:space="preserve"> PAGE </w:instrText>
    </w:r>
    <w:r w:rsidR="00366F95">
      <w:rPr>
        <w:rStyle w:val="PageNumber"/>
      </w:rPr>
      <w:fldChar w:fldCharType="separate"/>
    </w:r>
    <w:r w:rsidR="007A06BE">
      <w:rPr>
        <w:rStyle w:val="PageNumber"/>
        <w:noProof/>
      </w:rPr>
      <w:t>2</w:t>
    </w:r>
    <w:r w:rsidR="00366F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05BB6" w14:textId="77777777" w:rsidR="00366F95" w:rsidRDefault="00366F95" w:rsidP="006C1DD0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D57CF8" wp14:editId="6CC3DD65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C893BF" id="Line 11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" strokeweight=".5pt"/>
          </w:pict>
        </mc:Fallback>
      </mc:AlternateContent>
    </w:r>
  </w:p>
  <w:p w14:paraId="3FEB3361" w14:textId="77777777" w:rsidR="00366F95" w:rsidRPr="00451EE4" w:rsidRDefault="00D41E55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C9045" w14:textId="77777777" w:rsidR="00227024" w:rsidRDefault="00D41E5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A1F43" w14:textId="77777777" w:rsidR="00236CA1" w:rsidRDefault="00D41E55">
    <w:pPr>
      <w:pStyle w:val="Footer"/>
    </w:pPr>
    <w:hyperlink r:id="rId1" w:history="1">
      <w:r w:rsidR="009C2FA1">
        <w:rPr>
          <w:rStyle w:val="Hyperlink"/>
          <w:sz w:val="16"/>
          <w:szCs w:val="16"/>
        </w:rPr>
        <w:t>www.gov.uk/planning-inspectorate</w:t>
      </w:r>
    </w:hyperlink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5DA86" w14:textId="77777777" w:rsidR="00F75DFE" w:rsidRDefault="009C2F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9512423" wp14:editId="31115651">
              <wp:simplePos x="0" y="0"/>
              <wp:positionH relativeFrom="column">
                <wp:posOffset>-2540</wp:posOffset>
              </wp:positionH>
              <wp:positionV relativeFrom="paragraph">
                <wp:posOffset>104140</wp:posOffset>
              </wp:positionV>
              <wp:extent cx="5943600" cy="0"/>
              <wp:effectExtent l="0" t="0" r="0" b="0"/>
              <wp:wrapNone/>
              <wp:docPr id="5" name="Lin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968128" id="Line 3" o:spid="_x0000_s1026" alt="&quot;&quot;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8.2pt" to="467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" strokeweight=".5pt"/>
          </w:pict>
        </mc:Fallback>
      </mc:AlternateContent>
    </w:r>
  </w:p>
  <w:p w14:paraId="1D3D13EF" w14:textId="77777777" w:rsidR="00F75DFE" w:rsidRPr="001E5D6B" w:rsidRDefault="00D41E55" w:rsidP="0081253F">
    <w:pPr>
      <w:pStyle w:val="Footer"/>
      <w:ind w:right="-52"/>
      <w:rPr>
        <w:sz w:val="16"/>
        <w:szCs w:val="16"/>
      </w:rPr>
    </w:pPr>
    <w:hyperlink r:id="rId1" w:history="1">
      <w:r w:rsidR="009C2FA1">
        <w:rPr>
          <w:rStyle w:val="Hyperlink"/>
          <w:sz w:val="16"/>
          <w:szCs w:val="16"/>
        </w:rPr>
        <w:t>www.gov.uk/planning-inspectorate</w:t>
      </w:r>
    </w:hyperlink>
  </w:p>
  <w:p w14:paraId="4B3275B7" w14:textId="77777777" w:rsidR="00F75DFE" w:rsidRDefault="00D41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4DEA1" w14:textId="77777777" w:rsidR="00D41E55" w:rsidRDefault="00D41E55" w:rsidP="00F62916">
      <w:r>
        <w:separator/>
      </w:r>
    </w:p>
  </w:footnote>
  <w:footnote w:type="continuationSeparator" w:id="0">
    <w:p w14:paraId="0D52FA4C" w14:textId="77777777" w:rsidR="00D41E55" w:rsidRDefault="00D41E55" w:rsidP="00F62916">
      <w:r>
        <w:continuationSeparator/>
      </w:r>
    </w:p>
  </w:footnote>
  <w:footnote w:id="1">
    <w:p w14:paraId="2F495B3A" w14:textId="69169BA8" w:rsidR="00D051E8" w:rsidRDefault="00D051E8">
      <w:pPr>
        <w:pStyle w:val="FootnoteText"/>
      </w:pPr>
      <w:r>
        <w:rPr>
          <w:rStyle w:val="FootnoteReference"/>
        </w:rPr>
        <w:footnoteRef/>
      </w:r>
      <w:r>
        <w:t xml:space="preserve"> Ref: CLI 1/3/66</w:t>
      </w:r>
    </w:p>
  </w:footnote>
  <w:footnote w:id="2">
    <w:p w14:paraId="0451077F" w14:textId="77777777" w:rsidR="00544ABB" w:rsidRDefault="00544ABB" w:rsidP="00544ABB">
      <w:pPr>
        <w:pStyle w:val="FootnoteText"/>
      </w:pPr>
      <w:r>
        <w:rPr>
          <w:rStyle w:val="FootnoteReference"/>
        </w:rPr>
        <w:footnoteRef/>
      </w:r>
      <w:r>
        <w:t xml:space="preserve"> Section 39(2) of the 2006 Act provides that the public interest includes the public interest in; nature</w:t>
      </w:r>
    </w:p>
    <w:p w14:paraId="339936BB" w14:textId="77777777" w:rsidR="00544ABB" w:rsidRDefault="00544ABB" w:rsidP="00544ABB">
      <w:pPr>
        <w:pStyle w:val="FootnoteText"/>
      </w:pPr>
      <w:r>
        <w:t>conservation; the conservation of the landscape; the protection of public rights of access to any area of land; and</w:t>
      </w:r>
    </w:p>
    <w:p w14:paraId="6B3884C9" w14:textId="17D56220" w:rsidR="00544ABB" w:rsidRDefault="00544ABB" w:rsidP="00544ABB">
      <w:pPr>
        <w:pStyle w:val="FootnoteText"/>
      </w:pPr>
      <w:r>
        <w:t>the protection of archaeological remains and features of historic interest.</w:t>
      </w:r>
    </w:p>
  </w:footnote>
  <w:footnote w:id="3">
    <w:p w14:paraId="7ACEBC05" w14:textId="313013AE" w:rsidR="002677F7" w:rsidRDefault="002677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5038F" w:rsidRPr="0065038F">
        <w:t>Common Land Consents Policy (Defra November 2015)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366F95" w14:paraId="256F46D1" w14:textId="77777777">
      <w:tc>
        <w:tcPr>
          <w:tcW w:w="9520" w:type="dxa"/>
        </w:tcPr>
        <w:p w14:paraId="236CF13C" w14:textId="22D23E47" w:rsidR="00366F95" w:rsidRDefault="006C1DD0">
          <w:pPr>
            <w:pStyle w:val="Footer"/>
          </w:pPr>
          <w:r>
            <w:t>App</w:t>
          </w:r>
          <w:r w:rsidR="002C21DC">
            <w:t>lication</w:t>
          </w:r>
          <w:r>
            <w:t xml:space="preserve"> Decision COM/32</w:t>
          </w:r>
          <w:r w:rsidR="002C21DC">
            <w:t>59426</w:t>
          </w:r>
        </w:p>
      </w:tc>
    </w:tr>
  </w:tbl>
  <w:p w14:paraId="38FC865C" w14:textId="77777777" w:rsidR="00366F95" w:rsidRDefault="00366F95" w:rsidP="00087477">
    <w:pPr>
      <w:pStyle w:val="Footer"/>
      <w:spacing w:after="180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4FA0A59" wp14:editId="213C18E9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3" name="Lin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603524" id="Line 14" o:spid="_x0000_s1026" alt="&quot;&quot;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C5B0D" w14:textId="77777777" w:rsidR="00366F95" w:rsidRDefault="00366F95">
    <w:pPr>
      <w:pStyle w:val="Header"/>
      <w:rPr>
        <w:sz w:val="12"/>
      </w:rPr>
    </w:pPr>
    <w:r>
      <w:rPr>
        <w:sz w:val="1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2FA5D" w14:textId="77777777" w:rsidR="00227024" w:rsidRDefault="00D41E5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39413" w14:textId="77777777" w:rsidR="00227024" w:rsidRDefault="00D41E5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97188" w14:textId="77777777" w:rsidR="00F75DFE" w:rsidRDefault="009C2FA1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700615"/>
    <w:multiLevelType w:val="multilevel"/>
    <w:tmpl w:val="A22611FC"/>
    <w:numStyleLink w:val="ConditionsList"/>
  </w:abstractNum>
  <w:abstractNum w:abstractNumId="2" w15:restartNumberingAfterBreak="0">
    <w:nsid w:val="10497561"/>
    <w:multiLevelType w:val="multilevel"/>
    <w:tmpl w:val="65B42758"/>
    <w:styleLink w:val="nListiList"/>
    <w:lvl w:ilvl="0">
      <w:start w:val="1"/>
      <w:numFmt w:val="lowerRoman"/>
      <w:lvlText w:val="%1)"/>
      <w:lvlJc w:val="left"/>
      <w:pPr>
        <w:tabs>
          <w:tab w:val="num" w:pos="107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Nlisti"/>
      <w:lvlText w:val="%3)"/>
      <w:lvlJc w:val="left"/>
      <w:pPr>
        <w:tabs>
          <w:tab w:val="num" w:pos="179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3" w15:restartNumberingAfterBreak="0">
    <w:nsid w:val="1BD14CD6"/>
    <w:multiLevelType w:val="hybridMultilevel"/>
    <w:tmpl w:val="7280079A"/>
    <w:lvl w:ilvl="0" w:tplc="12F232B4">
      <w:start w:val="1"/>
      <w:numFmt w:val="lowerLetter"/>
      <w:lvlText w:val="%1)"/>
      <w:lvlJc w:val="left"/>
      <w:pPr>
        <w:ind w:left="2336" w:hanging="360"/>
      </w:pPr>
    </w:lvl>
    <w:lvl w:ilvl="1" w:tplc="08090019" w:tentative="1">
      <w:start w:val="1"/>
      <w:numFmt w:val="lowerLetter"/>
      <w:lvlText w:val="%2."/>
      <w:lvlJc w:val="left"/>
      <w:pPr>
        <w:ind w:left="3056" w:hanging="360"/>
      </w:pPr>
    </w:lvl>
    <w:lvl w:ilvl="2" w:tplc="0809001B" w:tentative="1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4" w15:restartNumberingAfterBreak="0">
    <w:nsid w:val="209A62F5"/>
    <w:multiLevelType w:val="hybridMultilevel"/>
    <w:tmpl w:val="25DE3A94"/>
    <w:lvl w:ilvl="0" w:tplc="3286AFD0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284238AD"/>
    <w:multiLevelType w:val="multilevel"/>
    <w:tmpl w:val="A22611FC"/>
    <w:numStyleLink w:val="ConditionsList"/>
  </w:abstractNum>
  <w:abstractNum w:abstractNumId="6" w15:restartNumberingAfterBreak="0">
    <w:nsid w:val="29461538"/>
    <w:multiLevelType w:val="multilevel"/>
    <w:tmpl w:val="A1DC0ECC"/>
    <w:styleLink w:val="nListaList"/>
    <w:lvl w:ilvl="0">
      <w:start w:val="1"/>
      <w:numFmt w:val="decimal"/>
      <w:pStyle w:val="Table"/>
      <w:lvlText w:val="%1.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361"/>
        </w:tabs>
        <w:ind w:left="1361" w:hanging="11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7" w15:restartNumberingAfterBreak="0">
    <w:nsid w:val="297D571E"/>
    <w:multiLevelType w:val="multilevel"/>
    <w:tmpl w:val="A22611FC"/>
    <w:numStyleLink w:val="ConditionsList"/>
  </w:abstractNum>
  <w:abstractNum w:abstractNumId="8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8DD7A15"/>
    <w:multiLevelType w:val="multilevel"/>
    <w:tmpl w:val="326258D0"/>
    <w:styleLink w:val="StylesList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0" w15:restartNumberingAfterBreak="0">
    <w:nsid w:val="4AB7177F"/>
    <w:multiLevelType w:val="multilevel"/>
    <w:tmpl w:val="A22611FC"/>
    <w:numStyleLink w:val="ConditionsList"/>
  </w:abstractNum>
  <w:abstractNum w:abstractNumId="11" w15:restartNumberingAfterBreak="0">
    <w:nsid w:val="4DED4C13"/>
    <w:multiLevelType w:val="multilevel"/>
    <w:tmpl w:val="A22611FC"/>
    <w:styleLink w:val="ConditionsList"/>
    <w:lvl w:ilvl="0">
      <w:start w:val="1"/>
      <w:numFmt w:val="decimal"/>
      <w:pStyle w:val="Conditions1"/>
      <w:lvlText w:val="%1)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sz w:val="22"/>
      </w:rPr>
    </w:lvl>
    <w:lvl w:ilvl="1">
      <w:start w:val="1"/>
      <w:numFmt w:val="none"/>
      <w:lvlRestart w:val="0"/>
      <w:pStyle w:val="ConditionsNoNumber"/>
      <w:lvlText w:val="%2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lowerRoman"/>
      <w:pStyle w:val="Conditions2"/>
      <w:lvlText w:val="%3)"/>
      <w:lvlJc w:val="left"/>
      <w:pPr>
        <w:tabs>
          <w:tab w:val="num" w:pos="1616"/>
        </w:tabs>
        <w:ind w:left="1616" w:hanging="539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bullet"/>
      <w:lvlRestart w:val="2"/>
      <w:pStyle w:val="ConditionsBullet"/>
      <w:lvlText w:val=""/>
      <w:lvlJc w:val="left"/>
      <w:pPr>
        <w:tabs>
          <w:tab w:val="num" w:pos="2155"/>
        </w:tabs>
        <w:ind w:left="2155" w:hanging="539"/>
      </w:pPr>
      <w:rPr>
        <w:rFonts w:ascii="Symbol" w:hAnsi="Symbol" w:hint="default"/>
      </w:rPr>
    </w:lvl>
    <w:lvl w:ilvl="4">
      <w:start w:val="1"/>
      <w:numFmt w:val="none"/>
      <w:pStyle w:val="ConditionsNoNumberNoSpaceBefore"/>
      <w:lvlText w:val=""/>
      <w:lvlJc w:val="left"/>
      <w:pPr>
        <w:tabs>
          <w:tab w:val="num" w:pos="1077"/>
        </w:tabs>
        <w:ind w:left="1077" w:hanging="64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2342F1"/>
    <w:multiLevelType w:val="multilevel"/>
    <w:tmpl w:val="A22611FC"/>
    <w:numStyleLink w:val="ConditionsList"/>
  </w:abstractNum>
  <w:abstractNum w:abstractNumId="13" w15:restartNumberingAfterBreak="0">
    <w:nsid w:val="5137716E"/>
    <w:multiLevelType w:val="multilevel"/>
    <w:tmpl w:val="A22611FC"/>
    <w:numStyleLink w:val="ConditionsList"/>
  </w:abstractNum>
  <w:abstractNum w:abstractNumId="14" w15:restartNumberingAfterBreak="0">
    <w:nsid w:val="53F51752"/>
    <w:multiLevelType w:val="multilevel"/>
    <w:tmpl w:val="A22611FC"/>
    <w:numStyleLink w:val="ConditionsList"/>
  </w:abstractNum>
  <w:abstractNum w:abstractNumId="15" w15:restartNumberingAfterBreak="0">
    <w:nsid w:val="5B0F1B4D"/>
    <w:multiLevelType w:val="singleLevel"/>
    <w:tmpl w:val="6DEEB6D6"/>
    <w:lvl w:ilvl="0">
      <w:start w:val="1"/>
      <w:numFmt w:val="decimal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16" w15:restartNumberingAfterBreak="0">
    <w:nsid w:val="62CA1CF1"/>
    <w:multiLevelType w:val="multilevel"/>
    <w:tmpl w:val="195AE940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2CB6406"/>
    <w:multiLevelType w:val="multilevel"/>
    <w:tmpl w:val="83DADDA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0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5B7639F"/>
    <w:multiLevelType w:val="multilevel"/>
    <w:tmpl w:val="A22611FC"/>
    <w:numStyleLink w:val="ConditionsList"/>
  </w:abstractNum>
  <w:abstractNum w:abstractNumId="19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CDC568F"/>
    <w:multiLevelType w:val="multilevel"/>
    <w:tmpl w:val="2BFCC7F2"/>
    <w:lvl w:ilvl="0">
      <w:start w:val="1"/>
      <w:numFmt w:val="lowerRoman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7"/>
  </w:num>
  <w:num w:numId="3">
    <w:abstractNumId w:val="19"/>
  </w:num>
  <w:num w:numId="4">
    <w:abstractNumId w:val="0"/>
  </w:num>
  <w:num w:numId="5">
    <w:abstractNumId w:val="8"/>
  </w:num>
  <w:num w:numId="6">
    <w:abstractNumId w:val="16"/>
  </w:num>
  <w:num w:numId="7">
    <w:abstractNumId w:val="20"/>
  </w:num>
  <w:num w:numId="8">
    <w:abstractNumId w:val="15"/>
  </w:num>
  <w:num w:numId="9">
    <w:abstractNumId w:val="3"/>
  </w:num>
  <w:num w:numId="10">
    <w:abstractNumId w:val="4"/>
  </w:num>
  <w:num w:numId="11">
    <w:abstractNumId w:val="11"/>
  </w:num>
  <w:num w:numId="12">
    <w:abstractNumId w:val="12"/>
  </w:num>
  <w:num w:numId="13">
    <w:abstractNumId w:val="7"/>
  </w:num>
  <w:num w:numId="14">
    <w:abstractNumId w:val="10"/>
  </w:num>
  <w:num w:numId="15">
    <w:abstractNumId w:val="13"/>
  </w:num>
  <w:num w:numId="16">
    <w:abstractNumId w:val="1"/>
  </w:num>
  <w:num w:numId="17">
    <w:abstractNumId w:val="14"/>
  </w:num>
  <w:num w:numId="18">
    <w:abstractNumId w:val="5"/>
  </w:num>
  <w:num w:numId="19">
    <w:abstractNumId w:val="2"/>
  </w:num>
  <w:num w:numId="20">
    <w:abstractNumId w:val="6"/>
  </w:num>
  <w:num w:numId="21">
    <w:abstractNumId w:val="9"/>
  </w:num>
  <w:num w:numId="22">
    <w:abstractNumId w:val="9"/>
  </w:num>
  <w:num w:numId="23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C1DD0"/>
    <w:rsid w:val="00001E36"/>
    <w:rsid w:val="0000335F"/>
    <w:rsid w:val="00015A0B"/>
    <w:rsid w:val="0001603A"/>
    <w:rsid w:val="0002301E"/>
    <w:rsid w:val="00024500"/>
    <w:rsid w:val="000247B2"/>
    <w:rsid w:val="00026139"/>
    <w:rsid w:val="00036D2A"/>
    <w:rsid w:val="00036F82"/>
    <w:rsid w:val="000404E9"/>
    <w:rsid w:val="00046145"/>
    <w:rsid w:val="0004625F"/>
    <w:rsid w:val="00050D7D"/>
    <w:rsid w:val="00053135"/>
    <w:rsid w:val="0005477A"/>
    <w:rsid w:val="00061032"/>
    <w:rsid w:val="000714B8"/>
    <w:rsid w:val="000768E6"/>
    <w:rsid w:val="00077358"/>
    <w:rsid w:val="000808EA"/>
    <w:rsid w:val="0008644F"/>
    <w:rsid w:val="00087477"/>
    <w:rsid w:val="00087DEC"/>
    <w:rsid w:val="00094A44"/>
    <w:rsid w:val="00097CF5"/>
    <w:rsid w:val="000A4AEB"/>
    <w:rsid w:val="000A6461"/>
    <w:rsid w:val="000A64AE"/>
    <w:rsid w:val="000A6E58"/>
    <w:rsid w:val="000A7AB3"/>
    <w:rsid w:val="000B02BC"/>
    <w:rsid w:val="000B0589"/>
    <w:rsid w:val="000B6A1E"/>
    <w:rsid w:val="000C1DC9"/>
    <w:rsid w:val="000C3F13"/>
    <w:rsid w:val="000C5098"/>
    <w:rsid w:val="000C698E"/>
    <w:rsid w:val="000D0673"/>
    <w:rsid w:val="000D10A9"/>
    <w:rsid w:val="000E57C1"/>
    <w:rsid w:val="000F16F4"/>
    <w:rsid w:val="000F6EC2"/>
    <w:rsid w:val="001000CB"/>
    <w:rsid w:val="001019DE"/>
    <w:rsid w:val="00104D93"/>
    <w:rsid w:val="00105BBE"/>
    <w:rsid w:val="00107C36"/>
    <w:rsid w:val="00121D58"/>
    <w:rsid w:val="0012394D"/>
    <w:rsid w:val="00125CDB"/>
    <w:rsid w:val="00134C87"/>
    <w:rsid w:val="00136628"/>
    <w:rsid w:val="00136C8A"/>
    <w:rsid w:val="00137DEC"/>
    <w:rsid w:val="001412CF"/>
    <w:rsid w:val="00142F35"/>
    <w:rsid w:val="00143236"/>
    <w:rsid w:val="001440C3"/>
    <w:rsid w:val="00150F0B"/>
    <w:rsid w:val="00152C92"/>
    <w:rsid w:val="00161B5C"/>
    <w:rsid w:val="00173206"/>
    <w:rsid w:val="001855A1"/>
    <w:rsid w:val="001962E1"/>
    <w:rsid w:val="00196445"/>
    <w:rsid w:val="00196584"/>
    <w:rsid w:val="00197B5B"/>
    <w:rsid w:val="001A1002"/>
    <w:rsid w:val="001A2869"/>
    <w:rsid w:val="001A551D"/>
    <w:rsid w:val="001A5C83"/>
    <w:rsid w:val="001B37BF"/>
    <w:rsid w:val="001B4CF6"/>
    <w:rsid w:val="001C0758"/>
    <w:rsid w:val="001F5990"/>
    <w:rsid w:val="002058DA"/>
    <w:rsid w:val="00207816"/>
    <w:rsid w:val="00212C8F"/>
    <w:rsid w:val="00213745"/>
    <w:rsid w:val="00222E73"/>
    <w:rsid w:val="00223116"/>
    <w:rsid w:val="00234683"/>
    <w:rsid w:val="00240CAB"/>
    <w:rsid w:val="00242A5E"/>
    <w:rsid w:val="0024307C"/>
    <w:rsid w:val="002630BC"/>
    <w:rsid w:val="002677F7"/>
    <w:rsid w:val="00271CB3"/>
    <w:rsid w:val="00273E96"/>
    <w:rsid w:val="002751D2"/>
    <w:rsid w:val="00275694"/>
    <w:rsid w:val="002819AB"/>
    <w:rsid w:val="0028314F"/>
    <w:rsid w:val="00283EEC"/>
    <w:rsid w:val="002958D9"/>
    <w:rsid w:val="002A1F77"/>
    <w:rsid w:val="002B5A3A"/>
    <w:rsid w:val="002C068A"/>
    <w:rsid w:val="002C21DC"/>
    <w:rsid w:val="002C2524"/>
    <w:rsid w:val="002C69A4"/>
    <w:rsid w:val="002C7FE8"/>
    <w:rsid w:val="002D5A7C"/>
    <w:rsid w:val="002E6315"/>
    <w:rsid w:val="002E77FF"/>
    <w:rsid w:val="002F0CB1"/>
    <w:rsid w:val="002F1C7D"/>
    <w:rsid w:val="002F2A2B"/>
    <w:rsid w:val="002F421A"/>
    <w:rsid w:val="00303CA5"/>
    <w:rsid w:val="0030500E"/>
    <w:rsid w:val="003206EA"/>
    <w:rsid w:val="003206FD"/>
    <w:rsid w:val="003216EA"/>
    <w:rsid w:val="003271A8"/>
    <w:rsid w:val="00330522"/>
    <w:rsid w:val="003355C3"/>
    <w:rsid w:val="003375CC"/>
    <w:rsid w:val="00337B56"/>
    <w:rsid w:val="00343A1F"/>
    <w:rsid w:val="00344294"/>
    <w:rsid w:val="00344CD1"/>
    <w:rsid w:val="003542AF"/>
    <w:rsid w:val="00355FCC"/>
    <w:rsid w:val="00360664"/>
    <w:rsid w:val="00361890"/>
    <w:rsid w:val="00364E17"/>
    <w:rsid w:val="003661E5"/>
    <w:rsid w:val="00366F95"/>
    <w:rsid w:val="00374AAA"/>
    <w:rsid w:val="003753FE"/>
    <w:rsid w:val="00377A9D"/>
    <w:rsid w:val="0038176D"/>
    <w:rsid w:val="0038669A"/>
    <w:rsid w:val="003941CF"/>
    <w:rsid w:val="00396C5E"/>
    <w:rsid w:val="003A03DB"/>
    <w:rsid w:val="003B2FE6"/>
    <w:rsid w:val="003B5E44"/>
    <w:rsid w:val="003C119D"/>
    <w:rsid w:val="003C136A"/>
    <w:rsid w:val="003C2470"/>
    <w:rsid w:val="003C2A5A"/>
    <w:rsid w:val="003D1D4A"/>
    <w:rsid w:val="003D268E"/>
    <w:rsid w:val="003D3715"/>
    <w:rsid w:val="003D7F21"/>
    <w:rsid w:val="003E2FBC"/>
    <w:rsid w:val="003E54CC"/>
    <w:rsid w:val="003E6B96"/>
    <w:rsid w:val="003E75BE"/>
    <w:rsid w:val="003F1CB6"/>
    <w:rsid w:val="003F3533"/>
    <w:rsid w:val="003F5453"/>
    <w:rsid w:val="003F74B1"/>
    <w:rsid w:val="003F7DFB"/>
    <w:rsid w:val="004029F3"/>
    <w:rsid w:val="004156F0"/>
    <w:rsid w:val="004258D3"/>
    <w:rsid w:val="00433561"/>
    <w:rsid w:val="00434739"/>
    <w:rsid w:val="004474DE"/>
    <w:rsid w:val="00451EE4"/>
    <w:rsid w:val="004522C1"/>
    <w:rsid w:val="00453A90"/>
    <w:rsid w:val="00453E15"/>
    <w:rsid w:val="00455266"/>
    <w:rsid w:val="00473787"/>
    <w:rsid w:val="0047718B"/>
    <w:rsid w:val="004772E3"/>
    <w:rsid w:val="0048041A"/>
    <w:rsid w:val="00483D15"/>
    <w:rsid w:val="00491600"/>
    <w:rsid w:val="00494A94"/>
    <w:rsid w:val="0049610B"/>
    <w:rsid w:val="004971F9"/>
    <w:rsid w:val="004976CF"/>
    <w:rsid w:val="004A0203"/>
    <w:rsid w:val="004A054B"/>
    <w:rsid w:val="004A12BD"/>
    <w:rsid w:val="004A2EB8"/>
    <w:rsid w:val="004A323F"/>
    <w:rsid w:val="004C07CB"/>
    <w:rsid w:val="004C5576"/>
    <w:rsid w:val="004D7549"/>
    <w:rsid w:val="004E04E0"/>
    <w:rsid w:val="004E17CB"/>
    <w:rsid w:val="004E1ED8"/>
    <w:rsid w:val="004E6091"/>
    <w:rsid w:val="004F0E79"/>
    <w:rsid w:val="004F274A"/>
    <w:rsid w:val="00502913"/>
    <w:rsid w:val="005032FF"/>
    <w:rsid w:val="00505DAC"/>
    <w:rsid w:val="00506851"/>
    <w:rsid w:val="00511CDB"/>
    <w:rsid w:val="00522C38"/>
    <w:rsid w:val="00522F78"/>
    <w:rsid w:val="0052347F"/>
    <w:rsid w:val="00523706"/>
    <w:rsid w:val="0052656E"/>
    <w:rsid w:val="00536390"/>
    <w:rsid w:val="00541734"/>
    <w:rsid w:val="00542B4C"/>
    <w:rsid w:val="00544ABB"/>
    <w:rsid w:val="00544C21"/>
    <w:rsid w:val="00550C13"/>
    <w:rsid w:val="00552100"/>
    <w:rsid w:val="0056098C"/>
    <w:rsid w:val="00561E69"/>
    <w:rsid w:val="0056552A"/>
    <w:rsid w:val="0056634F"/>
    <w:rsid w:val="0057098A"/>
    <w:rsid w:val="005718AF"/>
    <w:rsid w:val="00571FD4"/>
    <w:rsid w:val="00572879"/>
    <w:rsid w:val="0057471E"/>
    <w:rsid w:val="005760F9"/>
    <w:rsid w:val="00577118"/>
    <w:rsid w:val="0057782A"/>
    <w:rsid w:val="00581C37"/>
    <w:rsid w:val="00591235"/>
    <w:rsid w:val="005928C7"/>
    <w:rsid w:val="005A0799"/>
    <w:rsid w:val="005A3A64"/>
    <w:rsid w:val="005B38E4"/>
    <w:rsid w:val="005B486A"/>
    <w:rsid w:val="005C0CA0"/>
    <w:rsid w:val="005D2E66"/>
    <w:rsid w:val="005D739E"/>
    <w:rsid w:val="005E06CD"/>
    <w:rsid w:val="005E300F"/>
    <w:rsid w:val="005E34E1"/>
    <w:rsid w:val="005E34FF"/>
    <w:rsid w:val="005E3542"/>
    <w:rsid w:val="005E52F9"/>
    <w:rsid w:val="005E69ED"/>
    <w:rsid w:val="005F1261"/>
    <w:rsid w:val="005F43D1"/>
    <w:rsid w:val="00602315"/>
    <w:rsid w:val="006052EF"/>
    <w:rsid w:val="00605519"/>
    <w:rsid w:val="006127F0"/>
    <w:rsid w:val="00614E46"/>
    <w:rsid w:val="00615462"/>
    <w:rsid w:val="00621FAB"/>
    <w:rsid w:val="006267E4"/>
    <w:rsid w:val="006319E6"/>
    <w:rsid w:val="0063365C"/>
    <w:rsid w:val="0063373D"/>
    <w:rsid w:val="00634070"/>
    <w:rsid w:val="00647164"/>
    <w:rsid w:val="0065038F"/>
    <w:rsid w:val="0065719B"/>
    <w:rsid w:val="0066322F"/>
    <w:rsid w:val="0066463E"/>
    <w:rsid w:val="00670D0A"/>
    <w:rsid w:val="00681108"/>
    <w:rsid w:val="00683417"/>
    <w:rsid w:val="00685A46"/>
    <w:rsid w:val="0069559D"/>
    <w:rsid w:val="00696368"/>
    <w:rsid w:val="006A39C6"/>
    <w:rsid w:val="006A5BB3"/>
    <w:rsid w:val="006A7B8B"/>
    <w:rsid w:val="006C0369"/>
    <w:rsid w:val="006C0FD4"/>
    <w:rsid w:val="006C126E"/>
    <w:rsid w:val="006C1DD0"/>
    <w:rsid w:val="006C2421"/>
    <w:rsid w:val="006C4C25"/>
    <w:rsid w:val="006C4D26"/>
    <w:rsid w:val="006C6D1A"/>
    <w:rsid w:val="006C7915"/>
    <w:rsid w:val="006C7C0C"/>
    <w:rsid w:val="006D2842"/>
    <w:rsid w:val="006D5133"/>
    <w:rsid w:val="006E007B"/>
    <w:rsid w:val="006E43AB"/>
    <w:rsid w:val="006E5A4B"/>
    <w:rsid w:val="006E6C12"/>
    <w:rsid w:val="006F16D9"/>
    <w:rsid w:val="006F6496"/>
    <w:rsid w:val="00704126"/>
    <w:rsid w:val="00715193"/>
    <w:rsid w:val="0071604A"/>
    <w:rsid w:val="00723878"/>
    <w:rsid w:val="00742177"/>
    <w:rsid w:val="007556E3"/>
    <w:rsid w:val="00765608"/>
    <w:rsid w:val="00773CA0"/>
    <w:rsid w:val="0078325C"/>
    <w:rsid w:val="007835B6"/>
    <w:rsid w:val="00785862"/>
    <w:rsid w:val="0079376F"/>
    <w:rsid w:val="00797615"/>
    <w:rsid w:val="007A047D"/>
    <w:rsid w:val="007A0537"/>
    <w:rsid w:val="007A06BE"/>
    <w:rsid w:val="007A3E4D"/>
    <w:rsid w:val="007B4C9B"/>
    <w:rsid w:val="007C1DBC"/>
    <w:rsid w:val="007C1FBF"/>
    <w:rsid w:val="007C499F"/>
    <w:rsid w:val="007D00D0"/>
    <w:rsid w:val="007D65B4"/>
    <w:rsid w:val="007E1CF6"/>
    <w:rsid w:val="007F1352"/>
    <w:rsid w:val="007F3F10"/>
    <w:rsid w:val="007F59EB"/>
    <w:rsid w:val="00801236"/>
    <w:rsid w:val="00806BB9"/>
    <w:rsid w:val="00806F2A"/>
    <w:rsid w:val="00817B4A"/>
    <w:rsid w:val="00820560"/>
    <w:rsid w:val="00823751"/>
    <w:rsid w:val="00827937"/>
    <w:rsid w:val="00831E67"/>
    <w:rsid w:val="00834368"/>
    <w:rsid w:val="008411A4"/>
    <w:rsid w:val="00851B7E"/>
    <w:rsid w:val="0085219C"/>
    <w:rsid w:val="0085229A"/>
    <w:rsid w:val="008610A7"/>
    <w:rsid w:val="0086217C"/>
    <w:rsid w:val="00866689"/>
    <w:rsid w:val="00882B66"/>
    <w:rsid w:val="008A03E3"/>
    <w:rsid w:val="008B2B92"/>
    <w:rsid w:val="008B7922"/>
    <w:rsid w:val="008C34E5"/>
    <w:rsid w:val="008C6FA3"/>
    <w:rsid w:val="008C73E8"/>
    <w:rsid w:val="008D78EF"/>
    <w:rsid w:val="008E359C"/>
    <w:rsid w:val="008F7A7A"/>
    <w:rsid w:val="00901334"/>
    <w:rsid w:val="00902BD2"/>
    <w:rsid w:val="009124CE"/>
    <w:rsid w:val="00912954"/>
    <w:rsid w:val="0091370C"/>
    <w:rsid w:val="00914C25"/>
    <w:rsid w:val="00916D1D"/>
    <w:rsid w:val="00921F34"/>
    <w:rsid w:val="0092304C"/>
    <w:rsid w:val="00923F06"/>
    <w:rsid w:val="0092562E"/>
    <w:rsid w:val="009316A1"/>
    <w:rsid w:val="00951873"/>
    <w:rsid w:val="00953FB1"/>
    <w:rsid w:val="00960B10"/>
    <w:rsid w:val="00962A88"/>
    <w:rsid w:val="00966156"/>
    <w:rsid w:val="00975097"/>
    <w:rsid w:val="00975AA0"/>
    <w:rsid w:val="00982597"/>
    <w:rsid w:val="009837EB"/>
    <w:rsid w:val="009841DA"/>
    <w:rsid w:val="00986627"/>
    <w:rsid w:val="00986AFE"/>
    <w:rsid w:val="00991AA7"/>
    <w:rsid w:val="00994A8E"/>
    <w:rsid w:val="009A7D9E"/>
    <w:rsid w:val="009B3075"/>
    <w:rsid w:val="009B72ED"/>
    <w:rsid w:val="009B7BD4"/>
    <w:rsid w:val="009B7F3F"/>
    <w:rsid w:val="009C1BA7"/>
    <w:rsid w:val="009C2FA1"/>
    <w:rsid w:val="009E1447"/>
    <w:rsid w:val="009E1653"/>
    <w:rsid w:val="009E179D"/>
    <w:rsid w:val="009E2267"/>
    <w:rsid w:val="009E3C69"/>
    <w:rsid w:val="009E4076"/>
    <w:rsid w:val="009E6C42"/>
    <w:rsid w:val="009E6FB7"/>
    <w:rsid w:val="009F218F"/>
    <w:rsid w:val="009F527E"/>
    <w:rsid w:val="00A00FCD"/>
    <w:rsid w:val="00A101CD"/>
    <w:rsid w:val="00A23FC7"/>
    <w:rsid w:val="00A350B1"/>
    <w:rsid w:val="00A418A7"/>
    <w:rsid w:val="00A41D2A"/>
    <w:rsid w:val="00A430F8"/>
    <w:rsid w:val="00A468E7"/>
    <w:rsid w:val="00A51523"/>
    <w:rsid w:val="00A5760C"/>
    <w:rsid w:val="00A60DB3"/>
    <w:rsid w:val="00A64F79"/>
    <w:rsid w:val="00A7322E"/>
    <w:rsid w:val="00A81CB5"/>
    <w:rsid w:val="00AA32A5"/>
    <w:rsid w:val="00AA568A"/>
    <w:rsid w:val="00AC7B7F"/>
    <w:rsid w:val="00AD0E39"/>
    <w:rsid w:val="00AD2F56"/>
    <w:rsid w:val="00AE2C76"/>
    <w:rsid w:val="00AE2FAA"/>
    <w:rsid w:val="00AE501B"/>
    <w:rsid w:val="00AE7D51"/>
    <w:rsid w:val="00AF45A7"/>
    <w:rsid w:val="00AF6B04"/>
    <w:rsid w:val="00B049F2"/>
    <w:rsid w:val="00B13228"/>
    <w:rsid w:val="00B13CCB"/>
    <w:rsid w:val="00B17152"/>
    <w:rsid w:val="00B32324"/>
    <w:rsid w:val="00B345C9"/>
    <w:rsid w:val="00B45E99"/>
    <w:rsid w:val="00B51D9F"/>
    <w:rsid w:val="00B5311A"/>
    <w:rsid w:val="00B551BC"/>
    <w:rsid w:val="00B56990"/>
    <w:rsid w:val="00B61A59"/>
    <w:rsid w:val="00B61D8E"/>
    <w:rsid w:val="00B64CE4"/>
    <w:rsid w:val="00B65992"/>
    <w:rsid w:val="00B7142C"/>
    <w:rsid w:val="00B71EEB"/>
    <w:rsid w:val="00B80DD4"/>
    <w:rsid w:val="00B81A07"/>
    <w:rsid w:val="00B913D8"/>
    <w:rsid w:val="00B970B1"/>
    <w:rsid w:val="00BA6A93"/>
    <w:rsid w:val="00BA7A0A"/>
    <w:rsid w:val="00BB2E46"/>
    <w:rsid w:val="00BC0524"/>
    <w:rsid w:val="00BC2702"/>
    <w:rsid w:val="00BD09CD"/>
    <w:rsid w:val="00BD1A72"/>
    <w:rsid w:val="00BD20D1"/>
    <w:rsid w:val="00BE1067"/>
    <w:rsid w:val="00BE262D"/>
    <w:rsid w:val="00BE38C4"/>
    <w:rsid w:val="00BE3E15"/>
    <w:rsid w:val="00BE6377"/>
    <w:rsid w:val="00BE64F8"/>
    <w:rsid w:val="00BF07AA"/>
    <w:rsid w:val="00BF34D7"/>
    <w:rsid w:val="00C00E8A"/>
    <w:rsid w:val="00C11BD0"/>
    <w:rsid w:val="00C17A83"/>
    <w:rsid w:val="00C274BD"/>
    <w:rsid w:val="00C3023E"/>
    <w:rsid w:val="00C36797"/>
    <w:rsid w:val="00C37F85"/>
    <w:rsid w:val="00C40EA6"/>
    <w:rsid w:val="00C417AA"/>
    <w:rsid w:val="00C41C7C"/>
    <w:rsid w:val="00C43769"/>
    <w:rsid w:val="00C556A2"/>
    <w:rsid w:val="00C57B84"/>
    <w:rsid w:val="00C66462"/>
    <w:rsid w:val="00C70EF1"/>
    <w:rsid w:val="00C74873"/>
    <w:rsid w:val="00C763E9"/>
    <w:rsid w:val="00C8343C"/>
    <w:rsid w:val="00C857CB"/>
    <w:rsid w:val="00C860D1"/>
    <w:rsid w:val="00C8740F"/>
    <w:rsid w:val="00C87C7D"/>
    <w:rsid w:val="00C915A8"/>
    <w:rsid w:val="00CA1AB0"/>
    <w:rsid w:val="00CA6FEF"/>
    <w:rsid w:val="00CA776D"/>
    <w:rsid w:val="00CB0652"/>
    <w:rsid w:val="00CC50AC"/>
    <w:rsid w:val="00CC5EAE"/>
    <w:rsid w:val="00CD63AF"/>
    <w:rsid w:val="00CE21C0"/>
    <w:rsid w:val="00CF01C3"/>
    <w:rsid w:val="00CF5D2E"/>
    <w:rsid w:val="00D02B48"/>
    <w:rsid w:val="00D051E8"/>
    <w:rsid w:val="00D10CBC"/>
    <w:rsid w:val="00D1120A"/>
    <w:rsid w:val="00D125BE"/>
    <w:rsid w:val="00D1410D"/>
    <w:rsid w:val="00D14539"/>
    <w:rsid w:val="00D2128B"/>
    <w:rsid w:val="00D21A54"/>
    <w:rsid w:val="00D354A3"/>
    <w:rsid w:val="00D41E55"/>
    <w:rsid w:val="00D423EB"/>
    <w:rsid w:val="00D52BB1"/>
    <w:rsid w:val="00D53B25"/>
    <w:rsid w:val="00D555DA"/>
    <w:rsid w:val="00D5699F"/>
    <w:rsid w:val="00D65024"/>
    <w:rsid w:val="00D73E14"/>
    <w:rsid w:val="00D90A14"/>
    <w:rsid w:val="00D97129"/>
    <w:rsid w:val="00DA3ACB"/>
    <w:rsid w:val="00DA7FFB"/>
    <w:rsid w:val="00DB1128"/>
    <w:rsid w:val="00DB19DE"/>
    <w:rsid w:val="00DB6974"/>
    <w:rsid w:val="00DB69C5"/>
    <w:rsid w:val="00DB750D"/>
    <w:rsid w:val="00DB7937"/>
    <w:rsid w:val="00DC1387"/>
    <w:rsid w:val="00DD0F21"/>
    <w:rsid w:val="00DD7267"/>
    <w:rsid w:val="00DE265F"/>
    <w:rsid w:val="00DE3C5B"/>
    <w:rsid w:val="00DE5B64"/>
    <w:rsid w:val="00DF3EE9"/>
    <w:rsid w:val="00DF4B34"/>
    <w:rsid w:val="00E02043"/>
    <w:rsid w:val="00E07C3A"/>
    <w:rsid w:val="00E10D24"/>
    <w:rsid w:val="00E11244"/>
    <w:rsid w:val="00E15353"/>
    <w:rsid w:val="00E16CAE"/>
    <w:rsid w:val="00E41A8A"/>
    <w:rsid w:val="00E43A06"/>
    <w:rsid w:val="00E445A0"/>
    <w:rsid w:val="00E45340"/>
    <w:rsid w:val="00E47EE0"/>
    <w:rsid w:val="00E515DB"/>
    <w:rsid w:val="00E54DB6"/>
    <w:rsid w:val="00E54F7C"/>
    <w:rsid w:val="00E6104D"/>
    <w:rsid w:val="00E674DD"/>
    <w:rsid w:val="00E67B22"/>
    <w:rsid w:val="00E704AB"/>
    <w:rsid w:val="00E71C9C"/>
    <w:rsid w:val="00E7302F"/>
    <w:rsid w:val="00E81323"/>
    <w:rsid w:val="00E85E3D"/>
    <w:rsid w:val="00E974ED"/>
    <w:rsid w:val="00E97DB2"/>
    <w:rsid w:val="00EA1B9D"/>
    <w:rsid w:val="00EA2B93"/>
    <w:rsid w:val="00EA2BDA"/>
    <w:rsid w:val="00EA3CF2"/>
    <w:rsid w:val="00EA406E"/>
    <w:rsid w:val="00EA43AC"/>
    <w:rsid w:val="00EA52D3"/>
    <w:rsid w:val="00EA6954"/>
    <w:rsid w:val="00EA73CE"/>
    <w:rsid w:val="00EB2329"/>
    <w:rsid w:val="00EB5620"/>
    <w:rsid w:val="00EC6D31"/>
    <w:rsid w:val="00EC762D"/>
    <w:rsid w:val="00ED043A"/>
    <w:rsid w:val="00ED1C74"/>
    <w:rsid w:val="00ED3727"/>
    <w:rsid w:val="00ED3DDF"/>
    <w:rsid w:val="00ED3FF4"/>
    <w:rsid w:val="00ED50F4"/>
    <w:rsid w:val="00ED5A3A"/>
    <w:rsid w:val="00EE1156"/>
    <w:rsid w:val="00EE1C1A"/>
    <w:rsid w:val="00EE2613"/>
    <w:rsid w:val="00EE550A"/>
    <w:rsid w:val="00EF1E98"/>
    <w:rsid w:val="00EF5820"/>
    <w:rsid w:val="00F02EED"/>
    <w:rsid w:val="00F04BE9"/>
    <w:rsid w:val="00F1025A"/>
    <w:rsid w:val="00F2297F"/>
    <w:rsid w:val="00F277E2"/>
    <w:rsid w:val="00F31105"/>
    <w:rsid w:val="00F35EDC"/>
    <w:rsid w:val="00F430BC"/>
    <w:rsid w:val="00F62916"/>
    <w:rsid w:val="00F63D9A"/>
    <w:rsid w:val="00F659A3"/>
    <w:rsid w:val="00F66EC4"/>
    <w:rsid w:val="00F679F4"/>
    <w:rsid w:val="00F7417F"/>
    <w:rsid w:val="00F81D99"/>
    <w:rsid w:val="00FA02D2"/>
    <w:rsid w:val="00FA24D8"/>
    <w:rsid w:val="00FA5400"/>
    <w:rsid w:val="00FB743C"/>
    <w:rsid w:val="00FC4DA8"/>
    <w:rsid w:val="00FC6E8D"/>
    <w:rsid w:val="00FD307B"/>
    <w:rsid w:val="00FD51F8"/>
    <w:rsid w:val="00FD5B78"/>
    <w:rsid w:val="00FE68E4"/>
    <w:rsid w:val="00FF34A3"/>
    <w:rsid w:val="00FF463C"/>
    <w:rsid w:val="00FF51DF"/>
    <w:rsid w:val="00FF599D"/>
    <w:rsid w:val="00FF5DDD"/>
    <w:rsid w:val="00FF683D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400994"/>
  <w15:docId w15:val="{9C22FA81-EFC4-4984-8EB7-64D8EA85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591235"/>
    <w:pPr>
      <w:keepNext/>
      <w:numPr>
        <w:ilvl w:val="1"/>
        <w:numId w:val="22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591235"/>
    <w:pPr>
      <w:keepNext/>
      <w:widowControl w:val="0"/>
      <w:numPr>
        <w:ilvl w:val="2"/>
        <w:numId w:val="22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591235"/>
    <w:pPr>
      <w:keepNext/>
      <w:widowControl w:val="0"/>
      <w:numPr>
        <w:ilvl w:val="3"/>
        <w:numId w:val="22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591235"/>
    <w:pPr>
      <w:keepNext/>
      <w:numPr>
        <w:ilvl w:val="4"/>
        <w:numId w:val="22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591235"/>
    <w:pPr>
      <w:numPr>
        <w:ilvl w:val="6"/>
        <w:numId w:val="22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591235"/>
    <w:pPr>
      <w:numPr>
        <w:ilvl w:val="7"/>
        <w:numId w:val="22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591235"/>
    <w:pPr>
      <w:keepNext/>
      <w:widowControl w:val="0"/>
      <w:numPr>
        <w:ilvl w:val="8"/>
        <w:numId w:val="22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20"/>
      </w:numPr>
      <w:spacing w:before="80"/>
      <w:ind w:right="369"/>
    </w:pPr>
  </w:style>
  <w:style w:type="paragraph" w:customStyle="1" w:styleId="Nlisti">
    <w:name w:val="N_list (i)"/>
    <w:basedOn w:val="Normal"/>
    <w:pPr>
      <w:numPr>
        <w:ilvl w:val="2"/>
        <w:numId w:val="19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numPr>
        <w:numId w:val="20"/>
      </w:numPr>
      <w:tabs>
        <w:tab w:val="left" w:pos="851"/>
      </w:tabs>
      <w:spacing w:before="60" w:after="60"/>
    </w:pPr>
    <w:rPr>
      <w:sz w:val="20"/>
    </w:rPr>
  </w:style>
  <w:style w:type="character" w:styleId="PageNumber">
    <w:name w:val="page number"/>
    <w:basedOn w:val="DefaultParagraphFont"/>
    <w:rsid w:val="007C1DBC"/>
    <w:rPr>
      <w:rFonts w:ascii="Verdana" w:hAnsi="Verdana"/>
      <w:sz w:val="18"/>
    </w:rPr>
  </w:style>
  <w:style w:type="paragraph" w:customStyle="1" w:styleId="Nlisti0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rsid w:val="00BE6377"/>
    <w:pPr>
      <w:keepNext w:val="0"/>
      <w:widowControl/>
      <w:numPr>
        <w:numId w:val="22"/>
      </w:numPr>
      <w:tabs>
        <w:tab w:val="clear" w:pos="720"/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BC2702"/>
    <w:pPr>
      <w:numPr>
        <w:numId w:val="23"/>
      </w:numPr>
      <w:spacing w:before="120"/>
    </w:pPr>
    <w:rPr>
      <w:rFonts w:ascii="Verdana" w:hAnsi="Verdana"/>
      <w:sz w:val="22"/>
    </w:rPr>
  </w:style>
  <w:style w:type="paragraph" w:customStyle="1" w:styleId="Conditions2">
    <w:name w:val="Conditions2"/>
    <w:rsid w:val="00BC2702"/>
    <w:pPr>
      <w:numPr>
        <w:ilvl w:val="2"/>
        <w:numId w:val="23"/>
      </w:numPr>
      <w:spacing w:before="6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basedOn w:val="DefaultParagraphFont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semiHidden/>
    <w:rsid w:val="006F6496"/>
    <w:rPr>
      <w:sz w:val="16"/>
    </w:rPr>
  </w:style>
  <w:style w:type="character" w:styleId="Hyperlink">
    <w:name w:val="Hyperlink"/>
    <w:basedOn w:val="DefaultParagraphFont"/>
    <w:rsid w:val="008A03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0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25A"/>
    <w:rPr>
      <w:rFonts w:ascii="Tahoma" w:hAnsi="Tahoma" w:cs="Tahoma"/>
      <w:sz w:val="16"/>
      <w:szCs w:val="16"/>
    </w:rPr>
  </w:style>
  <w:style w:type="paragraph" w:customStyle="1" w:styleId="ConditionsA">
    <w:name w:val="ConditionsA"/>
    <w:basedOn w:val="Conditions2"/>
    <w:qFormat/>
    <w:rsid w:val="00901334"/>
  </w:style>
  <w:style w:type="paragraph" w:customStyle="1" w:styleId="ConditionsBullet">
    <w:name w:val="ConditionsBullet"/>
    <w:basedOn w:val="Conditions2"/>
    <w:qFormat/>
    <w:rsid w:val="00901334"/>
    <w:pPr>
      <w:numPr>
        <w:ilvl w:val="3"/>
      </w:numPr>
      <w:spacing w:before="0"/>
    </w:pPr>
  </w:style>
  <w:style w:type="numbering" w:customStyle="1" w:styleId="ConditionsList">
    <w:name w:val="ConditionsList"/>
    <w:uiPriority w:val="99"/>
    <w:rsid w:val="00BC2702"/>
    <w:pPr>
      <w:numPr>
        <w:numId w:val="11"/>
      </w:numPr>
    </w:pPr>
  </w:style>
  <w:style w:type="paragraph" w:customStyle="1" w:styleId="ConditionsNoNumber">
    <w:name w:val="ConditionsNoNumber"/>
    <w:basedOn w:val="Normal"/>
    <w:qFormat/>
    <w:rsid w:val="00BC2702"/>
    <w:pPr>
      <w:numPr>
        <w:ilvl w:val="1"/>
        <w:numId w:val="23"/>
      </w:numPr>
      <w:spacing w:before="120"/>
    </w:pPr>
  </w:style>
  <w:style w:type="paragraph" w:customStyle="1" w:styleId="ConditionsNoNumberNoSpaceBefore">
    <w:name w:val="ConditionsNoNumberNoSpaceBefore"/>
    <w:basedOn w:val="ConditionsNoNumber"/>
    <w:qFormat/>
    <w:rsid w:val="00A5760C"/>
    <w:pPr>
      <w:numPr>
        <w:ilvl w:val="4"/>
      </w:numPr>
      <w:spacing w:before="0"/>
    </w:pPr>
  </w:style>
  <w:style w:type="numbering" w:customStyle="1" w:styleId="nListiList">
    <w:name w:val="nList(i)List"/>
    <w:uiPriority w:val="99"/>
    <w:rsid w:val="00E974ED"/>
    <w:pPr>
      <w:numPr>
        <w:numId w:val="19"/>
      </w:numPr>
    </w:pPr>
  </w:style>
  <w:style w:type="numbering" w:customStyle="1" w:styleId="nListaList">
    <w:name w:val="nList(a)List"/>
    <w:uiPriority w:val="99"/>
    <w:rsid w:val="0057782A"/>
    <w:pPr>
      <w:numPr>
        <w:numId w:val="20"/>
      </w:numPr>
    </w:pPr>
  </w:style>
  <w:style w:type="numbering" w:customStyle="1" w:styleId="StylesList">
    <w:name w:val="StylesList"/>
    <w:uiPriority w:val="99"/>
    <w:rsid w:val="006127F0"/>
    <w:pPr>
      <w:numPr>
        <w:numId w:val="21"/>
      </w:numPr>
    </w:pPr>
  </w:style>
  <w:style w:type="character" w:styleId="FootnoteReference">
    <w:name w:val="footnote reference"/>
    <w:basedOn w:val="DefaultParagraphFont"/>
    <w:semiHidden/>
    <w:unhideWhenUsed/>
    <w:rsid w:val="00544A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RDS\decision%20templates\casework\Decisi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99A5744D14B4B92DD49B2C7BC5F6E" ma:contentTypeVersion="13" ma:contentTypeDescription="Create a new document." ma:contentTypeScope="" ma:versionID="aaf94f9fb7dc59e156c80ebbb712d35c">
  <xsd:schema xmlns:xsd="http://www.w3.org/2001/XMLSchema" xmlns:xs="http://www.w3.org/2001/XMLSchema" xmlns:p="http://schemas.microsoft.com/office/2006/metadata/properties" xmlns:ns3="c781fcaa-52e1-4021-a8d3-b66c85bc600e" xmlns:ns4="28d24b8f-29f2-49ca-aa5b-dbde2d94cf9c" targetNamespace="http://schemas.microsoft.com/office/2006/metadata/properties" ma:root="true" ma:fieldsID="399658555a96858ec7a53e139630a323" ns3:_="" ns4:_="">
    <xsd:import namespace="c781fcaa-52e1-4021-a8d3-b66c85bc600e"/>
    <xsd:import namespace="28d24b8f-29f2-49ca-aa5b-dbde2d94cf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1fcaa-52e1-4021-a8d3-b66c85bc6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4b8f-29f2-49ca-aa5b-dbde2d94c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0B68FF-19D2-44D5-988D-2F32D7B8D1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7A0563-7CF6-41E8-99D0-CCF078A4A0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B4E3D-6A90-4CCF-837C-64179DC4D6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5D5DB0-66EE-44C6-AD4C-D062A299249D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1696D413-E885-48D1-85DD-221387ACC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1fcaa-52e1-4021-a8d3-b66c85bc600e"/>
    <ds:schemaRef ds:uri="28d24b8f-29f2-49ca-aa5b-dbde2d94c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Decisions</Template>
  <TotalTime>7</TotalTime>
  <Pages>5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creator>Perrins, Richard</dc:creator>
  <cp:lastModifiedBy>Davis, Rob</cp:lastModifiedBy>
  <cp:revision>2</cp:revision>
  <cp:lastPrinted>2013-05-29T14:27:00Z</cp:lastPrinted>
  <dcterms:created xsi:type="dcterms:W3CDTF">2021-08-03T14:04:00Z</dcterms:created>
  <dcterms:modified xsi:type="dcterms:W3CDTF">2021-08-03T14:04:00Z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34c1df10-71ae-46b8-8faa-bfc4649544e6</vt:lpwstr>
  </property>
  <property fmtid="{D5CDD505-2E9C-101B-9397-08002B2CF9AE}" pid="6" name="bjSaver">
    <vt:lpwstr>SVhjgXkoP7P+TAOxhFkd4y5K4Csl790e</vt:lpwstr>
  </property>
  <property fmtid="{D5CDD505-2E9C-101B-9397-08002B2CF9AE}" pid="7" name="bjDocumentSecurityLabel">
    <vt:lpwstr>No Marking</vt:lpwstr>
  </property>
  <property fmtid="{D5CDD505-2E9C-101B-9397-08002B2CF9AE}" pid="8" name="DRDSDocumentType">
    <vt:lpwstr>Appeal Decision</vt:lpwstr>
  </property>
  <property fmtid="{D5CDD505-2E9C-101B-9397-08002B2CF9AE}" pid="9" name="DRDSLanguage">
    <vt:lpwstr>English</vt:lpwstr>
  </property>
  <property fmtid="{D5CDD505-2E9C-101B-9397-08002B2CF9AE}" pid="10" name="DRDSShortForm">
    <vt:lpwstr>Yes</vt:lpwstr>
  </property>
  <property fmtid="{D5CDD505-2E9C-101B-9397-08002B2CF9AE}" pid="11" name="ContentTypeId">
    <vt:lpwstr>0x010100A1499A5744D14B4B92DD49B2C7BC5F6E</vt:lpwstr>
  </property>
</Properties>
</file>