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5abb"/>
          <w:sz w:val="36"/>
          <w:szCs w:val="36"/>
        </w:rPr>
      </w:pPr>
      <w:bookmarkStart w:colFirst="0" w:colLast="0" w:name="_gjdgxs" w:id="0"/>
      <w:bookmarkEnd w:id="0"/>
      <w:r w:rsidDel="00000000" w:rsidR="00000000" w:rsidRPr="00000000">
        <w:rPr>
          <w:b w:val="1"/>
          <w:color w:val="005abb"/>
          <w:sz w:val="36"/>
          <w:szCs w:val="36"/>
          <w:rtl w:val="0"/>
        </w:rPr>
        <w:t xml:space="preserve">Undertaking Project and Programme Assurance Reviews</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12"/>
          <w:szCs w:val="1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color w:val="000000"/>
          <w:sz w:val="22"/>
          <w:szCs w:val="22"/>
        </w:rPr>
      </w:pPr>
      <w:r w:rsidDel="00000000" w:rsidR="00000000" w:rsidRPr="00000000">
        <w:rPr>
          <w:b w:val="1"/>
          <w:color w:val="000000"/>
          <w:sz w:val="34"/>
          <w:szCs w:val="34"/>
          <w:rtl w:val="0"/>
        </w:rPr>
        <w:t xml:space="preserve">Assurance of Action Plan Guidance</w:t>
      </w:r>
      <w:r w:rsidDel="00000000" w:rsidR="00000000" w:rsidRPr="00000000">
        <w:rPr>
          <w:rtl w:val="0"/>
        </w:rPr>
      </w:r>
    </w:p>
    <w:p w:rsidR="00000000" w:rsidDel="00000000" w:rsidP="00000000" w:rsidRDefault="00000000" w:rsidRPr="00000000" w14:paraId="00000004">
      <w:pPr>
        <w:pStyle w:val="Heading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06">
      <w:pPr>
        <w:pStyle w:val="Heading4"/>
        <w:jc w:val="both"/>
        <w:rPr>
          <w:rFonts w:ascii="Times New Roman" w:cs="Times New Roman" w:eastAsia="Times New Roman" w:hAnsi="Times New Roman"/>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Assurance of Action Plan (AAP) review re-assesses </w:t>
      </w:r>
      <w:r w:rsidDel="00000000" w:rsidR="00000000" w:rsidRPr="00000000">
        <w:rPr>
          <w:sz w:val="22"/>
          <w:szCs w:val="22"/>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or programme in the light of actions taken, following a Government Major Project Portfolio (GMPP) assurance review, where </w:t>
      </w:r>
      <w:r w:rsidDel="00000000" w:rsidR="00000000" w:rsidRPr="00000000">
        <w:rPr>
          <w:sz w:val="22"/>
          <w:szCs w:val="22"/>
          <w:rtl w:val="0"/>
        </w:rPr>
        <w:t xml:space="preserve">the Stage Gate Assessment was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assessed as Red.</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AAP process is led by the Infrastructure and Projects Authority (IPA) and carried out in partnership with the parent department for the benefit of the Accounting Officer. The purpose of the AAP is to </w:t>
      </w:r>
      <w:r w:rsidDel="00000000" w:rsidR="00000000" w:rsidRPr="00000000">
        <w:rPr>
          <w:sz w:val="22"/>
          <w:szCs w:val="22"/>
          <w:rtl w:val="0"/>
        </w:rPr>
        <w:t xml:space="preserve">assess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actions taken and</w:t>
      </w:r>
      <w:r w:rsidDel="00000000" w:rsidR="00000000" w:rsidRPr="00000000">
        <w:rPr>
          <w:sz w:val="22"/>
          <w:szCs w:val="22"/>
          <w:rtl w:val="0"/>
        </w:rPr>
        <w:t xml:space="preserve">/ or plans developed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the previous review have significantly improved the likelihood of successful delivery. The AAP </w:t>
      </w:r>
      <w:r w:rsidDel="00000000" w:rsidR="00000000" w:rsidRPr="00000000">
        <w:rPr>
          <w:sz w:val="22"/>
          <w:szCs w:val="22"/>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rovides the </w:t>
      </w:r>
      <w:r w:rsidDel="00000000" w:rsidR="00000000" w:rsidRPr="00000000">
        <w:rPr>
          <w:sz w:val="22"/>
          <w:szCs w:val="22"/>
          <w:rtl w:val="0"/>
        </w:rPr>
        <w:t xml:space="preserve">Accounting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Officer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(AO) and the SRO with the assurance that their programme or project is adequately addressing the issues that it needs to. It will be used t</w:t>
      </w:r>
      <w:r w:rsidDel="00000000" w:rsidR="00000000" w:rsidRPr="00000000">
        <w:rPr>
          <w:sz w:val="22"/>
          <w:szCs w:val="22"/>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support </w:t>
      </w:r>
      <w:r w:rsidDel="00000000" w:rsidR="00000000" w:rsidRPr="00000000">
        <w:rPr>
          <w:sz w:val="22"/>
          <w:szCs w:val="22"/>
          <w:rtl w:val="0"/>
        </w:rPr>
        <w:t xml:space="preserve">decision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making by HMT at key approval points.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2"/>
          <w:szCs w:val="22"/>
        </w:rPr>
      </w:pPr>
      <w:r w:rsidDel="00000000" w:rsidR="00000000" w:rsidRPr="00000000">
        <w:rPr>
          <w:sz w:val="22"/>
          <w:szCs w:val="22"/>
          <w:rtl w:val="0"/>
        </w:rPr>
        <w:t xml:space="preserve">The AAP will provide a Stage Gate Assessment (DCA), which will be based on the following definitions: </w:t>
      </w:r>
    </w:p>
    <w:tbl>
      <w:tblPr>
        <w:tblStyle w:val="Table1"/>
        <w:tblW w:w="9741.031965375189"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275"/>
        <w:gridCol w:w="3945"/>
        <w:gridCol w:w="4521.0319653751885"/>
        <w:tblGridChange w:id="0">
          <w:tblGrid>
            <w:gridCol w:w="1275"/>
            <w:gridCol w:w="3945"/>
            <w:gridCol w:w="4521.0319653751885"/>
          </w:tblGrid>
        </w:tblGridChange>
      </w:tblGrid>
      <w:tr>
        <w:trPr>
          <w:trHeight w:val="200" w:hRule="atLeast"/>
        </w:trPr>
        <w:tc>
          <w:tcPr>
            <w:shd w:fill="bfbfbf" w:val="clear"/>
          </w:tcPr>
          <w:p w:rsidR="00000000" w:rsidDel="00000000" w:rsidP="00000000" w:rsidRDefault="00000000" w:rsidRPr="00000000" w14:paraId="0000000C">
            <w:pPr>
              <w:spacing w:after="120" w:before="120" w:lineRule="auto"/>
              <w:jc w:val="center"/>
              <w:rPr>
                <w:color w:val="000000"/>
                <w:sz w:val="20"/>
                <w:szCs w:val="20"/>
              </w:rPr>
            </w:pPr>
            <w:r w:rsidDel="00000000" w:rsidR="00000000" w:rsidRPr="00000000">
              <w:rPr>
                <w:color w:val="000000"/>
                <w:sz w:val="20"/>
                <w:szCs w:val="20"/>
                <w:rtl w:val="0"/>
              </w:rPr>
              <w:t xml:space="preserve">Colour</w:t>
            </w:r>
          </w:p>
        </w:tc>
        <w:tc>
          <w:tcPr>
            <w:gridSpan w:val="2"/>
            <w:shd w:fill="bfbfbf" w:val="clear"/>
          </w:tcPr>
          <w:p w:rsidR="00000000" w:rsidDel="00000000" w:rsidP="00000000" w:rsidRDefault="00000000" w:rsidRPr="00000000" w14:paraId="0000000D">
            <w:pPr>
              <w:spacing w:after="120" w:before="120" w:lineRule="auto"/>
              <w:rPr>
                <w:color w:val="000000"/>
                <w:sz w:val="20"/>
                <w:szCs w:val="20"/>
              </w:rPr>
            </w:pPr>
            <w:r w:rsidDel="00000000" w:rsidR="00000000" w:rsidRPr="00000000">
              <w:rPr>
                <w:color w:val="000000"/>
                <w:sz w:val="20"/>
                <w:szCs w:val="20"/>
                <w:rtl w:val="0"/>
              </w:rPr>
              <w:t xml:space="preserve">Criteria Description</w:t>
            </w:r>
          </w:p>
        </w:tc>
      </w:tr>
      <w:tr>
        <w:trPr>
          <w:trHeight w:val="200" w:hRule="atLeast"/>
        </w:trPr>
        <w:tc>
          <w:tcPr/>
          <w:p w:rsidR="00000000" w:rsidDel="00000000" w:rsidP="00000000" w:rsidRDefault="00000000" w:rsidRPr="00000000" w14:paraId="0000000F">
            <w:pPr>
              <w:spacing w:after="240" w:before="240" w:lineRule="auto"/>
              <w:rPr>
                <w:sz w:val="20"/>
                <w:szCs w:val="20"/>
              </w:rPr>
            </w:pPr>
            <w:r w:rsidDel="00000000" w:rsidR="00000000" w:rsidRPr="00000000">
              <w:rPr>
                <w:color w:val="00b050"/>
                <w:sz w:val="20"/>
                <w:szCs w:val="20"/>
                <w:rtl w:val="0"/>
              </w:rPr>
              <w:t xml:space="preserve">Green</w:t>
            </w:r>
            <w:r w:rsidDel="00000000" w:rsidR="00000000" w:rsidRPr="00000000">
              <w:rPr>
                <w:rtl w:val="0"/>
              </w:rPr>
            </w:r>
          </w:p>
        </w:tc>
        <w:tc>
          <w:tcPr>
            <w:gridSpan w:val="2"/>
          </w:tcPr>
          <w:p w:rsidR="00000000" w:rsidDel="00000000" w:rsidP="00000000" w:rsidRDefault="00000000" w:rsidRPr="00000000" w14:paraId="00000010">
            <w:pPr>
              <w:spacing w:after="240" w:line="276"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highly likely and there are no major outstanding issues that at this stage appear to threaten delivery.</w:t>
            </w:r>
          </w:p>
          <w:p w:rsidR="00000000" w:rsidDel="00000000" w:rsidP="00000000" w:rsidRDefault="00000000" w:rsidRPr="00000000" w14:paraId="00000011">
            <w:pPr>
              <w:spacing w:after="240" w:line="276" w:lineRule="auto"/>
              <w:rPr>
                <w:color w:val="000000"/>
                <w:sz w:val="20"/>
                <w:szCs w:val="20"/>
              </w:rPr>
            </w:pPr>
            <w:r w:rsidDel="00000000" w:rsidR="00000000" w:rsidRPr="00000000">
              <w:rPr>
                <w:i w:val="1"/>
                <w:color w:val="000000"/>
                <w:sz w:val="20"/>
                <w:szCs w:val="20"/>
                <w:rtl w:val="0"/>
              </w:rPr>
              <w:t xml:space="preserve">Recommendation: The programme/project is ready to proceed to the next stage</w:t>
            </w:r>
            <w:r w:rsidDel="00000000" w:rsidR="00000000" w:rsidRPr="00000000">
              <w:rPr>
                <w:color w:val="000000"/>
                <w:sz w:val="20"/>
                <w:szCs w:val="20"/>
                <w:rtl w:val="0"/>
              </w:rPr>
              <w:t xml:space="preserve">.</w:t>
            </w:r>
          </w:p>
        </w:tc>
      </w:tr>
      <w:tr>
        <w:trPr>
          <w:trHeight w:val="962" w:hRule="atLeast"/>
        </w:trPr>
        <w:tc>
          <w:tcPr/>
          <w:p w:rsidR="00000000" w:rsidDel="00000000" w:rsidP="00000000" w:rsidRDefault="00000000" w:rsidRPr="00000000" w14:paraId="00000013">
            <w:pPr>
              <w:spacing w:after="240" w:before="240" w:lineRule="auto"/>
              <w:rPr>
                <w:sz w:val="20"/>
                <w:szCs w:val="20"/>
              </w:rPr>
            </w:pPr>
            <w:r w:rsidDel="00000000" w:rsidR="00000000" w:rsidRPr="00000000">
              <w:rPr>
                <w:color w:val="ffc000"/>
                <w:sz w:val="20"/>
                <w:szCs w:val="20"/>
                <w:rtl w:val="0"/>
              </w:rPr>
              <w:t xml:space="preserve">Amber</w:t>
            </w:r>
            <w:r w:rsidDel="00000000" w:rsidR="00000000" w:rsidRPr="00000000">
              <w:rPr>
                <w:rtl w:val="0"/>
              </w:rPr>
            </w:r>
          </w:p>
        </w:tc>
        <w:tc>
          <w:tcPr>
            <w:gridSpan w:val="2"/>
          </w:tcPr>
          <w:p w:rsidR="00000000" w:rsidDel="00000000" w:rsidP="00000000" w:rsidRDefault="00000000" w:rsidRPr="00000000" w14:paraId="00000014">
            <w:pPr>
              <w:widowControl w:val="0"/>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feasible but significant issues already exist requiring management attention.  These appear resolvable at this stage and, if addressed promptly, should not present a cost/schedule overrun.</w:t>
            </w:r>
          </w:p>
          <w:p w:rsidR="00000000" w:rsidDel="00000000" w:rsidP="00000000" w:rsidRDefault="00000000" w:rsidRPr="00000000" w14:paraId="00000015">
            <w:pPr>
              <w:spacing w:line="276" w:lineRule="auto"/>
              <w:rPr>
                <w:color w:val="000000"/>
                <w:sz w:val="20"/>
                <w:szCs w:val="20"/>
              </w:rPr>
            </w:pPr>
            <w:r w:rsidDel="00000000" w:rsidR="00000000" w:rsidRPr="00000000">
              <w:rPr>
                <w:i w:val="1"/>
                <w:color w:val="000000"/>
                <w:sz w:val="20"/>
                <w:szCs w:val="20"/>
                <w:rtl w:val="0"/>
              </w:rPr>
              <w:t xml:space="preserve">Recommendation: This programme/project can proceed to the next stage with conditions but the programme/project must report back to the IPA and HMT on the satisfaction of each time bound condition within an agreed timeframe.  </w:t>
            </w:r>
            <w:r w:rsidDel="00000000" w:rsidR="00000000" w:rsidRPr="00000000">
              <w:rPr>
                <w:rtl w:val="0"/>
              </w:rPr>
            </w:r>
          </w:p>
        </w:tc>
      </w:tr>
      <w:tr>
        <w:trPr>
          <w:trHeight w:val="212" w:hRule="atLeast"/>
        </w:trPr>
        <w:tc>
          <w:tcPr/>
          <w:p w:rsidR="00000000" w:rsidDel="00000000" w:rsidP="00000000" w:rsidRDefault="00000000" w:rsidRPr="00000000" w14:paraId="00000017">
            <w:pPr>
              <w:spacing w:after="240" w:before="240" w:lineRule="auto"/>
              <w:rPr>
                <w:sz w:val="20"/>
                <w:szCs w:val="20"/>
              </w:rPr>
            </w:pPr>
            <w:r w:rsidDel="00000000" w:rsidR="00000000" w:rsidRPr="00000000">
              <w:rPr>
                <w:color w:val="ff0000"/>
                <w:sz w:val="20"/>
                <w:szCs w:val="20"/>
                <w:rtl w:val="0"/>
              </w:rPr>
              <w:t xml:space="preserve">Red</w:t>
            </w:r>
            <w:r w:rsidDel="00000000" w:rsidR="00000000" w:rsidRPr="00000000">
              <w:rPr>
                <w:rtl w:val="0"/>
              </w:rPr>
            </w:r>
          </w:p>
        </w:tc>
        <w:tc>
          <w:tcPr>
            <w:gridSpan w:val="2"/>
          </w:tcPr>
          <w:p w:rsidR="00000000" w:rsidDel="00000000" w:rsidP="00000000" w:rsidRDefault="00000000" w:rsidRPr="00000000" w14:paraId="00000018">
            <w:pPr>
              <w:spacing w:after="60" w:before="120" w:lineRule="auto"/>
              <w:rPr>
                <w:b w:val="0"/>
                <w:color w:val="000000"/>
                <w:sz w:val="20"/>
                <w:szCs w:val="20"/>
              </w:rPr>
            </w:pPr>
            <w:r w:rsidDel="00000000" w:rsidR="00000000" w:rsidRPr="00000000">
              <w:rPr>
                <w:b w:val="0"/>
                <w:color w:val="000000"/>
                <w:sz w:val="20"/>
                <w:szCs w:val="20"/>
                <w:rtl w:val="0"/>
              </w:rPr>
              <w:t xml:space="preserve">S</w:t>
            </w:r>
            <w:r w:rsidDel="00000000" w:rsidR="00000000" w:rsidRPr="00000000">
              <w:rPr>
                <w:b w:val="0"/>
                <w:color w:val="000000"/>
                <w:sz w:val="20"/>
                <w:szCs w:val="20"/>
                <w:rtl w:val="0"/>
              </w:rPr>
              <w:t xml:space="preserve">uccessful delivery of the programme/project to time, cost and quality appears to be unachievable.  There are major issues which, at this stage, do not appear to be manageable or resolvable.  The programme/project may need re-baselining and/or its overall viability re-assessed.</w:t>
            </w:r>
          </w:p>
          <w:p w:rsidR="00000000" w:rsidDel="00000000" w:rsidP="00000000" w:rsidRDefault="00000000" w:rsidRPr="00000000" w14:paraId="00000019">
            <w:pPr>
              <w:spacing w:after="60" w:before="120" w:lineRule="auto"/>
              <w:rPr>
                <w:b w:val="0"/>
                <w:color w:val="000000"/>
                <w:sz w:val="20"/>
                <w:szCs w:val="20"/>
              </w:rPr>
            </w:pPr>
            <w:r w:rsidDel="00000000" w:rsidR="00000000" w:rsidRPr="00000000">
              <w:rPr>
                <w:rtl w:val="0"/>
              </w:rPr>
            </w:r>
          </w:p>
          <w:p w:rsidR="00000000" w:rsidDel="00000000" w:rsidP="00000000" w:rsidRDefault="00000000" w:rsidRPr="00000000" w14:paraId="0000001A">
            <w:pPr>
              <w:spacing w:line="276" w:lineRule="auto"/>
              <w:rPr>
                <w:b w:val="0"/>
                <w:color w:val="000000"/>
                <w:sz w:val="20"/>
                <w:szCs w:val="20"/>
              </w:rPr>
            </w:pPr>
            <w:r w:rsidDel="00000000" w:rsidR="00000000" w:rsidRPr="00000000">
              <w:rPr>
                <w:i w:val="1"/>
                <w:color w:val="000000"/>
                <w:sz w:val="20"/>
                <w:szCs w:val="20"/>
                <w:rtl w:val="0"/>
              </w:rPr>
              <w:t xml:space="preserve">Recommendation: This programme/project should not proceed to the next phase until these major issues are managed to an acceptable level of risk and the viability of the project/programme has been re-confirmed. </w:t>
            </w:r>
            <w:r w:rsidDel="00000000" w:rsidR="00000000" w:rsidRPr="00000000">
              <w:rPr>
                <w:rtl w:val="0"/>
              </w:rPr>
            </w:r>
          </w:p>
        </w:tc>
      </w:tr>
    </w:tbl>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1E">
      <w:pPr>
        <w:pStyle w:val="Heading2"/>
        <w:numPr>
          <w:ilvl w:val="0"/>
          <w:numId w:val="4"/>
        </w:numPr>
        <w:ind w:left="720" w:hanging="360"/>
        <w:rPr/>
      </w:pPr>
      <w:r w:rsidDel="00000000" w:rsidR="00000000" w:rsidRPr="00000000">
        <w:rPr>
          <w:rtl w:val="0"/>
        </w:rPr>
        <w:t xml:space="preserve">When does an AAP take place?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takes place following an assurance review of a project or programme on the GMPP if:</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results in a </w:t>
      </w:r>
      <w:r w:rsidDel="00000000" w:rsidR="00000000" w:rsidRPr="00000000">
        <w:rPr>
          <w:sz w:val="22"/>
          <w:szCs w:val="22"/>
          <w:rtl w:val="0"/>
        </w:rPr>
        <w:t xml:space="preserve">Stage Gate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 of Red;</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5"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IPA decides that an AAP would add value.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5"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Timing-wise, an AAP </w:t>
      </w:r>
      <w:r w:rsidDel="00000000" w:rsidR="00000000" w:rsidRPr="00000000">
        <w:rPr>
          <w:sz w:val="22"/>
          <w:szCs w:val="22"/>
          <w:rtl w:val="0"/>
        </w:rPr>
        <w:t xml:space="preserve">review will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occur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after the project/ programme has had an opportunity to plan how to address the review recommendations</w:t>
      </w:r>
      <w:r w:rsidDel="00000000" w:rsidR="00000000" w:rsidRPr="00000000">
        <w:rPr>
          <w:sz w:val="22"/>
          <w:szCs w:val="22"/>
          <w:rtl w:val="0"/>
        </w:rPr>
        <w:t xml:space="preserv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when the Project Delivery Advisor (PDA)</w:t>
      </w:r>
      <w:r w:rsidDel="00000000" w:rsidR="00000000" w:rsidRPr="00000000">
        <w:rPr>
          <w:sz w:val="22"/>
          <w:szCs w:val="22"/>
          <w:rtl w:val="0"/>
        </w:rPr>
        <w:t xml:space="preserv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Assurance Lead (AL) believes the programme/project and plans are in a fit state to be re-appraised.  This </w:t>
      </w:r>
      <w:r w:rsidDel="00000000" w:rsidR="00000000" w:rsidRPr="00000000">
        <w:rPr>
          <w:sz w:val="22"/>
          <w:szCs w:val="22"/>
          <w:rtl w:val="0"/>
        </w:rPr>
        <w:t xml:space="preserve">will be no later than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three months of the original review, but this may vary with the project/programme context and circumstances.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numPr>
          <w:ilvl w:val="0"/>
          <w:numId w:val="4"/>
        </w:numPr>
        <w:ind w:left="720" w:hanging="360"/>
        <w:rPr/>
      </w:pPr>
      <w:r w:rsidDel="00000000" w:rsidR="00000000" w:rsidRPr="00000000">
        <w:rPr>
          <w:rtl w:val="0"/>
        </w:rPr>
        <w:t xml:space="preserve">Who makes up an AAP team?</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PDA will follow up with the Programme or Project Team after a</w:t>
      </w:r>
      <w:r w:rsidDel="00000000" w:rsidR="00000000" w:rsidRPr="00000000">
        <w:rPr>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 review, initially to check that a suitable Action Plan in response to the recommendations is being created.  Once satisfied with the Action Plan, the Assurance Lead (AL) will then work with the IPA Resourcing Team to build a suitable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team.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 Team Leader (RTL)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sz w:val="22"/>
          <w:szCs w:val="22"/>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RTL </w:t>
      </w:r>
      <w:r w:rsidDel="00000000" w:rsidR="00000000" w:rsidRPr="00000000">
        <w:rPr>
          <w:sz w:val="22"/>
          <w:szCs w:val="22"/>
          <w:rtl w:val="0"/>
        </w:rPr>
        <w:t xml:space="preserve">may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an AL or PDA from the IPA. However, the RTL may come from outside of IPA and it is sometimes useful to use the RTL that </w:t>
      </w:r>
      <w:r w:rsidDel="00000000" w:rsidR="00000000" w:rsidRPr="00000000">
        <w:rPr>
          <w:sz w:val="22"/>
          <w:szCs w:val="22"/>
          <w:rtl w:val="0"/>
        </w:rPr>
        <w:t xml:space="preserve">led to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last review.  Following the AAP planning meeting, the RTL will lead all aspects of the AAP review until the final report is agreed with the SRO and is issued to the </w:t>
      </w:r>
      <w:r w:rsidDel="00000000" w:rsidR="00000000" w:rsidRPr="00000000">
        <w:rPr>
          <w:sz w:val="22"/>
          <w:szCs w:val="22"/>
          <w:rtl w:val="0"/>
        </w:rPr>
        <w:t xml:space="preserve">AO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RTL should also debrief the relevant AL.</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 Team Member (RTM)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RTL from the previous review is available then the RTM will usually be from the IPA. If not, the RTM will normally be an RTM from the previous review so that there is some awareness of the issues that underpinned the previous </w:t>
      </w:r>
      <w:r w:rsidDel="00000000" w:rsidR="00000000" w:rsidRPr="00000000">
        <w:rPr>
          <w:sz w:val="22"/>
          <w:szCs w:val="22"/>
          <w:rtl w:val="0"/>
        </w:rPr>
        <w:t xml:space="preserve">Stage Gate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Style w:val="Heading2"/>
        <w:numPr>
          <w:ilvl w:val="0"/>
          <w:numId w:val="4"/>
        </w:numPr>
        <w:ind w:left="720" w:hanging="360"/>
        <w:rPr/>
      </w:pPr>
      <w:r w:rsidDel="00000000" w:rsidR="00000000" w:rsidRPr="00000000">
        <w:rPr>
          <w:rtl w:val="0"/>
        </w:rPr>
        <w:t xml:space="preserve">Running the AAP review</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Assessment Meeting: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order to agree whether an AAP review is appropriate, an assessment meeting is held within a month of the assurance review which produced the Red or Amber/Red Delivery Confidence Assessment.  It is led by the AL and will involve key personnel from the programme or project and its leadership team including the Project Director and/or the SRO.  Where it is agreed that an AAP review is warranted, dates for the planning meeting and the actual review will be set.</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Planning meeting (if required):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normally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held two weeks prior to the actual AAP review and involves the: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Team;</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SRO and Project Director; and</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Representative organising the logistics for the review.</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aim of the planning meeting is to:</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everyone understands the AAP review process and scope;</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Flag up key areas of concern to the AAP Review Team;</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on progress made by the programme/ project since the last assurance review;</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documentation and interviewees.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 documents should be supplied to the Review Team at least one week prior to the review:</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previous assurance review report;</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action plan produced by the Programme or Project Team detailing actions already taken, those in train and those to be taken; and</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full list of documents to be read by the Review Team (as agreed at the planning meeting).</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itself will normally be two days in duration and a draft report will be produced for the SRO at the end of the final day. Typically interviews will be held in the morning and the report written up in the afternoon.  If more than a morning is needed for interviews, to have sufficient confidence in the AAP process, then the report can be written up the next day. In that case, verbal feedback on key findings will be provided to the SRO at the end of the day.</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typical outline is as follows (note: timing can vary depending on the requirements of the AAP)</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 One: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09:00 – 09:30   AAP Team meet to discuss plans and documentation provided</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09:30 – 16:00   Interviews with SRO, Programme Director/Manager and Programme staff and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Others as appropriate (note: 1 hour lunch is included during this time period)</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 – 16:30</w:t>
        <w:tab/>
        <w:t xml:space="preserve">  Review team internal discussion </w:t>
        <w:br w:type="textWrapping"/>
        <w:t xml:space="preserve">16:30 – 17:00</w:t>
        <w:tab/>
        <w:t xml:space="preserve">  Discussion and feedback with SRO</w:t>
      </w:r>
    </w:p>
    <w:p w:rsidR="00000000" w:rsidDel="00000000" w:rsidP="00000000" w:rsidRDefault="00000000" w:rsidRPr="00000000" w14:paraId="00000046">
      <w:pPr>
        <w:spacing w:after="240" w:lineRule="auto"/>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 Two: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09:00 – 12:30   Final interviews.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 – 13:30   Lunch</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13:30 – 16:00   Assess and report writing</w:t>
        <w:br w:type="textWrapping"/>
        <w:t xml:space="preserve">15:00 – 16:00</w:t>
        <w:tab/>
        <w:t xml:space="preserve">  Discussion and feedback with SRO</w:t>
      </w:r>
    </w:p>
    <w:p w:rsidR="00000000" w:rsidDel="00000000" w:rsidP="00000000" w:rsidRDefault="00000000" w:rsidRPr="00000000" w14:paraId="0000004B">
      <w:pPr>
        <w:spacing w:after="240" w:lineRule="auto"/>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Review Report: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Given the AAP is a short follow-up review, the report should be focused and should comment directly on the effectiveness of actions to address previous review recommendations. Significant risks and issues emerging since the last review should be reflected if they have an impact on the outcome of the review. The review recommendations, associated actions and interviewee list should be included.</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numPr>
          <w:ilvl w:val="0"/>
          <w:numId w:val="4"/>
        </w:numPr>
        <w:ind w:left="720" w:hanging="360"/>
        <w:rPr/>
      </w:pPr>
      <w:r w:rsidDel="00000000" w:rsidR="00000000" w:rsidRPr="00000000">
        <w:rPr>
          <w:rtl w:val="0"/>
        </w:rPr>
        <w:t xml:space="preserve">Post the AAP report activity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5 working days of the AAP concluding, the RTL must submit a copy of the approved final report to the IPA Gateway Helpdesk (</w:t>
      </w: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gateway.helpdesk@ipa.gov.uk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to the AL. The SRO, RTL and RTM should complete the feedback forms provided and forward to the IPA Gateway Helpdesk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gateway.helpdesk@ipa.gov.uk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br w:type="textWrapping"/>
      </w:r>
      <w:r w:rsidDel="00000000" w:rsidR="00000000" w:rsidRPr="00000000">
        <w:rPr>
          <w:rtl w:val="0"/>
        </w:rPr>
      </w:r>
    </w:p>
    <w:sectPr>
      <w:headerReference r:id="rId8" w:type="default"/>
      <w:footerReference r:id="rId9" w:type="default"/>
      <w:footerReference r:id="rId10" w:type="even"/>
      <w:pgSz w:h="16838" w:w="11906" w:orient="portrait"/>
      <w:pgMar w:bottom="1134" w:top="1701"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jc w:val="right"/>
      <w:rPr>
        <w:color w:val="000000"/>
        <w:sz w:val="18"/>
        <w:szCs w:val="18"/>
      </w:rPr>
    </w:pPr>
    <w:r w:rsidDel="00000000" w:rsidR="00000000" w:rsidRPr="00000000">
      <w:rPr>
        <w:b w:val="1"/>
        <w:sz w:val="18"/>
        <w:szCs w:val="18"/>
        <w:rtl w:val="0"/>
      </w:rPr>
      <w:t xml:space="preserve">UNCLASSIFIED</w:t>
    </w:r>
    <w:r w:rsidDel="00000000" w:rsidR="00000000" w:rsidRPr="00000000">
      <w:rPr>
        <w:color w:val="000000"/>
        <w:sz w:val="18"/>
        <w:szCs w:val="18"/>
        <w:rtl w:val="0"/>
      </w:rPr>
      <w:tab/>
      <w:tab/>
      <w:tab/>
      <w:tab/>
      <w:tab/>
      <w:tab/>
      <w:t xml:space="preserve">Page |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right"/>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rFonts w:ascii="Times" w:cs="Times" w:eastAsia="Times" w:hAnsi="Times"/>
        <w:b w:val="1"/>
        <w:color w:val="000000"/>
        <w:sz w:val="18"/>
        <w:szCs w:val="18"/>
      </w:rPr>
      <w:drawing>
        <wp:inline distB="0" distT="0" distL="0" distR="0">
          <wp:extent cx="959908" cy="75629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9908" cy="756291"/>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pPr>
    <w:rPr>
      <w:rFonts w:ascii="Arial" w:cs="Arial" w:eastAsia="Arial" w:hAnsi="Arial"/>
      <w:b w:val="1"/>
      <w:i w:val="0"/>
      <w:smallCaps w:val="0"/>
      <w:strike w:val="0"/>
      <w:color w:val="005abb"/>
      <w:sz w:val="36"/>
      <w:szCs w:val="36"/>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005abb"/>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gateway.helpdesk@ipa.gov.uk" TargetMode="External"/><Relationship Id="rId7" Type="http://schemas.openxmlformats.org/officeDocument/2006/relationships/hyperlink" Target="mailto:gateway.helpdesk@ipa.gov.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