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730FF" w14:textId="4A5B5855" w:rsidR="008A1EA3" w:rsidRDefault="273C099E" w:rsidP="006D7832">
      <w:pPr>
        <w:rPr>
          <w:noProof/>
          <w:lang w:eastAsia="en-GB"/>
        </w:rPr>
      </w:pPr>
      <w:r>
        <w:rPr>
          <w:noProof/>
          <w:lang w:eastAsia="en-GB"/>
        </w:rPr>
        <w:drawing>
          <wp:inline distT="0" distB="0" distL="0" distR="0" wp14:anchorId="44C3D69F" wp14:editId="4757165B">
            <wp:extent cx="2181225" cy="1114425"/>
            <wp:effectExtent l="0" t="0" r="9525" b="9525"/>
            <wp:docPr id="1" name="Picture 1" descr="Defra_582_SML_AW-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181225" cy="1114425"/>
                    </a:xfrm>
                    <a:prstGeom prst="rect">
                      <a:avLst/>
                    </a:prstGeom>
                  </pic:spPr>
                </pic:pic>
              </a:graphicData>
            </a:graphic>
          </wp:inline>
        </w:drawing>
      </w:r>
    </w:p>
    <w:p w14:paraId="5A2F7E4D" w14:textId="77777777" w:rsidR="00706BBA" w:rsidRDefault="00706BBA" w:rsidP="006D7832"/>
    <w:p w14:paraId="6B0D3DBE" w14:textId="77777777" w:rsidR="00706BBA" w:rsidRDefault="00706BBA" w:rsidP="006D7832"/>
    <w:p w14:paraId="76067FD5" w14:textId="77777777" w:rsidR="00706BBA" w:rsidRDefault="00706BBA" w:rsidP="006D7832"/>
    <w:p w14:paraId="7262F81A" w14:textId="77777777" w:rsidR="00706BBA" w:rsidRDefault="00706BBA" w:rsidP="006D7832"/>
    <w:p w14:paraId="003A875A" w14:textId="1D63A35F" w:rsidR="00CB2BFF" w:rsidRPr="00426D0B" w:rsidRDefault="00CB2BFF" w:rsidP="00EE32ED">
      <w:pPr>
        <w:pStyle w:val="Reportsubtitle"/>
        <w:rPr>
          <w:sz w:val="56"/>
          <w:szCs w:val="22"/>
        </w:rPr>
      </w:pPr>
      <w:r w:rsidRPr="00426D0B">
        <w:rPr>
          <w:sz w:val="56"/>
          <w:szCs w:val="22"/>
        </w:rPr>
        <w:t>Three</w:t>
      </w:r>
      <w:r w:rsidR="0027200C">
        <w:rPr>
          <w:sz w:val="56"/>
          <w:szCs w:val="22"/>
        </w:rPr>
        <w:t xml:space="preserve"> </w:t>
      </w:r>
      <w:r w:rsidRPr="00426D0B">
        <w:rPr>
          <w:sz w:val="56"/>
          <w:szCs w:val="22"/>
        </w:rPr>
        <w:t xml:space="preserve">year </w:t>
      </w:r>
      <w:r w:rsidR="0027200C">
        <w:rPr>
          <w:sz w:val="56"/>
          <w:szCs w:val="22"/>
        </w:rPr>
        <w:t>t</w:t>
      </w:r>
      <w:r w:rsidR="00F32330">
        <w:rPr>
          <w:sz w:val="56"/>
          <w:szCs w:val="22"/>
        </w:rPr>
        <w:t xml:space="preserve">echnical </w:t>
      </w:r>
      <w:r w:rsidR="0027200C">
        <w:rPr>
          <w:sz w:val="56"/>
          <w:szCs w:val="22"/>
        </w:rPr>
        <w:t>r</w:t>
      </w:r>
      <w:r w:rsidRPr="00426D0B">
        <w:rPr>
          <w:sz w:val="56"/>
          <w:szCs w:val="22"/>
        </w:rPr>
        <w:t xml:space="preserve">eport on the South Inshore and South Offshore Marine </w:t>
      </w:r>
      <w:r w:rsidR="00DC2E44">
        <w:rPr>
          <w:sz w:val="56"/>
          <w:szCs w:val="22"/>
        </w:rPr>
        <w:t>Plan</w:t>
      </w:r>
    </w:p>
    <w:p w14:paraId="12277E47" w14:textId="127F42DD" w:rsidR="00CB2BFF" w:rsidRDefault="00CB2BFF" w:rsidP="00646B20">
      <w:pPr>
        <w:pStyle w:val="Dateandversion"/>
      </w:pPr>
      <w:r w:rsidRPr="00CB2BFF">
        <w:rPr>
          <w:color w:val="008938"/>
          <w:sz w:val="40"/>
          <w:szCs w:val="28"/>
        </w:rPr>
        <w:t xml:space="preserve">For the period </w:t>
      </w:r>
      <w:r>
        <w:rPr>
          <w:color w:val="008938"/>
          <w:sz w:val="40"/>
          <w:szCs w:val="28"/>
        </w:rPr>
        <w:t>17</w:t>
      </w:r>
      <w:r w:rsidRPr="00CB2BFF">
        <w:rPr>
          <w:color w:val="008938"/>
          <w:sz w:val="40"/>
          <w:szCs w:val="28"/>
        </w:rPr>
        <w:t xml:space="preserve"> </w:t>
      </w:r>
      <w:r>
        <w:rPr>
          <w:color w:val="008938"/>
          <w:sz w:val="40"/>
          <w:szCs w:val="28"/>
        </w:rPr>
        <w:t xml:space="preserve">July </w:t>
      </w:r>
      <w:r w:rsidRPr="00CB2BFF">
        <w:rPr>
          <w:color w:val="008938"/>
          <w:sz w:val="40"/>
          <w:szCs w:val="28"/>
        </w:rPr>
        <w:t>201</w:t>
      </w:r>
      <w:r>
        <w:rPr>
          <w:color w:val="008938"/>
          <w:sz w:val="40"/>
          <w:szCs w:val="28"/>
        </w:rPr>
        <w:t>8</w:t>
      </w:r>
      <w:r w:rsidRPr="00CB2BFF">
        <w:rPr>
          <w:color w:val="008938"/>
          <w:sz w:val="40"/>
          <w:szCs w:val="28"/>
        </w:rPr>
        <w:t xml:space="preserve"> </w:t>
      </w:r>
      <w:r w:rsidR="0027200C">
        <w:rPr>
          <w:color w:val="008938"/>
          <w:sz w:val="40"/>
          <w:szCs w:val="28"/>
        </w:rPr>
        <w:t>to</w:t>
      </w:r>
      <w:r w:rsidRPr="00CB2BFF">
        <w:rPr>
          <w:color w:val="008938"/>
          <w:sz w:val="40"/>
          <w:szCs w:val="28"/>
        </w:rPr>
        <w:t xml:space="preserve"> 1</w:t>
      </w:r>
      <w:r w:rsidR="00A97742">
        <w:rPr>
          <w:color w:val="008938"/>
          <w:sz w:val="40"/>
          <w:szCs w:val="28"/>
        </w:rPr>
        <w:t>6</w:t>
      </w:r>
      <w:r w:rsidRPr="00CB2BFF">
        <w:rPr>
          <w:color w:val="008938"/>
          <w:sz w:val="40"/>
          <w:szCs w:val="28"/>
        </w:rPr>
        <w:t xml:space="preserve"> </w:t>
      </w:r>
      <w:r>
        <w:rPr>
          <w:color w:val="008938"/>
          <w:sz w:val="40"/>
          <w:szCs w:val="28"/>
        </w:rPr>
        <w:t xml:space="preserve">July </w:t>
      </w:r>
      <w:r w:rsidRPr="00CB2BFF">
        <w:rPr>
          <w:color w:val="008938"/>
          <w:sz w:val="40"/>
          <w:szCs w:val="28"/>
        </w:rPr>
        <w:t>202</w:t>
      </w:r>
      <w:r>
        <w:rPr>
          <w:color w:val="008938"/>
          <w:sz w:val="40"/>
          <w:szCs w:val="28"/>
        </w:rPr>
        <w:t>1</w:t>
      </w:r>
      <w:r w:rsidRPr="00CB2BFF">
        <w:t xml:space="preserve"> </w:t>
      </w:r>
    </w:p>
    <w:p w14:paraId="052D2765" w14:textId="3734D979" w:rsidR="00CB2BFF" w:rsidRPr="00CB2BFF" w:rsidRDefault="00CB2BFF" w:rsidP="00646B20">
      <w:pPr>
        <w:pStyle w:val="Dateandversion"/>
        <w:rPr>
          <w:color w:val="A6A6A6" w:themeColor="background1" w:themeShade="A6"/>
          <w:sz w:val="40"/>
          <w:szCs w:val="28"/>
        </w:rPr>
      </w:pPr>
      <w:r w:rsidRPr="00CB2BFF">
        <w:rPr>
          <w:color w:val="A6A6A6" w:themeColor="background1" w:themeShade="A6"/>
          <w:sz w:val="40"/>
          <w:szCs w:val="28"/>
        </w:rPr>
        <w:t xml:space="preserve">Presented to Parliament pursuant to </w:t>
      </w:r>
      <w:r w:rsidR="0027200C">
        <w:rPr>
          <w:color w:val="A6A6A6" w:themeColor="background1" w:themeShade="A6"/>
          <w:sz w:val="40"/>
          <w:szCs w:val="28"/>
        </w:rPr>
        <w:t>s</w:t>
      </w:r>
      <w:r w:rsidRPr="00CB2BFF">
        <w:rPr>
          <w:color w:val="A6A6A6" w:themeColor="background1" w:themeShade="A6"/>
          <w:sz w:val="40"/>
          <w:szCs w:val="28"/>
        </w:rPr>
        <w:t>ections 54 and 61 of the Marine and Coastal Access Act 2</w:t>
      </w:r>
      <w:r w:rsidR="00116230">
        <w:rPr>
          <w:color w:val="A6A6A6" w:themeColor="background1" w:themeShade="A6"/>
          <w:sz w:val="40"/>
          <w:szCs w:val="28"/>
        </w:rPr>
        <w:t>009</w:t>
      </w:r>
    </w:p>
    <w:p w14:paraId="072B3972" w14:textId="528A31F8" w:rsidR="00261CCA" w:rsidRDefault="00261CCA" w:rsidP="00646B20">
      <w:pPr>
        <w:pStyle w:val="Dateandversion"/>
      </w:pPr>
      <w:r>
        <w:t xml:space="preserve">Date: </w:t>
      </w:r>
      <w:r w:rsidR="00D43D9E">
        <w:t xml:space="preserve">July </w:t>
      </w:r>
      <w:r>
        <w:t>202</w:t>
      </w:r>
      <w:r w:rsidR="00CB2BFF">
        <w:t>1</w:t>
      </w:r>
    </w:p>
    <w:p w14:paraId="7222A095" w14:textId="77777777" w:rsidR="00845AB8" w:rsidRPr="00F6274F" w:rsidRDefault="00845AB8" w:rsidP="00D121EF">
      <w:pPr>
        <w:pStyle w:val="Reportsubtitle"/>
      </w:pPr>
      <w:r>
        <w:br w:type="page"/>
      </w:r>
    </w:p>
    <w:p w14:paraId="357770BC" w14:textId="77777777" w:rsidR="006E4FDF" w:rsidRDefault="006E4FDF" w:rsidP="006E4FDF">
      <w:pPr>
        <w:spacing w:after="0"/>
      </w:pPr>
      <w:bookmarkStart w:id="0" w:name="_Toc473641177"/>
      <w:r>
        <w:lastRenderedPageBreak/>
        <w:t xml:space="preserve">We are the Department for Environment, Food and Rural Affairs. We’re responsible for improving and protecting the environment, growing the green economy and supporting our world-class food, farming and fishing industries. </w:t>
      </w:r>
    </w:p>
    <w:p w14:paraId="422CB8D5" w14:textId="77777777" w:rsidR="006E4FDF" w:rsidRDefault="006E4FDF" w:rsidP="00706BBA">
      <w:pPr>
        <w:spacing w:after="0"/>
      </w:pPr>
      <w:r>
        <w:t>We work closely with our 33 agencies and arm’s length bodies on our ambition to make our air purer, our water cleaner, our land greener and our food more sustainable. Our mission is to restore and enhance the environment for the next generation, and to leave the environment in a better state than we found it.</w:t>
      </w:r>
    </w:p>
    <w:p w14:paraId="48BBA9BB" w14:textId="77777777" w:rsidR="006E4FDF" w:rsidRDefault="006E4FDF" w:rsidP="00706BBA">
      <w:pPr>
        <w:spacing w:after="0"/>
      </w:pPr>
    </w:p>
    <w:p w14:paraId="626B496B" w14:textId="77777777" w:rsidR="00706BBA" w:rsidRPr="001276F9" w:rsidRDefault="273C099E" w:rsidP="00706BBA">
      <w:pPr>
        <w:spacing w:after="0"/>
      </w:pPr>
      <w:r>
        <w:rPr>
          <w:noProof/>
          <w:lang w:eastAsia="en-GB"/>
        </w:rPr>
        <w:drawing>
          <wp:inline distT="0" distB="0" distL="0" distR="0" wp14:anchorId="236A8133" wp14:editId="78706838">
            <wp:extent cx="762000" cy="314325"/>
            <wp:effectExtent l="0" t="0" r="0" b="9525"/>
            <wp:docPr id="2" name="Picture 2"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762000" cy="314325"/>
                    </a:xfrm>
                    <a:prstGeom prst="rect">
                      <a:avLst/>
                    </a:prstGeom>
                  </pic:spPr>
                </pic:pic>
              </a:graphicData>
            </a:graphic>
          </wp:inline>
        </w:drawing>
      </w:r>
    </w:p>
    <w:p w14:paraId="48EC6995" w14:textId="68FDA618" w:rsidR="00706BBA" w:rsidRPr="00927D4B" w:rsidRDefault="00706BBA" w:rsidP="00706BBA">
      <w:r w:rsidRPr="001276F9">
        <w:t xml:space="preserve">© Crown copyright </w:t>
      </w:r>
      <w:r>
        <w:t>202</w:t>
      </w:r>
      <w:r w:rsidR="00426D0B">
        <w:t>1</w:t>
      </w:r>
    </w:p>
    <w:p w14:paraId="309B5F8F" w14:textId="77777777" w:rsidR="00706BBA" w:rsidRDefault="00706BBA" w:rsidP="00706BBA">
      <w:pPr>
        <w:pStyle w:val="NormalWeb"/>
        <w:rPr>
          <w:rFonts w:ascii="Arial" w:hAnsi="Arial" w:cs="Arial"/>
          <w:color w:val="333333"/>
        </w:rPr>
      </w:pPr>
      <w:r>
        <w:rPr>
          <w:rFonts w:ascii="Arial" w:hAnsi="Arial" w:cs="Arial"/>
          <w:color w:val="333333"/>
        </w:rPr>
        <w:t>This information is licensed under the Open Government Licence v3.0. To view this licence, visit </w:t>
      </w:r>
      <w:hyperlink r:id="rId14" w:history="1">
        <w:r w:rsidRPr="009C068B">
          <w:rPr>
            <w:rStyle w:val="Hyperlink"/>
            <w:rFonts w:ascii="Arial" w:hAnsi="Arial" w:cs="Arial"/>
          </w:rPr>
          <w:t>www.nationalarchives.gov.uk/doc/open-government-licence/</w:t>
        </w:r>
      </w:hyperlink>
      <w:r>
        <w:rPr>
          <w:rFonts w:ascii="Arial" w:hAnsi="Arial" w:cs="Arial"/>
          <w:color w:val="333333"/>
        </w:rPr>
        <w:t> </w:t>
      </w:r>
    </w:p>
    <w:p w14:paraId="53ADB00A" w14:textId="77777777" w:rsidR="00706BBA" w:rsidRPr="001276F9" w:rsidRDefault="00706BBA" w:rsidP="00706BBA">
      <w:r w:rsidRPr="001276F9">
        <w:t xml:space="preserve">This publication is available at </w:t>
      </w:r>
      <w:hyperlink r:id="rId15" w:history="1">
        <w:r w:rsidRPr="001276F9">
          <w:rPr>
            <w:rStyle w:val="Hyperlink"/>
          </w:rPr>
          <w:t>www.gov.uk/government/publications</w:t>
        </w:r>
      </w:hyperlink>
      <w:r w:rsidRPr="001276F9">
        <w:t xml:space="preserve">  </w:t>
      </w:r>
    </w:p>
    <w:p w14:paraId="49474739" w14:textId="4F441DE3" w:rsidR="00706BBA" w:rsidRPr="00676633" w:rsidRDefault="00706BBA" w:rsidP="00706BBA">
      <w:pPr>
        <w:rPr>
          <w:szCs w:val="24"/>
        </w:rPr>
      </w:pPr>
      <w:r w:rsidRPr="001276F9">
        <w:t>Any enquiries regarding this publ</w:t>
      </w:r>
      <w:r>
        <w:t xml:space="preserve">ication </w:t>
      </w:r>
      <w:r w:rsidRPr="00676633">
        <w:rPr>
          <w:szCs w:val="24"/>
        </w:rPr>
        <w:t xml:space="preserve">should be sent to </w:t>
      </w:r>
      <w:r w:rsidR="00676633" w:rsidRPr="00676633">
        <w:rPr>
          <w:szCs w:val="24"/>
        </w:rPr>
        <w:t xml:space="preserve">Defra at: </w:t>
      </w:r>
      <w:hyperlink r:id="rId16" w:history="1">
        <w:r w:rsidR="00C406C0" w:rsidRPr="00C406C0">
          <w:rPr>
            <w:rStyle w:val="Hyperlink"/>
            <w:szCs w:val="24"/>
          </w:rPr>
          <w:t>marine.</w:t>
        </w:r>
        <w:r w:rsidR="00C406C0" w:rsidRPr="005D51C9">
          <w:rPr>
            <w:rStyle w:val="Hyperlink"/>
            <w:szCs w:val="24"/>
          </w:rPr>
          <w:t>planning@defra.gov.uk</w:t>
        </w:r>
      </w:hyperlink>
      <w:r w:rsidR="00140E3D">
        <w:rPr>
          <w:szCs w:val="24"/>
        </w:rPr>
        <w:t xml:space="preserve"> </w:t>
      </w:r>
    </w:p>
    <w:p w14:paraId="0A7BACB6" w14:textId="77777777" w:rsidR="002F639F" w:rsidRDefault="00706BBA" w:rsidP="00706BBA">
      <w:r w:rsidRPr="001E028C">
        <w:t>PB</w:t>
      </w:r>
      <w:r w:rsidR="00C406C0">
        <w:t>:</w:t>
      </w:r>
      <w:r w:rsidRPr="001E028C">
        <w:t xml:space="preserve"> </w:t>
      </w:r>
      <w:r w:rsidR="00C406C0">
        <w:t>14684</w:t>
      </w:r>
      <w:r w:rsidR="00C406C0" w:rsidRPr="001E028C" w:rsidDel="00C406C0">
        <w:t xml:space="preserve"> </w:t>
      </w:r>
    </w:p>
    <w:p w14:paraId="4DC1CCE1" w14:textId="570C0E58" w:rsidR="00706BBA" w:rsidRDefault="00746B53" w:rsidP="00706BBA">
      <w:hyperlink r:id="rId17" w:history="1">
        <w:r w:rsidR="002F639F" w:rsidRPr="002F639F">
          <w:rPr>
            <w:rStyle w:val="Hyperlink"/>
          </w:rPr>
          <w:t>www.gov.uk/defra</w:t>
        </w:r>
      </w:hyperlink>
      <w:r w:rsidR="00706BBA">
        <w:t xml:space="preserve"> </w:t>
      </w:r>
    </w:p>
    <w:p w14:paraId="1EDDBC6A" w14:textId="77777777" w:rsidR="00A52EAA" w:rsidRDefault="00A52EAA" w:rsidP="00706BBA">
      <w:pPr>
        <w:rPr>
          <w:color w:val="008631"/>
          <w:sz w:val="48"/>
        </w:rPr>
      </w:pPr>
      <w:r>
        <w:br w:type="page"/>
      </w:r>
    </w:p>
    <w:p w14:paraId="3B91FED5" w14:textId="2D35C8B8" w:rsidR="002D2206" w:rsidRDefault="00CD3AC4" w:rsidP="009808F8">
      <w:pPr>
        <w:pStyle w:val="Contents"/>
      </w:pPr>
      <w:bookmarkStart w:id="1" w:name="_Toc522629670"/>
      <w:bookmarkEnd w:id="0"/>
      <w:r>
        <w:lastRenderedPageBreak/>
        <w:t>Contents</w:t>
      </w:r>
      <w:bookmarkEnd w:id="1"/>
    </w:p>
    <w:bookmarkStart w:id="2" w:name="_Toc473641179"/>
    <w:p w14:paraId="627658EE" w14:textId="43B8280A" w:rsidR="00BF6721" w:rsidRDefault="000239B6">
      <w:pPr>
        <w:pStyle w:val="TOC1"/>
        <w:rPr>
          <w:rFonts w:asciiTheme="minorHAnsi" w:eastAsiaTheme="minorEastAsia" w:hAnsiTheme="minorHAnsi" w:cstheme="minorBidi"/>
          <w:noProof/>
          <w:sz w:val="22"/>
          <w:lang w:eastAsia="en-GB"/>
        </w:rPr>
      </w:pPr>
      <w:r>
        <w:rPr>
          <w:b/>
        </w:rPr>
        <w:fldChar w:fldCharType="begin"/>
      </w:r>
      <w:r>
        <w:rPr>
          <w:b/>
        </w:rPr>
        <w:instrText xml:space="preserve"> TOC \o "1-2" \h \z \u </w:instrText>
      </w:r>
      <w:r>
        <w:rPr>
          <w:b/>
        </w:rPr>
        <w:fldChar w:fldCharType="separate"/>
      </w:r>
      <w:hyperlink w:anchor="_Toc74577248" w:history="1">
        <w:r w:rsidR="00BF6721" w:rsidRPr="000C4EC9">
          <w:rPr>
            <w:rStyle w:val="Hyperlink"/>
            <w:noProof/>
          </w:rPr>
          <w:t xml:space="preserve">1. Overview of the South Inshore and South Offshore Marine </w:t>
        </w:r>
        <w:r w:rsidR="00DC2E44">
          <w:rPr>
            <w:rStyle w:val="Hyperlink"/>
            <w:noProof/>
          </w:rPr>
          <w:t>Plan</w:t>
        </w:r>
        <w:r w:rsidR="00BF6721">
          <w:rPr>
            <w:noProof/>
            <w:webHidden/>
          </w:rPr>
          <w:tab/>
        </w:r>
        <w:r w:rsidR="00BF6721">
          <w:rPr>
            <w:noProof/>
            <w:webHidden/>
          </w:rPr>
          <w:fldChar w:fldCharType="begin"/>
        </w:r>
        <w:r w:rsidR="00BF6721">
          <w:rPr>
            <w:noProof/>
            <w:webHidden/>
          </w:rPr>
          <w:instrText xml:space="preserve"> PAGEREF _Toc74577248 \h </w:instrText>
        </w:r>
        <w:r w:rsidR="00BF6721">
          <w:rPr>
            <w:noProof/>
            <w:webHidden/>
          </w:rPr>
        </w:r>
        <w:r w:rsidR="00BF6721">
          <w:rPr>
            <w:noProof/>
            <w:webHidden/>
          </w:rPr>
          <w:fldChar w:fldCharType="separate"/>
        </w:r>
        <w:r w:rsidR="00AF1DA1">
          <w:rPr>
            <w:noProof/>
            <w:webHidden/>
          </w:rPr>
          <w:t>5</w:t>
        </w:r>
        <w:r w:rsidR="00BF6721">
          <w:rPr>
            <w:noProof/>
            <w:webHidden/>
          </w:rPr>
          <w:fldChar w:fldCharType="end"/>
        </w:r>
      </w:hyperlink>
    </w:p>
    <w:p w14:paraId="713E93D3" w14:textId="58CCA53C" w:rsidR="00BF6721" w:rsidRDefault="00746B53">
      <w:pPr>
        <w:pStyle w:val="TOC2"/>
        <w:tabs>
          <w:tab w:val="right" w:leader="dot" w:pos="9621"/>
        </w:tabs>
        <w:rPr>
          <w:rFonts w:asciiTheme="minorHAnsi" w:eastAsiaTheme="minorEastAsia" w:hAnsiTheme="minorHAnsi" w:cstheme="minorBidi"/>
          <w:noProof/>
          <w:sz w:val="22"/>
          <w:lang w:eastAsia="en-GB"/>
        </w:rPr>
      </w:pPr>
      <w:hyperlink w:anchor="_Toc74577249" w:history="1">
        <w:r w:rsidR="00BF6721" w:rsidRPr="000C4EC9">
          <w:rPr>
            <w:rStyle w:val="Hyperlink"/>
            <w:noProof/>
          </w:rPr>
          <w:t xml:space="preserve">1.1 When the </w:t>
        </w:r>
        <w:r w:rsidR="00DC2E44">
          <w:rPr>
            <w:rStyle w:val="Hyperlink"/>
            <w:noProof/>
          </w:rPr>
          <w:t>Plan</w:t>
        </w:r>
        <w:r w:rsidR="00BF6721" w:rsidRPr="000C4EC9">
          <w:rPr>
            <w:rStyle w:val="Hyperlink"/>
            <w:noProof/>
          </w:rPr>
          <w:t xml:space="preserve"> was adopted</w:t>
        </w:r>
        <w:r w:rsidR="00BF6721">
          <w:rPr>
            <w:noProof/>
            <w:webHidden/>
          </w:rPr>
          <w:tab/>
        </w:r>
        <w:r w:rsidR="00BF6721">
          <w:rPr>
            <w:noProof/>
            <w:webHidden/>
          </w:rPr>
          <w:fldChar w:fldCharType="begin"/>
        </w:r>
        <w:r w:rsidR="00BF6721">
          <w:rPr>
            <w:noProof/>
            <w:webHidden/>
          </w:rPr>
          <w:instrText xml:space="preserve"> PAGEREF _Toc74577249 \h </w:instrText>
        </w:r>
        <w:r w:rsidR="00BF6721">
          <w:rPr>
            <w:noProof/>
            <w:webHidden/>
          </w:rPr>
        </w:r>
        <w:r w:rsidR="00BF6721">
          <w:rPr>
            <w:noProof/>
            <w:webHidden/>
          </w:rPr>
          <w:fldChar w:fldCharType="separate"/>
        </w:r>
        <w:r w:rsidR="00AF1DA1">
          <w:rPr>
            <w:noProof/>
            <w:webHidden/>
          </w:rPr>
          <w:t>5</w:t>
        </w:r>
        <w:r w:rsidR="00BF6721">
          <w:rPr>
            <w:noProof/>
            <w:webHidden/>
          </w:rPr>
          <w:fldChar w:fldCharType="end"/>
        </w:r>
      </w:hyperlink>
    </w:p>
    <w:p w14:paraId="08B9FF0A" w14:textId="2680BF9C" w:rsidR="00BF6721" w:rsidRDefault="00746B53">
      <w:pPr>
        <w:pStyle w:val="TOC2"/>
        <w:tabs>
          <w:tab w:val="right" w:leader="dot" w:pos="9621"/>
        </w:tabs>
        <w:rPr>
          <w:rFonts w:asciiTheme="minorHAnsi" w:eastAsiaTheme="minorEastAsia" w:hAnsiTheme="minorHAnsi" w:cstheme="minorBidi"/>
          <w:noProof/>
          <w:sz w:val="22"/>
          <w:lang w:eastAsia="en-GB"/>
        </w:rPr>
      </w:pPr>
      <w:hyperlink w:anchor="_Toc74577250" w:history="1">
        <w:r w:rsidR="00BF6721" w:rsidRPr="000C4EC9">
          <w:rPr>
            <w:rStyle w:val="Hyperlink"/>
            <w:noProof/>
          </w:rPr>
          <w:t xml:space="preserve">1.2 Outline description of the South </w:t>
        </w:r>
        <w:r w:rsidR="00C406C0" w:rsidRPr="000C4EC9">
          <w:rPr>
            <w:rStyle w:val="Hyperlink"/>
            <w:noProof/>
          </w:rPr>
          <w:t xml:space="preserve">Inshore </w:t>
        </w:r>
        <w:r w:rsidR="00C406C0">
          <w:rPr>
            <w:rStyle w:val="Hyperlink"/>
            <w:noProof/>
          </w:rPr>
          <w:t>a</w:t>
        </w:r>
        <w:r w:rsidR="00C406C0" w:rsidRPr="000C4EC9">
          <w:rPr>
            <w:rStyle w:val="Hyperlink"/>
            <w:noProof/>
          </w:rPr>
          <w:t xml:space="preserve">nd </w:t>
        </w:r>
        <w:r w:rsidR="00BF6721" w:rsidRPr="000C4EC9">
          <w:rPr>
            <w:rStyle w:val="Hyperlink"/>
            <w:noProof/>
          </w:rPr>
          <w:t xml:space="preserve">South </w:t>
        </w:r>
        <w:r w:rsidR="00C406C0" w:rsidRPr="000C4EC9">
          <w:rPr>
            <w:rStyle w:val="Hyperlink"/>
            <w:noProof/>
          </w:rPr>
          <w:t xml:space="preserve">Offshore Marine </w:t>
        </w:r>
        <w:r w:rsidR="00DC2E44">
          <w:rPr>
            <w:rStyle w:val="Hyperlink"/>
            <w:noProof/>
          </w:rPr>
          <w:t>Plan</w:t>
        </w:r>
        <w:r w:rsidR="00BF6721" w:rsidRPr="000C4EC9">
          <w:rPr>
            <w:rStyle w:val="Hyperlink"/>
            <w:noProof/>
          </w:rPr>
          <w:t xml:space="preserve"> areas</w:t>
        </w:r>
        <w:r w:rsidR="00BF6721">
          <w:rPr>
            <w:noProof/>
            <w:webHidden/>
          </w:rPr>
          <w:tab/>
        </w:r>
        <w:r w:rsidR="00BF6721">
          <w:rPr>
            <w:noProof/>
            <w:webHidden/>
          </w:rPr>
          <w:fldChar w:fldCharType="begin"/>
        </w:r>
        <w:r w:rsidR="00BF6721">
          <w:rPr>
            <w:noProof/>
            <w:webHidden/>
          </w:rPr>
          <w:instrText xml:space="preserve"> PAGEREF _Toc74577250 \h </w:instrText>
        </w:r>
        <w:r w:rsidR="00BF6721">
          <w:rPr>
            <w:noProof/>
            <w:webHidden/>
          </w:rPr>
        </w:r>
        <w:r w:rsidR="00BF6721">
          <w:rPr>
            <w:noProof/>
            <w:webHidden/>
          </w:rPr>
          <w:fldChar w:fldCharType="separate"/>
        </w:r>
        <w:r w:rsidR="00AF1DA1">
          <w:rPr>
            <w:noProof/>
            <w:webHidden/>
          </w:rPr>
          <w:t>5</w:t>
        </w:r>
        <w:r w:rsidR="00BF6721">
          <w:rPr>
            <w:noProof/>
            <w:webHidden/>
          </w:rPr>
          <w:fldChar w:fldCharType="end"/>
        </w:r>
      </w:hyperlink>
    </w:p>
    <w:p w14:paraId="6279DFFF" w14:textId="4683AD6E" w:rsidR="00BF6721" w:rsidRDefault="00746B53">
      <w:pPr>
        <w:pStyle w:val="TOC2"/>
        <w:tabs>
          <w:tab w:val="right" w:leader="dot" w:pos="9621"/>
        </w:tabs>
        <w:rPr>
          <w:rFonts w:asciiTheme="minorHAnsi" w:eastAsiaTheme="minorEastAsia" w:hAnsiTheme="minorHAnsi" w:cstheme="minorBidi"/>
          <w:noProof/>
          <w:sz w:val="22"/>
          <w:lang w:eastAsia="en-GB"/>
        </w:rPr>
      </w:pPr>
      <w:hyperlink w:anchor="_Toc74577251" w:history="1">
        <w:r w:rsidR="00BF6721" w:rsidRPr="000C4EC9">
          <w:rPr>
            <w:rStyle w:val="Hyperlink"/>
            <w:noProof/>
          </w:rPr>
          <w:t>1.3 Vision, objectives and policies</w:t>
        </w:r>
        <w:r w:rsidR="00BF6721">
          <w:rPr>
            <w:noProof/>
            <w:webHidden/>
          </w:rPr>
          <w:tab/>
        </w:r>
        <w:r w:rsidR="00BF6721">
          <w:rPr>
            <w:noProof/>
            <w:webHidden/>
          </w:rPr>
          <w:fldChar w:fldCharType="begin"/>
        </w:r>
        <w:r w:rsidR="00BF6721">
          <w:rPr>
            <w:noProof/>
            <w:webHidden/>
          </w:rPr>
          <w:instrText xml:space="preserve"> PAGEREF _Toc74577251 \h </w:instrText>
        </w:r>
        <w:r w:rsidR="00BF6721">
          <w:rPr>
            <w:noProof/>
            <w:webHidden/>
          </w:rPr>
        </w:r>
        <w:r w:rsidR="00BF6721">
          <w:rPr>
            <w:noProof/>
            <w:webHidden/>
          </w:rPr>
          <w:fldChar w:fldCharType="separate"/>
        </w:r>
        <w:r w:rsidR="00AF1DA1">
          <w:rPr>
            <w:noProof/>
            <w:webHidden/>
          </w:rPr>
          <w:t>5</w:t>
        </w:r>
        <w:r w:rsidR="00BF6721">
          <w:rPr>
            <w:noProof/>
            <w:webHidden/>
          </w:rPr>
          <w:fldChar w:fldCharType="end"/>
        </w:r>
      </w:hyperlink>
    </w:p>
    <w:p w14:paraId="789330C5" w14:textId="76ED044A" w:rsidR="00BF6721" w:rsidRDefault="00746B53">
      <w:pPr>
        <w:pStyle w:val="TOC2"/>
        <w:tabs>
          <w:tab w:val="right" w:leader="dot" w:pos="9621"/>
        </w:tabs>
        <w:rPr>
          <w:rFonts w:asciiTheme="minorHAnsi" w:eastAsiaTheme="minorEastAsia" w:hAnsiTheme="minorHAnsi" w:cstheme="minorBidi"/>
          <w:noProof/>
          <w:sz w:val="22"/>
          <w:lang w:eastAsia="en-GB"/>
        </w:rPr>
      </w:pPr>
      <w:hyperlink w:anchor="_Toc74577252" w:history="1">
        <w:r w:rsidR="00BF6721" w:rsidRPr="000C4EC9">
          <w:rPr>
            <w:rStyle w:val="Hyperlink"/>
            <w:noProof/>
          </w:rPr>
          <w:t>1.4 Implementation</w:t>
        </w:r>
        <w:r w:rsidR="00BF6721">
          <w:rPr>
            <w:noProof/>
            <w:webHidden/>
          </w:rPr>
          <w:tab/>
        </w:r>
        <w:r w:rsidR="00BF6721">
          <w:rPr>
            <w:noProof/>
            <w:webHidden/>
          </w:rPr>
          <w:fldChar w:fldCharType="begin"/>
        </w:r>
        <w:r w:rsidR="00BF6721">
          <w:rPr>
            <w:noProof/>
            <w:webHidden/>
          </w:rPr>
          <w:instrText xml:space="preserve"> PAGEREF _Toc74577252 \h </w:instrText>
        </w:r>
        <w:r w:rsidR="00BF6721">
          <w:rPr>
            <w:noProof/>
            <w:webHidden/>
          </w:rPr>
        </w:r>
        <w:r w:rsidR="00BF6721">
          <w:rPr>
            <w:noProof/>
            <w:webHidden/>
          </w:rPr>
          <w:fldChar w:fldCharType="separate"/>
        </w:r>
        <w:r w:rsidR="00AF1DA1">
          <w:rPr>
            <w:noProof/>
            <w:webHidden/>
          </w:rPr>
          <w:t>6</w:t>
        </w:r>
        <w:r w:rsidR="00BF6721">
          <w:rPr>
            <w:noProof/>
            <w:webHidden/>
          </w:rPr>
          <w:fldChar w:fldCharType="end"/>
        </w:r>
      </w:hyperlink>
    </w:p>
    <w:p w14:paraId="41C2EE6D" w14:textId="38779948" w:rsidR="00BF6721" w:rsidRDefault="00746B53">
      <w:pPr>
        <w:pStyle w:val="TOC1"/>
        <w:rPr>
          <w:rFonts w:asciiTheme="minorHAnsi" w:eastAsiaTheme="minorEastAsia" w:hAnsiTheme="minorHAnsi" w:cstheme="minorBidi"/>
          <w:noProof/>
          <w:sz w:val="22"/>
          <w:lang w:eastAsia="en-GB"/>
        </w:rPr>
      </w:pPr>
      <w:hyperlink w:anchor="_Toc74577253" w:history="1">
        <w:r w:rsidR="00BF6721" w:rsidRPr="000C4EC9">
          <w:rPr>
            <w:rStyle w:val="Hyperlink"/>
            <w:noProof/>
          </w:rPr>
          <w:t xml:space="preserve">2. Overview of monitoring and reporting on the </w:t>
        </w:r>
        <w:r w:rsidR="00B07496">
          <w:rPr>
            <w:rStyle w:val="Hyperlink"/>
            <w:noProof/>
          </w:rPr>
          <w:t xml:space="preserve">South Marine </w:t>
        </w:r>
        <w:r w:rsidR="00DC2E44">
          <w:rPr>
            <w:rStyle w:val="Hyperlink"/>
            <w:noProof/>
          </w:rPr>
          <w:t>Plan</w:t>
        </w:r>
        <w:r w:rsidR="00BF6721">
          <w:rPr>
            <w:noProof/>
            <w:webHidden/>
          </w:rPr>
          <w:tab/>
        </w:r>
        <w:r w:rsidR="00BF6721">
          <w:rPr>
            <w:noProof/>
            <w:webHidden/>
          </w:rPr>
          <w:fldChar w:fldCharType="begin"/>
        </w:r>
        <w:r w:rsidR="00BF6721">
          <w:rPr>
            <w:noProof/>
            <w:webHidden/>
          </w:rPr>
          <w:instrText xml:space="preserve"> PAGEREF _Toc74577253 \h </w:instrText>
        </w:r>
        <w:r w:rsidR="00BF6721">
          <w:rPr>
            <w:noProof/>
            <w:webHidden/>
          </w:rPr>
        </w:r>
        <w:r w:rsidR="00BF6721">
          <w:rPr>
            <w:noProof/>
            <w:webHidden/>
          </w:rPr>
          <w:fldChar w:fldCharType="separate"/>
        </w:r>
        <w:r w:rsidR="00AF1DA1">
          <w:rPr>
            <w:noProof/>
            <w:webHidden/>
          </w:rPr>
          <w:t>8</w:t>
        </w:r>
        <w:r w:rsidR="00BF6721">
          <w:rPr>
            <w:noProof/>
            <w:webHidden/>
          </w:rPr>
          <w:fldChar w:fldCharType="end"/>
        </w:r>
      </w:hyperlink>
    </w:p>
    <w:p w14:paraId="6E41A4FC" w14:textId="10E6CDD1" w:rsidR="00BF6721" w:rsidRDefault="00746B53">
      <w:pPr>
        <w:pStyle w:val="TOC2"/>
        <w:tabs>
          <w:tab w:val="right" w:leader="dot" w:pos="9621"/>
        </w:tabs>
        <w:rPr>
          <w:rFonts w:asciiTheme="minorHAnsi" w:eastAsiaTheme="minorEastAsia" w:hAnsiTheme="minorHAnsi" w:cstheme="minorBidi"/>
          <w:noProof/>
          <w:sz w:val="22"/>
          <w:lang w:eastAsia="en-GB"/>
        </w:rPr>
      </w:pPr>
      <w:hyperlink w:anchor="_Toc74577254" w:history="1">
        <w:r w:rsidR="00BF6721" w:rsidRPr="000C4EC9">
          <w:rPr>
            <w:rStyle w:val="Hyperlink"/>
            <w:noProof/>
          </w:rPr>
          <w:t>2.1 Monitoring and reporting requirements</w:t>
        </w:r>
        <w:r w:rsidR="00BF6721">
          <w:rPr>
            <w:noProof/>
            <w:webHidden/>
          </w:rPr>
          <w:tab/>
        </w:r>
        <w:r w:rsidR="00BF6721">
          <w:rPr>
            <w:noProof/>
            <w:webHidden/>
          </w:rPr>
          <w:fldChar w:fldCharType="begin"/>
        </w:r>
        <w:r w:rsidR="00BF6721">
          <w:rPr>
            <w:noProof/>
            <w:webHidden/>
          </w:rPr>
          <w:instrText xml:space="preserve"> PAGEREF _Toc74577254 \h </w:instrText>
        </w:r>
        <w:r w:rsidR="00BF6721">
          <w:rPr>
            <w:noProof/>
            <w:webHidden/>
          </w:rPr>
        </w:r>
        <w:r w:rsidR="00BF6721">
          <w:rPr>
            <w:noProof/>
            <w:webHidden/>
          </w:rPr>
          <w:fldChar w:fldCharType="separate"/>
        </w:r>
        <w:r w:rsidR="00AF1DA1">
          <w:rPr>
            <w:noProof/>
            <w:webHidden/>
          </w:rPr>
          <w:t>8</w:t>
        </w:r>
        <w:r w:rsidR="00BF6721">
          <w:rPr>
            <w:noProof/>
            <w:webHidden/>
          </w:rPr>
          <w:fldChar w:fldCharType="end"/>
        </w:r>
      </w:hyperlink>
    </w:p>
    <w:p w14:paraId="67634C22" w14:textId="54F06D39" w:rsidR="00BF6721" w:rsidRDefault="00746B53">
      <w:pPr>
        <w:pStyle w:val="TOC2"/>
        <w:tabs>
          <w:tab w:val="right" w:leader="dot" w:pos="9621"/>
        </w:tabs>
        <w:rPr>
          <w:rFonts w:asciiTheme="minorHAnsi" w:eastAsiaTheme="minorEastAsia" w:hAnsiTheme="minorHAnsi" w:cstheme="minorBidi"/>
          <w:noProof/>
          <w:sz w:val="22"/>
          <w:lang w:eastAsia="en-GB"/>
        </w:rPr>
      </w:pPr>
      <w:hyperlink w:anchor="_Toc74577255" w:history="1">
        <w:r w:rsidR="00BF6721" w:rsidRPr="000C4EC9">
          <w:rPr>
            <w:rStyle w:val="Hyperlink"/>
            <w:noProof/>
          </w:rPr>
          <w:t>2.2 Monitoring approach for the first Three</w:t>
        </w:r>
        <w:r w:rsidR="00C406C0">
          <w:rPr>
            <w:rStyle w:val="Hyperlink"/>
            <w:noProof/>
          </w:rPr>
          <w:t xml:space="preserve"> </w:t>
        </w:r>
        <w:r w:rsidR="00BF6721" w:rsidRPr="000C4EC9">
          <w:rPr>
            <w:rStyle w:val="Hyperlink"/>
            <w:noProof/>
          </w:rPr>
          <w:t xml:space="preserve">year </w:t>
        </w:r>
        <w:r w:rsidR="00487C0B">
          <w:rPr>
            <w:rStyle w:val="Hyperlink"/>
            <w:noProof/>
          </w:rPr>
          <w:t>r</w:t>
        </w:r>
        <w:r w:rsidR="00BF6721" w:rsidRPr="000C4EC9">
          <w:rPr>
            <w:rStyle w:val="Hyperlink"/>
            <w:noProof/>
          </w:rPr>
          <w:t xml:space="preserve">eport on the </w:t>
        </w:r>
        <w:r w:rsidR="00B07496">
          <w:rPr>
            <w:rStyle w:val="Hyperlink"/>
            <w:noProof/>
          </w:rPr>
          <w:t xml:space="preserve">South Marine </w:t>
        </w:r>
        <w:r w:rsidR="00DC2E44">
          <w:rPr>
            <w:rStyle w:val="Hyperlink"/>
            <w:noProof/>
          </w:rPr>
          <w:t>Plan</w:t>
        </w:r>
        <w:r w:rsidR="00BF6721" w:rsidRPr="000C4EC9">
          <w:rPr>
            <w:rStyle w:val="Hyperlink"/>
            <w:noProof/>
          </w:rPr>
          <w:t xml:space="preserve"> (2021)</w:t>
        </w:r>
        <w:r w:rsidR="00BF6721">
          <w:rPr>
            <w:noProof/>
            <w:webHidden/>
          </w:rPr>
          <w:tab/>
        </w:r>
        <w:r w:rsidR="00BF6721">
          <w:rPr>
            <w:noProof/>
            <w:webHidden/>
          </w:rPr>
          <w:fldChar w:fldCharType="begin"/>
        </w:r>
        <w:r w:rsidR="00BF6721">
          <w:rPr>
            <w:noProof/>
            <w:webHidden/>
          </w:rPr>
          <w:instrText xml:space="preserve"> PAGEREF _Toc74577255 \h </w:instrText>
        </w:r>
        <w:r w:rsidR="00BF6721">
          <w:rPr>
            <w:noProof/>
            <w:webHidden/>
          </w:rPr>
        </w:r>
        <w:r w:rsidR="00BF6721">
          <w:rPr>
            <w:noProof/>
            <w:webHidden/>
          </w:rPr>
          <w:fldChar w:fldCharType="separate"/>
        </w:r>
        <w:r w:rsidR="00AF1DA1">
          <w:rPr>
            <w:noProof/>
            <w:webHidden/>
          </w:rPr>
          <w:t>8</w:t>
        </w:r>
        <w:r w:rsidR="00BF6721">
          <w:rPr>
            <w:noProof/>
            <w:webHidden/>
          </w:rPr>
          <w:fldChar w:fldCharType="end"/>
        </w:r>
      </w:hyperlink>
    </w:p>
    <w:p w14:paraId="676CA677" w14:textId="2FA508F3" w:rsidR="00BF6721" w:rsidRDefault="00746B53">
      <w:pPr>
        <w:pStyle w:val="TOC2"/>
        <w:tabs>
          <w:tab w:val="right" w:leader="dot" w:pos="9621"/>
        </w:tabs>
        <w:rPr>
          <w:rFonts w:asciiTheme="minorHAnsi" w:eastAsiaTheme="minorEastAsia" w:hAnsiTheme="minorHAnsi" w:cstheme="minorBidi"/>
          <w:noProof/>
          <w:sz w:val="22"/>
          <w:lang w:eastAsia="en-GB"/>
        </w:rPr>
      </w:pPr>
      <w:hyperlink w:anchor="_Toc74577256" w:history="1">
        <w:r w:rsidR="00BF6721" w:rsidRPr="000C4EC9">
          <w:rPr>
            <w:rStyle w:val="Hyperlink"/>
            <w:noProof/>
          </w:rPr>
          <w:t>2.3 Sources of monitoring information</w:t>
        </w:r>
        <w:r w:rsidR="00BF6721">
          <w:rPr>
            <w:noProof/>
            <w:webHidden/>
          </w:rPr>
          <w:tab/>
        </w:r>
        <w:r w:rsidR="00BF6721">
          <w:rPr>
            <w:noProof/>
            <w:webHidden/>
          </w:rPr>
          <w:fldChar w:fldCharType="begin"/>
        </w:r>
        <w:r w:rsidR="00BF6721">
          <w:rPr>
            <w:noProof/>
            <w:webHidden/>
          </w:rPr>
          <w:instrText xml:space="preserve"> PAGEREF _Toc74577256 \h </w:instrText>
        </w:r>
        <w:r w:rsidR="00BF6721">
          <w:rPr>
            <w:noProof/>
            <w:webHidden/>
          </w:rPr>
        </w:r>
        <w:r w:rsidR="00BF6721">
          <w:rPr>
            <w:noProof/>
            <w:webHidden/>
          </w:rPr>
          <w:fldChar w:fldCharType="separate"/>
        </w:r>
        <w:r w:rsidR="00AF1DA1">
          <w:rPr>
            <w:noProof/>
            <w:webHidden/>
          </w:rPr>
          <w:t>9</w:t>
        </w:r>
        <w:r w:rsidR="00BF6721">
          <w:rPr>
            <w:noProof/>
            <w:webHidden/>
          </w:rPr>
          <w:fldChar w:fldCharType="end"/>
        </w:r>
      </w:hyperlink>
    </w:p>
    <w:p w14:paraId="4E3B1592" w14:textId="6DEC91D0" w:rsidR="00BF6721" w:rsidRDefault="00746B53">
      <w:pPr>
        <w:pStyle w:val="TOC2"/>
        <w:tabs>
          <w:tab w:val="right" w:leader="dot" w:pos="9621"/>
        </w:tabs>
        <w:rPr>
          <w:rFonts w:asciiTheme="minorHAnsi" w:eastAsiaTheme="minorEastAsia" w:hAnsiTheme="minorHAnsi" w:cstheme="minorBidi"/>
          <w:noProof/>
          <w:sz w:val="22"/>
          <w:lang w:eastAsia="en-GB"/>
        </w:rPr>
      </w:pPr>
      <w:hyperlink w:anchor="_Toc74577257" w:history="1">
        <w:r w:rsidR="00BF6721" w:rsidRPr="000C4EC9">
          <w:rPr>
            <w:rStyle w:val="Hyperlink"/>
            <w:noProof/>
          </w:rPr>
          <w:t>2.4 Context, process and outcome monitoring</w:t>
        </w:r>
        <w:r w:rsidR="00BF6721">
          <w:rPr>
            <w:noProof/>
            <w:webHidden/>
          </w:rPr>
          <w:tab/>
        </w:r>
        <w:r w:rsidR="00BF6721">
          <w:rPr>
            <w:noProof/>
            <w:webHidden/>
          </w:rPr>
          <w:fldChar w:fldCharType="begin"/>
        </w:r>
        <w:r w:rsidR="00BF6721">
          <w:rPr>
            <w:noProof/>
            <w:webHidden/>
          </w:rPr>
          <w:instrText xml:space="preserve"> PAGEREF _Toc74577257 \h </w:instrText>
        </w:r>
        <w:r w:rsidR="00BF6721">
          <w:rPr>
            <w:noProof/>
            <w:webHidden/>
          </w:rPr>
        </w:r>
        <w:r w:rsidR="00BF6721">
          <w:rPr>
            <w:noProof/>
            <w:webHidden/>
          </w:rPr>
          <w:fldChar w:fldCharType="separate"/>
        </w:r>
        <w:r w:rsidR="00AF1DA1">
          <w:rPr>
            <w:noProof/>
            <w:webHidden/>
          </w:rPr>
          <w:t>9</w:t>
        </w:r>
        <w:r w:rsidR="00BF6721">
          <w:rPr>
            <w:noProof/>
            <w:webHidden/>
          </w:rPr>
          <w:fldChar w:fldCharType="end"/>
        </w:r>
      </w:hyperlink>
    </w:p>
    <w:p w14:paraId="4BB762EC" w14:textId="13EEBEF4" w:rsidR="00BF6721" w:rsidRDefault="00746B53">
      <w:pPr>
        <w:pStyle w:val="TOC2"/>
        <w:tabs>
          <w:tab w:val="right" w:leader="dot" w:pos="9621"/>
        </w:tabs>
        <w:rPr>
          <w:rFonts w:asciiTheme="minorHAnsi" w:eastAsiaTheme="minorEastAsia" w:hAnsiTheme="minorHAnsi" w:cstheme="minorBidi"/>
          <w:noProof/>
          <w:sz w:val="22"/>
          <w:lang w:eastAsia="en-GB"/>
        </w:rPr>
      </w:pPr>
      <w:hyperlink w:anchor="_Toc74577258" w:history="1">
        <w:r w:rsidR="00BF6721" w:rsidRPr="000C4EC9">
          <w:rPr>
            <w:rStyle w:val="Hyperlink"/>
            <w:noProof/>
          </w:rPr>
          <w:t>2.5 Challenges and limitations</w:t>
        </w:r>
        <w:r w:rsidR="00BF6721">
          <w:rPr>
            <w:noProof/>
            <w:webHidden/>
          </w:rPr>
          <w:tab/>
        </w:r>
        <w:r w:rsidR="00BF6721">
          <w:rPr>
            <w:noProof/>
            <w:webHidden/>
          </w:rPr>
          <w:fldChar w:fldCharType="begin"/>
        </w:r>
        <w:r w:rsidR="00BF6721">
          <w:rPr>
            <w:noProof/>
            <w:webHidden/>
          </w:rPr>
          <w:instrText xml:space="preserve"> PAGEREF _Toc74577258 \h </w:instrText>
        </w:r>
        <w:r w:rsidR="00BF6721">
          <w:rPr>
            <w:noProof/>
            <w:webHidden/>
          </w:rPr>
        </w:r>
        <w:r w:rsidR="00BF6721">
          <w:rPr>
            <w:noProof/>
            <w:webHidden/>
          </w:rPr>
          <w:fldChar w:fldCharType="separate"/>
        </w:r>
        <w:r w:rsidR="00AF1DA1">
          <w:rPr>
            <w:noProof/>
            <w:webHidden/>
          </w:rPr>
          <w:t>10</w:t>
        </w:r>
        <w:r w:rsidR="00BF6721">
          <w:rPr>
            <w:noProof/>
            <w:webHidden/>
          </w:rPr>
          <w:fldChar w:fldCharType="end"/>
        </w:r>
      </w:hyperlink>
    </w:p>
    <w:p w14:paraId="555ACC41" w14:textId="53725FB8" w:rsidR="00BF6721" w:rsidRDefault="00746B53">
      <w:pPr>
        <w:pStyle w:val="TOC1"/>
        <w:rPr>
          <w:rFonts w:asciiTheme="minorHAnsi" w:eastAsiaTheme="minorEastAsia" w:hAnsiTheme="minorHAnsi" w:cstheme="minorBidi"/>
          <w:noProof/>
          <w:sz w:val="22"/>
          <w:lang w:eastAsia="en-GB"/>
        </w:rPr>
      </w:pPr>
      <w:hyperlink w:anchor="_Toc74577259" w:history="1">
        <w:r w:rsidR="00BF6721" w:rsidRPr="000C4EC9">
          <w:rPr>
            <w:rStyle w:val="Hyperlink"/>
            <w:noProof/>
          </w:rPr>
          <w:t>3. Context</w:t>
        </w:r>
        <w:r w:rsidR="00BF6721">
          <w:rPr>
            <w:noProof/>
            <w:webHidden/>
          </w:rPr>
          <w:tab/>
        </w:r>
        <w:r w:rsidR="00BF6721">
          <w:rPr>
            <w:noProof/>
            <w:webHidden/>
          </w:rPr>
          <w:fldChar w:fldCharType="begin"/>
        </w:r>
        <w:r w:rsidR="00BF6721">
          <w:rPr>
            <w:noProof/>
            <w:webHidden/>
          </w:rPr>
          <w:instrText xml:space="preserve"> PAGEREF _Toc74577259 \h </w:instrText>
        </w:r>
        <w:r w:rsidR="00BF6721">
          <w:rPr>
            <w:noProof/>
            <w:webHidden/>
          </w:rPr>
        </w:r>
        <w:r w:rsidR="00BF6721">
          <w:rPr>
            <w:noProof/>
            <w:webHidden/>
          </w:rPr>
          <w:fldChar w:fldCharType="separate"/>
        </w:r>
        <w:r w:rsidR="00AF1DA1">
          <w:rPr>
            <w:noProof/>
            <w:webHidden/>
          </w:rPr>
          <w:t>12</w:t>
        </w:r>
        <w:r w:rsidR="00BF6721">
          <w:rPr>
            <w:noProof/>
            <w:webHidden/>
          </w:rPr>
          <w:fldChar w:fldCharType="end"/>
        </w:r>
      </w:hyperlink>
    </w:p>
    <w:p w14:paraId="175AAF42" w14:textId="1DA01587" w:rsidR="00BF6721" w:rsidRDefault="00746B53">
      <w:pPr>
        <w:pStyle w:val="TOC2"/>
        <w:tabs>
          <w:tab w:val="right" w:leader="dot" w:pos="9621"/>
        </w:tabs>
        <w:rPr>
          <w:rFonts w:asciiTheme="minorHAnsi" w:eastAsiaTheme="minorEastAsia" w:hAnsiTheme="minorHAnsi" w:cstheme="minorBidi"/>
          <w:noProof/>
          <w:sz w:val="22"/>
          <w:lang w:eastAsia="en-GB"/>
        </w:rPr>
      </w:pPr>
      <w:hyperlink w:anchor="_Toc74577260" w:history="1">
        <w:r w:rsidR="00BF6721" w:rsidRPr="000C4EC9">
          <w:rPr>
            <w:rStyle w:val="Hyperlink"/>
            <w:noProof/>
          </w:rPr>
          <w:t>3.1 Background to context monitoring</w:t>
        </w:r>
        <w:r w:rsidR="00BF6721">
          <w:rPr>
            <w:noProof/>
            <w:webHidden/>
          </w:rPr>
          <w:tab/>
        </w:r>
        <w:r w:rsidR="00BF6721">
          <w:rPr>
            <w:noProof/>
            <w:webHidden/>
          </w:rPr>
          <w:fldChar w:fldCharType="begin"/>
        </w:r>
        <w:r w:rsidR="00BF6721">
          <w:rPr>
            <w:noProof/>
            <w:webHidden/>
          </w:rPr>
          <w:instrText xml:space="preserve"> PAGEREF _Toc74577260 \h </w:instrText>
        </w:r>
        <w:r w:rsidR="00BF6721">
          <w:rPr>
            <w:noProof/>
            <w:webHidden/>
          </w:rPr>
        </w:r>
        <w:r w:rsidR="00BF6721">
          <w:rPr>
            <w:noProof/>
            <w:webHidden/>
          </w:rPr>
          <w:fldChar w:fldCharType="separate"/>
        </w:r>
        <w:r w:rsidR="00AF1DA1">
          <w:rPr>
            <w:noProof/>
            <w:webHidden/>
          </w:rPr>
          <w:t>12</w:t>
        </w:r>
        <w:r w:rsidR="00BF6721">
          <w:rPr>
            <w:noProof/>
            <w:webHidden/>
          </w:rPr>
          <w:fldChar w:fldCharType="end"/>
        </w:r>
      </w:hyperlink>
    </w:p>
    <w:p w14:paraId="0D02420F" w14:textId="5AB9D282" w:rsidR="00BF6721" w:rsidRDefault="00746B53">
      <w:pPr>
        <w:pStyle w:val="TOC2"/>
        <w:tabs>
          <w:tab w:val="right" w:leader="dot" w:pos="9621"/>
        </w:tabs>
        <w:rPr>
          <w:rFonts w:asciiTheme="minorHAnsi" w:eastAsiaTheme="minorEastAsia" w:hAnsiTheme="minorHAnsi" w:cstheme="minorBidi"/>
          <w:noProof/>
          <w:sz w:val="22"/>
          <w:lang w:eastAsia="en-GB"/>
        </w:rPr>
      </w:pPr>
      <w:hyperlink w:anchor="_Toc74577261" w:history="1">
        <w:r w:rsidR="00BF6721" w:rsidRPr="000C4EC9">
          <w:rPr>
            <w:rStyle w:val="Hyperlink"/>
            <w:noProof/>
          </w:rPr>
          <w:t>3.2 Context monitoring findings</w:t>
        </w:r>
        <w:r w:rsidR="00BF6721">
          <w:rPr>
            <w:noProof/>
            <w:webHidden/>
          </w:rPr>
          <w:tab/>
        </w:r>
        <w:r w:rsidR="00BF6721">
          <w:rPr>
            <w:noProof/>
            <w:webHidden/>
          </w:rPr>
          <w:fldChar w:fldCharType="begin"/>
        </w:r>
        <w:r w:rsidR="00BF6721">
          <w:rPr>
            <w:noProof/>
            <w:webHidden/>
          </w:rPr>
          <w:instrText xml:space="preserve"> PAGEREF _Toc74577261 \h </w:instrText>
        </w:r>
        <w:r w:rsidR="00BF6721">
          <w:rPr>
            <w:noProof/>
            <w:webHidden/>
          </w:rPr>
        </w:r>
        <w:r w:rsidR="00BF6721">
          <w:rPr>
            <w:noProof/>
            <w:webHidden/>
          </w:rPr>
          <w:fldChar w:fldCharType="separate"/>
        </w:r>
        <w:r w:rsidR="00AF1DA1">
          <w:rPr>
            <w:noProof/>
            <w:webHidden/>
          </w:rPr>
          <w:t>13</w:t>
        </w:r>
        <w:r w:rsidR="00BF6721">
          <w:rPr>
            <w:noProof/>
            <w:webHidden/>
          </w:rPr>
          <w:fldChar w:fldCharType="end"/>
        </w:r>
      </w:hyperlink>
    </w:p>
    <w:p w14:paraId="2AACED14" w14:textId="5F63E6F8" w:rsidR="00BF6721" w:rsidRDefault="00746B53">
      <w:pPr>
        <w:pStyle w:val="TOC2"/>
        <w:tabs>
          <w:tab w:val="right" w:leader="dot" w:pos="9621"/>
        </w:tabs>
        <w:rPr>
          <w:rFonts w:asciiTheme="minorHAnsi" w:eastAsiaTheme="minorEastAsia" w:hAnsiTheme="minorHAnsi" w:cstheme="minorBidi"/>
          <w:noProof/>
          <w:sz w:val="22"/>
          <w:lang w:eastAsia="en-GB"/>
        </w:rPr>
      </w:pPr>
      <w:hyperlink w:anchor="_Toc74577262" w:history="1">
        <w:r w:rsidR="00BF6721" w:rsidRPr="000C4EC9">
          <w:rPr>
            <w:rStyle w:val="Hyperlink"/>
            <w:noProof/>
          </w:rPr>
          <w:t>3.3 Concluding Statement</w:t>
        </w:r>
        <w:r w:rsidR="00BF6721">
          <w:rPr>
            <w:noProof/>
            <w:webHidden/>
          </w:rPr>
          <w:tab/>
        </w:r>
        <w:r w:rsidR="00BF6721">
          <w:rPr>
            <w:noProof/>
            <w:webHidden/>
          </w:rPr>
          <w:fldChar w:fldCharType="begin"/>
        </w:r>
        <w:r w:rsidR="00BF6721">
          <w:rPr>
            <w:noProof/>
            <w:webHidden/>
          </w:rPr>
          <w:instrText xml:space="preserve"> PAGEREF _Toc74577262 \h </w:instrText>
        </w:r>
        <w:r w:rsidR="00BF6721">
          <w:rPr>
            <w:noProof/>
            <w:webHidden/>
          </w:rPr>
        </w:r>
        <w:r w:rsidR="00BF6721">
          <w:rPr>
            <w:noProof/>
            <w:webHidden/>
          </w:rPr>
          <w:fldChar w:fldCharType="separate"/>
        </w:r>
        <w:r w:rsidR="00AF1DA1">
          <w:rPr>
            <w:noProof/>
            <w:webHidden/>
          </w:rPr>
          <w:t>22</w:t>
        </w:r>
        <w:r w:rsidR="00BF6721">
          <w:rPr>
            <w:noProof/>
            <w:webHidden/>
          </w:rPr>
          <w:fldChar w:fldCharType="end"/>
        </w:r>
      </w:hyperlink>
    </w:p>
    <w:p w14:paraId="470FD183" w14:textId="2C21CB3B" w:rsidR="00BF6721" w:rsidRDefault="00746B53">
      <w:pPr>
        <w:pStyle w:val="TOC1"/>
        <w:rPr>
          <w:rFonts w:asciiTheme="minorHAnsi" w:eastAsiaTheme="minorEastAsia" w:hAnsiTheme="minorHAnsi" w:cstheme="minorBidi"/>
          <w:noProof/>
          <w:sz w:val="22"/>
          <w:lang w:eastAsia="en-GB"/>
        </w:rPr>
      </w:pPr>
      <w:hyperlink w:anchor="_Toc74577263" w:history="1">
        <w:r w:rsidR="00BF6721" w:rsidRPr="000C4EC9">
          <w:rPr>
            <w:rStyle w:val="Hyperlink"/>
            <w:noProof/>
          </w:rPr>
          <w:t>4. Process</w:t>
        </w:r>
        <w:r w:rsidR="00BF6721">
          <w:rPr>
            <w:noProof/>
            <w:webHidden/>
          </w:rPr>
          <w:tab/>
        </w:r>
        <w:r w:rsidR="00BF6721">
          <w:rPr>
            <w:noProof/>
            <w:webHidden/>
          </w:rPr>
          <w:fldChar w:fldCharType="begin"/>
        </w:r>
        <w:r w:rsidR="00BF6721">
          <w:rPr>
            <w:noProof/>
            <w:webHidden/>
          </w:rPr>
          <w:instrText xml:space="preserve"> PAGEREF _Toc74577263 \h </w:instrText>
        </w:r>
        <w:r w:rsidR="00BF6721">
          <w:rPr>
            <w:noProof/>
            <w:webHidden/>
          </w:rPr>
        </w:r>
        <w:r w:rsidR="00BF6721">
          <w:rPr>
            <w:noProof/>
            <w:webHidden/>
          </w:rPr>
          <w:fldChar w:fldCharType="separate"/>
        </w:r>
        <w:r w:rsidR="00AF1DA1">
          <w:rPr>
            <w:noProof/>
            <w:webHidden/>
          </w:rPr>
          <w:t>24</w:t>
        </w:r>
        <w:r w:rsidR="00BF6721">
          <w:rPr>
            <w:noProof/>
            <w:webHidden/>
          </w:rPr>
          <w:fldChar w:fldCharType="end"/>
        </w:r>
      </w:hyperlink>
    </w:p>
    <w:p w14:paraId="44E55FBD" w14:textId="71735649" w:rsidR="00BF6721" w:rsidRDefault="00746B53">
      <w:pPr>
        <w:pStyle w:val="TOC2"/>
        <w:tabs>
          <w:tab w:val="right" w:leader="dot" w:pos="9621"/>
        </w:tabs>
        <w:rPr>
          <w:rFonts w:asciiTheme="minorHAnsi" w:eastAsiaTheme="minorEastAsia" w:hAnsiTheme="minorHAnsi" w:cstheme="minorBidi"/>
          <w:noProof/>
          <w:sz w:val="22"/>
          <w:lang w:eastAsia="en-GB"/>
        </w:rPr>
      </w:pPr>
      <w:hyperlink w:anchor="_Toc74577264" w:history="1">
        <w:r w:rsidR="00BF6721" w:rsidRPr="000C4EC9">
          <w:rPr>
            <w:rStyle w:val="Hyperlink"/>
            <w:noProof/>
          </w:rPr>
          <w:t>4.1 Background to process monitoring</w:t>
        </w:r>
        <w:r w:rsidR="00BF6721">
          <w:rPr>
            <w:noProof/>
            <w:webHidden/>
          </w:rPr>
          <w:tab/>
        </w:r>
        <w:r w:rsidR="00BF6721">
          <w:rPr>
            <w:noProof/>
            <w:webHidden/>
          </w:rPr>
          <w:fldChar w:fldCharType="begin"/>
        </w:r>
        <w:r w:rsidR="00BF6721">
          <w:rPr>
            <w:noProof/>
            <w:webHidden/>
          </w:rPr>
          <w:instrText xml:space="preserve"> PAGEREF _Toc74577264 \h </w:instrText>
        </w:r>
        <w:r w:rsidR="00BF6721">
          <w:rPr>
            <w:noProof/>
            <w:webHidden/>
          </w:rPr>
        </w:r>
        <w:r w:rsidR="00BF6721">
          <w:rPr>
            <w:noProof/>
            <w:webHidden/>
          </w:rPr>
          <w:fldChar w:fldCharType="separate"/>
        </w:r>
        <w:r w:rsidR="00AF1DA1">
          <w:rPr>
            <w:noProof/>
            <w:webHidden/>
          </w:rPr>
          <w:t>24</w:t>
        </w:r>
        <w:r w:rsidR="00BF6721">
          <w:rPr>
            <w:noProof/>
            <w:webHidden/>
          </w:rPr>
          <w:fldChar w:fldCharType="end"/>
        </w:r>
      </w:hyperlink>
    </w:p>
    <w:p w14:paraId="2E96A4A3" w14:textId="39AA5A3E" w:rsidR="00BF6721" w:rsidRDefault="00746B53">
      <w:pPr>
        <w:pStyle w:val="TOC2"/>
        <w:tabs>
          <w:tab w:val="right" w:leader="dot" w:pos="9621"/>
        </w:tabs>
        <w:rPr>
          <w:rFonts w:asciiTheme="minorHAnsi" w:eastAsiaTheme="minorEastAsia" w:hAnsiTheme="minorHAnsi" w:cstheme="minorBidi"/>
          <w:noProof/>
          <w:sz w:val="22"/>
          <w:lang w:eastAsia="en-GB"/>
        </w:rPr>
      </w:pPr>
      <w:hyperlink w:anchor="_Toc74577265" w:history="1">
        <w:r w:rsidR="00BF6721" w:rsidRPr="000C4EC9">
          <w:rPr>
            <w:rStyle w:val="Hyperlink"/>
            <w:noProof/>
          </w:rPr>
          <w:t>4.2 Process monitoring findings</w:t>
        </w:r>
        <w:r w:rsidR="00BF6721">
          <w:rPr>
            <w:noProof/>
            <w:webHidden/>
          </w:rPr>
          <w:tab/>
        </w:r>
        <w:r w:rsidR="00BF6721">
          <w:rPr>
            <w:noProof/>
            <w:webHidden/>
          </w:rPr>
          <w:fldChar w:fldCharType="begin"/>
        </w:r>
        <w:r w:rsidR="00BF6721">
          <w:rPr>
            <w:noProof/>
            <w:webHidden/>
          </w:rPr>
          <w:instrText xml:space="preserve"> PAGEREF _Toc74577265 \h </w:instrText>
        </w:r>
        <w:r w:rsidR="00BF6721">
          <w:rPr>
            <w:noProof/>
            <w:webHidden/>
          </w:rPr>
        </w:r>
        <w:r w:rsidR="00BF6721">
          <w:rPr>
            <w:noProof/>
            <w:webHidden/>
          </w:rPr>
          <w:fldChar w:fldCharType="separate"/>
        </w:r>
        <w:r w:rsidR="00AF1DA1">
          <w:rPr>
            <w:noProof/>
            <w:webHidden/>
          </w:rPr>
          <w:t>25</w:t>
        </w:r>
        <w:r w:rsidR="00BF6721">
          <w:rPr>
            <w:noProof/>
            <w:webHidden/>
          </w:rPr>
          <w:fldChar w:fldCharType="end"/>
        </w:r>
      </w:hyperlink>
    </w:p>
    <w:p w14:paraId="6436C5EC" w14:textId="4FEA4E31" w:rsidR="00BF6721" w:rsidRDefault="00746B53">
      <w:pPr>
        <w:pStyle w:val="TOC2"/>
        <w:tabs>
          <w:tab w:val="right" w:leader="dot" w:pos="9621"/>
        </w:tabs>
        <w:rPr>
          <w:rFonts w:asciiTheme="minorHAnsi" w:eastAsiaTheme="minorEastAsia" w:hAnsiTheme="minorHAnsi" w:cstheme="minorBidi"/>
          <w:noProof/>
          <w:sz w:val="22"/>
          <w:lang w:eastAsia="en-GB"/>
        </w:rPr>
      </w:pPr>
      <w:hyperlink w:anchor="_Toc74577266" w:history="1">
        <w:r w:rsidR="00BF6721" w:rsidRPr="000C4EC9">
          <w:rPr>
            <w:rStyle w:val="Hyperlink"/>
            <w:noProof/>
          </w:rPr>
          <w:t>4.3 Concluding Statement</w:t>
        </w:r>
        <w:r w:rsidR="00BF6721">
          <w:rPr>
            <w:noProof/>
            <w:webHidden/>
          </w:rPr>
          <w:tab/>
        </w:r>
        <w:r w:rsidR="00BF6721">
          <w:rPr>
            <w:noProof/>
            <w:webHidden/>
          </w:rPr>
          <w:fldChar w:fldCharType="begin"/>
        </w:r>
        <w:r w:rsidR="00BF6721">
          <w:rPr>
            <w:noProof/>
            <w:webHidden/>
          </w:rPr>
          <w:instrText xml:space="preserve"> PAGEREF _Toc74577266 \h </w:instrText>
        </w:r>
        <w:r w:rsidR="00BF6721">
          <w:rPr>
            <w:noProof/>
            <w:webHidden/>
          </w:rPr>
        </w:r>
        <w:r w:rsidR="00BF6721">
          <w:rPr>
            <w:noProof/>
            <w:webHidden/>
          </w:rPr>
          <w:fldChar w:fldCharType="separate"/>
        </w:r>
        <w:r w:rsidR="00AF1DA1">
          <w:rPr>
            <w:noProof/>
            <w:webHidden/>
          </w:rPr>
          <w:t>32</w:t>
        </w:r>
        <w:r w:rsidR="00BF6721">
          <w:rPr>
            <w:noProof/>
            <w:webHidden/>
          </w:rPr>
          <w:fldChar w:fldCharType="end"/>
        </w:r>
      </w:hyperlink>
    </w:p>
    <w:p w14:paraId="2453DE3B" w14:textId="7DB5F23A" w:rsidR="00BF6721" w:rsidRDefault="00746B53">
      <w:pPr>
        <w:pStyle w:val="TOC1"/>
        <w:rPr>
          <w:rFonts w:asciiTheme="minorHAnsi" w:eastAsiaTheme="minorEastAsia" w:hAnsiTheme="minorHAnsi" w:cstheme="minorBidi"/>
          <w:noProof/>
          <w:sz w:val="22"/>
          <w:lang w:eastAsia="en-GB"/>
        </w:rPr>
      </w:pPr>
      <w:hyperlink w:anchor="_Toc74577267" w:history="1">
        <w:r w:rsidR="00BF6721" w:rsidRPr="000C4EC9">
          <w:rPr>
            <w:rStyle w:val="Hyperlink"/>
            <w:noProof/>
          </w:rPr>
          <w:t>5. Outcomes</w:t>
        </w:r>
        <w:r w:rsidR="00BF6721">
          <w:rPr>
            <w:noProof/>
            <w:webHidden/>
          </w:rPr>
          <w:tab/>
        </w:r>
        <w:r w:rsidR="00BF6721">
          <w:rPr>
            <w:noProof/>
            <w:webHidden/>
          </w:rPr>
          <w:fldChar w:fldCharType="begin"/>
        </w:r>
        <w:r w:rsidR="00BF6721">
          <w:rPr>
            <w:noProof/>
            <w:webHidden/>
          </w:rPr>
          <w:instrText xml:space="preserve"> PAGEREF _Toc74577267 \h </w:instrText>
        </w:r>
        <w:r w:rsidR="00BF6721">
          <w:rPr>
            <w:noProof/>
            <w:webHidden/>
          </w:rPr>
        </w:r>
        <w:r w:rsidR="00BF6721">
          <w:rPr>
            <w:noProof/>
            <w:webHidden/>
          </w:rPr>
          <w:fldChar w:fldCharType="separate"/>
        </w:r>
        <w:r w:rsidR="00AF1DA1">
          <w:rPr>
            <w:noProof/>
            <w:webHidden/>
          </w:rPr>
          <w:t>34</w:t>
        </w:r>
        <w:r w:rsidR="00BF6721">
          <w:rPr>
            <w:noProof/>
            <w:webHidden/>
          </w:rPr>
          <w:fldChar w:fldCharType="end"/>
        </w:r>
      </w:hyperlink>
    </w:p>
    <w:p w14:paraId="40813BB3" w14:textId="56D2065D" w:rsidR="00BF6721" w:rsidRDefault="00746B53">
      <w:pPr>
        <w:pStyle w:val="TOC2"/>
        <w:tabs>
          <w:tab w:val="right" w:leader="dot" w:pos="9621"/>
        </w:tabs>
        <w:rPr>
          <w:rFonts w:asciiTheme="minorHAnsi" w:eastAsiaTheme="minorEastAsia" w:hAnsiTheme="minorHAnsi" w:cstheme="minorBidi"/>
          <w:noProof/>
          <w:sz w:val="22"/>
          <w:lang w:eastAsia="en-GB"/>
        </w:rPr>
      </w:pPr>
      <w:hyperlink w:anchor="_Toc74577268" w:history="1">
        <w:r w:rsidR="00BF6721" w:rsidRPr="000C4EC9">
          <w:rPr>
            <w:rStyle w:val="Hyperlink"/>
            <w:noProof/>
          </w:rPr>
          <w:t>5.1 Background to outcome monitoring</w:t>
        </w:r>
        <w:r w:rsidR="00BF6721">
          <w:rPr>
            <w:noProof/>
            <w:webHidden/>
          </w:rPr>
          <w:tab/>
        </w:r>
        <w:r w:rsidR="00BF6721">
          <w:rPr>
            <w:noProof/>
            <w:webHidden/>
          </w:rPr>
          <w:fldChar w:fldCharType="begin"/>
        </w:r>
        <w:r w:rsidR="00BF6721">
          <w:rPr>
            <w:noProof/>
            <w:webHidden/>
          </w:rPr>
          <w:instrText xml:space="preserve"> PAGEREF _Toc74577268 \h </w:instrText>
        </w:r>
        <w:r w:rsidR="00BF6721">
          <w:rPr>
            <w:noProof/>
            <w:webHidden/>
          </w:rPr>
        </w:r>
        <w:r w:rsidR="00BF6721">
          <w:rPr>
            <w:noProof/>
            <w:webHidden/>
          </w:rPr>
          <w:fldChar w:fldCharType="separate"/>
        </w:r>
        <w:r w:rsidR="00AF1DA1">
          <w:rPr>
            <w:noProof/>
            <w:webHidden/>
          </w:rPr>
          <w:t>34</w:t>
        </w:r>
        <w:r w:rsidR="00BF6721">
          <w:rPr>
            <w:noProof/>
            <w:webHidden/>
          </w:rPr>
          <w:fldChar w:fldCharType="end"/>
        </w:r>
      </w:hyperlink>
    </w:p>
    <w:p w14:paraId="38DC19B2" w14:textId="548D7D7B" w:rsidR="00BF6721" w:rsidRDefault="00746B53">
      <w:pPr>
        <w:pStyle w:val="TOC2"/>
        <w:tabs>
          <w:tab w:val="right" w:leader="dot" w:pos="9621"/>
        </w:tabs>
        <w:rPr>
          <w:rFonts w:asciiTheme="minorHAnsi" w:eastAsiaTheme="minorEastAsia" w:hAnsiTheme="minorHAnsi" w:cstheme="minorBidi"/>
          <w:noProof/>
          <w:sz w:val="22"/>
          <w:lang w:eastAsia="en-GB"/>
        </w:rPr>
      </w:pPr>
      <w:hyperlink w:anchor="_Toc74577269" w:history="1">
        <w:r w:rsidR="00BF6721" w:rsidRPr="000C4EC9">
          <w:rPr>
            <w:rStyle w:val="Hyperlink"/>
            <w:noProof/>
          </w:rPr>
          <w:t>5.2 Outcome monitoring findings</w:t>
        </w:r>
        <w:r w:rsidR="00BF6721">
          <w:rPr>
            <w:noProof/>
            <w:webHidden/>
          </w:rPr>
          <w:tab/>
        </w:r>
        <w:r w:rsidR="00BF6721">
          <w:rPr>
            <w:noProof/>
            <w:webHidden/>
          </w:rPr>
          <w:fldChar w:fldCharType="begin"/>
        </w:r>
        <w:r w:rsidR="00BF6721">
          <w:rPr>
            <w:noProof/>
            <w:webHidden/>
          </w:rPr>
          <w:instrText xml:space="preserve"> PAGEREF _Toc74577269 \h </w:instrText>
        </w:r>
        <w:r w:rsidR="00BF6721">
          <w:rPr>
            <w:noProof/>
            <w:webHidden/>
          </w:rPr>
        </w:r>
        <w:r w:rsidR="00BF6721">
          <w:rPr>
            <w:noProof/>
            <w:webHidden/>
          </w:rPr>
          <w:fldChar w:fldCharType="separate"/>
        </w:r>
        <w:r w:rsidR="00AF1DA1">
          <w:rPr>
            <w:noProof/>
            <w:webHidden/>
          </w:rPr>
          <w:t>34</w:t>
        </w:r>
        <w:r w:rsidR="00BF6721">
          <w:rPr>
            <w:noProof/>
            <w:webHidden/>
          </w:rPr>
          <w:fldChar w:fldCharType="end"/>
        </w:r>
      </w:hyperlink>
    </w:p>
    <w:p w14:paraId="6ED28911" w14:textId="0B905BE4" w:rsidR="00BF6721" w:rsidRDefault="00746B53">
      <w:pPr>
        <w:pStyle w:val="TOC2"/>
        <w:tabs>
          <w:tab w:val="right" w:leader="dot" w:pos="9621"/>
        </w:tabs>
        <w:rPr>
          <w:rFonts w:asciiTheme="minorHAnsi" w:eastAsiaTheme="minorEastAsia" w:hAnsiTheme="minorHAnsi" w:cstheme="minorBidi"/>
          <w:noProof/>
          <w:sz w:val="22"/>
          <w:lang w:eastAsia="en-GB"/>
        </w:rPr>
      </w:pPr>
      <w:hyperlink w:anchor="_Toc74577270" w:history="1">
        <w:r w:rsidR="00BF6721" w:rsidRPr="000C4EC9">
          <w:rPr>
            <w:rStyle w:val="Hyperlink"/>
            <w:noProof/>
          </w:rPr>
          <w:t>5.3 Concluding Statement</w:t>
        </w:r>
        <w:r w:rsidR="00BF6721">
          <w:rPr>
            <w:noProof/>
            <w:webHidden/>
          </w:rPr>
          <w:tab/>
        </w:r>
        <w:r w:rsidR="00BF6721">
          <w:rPr>
            <w:noProof/>
            <w:webHidden/>
          </w:rPr>
          <w:fldChar w:fldCharType="begin"/>
        </w:r>
        <w:r w:rsidR="00BF6721">
          <w:rPr>
            <w:noProof/>
            <w:webHidden/>
          </w:rPr>
          <w:instrText xml:space="preserve"> PAGEREF _Toc74577270 \h </w:instrText>
        </w:r>
        <w:r w:rsidR="00BF6721">
          <w:rPr>
            <w:noProof/>
            <w:webHidden/>
          </w:rPr>
        </w:r>
        <w:r w:rsidR="00BF6721">
          <w:rPr>
            <w:noProof/>
            <w:webHidden/>
          </w:rPr>
          <w:fldChar w:fldCharType="separate"/>
        </w:r>
        <w:r w:rsidR="00AF1DA1">
          <w:rPr>
            <w:noProof/>
            <w:webHidden/>
          </w:rPr>
          <w:t>56</w:t>
        </w:r>
        <w:r w:rsidR="00BF6721">
          <w:rPr>
            <w:noProof/>
            <w:webHidden/>
          </w:rPr>
          <w:fldChar w:fldCharType="end"/>
        </w:r>
      </w:hyperlink>
    </w:p>
    <w:p w14:paraId="1DE1555A" w14:textId="3B900A0E" w:rsidR="00BF6721" w:rsidRDefault="00746B53">
      <w:pPr>
        <w:pStyle w:val="TOC1"/>
        <w:rPr>
          <w:rFonts w:asciiTheme="minorHAnsi" w:eastAsiaTheme="minorEastAsia" w:hAnsiTheme="minorHAnsi" w:cstheme="minorBidi"/>
          <w:noProof/>
          <w:sz w:val="22"/>
          <w:lang w:eastAsia="en-GB"/>
        </w:rPr>
      </w:pPr>
      <w:hyperlink w:anchor="_Toc74577271" w:history="1">
        <w:r w:rsidR="00BF6721" w:rsidRPr="000C4EC9">
          <w:rPr>
            <w:rStyle w:val="Hyperlink"/>
            <w:noProof/>
          </w:rPr>
          <w:t>Conclusion and next steps</w:t>
        </w:r>
        <w:r w:rsidR="00BF6721">
          <w:rPr>
            <w:noProof/>
            <w:webHidden/>
          </w:rPr>
          <w:tab/>
        </w:r>
        <w:r w:rsidR="00BF6721">
          <w:rPr>
            <w:noProof/>
            <w:webHidden/>
          </w:rPr>
          <w:fldChar w:fldCharType="begin"/>
        </w:r>
        <w:r w:rsidR="00BF6721">
          <w:rPr>
            <w:noProof/>
            <w:webHidden/>
          </w:rPr>
          <w:instrText xml:space="preserve"> PAGEREF _Toc74577271 \h </w:instrText>
        </w:r>
        <w:r w:rsidR="00BF6721">
          <w:rPr>
            <w:noProof/>
            <w:webHidden/>
          </w:rPr>
        </w:r>
        <w:r w:rsidR="00BF6721">
          <w:rPr>
            <w:noProof/>
            <w:webHidden/>
          </w:rPr>
          <w:fldChar w:fldCharType="separate"/>
        </w:r>
        <w:r w:rsidR="00AF1DA1">
          <w:rPr>
            <w:noProof/>
            <w:webHidden/>
          </w:rPr>
          <w:t>58</w:t>
        </w:r>
        <w:r w:rsidR="00BF6721">
          <w:rPr>
            <w:noProof/>
            <w:webHidden/>
          </w:rPr>
          <w:fldChar w:fldCharType="end"/>
        </w:r>
      </w:hyperlink>
    </w:p>
    <w:p w14:paraId="6894210E" w14:textId="6583A97C" w:rsidR="00BF6721" w:rsidRDefault="00746B53">
      <w:pPr>
        <w:pStyle w:val="TOC1"/>
        <w:rPr>
          <w:rFonts w:asciiTheme="minorHAnsi" w:eastAsiaTheme="minorEastAsia" w:hAnsiTheme="minorHAnsi" w:cstheme="minorBidi"/>
          <w:noProof/>
          <w:sz w:val="22"/>
          <w:lang w:eastAsia="en-GB"/>
        </w:rPr>
      </w:pPr>
      <w:hyperlink w:anchor="_Toc74577272" w:history="1">
        <w:r w:rsidR="00BF6721" w:rsidRPr="000C4EC9">
          <w:rPr>
            <w:rStyle w:val="Hyperlink"/>
            <w:noProof/>
          </w:rPr>
          <w:t xml:space="preserve">Annex A: High level marine objectives and </w:t>
        </w:r>
        <w:r w:rsidR="00B07496">
          <w:rPr>
            <w:rStyle w:val="Hyperlink"/>
            <w:noProof/>
          </w:rPr>
          <w:t xml:space="preserve">South Marine </w:t>
        </w:r>
        <w:r w:rsidR="00DC2E44">
          <w:rPr>
            <w:rStyle w:val="Hyperlink"/>
            <w:noProof/>
          </w:rPr>
          <w:t>Plan</w:t>
        </w:r>
        <w:r w:rsidR="00BF6721" w:rsidRPr="000C4EC9">
          <w:rPr>
            <w:rStyle w:val="Hyperlink"/>
            <w:noProof/>
          </w:rPr>
          <w:t xml:space="preserve"> objectives</w:t>
        </w:r>
        <w:r w:rsidR="00BF6721">
          <w:rPr>
            <w:noProof/>
            <w:webHidden/>
          </w:rPr>
          <w:tab/>
        </w:r>
        <w:r w:rsidR="00BF6721">
          <w:rPr>
            <w:noProof/>
            <w:webHidden/>
          </w:rPr>
          <w:fldChar w:fldCharType="begin"/>
        </w:r>
        <w:r w:rsidR="00BF6721">
          <w:rPr>
            <w:noProof/>
            <w:webHidden/>
          </w:rPr>
          <w:instrText xml:space="preserve"> PAGEREF _Toc74577272 \h </w:instrText>
        </w:r>
        <w:r w:rsidR="00BF6721">
          <w:rPr>
            <w:noProof/>
            <w:webHidden/>
          </w:rPr>
        </w:r>
        <w:r w:rsidR="00BF6721">
          <w:rPr>
            <w:noProof/>
            <w:webHidden/>
          </w:rPr>
          <w:fldChar w:fldCharType="separate"/>
        </w:r>
        <w:r w:rsidR="00AF1DA1">
          <w:rPr>
            <w:noProof/>
            <w:webHidden/>
          </w:rPr>
          <w:t>60</w:t>
        </w:r>
        <w:r w:rsidR="00BF6721">
          <w:rPr>
            <w:noProof/>
            <w:webHidden/>
          </w:rPr>
          <w:fldChar w:fldCharType="end"/>
        </w:r>
      </w:hyperlink>
    </w:p>
    <w:p w14:paraId="15C4FB3E" w14:textId="444837BA" w:rsidR="00BF6721" w:rsidRDefault="00746B53">
      <w:pPr>
        <w:pStyle w:val="TOC1"/>
        <w:rPr>
          <w:rFonts w:asciiTheme="minorHAnsi" w:eastAsiaTheme="minorEastAsia" w:hAnsiTheme="minorHAnsi" w:cstheme="minorBidi"/>
          <w:noProof/>
          <w:sz w:val="22"/>
          <w:lang w:eastAsia="en-GB"/>
        </w:rPr>
      </w:pPr>
      <w:hyperlink w:anchor="_Toc74577273" w:history="1">
        <w:r w:rsidR="00BF6721" w:rsidRPr="000C4EC9">
          <w:rPr>
            <w:rStyle w:val="Hyperlink"/>
            <w:noProof/>
          </w:rPr>
          <w:t>Annex B: Policy implementation in marine licence decision-making</w:t>
        </w:r>
        <w:r w:rsidR="00BF6721">
          <w:rPr>
            <w:noProof/>
            <w:webHidden/>
          </w:rPr>
          <w:tab/>
        </w:r>
        <w:r w:rsidR="00BF6721">
          <w:rPr>
            <w:noProof/>
            <w:webHidden/>
          </w:rPr>
          <w:fldChar w:fldCharType="begin"/>
        </w:r>
        <w:r w:rsidR="00BF6721">
          <w:rPr>
            <w:noProof/>
            <w:webHidden/>
          </w:rPr>
          <w:instrText xml:space="preserve"> PAGEREF _Toc74577273 \h </w:instrText>
        </w:r>
        <w:r w:rsidR="00BF6721">
          <w:rPr>
            <w:noProof/>
            <w:webHidden/>
          </w:rPr>
        </w:r>
        <w:r w:rsidR="00BF6721">
          <w:rPr>
            <w:noProof/>
            <w:webHidden/>
          </w:rPr>
          <w:fldChar w:fldCharType="separate"/>
        </w:r>
        <w:r w:rsidR="00AF1DA1">
          <w:rPr>
            <w:noProof/>
            <w:webHidden/>
          </w:rPr>
          <w:t>62</w:t>
        </w:r>
        <w:r w:rsidR="00BF6721">
          <w:rPr>
            <w:noProof/>
            <w:webHidden/>
          </w:rPr>
          <w:fldChar w:fldCharType="end"/>
        </w:r>
      </w:hyperlink>
    </w:p>
    <w:p w14:paraId="001E9BBA" w14:textId="383EC27B" w:rsidR="00566F6F" w:rsidRPr="00F6274F" w:rsidRDefault="000239B6" w:rsidP="00654C24">
      <w:r>
        <w:rPr>
          <w:b/>
        </w:rPr>
        <w:fldChar w:fldCharType="end"/>
      </w:r>
      <w:r w:rsidR="00566F6F">
        <w:br w:type="page"/>
      </w:r>
    </w:p>
    <w:p w14:paraId="2BF79ED5" w14:textId="55AF4EB0" w:rsidR="002E5EED" w:rsidRPr="00B20E09" w:rsidRDefault="00A47056" w:rsidP="00285EEE">
      <w:pPr>
        <w:pStyle w:val="Heading2"/>
      </w:pPr>
      <w:bookmarkStart w:id="3" w:name="_Toc27412717"/>
      <w:bookmarkStart w:id="4" w:name="_Toc26542097"/>
      <w:bookmarkStart w:id="5" w:name="_Toc28080007"/>
      <w:bookmarkStart w:id="6" w:name="_Toc28255246"/>
      <w:bookmarkStart w:id="7" w:name="_Toc29221473"/>
      <w:bookmarkStart w:id="8" w:name="_Toc30499870"/>
      <w:bookmarkStart w:id="9" w:name="_Toc30501181"/>
      <w:bookmarkStart w:id="10" w:name="_Toc33457204"/>
      <w:bookmarkStart w:id="11" w:name="_Toc68186318"/>
      <w:bookmarkStart w:id="12" w:name="_Toc72414589"/>
      <w:bookmarkStart w:id="13" w:name="_Toc72489156"/>
      <w:bookmarkStart w:id="14" w:name="_Toc74307982"/>
      <w:bookmarkStart w:id="15" w:name="_Toc74577248"/>
      <w:bookmarkEnd w:id="2"/>
      <w:r w:rsidRPr="00B20E09">
        <w:lastRenderedPageBreak/>
        <w:t xml:space="preserve">1. </w:t>
      </w:r>
      <w:r w:rsidR="002E5EED" w:rsidRPr="00B20E09">
        <w:t xml:space="preserve">Overview of the </w:t>
      </w:r>
      <w:r w:rsidR="00FD37DE" w:rsidRPr="00B20E09">
        <w:t>South</w:t>
      </w:r>
      <w:r w:rsidR="002E5EED" w:rsidRPr="00B20E09">
        <w:t xml:space="preserve"> </w:t>
      </w:r>
      <w:r w:rsidR="00554620">
        <w:t>I</w:t>
      </w:r>
      <w:r w:rsidR="002E5EED" w:rsidRPr="00B20E09">
        <w:t xml:space="preserve">nshore and </w:t>
      </w:r>
      <w:r w:rsidR="00FD37DE" w:rsidRPr="00B20E09">
        <w:t xml:space="preserve">South </w:t>
      </w:r>
      <w:r w:rsidR="00554620">
        <w:t>O</w:t>
      </w:r>
      <w:r w:rsidR="002E5EED" w:rsidRPr="00B20E09">
        <w:t xml:space="preserve">ffshore </w:t>
      </w:r>
      <w:r w:rsidR="00C406C0">
        <w:t>M</w:t>
      </w:r>
      <w:r w:rsidR="002E5EED" w:rsidRPr="00B20E09">
        <w:t xml:space="preserve">arine </w:t>
      </w:r>
      <w:r w:rsidR="00C406C0">
        <w:t>P</w:t>
      </w:r>
      <w:r w:rsidR="002E5EED" w:rsidRPr="00B20E09">
        <w:t>lan</w:t>
      </w:r>
      <w:bookmarkStart w:id="16" w:name="_Toc473641181"/>
      <w:bookmarkStart w:id="17" w:name="_Toc522629673"/>
      <w:bookmarkEnd w:id="3"/>
      <w:bookmarkEnd w:id="4"/>
      <w:bookmarkEnd w:id="5"/>
      <w:bookmarkEnd w:id="6"/>
      <w:bookmarkEnd w:id="7"/>
      <w:bookmarkEnd w:id="8"/>
      <w:bookmarkEnd w:id="9"/>
      <w:bookmarkEnd w:id="10"/>
      <w:bookmarkEnd w:id="11"/>
      <w:bookmarkEnd w:id="12"/>
      <w:bookmarkEnd w:id="13"/>
      <w:bookmarkEnd w:id="14"/>
      <w:bookmarkEnd w:id="15"/>
    </w:p>
    <w:p w14:paraId="58D09610" w14:textId="2B6A897E" w:rsidR="0030147F" w:rsidRDefault="00FD37DE" w:rsidP="00285EEE">
      <w:pPr>
        <w:pStyle w:val="Heading3"/>
      </w:pPr>
      <w:bookmarkStart w:id="18" w:name="_Toc68186319"/>
      <w:bookmarkStart w:id="19" w:name="_Toc72414590"/>
      <w:bookmarkStart w:id="20" w:name="_Toc72489157"/>
      <w:bookmarkStart w:id="21" w:name="_Toc74307983"/>
      <w:bookmarkStart w:id="22" w:name="_Toc74577249"/>
      <w:r>
        <w:t xml:space="preserve">1.1 </w:t>
      </w:r>
      <w:r w:rsidR="0030147F" w:rsidRPr="003B08F1">
        <w:t xml:space="preserve">When the </w:t>
      </w:r>
      <w:r w:rsidR="0027200C">
        <w:t>p</w:t>
      </w:r>
      <w:r w:rsidR="0030147F" w:rsidRPr="003B08F1">
        <w:t xml:space="preserve">lan </w:t>
      </w:r>
      <w:r w:rsidR="000755C4" w:rsidRPr="003B08F1">
        <w:t>w</w:t>
      </w:r>
      <w:r w:rsidR="000755C4">
        <w:t xml:space="preserve">as </w:t>
      </w:r>
      <w:r w:rsidR="0030147F" w:rsidRPr="003B08F1">
        <w:t>adopted</w:t>
      </w:r>
      <w:bookmarkEnd w:id="18"/>
      <w:bookmarkEnd w:id="19"/>
      <w:bookmarkEnd w:id="20"/>
      <w:bookmarkEnd w:id="21"/>
      <w:bookmarkEnd w:id="22"/>
      <w:r w:rsidR="0030147F" w:rsidRPr="003B08F1">
        <w:t xml:space="preserve"> </w:t>
      </w:r>
    </w:p>
    <w:p w14:paraId="3E95C30F" w14:textId="0DE180DE" w:rsidR="0004253A" w:rsidRDefault="0004253A" w:rsidP="00D43BAE">
      <w:pPr>
        <w:pStyle w:val="ListParagraph"/>
        <w:numPr>
          <w:ilvl w:val="0"/>
          <w:numId w:val="8"/>
        </w:numPr>
        <w:ind w:left="561" w:hanging="567"/>
        <w:contextualSpacing w:val="0"/>
      </w:pPr>
      <w:bookmarkStart w:id="23" w:name="_Hlk67651157"/>
      <w:bookmarkEnd w:id="16"/>
      <w:bookmarkEnd w:id="17"/>
      <w:r w:rsidRPr="006F073B">
        <w:t xml:space="preserve">The </w:t>
      </w:r>
      <w:bookmarkStart w:id="24" w:name="_Hlk71798585"/>
      <w:r w:rsidR="00F33BA1">
        <w:fldChar w:fldCharType="begin"/>
      </w:r>
      <w:r w:rsidR="00F33BA1">
        <w:instrText xml:space="preserve"> HYPERLINK "https://www.gov.uk/government/publications/the-south-marine-plans-documents" </w:instrText>
      </w:r>
      <w:r w:rsidR="00F33BA1">
        <w:fldChar w:fldCharType="separate"/>
      </w:r>
      <w:r w:rsidR="00B07496">
        <w:rPr>
          <w:rStyle w:val="Hyperlink"/>
        </w:rPr>
        <w:t xml:space="preserve">South Marine </w:t>
      </w:r>
      <w:r w:rsidR="00DC2E44">
        <w:rPr>
          <w:rStyle w:val="Hyperlink"/>
        </w:rPr>
        <w:t>Plan</w:t>
      </w:r>
      <w:r w:rsidR="00F33BA1">
        <w:rPr>
          <w:rStyle w:val="Hyperlink"/>
        </w:rPr>
        <w:fldChar w:fldCharType="end"/>
      </w:r>
      <w:bookmarkEnd w:id="24"/>
      <w:r w:rsidRPr="006F073B" w:rsidDel="009F5A01">
        <w:t xml:space="preserve"> </w:t>
      </w:r>
      <w:r w:rsidR="00EF7221">
        <w:t xml:space="preserve">(the </w:t>
      </w:r>
      <w:r w:rsidR="00C406C0">
        <w:t>P</w:t>
      </w:r>
      <w:r w:rsidR="00EF7221">
        <w:t>lan)</w:t>
      </w:r>
      <w:r w:rsidR="00B0519D">
        <w:t xml:space="preserve"> </w:t>
      </w:r>
      <w:r w:rsidR="009F5A01">
        <w:t>was</w:t>
      </w:r>
      <w:r w:rsidR="009F5A01" w:rsidRPr="006F073B">
        <w:t xml:space="preserve"> </w:t>
      </w:r>
      <w:r w:rsidRPr="006F073B">
        <w:t xml:space="preserve">prepared by the Marine Management Organisation (MMO) on behalf of </w:t>
      </w:r>
      <w:r w:rsidR="0027200C">
        <w:t>g</w:t>
      </w:r>
      <w:r w:rsidRPr="006F073B">
        <w:t xml:space="preserve">overnment and adopted by the Secretary of State for the Department for Environment, Food and Rural Affairs (Defra) on </w:t>
      </w:r>
      <w:r w:rsidR="00A5517F">
        <w:t xml:space="preserve">17 July </w:t>
      </w:r>
      <w:r w:rsidRPr="006F073B">
        <w:t>201</w:t>
      </w:r>
      <w:r w:rsidR="000755C4">
        <w:t>8</w:t>
      </w:r>
      <w:r w:rsidRPr="006F073B">
        <w:t xml:space="preserve">. </w:t>
      </w:r>
    </w:p>
    <w:p w14:paraId="3B935DE1" w14:textId="13886D27" w:rsidR="003B08F1" w:rsidRDefault="00FD37DE" w:rsidP="00285EEE">
      <w:pPr>
        <w:pStyle w:val="Heading3"/>
      </w:pPr>
      <w:bookmarkStart w:id="25" w:name="_Toc68186320"/>
      <w:bookmarkStart w:id="26" w:name="_Toc72414591"/>
      <w:bookmarkStart w:id="27" w:name="_Toc72489158"/>
      <w:bookmarkStart w:id="28" w:name="_Toc74307984"/>
      <w:bookmarkStart w:id="29" w:name="_Toc74577250"/>
      <w:bookmarkEnd w:id="23"/>
      <w:r>
        <w:t xml:space="preserve">1.2 </w:t>
      </w:r>
      <w:r w:rsidR="003B08F1" w:rsidRPr="003B08F1">
        <w:t xml:space="preserve">Outline description of the </w:t>
      </w:r>
      <w:r>
        <w:t>South</w:t>
      </w:r>
      <w:r w:rsidR="003B08F1" w:rsidRPr="003B08F1">
        <w:t xml:space="preserve"> </w:t>
      </w:r>
      <w:r w:rsidR="00DD62AA">
        <w:t>I</w:t>
      </w:r>
      <w:r w:rsidR="003B08F1" w:rsidRPr="003B08F1">
        <w:t xml:space="preserve">nshore and </w:t>
      </w:r>
      <w:r>
        <w:t xml:space="preserve">South </w:t>
      </w:r>
      <w:r w:rsidR="00DD62AA">
        <w:t>O</w:t>
      </w:r>
      <w:r w:rsidR="003B08F1" w:rsidRPr="003B08F1">
        <w:t xml:space="preserve">ffshore </w:t>
      </w:r>
      <w:r w:rsidR="00DD62AA">
        <w:t>M</w:t>
      </w:r>
      <w:r w:rsidR="003B08F1" w:rsidRPr="003B08F1">
        <w:t xml:space="preserve">arine </w:t>
      </w:r>
      <w:r w:rsidR="00DC2E44">
        <w:t>Plan</w:t>
      </w:r>
      <w:r w:rsidR="003B08F1" w:rsidRPr="003B08F1">
        <w:t xml:space="preserve"> areas</w:t>
      </w:r>
      <w:bookmarkEnd w:id="25"/>
      <w:bookmarkEnd w:id="26"/>
      <w:bookmarkEnd w:id="27"/>
      <w:bookmarkEnd w:id="28"/>
      <w:bookmarkEnd w:id="29"/>
    </w:p>
    <w:p w14:paraId="382AA5D1" w14:textId="569EE419" w:rsidR="00FD37DE" w:rsidRDefault="00D07B63" w:rsidP="00D43BAE">
      <w:pPr>
        <w:pStyle w:val="ListParagraph"/>
        <w:numPr>
          <w:ilvl w:val="0"/>
          <w:numId w:val="8"/>
        </w:numPr>
        <w:ind w:left="561" w:hanging="567"/>
        <w:contextualSpacing w:val="0"/>
      </w:pPr>
      <w:r w:rsidRPr="006702F2">
        <w:t xml:space="preserve">The </w:t>
      </w:r>
      <w:r w:rsidR="00DD62AA">
        <w:t>S</w:t>
      </w:r>
      <w:r w:rsidRPr="006702F2">
        <w:t xml:space="preserve">outh </w:t>
      </w:r>
      <w:r w:rsidR="00DD62AA">
        <w:t>I</w:t>
      </w:r>
      <w:r w:rsidRPr="006702F2">
        <w:t xml:space="preserve">nshore </w:t>
      </w:r>
      <w:r w:rsidR="00EF76D5">
        <w:t xml:space="preserve">and </w:t>
      </w:r>
      <w:r w:rsidR="00DD62AA">
        <w:t>South O</w:t>
      </w:r>
      <w:r w:rsidR="00EF76D5">
        <w:t>ffshore</w:t>
      </w:r>
      <w:r w:rsidR="00DD62AA">
        <w:t xml:space="preserve"> M</w:t>
      </w:r>
      <w:r w:rsidRPr="006702F2">
        <w:t xml:space="preserve">arine </w:t>
      </w:r>
      <w:r w:rsidR="00DC2E44">
        <w:t>Plan</w:t>
      </w:r>
      <w:r w:rsidRPr="006702F2">
        <w:t xml:space="preserve"> area</w:t>
      </w:r>
      <w:r w:rsidR="00EF76D5">
        <w:t>s</w:t>
      </w:r>
      <w:r w:rsidRPr="006702F2">
        <w:t xml:space="preserve"> stretch from Folkestone in Kent to the river Dart in Devon. </w:t>
      </w:r>
      <w:r w:rsidR="00C406C0">
        <w:br/>
      </w:r>
      <w:r w:rsidR="00C406C0">
        <w:br/>
      </w:r>
      <w:r>
        <w:t xml:space="preserve">The </w:t>
      </w:r>
      <w:r w:rsidR="00554620">
        <w:t>P</w:t>
      </w:r>
      <w:r w:rsidR="008B6DC9">
        <w:t>lan’s</w:t>
      </w:r>
      <w:r>
        <w:t xml:space="preserve"> remit </w:t>
      </w:r>
      <w:r w:rsidRPr="006702F2">
        <w:t>includes</w:t>
      </w:r>
      <w:r>
        <w:t xml:space="preserve"> </w:t>
      </w:r>
      <w:r w:rsidRPr="006702F2">
        <w:t>the area from the mean high</w:t>
      </w:r>
      <w:r>
        <w:t>-</w:t>
      </w:r>
      <w:r w:rsidRPr="006702F2">
        <w:t>water spring tid</w:t>
      </w:r>
      <w:r>
        <w:t>al limit to the</w:t>
      </w:r>
      <w:r w:rsidRPr="006702F2">
        <w:t xml:space="preserve"> </w:t>
      </w:r>
      <w:r>
        <w:t xml:space="preserve">boundaries </w:t>
      </w:r>
      <w:r w:rsidRPr="006702F2">
        <w:t xml:space="preserve">with </w:t>
      </w:r>
      <w:bookmarkStart w:id="30" w:name="_Hlk65508877"/>
      <w:r w:rsidRPr="006702F2">
        <w:t>France and the Channel Islands</w:t>
      </w:r>
      <w:bookmarkEnd w:id="30"/>
      <w:r>
        <w:t xml:space="preserve"> and covers an area of approximately 10,000 square kilometres. </w:t>
      </w:r>
      <w:r w:rsidR="00C406C0">
        <w:br/>
      </w:r>
      <w:r w:rsidR="00C406C0">
        <w:br/>
      </w:r>
      <w:r w:rsidRPr="008D7708">
        <w:t xml:space="preserve">Delineation between the inshore and offshore marine </w:t>
      </w:r>
      <w:r w:rsidR="00554620">
        <w:t>p</w:t>
      </w:r>
      <w:r w:rsidR="00DC2E44">
        <w:t>lan</w:t>
      </w:r>
      <w:r w:rsidRPr="008D7708">
        <w:t xml:space="preserve"> areas exists at 12 nautical </w:t>
      </w:r>
      <w:r w:rsidR="00207C49" w:rsidRPr="008D7708">
        <w:t>miles</w:t>
      </w:r>
      <w:r w:rsidR="00207C49">
        <w:t xml:space="preserve"> from baseline</w:t>
      </w:r>
      <w:r w:rsidR="00207C49" w:rsidRPr="008D7708">
        <w:t xml:space="preserve">. </w:t>
      </w:r>
      <w:r w:rsidR="0027200C">
        <w:t>Figure 1 is a</w:t>
      </w:r>
      <w:r w:rsidRPr="008D7708">
        <w:t xml:space="preserve"> map of the </w:t>
      </w:r>
      <w:r w:rsidR="00554620">
        <w:t>p</w:t>
      </w:r>
      <w:r w:rsidR="00DC2E44">
        <w:t>lan</w:t>
      </w:r>
      <w:r w:rsidRPr="008D7708">
        <w:t xml:space="preserve"> areas</w:t>
      </w:r>
      <w:r w:rsidR="0027200C">
        <w:t>.</w:t>
      </w:r>
      <w:r w:rsidRPr="008D7708">
        <w:t xml:space="preserve"> </w:t>
      </w:r>
    </w:p>
    <w:p w14:paraId="3BABD8C7" w14:textId="14FE98F3" w:rsidR="009445C2" w:rsidRDefault="00343E17" w:rsidP="00285EEE">
      <w:pPr>
        <w:pStyle w:val="Heading3"/>
      </w:pPr>
      <w:bookmarkStart w:id="31" w:name="_Toc68186321"/>
      <w:bookmarkStart w:id="32" w:name="_Toc72414592"/>
      <w:bookmarkStart w:id="33" w:name="_Toc72489159"/>
      <w:bookmarkStart w:id="34" w:name="_Toc74307985"/>
      <w:bookmarkStart w:id="35" w:name="_Toc74577251"/>
      <w:r>
        <w:t xml:space="preserve">1.3 </w:t>
      </w:r>
      <w:r w:rsidR="009445C2" w:rsidRPr="003B08F1">
        <w:t>Vision, objectives and policies</w:t>
      </w:r>
      <w:bookmarkEnd w:id="31"/>
      <w:bookmarkEnd w:id="32"/>
      <w:bookmarkEnd w:id="33"/>
      <w:bookmarkEnd w:id="34"/>
      <w:bookmarkEnd w:id="35"/>
    </w:p>
    <w:p w14:paraId="34578167" w14:textId="2B38A73C" w:rsidR="002C5601" w:rsidRDefault="002D72DB" w:rsidP="00D43BAE">
      <w:pPr>
        <w:pStyle w:val="ListParagraph"/>
        <w:numPr>
          <w:ilvl w:val="0"/>
          <w:numId w:val="8"/>
        </w:numPr>
        <w:ind w:left="561" w:hanging="567"/>
        <w:contextualSpacing w:val="0"/>
      </w:pPr>
      <w:r w:rsidRPr="006F073B">
        <w:t xml:space="preserve">The </w:t>
      </w:r>
      <w:bookmarkStart w:id="36" w:name="_Hlk63779714"/>
      <w:r w:rsidR="00554620">
        <w:t>P</w:t>
      </w:r>
      <w:r w:rsidR="00D64EB6" w:rsidRPr="00B0519D">
        <w:t>lan</w:t>
      </w:r>
      <w:bookmarkEnd w:id="36"/>
      <w:r w:rsidR="00FD37DE">
        <w:t xml:space="preserve"> </w:t>
      </w:r>
      <w:r w:rsidR="007033B6" w:rsidRPr="00C936C3">
        <w:rPr>
          <w:szCs w:val="24"/>
        </w:rPr>
        <w:t>help</w:t>
      </w:r>
      <w:r w:rsidR="001612F8">
        <w:rPr>
          <w:szCs w:val="24"/>
        </w:rPr>
        <w:t>s to</w:t>
      </w:r>
      <w:r w:rsidR="007033B6" w:rsidRPr="00C936C3">
        <w:rPr>
          <w:szCs w:val="24"/>
        </w:rPr>
        <w:t xml:space="preserve"> deliver the UK’s vision for “clean, healthy, safe, productive and biologically diverse oceans and seas”</w:t>
      </w:r>
      <w:r w:rsidR="004C0656">
        <w:rPr>
          <w:szCs w:val="24"/>
        </w:rPr>
        <w:t>.</w:t>
      </w:r>
      <w:r w:rsidR="007033B6" w:rsidRPr="00C936C3">
        <w:rPr>
          <w:szCs w:val="24"/>
        </w:rPr>
        <w:t xml:space="preserve"> </w:t>
      </w:r>
      <w:r w:rsidR="0030533F">
        <w:rPr>
          <w:szCs w:val="24"/>
        </w:rPr>
        <w:br/>
      </w:r>
      <w:r w:rsidR="0030533F">
        <w:rPr>
          <w:szCs w:val="24"/>
        </w:rPr>
        <w:br/>
      </w:r>
      <w:r w:rsidR="00643B81" w:rsidRPr="009445C2">
        <w:rPr>
          <w:szCs w:val="24"/>
        </w:rPr>
        <w:t xml:space="preserve">The </w:t>
      </w:r>
      <w:r w:rsidR="00DC2E44">
        <w:rPr>
          <w:szCs w:val="24"/>
        </w:rPr>
        <w:t>Plan</w:t>
      </w:r>
      <w:r w:rsidR="007033B6" w:rsidRPr="00C936C3">
        <w:rPr>
          <w:szCs w:val="24"/>
        </w:rPr>
        <w:t xml:space="preserve"> </w:t>
      </w:r>
      <w:r w:rsidR="007033B6" w:rsidRPr="00E42F87">
        <w:t>objectives</w:t>
      </w:r>
      <w:r w:rsidR="007033B6" w:rsidRPr="00C936C3">
        <w:rPr>
          <w:szCs w:val="24"/>
        </w:rPr>
        <w:t xml:space="preserve"> </w:t>
      </w:r>
      <w:r w:rsidR="00643B81" w:rsidRPr="00E42F87">
        <w:t>are written in the context</w:t>
      </w:r>
      <w:r w:rsidR="007033B6" w:rsidRPr="00E42F87">
        <w:t xml:space="preserve"> of the </w:t>
      </w:r>
      <w:bookmarkStart w:id="37" w:name="_Hlk71798590"/>
      <w:r w:rsidR="00F33BA1">
        <w:fldChar w:fldCharType="begin"/>
      </w:r>
      <w:r w:rsidR="0005665B">
        <w:instrText>HYPERLINK "https://www.gov.uk/government/publications/uk-marine-policy-statement"</w:instrText>
      </w:r>
      <w:r w:rsidR="00F33BA1">
        <w:fldChar w:fldCharType="separate"/>
      </w:r>
      <w:r w:rsidR="00CF13C8">
        <w:rPr>
          <w:rStyle w:val="Hyperlink"/>
        </w:rPr>
        <w:t>UK M</w:t>
      </w:r>
      <w:r w:rsidR="007033B6">
        <w:rPr>
          <w:rStyle w:val="Hyperlink"/>
        </w:rPr>
        <w:t>arine Policy Statement</w:t>
      </w:r>
      <w:r w:rsidR="00F33BA1">
        <w:rPr>
          <w:rStyle w:val="Hyperlink"/>
        </w:rPr>
        <w:fldChar w:fldCharType="end"/>
      </w:r>
      <w:r w:rsidR="00643B81" w:rsidRPr="00E42F87">
        <w:t xml:space="preserve"> </w:t>
      </w:r>
      <w:bookmarkEnd w:id="37"/>
      <w:r w:rsidR="003074A8">
        <w:t>(</w:t>
      </w:r>
      <w:r w:rsidR="00081689">
        <w:t xml:space="preserve">UK </w:t>
      </w:r>
      <w:r w:rsidR="003074A8">
        <w:t xml:space="preserve">MPS) </w:t>
      </w:r>
      <w:r w:rsidR="00643B81" w:rsidRPr="00E42F87">
        <w:t>and the related high level marine objectives</w:t>
      </w:r>
      <w:r w:rsidR="00A63E94">
        <w:t xml:space="preserve"> </w:t>
      </w:r>
      <w:r w:rsidR="0004566E">
        <w:t xml:space="preserve">(HLMOs), </w:t>
      </w:r>
      <w:r w:rsidR="00803AAC">
        <w:t>w</w:t>
      </w:r>
      <w:r w:rsidR="00342E5C">
        <w:t xml:space="preserve">hich can be viewed in </w:t>
      </w:r>
      <w:hyperlink w:anchor="_Annex_A:_High" w:history="1">
        <w:r w:rsidR="00342E5C" w:rsidRPr="00342E5C">
          <w:rPr>
            <w:rStyle w:val="Hyperlink"/>
          </w:rPr>
          <w:t>Annex A</w:t>
        </w:r>
      </w:hyperlink>
      <w:r w:rsidR="00C35C45">
        <w:t xml:space="preserve">. </w:t>
      </w:r>
      <w:r w:rsidR="0030533F">
        <w:br/>
      </w:r>
      <w:r w:rsidR="0030533F">
        <w:br/>
      </w:r>
      <w:r w:rsidR="00513856" w:rsidRPr="00950C5D">
        <w:rPr>
          <w:szCs w:val="24"/>
        </w:rPr>
        <w:t>T</w:t>
      </w:r>
      <w:r w:rsidR="007033B6" w:rsidRPr="00950C5D">
        <w:rPr>
          <w:szCs w:val="24"/>
        </w:rPr>
        <w:t xml:space="preserve">he </w:t>
      </w:r>
      <w:r w:rsidR="00554620">
        <w:t>P</w:t>
      </w:r>
      <w:r w:rsidR="00D64EB6" w:rsidRPr="00C35C45">
        <w:t>lan</w:t>
      </w:r>
      <w:r w:rsidR="007033B6" w:rsidRPr="00950C5D">
        <w:rPr>
          <w:szCs w:val="24"/>
        </w:rPr>
        <w:t xml:space="preserve"> include</w:t>
      </w:r>
      <w:r w:rsidR="001612F8" w:rsidRPr="00950C5D">
        <w:rPr>
          <w:szCs w:val="24"/>
        </w:rPr>
        <w:t>s</w:t>
      </w:r>
      <w:r w:rsidR="007033B6" w:rsidRPr="00950C5D">
        <w:rPr>
          <w:szCs w:val="24"/>
        </w:rPr>
        <w:t xml:space="preserve"> a 20-year vision and </w:t>
      </w:r>
      <w:r w:rsidR="00AC4A61" w:rsidRPr="00950C5D">
        <w:rPr>
          <w:szCs w:val="24"/>
        </w:rPr>
        <w:t xml:space="preserve">its </w:t>
      </w:r>
      <w:r w:rsidR="007033B6" w:rsidRPr="00950C5D">
        <w:rPr>
          <w:szCs w:val="24"/>
        </w:rPr>
        <w:t>own objectives</w:t>
      </w:r>
      <w:r w:rsidR="002E173D" w:rsidRPr="00950C5D">
        <w:rPr>
          <w:szCs w:val="24"/>
        </w:rPr>
        <w:t xml:space="preserve"> </w:t>
      </w:r>
      <w:r w:rsidR="002E173D">
        <w:t>that</w:t>
      </w:r>
      <w:r w:rsidR="008E3A47" w:rsidRPr="00950C5D">
        <w:rPr>
          <w:szCs w:val="24"/>
        </w:rPr>
        <w:t xml:space="preserve"> describe how</w:t>
      </w:r>
      <w:r w:rsidR="008E3A47" w:rsidRPr="00E42F87">
        <w:t xml:space="preserve"> </w:t>
      </w:r>
      <w:r w:rsidR="008E3A47" w:rsidRPr="00E42F87" w:rsidDel="00375508">
        <w:t xml:space="preserve">the </w:t>
      </w:r>
      <w:r w:rsidR="00DC2E44">
        <w:t>Plan</w:t>
      </w:r>
      <w:r w:rsidR="008E3A47" w:rsidRPr="00E42F87">
        <w:t xml:space="preserve"> </w:t>
      </w:r>
      <w:r w:rsidR="00767E64">
        <w:t xml:space="preserve">vision </w:t>
      </w:r>
      <w:r w:rsidR="008E3A47" w:rsidRPr="00950C5D">
        <w:rPr>
          <w:szCs w:val="24"/>
        </w:rPr>
        <w:t xml:space="preserve">will be achieved. </w:t>
      </w:r>
      <w:r w:rsidR="00786199" w:rsidRPr="00950C5D">
        <w:rPr>
          <w:szCs w:val="24"/>
        </w:rPr>
        <w:t xml:space="preserve">The </w:t>
      </w:r>
      <w:r w:rsidR="00DC2E44">
        <w:rPr>
          <w:szCs w:val="24"/>
        </w:rPr>
        <w:t>Plan</w:t>
      </w:r>
      <w:r w:rsidR="00786199" w:rsidRPr="00950C5D">
        <w:rPr>
          <w:szCs w:val="24"/>
        </w:rPr>
        <w:t xml:space="preserve"> o</w:t>
      </w:r>
      <w:r w:rsidR="008E3A47" w:rsidRPr="00950C5D">
        <w:rPr>
          <w:szCs w:val="24"/>
        </w:rPr>
        <w:t>bjectives can be viewed within</w:t>
      </w:r>
      <w:r w:rsidR="00823C1B" w:rsidRPr="00950C5D">
        <w:rPr>
          <w:szCs w:val="24"/>
        </w:rPr>
        <w:t xml:space="preserve"> </w:t>
      </w:r>
      <w:hyperlink w:anchor="_5._Outcomes" w:history="1">
        <w:r w:rsidR="00151D29" w:rsidRPr="00950C5D">
          <w:rPr>
            <w:rStyle w:val="Hyperlink"/>
            <w:szCs w:val="24"/>
          </w:rPr>
          <w:t>Chapter 5</w:t>
        </w:r>
      </w:hyperlink>
      <w:r w:rsidR="00823C1B" w:rsidRPr="00950C5D">
        <w:rPr>
          <w:szCs w:val="24"/>
        </w:rPr>
        <w:t xml:space="preserve"> of this report</w:t>
      </w:r>
      <w:r w:rsidR="008E3A47" w:rsidRPr="00E42F87">
        <w:t>.</w:t>
      </w:r>
    </w:p>
    <w:p w14:paraId="56E928B9" w14:textId="0B3BBE6A" w:rsidR="00B813C9" w:rsidRPr="006A0761" w:rsidRDefault="003164DE" w:rsidP="00D43BAE">
      <w:pPr>
        <w:pStyle w:val="ListParagraph"/>
        <w:numPr>
          <w:ilvl w:val="0"/>
          <w:numId w:val="8"/>
        </w:numPr>
        <w:ind w:left="561" w:hanging="567"/>
        <w:contextualSpacing w:val="0"/>
      </w:pPr>
      <w:r w:rsidRPr="002C5601">
        <w:rPr>
          <w:szCs w:val="24"/>
        </w:rPr>
        <w:t xml:space="preserve">The </w:t>
      </w:r>
      <w:r w:rsidRPr="00D43BAE">
        <w:t>relationship</w:t>
      </w:r>
      <w:r w:rsidRPr="002C5601">
        <w:rPr>
          <w:szCs w:val="24"/>
        </w:rPr>
        <w:t xml:space="preserve"> between the </w:t>
      </w:r>
      <w:r w:rsidR="00DC2E44">
        <w:t>Plan</w:t>
      </w:r>
      <w:r w:rsidRPr="00E42F87">
        <w:t xml:space="preserve"> objectives</w:t>
      </w:r>
      <w:r>
        <w:t xml:space="preserve"> </w:t>
      </w:r>
      <w:r w:rsidR="009E3AFC">
        <w:t xml:space="preserve">and </w:t>
      </w:r>
      <w:r w:rsidR="009E3AFC" w:rsidRPr="00E42F87">
        <w:t xml:space="preserve">the </w:t>
      </w:r>
      <w:r w:rsidR="00A63E94">
        <w:t xml:space="preserve">HLMOs </w:t>
      </w:r>
      <w:r w:rsidR="009E3AFC">
        <w:t xml:space="preserve">set out in </w:t>
      </w:r>
      <w:r w:rsidR="009E3AFC" w:rsidRPr="00E42F87">
        <w:t xml:space="preserve">the </w:t>
      </w:r>
      <w:r w:rsidR="00081689">
        <w:t xml:space="preserve">UK </w:t>
      </w:r>
      <w:r w:rsidR="00251AEF">
        <w:t xml:space="preserve">MPS </w:t>
      </w:r>
      <w:r w:rsidR="00083FE5">
        <w:t xml:space="preserve">is shown in </w:t>
      </w:r>
      <w:hyperlink w:anchor="_Annex_A:_High" w:history="1">
        <w:r w:rsidR="00BA6C09" w:rsidRPr="00342E5C">
          <w:rPr>
            <w:rStyle w:val="Hyperlink"/>
          </w:rPr>
          <w:t xml:space="preserve">Annex </w:t>
        </w:r>
        <w:r w:rsidR="00290677" w:rsidRPr="00342E5C">
          <w:rPr>
            <w:rStyle w:val="Hyperlink"/>
          </w:rPr>
          <w:t>A</w:t>
        </w:r>
      </w:hyperlink>
      <w:r w:rsidR="00B813C9">
        <w:t xml:space="preserve">. </w:t>
      </w:r>
      <w:r w:rsidR="00B813C9" w:rsidRPr="002C5601">
        <w:rPr>
          <w:szCs w:val="24"/>
        </w:rPr>
        <w:t xml:space="preserve">The </w:t>
      </w:r>
      <w:r w:rsidR="00DC2E44">
        <w:rPr>
          <w:szCs w:val="24"/>
        </w:rPr>
        <w:t>Plan</w:t>
      </w:r>
      <w:r w:rsidR="00B813C9" w:rsidRPr="002C5601">
        <w:rPr>
          <w:szCs w:val="24"/>
        </w:rPr>
        <w:t xml:space="preserve"> </w:t>
      </w:r>
      <w:r w:rsidR="00B813C9" w:rsidRPr="00AF364B">
        <w:t>objectives</w:t>
      </w:r>
      <w:r w:rsidR="00B813C9" w:rsidRPr="002C5601">
        <w:rPr>
          <w:szCs w:val="24"/>
        </w:rPr>
        <w:t xml:space="preserve"> relate to all the themes covered by the HLMOs: </w:t>
      </w:r>
    </w:p>
    <w:p w14:paraId="37772347" w14:textId="77777777" w:rsidR="006A0761" w:rsidRPr="008D7708" w:rsidRDefault="006A0761" w:rsidP="00AF364B">
      <w:pPr>
        <w:pStyle w:val="ListParagraph"/>
        <w:numPr>
          <w:ilvl w:val="0"/>
          <w:numId w:val="11"/>
        </w:numPr>
        <w:ind w:left="1276" w:hanging="425"/>
        <w:rPr>
          <w:szCs w:val="24"/>
        </w:rPr>
      </w:pPr>
      <w:r w:rsidRPr="008D7708">
        <w:rPr>
          <w:szCs w:val="24"/>
        </w:rPr>
        <w:t xml:space="preserve">achieving a </w:t>
      </w:r>
      <w:r w:rsidRPr="00AF364B">
        <w:t>sustainable</w:t>
      </w:r>
      <w:r w:rsidRPr="008D7708">
        <w:rPr>
          <w:szCs w:val="24"/>
        </w:rPr>
        <w:t xml:space="preserve"> marine economy </w:t>
      </w:r>
    </w:p>
    <w:p w14:paraId="70913C6C" w14:textId="77777777" w:rsidR="006A0761" w:rsidRPr="008D7708" w:rsidRDefault="006A0761" w:rsidP="00AF364B">
      <w:pPr>
        <w:pStyle w:val="ListParagraph"/>
        <w:numPr>
          <w:ilvl w:val="0"/>
          <w:numId w:val="11"/>
        </w:numPr>
        <w:ind w:left="1276" w:hanging="425"/>
        <w:rPr>
          <w:szCs w:val="24"/>
        </w:rPr>
      </w:pPr>
      <w:r w:rsidRPr="008D7708">
        <w:rPr>
          <w:szCs w:val="24"/>
        </w:rPr>
        <w:t xml:space="preserve">ensuring a </w:t>
      </w:r>
      <w:r w:rsidRPr="00AF364B">
        <w:t>strong</w:t>
      </w:r>
      <w:r w:rsidRPr="008D7708">
        <w:rPr>
          <w:szCs w:val="24"/>
        </w:rPr>
        <w:t xml:space="preserve">, </w:t>
      </w:r>
      <w:r w:rsidRPr="00AF364B">
        <w:t>healthy</w:t>
      </w:r>
      <w:r w:rsidRPr="008D7708">
        <w:rPr>
          <w:szCs w:val="24"/>
        </w:rPr>
        <w:t xml:space="preserve"> and just society </w:t>
      </w:r>
    </w:p>
    <w:p w14:paraId="0EC7EF14" w14:textId="77777777" w:rsidR="006A0761" w:rsidRPr="008D7708" w:rsidRDefault="006A0761" w:rsidP="00AF364B">
      <w:pPr>
        <w:pStyle w:val="ListParagraph"/>
        <w:numPr>
          <w:ilvl w:val="0"/>
          <w:numId w:val="11"/>
        </w:numPr>
        <w:ind w:left="1276" w:hanging="425"/>
        <w:rPr>
          <w:szCs w:val="24"/>
        </w:rPr>
      </w:pPr>
      <w:r w:rsidRPr="008D7708">
        <w:rPr>
          <w:szCs w:val="24"/>
        </w:rPr>
        <w:t xml:space="preserve">living within </w:t>
      </w:r>
      <w:r w:rsidRPr="00AF364B">
        <w:t>environmental</w:t>
      </w:r>
      <w:r w:rsidRPr="008D7708">
        <w:rPr>
          <w:szCs w:val="24"/>
        </w:rPr>
        <w:t xml:space="preserve"> limits</w:t>
      </w:r>
    </w:p>
    <w:p w14:paraId="272B7EDA" w14:textId="77777777" w:rsidR="006A0761" w:rsidRPr="008D7708" w:rsidRDefault="006A0761" w:rsidP="00AF364B">
      <w:pPr>
        <w:pStyle w:val="ListParagraph"/>
        <w:numPr>
          <w:ilvl w:val="0"/>
          <w:numId w:val="11"/>
        </w:numPr>
        <w:ind w:left="1276" w:hanging="425"/>
        <w:rPr>
          <w:szCs w:val="24"/>
        </w:rPr>
      </w:pPr>
      <w:r w:rsidRPr="008D7708">
        <w:rPr>
          <w:szCs w:val="24"/>
        </w:rPr>
        <w:t xml:space="preserve">promoting </w:t>
      </w:r>
      <w:r w:rsidRPr="00AF364B">
        <w:t>good</w:t>
      </w:r>
      <w:r w:rsidRPr="008D7708">
        <w:rPr>
          <w:szCs w:val="24"/>
        </w:rPr>
        <w:t xml:space="preserve"> </w:t>
      </w:r>
      <w:r w:rsidRPr="00AF364B">
        <w:t>governance</w:t>
      </w:r>
    </w:p>
    <w:p w14:paraId="76C31F11" w14:textId="14C54764" w:rsidR="00292F42" w:rsidRPr="00AF364B" w:rsidRDefault="006A0761" w:rsidP="00AF364B">
      <w:pPr>
        <w:pStyle w:val="ListParagraph"/>
        <w:numPr>
          <w:ilvl w:val="0"/>
          <w:numId w:val="11"/>
        </w:numPr>
        <w:ind w:left="1276" w:hanging="425"/>
        <w:rPr>
          <w:szCs w:val="24"/>
        </w:rPr>
      </w:pPr>
      <w:r w:rsidRPr="008D7708">
        <w:rPr>
          <w:szCs w:val="24"/>
        </w:rPr>
        <w:t xml:space="preserve">using sound </w:t>
      </w:r>
      <w:r w:rsidRPr="00AF364B">
        <w:t>science</w:t>
      </w:r>
    </w:p>
    <w:p w14:paraId="14AB08D0" w14:textId="72B6298A" w:rsidR="00DE2766" w:rsidRDefault="00DC2E44" w:rsidP="00D43BAE">
      <w:pPr>
        <w:pStyle w:val="ListParagraph"/>
        <w:numPr>
          <w:ilvl w:val="0"/>
          <w:numId w:val="8"/>
        </w:numPr>
        <w:ind w:left="561" w:hanging="567"/>
        <w:contextualSpacing w:val="0"/>
        <w:rPr>
          <w:szCs w:val="24"/>
        </w:rPr>
      </w:pPr>
      <w:bookmarkStart w:id="38" w:name="_Toc27412722"/>
      <w:bookmarkStart w:id="39" w:name="_Toc26542102"/>
      <w:bookmarkStart w:id="40" w:name="_Toc28080012"/>
      <w:bookmarkStart w:id="41" w:name="_Toc28255251"/>
      <w:bookmarkStart w:id="42" w:name="_Toc29221478"/>
      <w:bookmarkStart w:id="43" w:name="_Toc30499874"/>
      <w:bookmarkStart w:id="44" w:name="_Toc30501185"/>
      <w:bookmarkStart w:id="45" w:name="_Toc33457208"/>
      <w:r>
        <w:rPr>
          <w:szCs w:val="24"/>
        </w:rPr>
        <w:lastRenderedPageBreak/>
        <w:t>Plan</w:t>
      </w:r>
      <w:r w:rsidR="000B1B7A" w:rsidRPr="00BB1338">
        <w:rPr>
          <w:szCs w:val="24"/>
        </w:rPr>
        <w:t xml:space="preserve"> objectives are delivered through </w:t>
      </w:r>
      <w:r w:rsidR="00D27D01">
        <w:rPr>
          <w:szCs w:val="24"/>
        </w:rPr>
        <w:t>53</w:t>
      </w:r>
      <w:r w:rsidR="000B1B7A" w:rsidRPr="00BB1338">
        <w:rPr>
          <w:szCs w:val="24"/>
        </w:rPr>
        <w:t xml:space="preserve"> </w:t>
      </w:r>
      <w:r>
        <w:rPr>
          <w:szCs w:val="24"/>
        </w:rPr>
        <w:t>Plan</w:t>
      </w:r>
      <w:r w:rsidR="000B1B7A" w:rsidRPr="00BB1338">
        <w:rPr>
          <w:szCs w:val="24"/>
        </w:rPr>
        <w:t xml:space="preserve"> policies accompanied by supporting information </w:t>
      </w:r>
      <w:r w:rsidR="000B1B7A" w:rsidRPr="00D43BAE">
        <w:t>and</w:t>
      </w:r>
      <w:r w:rsidR="000B1B7A" w:rsidRPr="00BB1338">
        <w:rPr>
          <w:szCs w:val="24"/>
        </w:rPr>
        <w:t xml:space="preserve"> signposting to relevant legislation, guidance and existing measures.</w:t>
      </w:r>
      <w:r w:rsidR="000B1B7A" w:rsidRPr="00BB1338">
        <w:t xml:space="preserve"> </w:t>
      </w:r>
      <w:r w:rsidR="00D037C1">
        <w:br/>
      </w:r>
      <w:r w:rsidR="00D037C1">
        <w:br/>
      </w:r>
      <w:r w:rsidR="00727F22">
        <w:rPr>
          <w:szCs w:val="24"/>
        </w:rPr>
        <w:t xml:space="preserve">A full description of the </w:t>
      </w:r>
      <w:r>
        <w:rPr>
          <w:szCs w:val="24"/>
        </w:rPr>
        <w:t>Plan</w:t>
      </w:r>
      <w:r w:rsidR="00727F22">
        <w:rPr>
          <w:szCs w:val="24"/>
        </w:rPr>
        <w:t xml:space="preserve"> objectives and </w:t>
      </w:r>
      <w:r>
        <w:rPr>
          <w:szCs w:val="24"/>
        </w:rPr>
        <w:t>Plan</w:t>
      </w:r>
      <w:r w:rsidR="00727F22">
        <w:rPr>
          <w:szCs w:val="24"/>
        </w:rPr>
        <w:t xml:space="preserve"> policies as well as t</w:t>
      </w:r>
      <w:r w:rsidR="000B1B7A" w:rsidRPr="00BB1338">
        <w:rPr>
          <w:szCs w:val="24"/>
        </w:rPr>
        <w:t xml:space="preserve">he relationship between </w:t>
      </w:r>
      <w:r w:rsidR="00C27D6E">
        <w:t>th</w:t>
      </w:r>
      <w:r w:rsidR="00FC713D">
        <w:t xml:space="preserve">em </w:t>
      </w:r>
      <w:r w:rsidR="0022769B">
        <w:t xml:space="preserve">can be found in </w:t>
      </w:r>
      <w:r w:rsidR="000B1B7A" w:rsidRPr="00BB1338">
        <w:t xml:space="preserve">the </w:t>
      </w:r>
      <w:bookmarkStart w:id="46" w:name="_Hlk64474872"/>
      <w:r w:rsidR="0078192E">
        <w:fldChar w:fldCharType="begin"/>
      </w:r>
      <w:r w:rsidR="004868E5">
        <w:instrText>HYPERLINK "https://www.gov.uk/government/publications/the-south-marine-plans-documents"</w:instrText>
      </w:r>
      <w:r w:rsidR="0078192E">
        <w:fldChar w:fldCharType="separate"/>
      </w:r>
      <w:r w:rsidR="00B07496">
        <w:rPr>
          <w:rStyle w:val="Hyperlink"/>
        </w:rPr>
        <w:t xml:space="preserve">South Marine </w:t>
      </w:r>
      <w:r>
        <w:rPr>
          <w:rStyle w:val="Hyperlink"/>
        </w:rPr>
        <w:t>Plan</w:t>
      </w:r>
      <w:r w:rsidR="004868E5">
        <w:rPr>
          <w:rStyle w:val="Hyperlink"/>
        </w:rPr>
        <w:t xml:space="preserve"> Technical Annex</w:t>
      </w:r>
      <w:r w:rsidR="0078192E">
        <w:rPr>
          <w:rStyle w:val="Hyperlink"/>
        </w:rPr>
        <w:fldChar w:fldCharType="end"/>
      </w:r>
      <w:bookmarkEnd w:id="46"/>
      <w:r w:rsidR="000B1B7A" w:rsidRPr="00BB1338">
        <w:t>.</w:t>
      </w:r>
      <w:r w:rsidR="009205F5">
        <w:t xml:space="preserve"> </w:t>
      </w:r>
      <w:r w:rsidR="00290677" w:rsidRPr="00290677">
        <w:rPr>
          <w:szCs w:val="24"/>
        </w:rPr>
        <w:t xml:space="preserve">Individual policies are often relevant to several objectives. </w:t>
      </w:r>
      <w:r w:rsidR="00D037C1">
        <w:rPr>
          <w:szCs w:val="24"/>
        </w:rPr>
        <w:br/>
      </w:r>
      <w:r w:rsidR="00D037C1">
        <w:rPr>
          <w:szCs w:val="24"/>
        </w:rPr>
        <w:br/>
      </w:r>
      <w:r w:rsidR="00290677" w:rsidRPr="00290677">
        <w:rPr>
          <w:szCs w:val="24"/>
        </w:rPr>
        <w:t xml:space="preserve">Where policies are closely associated with specific objectives, they are identified as </w:t>
      </w:r>
      <w:r w:rsidR="009D25BB">
        <w:rPr>
          <w:szCs w:val="24"/>
        </w:rPr>
        <w:t>direct</w:t>
      </w:r>
      <w:r w:rsidR="00290677" w:rsidRPr="00290677">
        <w:rPr>
          <w:szCs w:val="24"/>
        </w:rPr>
        <w:t xml:space="preserve"> contributing policies. In cases where a policy indirectly contributes towards an objective they are referred to as </w:t>
      </w:r>
      <w:r w:rsidR="009D25BB">
        <w:rPr>
          <w:szCs w:val="24"/>
        </w:rPr>
        <w:t>indirect</w:t>
      </w:r>
      <w:r w:rsidR="00290677" w:rsidRPr="00290677">
        <w:rPr>
          <w:szCs w:val="24"/>
        </w:rPr>
        <w:t xml:space="preserve"> contributing policies.</w:t>
      </w:r>
    </w:p>
    <w:p w14:paraId="04D1DEC2" w14:textId="77777777" w:rsidR="00BB2FA2" w:rsidRDefault="00BB2FA2" w:rsidP="00285EEE">
      <w:pPr>
        <w:pStyle w:val="Heading3"/>
      </w:pPr>
      <w:bookmarkStart w:id="47" w:name="_Toc74577252"/>
      <w:r>
        <w:t xml:space="preserve">1.4 </w:t>
      </w:r>
      <w:r w:rsidRPr="008D7708">
        <w:t>Implementation</w:t>
      </w:r>
      <w:bookmarkEnd w:id="47"/>
    </w:p>
    <w:p w14:paraId="025B67FC" w14:textId="0757EBD8" w:rsidR="00BB2FA2" w:rsidRPr="00665BC6" w:rsidRDefault="00BB2FA2" w:rsidP="00BB2FA2">
      <w:pPr>
        <w:pStyle w:val="ListParagraph"/>
        <w:numPr>
          <w:ilvl w:val="0"/>
          <w:numId w:val="8"/>
        </w:numPr>
        <w:ind w:left="561" w:hanging="567"/>
        <w:contextualSpacing w:val="0"/>
        <w:rPr>
          <w:rStyle w:val="Hyperlink"/>
          <w:color w:val="auto"/>
          <w:szCs w:val="24"/>
          <w:u w:val="none"/>
        </w:rPr>
      </w:pPr>
      <w:r w:rsidRPr="00521FD9">
        <w:t>In accordance</w:t>
      </w:r>
      <w:r>
        <w:t xml:space="preserve"> with </w:t>
      </w:r>
      <w:r w:rsidRPr="004C0656">
        <w:rPr>
          <w:rStyle w:val="Hyperlink"/>
          <w:color w:val="auto"/>
          <w:szCs w:val="24"/>
          <w:u w:val="none"/>
        </w:rPr>
        <w:t xml:space="preserve">Section 58 of the </w:t>
      </w:r>
      <w:hyperlink r:id="rId18" w:history="1">
        <w:r w:rsidRPr="003339E7">
          <w:rPr>
            <w:rStyle w:val="Hyperlink"/>
            <w:szCs w:val="24"/>
          </w:rPr>
          <w:t>Marine and Coastal Access Act 2009</w:t>
        </w:r>
      </w:hyperlink>
      <w:r w:rsidRPr="00A506DD">
        <w:rPr>
          <w:rStyle w:val="Hyperlink"/>
          <w:color w:val="auto"/>
          <w:szCs w:val="24"/>
          <w:u w:val="none"/>
        </w:rPr>
        <w:t xml:space="preserve"> (</w:t>
      </w:r>
      <w:r>
        <w:rPr>
          <w:rStyle w:val="Hyperlink"/>
          <w:color w:val="auto"/>
          <w:szCs w:val="24"/>
          <w:u w:val="none"/>
        </w:rPr>
        <w:t>the Act</w:t>
      </w:r>
      <w:r w:rsidRPr="00A506DD">
        <w:rPr>
          <w:rStyle w:val="Hyperlink"/>
          <w:color w:val="auto"/>
          <w:szCs w:val="24"/>
          <w:u w:val="none"/>
        </w:rPr>
        <w:t xml:space="preserve">) </w:t>
      </w:r>
      <w:r w:rsidRPr="003339E7">
        <w:rPr>
          <w:szCs w:val="24"/>
        </w:rPr>
        <w:t xml:space="preserve">the UK MPS and the </w:t>
      </w:r>
      <w:r w:rsidR="00554620">
        <w:rPr>
          <w:szCs w:val="24"/>
        </w:rPr>
        <w:t>P</w:t>
      </w:r>
      <w:r w:rsidRPr="003339E7">
        <w:rPr>
          <w:szCs w:val="24"/>
        </w:rPr>
        <w:t xml:space="preserve">lan are the </w:t>
      </w:r>
      <w:r>
        <w:rPr>
          <w:szCs w:val="24"/>
        </w:rPr>
        <w:t>‘</w:t>
      </w:r>
      <w:r w:rsidRPr="00412306">
        <w:rPr>
          <w:szCs w:val="24"/>
        </w:rPr>
        <w:t xml:space="preserve">appropriate marine policy </w:t>
      </w:r>
      <w:r w:rsidRPr="00412306">
        <w:t>documents</w:t>
      </w:r>
      <w:r>
        <w:t>’</w:t>
      </w:r>
      <w:r w:rsidRPr="00521FD9">
        <w:t xml:space="preserve"> for</w:t>
      </w:r>
      <w:r>
        <w:t xml:space="preserve"> decisions that </w:t>
      </w:r>
      <w:r w:rsidRPr="00AF364B">
        <w:rPr>
          <w:szCs w:val="24"/>
        </w:rPr>
        <w:t>relate</w:t>
      </w:r>
      <w:r>
        <w:t xml:space="preserve"> to</w:t>
      </w:r>
      <w:r w:rsidRPr="00521FD9">
        <w:t xml:space="preserve"> the</w:t>
      </w:r>
      <w:r w:rsidRPr="003339E7">
        <w:rPr>
          <w:szCs w:val="24"/>
        </w:rPr>
        <w:t xml:space="preserve"> </w:t>
      </w:r>
      <w:r w:rsidR="00B07496">
        <w:rPr>
          <w:szCs w:val="24"/>
        </w:rPr>
        <w:t xml:space="preserve">South Marine </w:t>
      </w:r>
      <w:r w:rsidR="00DC2E44">
        <w:rPr>
          <w:szCs w:val="24"/>
        </w:rPr>
        <w:t>Plan</w:t>
      </w:r>
      <w:r w:rsidRPr="003339E7">
        <w:rPr>
          <w:szCs w:val="24"/>
        </w:rPr>
        <w:t xml:space="preserve"> areas.</w:t>
      </w:r>
    </w:p>
    <w:p w14:paraId="07B0E82C" w14:textId="339B015F" w:rsidR="00BB2FA2" w:rsidRPr="00E2207F" w:rsidRDefault="00BB2FA2" w:rsidP="00BB2FA2">
      <w:pPr>
        <w:pStyle w:val="ListParagraph"/>
        <w:numPr>
          <w:ilvl w:val="0"/>
          <w:numId w:val="8"/>
        </w:numPr>
        <w:ind w:left="561" w:hanging="567"/>
        <w:contextualSpacing w:val="0"/>
        <w:rPr>
          <w:szCs w:val="24"/>
        </w:rPr>
      </w:pPr>
      <w:r w:rsidRPr="008D7708">
        <w:rPr>
          <w:szCs w:val="24"/>
        </w:rPr>
        <w:t xml:space="preserve">Public authorities making decisions that may affect the UK marine area include, but are not limited to, the </w:t>
      </w:r>
      <w:r>
        <w:t>MMO</w:t>
      </w:r>
      <w:r w:rsidRPr="008D7708">
        <w:rPr>
          <w:szCs w:val="24"/>
        </w:rPr>
        <w:t xml:space="preserve">, </w:t>
      </w:r>
      <w:r w:rsidR="00166DF1">
        <w:rPr>
          <w:szCs w:val="24"/>
        </w:rPr>
        <w:t>l</w:t>
      </w:r>
      <w:r w:rsidRPr="008D7708">
        <w:rPr>
          <w:szCs w:val="24"/>
        </w:rPr>
        <w:t xml:space="preserve">ocal </w:t>
      </w:r>
      <w:r w:rsidR="00166DF1">
        <w:rPr>
          <w:szCs w:val="24"/>
        </w:rPr>
        <w:t>p</w:t>
      </w:r>
      <w:r w:rsidRPr="008D7708">
        <w:rPr>
          <w:szCs w:val="24"/>
        </w:rPr>
        <w:t xml:space="preserve">lanning </w:t>
      </w:r>
      <w:r w:rsidR="00166DF1">
        <w:rPr>
          <w:szCs w:val="24"/>
        </w:rPr>
        <w:t>a</w:t>
      </w:r>
      <w:r w:rsidRPr="008D7708">
        <w:rPr>
          <w:szCs w:val="24"/>
        </w:rPr>
        <w:t xml:space="preserve">uthorities, </w:t>
      </w:r>
      <w:r>
        <w:rPr>
          <w:szCs w:val="24"/>
        </w:rPr>
        <w:t xml:space="preserve">The </w:t>
      </w:r>
      <w:r w:rsidR="00DC2E44">
        <w:rPr>
          <w:szCs w:val="24"/>
        </w:rPr>
        <w:t>Plan</w:t>
      </w:r>
      <w:r>
        <w:rPr>
          <w:szCs w:val="24"/>
        </w:rPr>
        <w:t xml:space="preserve">ning Inspectorate, </w:t>
      </w:r>
      <w:r w:rsidRPr="008D7708">
        <w:rPr>
          <w:szCs w:val="24"/>
        </w:rPr>
        <w:t xml:space="preserve">the </w:t>
      </w:r>
      <w:r w:rsidRPr="00D43BAE">
        <w:t>Environment</w:t>
      </w:r>
      <w:r w:rsidRPr="008D7708">
        <w:rPr>
          <w:szCs w:val="24"/>
        </w:rPr>
        <w:t xml:space="preserve"> Agency and Inshore Fisheries and Conservation Authorities.</w:t>
      </w:r>
    </w:p>
    <w:p w14:paraId="28C78740" w14:textId="52FF7CEF" w:rsidR="00BB2FA2" w:rsidRPr="00BB1338" w:rsidRDefault="00BB2FA2" w:rsidP="00BB2FA2">
      <w:pPr>
        <w:pStyle w:val="ListParagraph"/>
        <w:numPr>
          <w:ilvl w:val="0"/>
          <w:numId w:val="8"/>
        </w:numPr>
        <w:ind w:left="561" w:hanging="567"/>
        <w:contextualSpacing w:val="0"/>
        <w:rPr>
          <w:szCs w:val="24"/>
        </w:rPr>
      </w:pPr>
      <w:r w:rsidRPr="00BB1338">
        <w:rPr>
          <w:szCs w:val="24"/>
        </w:rPr>
        <w:t xml:space="preserve">Marine </w:t>
      </w:r>
      <w:r w:rsidR="00DC2E44">
        <w:rPr>
          <w:szCs w:val="24"/>
        </w:rPr>
        <w:t>Plan</w:t>
      </w:r>
      <w:r w:rsidRPr="00BB1338">
        <w:rPr>
          <w:szCs w:val="24"/>
        </w:rPr>
        <w:t xml:space="preserve">s should be implemented in a proportionate, consistent, targeted, transparent and risk-based manner, in line with the principles of better regulation. </w:t>
      </w:r>
      <w:r w:rsidR="00D037C1">
        <w:rPr>
          <w:szCs w:val="24"/>
        </w:rPr>
        <w:br/>
      </w:r>
      <w:r w:rsidR="00D037C1">
        <w:rPr>
          <w:szCs w:val="24"/>
        </w:rPr>
        <w:br/>
      </w:r>
      <w:r w:rsidRPr="00BB1338">
        <w:rPr>
          <w:szCs w:val="24"/>
        </w:rPr>
        <w:t xml:space="preserve">To simplify </w:t>
      </w:r>
      <w:r w:rsidRPr="00D43BAE">
        <w:t>fulfilment</w:t>
      </w:r>
      <w:r w:rsidRPr="00BB1338">
        <w:rPr>
          <w:szCs w:val="24"/>
        </w:rPr>
        <w:t xml:space="preserve"> of regulatory requirements associated with marine </w:t>
      </w:r>
      <w:r w:rsidR="00C406C0">
        <w:rPr>
          <w:szCs w:val="24"/>
        </w:rPr>
        <w:t>p</w:t>
      </w:r>
      <w:r w:rsidR="00DC2E44">
        <w:rPr>
          <w:szCs w:val="24"/>
        </w:rPr>
        <w:t>lan</w:t>
      </w:r>
      <w:r w:rsidRPr="00BB1338">
        <w:rPr>
          <w:szCs w:val="24"/>
        </w:rPr>
        <w:t xml:space="preserve">ning, implementation of </w:t>
      </w:r>
      <w:r w:rsidR="00554620">
        <w:rPr>
          <w:szCs w:val="24"/>
        </w:rPr>
        <w:t>p</w:t>
      </w:r>
      <w:r w:rsidR="00DC2E44">
        <w:rPr>
          <w:szCs w:val="24"/>
        </w:rPr>
        <w:t>lan</w:t>
      </w:r>
      <w:r w:rsidRPr="00BB1338">
        <w:rPr>
          <w:szCs w:val="24"/>
        </w:rPr>
        <w:t xml:space="preserve">s is intended to integrate within current decision-making processes as far as possible. </w:t>
      </w:r>
    </w:p>
    <w:p w14:paraId="099C739E" w14:textId="2E68B0E5" w:rsidR="00BB2FA2" w:rsidRDefault="00BB2FA2" w:rsidP="00BB2FA2">
      <w:pPr>
        <w:pStyle w:val="ListParagraph"/>
        <w:numPr>
          <w:ilvl w:val="0"/>
          <w:numId w:val="8"/>
        </w:numPr>
        <w:ind w:left="561" w:hanging="567"/>
        <w:contextualSpacing w:val="0"/>
        <w:rPr>
          <w:rFonts w:eastAsia="Calibri"/>
          <w:szCs w:val="24"/>
        </w:rPr>
      </w:pPr>
      <w:r w:rsidRPr="00D95F82">
        <w:rPr>
          <w:rFonts w:eastAsia="Calibri"/>
          <w:szCs w:val="24"/>
        </w:rPr>
        <w:t>Whil</w:t>
      </w:r>
      <w:r>
        <w:rPr>
          <w:rFonts w:eastAsia="Calibri"/>
          <w:szCs w:val="24"/>
        </w:rPr>
        <w:t>e</w:t>
      </w:r>
      <w:r w:rsidRPr="00D95F82">
        <w:rPr>
          <w:rFonts w:eastAsia="Calibri"/>
          <w:szCs w:val="24"/>
        </w:rPr>
        <w:t xml:space="preserve"> there is no legal requirement to do so, the </w:t>
      </w:r>
      <w:r w:rsidRPr="00D95F82">
        <w:rPr>
          <w:rFonts w:eastAsia="Calibri"/>
        </w:rPr>
        <w:t>MMO,</w:t>
      </w:r>
      <w:r w:rsidRPr="00D95F82">
        <w:rPr>
          <w:rFonts w:eastAsia="Calibri"/>
          <w:szCs w:val="24"/>
        </w:rPr>
        <w:t xml:space="preserve"> in agreement with Defra, has worked to support and encourage effective implementation by public authorities to ensure marine </w:t>
      </w:r>
      <w:r w:rsidR="00554620">
        <w:rPr>
          <w:rFonts w:eastAsia="Calibri"/>
          <w:szCs w:val="24"/>
        </w:rPr>
        <w:t>p</w:t>
      </w:r>
      <w:r w:rsidR="00DC2E44">
        <w:rPr>
          <w:rFonts w:eastAsia="Calibri"/>
          <w:szCs w:val="24"/>
        </w:rPr>
        <w:t>lan</w:t>
      </w:r>
      <w:r w:rsidRPr="00D95F82">
        <w:rPr>
          <w:rFonts w:eastAsia="Calibri"/>
          <w:szCs w:val="24"/>
        </w:rPr>
        <w:t xml:space="preserve">s are </w:t>
      </w:r>
      <w:r w:rsidR="0030533F" w:rsidRPr="00D95F82">
        <w:rPr>
          <w:rFonts w:eastAsia="Calibri"/>
          <w:szCs w:val="24"/>
        </w:rPr>
        <w:t>considered</w:t>
      </w:r>
      <w:r w:rsidRPr="00D95F82">
        <w:rPr>
          <w:rFonts w:eastAsia="Calibri"/>
          <w:szCs w:val="24"/>
        </w:rPr>
        <w:t xml:space="preserve"> in their decision-making processes and to inform monitoring. </w:t>
      </w:r>
    </w:p>
    <w:p w14:paraId="2365B1B4" w14:textId="62703EA7" w:rsidR="0080077E" w:rsidRPr="0080077E" w:rsidRDefault="0080077E" w:rsidP="0080077E">
      <w:pPr>
        <w:rPr>
          <w:szCs w:val="24"/>
        </w:rPr>
        <w:sectPr w:rsidR="0080077E" w:rsidRPr="0080077E" w:rsidSect="00CF74CE">
          <w:footerReference w:type="default" r:id="rId19"/>
          <w:footerReference w:type="first" r:id="rId20"/>
          <w:pgSz w:w="11899" w:h="16838" w:code="9"/>
          <w:pgMar w:top="1134" w:right="1134" w:bottom="1134" w:left="1134" w:header="340" w:footer="340" w:gutter="0"/>
          <w:cols w:space="708"/>
          <w:titlePg/>
        </w:sectPr>
      </w:pPr>
    </w:p>
    <w:p w14:paraId="279E6BD1" w14:textId="101AC2AE" w:rsidR="009C5C1E" w:rsidRDefault="00DE2766" w:rsidP="00285EEE">
      <w:pPr>
        <w:pStyle w:val="Caption"/>
      </w:pPr>
      <w:bookmarkStart w:id="48" w:name="_Ref33132623"/>
      <w:r w:rsidRPr="002A532E">
        <w:lastRenderedPageBreak/>
        <w:t xml:space="preserve">Figure </w:t>
      </w:r>
      <w:r w:rsidR="00746B53">
        <w:fldChar w:fldCharType="begin"/>
      </w:r>
      <w:r w:rsidR="00746B53">
        <w:instrText xml:space="preserve"> SEQ Figure \* ARABIC </w:instrText>
      </w:r>
      <w:r w:rsidR="00746B53">
        <w:fldChar w:fldCharType="separate"/>
      </w:r>
      <w:r w:rsidR="00CA357C">
        <w:rPr>
          <w:noProof/>
        </w:rPr>
        <w:t>1</w:t>
      </w:r>
      <w:r w:rsidR="00746B53">
        <w:rPr>
          <w:noProof/>
        </w:rPr>
        <w:fldChar w:fldCharType="end"/>
      </w:r>
      <w:bookmarkEnd w:id="48"/>
      <w:r w:rsidRPr="002A532E">
        <w:t xml:space="preserve">: South Inshore and Offshore Marine </w:t>
      </w:r>
      <w:r w:rsidR="00DC2E44">
        <w:t>Plan</w:t>
      </w:r>
      <w:r w:rsidRPr="002A532E">
        <w:t xml:space="preserve"> </w:t>
      </w:r>
      <w:r w:rsidR="005540A3">
        <w:t>a</w:t>
      </w:r>
      <w:r w:rsidRPr="002A532E">
        <w:t>reas</w:t>
      </w:r>
    </w:p>
    <w:p w14:paraId="6EF1AA2F" w14:textId="2F8150A5" w:rsidR="00822380" w:rsidRPr="00822380" w:rsidRDefault="0030533F" w:rsidP="00822380">
      <w:pPr>
        <w:spacing w:before="0" w:after="0" w:line="240" w:lineRule="auto"/>
        <w:sectPr w:rsidR="00822380" w:rsidRPr="00822380" w:rsidSect="00CF74CE">
          <w:footerReference w:type="default" r:id="rId21"/>
          <w:pgSz w:w="16838" w:h="11899" w:orient="landscape" w:code="9"/>
          <w:pgMar w:top="720" w:right="720" w:bottom="720" w:left="720" w:header="340" w:footer="340" w:gutter="0"/>
          <w:cols w:space="708"/>
          <w:titlePg/>
          <w:docGrid w:linePitch="326"/>
        </w:sectPr>
      </w:pPr>
      <w:r>
        <w:rPr>
          <w:noProof/>
        </w:rPr>
        <w:drawing>
          <wp:anchor distT="0" distB="0" distL="114300" distR="114300" simplePos="0" relativeHeight="251658240" behindDoc="1" locked="0" layoutInCell="1" allowOverlap="1" wp14:anchorId="1F071038" wp14:editId="4AF14E4B">
            <wp:simplePos x="0" y="0"/>
            <wp:positionH relativeFrom="column">
              <wp:posOffset>215900</wp:posOffset>
            </wp:positionH>
            <wp:positionV relativeFrom="paragraph">
              <wp:posOffset>45720</wp:posOffset>
            </wp:positionV>
            <wp:extent cx="8204200" cy="5687060"/>
            <wp:effectExtent l="0" t="0" r="6350" b="8890"/>
            <wp:wrapTight wrapText="bothSides">
              <wp:wrapPolygon edited="0">
                <wp:start x="0" y="0"/>
                <wp:lineTo x="0" y="21561"/>
                <wp:lineTo x="21567" y="21561"/>
                <wp:lineTo x="21567" y="0"/>
                <wp:lineTo x="0" y="0"/>
              </wp:wrapPolygon>
            </wp:wrapTight>
            <wp:docPr id="10" name="Picture 10" descr="This map identifies the spatial extent of the south marine plan areas, ranging from Folkestone in Kent to the river Dart in Dev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map identifies the spatial extent of the south marine plan areas, ranging from Folkestone in Kent to the river Dart in Devon."/>
                    <pic:cNvPicPr/>
                  </pic:nvPicPr>
                  <pic:blipFill>
                    <a:blip r:embed="rId22"/>
                    <a:stretch>
                      <a:fillRect/>
                    </a:stretch>
                  </pic:blipFill>
                  <pic:spPr>
                    <a:xfrm>
                      <a:off x="0" y="0"/>
                      <a:ext cx="8204200" cy="5687060"/>
                    </a:xfrm>
                    <a:prstGeom prst="rect">
                      <a:avLst/>
                    </a:prstGeom>
                  </pic:spPr>
                </pic:pic>
              </a:graphicData>
            </a:graphic>
            <wp14:sizeRelH relativeFrom="margin">
              <wp14:pctWidth>0</wp14:pctWidth>
            </wp14:sizeRelH>
            <wp14:sizeRelV relativeFrom="margin">
              <wp14:pctHeight>0</wp14:pctHeight>
            </wp14:sizeRelV>
          </wp:anchor>
        </w:drawing>
      </w:r>
    </w:p>
    <w:p w14:paraId="7876378F" w14:textId="7475F568" w:rsidR="00320E6B" w:rsidRDefault="00320E6B" w:rsidP="00285EEE">
      <w:pPr>
        <w:pStyle w:val="Heading2"/>
      </w:pPr>
      <w:bookmarkStart w:id="49" w:name="_Hlk63087548"/>
      <w:bookmarkStart w:id="50" w:name="_Toc68186323"/>
      <w:bookmarkStart w:id="51" w:name="_Toc72414594"/>
      <w:bookmarkStart w:id="52" w:name="_Toc72489161"/>
      <w:bookmarkStart w:id="53" w:name="_Toc74307987"/>
      <w:bookmarkStart w:id="54" w:name="_Toc74577253"/>
      <w:bookmarkEnd w:id="38"/>
      <w:bookmarkEnd w:id="39"/>
      <w:bookmarkEnd w:id="40"/>
      <w:bookmarkEnd w:id="41"/>
      <w:bookmarkEnd w:id="42"/>
      <w:bookmarkEnd w:id="43"/>
      <w:bookmarkEnd w:id="44"/>
      <w:bookmarkEnd w:id="45"/>
      <w:r>
        <w:lastRenderedPageBreak/>
        <w:t xml:space="preserve">2. </w:t>
      </w:r>
      <w:r w:rsidRPr="008D7708">
        <w:t xml:space="preserve">Overview </w:t>
      </w:r>
      <w:bookmarkEnd w:id="49"/>
      <w:r w:rsidRPr="008D7708">
        <w:t xml:space="preserve">of </w:t>
      </w:r>
      <w:r>
        <w:t xml:space="preserve">monitoring and reporting on the </w:t>
      </w:r>
      <w:r w:rsidR="00B07496">
        <w:t xml:space="preserve">South Marine </w:t>
      </w:r>
      <w:bookmarkEnd w:id="50"/>
      <w:bookmarkEnd w:id="51"/>
      <w:bookmarkEnd w:id="52"/>
      <w:bookmarkEnd w:id="53"/>
      <w:bookmarkEnd w:id="54"/>
      <w:r w:rsidR="00DC2E44">
        <w:t>Plan</w:t>
      </w:r>
    </w:p>
    <w:p w14:paraId="6A3E71FE" w14:textId="77777777" w:rsidR="00320E6B" w:rsidRPr="008D7708" w:rsidRDefault="00320E6B" w:rsidP="00285EEE">
      <w:pPr>
        <w:pStyle w:val="Heading3"/>
      </w:pPr>
      <w:bookmarkStart w:id="55" w:name="_Toc72414595"/>
      <w:bookmarkStart w:id="56" w:name="_Toc72489162"/>
      <w:bookmarkStart w:id="57" w:name="_Toc74307988"/>
      <w:bookmarkStart w:id="58" w:name="_Toc74577254"/>
      <w:r>
        <w:t xml:space="preserve">2.1 </w:t>
      </w:r>
      <w:r w:rsidRPr="008D7708">
        <w:t>Monitoring and reporting requirements</w:t>
      </w:r>
      <w:bookmarkEnd w:id="55"/>
      <w:bookmarkEnd w:id="56"/>
      <w:bookmarkEnd w:id="57"/>
      <w:bookmarkEnd w:id="58"/>
      <w:r w:rsidRPr="008D7708">
        <w:t xml:space="preserve"> </w:t>
      </w:r>
    </w:p>
    <w:p w14:paraId="78A7FFA7" w14:textId="536DD08B" w:rsidR="00320E6B" w:rsidRPr="00B9165A" w:rsidRDefault="00320E6B" w:rsidP="00D43BAE">
      <w:pPr>
        <w:pStyle w:val="ListParagraph"/>
        <w:numPr>
          <w:ilvl w:val="0"/>
          <w:numId w:val="8"/>
        </w:numPr>
        <w:ind w:left="561" w:hanging="567"/>
        <w:contextualSpacing w:val="0"/>
        <w:rPr>
          <w:szCs w:val="24"/>
        </w:rPr>
      </w:pPr>
      <w:r>
        <w:t xml:space="preserve">This report fulfils the requirements set out under </w:t>
      </w:r>
      <w:r w:rsidR="00166DF1">
        <w:t>s</w:t>
      </w:r>
      <w:r>
        <w:t xml:space="preserve">ections 54 and 61 of </w:t>
      </w:r>
      <w:r w:rsidR="00753F9C">
        <w:t>the Act</w:t>
      </w:r>
      <w:r>
        <w:t xml:space="preserve">. The context </w:t>
      </w:r>
      <w:r w:rsidR="002B7243">
        <w:t>chapter</w:t>
      </w:r>
      <w:r>
        <w:t xml:space="preserve"> demonstrates how relevant matters are kept under review, capturing contextual changes that have occurred since </w:t>
      </w:r>
      <w:r w:rsidR="00554620">
        <w:t>P</w:t>
      </w:r>
      <w:r>
        <w:t xml:space="preserve">lan adoption. This includes changes to relevant legislation, policy and </w:t>
      </w:r>
      <w:r w:rsidR="00554620">
        <w:t>p</w:t>
      </w:r>
      <w:r w:rsidR="00DC2E44">
        <w:t>lan</w:t>
      </w:r>
      <w:r>
        <w:t xml:space="preserve">s. </w:t>
      </w:r>
      <w:r w:rsidR="00D037C1">
        <w:br/>
      </w:r>
      <w:r w:rsidR="00D037C1">
        <w:br/>
      </w:r>
      <w:r>
        <w:t xml:space="preserve">The process and outcome </w:t>
      </w:r>
      <w:r w:rsidR="00B53EBD">
        <w:t>chapters</w:t>
      </w:r>
      <w:r>
        <w:t xml:space="preserve"> report on the effects of the policies within the </w:t>
      </w:r>
      <w:r w:rsidR="00554620">
        <w:t>P</w:t>
      </w:r>
      <w:r>
        <w:t xml:space="preserve">lan, the effectiveness of the policies in securing the marine </w:t>
      </w:r>
      <w:r w:rsidR="00554620">
        <w:t>p</w:t>
      </w:r>
      <w:r w:rsidR="00DC2E44">
        <w:t>lan</w:t>
      </w:r>
      <w:r>
        <w:t xml:space="preserve"> objectives and the </w:t>
      </w:r>
      <w:r w:rsidRPr="00AF364B">
        <w:rPr>
          <w:szCs w:val="24"/>
        </w:rPr>
        <w:t>progress</w:t>
      </w:r>
      <w:r>
        <w:t xml:space="preserve"> towards these objectives. This, therefore, demonstrates contribution towards the HLMOs.</w:t>
      </w:r>
      <w:r w:rsidR="00A22285">
        <w:t xml:space="preserve"> </w:t>
      </w:r>
      <w:r w:rsidR="00D037C1">
        <w:br/>
      </w:r>
      <w:r w:rsidR="00D037C1">
        <w:br/>
      </w:r>
      <w:r w:rsidR="009D25BB" w:rsidRPr="00807D17">
        <w:rPr>
          <w:szCs w:val="24"/>
        </w:rPr>
        <w:t>The</w:t>
      </w:r>
      <w:r w:rsidR="00A22285" w:rsidRPr="00807D17">
        <w:rPr>
          <w:szCs w:val="24"/>
        </w:rPr>
        <w:t xml:space="preserve"> </w:t>
      </w:r>
      <w:r w:rsidR="00487C0B">
        <w:rPr>
          <w:szCs w:val="24"/>
        </w:rPr>
        <w:t>Three</w:t>
      </w:r>
      <w:r w:rsidR="00166DF1">
        <w:rPr>
          <w:szCs w:val="24"/>
        </w:rPr>
        <w:t>-</w:t>
      </w:r>
      <w:r w:rsidR="00A22285" w:rsidRPr="00807D17">
        <w:rPr>
          <w:szCs w:val="24"/>
        </w:rPr>
        <w:t xml:space="preserve">year </w:t>
      </w:r>
      <w:r w:rsidR="00487C0B">
        <w:rPr>
          <w:szCs w:val="24"/>
        </w:rPr>
        <w:t>r</w:t>
      </w:r>
      <w:r w:rsidR="00A22285" w:rsidRPr="00807D17">
        <w:rPr>
          <w:szCs w:val="24"/>
        </w:rPr>
        <w:t xml:space="preserve">eport concludes the main findings from the context, process and outcome monitoring processes detailed within this </w:t>
      </w:r>
      <w:r w:rsidR="00166DF1">
        <w:rPr>
          <w:szCs w:val="24"/>
        </w:rPr>
        <w:t>t</w:t>
      </w:r>
      <w:r w:rsidR="009D25BB" w:rsidRPr="00807D17">
        <w:rPr>
          <w:szCs w:val="24"/>
        </w:rPr>
        <w:t xml:space="preserve">echnical </w:t>
      </w:r>
      <w:r w:rsidR="00166DF1">
        <w:rPr>
          <w:szCs w:val="24"/>
        </w:rPr>
        <w:t>r</w:t>
      </w:r>
      <w:r w:rsidR="00A22285" w:rsidRPr="00807D17">
        <w:rPr>
          <w:szCs w:val="24"/>
        </w:rPr>
        <w:t>eport</w:t>
      </w:r>
    </w:p>
    <w:p w14:paraId="60079676" w14:textId="36E654D1" w:rsidR="00320E6B" w:rsidRPr="008D7708" w:rsidRDefault="00320E6B" w:rsidP="00285EEE">
      <w:pPr>
        <w:pStyle w:val="Heading3"/>
      </w:pPr>
      <w:bookmarkStart w:id="59" w:name="_Toc72414596"/>
      <w:bookmarkStart w:id="60" w:name="_Toc72489163"/>
      <w:bookmarkStart w:id="61" w:name="_Toc74307989"/>
      <w:bookmarkStart w:id="62" w:name="_Toc74577255"/>
      <w:r>
        <w:t xml:space="preserve">2.2 </w:t>
      </w:r>
      <w:r w:rsidRPr="008D7708">
        <w:t xml:space="preserve">Monitoring approach </w:t>
      </w:r>
      <w:r w:rsidRPr="00117FE3">
        <w:t xml:space="preserve">for the first </w:t>
      </w:r>
      <w:r w:rsidR="00E21996">
        <w:t>Three</w:t>
      </w:r>
      <w:r w:rsidR="0030533F">
        <w:t xml:space="preserve"> </w:t>
      </w:r>
      <w:r w:rsidRPr="00117FE3">
        <w:t xml:space="preserve">year </w:t>
      </w:r>
      <w:r w:rsidR="00487C0B">
        <w:t>r</w:t>
      </w:r>
      <w:r w:rsidRPr="00117FE3">
        <w:t xml:space="preserve">eport on the </w:t>
      </w:r>
      <w:r w:rsidR="00B07496">
        <w:t xml:space="preserve">South Marine </w:t>
      </w:r>
      <w:r w:rsidR="00DC2E44">
        <w:t>Plan</w:t>
      </w:r>
      <w:r w:rsidRPr="00117FE3">
        <w:t xml:space="preserve"> (2021)</w:t>
      </w:r>
      <w:bookmarkEnd w:id="59"/>
      <w:bookmarkEnd w:id="60"/>
      <w:bookmarkEnd w:id="61"/>
      <w:bookmarkEnd w:id="62"/>
    </w:p>
    <w:p w14:paraId="1E24232E" w14:textId="72A5B730" w:rsidR="00320E6B" w:rsidRPr="001624EC" w:rsidRDefault="00320E6B" w:rsidP="00D43BAE">
      <w:pPr>
        <w:pStyle w:val="ListParagraph"/>
        <w:numPr>
          <w:ilvl w:val="0"/>
          <w:numId w:val="8"/>
        </w:numPr>
        <w:ind w:left="561" w:hanging="567"/>
        <w:contextualSpacing w:val="0"/>
        <w:rPr>
          <w:szCs w:val="24"/>
        </w:rPr>
      </w:pPr>
      <w:r w:rsidRPr="008A1EBC">
        <w:rPr>
          <w:szCs w:val="24"/>
        </w:rPr>
        <w:t xml:space="preserve">The </w:t>
      </w:r>
      <w:bookmarkStart w:id="63" w:name="_Hlk71798827"/>
      <w:r w:rsidR="00F33BA1">
        <w:fldChar w:fldCharType="begin"/>
      </w:r>
      <w:r w:rsidR="00A506DD">
        <w:instrText>HYPERLINK "https://www.gov.uk/government/publications/the-south-marine-plans-documents"</w:instrText>
      </w:r>
      <w:r w:rsidR="00F33BA1">
        <w:fldChar w:fldCharType="separate"/>
      </w:r>
      <w:r w:rsidR="00B07496">
        <w:rPr>
          <w:rStyle w:val="Hyperlink"/>
          <w:szCs w:val="24"/>
        </w:rPr>
        <w:t xml:space="preserve">South Marine </w:t>
      </w:r>
      <w:r w:rsidR="00DC2E44">
        <w:rPr>
          <w:rStyle w:val="Hyperlink"/>
          <w:szCs w:val="24"/>
        </w:rPr>
        <w:t>Plan</w:t>
      </w:r>
      <w:r w:rsidR="00A506DD">
        <w:rPr>
          <w:rStyle w:val="Hyperlink"/>
          <w:szCs w:val="24"/>
        </w:rPr>
        <w:t xml:space="preserve"> Approach to Monitoring</w:t>
      </w:r>
      <w:r w:rsidR="00F33BA1">
        <w:rPr>
          <w:rStyle w:val="Hyperlink"/>
          <w:szCs w:val="24"/>
        </w:rPr>
        <w:fldChar w:fldCharType="end"/>
      </w:r>
      <w:bookmarkEnd w:id="63"/>
      <w:r w:rsidRPr="008A1EBC">
        <w:rPr>
          <w:szCs w:val="24"/>
        </w:rPr>
        <w:t xml:space="preserve"> was developed in line with the </w:t>
      </w:r>
      <w:bookmarkStart w:id="64" w:name="_Hlk71798833"/>
      <w:r w:rsidR="00F33BA1">
        <w:fldChar w:fldCharType="begin"/>
      </w:r>
      <w:r w:rsidR="00F33BA1">
        <w:instrText xml:space="preserve"> HYPERLINK "https://www.gov.uk/government/publications/the-magenta-book" </w:instrText>
      </w:r>
      <w:r w:rsidR="00F33BA1">
        <w:fldChar w:fldCharType="separate"/>
      </w:r>
      <w:r w:rsidRPr="001624EC">
        <w:rPr>
          <w:rStyle w:val="Hyperlink"/>
          <w:szCs w:val="24"/>
        </w:rPr>
        <w:t>Magenta Book</w:t>
      </w:r>
      <w:r w:rsidR="00F33BA1">
        <w:rPr>
          <w:rStyle w:val="Hyperlink"/>
          <w:szCs w:val="24"/>
        </w:rPr>
        <w:fldChar w:fldCharType="end"/>
      </w:r>
      <w:bookmarkEnd w:id="64"/>
      <w:r w:rsidRPr="008A1EBC">
        <w:rPr>
          <w:szCs w:val="24"/>
        </w:rPr>
        <w:t xml:space="preserve"> principl</w:t>
      </w:r>
      <w:r w:rsidRPr="001624EC">
        <w:rPr>
          <w:szCs w:val="24"/>
        </w:rPr>
        <w:t>es, drew on evidence</w:t>
      </w:r>
      <w:r w:rsidR="00412306">
        <w:rPr>
          <w:szCs w:val="24"/>
        </w:rPr>
        <w:t>,</w:t>
      </w:r>
      <w:r w:rsidRPr="001624EC">
        <w:rPr>
          <w:szCs w:val="24"/>
        </w:rPr>
        <w:t xml:space="preserve"> and lessons learned from the </w:t>
      </w:r>
      <w:bookmarkStart w:id="65" w:name="_Hlk71798840"/>
      <w:r w:rsidR="00F33BA1">
        <w:fldChar w:fldCharType="begin"/>
      </w:r>
      <w:r w:rsidR="00F33BA1">
        <w:instrText xml:space="preserve"> HYPERLINK "https://www.gov.uk/government/publications/marine-planning-east-marine-plans-three-year-progress-report" </w:instrText>
      </w:r>
      <w:r w:rsidR="00F33BA1">
        <w:fldChar w:fldCharType="separate"/>
      </w:r>
      <w:r w:rsidRPr="001624EC">
        <w:rPr>
          <w:rStyle w:val="Hyperlink"/>
          <w:szCs w:val="24"/>
        </w:rPr>
        <w:t xml:space="preserve">East Marine </w:t>
      </w:r>
      <w:r w:rsidR="00DC2E44">
        <w:rPr>
          <w:rStyle w:val="Hyperlink"/>
          <w:szCs w:val="24"/>
        </w:rPr>
        <w:t>Plan</w:t>
      </w:r>
      <w:r w:rsidRPr="001624EC">
        <w:rPr>
          <w:rStyle w:val="Hyperlink"/>
          <w:szCs w:val="24"/>
        </w:rPr>
        <w:t xml:space="preserve"> Three</w:t>
      </w:r>
      <w:r w:rsidR="00C406C0">
        <w:rPr>
          <w:rStyle w:val="Hyperlink"/>
          <w:szCs w:val="24"/>
        </w:rPr>
        <w:t xml:space="preserve"> </w:t>
      </w:r>
      <w:r w:rsidRPr="001624EC">
        <w:rPr>
          <w:rStyle w:val="Hyperlink"/>
          <w:szCs w:val="24"/>
        </w:rPr>
        <w:t xml:space="preserve">year </w:t>
      </w:r>
      <w:r w:rsidR="00487C0B">
        <w:rPr>
          <w:rStyle w:val="Hyperlink"/>
          <w:szCs w:val="24"/>
        </w:rPr>
        <w:t>r</w:t>
      </w:r>
      <w:r w:rsidRPr="001624EC">
        <w:rPr>
          <w:rStyle w:val="Hyperlink"/>
          <w:szCs w:val="24"/>
        </w:rPr>
        <w:t>eport</w:t>
      </w:r>
      <w:r w:rsidR="00F33BA1">
        <w:rPr>
          <w:rStyle w:val="Hyperlink"/>
          <w:szCs w:val="24"/>
        </w:rPr>
        <w:fldChar w:fldCharType="end"/>
      </w:r>
      <w:bookmarkEnd w:id="65"/>
      <w:r w:rsidRPr="008A1EBC">
        <w:rPr>
          <w:szCs w:val="24"/>
        </w:rPr>
        <w:t xml:space="preserve">. </w:t>
      </w:r>
      <w:r w:rsidR="0030533F">
        <w:rPr>
          <w:szCs w:val="24"/>
        </w:rPr>
        <w:br/>
      </w:r>
      <w:r w:rsidR="0030533F">
        <w:rPr>
          <w:szCs w:val="24"/>
        </w:rPr>
        <w:br/>
      </w:r>
      <w:r w:rsidRPr="008A1EBC">
        <w:rPr>
          <w:szCs w:val="24"/>
        </w:rPr>
        <w:t xml:space="preserve">The approach presents a framework, </w:t>
      </w:r>
      <w:r w:rsidRPr="001624EC">
        <w:t xml:space="preserve">against which progress towards the impacts </w:t>
      </w:r>
      <w:r w:rsidRPr="008A1EBC">
        <w:t xml:space="preserve">of a </w:t>
      </w:r>
      <w:r w:rsidRPr="00AF364B">
        <w:rPr>
          <w:szCs w:val="24"/>
        </w:rPr>
        <w:t>marine</w:t>
      </w:r>
      <w:r w:rsidRPr="008A1EBC">
        <w:t xml:space="preserve"> </w:t>
      </w:r>
      <w:r w:rsidR="00C406C0">
        <w:t>p</w:t>
      </w:r>
      <w:r w:rsidR="00DC2E44">
        <w:t>lan</w:t>
      </w:r>
      <w:r w:rsidRPr="008A1EBC">
        <w:t xml:space="preserve"> can be monitored</w:t>
      </w:r>
      <w:r w:rsidRPr="001624EC">
        <w:t xml:space="preserve">. For more information on the framework please see </w:t>
      </w:r>
      <w:r w:rsidR="00412306">
        <w:t>C</w:t>
      </w:r>
      <w:r w:rsidRPr="001624EC">
        <w:t xml:space="preserve">hapter 3 of the </w:t>
      </w:r>
      <w:hyperlink r:id="rId23" w:history="1">
        <w:r w:rsidR="00B07496">
          <w:rPr>
            <w:rStyle w:val="Hyperlink"/>
          </w:rPr>
          <w:t xml:space="preserve">South Marine </w:t>
        </w:r>
        <w:r w:rsidR="00DC2E44" w:rsidRPr="00C406C0">
          <w:rPr>
            <w:rStyle w:val="Hyperlink"/>
          </w:rPr>
          <w:t>Plan</w:t>
        </w:r>
        <w:r w:rsidRPr="00C406C0">
          <w:rPr>
            <w:rStyle w:val="Hyperlink"/>
          </w:rPr>
          <w:t xml:space="preserve"> Approach</w:t>
        </w:r>
        <w:r w:rsidR="002E7B5A" w:rsidRPr="00C406C0">
          <w:rPr>
            <w:rStyle w:val="Hyperlink"/>
          </w:rPr>
          <w:t xml:space="preserve"> to </w:t>
        </w:r>
        <w:r w:rsidRPr="00C406C0">
          <w:rPr>
            <w:rStyle w:val="Hyperlink"/>
          </w:rPr>
          <w:t>Monitoring</w:t>
        </w:r>
      </w:hyperlink>
      <w:r w:rsidRPr="001624EC">
        <w:t>.</w:t>
      </w:r>
    </w:p>
    <w:p w14:paraId="634D0050" w14:textId="4B6DEE63" w:rsidR="00D037C1" w:rsidRPr="00D91CD5" w:rsidRDefault="00320E6B" w:rsidP="00285EEE">
      <w:pPr>
        <w:pStyle w:val="ListParagraph"/>
        <w:numPr>
          <w:ilvl w:val="0"/>
          <w:numId w:val="8"/>
        </w:numPr>
        <w:ind w:left="561" w:hanging="567"/>
        <w:contextualSpacing w:val="0"/>
      </w:pPr>
      <w:r>
        <w:t xml:space="preserve">Progress is assessed using monitoring indicators that are matched to steps in the framework. These indicators provide the data that enables the progress towards impacts of the marine </w:t>
      </w:r>
      <w:r w:rsidR="00C406C0">
        <w:t>p</w:t>
      </w:r>
      <w:r w:rsidR="00DC2E44">
        <w:t>lan</w:t>
      </w:r>
      <w:r>
        <w:t xml:space="preserve"> to be tracked. </w:t>
      </w:r>
      <w:r w:rsidR="00D037C1">
        <w:br/>
      </w:r>
      <w:r w:rsidR="00D037C1">
        <w:br/>
      </w:r>
      <w:r>
        <w:t>This framework aims to provide improved granularity by moving to indicators at the policy level,</w:t>
      </w:r>
      <w:r w:rsidRPr="009C03BA">
        <w:t xml:space="preserve"> </w:t>
      </w:r>
      <w:r>
        <w:t xml:space="preserve">linked to objectives. These changes also address data deficiencies by increasing the diversity of data sources. </w:t>
      </w:r>
    </w:p>
    <w:p w14:paraId="53A1A070" w14:textId="16A711FD" w:rsidR="00320E6B" w:rsidRDefault="00320E6B" w:rsidP="00285EEE">
      <w:pPr>
        <w:pStyle w:val="Heading3"/>
      </w:pPr>
      <w:bookmarkStart w:id="66" w:name="_Toc72414597"/>
      <w:bookmarkStart w:id="67" w:name="_Toc72489164"/>
      <w:bookmarkStart w:id="68" w:name="_Toc74307990"/>
      <w:bookmarkStart w:id="69" w:name="_Toc74577256"/>
      <w:r>
        <w:t xml:space="preserve">2.3 </w:t>
      </w:r>
      <w:r w:rsidRPr="008D7708">
        <w:t>Sources of monitoring information</w:t>
      </w:r>
      <w:bookmarkEnd w:id="66"/>
      <w:bookmarkEnd w:id="67"/>
      <w:bookmarkEnd w:id="68"/>
      <w:bookmarkEnd w:id="69"/>
      <w:r w:rsidRPr="008D7708">
        <w:t xml:space="preserve"> </w:t>
      </w:r>
    </w:p>
    <w:p w14:paraId="7A94D242" w14:textId="1302CD83" w:rsidR="00320E6B" w:rsidRPr="00D91CD5" w:rsidRDefault="00320E6B" w:rsidP="00D43BAE">
      <w:pPr>
        <w:pStyle w:val="ListParagraph"/>
        <w:numPr>
          <w:ilvl w:val="0"/>
          <w:numId w:val="8"/>
        </w:numPr>
        <w:ind w:left="561" w:hanging="567"/>
        <w:contextualSpacing w:val="0"/>
      </w:pPr>
      <w:r>
        <w:t xml:space="preserve">A wide range of indicators have been subject to iterative development and refinement. </w:t>
      </w:r>
      <w:r w:rsidR="00D037C1">
        <w:br/>
      </w:r>
      <w:r w:rsidR="00D037C1">
        <w:br/>
      </w:r>
      <w:r>
        <w:t xml:space="preserve">To minimise duplication of effort and make the best use of resources, monitoring </w:t>
      </w:r>
      <w:r>
        <w:lastRenderedPageBreak/>
        <w:t xml:space="preserve">draws on information from wider monitoring programmes (environmental, social and economic) where applicable, and more specific data </w:t>
      </w:r>
      <w:r w:rsidRPr="008A1EBC">
        <w:t>generated b</w:t>
      </w:r>
      <w:r w:rsidRPr="001624EC">
        <w:t xml:space="preserve">y the MMO’s marine licensing </w:t>
      </w:r>
      <w:r w:rsidR="00C24C06">
        <w:t xml:space="preserve">function (hereinafter referred to as </w:t>
      </w:r>
      <w:r w:rsidR="00F96AEF">
        <w:t xml:space="preserve">the marine </w:t>
      </w:r>
      <w:r w:rsidR="00C24C06">
        <w:t>licensing function)</w:t>
      </w:r>
      <w:r w:rsidRPr="001624EC">
        <w:t xml:space="preserve">. </w:t>
      </w:r>
      <w:r w:rsidR="00D037C1">
        <w:br/>
      </w:r>
      <w:r w:rsidR="00D037C1">
        <w:br/>
      </w:r>
      <w:r w:rsidRPr="001624EC">
        <w:t xml:space="preserve">These sources inform both process and outcome monitoring. In instances where particular indicators have been updated, new baseline and progress data was gathered to establish the impacts of the </w:t>
      </w:r>
      <w:r w:rsidR="00DD62AA">
        <w:t>P</w:t>
      </w:r>
      <w:r w:rsidRPr="001624EC">
        <w:t xml:space="preserve">lan in line with the updated </w:t>
      </w:r>
      <w:r w:rsidR="00B07496">
        <w:t xml:space="preserve">South Marine </w:t>
      </w:r>
      <w:r w:rsidR="00DC2E44">
        <w:t>Plan</w:t>
      </w:r>
      <w:r w:rsidRPr="001624EC">
        <w:t xml:space="preserve"> Approach to Monitoring.</w:t>
      </w:r>
      <w:r>
        <w:t xml:space="preserve"> </w:t>
      </w:r>
    </w:p>
    <w:p w14:paraId="3A532B8F" w14:textId="3296A3C1" w:rsidR="00320E6B" w:rsidRPr="00154782" w:rsidRDefault="00320E6B" w:rsidP="00D43BAE">
      <w:pPr>
        <w:pStyle w:val="ListParagraph"/>
        <w:numPr>
          <w:ilvl w:val="0"/>
          <w:numId w:val="8"/>
        </w:numPr>
        <w:ind w:left="561" w:hanging="567"/>
        <w:contextualSpacing w:val="0"/>
      </w:pPr>
      <w:r>
        <w:t xml:space="preserve">Stakeholder surveys </w:t>
      </w:r>
      <w:r w:rsidR="00F4542A">
        <w:t xml:space="preserve">sought the views of stakeholders, </w:t>
      </w:r>
      <w:r>
        <w:t xml:space="preserve">including </w:t>
      </w:r>
      <w:r w:rsidR="00B302C5">
        <w:t>marine licence applicants</w:t>
      </w:r>
      <w:r>
        <w:t>, decision-makers and other third parties,</w:t>
      </w:r>
      <w:r w:rsidRPr="00BA4B80">
        <w:t xml:space="preserve"> </w:t>
      </w:r>
      <w:r>
        <w:t xml:space="preserve">to supplement the analysis of monitoring data. Stakeholder surveys have </w:t>
      </w:r>
      <w:r w:rsidRPr="00AF364B">
        <w:rPr>
          <w:szCs w:val="24"/>
        </w:rPr>
        <w:t>been</w:t>
      </w:r>
      <w:r>
        <w:t xml:space="preserve"> completed throughout the development and implementation of the </w:t>
      </w:r>
      <w:r w:rsidR="00DD62AA">
        <w:t>P</w:t>
      </w:r>
      <w:r w:rsidRPr="00887DAA">
        <w:t>lan</w:t>
      </w:r>
      <w:r>
        <w:t xml:space="preserve">. </w:t>
      </w:r>
    </w:p>
    <w:p w14:paraId="23BAD0E9" w14:textId="41F42CFB" w:rsidR="00320E6B" w:rsidRDefault="00320E6B" w:rsidP="00D43BAE">
      <w:pPr>
        <w:pStyle w:val="ListParagraph"/>
        <w:numPr>
          <w:ilvl w:val="0"/>
          <w:numId w:val="8"/>
        </w:numPr>
        <w:ind w:left="561" w:hanging="567"/>
        <w:contextualSpacing w:val="0"/>
      </w:pPr>
      <w:r w:rsidRPr="00154782">
        <w:t xml:space="preserve">Where required, monitoring information has been supplemented by evidence at </w:t>
      </w:r>
      <w:r>
        <w:t>an</w:t>
      </w:r>
      <w:r w:rsidRPr="00154782">
        <w:t xml:space="preserve"> objective level. </w:t>
      </w:r>
      <w:r>
        <w:t xml:space="preserve">Examples </w:t>
      </w:r>
      <w:r w:rsidRPr="00AF364B">
        <w:rPr>
          <w:szCs w:val="24"/>
        </w:rPr>
        <w:t>include</w:t>
      </w:r>
      <w:r>
        <w:t xml:space="preserve"> contextual analysis (legislative review, subnational </w:t>
      </w:r>
      <w:r w:rsidR="00E21996">
        <w:t>p</w:t>
      </w:r>
      <w:r w:rsidR="00DC2E44">
        <w:t>lan</w:t>
      </w:r>
      <w:r>
        <w:t xml:space="preserve">s), case studies, </w:t>
      </w:r>
      <w:r w:rsidR="008F71CD">
        <w:t>follow-up</w:t>
      </w:r>
      <w:r>
        <w:t xml:space="preserve"> interviews and updates to Good Environmental Status (GES). </w:t>
      </w:r>
    </w:p>
    <w:p w14:paraId="50ED4AD1" w14:textId="4D28C03C" w:rsidR="00320E6B" w:rsidRPr="008D7708" w:rsidRDefault="00320E6B" w:rsidP="00285EEE">
      <w:pPr>
        <w:pStyle w:val="Heading3"/>
      </w:pPr>
      <w:bookmarkStart w:id="70" w:name="_Toc72414598"/>
      <w:bookmarkStart w:id="71" w:name="_Toc72489165"/>
      <w:bookmarkStart w:id="72" w:name="_Toc74307991"/>
      <w:bookmarkStart w:id="73" w:name="_Toc74577257"/>
      <w:r>
        <w:t xml:space="preserve">2.4 </w:t>
      </w:r>
      <w:r w:rsidRPr="008D7708">
        <w:t>Context, process and outcome monitoring</w:t>
      </w:r>
      <w:bookmarkEnd w:id="70"/>
      <w:bookmarkEnd w:id="71"/>
      <w:bookmarkEnd w:id="72"/>
      <w:bookmarkEnd w:id="73"/>
    </w:p>
    <w:p w14:paraId="3A5C1B67" w14:textId="24EA0DEC" w:rsidR="00320E6B" w:rsidRPr="008A1EBC" w:rsidRDefault="00320E6B" w:rsidP="006D5C33">
      <w:pPr>
        <w:pStyle w:val="ListParagraph"/>
        <w:numPr>
          <w:ilvl w:val="0"/>
          <w:numId w:val="8"/>
        </w:numPr>
        <w:ind w:left="567" w:hanging="567"/>
        <w:contextualSpacing w:val="0"/>
        <w:rPr>
          <w:rFonts w:cs="Arial"/>
        </w:rPr>
      </w:pPr>
      <w:r w:rsidRPr="008A1EBC">
        <w:t xml:space="preserve">The </w:t>
      </w:r>
      <w:hyperlink r:id="rId24" w:history="1">
        <w:r w:rsidR="00B07496">
          <w:rPr>
            <w:rStyle w:val="Hyperlink"/>
          </w:rPr>
          <w:t xml:space="preserve">South Marine </w:t>
        </w:r>
        <w:r w:rsidR="00DC2E44" w:rsidRPr="00C406C0">
          <w:rPr>
            <w:rStyle w:val="Hyperlink"/>
          </w:rPr>
          <w:t>Plan</w:t>
        </w:r>
        <w:r w:rsidRPr="00C406C0">
          <w:rPr>
            <w:rStyle w:val="Hyperlink"/>
          </w:rPr>
          <w:t xml:space="preserve"> </w:t>
        </w:r>
        <w:r w:rsidR="002E7B5A" w:rsidRPr="00C406C0">
          <w:rPr>
            <w:rStyle w:val="Hyperlink"/>
          </w:rPr>
          <w:t>A</w:t>
        </w:r>
        <w:r w:rsidRPr="00C406C0">
          <w:rPr>
            <w:rStyle w:val="Hyperlink"/>
          </w:rPr>
          <w:t>pproach</w:t>
        </w:r>
        <w:r w:rsidR="002E7B5A" w:rsidRPr="00C406C0">
          <w:rPr>
            <w:rStyle w:val="Hyperlink"/>
          </w:rPr>
          <w:t xml:space="preserve"> to Monitoring</w:t>
        </w:r>
      </w:hyperlink>
      <w:r w:rsidRPr="001624EC">
        <w:t xml:space="preserve"> </w:t>
      </w:r>
      <w:r w:rsidRPr="008A1EBC">
        <w:t xml:space="preserve">addresses </w:t>
      </w:r>
      <w:r w:rsidRPr="001624EC">
        <w:t xml:space="preserve">indicators for process and outcomes, </w:t>
      </w:r>
      <w:r>
        <w:t>in</w:t>
      </w:r>
      <w:r w:rsidRPr="001624EC">
        <w:t xml:space="preserve"> addition to an assessment of changes in context. </w:t>
      </w:r>
    </w:p>
    <w:p w14:paraId="7A941256" w14:textId="10EF22F7" w:rsidR="00320E6B" w:rsidRPr="008D7708" w:rsidRDefault="00320E6B" w:rsidP="00D43BAE">
      <w:pPr>
        <w:pStyle w:val="ListParagraph"/>
        <w:numPr>
          <w:ilvl w:val="0"/>
          <w:numId w:val="8"/>
        </w:numPr>
        <w:ind w:left="561" w:hanging="567"/>
        <w:contextualSpacing w:val="0"/>
      </w:pPr>
      <w:r w:rsidRPr="00285EEE">
        <w:t>Contextual monitoring</w:t>
      </w:r>
      <w:r w:rsidRPr="001624EC">
        <w:t xml:space="preserve"> describes the context in which marine </w:t>
      </w:r>
      <w:r w:rsidR="00E21996">
        <w:t>p</w:t>
      </w:r>
      <w:r w:rsidR="00DC2E44">
        <w:t>lan</w:t>
      </w:r>
      <w:r w:rsidRPr="001624EC">
        <w:t>s</w:t>
      </w:r>
      <w:r w:rsidRPr="00985D02">
        <w:t xml:space="preserve"> operate</w:t>
      </w:r>
      <w:r>
        <w:t xml:space="preserve">. Changes in context since the </w:t>
      </w:r>
      <w:r w:rsidR="00E21996">
        <w:t>P</w:t>
      </w:r>
      <w:r>
        <w:t xml:space="preserve">lan was adopted may affect successful progress being made and the continued relevance of the </w:t>
      </w:r>
      <w:r w:rsidR="00E21996">
        <w:t>P</w:t>
      </w:r>
      <w:r>
        <w:t>lan. Such monitoring also helps interpret findings of process and outcome monitoring.</w:t>
      </w:r>
    </w:p>
    <w:p w14:paraId="1D9057DE" w14:textId="1312F0F7" w:rsidR="00320E6B" w:rsidRPr="008D7708" w:rsidRDefault="00320E6B" w:rsidP="00D43BAE">
      <w:pPr>
        <w:pStyle w:val="ListParagraph"/>
        <w:numPr>
          <w:ilvl w:val="0"/>
          <w:numId w:val="8"/>
        </w:numPr>
        <w:ind w:left="561" w:hanging="567"/>
        <w:contextualSpacing w:val="0"/>
      </w:pPr>
      <w:r w:rsidRPr="00285EEE">
        <w:t>Process monitoring</w:t>
      </w:r>
      <w:r>
        <w:t xml:space="preserve"> considers the implementation of the </w:t>
      </w:r>
      <w:r w:rsidR="00E21996">
        <w:t>P</w:t>
      </w:r>
      <w:r>
        <w:t xml:space="preserve">lan. The main purpose is to determine the degree to which the </w:t>
      </w:r>
      <w:r w:rsidR="00E21996">
        <w:t>P</w:t>
      </w:r>
      <w:r>
        <w:t xml:space="preserve">lan and its policies are being applied. </w:t>
      </w:r>
      <w:r w:rsidR="00D037C1">
        <w:br/>
      </w:r>
      <w:r w:rsidR="00D037C1">
        <w:br/>
      </w:r>
      <w:r>
        <w:t xml:space="preserve">If the </w:t>
      </w:r>
      <w:r w:rsidR="00DC2E44">
        <w:t>Plan</w:t>
      </w:r>
      <w:r>
        <w:t xml:space="preserve"> is not being used, the potential for policies to have an effect will not be realised. </w:t>
      </w:r>
      <w:r w:rsidR="00D037C1">
        <w:br/>
      </w:r>
      <w:r w:rsidR="00D037C1">
        <w:br/>
      </w:r>
      <w:r>
        <w:t>This helps to confirm assumptions made regarding the steps necessary to achieve expected outcomes.</w:t>
      </w:r>
    </w:p>
    <w:p w14:paraId="3EE58287" w14:textId="45A8729A" w:rsidR="00562D8D" w:rsidRDefault="00320E6B" w:rsidP="00665013">
      <w:pPr>
        <w:pStyle w:val="ListParagraph"/>
        <w:numPr>
          <w:ilvl w:val="0"/>
          <w:numId w:val="8"/>
        </w:numPr>
        <w:ind w:left="561" w:hanging="567"/>
        <w:contextualSpacing w:val="0"/>
      </w:pPr>
      <w:r w:rsidRPr="00285EEE">
        <w:t>Outcome monitoring</w:t>
      </w:r>
      <w:r>
        <w:t xml:space="preserve"> assesses progress towards objectives (and their contribution to the HLMOs) and the effect of contributing policies. Together with process monitoring it should enable consideration of the link between policies and objectives and, therefore, effectiveness of policies. </w:t>
      </w:r>
    </w:p>
    <w:p w14:paraId="7FE164BD" w14:textId="0CA845EA" w:rsidR="00320E6B" w:rsidRPr="008D7708" w:rsidRDefault="00320E6B" w:rsidP="00285EEE">
      <w:pPr>
        <w:pStyle w:val="Heading3"/>
        <w:rPr>
          <w:rStyle w:val="CommentReference"/>
          <w:rFonts w:eastAsia="Arial"/>
          <w:b w:val="0"/>
          <w:bCs w:val="0"/>
          <w:sz w:val="24"/>
          <w:szCs w:val="24"/>
        </w:rPr>
      </w:pPr>
      <w:bookmarkStart w:id="74" w:name="_Toc72414599"/>
      <w:bookmarkStart w:id="75" w:name="_Toc72489166"/>
      <w:bookmarkStart w:id="76" w:name="_Toc74307992"/>
      <w:bookmarkStart w:id="77" w:name="_Toc74577258"/>
      <w:r>
        <w:t xml:space="preserve">2.5 </w:t>
      </w:r>
      <w:r w:rsidRPr="008D7708">
        <w:t>Challenges and limitations</w:t>
      </w:r>
      <w:bookmarkEnd w:id="74"/>
      <w:bookmarkEnd w:id="75"/>
      <w:bookmarkEnd w:id="76"/>
      <w:bookmarkEnd w:id="77"/>
    </w:p>
    <w:p w14:paraId="04E29E53" w14:textId="61BBB7D1" w:rsidR="00320E6B" w:rsidRPr="008D7708" w:rsidRDefault="00320E6B" w:rsidP="00D43BAE">
      <w:pPr>
        <w:pStyle w:val="ListParagraph"/>
        <w:numPr>
          <w:ilvl w:val="0"/>
          <w:numId w:val="8"/>
        </w:numPr>
        <w:ind w:left="561" w:hanging="567"/>
        <w:contextualSpacing w:val="0"/>
      </w:pPr>
      <w:r>
        <w:t xml:space="preserve">Marine </w:t>
      </w:r>
      <w:r w:rsidR="00E21996">
        <w:t>p</w:t>
      </w:r>
      <w:r w:rsidR="00DC2E44">
        <w:t>lan</w:t>
      </w:r>
      <w:r>
        <w:t>s are not the sole instrument of change. It is</w:t>
      </w:r>
      <w:r w:rsidR="005B48AF">
        <w:t>,</w:t>
      </w:r>
      <w:r>
        <w:t xml:space="preserve"> therefore</w:t>
      </w:r>
      <w:r w:rsidR="005B48AF">
        <w:t>,</w:t>
      </w:r>
      <w:r>
        <w:t xml:space="preserve"> important to recognise that there are other influences within the marine </w:t>
      </w:r>
      <w:r w:rsidR="00E21996">
        <w:t>p</w:t>
      </w:r>
      <w:r w:rsidR="00DC2E44">
        <w:t>lan</w:t>
      </w:r>
      <w:r>
        <w:t xml:space="preserve"> areas, some with </w:t>
      </w:r>
      <w:r>
        <w:lastRenderedPageBreak/>
        <w:t>overlapping objectives and these can create challenges</w:t>
      </w:r>
      <w:r w:rsidR="00D037C1">
        <w:t>,</w:t>
      </w:r>
      <w:r>
        <w:t xml:space="preserve"> when trying to determine what proportion of an outcome can be attributed to the marine </w:t>
      </w:r>
      <w:r w:rsidR="00E21996">
        <w:t>p</w:t>
      </w:r>
      <w:r w:rsidR="00DC2E44">
        <w:t>lan</w:t>
      </w:r>
      <w:r>
        <w:t xml:space="preserve">. </w:t>
      </w:r>
      <w:r w:rsidR="00D037C1">
        <w:br/>
      </w:r>
      <w:r w:rsidR="00D037C1">
        <w:br/>
      </w:r>
      <w:r>
        <w:t>This represents a</w:t>
      </w:r>
      <w:r w:rsidR="00774098">
        <w:t>n important</w:t>
      </w:r>
      <w:r>
        <w:t xml:space="preserve"> conceptual and practical limitation in the ability to demonstrate cause and effect, between progress for an objective to the effect of </w:t>
      </w:r>
      <w:r w:rsidR="00E21996">
        <w:t>p</w:t>
      </w:r>
      <w:r w:rsidR="00DC2E44">
        <w:t>lan</w:t>
      </w:r>
      <w:r>
        <w:t xml:space="preserve"> policies. </w:t>
      </w:r>
    </w:p>
    <w:p w14:paraId="04E08CC7" w14:textId="68AA4A1C" w:rsidR="00320E6B" w:rsidRPr="008D7708" w:rsidRDefault="00320E6B" w:rsidP="00D43BAE">
      <w:pPr>
        <w:pStyle w:val="ListParagraph"/>
        <w:numPr>
          <w:ilvl w:val="0"/>
          <w:numId w:val="8"/>
        </w:numPr>
        <w:ind w:left="561" w:hanging="567"/>
        <w:contextualSpacing w:val="0"/>
      </w:pPr>
      <w:r w:rsidRPr="008A1EBC">
        <w:t xml:space="preserve">Applying the </w:t>
      </w:r>
      <w:r w:rsidR="00B07496">
        <w:t xml:space="preserve">South Marine </w:t>
      </w:r>
      <w:r w:rsidR="00DC2E44">
        <w:t>Plan</w:t>
      </w:r>
      <w:r w:rsidRPr="008A1EBC">
        <w:t xml:space="preserve"> </w:t>
      </w:r>
      <w:r w:rsidR="002E7B5A">
        <w:t>A</w:t>
      </w:r>
      <w:r w:rsidRPr="001624EC">
        <w:t xml:space="preserve">pproach to </w:t>
      </w:r>
      <w:r w:rsidR="002E7B5A">
        <w:t>M</w:t>
      </w:r>
      <w:r w:rsidRPr="001624EC">
        <w:t xml:space="preserve">onitoring </w:t>
      </w:r>
      <w:r w:rsidRPr="008A1EBC">
        <w:t>has addressed some of these challenges.</w:t>
      </w:r>
      <w:r w:rsidRPr="001624EC">
        <w:t xml:space="preserve"> Assessing indicators at different stages </w:t>
      </w:r>
      <w:r w:rsidR="00774098">
        <w:t>allows</w:t>
      </w:r>
      <w:r w:rsidR="00774098" w:rsidRPr="001624EC">
        <w:t xml:space="preserve"> </w:t>
      </w:r>
      <w:r w:rsidRPr="001624EC">
        <w:t xml:space="preserve">clearer understanding of where a policy may or may not be </w:t>
      </w:r>
      <w:r>
        <w:t>performing</w:t>
      </w:r>
      <w:r w:rsidRPr="001624EC">
        <w:t xml:space="preserve"> as expected. </w:t>
      </w:r>
      <w:r w:rsidR="00D037C1">
        <w:br/>
      </w:r>
      <w:r w:rsidR="00D037C1">
        <w:br/>
      </w:r>
      <w:r w:rsidRPr="001624EC">
        <w:t>This should help provide</w:t>
      </w:r>
      <w:r>
        <w:t xml:space="preserve"> a picture of how the </w:t>
      </w:r>
      <w:r w:rsidR="00E21996">
        <w:t>P</w:t>
      </w:r>
      <w:r>
        <w:t xml:space="preserve">lan has </w:t>
      </w:r>
      <w:r w:rsidRPr="00D43BAE">
        <w:t>contributed</w:t>
      </w:r>
      <w:r>
        <w:t xml:space="preserve"> towards wider outcomes and impacts.</w:t>
      </w:r>
      <w:r w:rsidDel="002020F5">
        <w:t xml:space="preserve"> </w:t>
      </w:r>
      <w:r w:rsidR="00D037C1">
        <w:br/>
      </w:r>
      <w:r w:rsidR="00D037C1">
        <w:br/>
      </w:r>
      <w:r>
        <w:t xml:space="preserve">The data required to assess progress towards the achievement of </w:t>
      </w:r>
      <w:r w:rsidR="00E21996">
        <w:t>p</w:t>
      </w:r>
      <w:r w:rsidR="00DC2E44">
        <w:t>lan</w:t>
      </w:r>
      <w:r>
        <w:t xml:space="preserve"> objectives, however, has large data collection, analysis and reporting requirements.</w:t>
      </w:r>
    </w:p>
    <w:p w14:paraId="358571BB" w14:textId="154E2FE7" w:rsidR="00320E6B" w:rsidRPr="005549B6" w:rsidRDefault="00320E6B" w:rsidP="00D43BAE">
      <w:pPr>
        <w:pStyle w:val="ListParagraph"/>
        <w:numPr>
          <w:ilvl w:val="0"/>
          <w:numId w:val="8"/>
        </w:numPr>
        <w:ind w:left="561" w:hanging="567"/>
        <w:contextualSpacing w:val="0"/>
      </w:pPr>
      <w:r>
        <w:t xml:space="preserve">Many of the outcomes sought by marine </w:t>
      </w:r>
      <w:r w:rsidR="00E21996">
        <w:t>p</w:t>
      </w:r>
      <w:r w:rsidR="00DC2E44">
        <w:t>lan</w:t>
      </w:r>
      <w:r>
        <w:t xml:space="preserve"> policy intervention will take years to progress, for example, the influence of a policy on a proposal’s location, through the consenting process, construction and then translation into economic and other expected benefits. </w:t>
      </w:r>
      <w:r w:rsidR="00D037C1">
        <w:br/>
      </w:r>
      <w:r w:rsidR="00D037C1">
        <w:br/>
      </w:r>
      <w:r>
        <w:t xml:space="preserve">While data enables progress to be shown on some outcomes, these outcomes may be associated with </w:t>
      </w:r>
      <w:r w:rsidR="00E21996">
        <w:t>p</w:t>
      </w:r>
      <w:r w:rsidR="00DC2E44">
        <w:t>lan</w:t>
      </w:r>
      <w:r>
        <w:t xml:space="preserve"> use during the previous reporting periods, or in this case prior to </w:t>
      </w:r>
      <w:r w:rsidR="00774098">
        <w:t>p</w:t>
      </w:r>
      <w:r>
        <w:t xml:space="preserve">lan adoption. </w:t>
      </w:r>
      <w:r w:rsidR="00D037C1">
        <w:br/>
      </w:r>
      <w:r w:rsidR="00D037C1">
        <w:br/>
      </w:r>
      <w:r>
        <w:t xml:space="preserve">As a result, it is expected that the impact of marine </w:t>
      </w:r>
      <w:r w:rsidR="00C406C0">
        <w:t>p</w:t>
      </w:r>
      <w:r w:rsidR="00DC2E44">
        <w:t>lan</w:t>
      </w:r>
      <w:r>
        <w:t>s is likely to grow over time as the influence increases cumulatively. In some cases, data was not available at timescales appropriate to intended policy effect</w:t>
      </w:r>
      <w:r w:rsidR="00D037C1">
        <w:t>.</w:t>
      </w:r>
      <w:r>
        <w:t xml:space="preserve"> </w:t>
      </w:r>
      <w:r w:rsidR="00D037C1">
        <w:t>H</w:t>
      </w:r>
      <w:r>
        <w:t>owever, this limitation is expected during the first reporting window, due to the short amount of time that has passed since adoption (</w:t>
      </w:r>
      <w:r w:rsidR="00495768">
        <w:t>for example, 3</w:t>
      </w:r>
      <w:r w:rsidR="00C406C0">
        <w:t xml:space="preserve"> </w:t>
      </w:r>
      <w:r>
        <w:t xml:space="preserve">years).   </w:t>
      </w:r>
    </w:p>
    <w:p w14:paraId="5B68D8B1" w14:textId="50C91618" w:rsidR="00320E6B" w:rsidRPr="008D7708" w:rsidRDefault="00320E6B" w:rsidP="00D43BAE">
      <w:pPr>
        <w:pStyle w:val="ListParagraph"/>
        <w:numPr>
          <w:ilvl w:val="0"/>
          <w:numId w:val="8"/>
        </w:numPr>
        <w:ind w:left="561" w:hanging="567"/>
        <w:contextualSpacing w:val="0"/>
      </w:pPr>
      <w:r w:rsidRPr="008A1EBC">
        <w:t>The monitoring approach applied is pragmatic, making use of existing data sources collected for other purposes.</w:t>
      </w:r>
      <w:r w:rsidRPr="001624EC">
        <w:t xml:space="preserve"> </w:t>
      </w:r>
      <w:r w:rsidR="0030533F">
        <w:br/>
      </w:r>
      <w:r w:rsidR="0030533F">
        <w:br/>
      </w:r>
      <w:r w:rsidRPr="001624EC">
        <w:t>However, external stakeholders have no legislative duty to provide the MMO with</w:t>
      </w:r>
      <w:r>
        <w:t xml:space="preserve"> monitoring information and so the reliance on external monitoring programmes creates numerous dependencies and timing issues, restricting quality of reporting outputs, particularly where existing monitoring programmes may already face constraints. </w:t>
      </w:r>
    </w:p>
    <w:p w14:paraId="604DDC42" w14:textId="7390630B" w:rsidR="00320E6B" w:rsidRPr="008D7708" w:rsidRDefault="00320E6B" w:rsidP="00D43BAE">
      <w:pPr>
        <w:pStyle w:val="ListParagraph"/>
        <w:numPr>
          <w:ilvl w:val="0"/>
          <w:numId w:val="8"/>
        </w:numPr>
        <w:ind w:left="561" w:hanging="567"/>
        <w:contextualSpacing w:val="0"/>
      </w:pPr>
      <w:r>
        <w:t xml:space="preserve">Relevant descriptors of GES under the </w:t>
      </w:r>
      <w:hyperlink r:id="rId25">
        <w:r w:rsidR="00A506DD" w:rsidRPr="375902C0">
          <w:rPr>
            <w:rStyle w:val="Hyperlink"/>
          </w:rPr>
          <w:t>Marine Strategy Part One: UK updated assessment and Good Environmental Status</w:t>
        </w:r>
      </w:hyperlink>
      <w:r>
        <w:t xml:space="preserve">, published in 2019, have been used to supplement evidence. </w:t>
      </w:r>
      <w:r w:rsidR="0030533F">
        <w:br/>
      </w:r>
      <w:r w:rsidR="0030533F">
        <w:br/>
      </w:r>
      <w:r>
        <w:t xml:space="preserve">The regional sea scale of the assessment is much broader than the </w:t>
      </w:r>
      <w:r w:rsidR="00B07496">
        <w:t xml:space="preserve">South Marine </w:t>
      </w:r>
      <w:r w:rsidR="00DC2E44">
        <w:t>Plan</w:t>
      </w:r>
      <w:r>
        <w:t xml:space="preserve"> areas, this limits the degree to which the GES assessment results can be </w:t>
      </w:r>
      <w:r>
        <w:lastRenderedPageBreak/>
        <w:t xml:space="preserve">applied in relation to the </w:t>
      </w:r>
      <w:r w:rsidR="00E21996">
        <w:t>P</w:t>
      </w:r>
      <w:r>
        <w:t xml:space="preserve">lan. </w:t>
      </w:r>
      <w:r w:rsidR="0030533F">
        <w:br/>
      </w:r>
      <w:r w:rsidR="0030533F">
        <w:br/>
      </w:r>
      <w:r>
        <w:t xml:space="preserve">However, it does still enable some indicative commentary on progress towards objectives and changes to environmental characteristics. </w:t>
      </w:r>
    </w:p>
    <w:p w14:paraId="2607C7A4" w14:textId="432E4EA9" w:rsidR="00320E6B" w:rsidRPr="00BC4235" w:rsidDel="00225833" w:rsidRDefault="00320E6B" w:rsidP="00D43BAE">
      <w:pPr>
        <w:pStyle w:val="ListParagraph"/>
        <w:numPr>
          <w:ilvl w:val="0"/>
          <w:numId w:val="8"/>
        </w:numPr>
        <w:ind w:left="561" w:hanging="567"/>
        <w:contextualSpacing w:val="0"/>
      </w:pPr>
      <w:r>
        <w:t xml:space="preserve">The MMO has conducted stakeholder surveys </w:t>
      </w:r>
      <w:r w:rsidR="00035B9E">
        <w:t>over</w:t>
      </w:r>
      <w:r>
        <w:t xml:space="preserve"> multiple years. The number of responses varied each year, with proportionately low return rates, compared to the wide range of </w:t>
      </w:r>
      <w:r w:rsidR="00DC2E44">
        <w:t>Plan</w:t>
      </w:r>
      <w:r>
        <w:t xml:space="preserve"> users, which</w:t>
      </w:r>
      <w:r w:rsidDel="00BB1904">
        <w:t xml:space="preserve"> </w:t>
      </w:r>
      <w:r>
        <w:t xml:space="preserve">restricts insights gained from analysis of results. </w:t>
      </w:r>
      <w:r w:rsidR="0030533F">
        <w:br/>
      </w:r>
      <w:r w:rsidR="0030533F">
        <w:br/>
      </w:r>
      <w:r>
        <w:t>As a consequence, surveys were supplemented with follow</w:t>
      </w:r>
      <w:r w:rsidR="008F71CD">
        <w:t>-</w:t>
      </w:r>
      <w:r>
        <w:t xml:space="preserve">up interviews to gather more detailed information that can provide, for example, industry-specific insights into </w:t>
      </w:r>
      <w:r w:rsidR="00DC2E44">
        <w:t>Plan</w:t>
      </w:r>
      <w:r>
        <w:t xml:space="preserve"> use.</w:t>
      </w:r>
    </w:p>
    <w:p w14:paraId="13829521" w14:textId="77777777" w:rsidR="00320E6B" w:rsidRDefault="00320E6B" w:rsidP="00D43BAE">
      <w:pPr>
        <w:pStyle w:val="ListParagraph"/>
        <w:numPr>
          <w:ilvl w:val="0"/>
          <w:numId w:val="8"/>
        </w:numPr>
        <w:ind w:left="561" w:hanging="567"/>
        <w:contextualSpacing w:val="0"/>
      </w:pPr>
      <w:r>
        <w:t xml:space="preserve">The need to increase survey response rates and reduce ambiguity in responses has meant survey design and promotion techniques have been modified. However, this must be balanced with the need to maintain continuity for analysis year on year. </w:t>
      </w:r>
    </w:p>
    <w:p w14:paraId="74E68561" w14:textId="77777777" w:rsidR="00320E6B" w:rsidRPr="000A3608" w:rsidRDefault="00320E6B" w:rsidP="00D43BAE">
      <w:pPr>
        <w:pStyle w:val="ListParagraph"/>
        <w:numPr>
          <w:ilvl w:val="0"/>
          <w:numId w:val="8"/>
        </w:numPr>
        <w:ind w:left="561" w:hanging="567"/>
        <w:contextualSpacing w:val="0"/>
      </w:pPr>
      <w:r>
        <w:t xml:space="preserve">Limitations of individual data sources are considered within relevant sections of this report. Improvements to </w:t>
      </w:r>
      <w:r w:rsidRPr="00D43BAE">
        <w:t>indicators</w:t>
      </w:r>
      <w:r>
        <w:t xml:space="preserve"> continue to be made in order to address current shortfalls of data sources.</w:t>
      </w:r>
    </w:p>
    <w:p w14:paraId="1C2BC23A" w14:textId="5CAF8F04" w:rsidR="00320E6B" w:rsidRDefault="00320E6B">
      <w:pPr>
        <w:spacing w:before="0" w:after="0" w:line="240" w:lineRule="auto"/>
        <w:rPr>
          <w:rFonts w:eastAsia="Times New Roman"/>
          <w:b/>
          <w:bCs/>
          <w:color w:val="008938"/>
          <w:sz w:val="44"/>
          <w:szCs w:val="28"/>
        </w:rPr>
      </w:pPr>
      <w:bookmarkStart w:id="78" w:name="_Toc68186329"/>
      <w:bookmarkStart w:id="79" w:name="_Hlk63087573"/>
      <w:bookmarkStart w:id="80" w:name="_Toc68186330"/>
    </w:p>
    <w:p w14:paraId="51982446" w14:textId="77777777" w:rsidR="000A7F37" w:rsidRDefault="000A7F37">
      <w:pPr>
        <w:spacing w:before="0" w:after="0" w:line="240" w:lineRule="auto"/>
        <w:rPr>
          <w:rFonts w:eastAsia="Times New Roman"/>
          <w:b/>
          <w:bCs/>
          <w:color w:val="008938"/>
          <w:sz w:val="44"/>
          <w:szCs w:val="28"/>
        </w:rPr>
      </w:pPr>
      <w:r>
        <w:br w:type="page"/>
      </w:r>
    </w:p>
    <w:p w14:paraId="2F74F102" w14:textId="3F53CDDA" w:rsidR="00AE7407" w:rsidRDefault="00AE7407" w:rsidP="00285EEE">
      <w:pPr>
        <w:pStyle w:val="Heading2"/>
      </w:pPr>
      <w:bookmarkStart w:id="81" w:name="_Toc72414600"/>
      <w:bookmarkStart w:id="82" w:name="_Toc72489167"/>
      <w:bookmarkStart w:id="83" w:name="_Toc74307993"/>
      <w:bookmarkStart w:id="84" w:name="_Toc74577259"/>
      <w:r>
        <w:lastRenderedPageBreak/>
        <w:t>3. Context</w:t>
      </w:r>
      <w:bookmarkEnd w:id="78"/>
      <w:bookmarkEnd w:id="81"/>
      <w:bookmarkEnd w:id="82"/>
      <w:bookmarkEnd w:id="83"/>
      <w:bookmarkEnd w:id="84"/>
    </w:p>
    <w:p w14:paraId="64FE3CAC" w14:textId="0BC21B79" w:rsidR="00A47056" w:rsidRPr="008D7708" w:rsidRDefault="00A47056" w:rsidP="00285EEE">
      <w:pPr>
        <w:pStyle w:val="Heading3"/>
      </w:pPr>
      <w:bookmarkStart w:id="85" w:name="_Toc72414601"/>
      <w:bookmarkStart w:id="86" w:name="_Toc72489168"/>
      <w:bookmarkStart w:id="87" w:name="_Toc74307994"/>
      <w:bookmarkStart w:id="88" w:name="_Toc74577260"/>
      <w:bookmarkEnd w:id="79"/>
      <w:r>
        <w:t xml:space="preserve">3.1 </w:t>
      </w:r>
      <w:bookmarkStart w:id="89" w:name="_Toc33457217"/>
      <w:r w:rsidRPr="008D7708">
        <w:t>Background to context monitoring</w:t>
      </w:r>
      <w:bookmarkEnd w:id="80"/>
      <w:bookmarkEnd w:id="85"/>
      <w:bookmarkEnd w:id="86"/>
      <w:bookmarkEnd w:id="87"/>
      <w:bookmarkEnd w:id="88"/>
      <w:bookmarkEnd w:id="89"/>
    </w:p>
    <w:p w14:paraId="7E4C338B" w14:textId="4BB97F24" w:rsidR="006843B1" w:rsidRPr="008D7708" w:rsidRDefault="006843B1" w:rsidP="00D43BAE">
      <w:pPr>
        <w:pStyle w:val="ListParagraph"/>
        <w:numPr>
          <w:ilvl w:val="0"/>
          <w:numId w:val="8"/>
        </w:numPr>
        <w:ind w:left="561" w:hanging="567"/>
        <w:contextualSpacing w:val="0"/>
      </w:pPr>
      <w:r>
        <w:t xml:space="preserve">The </w:t>
      </w:r>
      <w:r w:rsidR="00E21996">
        <w:t>P</w:t>
      </w:r>
      <w:r w:rsidRPr="00084B29">
        <w:t>lan</w:t>
      </w:r>
      <w:r>
        <w:t xml:space="preserve"> w</w:t>
      </w:r>
      <w:r w:rsidR="005541CF">
        <w:t>as</w:t>
      </w:r>
      <w:r>
        <w:t xml:space="preserve"> developed within the context of prevailing international, national, and local legislation, in conjunction with relevant policies, strategies and </w:t>
      </w:r>
      <w:r w:rsidR="00E21996">
        <w:t>p</w:t>
      </w:r>
      <w:r w:rsidR="00DC2E44">
        <w:t>lan</w:t>
      </w:r>
      <w:r>
        <w:t xml:space="preserve">s informing marine </w:t>
      </w:r>
      <w:r w:rsidR="00C406C0">
        <w:t>p</w:t>
      </w:r>
      <w:r w:rsidR="00DC2E44">
        <w:t>lan</w:t>
      </w:r>
      <w:r>
        <w:t xml:space="preserve">ning at that time. </w:t>
      </w:r>
      <w:r w:rsidR="00D037C1">
        <w:br/>
      </w:r>
      <w:r w:rsidR="00D037C1">
        <w:br/>
      </w:r>
      <w:r>
        <w:t xml:space="preserve">The aspirations of stakeholders, and evidence such as future projections for resources and utilisation of the </w:t>
      </w:r>
      <w:r w:rsidR="00B07496">
        <w:t xml:space="preserve">South Marine </w:t>
      </w:r>
      <w:r w:rsidR="00DC2E44">
        <w:t>Plan</w:t>
      </w:r>
      <w:r>
        <w:t xml:space="preserve"> areas were also guiding considerations. </w:t>
      </w:r>
    </w:p>
    <w:p w14:paraId="759E059A" w14:textId="516BC383" w:rsidR="006843B1" w:rsidRPr="008D7708" w:rsidRDefault="000713E6" w:rsidP="00D43BAE">
      <w:pPr>
        <w:pStyle w:val="ListParagraph"/>
        <w:numPr>
          <w:ilvl w:val="0"/>
          <w:numId w:val="8"/>
        </w:numPr>
        <w:ind w:left="561" w:hanging="567"/>
        <w:contextualSpacing w:val="0"/>
        <w:rPr>
          <w:rFonts w:cs="Arial"/>
        </w:rPr>
      </w:pPr>
      <w:r>
        <w:t xml:space="preserve">The context continues to evolve following </w:t>
      </w:r>
      <w:r w:rsidR="00E21996">
        <w:t>P</w:t>
      </w:r>
      <w:r>
        <w:t xml:space="preserve">lan adoption and </w:t>
      </w:r>
      <w:r w:rsidR="0082521E">
        <w:t xml:space="preserve">needs to be assessed to determine to what </w:t>
      </w:r>
      <w:r>
        <w:t xml:space="preserve">extent </w:t>
      </w:r>
      <w:r w:rsidR="0082521E">
        <w:t xml:space="preserve">context </w:t>
      </w:r>
      <w:r>
        <w:t xml:space="preserve">adversely impacts the ongoing relevance and usability of </w:t>
      </w:r>
      <w:r w:rsidR="00E21996">
        <w:t>P</w:t>
      </w:r>
      <w:r>
        <w:t xml:space="preserve">lan contents. </w:t>
      </w:r>
      <w:r w:rsidR="00D037C1">
        <w:br/>
      </w:r>
      <w:r w:rsidR="00D037C1">
        <w:br/>
      </w:r>
      <w:r w:rsidR="0088269D">
        <w:t xml:space="preserve">The MMO regularly reviews </w:t>
      </w:r>
      <w:r w:rsidR="006D7270">
        <w:t>and repo</w:t>
      </w:r>
      <w:r w:rsidR="00817598">
        <w:t>r</w:t>
      </w:r>
      <w:r w:rsidR="006D7270">
        <w:t>ts on such</w:t>
      </w:r>
      <w:r w:rsidR="0088269D">
        <w:t xml:space="preserve"> considerations</w:t>
      </w:r>
      <w:r w:rsidR="006D7270">
        <w:t xml:space="preserve">, working to ensure that the </w:t>
      </w:r>
      <w:r w:rsidR="00DC2E44">
        <w:t>Plan</w:t>
      </w:r>
      <w:r w:rsidR="006D7270">
        <w:t xml:space="preserve"> </w:t>
      </w:r>
      <w:r w:rsidR="006843B1" w:rsidRPr="1D679436">
        <w:rPr>
          <w:rFonts w:eastAsiaTheme="majorEastAsia" w:cstheme="majorBidi"/>
        </w:rPr>
        <w:t>remain</w:t>
      </w:r>
      <w:r w:rsidR="00084B29">
        <w:rPr>
          <w:rFonts w:eastAsiaTheme="majorEastAsia" w:cstheme="majorBidi"/>
        </w:rPr>
        <w:t>s</w:t>
      </w:r>
      <w:r w:rsidR="006843B1" w:rsidRPr="1D679436">
        <w:rPr>
          <w:rFonts w:eastAsiaTheme="majorEastAsia" w:cstheme="majorBidi"/>
        </w:rPr>
        <w:t xml:space="preserve"> aligned to contextual considerations</w:t>
      </w:r>
      <w:r w:rsidR="006D7270">
        <w:rPr>
          <w:rFonts w:eastAsiaTheme="majorEastAsia" w:cstheme="majorBidi"/>
        </w:rPr>
        <w:t>.</w:t>
      </w:r>
    </w:p>
    <w:p w14:paraId="4259D863" w14:textId="4F744392" w:rsidR="006843B1" w:rsidRPr="00336D3F" w:rsidRDefault="008B6DC9" w:rsidP="00D43BAE">
      <w:pPr>
        <w:pStyle w:val="ListParagraph"/>
        <w:numPr>
          <w:ilvl w:val="0"/>
          <w:numId w:val="8"/>
        </w:numPr>
        <w:ind w:left="561" w:hanging="567"/>
        <w:contextualSpacing w:val="0"/>
      </w:pPr>
      <w:r>
        <w:t>In</w:t>
      </w:r>
      <w:r w:rsidR="006843B1">
        <w:t xml:space="preserve"> consideration of </w:t>
      </w:r>
      <w:r w:rsidR="00495768">
        <w:t xml:space="preserve">the main </w:t>
      </w:r>
      <w:r w:rsidR="006843B1">
        <w:t xml:space="preserve">characteristics, uses and systems, </w:t>
      </w:r>
      <w:r w:rsidR="005A5FF0">
        <w:t xml:space="preserve">this </w:t>
      </w:r>
      <w:r w:rsidR="00B53EBD">
        <w:t>chapter</w:t>
      </w:r>
      <w:r w:rsidR="005A5FF0">
        <w:t xml:space="preserve"> </w:t>
      </w:r>
      <w:r w:rsidR="008C4FBD">
        <w:t xml:space="preserve">of the report </w:t>
      </w:r>
      <w:r w:rsidR="006843B1">
        <w:t xml:space="preserve">focusses on </w:t>
      </w:r>
      <w:r w:rsidR="000A6589">
        <w:t xml:space="preserve">consented activity </w:t>
      </w:r>
      <w:r w:rsidR="00DF76DD">
        <w:t>and</w:t>
      </w:r>
      <w:r w:rsidR="00AA099E">
        <w:t xml:space="preserve"> </w:t>
      </w:r>
      <w:r w:rsidR="00DF76DD">
        <w:t>changes in</w:t>
      </w:r>
      <w:r w:rsidR="006E0753">
        <w:t xml:space="preserve"> the </w:t>
      </w:r>
      <w:r w:rsidR="00495768">
        <w:t>m</w:t>
      </w:r>
      <w:r w:rsidR="00387A83">
        <w:t xml:space="preserve">arine </w:t>
      </w:r>
      <w:r w:rsidR="00495768">
        <w:t>p</w:t>
      </w:r>
      <w:r w:rsidR="00387A83">
        <w:t xml:space="preserve">rotected </w:t>
      </w:r>
      <w:r w:rsidR="00495768">
        <w:t>a</w:t>
      </w:r>
      <w:r w:rsidR="00387A83">
        <w:t>rea (</w:t>
      </w:r>
      <w:r w:rsidR="006E0753">
        <w:t>MPA</w:t>
      </w:r>
      <w:r w:rsidR="00387A83">
        <w:t>)</w:t>
      </w:r>
      <w:r w:rsidR="006E0753">
        <w:t xml:space="preserve"> network</w:t>
      </w:r>
      <w:r w:rsidR="006843B1">
        <w:t>.</w:t>
      </w:r>
      <w:r w:rsidR="004D04D7">
        <w:t xml:space="preserve"> </w:t>
      </w:r>
      <w:r w:rsidR="00D037C1">
        <w:br/>
      </w:r>
      <w:r w:rsidR="00D037C1">
        <w:br/>
      </w:r>
      <w:r w:rsidR="004D04D7">
        <w:t xml:space="preserve">Conclusions were cross-checked with opinions from the </w:t>
      </w:r>
      <w:r w:rsidR="008F71CD">
        <w:t>follow-up</w:t>
      </w:r>
      <w:r w:rsidR="004D04D7">
        <w:t xml:space="preserve"> interviews</w:t>
      </w:r>
      <w:r w:rsidR="00817598">
        <w:t>,</w:t>
      </w:r>
      <w:r w:rsidR="004D04D7">
        <w:t xml:space="preserve"> where applicable.</w:t>
      </w:r>
      <w:r w:rsidR="006843B1">
        <w:t xml:space="preserve"> </w:t>
      </w:r>
    </w:p>
    <w:p w14:paraId="79E7A3CB" w14:textId="43826354" w:rsidR="006843B1" w:rsidRPr="008D7708" w:rsidRDefault="006843B1" w:rsidP="00D43BAE">
      <w:pPr>
        <w:pStyle w:val="ListParagraph"/>
        <w:numPr>
          <w:ilvl w:val="0"/>
          <w:numId w:val="8"/>
        </w:numPr>
        <w:ind w:left="561" w:hanging="567"/>
        <w:contextualSpacing w:val="0"/>
        <w:rPr>
          <w:rFonts w:cs="Arial"/>
        </w:rPr>
      </w:pPr>
      <w:r>
        <w:t xml:space="preserve">To assess changes in other relevant matters, a review of the policy and legislative framework (including </w:t>
      </w:r>
      <w:r w:rsidRPr="1D679436">
        <w:rPr>
          <w:rFonts w:cs="Arial"/>
        </w:rPr>
        <w:t xml:space="preserve">relevant international and national legislation, national policy, </w:t>
      </w:r>
      <w:r w:rsidR="00E21996">
        <w:rPr>
          <w:rFonts w:cs="Arial"/>
        </w:rPr>
        <w:t>p</w:t>
      </w:r>
      <w:r w:rsidR="00DC2E44">
        <w:rPr>
          <w:rFonts w:cs="Arial"/>
        </w:rPr>
        <w:t>lan</w:t>
      </w:r>
      <w:r w:rsidRPr="1D679436">
        <w:rPr>
          <w:rFonts w:cs="Arial"/>
        </w:rPr>
        <w:t xml:space="preserve">s and strategies) was conducted to focus on potential implications for the </w:t>
      </w:r>
      <w:r w:rsidR="00495768">
        <w:t>p</w:t>
      </w:r>
      <w:r w:rsidR="00FD5673" w:rsidRPr="00B9145B">
        <w:t>lan</w:t>
      </w:r>
      <w:r w:rsidR="2D30AFC1" w:rsidRPr="1D679436">
        <w:rPr>
          <w:rFonts w:cs="Arial"/>
        </w:rPr>
        <w:t>.</w:t>
      </w:r>
      <w:r w:rsidRPr="1D679436">
        <w:rPr>
          <w:rFonts w:cs="Arial"/>
        </w:rPr>
        <w:t xml:space="preserve"> At a </w:t>
      </w:r>
      <w:r w:rsidR="00DC2E44">
        <w:rPr>
          <w:rFonts w:cs="Arial"/>
        </w:rPr>
        <w:t>Plan</w:t>
      </w:r>
      <w:r w:rsidRPr="1D679436">
        <w:rPr>
          <w:rFonts w:cs="Arial"/>
        </w:rPr>
        <w:t>-area scale</w:t>
      </w:r>
      <w:r w:rsidR="00817598">
        <w:rPr>
          <w:rFonts w:cs="Arial"/>
        </w:rPr>
        <w:t>,</w:t>
      </w:r>
      <w:r w:rsidRPr="1D679436">
        <w:rPr>
          <w:rFonts w:cs="Arial"/>
        </w:rPr>
        <w:t xml:space="preserve"> this involved analysing any change in aspirations articulated through terrestrial </w:t>
      </w:r>
      <w:r w:rsidR="00E21996">
        <w:rPr>
          <w:rFonts w:cs="Arial"/>
        </w:rPr>
        <w:t>p</w:t>
      </w:r>
      <w:r w:rsidR="00DC2E44">
        <w:rPr>
          <w:rFonts w:cs="Arial"/>
        </w:rPr>
        <w:t>lan</w:t>
      </w:r>
      <w:r w:rsidRPr="1D679436">
        <w:rPr>
          <w:rFonts w:cs="Arial"/>
        </w:rPr>
        <w:t xml:space="preserve">s and strategies bordering the </w:t>
      </w:r>
      <w:r w:rsidR="00C406C0">
        <w:rPr>
          <w:rFonts w:cs="Arial"/>
        </w:rPr>
        <w:t>S</w:t>
      </w:r>
      <w:r w:rsidRPr="1D679436">
        <w:rPr>
          <w:rFonts w:cs="Arial"/>
        </w:rPr>
        <w:t xml:space="preserve">outh </w:t>
      </w:r>
      <w:r w:rsidR="00C406C0">
        <w:rPr>
          <w:rFonts w:cs="Arial"/>
        </w:rPr>
        <w:t>I</w:t>
      </w:r>
      <w:r w:rsidRPr="1D679436">
        <w:rPr>
          <w:rFonts w:cs="Arial"/>
        </w:rPr>
        <w:t xml:space="preserve">nshore </w:t>
      </w:r>
      <w:r w:rsidR="00C406C0">
        <w:rPr>
          <w:rFonts w:cs="Arial"/>
        </w:rPr>
        <w:t>M</w:t>
      </w:r>
      <w:r w:rsidRPr="1D679436">
        <w:rPr>
          <w:rFonts w:cs="Arial"/>
        </w:rPr>
        <w:t xml:space="preserve">arine </w:t>
      </w:r>
      <w:r w:rsidR="00DC2E44">
        <w:rPr>
          <w:rFonts w:cs="Arial"/>
        </w:rPr>
        <w:t>Plan</w:t>
      </w:r>
      <w:r w:rsidRPr="1D679436">
        <w:rPr>
          <w:rFonts w:cs="Arial"/>
        </w:rPr>
        <w:t xml:space="preserve"> area.</w:t>
      </w:r>
    </w:p>
    <w:p w14:paraId="512FF0F0" w14:textId="6ADDF182" w:rsidR="008C6065" w:rsidRDefault="006843B1" w:rsidP="00A22285">
      <w:pPr>
        <w:pStyle w:val="ListParagraph"/>
        <w:numPr>
          <w:ilvl w:val="0"/>
          <w:numId w:val="8"/>
        </w:numPr>
        <w:ind w:left="561" w:hanging="567"/>
        <w:contextualSpacing w:val="0"/>
      </w:pPr>
      <w:r w:rsidRPr="09F83F24">
        <w:rPr>
          <w:rFonts w:cs="Arial"/>
        </w:rPr>
        <w:t xml:space="preserve">Furthermore, since </w:t>
      </w:r>
      <w:r w:rsidR="003A437D" w:rsidRPr="09F83F24">
        <w:rPr>
          <w:rFonts w:cs="Arial"/>
        </w:rPr>
        <w:t>2018</w:t>
      </w:r>
      <w:r w:rsidRPr="09F83F24">
        <w:rPr>
          <w:rFonts w:cs="Arial"/>
        </w:rPr>
        <w:t xml:space="preserve">, </w:t>
      </w:r>
      <w:r w:rsidR="00937E7A" w:rsidRPr="09F83F24">
        <w:rPr>
          <w:rFonts w:cs="Arial"/>
        </w:rPr>
        <w:t xml:space="preserve">the </w:t>
      </w:r>
      <w:hyperlink r:id="rId26">
        <w:r w:rsidRPr="09F83F24">
          <w:rPr>
            <w:rStyle w:val="Hyperlink"/>
            <w:rFonts w:cs="Arial"/>
          </w:rPr>
          <w:t>North East</w:t>
        </w:r>
      </w:hyperlink>
      <w:r w:rsidRPr="09F83F24">
        <w:rPr>
          <w:rFonts w:cs="Arial"/>
        </w:rPr>
        <w:t xml:space="preserve">, </w:t>
      </w:r>
      <w:hyperlink r:id="rId27">
        <w:r w:rsidRPr="09F83F24">
          <w:rPr>
            <w:rStyle w:val="Hyperlink"/>
            <w:rFonts w:cs="Arial"/>
          </w:rPr>
          <w:t>North West</w:t>
        </w:r>
      </w:hyperlink>
      <w:r w:rsidRPr="09F83F24">
        <w:rPr>
          <w:rFonts w:cs="Arial"/>
        </w:rPr>
        <w:t xml:space="preserve">, </w:t>
      </w:r>
      <w:hyperlink r:id="rId28">
        <w:r w:rsidRPr="09F83F24">
          <w:rPr>
            <w:rStyle w:val="Hyperlink"/>
            <w:rFonts w:cs="Arial"/>
          </w:rPr>
          <w:t>South East</w:t>
        </w:r>
      </w:hyperlink>
      <w:r w:rsidRPr="09F83F24">
        <w:rPr>
          <w:rFonts w:cs="Arial"/>
        </w:rPr>
        <w:t xml:space="preserve">, and </w:t>
      </w:r>
      <w:hyperlink r:id="rId29">
        <w:r w:rsidRPr="09F83F24">
          <w:rPr>
            <w:rStyle w:val="Hyperlink"/>
            <w:rFonts w:cs="Arial"/>
          </w:rPr>
          <w:t>South West</w:t>
        </w:r>
      </w:hyperlink>
      <w:r w:rsidRPr="09F83F24">
        <w:rPr>
          <w:rFonts w:cs="Arial"/>
        </w:rPr>
        <w:t xml:space="preserve"> </w:t>
      </w:r>
      <w:r w:rsidRPr="00102F55">
        <w:rPr>
          <w:rFonts w:cs="Arial"/>
        </w:rPr>
        <w:t xml:space="preserve">Marine </w:t>
      </w:r>
      <w:r w:rsidR="00E21996">
        <w:rPr>
          <w:rFonts w:cs="Arial"/>
        </w:rPr>
        <w:t>P</w:t>
      </w:r>
      <w:r w:rsidRPr="00102F55">
        <w:rPr>
          <w:rFonts w:cs="Arial"/>
        </w:rPr>
        <w:t xml:space="preserve">lans </w:t>
      </w:r>
      <w:r w:rsidR="00937E7A" w:rsidRPr="00102F55">
        <w:rPr>
          <w:rFonts w:cs="Arial"/>
        </w:rPr>
        <w:t>have been adopted</w:t>
      </w:r>
      <w:r w:rsidR="00937E7A" w:rsidRPr="1D679436">
        <w:rPr>
          <w:rFonts w:cs="Arial"/>
        </w:rPr>
        <w:t>.</w:t>
      </w:r>
      <w:r w:rsidR="00992DE5" w:rsidRPr="1D679436" w:rsidDel="00E43C78">
        <w:rPr>
          <w:rFonts w:cs="Arial"/>
        </w:rPr>
        <w:t xml:space="preserve"> </w:t>
      </w:r>
      <w:r w:rsidR="00D037C1">
        <w:rPr>
          <w:rFonts w:cs="Arial"/>
        </w:rPr>
        <w:br/>
      </w:r>
      <w:r w:rsidR="00D037C1">
        <w:rPr>
          <w:rFonts w:cs="Arial"/>
        </w:rPr>
        <w:br/>
      </w:r>
      <w:r w:rsidR="00E43C78">
        <w:rPr>
          <w:rFonts w:cs="Arial"/>
        </w:rPr>
        <w:t xml:space="preserve">This represents an evolution of the </w:t>
      </w:r>
      <w:r w:rsidR="00992DE5" w:rsidRPr="1D679436">
        <w:rPr>
          <w:rFonts w:cs="Arial"/>
        </w:rPr>
        <w:t xml:space="preserve">marine </w:t>
      </w:r>
      <w:r w:rsidR="00C406C0">
        <w:rPr>
          <w:rFonts w:cs="Arial"/>
        </w:rPr>
        <w:t>p</w:t>
      </w:r>
      <w:r w:rsidR="00DC2E44">
        <w:rPr>
          <w:rFonts w:cs="Arial"/>
        </w:rPr>
        <w:t>lan</w:t>
      </w:r>
      <w:r w:rsidR="00992DE5" w:rsidRPr="1D679436">
        <w:rPr>
          <w:rFonts w:cs="Arial"/>
        </w:rPr>
        <w:t xml:space="preserve">ning process, as well as the application of new </w:t>
      </w:r>
      <w:r w:rsidR="00500CE9" w:rsidRPr="1D679436">
        <w:rPr>
          <w:rFonts w:cs="Arial"/>
        </w:rPr>
        <w:t xml:space="preserve">legislation and </w:t>
      </w:r>
      <w:r w:rsidR="00992DE5" w:rsidRPr="1D679436">
        <w:rPr>
          <w:rFonts w:cs="Arial"/>
        </w:rPr>
        <w:t>national strategic objectives.</w:t>
      </w:r>
      <w:r w:rsidRPr="1D679436">
        <w:rPr>
          <w:rFonts w:cs="Arial"/>
        </w:rPr>
        <w:t xml:space="preserve"> </w:t>
      </w:r>
      <w:r w:rsidR="00D037C1">
        <w:rPr>
          <w:rFonts w:cs="Arial"/>
        </w:rPr>
        <w:br/>
      </w:r>
      <w:r w:rsidR="00D037C1">
        <w:rPr>
          <w:rFonts w:cs="Arial"/>
        </w:rPr>
        <w:br/>
      </w:r>
      <w:r w:rsidR="00EF0FC9">
        <w:rPr>
          <w:rFonts w:cs="Arial"/>
        </w:rPr>
        <w:t>A</w:t>
      </w:r>
      <w:r w:rsidR="00A22285">
        <w:rPr>
          <w:rFonts w:cs="Arial"/>
        </w:rPr>
        <w:t xml:space="preserve"> comparison</w:t>
      </w:r>
      <w:r w:rsidR="00A22285" w:rsidRPr="1D679436">
        <w:rPr>
          <w:rFonts w:cs="Arial"/>
        </w:rPr>
        <w:t xml:space="preserve"> </w:t>
      </w:r>
      <w:r w:rsidR="00A22285">
        <w:rPr>
          <w:rFonts w:cs="Arial"/>
        </w:rPr>
        <w:t>has</w:t>
      </w:r>
      <w:r w:rsidR="00EF0FC9">
        <w:rPr>
          <w:rFonts w:cs="Arial"/>
        </w:rPr>
        <w:t>, therefore,</w:t>
      </w:r>
      <w:r w:rsidR="00A22285">
        <w:rPr>
          <w:rFonts w:cs="Arial"/>
        </w:rPr>
        <w:t xml:space="preserve"> been undertaken </w:t>
      </w:r>
      <w:r w:rsidR="00A22285" w:rsidRPr="1D679436">
        <w:rPr>
          <w:rFonts w:cs="Arial"/>
        </w:rPr>
        <w:t xml:space="preserve">to </w:t>
      </w:r>
      <w:r w:rsidR="00A22285" w:rsidRPr="00447D28">
        <w:t xml:space="preserve">consider </w:t>
      </w:r>
      <w:r w:rsidR="00A22285">
        <w:t xml:space="preserve">the implications for the </w:t>
      </w:r>
      <w:r w:rsidR="00E21996">
        <w:t>P</w:t>
      </w:r>
      <w:r w:rsidR="00A22285">
        <w:t xml:space="preserve">lan and </w:t>
      </w:r>
      <w:r w:rsidR="00A22285" w:rsidRPr="00447D28">
        <w:t xml:space="preserve">how similar issues have been responded to in adjacent </w:t>
      </w:r>
      <w:r w:rsidR="00E21996">
        <w:t>p</w:t>
      </w:r>
      <w:r w:rsidR="00DC2E44">
        <w:t>lan</w:t>
      </w:r>
      <w:r w:rsidR="00A22285" w:rsidRPr="00447D28">
        <w:t xml:space="preserve"> areas</w:t>
      </w:r>
      <w:r w:rsidR="001F0967">
        <w:t>.</w:t>
      </w:r>
    </w:p>
    <w:p w14:paraId="0C4D7CF6" w14:textId="77777777" w:rsidR="00D037C1" w:rsidRPr="00520AE2" w:rsidRDefault="00D037C1" w:rsidP="00285EEE"/>
    <w:p w14:paraId="4F86901C" w14:textId="2DF3E4D0" w:rsidR="00A47056" w:rsidRPr="008D7708" w:rsidRDefault="00A47056" w:rsidP="00285EEE">
      <w:pPr>
        <w:pStyle w:val="Heading3"/>
      </w:pPr>
      <w:bookmarkStart w:id="90" w:name="_3.2_Context_monitoring"/>
      <w:bookmarkStart w:id="91" w:name="_Toc68186331"/>
      <w:bookmarkStart w:id="92" w:name="_Ref68188490"/>
      <w:bookmarkStart w:id="93" w:name="_Ref68189221"/>
      <w:bookmarkStart w:id="94" w:name="_Toc72414602"/>
      <w:bookmarkStart w:id="95" w:name="_Toc72489169"/>
      <w:bookmarkStart w:id="96" w:name="_Toc74307995"/>
      <w:bookmarkStart w:id="97" w:name="_Toc74577261"/>
      <w:bookmarkEnd w:id="90"/>
      <w:r>
        <w:lastRenderedPageBreak/>
        <w:t xml:space="preserve">3.2 </w:t>
      </w:r>
      <w:bookmarkStart w:id="98" w:name="_Toc33457218"/>
      <w:r w:rsidRPr="008D7708">
        <w:t>Context monitoring findings</w:t>
      </w:r>
      <w:bookmarkEnd w:id="91"/>
      <w:bookmarkEnd w:id="92"/>
      <w:bookmarkEnd w:id="93"/>
      <w:bookmarkEnd w:id="94"/>
      <w:bookmarkEnd w:id="95"/>
      <w:bookmarkEnd w:id="96"/>
      <w:bookmarkEnd w:id="97"/>
      <w:bookmarkEnd w:id="98"/>
    </w:p>
    <w:p w14:paraId="40671B42" w14:textId="2252ADCB" w:rsidR="00A47056" w:rsidRPr="00C92B18" w:rsidRDefault="00495768" w:rsidP="00285EEE">
      <w:pPr>
        <w:pStyle w:val="Heading4"/>
      </w:pPr>
      <w:bookmarkStart w:id="99" w:name="_Ref68189207"/>
      <w:r>
        <w:t xml:space="preserve">Main </w:t>
      </w:r>
      <w:r w:rsidR="00A47056" w:rsidRPr="00C92B18">
        <w:t>characteristics and uses</w:t>
      </w:r>
      <w:bookmarkEnd w:id="99"/>
    </w:p>
    <w:p w14:paraId="5FDB6084" w14:textId="5F86F505" w:rsidR="00057ACA" w:rsidRDefault="004B20BB" w:rsidP="00D43BAE">
      <w:pPr>
        <w:pStyle w:val="ListParagraph"/>
        <w:numPr>
          <w:ilvl w:val="0"/>
          <w:numId w:val="8"/>
        </w:numPr>
        <w:ind w:left="561" w:hanging="567"/>
        <w:contextualSpacing w:val="0"/>
      </w:pPr>
      <w:bookmarkStart w:id="100" w:name="_Hlk63088635"/>
      <w:r>
        <w:t xml:space="preserve">Insights from </w:t>
      </w:r>
      <w:r w:rsidR="00C24C06">
        <w:t>the</w:t>
      </w:r>
      <w:r w:rsidR="00A11544">
        <w:t xml:space="preserve"> </w:t>
      </w:r>
      <w:r w:rsidR="007C7676">
        <w:t xml:space="preserve">marine </w:t>
      </w:r>
      <w:r w:rsidR="00A11544">
        <w:t xml:space="preserve">licensing </w:t>
      </w:r>
      <w:r w:rsidR="00C24C06">
        <w:t>function</w:t>
      </w:r>
      <w:r w:rsidR="00A11544">
        <w:t xml:space="preserve"> </w:t>
      </w:r>
      <w:r w:rsidR="008C4FBD">
        <w:t>(</w:t>
      </w:r>
      <w:bookmarkStart w:id="101" w:name="_Hlk71798875"/>
      <w:r w:rsidR="00F33BA1">
        <w:fldChar w:fldCharType="begin"/>
      </w:r>
      <w:r w:rsidR="0005665B">
        <w:instrText>HYPERLINK "https://www.gov.uk/topic/planning-development/marine-licences"</w:instrText>
      </w:r>
      <w:r w:rsidR="00F33BA1">
        <w:fldChar w:fldCharType="separate"/>
      </w:r>
      <w:r w:rsidR="0005665B">
        <w:rPr>
          <w:rStyle w:val="Hyperlink"/>
        </w:rPr>
        <w:t>Marine licences: detailed information</w:t>
      </w:r>
      <w:r w:rsidR="00F33BA1">
        <w:rPr>
          <w:rStyle w:val="Hyperlink"/>
        </w:rPr>
        <w:fldChar w:fldCharType="end"/>
      </w:r>
      <w:r w:rsidR="008C4FBD">
        <w:t>)</w:t>
      </w:r>
      <w:bookmarkEnd w:id="101"/>
      <w:r w:rsidR="008C4FBD">
        <w:t xml:space="preserve"> </w:t>
      </w:r>
      <w:r>
        <w:t xml:space="preserve">give valuable ongoing information regarding </w:t>
      </w:r>
      <w:r w:rsidRPr="004B20BB">
        <w:t xml:space="preserve">the purposes for which </w:t>
      </w:r>
      <w:r>
        <w:t xml:space="preserve">the </w:t>
      </w:r>
      <w:r w:rsidR="00B07496">
        <w:t xml:space="preserve">South Marine </w:t>
      </w:r>
      <w:r w:rsidR="00DC2E44">
        <w:t>Plan</w:t>
      </w:r>
      <w:r>
        <w:t xml:space="preserve"> areas are</w:t>
      </w:r>
      <w:r w:rsidRPr="004B20BB">
        <w:t xml:space="preserve"> used</w:t>
      </w:r>
      <w:r>
        <w:t xml:space="preserve">. </w:t>
      </w:r>
      <w:r w:rsidR="00D037C1">
        <w:br/>
      </w:r>
      <w:r w:rsidR="00D037C1">
        <w:br/>
      </w:r>
      <w:r w:rsidR="0096180A" w:rsidRPr="005C7857">
        <w:t>A total of</w:t>
      </w:r>
      <w:r w:rsidR="0072436C" w:rsidRPr="005C7857">
        <w:t xml:space="preserve"> 262 </w:t>
      </w:r>
      <w:r w:rsidR="005C7857">
        <w:t>marine licences</w:t>
      </w:r>
      <w:r w:rsidR="0072436C">
        <w:t xml:space="preserve"> were issued </w:t>
      </w:r>
      <w:r w:rsidR="00BD41B6">
        <w:t xml:space="preserve">in the first </w:t>
      </w:r>
      <w:r w:rsidR="005728B2">
        <w:t xml:space="preserve">2 </w:t>
      </w:r>
      <w:r w:rsidR="00BD41B6">
        <w:t xml:space="preserve">years </w:t>
      </w:r>
      <w:r w:rsidR="0072436C">
        <w:t>following adoption compared to 192 issued</w:t>
      </w:r>
      <w:r w:rsidR="00BD41B6">
        <w:t xml:space="preserve"> in the last </w:t>
      </w:r>
      <w:r w:rsidR="005728B2">
        <w:t xml:space="preserve">2 </w:t>
      </w:r>
      <w:r w:rsidR="00BD41B6">
        <w:t xml:space="preserve">years </w:t>
      </w:r>
      <w:r w:rsidR="006D7270">
        <w:t>prior</w:t>
      </w:r>
      <w:r w:rsidR="00817598">
        <w:t>,</w:t>
      </w:r>
      <w:r w:rsidR="0072436C">
        <w:t xml:space="preserve"> an increase of more than 30%. </w:t>
      </w:r>
      <w:r w:rsidR="00D037C1">
        <w:br/>
      </w:r>
      <w:r w:rsidR="00D037C1">
        <w:br/>
      </w:r>
      <w:r w:rsidR="0072436C">
        <w:t>This</w:t>
      </w:r>
      <w:r w:rsidR="00057ACA">
        <w:t xml:space="preserve"> </w:t>
      </w:r>
      <w:r w:rsidR="0072436C">
        <w:t>suggest</w:t>
      </w:r>
      <w:r w:rsidR="005366D9">
        <w:t>ed</w:t>
      </w:r>
      <w:r w:rsidR="0072436C">
        <w:t xml:space="preserve"> increas</w:t>
      </w:r>
      <w:r w:rsidR="00817598">
        <w:t>ed</w:t>
      </w:r>
      <w:r w:rsidR="0072436C">
        <w:t xml:space="preserve"> use and activity within the </w:t>
      </w:r>
      <w:r w:rsidR="00B07496">
        <w:t xml:space="preserve">South Marine </w:t>
      </w:r>
      <w:r w:rsidR="00DC2E44">
        <w:t>Plan</w:t>
      </w:r>
      <w:r w:rsidR="0072436C">
        <w:t xml:space="preserve"> areas</w:t>
      </w:r>
      <w:r w:rsidR="00057ACA">
        <w:t>.</w:t>
      </w:r>
      <w:r w:rsidR="0072436C">
        <w:t xml:space="preserve"> </w:t>
      </w:r>
      <w:r w:rsidR="00F04F73">
        <w:t>I</w:t>
      </w:r>
      <w:r w:rsidR="00D907C0">
        <w:t xml:space="preserve">t should be noted that this </w:t>
      </w:r>
      <w:r w:rsidR="00CB4C8B">
        <w:t>comparison</w:t>
      </w:r>
      <w:r w:rsidR="00D907C0">
        <w:t xml:space="preserve"> excludes any consideration of activities and uses that are either unregulated or regulated under other </w:t>
      </w:r>
      <w:r w:rsidR="00C406C0">
        <w:t>p</w:t>
      </w:r>
      <w:r w:rsidR="00DC2E44">
        <w:t>lan</w:t>
      </w:r>
      <w:r w:rsidR="006A0BCC">
        <w:t xml:space="preserve">ning </w:t>
      </w:r>
      <w:r w:rsidR="00D907C0">
        <w:t>regimes.</w:t>
      </w:r>
    </w:p>
    <w:p w14:paraId="6CE84EEB" w14:textId="741AB70F" w:rsidR="00F8651D" w:rsidRDefault="00F8651D" w:rsidP="00D43BAE">
      <w:pPr>
        <w:pStyle w:val="ListParagraph"/>
        <w:numPr>
          <w:ilvl w:val="0"/>
          <w:numId w:val="8"/>
        </w:numPr>
        <w:ind w:left="561" w:hanging="567"/>
        <w:contextualSpacing w:val="0"/>
      </w:pPr>
      <w:bookmarkStart w:id="102" w:name="_Hlk71287187"/>
      <w:r>
        <w:t>M</w:t>
      </w:r>
      <w:r w:rsidR="000D604B">
        <w:t>ost</w:t>
      </w:r>
      <w:r>
        <w:t xml:space="preserve"> licensed </w:t>
      </w:r>
      <w:r w:rsidR="005C7857">
        <w:t xml:space="preserve">marine </w:t>
      </w:r>
      <w:r>
        <w:t>activities</w:t>
      </w:r>
      <w:r w:rsidR="000D604B">
        <w:t xml:space="preserve"> </w:t>
      </w:r>
      <w:r w:rsidR="00A85DA1">
        <w:t>(79%)</w:t>
      </w:r>
      <w:r>
        <w:t xml:space="preserve"> are a</w:t>
      </w:r>
      <w:r w:rsidR="006D7270">
        <w:t>round</w:t>
      </w:r>
      <w:r>
        <w:t xml:space="preserve"> coastal development, especially ports and marinas serv</w:t>
      </w:r>
      <w:r w:rsidR="006D7270">
        <w:t>ing</w:t>
      </w:r>
      <w:r>
        <w:t xml:space="preserve"> commercial and recreational activity. Many of these </w:t>
      </w:r>
      <w:r w:rsidR="005C7857">
        <w:t>marine licences</w:t>
      </w:r>
      <w:r>
        <w:t xml:space="preserve"> </w:t>
      </w:r>
      <w:r w:rsidR="005C7857">
        <w:t>were</w:t>
      </w:r>
      <w:r>
        <w:t xml:space="preserve"> associated with small-scale low</w:t>
      </w:r>
      <w:r w:rsidR="005728B2">
        <w:t xml:space="preserve"> </w:t>
      </w:r>
      <w:r>
        <w:t>risk activities (</w:t>
      </w:r>
      <w:r w:rsidR="005728B2">
        <w:t xml:space="preserve">for example </w:t>
      </w:r>
      <w:r>
        <w:t xml:space="preserve">slipway or pontoon maintenance) and </w:t>
      </w:r>
      <w:r w:rsidR="000D604B">
        <w:t xml:space="preserve">overall </w:t>
      </w:r>
      <w:r w:rsidR="000D604B" w:rsidRPr="000D604B">
        <w:t xml:space="preserve">represent a continuation of </w:t>
      </w:r>
      <w:r w:rsidR="00A85DA1">
        <w:t xml:space="preserve">existing uses of the </w:t>
      </w:r>
      <w:r w:rsidR="00B07496">
        <w:t xml:space="preserve">South Marine </w:t>
      </w:r>
      <w:r w:rsidR="00DC2E44">
        <w:t>Plan</w:t>
      </w:r>
      <w:r w:rsidR="00A85DA1">
        <w:t xml:space="preserve"> areas</w:t>
      </w:r>
      <w:r>
        <w:t>.</w:t>
      </w:r>
    </w:p>
    <w:p w14:paraId="6D18071A" w14:textId="76DB313B" w:rsidR="00356161" w:rsidRDefault="0072436C" w:rsidP="00D43BAE">
      <w:pPr>
        <w:pStyle w:val="ListParagraph"/>
        <w:numPr>
          <w:ilvl w:val="0"/>
          <w:numId w:val="8"/>
        </w:numPr>
        <w:ind w:left="561" w:hanging="567"/>
        <w:contextualSpacing w:val="0"/>
      </w:pPr>
      <w:bookmarkStart w:id="103" w:name="_Ref71203067"/>
      <w:bookmarkEnd w:id="102"/>
      <w:r w:rsidRPr="00E236F5">
        <w:t xml:space="preserve">The number of </w:t>
      </w:r>
      <w:r w:rsidR="000A6589">
        <w:t>larger</w:t>
      </w:r>
      <w:r w:rsidR="00BD41B6">
        <w:t xml:space="preserve"> or</w:t>
      </w:r>
      <w:r w:rsidR="000A6589">
        <w:t xml:space="preserve"> more </w:t>
      </w:r>
      <w:r>
        <w:t xml:space="preserve">complex </w:t>
      </w:r>
      <w:r w:rsidR="005C7857">
        <w:t>licensed marine</w:t>
      </w:r>
      <w:r w:rsidRPr="00E236F5">
        <w:t xml:space="preserve"> activities </w:t>
      </w:r>
      <w:r w:rsidR="00F42D54">
        <w:t xml:space="preserve">seeking consent </w:t>
      </w:r>
      <w:r w:rsidR="005815F0">
        <w:t xml:space="preserve">in the </w:t>
      </w:r>
      <w:r w:rsidR="00B07496">
        <w:t xml:space="preserve">South Marine </w:t>
      </w:r>
      <w:r w:rsidR="00DC2E44">
        <w:t>Plan</w:t>
      </w:r>
      <w:r w:rsidR="005815F0">
        <w:t xml:space="preserve"> (such as within the renewables and cables sectors)</w:t>
      </w:r>
      <w:r w:rsidRPr="00E236F5">
        <w:t xml:space="preserve"> has slightly decreased since </w:t>
      </w:r>
      <w:r w:rsidR="00E21996">
        <w:t>P</w:t>
      </w:r>
      <w:r w:rsidR="005366D9">
        <w:t>lan</w:t>
      </w:r>
      <w:r w:rsidR="005366D9" w:rsidRPr="00E236F5">
        <w:t xml:space="preserve"> </w:t>
      </w:r>
      <w:r w:rsidRPr="00E236F5">
        <w:t>adoption</w:t>
      </w:r>
      <w:r w:rsidR="00815FF1">
        <w:t xml:space="preserve">. </w:t>
      </w:r>
      <w:r w:rsidR="005366D9">
        <w:t>T</w:t>
      </w:r>
      <w:r w:rsidR="00815FF1">
        <w:t>his is unlikely to represent a</w:t>
      </w:r>
      <w:r w:rsidR="005366D9">
        <w:t>n actual</w:t>
      </w:r>
      <w:r w:rsidR="00815FF1">
        <w:t xml:space="preserve"> decrease in activity. </w:t>
      </w:r>
      <w:r w:rsidR="00D037C1">
        <w:br/>
      </w:r>
      <w:r w:rsidR="00D037C1">
        <w:br/>
      </w:r>
      <w:r w:rsidR="00815FF1">
        <w:t xml:space="preserve">Once consented, </w:t>
      </w:r>
      <w:r w:rsidRPr="00E236F5">
        <w:t xml:space="preserve">an </w:t>
      </w:r>
      <w:r>
        <w:t>activity</w:t>
      </w:r>
      <w:r w:rsidRPr="00E236F5">
        <w:t xml:space="preserve"> may be ongoing for several years</w:t>
      </w:r>
      <w:r w:rsidR="00815FF1">
        <w:t>, and</w:t>
      </w:r>
      <w:r w:rsidR="005B48AF">
        <w:t>,</w:t>
      </w:r>
      <w:r w:rsidR="00815FF1">
        <w:t xml:space="preserve"> </w:t>
      </w:r>
      <w:r w:rsidR="004C0853">
        <w:t>therefore</w:t>
      </w:r>
      <w:r w:rsidR="005B48AF">
        <w:t>,</w:t>
      </w:r>
      <w:r w:rsidR="004C0853">
        <w:t xml:space="preserve"> </w:t>
      </w:r>
      <w:r w:rsidR="00815FF1">
        <w:t>should be viewed cumulatively</w:t>
      </w:r>
      <w:r w:rsidRPr="00E236F5">
        <w:t>.</w:t>
      </w:r>
      <w:r>
        <w:t xml:space="preserve"> </w:t>
      </w:r>
      <w:r w:rsidR="00B07496">
        <w:br/>
      </w:r>
      <w:r w:rsidR="00B07496">
        <w:br/>
      </w:r>
      <w:r>
        <w:t>Two new interconnector cables (</w:t>
      </w:r>
      <w:bookmarkStart w:id="104" w:name="_Hlk71798883"/>
      <w:r w:rsidR="00F33BA1">
        <w:fldChar w:fldCharType="begin"/>
      </w:r>
      <w:r w:rsidR="00F33BA1">
        <w:instrText xml:space="preserve"> HYPERLINK "https://www.fablink.net/" </w:instrText>
      </w:r>
      <w:r w:rsidR="00F33BA1">
        <w:fldChar w:fldCharType="separate"/>
      </w:r>
      <w:r w:rsidR="003812EE" w:rsidRPr="003812EE">
        <w:rPr>
          <w:rStyle w:val="Hyperlink"/>
        </w:rPr>
        <w:t>FAB</w:t>
      </w:r>
      <w:r w:rsidR="00F33BA1">
        <w:rPr>
          <w:rStyle w:val="Hyperlink"/>
        </w:rPr>
        <w:fldChar w:fldCharType="end"/>
      </w:r>
      <w:bookmarkEnd w:id="104"/>
      <w:r w:rsidR="003812EE">
        <w:t xml:space="preserve"> and </w:t>
      </w:r>
      <w:bookmarkStart w:id="105" w:name="_Hlk71798888"/>
      <w:r w:rsidR="00F33BA1">
        <w:fldChar w:fldCharType="begin"/>
      </w:r>
      <w:r w:rsidR="00F33BA1">
        <w:instrText xml:space="preserve"> HYPERLINK "https://ifa1interconnector.com/" </w:instrText>
      </w:r>
      <w:r w:rsidR="00F33BA1">
        <w:fldChar w:fldCharType="separate"/>
      </w:r>
      <w:r w:rsidRPr="003812EE">
        <w:rPr>
          <w:rStyle w:val="Hyperlink"/>
        </w:rPr>
        <w:t>IFA</w:t>
      </w:r>
      <w:r w:rsidR="003812EE" w:rsidRPr="003812EE">
        <w:rPr>
          <w:rStyle w:val="Hyperlink"/>
        </w:rPr>
        <w:t>2</w:t>
      </w:r>
      <w:r w:rsidR="00F33BA1">
        <w:rPr>
          <w:rStyle w:val="Hyperlink"/>
        </w:rPr>
        <w:fldChar w:fldCharType="end"/>
      </w:r>
      <w:bookmarkEnd w:id="105"/>
      <w:r>
        <w:t xml:space="preserve">) were consented prior to </w:t>
      </w:r>
      <w:r w:rsidR="00E21996">
        <w:t>P</w:t>
      </w:r>
      <w:r>
        <w:t>lan adoption</w:t>
      </w:r>
      <w:r w:rsidR="00676F2F">
        <w:t>, while</w:t>
      </w:r>
      <w:r w:rsidR="00D502DC" w:rsidRPr="00D502DC">
        <w:t xml:space="preserve"> </w:t>
      </w:r>
      <w:r w:rsidR="005728B2">
        <w:t>3 n</w:t>
      </w:r>
      <w:r w:rsidR="00D502DC">
        <w:t xml:space="preserve">ationally </w:t>
      </w:r>
      <w:r w:rsidR="005728B2">
        <w:t>s</w:t>
      </w:r>
      <w:r w:rsidR="00D502DC">
        <w:t xml:space="preserve">ignificant </w:t>
      </w:r>
      <w:r w:rsidR="005728B2">
        <w:t>i</w:t>
      </w:r>
      <w:r w:rsidR="00D502DC">
        <w:t xml:space="preserve">nfrastructure </w:t>
      </w:r>
      <w:r w:rsidR="005728B2">
        <w:t>p</w:t>
      </w:r>
      <w:r w:rsidR="00D502DC">
        <w:t>rojects (NSIPs) were also identified.</w:t>
      </w:r>
      <w:r w:rsidR="00D037C1">
        <w:br/>
      </w:r>
      <w:r w:rsidR="00D037C1">
        <w:br/>
      </w:r>
      <w:r w:rsidR="005815F0">
        <w:t xml:space="preserve">Of these, </w:t>
      </w:r>
      <w:r w:rsidR="00EF0FC9" w:rsidRPr="00D53307">
        <w:t>Rampion Offshore Windfarm</w:t>
      </w:r>
      <w:r w:rsidR="6332B01F">
        <w:t xml:space="preserve"> is the </w:t>
      </w:r>
      <w:r w:rsidR="3F5A6B24">
        <w:t>only current</w:t>
      </w:r>
      <w:r w:rsidR="6332B01F">
        <w:t xml:space="preserve"> operational offshore wind</w:t>
      </w:r>
      <w:r w:rsidR="3F5A6B24">
        <w:t xml:space="preserve"> </w:t>
      </w:r>
      <w:r w:rsidR="6332B01F">
        <w:t>farm</w:t>
      </w:r>
      <w:r w:rsidR="00980075">
        <w:t xml:space="preserve">, </w:t>
      </w:r>
      <w:r w:rsidR="00676F2F">
        <w:t>though</w:t>
      </w:r>
      <w:r w:rsidR="00980075">
        <w:t xml:space="preserve"> a</w:t>
      </w:r>
      <w:r w:rsidR="6332B01F">
        <w:t xml:space="preserve"> proposal for </w:t>
      </w:r>
      <w:r w:rsidR="00EF0FC9" w:rsidRPr="00D53307">
        <w:t xml:space="preserve">Rampion 2 </w:t>
      </w:r>
      <w:r w:rsidR="008B7722">
        <w:t>o</w:t>
      </w:r>
      <w:r w:rsidR="00EF0FC9" w:rsidRPr="00D53307">
        <w:t xml:space="preserve">ffshore </w:t>
      </w:r>
      <w:r w:rsidR="008B7722">
        <w:t>w</w:t>
      </w:r>
      <w:r w:rsidR="00EF0FC9" w:rsidRPr="00D53307">
        <w:t xml:space="preserve">ind </w:t>
      </w:r>
      <w:r w:rsidR="008B7722">
        <w:t>f</w:t>
      </w:r>
      <w:r w:rsidR="00EF0FC9" w:rsidRPr="00D53307">
        <w:t>arm</w:t>
      </w:r>
      <w:r w:rsidR="6332B01F">
        <w:t xml:space="preserve"> is expected to be submitted to the </w:t>
      </w:r>
      <w:r w:rsidR="00DC2E44">
        <w:t>Plan</w:t>
      </w:r>
      <w:r w:rsidR="6332B01F">
        <w:t xml:space="preserve">ning Inspectorate in late 2021. </w:t>
      </w:r>
      <w:r w:rsidR="00D037C1">
        <w:br/>
      </w:r>
      <w:r w:rsidR="00D037C1">
        <w:br/>
      </w:r>
      <w:r w:rsidR="00676F2F">
        <w:t xml:space="preserve">The </w:t>
      </w:r>
      <w:hyperlink r:id="rId30" w:history="1">
        <w:r w:rsidR="00EF0FC9" w:rsidRPr="00D037C1">
          <w:rPr>
            <w:rStyle w:val="Hyperlink"/>
          </w:rPr>
          <w:t>AQUIND Interconnector</w:t>
        </w:r>
      </w:hyperlink>
      <w:r w:rsidR="00676F2F">
        <w:t xml:space="preserve"> also represents an additional </w:t>
      </w:r>
      <w:r w:rsidR="00E21996">
        <w:t>p</w:t>
      </w:r>
      <w:r w:rsidR="00DC2E44">
        <w:t>lan</w:t>
      </w:r>
      <w:r w:rsidR="00676F2F">
        <w:t xml:space="preserve">ned project to link the British and European electric power grids. </w:t>
      </w:r>
      <w:r w:rsidR="00D037C1">
        <w:br/>
      </w:r>
      <w:r w:rsidR="00D037C1">
        <w:br/>
      </w:r>
      <w:r w:rsidR="00640365">
        <w:t>These</w:t>
      </w:r>
      <w:r w:rsidR="3F5A6B24">
        <w:t xml:space="preserve"> </w:t>
      </w:r>
      <w:r w:rsidR="00676F2F">
        <w:t xml:space="preserve">developments </w:t>
      </w:r>
      <w:r w:rsidR="00640365">
        <w:t xml:space="preserve">represent significant ongoing </w:t>
      </w:r>
      <w:r w:rsidR="00676F2F">
        <w:t>advancements</w:t>
      </w:r>
      <w:r w:rsidR="00640365">
        <w:t xml:space="preserve"> </w:t>
      </w:r>
      <w:r w:rsidR="00676F2F">
        <w:t>within</w:t>
      </w:r>
      <w:r w:rsidR="4655E70E">
        <w:t xml:space="preserve"> </w:t>
      </w:r>
      <w:r w:rsidR="00640365">
        <w:t xml:space="preserve">the </w:t>
      </w:r>
      <w:r w:rsidR="00B07496">
        <w:t xml:space="preserve">South Marine </w:t>
      </w:r>
      <w:r w:rsidR="00DC2E44">
        <w:t>Plan</w:t>
      </w:r>
      <w:r w:rsidR="00640365">
        <w:t xml:space="preserve"> </w:t>
      </w:r>
      <w:r w:rsidR="002A3BC7">
        <w:t>areas and</w:t>
      </w:r>
      <w:r w:rsidR="6EE0DAF5">
        <w:t xml:space="preserve"> were</w:t>
      </w:r>
      <w:r w:rsidR="00676F2F">
        <w:t xml:space="preserve"> also</w:t>
      </w:r>
      <w:r w:rsidR="6EE0DAF5">
        <w:t xml:space="preserve"> noted in </w:t>
      </w:r>
      <w:r w:rsidR="008F71CD">
        <w:t>follow-up</w:t>
      </w:r>
      <w:r w:rsidR="6EE0DAF5">
        <w:t xml:space="preserve"> interviews as factors that will have a bearing on the character of the region.</w:t>
      </w:r>
      <w:bookmarkEnd w:id="103"/>
      <w:r w:rsidR="6EE0DAF5">
        <w:t xml:space="preserve"> </w:t>
      </w:r>
      <w:bookmarkStart w:id="106" w:name="_Ref70516707"/>
      <w:bookmarkStart w:id="107" w:name="_Hlk70604103"/>
      <w:r w:rsidR="00B07496">
        <w:br/>
      </w:r>
      <w:r w:rsidR="00B07496">
        <w:br/>
      </w:r>
    </w:p>
    <w:p w14:paraId="56E633FB" w14:textId="51FC8DEF" w:rsidR="005403E3" w:rsidRPr="00356161" w:rsidRDefault="00356161" w:rsidP="00D43BAE">
      <w:pPr>
        <w:pStyle w:val="ListParagraph"/>
        <w:numPr>
          <w:ilvl w:val="0"/>
          <w:numId w:val="8"/>
        </w:numPr>
        <w:ind w:left="561" w:hanging="567"/>
        <w:contextualSpacing w:val="0"/>
      </w:pPr>
      <w:bookmarkStart w:id="108" w:name="_Ref71544947"/>
      <w:r>
        <w:lastRenderedPageBreak/>
        <w:t xml:space="preserve">The </w:t>
      </w:r>
      <w:bookmarkStart w:id="109" w:name="_Hlk71798912"/>
      <w:r w:rsidRPr="00A506DD">
        <w:t>Marine Strategy Part One</w:t>
      </w:r>
      <w:r w:rsidR="008B7722">
        <w:t xml:space="preserve"> -</w:t>
      </w:r>
      <w:r w:rsidRPr="00A506DD">
        <w:t xml:space="preserve"> UK updated assessment and Good Environmental Status</w:t>
      </w:r>
      <w:bookmarkEnd w:id="109"/>
      <w:r w:rsidR="008B7722">
        <w:t xml:space="preserve"> </w:t>
      </w:r>
      <w:r w:rsidR="00A434B6">
        <w:t>(GES)</w:t>
      </w:r>
      <w:r>
        <w:t xml:space="preserve"> was published in October 2019, and by</w:t>
      </w:r>
      <w:r w:rsidRPr="00356161">
        <w:rPr>
          <w:rFonts w:cs="Arial"/>
          <w:b/>
          <w:bCs/>
        </w:rPr>
        <w:t xml:space="preserve"> </w:t>
      </w:r>
      <w:r w:rsidRPr="00356161">
        <w:rPr>
          <w:rFonts w:cs="Arial"/>
        </w:rPr>
        <w:t>providing an update on the progress made towards GES,</w:t>
      </w:r>
      <w:r w:rsidRPr="00240DE6">
        <w:t xml:space="preserve"> informs monitoring of</w:t>
      </w:r>
      <w:r>
        <w:t xml:space="preserve"> the </w:t>
      </w:r>
      <w:r w:rsidRPr="00356161">
        <w:rPr>
          <w:rFonts w:cs="Arial"/>
        </w:rPr>
        <w:t xml:space="preserve">environmental characteristics and living resources of the </w:t>
      </w:r>
      <w:r w:rsidR="00B07496">
        <w:rPr>
          <w:rFonts w:cs="Arial"/>
        </w:rPr>
        <w:t xml:space="preserve">South Marine </w:t>
      </w:r>
      <w:r w:rsidR="00DC2E44">
        <w:rPr>
          <w:rFonts w:cs="Arial"/>
        </w:rPr>
        <w:t>Plan</w:t>
      </w:r>
      <w:r w:rsidRPr="00356161">
        <w:rPr>
          <w:rFonts w:cs="Arial"/>
        </w:rPr>
        <w:t xml:space="preserve"> areas. </w:t>
      </w:r>
      <w:r w:rsidR="008B7722">
        <w:rPr>
          <w:rFonts w:cs="Arial"/>
        </w:rPr>
        <w:br/>
      </w:r>
      <w:r w:rsidR="008B7722">
        <w:rPr>
          <w:rFonts w:cs="Arial"/>
        </w:rPr>
        <w:br/>
      </w:r>
      <w:r w:rsidRPr="00356161">
        <w:rPr>
          <w:rFonts w:cs="Arial"/>
        </w:rPr>
        <w:t xml:space="preserve">Regarding achievement of GES, most indicators under </w:t>
      </w:r>
      <w:r w:rsidR="005C2A03">
        <w:rPr>
          <w:rFonts w:cs="Arial"/>
        </w:rPr>
        <w:t>d</w:t>
      </w:r>
      <w:r w:rsidRPr="00356161">
        <w:rPr>
          <w:rFonts w:cs="Arial"/>
        </w:rPr>
        <w:t xml:space="preserve">escriptor 1 (Biological Diversity) demonstrate positive progress, though this has not been </w:t>
      </w:r>
      <w:r w:rsidRPr="00D43BAE">
        <w:t>met</w:t>
      </w:r>
      <w:r w:rsidRPr="00356161">
        <w:rPr>
          <w:rFonts w:cs="Arial"/>
        </w:rPr>
        <w:t xml:space="preserve"> for benthic habitats and is unknown for pelagic habitats. </w:t>
      </w:r>
      <w:r w:rsidR="008B7722">
        <w:rPr>
          <w:rFonts w:cs="Arial"/>
        </w:rPr>
        <w:br/>
      </w:r>
      <w:r w:rsidR="008B7722">
        <w:rPr>
          <w:rFonts w:cs="Arial"/>
        </w:rPr>
        <w:br/>
      </w:r>
      <w:r w:rsidRPr="00356161">
        <w:rPr>
          <w:rFonts w:cs="Arial"/>
        </w:rPr>
        <w:t xml:space="preserve">Other descriptors show that environmental concerns persist around invasive non-native species </w:t>
      </w:r>
      <w:r>
        <w:t>and</w:t>
      </w:r>
      <w:r w:rsidRPr="00356161">
        <w:rPr>
          <w:rFonts w:cs="Arial"/>
        </w:rPr>
        <w:t xml:space="preserve"> marine litter, while unknowns also remain around underwater noise. </w:t>
      </w:r>
      <w:r w:rsidR="008B7722">
        <w:rPr>
          <w:rFonts w:cs="Arial"/>
        </w:rPr>
        <w:br/>
      </w:r>
      <w:r w:rsidR="008B7722">
        <w:rPr>
          <w:rFonts w:cs="Arial"/>
        </w:rPr>
        <w:br/>
      </w:r>
      <w:r w:rsidRPr="00356161">
        <w:rPr>
          <w:rFonts w:cs="Arial"/>
        </w:rPr>
        <w:t>It is important to note</w:t>
      </w:r>
      <w:r w:rsidR="00304490">
        <w:rPr>
          <w:rFonts w:cs="Arial"/>
        </w:rPr>
        <w:t>,</w:t>
      </w:r>
      <w:r w:rsidRPr="00356161">
        <w:rPr>
          <w:rFonts w:cs="Arial"/>
        </w:rPr>
        <w:t xml:space="preserve"> </w:t>
      </w:r>
      <w:r w:rsidR="00304490" w:rsidRPr="00356161">
        <w:rPr>
          <w:rFonts w:cs="Arial"/>
        </w:rPr>
        <w:t>however</w:t>
      </w:r>
      <w:r w:rsidR="00304490">
        <w:rPr>
          <w:rFonts w:cs="Arial"/>
        </w:rPr>
        <w:t>,</w:t>
      </w:r>
      <w:r w:rsidR="00304490" w:rsidRPr="00356161">
        <w:rPr>
          <w:rFonts w:cs="Arial"/>
        </w:rPr>
        <w:t xml:space="preserve"> </w:t>
      </w:r>
      <w:r w:rsidRPr="00356161">
        <w:rPr>
          <w:rFonts w:cs="Arial"/>
        </w:rPr>
        <w:t xml:space="preserve">that specific inferences relating to the </w:t>
      </w:r>
      <w:r w:rsidR="0041752B">
        <w:rPr>
          <w:rFonts w:cs="Arial"/>
        </w:rPr>
        <w:t>P</w:t>
      </w:r>
      <w:r w:rsidRPr="00356161">
        <w:rPr>
          <w:rFonts w:cs="Arial"/>
        </w:rPr>
        <w:t>lan are</w:t>
      </w:r>
      <w:r w:rsidR="00B80742">
        <w:rPr>
          <w:rFonts w:cs="Arial"/>
        </w:rPr>
        <w:t>a</w:t>
      </w:r>
      <w:r w:rsidR="00272502">
        <w:rPr>
          <w:rFonts w:cs="Arial"/>
        </w:rPr>
        <w:t>s</w:t>
      </w:r>
      <w:r w:rsidR="00B80742">
        <w:rPr>
          <w:rFonts w:cs="Arial"/>
        </w:rPr>
        <w:t xml:space="preserve"> </w:t>
      </w:r>
      <w:r w:rsidR="00272502">
        <w:rPr>
          <w:rFonts w:cs="Arial"/>
        </w:rPr>
        <w:t>is</w:t>
      </w:r>
      <w:r w:rsidRPr="00356161">
        <w:rPr>
          <w:rFonts w:cs="Arial"/>
        </w:rPr>
        <w:t xml:space="preserve"> limited </w:t>
      </w:r>
      <w:r w:rsidR="00304490">
        <w:rPr>
          <w:rFonts w:cs="Arial"/>
        </w:rPr>
        <w:t>as the area of interest</w:t>
      </w:r>
      <w:r w:rsidRPr="00356161">
        <w:rPr>
          <w:rFonts w:cs="Arial"/>
        </w:rPr>
        <w:t xml:space="preserve"> is grouped under the </w:t>
      </w:r>
      <w:r w:rsidR="005C2A03">
        <w:rPr>
          <w:rFonts w:cs="Arial"/>
        </w:rPr>
        <w:t>s</w:t>
      </w:r>
      <w:r w:rsidRPr="00356161">
        <w:rPr>
          <w:rFonts w:cs="Arial"/>
        </w:rPr>
        <w:t xml:space="preserve">trategy’s </w:t>
      </w:r>
      <w:r w:rsidR="005C2A03">
        <w:rPr>
          <w:rFonts w:cs="Arial"/>
        </w:rPr>
        <w:t>g</w:t>
      </w:r>
      <w:r w:rsidRPr="00356161">
        <w:rPr>
          <w:rFonts w:cs="Arial"/>
        </w:rPr>
        <w:t xml:space="preserve">reater North Sea </w:t>
      </w:r>
      <w:r w:rsidR="005C2A03">
        <w:rPr>
          <w:rFonts w:cs="Arial"/>
        </w:rPr>
        <w:t>r</w:t>
      </w:r>
      <w:r w:rsidRPr="00356161">
        <w:rPr>
          <w:rFonts w:cs="Arial"/>
        </w:rPr>
        <w:t xml:space="preserve">egion, </w:t>
      </w:r>
      <w:r w:rsidR="00304490">
        <w:rPr>
          <w:rFonts w:cs="Arial"/>
        </w:rPr>
        <w:t xml:space="preserve">which </w:t>
      </w:r>
      <w:r w:rsidRPr="00356161">
        <w:rPr>
          <w:rFonts w:cs="Arial"/>
        </w:rPr>
        <w:t>cover</w:t>
      </w:r>
      <w:r w:rsidR="00304490">
        <w:rPr>
          <w:rFonts w:cs="Arial"/>
        </w:rPr>
        <w:t>s</w:t>
      </w:r>
      <w:r w:rsidRPr="00356161">
        <w:rPr>
          <w:rFonts w:cs="Arial"/>
        </w:rPr>
        <w:t xml:space="preserve"> a much broader</w:t>
      </w:r>
      <w:r w:rsidR="00304490">
        <w:rPr>
          <w:rFonts w:cs="Arial"/>
        </w:rPr>
        <w:t xml:space="preserve"> extent</w:t>
      </w:r>
      <w:r w:rsidRPr="00356161">
        <w:rPr>
          <w:rFonts w:cs="Arial"/>
        </w:rPr>
        <w:t xml:space="preserve"> than just the </w:t>
      </w:r>
      <w:r w:rsidR="00B07496">
        <w:rPr>
          <w:rFonts w:cs="Arial"/>
        </w:rPr>
        <w:t xml:space="preserve">South Marine </w:t>
      </w:r>
      <w:r w:rsidR="00DC2E44">
        <w:rPr>
          <w:rFonts w:cs="Arial"/>
        </w:rPr>
        <w:t>Plan</w:t>
      </w:r>
      <w:r w:rsidRPr="00356161">
        <w:rPr>
          <w:rFonts w:cs="Arial"/>
        </w:rPr>
        <w:t xml:space="preserve"> areas.</w:t>
      </w:r>
      <w:bookmarkEnd w:id="108"/>
    </w:p>
    <w:bookmarkEnd w:id="106"/>
    <w:bookmarkEnd w:id="107"/>
    <w:p w14:paraId="3308F11E" w14:textId="60DDDA12" w:rsidR="008B7722" w:rsidRPr="005403E3" w:rsidRDefault="1ED0B92B" w:rsidP="005403E3">
      <w:pPr>
        <w:pStyle w:val="ListParagraph"/>
        <w:numPr>
          <w:ilvl w:val="0"/>
          <w:numId w:val="8"/>
        </w:numPr>
        <w:ind w:left="561" w:hanging="567"/>
        <w:contextualSpacing w:val="0"/>
        <w:rPr>
          <w:rFonts w:cs="Arial"/>
          <w:color w:val="000000"/>
          <w:szCs w:val="24"/>
        </w:rPr>
      </w:pPr>
      <w:r>
        <w:t xml:space="preserve">The number and extent of </w:t>
      </w:r>
      <w:r w:rsidR="427F1D61">
        <w:t>MPA</w:t>
      </w:r>
      <w:r>
        <w:t xml:space="preserve">s within the </w:t>
      </w:r>
      <w:r w:rsidR="00B07496">
        <w:t xml:space="preserve">South Marine </w:t>
      </w:r>
      <w:r w:rsidR="00DC2E44">
        <w:t>Plan</w:t>
      </w:r>
      <w:r>
        <w:t xml:space="preserve"> areas has increased since </w:t>
      </w:r>
      <w:r w:rsidR="0041752B">
        <w:t>P</w:t>
      </w:r>
      <w:r w:rsidR="00817598">
        <w:t xml:space="preserve">lan </w:t>
      </w:r>
      <w:r>
        <w:t xml:space="preserve">adoption. </w:t>
      </w:r>
      <w:r w:rsidR="008B7722">
        <w:br/>
      </w:r>
      <w:r w:rsidR="008B7722">
        <w:br/>
      </w:r>
      <w:r>
        <w:t xml:space="preserve">In May 2019 the designation of a third tranche of Marine Conservation Zones </w:t>
      </w:r>
      <w:r w:rsidR="0B1CA505">
        <w:t>(MCZ</w:t>
      </w:r>
      <w:r w:rsidR="427F1D61">
        <w:t>s</w:t>
      </w:r>
      <w:r w:rsidR="0B1CA505">
        <w:t>)</w:t>
      </w:r>
      <w:r>
        <w:t xml:space="preserve"> was announced (</w:t>
      </w:r>
      <w:bookmarkStart w:id="110" w:name="_Hlk71799006"/>
      <w:r w:rsidR="00F33BA1">
        <w:fldChar w:fldCharType="begin"/>
      </w:r>
      <w:r w:rsidR="00F33BA1">
        <w:instrText xml:space="preserve"> HYPERLINK "https://www.gov.uk/government/consultations/marine-conservation-zones-third-tranche-of-designations" \h </w:instrText>
      </w:r>
      <w:r w:rsidR="00F33BA1">
        <w:fldChar w:fldCharType="separate"/>
      </w:r>
      <w:r w:rsidRPr="375902C0">
        <w:rPr>
          <w:rStyle w:val="Hyperlink"/>
        </w:rPr>
        <w:t>Marine Conservation Zones: third tranche of designations</w:t>
      </w:r>
      <w:r w:rsidR="00F33BA1">
        <w:rPr>
          <w:rStyle w:val="Hyperlink"/>
        </w:rPr>
        <w:fldChar w:fldCharType="end"/>
      </w:r>
      <w:bookmarkEnd w:id="110"/>
      <w:r>
        <w:t xml:space="preserve">); </w:t>
      </w:r>
      <w:r w:rsidR="00B26E5F">
        <w:t>significantly increasing</w:t>
      </w:r>
      <w:r w:rsidR="3DA7AFEF">
        <w:t xml:space="preserve"> the number of M</w:t>
      </w:r>
      <w:r w:rsidR="0B1CA505">
        <w:t>CZ</w:t>
      </w:r>
      <w:r w:rsidR="3DA7AFEF">
        <w:t>s</w:t>
      </w:r>
      <w:r>
        <w:t xml:space="preserve"> within the </w:t>
      </w:r>
      <w:r w:rsidR="008B7722">
        <w:t>S</w:t>
      </w:r>
      <w:r>
        <w:t xml:space="preserve">outh </w:t>
      </w:r>
      <w:r w:rsidR="008B7722">
        <w:t>M</w:t>
      </w:r>
      <w:r>
        <w:t xml:space="preserve">arine </w:t>
      </w:r>
      <w:r w:rsidR="00DC2E44">
        <w:t>Plan</w:t>
      </w:r>
      <w:r>
        <w:t xml:space="preserve"> areas </w:t>
      </w:r>
      <w:r w:rsidR="3DA7AFEF">
        <w:t xml:space="preserve">to </w:t>
      </w:r>
      <w:r>
        <w:t xml:space="preserve">31 </w:t>
      </w:r>
      <w:r w:rsidR="3DA7AFEF">
        <w:t>sites.</w:t>
      </w:r>
      <w:r>
        <w:t xml:space="preserve"> </w:t>
      </w:r>
      <w:r w:rsidR="00EE6F9D">
        <w:t xml:space="preserve">This designation may impact the ongoing relevance </w:t>
      </w:r>
      <w:r w:rsidR="00D8486E">
        <w:t xml:space="preserve">of some MPA policies in the </w:t>
      </w:r>
      <w:r w:rsidR="00DC2E44">
        <w:t>Plan</w:t>
      </w:r>
      <w:r w:rsidR="00D8486E">
        <w:t>:</w:t>
      </w:r>
    </w:p>
    <w:p w14:paraId="70B2857B" w14:textId="13760E22" w:rsidR="00433DA3" w:rsidRPr="00A434B6" w:rsidRDefault="00A434B6" w:rsidP="00285EEE">
      <w:pPr>
        <w:pStyle w:val="Heading4"/>
      </w:pPr>
      <w:r w:rsidRPr="000020A8">
        <w:t>Case study</w:t>
      </w:r>
      <w:r w:rsidR="00433DA3">
        <w:t xml:space="preserve">: </w:t>
      </w:r>
      <w:r w:rsidR="007930AD" w:rsidRPr="00285EEE">
        <w:t>Impact of third tranche of MCZ designations on</w:t>
      </w:r>
      <w:r w:rsidR="00433DA3" w:rsidRPr="00285EEE">
        <w:t xml:space="preserve"> </w:t>
      </w:r>
      <w:r w:rsidR="00611488" w:rsidRPr="00285EEE">
        <w:t>policy relevance</w:t>
      </w:r>
    </w:p>
    <w:p w14:paraId="0BB7B194" w14:textId="77777777" w:rsidR="00433DA3" w:rsidRPr="00285EEE" w:rsidRDefault="00433DA3" w:rsidP="00D56257">
      <w:pPr>
        <w:pBdr>
          <w:top w:val="single" w:sz="4" w:space="1" w:color="auto"/>
          <w:left w:val="single" w:sz="4" w:space="4" w:color="auto"/>
          <w:bottom w:val="single" w:sz="4" w:space="1" w:color="auto"/>
          <w:right w:val="single" w:sz="4" w:space="4" w:color="auto"/>
        </w:pBdr>
        <w:shd w:val="clear" w:color="auto" w:fill="F2F2F2" w:themeFill="background1" w:themeFillShade="F2"/>
        <w:rPr>
          <w:bCs/>
          <w:szCs w:val="24"/>
        </w:rPr>
      </w:pPr>
      <w:r w:rsidRPr="00285EEE">
        <w:rPr>
          <w:bCs/>
          <w:szCs w:val="24"/>
        </w:rPr>
        <w:t>Policy Title: S-</w:t>
      </w:r>
      <w:r w:rsidRPr="00285EEE">
        <w:rPr>
          <w:rFonts w:cs="Arial"/>
          <w:bCs/>
          <w:color w:val="000000"/>
          <w:szCs w:val="24"/>
        </w:rPr>
        <w:t>MPA</w:t>
      </w:r>
      <w:r w:rsidRPr="00285EEE">
        <w:rPr>
          <w:bCs/>
          <w:szCs w:val="24"/>
        </w:rPr>
        <w:t>-4</w:t>
      </w:r>
    </w:p>
    <w:p w14:paraId="212431D7" w14:textId="4ABB05F2" w:rsidR="00433DA3" w:rsidRPr="00285EEE" w:rsidRDefault="00433DA3" w:rsidP="00D56257">
      <w:pPr>
        <w:pBdr>
          <w:top w:val="single" w:sz="4" w:space="1" w:color="auto"/>
          <w:left w:val="single" w:sz="4" w:space="4" w:color="auto"/>
          <w:bottom w:val="single" w:sz="4" w:space="1" w:color="auto"/>
          <w:right w:val="single" w:sz="4" w:space="4" w:color="auto"/>
        </w:pBdr>
        <w:shd w:val="clear" w:color="auto" w:fill="F2F2F2" w:themeFill="background1" w:themeFillShade="F2"/>
        <w:rPr>
          <w:bCs/>
          <w:szCs w:val="24"/>
        </w:rPr>
      </w:pPr>
      <w:r w:rsidRPr="00285EEE">
        <w:rPr>
          <w:bCs/>
          <w:szCs w:val="24"/>
        </w:rPr>
        <w:t>Policy text: Until the ecological coherence of the marine protected area network is confirmed, proposals should demonstrate that they will, in order of preference</w:t>
      </w:r>
      <w:r w:rsidR="005C2A03">
        <w:rPr>
          <w:bCs/>
          <w:szCs w:val="24"/>
        </w:rPr>
        <w:t>,</w:t>
      </w:r>
      <w:r w:rsidRPr="00285EEE">
        <w:rPr>
          <w:bCs/>
          <w:szCs w:val="24"/>
        </w:rPr>
        <w:t xml:space="preserve"> avoid, minimise</w:t>
      </w:r>
      <w:r w:rsidR="005C2A03">
        <w:rPr>
          <w:bCs/>
          <w:szCs w:val="24"/>
        </w:rPr>
        <w:t xml:space="preserve"> and </w:t>
      </w:r>
      <w:r w:rsidRPr="00285EEE">
        <w:rPr>
          <w:bCs/>
          <w:szCs w:val="24"/>
        </w:rPr>
        <w:t>mitigate adverse impacts on features that may be required to complete the network</w:t>
      </w:r>
      <w:r w:rsidR="005C2A03">
        <w:rPr>
          <w:bCs/>
          <w:szCs w:val="24"/>
        </w:rPr>
        <w:t>. I</w:t>
      </w:r>
      <w:r w:rsidRPr="00285EEE">
        <w:rPr>
          <w:bCs/>
          <w:szCs w:val="24"/>
        </w:rPr>
        <w:t>f it is not possible to mitigate adverse impacts, proposals should state the case for proceeding.</w:t>
      </w:r>
    </w:p>
    <w:p w14:paraId="4AF49AD6" w14:textId="77777777" w:rsidR="005403E3" w:rsidRDefault="00433DA3" w:rsidP="00D56257">
      <w:pPr>
        <w:pBdr>
          <w:top w:val="single" w:sz="4" w:space="1" w:color="auto"/>
          <w:left w:val="single" w:sz="4" w:space="4" w:color="auto"/>
          <w:bottom w:val="single" w:sz="4" w:space="1" w:color="auto"/>
          <w:right w:val="single" w:sz="4" w:space="4" w:color="auto"/>
        </w:pBdr>
        <w:shd w:val="clear" w:color="auto" w:fill="F2F2F2" w:themeFill="background1" w:themeFillShade="F2"/>
        <w:rPr>
          <w:bCs/>
          <w:szCs w:val="24"/>
        </w:rPr>
      </w:pPr>
      <w:r>
        <w:rPr>
          <w:bCs/>
          <w:szCs w:val="24"/>
        </w:rPr>
        <w:t>This policy</w:t>
      </w:r>
      <w:r w:rsidDel="00A373E5">
        <w:rPr>
          <w:bCs/>
          <w:szCs w:val="24"/>
        </w:rPr>
        <w:t xml:space="preserve"> </w:t>
      </w:r>
      <w:r>
        <w:rPr>
          <w:bCs/>
          <w:szCs w:val="24"/>
        </w:rPr>
        <w:t>ensure</w:t>
      </w:r>
      <w:r w:rsidR="00A373E5">
        <w:rPr>
          <w:bCs/>
          <w:szCs w:val="24"/>
        </w:rPr>
        <w:t>s</w:t>
      </w:r>
      <w:r>
        <w:rPr>
          <w:bCs/>
          <w:szCs w:val="24"/>
        </w:rPr>
        <w:t xml:space="preserve"> that </w:t>
      </w:r>
      <w:r>
        <w:t xml:space="preserve">possible </w:t>
      </w:r>
      <w:r w:rsidR="007E5F15">
        <w:t xml:space="preserve">future </w:t>
      </w:r>
      <w:r>
        <w:t xml:space="preserve">locations for </w:t>
      </w:r>
      <w:r w:rsidR="00084B29">
        <w:t>MPAs</w:t>
      </w:r>
      <w:r>
        <w:t>, which may be needed to complete the network</w:t>
      </w:r>
      <w:r w:rsidR="007E5F15">
        <w:t>,</w:t>
      </w:r>
      <w:r>
        <w:t xml:space="preserve"> remain in sufficient condition to merit designation</w:t>
      </w:r>
      <w:r>
        <w:rPr>
          <w:bCs/>
          <w:szCs w:val="24"/>
        </w:rPr>
        <w:t xml:space="preserve">. The third and final tranche of </w:t>
      </w:r>
      <w:r w:rsidR="00DD5C85">
        <w:rPr>
          <w:bCs/>
          <w:szCs w:val="24"/>
        </w:rPr>
        <w:t xml:space="preserve">MCZ </w:t>
      </w:r>
      <w:r w:rsidR="001B13CE" w:rsidRPr="00D56257">
        <w:rPr>
          <w:rFonts w:cs="Arial"/>
          <w:color w:val="000000"/>
          <w:szCs w:val="24"/>
        </w:rPr>
        <w:t>designations</w:t>
      </w:r>
      <w:r w:rsidR="001B13CE">
        <w:rPr>
          <w:bCs/>
          <w:szCs w:val="24"/>
        </w:rPr>
        <w:t xml:space="preserve"> </w:t>
      </w:r>
      <w:r>
        <w:rPr>
          <w:bCs/>
          <w:szCs w:val="24"/>
        </w:rPr>
        <w:t xml:space="preserve">in 2019 heralded </w:t>
      </w:r>
      <w:r w:rsidR="001B13CE">
        <w:rPr>
          <w:bCs/>
          <w:szCs w:val="24"/>
        </w:rPr>
        <w:t xml:space="preserve">a significant contribution to a more complete </w:t>
      </w:r>
      <w:r w:rsidR="00964568">
        <w:rPr>
          <w:bCs/>
          <w:szCs w:val="24"/>
        </w:rPr>
        <w:t xml:space="preserve">ecologically coherent </w:t>
      </w:r>
      <w:r w:rsidR="001B13CE">
        <w:rPr>
          <w:bCs/>
          <w:szCs w:val="24"/>
        </w:rPr>
        <w:t>MPA network</w:t>
      </w:r>
      <w:r w:rsidR="007E5F15">
        <w:rPr>
          <w:bCs/>
          <w:szCs w:val="24"/>
        </w:rPr>
        <w:t xml:space="preserve">. </w:t>
      </w:r>
    </w:p>
    <w:p w14:paraId="0498CBFE" w14:textId="7477F936" w:rsidR="00433DA3" w:rsidRPr="005403E3" w:rsidRDefault="007E5F15" w:rsidP="00D56257">
      <w:pPr>
        <w:pBdr>
          <w:top w:val="single" w:sz="4" w:space="1" w:color="auto"/>
          <w:left w:val="single" w:sz="4" w:space="4" w:color="auto"/>
          <w:bottom w:val="single" w:sz="4" w:space="1" w:color="auto"/>
          <w:right w:val="single" w:sz="4" w:space="4" w:color="auto"/>
        </w:pBdr>
        <w:shd w:val="clear" w:color="auto" w:fill="F2F2F2" w:themeFill="background1" w:themeFillShade="F2"/>
        <w:rPr>
          <w:bCs/>
          <w:szCs w:val="24"/>
        </w:rPr>
      </w:pPr>
      <w:r>
        <w:rPr>
          <w:bCs/>
          <w:szCs w:val="24"/>
        </w:rPr>
        <w:t>This may</w:t>
      </w:r>
      <w:r w:rsidR="001B13CE">
        <w:rPr>
          <w:bCs/>
          <w:szCs w:val="24"/>
        </w:rPr>
        <w:t xml:space="preserve"> reduce the relevance of </w:t>
      </w:r>
      <w:r w:rsidR="00433DA3">
        <w:t>policy S-MPA-4</w:t>
      </w:r>
      <w:r>
        <w:t>, the supporting text for which states “w</w:t>
      </w:r>
      <w:r w:rsidRPr="007E5F15">
        <w:t>hen the network is complete, proposals will no longer be required to demonstrate compliance</w:t>
      </w:r>
      <w:r>
        <w:t>”</w:t>
      </w:r>
      <w:r w:rsidR="001B13CE">
        <w:t>.</w:t>
      </w:r>
      <w:r w:rsidR="00A96B11">
        <w:t xml:space="preserve"> Corroborating this, s</w:t>
      </w:r>
      <w:r w:rsidR="00F975FC">
        <w:t>urvey data indicated that following</w:t>
      </w:r>
      <w:r w:rsidR="00433DA3" w:rsidDel="00750850">
        <w:t xml:space="preserve"> </w:t>
      </w:r>
      <w:r w:rsidR="00433DA3" w:rsidRPr="00D56257" w:rsidDel="00750850">
        <w:rPr>
          <w:rFonts w:cs="Arial"/>
          <w:color w:val="000000"/>
          <w:szCs w:val="24"/>
        </w:rPr>
        <w:t>the</w:t>
      </w:r>
      <w:r w:rsidR="00433DA3" w:rsidDel="00750850">
        <w:t xml:space="preserve"> </w:t>
      </w:r>
      <w:r w:rsidR="00684867">
        <w:t>designations</w:t>
      </w:r>
      <w:r w:rsidR="00F975FC">
        <w:t xml:space="preserve">, </w:t>
      </w:r>
      <w:r w:rsidR="00684867">
        <w:t xml:space="preserve">S-MPA-4 was less frequently </w:t>
      </w:r>
      <w:r w:rsidR="00027576">
        <w:t xml:space="preserve">considered. </w:t>
      </w:r>
      <w:r w:rsidR="00684867">
        <w:t xml:space="preserve">This suggests that the </w:t>
      </w:r>
      <w:r w:rsidR="00027576">
        <w:t xml:space="preserve">potentially </w:t>
      </w:r>
      <w:r w:rsidR="00684867">
        <w:t xml:space="preserve">declining relevance </w:t>
      </w:r>
      <w:r w:rsidR="00027576">
        <w:t xml:space="preserve">may come to be </w:t>
      </w:r>
      <w:r w:rsidR="00684867">
        <w:t xml:space="preserve">reflected in </w:t>
      </w:r>
      <w:r w:rsidR="00DC2E44">
        <w:t>Plan</w:t>
      </w:r>
      <w:r w:rsidR="00684867">
        <w:t xml:space="preserve"> usage</w:t>
      </w:r>
      <w:r w:rsidR="00F975FC">
        <w:t>.</w:t>
      </w:r>
    </w:p>
    <w:p w14:paraId="5BCEA3A8" w14:textId="77777777" w:rsidR="008B7722" w:rsidRDefault="00A96B11" w:rsidP="008B7722">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pPr>
      <w:r>
        <w:lastRenderedPageBreak/>
        <w:t xml:space="preserve">It is anticipated that </w:t>
      </w:r>
      <w:r w:rsidR="00E733BC">
        <w:t xml:space="preserve">to </w:t>
      </w:r>
      <w:r>
        <w:t>maintain and enhanc</w:t>
      </w:r>
      <w:r w:rsidR="00E733BC">
        <w:t>e</w:t>
      </w:r>
      <w:r>
        <w:t xml:space="preserve"> the coherence of the network</w:t>
      </w:r>
      <w:r w:rsidR="00E733BC">
        <w:t xml:space="preserve">, </w:t>
      </w:r>
      <w:r>
        <w:t xml:space="preserve">there will be </w:t>
      </w:r>
      <w:r w:rsidR="00E733BC">
        <w:t xml:space="preserve">a </w:t>
      </w:r>
      <w:r>
        <w:t xml:space="preserve">growing emphasis on the </w:t>
      </w:r>
      <w:r w:rsidR="00E733BC">
        <w:t xml:space="preserve">ongoing </w:t>
      </w:r>
      <w:r>
        <w:t xml:space="preserve">management of sites. </w:t>
      </w:r>
    </w:p>
    <w:p w14:paraId="54285AE2" w14:textId="3A03D2FC" w:rsidR="0089691B" w:rsidRDefault="00A96B11" w:rsidP="008B7722">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pPr>
      <w:r>
        <w:t>This is reflected in t</w:t>
      </w:r>
      <w:r w:rsidR="00433DA3">
        <w:t xml:space="preserve">he North East, North West, South East and </w:t>
      </w:r>
      <w:r w:rsidR="00433DA3" w:rsidRPr="00D56257">
        <w:rPr>
          <w:rFonts w:cs="Arial"/>
          <w:color w:val="000000"/>
          <w:szCs w:val="24"/>
        </w:rPr>
        <w:t>South</w:t>
      </w:r>
      <w:r w:rsidR="00433DA3">
        <w:t xml:space="preserve"> West </w:t>
      </w:r>
      <w:r w:rsidR="00A17219">
        <w:t>M</w:t>
      </w:r>
      <w:r w:rsidR="00433DA3">
        <w:t xml:space="preserve">arine </w:t>
      </w:r>
      <w:r w:rsidR="0041752B">
        <w:t>P</w:t>
      </w:r>
      <w:r w:rsidR="00433DA3">
        <w:t xml:space="preserve">lans, </w:t>
      </w:r>
      <w:r>
        <w:t>which</w:t>
      </w:r>
      <w:r w:rsidRPr="00123BD9">
        <w:t>,</w:t>
      </w:r>
      <w:r w:rsidR="00475F90" w:rsidRPr="00123BD9">
        <w:t xml:space="preserve"> </w:t>
      </w:r>
      <w:r w:rsidR="00433DA3" w:rsidRPr="00123BD9">
        <w:t>adopted in 2021</w:t>
      </w:r>
      <w:r w:rsidR="00433DA3">
        <w:t>, do not contain bespoke polic</w:t>
      </w:r>
      <w:r w:rsidR="004775E4">
        <w:t>ies</w:t>
      </w:r>
      <w:r w:rsidR="00433DA3">
        <w:t xml:space="preserve"> regarding confirmation of the </w:t>
      </w:r>
      <w:r w:rsidR="005342A4">
        <w:t>MPA</w:t>
      </w:r>
      <w:r w:rsidR="00433DA3">
        <w:t xml:space="preserve"> network. </w:t>
      </w:r>
    </w:p>
    <w:p w14:paraId="43905A96" w14:textId="02BE289A" w:rsidR="00964568" w:rsidRDefault="00433DA3" w:rsidP="00285EEE">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pPr>
      <w:r>
        <w:t xml:space="preserve">Rather, the intent of S-MPA-4 can be seen in </w:t>
      </w:r>
      <w:r w:rsidR="00A96B11">
        <w:t xml:space="preserve">the new </w:t>
      </w:r>
      <w:r>
        <w:t>MPA-1</w:t>
      </w:r>
      <w:r w:rsidR="0026732A">
        <w:t>,</w:t>
      </w:r>
      <w:r>
        <w:t xml:space="preserve"> which references overall marine objectives and the ongoing ecological coherence of the network.</w:t>
      </w:r>
      <w:r w:rsidR="00E733BC" w:rsidRPr="00E733BC">
        <w:t xml:space="preserve"> </w:t>
      </w:r>
      <w:r w:rsidR="00E733BC">
        <w:t>This further adds to the picture that the existing policy has become less relevant.</w:t>
      </w:r>
    </w:p>
    <w:p w14:paraId="71C704F1" w14:textId="6D594D56" w:rsidR="0089691B" w:rsidRDefault="00475F90" w:rsidP="00D56257">
      <w:pPr>
        <w:pBdr>
          <w:top w:val="single" w:sz="4" w:space="1" w:color="auto"/>
          <w:left w:val="single" w:sz="4" w:space="4" w:color="auto"/>
          <w:bottom w:val="single" w:sz="4" w:space="1" w:color="auto"/>
          <w:right w:val="single" w:sz="4" w:space="4" w:color="auto"/>
        </w:pBdr>
        <w:shd w:val="clear" w:color="auto" w:fill="F2F2F2" w:themeFill="background1" w:themeFillShade="F2"/>
      </w:pPr>
      <w:r>
        <w:t>It should be noted that S-MPA-4 does contain provision for decision-makers in the event of the completion of the network</w:t>
      </w:r>
      <w:r w:rsidR="00A434B6">
        <w:t>:</w:t>
      </w:r>
      <w:r>
        <w:t xml:space="preserve"> “proposals will no longer be required to demonstrate compliance … but should be aware of broader biodiversity requirements under S-BIO-4”. </w:t>
      </w:r>
    </w:p>
    <w:p w14:paraId="5BF91BD9" w14:textId="15F8BB2E" w:rsidR="00433DA3" w:rsidRDefault="00475F90" w:rsidP="00D56257">
      <w:pPr>
        <w:pBdr>
          <w:top w:val="single" w:sz="4" w:space="1" w:color="auto"/>
          <w:left w:val="single" w:sz="4" w:space="4" w:color="auto"/>
          <w:bottom w:val="single" w:sz="4" w:space="1" w:color="auto"/>
          <w:right w:val="single" w:sz="4" w:space="4" w:color="auto"/>
        </w:pBdr>
        <w:shd w:val="clear" w:color="auto" w:fill="F2F2F2" w:themeFill="background1" w:themeFillShade="F2"/>
      </w:pPr>
      <w:r>
        <w:t>Although</w:t>
      </w:r>
      <w:r w:rsidR="00F423C3">
        <w:t xml:space="preserve"> this improves the ong</w:t>
      </w:r>
      <w:r>
        <w:t>oing relevance of S-MPA-4, c</w:t>
      </w:r>
      <w:r w:rsidR="007E5F15">
        <w:t>h</w:t>
      </w:r>
      <w:r w:rsidR="00964568">
        <w:t>anges cou</w:t>
      </w:r>
      <w:r w:rsidR="00F423C3">
        <w:t>ld be m</w:t>
      </w:r>
      <w:r w:rsidR="00964568">
        <w:t xml:space="preserve">ade to the </w:t>
      </w:r>
      <w:r w:rsidR="00DC2E44">
        <w:t>Plan</w:t>
      </w:r>
      <w:r w:rsidR="004775E4">
        <w:t xml:space="preserve"> </w:t>
      </w:r>
      <w:r w:rsidR="00E32921">
        <w:t>to remove</w:t>
      </w:r>
      <w:r w:rsidR="0026732A">
        <w:t xml:space="preserve"> </w:t>
      </w:r>
      <w:r w:rsidR="00E32921">
        <w:t>asp</w:t>
      </w:r>
      <w:r w:rsidR="00F423C3">
        <w:t>ects of less</w:t>
      </w:r>
      <w:r w:rsidR="00E32921">
        <w:t xml:space="preserve"> relevance and </w:t>
      </w:r>
      <w:r w:rsidR="00654EFF">
        <w:t>to focus more on measures which support the ongoing management of existing designated features.</w:t>
      </w:r>
      <w:r w:rsidR="00F74307">
        <w:t xml:space="preserve"> </w:t>
      </w:r>
    </w:p>
    <w:bookmarkEnd w:id="100"/>
    <w:p w14:paraId="0B52F56A" w14:textId="4DDED808" w:rsidR="0089691B" w:rsidRPr="00EE6F9D" w:rsidRDefault="00D8486E" w:rsidP="00F36863">
      <w:pPr>
        <w:pStyle w:val="ListParagraph"/>
        <w:numPr>
          <w:ilvl w:val="0"/>
          <w:numId w:val="8"/>
        </w:numPr>
        <w:ind w:left="561" w:hanging="567"/>
        <w:contextualSpacing w:val="0"/>
      </w:pPr>
      <w:r>
        <w:t xml:space="preserve">In addition to the </w:t>
      </w:r>
      <w:r w:rsidR="00010417">
        <w:t>third tranche of MCZs</w:t>
      </w:r>
      <w:r>
        <w:t>, t</w:t>
      </w:r>
      <w:r w:rsidR="00EE6F9D">
        <w:t>he Solent and Dorset Special Protection Area was classified in January 2020 (</w:t>
      </w:r>
      <w:bookmarkStart w:id="111" w:name="_Hlk71799022"/>
      <w:r w:rsidR="00F33BA1">
        <w:fldChar w:fldCharType="begin"/>
      </w:r>
      <w:r w:rsidR="00F33BA1">
        <w:instrText xml:space="preserve"> HYPERLINK "https://www.gov.uk/government/consultations/solent-and-dorset-coast-potential-special-protection-area-comment-on-proposals" \h </w:instrText>
      </w:r>
      <w:r w:rsidR="00F33BA1">
        <w:fldChar w:fldCharType="separate"/>
      </w:r>
      <w:r w:rsidR="00EE6F9D" w:rsidRPr="375902C0">
        <w:rPr>
          <w:rStyle w:val="Hyperlink"/>
        </w:rPr>
        <w:t>Solent and Dorset Coast potential Special Protection Area: outcome</w:t>
      </w:r>
      <w:r w:rsidR="00F33BA1">
        <w:rPr>
          <w:rStyle w:val="Hyperlink"/>
        </w:rPr>
        <w:fldChar w:fldCharType="end"/>
      </w:r>
      <w:bookmarkEnd w:id="111"/>
      <w:r w:rsidR="00EE6F9D">
        <w:t>)</w:t>
      </w:r>
      <w:r w:rsidR="00010417">
        <w:t xml:space="preserve">. </w:t>
      </w:r>
      <w:r w:rsidR="0089691B">
        <w:br/>
      </w:r>
      <w:r w:rsidR="0089691B">
        <w:br/>
      </w:r>
      <w:r w:rsidR="00F74307">
        <w:t xml:space="preserve">As MPA designations increase, </w:t>
      </w:r>
      <w:r w:rsidR="00F74307" w:rsidRPr="00F74307">
        <w:t xml:space="preserve">the need for </w:t>
      </w:r>
      <w:r w:rsidR="00F74307">
        <w:t>increased</w:t>
      </w:r>
      <w:r w:rsidR="00F74307" w:rsidRPr="00F74307">
        <w:t xml:space="preserve"> management of shared space</w:t>
      </w:r>
      <w:r w:rsidR="00F74307">
        <w:t xml:space="preserve"> will also increase.</w:t>
      </w:r>
      <w:r w:rsidR="00F74307" w:rsidRPr="00F74307">
        <w:t xml:space="preserve"> </w:t>
      </w:r>
      <w:r w:rsidR="0089691B">
        <w:br/>
      </w:r>
      <w:r w:rsidR="0089691B">
        <w:br/>
      </w:r>
      <w:r w:rsidR="00EE6F9D" w:rsidRPr="00EE6F9D">
        <w:t xml:space="preserve">The </w:t>
      </w:r>
      <w:bookmarkStart w:id="112" w:name="_Hlk65229631"/>
      <w:bookmarkStart w:id="113" w:name="_Hlk71799028"/>
      <w:r w:rsidR="00EE6F9D" w:rsidRPr="00EE6F9D">
        <w:rPr>
          <w:rStyle w:val="Hyperlink"/>
          <w:rFonts w:cs="Arial"/>
        </w:rPr>
        <w:fldChar w:fldCharType="begin"/>
      </w:r>
      <w:r w:rsidR="00EE6F9D" w:rsidRPr="00EE6F9D">
        <w:rPr>
          <w:rStyle w:val="Hyperlink"/>
          <w:rFonts w:cs="Arial"/>
        </w:rPr>
        <w:instrText xml:space="preserve"> HYPERLINK "https://www.gov.uk/government/publications/highly-protected-marine-areas-hpmas-review-2019" \h </w:instrText>
      </w:r>
      <w:r w:rsidR="00EE6F9D" w:rsidRPr="00EE6F9D">
        <w:rPr>
          <w:rStyle w:val="Hyperlink"/>
          <w:rFonts w:cs="Arial"/>
        </w:rPr>
        <w:fldChar w:fldCharType="separate"/>
      </w:r>
      <w:r w:rsidR="00EE6F9D" w:rsidRPr="00EE6F9D">
        <w:rPr>
          <w:rStyle w:val="Hyperlink"/>
          <w:rFonts w:cs="Arial"/>
        </w:rPr>
        <w:t>Highly Protected Marine Areas</w:t>
      </w:r>
      <w:r w:rsidR="0005665B">
        <w:rPr>
          <w:rStyle w:val="Hyperlink"/>
          <w:rFonts w:cs="Arial"/>
        </w:rPr>
        <w:t xml:space="preserve"> (HPMAs) review 2019</w:t>
      </w:r>
      <w:r w:rsidR="00EE6F9D" w:rsidRPr="00EE6F9D">
        <w:rPr>
          <w:rStyle w:val="Hyperlink"/>
          <w:rFonts w:cs="Arial"/>
        </w:rPr>
        <w:fldChar w:fldCharType="end"/>
      </w:r>
      <w:bookmarkEnd w:id="112"/>
      <w:r w:rsidR="00EE6F9D" w:rsidRPr="0005665B">
        <w:rPr>
          <w:rStyle w:val="Hyperlink"/>
          <w:rFonts w:cs="Arial"/>
          <w:u w:val="none"/>
        </w:rPr>
        <w:t xml:space="preserve"> </w:t>
      </w:r>
      <w:bookmarkEnd w:id="113"/>
      <w:r w:rsidR="00EE6F9D" w:rsidRPr="00EE6F9D">
        <w:t xml:space="preserve">also recommended that HMPAs be introduced. </w:t>
      </w:r>
      <w:r w:rsidR="0089691B">
        <w:br/>
      </w:r>
      <w:r w:rsidR="0089691B">
        <w:br/>
      </w:r>
      <w:r w:rsidR="00EE6F9D" w:rsidRPr="00EE6F9D">
        <w:t xml:space="preserve">If implemented, these may significantly influence </w:t>
      </w:r>
      <w:r w:rsidR="00CE7080">
        <w:t xml:space="preserve">the </w:t>
      </w:r>
      <w:r w:rsidR="00EE6F9D" w:rsidRPr="00EE6F9D">
        <w:t xml:space="preserve">ongoing management measures of designated sites, </w:t>
      </w:r>
      <w:r w:rsidR="00E733BC">
        <w:t xml:space="preserve">which would need to be </w:t>
      </w:r>
      <w:r w:rsidR="00CE7080">
        <w:t xml:space="preserve">considered in </w:t>
      </w:r>
      <w:r w:rsidR="00DC2E44">
        <w:t>Plan</w:t>
      </w:r>
      <w:r w:rsidR="00CE7080">
        <w:t xml:space="preserve"> monitoring</w:t>
      </w:r>
      <w:r w:rsidR="00FE6560">
        <w:t xml:space="preserve"> once potential impacts are </w:t>
      </w:r>
      <w:r w:rsidR="001B58AF">
        <w:t>clearer</w:t>
      </w:r>
      <w:r w:rsidR="00EE6F9D" w:rsidRPr="00EE6F9D">
        <w:t xml:space="preserve">. </w:t>
      </w:r>
    </w:p>
    <w:p w14:paraId="30A48D51" w14:textId="77777777" w:rsidR="00227882" w:rsidRPr="002A532E" w:rsidRDefault="00227882" w:rsidP="00C92B18">
      <w:pPr>
        <w:pStyle w:val="Heading3"/>
        <w:rPr>
          <w:sz w:val="24"/>
          <w:szCs w:val="24"/>
        </w:rPr>
      </w:pPr>
      <w:r w:rsidRPr="00C92B18">
        <w:t>International</w:t>
      </w:r>
      <w:r w:rsidRPr="002A532E">
        <w:rPr>
          <w:sz w:val="24"/>
          <w:szCs w:val="24"/>
        </w:rPr>
        <w:t xml:space="preserve"> </w:t>
      </w:r>
      <w:r w:rsidRPr="00C92B18">
        <w:t>considerations</w:t>
      </w:r>
    </w:p>
    <w:p w14:paraId="21936943" w14:textId="1F6A5014" w:rsidR="0089691B" w:rsidRDefault="0D453364" w:rsidP="00D43BAE">
      <w:pPr>
        <w:pStyle w:val="ListParagraph"/>
        <w:numPr>
          <w:ilvl w:val="0"/>
          <w:numId w:val="8"/>
        </w:numPr>
        <w:ind w:left="561" w:hanging="567"/>
        <w:contextualSpacing w:val="0"/>
      </w:pPr>
      <w:bookmarkStart w:id="114" w:name="_Ref70684123"/>
      <w:r>
        <w:t>Another</w:t>
      </w:r>
      <w:r w:rsidR="71FFFA30">
        <w:t xml:space="preserve"> contextual change </w:t>
      </w:r>
      <w:r w:rsidR="5987DF36">
        <w:t xml:space="preserve">since </w:t>
      </w:r>
      <w:r w:rsidR="0041752B">
        <w:t>P</w:t>
      </w:r>
      <w:r w:rsidR="22F2B6DF">
        <w:t>lan</w:t>
      </w:r>
      <w:r w:rsidR="00963B84">
        <w:t xml:space="preserve"> </w:t>
      </w:r>
      <w:r w:rsidR="5987DF36">
        <w:t>adoption</w:t>
      </w:r>
      <w:r w:rsidR="71FFFA30">
        <w:t xml:space="preserve"> </w:t>
      </w:r>
      <w:r w:rsidR="5987DF36">
        <w:t>has been the</w:t>
      </w:r>
      <w:r w:rsidR="71FFFA30">
        <w:t xml:space="preserve"> UK </w:t>
      </w:r>
      <w:r w:rsidR="02D136FC">
        <w:t xml:space="preserve">leaving the </w:t>
      </w:r>
      <w:r w:rsidR="71FFFA30">
        <w:t xml:space="preserve">European Union (EU) on </w:t>
      </w:r>
      <w:r w:rsidR="02D136FC">
        <w:t>31</w:t>
      </w:r>
      <w:r w:rsidR="71FFFA30">
        <w:t xml:space="preserve"> </w:t>
      </w:r>
      <w:r w:rsidR="02D136FC">
        <w:t>January</w:t>
      </w:r>
      <w:r w:rsidR="71FFFA30">
        <w:t xml:space="preserve"> </w:t>
      </w:r>
      <w:r w:rsidR="02D136FC">
        <w:t>2020</w:t>
      </w:r>
      <w:r w:rsidR="71FFFA30">
        <w:t xml:space="preserve">, </w:t>
      </w:r>
      <w:r w:rsidR="02D136FC">
        <w:t>followed by a transition period which ended on 31 December 2020</w:t>
      </w:r>
      <w:r w:rsidR="71FFFA30">
        <w:t>.</w:t>
      </w:r>
      <w:r w:rsidR="03393E25">
        <w:t xml:space="preserve"> </w:t>
      </w:r>
      <w:r w:rsidR="00C406C0">
        <w:br/>
      </w:r>
      <w:r w:rsidR="00C406C0">
        <w:br/>
      </w:r>
      <w:r w:rsidR="00BE0557">
        <w:t xml:space="preserve">Although </w:t>
      </w:r>
      <w:r w:rsidR="00BE0557" w:rsidRPr="09F83F24">
        <w:rPr>
          <w:rFonts w:asciiTheme="minorHAnsi" w:hAnsiTheme="minorHAnsi" w:cstheme="minorBidi"/>
          <w:color w:val="000000" w:themeColor="text1"/>
        </w:rPr>
        <w:t xml:space="preserve">the rules governing the new relationship between the EU and UK </w:t>
      </w:r>
      <w:r w:rsidR="00BE0557">
        <w:t>took</w:t>
      </w:r>
      <w:r w:rsidR="00BE0557" w:rsidRPr="09F83F24">
        <w:rPr>
          <w:rFonts w:asciiTheme="minorHAnsi" w:hAnsiTheme="minorHAnsi" w:cstheme="minorBidi"/>
          <w:color w:val="000000" w:themeColor="text1"/>
        </w:rPr>
        <w:t xml:space="preserve"> effect on 1 January 2021, t</w:t>
      </w:r>
      <w:r w:rsidR="5987DF36">
        <w:t xml:space="preserve">he long-term implications for the </w:t>
      </w:r>
      <w:r w:rsidR="00B07496">
        <w:t xml:space="preserve">South Marine </w:t>
      </w:r>
      <w:r w:rsidR="00DC2E44">
        <w:t>Plan</w:t>
      </w:r>
      <w:r w:rsidR="5987DF36">
        <w:t xml:space="preserve"> </w:t>
      </w:r>
      <w:r w:rsidR="231C9586">
        <w:t>a</w:t>
      </w:r>
      <w:r w:rsidR="5987DF36">
        <w:t>reas</w:t>
      </w:r>
      <w:r w:rsidR="00956831">
        <w:t xml:space="preserve"> will develop over time</w:t>
      </w:r>
      <w:r w:rsidR="00231BFF">
        <w:t>.</w:t>
      </w:r>
      <w:r w:rsidR="5987DF36">
        <w:t xml:space="preserve"> </w:t>
      </w:r>
    </w:p>
    <w:p w14:paraId="0AE94E9A" w14:textId="4C8EDA32" w:rsidR="002B7243" w:rsidRPr="005C2A03" w:rsidRDefault="00BE0557">
      <w:pPr>
        <w:pStyle w:val="ListParagraph"/>
        <w:ind w:left="561"/>
        <w:contextualSpacing w:val="0"/>
      </w:pPr>
      <w:r>
        <w:t>T</w:t>
      </w:r>
      <w:r w:rsidR="5987DF36">
        <w:t xml:space="preserve">he </w:t>
      </w:r>
      <w:r w:rsidR="39634781">
        <w:t xml:space="preserve">following case study </w:t>
      </w:r>
      <w:r w:rsidR="441BF3EE">
        <w:t xml:space="preserve">provides </w:t>
      </w:r>
      <w:r w:rsidR="39634781">
        <w:t xml:space="preserve">an example of how </w:t>
      </w:r>
      <w:r w:rsidR="5987DF36">
        <w:t>th</w:t>
      </w:r>
      <w:r w:rsidR="39E5D0AE">
        <w:t>is change</w:t>
      </w:r>
      <w:r w:rsidR="39634781">
        <w:t xml:space="preserve"> </w:t>
      </w:r>
      <w:r w:rsidR="5987DF36">
        <w:t xml:space="preserve">may impact the usability and relevance of the </w:t>
      </w:r>
      <w:r w:rsidR="0041752B">
        <w:t>P</w:t>
      </w:r>
      <w:r w:rsidR="22F2B6DF">
        <w:t>lan</w:t>
      </w:r>
      <w:r w:rsidRPr="00BE0557">
        <w:t xml:space="preserve"> </w:t>
      </w:r>
      <w:r>
        <w:t>in the short term</w:t>
      </w:r>
      <w:r w:rsidR="2C4D1A31">
        <w:t>.</w:t>
      </w:r>
      <w:bookmarkEnd w:id="114"/>
    </w:p>
    <w:p w14:paraId="0E70453C" w14:textId="69FFBB76" w:rsidR="004E6451" w:rsidRPr="005C2A03" w:rsidRDefault="0089691B" w:rsidP="00285EEE">
      <w:pPr>
        <w:pStyle w:val="Heading4"/>
      </w:pPr>
      <w:r w:rsidRPr="005C2A03">
        <w:lastRenderedPageBreak/>
        <w:t>Case study</w:t>
      </w:r>
      <w:r w:rsidR="004E6451" w:rsidRPr="00A434B6">
        <w:t xml:space="preserve">: </w:t>
      </w:r>
      <w:r w:rsidR="00DC2E44">
        <w:t>Plan</w:t>
      </w:r>
      <w:r w:rsidRPr="00D43D9E">
        <w:t xml:space="preserve"> </w:t>
      </w:r>
      <w:r w:rsidR="004E6451" w:rsidRPr="00285EEE">
        <w:t xml:space="preserve">objectives referencing EU </w:t>
      </w:r>
      <w:r>
        <w:t>D</w:t>
      </w:r>
      <w:r w:rsidR="004E6451" w:rsidRPr="00285EEE">
        <w:t>irectives</w:t>
      </w:r>
    </w:p>
    <w:p w14:paraId="041CCEA4" w14:textId="6BCCE6D9" w:rsidR="004E6451" w:rsidRPr="00D43D9E" w:rsidRDefault="004E6451" w:rsidP="00D56257">
      <w:pPr>
        <w:pBdr>
          <w:top w:val="single" w:sz="4" w:space="1" w:color="auto"/>
          <w:left w:val="single" w:sz="4" w:space="4" w:color="auto"/>
          <w:bottom w:val="single" w:sz="4" w:space="1" w:color="auto"/>
          <w:right w:val="single" w:sz="4" w:space="4" w:color="auto"/>
        </w:pBdr>
        <w:shd w:val="clear" w:color="auto" w:fill="F2F2F2" w:themeFill="background1" w:themeFillShade="F2"/>
        <w:rPr>
          <w:b/>
          <w:bCs/>
          <w:szCs w:val="24"/>
        </w:rPr>
      </w:pPr>
      <w:r w:rsidRPr="00D43D9E">
        <w:rPr>
          <w:b/>
          <w:bCs/>
          <w:szCs w:val="24"/>
        </w:rPr>
        <w:t xml:space="preserve">Objective </w:t>
      </w:r>
      <w:r w:rsidRPr="00D43D9E">
        <w:rPr>
          <w:rFonts w:cs="Arial"/>
          <w:b/>
          <w:bCs/>
          <w:color w:val="000000"/>
          <w:szCs w:val="24"/>
        </w:rPr>
        <w:t>11</w:t>
      </w:r>
    </w:p>
    <w:p w14:paraId="603013C3" w14:textId="776269B1" w:rsidR="004E6451" w:rsidRPr="00285EEE" w:rsidRDefault="004E6451" w:rsidP="00D56257">
      <w:pPr>
        <w:pBdr>
          <w:top w:val="single" w:sz="4" w:space="1" w:color="auto"/>
          <w:left w:val="single" w:sz="4" w:space="4" w:color="auto"/>
          <w:bottom w:val="single" w:sz="4" w:space="1" w:color="auto"/>
          <w:right w:val="single" w:sz="4" w:space="4" w:color="auto"/>
        </w:pBdr>
        <w:shd w:val="clear" w:color="auto" w:fill="F2F2F2" w:themeFill="background1" w:themeFillShade="F2"/>
        <w:rPr>
          <w:szCs w:val="24"/>
        </w:rPr>
      </w:pPr>
      <w:r w:rsidRPr="00285EEE">
        <w:rPr>
          <w:szCs w:val="24"/>
        </w:rPr>
        <w:t>Objective text: To complement and contribute to the achievement or maintenance of Good Ecological Status or Potential under the Water Framework Directive and Good Environmental Status under the Marine Strategy Framework Directive with respect to descriptors for marine litter, non-indigenous species and underwater noise</w:t>
      </w:r>
    </w:p>
    <w:p w14:paraId="57E16125" w14:textId="35135D25" w:rsidR="007F6162" w:rsidRDefault="00CD465F" w:rsidP="00D56257">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t>T</w:t>
      </w:r>
      <w:r w:rsidR="007F6162">
        <w:t xml:space="preserve">he UK was a member of the </w:t>
      </w:r>
      <w:r w:rsidR="005C2A03">
        <w:t>EU</w:t>
      </w:r>
      <w:r w:rsidR="007F6162">
        <w:t xml:space="preserve"> during </w:t>
      </w:r>
      <w:r w:rsidR="00DC2E44">
        <w:t>Plan</w:t>
      </w:r>
      <w:r w:rsidR="007F6162">
        <w:t xml:space="preserve"> preparation,</w:t>
      </w:r>
      <w:r>
        <w:t xml:space="preserve"> with </w:t>
      </w:r>
      <w:r w:rsidR="007F6162">
        <w:t xml:space="preserve">the </w:t>
      </w:r>
      <w:r w:rsidR="005C2A03">
        <w:t>p</w:t>
      </w:r>
      <w:r w:rsidR="007F6162">
        <w:t xml:space="preserve">lan prepared in accordance with EU </w:t>
      </w:r>
      <w:bookmarkStart w:id="115" w:name="_Hlk71799037"/>
      <w:r w:rsidR="00F33BA1">
        <w:fldChar w:fldCharType="begin"/>
      </w:r>
      <w:r w:rsidR="00F33BA1">
        <w:instrText xml:space="preserve"> HYPERLINK "https://ec.europa.eu/maritimeaffairs/policy/maritime_spatial_planning_en" \h </w:instrText>
      </w:r>
      <w:r w:rsidR="00F33BA1">
        <w:fldChar w:fldCharType="separate"/>
      </w:r>
      <w:r w:rsidR="007F6162" w:rsidRPr="5A4504A3">
        <w:rPr>
          <w:rStyle w:val="Hyperlink"/>
        </w:rPr>
        <w:t xml:space="preserve">Maritime Spatial </w:t>
      </w:r>
      <w:r w:rsidR="00DC2E44">
        <w:rPr>
          <w:rStyle w:val="Hyperlink"/>
        </w:rPr>
        <w:t>Plan</w:t>
      </w:r>
      <w:r w:rsidR="007F6162" w:rsidRPr="5A4504A3">
        <w:rPr>
          <w:rStyle w:val="Hyperlink"/>
        </w:rPr>
        <w:t>ning Directive</w:t>
      </w:r>
      <w:r w:rsidR="00F33BA1">
        <w:rPr>
          <w:rStyle w:val="Hyperlink"/>
        </w:rPr>
        <w:fldChar w:fldCharType="end"/>
      </w:r>
      <w:bookmarkEnd w:id="115"/>
      <w:r w:rsidR="007F6162">
        <w:t xml:space="preserve"> (2014/89/EU), which </w:t>
      </w:r>
      <w:r w:rsidR="007F6162" w:rsidRPr="00D56257">
        <w:rPr>
          <w:rFonts w:cs="Arial"/>
          <w:color w:val="000000"/>
          <w:szCs w:val="24"/>
        </w:rPr>
        <w:t>supports</w:t>
      </w:r>
      <w:r w:rsidR="007F6162">
        <w:t xml:space="preserve"> the </w:t>
      </w:r>
      <w:bookmarkStart w:id="116" w:name="_Hlk71799044"/>
      <w:r w:rsidR="00F33BA1" w:rsidRPr="005F2683">
        <w:fldChar w:fldCharType="begin"/>
      </w:r>
      <w:r w:rsidR="00DA71A3" w:rsidRPr="005F2683">
        <w:instrText xml:space="preserve">HYPERLINK "https://ec.europa.eu/info/research-and-innovation/research-area/environment/oceans-and-seas/integrated-maritime-policy_en" \h </w:instrText>
      </w:r>
      <w:r w:rsidR="00F33BA1" w:rsidRPr="005F2683">
        <w:fldChar w:fldCharType="separate"/>
      </w:r>
      <w:r w:rsidR="007F6162" w:rsidRPr="005F2683">
        <w:rPr>
          <w:rStyle w:val="Hyperlink"/>
        </w:rPr>
        <w:t>Integrated Maritime Policy</w:t>
      </w:r>
      <w:r w:rsidR="00F33BA1" w:rsidRPr="005F2683">
        <w:rPr>
          <w:rStyle w:val="Hyperlink"/>
        </w:rPr>
        <w:fldChar w:fldCharType="end"/>
      </w:r>
      <w:bookmarkEnd w:id="116"/>
      <w:r w:rsidR="007F6162">
        <w:t xml:space="preserve"> for the EU. The directive introduced a framework for maritime spatial </w:t>
      </w:r>
      <w:r w:rsidR="002223E6">
        <w:t>p</w:t>
      </w:r>
      <w:r w:rsidR="00DC2E44">
        <w:t>lan</w:t>
      </w:r>
      <w:r w:rsidR="007F6162">
        <w:t>ning and encouraged sustainable development of marine areas and resources.</w:t>
      </w:r>
    </w:p>
    <w:p w14:paraId="324F7E0D" w14:textId="65DB3C40" w:rsidR="006120C7" w:rsidRDefault="004E6451" w:rsidP="00D56257">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rsidRPr="006A6898">
        <w:rPr>
          <w:rFonts w:cs="Arial"/>
        </w:rPr>
        <w:t xml:space="preserve">European legislation is cited throughout the </w:t>
      </w:r>
      <w:r w:rsidR="0041752B">
        <w:t>P</w:t>
      </w:r>
      <w:r w:rsidR="00465C75" w:rsidRPr="000020A8">
        <w:t>lan</w:t>
      </w:r>
      <w:r w:rsidR="005C2A03">
        <w:rPr>
          <w:rFonts w:cs="Arial"/>
        </w:rPr>
        <w:t xml:space="preserve"> and </w:t>
      </w:r>
      <w:r w:rsidRPr="00677FE9">
        <w:rPr>
          <w:rFonts w:cs="Arial"/>
        </w:rPr>
        <w:t>11</w:t>
      </w:r>
      <w:r w:rsidRPr="006A6898">
        <w:rPr>
          <w:rFonts w:cs="Arial"/>
        </w:rPr>
        <w:t xml:space="preserve">7 references were highlighted during the monitoring review, </w:t>
      </w:r>
      <w:r>
        <w:rPr>
          <w:rFonts w:cs="Arial"/>
        </w:rPr>
        <w:t>includ</w:t>
      </w:r>
      <w:r w:rsidR="00C13B57">
        <w:rPr>
          <w:rFonts w:cs="Arial"/>
        </w:rPr>
        <w:t>ing</w:t>
      </w:r>
      <w:r w:rsidRPr="006A6898">
        <w:rPr>
          <w:rFonts w:cs="Arial"/>
        </w:rPr>
        <w:t xml:space="preserve"> </w:t>
      </w:r>
      <w:r>
        <w:rPr>
          <w:rFonts w:cs="Arial"/>
        </w:rPr>
        <w:t>references</w:t>
      </w:r>
      <w:r w:rsidRPr="00EC0017">
        <w:rPr>
          <w:rFonts w:cs="Arial"/>
        </w:rPr>
        <w:t xml:space="preserve"> to the Water Framework Directive and</w:t>
      </w:r>
      <w:r>
        <w:rPr>
          <w:rFonts w:cs="Arial"/>
        </w:rPr>
        <w:t xml:space="preserve"> </w:t>
      </w:r>
      <w:r w:rsidR="00A9762A">
        <w:rPr>
          <w:rFonts w:cs="Arial"/>
        </w:rPr>
        <w:t>GES</w:t>
      </w:r>
      <w:r>
        <w:rPr>
          <w:rFonts w:cs="Arial"/>
        </w:rPr>
        <w:t xml:space="preserve"> under</w:t>
      </w:r>
      <w:r w:rsidRPr="00EC0017">
        <w:rPr>
          <w:rFonts w:cs="Arial"/>
        </w:rPr>
        <w:t xml:space="preserve"> the Marine Strategy Framework Directive</w:t>
      </w:r>
      <w:r w:rsidRPr="006A6898">
        <w:rPr>
          <w:rFonts w:cs="Arial"/>
        </w:rPr>
        <w:t xml:space="preserve"> in </w:t>
      </w:r>
      <w:r w:rsidR="0041752B">
        <w:rPr>
          <w:rFonts w:cs="Arial"/>
        </w:rPr>
        <w:t>P</w:t>
      </w:r>
      <w:r w:rsidRPr="006A6898">
        <w:rPr>
          <w:rFonts w:cs="Arial"/>
        </w:rPr>
        <w:t xml:space="preserve">lan </w:t>
      </w:r>
      <w:r w:rsidR="0089691B">
        <w:rPr>
          <w:rFonts w:cs="Arial"/>
        </w:rPr>
        <w:t>o</w:t>
      </w:r>
      <w:r w:rsidRPr="006A6898">
        <w:rPr>
          <w:rFonts w:cs="Arial"/>
        </w:rPr>
        <w:t>bjective 11.</w:t>
      </w:r>
      <w:r w:rsidR="00C13B57">
        <w:rPr>
          <w:rFonts w:cs="Arial"/>
        </w:rPr>
        <w:t xml:space="preserve"> </w:t>
      </w:r>
      <w:r w:rsidR="0089691B">
        <w:rPr>
          <w:rFonts w:cs="Arial"/>
        </w:rPr>
        <w:br/>
      </w:r>
      <w:r w:rsidR="0089691B">
        <w:rPr>
          <w:rFonts w:cs="Arial"/>
        </w:rPr>
        <w:br/>
      </w:r>
      <w:r w:rsidR="00C13B57">
        <w:rPr>
          <w:rFonts w:cs="Arial"/>
        </w:rPr>
        <w:t xml:space="preserve">Now the UK has left the EU and the transition period has ended, sections of the </w:t>
      </w:r>
      <w:r w:rsidR="0041752B">
        <w:rPr>
          <w:rFonts w:cs="Arial"/>
        </w:rPr>
        <w:t>P</w:t>
      </w:r>
      <w:r w:rsidR="00C13B57">
        <w:rPr>
          <w:rFonts w:cs="Arial"/>
        </w:rPr>
        <w:t>lan which cite E</w:t>
      </w:r>
      <w:r w:rsidR="00C13B57" w:rsidRPr="006A6898">
        <w:rPr>
          <w:rFonts w:cs="Arial"/>
        </w:rPr>
        <w:t xml:space="preserve">U legislation </w:t>
      </w:r>
      <w:r w:rsidR="00C13B57">
        <w:t>are outdated</w:t>
      </w:r>
      <w:r w:rsidR="00C13B57">
        <w:rPr>
          <w:rFonts w:cs="Arial"/>
        </w:rPr>
        <w:t>, while hyperlinks no longer direct users to correct legislation</w:t>
      </w:r>
      <w:r w:rsidR="00CD465F">
        <w:rPr>
          <w:rFonts w:cs="Arial"/>
        </w:rPr>
        <w:t xml:space="preserve">. This may adversely impact </w:t>
      </w:r>
      <w:r w:rsidR="00DC2E44">
        <w:rPr>
          <w:rFonts w:cs="Arial"/>
        </w:rPr>
        <w:t>Plan</w:t>
      </w:r>
      <w:r w:rsidR="00CD465F">
        <w:rPr>
          <w:rFonts w:cs="Arial"/>
        </w:rPr>
        <w:t xml:space="preserve"> usability and </w:t>
      </w:r>
      <w:r w:rsidR="00C13B57">
        <w:rPr>
          <w:rFonts w:cs="Arial"/>
        </w:rPr>
        <w:t>policy implementation.</w:t>
      </w:r>
    </w:p>
    <w:p w14:paraId="6765866B" w14:textId="3D869766" w:rsidR="0089691B" w:rsidRDefault="00465C75" w:rsidP="00D56257">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bookmarkStart w:id="117" w:name="_Hlk71542920"/>
      <w:r w:rsidRPr="006A6898">
        <w:rPr>
          <w:rFonts w:cs="Arial"/>
        </w:rPr>
        <w:t xml:space="preserve">Following enactment of the </w:t>
      </w:r>
      <w:bookmarkStart w:id="118" w:name="_Hlk71799051"/>
      <w:r w:rsidR="00F33BA1">
        <w:fldChar w:fldCharType="begin"/>
      </w:r>
      <w:r w:rsidR="00F33BA1">
        <w:instrText xml:space="preserve"> HYPERLINK "https://www.legislation.gov.uk/ukpga/2020/1/contents/enacted" </w:instrText>
      </w:r>
      <w:r w:rsidR="00F33BA1">
        <w:fldChar w:fldCharType="separate"/>
      </w:r>
      <w:r w:rsidRPr="006A6898">
        <w:rPr>
          <w:rStyle w:val="Hyperlink"/>
          <w:rFonts w:cs="Arial"/>
        </w:rPr>
        <w:t>European Union (Withdrawal Agreement) Act 2020</w:t>
      </w:r>
      <w:r w:rsidR="00F33BA1">
        <w:rPr>
          <w:rStyle w:val="Hyperlink"/>
          <w:rFonts w:cs="Arial"/>
        </w:rPr>
        <w:fldChar w:fldCharType="end"/>
      </w:r>
      <w:bookmarkEnd w:id="118"/>
      <w:r w:rsidRPr="006A6898">
        <w:rPr>
          <w:rFonts w:cs="Arial"/>
        </w:rPr>
        <w:t xml:space="preserve">, EU </w:t>
      </w:r>
      <w:r w:rsidR="005C2A03">
        <w:rPr>
          <w:rFonts w:cs="Arial"/>
        </w:rPr>
        <w:t>l</w:t>
      </w:r>
      <w:r w:rsidRPr="006A6898">
        <w:rPr>
          <w:rFonts w:cs="Arial"/>
        </w:rPr>
        <w:t xml:space="preserve">egislation has </w:t>
      </w:r>
      <w:r w:rsidR="0022172C">
        <w:rPr>
          <w:rFonts w:cs="Arial"/>
        </w:rPr>
        <w:t xml:space="preserve">been </w:t>
      </w:r>
      <w:r w:rsidR="0038783F">
        <w:rPr>
          <w:rFonts w:cs="Arial"/>
        </w:rPr>
        <w:t>transposed to UK</w:t>
      </w:r>
      <w:r w:rsidR="0022172C">
        <w:rPr>
          <w:rFonts w:cs="Arial"/>
        </w:rPr>
        <w:t xml:space="preserve"> domestic</w:t>
      </w:r>
      <w:r w:rsidR="006B1B49" w:rsidRPr="006A6898">
        <w:rPr>
          <w:rFonts w:cs="Arial"/>
        </w:rPr>
        <w:t xml:space="preserve"> </w:t>
      </w:r>
      <w:r w:rsidRPr="006A6898">
        <w:rPr>
          <w:rFonts w:cs="Arial"/>
        </w:rPr>
        <w:t>legislation</w:t>
      </w:r>
      <w:r w:rsidR="00856ACE">
        <w:rPr>
          <w:rFonts w:cs="Arial"/>
        </w:rPr>
        <w:t>, while in other instances, new UK legislation is being drafted.</w:t>
      </w:r>
      <w:r>
        <w:rPr>
          <w:rFonts w:cs="Arial"/>
        </w:rPr>
        <w:t xml:space="preserve"> </w:t>
      </w:r>
    </w:p>
    <w:p w14:paraId="6FB92167" w14:textId="22E7561F" w:rsidR="00A434B6" w:rsidRPr="00F36863" w:rsidRDefault="00C13B57" w:rsidP="00F36863">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rPr>
          <w:rFonts w:cs="Arial"/>
        </w:rPr>
        <w:t>All new or transposed</w:t>
      </w:r>
      <w:r w:rsidRPr="000E4316">
        <w:rPr>
          <w:rFonts w:cs="Arial"/>
        </w:rPr>
        <w:t xml:space="preserve"> legislation </w:t>
      </w:r>
      <w:r w:rsidR="00B6305D">
        <w:rPr>
          <w:rFonts w:cs="Arial"/>
        </w:rPr>
        <w:t>will need to</w:t>
      </w:r>
      <w:r w:rsidR="00B6305D" w:rsidRPr="000E4316">
        <w:rPr>
          <w:rFonts w:cs="Arial"/>
        </w:rPr>
        <w:t xml:space="preserve"> </w:t>
      </w:r>
      <w:r w:rsidRPr="000E4316">
        <w:rPr>
          <w:rFonts w:cs="Arial"/>
        </w:rPr>
        <w:t xml:space="preserve">be </w:t>
      </w:r>
      <w:r w:rsidR="00CD465F">
        <w:rPr>
          <w:rFonts w:cs="Arial"/>
        </w:rPr>
        <w:t xml:space="preserve">appropriately </w:t>
      </w:r>
      <w:r w:rsidRPr="000E4316">
        <w:rPr>
          <w:rFonts w:cs="Arial"/>
        </w:rPr>
        <w:t xml:space="preserve">reflected </w:t>
      </w:r>
      <w:r w:rsidR="00875992">
        <w:rPr>
          <w:rFonts w:cs="Arial"/>
        </w:rPr>
        <w:t>if a decision to</w:t>
      </w:r>
      <w:r w:rsidR="00E33425">
        <w:rPr>
          <w:rFonts w:cs="Arial"/>
        </w:rPr>
        <w:t xml:space="preserve"> amend the </w:t>
      </w:r>
      <w:r w:rsidR="0041752B">
        <w:rPr>
          <w:rFonts w:cs="Arial"/>
        </w:rPr>
        <w:t>P</w:t>
      </w:r>
      <w:r w:rsidRPr="000E4316">
        <w:rPr>
          <w:rFonts w:cs="Arial"/>
        </w:rPr>
        <w:t>lan</w:t>
      </w:r>
      <w:r w:rsidR="00875992">
        <w:rPr>
          <w:rFonts w:cs="Arial"/>
        </w:rPr>
        <w:t xml:space="preserve"> is taken</w:t>
      </w:r>
      <w:r w:rsidR="00CD465F">
        <w:rPr>
          <w:rFonts w:cs="Arial"/>
        </w:rPr>
        <w:t>, or</w:t>
      </w:r>
      <w:r w:rsidR="00C04303">
        <w:rPr>
          <w:rFonts w:cs="Arial"/>
        </w:rPr>
        <w:t>,</w:t>
      </w:r>
      <w:r w:rsidR="00C16B48">
        <w:rPr>
          <w:rFonts w:cs="Arial"/>
        </w:rPr>
        <w:t xml:space="preserve"> in </w:t>
      </w:r>
      <w:r w:rsidR="003158E7">
        <w:rPr>
          <w:rFonts w:cs="Arial"/>
        </w:rPr>
        <w:t>the</w:t>
      </w:r>
      <w:r w:rsidR="00C16B48">
        <w:rPr>
          <w:rFonts w:cs="Arial"/>
        </w:rPr>
        <w:t xml:space="preserve"> case where the </w:t>
      </w:r>
      <w:r w:rsidR="0041752B">
        <w:rPr>
          <w:rFonts w:cs="Arial"/>
        </w:rPr>
        <w:t>P</w:t>
      </w:r>
      <w:r w:rsidR="00C16B48">
        <w:rPr>
          <w:rFonts w:cs="Arial"/>
        </w:rPr>
        <w:t xml:space="preserve">lan is not </w:t>
      </w:r>
      <w:r w:rsidR="00117FEC">
        <w:rPr>
          <w:rFonts w:cs="Arial"/>
        </w:rPr>
        <w:t>updated</w:t>
      </w:r>
      <w:r w:rsidR="00C04303">
        <w:rPr>
          <w:rFonts w:cs="Arial"/>
        </w:rPr>
        <w:t>,</w:t>
      </w:r>
      <w:r w:rsidR="00CD465F">
        <w:rPr>
          <w:rFonts w:cs="Arial"/>
        </w:rPr>
        <w:t xml:space="preserve"> guidance </w:t>
      </w:r>
      <w:r w:rsidR="00FA410E">
        <w:rPr>
          <w:rFonts w:cs="Arial"/>
        </w:rPr>
        <w:t xml:space="preserve">be </w:t>
      </w:r>
      <w:r w:rsidR="00CD465F">
        <w:rPr>
          <w:rFonts w:cs="Arial"/>
        </w:rPr>
        <w:t xml:space="preserve">added that enables users to locate applicable legislation and correctly implement the </w:t>
      </w:r>
      <w:r w:rsidR="0041752B">
        <w:rPr>
          <w:rFonts w:cs="Arial"/>
        </w:rPr>
        <w:t>P</w:t>
      </w:r>
      <w:r w:rsidR="00CD465F">
        <w:rPr>
          <w:rFonts w:cs="Arial"/>
        </w:rPr>
        <w:t>lan.</w:t>
      </w:r>
      <w:bookmarkEnd w:id="117"/>
    </w:p>
    <w:p w14:paraId="1D91BA2E" w14:textId="42225DAD" w:rsidR="00695AD5" w:rsidRPr="00D43D9E" w:rsidRDefault="7F7627C0">
      <w:pPr>
        <w:pStyle w:val="ListParagraph"/>
        <w:numPr>
          <w:ilvl w:val="0"/>
          <w:numId w:val="8"/>
        </w:numPr>
        <w:ind w:left="561" w:hanging="567"/>
        <w:contextualSpacing w:val="0"/>
        <w:rPr>
          <w:rFonts w:cs="Arial"/>
        </w:rPr>
      </w:pPr>
      <w:r w:rsidRPr="375902C0">
        <w:rPr>
          <w:rFonts w:cs="Arial"/>
        </w:rPr>
        <w:t>T</w:t>
      </w:r>
      <w:r w:rsidR="63ADA959" w:rsidRPr="375902C0">
        <w:rPr>
          <w:rFonts w:cs="Arial"/>
        </w:rPr>
        <w:t>he</w:t>
      </w:r>
      <w:r w:rsidR="35261574" w:rsidRPr="375902C0">
        <w:rPr>
          <w:rFonts w:cs="Arial"/>
        </w:rPr>
        <w:t xml:space="preserve"> UK MPS</w:t>
      </w:r>
      <w:r w:rsidR="63ADA959" w:rsidRPr="375902C0">
        <w:rPr>
          <w:rFonts w:cs="Arial"/>
        </w:rPr>
        <w:t xml:space="preserve"> Section 1.2.3 and </w:t>
      </w:r>
      <w:bookmarkStart w:id="119" w:name="_Hlk71799065"/>
      <w:r w:rsidR="00F33BA1">
        <w:fldChar w:fldCharType="begin"/>
      </w:r>
      <w:r w:rsidR="00F33BA1">
        <w:instrText xml:space="preserve"> HYPERLINK "https://www.gov.uk/government/publications/25-year-environment-plan" \h </w:instrText>
      </w:r>
      <w:r w:rsidR="00F33BA1">
        <w:fldChar w:fldCharType="separate"/>
      </w:r>
      <w:r w:rsidR="009D7CD1">
        <w:rPr>
          <w:rStyle w:val="Hyperlink"/>
          <w:rFonts w:cs="Arial"/>
        </w:rPr>
        <w:t xml:space="preserve">A Green Future: Our 25 Year Environment </w:t>
      </w:r>
      <w:r w:rsidR="00DC2E44">
        <w:rPr>
          <w:rStyle w:val="Hyperlink"/>
          <w:rFonts w:cs="Arial"/>
        </w:rPr>
        <w:t>Plan</w:t>
      </w:r>
      <w:r w:rsidR="009D7CD1">
        <w:rPr>
          <w:rStyle w:val="Hyperlink"/>
          <w:rFonts w:cs="Arial"/>
        </w:rPr>
        <w:t xml:space="preserve"> to Improve the Environment</w:t>
      </w:r>
      <w:r w:rsidR="00F33BA1">
        <w:rPr>
          <w:rStyle w:val="Hyperlink"/>
          <w:rFonts w:cs="Arial"/>
        </w:rPr>
        <w:fldChar w:fldCharType="end"/>
      </w:r>
      <w:bookmarkEnd w:id="119"/>
      <w:r w:rsidR="63ADA959" w:rsidRPr="375902C0">
        <w:rPr>
          <w:rFonts w:cs="Arial"/>
        </w:rPr>
        <w:t xml:space="preserve"> </w:t>
      </w:r>
      <w:r w:rsidR="009D7CD1">
        <w:rPr>
          <w:rFonts w:cs="Arial"/>
        </w:rPr>
        <w:t xml:space="preserve">(referred to as The 25 Year Environment </w:t>
      </w:r>
      <w:r w:rsidR="00DC2E44">
        <w:rPr>
          <w:rFonts w:cs="Arial"/>
        </w:rPr>
        <w:t>Plan</w:t>
      </w:r>
      <w:r w:rsidR="005C2A03">
        <w:rPr>
          <w:rFonts w:cs="Arial"/>
        </w:rPr>
        <w:t xml:space="preserve"> in this document</w:t>
      </w:r>
      <w:r w:rsidR="009D7CD1">
        <w:rPr>
          <w:rFonts w:cs="Arial"/>
        </w:rPr>
        <w:t>)</w:t>
      </w:r>
      <w:r w:rsidR="63ADA959" w:rsidRPr="375902C0">
        <w:rPr>
          <w:rFonts w:cs="Arial"/>
        </w:rPr>
        <w:t xml:space="preserve"> </w:t>
      </w:r>
      <w:r w:rsidR="2BEAF97E" w:rsidRPr="375902C0">
        <w:rPr>
          <w:rFonts w:cs="Arial"/>
        </w:rPr>
        <w:t>set</w:t>
      </w:r>
      <w:r w:rsidR="008F2AC0">
        <w:rPr>
          <w:rFonts w:cs="Arial"/>
        </w:rPr>
        <w:t>s</w:t>
      </w:r>
      <w:r w:rsidR="6B723285" w:rsidRPr="375902C0">
        <w:rPr>
          <w:rFonts w:cs="Arial"/>
        </w:rPr>
        <w:t xml:space="preserve"> out </w:t>
      </w:r>
      <w:r w:rsidR="21FA2BE0" w:rsidRPr="375902C0">
        <w:rPr>
          <w:rFonts w:cs="Arial"/>
        </w:rPr>
        <w:t xml:space="preserve">the requirement </w:t>
      </w:r>
      <w:r w:rsidR="63ADA959" w:rsidRPr="375902C0">
        <w:rPr>
          <w:rFonts w:cs="Arial"/>
        </w:rPr>
        <w:t xml:space="preserve">to ensure marine </w:t>
      </w:r>
      <w:r w:rsidR="0041752B">
        <w:rPr>
          <w:rFonts w:cs="Arial"/>
        </w:rPr>
        <w:t>p</w:t>
      </w:r>
      <w:r w:rsidR="00DC2E44">
        <w:rPr>
          <w:rFonts w:cs="Arial"/>
        </w:rPr>
        <w:t>lan</w:t>
      </w:r>
      <w:r w:rsidR="63ADA959" w:rsidRPr="375902C0">
        <w:rPr>
          <w:rFonts w:cs="Arial"/>
        </w:rPr>
        <w:t xml:space="preserve">s work cohesively with </w:t>
      </w:r>
      <w:r w:rsidR="35261574" w:rsidRPr="375902C0">
        <w:rPr>
          <w:rFonts w:cs="Arial"/>
        </w:rPr>
        <w:t>those of</w:t>
      </w:r>
      <w:r w:rsidR="63ADA959" w:rsidRPr="375902C0">
        <w:rPr>
          <w:rFonts w:cs="Arial"/>
        </w:rPr>
        <w:t xml:space="preserve"> neighbouring countries. </w:t>
      </w:r>
      <w:r w:rsidR="0089691B">
        <w:rPr>
          <w:rFonts w:cs="Arial"/>
        </w:rPr>
        <w:br/>
      </w:r>
      <w:r w:rsidR="0089691B">
        <w:rPr>
          <w:rFonts w:cs="Arial"/>
        </w:rPr>
        <w:br/>
      </w:r>
      <w:r w:rsidR="63ADA959" w:rsidRPr="00D43D9E">
        <w:rPr>
          <w:rFonts w:cs="Arial"/>
        </w:rPr>
        <w:t xml:space="preserve">The </w:t>
      </w:r>
      <w:r w:rsidR="0089691B" w:rsidRPr="0089691B">
        <w:rPr>
          <w:rFonts w:cs="Arial"/>
        </w:rPr>
        <w:t xml:space="preserve">South Offshore </w:t>
      </w:r>
      <w:r w:rsidR="0089691B" w:rsidRPr="00D43BAE">
        <w:t>Marine</w:t>
      </w:r>
      <w:r w:rsidR="0089691B" w:rsidRPr="0089691B">
        <w:rPr>
          <w:rFonts w:cs="Arial"/>
        </w:rPr>
        <w:t xml:space="preserve"> </w:t>
      </w:r>
      <w:r w:rsidR="00DC2E44">
        <w:rPr>
          <w:rFonts w:cs="Arial"/>
        </w:rPr>
        <w:t>Plan</w:t>
      </w:r>
      <w:r w:rsidR="63ADA959" w:rsidRPr="00D43D9E">
        <w:rPr>
          <w:rFonts w:cs="Arial"/>
        </w:rPr>
        <w:t xml:space="preserve"> area borders France</w:t>
      </w:r>
      <w:r w:rsidR="6F9AA2C0" w:rsidRPr="00D43D9E">
        <w:rPr>
          <w:rFonts w:cs="Arial"/>
        </w:rPr>
        <w:t xml:space="preserve"> and the Channel Islands</w:t>
      </w:r>
      <w:r w:rsidR="006B317C" w:rsidRPr="00D43D9E">
        <w:rPr>
          <w:rFonts w:cs="Arial"/>
        </w:rPr>
        <w:t xml:space="preserve">, </w:t>
      </w:r>
      <w:r w:rsidR="00124371" w:rsidRPr="00D43D9E">
        <w:rPr>
          <w:rFonts w:cs="Arial"/>
        </w:rPr>
        <w:t>specifically Guernsey</w:t>
      </w:r>
      <w:r w:rsidR="006B317C" w:rsidRPr="00D43D9E">
        <w:rPr>
          <w:rFonts w:cs="Arial"/>
        </w:rPr>
        <w:t xml:space="preserve"> </w:t>
      </w:r>
      <w:r w:rsidR="00124371" w:rsidRPr="00D43D9E">
        <w:rPr>
          <w:rFonts w:cs="Arial"/>
        </w:rPr>
        <w:t>(</w:t>
      </w:r>
      <w:r w:rsidR="00124371" w:rsidRPr="00D43D9E">
        <w:rPr>
          <w:rFonts w:cs="Arial"/>
        </w:rPr>
        <w:fldChar w:fldCharType="begin"/>
      </w:r>
      <w:r w:rsidR="00124371" w:rsidRPr="00285EEE">
        <w:rPr>
          <w:rFonts w:cs="Arial"/>
        </w:rPr>
        <w:instrText xml:space="preserve"> REF _Ref33132623 \h </w:instrText>
      </w:r>
      <w:r w:rsidR="00124371" w:rsidRPr="00D43D9E">
        <w:rPr>
          <w:rFonts w:cs="Arial"/>
        </w:rPr>
      </w:r>
      <w:r w:rsidR="00124371" w:rsidRPr="00D43D9E">
        <w:rPr>
          <w:rFonts w:cs="Arial"/>
        </w:rPr>
        <w:fldChar w:fldCharType="separate"/>
      </w:r>
      <w:r w:rsidR="00CA357C" w:rsidRPr="002A532E">
        <w:t xml:space="preserve">Figure </w:t>
      </w:r>
      <w:r w:rsidR="00CA357C">
        <w:rPr>
          <w:noProof/>
        </w:rPr>
        <w:t>1</w:t>
      </w:r>
      <w:r w:rsidR="00124371" w:rsidRPr="00D43D9E">
        <w:rPr>
          <w:rFonts w:cs="Arial"/>
        </w:rPr>
        <w:fldChar w:fldCharType="end"/>
      </w:r>
      <w:r w:rsidR="00124371" w:rsidRPr="00D43D9E">
        <w:rPr>
          <w:rFonts w:cs="Arial"/>
        </w:rPr>
        <w:t>)</w:t>
      </w:r>
      <w:r w:rsidR="006F0FEB" w:rsidRPr="00D43D9E">
        <w:rPr>
          <w:rFonts w:cs="Arial"/>
        </w:rPr>
        <w:t>.</w:t>
      </w:r>
      <w:r w:rsidR="35261574" w:rsidRPr="00285EEE">
        <w:rPr>
          <w:rFonts w:cs="Arial"/>
        </w:rPr>
        <w:t xml:space="preserve"> </w:t>
      </w:r>
      <w:r w:rsidR="006F0FEB" w:rsidRPr="00285EEE">
        <w:rPr>
          <w:rFonts w:cs="Arial"/>
        </w:rPr>
        <w:t>T</w:t>
      </w:r>
      <w:r w:rsidR="35261574" w:rsidRPr="00285EEE">
        <w:rPr>
          <w:rFonts w:cs="Arial"/>
        </w:rPr>
        <w:t xml:space="preserve">hese </w:t>
      </w:r>
      <w:r w:rsidR="35261574" w:rsidRPr="09F83F24">
        <w:t>administrations’</w:t>
      </w:r>
      <w:r w:rsidR="35261574" w:rsidRPr="00D43D9E">
        <w:rPr>
          <w:rFonts w:cs="Arial"/>
        </w:rPr>
        <w:t xml:space="preserve"> approaches</w:t>
      </w:r>
      <w:r w:rsidR="006B317C" w:rsidRPr="00D43D9E">
        <w:rPr>
          <w:rFonts w:cs="Arial"/>
        </w:rPr>
        <w:t xml:space="preserve"> to marine </w:t>
      </w:r>
      <w:r w:rsidR="002223E6">
        <w:rPr>
          <w:rFonts w:cs="Arial"/>
        </w:rPr>
        <w:t>p</w:t>
      </w:r>
      <w:r w:rsidR="00DC2E44">
        <w:rPr>
          <w:rFonts w:cs="Arial"/>
        </w:rPr>
        <w:t>lan</w:t>
      </w:r>
      <w:r w:rsidR="006B317C" w:rsidRPr="00D43D9E">
        <w:rPr>
          <w:rFonts w:cs="Arial"/>
        </w:rPr>
        <w:t>ning inform</w:t>
      </w:r>
      <w:r w:rsidR="0029311E" w:rsidRPr="00D43D9E">
        <w:rPr>
          <w:rFonts w:cs="Arial"/>
        </w:rPr>
        <w:t>s</w:t>
      </w:r>
      <w:r w:rsidR="006B317C" w:rsidRPr="00D43D9E">
        <w:rPr>
          <w:rFonts w:cs="Arial"/>
        </w:rPr>
        <w:t xml:space="preserve"> </w:t>
      </w:r>
      <w:r w:rsidR="0029311E" w:rsidRPr="00D43D9E">
        <w:rPr>
          <w:rFonts w:cs="Arial"/>
        </w:rPr>
        <w:t xml:space="preserve">understanding of </w:t>
      </w:r>
      <w:r w:rsidR="006B317C" w:rsidRPr="00D43D9E">
        <w:rPr>
          <w:rFonts w:cs="Arial"/>
        </w:rPr>
        <w:t>context related to cross-border issues</w:t>
      </w:r>
      <w:r w:rsidR="63ADA959" w:rsidRPr="00D43D9E">
        <w:rPr>
          <w:rFonts w:cs="Arial"/>
        </w:rPr>
        <w:t>.</w:t>
      </w:r>
    </w:p>
    <w:p w14:paraId="0F47874D" w14:textId="3B709B73" w:rsidR="003C516B" w:rsidRPr="00B05B30" w:rsidRDefault="71FFFA30" w:rsidP="00D43BAE">
      <w:pPr>
        <w:pStyle w:val="ListParagraph"/>
        <w:numPr>
          <w:ilvl w:val="0"/>
          <w:numId w:val="8"/>
        </w:numPr>
        <w:ind w:left="561" w:hanging="567"/>
        <w:contextualSpacing w:val="0"/>
        <w:rPr>
          <w:rFonts w:cs="Arial"/>
        </w:rPr>
      </w:pPr>
      <w:r w:rsidRPr="375902C0">
        <w:rPr>
          <w:rFonts w:cs="Arial"/>
        </w:rPr>
        <w:t xml:space="preserve">Alongside the implications of exiting the EU, </w:t>
      </w:r>
      <w:r>
        <w:t xml:space="preserve">national legislation, </w:t>
      </w:r>
      <w:r w:rsidR="0041752B">
        <w:t>p</w:t>
      </w:r>
      <w:r w:rsidR="00DC2E44">
        <w:t>lan</w:t>
      </w:r>
      <w:r>
        <w:t xml:space="preserve">s and strategies of marine relevance have continued to evolve and develop in response to emerging priorities. </w:t>
      </w:r>
      <w:r w:rsidR="0089691B">
        <w:br/>
      </w:r>
      <w:r w:rsidR="0089691B">
        <w:br/>
      </w:r>
      <w:r>
        <w:t xml:space="preserve">The following analysis focuses on policy and legislative changes over the last three years and known forthcoming or potential future changes. </w:t>
      </w:r>
    </w:p>
    <w:p w14:paraId="127C5502" w14:textId="6A08704E" w:rsidR="00B05B30" w:rsidRPr="003C516B" w:rsidRDefault="00B05B30" w:rsidP="00D43BAE">
      <w:pPr>
        <w:pStyle w:val="ListParagraph"/>
        <w:numPr>
          <w:ilvl w:val="0"/>
          <w:numId w:val="8"/>
        </w:numPr>
        <w:ind w:left="561" w:hanging="567"/>
        <w:contextualSpacing w:val="0"/>
        <w:rPr>
          <w:rFonts w:cs="Arial"/>
        </w:rPr>
      </w:pPr>
      <w:r w:rsidRPr="00B05B30">
        <w:rPr>
          <w:rFonts w:cs="Arial"/>
        </w:rPr>
        <w:t xml:space="preserve">France adopted a National Strategy for the Sea and Coast in February 2017, which is implemented regionally via Sea basin strategy documents, adopted in Spring 2019. </w:t>
      </w:r>
      <w:r w:rsidRPr="00B05B30">
        <w:rPr>
          <w:rFonts w:cs="Arial"/>
        </w:rPr>
        <w:lastRenderedPageBreak/>
        <w:t xml:space="preserve">The region bordering the </w:t>
      </w:r>
      <w:r w:rsidR="00C406C0">
        <w:rPr>
          <w:rFonts w:cs="Arial"/>
        </w:rPr>
        <w:t>S</w:t>
      </w:r>
      <w:r w:rsidRPr="00B05B30">
        <w:rPr>
          <w:rFonts w:cs="Arial"/>
        </w:rPr>
        <w:t xml:space="preserve">outh </w:t>
      </w:r>
      <w:r w:rsidR="00C406C0">
        <w:rPr>
          <w:rFonts w:cs="Arial"/>
        </w:rPr>
        <w:t>O</w:t>
      </w:r>
      <w:r w:rsidRPr="00B05B30">
        <w:rPr>
          <w:rFonts w:cs="Arial"/>
        </w:rPr>
        <w:t xml:space="preserve">ffshore </w:t>
      </w:r>
      <w:r w:rsidR="00C406C0">
        <w:rPr>
          <w:rFonts w:cs="Arial"/>
        </w:rPr>
        <w:t>M</w:t>
      </w:r>
      <w:r w:rsidRPr="00B05B30">
        <w:rPr>
          <w:rFonts w:cs="Arial"/>
        </w:rPr>
        <w:t xml:space="preserve">arine </w:t>
      </w:r>
      <w:r w:rsidR="00DC2E44">
        <w:rPr>
          <w:rFonts w:cs="Arial"/>
        </w:rPr>
        <w:t>Plan</w:t>
      </w:r>
      <w:r w:rsidRPr="00B05B30">
        <w:rPr>
          <w:rFonts w:cs="Arial"/>
        </w:rPr>
        <w:t xml:space="preserve"> areas is managed by Eastern Channel </w:t>
      </w:r>
      <w:r w:rsidR="00A434B6">
        <w:rPr>
          <w:rFonts w:cs="Arial"/>
        </w:rPr>
        <w:t>to</w:t>
      </w:r>
      <w:r w:rsidRPr="00B05B30">
        <w:rPr>
          <w:rFonts w:cs="Arial"/>
        </w:rPr>
        <w:t xml:space="preserve"> North Sea document, which contains 15 </w:t>
      </w:r>
      <w:r w:rsidR="006F0FEB">
        <w:rPr>
          <w:rFonts w:cs="Arial"/>
        </w:rPr>
        <w:t>g</w:t>
      </w:r>
      <w:r w:rsidRPr="00B05B30">
        <w:rPr>
          <w:rFonts w:cs="Arial"/>
        </w:rPr>
        <w:t xml:space="preserve">eneral </w:t>
      </w:r>
      <w:r w:rsidR="006F0FEB">
        <w:rPr>
          <w:rFonts w:cs="Arial"/>
        </w:rPr>
        <w:t>s</w:t>
      </w:r>
      <w:r w:rsidRPr="00B05B30">
        <w:rPr>
          <w:rFonts w:cs="Arial"/>
        </w:rPr>
        <w:t xml:space="preserve">trategic </w:t>
      </w:r>
      <w:r w:rsidR="006F0FEB">
        <w:rPr>
          <w:rFonts w:cs="Arial"/>
        </w:rPr>
        <w:t>o</w:t>
      </w:r>
      <w:r w:rsidRPr="00B05B30">
        <w:rPr>
          <w:rFonts w:cs="Arial"/>
        </w:rPr>
        <w:t xml:space="preserve">bjectives. </w:t>
      </w:r>
      <w:r w:rsidR="0089691B">
        <w:rPr>
          <w:rFonts w:cs="Arial"/>
        </w:rPr>
        <w:br/>
      </w:r>
      <w:r w:rsidR="0089691B">
        <w:rPr>
          <w:rFonts w:cs="Arial"/>
        </w:rPr>
        <w:br/>
      </w:r>
      <w:r w:rsidRPr="00B05B30">
        <w:rPr>
          <w:rFonts w:cs="Arial"/>
        </w:rPr>
        <w:t xml:space="preserve">Many of these overlap with objectives in the </w:t>
      </w:r>
      <w:r w:rsidR="0041752B">
        <w:rPr>
          <w:rFonts w:cs="Arial"/>
        </w:rPr>
        <w:t>P</w:t>
      </w:r>
      <w:r w:rsidRPr="00B05B30">
        <w:rPr>
          <w:rFonts w:cs="Arial"/>
        </w:rPr>
        <w:t xml:space="preserve">lan, though with others the link is less clear, </w:t>
      </w:r>
      <w:r w:rsidR="006F0FEB">
        <w:rPr>
          <w:rFonts w:cs="Arial"/>
        </w:rPr>
        <w:t>for example</w:t>
      </w:r>
      <w:r w:rsidRPr="00B05B30">
        <w:rPr>
          <w:rFonts w:cs="Arial"/>
        </w:rPr>
        <w:t xml:space="preserve"> agriculture, shipbuilding and nautical construction, and artificialisation of the coastline. </w:t>
      </w:r>
      <w:r w:rsidR="0089691B">
        <w:rPr>
          <w:rFonts w:cs="Arial"/>
        </w:rPr>
        <w:br/>
      </w:r>
      <w:r w:rsidR="0089691B">
        <w:rPr>
          <w:rFonts w:cs="Arial"/>
        </w:rPr>
        <w:br/>
      </w:r>
      <w:r w:rsidRPr="00B05B30">
        <w:rPr>
          <w:rFonts w:cs="Arial"/>
        </w:rPr>
        <w:t xml:space="preserve">These, however, relate to terrestrial or coastal issues in France, and are thus less likely to impact cross-border considerations of relevance to the </w:t>
      </w:r>
      <w:r w:rsidR="00B07496">
        <w:rPr>
          <w:rFonts w:cs="Arial"/>
        </w:rPr>
        <w:t xml:space="preserve">South Marine </w:t>
      </w:r>
      <w:r w:rsidR="00DC2E44">
        <w:rPr>
          <w:rFonts w:cs="Arial"/>
        </w:rPr>
        <w:t>Plan</w:t>
      </w:r>
      <w:r w:rsidRPr="00B05B30">
        <w:rPr>
          <w:rFonts w:cs="Arial"/>
        </w:rPr>
        <w:t xml:space="preserve"> area. </w:t>
      </w:r>
      <w:r w:rsidR="0089691B">
        <w:rPr>
          <w:rFonts w:cs="Arial"/>
        </w:rPr>
        <w:br/>
      </w:r>
      <w:r w:rsidR="0089691B">
        <w:rPr>
          <w:rFonts w:cs="Arial"/>
        </w:rPr>
        <w:br/>
      </w:r>
      <w:r w:rsidRPr="00B05B30">
        <w:rPr>
          <w:rFonts w:cs="Arial"/>
        </w:rPr>
        <w:t xml:space="preserve">No notable contextual developments were identified regarding the Guernsey’s Island Development </w:t>
      </w:r>
      <w:r w:rsidR="00DC2E44">
        <w:rPr>
          <w:rFonts w:cs="Arial"/>
        </w:rPr>
        <w:t>Plan</w:t>
      </w:r>
      <w:r w:rsidRPr="00B05B30">
        <w:rPr>
          <w:rFonts w:cs="Arial"/>
        </w:rPr>
        <w:t xml:space="preserve"> (IDP) which was adopted in 2016.</w:t>
      </w:r>
    </w:p>
    <w:p w14:paraId="36BA25FD" w14:textId="4FAD8251" w:rsidR="003131EA" w:rsidRPr="00447392" w:rsidRDefault="564F5BBA" w:rsidP="00D43BAE">
      <w:pPr>
        <w:pStyle w:val="ListParagraph"/>
        <w:numPr>
          <w:ilvl w:val="0"/>
          <w:numId w:val="8"/>
        </w:numPr>
        <w:ind w:left="561" w:hanging="567"/>
        <w:contextualSpacing w:val="0"/>
        <w:rPr>
          <w:rFonts w:cs="Arial"/>
        </w:rPr>
      </w:pPr>
      <w:r w:rsidRPr="375902C0">
        <w:rPr>
          <w:rFonts w:cs="Arial"/>
        </w:rPr>
        <w:t xml:space="preserve">Of the 126 </w:t>
      </w:r>
      <w:r w:rsidR="0041752B">
        <w:rPr>
          <w:rFonts w:cs="Arial"/>
        </w:rPr>
        <w:t>p</w:t>
      </w:r>
      <w:r w:rsidR="00DC2E44">
        <w:rPr>
          <w:rFonts w:cs="Arial"/>
        </w:rPr>
        <w:t>lan</w:t>
      </w:r>
      <w:r w:rsidRPr="375902C0">
        <w:rPr>
          <w:rFonts w:cs="Arial"/>
        </w:rPr>
        <w:t xml:space="preserve">s, policies, strategies and pieces of legislation cited, 101 have changed in some way </w:t>
      </w:r>
      <w:r w:rsidRPr="00D43BAE">
        <w:t>since</w:t>
      </w:r>
      <w:r w:rsidRPr="375902C0">
        <w:rPr>
          <w:rFonts w:cs="Arial"/>
        </w:rPr>
        <w:t xml:space="preserve"> </w:t>
      </w:r>
      <w:r w:rsidR="0041752B">
        <w:rPr>
          <w:rFonts w:cs="Arial"/>
        </w:rPr>
        <w:t>P</w:t>
      </w:r>
      <w:r w:rsidRPr="375902C0">
        <w:rPr>
          <w:rFonts w:cs="Arial"/>
        </w:rPr>
        <w:t xml:space="preserve">lan adoption, </w:t>
      </w:r>
      <w:r w:rsidR="001E1789">
        <w:rPr>
          <w:rFonts w:cs="Arial"/>
        </w:rPr>
        <w:t xml:space="preserve">of which </w:t>
      </w:r>
      <w:r w:rsidRPr="375902C0">
        <w:rPr>
          <w:rFonts w:cs="Arial"/>
        </w:rPr>
        <w:t xml:space="preserve">69 of these are likely to impact the </w:t>
      </w:r>
      <w:r w:rsidR="0041752B">
        <w:rPr>
          <w:rFonts w:cs="Arial"/>
        </w:rPr>
        <w:t>P</w:t>
      </w:r>
      <w:r w:rsidRPr="375902C0">
        <w:rPr>
          <w:rFonts w:cs="Arial"/>
        </w:rPr>
        <w:t xml:space="preserve">lan. </w:t>
      </w:r>
      <w:r w:rsidR="0089691B">
        <w:rPr>
          <w:rFonts w:cs="Arial"/>
        </w:rPr>
        <w:br/>
      </w:r>
      <w:r w:rsidR="0089691B">
        <w:rPr>
          <w:rFonts w:cs="Arial"/>
        </w:rPr>
        <w:br/>
      </w:r>
      <w:r w:rsidR="006F0FEB">
        <w:rPr>
          <w:rFonts w:cs="Arial"/>
        </w:rPr>
        <w:t>Seventeen</w:t>
      </w:r>
      <w:r w:rsidR="2363302F" w:rsidRPr="375902C0">
        <w:rPr>
          <w:rFonts w:cs="Arial"/>
        </w:rPr>
        <w:t xml:space="preserve"> pieces of legislation have been enacted or amended</w:t>
      </w:r>
      <w:r w:rsidR="71FFFA30">
        <w:t xml:space="preserve">, </w:t>
      </w:r>
      <w:r w:rsidR="2363302F">
        <w:t>many having</w:t>
      </w:r>
      <w:r w:rsidR="71FFFA30">
        <w:t xml:space="preserve"> potential impacts on the </w:t>
      </w:r>
      <w:r w:rsidR="006F0FEB">
        <w:t>p</w:t>
      </w:r>
      <w:r w:rsidR="6CB29B1D">
        <w:t>lan</w:t>
      </w:r>
      <w:r w:rsidR="2363302F" w:rsidRPr="375902C0">
        <w:rPr>
          <w:rFonts w:cs="Arial"/>
        </w:rPr>
        <w:t>, with examples including</w:t>
      </w:r>
      <w:r w:rsidR="71FFFA30" w:rsidRPr="375902C0">
        <w:rPr>
          <w:rFonts w:cs="Arial"/>
        </w:rPr>
        <w:t>:</w:t>
      </w:r>
    </w:p>
    <w:bookmarkStart w:id="120" w:name="_Hlk71799098"/>
    <w:p w14:paraId="04E9BEC9" w14:textId="62E6DFA8" w:rsidR="0005490A" w:rsidRPr="004D04D7" w:rsidRDefault="00F33BA1" w:rsidP="00D43BAE">
      <w:pPr>
        <w:pStyle w:val="ListParagraph"/>
        <w:numPr>
          <w:ilvl w:val="0"/>
          <w:numId w:val="11"/>
        </w:numPr>
        <w:ind w:left="1276" w:hanging="425"/>
        <w:rPr>
          <w:rStyle w:val="Hyperlink"/>
          <w:color w:val="auto"/>
          <w:u w:val="none"/>
        </w:rPr>
      </w:pPr>
      <w:r>
        <w:rPr>
          <w:rStyle w:val="Hyperlink"/>
          <w:lang w:val="en"/>
        </w:rPr>
        <w:fldChar w:fldCharType="begin"/>
      </w:r>
      <w:r w:rsidRPr="00D43BAE">
        <w:rPr>
          <w:rStyle w:val="Hyperlink"/>
          <w:lang w:val="en"/>
        </w:rPr>
        <w:instrText xml:space="preserve"> HYPERLINK "https://www.legislation.gov.uk/ukpga/2020/22/contents/enacted" </w:instrText>
      </w:r>
      <w:r>
        <w:rPr>
          <w:rStyle w:val="Hyperlink"/>
          <w:lang w:val="en"/>
        </w:rPr>
        <w:fldChar w:fldCharType="separate"/>
      </w:r>
      <w:r w:rsidR="0005490A" w:rsidRPr="00D43BAE">
        <w:rPr>
          <w:rStyle w:val="Hyperlink"/>
          <w:lang w:val="en"/>
        </w:rPr>
        <w:t>Fisheries</w:t>
      </w:r>
      <w:r w:rsidR="0005490A" w:rsidRPr="00FD60CF">
        <w:rPr>
          <w:rStyle w:val="Hyperlink"/>
          <w:rFonts w:cs="Arial"/>
          <w:lang w:eastAsia="en-GB"/>
        </w:rPr>
        <w:t xml:space="preserve"> </w:t>
      </w:r>
      <w:r w:rsidR="0089691B">
        <w:rPr>
          <w:rStyle w:val="Hyperlink"/>
          <w:rFonts w:cs="Arial"/>
          <w:lang w:eastAsia="en-GB"/>
        </w:rPr>
        <w:t>a</w:t>
      </w:r>
      <w:r w:rsidR="0005490A" w:rsidRPr="00FD60CF">
        <w:rPr>
          <w:rStyle w:val="Hyperlink"/>
          <w:rFonts w:cs="Arial"/>
          <w:lang w:eastAsia="en-GB"/>
        </w:rPr>
        <w:t>ct 2020</w:t>
      </w:r>
      <w:r>
        <w:rPr>
          <w:rStyle w:val="Hyperlink"/>
          <w:rFonts w:cs="Arial"/>
          <w:lang w:eastAsia="en-GB"/>
        </w:rPr>
        <w:fldChar w:fldCharType="end"/>
      </w:r>
    </w:p>
    <w:bookmarkStart w:id="121" w:name="_Hlk71799137"/>
    <w:bookmarkEnd w:id="120"/>
    <w:p w14:paraId="5CDB156D" w14:textId="1C25CF82" w:rsidR="003C516B" w:rsidRPr="004D04D7" w:rsidRDefault="00F33BA1" w:rsidP="00D43BAE">
      <w:pPr>
        <w:pStyle w:val="ListParagraph"/>
        <w:numPr>
          <w:ilvl w:val="0"/>
          <w:numId w:val="11"/>
        </w:numPr>
        <w:ind w:left="1276" w:hanging="425"/>
        <w:rPr>
          <w:rFonts w:cs="Arial"/>
          <w:szCs w:val="24"/>
        </w:rPr>
      </w:pPr>
      <w:r>
        <w:fldChar w:fldCharType="begin"/>
      </w:r>
      <w:r>
        <w:instrText xml:space="preserve"> HYPERLINK "https://www.legislation.gov.uk/uksi/2017/1012/contents" </w:instrText>
      </w:r>
      <w:r>
        <w:fldChar w:fldCharType="separate"/>
      </w:r>
      <w:r w:rsidR="0089691B">
        <w:rPr>
          <w:rStyle w:val="Hyperlink"/>
          <w:lang w:val="en"/>
        </w:rPr>
        <w:t>t</w:t>
      </w:r>
      <w:r w:rsidR="003C516B" w:rsidRPr="008E521E">
        <w:rPr>
          <w:rStyle w:val="Hyperlink"/>
          <w:lang w:val="en"/>
        </w:rPr>
        <w:t xml:space="preserve">he Conservation of Habitats and Species </w:t>
      </w:r>
      <w:r w:rsidR="0089691B">
        <w:rPr>
          <w:rStyle w:val="Hyperlink"/>
          <w:lang w:val="en"/>
        </w:rPr>
        <w:t>r</w:t>
      </w:r>
      <w:r w:rsidR="003C516B" w:rsidRPr="008E521E">
        <w:rPr>
          <w:rStyle w:val="Hyperlink"/>
          <w:lang w:val="en"/>
        </w:rPr>
        <w:t>egulations 2017</w:t>
      </w:r>
      <w:r>
        <w:rPr>
          <w:rStyle w:val="Hyperlink"/>
          <w:lang w:val="en"/>
        </w:rPr>
        <w:fldChar w:fldCharType="end"/>
      </w:r>
      <w:bookmarkEnd w:id="121"/>
      <w:r w:rsidR="001200F9" w:rsidRPr="004D04D7">
        <w:rPr>
          <w:color w:val="000000" w:themeColor="hyperlink"/>
          <w:lang w:val="en"/>
        </w:rPr>
        <w:t xml:space="preserve"> </w:t>
      </w:r>
      <w:r w:rsidR="001200F9">
        <w:rPr>
          <w:color w:val="000000" w:themeColor="hyperlink"/>
          <w:lang w:val="en"/>
        </w:rPr>
        <w:t>(amended</w:t>
      </w:r>
      <w:r w:rsidR="0089691B">
        <w:rPr>
          <w:color w:val="000000" w:themeColor="hyperlink"/>
          <w:lang w:val="en"/>
        </w:rPr>
        <w:t xml:space="preserve"> in</w:t>
      </w:r>
      <w:r w:rsidR="001200F9">
        <w:rPr>
          <w:color w:val="000000" w:themeColor="hyperlink"/>
          <w:lang w:val="en"/>
        </w:rPr>
        <w:t xml:space="preserve"> 2019)</w:t>
      </w:r>
    </w:p>
    <w:bookmarkStart w:id="122" w:name="_Hlk71799143"/>
    <w:p w14:paraId="507972DC" w14:textId="15197706" w:rsidR="001200F9" w:rsidRPr="009B738D" w:rsidRDefault="00F33BA1" w:rsidP="00D43BAE">
      <w:pPr>
        <w:pStyle w:val="ListParagraph"/>
        <w:numPr>
          <w:ilvl w:val="0"/>
          <w:numId w:val="11"/>
        </w:numPr>
        <w:ind w:left="1276" w:hanging="425"/>
        <w:rPr>
          <w:rFonts w:cs="Arial"/>
          <w:szCs w:val="24"/>
        </w:rPr>
      </w:pPr>
      <w:r>
        <w:fldChar w:fldCharType="begin"/>
      </w:r>
      <w:r>
        <w:instrText xml:space="preserve"> HYPERLINK "https://www.legislation.gov.uk/uksi/2017/1013" </w:instrText>
      </w:r>
      <w:r>
        <w:fldChar w:fldCharType="separate"/>
      </w:r>
      <w:r w:rsidR="0089691B">
        <w:rPr>
          <w:rStyle w:val="Hyperlink"/>
          <w:lang w:val="en"/>
        </w:rPr>
        <w:t>t</w:t>
      </w:r>
      <w:r w:rsidR="003C516B" w:rsidRPr="008E521E">
        <w:rPr>
          <w:rStyle w:val="Hyperlink"/>
          <w:lang w:val="en"/>
        </w:rPr>
        <w:t xml:space="preserve">he Conservation of Offshore Marine Habitats and Species </w:t>
      </w:r>
      <w:r w:rsidR="0089691B">
        <w:rPr>
          <w:rStyle w:val="Hyperlink"/>
          <w:lang w:val="en"/>
        </w:rPr>
        <w:t>r</w:t>
      </w:r>
      <w:r w:rsidR="003C516B" w:rsidRPr="008E521E">
        <w:rPr>
          <w:rStyle w:val="Hyperlink"/>
          <w:lang w:val="en"/>
        </w:rPr>
        <w:t>egulations 2017</w:t>
      </w:r>
      <w:r>
        <w:rPr>
          <w:rStyle w:val="Hyperlink"/>
          <w:lang w:val="en"/>
        </w:rPr>
        <w:fldChar w:fldCharType="end"/>
      </w:r>
      <w:r w:rsidR="001200F9" w:rsidRPr="009B738D">
        <w:rPr>
          <w:color w:val="000000" w:themeColor="hyperlink"/>
          <w:lang w:val="en"/>
        </w:rPr>
        <w:t xml:space="preserve"> </w:t>
      </w:r>
      <w:bookmarkEnd w:id="122"/>
      <w:r w:rsidR="001200F9">
        <w:rPr>
          <w:color w:val="000000" w:themeColor="hyperlink"/>
          <w:lang w:val="en"/>
        </w:rPr>
        <w:t>(amended</w:t>
      </w:r>
      <w:r w:rsidR="0089691B">
        <w:rPr>
          <w:color w:val="000000" w:themeColor="hyperlink"/>
          <w:lang w:val="en"/>
        </w:rPr>
        <w:t xml:space="preserve"> in</w:t>
      </w:r>
      <w:r w:rsidR="001200F9">
        <w:rPr>
          <w:color w:val="000000" w:themeColor="hyperlink"/>
          <w:lang w:val="en"/>
        </w:rPr>
        <w:t xml:space="preserve"> </w:t>
      </w:r>
      <w:r w:rsidR="001200F9" w:rsidRPr="00D43BAE">
        <w:rPr>
          <w:szCs w:val="24"/>
        </w:rPr>
        <w:t>2019</w:t>
      </w:r>
      <w:r w:rsidR="001200F9">
        <w:rPr>
          <w:color w:val="000000" w:themeColor="hyperlink"/>
          <w:lang w:val="en"/>
        </w:rPr>
        <w:t>)</w:t>
      </w:r>
    </w:p>
    <w:bookmarkStart w:id="123" w:name="_Hlk71799150"/>
    <w:p w14:paraId="03BDEF3D" w14:textId="54E50E94" w:rsidR="003131EA" w:rsidRPr="00285EEE" w:rsidRDefault="00F33BA1" w:rsidP="00D43BAE">
      <w:pPr>
        <w:pStyle w:val="ListParagraph"/>
        <w:numPr>
          <w:ilvl w:val="0"/>
          <w:numId w:val="11"/>
        </w:numPr>
        <w:ind w:left="1276" w:hanging="425"/>
        <w:rPr>
          <w:rStyle w:val="Hyperlink"/>
          <w:rFonts w:cs="Arial"/>
          <w:color w:val="auto"/>
          <w:szCs w:val="24"/>
          <w:u w:val="none"/>
        </w:rPr>
      </w:pPr>
      <w:r>
        <w:fldChar w:fldCharType="begin"/>
      </w:r>
      <w:r>
        <w:instrText xml:space="preserve"> HYPERLINK "http://www.legislation.gov.uk/uksi/2019/893/made" </w:instrText>
      </w:r>
      <w:r>
        <w:fldChar w:fldCharType="separate"/>
      </w:r>
      <w:r w:rsidR="0089691B">
        <w:rPr>
          <w:rStyle w:val="Hyperlink"/>
          <w:rFonts w:cs="Arial"/>
          <w:lang w:eastAsia="en-GB"/>
        </w:rPr>
        <w:t>t</w:t>
      </w:r>
      <w:r w:rsidR="003131EA" w:rsidRPr="000020A8">
        <w:rPr>
          <w:rStyle w:val="Hyperlink"/>
          <w:rFonts w:cs="Arial"/>
          <w:lang w:eastAsia="en-GB"/>
        </w:rPr>
        <w:t xml:space="preserve">he Marine </w:t>
      </w:r>
      <w:r w:rsidR="003131EA" w:rsidRPr="00D43BAE">
        <w:rPr>
          <w:rStyle w:val="Hyperlink"/>
          <w:lang w:val="en"/>
        </w:rPr>
        <w:t>Licensing</w:t>
      </w:r>
      <w:r w:rsidR="003131EA" w:rsidRPr="000020A8">
        <w:rPr>
          <w:rStyle w:val="Hyperlink"/>
          <w:rFonts w:cs="Arial"/>
          <w:lang w:eastAsia="en-GB"/>
        </w:rPr>
        <w:t xml:space="preserve"> (Exempted Activities) (Amendment) </w:t>
      </w:r>
      <w:r w:rsidR="0089691B">
        <w:rPr>
          <w:rStyle w:val="Hyperlink"/>
          <w:rFonts w:cs="Arial"/>
          <w:lang w:eastAsia="en-GB"/>
        </w:rPr>
        <w:t>o</w:t>
      </w:r>
      <w:r w:rsidR="003131EA" w:rsidRPr="000020A8">
        <w:rPr>
          <w:rStyle w:val="Hyperlink"/>
          <w:rFonts w:cs="Arial"/>
          <w:lang w:eastAsia="en-GB"/>
        </w:rPr>
        <w:t>rder 2019</w:t>
      </w:r>
      <w:r>
        <w:rPr>
          <w:rStyle w:val="Hyperlink"/>
          <w:rFonts w:cs="Arial"/>
          <w:lang w:eastAsia="en-GB"/>
        </w:rPr>
        <w:fldChar w:fldCharType="end"/>
      </w:r>
      <w:bookmarkEnd w:id="123"/>
    </w:p>
    <w:p w14:paraId="17FC75BA" w14:textId="77777777" w:rsidR="0089691B" w:rsidRPr="0005490A" w:rsidRDefault="0089691B" w:rsidP="00285EEE">
      <w:pPr>
        <w:pStyle w:val="ListParagraph"/>
        <w:ind w:left="1276"/>
        <w:rPr>
          <w:rFonts w:cs="Arial"/>
          <w:szCs w:val="24"/>
        </w:rPr>
      </w:pPr>
    </w:p>
    <w:p w14:paraId="516653EF" w14:textId="072053C6" w:rsidR="003131EA" w:rsidRPr="00FB225F" w:rsidRDefault="71FFFA30" w:rsidP="00D43BAE">
      <w:pPr>
        <w:pStyle w:val="ListParagraph"/>
        <w:numPr>
          <w:ilvl w:val="0"/>
          <w:numId w:val="8"/>
        </w:numPr>
        <w:ind w:left="561" w:hanging="567"/>
        <w:contextualSpacing w:val="0"/>
        <w:rPr>
          <w:rFonts w:cs="Arial"/>
        </w:rPr>
      </w:pPr>
      <w:r>
        <w:t xml:space="preserve">The </w:t>
      </w:r>
      <w:r w:rsidR="3FCE80DB" w:rsidRPr="00A506DD">
        <w:t xml:space="preserve">25 Year Environment </w:t>
      </w:r>
      <w:r w:rsidR="00DC2E44">
        <w:t>Plan</w:t>
      </w:r>
      <w:r>
        <w:t xml:space="preserve">, published in 2018, introduced the </w:t>
      </w:r>
      <w:r w:rsidRPr="375902C0">
        <w:rPr>
          <w:rFonts w:cs="Arial"/>
        </w:rPr>
        <w:t>concepts</w:t>
      </w:r>
      <w:r>
        <w:t xml:space="preserve"> of environmental net gain </w:t>
      </w:r>
      <w:r w:rsidRPr="375902C0">
        <w:rPr>
          <w:rFonts w:cs="Arial"/>
        </w:rPr>
        <w:t xml:space="preserve">and natural </w:t>
      </w:r>
      <w:r>
        <w:t>capital</w:t>
      </w:r>
      <w:r w:rsidRPr="375902C0">
        <w:rPr>
          <w:rFonts w:cs="Arial"/>
        </w:rPr>
        <w:t xml:space="preserve"> </w:t>
      </w:r>
      <w:r>
        <w:t>and defined new targets for a range of environmental issues</w:t>
      </w:r>
      <w:r w:rsidRPr="375902C0">
        <w:rPr>
          <w:rFonts w:cs="Arial"/>
        </w:rPr>
        <w:t xml:space="preserve"> </w:t>
      </w:r>
      <w:r w:rsidR="6ECA85BB" w:rsidRPr="375902C0">
        <w:rPr>
          <w:rFonts w:cs="Arial"/>
        </w:rPr>
        <w:t>of</w:t>
      </w:r>
      <w:r w:rsidRPr="375902C0">
        <w:rPr>
          <w:rFonts w:cs="Arial"/>
        </w:rPr>
        <w:t xml:space="preserve"> relevan</w:t>
      </w:r>
      <w:r w:rsidR="6ECA85BB" w:rsidRPr="375902C0">
        <w:rPr>
          <w:rFonts w:cs="Arial"/>
        </w:rPr>
        <w:t>ce</w:t>
      </w:r>
      <w:r w:rsidRPr="375902C0">
        <w:rPr>
          <w:rFonts w:cs="Arial"/>
        </w:rPr>
        <w:t xml:space="preserve"> to the</w:t>
      </w:r>
      <w:r w:rsidR="3FCE80DB" w:rsidRPr="375902C0">
        <w:rPr>
          <w:rFonts w:cs="Arial"/>
        </w:rPr>
        <w:t xml:space="preserve"> </w:t>
      </w:r>
      <w:r w:rsidR="00B07496">
        <w:rPr>
          <w:rFonts w:cs="Arial"/>
        </w:rPr>
        <w:t xml:space="preserve">South Marine </w:t>
      </w:r>
      <w:r w:rsidR="00DC2E44">
        <w:rPr>
          <w:rFonts w:cs="Arial"/>
        </w:rPr>
        <w:t>Plan</w:t>
      </w:r>
      <w:r w:rsidRPr="375902C0">
        <w:rPr>
          <w:rFonts w:cs="Arial"/>
        </w:rPr>
        <w:t xml:space="preserve"> areas.</w:t>
      </w:r>
      <w:r w:rsidR="6DF33107" w:rsidRPr="375902C0">
        <w:rPr>
          <w:rFonts w:cs="Arial"/>
        </w:rPr>
        <w:t xml:space="preserve"> </w:t>
      </w:r>
      <w:r w:rsidR="0089691B">
        <w:rPr>
          <w:rFonts w:cs="Arial"/>
        </w:rPr>
        <w:br/>
      </w:r>
      <w:r w:rsidR="0089691B">
        <w:rPr>
          <w:rFonts w:cs="Arial"/>
        </w:rPr>
        <w:br/>
      </w:r>
      <w:r w:rsidRPr="375902C0">
        <w:rPr>
          <w:rFonts w:cs="Arial"/>
        </w:rPr>
        <w:t xml:space="preserve">The </w:t>
      </w:r>
      <w:bookmarkStart w:id="124" w:name="_Hlk71799189"/>
      <w:r w:rsidR="00F33BA1">
        <w:fldChar w:fldCharType="begin"/>
      </w:r>
      <w:r w:rsidR="00F33BA1">
        <w:instrText xml:space="preserve"> HYPERLINK "https://publications.parliament.uk/pa/bills/cbill/2019-2019/0003/cbill_2019-20200003_en_1.htm" </w:instrText>
      </w:r>
      <w:r w:rsidR="00F33BA1">
        <w:fldChar w:fldCharType="separate"/>
      </w:r>
      <w:r w:rsidR="78C99C53" w:rsidRPr="00AC038F">
        <w:rPr>
          <w:rStyle w:val="Hyperlink"/>
        </w:rPr>
        <w:t>Environment Bill</w:t>
      </w:r>
      <w:r w:rsidR="00F33BA1">
        <w:rPr>
          <w:rStyle w:val="Hyperlink"/>
        </w:rPr>
        <w:fldChar w:fldCharType="end"/>
      </w:r>
      <w:bookmarkEnd w:id="124"/>
      <w:r w:rsidRPr="375902C0">
        <w:rPr>
          <w:rFonts w:cs="Arial"/>
        </w:rPr>
        <w:t xml:space="preserve">, </w:t>
      </w:r>
      <w:r>
        <w:t xml:space="preserve">announced in July 2019 and reintroduced into </w:t>
      </w:r>
      <w:r w:rsidR="00A434B6">
        <w:t>p</w:t>
      </w:r>
      <w:r>
        <w:t xml:space="preserve">arliament in January 2020, is one mechanism </w:t>
      </w:r>
      <w:r w:rsidR="6DF33107">
        <w:t>to</w:t>
      </w:r>
      <w:r>
        <w:t xml:space="preserve"> deliver the </w:t>
      </w:r>
      <w:r w:rsidR="35261574">
        <w:t xml:space="preserve">25 Year Environment </w:t>
      </w:r>
      <w:r w:rsidR="0041752B">
        <w:t>P</w:t>
      </w:r>
      <w:r w:rsidR="35261574">
        <w:t>lan</w:t>
      </w:r>
      <w:r w:rsidRPr="375902C0">
        <w:rPr>
          <w:rFonts w:cs="Arial"/>
        </w:rPr>
        <w:t xml:space="preserve">. </w:t>
      </w:r>
      <w:r w:rsidR="0089691B">
        <w:rPr>
          <w:rFonts w:cs="Arial"/>
        </w:rPr>
        <w:br/>
      </w:r>
      <w:r w:rsidR="0089691B">
        <w:rPr>
          <w:rFonts w:cs="Arial"/>
        </w:rPr>
        <w:br/>
      </w:r>
      <w:r w:rsidRPr="375902C0">
        <w:rPr>
          <w:rFonts w:cs="Arial"/>
        </w:rPr>
        <w:t xml:space="preserve">It contains the intention to </w:t>
      </w:r>
      <w:hyperlink r:id="rId31">
        <w:r>
          <w:t>mandate biodiversity net gain</w:t>
        </w:r>
      </w:hyperlink>
      <w:r>
        <w:t xml:space="preserve"> for terrestrial </w:t>
      </w:r>
      <w:r w:rsidR="00C406C0">
        <w:t>p</w:t>
      </w:r>
      <w:r w:rsidR="00DC2E44">
        <w:t>lan</w:t>
      </w:r>
      <w:r>
        <w:t>ning decisions, including t</w:t>
      </w:r>
      <w:r w:rsidRPr="375902C0">
        <w:rPr>
          <w:rFonts w:cs="Arial"/>
        </w:rPr>
        <w:t>hose affecting intertidal areas</w:t>
      </w:r>
      <w:r w:rsidR="6DF33107" w:rsidRPr="375902C0">
        <w:rPr>
          <w:rFonts w:cs="Arial"/>
        </w:rPr>
        <w:t>,</w:t>
      </w:r>
      <w:r w:rsidR="7CE0E0C4" w:rsidRPr="375902C0">
        <w:rPr>
          <w:rFonts w:cs="Arial"/>
        </w:rPr>
        <w:t xml:space="preserve"> and may impact environmental targets relevant to </w:t>
      </w:r>
      <w:r w:rsidR="0041752B">
        <w:rPr>
          <w:rFonts w:cs="Arial"/>
        </w:rPr>
        <w:t>P</w:t>
      </w:r>
      <w:r w:rsidR="6ECA85BB" w:rsidRPr="375902C0">
        <w:rPr>
          <w:rFonts w:cs="Arial"/>
        </w:rPr>
        <w:t xml:space="preserve">lan </w:t>
      </w:r>
      <w:r w:rsidR="7CE0E0C4" w:rsidRPr="375902C0">
        <w:rPr>
          <w:rFonts w:cs="Arial"/>
        </w:rPr>
        <w:t>policies</w:t>
      </w:r>
      <w:r w:rsidRPr="375902C0">
        <w:rPr>
          <w:rFonts w:cs="Arial"/>
        </w:rPr>
        <w:t xml:space="preserve">. </w:t>
      </w:r>
      <w:r w:rsidR="0089691B">
        <w:rPr>
          <w:rFonts w:cs="Arial"/>
        </w:rPr>
        <w:br/>
      </w:r>
      <w:r w:rsidR="0089691B">
        <w:rPr>
          <w:rFonts w:cs="Arial"/>
        </w:rPr>
        <w:br/>
      </w:r>
      <w:r w:rsidRPr="375902C0">
        <w:rPr>
          <w:rFonts w:cs="Arial"/>
        </w:rPr>
        <w:t xml:space="preserve">This is also reflected in the </w:t>
      </w:r>
      <w:bookmarkStart w:id="125" w:name="_Hlk71799236"/>
      <w:r w:rsidR="00F33BA1">
        <w:fldChar w:fldCharType="begin"/>
      </w:r>
      <w:r w:rsidR="00F33BA1">
        <w:instrText xml:space="preserve"> HYPERLINK "https://www.gov.uk/government/publications/national-planning-policy-framework--2" \h </w:instrText>
      </w:r>
      <w:r w:rsidR="00F33BA1">
        <w:fldChar w:fldCharType="separate"/>
      </w:r>
      <w:r w:rsidRPr="375902C0">
        <w:rPr>
          <w:rStyle w:val="Hyperlink"/>
          <w:rFonts w:cs="Arial"/>
        </w:rPr>
        <w:t xml:space="preserve">National </w:t>
      </w:r>
      <w:r w:rsidR="00DC2E44">
        <w:rPr>
          <w:rStyle w:val="Hyperlink"/>
          <w:rFonts w:cs="Arial"/>
        </w:rPr>
        <w:t>Plan</w:t>
      </w:r>
      <w:r w:rsidRPr="375902C0">
        <w:rPr>
          <w:rStyle w:val="Hyperlink"/>
          <w:rFonts w:cs="Arial"/>
        </w:rPr>
        <w:t>ning Policy Framework</w:t>
      </w:r>
      <w:r w:rsidR="00F33BA1">
        <w:rPr>
          <w:rStyle w:val="Hyperlink"/>
          <w:rFonts w:cs="Arial"/>
        </w:rPr>
        <w:fldChar w:fldCharType="end"/>
      </w:r>
      <w:bookmarkEnd w:id="125"/>
      <w:r w:rsidRPr="375902C0">
        <w:rPr>
          <w:rFonts w:cs="Arial"/>
        </w:rPr>
        <w:t>, amended in 2019.</w:t>
      </w:r>
      <w:r>
        <w:t xml:space="preserve"> </w:t>
      </w:r>
      <w:r w:rsidR="744ADD92">
        <w:t xml:space="preserve">At </w:t>
      </w:r>
      <w:r w:rsidR="000D4E91">
        <w:t>present</w:t>
      </w:r>
      <w:r w:rsidR="744ADD92">
        <w:t>, a specific recommendation is not possible</w:t>
      </w:r>
      <w:r w:rsidR="0089691B">
        <w:t>.</w:t>
      </w:r>
      <w:r w:rsidR="744ADD92">
        <w:t xml:space="preserve"> </w:t>
      </w:r>
      <w:r w:rsidR="0089691B">
        <w:br/>
      </w:r>
      <w:r w:rsidR="0089691B">
        <w:br/>
        <w:t>H</w:t>
      </w:r>
      <w:r w:rsidR="744ADD92">
        <w:t>owever</w:t>
      </w:r>
      <w:r w:rsidR="000B0B4B">
        <w:t>,</w:t>
      </w:r>
      <w:r w:rsidR="744ADD92">
        <w:t xml:space="preserve"> consideration should be given to potential </w:t>
      </w:r>
      <w:r w:rsidR="0041752B">
        <w:t>P</w:t>
      </w:r>
      <w:r w:rsidR="6DF33107">
        <w:t xml:space="preserve">lan </w:t>
      </w:r>
      <w:r w:rsidR="744ADD92">
        <w:t>revisions that more adequately support the provisions of the</w:t>
      </w:r>
      <w:r w:rsidR="744ADD92" w:rsidRPr="375902C0">
        <w:rPr>
          <w:rFonts w:cs="Arial"/>
        </w:rPr>
        <w:t xml:space="preserve"> Environment Bill,</w:t>
      </w:r>
      <w:r w:rsidR="744ADD92">
        <w:t xml:space="preserve"> once passed into law</w:t>
      </w:r>
      <w:r w:rsidR="1C2DE536">
        <w:t>.</w:t>
      </w:r>
      <w:r w:rsidR="744ADD92">
        <w:t xml:space="preserve"> </w:t>
      </w:r>
    </w:p>
    <w:p w14:paraId="209B66EB" w14:textId="64B3A678" w:rsidR="004058A6" w:rsidRPr="004D04D7" w:rsidRDefault="2895B12A" w:rsidP="00D43BAE">
      <w:pPr>
        <w:pStyle w:val="ListParagraph"/>
        <w:numPr>
          <w:ilvl w:val="0"/>
          <w:numId w:val="8"/>
        </w:numPr>
        <w:ind w:left="561" w:hanging="567"/>
        <w:contextualSpacing w:val="0"/>
        <w:rPr>
          <w:b/>
          <w:bCs/>
        </w:rPr>
      </w:pPr>
      <w:bookmarkStart w:id="126" w:name="_Hlk70604109"/>
      <w:r w:rsidRPr="375902C0">
        <w:rPr>
          <w:rFonts w:cs="Arial"/>
        </w:rPr>
        <w:t xml:space="preserve">The </w:t>
      </w:r>
      <w:r w:rsidR="0041752B">
        <w:rPr>
          <w:rFonts w:cs="Arial"/>
        </w:rPr>
        <w:t>P</w:t>
      </w:r>
      <w:r w:rsidRPr="375902C0">
        <w:rPr>
          <w:rFonts w:cs="Arial"/>
        </w:rPr>
        <w:t>lan remains relevant to the UK Marine Strategy and primarily supports achievement of GES through</w:t>
      </w:r>
      <w:r w:rsidR="79A92D95" w:rsidRPr="375902C0">
        <w:rPr>
          <w:rFonts w:cs="Arial"/>
        </w:rPr>
        <w:t xml:space="preserve"> </w:t>
      </w:r>
      <w:r w:rsidR="0041752B">
        <w:rPr>
          <w:rFonts w:cs="Arial"/>
        </w:rPr>
        <w:t>P</w:t>
      </w:r>
      <w:r w:rsidR="00BE0557">
        <w:rPr>
          <w:rFonts w:cs="Arial"/>
        </w:rPr>
        <w:t xml:space="preserve">lan </w:t>
      </w:r>
      <w:r w:rsidR="006F0FEB">
        <w:rPr>
          <w:rFonts w:cs="Arial"/>
        </w:rPr>
        <w:t>o</w:t>
      </w:r>
      <w:r w:rsidR="79A92D95" w:rsidRPr="375902C0">
        <w:rPr>
          <w:rFonts w:cs="Arial"/>
        </w:rPr>
        <w:t>bjectives 7, 10, 11 and 12</w:t>
      </w:r>
      <w:r w:rsidR="00CD465F">
        <w:rPr>
          <w:rFonts w:cs="Arial"/>
        </w:rPr>
        <w:t xml:space="preserve">. </w:t>
      </w:r>
      <w:r w:rsidR="0089691B">
        <w:rPr>
          <w:rFonts w:cs="Arial"/>
        </w:rPr>
        <w:br/>
      </w:r>
      <w:r w:rsidR="0089691B">
        <w:rPr>
          <w:rFonts w:cs="Arial"/>
        </w:rPr>
        <w:lastRenderedPageBreak/>
        <w:br/>
      </w:r>
      <w:r w:rsidR="00CD465F">
        <w:rPr>
          <w:rFonts w:cs="Arial"/>
        </w:rPr>
        <w:t>It should be noted</w:t>
      </w:r>
      <w:r w:rsidR="000B0B4B">
        <w:rPr>
          <w:rFonts w:cs="Arial"/>
        </w:rPr>
        <w:t>,</w:t>
      </w:r>
      <w:r w:rsidR="00CD465F">
        <w:rPr>
          <w:rFonts w:cs="Arial"/>
        </w:rPr>
        <w:t xml:space="preserve"> however</w:t>
      </w:r>
      <w:r w:rsidR="000B0B4B">
        <w:rPr>
          <w:rFonts w:cs="Arial"/>
        </w:rPr>
        <w:t>,</w:t>
      </w:r>
      <w:r w:rsidR="00CD465F">
        <w:rPr>
          <w:rFonts w:cs="Arial"/>
        </w:rPr>
        <w:t xml:space="preserve"> that the </w:t>
      </w:r>
      <w:r w:rsidR="0041752B">
        <w:rPr>
          <w:rFonts w:cs="Arial"/>
        </w:rPr>
        <w:t>P</w:t>
      </w:r>
      <w:r w:rsidR="00AB3251">
        <w:rPr>
          <w:rFonts w:cs="Arial"/>
        </w:rPr>
        <w:t xml:space="preserve">lan and objectives were developed in consideration of the initial assessment and corresponding programme of measures. </w:t>
      </w:r>
      <w:r w:rsidR="0089691B">
        <w:rPr>
          <w:rFonts w:cs="Arial"/>
        </w:rPr>
        <w:br/>
      </w:r>
      <w:r w:rsidR="0089691B">
        <w:rPr>
          <w:rFonts w:cs="Arial"/>
        </w:rPr>
        <w:br/>
      </w:r>
      <w:r w:rsidR="00AB3251">
        <w:t xml:space="preserve">The </w:t>
      </w:r>
      <w:r w:rsidR="00AB3251" w:rsidRPr="00304490">
        <w:t xml:space="preserve">updated assessment </w:t>
      </w:r>
      <w:r w:rsidR="00AB3251">
        <w:t xml:space="preserve">(paragraph </w:t>
      </w:r>
      <w:r w:rsidR="00AB3251" w:rsidRPr="00123BD9">
        <w:fldChar w:fldCharType="begin"/>
      </w:r>
      <w:r w:rsidR="00AB3251" w:rsidRPr="00123BD9">
        <w:instrText xml:space="preserve"> REF _Ref71544947 \r \h </w:instrText>
      </w:r>
      <w:r w:rsidR="00851AB4" w:rsidRPr="00123BD9">
        <w:instrText xml:space="preserve"> \* MERGEFORMAT </w:instrText>
      </w:r>
      <w:r w:rsidR="00AB3251" w:rsidRPr="00123BD9">
        <w:fldChar w:fldCharType="separate"/>
      </w:r>
      <w:r w:rsidR="00CA357C">
        <w:t>36</w:t>
      </w:r>
      <w:r w:rsidR="00AB3251" w:rsidRPr="00123BD9">
        <w:fldChar w:fldCharType="end"/>
      </w:r>
      <w:r w:rsidR="00AB3251">
        <w:t xml:space="preserve">) </w:t>
      </w:r>
      <w:r w:rsidR="00B80742">
        <w:t>has a direct</w:t>
      </w:r>
      <w:r w:rsidR="00AB3251" w:rsidRPr="375902C0" w:rsidDel="00B80742">
        <w:rPr>
          <w:rFonts w:cs="Arial"/>
        </w:rPr>
        <w:t xml:space="preserve"> </w:t>
      </w:r>
      <w:r w:rsidR="00AB3251" w:rsidRPr="375902C0">
        <w:rPr>
          <w:rFonts w:cs="Arial"/>
        </w:rPr>
        <w:t xml:space="preserve">bearing on </w:t>
      </w:r>
      <w:r w:rsidR="00AB3251" w:rsidRPr="00D43BAE">
        <w:t>environmental</w:t>
      </w:r>
      <w:r w:rsidR="00AB3251" w:rsidRPr="375902C0">
        <w:rPr>
          <w:rFonts w:cs="Arial"/>
        </w:rPr>
        <w:t xml:space="preserve"> objectives and policies within the </w:t>
      </w:r>
      <w:r w:rsidR="0041752B">
        <w:t>P</w:t>
      </w:r>
      <w:r w:rsidR="00AB3251">
        <w:t>lan</w:t>
      </w:r>
      <w:r w:rsidR="00AB3251" w:rsidRPr="375902C0">
        <w:rPr>
          <w:rFonts w:cs="Arial"/>
        </w:rPr>
        <w:t>.</w:t>
      </w:r>
      <w:r w:rsidR="00AB3251">
        <w:rPr>
          <w:rFonts w:cs="Arial"/>
        </w:rPr>
        <w:t xml:space="preserve"> </w:t>
      </w:r>
      <w:r w:rsidR="0089691B">
        <w:rPr>
          <w:rFonts w:cs="Arial"/>
        </w:rPr>
        <w:br/>
      </w:r>
      <w:r w:rsidR="0089691B">
        <w:rPr>
          <w:rFonts w:cs="Arial"/>
        </w:rPr>
        <w:br/>
      </w:r>
      <w:r w:rsidR="00AB3251">
        <w:t>This, and the forthcoming update to the programme of measures</w:t>
      </w:r>
      <w:r w:rsidR="00A9762A">
        <w:t>,</w:t>
      </w:r>
      <w:r w:rsidR="00AB3251">
        <w:t xml:space="preserve"> will influence how the </w:t>
      </w:r>
      <w:r w:rsidR="00DC2E44">
        <w:t>Plan</w:t>
      </w:r>
      <w:r w:rsidR="00AB3251">
        <w:t xml:space="preserve"> contributes to achievement of GES.</w:t>
      </w:r>
    </w:p>
    <w:p w14:paraId="6CC79AEA" w14:textId="7C8DA32F" w:rsidR="00DC2E44" w:rsidRPr="00F36863" w:rsidRDefault="03C1DF41" w:rsidP="00285EEE">
      <w:pPr>
        <w:pStyle w:val="ListParagraph"/>
        <w:numPr>
          <w:ilvl w:val="0"/>
          <w:numId w:val="8"/>
        </w:numPr>
        <w:ind w:left="561" w:hanging="567"/>
        <w:contextualSpacing w:val="0"/>
        <w:rPr>
          <w:rFonts w:cs="Arial"/>
        </w:rPr>
      </w:pPr>
      <w:bookmarkStart w:id="127" w:name="_Ref71022153"/>
      <w:bookmarkEnd w:id="126"/>
      <w:r w:rsidRPr="375902C0">
        <w:rPr>
          <w:rFonts w:cs="Arial"/>
        </w:rPr>
        <w:t xml:space="preserve">Several national strategies have been developed since </w:t>
      </w:r>
      <w:r w:rsidR="006F0FEB">
        <w:rPr>
          <w:rFonts w:cs="Arial"/>
        </w:rPr>
        <w:t>p</w:t>
      </w:r>
      <w:r w:rsidRPr="375902C0">
        <w:rPr>
          <w:rFonts w:cs="Arial"/>
        </w:rPr>
        <w:t xml:space="preserve">lan adoption. </w:t>
      </w:r>
      <w:r w:rsidR="71FFFA30" w:rsidRPr="375902C0">
        <w:rPr>
          <w:rFonts w:cs="Arial"/>
        </w:rPr>
        <w:t xml:space="preserve">The national </w:t>
      </w:r>
      <w:hyperlink r:id="rId32">
        <w:r w:rsidR="4CDD6248" w:rsidRPr="375902C0">
          <w:rPr>
            <w:rStyle w:val="Hyperlink"/>
            <w:rFonts w:cs="Arial"/>
          </w:rPr>
          <w:t>Clean Air Strategy</w:t>
        </w:r>
        <w:r w:rsidR="00A414C5">
          <w:rPr>
            <w:rStyle w:val="Hyperlink"/>
            <w:rFonts w:cs="Arial"/>
          </w:rPr>
          <w:t xml:space="preserve"> 2019</w:t>
        </w:r>
      </w:hyperlink>
      <w:r w:rsidR="71FFFA30" w:rsidRPr="375902C0">
        <w:rPr>
          <w:rFonts w:cs="Arial"/>
        </w:rPr>
        <w:t xml:space="preserve"> </w:t>
      </w:r>
      <w:r w:rsidR="4CDD6248" w:rsidRPr="375902C0">
        <w:rPr>
          <w:rFonts w:cs="Arial"/>
        </w:rPr>
        <w:t>highlight</w:t>
      </w:r>
      <w:r w:rsidR="6ECA85BB" w:rsidRPr="375902C0">
        <w:rPr>
          <w:rFonts w:cs="Arial"/>
        </w:rPr>
        <w:t>s</w:t>
      </w:r>
      <w:r w:rsidR="4CDD6248" w:rsidRPr="375902C0">
        <w:rPr>
          <w:rFonts w:cs="Arial"/>
        </w:rPr>
        <w:t xml:space="preserve"> the increasing significance of air quality</w:t>
      </w:r>
      <w:r w:rsidR="01A10325" w:rsidRPr="375902C0">
        <w:rPr>
          <w:rFonts w:cs="Arial"/>
        </w:rPr>
        <w:t xml:space="preserve">. </w:t>
      </w:r>
      <w:r w:rsidR="00DC2E44">
        <w:rPr>
          <w:rFonts w:cs="Arial"/>
        </w:rPr>
        <w:br/>
      </w:r>
      <w:r w:rsidR="00DC2E44">
        <w:rPr>
          <w:rFonts w:cs="Arial"/>
        </w:rPr>
        <w:br/>
      </w:r>
      <w:r w:rsidR="6ECA85BB" w:rsidRPr="375902C0">
        <w:rPr>
          <w:rFonts w:cs="Arial"/>
        </w:rPr>
        <w:t>It</w:t>
      </w:r>
      <w:r w:rsidR="01A10325" w:rsidRPr="375902C0">
        <w:rPr>
          <w:rFonts w:cs="Arial"/>
        </w:rPr>
        <w:t xml:space="preserve"> includes </w:t>
      </w:r>
      <w:r w:rsidR="01A10325">
        <w:t>reference</w:t>
      </w:r>
      <w:r w:rsidR="01A10325" w:rsidRPr="375902C0">
        <w:rPr>
          <w:rFonts w:cs="Arial"/>
        </w:rPr>
        <w:t xml:space="preserve"> to </w:t>
      </w:r>
      <w:r w:rsidR="01A10325" w:rsidRPr="00D43BAE">
        <w:t>reducing</w:t>
      </w:r>
      <w:r w:rsidR="01A10325" w:rsidRPr="375902C0">
        <w:rPr>
          <w:rFonts w:cs="Arial"/>
        </w:rPr>
        <w:t xml:space="preserve"> shipping emissions </w:t>
      </w:r>
      <w:r w:rsidR="04E5CCC4" w:rsidRPr="375902C0">
        <w:rPr>
          <w:rFonts w:cs="Arial"/>
        </w:rPr>
        <w:t>and</w:t>
      </w:r>
      <w:r w:rsidR="01A10325" w:rsidRPr="375902C0">
        <w:rPr>
          <w:rFonts w:cs="Arial"/>
        </w:rPr>
        <w:t xml:space="preserve"> the wider impact of emissions from maritime industries </w:t>
      </w:r>
      <w:r w:rsidR="6ECA85BB" w:rsidRPr="375902C0">
        <w:rPr>
          <w:rFonts w:cs="Arial"/>
        </w:rPr>
        <w:t xml:space="preserve">and </w:t>
      </w:r>
      <w:r w:rsidR="01A10325" w:rsidRPr="00AF364B">
        <w:t>recognises</w:t>
      </w:r>
      <w:r w:rsidR="01A10325" w:rsidRPr="375902C0">
        <w:rPr>
          <w:rFonts w:cs="Arial"/>
        </w:rPr>
        <w:t xml:space="preserve"> the </w:t>
      </w:r>
      <w:bookmarkStart w:id="128" w:name="_Hlk71799257"/>
      <w:r w:rsidR="00F33BA1">
        <w:fldChar w:fldCharType="begin"/>
      </w:r>
      <w:r w:rsidR="00F33BA1">
        <w:instrText xml:space="preserve"> HYPERLINK "https://www.gov.uk/government/publications/clean-maritime-plan-maritime-2050-environment-route-map" \h </w:instrText>
      </w:r>
      <w:r w:rsidR="00F33BA1">
        <w:fldChar w:fldCharType="separate"/>
      </w:r>
      <w:r w:rsidR="46CA3189" w:rsidRPr="375902C0">
        <w:rPr>
          <w:rStyle w:val="Hyperlink"/>
          <w:rFonts w:cs="Arial"/>
        </w:rPr>
        <w:t xml:space="preserve">Clean Maritime </w:t>
      </w:r>
      <w:r w:rsidR="00DC2E44">
        <w:rPr>
          <w:rStyle w:val="Hyperlink"/>
          <w:rFonts w:cs="Arial"/>
        </w:rPr>
        <w:t>Plan</w:t>
      </w:r>
      <w:r w:rsidR="00F33BA1">
        <w:rPr>
          <w:rStyle w:val="Hyperlink"/>
          <w:rFonts w:cs="Arial"/>
        </w:rPr>
        <w:fldChar w:fldCharType="end"/>
      </w:r>
      <w:bookmarkEnd w:id="128"/>
      <w:r w:rsidR="04E5CCC4" w:rsidRPr="375902C0">
        <w:rPr>
          <w:rFonts w:cs="Arial"/>
        </w:rPr>
        <w:t xml:space="preserve">, </w:t>
      </w:r>
      <w:r w:rsidR="04E5CCC4" w:rsidRPr="375902C0">
        <w:rPr>
          <w:lang w:val="en"/>
        </w:rPr>
        <w:t>the UK’s route map to achieving zero emission shipping and clean growth for the maritime sector</w:t>
      </w:r>
      <w:r w:rsidR="04E5CCC4" w:rsidRPr="375902C0">
        <w:rPr>
          <w:rFonts w:cs="Arial"/>
        </w:rPr>
        <w:t>.</w:t>
      </w:r>
      <w:bookmarkEnd w:id="127"/>
      <w:r w:rsidR="04E5CCC4" w:rsidRPr="375902C0">
        <w:rPr>
          <w:rFonts w:cs="Arial"/>
        </w:rPr>
        <w:t xml:space="preserve"> </w:t>
      </w:r>
    </w:p>
    <w:p w14:paraId="0120F895" w14:textId="264DF9CB" w:rsidR="00DC2E44" w:rsidRPr="00285EEE" w:rsidRDefault="00AA0D6A" w:rsidP="00285EEE">
      <w:pPr>
        <w:pStyle w:val="ListParagraph"/>
        <w:numPr>
          <w:ilvl w:val="0"/>
          <w:numId w:val="8"/>
        </w:numPr>
        <w:ind w:left="561" w:hanging="567"/>
        <w:contextualSpacing w:val="0"/>
        <w:rPr>
          <w:b/>
          <w:bCs/>
        </w:rPr>
      </w:pPr>
      <w:bookmarkStart w:id="129" w:name="_Ref71195553"/>
      <w:r>
        <w:rPr>
          <w:rFonts w:cs="Arial"/>
        </w:rPr>
        <w:t>N</w:t>
      </w:r>
      <w:r w:rsidR="564F5BBA" w:rsidRPr="375902C0">
        <w:rPr>
          <w:rFonts w:cs="Arial"/>
        </w:rPr>
        <w:t xml:space="preserve">ational strategies, </w:t>
      </w:r>
      <w:r w:rsidR="564F5BBA" w:rsidRPr="00AF364B">
        <w:t>targets</w:t>
      </w:r>
      <w:r w:rsidR="564F5BBA" w:rsidRPr="375902C0">
        <w:rPr>
          <w:rFonts w:cs="Arial"/>
        </w:rPr>
        <w:t xml:space="preserve">, </w:t>
      </w:r>
      <w:r w:rsidR="564F5BBA" w:rsidRPr="00D43BAE">
        <w:t>and</w:t>
      </w:r>
      <w:r w:rsidR="564F5BBA" w:rsidRPr="375902C0">
        <w:rPr>
          <w:rFonts w:cs="Arial"/>
        </w:rPr>
        <w:t xml:space="preserve"> UK </w:t>
      </w:r>
      <w:r w:rsidR="006F0FEB">
        <w:rPr>
          <w:rFonts w:cs="Arial"/>
        </w:rPr>
        <w:t>g</w:t>
      </w:r>
      <w:r w:rsidR="564F5BBA" w:rsidRPr="375902C0">
        <w:rPr>
          <w:rFonts w:cs="Arial"/>
        </w:rPr>
        <w:t xml:space="preserve">overnment priorities around the climate change emergency </w:t>
      </w:r>
      <w:r>
        <w:rPr>
          <w:rFonts w:cs="Arial"/>
        </w:rPr>
        <w:t xml:space="preserve">have also </w:t>
      </w:r>
      <w:r w:rsidRPr="00AF364B">
        <w:t>evolved</w:t>
      </w:r>
      <w:r w:rsidR="03C1DF41">
        <w:t>:</w:t>
      </w:r>
      <w:bookmarkEnd w:id="129"/>
    </w:p>
    <w:p w14:paraId="566E0C21" w14:textId="50C242B1" w:rsidR="003C516B" w:rsidRPr="00285EEE" w:rsidRDefault="00A434B6" w:rsidP="00285EEE">
      <w:pPr>
        <w:pStyle w:val="Heading4"/>
        <w:rPr>
          <w:b w:val="0"/>
        </w:rPr>
      </w:pPr>
      <w:r w:rsidRPr="000020A8">
        <w:t>Case study</w:t>
      </w:r>
      <w:r w:rsidR="00DC2E44">
        <w:t xml:space="preserve"> -</w:t>
      </w:r>
      <w:r w:rsidR="003C516B">
        <w:t xml:space="preserve"> </w:t>
      </w:r>
      <w:r w:rsidR="00DC2E44">
        <w:t>e</w:t>
      </w:r>
      <w:r w:rsidR="003C516B" w:rsidRPr="00285EEE">
        <w:t>volution of context around renewable energy generation in response to the climate change emergency</w:t>
      </w:r>
    </w:p>
    <w:p w14:paraId="74D0786F" w14:textId="39389D9C" w:rsidR="00A434B6" w:rsidRDefault="00076B0C" w:rsidP="00D56257">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rPr>
          <w:rFonts w:cs="Arial"/>
        </w:rPr>
        <w:t>T</w:t>
      </w:r>
      <w:r w:rsidR="003C516B">
        <w:rPr>
          <w:rFonts w:cs="Arial"/>
        </w:rPr>
        <w:t xml:space="preserve">he </w:t>
      </w:r>
      <w:r w:rsidR="0041752B">
        <w:rPr>
          <w:rFonts w:cs="Arial"/>
        </w:rPr>
        <w:t>P</w:t>
      </w:r>
      <w:r w:rsidR="003C516B">
        <w:rPr>
          <w:rFonts w:cs="Arial"/>
        </w:rPr>
        <w:t>lan contains polic</w:t>
      </w:r>
      <w:r>
        <w:rPr>
          <w:rFonts w:cs="Arial"/>
        </w:rPr>
        <w:t>ies</w:t>
      </w:r>
      <w:r w:rsidR="003C516B">
        <w:rPr>
          <w:rFonts w:cs="Arial"/>
        </w:rPr>
        <w:t xml:space="preserve"> S-REN-1</w:t>
      </w:r>
      <w:r>
        <w:rPr>
          <w:rFonts w:cs="Arial"/>
        </w:rPr>
        <w:t xml:space="preserve"> (</w:t>
      </w:r>
      <w:r w:rsidR="003C516B">
        <w:rPr>
          <w:rFonts w:cs="Arial"/>
        </w:rPr>
        <w:t>supporting the deployment of relevant supply chains</w:t>
      </w:r>
      <w:r>
        <w:rPr>
          <w:rFonts w:cs="Arial"/>
        </w:rPr>
        <w:t>) and S-TIDE-1 (</w:t>
      </w:r>
      <w:r w:rsidRPr="00D56257">
        <w:rPr>
          <w:rFonts w:cs="Arial"/>
          <w:color w:val="000000"/>
          <w:szCs w:val="24"/>
        </w:rPr>
        <w:t>ensures</w:t>
      </w:r>
      <w:r>
        <w:rPr>
          <w:rFonts w:cs="Arial"/>
        </w:rPr>
        <w:t xml:space="preserve"> that </w:t>
      </w:r>
      <w:r>
        <w:t>areas identified for tidal energy developments are considered in the licensing process</w:t>
      </w:r>
      <w:r>
        <w:rPr>
          <w:rFonts w:cs="Arial"/>
        </w:rPr>
        <w:t xml:space="preserve">). </w:t>
      </w:r>
    </w:p>
    <w:p w14:paraId="56D4329E" w14:textId="4C03471B" w:rsidR="003C516B" w:rsidRDefault="00076B0C" w:rsidP="00D56257">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rPr>
          <w:rFonts w:cs="Arial"/>
        </w:rPr>
        <w:t>It also contains</w:t>
      </w:r>
      <w:r w:rsidR="003C516B">
        <w:rPr>
          <w:rFonts w:cs="Arial"/>
        </w:rPr>
        <w:t xml:space="preserve"> an information box which highlights how “d</w:t>
      </w:r>
      <w:r w:rsidR="003C516B" w:rsidRPr="000607FD">
        <w:rPr>
          <w:rFonts w:cs="Arial"/>
        </w:rPr>
        <w:t>ue to existing national policy and the scale and number of existing projects a</w:t>
      </w:r>
      <w:r w:rsidR="003C516B">
        <w:rPr>
          <w:rFonts w:cs="Arial"/>
        </w:rPr>
        <w:t xml:space="preserve"> </w:t>
      </w:r>
      <w:r w:rsidR="003C516B" w:rsidRPr="000607FD">
        <w:rPr>
          <w:rFonts w:cs="Arial"/>
        </w:rPr>
        <w:t>specific spatial offshore wind policy has not been included</w:t>
      </w:r>
      <w:r w:rsidR="003C516B">
        <w:rPr>
          <w:rFonts w:cs="Arial"/>
        </w:rPr>
        <w:t xml:space="preserve">”. However, </w:t>
      </w:r>
      <w:r>
        <w:rPr>
          <w:rFonts w:cs="Arial"/>
        </w:rPr>
        <w:t>since</w:t>
      </w:r>
      <w:r w:rsidR="003C516B">
        <w:rPr>
          <w:rFonts w:cs="Arial"/>
        </w:rPr>
        <w:t xml:space="preserve"> </w:t>
      </w:r>
      <w:r w:rsidR="0041752B">
        <w:rPr>
          <w:rFonts w:cs="Arial"/>
        </w:rPr>
        <w:t>P</w:t>
      </w:r>
      <w:r w:rsidR="003C516B">
        <w:rPr>
          <w:rFonts w:cs="Arial"/>
        </w:rPr>
        <w:t>lan adoption:</w:t>
      </w:r>
    </w:p>
    <w:p w14:paraId="25A6AF11" w14:textId="54758B3E" w:rsidR="003C516B" w:rsidRDefault="006F0FEB" w:rsidP="00D56257">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2F2F2" w:themeFill="background1" w:themeFillShade="F2"/>
        <w:ind w:left="567" w:hanging="567"/>
        <w:rPr>
          <w:rFonts w:cs="Arial"/>
        </w:rPr>
      </w:pPr>
      <w:r>
        <w:rPr>
          <w:rFonts w:cs="Arial"/>
        </w:rPr>
        <w:t>t</w:t>
      </w:r>
      <w:r w:rsidR="003C516B" w:rsidRPr="00125FB7">
        <w:rPr>
          <w:rFonts w:cs="Arial"/>
        </w:rPr>
        <w:t xml:space="preserve">he </w:t>
      </w:r>
      <w:bookmarkStart w:id="130" w:name="_Hlk71799267"/>
      <w:r w:rsidR="00F33BA1">
        <w:fldChar w:fldCharType="begin"/>
      </w:r>
      <w:r w:rsidR="00F33BA1">
        <w:instrText xml:space="preserve"> HYPERLINK "https://www.metoffice.gov.uk/research/approach/collaboration/ukcp/index" </w:instrText>
      </w:r>
      <w:r w:rsidR="00F33BA1">
        <w:fldChar w:fldCharType="separate"/>
      </w:r>
      <w:r w:rsidR="003C516B" w:rsidRPr="00125FB7">
        <w:rPr>
          <w:rStyle w:val="Hyperlink"/>
          <w:rFonts w:cs="Arial"/>
        </w:rPr>
        <w:t>UK Climate Projections</w:t>
      </w:r>
      <w:r w:rsidR="00F33BA1">
        <w:rPr>
          <w:rStyle w:val="Hyperlink"/>
          <w:rFonts w:cs="Arial"/>
        </w:rPr>
        <w:fldChar w:fldCharType="end"/>
      </w:r>
      <w:bookmarkEnd w:id="130"/>
      <w:r w:rsidR="003C516B" w:rsidRPr="00125FB7">
        <w:rPr>
          <w:rFonts w:cs="Arial"/>
        </w:rPr>
        <w:t xml:space="preserve"> were updated in 2018 along with the </w:t>
      </w:r>
      <w:bookmarkStart w:id="131" w:name="_Hlk71799280"/>
      <w:r w:rsidR="00F33BA1">
        <w:fldChar w:fldCharType="begin"/>
      </w:r>
      <w:r w:rsidR="00F33BA1">
        <w:instrText xml:space="preserve"> HYPERLINK "https://www.gov.uk/government/publications/climate-change-second-national-adaptation-programme-2018-to-2023" </w:instrText>
      </w:r>
      <w:r w:rsidR="00F33BA1">
        <w:fldChar w:fldCharType="separate"/>
      </w:r>
      <w:r w:rsidR="003C516B" w:rsidRPr="00716B5D">
        <w:rPr>
          <w:rStyle w:val="Hyperlink"/>
          <w:rFonts w:cs="Arial"/>
        </w:rPr>
        <w:t>Climate change: second national adaptation programme (2018 to 2023)</w:t>
      </w:r>
      <w:r w:rsidR="00F33BA1">
        <w:rPr>
          <w:rStyle w:val="Hyperlink"/>
          <w:rFonts w:cs="Arial"/>
        </w:rPr>
        <w:fldChar w:fldCharType="end"/>
      </w:r>
      <w:bookmarkEnd w:id="131"/>
      <w:r w:rsidR="003C516B" w:rsidRPr="00125FB7">
        <w:rPr>
          <w:rFonts w:cs="Arial"/>
        </w:rPr>
        <w:t xml:space="preserve">, setting out what government, businesses and society are doing to become </w:t>
      </w:r>
      <w:r w:rsidR="003C516B">
        <w:rPr>
          <w:rFonts w:cs="Arial"/>
        </w:rPr>
        <w:t>C</w:t>
      </w:r>
      <w:r w:rsidR="003C516B" w:rsidRPr="00125FB7">
        <w:rPr>
          <w:rFonts w:cs="Arial"/>
        </w:rPr>
        <w:t xml:space="preserve">limate </w:t>
      </w:r>
      <w:r w:rsidR="003C516B">
        <w:rPr>
          <w:rFonts w:cs="Arial"/>
        </w:rPr>
        <w:t>R</w:t>
      </w:r>
      <w:r w:rsidR="003C516B" w:rsidRPr="00125FB7">
        <w:rPr>
          <w:rFonts w:cs="Arial"/>
        </w:rPr>
        <w:t>eady</w:t>
      </w:r>
    </w:p>
    <w:p w14:paraId="0696E696" w14:textId="3C6BB426" w:rsidR="003C516B" w:rsidRDefault="006F0FEB" w:rsidP="00D56257">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2F2F2" w:themeFill="background1" w:themeFillShade="F2"/>
        <w:ind w:left="567" w:hanging="567"/>
        <w:rPr>
          <w:rFonts w:cs="Arial"/>
        </w:rPr>
      </w:pPr>
      <w:r>
        <w:rPr>
          <w:rFonts w:cs="Arial"/>
        </w:rPr>
        <w:t>t</w:t>
      </w:r>
      <w:r w:rsidR="003C516B" w:rsidRPr="001240AA">
        <w:rPr>
          <w:rFonts w:cs="Arial"/>
        </w:rPr>
        <w:t xml:space="preserve">he </w:t>
      </w:r>
      <w:r w:rsidR="003C516B">
        <w:rPr>
          <w:rFonts w:cs="Arial"/>
        </w:rPr>
        <w:t>national</w:t>
      </w:r>
      <w:r w:rsidR="003C516B" w:rsidRPr="00125FB7">
        <w:rPr>
          <w:rFonts w:cs="Arial"/>
        </w:rPr>
        <w:t xml:space="preserve"> </w:t>
      </w:r>
      <w:r w:rsidR="003C516B" w:rsidRPr="00570374">
        <w:rPr>
          <w:rFonts w:cs="Arial"/>
        </w:rPr>
        <w:t xml:space="preserve">target for reduction in carbon dioxide in the </w:t>
      </w:r>
      <w:bookmarkStart w:id="132" w:name="_Hlk71799287"/>
      <w:r w:rsidR="00F33BA1">
        <w:fldChar w:fldCharType="begin"/>
      </w:r>
      <w:r w:rsidR="00F33BA1">
        <w:instrText xml:space="preserve"> HYPERLINK "https://www.legislation.gov.uk/ukpga/2008/27/contents" </w:instrText>
      </w:r>
      <w:r w:rsidR="00F33BA1">
        <w:fldChar w:fldCharType="separate"/>
      </w:r>
      <w:r w:rsidR="003C516B" w:rsidRPr="00125FB7">
        <w:rPr>
          <w:rStyle w:val="Hyperlink"/>
          <w:rFonts w:cs="Arial"/>
        </w:rPr>
        <w:t>Climate Change Act 2008</w:t>
      </w:r>
      <w:r w:rsidR="00F33BA1">
        <w:rPr>
          <w:rStyle w:val="Hyperlink"/>
          <w:rFonts w:cs="Arial"/>
        </w:rPr>
        <w:fldChar w:fldCharType="end"/>
      </w:r>
      <w:bookmarkEnd w:id="132"/>
      <w:r w:rsidR="003C516B" w:rsidRPr="00570374">
        <w:rPr>
          <w:rFonts w:cs="Arial"/>
        </w:rPr>
        <w:t xml:space="preserve"> was amended from 80% to 100% </w:t>
      </w:r>
      <w:r w:rsidR="003C516B">
        <w:rPr>
          <w:rFonts w:cs="Arial"/>
        </w:rPr>
        <w:t xml:space="preserve">in 2019, </w:t>
      </w:r>
      <w:r w:rsidR="003C516B" w:rsidRPr="00570374">
        <w:rPr>
          <w:rFonts w:cs="Arial"/>
        </w:rPr>
        <w:t>to achieve net zero in the UK by 2050</w:t>
      </w:r>
    </w:p>
    <w:p w14:paraId="6618BFF0" w14:textId="6EF32166" w:rsidR="003C516B" w:rsidRDefault="00A434B6" w:rsidP="00D56257">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2F2F2" w:themeFill="background1" w:themeFillShade="F2"/>
        <w:ind w:left="567" w:hanging="567"/>
        <w:rPr>
          <w:rFonts w:cs="Arial"/>
        </w:rPr>
      </w:pPr>
      <w:r>
        <w:rPr>
          <w:rFonts w:cs="Arial"/>
        </w:rPr>
        <w:t>t</w:t>
      </w:r>
      <w:r w:rsidR="003C516B" w:rsidRPr="00125FB7">
        <w:rPr>
          <w:rFonts w:cs="Arial"/>
        </w:rPr>
        <w:t xml:space="preserve">he </w:t>
      </w:r>
      <w:r w:rsidR="003C516B" w:rsidRPr="00A506DD">
        <w:rPr>
          <w:rFonts w:cs="Arial"/>
        </w:rPr>
        <w:t xml:space="preserve">National </w:t>
      </w:r>
      <w:r w:rsidR="00DC2E44">
        <w:rPr>
          <w:rFonts w:cs="Arial"/>
        </w:rPr>
        <w:t>Plan</w:t>
      </w:r>
      <w:r w:rsidR="003C516B" w:rsidRPr="00A506DD">
        <w:rPr>
          <w:rFonts w:cs="Arial"/>
        </w:rPr>
        <w:t>ning Policy Framework</w:t>
      </w:r>
      <w:r>
        <w:rPr>
          <w:rFonts w:cs="Arial"/>
        </w:rPr>
        <w:t xml:space="preserve"> (NPPF)</w:t>
      </w:r>
      <w:r w:rsidR="003C516B" w:rsidRPr="00125FB7">
        <w:rPr>
          <w:rFonts w:cs="Arial"/>
        </w:rPr>
        <w:t xml:space="preserve"> (updated in 2019) emphasised that responding to climate change is central to the economic, social and environmental dimensions of sustainable development</w:t>
      </w:r>
    </w:p>
    <w:p w14:paraId="7B34278E" w14:textId="58AB0925" w:rsidR="00A434B6" w:rsidRPr="00D43D9E" w:rsidRDefault="006F0FEB">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2F2F2" w:themeFill="background1" w:themeFillShade="F2"/>
        <w:ind w:left="567" w:hanging="567"/>
        <w:rPr>
          <w:rFonts w:cs="Arial"/>
        </w:rPr>
      </w:pPr>
      <w:r>
        <w:rPr>
          <w:rFonts w:cs="Arial"/>
        </w:rPr>
        <w:t>t</w:t>
      </w:r>
      <w:r w:rsidR="003C516B" w:rsidRPr="00125FB7">
        <w:rPr>
          <w:rFonts w:cs="Arial"/>
        </w:rPr>
        <w:t xml:space="preserve">he </w:t>
      </w:r>
      <w:r>
        <w:rPr>
          <w:rFonts w:cs="Arial"/>
        </w:rPr>
        <w:t>g</w:t>
      </w:r>
      <w:r w:rsidR="003C516B" w:rsidRPr="00125FB7">
        <w:rPr>
          <w:rFonts w:cs="Arial"/>
        </w:rPr>
        <w:t xml:space="preserve">overnment announced </w:t>
      </w:r>
      <w:bookmarkStart w:id="133" w:name="_Hlk71799323"/>
      <w:r w:rsidR="00F33BA1">
        <w:fldChar w:fldCharType="begin"/>
      </w:r>
      <w:r w:rsidR="00F33BA1">
        <w:instrText xml:space="preserve"> HYPERLINK "https://www.gov.uk/government/publications/the-ten-point-plan-for-a-green-industrial-revolution" </w:instrText>
      </w:r>
      <w:r w:rsidR="00F33BA1">
        <w:fldChar w:fldCharType="separate"/>
      </w:r>
      <w:r w:rsidR="003C516B" w:rsidRPr="00125FB7">
        <w:rPr>
          <w:rStyle w:val="Hyperlink"/>
          <w:rFonts w:cs="Arial"/>
        </w:rPr>
        <w:t xml:space="preserve">The ten point </w:t>
      </w:r>
      <w:r w:rsidR="00DC2E44">
        <w:rPr>
          <w:rStyle w:val="Hyperlink"/>
          <w:rFonts w:cs="Arial"/>
        </w:rPr>
        <w:t>Plan</w:t>
      </w:r>
      <w:r w:rsidR="003C516B" w:rsidRPr="00125FB7">
        <w:rPr>
          <w:rStyle w:val="Hyperlink"/>
          <w:rFonts w:cs="Arial"/>
        </w:rPr>
        <w:t xml:space="preserve"> for a green industrial revolution</w:t>
      </w:r>
      <w:r w:rsidR="00F33BA1">
        <w:rPr>
          <w:rStyle w:val="Hyperlink"/>
          <w:rFonts w:cs="Arial"/>
        </w:rPr>
        <w:fldChar w:fldCharType="end"/>
      </w:r>
      <w:bookmarkEnd w:id="133"/>
      <w:r w:rsidR="003C516B" w:rsidRPr="00125FB7">
        <w:rPr>
          <w:rFonts w:cs="Arial"/>
        </w:rPr>
        <w:t xml:space="preserve"> </w:t>
      </w:r>
      <w:r w:rsidR="003C516B">
        <w:rPr>
          <w:rFonts w:cs="Arial"/>
        </w:rPr>
        <w:t>i</w:t>
      </w:r>
      <w:r w:rsidR="003C516B" w:rsidRPr="00125FB7">
        <w:rPr>
          <w:rFonts w:cs="Arial"/>
        </w:rPr>
        <w:t>n November 2020</w:t>
      </w:r>
      <w:r w:rsidR="003C516B">
        <w:rPr>
          <w:rFonts w:cs="Arial"/>
        </w:rPr>
        <w:t>,</w:t>
      </w:r>
      <w:r w:rsidR="003C516B" w:rsidRPr="00125FB7">
        <w:rPr>
          <w:rFonts w:cs="Arial"/>
        </w:rPr>
        <w:t xml:space="preserve"> </w:t>
      </w:r>
      <w:r w:rsidR="003C516B">
        <w:rPr>
          <w:rFonts w:cs="Arial"/>
        </w:rPr>
        <w:t>to focus on</w:t>
      </w:r>
      <w:r w:rsidR="003C516B" w:rsidRPr="00125FB7">
        <w:rPr>
          <w:rFonts w:cs="Arial"/>
        </w:rPr>
        <w:t xml:space="preserve"> advancing offshore wind, investing in carbon capture and protecting our natural environment</w:t>
      </w:r>
    </w:p>
    <w:p w14:paraId="2CA226CD" w14:textId="6DB6D082" w:rsidR="003C516B" w:rsidRPr="001240AA" w:rsidRDefault="006F0FEB" w:rsidP="00D56257">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2F2F2" w:themeFill="background1" w:themeFillShade="F2"/>
        <w:ind w:left="567" w:hanging="567"/>
        <w:rPr>
          <w:rFonts w:cs="Arial"/>
        </w:rPr>
      </w:pPr>
      <w:r>
        <w:rPr>
          <w:rFonts w:cs="Arial"/>
        </w:rPr>
        <w:t>i</w:t>
      </w:r>
      <w:r w:rsidR="00353819" w:rsidRPr="00FD60CF">
        <w:rPr>
          <w:rFonts w:cs="Arial"/>
        </w:rPr>
        <w:t>n December 2020</w:t>
      </w:r>
      <w:r w:rsidR="003C516B" w:rsidRPr="00FD60CF">
        <w:rPr>
          <w:rFonts w:cs="Arial"/>
        </w:rPr>
        <w:t xml:space="preserve"> </w:t>
      </w:r>
      <w:r w:rsidR="003C516B">
        <w:rPr>
          <w:rFonts w:cs="Arial"/>
        </w:rPr>
        <w:t>the</w:t>
      </w:r>
      <w:r w:rsidR="003C516B" w:rsidRPr="00FD60CF">
        <w:rPr>
          <w:rFonts w:cs="Arial"/>
        </w:rPr>
        <w:t xml:space="preserve"> </w:t>
      </w:r>
      <w:bookmarkStart w:id="134" w:name="_Hlk71799351"/>
      <w:r w:rsidR="00F33BA1">
        <w:fldChar w:fldCharType="begin"/>
      </w:r>
      <w:r w:rsidR="00F33BA1">
        <w:instrText xml:space="preserve"> HYPERLINK "https://unfccc.int/process-and-meetings/the-paris-agreement/nationally-determined-contributions-ndcs/nationally-determined-contributions-ndcs" \l ":~:text=Nationally%20determined%20contributions%20(NDCs)%20are,the%20impacts%20of%20climate%20change." </w:instrText>
      </w:r>
      <w:r w:rsidR="00F33BA1">
        <w:fldChar w:fldCharType="separate"/>
      </w:r>
      <w:r w:rsidR="003C516B" w:rsidRPr="00FD60CF">
        <w:rPr>
          <w:rStyle w:val="Hyperlink"/>
          <w:rFonts w:cs="Arial"/>
        </w:rPr>
        <w:t>Nationally Determined Contribution (NDC)</w:t>
      </w:r>
      <w:r w:rsidR="00F33BA1">
        <w:rPr>
          <w:rStyle w:val="Hyperlink"/>
          <w:rFonts w:cs="Arial"/>
        </w:rPr>
        <w:fldChar w:fldCharType="end"/>
      </w:r>
      <w:bookmarkEnd w:id="134"/>
      <w:r w:rsidR="003C516B" w:rsidRPr="00FD60CF">
        <w:rPr>
          <w:rFonts w:cs="Arial"/>
        </w:rPr>
        <w:t xml:space="preserve"> </w:t>
      </w:r>
      <w:r w:rsidR="00353819">
        <w:rPr>
          <w:rFonts w:cs="Arial"/>
        </w:rPr>
        <w:t xml:space="preserve">was increased </w:t>
      </w:r>
      <w:r w:rsidR="003C516B" w:rsidRPr="00FD60CF">
        <w:rPr>
          <w:rFonts w:cs="Arial"/>
        </w:rPr>
        <w:t>from 53% to 68% reduction of greenhouse gas</w:t>
      </w:r>
      <w:r w:rsidR="003C516B">
        <w:rPr>
          <w:rFonts w:cs="Arial"/>
        </w:rPr>
        <w:t xml:space="preserve"> emissions</w:t>
      </w:r>
      <w:r w:rsidR="00353819">
        <w:rPr>
          <w:rFonts w:cs="Arial"/>
        </w:rPr>
        <w:t>, with a further increase to 78% in April 2021 (</w:t>
      </w:r>
      <w:bookmarkStart w:id="135" w:name="_Hlk71799371"/>
      <w:r w:rsidR="00F33BA1">
        <w:fldChar w:fldCharType="begin"/>
      </w:r>
      <w:r w:rsidR="00F33BA1">
        <w:instrText xml:space="preserve"> HYPERLINK "https://www.gov.uk/government/news/uk-enshrines-new-target-in-law-to-slash-emissions-by-78-by-2035" \l ":~:text=The%20UK%20government%20will%20set,today%20(Tuesday%2020%20April)." </w:instrText>
      </w:r>
      <w:r w:rsidR="00F33BA1">
        <w:fldChar w:fldCharType="separate"/>
      </w:r>
      <w:r w:rsidR="00353819" w:rsidRPr="00353819">
        <w:rPr>
          <w:rStyle w:val="Hyperlink"/>
          <w:rFonts w:cs="Arial"/>
        </w:rPr>
        <w:t>UK enshrines new target in law to slash emissions by 78% by 2035</w:t>
      </w:r>
      <w:r w:rsidR="00F33BA1">
        <w:rPr>
          <w:rStyle w:val="Hyperlink"/>
          <w:rFonts w:cs="Arial"/>
        </w:rPr>
        <w:fldChar w:fldCharType="end"/>
      </w:r>
      <w:bookmarkEnd w:id="135"/>
      <w:r w:rsidR="00353819">
        <w:rPr>
          <w:rFonts w:cs="Arial"/>
        </w:rPr>
        <w:t>)</w:t>
      </w:r>
    </w:p>
    <w:p w14:paraId="08256FB3" w14:textId="1969EFC8" w:rsidR="00A434B6" w:rsidRDefault="003C516B" w:rsidP="00D56257">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rsidRPr="0096791A">
        <w:rPr>
          <w:rFonts w:cs="Arial"/>
        </w:rPr>
        <w:lastRenderedPageBreak/>
        <w:t>The</w:t>
      </w:r>
      <w:r>
        <w:rPr>
          <w:rFonts w:cs="Arial"/>
        </w:rPr>
        <w:t>se</w:t>
      </w:r>
      <w:r w:rsidRPr="0096791A">
        <w:rPr>
          <w:rFonts w:cs="Arial"/>
        </w:rPr>
        <w:t xml:space="preserve"> </w:t>
      </w:r>
      <w:r>
        <w:rPr>
          <w:rFonts w:cs="Arial"/>
        </w:rPr>
        <w:t>developments</w:t>
      </w:r>
      <w:r w:rsidRPr="0096791A">
        <w:rPr>
          <w:rFonts w:cs="Arial"/>
        </w:rPr>
        <w:t xml:space="preserve"> represent</w:t>
      </w:r>
      <w:r>
        <w:rPr>
          <w:rFonts w:cs="Arial"/>
        </w:rPr>
        <w:t xml:space="preserve"> </w:t>
      </w:r>
      <w:r w:rsidRPr="0096791A">
        <w:rPr>
          <w:rFonts w:cs="Arial"/>
        </w:rPr>
        <w:t xml:space="preserve">significant </w:t>
      </w:r>
      <w:r w:rsidR="00076B0C">
        <w:rPr>
          <w:rFonts w:cs="Arial"/>
        </w:rPr>
        <w:t>contextual changes</w:t>
      </w:r>
      <w:r w:rsidRPr="0096791A">
        <w:rPr>
          <w:rFonts w:cs="Arial"/>
        </w:rPr>
        <w:t xml:space="preserve"> </w:t>
      </w:r>
      <w:r w:rsidR="00A95A2B">
        <w:rPr>
          <w:rFonts w:cs="Arial"/>
        </w:rPr>
        <w:t xml:space="preserve">in </w:t>
      </w:r>
      <w:r w:rsidRPr="0096791A">
        <w:rPr>
          <w:rFonts w:cs="Arial"/>
        </w:rPr>
        <w:t>national legislation and targets</w:t>
      </w:r>
      <w:r>
        <w:rPr>
          <w:rFonts w:cs="Arial"/>
        </w:rPr>
        <w:t xml:space="preserve"> </w:t>
      </w:r>
      <w:r w:rsidRPr="0096791A">
        <w:rPr>
          <w:rFonts w:cs="Arial"/>
        </w:rPr>
        <w:t xml:space="preserve">around climate change and </w:t>
      </w:r>
      <w:r w:rsidR="00076B0C">
        <w:rPr>
          <w:rFonts w:cs="Arial"/>
        </w:rPr>
        <w:t xml:space="preserve">emissions </w:t>
      </w:r>
      <w:r w:rsidRPr="0096791A">
        <w:rPr>
          <w:rFonts w:cs="Arial"/>
        </w:rPr>
        <w:t>targets</w:t>
      </w:r>
      <w:r w:rsidR="00076B0C">
        <w:rPr>
          <w:rFonts w:cs="Arial"/>
        </w:rPr>
        <w:t>,</w:t>
      </w:r>
      <w:r>
        <w:rPr>
          <w:rFonts w:cs="Arial"/>
        </w:rPr>
        <w:t xml:space="preserve"> which should be reflected in the marine </w:t>
      </w:r>
      <w:r w:rsidR="00C406C0">
        <w:rPr>
          <w:rFonts w:cs="Arial"/>
        </w:rPr>
        <w:t>p</w:t>
      </w:r>
      <w:r w:rsidR="00DC2E44">
        <w:rPr>
          <w:rFonts w:cs="Arial"/>
        </w:rPr>
        <w:t>lan</w:t>
      </w:r>
      <w:r>
        <w:rPr>
          <w:rFonts w:cs="Arial"/>
        </w:rPr>
        <w:t xml:space="preserve">ning process. </w:t>
      </w:r>
    </w:p>
    <w:p w14:paraId="30EB00A1" w14:textId="10209C82" w:rsidR="009F6497" w:rsidRDefault="003C516B" w:rsidP="00D56257">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rPr>
          <w:rFonts w:cs="Arial"/>
        </w:rPr>
        <w:t xml:space="preserve">To </w:t>
      </w:r>
      <w:r w:rsidRPr="00D56257">
        <w:rPr>
          <w:rFonts w:cs="Arial"/>
          <w:color w:val="000000"/>
          <w:szCs w:val="24"/>
        </w:rPr>
        <w:t>this</w:t>
      </w:r>
      <w:r>
        <w:rPr>
          <w:rFonts w:cs="Arial"/>
        </w:rPr>
        <w:t xml:space="preserve"> end, the </w:t>
      </w:r>
      <w:r w:rsidRPr="00A73018">
        <w:rPr>
          <w:rFonts w:cs="Arial"/>
        </w:rPr>
        <w:t xml:space="preserve">North East, North West, South East, and South West Marine </w:t>
      </w:r>
      <w:r w:rsidR="00DC2E44">
        <w:rPr>
          <w:rFonts w:cs="Arial"/>
        </w:rPr>
        <w:t>Plan</w:t>
      </w:r>
      <w:r w:rsidRPr="00A73018">
        <w:rPr>
          <w:rFonts w:cs="Arial"/>
        </w:rPr>
        <w:t>s</w:t>
      </w:r>
      <w:r>
        <w:rPr>
          <w:rFonts w:cs="Arial"/>
        </w:rPr>
        <w:t xml:space="preserve"> contain policies which (REN-2) </w:t>
      </w:r>
      <w:r w:rsidRPr="0096791A">
        <w:rPr>
          <w:rFonts w:cs="Arial"/>
        </w:rPr>
        <w:t xml:space="preserve">protect areas identified for </w:t>
      </w:r>
      <w:r>
        <w:rPr>
          <w:rFonts w:cs="Arial"/>
        </w:rPr>
        <w:t xml:space="preserve">any renewable </w:t>
      </w:r>
      <w:r w:rsidRPr="0096791A">
        <w:rPr>
          <w:rFonts w:cs="Arial"/>
        </w:rPr>
        <w:t xml:space="preserve">energy </w:t>
      </w:r>
      <w:r>
        <w:rPr>
          <w:rFonts w:cs="Arial"/>
        </w:rPr>
        <w:t>generation</w:t>
      </w:r>
      <w:r w:rsidRPr="0096791A">
        <w:rPr>
          <w:rFonts w:cs="Arial"/>
        </w:rPr>
        <w:t xml:space="preserve"> from other activities</w:t>
      </w:r>
      <w:r>
        <w:rPr>
          <w:rFonts w:cs="Arial"/>
        </w:rPr>
        <w:t>, and (REN-3) support</w:t>
      </w:r>
      <w:r w:rsidRPr="00A73018" w:rsidDel="00570374">
        <w:rPr>
          <w:rFonts w:cs="Arial"/>
        </w:rPr>
        <w:t xml:space="preserve"> </w:t>
      </w:r>
      <w:r>
        <w:rPr>
          <w:rFonts w:cs="Arial"/>
        </w:rPr>
        <w:t xml:space="preserve">installation of </w:t>
      </w:r>
      <w:r w:rsidRPr="00A73018">
        <w:rPr>
          <w:rFonts w:cs="Arial"/>
        </w:rPr>
        <w:t xml:space="preserve">offshore renewable energy infrastructure </w:t>
      </w:r>
      <w:r>
        <w:t>within</w:t>
      </w:r>
      <w:r w:rsidRPr="002B58C7">
        <w:t xml:space="preserve"> areas of potential</w:t>
      </w:r>
      <w:r>
        <w:rPr>
          <w:rFonts w:cs="Arial"/>
        </w:rPr>
        <w:t xml:space="preserve">. </w:t>
      </w:r>
    </w:p>
    <w:p w14:paraId="603D3FDA" w14:textId="5D649DB5" w:rsidR="00A434B6" w:rsidRDefault="003C516B" w:rsidP="00D56257">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rPr>
          <w:rFonts w:cs="Arial"/>
        </w:rPr>
        <w:t>There is</w:t>
      </w:r>
      <w:r w:rsidR="000B0B4B">
        <w:rPr>
          <w:rFonts w:cs="Arial"/>
        </w:rPr>
        <w:t>,</w:t>
      </w:r>
      <w:r>
        <w:rPr>
          <w:rFonts w:cs="Arial"/>
        </w:rPr>
        <w:t xml:space="preserve"> therefore</w:t>
      </w:r>
      <w:r w:rsidR="000B0B4B">
        <w:rPr>
          <w:rFonts w:cs="Arial"/>
        </w:rPr>
        <w:t>,</w:t>
      </w:r>
      <w:r>
        <w:rPr>
          <w:rFonts w:cs="Arial"/>
        </w:rPr>
        <w:t xml:space="preserve"> a mandate for </w:t>
      </w:r>
      <w:r w:rsidR="006C1ABB">
        <w:rPr>
          <w:rFonts w:cs="Arial"/>
        </w:rPr>
        <w:t>a similar</w:t>
      </w:r>
      <w:r>
        <w:rPr>
          <w:rFonts w:cs="Arial"/>
        </w:rPr>
        <w:t xml:space="preserve"> position on renewable energy in the </w:t>
      </w:r>
      <w:r w:rsidR="00B07496">
        <w:rPr>
          <w:rFonts w:cs="Arial"/>
        </w:rPr>
        <w:t xml:space="preserve">South Marine </w:t>
      </w:r>
      <w:r w:rsidR="00DC2E44">
        <w:rPr>
          <w:rFonts w:cs="Arial"/>
        </w:rPr>
        <w:t>Plan</w:t>
      </w:r>
      <w:r>
        <w:rPr>
          <w:rFonts w:cs="Arial"/>
        </w:rPr>
        <w:t xml:space="preserve">. </w:t>
      </w:r>
    </w:p>
    <w:p w14:paraId="0997DD46" w14:textId="34CBC40E" w:rsidR="00A434B6" w:rsidRDefault="003C516B" w:rsidP="00D56257">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rPr>
          <w:rFonts w:cs="Arial"/>
        </w:rPr>
        <w:t xml:space="preserve">This would </w:t>
      </w:r>
      <w:r w:rsidR="006C1ABB">
        <w:rPr>
          <w:rFonts w:cs="Arial"/>
        </w:rPr>
        <w:t xml:space="preserve">ensure the </w:t>
      </w:r>
      <w:r w:rsidR="006F0FEB">
        <w:rPr>
          <w:rFonts w:cs="Arial"/>
        </w:rPr>
        <w:t>p</w:t>
      </w:r>
      <w:r w:rsidR="006C1ABB">
        <w:rPr>
          <w:rFonts w:cs="Arial"/>
        </w:rPr>
        <w:t>lan</w:t>
      </w:r>
      <w:r>
        <w:rPr>
          <w:rFonts w:cs="Arial"/>
        </w:rPr>
        <w:t xml:space="preserve"> </w:t>
      </w:r>
      <w:r w:rsidR="006C1ABB">
        <w:rPr>
          <w:rFonts w:cs="Arial"/>
        </w:rPr>
        <w:t>fully reflects national priorities</w:t>
      </w:r>
      <w:r w:rsidR="006C1ABB" w:rsidRPr="006A27E1">
        <w:rPr>
          <w:rFonts w:cs="Arial"/>
        </w:rPr>
        <w:t xml:space="preserve"> </w:t>
      </w:r>
      <w:r w:rsidR="006C1ABB">
        <w:rPr>
          <w:rFonts w:cs="Arial"/>
        </w:rPr>
        <w:t xml:space="preserve">when </w:t>
      </w:r>
      <w:r w:rsidR="006A27E1" w:rsidRPr="006A27E1">
        <w:rPr>
          <w:rFonts w:cs="Arial"/>
        </w:rPr>
        <w:t>inform</w:t>
      </w:r>
      <w:r w:rsidR="006C1ABB">
        <w:rPr>
          <w:rFonts w:cs="Arial"/>
        </w:rPr>
        <w:t>ing</w:t>
      </w:r>
      <w:r w:rsidR="006A27E1" w:rsidRPr="006A27E1">
        <w:rPr>
          <w:rFonts w:cs="Arial"/>
        </w:rPr>
        <w:t xml:space="preserve"> decision-making </w:t>
      </w:r>
      <w:r w:rsidR="006C1ABB">
        <w:rPr>
          <w:rFonts w:cs="Arial"/>
        </w:rPr>
        <w:t>around</w:t>
      </w:r>
      <w:r w:rsidR="0096124F">
        <w:rPr>
          <w:rFonts w:cs="Arial"/>
        </w:rPr>
        <w:t xml:space="preserve"> </w:t>
      </w:r>
      <w:r w:rsidR="00E75E2B">
        <w:rPr>
          <w:rFonts w:cs="Arial"/>
        </w:rPr>
        <w:t xml:space="preserve">new </w:t>
      </w:r>
      <w:r>
        <w:rPr>
          <w:rFonts w:cs="Arial"/>
        </w:rPr>
        <w:t xml:space="preserve">renewable </w:t>
      </w:r>
      <w:r w:rsidRPr="00D56257">
        <w:rPr>
          <w:rFonts w:cs="Arial"/>
          <w:color w:val="000000"/>
          <w:szCs w:val="24"/>
        </w:rPr>
        <w:t>energy</w:t>
      </w:r>
      <w:r>
        <w:rPr>
          <w:rFonts w:cs="Arial"/>
        </w:rPr>
        <w:t xml:space="preserve"> </w:t>
      </w:r>
      <w:r w:rsidR="006C1ABB">
        <w:rPr>
          <w:rFonts w:cs="Arial"/>
        </w:rPr>
        <w:t>and infrastructure</w:t>
      </w:r>
      <w:r>
        <w:rPr>
          <w:rFonts w:cs="Arial"/>
        </w:rPr>
        <w:t xml:space="preserve"> in the </w:t>
      </w:r>
      <w:r w:rsidR="00B07496">
        <w:rPr>
          <w:rFonts w:cs="Arial"/>
        </w:rPr>
        <w:t xml:space="preserve">South Marine </w:t>
      </w:r>
      <w:r w:rsidR="00DC2E44">
        <w:rPr>
          <w:rFonts w:cs="Arial"/>
        </w:rPr>
        <w:t>Plan</w:t>
      </w:r>
      <w:r>
        <w:rPr>
          <w:rFonts w:cs="Arial"/>
        </w:rPr>
        <w:t xml:space="preserve"> areas.</w:t>
      </w:r>
      <w:r w:rsidR="006C1ABB">
        <w:rPr>
          <w:rFonts w:cs="Arial"/>
        </w:rPr>
        <w:t xml:space="preserve"> This would also ensure consistency with neighbouring marine </w:t>
      </w:r>
      <w:r w:rsidR="0041752B">
        <w:rPr>
          <w:rFonts w:cs="Arial"/>
        </w:rPr>
        <w:t>p</w:t>
      </w:r>
      <w:r w:rsidR="00DC2E44">
        <w:rPr>
          <w:rFonts w:cs="Arial"/>
        </w:rPr>
        <w:t>lan</w:t>
      </w:r>
      <w:r w:rsidR="006C1ABB">
        <w:rPr>
          <w:rFonts w:cs="Arial"/>
        </w:rPr>
        <w:t xml:space="preserve"> areas.</w:t>
      </w:r>
      <w:r w:rsidRPr="002A7626">
        <w:rPr>
          <w:rFonts w:cs="Arial"/>
        </w:rPr>
        <w:t xml:space="preserve"> </w:t>
      </w:r>
    </w:p>
    <w:p w14:paraId="087322BA" w14:textId="082D207C" w:rsidR="003C516B" w:rsidRPr="009F6497" w:rsidRDefault="00757E25" w:rsidP="00D56257">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rPr>
          <w:rFonts w:cs="Arial"/>
        </w:rPr>
        <w:t>I</w:t>
      </w:r>
      <w:r w:rsidR="003C516B">
        <w:rPr>
          <w:rFonts w:cs="Arial"/>
        </w:rPr>
        <w:t xml:space="preserve">n consideration of ongoing uses, </w:t>
      </w:r>
      <w:r w:rsidR="006C1ABB">
        <w:rPr>
          <w:rFonts w:cs="Arial"/>
        </w:rPr>
        <w:t>this</w:t>
      </w:r>
      <w:r w:rsidR="003C516B">
        <w:rPr>
          <w:rFonts w:cs="Arial"/>
        </w:rPr>
        <w:t xml:space="preserve"> would also provide necessary support to the maintenance and operation of existing </w:t>
      </w:r>
      <w:r>
        <w:rPr>
          <w:rFonts w:cs="Arial"/>
        </w:rPr>
        <w:t xml:space="preserve">or </w:t>
      </w:r>
      <w:r w:rsidR="0041752B">
        <w:rPr>
          <w:rFonts w:cs="Arial"/>
        </w:rPr>
        <w:t>p</w:t>
      </w:r>
      <w:r w:rsidR="00DC2E44">
        <w:rPr>
          <w:rFonts w:cs="Arial"/>
        </w:rPr>
        <w:t>lan</w:t>
      </w:r>
      <w:r>
        <w:rPr>
          <w:rFonts w:cs="Arial"/>
        </w:rPr>
        <w:t xml:space="preserve">ned </w:t>
      </w:r>
      <w:r w:rsidR="00E75E2B">
        <w:rPr>
          <w:rFonts w:cs="Arial"/>
        </w:rPr>
        <w:t>projects</w:t>
      </w:r>
      <w:r>
        <w:rPr>
          <w:rFonts w:cs="Arial"/>
        </w:rPr>
        <w:t>.</w:t>
      </w:r>
    </w:p>
    <w:p w14:paraId="6B29C0F7" w14:textId="3730835C" w:rsidR="00A434B6" w:rsidRDefault="04E5CCC4" w:rsidP="00D43BAE">
      <w:pPr>
        <w:pStyle w:val="ListParagraph"/>
        <w:numPr>
          <w:ilvl w:val="0"/>
          <w:numId w:val="8"/>
        </w:numPr>
        <w:ind w:left="561" w:hanging="567"/>
        <w:contextualSpacing w:val="0"/>
      </w:pPr>
      <w:r>
        <w:t xml:space="preserve">Other strategies have been updated or released since </w:t>
      </w:r>
      <w:r w:rsidR="0041752B">
        <w:t>P</w:t>
      </w:r>
      <w:r>
        <w:t>lan adoption</w:t>
      </w:r>
      <w:r w:rsidR="00076B0C">
        <w:t xml:space="preserve">, though the impact </w:t>
      </w:r>
      <w:r w:rsidR="00076B0C" w:rsidRPr="00AF364B">
        <w:rPr>
          <w:rFonts w:cs="Arial"/>
        </w:rPr>
        <w:t>these</w:t>
      </w:r>
      <w:r w:rsidR="00076B0C">
        <w:t xml:space="preserve"> may have on the </w:t>
      </w:r>
      <w:r w:rsidR="0041752B">
        <w:t>P</w:t>
      </w:r>
      <w:r w:rsidR="00076B0C">
        <w:t>lan is not yet clear</w:t>
      </w:r>
      <w:r>
        <w:t>.</w:t>
      </w:r>
      <w:r w:rsidR="0F467AE8">
        <w:t xml:space="preserve"> </w:t>
      </w:r>
    </w:p>
    <w:p w14:paraId="6F7A4FEC" w14:textId="49F21774" w:rsidR="00A434B6" w:rsidRDefault="0F467AE8" w:rsidP="00285EEE">
      <w:pPr>
        <w:pStyle w:val="ListParagraph"/>
        <w:ind w:left="561"/>
        <w:contextualSpacing w:val="0"/>
      </w:pPr>
      <w:r>
        <w:t xml:space="preserve">The </w:t>
      </w:r>
      <w:bookmarkStart w:id="136" w:name="_Hlk71799377"/>
      <w:r w:rsidR="00F33BA1">
        <w:fldChar w:fldCharType="begin"/>
      </w:r>
      <w:r w:rsidR="00F33BA1">
        <w:instrText xml:space="preserve"> HYPERLINK "https://www.gov.uk/government/publications/national-flood-and-coastal-erosion-risk-management-strategy-for-england--2" \h </w:instrText>
      </w:r>
      <w:r w:rsidR="00F33BA1">
        <w:fldChar w:fldCharType="separate"/>
      </w:r>
      <w:r w:rsidRPr="375902C0">
        <w:rPr>
          <w:rStyle w:val="Hyperlink"/>
          <w:rFonts w:cs="Arial"/>
        </w:rPr>
        <w:t>National Flood and Coastal Erosion Risk Management Strategy for England</w:t>
      </w:r>
      <w:r w:rsidR="00F33BA1">
        <w:rPr>
          <w:rStyle w:val="Hyperlink"/>
          <w:rFonts w:cs="Arial"/>
        </w:rPr>
        <w:fldChar w:fldCharType="end"/>
      </w:r>
      <w:bookmarkEnd w:id="136"/>
      <w:r>
        <w:t xml:space="preserve"> </w:t>
      </w:r>
      <w:r w:rsidR="71145C34">
        <w:t xml:space="preserve">was published in 2020, </w:t>
      </w:r>
      <w:r w:rsidRPr="375902C0">
        <w:rPr>
          <w:rFonts w:cs="Arial"/>
        </w:rPr>
        <w:t xml:space="preserve">under which Flood Risk Management </w:t>
      </w:r>
      <w:r w:rsidR="0041752B">
        <w:rPr>
          <w:rFonts w:cs="Arial"/>
        </w:rPr>
        <w:t>P</w:t>
      </w:r>
      <w:r w:rsidRPr="375902C0">
        <w:rPr>
          <w:rFonts w:cs="Arial"/>
        </w:rPr>
        <w:t>lans are being revised for 2021</w:t>
      </w:r>
      <w:r w:rsidR="006F0FEB">
        <w:rPr>
          <w:rFonts w:cs="Arial"/>
        </w:rPr>
        <w:t xml:space="preserve"> to </w:t>
      </w:r>
      <w:r w:rsidRPr="375902C0">
        <w:rPr>
          <w:rFonts w:cs="Arial"/>
        </w:rPr>
        <w:t xml:space="preserve">2027 and a </w:t>
      </w:r>
      <w:bookmarkStart w:id="137" w:name="_Hlk71799384"/>
      <w:r w:rsidR="00F33BA1">
        <w:fldChar w:fldCharType="begin"/>
      </w:r>
      <w:r w:rsidR="00F33BA1">
        <w:instrText xml:space="preserve"> HYPERLINK "https://www.gov.uk/government/publications/shoreline-management-plans-smps" \h </w:instrText>
      </w:r>
      <w:r w:rsidR="00F33BA1">
        <w:fldChar w:fldCharType="separate"/>
      </w:r>
      <w:r w:rsidRPr="375902C0">
        <w:rPr>
          <w:rStyle w:val="Hyperlink"/>
          <w:rFonts w:cs="Arial"/>
        </w:rPr>
        <w:t xml:space="preserve">Shoreline Management </w:t>
      </w:r>
      <w:r w:rsidR="0041752B">
        <w:rPr>
          <w:rStyle w:val="Hyperlink"/>
          <w:rFonts w:cs="Arial"/>
        </w:rPr>
        <w:t>P</w:t>
      </w:r>
      <w:r w:rsidRPr="375902C0">
        <w:rPr>
          <w:rStyle w:val="Hyperlink"/>
          <w:rFonts w:cs="Arial"/>
        </w:rPr>
        <w:t>lan</w:t>
      </w:r>
      <w:r w:rsidR="00F33BA1">
        <w:rPr>
          <w:rStyle w:val="Hyperlink"/>
          <w:rFonts w:cs="Arial"/>
        </w:rPr>
        <w:fldChar w:fldCharType="end"/>
      </w:r>
      <w:bookmarkEnd w:id="137"/>
      <w:r w:rsidRPr="375902C0">
        <w:rPr>
          <w:rFonts w:cs="Arial"/>
        </w:rPr>
        <w:t xml:space="preserve"> refresh is taking place</w:t>
      </w:r>
      <w:r>
        <w:t>.</w:t>
      </w:r>
      <w:r w:rsidR="59DE33B2">
        <w:t xml:space="preserve"> </w:t>
      </w:r>
    </w:p>
    <w:p w14:paraId="2FA89FAB" w14:textId="6F935283" w:rsidR="00DC2E44" w:rsidRDefault="59DE33B2" w:rsidP="00F36863">
      <w:pPr>
        <w:pStyle w:val="ListParagraph"/>
        <w:ind w:left="561"/>
        <w:contextualSpacing w:val="0"/>
      </w:pPr>
      <w:r>
        <w:t xml:space="preserve">The national </w:t>
      </w:r>
      <w:bookmarkStart w:id="138" w:name="_Hlk71799391"/>
      <w:r w:rsidR="00F33BA1">
        <w:fldChar w:fldCharType="begin"/>
      </w:r>
      <w:r w:rsidR="00F33BA1">
        <w:instrText xml:space="preserve"> HYPERLINK "https://www.seafish.org/about-us/working-locally-in-the-uk/working-with-the-seafood-industry-in-england/seafood-2040/english-aquaculture-strategy-from-seafood-2040/" \h </w:instrText>
      </w:r>
      <w:r w:rsidR="00F33BA1">
        <w:fldChar w:fldCharType="separate"/>
      </w:r>
      <w:r w:rsidRPr="375902C0">
        <w:rPr>
          <w:rStyle w:val="Hyperlink"/>
          <w:rFonts w:cs="Arial"/>
        </w:rPr>
        <w:t>English Aquaculture Strategy</w:t>
      </w:r>
      <w:r w:rsidR="00F33BA1">
        <w:rPr>
          <w:rStyle w:val="Hyperlink"/>
          <w:rFonts w:cs="Arial"/>
        </w:rPr>
        <w:fldChar w:fldCharType="end"/>
      </w:r>
      <w:bookmarkEnd w:id="138"/>
      <w:r>
        <w:t xml:space="preserve"> </w:t>
      </w:r>
      <w:r w:rsidR="1CB36D18">
        <w:t>(published</w:t>
      </w:r>
      <w:r>
        <w:t xml:space="preserve"> </w:t>
      </w:r>
      <w:r w:rsidR="00DC2E44">
        <w:t xml:space="preserve">in </w:t>
      </w:r>
      <w:r>
        <w:t>2020</w:t>
      </w:r>
      <w:r w:rsidR="1CB36D18">
        <w:t>)</w:t>
      </w:r>
      <w:r>
        <w:t xml:space="preserve"> </w:t>
      </w:r>
      <w:r w:rsidR="006C1ABB">
        <w:t>aims</w:t>
      </w:r>
      <w:r w:rsidR="1CB36D18">
        <w:t xml:space="preserve"> to overcom</w:t>
      </w:r>
      <w:r w:rsidR="006C1ABB">
        <w:t>e</w:t>
      </w:r>
      <w:r w:rsidR="1CB36D18">
        <w:t xml:space="preserve"> barriers to</w:t>
      </w:r>
      <w:r>
        <w:t xml:space="preserve"> </w:t>
      </w:r>
      <w:r w:rsidR="1CB36D18">
        <w:t>aquaculture</w:t>
      </w:r>
      <w:r>
        <w:t xml:space="preserve"> development, of increasing relevance to the </w:t>
      </w:r>
      <w:r w:rsidR="00B07496">
        <w:t xml:space="preserve">South Marine </w:t>
      </w:r>
      <w:r w:rsidR="00DC2E44">
        <w:t>Plan</w:t>
      </w:r>
      <w:r>
        <w:t xml:space="preserve"> area</w:t>
      </w:r>
      <w:r w:rsidR="006C1ABB">
        <w:t>s</w:t>
      </w:r>
      <w:r w:rsidR="4BB246B0">
        <w:t xml:space="preserve"> (S-AQ-1)</w:t>
      </w:r>
      <w:r w:rsidR="00DC2E44">
        <w:t>, It was</w:t>
      </w:r>
      <w:r>
        <w:t xml:space="preserve"> cited as a</w:t>
      </w:r>
      <w:r w:rsidR="006F0FEB">
        <w:t>n important</w:t>
      </w:r>
      <w:r>
        <w:t xml:space="preserve"> sector in </w:t>
      </w:r>
      <w:bookmarkStart w:id="139" w:name="_Hlk71799396"/>
      <w:r w:rsidR="00F33BA1">
        <w:fldChar w:fldCharType="begin"/>
      </w:r>
      <w:r w:rsidR="00F33BA1">
        <w:instrText xml:space="preserve"> HYPERLINK "https://www.dorsetcouncil.gov.uk/your-council/about-your-council/dorset-council-plan/dorset-council-plan.aspx" \h </w:instrText>
      </w:r>
      <w:r w:rsidR="00F33BA1">
        <w:fldChar w:fldCharType="separate"/>
      </w:r>
      <w:r w:rsidR="71145C34" w:rsidRPr="375902C0">
        <w:rPr>
          <w:rStyle w:val="Hyperlink"/>
        </w:rPr>
        <w:t xml:space="preserve">Dorset Council’s </w:t>
      </w:r>
      <w:r w:rsidR="00DC2E44">
        <w:rPr>
          <w:rStyle w:val="Hyperlink"/>
        </w:rPr>
        <w:t>Plan</w:t>
      </w:r>
      <w:r w:rsidR="71145C34" w:rsidRPr="375902C0">
        <w:rPr>
          <w:rStyle w:val="Hyperlink"/>
        </w:rPr>
        <w:t xml:space="preserve"> 2020 to 2024</w:t>
      </w:r>
      <w:r w:rsidR="00F33BA1">
        <w:rPr>
          <w:rStyle w:val="Hyperlink"/>
        </w:rPr>
        <w:fldChar w:fldCharType="end"/>
      </w:r>
      <w:bookmarkEnd w:id="139"/>
      <w:r>
        <w:t xml:space="preserve">. </w:t>
      </w:r>
      <w:r w:rsidR="00DC2E44">
        <w:br/>
      </w:r>
      <w:r w:rsidR="00DC2E44">
        <w:br/>
      </w:r>
      <w:r w:rsidR="1CB36D18">
        <w:t xml:space="preserve">Shifting </w:t>
      </w:r>
      <w:r w:rsidR="006C1ABB">
        <w:t>sectoral</w:t>
      </w:r>
      <w:r w:rsidR="1CB36D18">
        <w:t xml:space="preserve"> focusses</w:t>
      </w:r>
      <w:r w:rsidR="00F88AFF">
        <w:t>,</w:t>
      </w:r>
      <w:r w:rsidR="1CB36D18">
        <w:t xml:space="preserve"> as driven by new and updated national strategies</w:t>
      </w:r>
      <w:r w:rsidR="00F88AFF">
        <w:t>,</w:t>
      </w:r>
      <w:r w:rsidR="1CB36D18">
        <w:t xml:space="preserve"> </w:t>
      </w:r>
      <w:r w:rsidR="00076B0C">
        <w:t>may have</w:t>
      </w:r>
      <w:r w:rsidR="00E75E2B">
        <w:t xml:space="preserve"> future</w:t>
      </w:r>
      <w:r w:rsidR="1CB36D18">
        <w:t xml:space="preserve"> implications for</w:t>
      </w:r>
      <w:r>
        <w:t xml:space="preserve"> </w:t>
      </w:r>
      <w:r w:rsidR="0041752B">
        <w:t>P</w:t>
      </w:r>
      <w:r w:rsidR="1CB36D18">
        <w:t xml:space="preserve">lan </w:t>
      </w:r>
      <w:r>
        <w:t>implement</w:t>
      </w:r>
      <w:r w:rsidR="1CB36D18">
        <w:t>ation</w:t>
      </w:r>
      <w:r>
        <w:t>.</w:t>
      </w:r>
    </w:p>
    <w:p w14:paraId="2DDD509C" w14:textId="3B9F88C9" w:rsidR="002342D3" w:rsidRPr="002A532E" w:rsidRDefault="002342D3" w:rsidP="00C92B18">
      <w:pPr>
        <w:pStyle w:val="Heading3"/>
        <w:rPr>
          <w:sz w:val="24"/>
          <w:szCs w:val="24"/>
        </w:rPr>
      </w:pPr>
      <w:r w:rsidRPr="00C92B18">
        <w:t>Local considerations</w:t>
      </w:r>
    </w:p>
    <w:p w14:paraId="41336687" w14:textId="0C3E279E" w:rsidR="00A434B6" w:rsidRPr="00970335" w:rsidRDefault="45B7D57F">
      <w:pPr>
        <w:pStyle w:val="ListParagraph"/>
        <w:numPr>
          <w:ilvl w:val="0"/>
          <w:numId w:val="8"/>
        </w:numPr>
        <w:ind w:left="561" w:hanging="567"/>
        <w:contextualSpacing w:val="0"/>
      </w:pPr>
      <w:r w:rsidRPr="00970335">
        <w:rPr>
          <w:rFonts w:cs="Arial"/>
        </w:rPr>
        <w:t xml:space="preserve">A comparison of themes in the </w:t>
      </w:r>
      <w:r w:rsidR="0041752B">
        <w:rPr>
          <w:rFonts w:cs="Arial"/>
        </w:rPr>
        <w:t>P</w:t>
      </w:r>
      <w:r w:rsidRPr="00970335">
        <w:rPr>
          <w:rFonts w:cs="Arial"/>
        </w:rPr>
        <w:t xml:space="preserve">lan against </w:t>
      </w:r>
      <w:r w:rsidR="30EC81AC" w:rsidRPr="00970335">
        <w:rPr>
          <w:rFonts w:cs="Arial"/>
        </w:rPr>
        <w:t xml:space="preserve">62 </w:t>
      </w:r>
      <w:r w:rsidRPr="00970335">
        <w:rPr>
          <w:rFonts w:cs="Arial"/>
        </w:rPr>
        <w:t>local</w:t>
      </w:r>
      <w:r w:rsidR="752CF822" w:rsidRPr="00970335">
        <w:rPr>
          <w:rFonts w:cs="Arial"/>
        </w:rPr>
        <w:t xml:space="preserve"> statutory and non-statutory </w:t>
      </w:r>
      <w:r w:rsidR="0041752B">
        <w:rPr>
          <w:rFonts w:cs="Arial"/>
        </w:rPr>
        <w:t>p</w:t>
      </w:r>
      <w:r w:rsidR="00DC2E44">
        <w:rPr>
          <w:rFonts w:cs="Arial"/>
        </w:rPr>
        <w:t>lan</w:t>
      </w:r>
      <w:r w:rsidR="752CF822" w:rsidRPr="00970335">
        <w:rPr>
          <w:rFonts w:cs="Arial"/>
        </w:rPr>
        <w:t>s and strategies</w:t>
      </w:r>
      <w:r w:rsidR="4F1FC09A" w:rsidRPr="00970335">
        <w:rPr>
          <w:rFonts w:cs="Arial"/>
        </w:rPr>
        <w:t xml:space="preserve"> </w:t>
      </w:r>
      <w:r w:rsidR="4F1FC09A" w:rsidRPr="00D43BAE">
        <w:t>revealed</w:t>
      </w:r>
      <w:r w:rsidR="4F1FC09A" w:rsidRPr="00970335">
        <w:rPr>
          <w:rFonts w:cs="Arial"/>
        </w:rPr>
        <w:t xml:space="preserve"> that in </w:t>
      </w:r>
      <w:r w:rsidR="003276AF">
        <w:rPr>
          <w:rFonts w:cs="Arial"/>
        </w:rPr>
        <w:t>most</w:t>
      </w:r>
      <w:r w:rsidR="005D144C" w:rsidRPr="00970335">
        <w:rPr>
          <w:rFonts w:cs="Arial"/>
        </w:rPr>
        <w:t xml:space="preserve"> cases,</w:t>
      </w:r>
      <w:r w:rsidR="4F1FC09A" w:rsidRPr="00970335">
        <w:rPr>
          <w:rFonts w:cs="Arial"/>
        </w:rPr>
        <w:t xml:space="preserve"> local </w:t>
      </w:r>
      <w:r w:rsidR="0041752B">
        <w:rPr>
          <w:rFonts w:cs="Arial"/>
        </w:rPr>
        <w:t>p</w:t>
      </w:r>
      <w:r w:rsidR="00DC2E44">
        <w:rPr>
          <w:rFonts w:cs="Arial"/>
        </w:rPr>
        <w:t>lan</w:t>
      </w:r>
      <w:r w:rsidR="4F1FC09A" w:rsidRPr="00970335">
        <w:rPr>
          <w:rFonts w:cs="Arial"/>
        </w:rPr>
        <w:t xml:space="preserve"> themes overlap with th</w:t>
      </w:r>
      <w:r w:rsidR="64DCFDDC" w:rsidRPr="00970335">
        <w:rPr>
          <w:rFonts w:cs="Arial"/>
        </w:rPr>
        <w:t xml:space="preserve">ose </w:t>
      </w:r>
      <w:r w:rsidR="003276AF">
        <w:rPr>
          <w:rFonts w:cs="Arial"/>
        </w:rPr>
        <w:t>in</w:t>
      </w:r>
      <w:r w:rsidR="64DCFDDC" w:rsidRPr="00970335">
        <w:rPr>
          <w:rFonts w:cs="Arial"/>
        </w:rPr>
        <w:t xml:space="preserve"> th</w:t>
      </w:r>
      <w:r w:rsidR="4F1FC09A" w:rsidRPr="00970335">
        <w:rPr>
          <w:rFonts w:cs="Arial"/>
        </w:rPr>
        <w:t xml:space="preserve">e </w:t>
      </w:r>
      <w:r w:rsidR="00DC2E44">
        <w:t>Plan</w:t>
      </w:r>
      <w:r w:rsidR="2B84FC30">
        <w:t>.</w:t>
      </w:r>
      <w:r w:rsidR="4F1FC09A" w:rsidRPr="00970335">
        <w:rPr>
          <w:rFonts w:cs="Arial"/>
        </w:rPr>
        <w:t xml:space="preserve"> </w:t>
      </w:r>
      <w:r w:rsidR="003276AF">
        <w:rPr>
          <w:rFonts w:cs="Arial"/>
        </w:rPr>
        <w:t>T</w:t>
      </w:r>
      <w:r w:rsidR="0045037A" w:rsidRPr="00970335">
        <w:rPr>
          <w:rFonts w:cs="Arial"/>
        </w:rPr>
        <w:t xml:space="preserve">he frequency of </w:t>
      </w:r>
      <w:r w:rsidR="0076224C" w:rsidRPr="00970335">
        <w:rPr>
          <w:rFonts w:cs="Arial"/>
        </w:rPr>
        <w:t xml:space="preserve">overlap </w:t>
      </w:r>
      <w:r w:rsidR="00970335">
        <w:rPr>
          <w:rFonts w:cs="Arial"/>
        </w:rPr>
        <w:t xml:space="preserve">does however </w:t>
      </w:r>
      <w:r w:rsidR="003276AF">
        <w:rPr>
          <w:rFonts w:cs="Arial"/>
        </w:rPr>
        <w:t xml:space="preserve">vary significantly among </w:t>
      </w:r>
      <w:r w:rsidR="0045037A" w:rsidRPr="00970335">
        <w:rPr>
          <w:rFonts w:cs="Arial"/>
        </w:rPr>
        <w:t>theme</w:t>
      </w:r>
      <w:r w:rsidR="003276AF">
        <w:rPr>
          <w:rFonts w:cs="Arial"/>
        </w:rPr>
        <w:t>s</w:t>
      </w:r>
      <w:r w:rsidR="0045037A" w:rsidRPr="00970335">
        <w:rPr>
          <w:rFonts w:cs="Arial"/>
        </w:rPr>
        <w:t>.</w:t>
      </w:r>
      <w:r w:rsidR="00346C46" w:rsidRPr="00970335">
        <w:rPr>
          <w:rFonts w:cs="Arial"/>
        </w:rPr>
        <w:t xml:space="preserve"> </w:t>
      </w:r>
    </w:p>
    <w:p w14:paraId="4F90F744" w14:textId="74DB51F3" w:rsidR="0076224C" w:rsidRPr="00FD73C4" w:rsidRDefault="00346AA6" w:rsidP="00D43BAE">
      <w:pPr>
        <w:pStyle w:val="ListParagraph"/>
        <w:numPr>
          <w:ilvl w:val="0"/>
          <w:numId w:val="8"/>
        </w:numPr>
        <w:ind w:left="561" w:hanging="567"/>
        <w:contextualSpacing w:val="0"/>
      </w:pPr>
      <w:r w:rsidRPr="00970335">
        <w:rPr>
          <w:rFonts w:cs="Arial"/>
        </w:rPr>
        <w:t>T</w:t>
      </w:r>
      <w:r w:rsidR="00346C46" w:rsidRPr="00970335">
        <w:rPr>
          <w:rFonts w:cs="Arial"/>
        </w:rPr>
        <w:t xml:space="preserve">hemes </w:t>
      </w:r>
      <w:r w:rsidR="00186E81" w:rsidRPr="00970335">
        <w:rPr>
          <w:rFonts w:cs="Arial"/>
        </w:rPr>
        <w:t xml:space="preserve">cited </w:t>
      </w:r>
      <w:r w:rsidR="00346C46" w:rsidRPr="00970335">
        <w:rPr>
          <w:rFonts w:cs="Arial"/>
        </w:rPr>
        <w:t xml:space="preserve">most regularly </w:t>
      </w:r>
      <w:r w:rsidR="0045037A" w:rsidRPr="00970335">
        <w:rPr>
          <w:rFonts w:cs="Arial"/>
        </w:rPr>
        <w:t>(</w:t>
      </w:r>
      <w:r w:rsidR="00346C46" w:rsidRPr="00970335">
        <w:rPr>
          <w:rFonts w:cs="Arial"/>
        </w:rPr>
        <w:t xml:space="preserve">by 48 </w:t>
      </w:r>
      <w:r w:rsidR="0045037A" w:rsidRPr="00970335">
        <w:rPr>
          <w:rFonts w:cs="Arial"/>
        </w:rPr>
        <w:t xml:space="preserve">or more </w:t>
      </w:r>
      <w:r w:rsidR="00346C46" w:rsidRPr="00970335">
        <w:rPr>
          <w:rFonts w:cs="Arial"/>
        </w:rPr>
        <w:t xml:space="preserve">local </w:t>
      </w:r>
      <w:r w:rsidR="0041752B">
        <w:rPr>
          <w:rFonts w:cs="Arial"/>
        </w:rPr>
        <w:t>p</w:t>
      </w:r>
      <w:r w:rsidR="00DC2E44">
        <w:rPr>
          <w:rFonts w:cs="Arial"/>
        </w:rPr>
        <w:t>lan</w:t>
      </w:r>
      <w:r w:rsidR="00346C46" w:rsidRPr="00970335">
        <w:rPr>
          <w:rFonts w:cs="Arial"/>
        </w:rPr>
        <w:t>s</w:t>
      </w:r>
      <w:r w:rsidR="0045037A" w:rsidRPr="00970335">
        <w:rPr>
          <w:rFonts w:cs="Arial"/>
        </w:rPr>
        <w:t>)</w:t>
      </w:r>
      <w:r w:rsidR="00346C46" w:rsidRPr="00970335">
        <w:rPr>
          <w:rFonts w:cs="Arial"/>
        </w:rPr>
        <w:t xml:space="preserve"> were ecology and biodiversity, historic environment, climate change, coastal flooding, </w:t>
      </w:r>
      <w:r w:rsidR="003276AF" w:rsidRPr="00970335">
        <w:rPr>
          <w:rFonts w:cs="Arial"/>
        </w:rPr>
        <w:t>employment</w:t>
      </w:r>
      <w:r w:rsidR="003276AF">
        <w:rPr>
          <w:rFonts w:cs="Arial"/>
        </w:rPr>
        <w:t>,</w:t>
      </w:r>
      <w:r w:rsidR="003276AF" w:rsidRPr="00970335">
        <w:rPr>
          <w:rFonts w:cs="Arial"/>
        </w:rPr>
        <w:t xml:space="preserve"> </w:t>
      </w:r>
      <w:r w:rsidR="00346C46" w:rsidRPr="00970335">
        <w:rPr>
          <w:rFonts w:cs="Arial"/>
        </w:rPr>
        <w:t xml:space="preserve">energy production, tourism and recreation and infrastructure. </w:t>
      </w:r>
      <w:r w:rsidR="00DC2E44">
        <w:rPr>
          <w:rFonts w:cs="Arial"/>
        </w:rPr>
        <w:br/>
      </w:r>
      <w:r w:rsidR="0076224C" w:rsidRPr="00970335">
        <w:rPr>
          <w:rFonts w:cs="Arial"/>
        </w:rPr>
        <w:t>T</w:t>
      </w:r>
      <w:r w:rsidR="0076224C">
        <w:t>hemes</w:t>
      </w:r>
      <w:r w:rsidR="0076224C" w:rsidRPr="00970335">
        <w:rPr>
          <w:rFonts w:cs="Arial"/>
        </w:rPr>
        <w:t xml:space="preserve"> </w:t>
      </w:r>
      <w:r w:rsidR="004E763D" w:rsidRPr="00970335">
        <w:rPr>
          <w:rFonts w:cs="Arial"/>
        </w:rPr>
        <w:t xml:space="preserve">cited least frequently (by </w:t>
      </w:r>
      <w:r w:rsidR="00DC2E44">
        <w:rPr>
          <w:rFonts w:cs="Arial"/>
        </w:rPr>
        <w:t>less</w:t>
      </w:r>
      <w:r w:rsidR="004E763D" w:rsidRPr="00970335">
        <w:rPr>
          <w:rFonts w:cs="Arial"/>
        </w:rPr>
        <w:t xml:space="preserve"> than 15 local </w:t>
      </w:r>
      <w:r w:rsidR="0041752B">
        <w:rPr>
          <w:rFonts w:cs="Arial"/>
        </w:rPr>
        <w:t>p</w:t>
      </w:r>
      <w:r w:rsidR="00DC2E44">
        <w:rPr>
          <w:rFonts w:cs="Arial"/>
        </w:rPr>
        <w:t>lan</w:t>
      </w:r>
      <w:r w:rsidR="004E763D" w:rsidRPr="00970335">
        <w:rPr>
          <w:rFonts w:cs="Arial"/>
        </w:rPr>
        <w:t xml:space="preserve">s) </w:t>
      </w:r>
      <w:r w:rsidR="003276AF">
        <w:rPr>
          <w:rFonts w:cs="Arial"/>
        </w:rPr>
        <w:t xml:space="preserve">were </w:t>
      </w:r>
      <w:r w:rsidR="005342A4" w:rsidRPr="00970335">
        <w:rPr>
          <w:rFonts w:cs="Arial"/>
        </w:rPr>
        <w:t>MPA</w:t>
      </w:r>
      <w:r w:rsidR="004E763D" w:rsidRPr="00970335">
        <w:rPr>
          <w:rFonts w:cs="Arial"/>
        </w:rPr>
        <w:t>s, dredging and disposal, cables, co-existence and aquaculture.</w:t>
      </w:r>
      <w:r w:rsidR="00635652">
        <w:rPr>
          <w:rFonts w:cs="Arial"/>
        </w:rPr>
        <w:t xml:space="preserve"> </w:t>
      </w:r>
      <w:r w:rsidR="00A434B6">
        <w:rPr>
          <w:rFonts w:cs="Arial"/>
        </w:rPr>
        <w:br/>
      </w:r>
      <w:r w:rsidR="00A434B6">
        <w:rPr>
          <w:rFonts w:cs="Arial"/>
        </w:rPr>
        <w:br/>
      </w:r>
      <w:r w:rsidR="00635652">
        <w:rPr>
          <w:rFonts w:cs="Arial"/>
        </w:rPr>
        <w:lastRenderedPageBreak/>
        <w:t xml:space="preserve">This </w:t>
      </w:r>
      <w:r w:rsidR="003276AF">
        <w:rPr>
          <w:rFonts w:cs="Arial"/>
        </w:rPr>
        <w:t xml:space="preserve">is </w:t>
      </w:r>
      <w:r w:rsidR="00697533">
        <w:rPr>
          <w:rFonts w:cs="Arial"/>
        </w:rPr>
        <w:t xml:space="preserve">to be expected </w:t>
      </w:r>
      <w:r w:rsidR="003276AF">
        <w:rPr>
          <w:rFonts w:cs="Arial"/>
        </w:rPr>
        <w:t xml:space="preserve">considering these themes relate predominantly to marine issues, with the </w:t>
      </w:r>
      <w:r w:rsidR="00DC2E44">
        <w:rPr>
          <w:rFonts w:cs="Arial"/>
        </w:rPr>
        <w:t>authority</w:t>
      </w:r>
      <w:r w:rsidR="003276AF">
        <w:rPr>
          <w:rFonts w:cs="Arial"/>
        </w:rPr>
        <w:t xml:space="preserve"> of local authorities not extending beyond mean low water.</w:t>
      </w:r>
      <w:r w:rsidR="004E763D" w:rsidRPr="00970335">
        <w:rPr>
          <w:rFonts w:cs="Arial"/>
        </w:rPr>
        <w:t xml:space="preserve"> </w:t>
      </w:r>
      <w:r w:rsidR="00DC2E44">
        <w:rPr>
          <w:rFonts w:cs="Arial"/>
        </w:rPr>
        <w:br/>
      </w:r>
      <w:r w:rsidR="00DC2E44">
        <w:rPr>
          <w:rFonts w:cs="Arial"/>
        </w:rPr>
        <w:br/>
      </w:r>
      <w:r w:rsidR="00EF2911" w:rsidRPr="00970335">
        <w:rPr>
          <w:rFonts w:cs="Arial"/>
        </w:rPr>
        <w:t xml:space="preserve">The infrequent referencing of aquaculture </w:t>
      </w:r>
      <w:r w:rsidR="00635652">
        <w:rPr>
          <w:rFonts w:cs="Arial"/>
        </w:rPr>
        <w:t>also</w:t>
      </w:r>
      <w:r w:rsidR="00EF2911" w:rsidRPr="00970335">
        <w:rPr>
          <w:rFonts w:cs="Arial"/>
        </w:rPr>
        <w:t xml:space="preserve"> correlates with its status as a small</w:t>
      </w:r>
      <w:r w:rsidR="00DC2E44">
        <w:rPr>
          <w:rFonts w:cs="Arial"/>
        </w:rPr>
        <w:t xml:space="preserve"> </w:t>
      </w:r>
      <w:r w:rsidR="00EF2911" w:rsidRPr="00970335">
        <w:rPr>
          <w:rFonts w:cs="Arial"/>
        </w:rPr>
        <w:t xml:space="preserve">scale and relatively novel </w:t>
      </w:r>
      <w:r w:rsidR="003276AF" w:rsidRPr="00970335">
        <w:rPr>
          <w:rFonts w:cs="Arial"/>
        </w:rPr>
        <w:t>industry</w:t>
      </w:r>
      <w:r w:rsidR="00A434B6">
        <w:rPr>
          <w:rFonts w:cs="Arial"/>
        </w:rPr>
        <w:t>.</w:t>
      </w:r>
      <w:r w:rsidR="00EF2911" w:rsidRPr="00970335">
        <w:rPr>
          <w:rFonts w:cs="Arial"/>
        </w:rPr>
        <w:t xml:space="preserve"> </w:t>
      </w:r>
      <w:r w:rsidR="00A434B6">
        <w:rPr>
          <w:rFonts w:cs="Arial"/>
        </w:rPr>
        <w:br/>
      </w:r>
      <w:r w:rsidR="00A434B6">
        <w:rPr>
          <w:rFonts w:cs="Arial"/>
        </w:rPr>
        <w:br/>
        <w:t>H</w:t>
      </w:r>
      <w:r w:rsidR="00EF2911" w:rsidRPr="00970335">
        <w:rPr>
          <w:rFonts w:cs="Arial"/>
        </w:rPr>
        <w:t xml:space="preserve">owever, it has </w:t>
      </w:r>
      <w:r w:rsidR="002400EB" w:rsidRPr="00970335">
        <w:rPr>
          <w:rFonts w:cs="Arial"/>
        </w:rPr>
        <w:t xml:space="preserve">significant localised </w:t>
      </w:r>
      <w:r w:rsidR="00EF2911" w:rsidRPr="00970335">
        <w:rPr>
          <w:rFonts w:cs="Arial"/>
        </w:rPr>
        <w:t xml:space="preserve">relevance </w:t>
      </w:r>
      <w:r w:rsidR="002400EB" w:rsidRPr="00970335">
        <w:rPr>
          <w:rFonts w:cs="Arial"/>
        </w:rPr>
        <w:t xml:space="preserve">to the </w:t>
      </w:r>
      <w:r w:rsidR="00EF2911" w:rsidRPr="00970335">
        <w:rPr>
          <w:rFonts w:cs="Arial"/>
        </w:rPr>
        <w:t xml:space="preserve">Dorset </w:t>
      </w:r>
      <w:r w:rsidR="002400EB" w:rsidRPr="00970335">
        <w:rPr>
          <w:rFonts w:cs="Arial"/>
        </w:rPr>
        <w:t>area</w:t>
      </w:r>
      <w:r w:rsidR="00EF2911" w:rsidRPr="00970335">
        <w:rPr>
          <w:rFonts w:cs="Arial"/>
        </w:rPr>
        <w:t xml:space="preserve">. </w:t>
      </w:r>
      <w:r w:rsidR="008F71CD">
        <w:rPr>
          <w:rFonts w:cs="Arial"/>
        </w:rPr>
        <w:t>Follow-up</w:t>
      </w:r>
      <w:r w:rsidR="007D0D45" w:rsidRPr="00970335">
        <w:rPr>
          <w:rFonts w:cs="Arial"/>
        </w:rPr>
        <w:t xml:space="preserve"> interviews </w:t>
      </w:r>
      <w:r w:rsidR="003276AF">
        <w:rPr>
          <w:rFonts w:cs="Arial"/>
        </w:rPr>
        <w:t xml:space="preserve">also </w:t>
      </w:r>
      <w:r w:rsidR="007D0D45" w:rsidRPr="00970335">
        <w:rPr>
          <w:rFonts w:cs="Arial"/>
        </w:rPr>
        <w:t>noted an increase in space being used for shellfish cultivation, so the relevance of this sector is expected to increase.</w:t>
      </w:r>
    </w:p>
    <w:p w14:paraId="02D82180" w14:textId="1CE3DF33" w:rsidR="00F130F4" w:rsidRPr="002400EB" w:rsidRDefault="64DCFDDC" w:rsidP="00D43BAE">
      <w:pPr>
        <w:pStyle w:val="ListParagraph"/>
        <w:numPr>
          <w:ilvl w:val="0"/>
          <w:numId w:val="8"/>
        </w:numPr>
        <w:ind w:left="561" w:hanging="567"/>
        <w:contextualSpacing w:val="0"/>
      </w:pPr>
      <w:r w:rsidRPr="375902C0">
        <w:rPr>
          <w:rFonts w:cs="Arial"/>
        </w:rPr>
        <w:t xml:space="preserve">Local </w:t>
      </w:r>
      <w:r w:rsidR="00CD2D35">
        <w:rPr>
          <w:rFonts w:cs="Arial"/>
        </w:rPr>
        <w:t>p</w:t>
      </w:r>
      <w:r w:rsidR="00DC2E44">
        <w:rPr>
          <w:rFonts w:cs="Arial"/>
        </w:rPr>
        <w:t>lan</w:t>
      </w:r>
      <w:r w:rsidRPr="375902C0">
        <w:rPr>
          <w:rFonts w:cs="Arial"/>
        </w:rPr>
        <w:t>s reference</w:t>
      </w:r>
      <w:r w:rsidR="00027C29">
        <w:rPr>
          <w:rFonts w:cs="Arial"/>
        </w:rPr>
        <w:t xml:space="preserve">d </w:t>
      </w:r>
      <w:r w:rsidRPr="375902C0">
        <w:rPr>
          <w:rFonts w:cs="Arial"/>
        </w:rPr>
        <w:t>cables relatively</w:t>
      </w:r>
      <w:r w:rsidR="4F1FC09A" w:rsidRPr="375902C0">
        <w:rPr>
          <w:rFonts w:cs="Arial"/>
        </w:rPr>
        <w:t xml:space="preserve"> </w:t>
      </w:r>
      <w:r w:rsidRPr="375902C0">
        <w:rPr>
          <w:rFonts w:cs="Arial"/>
        </w:rPr>
        <w:t xml:space="preserve">infrequently, in contrast </w:t>
      </w:r>
      <w:r w:rsidR="4F1FC09A" w:rsidRPr="375902C0">
        <w:rPr>
          <w:rFonts w:cs="Arial"/>
        </w:rPr>
        <w:t xml:space="preserve">with </w:t>
      </w:r>
      <w:r w:rsidR="7A174FD2" w:rsidRPr="375902C0">
        <w:rPr>
          <w:rFonts w:cs="Arial"/>
        </w:rPr>
        <w:t>the</w:t>
      </w:r>
      <w:r w:rsidR="4F1FC09A" w:rsidRPr="375902C0">
        <w:rPr>
          <w:rFonts w:cs="Arial"/>
        </w:rPr>
        <w:t xml:space="preserve"> increase in relevance of cable</w:t>
      </w:r>
      <w:r w:rsidR="00027C29">
        <w:rPr>
          <w:rFonts w:cs="Arial"/>
        </w:rPr>
        <w:t>s</w:t>
      </w:r>
      <w:r w:rsidR="4F1FC09A" w:rsidRPr="375902C0">
        <w:rPr>
          <w:rFonts w:cs="Arial"/>
        </w:rPr>
        <w:t xml:space="preserve"> </w:t>
      </w:r>
      <w:r w:rsidR="4F1FC09A" w:rsidRPr="00D43BAE">
        <w:t>infrastructure</w:t>
      </w:r>
      <w:r w:rsidR="4F1FC09A" w:rsidRPr="375902C0">
        <w:rPr>
          <w:rFonts w:cs="Arial"/>
        </w:rPr>
        <w:t xml:space="preserve"> to the </w:t>
      </w:r>
      <w:r w:rsidR="00B07496">
        <w:rPr>
          <w:rFonts w:cs="Arial"/>
        </w:rPr>
        <w:t xml:space="preserve">South Marine </w:t>
      </w:r>
      <w:r w:rsidR="00DC2E44">
        <w:rPr>
          <w:rFonts w:cs="Arial"/>
        </w:rPr>
        <w:t>Plan</w:t>
      </w:r>
      <w:r w:rsidR="4F1FC09A" w:rsidRPr="375902C0">
        <w:rPr>
          <w:rFonts w:cs="Arial"/>
        </w:rPr>
        <w:t xml:space="preserve"> areas</w:t>
      </w:r>
      <w:r w:rsidR="00027C29">
        <w:rPr>
          <w:rFonts w:cs="Arial"/>
        </w:rPr>
        <w:t xml:space="preserve"> (</w:t>
      </w:r>
      <w:r w:rsidR="00027C29" w:rsidRPr="00C03F39">
        <w:rPr>
          <w:rFonts w:cs="Arial"/>
        </w:rPr>
        <w:t xml:space="preserve">paragraph </w:t>
      </w:r>
      <w:r w:rsidR="00027C29" w:rsidRPr="00123BD9">
        <w:rPr>
          <w:rFonts w:cs="Arial"/>
        </w:rPr>
        <w:fldChar w:fldCharType="begin"/>
      </w:r>
      <w:r w:rsidR="00027C29" w:rsidRPr="00123BD9">
        <w:rPr>
          <w:rFonts w:cs="Arial"/>
        </w:rPr>
        <w:instrText xml:space="preserve"> REF _Ref71203067 \r \h </w:instrText>
      </w:r>
      <w:r w:rsidR="002F4C3A" w:rsidRPr="00123BD9">
        <w:rPr>
          <w:rFonts w:cs="Arial"/>
        </w:rPr>
        <w:instrText xml:space="preserve"> \* MERGEFORMAT </w:instrText>
      </w:r>
      <w:r w:rsidR="00027C29" w:rsidRPr="00123BD9">
        <w:rPr>
          <w:rFonts w:cs="Arial"/>
        </w:rPr>
      </w:r>
      <w:r w:rsidR="00027C29" w:rsidRPr="00123BD9">
        <w:rPr>
          <w:rFonts w:cs="Arial"/>
        </w:rPr>
        <w:fldChar w:fldCharType="separate"/>
      </w:r>
      <w:r w:rsidR="00CA357C">
        <w:rPr>
          <w:rFonts w:cs="Arial"/>
        </w:rPr>
        <w:t>35</w:t>
      </w:r>
      <w:r w:rsidR="00027C29" w:rsidRPr="00123BD9">
        <w:rPr>
          <w:rFonts w:cs="Arial"/>
        </w:rPr>
        <w:fldChar w:fldCharType="end"/>
      </w:r>
      <w:r w:rsidR="00027C29">
        <w:rPr>
          <w:rFonts w:cs="Arial"/>
        </w:rPr>
        <w:t>)</w:t>
      </w:r>
      <w:r w:rsidR="4F1FC09A" w:rsidRPr="375902C0">
        <w:rPr>
          <w:rFonts w:cs="Arial"/>
        </w:rPr>
        <w:t xml:space="preserve">. </w:t>
      </w:r>
      <w:r w:rsidR="00A434B6">
        <w:rPr>
          <w:rFonts w:cs="Arial"/>
        </w:rPr>
        <w:br/>
      </w:r>
      <w:r w:rsidR="00A434B6">
        <w:rPr>
          <w:rFonts w:cs="Arial"/>
        </w:rPr>
        <w:br/>
      </w:r>
      <w:r w:rsidR="00027C29">
        <w:rPr>
          <w:rFonts w:cs="Arial"/>
        </w:rPr>
        <w:t>T</w:t>
      </w:r>
      <w:r w:rsidR="4F1FC09A" w:rsidRPr="375902C0">
        <w:rPr>
          <w:rFonts w:cs="Arial"/>
        </w:rPr>
        <w:t xml:space="preserve">his </w:t>
      </w:r>
      <w:r w:rsidR="752CF822" w:rsidRPr="375902C0">
        <w:rPr>
          <w:rFonts w:cs="Arial"/>
        </w:rPr>
        <w:t xml:space="preserve">can </w:t>
      </w:r>
      <w:r w:rsidR="4F1FC09A" w:rsidRPr="375902C0">
        <w:rPr>
          <w:rFonts w:cs="Arial"/>
        </w:rPr>
        <w:t xml:space="preserve">be attributed to the fact that </w:t>
      </w:r>
      <w:r w:rsidR="20B8C3BF" w:rsidRPr="375902C0">
        <w:rPr>
          <w:rFonts w:cs="Arial"/>
        </w:rPr>
        <w:t xml:space="preserve">construction of </w:t>
      </w:r>
      <w:r w:rsidR="4F1FC09A" w:rsidRPr="375902C0">
        <w:rPr>
          <w:rFonts w:cs="Arial"/>
        </w:rPr>
        <w:t xml:space="preserve">these projects </w:t>
      </w:r>
      <w:r w:rsidR="20B8C3BF" w:rsidRPr="375902C0">
        <w:rPr>
          <w:rFonts w:cs="Arial"/>
        </w:rPr>
        <w:t>is</w:t>
      </w:r>
      <w:r w:rsidR="4F1FC09A" w:rsidRPr="375902C0">
        <w:rPr>
          <w:rFonts w:cs="Arial"/>
        </w:rPr>
        <w:t xml:space="preserve"> not yet complete</w:t>
      </w:r>
      <w:r w:rsidR="2B84FC30" w:rsidRPr="375902C0">
        <w:rPr>
          <w:rFonts w:cs="Arial"/>
        </w:rPr>
        <w:t xml:space="preserve">, and that the landward relevance of cables is localised to regions </w:t>
      </w:r>
      <w:r w:rsidR="3D829475" w:rsidRPr="375902C0">
        <w:rPr>
          <w:rFonts w:cs="Arial"/>
        </w:rPr>
        <w:t>where</w:t>
      </w:r>
      <w:r w:rsidR="2B84FC30" w:rsidRPr="375902C0">
        <w:rPr>
          <w:rFonts w:cs="Arial"/>
        </w:rPr>
        <w:t xml:space="preserve"> landfall </w:t>
      </w:r>
      <w:r w:rsidR="3D829475" w:rsidRPr="375902C0">
        <w:rPr>
          <w:rFonts w:cs="Arial"/>
        </w:rPr>
        <w:t>occurs</w:t>
      </w:r>
      <w:r w:rsidR="2B84FC30" w:rsidRPr="375902C0">
        <w:rPr>
          <w:rFonts w:cs="Arial"/>
        </w:rPr>
        <w:t>.</w:t>
      </w:r>
      <w:r w:rsidR="4F1FC09A" w:rsidRPr="375902C0">
        <w:rPr>
          <w:rFonts w:cs="Arial"/>
        </w:rPr>
        <w:t xml:space="preserve"> </w:t>
      </w:r>
    </w:p>
    <w:p w14:paraId="2BE6A4FC" w14:textId="759AA1D1" w:rsidR="002400EB" w:rsidRPr="00F130F4" w:rsidRDefault="00635652" w:rsidP="00D43BAE">
      <w:pPr>
        <w:pStyle w:val="ListParagraph"/>
        <w:numPr>
          <w:ilvl w:val="0"/>
          <w:numId w:val="8"/>
        </w:numPr>
        <w:ind w:left="561" w:hanging="567"/>
        <w:contextualSpacing w:val="0"/>
      </w:pPr>
      <w:r>
        <w:rPr>
          <w:rFonts w:cs="Arial"/>
        </w:rPr>
        <w:t>M</w:t>
      </w:r>
      <w:r w:rsidR="64DCFDDC" w:rsidRPr="375902C0">
        <w:rPr>
          <w:rFonts w:cs="Arial"/>
        </w:rPr>
        <w:t xml:space="preserve">any of the </w:t>
      </w:r>
      <w:r w:rsidR="1182F6B9" w:rsidRPr="375902C0">
        <w:rPr>
          <w:rFonts w:cs="Arial"/>
        </w:rPr>
        <w:t xml:space="preserve">local </w:t>
      </w:r>
      <w:r w:rsidR="00CD2D35">
        <w:rPr>
          <w:rFonts w:cs="Arial"/>
        </w:rPr>
        <w:t>p</w:t>
      </w:r>
      <w:r w:rsidR="00DC2E44">
        <w:rPr>
          <w:rFonts w:cs="Arial"/>
        </w:rPr>
        <w:t>lan</w:t>
      </w:r>
      <w:r w:rsidR="64DCFDDC" w:rsidRPr="375902C0">
        <w:rPr>
          <w:rFonts w:cs="Arial"/>
        </w:rPr>
        <w:t xml:space="preserve">s and strategies were published prior to </w:t>
      </w:r>
      <w:r w:rsidR="00CD2D35">
        <w:rPr>
          <w:rFonts w:cs="Arial"/>
        </w:rPr>
        <w:t>P</w:t>
      </w:r>
      <w:r w:rsidR="64DCFDDC" w:rsidRPr="375902C0">
        <w:rPr>
          <w:rFonts w:cs="Arial"/>
        </w:rPr>
        <w:t>lan adoption in 2018</w:t>
      </w:r>
      <w:r w:rsidR="00D037C1">
        <w:rPr>
          <w:rFonts w:cs="Arial"/>
        </w:rPr>
        <w:t>,</w:t>
      </w:r>
      <w:r w:rsidR="64DCFDDC" w:rsidRPr="375902C0">
        <w:rPr>
          <w:rFonts w:cs="Arial"/>
        </w:rPr>
        <w:t xml:space="preserve"> </w:t>
      </w:r>
      <w:r w:rsidR="6AE40D05" w:rsidRPr="375902C0">
        <w:rPr>
          <w:rFonts w:cs="Arial"/>
        </w:rPr>
        <w:t xml:space="preserve">integration and overlap </w:t>
      </w:r>
      <w:r w:rsidRPr="375902C0">
        <w:rPr>
          <w:rFonts w:cs="Arial"/>
        </w:rPr>
        <w:t>are</w:t>
      </w:r>
      <w:r w:rsidR="6AE40D05" w:rsidRPr="375902C0">
        <w:rPr>
          <w:rFonts w:cs="Arial"/>
        </w:rPr>
        <w:t xml:space="preserve"> expected to</w:t>
      </w:r>
      <w:r w:rsidR="64DCFDDC" w:rsidRPr="375902C0">
        <w:rPr>
          <w:rFonts w:cs="Arial"/>
        </w:rPr>
        <w:t xml:space="preserve"> increase over time. </w:t>
      </w:r>
      <w:r w:rsidR="00D037C1">
        <w:rPr>
          <w:rFonts w:cs="Arial"/>
        </w:rPr>
        <w:br/>
      </w:r>
      <w:r w:rsidR="00D037C1">
        <w:rPr>
          <w:rFonts w:cs="Arial"/>
        </w:rPr>
        <w:br/>
      </w:r>
      <w:r w:rsidR="384534AF" w:rsidRPr="375902C0">
        <w:rPr>
          <w:rFonts w:cs="Arial"/>
        </w:rPr>
        <w:t xml:space="preserve">Despite some </w:t>
      </w:r>
      <w:r w:rsidR="1C2C75B5" w:rsidRPr="375902C0">
        <w:rPr>
          <w:rFonts w:cs="Arial"/>
        </w:rPr>
        <w:t xml:space="preserve">apparent </w:t>
      </w:r>
      <w:r w:rsidR="384534AF" w:rsidRPr="375902C0">
        <w:rPr>
          <w:rFonts w:cs="Arial"/>
        </w:rPr>
        <w:t>divergence</w:t>
      </w:r>
      <w:r w:rsidR="37A01BEB" w:rsidRPr="375902C0">
        <w:rPr>
          <w:rFonts w:cs="Arial"/>
        </w:rPr>
        <w:t xml:space="preserve"> which can be accounted for</w:t>
      </w:r>
      <w:r w:rsidR="1C2C75B5" w:rsidRPr="375902C0">
        <w:rPr>
          <w:rFonts w:cs="Arial"/>
        </w:rPr>
        <w:t xml:space="preserve">, analysis </w:t>
      </w:r>
      <w:r w:rsidR="20B8C3BF" w:rsidRPr="375902C0">
        <w:rPr>
          <w:rFonts w:cs="Arial"/>
        </w:rPr>
        <w:t xml:space="preserve">shows that </w:t>
      </w:r>
      <w:r w:rsidR="1C2C75B5" w:rsidRPr="375902C0">
        <w:rPr>
          <w:rFonts w:cs="Arial"/>
        </w:rPr>
        <w:t xml:space="preserve">themes and policies </w:t>
      </w:r>
      <w:r w:rsidR="20B8C3BF" w:rsidRPr="375902C0">
        <w:rPr>
          <w:rFonts w:cs="Arial"/>
        </w:rPr>
        <w:t>with</w:t>
      </w:r>
      <w:r w:rsidR="1C2C75B5" w:rsidRPr="375902C0">
        <w:rPr>
          <w:rFonts w:cs="Arial"/>
        </w:rPr>
        <w:t>in</w:t>
      </w:r>
      <w:r w:rsidR="384534AF" w:rsidRPr="375902C0">
        <w:rPr>
          <w:rFonts w:cs="Arial"/>
        </w:rPr>
        <w:t xml:space="preserve"> the </w:t>
      </w:r>
      <w:r w:rsidR="00CD2D35">
        <w:rPr>
          <w:rFonts w:cs="Arial"/>
        </w:rPr>
        <w:t>P</w:t>
      </w:r>
      <w:r w:rsidR="384534AF" w:rsidRPr="375902C0">
        <w:rPr>
          <w:rFonts w:cs="Arial"/>
        </w:rPr>
        <w:t xml:space="preserve">lan broadly </w:t>
      </w:r>
      <w:r w:rsidR="20B8C3BF" w:rsidRPr="375902C0">
        <w:rPr>
          <w:rFonts w:cs="Arial"/>
        </w:rPr>
        <w:t>match</w:t>
      </w:r>
      <w:r w:rsidR="384534AF" w:rsidRPr="375902C0">
        <w:rPr>
          <w:rFonts w:cs="Arial"/>
        </w:rPr>
        <w:t xml:space="preserve"> with those that border the </w:t>
      </w:r>
      <w:r w:rsidR="00B07496">
        <w:rPr>
          <w:rFonts w:cs="Arial"/>
        </w:rPr>
        <w:t xml:space="preserve">South Marine </w:t>
      </w:r>
      <w:r w:rsidR="00DC2E44">
        <w:rPr>
          <w:rFonts w:cs="Arial"/>
        </w:rPr>
        <w:t>Plan</w:t>
      </w:r>
      <w:r w:rsidR="384534AF" w:rsidRPr="375902C0">
        <w:rPr>
          <w:rFonts w:cs="Arial"/>
        </w:rPr>
        <w:t xml:space="preserve"> areas</w:t>
      </w:r>
      <w:r w:rsidR="00D037C1">
        <w:rPr>
          <w:rFonts w:cs="Arial"/>
        </w:rPr>
        <w:t>.</w:t>
      </w:r>
      <w:r w:rsidR="20B8C3BF" w:rsidRPr="375902C0">
        <w:rPr>
          <w:rFonts w:cs="Arial"/>
        </w:rPr>
        <w:t xml:space="preserve"> </w:t>
      </w:r>
      <w:r w:rsidR="00DC2E44">
        <w:rPr>
          <w:rFonts w:cs="Arial"/>
        </w:rPr>
        <w:br/>
      </w:r>
      <w:r w:rsidR="00DC2E44">
        <w:rPr>
          <w:rFonts w:cs="Arial"/>
        </w:rPr>
        <w:br/>
      </w:r>
      <w:r w:rsidR="00D037C1">
        <w:t>S</w:t>
      </w:r>
      <w:r>
        <w:t xml:space="preserve">uggesting that the context here has not changed, and the </w:t>
      </w:r>
      <w:r w:rsidR="00DC2E44">
        <w:t>Plan</w:t>
      </w:r>
      <w:r>
        <w:t xml:space="preserve"> remains relevant</w:t>
      </w:r>
      <w:r w:rsidR="6AE40D05" w:rsidRPr="375902C0">
        <w:rPr>
          <w:rFonts w:cs="Arial"/>
        </w:rPr>
        <w:t>.</w:t>
      </w:r>
    </w:p>
    <w:p w14:paraId="2CB2C99A" w14:textId="483EBE45" w:rsidR="002342D3" w:rsidRPr="00C92B18" w:rsidRDefault="002342D3" w:rsidP="00C92B18">
      <w:pPr>
        <w:pStyle w:val="Heading3"/>
      </w:pPr>
      <w:r w:rsidRPr="00C92B18">
        <w:t xml:space="preserve">Further development of marine </w:t>
      </w:r>
      <w:r w:rsidR="00CD2D35">
        <w:t>p</w:t>
      </w:r>
      <w:r w:rsidR="00DC2E44">
        <w:t>lan</w:t>
      </w:r>
      <w:r w:rsidRPr="00C92B18">
        <w:t xml:space="preserve">s in England </w:t>
      </w:r>
    </w:p>
    <w:p w14:paraId="43426811" w14:textId="20CD0606" w:rsidR="003131EA" w:rsidRPr="005B0A32" w:rsidRDefault="71FFFA30" w:rsidP="00D43BAE">
      <w:pPr>
        <w:pStyle w:val="ListParagraph"/>
        <w:numPr>
          <w:ilvl w:val="0"/>
          <w:numId w:val="8"/>
        </w:numPr>
        <w:ind w:left="561" w:hanging="567"/>
        <w:contextualSpacing w:val="0"/>
        <w:rPr>
          <w:rFonts w:eastAsia="Calibri" w:cs="Arial"/>
        </w:rPr>
      </w:pPr>
      <w:r>
        <w:t xml:space="preserve">Marine </w:t>
      </w:r>
      <w:r w:rsidR="00C406C0">
        <w:rPr>
          <w:rFonts w:cs="Arial"/>
        </w:rPr>
        <w:t>p</w:t>
      </w:r>
      <w:r w:rsidR="00DC2E44">
        <w:rPr>
          <w:rFonts w:cs="Arial"/>
        </w:rPr>
        <w:t>lan</w:t>
      </w:r>
      <w:r w:rsidRPr="375902C0">
        <w:rPr>
          <w:rFonts w:cs="Arial"/>
        </w:rPr>
        <w:t>ning</w:t>
      </w:r>
      <w:r>
        <w:t xml:space="preserve"> in England has </w:t>
      </w:r>
      <w:bookmarkStart w:id="140" w:name="_Hlk71197744"/>
      <w:r>
        <w:t xml:space="preserve">evolved </w:t>
      </w:r>
      <w:bookmarkEnd w:id="140"/>
      <w:r>
        <w:t xml:space="preserve">since the </w:t>
      </w:r>
      <w:r w:rsidR="00CD2D35">
        <w:t>P</w:t>
      </w:r>
      <w:r w:rsidR="091BD5E0">
        <w:t>lan</w:t>
      </w:r>
      <w:r w:rsidR="00697533">
        <w:t>s</w:t>
      </w:r>
      <w:r w:rsidR="00963B84">
        <w:t xml:space="preserve"> </w:t>
      </w:r>
      <w:r>
        <w:t>adoption</w:t>
      </w:r>
      <w:r w:rsidR="006D3BB8">
        <w:t>. N</w:t>
      </w:r>
      <w:r w:rsidRPr="375902C0">
        <w:rPr>
          <w:rFonts w:eastAsia="Calibri" w:cs="Arial"/>
        </w:rPr>
        <w:t>ewer</w:t>
      </w:r>
      <w:r>
        <w:t xml:space="preserve"> </w:t>
      </w:r>
      <w:r w:rsidR="006D3BB8">
        <w:t xml:space="preserve">marine </w:t>
      </w:r>
      <w:r w:rsidR="00C406C0">
        <w:t>p</w:t>
      </w:r>
      <w:r w:rsidR="00DC2E44">
        <w:t>lan</w:t>
      </w:r>
      <w:r>
        <w:t xml:space="preserve">s </w:t>
      </w:r>
      <w:r w:rsidRPr="375902C0">
        <w:rPr>
          <w:rFonts w:cs="Arial"/>
        </w:rPr>
        <w:t xml:space="preserve">reflect recent and emerging legislation, current government </w:t>
      </w:r>
      <w:r w:rsidR="00DC2E44" w:rsidRPr="375902C0">
        <w:rPr>
          <w:rFonts w:cs="Arial"/>
        </w:rPr>
        <w:t>policies</w:t>
      </w:r>
      <w:r w:rsidR="00776B2B">
        <w:rPr>
          <w:rFonts w:cs="Arial"/>
        </w:rPr>
        <w:t>/</w:t>
      </w:r>
      <w:r w:rsidR="00DC2E44" w:rsidRPr="375902C0">
        <w:rPr>
          <w:rFonts w:cs="Arial"/>
        </w:rPr>
        <w:t>strategies</w:t>
      </w:r>
      <w:r w:rsidRPr="375902C0">
        <w:rPr>
          <w:rFonts w:cs="Arial"/>
        </w:rPr>
        <w:t xml:space="preserve">, </w:t>
      </w:r>
      <w:r w:rsidR="00776B2B">
        <w:rPr>
          <w:rFonts w:cs="Arial"/>
        </w:rPr>
        <w:t>and</w:t>
      </w:r>
      <w:r w:rsidR="00DC2E44">
        <w:rPr>
          <w:rFonts w:cs="Arial"/>
        </w:rPr>
        <w:t xml:space="preserve"> </w:t>
      </w:r>
      <w:r w:rsidRPr="375902C0">
        <w:rPr>
          <w:rFonts w:cs="Arial"/>
        </w:rPr>
        <w:t xml:space="preserve">a refinement of engagement and marine </w:t>
      </w:r>
      <w:r w:rsidR="00C406C0">
        <w:rPr>
          <w:rFonts w:cs="Arial"/>
        </w:rPr>
        <w:t>p</w:t>
      </w:r>
      <w:r w:rsidR="00DC2E44">
        <w:rPr>
          <w:rFonts w:cs="Arial"/>
        </w:rPr>
        <w:t>lan</w:t>
      </w:r>
      <w:r w:rsidRPr="375902C0">
        <w:rPr>
          <w:rFonts w:cs="Arial"/>
        </w:rPr>
        <w:t xml:space="preserve">ning approaches. </w:t>
      </w:r>
      <w:r w:rsidR="00A434B6">
        <w:rPr>
          <w:rFonts w:cs="Arial"/>
        </w:rPr>
        <w:br/>
      </w:r>
      <w:r w:rsidR="00A434B6">
        <w:rPr>
          <w:rFonts w:cs="Arial"/>
        </w:rPr>
        <w:br/>
      </w:r>
      <w:r w:rsidRPr="375902C0">
        <w:rPr>
          <w:rFonts w:cs="Arial"/>
        </w:rPr>
        <w:t xml:space="preserve">More specifically for </w:t>
      </w:r>
      <w:r w:rsidRPr="00D43BAE">
        <w:t>the</w:t>
      </w:r>
      <w:r w:rsidR="4A0D2DF6">
        <w:t xml:space="preserve"> </w:t>
      </w:r>
      <w:r w:rsidR="00B07496">
        <w:t xml:space="preserve">South Marine </w:t>
      </w:r>
      <w:r w:rsidR="00CD2D35">
        <w:t>P</w:t>
      </w:r>
      <w:r w:rsidR="4A0D2DF6">
        <w:t>lan</w:t>
      </w:r>
      <w:r w:rsidRPr="375902C0">
        <w:rPr>
          <w:rFonts w:cs="Arial"/>
        </w:rPr>
        <w:t>,</w:t>
      </w:r>
      <w:r>
        <w:t xml:space="preserve"> </w:t>
      </w:r>
      <w:r w:rsidR="4704F196">
        <w:t>equivalent documents</w:t>
      </w:r>
      <w:r>
        <w:t xml:space="preserve"> for the adjacent </w:t>
      </w:r>
      <w:r w:rsidR="00A434B6">
        <w:t xml:space="preserve">South East </w:t>
      </w:r>
      <w:r w:rsidR="4F444D4F">
        <w:t xml:space="preserve">and </w:t>
      </w:r>
      <w:r w:rsidR="00A434B6">
        <w:t xml:space="preserve">South West </w:t>
      </w:r>
      <w:r w:rsidR="00C406C0">
        <w:t>M</w:t>
      </w:r>
      <w:r>
        <w:t xml:space="preserve">arine </w:t>
      </w:r>
      <w:r w:rsidR="00CD2D35">
        <w:t>P</w:t>
      </w:r>
      <w:r w:rsidR="00DC2E44">
        <w:t>lan</w:t>
      </w:r>
      <w:r>
        <w:t xml:space="preserve"> areas are an additional consideration </w:t>
      </w:r>
      <w:r w:rsidRPr="00AF364B">
        <w:rPr>
          <w:rFonts w:cs="Arial"/>
        </w:rPr>
        <w:t>for</w:t>
      </w:r>
      <w:r>
        <w:t xml:space="preserve"> decision-makers and sectors operating across more than one </w:t>
      </w:r>
      <w:r w:rsidR="00CD2D35">
        <w:t>p</w:t>
      </w:r>
      <w:r w:rsidR="00DC2E44">
        <w:t>lan</w:t>
      </w:r>
      <w:r>
        <w:t xml:space="preserve"> area.</w:t>
      </w:r>
    </w:p>
    <w:p w14:paraId="23E68175" w14:textId="096BEC6A" w:rsidR="003131EA" w:rsidRPr="009D5497" w:rsidRDefault="003312E0" w:rsidP="00D43BAE">
      <w:pPr>
        <w:pStyle w:val="ListParagraph"/>
        <w:numPr>
          <w:ilvl w:val="0"/>
          <w:numId w:val="8"/>
        </w:numPr>
        <w:ind w:left="561" w:hanging="567"/>
        <w:contextualSpacing w:val="0"/>
        <w:rPr>
          <w:rFonts w:eastAsia="Calibri" w:cs="Arial"/>
        </w:rPr>
      </w:pPr>
      <w:r>
        <w:rPr>
          <w:rFonts w:eastAsia="Calibri" w:cs="Arial"/>
        </w:rPr>
        <w:t xml:space="preserve">A direct comparison of </w:t>
      </w:r>
      <w:r w:rsidR="00671C9C">
        <w:rPr>
          <w:rFonts w:eastAsia="Calibri" w:cs="Arial"/>
        </w:rPr>
        <w:t>South</w:t>
      </w:r>
      <w:r w:rsidR="00035B9E">
        <w:rPr>
          <w:rFonts w:eastAsia="Calibri" w:cs="Arial"/>
        </w:rPr>
        <w:t xml:space="preserve"> </w:t>
      </w:r>
      <w:r w:rsidR="00DC2E44">
        <w:t>Plan</w:t>
      </w:r>
      <w:r w:rsidR="00AA7572">
        <w:rPr>
          <w:rFonts w:eastAsia="Calibri" w:cs="Arial"/>
        </w:rPr>
        <w:t xml:space="preserve"> policies with those in the</w:t>
      </w:r>
      <w:r w:rsidR="3D3496D0" w:rsidRPr="375902C0">
        <w:rPr>
          <w:rFonts w:eastAsia="Calibri" w:cs="Arial"/>
        </w:rPr>
        <w:t xml:space="preserve"> </w:t>
      </w:r>
      <w:bookmarkStart w:id="141" w:name="_Hlk71799405"/>
      <w:r w:rsidR="00AA7572" w:rsidRPr="00DF2FD9">
        <w:rPr>
          <w:rFonts w:eastAsia="Calibri" w:cs="Arial"/>
        </w:rPr>
        <w:t xml:space="preserve">South East </w:t>
      </w:r>
      <w:bookmarkEnd w:id="141"/>
      <w:r w:rsidR="00AA7572" w:rsidRPr="375902C0">
        <w:rPr>
          <w:rFonts w:eastAsia="Calibri" w:cs="Arial"/>
        </w:rPr>
        <w:t xml:space="preserve">and </w:t>
      </w:r>
      <w:bookmarkStart w:id="142" w:name="_Hlk71799410"/>
      <w:r w:rsidR="00A414C5" w:rsidRPr="00DF2FD9">
        <w:rPr>
          <w:rFonts w:eastAsia="Calibri" w:cs="Arial"/>
        </w:rPr>
        <w:t xml:space="preserve">South West Marine </w:t>
      </w:r>
      <w:r w:rsidR="00CD2D35">
        <w:rPr>
          <w:rFonts w:eastAsia="Calibri" w:cs="Arial"/>
        </w:rPr>
        <w:t>P</w:t>
      </w:r>
      <w:r w:rsidR="00A414C5" w:rsidRPr="00DF2FD9">
        <w:rPr>
          <w:rFonts w:eastAsia="Calibri" w:cs="Arial"/>
        </w:rPr>
        <w:t>lans</w:t>
      </w:r>
      <w:r w:rsidR="3D3496D0" w:rsidRPr="375902C0">
        <w:rPr>
          <w:rFonts w:eastAsia="Calibri" w:cs="Arial"/>
        </w:rPr>
        <w:t xml:space="preserve"> </w:t>
      </w:r>
      <w:bookmarkEnd w:id="142"/>
      <w:r w:rsidR="3D3496D0" w:rsidRPr="375902C0">
        <w:rPr>
          <w:rFonts w:eastAsia="Calibri" w:cs="Arial"/>
        </w:rPr>
        <w:t>identified 23</w:t>
      </w:r>
      <w:r w:rsidR="00A06C3F">
        <w:rPr>
          <w:rFonts w:eastAsia="Calibri" w:cs="Arial"/>
        </w:rPr>
        <w:t xml:space="preserve"> </w:t>
      </w:r>
      <w:r w:rsidR="00671C9C">
        <w:rPr>
          <w:rFonts w:eastAsia="Calibri" w:cs="Arial"/>
        </w:rPr>
        <w:t>inconsistencies</w:t>
      </w:r>
      <w:r w:rsidR="00D037C1">
        <w:rPr>
          <w:rFonts w:eastAsia="Calibri" w:cs="Arial"/>
        </w:rPr>
        <w:t>.</w:t>
      </w:r>
      <w:r w:rsidR="3D3496D0" w:rsidRPr="375902C0">
        <w:rPr>
          <w:rFonts w:eastAsia="Calibri" w:cs="Arial"/>
        </w:rPr>
        <w:t xml:space="preserve"> </w:t>
      </w:r>
      <w:r w:rsidR="00D037C1">
        <w:rPr>
          <w:rFonts w:eastAsia="Calibri" w:cs="Arial"/>
        </w:rPr>
        <w:t>W</w:t>
      </w:r>
      <w:r w:rsidR="3D3496D0" w:rsidRPr="375902C0">
        <w:rPr>
          <w:rFonts w:eastAsia="Calibri" w:cs="Arial"/>
        </w:rPr>
        <w:t xml:space="preserve">here </w:t>
      </w:r>
      <w:r w:rsidR="00AA7572">
        <w:rPr>
          <w:rFonts w:eastAsia="Calibri" w:cs="Arial"/>
        </w:rPr>
        <w:t xml:space="preserve">policies in the neighbouring </w:t>
      </w:r>
      <w:r w:rsidR="00CD2D35">
        <w:rPr>
          <w:rFonts w:eastAsia="Calibri" w:cs="Arial"/>
        </w:rPr>
        <w:t>p</w:t>
      </w:r>
      <w:r w:rsidR="00DC2E44">
        <w:rPr>
          <w:rFonts w:eastAsia="Calibri" w:cs="Arial"/>
        </w:rPr>
        <w:t>lan</w:t>
      </w:r>
      <w:r w:rsidR="00AA7572">
        <w:rPr>
          <w:rFonts w:eastAsia="Calibri" w:cs="Arial"/>
        </w:rPr>
        <w:t xml:space="preserve">s </w:t>
      </w:r>
      <w:r w:rsidR="002F546A">
        <w:rPr>
          <w:rFonts w:eastAsia="Calibri" w:cs="Arial"/>
        </w:rPr>
        <w:t>had</w:t>
      </w:r>
      <w:r w:rsidR="00AA7572">
        <w:rPr>
          <w:rFonts w:eastAsia="Calibri" w:cs="Arial"/>
        </w:rPr>
        <w:t xml:space="preserve"> </w:t>
      </w:r>
      <w:r w:rsidR="3D3496D0" w:rsidRPr="375902C0">
        <w:rPr>
          <w:rFonts w:eastAsia="Calibri" w:cs="Arial"/>
        </w:rPr>
        <w:t xml:space="preserve">no </w:t>
      </w:r>
      <w:r w:rsidR="00AA7572">
        <w:rPr>
          <w:rFonts w:eastAsia="Calibri" w:cs="Arial"/>
        </w:rPr>
        <w:t xml:space="preserve">comparable policy </w:t>
      </w:r>
      <w:r w:rsidR="00AA7572">
        <w:t>in</w:t>
      </w:r>
      <w:r w:rsidR="1EEB68A1">
        <w:t xml:space="preserve"> the </w:t>
      </w:r>
      <w:r w:rsidR="00B07496">
        <w:t xml:space="preserve">South Marine </w:t>
      </w:r>
      <w:r w:rsidR="00DC2E44">
        <w:t>Plan</w:t>
      </w:r>
      <w:r w:rsidR="1EEB68A1">
        <w:t xml:space="preserve"> </w:t>
      </w:r>
      <w:r w:rsidR="1EEB68A1" w:rsidRPr="375902C0">
        <w:rPr>
          <w:rFonts w:eastAsia="Calibri" w:cs="Arial"/>
        </w:rPr>
        <w:t>area</w:t>
      </w:r>
      <w:r w:rsidR="002F546A">
        <w:rPr>
          <w:rFonts w:eastAsia="Calibri" w:cs="Arial"/>
        </w:rPr>
        <w:t>s</w:t>
      </w:r>
      <w:r w:rsidR="3D3496D0" w:rsidRPr="375902C0">
        <w:rPr>
          <w:rFonts w:eastAsia="Calibri" w:cs="Arial"/>
        </w:rPr>
        <w:t xml:space="preserve">. </w:t>
      </w:r>
      <w:r w:rsidR="00D037C1">
        <w:rPr>
          <w:rFonts w:eastAsia="Calibri" w:cs="Arial"/>
        </w:rPr>
        <w:br/>
      </w:r>
      <w:r w:rsidR="00D037C1">
        <w:rPr>
          <w:rFonts w:eastAsia="Calibri" w:cs="Arial"/>
        </w:rPr>
        <w:br/>
      </w:r>
      <w:r w:rsidR="30CD67CC" w:rsidRPr="375902C0">
        <w:rPr>
          <w:rFonts w:eastAsia="Calibri" w:cs="Arial"/>
        </w:rPr>
        <w:t xml:space="preserve">There were </w:t>
      </w:r>
      <w:r w:rsidR="00671C9C">
        <w:rPr>
          <w:rFonts w:eastAsia="Calibri" w:cs="Arial"/>
        </w:rPr>
        <w:t>10</w:t>
      </w:r>
      <w:r w:rsidR="00671C9C" w:rsidRPr="375902C0">
        <w:rPr>
          <w:rFonts w:eastAsia="Calibri" w:cs="Arial"/>
        </w:rPr>
        <w:t xml:space="preserve"> </w:t>
      </w:r>
      <w:r w:rsidR="30CD67CC" w:rsidRPr="375902C0">
        <w:rPr>
          <w:rFonts w:eastAsia="Calibri" w:cs="Arial"/>
        </w:rPr>
        <w:t xml:space="preserve">instances </w:t>
      </w:r>
      <w:r w:rsidR="4A0D2DF6" w:rsidRPr="375902C0">
        <w:rPr>
          <w:rFonts w:eastAsia="Calibri" w:cs="Arial"/>
        </w:rPr>
        <w:t xml:space="preserve">where policies </w:t>
      </w:r>
      <w:r w:rsidR="30CD67CC" w:rsidRPr="375902C0">
        <w:rPr>
          <w:rFonts w:eastAsia="Calibri" w:cs="Arial"/>
        </w:rPr>
        <w:t xml:space="preserve">found in </w:t>
      </w:r>
      <w:r w:rsidR="71FFFA30" w:rsidRPr="375902C0">
        <w:rPr>
          <w:rFonts w:eastAsia="Calibri" w:cs="Arial"/>
        </w:rPr>
        <w:t xml:space="preserve">the </w:t>
      </w:r>
      <w:r w:rsidR="7DB62986" w:rsidRPr="375902C0">
        <w:rPr>
          <w:rFonts w:eastAsia="Calibri" w:cs="Arial"/>
        </w:rPr>
        <w:t>South</w:t>
      </w:r>
      <w:r w:rsidR="71FFFA30" w:rsidRPr="375902C0">
        <w:rPr>
          <w:rFonts w:eastAsia="Calibri" w:cs="Arial"/>
        </w:rPr>
        <w:t xml:space="preserve"> </w:t>
      </w:r>
      <w:r w:rsidR="4A0D2DF6" w:rsidRPr="375902C0">
        <w:rPr>
          <w:rFonts w:eastAsia="Calibri" w:cs="Arial"/>
        </w:rPr>
        <w:t xml:space="preserve">East and South West </w:t>
      </w:r>
      <w:r w:rsidR="71FFFA30" w:rsidRPr="375902C0">
        <w:rPr>
          <w:rFonts w:eastAsia="Calibri" w:cs="Arial"/>
        </w:rPr>
        <w:t>Marine</w:t>
      </w:r>
      <w:r w:rsidR="00D037C1">
        <w:rPr>
          <w:rFonts w:eastAsia="Calibri" w:cs="Arial"/>
        </w:rPr>
        <w:t xml:space="preserve"> </w:t>
      </w:r>
      <w:r w:rsidR="00CD2D35">
        <w:rPr>
          <w:rFonts w:eastAsia="Calibri" w:cs="Arial"/>
        </w:rPr>
        <w:t>P</w:t>
      </w:r>
      <w:r w:rsidR="71FFFA30" w:rsidRPr="375902C0">
        <w:rPr>
          <w:rFonts w:eastAsia="Calibri" w:cs="Arial"/>
        </w:rPr>
        <w:t xml:space="preserve">lans </w:t>
      </w:r>
      <w:r w:rsidR="37290B45" w:rsidRPr="375902C0">
        <w:rPr>
          <w:rFonts w:eastAsia="Calibri" w:cs="Arial"/>
        </w:rPr>
        <w:t xml:space="preserve">clearly </w:t>
      </w:r>
      <w:r w:rsidR="435E5BE6" w:rsidRPr="375902C0">
        <w:rPr>
          <w:rFonts w:eastAsia="Calibri" w:cs="Arial"/>
        </w:rPr>
        <w:t xml:space="preserve">had no equivalent </w:t>
      </w:r>
      <w:r w:rsidR="37290B45" w:rsidRPr="375902C0">
        <w:rPr>
          <w:rFonts w:eastAsia="Calibri" w:cs="Arial"/>
        </w:rPr>
        <w:t xml:space="preserve">policy in the </w:t>
      </w:r>
      <w:r w:rsidR="00DC2E44">
        <w:rPr>
          <w:rFonts w:eastAsia="Calibri" w:cs="Arial"/>
        </w:rPr>
        <w:t>Plan</w:t>
      </w:r>
      <w:r w:rsidR="2700ED13" w:rsidRPr="375902C0">
        <w:rPr>
          <w:rFonts w:eastAsia="Calibri" w:cs="Arial"/>
        </w:rPr>
        <w:t>.</w:t>
      </w:r>
      <w:r w:rsidR="2A896CFB" w:rsidRPr="375902C0">
        <w:rPr>
          <w:rFonts w:eastAsia="Calibri" w:cs="Arial"/>
        </w:rPr>
        <w:t xml:space="preserve"> </w:t>
      </w:r>
      <w:r w:rsidR="00D037C1">
        <w:rPr>
          <w:rFonts w:eastAsia="Calibri" w:cs="Arial"/>
        </w:rPr>
        <w:br/>
      </w:r>
      <w:r w:rsidR="00D037C1">
        <w:rPr>
          <w:rFonts w:eastAsia="Calibri" w:cs="Arial"/>
        </w:rPr>
        <w:br/>
      </w:r>
      <w:r w:rsidR="002725E1">
        <w:rPr>
          <w:rFonts w:eastAsia="Calibri" w:cs="Arial"/>
        </w:rPr>
        <w:t>This includes new policies specifically addressing</w:t>
      </w:r>
      <w:r w:rsidR="71FFFA30" w:rsidRPr="375902C0">
        <w:rPr>
          <w:rFonts w:eastAsia="Calibri" w:cs="Arial"/>
        </w:rPr>
        <w:t xml:space="preserve"> </w:t>
      </w:r>
      <w:r w:rsidR="435E5BE6" w:rsidRPr="375902C0">
        <w:rPr>
          <w:rFonts w:eastAsia="Calibri" w:cs="Arial"/>
        </w:rPr>
        <w:t xml:space="preserve">topics such as cross-border cooperation </w:t>
      </w:r>
      <w:r w:rsidR="6396C53D" w:rsidRPr="375902C0">
        <w:rPr>
          <w:rFonts w:eastAsia="Calibri" w:cs="Arial"/>
        </w:rPr>
        <w:t>and</w:t>
      </w:r>
      <w:r w:rsidR="435E5BE6" w:rsidRPr="375902C0">
        <w:rPr>
          <w:rFonts w:eastAsia="Calibri" w:cs="Arial"/>
        </w:rPr>
        <w:t xml:space="preserve"> cumulative effects</w:t>
      </w:r>
      <w:r w:rsidR="1EEB68A1" w:rsidRPr="375902C0">
        <w:rPr>
          <w:rFonts w:eastAsia="Calibri" w:cs="Arial"/>
        </w:rPr>
        <w:t xml:space="preserve">, </w:t>
      </w:r>
      <w:r w:rsidR="002725E1">
        <w:rPr>
          <w:rFonts w:eastAsia="Calibri" w:cs="Arial"/>
        </w:rPr>
        <w:t>as well as</w:t>
      </w:r>
      <w:r w:rsidR="1EEB68A1" w:rsidRPr="375902C0">
        <w:rPr>
          <w:rFonts w:eastAsia="Calibri" w:cs="Arial"/>
        </w:rPr>
        <w:t xml:space="preserve"> o</w:t>
      </w:r>
      <w:r w:rsidR="435E5BE6" w:rsidRPr="375902C0">
        <w:rPr>
          <w:rFonts w:eastAsia="Calibri" w:cs="Arial"/>
        </w:rPr>
        <w:t xml:space="preserve">thers </w:t>
      </w:r>
      <w:r w:rsidR="002725E1">
        <w:rPr>
          <w:rFonts w:eastAsia="Calibri" w:cs="Arial"/>
        </w:rPr>
        <w:t>adding</w:t>
      </w:r>
      <w:r w:rsidR="435E5BE6" w:rsidRPr="375902C0">
        <w:rPr>
          <w:rFonts w:eastAsia="Calibri" w:cs="Arial"/>
        </w:rPr>
        <w:t xml:space="preserve"> to existing </w:t>
      </w:r>
      <w:r w:rsidR="002725E1">
        <w:rPr>
          <w:rFonts w:eastAsia="Calibri" w:cs="Arial"/>
        </w:rPr>
        <w:t>policy sets</w:t>
      </w:r>
      <w:r w:rsidR="65338888" w:rsidRPr="375902C0">
        <w:rPr>
          <w:rFonts w:eastAsia="Calibri" w:cs="Arial"/>
        </w:rPr>
        <w:t>,</w:t>
      </w:r>
      <w:r w:rsidR="71FFFA30" w:rsidRPr="375902C0">
        <w:rPr>
          <w:rFonts w:eastAsia="Calibri" w:cs="Arial"/>
        </w:rPr>
        <w:t xml:space="preserve"> </w:t>
      </w:r>
      <w:r w:rsidR="1EEB68A1" w:rsidRPr="375902C0">
        <w:rPr>
          <w:rFonts w:eastAsia="Calibri" w:cs="Arial"/>
        </w:rPr>
        <w:t xml:space="preserve">such as the </w:t>
      </w:r>
      <w:r w:rsidR="1EEB68A1" w:rsidRPr="375902C0">
        <w:rPr>
          <w:rFonts w:cs="Arial"/>
        </w:rPr>
        <w:t xml:space="preserve">protection of safeguarded landing facilities (INF-2). </w:t>
      </w:r>
      <w:r w:rsidR="00D037C1">
        <w:rPr>
          <w:rFonts w:cs="Arial"/>
        </w:rPr>
        <w:br/>
      </w:r>
      <w:r w:rsidR="00D037C1">
        <w:rPr>
          <w:rFonts w:cs="Arial"/>
        </w:rPr>
        <w:lastRenderedPageBreak/>
        <w:br/>
      </w:r>
      <w:r w:rsidR="1EEB68A1" w:rsidRPr="375902C0">
        <w:rPr>
          <w:rFonts w:cs="Arial"/>
        </w:rPr>
        <w:t xml:space="preserve">Of </w:t>
      </w:r>
      <w:r w:rsidR="513FC3EF" w:rsidRPr="375902C0">
        <w:rPr>
          <w:rFonts w:cs="Arial"/>
        </w:rPr>
        <w:t>particular</w:t>
      </w:r>
      <w:r w:rsidR="1EEB68A1" w:rsidRPr="375902C0">
        <w:rPr>
          <w:rFonts w:cs="Arial"/>
        </w:rPr>
        <w:t xml:space="preserve"> note,</w:t>
      </w:r>
      <w:r w:rsidR="1EEB68A1" w:rsidRPr="375902C0">
        <w:rPr>
          <w:rFonts w:eastAsia="Calibri" w:cs="Arial"/>
        </w:rPr>
        <w:t xml:space="preserve"> some</w:t>
      </w:r>
      <w:r w:rsidR="37290B45" w:rsidRPr="375902C0">
        <w:rPr>
          <w:rFonts w:eastAsia="Calibri" w:cs="Arial"/>
        </w:rPr>
        <w:t xml:space="preserve"> </w:t>
      </w:r>
      <w:r w:rsidR="00951416" w:rsidRPr="09F83F24">
        <w:rPr>
          <w:rFonts w:eastAsia="Calibri" w:cs="Arial"/>
        </w:rPr>
        <w:t>inconsistencies</w:t>
      </w:r>
      <w:r w:rsidR="1EEB68A1" w:rsidRPr="375902C0">
        <w:rPr>
          <w:rFonts w:eastAsia="Calibri" w:cs="Arial"/>
        </w:rPr>
        <w:t xml:space="preserve"> reflect</w:t>
      </w:r>
      <w:r w:rsidR="513FC3EF" w:rsidRPr="375902C0">
        <w:rPr>
          <w:rFonts w:eastAsia="Calibri" w:cs="Arial"/>
        </w:rPr>
        <w:t>ed</w:t>
      </w:r>
      <w:r w:rsidR="1EEB68A1" w:rsidRPr="375902C0">
        <w:rPr>
          <w:rFonts w:eastAsia="Calibri" w:cs="Arial"/>
        </w:rPr>
        <w:t xml:space="preserve"> changing national priorities </w:t>
      </w:r>
      <w:r w:rsidR="37290B45" w:rsidRPr="375902C0">
        <w:rPr>
          <w:rFonts w:eastAsia="Calibri" w:cs="Arial"/>
        </w:rPr>
        <w:t>and legislation</w:t>
      </w:r>
      <w:r w:rsidR="65338888" w:rsidRPr="375902C0">
        <w:rPr>
          <w:rFonts w:eastAsia="Calibri" w:cs="Arial"/>
        </w:rPr>
        <w:t>,</w:t>
      </w:r>
      <w:r w:rsidR="71FFFA30" w:rsidRPr="375902C0">
        <w:rPr>
          <w:rFonts w:eastAsia="Calibri" w:cs="Arial"/>
        </w:rPr>
        <w:t xml:space="preserve"> </w:t>
      </w:r>
      <w:r w:rsidR="00D037C1">
        <w:rPr>
          <w:rFonts w:eastAsia="Calibri" w:cs="Arial"/>
        </w:rPr>
        <w:t>for example,</w:t>
      </w:r>
      <w:r w:rsidR="00D037C1" w:rsidRPr="375902C0">
        <w:rPr>
          <w:rFonts w:eastAsia="Calibri" w:cs="Arial"/>
        </w:rPr>
        <w:t xml:space="preserve"> </w:t>
      </w:r>
      <w:r w:rsidR="002F546A" w:rsidRPr="375902C0">
        <w:rPr>
          <w:rFonts w:eastAsia="Calibri" w:cs="Arial"/>
        </w:rPr>
        <w:t xml:space="preserve">the </w:t>
      </w:r>
      <w:r w:rsidR="0000464A">
        <w:rPr>
          <w:rFonts w:eastAsia="Calibri" w:cs="Arial"/>
        </w:rPr>
        <w:t xml:space="preserve">increased </w:t>
      </w:r>
      <w:r w:rsidR="002F546A" w:rsidRPr="375902C0">
        <w:rPr>
          <w:rFonts w:eastAsia="Calibri" w:cs="Arial"/>
        </w:rPr>
        <w:t xml:space="preserve">support of </w:t>
      </w:r>
      <w:r w:rsidR="006D3BB8">
        <w:rPr>
          <w:rFonts w:eastAsia="Calibri" w:cs="Arial"/>
        </w:rPr>
        <w:t xml:space="preserve">offshore </w:t>
      </w:r>
      <w:r w:rsidR="002F546A" w:rsidRPr="375902C0">
        <w:rPr>
          <w:rFonts w:eastAsia="Calibri" w:cs="Arial"/>
        </w:rPr>
        <w:t>renewables infrastructure (REN-3)</w:t>
      </w:r>
      <w:r w:rsidR="002F546A">
        <w:rPr>
          <w:rFonts w:eastAsia="Calibri" w:cs="Arial"/>
        </w:rPr>
        <w:t xml:space="preserve">, </w:t>
      </w:r>
      <w:r w:rsidR="006D3BB8">
        <w:rPr>
          <w:rFonts w:eastAsia="Calibri" w:cs="Arial"/>
        </w:rPr>
        <w:t>linked to</w:t>
      </w:r>
      <w:r w:rsidR="002F546A">
        <w:rPr>
          <w:rFonts w:eastAsia="Calibri" w:cs="Arial"/>
        </w:rPr>
        <w:t xml:space="preserve"> </w:t>
      </w:r>
      <w:r w:rsidR="006D3BB8">
        <w:rPr>
          <w:rFonts w:eastAsia="Calibri" w:cs="Arial"/>
        </w:rPr>
        <w:t>climate change</w:t>
      </w:r>
      <w:r w:rsidR="002F546A">
        <w:rPr>
          <w:rFonts w:eastAsia="Calibri" w:cs="Arial"/>
        </w:rPr>
        <w:t xml:space="preserve"> targets </w:t>
      </w:r>
      <w:r w:rsidR="006D3BB8">
        <w:rPr>
          <w:rFonts w:eastAsia="Calibri" w:cs="Arial"/>
        </w:rPr>
        <w:t>(</w:t>
      </w:r>
      <w:r w:rsidR="002F546A" w:rsidRPr="00C03F39">
        <w:rPr>
          <w:rFonts w:eastAsia="Calibri" w:cs="Arial"/>
        </w:rPr>
        <w:t xml:space="preserve">paragraph </w:t>
      </w:r>
      <w:r w:rsidR="002F546A" w:rsidRPr="00123BD9">
        <w:rPr>
          <w:rFonts w:eastAsia="Calibri" w:cs="Arial"/>
        </w:rPr>
        <w:fldChar w:fldCharType="begin"/>
      </w:r>
      <w:r w:rsidR="002F546A" w:rsidRPr="00123BD9">
        <w:rPr>
          <w:rFonts w:eastAsia="Calibri" w:cs="Arial"/>
        </w:rPr>
        <w:instrText xml:space="preserve"> REF _Ref71195553 \r \h </w:instrText>
      </w:r>
      <w:r w:rsidR="002F4C3A" w:rsidRPr="00123BD9">
        <w:rPr>
          <w:rFonts w:eastAsia="Calibri" w:cs="Arial"/>
        </w:rPr>
        <w:instrText xml:space="preserve"> \* MERGEFORMAT </w:instrText>
      </w:r>
      <w:r w:rsidR="002F546A" w:rsidRPr="00123BD9">
        <w:rPr>
          <w:rFonts w:eastAsia="Calibri" w:cs="Arial"/>
        </w:rPr>
      </w:r>
      <w:r w:rsidR="002F546A" w:rsidRPr="00123BD9">
        <w:rPr>
          <w:rFonts w:eastAsia="Calibri" w:cs="Arial"/>
        </w:rPr>
        <w:fldChar w:fldCharType="separate"/>
      </w:r>
      <w:r w:rsidR="002F639F">
        <w:rPr>
          <w:rFonts w:eastAsia="Calibri" w:cs="Arial"/>
        </w:rPr>
        <w:t>46</w:t>
      </w:r>
      <w:r w:rsidR="002F546A" w:rsidRPr="00123BD9">
        <w:rPr>
          <w:rFonts w:eastAsia="Calibri" w:cs="Arial"/>
        </w:rPr>
        <w:fldChar w:fldCharType="end"/>
      </w:r>
      <w:r w:rsidR="006D3BB8">
        <w:rPr>
          <w:rFonts w:eastAsia="Calibri" w:cs="Arial"/>
        </w:rPr>
        <w:t>)</w:t>
      </w:r>
      <w:r w:rsidR="002F546A">
        <w:rPr>
          <w:rFonts w:eastAsia="Calibri" w:cs="Arial"/>
        </w:rPr>
        <w:t>, or</w:t>
      </w:r>
      <w:r w:rsidR="002F546A" w:rsidRPr="375902C0">
        <w:rPr>
          <w:rFonts w:eastAsia="Calibri" w:cs="Arial"/>
        </w:rPr>
        <w:t xml:space="preserve"> </w:t>
      </w:r>
      <w:r w:rsidR="65338888" w:rsidRPr="375902C0">
        <w:rPr>
          <w:rFonts w:eastAsia="Calibri" w:cs="Arial"/>
        </w:rPr>
        <w:t xml:space="preserve">the </w:t>
      </w:r>
      <w:r w:rsidR="7D10B4F9" w:rsidRPr="375902C0">
        <w:rPr>
          <w:rFonts w:eastAsia="Calibri" w:cs="Arial"/>
        </w:rPr>
        <w:t>facilitat</w:t>
      </w:r>
      <w:r w:rsidR="65338888" w:rsidRPr="375902C0">
        <w:rPr>
          <w:rFonts w:eastAsia="Calibri" w:cs="Arial"/>
        </w:rPr>
        <w:t>ion of</w:t>
      </w:r>
      <w:r w:rsidR="7D10B4F9" w:rsidRPr="375902C0">
        <w:rPr>
          <w:rFonts w:eastAsia="Calibri" w:cs="Arial"/>
        </w:rPr>
        <w:t xml:space="preserve"> short-sea shipping (PS-4)</w:t>
      </w:r>
      <w:r w:rsidR="002F546A">
        <w:rPr>
          <w:rFonts w:eastAsia="Calibri" w:cs="Arial"/>
        </w:rPr>
        <w:t>.</w:t>
      </w:r>
    </w:p>
    <w:p w14:paraId="7301F542" w14:textId="0CB32F9C" w:rsidR="009D0C77" w:rsidRDefault="006D3BB8" w:rsidP="00D43BAE">
      <w:pPr>
        <w:pStyle w:val="ListParagraph"/>
        <w:numPr>
          <w:ilvl w:val="0"/>
          <w:numId w:val="8"/>
        </w:numPr>
        <w:ind w:left="561" w:hanging="567"/>
        <w:contextualSpacing w:val="0"/>
      </w:pPr>
      <w:r>
        <w:rPr>
          <w:rFonts w:eastAsia="Calibri" w:cs="Arial"/>
        </w:rPr>
        <w:t>A further</w:t>
      </w:r>
      <w:r w:rsidR="6CEF602A" w:rsidRPr="375902C0">
        <w:rPr>
          <w:rFonts w:eastAsia="Calibri" w:cs="Arial"/>
        </w:rPr>
        <w:t xml:space="preserve"> </w:t>
      </w:r>
      <w:r w:rsidR="00AA7572">
        <w:rPr>
          <w:rFonts w:eastAsia="Calibri" w:cs="Arial"/>
        </w:rPr>
        <w:t>thirteen</w:t>
      </w:r>
      <w:r w:rsidR="6396C53D" w:rsidRPr="375902C0">
        <w:rPr>
          <w:rFonts w:eastAsia="Calibri" w:cs="Arial"/>
        </w:rPr>
        <w:t xml:space="preserve"> </w:t>
      </w:r>
      <w:r w:rsidR="00951416" w:rsidRPr="09F83F24">
        <w:rPr>
          <w:rFonts w:eastAsia="Calibri" w:cs="Arial"/>
        </w:rPr>
        <w:t>inconsistencies</w:t>
      </w:r>
      <w:r w:rsidR="6396C53D" w:rsidRPr="375902C0">
        <w:rPr>
          <w:rFonts w:eastAsia="Calibri" w:cs="Arial"/>
        </w:rPr>
        <w:t xml:space="preserve"> </w:t>
      </w:r>
      <w:r w:rsidR="2647ED57" w:rsidRPr="375902C0">
        <w:rPr>
          <w:rFonts w:eastAsia="Calibri" w:cs="Arial"/>
        </w:rPr>
        <w:t xml:space="preserve">occurred </w:t>
      </w:r>
      <w:r w:rsidR="00A06C3F">
        <w:rPr>
          <w:rFonts w:eastAsia="Calibri" w:cs="Arial"/>
        </w:rPr>
        <w:t xml:space="preserve">where policies in the South East and South West Marine </w:t>
      </w:r>
      <w:r w:rsidR="00CD2D35">
        <w:rPr>
          <w:rFonts w:eastAsia="Calibri" w:cs="Arial"/>
        </w:rPr>
        <w:t>P</w:t>
      </w:r>
      <w:r w:rsidR="00A06C3F">
        <w:rPr>
          <w:rFonts w:eastAsia="Calibri" w:cs="Arial"/>
        </w:rPr>
        <w:t xml:space="preserve">lans </w:t>
      </w:r>
      <w:r w:rsidR="002725E1">
        <w:rPr>
          <w:rFonts w:eastAsia="Calibri" w:cs="Arial"/>
        </w:rPr>
        <w:t>overlapped</w:t>
      </w:r>
      <w:r w:rsidR="00A06C3F">
        <w:rPr>
          <w:rFonts w:eastAsia="Calibri" w:cs="Arial"/>
        </w:rPr>
        <w:t xml:space="preserve"> with an equivalent in the </w:t>
      </w:r>
      <w:r w:rsidR="00CD2D35">
        <w:rPr>
          <w:rFonts w:eastAsia="Calibri" w:cs="Arial"/>
        </w:rPr>
        <w:t>P</w:t>
      </w:r>
      <w:r w:rsidR="00A06C3F">
        <w:rPr>
          <w:rFonts w:eastAsia="Calibri" w:cs="Arial"/>
        </w:rPr>
        <w:t>lan, but there were significant</w:t>
      </w:r>
      <w:r w:rsidR="71FFFA30" w:rsidRPr="375902C0">
        <w:rPr>
          <w:rFonts w:eastAsia="Calibri" w:cs="Arial"/>
        </w:rPr>
        <w:t xml:space="preserve"> differences</w:t>
      </w:r>
      <w:r w:rsidR="6396C53D" w:rsidRPr="375902C0">
        <w:rPr>
          <w:rFonts w:eastAsia="Calibri" w:cs="Arial"/>
        </w:rPr>
        <w:t xml:space="preserve"> in</w:t>
      </w:r>
      <w:r w:rsidR="71FFFA30" w:rsidRPr="375902C0">
        <w:rPr>
          <w:rFonts w:eastAsia="Calibri" w:cs="Arial"/>
        </w:rPr>
        <w:t xml:space="preserve"> policy</w:t>
      </w:r>
      <w:r w:rsidR="6547739A" w:rsidRPr="375902C0">
        <w:rPr>
          <w:rFonts w:eastAsia="Calibri" w:cs="Arial"/>
        </w:rPr>
        <w:t xml:space="preserve"> </w:t>
      </w:r>
      <w:r w:rsidR="6547739A" w:rsidRPr="00D43BAE">
        <w:t>intent</w:t>
      </w:r>
      <w:r w:rsidR="71FFFA30" w:rsidRPr="375902C0">
        <w:rPr>
          <w:rFonts w:eastAsia="Calibri" w:cs="Arial"/>
        </w:rPr>
        <w:t xml:space="preserve">, </w:t>
      </w:r>
      <w:r w:rsidR="002F546A" w:rsidRPr="375902C0">
        <w:rPr>
          <w:rFonts w:eastAsia="Calibri" w:cs="Arial"/>
        </w:rPr>
        <w:t>strength,</w:t>
      </w:r>
      <w:r w:rsidR="2700ED13" w:rsidRPr="375902C0">
        <w:rPr>
          <w:rFonts w:eastAsia="Calibri" w:cs="Arial"/>
        </w:rPr>
        <w:t xml:space="preserve"> and wording</w:t>
      </w:r>
      <w:r w:rsidR="71FFFA30" w:rsidRPr="375902C0">
        <w:rPr>
          <w:rFonts w:eastAsia="Calibri" w:cs="Arial"/>
        </w:rPr>
        <w:t>.</w:t>
      </w:r>
      <w:r w:rsidR="0F5ACDD3" w:rsidRPr="375902C0">
        <w:rPr>
          <w:rFonts w:eastAsia="Calibri" w:cs="Arial"/>
        </w:rPr>
        <w:t xml:space="preserve"> </w:t>
      </w:r>
      <w:r w:rsidR="00D037C1">
        <w:rPr>
          <w:rFonts w:eastAsia="Calibri" w:cs="Arial"/>
        </w:rPr>
        <w:br/>
      </w:r>
      <w:r w:rsidR="00D037C1">
        <w:rPr>
          <w:rFonts w:eastAsia="Calibri" w:cs="Arial"/>
        </w:rPr>
        <w:br/>
      </w:r>
      <w:r w:rsidR="00A04830">
        <w:rPr>
          <w:rFonts w:eastAsia="Calibri" w:cs="Arial"/>
        </w:rPr>
        <w:t xml:space="preserve">For example, </w:t>
      </w:r>
      <w:r w:rsidR="1A01BFBE" w:rsidRPr="375902C0">
        <w:rPr>
          <w:rFonts w:eastAsia="Calibri" w:cs="Arial"/>
        </w:rPr>
        <w:t>S-TIDE-1</w:t>
      </w:r>
      <w:r w:rsidR="701E0C6B" w:rsidRPr="375902C0">
        <w:rPr>
          <w:rFonts w:eastAsia="Calibri" w:cs="Arial"/>
        </w:rPr>
        <w:t xml:space="preserve"> </w:t>
      </w:r>
      <w:r w:rsidR="00A04830" w:rsidRPr="375902C0">
        <w:rPr>
          <w:rFonts w:eastAsia="Calibri" w:cs="Arial"/>
        </w:rPr>
        <w:t xml:space="preserve">specifically </w:t>
      </w:r>
      <w:r w:rsidR="34B6A0AC" w:rsidRPr="375902C0">
        <w:rPr>
          <w:rFonts w:eastAsia="Calibri" w:cs="Arial"/>
        </w:rPr>
        <w:t xml:space="preserve">covers </w:t>
      </w:r>
      <w:r w:rsidR="1A01BFBE" w:rsidRPr="375902C0">
        <w:rPr>
          <w:rFonts w:eastAsia="Calibri" w:cs="Arial"/>
        </w:rPr>
        <w:t>tidal energy</w:t>
      </w:r>
      <w:r w:rsidR="0E84FCDA" w:rsidRPr="375902C0">
        <w:rPr>
          <w:rFonts w:eastAsia="Calibri" w:cs="Arial"/>
        </w:rPr>
        <w:t>,</w:t>
      </w:r>
      <w:r w:rsidR="73721002" w:rsidRPr="375902C0">
        <w:rPr>
          <w:rFonts w:eastAsia="Calibri" w:cs="Arial"/>
        </w:rPr>
        <w:t xml:space="preserve"> whereas</w:t>
      </w:r>
      <w:r w:rsidR="7659B836" w:rsidRPr="375902C0">
        <w:rPr>
          <w:rFonts w:eastAsia="Calibri" w:cs="Arial"/>
        </w:rPr>
        <w:t xml:space="preserve"> its newer equivalent </w:t>
      </w:r>
      <w:r w:rsidR="73721002" w:rsidRPr="375902C0">
        <w:rPr>
          <w:rFonts w:eastAsia="Calibri" w:cs="Arial"/>
        </w:rPr>
        <w:t xml:space="preserve">REN-2 </w:t>
      </w:r>
      <w:r w:rsidR="002F546A">
        <w:rPr>
          <w:rFonts w:eastAsia="Calibri" w:cs="Arial"/>
        </w:rPr>
        <w:t>has been broadened to cover all</w:t>
      </w:r>
      <w:r w:rsidR="73721002" w:rsidRPr="375902C0">
        <w:rPr>
          <w:rFonts w:eastAsia="Calibri" w:cs="Arial"/>
        </w:rPr>
        <w:t xml:space="preserve"> </w:t>
      </w:r>
      <w:r w:rsidR="73721002" w:rsidRPr="00AF364B">
        <w:rPr>
          <w:rFonts w:cs="Arial"/>
        </w:rPr>
        <w:t>renewable</w:t>
      </w:r>
      <w:r w:rsidR="73721002" w:rsidRPr="375902C0">
        <w:rPr>
          <w:rFonts w:eastAsia="Calibri" w:cs="Arial"/>
        </w:rPr>
        <w:t xml:space="preserve"> energy generation, </w:t>
      </w:r>
      <w:r w:rsidR="002F546A">
        <w:rPr>
          <w:rFonts w:eastAsia="Calibri" w:cs="Arial"/>
        </w:rPr>
        <w:t>again linked to renewable energy</w:t>
      </w:r>
      <w:r>
        <w:rPr>
          <w:rFonts w:eastAsia="Calibri" w:cs="Arial"/>
        </w:rPr>
        <w:t xml:space="preserve"> priorities</w:t>
      </w:r>
      <w:r w:rsidR="34B6A0AC" w:rsidRPr="375902C0">
        <w:rPr>
          <w:rFonts w:eastAsia="Calibri" w:cs="Arial"/>
        </w:rPr>
        <w:t xml:space="preserve">. </w:t>
      </w:r>
      <w:r w:rsidR="00D037C1">
        <w:rPr>
          <w:rFonts w:eastAsia="Calibri" w:cs="Arial"/>
        </w:rPr>
        <w:br/>
      </w:r>
      <w:r w:rsidR="00D037C1">
        <w:rPr>
          <w:rFonts w:eastAsia="Calibri" w:cs="Arial"/>
        </w:rPr>
        <w:br/>
      </w:r>
      <w:r w:rsidR="009D0C77" w:rsidRPr="009D0C77">
        <w:rPr>
          <w:rFonts w:eastAsia="Calibri" w:cs="Arial"/>
        </w:rPr>
        <w:t>The national issue of air quality</w:t>
      </w:r>
      <w:r w:rsidR="009D0C77">
        <w:rPr>
          <w:rFonts w:eastAsia="Calibri" w:cs="Arial"/>
        </w:rPr>
        <w:t xml:space="preserve"> </w:t>
      </w:r>
      <w:r w:rsidR="009D0C77" w:rsidRPr="009D0C77">
        <w:rPr>
          <w:rFonts w:eastAsia="Calibri" w:cs="Arial"/>
        </w:rPr>
        <w:t xml:space="preserve">is </w:t>
      </w:r>
      <w:r>
        <w:rPr>
          <w:rFonts w:eastAsia="Calibri" w:cs="Arial"/>
        </w:rPr>
        <w:t xml:space="preserve">also </w:t>
      </w:r>
      <w:r w:rsidR="009D0C77" w:rsidRPr="009D0C77">
        <w:rPr>
          <w:rFonts w:eastAsia="Calibri" w:cs="Arial"/>
        </w:rPr>
        <w:t xml:space="preserve">absent from the </w:t>
      </w:r>
      <w:r w:rsidR="00CD2D35">
        <w:rPr>
          <w:rFonts w:eastAsia="Calibri" w:cs="Arial"/>
        </w:rPr>
        <w:t>P</w:t>
      </w:r>
      <w:r w:rsidR="009D0C77" w:rsidRPr="009D0C77">
        <w:rPr>
          <w:rFonts w:eastAsia="Calibri" w:cs="Arial"/>
        </w:rPr>
        <w:t>lan</w:t>
      </w:r>
      <w:r w:rsidR="00D037C1">
        <w:rPr>
          <w:rFonts w:eastAsia="Calibri" w:cs="Arial"/>
        </w:rPr>
        <w:t>,</w:t>
      </w:r>
      <w:r w:rsidR="009D0C77" w:rsidRPr="009D0C77">
        <w:rPr>
          <w:rFonts w:eastAsia="Calibri" w:cs="Arial"/>
        </w:rPr>
        <w:t xml:space="preserve"> S-CC-1 focussed solely on greenhouse gases</w:t>
      </w:r>
      <w:r w:rsidR="00D037C1">
        <w:rPr>
          <w:rFonts w:eastAsia="Calibri" w:cs="Arial"/>
        </w:rPr>
        <w:t>.</w:t>
      </w:r>
      <w:r w:rsidR="009D0C77" w:rsidRPr="009D0C77">
        <w:rPr>
          <w:rFonts w:eastAsia="Calibri" w:cs="Arial"/>
        </w:rPr>
        <w:t xml:space="preserve"> </w:t>
      </w:r>
      <w:r w:rsidR="00D037C1">
        <w:rPr>
          <w:rFonts w:eastAsia="Calibri" w:cs="Arial"/>
        </w:rPr>
        <w:t>Al</w:t>
      </w:r>
      <w:r w:rsidR="009D0C77" w:rsidRPr="009D0C77">
        <w:rPr>
          <w:rFonts w:eastAsia="Calibri" w:cs="Arial"/>
        </w:rPr>
        <w:t>though the newer AIR-1 include</w:t>
      </w:r>
      <w:r w:rsidR="002F546A">
        <w:rPr>
          <w:rFonts w:eastAsia="Calibri" w:cs="Arial"/>
        </w:rPr>
        <w:t>s</w:t>
      </w:r>
      <w:r w:rsidR="009D0C77" w:rsidRPr="009D0C77">
        <w:rPr>
          <w:rFonts w:eastAsia="Calibri" w:cs="Arial"/>
        </w:rPr>
        <w:t xml:space="preserve"> provisions for </w:t>
      </w:r>
      <w:r w:rsidR="009D0C77">
        <w:rPr>
          <w:rFonts w:eastAsia="Calibri" w:cs="Arial"/>
        </w:rPr>
        <w:t xml:space="preserve">the wider issue of </w:t>
      </w:r>
      <w:r w:rsidR="009D0C77" w:rsidRPr="009D0C77">
        <w:rPr>
          <w:rFonts w:eastAsia="Calibri" w:cs="Arial"/>
        </w:rPr>
        <w:t xml:space="preserve">air </w:t>
      </w:r>
      <w:r w:rsidR="00A06C3F">
        <w:rPr>
          <w:rFonts w:eastAsia="Calibri" w:cs="Arial"/>
        </w:rPr>
        <w:t>quality</w:t>
      </w:r>
      <w:r w:rsidR="00524B4A">
        <w:rPr>
          <w:rFonts w:eastAsia="Calibri" w:cs="Arial"/>
        </w:rPr>
        <w:t xml:space="preserve"> alongside consideration of greenhouse gas emissions</w:t>
      </w:r>
      <w:r w:rsidR="00A06C3F">
        <w:rPr>
          <w:rFonts w:eastAsia="Calibri" w:cs="Arial"/>
        </w:rPr>
        <w:t>, reflecting the priorities of the Clean Air Strategy (</w:t>
      </w:r>
      <w:r w:rsidR="00A06C3F" w:rsidRPr="00C03F39">
        <w:rPr>
          <w:rFonts w:eastAsia="Calibri" w:cs="Arial"/>
        </w:rPr>
        <w:t xml:space="preserve">paragraph </w:t>
      </w:r>
      <w:r w:rsidR="00A06C3F" w:rsidRPr="00123BD9">
        <w:rPr>
          <w:rFonts w:eastAsia="Calibri" w:cs="Arial"/>
        </w:rPr>
        <w:fldChar w:fldCharType="begin"/>
      </w:r>
      <w:r w:rsidR="00A06C3F" w:rsidRPr="00123BD9">
        <w:rPr>
          <w:rFonts w:eastAsia="Calibri" w:cs="Arial"/>
        </w:rPr>
        <w:instrText xml:space="preserve"> REF _Ref71022153 \r \h </w:instrText>
      </w:r>
      <w:r w:rsidR="002F4C3A" w:rsidRPr="00123BD9">
        <w:rPr>
          <w:rFonts w:eastAsia="Calibri" w:cs="Arial"/>
        </w:rPr>
        <w:instrText xml:space="preserve"> \* MERGEFORMAT </w:instrText>
      </w:r>
      <w:r w:rsidR="00A06C3F" w:rsidRPr="00123BD9">
        <w:rPr>
          <w:rFonts w:eastAsia="Calibri" w:cs="Arial"/>
        </w:rPr>
      </w:r>
      <w:r w:rsidR="00A06C3F" w:rsidRPr="00123BD9">
        <w:rPr>
          <w:rFonts w:eastAsia="Calibri" w:cs="Arial"/>
        </w:rPr>
        <w:fldChar w:fldCharType="separate"/>
      </w:r>
      <w:r w:rsidR="00CA357C">
        <w:rPr>
          <w:rFonts w:eastAsia="Calibri" w:cs="Arial"/>
        </w:rPr>
        <w:t>45</w:t>
      </w:r>
      <w:r w:rsidR="00A06C3F" w:rsidRPr="00123BD9">
        <w:rPr>
          <w:rFonts w:eastAsia="Calibri" w:cs="Arial"/>
        </w:rPr>
        <w:fldChar w:fldCharType="end"/>
      </w:r>
      <w:r w:rsidR="00A06C3F">
        <w:rPr>
          <w:rFonts w:eastAsia="Calibri" w:cs="Arial"/>
        </w:rPr>
        <w:t>).</w:t>
      </w:r>
    </w:p>
    <w:p w14:paraId="0B9A2686" w14:textId="3CC71A0A" w:rsidR="00C43D49" w:rsidRDefault="00951416" w:rsidP="00D43BAE">
      <w:pPr>
        <w:pStyle w:val="ListParagraph"/>
        <w:numPr>
          <w:ilvl w:val="0"/>
          <w:numId w:val="8"/>
        </w:numPr>
        <w:ind w:left="561" w:hanging="567"/>
        <w:contextualSpacing w:val="0"/>
      </w:pPr>
      <w:r>
        <w:t>S</w:t>
      </w:r>
      <w:r w:rsidR="65338888">
        <w:t>ome polic</w:t>
      </w:r>
      <w:r w:rsidR="09AA8F6E">
        <w:t xml:space="preserve">y </w:t>
      </w:r>
      <w:r w:rsidR="65338888">
        <w:t xml:space="preserve">comparisons </w:t>
      </w:r>
      <w:r w:rsidR="30CD67CC">
        <w:t>revealed inconsistencies in wording between</w:t>
      </w:r>
      <w:r w:rsidR="65338888">
        <w:t xml:space="preserve"> </w:t>
      </w:r>
      <w:r w:rsidR="30CD67CC">
        <w:t xml:space="preserve">adjacent </w:t>
      </w:r>
      <w:r w:rsidR="00CD2D35">
        <w:t>p</w:t>
      </w:r>
      <w:r w:rsidR="00DC2E44">
        <w:t>lan</w:t>
      </w:r>
      <w:r w:rsidR="30CD67CC">
        <w:t xml:space="preserve"> </w:t>
      </w:r>
      <w:r w:rsidR="007B2A83">
        <w:t xml:space="preserve">areas, such as with </w:t>
      </w:r>
      <w:r w:rsidR="2647ED57">
        <w:t>S-CAB-2</w:t>
      </w:r>
      <w:r w:rsidR="6CEF602A">
        <w:t>.</w:t>
      </w:r>
      <w:r w:rsidR="006D3BB8">
        <w:t xml:space="preserve"> </w:t>
      </w:r>
      <w:r w:rsidR="00D037C1">
        <w:br/>
      </w:r>
      <w:r w:rsidR="00D037C1">
        <w:br/>
      </w:r>
      <w:r w:rsidR="00DC2E44">
        <w:t>Plan</w:t>
      </w:r>
      <w:r w:rsidR="006D3BB8" w:rsidRPr="006D3BB8">
        <w:t>s in adjacent areas are compatible, but the different approaches to policy wording</w:t>
      </w:r>
      <w:r w:rsidR="007B2A83">
        <w:t>, especially with sectors such as cables for which cross-border considerations are inherent</w:t>
      </w:r>
      <w:r w:rsidR="00D037C1">
        <w:t>.</w:t>
      </w:r>
      <w:r w:rsidR="007B2A83">
        <w:t xml:space="preserve"> </w:t>
      </w:r>
      <w:r w:rsidR="00D037C1">
        <w:t>M</w:t>
      </w:r>
      <w:r w:rsidR="006D3BB8" w:rsidRPr="006D3BB8">
        <w:t xml:space="preserve">ay make interpretation across </w:t>
      </w:r>
      <w:r w:rsidR="00CD2D35">
        <w:t>p</w:t>
      </w:r>
      <w:r w:rsidR="00DC2E44">
        <w:t>lan</w:t>
      </w:r>
      <w:r w:rsidR="006D3BB8" w:rsidRPr="006D3BB8">
        <w:t xml:space="preserve"> areas more difficult for decision-makers and sectors operating across multiple </w:t>
      </w:r>
      <w:r w:rsidR="00CD2D35">
        <w:t>p</w:t>
      </w:r>
      <w:r w:rsidR="00DC2E44">
        <w:t>lan</w:t>
      </w:r>
      <w:r w:rsidR="006D3BB8" w:rsidRPr="006D3BB8">
        <w:t xml:space="preserve"> areas.</w:t>
      </w:r>
    </w:p>
    <w:p w14:paraId="4D72C46D" w14:textId="30F113BE" w:rsidR="002342D3" w:rsidRPr="00C92B18" w:rsidRDefault="00DC2E44" w:rsidP="00C92B18">
      <w:pPr>
        <w:pStyle w:val="Heading3"/>
      </w:pPr>
      <w:r>
        <w:t>The p</w:t>
      </w:r>
      <w:r w:rsidR="002342D3" w:rsidRPr="00C92B18">
        <w:t>lan</w:t>
      </w:r>
      <w:r>
        <w:t>’s</w:t>
      </w:r>
      <w:r w:rsidR="002342D3" w:rsidRPr="00C92B18">
        <w:t xml:space="preserve"> content</w:t>
      </w:r>
    </w:p>
    <w:p w14:paraId="067D9377" w14:textId="3D3EBEBC" w:rsidR="00852528" w:rsidRDefault="00552E26" w:rsidP="00D43BAE">
      <w:pPr>
        <w:pStyle w:val="ListParagraph"/>
        <w:numPr>
          <w:ilvl w:val="0"/>
          <w:numId w:val="8"/>
        </w:numPr>
        <w:ind w:left="561" w:hanging="567"/>
        <w:contextualSpacing w:val="0"/>
        <w:rPr>
          <w:rFonts w:cs="Arial"/>
        </w:rPr>
      </w:pPr>
      <w:r>
        <w:rPr>
          <w:rFonts w:cs="Arial"/>
        </w:rPr>
        <w:t>A</w:t>
      </w:r>
      <w:r w:rsidR="45394CF1" w:rsidRPr="375902C0">
        <w:rPr>
          <w:rFonts w:cs="Arial"/>
        </w:rPr>
        <w:t xml:space="preserve"> detailed review of the </w:t>
      </w:r>
      <w:r w:rsidR="00CD2D35">
        <w:t>P</w:t>
      </w:r>
      <w:r w:rsidR="091BD5E0">
        <w:t>lan</w:t>
      </w:r>
      <w:r w:rsidR="45394CF1" w:rsidRPr="375902C0">
        <w:rPr>
          <w:rFonts w:cs="Arial"/>
        </w:rPr>
        <w:t xml:space="preserve"> identified </w:t>
      </w:r>
      <w:r w:rsidR="2A0F6A9E" w:rsidRPr="375902C0">
        <w:rPr>
          <w:rFonts w:cs="Arial"/>
        </w:rPr>
        <w:t>nearly 55</w:t>
      </w:r>
      <w:r w:rsidR="45394CF1" w:rsidRPr="375902C0">
        <w:rPr>
          <w:rFonts w:cs="Arial"/>
        </w:rPr>
        <w:t xml:space="preserve">0 </w:t>
      </w:r>
      <w:r w:rsidR="5F7ED647" w:rsidRPr="375902C0">
        <w:rPr>
          <w:rFonts w:cs="Arial"/>
        </w:rPr>
        <w:t xml:space="preserve">potential </w:t>
      </w:r>
      <w:r w:rsidR="45394CF1" w:rsidRPr="375902C0">
        <w:rPr>
          <w:rFonts w:cs="Arial"/>
        </w:rPr>
        <w:t>text</w:t>
      </w:r>
      <w:r w:rsidR="2A0F6A9E" w:rsidRPr="375902C0">
        <w:rPr>
          <w:rFonts w:cs="Arial"/>
        </w:rPr>
        <w:t>ual</w:t>
      </w:r>
      <w:r w:rsidR="45394CF1" w:rsidRPr="375902C0">
        <w:rPr>
          <w:rFonts w:cs="Arial"/>
        </w:rPr>
        <w:t xml:space="preserve"> changes </w:t>
      </w:r>
      <w:r w:rsidR="76476E74" w:rsidRPr="375902C0">
        <w:rPr>
          <w:rFonts w:cs="Arial"/>
        </w:rPr>
        <w:t xml:space="preserve">of varying </w:t>
      </w:r>
      <w:r w:rsidR="2647ED57" w:rsidRPr="375902C0">
        <w:rPr>
          <w:rFonts w:cs="Arial"/>
        </w:rPr>
        <w:t xml:space="preserve">significance </w:t>
      </w:r>
      <w:r w:rsidR="76476E74" w:rsidRPr="375902C0">
        <w:rPr>
          <w:rFonts w:cs="Arial"/>
        </w:rPr>
        <w:t>that</w:t>
      </w:r>
      <w:r w:rsidR="0E84FCDA" w:rsidRPr="375902C0">
        <w:rPr>
          <w:rFonts w:cs="Arial"/>
        </w:rPr>
        <w:t>,</w:t>
      </w:r>
      <w:r w:rsidR="76476E74" w:rsidRPr="375902C0">
        <w:rPr>
          <w:rFonts w:cs="Arial"/>
        </w:rPr>
        <w:t xml:space="preserve"> if</w:t>
      </w:r>
      <w:r w:rsidR="45394CF1" w:rsidRPr="375902C0">
        <w:rPr>
          <w:rFonts w:cs="Arial"/>
        </w:rPr>
        <w:t xml:space="preserve"> </w:t>
      </w:r>
      <w:r w:rsidR="2647ED57" w:rsidRPr="00D43BAE">
        <w:t>amended</w:t>
      </w:r>
      <w:r w:rsidR="2647ED57" w:rsidRPr="375902C0">
        <w:rPr>
          <w:rFonts w:cs="Arial"/>
        </w:rPr>
        <w:t>,</w:t>
      </w:r>
      <w:r w:rsidR="76476E74" w:rsidRPr="375902C0">
        <w:rPr>
          <w:rFonts w:cs="Arial"/>
        </w:rPr>
        <w:t xml:space="preserve"> would</w:t>
      </w:r>
      <w:r w:rsidR="45394CF1" w:rsidRPr="375902C0">
        <w:rPr>
          <w:rFonts w:cs="Arial"/>
        </w:rPr>
        <w:t xml:space="preserve"> improve the </w:t>
      </w:r>
      <w:r w:rsidR="5F7ED647" w:rsidRPr="375902C0">
        <w:rPr>
          <w:rFonts w:cs="Arial"/>
        </w:rPr>
        <w:t>content</w:t>
      </w:r>
      <w:r w:rsidR="45394CF1" w:rsidRPr="375902C0">
        <w:rPr>
          <w:rFonts w:cs="Arial"/>
        </w:rPr>
        <w:t xml:space="preserve"> or enhance </w:t>
      </w:r>
      <w:r w:rsidR="5F7ED647" w:rsidRPr="375902C0">
        <w:rPr>
          <w:rFonts w:cs="Arial"/>
        </w:rPr>
        <w:t>its</w:t>
      </w:r>
      <w:r w:rsidR="45394CF1" w:rsidRPr="375902C0">
        <w:rPr>
          <w:rFonts w:cs="Arial"/>
        </w:rPr>
        <w:t xml:space="preserve"> usability. </w:t>
      </w:r>
      <w:r w:rsidR="00D037C1">
        <w:rPr>
          <w:rFonts w:cs="Arial"/>
        </w:rPr>
        <w:br/>
      </w:r>
      <w:r w:rsidR="00D037C1">
        <w:rPr>
          <w:rFonts w:cs="Arial"/>
        </w:rPr>
        <w:br/>
      </w:r>
      <w:r w:rsidR="45394CF1" w:rsidRPr="375902C0">
        <w:rPr>
          <w:rFonts w:cs="Arial"/>
        </w:rPr>
        <w:t>These include out</w:t>
      </w:r>
      <w:r w:rsidR="76476E74" w:rsidRPr="375902C0">
        <w:rPr>
          <w:rFonts w:cs="Arial"/>
        </w:rPr>
        <w:t>dated</w:t>
      </w:r>
      <w:r w:rsidR="45394CF1" w:rsidRPr="375902C0">
        <w:rPr>
          <w:rFonts w:cs="Arial"/>
        </w:rPr>
        <w:t xml:space="preserve"> references </w:t>
      </w:r>
      <w:r>
        <w:rPr>
          <w:rFonts w:cs="Arial"/>
        </w:rPr>
        <w:t>and</w:t>
      </w:r>
      <w:r w:rsidR="45394CF1" w:rsidRPr="375902C0">
        <w:rPr>
          <w:rFonts w:cs="Arial"/>
        </w:rPr>
        <w:t xml:space="preserve"> </w:t>
      </w:r>
      <w:r>
        <w:rPr>
          <w:rFonts w:cs="Arial"/>
        </w:rPr>
        <w:t>legislation</w:t>
      </w:r>
      <w:r w:rsidR="00F95D03">
        <w:rPr>
          <w:rFonts w:cs="Arial"/>
        </w:rPr>
        <w:t xml:space="preserve">, many relating to </w:t>
      </w:r>
      <w:r w:rsidR="607061E4" w:rsidRPr="375902C0">
        <w:rPr>
          <w:rFonts w:cs="Arial"/>
        </w:rPr>
        <w:t xml:space="preserve">EU </w:t>
      </w:r>
      <w:r w:rsidR="00F95D03">
        <w:rPr>
          <w:rFonts w:cs="Arial"/>
        </w:rPr>
        <w:t xml:space="preserve">Exit as </w:t>
      </w:r>
      <w:r>
        <w:rPr>
          <w:rFonts w:cs="Arial"/>
        </w:rPr>
        <w:t>per</w:t>
      </w:r>
      <w:r w:rsidR="00F95D03">
        <w:rPr>
          <w:rFonts w:cs="Arial"/>
        </w:rPr>
        <w:t xml:space="preserve"> </w:t>
      </w:r>
      <w:r w:rsidR="00F95D03" w:rsidRPr="00C03F39">
        <w:rPr>
          <w:rFonts w:cs="Arial"/>
        </w:rPr>
        <w:t xml:space="preserve">paragraph </w:t>
      </w:r>
      <w:r w:rsidR="00F95D03" w:rsidRPr="00123BD9">
        <w:rPr>
          <w:rFonts w:cs="Arial"/>
        </w:rPr>
        <w:fldChar w:fldCharType="begin"/>
      </w:r>
      <w:r w:rsidR="00F95D03" w:rsidRPr="00123BD9">
        <w:rPr>
          <w:rFonts w:cs="Arial"/>
        </w:rPr>
        <w:instrText xml:space="preserve"> REF _Ref70684123 \r \h </w:instrText>
      </w:r>
      <w:r w:rsidR="002F4C3A" w:rsidRPr="00123BD9">
        <w:rPr>
          <w:rFonts w:cs="Arial"/>
        </w:rPr>
        <w:instrText xml:space="preserve"> \* MERGEFORMAT </w:instrText>
      </w:r>
      <w:r w:rsidR="00F95D03" w:rsidRPr="00123BD9">
        <w:rPr>
          <w:rFonts w:cs="Arial"/>
        </w:rPr>
      </w:r>
      <w:r w:rsidR="00F95D03" w:rsidRPr="00123BD9">
        <w:rPr>
          <w:rFonts w:cs="Arial"/>
        </w:rPr>
        <w:fldChar w:fldCharType="separate"/>
      </w:r>
      <w:r w:rsidR="00CA357C">
        <w:rPr>
          <w:rFonts w:cs="Arial"/>
        </w:rPr>
        <w:t>38</w:t>
      </w:r>
      <w:r w:rsidR="00F95D03" w:rsidRPr="00123BD9">
        <w:rPr>
          <w:rFonts w:cs="Arial"/>
        </w:rPr>
        <w:fldChar w:fldCharType="end"/>
      </w:r>
      <w:r w:rsidR="45394CF1" w:rsidRPr="375902C0">
        <w:rPr>
          <w:rFonts w:cs="Arial"/>
        </w:rPr>
        <w:t xml:space="preserve">, </w:t>
      </w:r>
      <w:r>
        <w:rPr>
          <w:rFonts w:cs="Arial"/>
        </w:rPr>
        <w:t>while others related to</w:t>
      </w:r>
      <w:r w:rsidR="45394CF1" w:rsidRPr="375902C0">
        <w:rPr>
          <w:rFonts w:cs="Arial"/>
        </w:rPr>
        <w:t xml:space="preserve"> broken or out of date hyperlinks, including to the Marine Information System</w:t>
      </w:r>
      <w:r w:rsidR="5F7ED647" w:rsidRPr="375902C0">
        <w:rPr>
          <w:rFonts w:cs="Arial"/>
        </w:rPr>
        <w:t xml:space="preserve">, now </w:t>
      </w:r>
      <w:r w:rsidR="45394CF1" w:rsidRPr="375902C0">
        <w:rPr>
          <w:rFonts w:cs="Arial"/>
        </w:rPr>
        <w:t xml:space="preserve">replaced with </w:t>
      </w:r>
      <w:hyperlink r:id="rId33" w:history="1">
        <w:r w:rsidR="002F4C3A" w:rsidRPr="002F4C3A">
          <w:rPr>
            <w:rStyle w:val="Hyperlink"/>
            <w:rFonts w:cs="Arial"/>
          </w:rPr>
          <w:t xml:space="preserve">Explore Marine </w:t>
        </w:r>
        <w:r w:rsidR="00DC2E44">
          <w:rPr>
            <w:rStyle w:val="Hyperlink"/>
            <w:rFonts w:cs="Arial"/>
          </w:rPr>
          <w:t>Plan</w:t>
        </w:r>
        <w:r w:rsidR="002F4C3A" w:rsidRPr="002F4C3A">
          <w:rPr>
            <w:rStyle w:val="Hyperlink"/>
            <w:rFonts w:cs="Arial"/>
          </w:rPr>
          <w:t>s</w:t>
        </w:r>
      </w:hyperlink>
      <w:r w:rsidR="002F4C3A">
        <w:rPr>
          <w:rFonts w:cs="Arial"/>
        </w:rPr>
        <w:t xml:space="preserve"> (</w:t>
      </w:r>
      <w:r w:rsidR="2363302F">
        <w:t>EMP</w:t>
      </w:r>
      <w:r w:rsidR="002F4C3A">
        <w:t>)</w:t>
      </w:r>
      <w:r w:rsidR="45394CF1">
        <w:t>.</w:t>
      </w:r>
      <w:r w:rsidR="45394CF1" w:rsidRPr="375902C0">
        <w:rPr>
          <w:rFonts w:cs="Arial"/>
        </w:rPr>
        <w:t xml:space="preserve"> </w:t>
      </w:r>
    </w:p>
    <w:p w14:paraId="79B5FC2F" w14:textId="2B28089E" w:rsidR="0032601C" w:rsidRPr="0032601C" w:rsidRDefault="5DAF7357" w:rsidP="00D43BAE">
      <w:pPr>
        <w:pStyle w:val="ListParagraph"/>
        <w:numPr>
          <w:ilvl w:val="0"/>
          <w:numId w:val="8"/>
        </w:numPr>
        <w:ind w:left="561" w:hanging="567"/>
        <w:contextualSpacing w:val="0"/>
        <w:rPr>
          <w:rFonts w:cs="Arial"/>
        </w:rPr>
      </w:pPr>
      <w:r>
        <w:t xml:space="preserve">The </w:t>
      </w:r>
      <w:r w:rsidR="007F665C">
        <w:t xml:space="preserve">maps in the </w:t>
      </w:r>
      <w:r w:rsidR="00CD2D35">
        <w:t>P</w:t>
      </w:r>
      <w:r w:rsidR="007F665C">
        <w:t>lan include</w:t>
      </w:r>
      <w:r w:rsidR="3DD6A2D0">
        <w:t xml:space="preserve"> 77 data</w:t>
      </w:r>
      <w:r w:rsidR="6775D508">
        <w:t>set</w:t>
      </w:r>
      <w:r w:rsidR="3DD6A2D0">
        <w:t>s to support policy implementation</w:t>
      </w:r>
      <w:r>
        <w:t>.</w:t>
      </w:r>
      <w:r w:rsidR="7AB79463">
        <w:t xml:space="preserve"> </w:t>
      </w:r>
      <w:r w:rsidR="00DC2E44">
        <w:br/>
      </w:r>
      <w:r w:rsidR="00DC2E44">
        <w:br/>
      </w:r>
      <w:r w:rsidRPr="375902C0">
        <w:rPr>
          <w:rFonts w:cs="Arial"/>
        </w:rPr>
        <w:t xml:space="preserve">Due to </w:t>
      </w:r>
      <w:r w:rsidR="6775D508" w:rsidRPr="375902C0">
        <w:rPr>
          <w:rFonts w:cs="Arial"/>
        </w:rPr>
        <w:t>periodic</w:t>
      </w:r>
      <w:r w:rsidRPr="375902C0">
        <w:rPr>
          <w:rFonts w:cs="Arial"/>
        </w:rPr>
        <w:t xml:space="preserve"> updat</w:t>
      </w:r>
      <w:r w:rsidR="6775D508" w:rsidRPr="375902C0">
        <w:rPr>
          <w:rFonts w:cs="Arial"/>
        </w:rPr>
        <w:t>e</w:t>
      </w:r>
      <w:r w:rsidRPr="375902C0">
        <w:rPr>
          <w:rFonts w:cs="Arial"/>
        </w:rPr>
        <w:t xml:space="preserve">s, </w:t>
      </w:r>
      <w:r w:rsidR="76476E74">
        <w:t xml:space="preserve">21 </w:t>
      </w:r>
      <w:r w:rsidR="007F665C">
        <w:t>of these</w:t>
      </w:r>
      <w:r w:rsidR="001D028D">
        <w:t xml:space="preserve"> are</w:t>
      </w:r>
      <w:r>
        <w:t xml:space="preserve"> </w:t>
      </w:r>
      <w:r w:rsidR="007B2A83">
        <w:t xml:space="preserve">now </w:t>
      </w:r>
      <w:r w:rsidR="76476E74">
        <w:t>outdate</w:t>
      </w:r>
      <w:r w:rsidR="6775D508">
        <w:t>d</w:t>
      </w:r>
      <w:r w:rsidR="001D028D">
        <w:t>,</w:t>
      </w:r>
      <w:r w:rsidR="7E4E1E8E">
        <w:t xml:space="preserve"> </w:t>
      </w:r>
      <w:r w:rsidR="6775D508">
        <w:t>with 1</w:t>
      </w:r>
      <w:r w:rsidR="7E4E1E8E">
        <w:t>2</w:t>
      </w:r>
      <w:r w:rsidR="007F665C">
        <w:t xml:space="preserve"> of the 25</w:t>
      </w:r>
      <w:r w:rsidR="7E4E1E8E">
        <w:t xml:space="preserve"> maps inaccurately represent</w:t>
      </w:r>
      <w:r w:rsidR="6775D508">
        <w:t>ing</w:t>
      </w:r>
      <w:r w:rsidR="7E4E1E8E">
        <w:t xml:space="preserve"> </w:t>
      </w:r>
      <w:r w:rsidR="6775D508">
        <w:t>p</w:t>
      </w:r>
      <w:r w:rsidR="7E4E1E8E">
        <w:t>olic</w:t>
      </w:r>
      <w:r w:rsidR="6775D508">
        <w:t>y</w:t>
      </w:r>
      <w:r w:rsidR="7E4E1E8E">
        <w:t xml:space="preserve"> </w:t>
      </w:r>
      <w:r w:rsidR="7E4E1E8E" w:rsidRPr="00D43BAE">
        <w:t>implement</w:t>
      </w:r>
      <w:r w:rsidR="6775D508" w:rsidRPr="00D43BAE">
        <w:t>ation</w:t>
      </w:r>
      <w:r w:rsidR="7E4E1E8E">
        <w:t xml:space="preserve">. Although </w:t>
      </w:r>
      <w:r w:rsidR="007F665C">
        <w:t>maps</w:t>
      </w:r>
      <w:r w:rsidR="00552E26">
        <w:t xml:space="preserve"> could be updated to reflect most recent data, the risk of new data becoming quickly outdated </w:t>
      </w:r>
      <w:r w:rsidR="0032601C">
        <w:t xml:space="preserve">would </w:t>
      </w:r>
      <w:r w:rsidR="007F665C">
        <w:t>remain</w:t>
      </w:r>
      <w:r w:rsidR="0032601C">
        <w:t>.</w:t>
      </w:r>
      <w:r w:rsidR="00A119BA">
        <w:t xml:space="preserve"> </w:t>
      </w:r>
      <w:r w:rsidR="00D037C1">
        <w:br/>
      </w:r>
      <w:r w:rsidR="00D037C1">
        <w:br/>
      </w:r>
      <w:r w:rsidR="00A119BA">
        <w:t>T</w:t>
      </w:r>
      <w:r w:rsidR="0032601C">
        <w:t>he most recent versions of all data</w:t>
      </w:r>
      <w:r w:rsidR="007F665C">
        <w:t xml:space="preserve"> can be viewed on EMP</w:t>
      </w:r>
      <w:r w:rsidR="0032601C">
        <w:t xml:space="preserve">, keeping the </w:t>
      </w:r>
      <w:r w:rsidR="00DC2E44">
        <w:t>Plan</w:t>
      </w:r>
      <w:r w:rsidR="0032601C">
        <w:t xml:space="preserve"> contextually relevant with regards to the </w:t>
      </w:r>
      <w:r w:rsidR="007F665C">
        <w:t xml:space="preserve">existing </w:t>
      </w:r>
      <w:r w:rsidR="0032601C">
        <w:t>evidence base</w:t>
      </w:r>
      <w:r w:rsidR="6775D508">
        <w:t>.</w:t>
      </w:r>
      <w:r w:rsidR="498F49DF">
        <w:t xml:space="preserve"> </w:t>
      </w:r>
    </w:p>
    <w:p w14:paraId="6CE018FF" w14:textId="39DF5277" w:rsidR="00DC2E44" w:rsidRPr="00F36863" w:rsidRDefault="00D7440C" w:rsidP="00F36863">
      <w:pPr>
        <w:pStyle w:val="ListParagraph"/>
        <w:numPr>
          <w:ilvl w:val="0"/>
          <w:numId w:val="8"/>
        </w:numPr>
        <w:ind w:left="561" w:hanging="567"/>
        <w:contextualSpacing w:val="0"/>
        <w:rPr>
          <w:rFonts w:cs="Arial"/>
        </w:rPr>
      </w:pPr>
      <w:r>
        <w:lastRenderedPageBreak/>
        <w:t>Additionally</w:t>
      </w:r>
      <w:r w:rsidR="00437D62">
        <w:t xml:space="preserve">, </w:t>
      </w:r>
      <w:r w:rsidR="6775D508">
        <w:t xml:space="preserve">30 new </w:t>
      </w:r>
      <w:r>
        <w:t xml:space="preserve">relevant </w:t>
      </w:r>
      <w:r w:rsidR="6775D508">
        <w:t>datasets</w:t>
      </w:r>
      <w:r w:rsidR="00590760">
        <w:t xml:space="preserve"> </w:t>
      </w:r>
      <w:r w:rsidR="5DAF7357">
        <w:t xml:space="preserve">have been flagged </w:t>
      </w:r>
      <w:r w:rsidR="6775D508">
        <w:t xml:space="preserve">to the marine </w:t>
      </w:r>
      <w:r w:rsidR="002223E6">
        <w:t>p</w:t>
      </w:r>
      <w:r w:rsidR="00DC2E44">
        <w:t>lan</w:t>
      </w:r>
      <w:r w:rsidR="6775D508">
        <w:t xml:space="preserve">ning process following </w:t>
      </w:r>
      <w:r w:rsidR="00DC2E44">
        <w:t>Plan</w:t>
      </w:r>
      <w:r>
        <w:t xml:space="preserve"> </w:t>
      </w:r>
      <w:r w:rsidR="6775D508">
        <w:t>adoption</w:t>
      </w:r>
      <w:r w:rsidR="00590760">
        <w:t xml:space="preserve">. </w:t>
      </w:r>
      <w:r w:rsidR="00D037C1">
        <w:br/>
      </w:r>
      <w:r w:rsidR="00D037C1">
        <w:br/>
      </w:r>
      <w:r w:rsidR="00A8427C">
        <w:t>T</w:t>
      </w:r>
      <w:r w:rsidR="00590760">
        <w:t xml:space="preserve">hese </w:t>
      </w:r>
      <w:r>
        <w:t>will</w:t>
      </w:r>
      <w:r w:rsidR="00590760">
        <w:t xml:space="preserve"> be displayed on </w:t>
      </w:r>
      <w:proofErr w:type="gramStart"/>
      <w:r w:rsidR="00590760">
        <w:t>EMP,</w:t>
      </w:r>
      <w:proofErr w:type="gramEnd"/>
      <w:r>
        <w:t xml:space="preserve"> </w:t>
      </w:r>
      <w:r w:rsidR="00A8427C">
        <w:t>however</w:t>
      </w:r>
      <w:r>
        <w:t xml:space="preserve"> it </w:t>
      </w:r>
      <w:r w:rsidDel="002D6045">
        <w:t>w</w:t>
      </w:r>
      <w:r>
        <w:t>ould</w:t>
      </w:r>
      <w:r w:rsidR="002D6045">
        <w:t xml:space="preserve"> not</w:t>
      </w:r>
      <w:r>
        <w:t xml:space="preserve"> be </w:t>
      </w:r>
      <w:r w:rsidR="002459D8">
        <w:t xml:space="preserve">clear </w:t>
      </w:r>
      <w:r w:rsidR="00D105A1">
        <w:t>as</w:t>
      </w:r>
      <w:r w:rsidR="002459D8">
        <w:t xml:space="preserve"> </w:t>
      </w:r>
      <w:r w:rsidR="00A119BA">
        <w:t xml:space="preserve">to </w:t>
      </w:r>
      <w:r>
        <w:t xml:space="preserve">how </w:t>
      </w:r>
      <w:r w:rsidR="002459D8">
        <w:t>they</w:t>
      </w:r>
      <w:r>
        <w:t xml:space="preserve"> </w:t>
      </w:r>
      <w:r w:rsidRPr="00AF364B">
        <w:rPr>
          <w:rFonts w:cs="Arial"/>
        </w:rPr>
        <w:t>should</w:t>
      </w:r>
      <w:r>
        <w:t xml:space="preserve"> be used</w:t>
      </w:r>
      <w:r w:rsidR="002D6045">
        <w:t xml:space="preserve"> in relation to policy</w:t>
      </w:r>
      <w:r>
        <w:t xml:space="preserve">. </w:t>
      </w:r>
      <w:r w:rsidR="00D037C1">
        <w:br/>
      </w:r>
      <w:r w:rsidR="00D037C1">
        <w:br/>
      </w:r>
      <w:r>
        <w:t xml:space="preserve">To avoid a disconnect between </w:t>
      </w:r>
      <w:r w:rsidR="002459D8">
        <w:t xml:space="preserve">the evidence base and the contents of the </w:t>
      </w:r>
      <w:r w:rsidR="00DC2E44">
        <w:t>Plan</w:t>
      </w:r>
      <w:r w:rsidR="002459D8">
        <w:t>, t</w:t>
      </w:r>
      <w:r>
        <w:t xml:space="preserve">he supporting text of individual policies would benefit from amends </w:t>
      </w:r>
      <w:r w:rsidR="002459D8">
        <w:t>to</w:t>
      </w:r>
      <w:r>
        <w:t xml:space="preserve"> describe </w:t>
      </w:r>
      <w:r w:rsidR="002459D8">
        <w:t xml:space="preserve">which policies each </w:t>
      </w:r>
      <w:r>
        <w:t>dataset</w:t>
      </w:r>
      <w:r w:rsidR="002459D8">
        <w:t xml:space="preserve"> applies to, and how they</w:t>
      </w:r>
      <w:r>
        <w:t xml:space="preserve"> </w:t>
      </w:r>
      <w:r w:rsidR="002459D8">
        <w:t>should</w:t>
      </w:r>
      <w:r>
        <w:t xml:space="preserve"> be used to aid implementation</w:t>
      </w:r>
      <w:r w:rsidR="4B668A58">
        <w:t>.</w:t>
      </w:r>
    </w:p>
    <w:p w14:paraId="6E29CC50" w14:textId="35692D14" w:rsidR="00904996" w:rsidRPr="0059093A" w:rsidRDefault="00904996" w:rsidP="00285EEE">
      <w:pPr>
        <w:pStyle w:val="Heading3"/>
      </w:pPr>
      <w:bookmarkStart w:id="143" w:name="_Toc74307996"/>
      <w:bookmarkStart w:id="144" w:name="_Toc74577262"/>
      <w:bookmarkStart w:id="145" w:name="_Toc68186333"/>
      <w:r>
        <w:t>3</w:t>
      </w:r>
      <w:r w:rsidRPr="0059093A">
        <w:t>.</w:t>
      </w:r>
      <w:r>
        <w:t>3</w:t>
      </w:r>
      <w:r w:rsidRPr="0059093A">
        <w:t xml:space="preserve"> </w:t>
      </w:r>
      <w:r>
        <w:t xml:space="preserve">Concluding </w:t>
      </w:r>
      <w:r w:rsidR="0030533F">
        <w:t>s</w:t>
      </w:r>
      <w:r>
        <w:t>tatement</w:t>
      </w:r>
      <w:bookmarkEnd w:id="143"/>
      <w:bookmarkEnd w:id="144"/>
    </w:p>
    <w:p w14:paraId="4A356307" w14:textId="643B5D98" w:rsidR="00B15D50" w:rsidRPr="00E70C8F" w:rsidRDefault="00B15D50" w:rsidP="00B15D50">
      <w:pPr>
        <w:pStyle w:val="ListParagraph"/>
        <w:numPr>
          <w:ilvl w:val="0"/>
          <w:numId w:val="8"/>
        </w:numPr>
        <w:ind w:left="561" w:hanging="567"/>
        <w:contextualSpacing w:val="0"/>
      </w:pPr>
      <w:r>
        <w:t xml:space="preserve">The Marine Management Organisation (MMO) has kept relevant matters under review including </w:t>
      </w:r>
      <w:r w:rsidRPr="00A2230B">
        <w:t>changes</w:t>
      </w:r>
      <w:r>
        <w:t xml:space="preserve"> in the key characteristics and uses of the marine </w:t>
      </w:r>
      <w:r w:rsidR="00C406C0">
        <w:t>p</w:t>
      </w:r>
      <w:r w:rsidR="00DC2E44">
        <w:t>lan</w:t>
      </w:r>
      <w:r>
        <w:t xml:space="preserve"> areas and in legislation, policy and other </w:t>
      </w:r>
      <w:r w:rsidR="00C406C0">
        <w:t>p</w:t>
      </w:r>
      <w:r w:rsidR="00DC2E44">
        <w:t>lan</w:t>
      </w:r>
      <w:r>
        <w:t xml:space="preserve">s (including marine </w:t>
      </w:r>
      <w:r w:rsidR="00C406C0">
        <w:t>p</w:t>
      </w:r>
      <w:r w:rsidR="00DC2E44">
        <w:t>lan</w:t>
      </w:r>
      <w:r>
        <w:t xml:space="preserve">s around England). </w:t>
      </w:r>
      <w:r w:rsidR="00DC2E44">
        <w:br/>
      </w:r>
      <w:r w:rsidR="00DC2E44">
        <w:br/>
      </w:r>
      <w:r>
        <w:t xml:space="preserve">Taken together, changes in context may affect the continued relevance of the </w:t>
      </w:r>
      <w:r w:rsidR="00DC2E44">
        <w:t>Plan</w:t>
      </w:r>
      <w:r>
        <w:t xml:space="preserve"> and its functionality since adoption. </w:t>
      </w:r>
    </w:p>
    <w:p w14:paraId="7D24DCEE" w14:textId="2BC6A0A1" w:rsidR="00B15D50" w:rsidRPr="005915BE" w:rsidRDefault="00B15D50" w:rsidP="00B15D50">
      <w:pPr>
        <w:pStyle w:val="ListParagraph"/>
        <w:numPr>
          <w:ilvl w:val="0"/>
          <w:numId w:val="8"/>
        </w:numPr>
        <w:ind w:left="561" w:hanging="567"/>
        <w:contextualSpacing w:val="0"/>
      </w:pPr>
      <w:r>
        <w:t xml:space="preserve">The review of relevant matters did identify aspects of the </w:t>
      </w:r>
      <w:r w:rsidR="00DC2E44">
        <w:t>Plan</w:t>
      </w:r>
      <w:r>
        <w:t xml:space="preserve"> that have declining relevance. This includes non-policy specific examples such as references to European Legislation throughout the </w:t>
      </w:r>
      <w:r w:rsidR="00DC2E44">
        <w:t>Plan</w:t>
      </w:r>
      <w:r>
        <w:rPr>
          <w:szCs w:val="24"/>
        </w:rPr>
        <w:t xml:space="preserve">. </w:t>
      </w:r>
      <w:r w:rsidR="00DC2E44">
        <w:rPr>
          <w:szCs w:val="24"/>
        </w:rPr>
        <w:br/>
      </w:r>
      <w:r w:rsidR="00DC2E44">
        <w:rPr>
          <w:szCs w:val="24"/>
        </w:rPr>
        <w:br/>
      </w:r>
      <w:r>
        <w:rPr>
          <w:szCs w:val="24"/>
        </w:rPr>
        <w:t xml:space="preserve">The purpose and functionality of certain policies may also face a decline. </w:t>
      </w:r>
      <w:r w:rsidR="00DC2E44">
        <w:rPr>
          <w:szCs w:val="24"/>
        </w:rPr>
        <w:br/>
      </w:r>
      <w:r w:rsidR="00DC2E44">
        <w:rPr>
          <w:szCs w:val="24"/>
        </w:rPr>
        <w:br/>
      </w:r>
      <w:r>
        <w:rPr>
          <w:szCs w:val="24"/>
        </w:rPr>
        <w:t xml:space="preserve">The marine protected areas (MPA) policy (S-MPA-4), featured in analysis, was </w:t>
      </w:r>
      <w:r>
        <w:t>developed to protect conservation features yet to be designated at the point of policy development</w:t>
      </w:r>
      <w:r>
        <w:rPr>
          <w:szCs w:val="24"/>
        </w:rPr>
        <w:t xml:space="preserve">. </w:t>
      </w:r>
      <w:r w:rsidR="00DC2E44">
        <w:rPr>
          <w:szCs w:val="24"/>
        </w:rPr>
        <w:br/>
      </w:r>
      <w:r w:rsidR="00DC2E44">
        <w:rPr>
          <w:szCs w:val="24"/>
        </w:rPr>
        <w:br/>
      </w:r>
      <w:r>
        <w:t>Progress made towards a more complete network of MPAs will reduce the relevance of S-MPA-4. However, it was noted that implementation of this policy in this first reporting cycle has been successful.</w:t>
      </w:r>
    </w:p>
    <w:p w14:paraId="0A3C8B0E" w14:textId="014716C2" w:rsidR="00B15D50" w:rsidRPr="00BA3D70" w:rsidRDefault="00B15D50" w:rsidP="00B15D50">
      <w:pPr>
        <w:pStyle w:val="ListParagraph"/>
        <w:numPr>
          <w:ilvl w:val="0"/>
          <w:numId w:val="8"/>
        </w:numPr>
        <w:ind w:left="561" w:hanging="567"/>
        <w:contextualSpacing w:val="0"/>
      </w:pPr>
      <w:r>
        <w:t xml:space="preserve">The review of relevant matters also identified known changes that could provide a rationale for additions to </w:t>
      </w:r>
      <w:r w:rsidR="00DC2E44">
        <w:t>Plan</w:t>
      </w:r>
      <w:r>
        <w:t xml:space="preserve"> content. This included updates to supporting text that would more clearly link the evidence base to policy implementation in some cases. </w:t>
      </w:r>
      <w:r w:rsidR="00DC2E44">
        <w:br/>
      </w:r>
      <w:r w:rsidR="00DC2E44">
        <w:br/>
      </w:r>
      <w:r>
        <w:t>Further to this, a</w:t>
      </w:r>
      <w:r w:rsidRPr="00271A2F">
        <w:rPr>
          <w:rFonts w:cs="Arial"/>
          <w:szCs w:val="24"/>
        </w:rPr>
        <w:t xml:space="preserve"> comparison of </w:t>
      </w:r>
      <w:r w:rsidR="00B07496">
        <w:rPr>
          <w:rFonts w:cs="Arial"/>
          <w:szCs w:val="24"/>
        </w:rPr>
        <w:t xml:space="preserve">South Marine </w:t>
      </w:r>
      <w:r w:rsidR="00DC2E44">
        <w:rPr>
          <w:rFonts w:cs="Arial"/>
          <w:szCs w:val="24"/>
        </w:rPr>
        <w:t>Plan</w:t>
      </w:r>
      <w:r>
        <w:rPr>
          <w:rFonts w:cs="Arial"/>
          <w:szCs w:val="24"/>
        </w:rPr>
        <w:t xml:space="preserve"> </w:t>
      </w:r>
      <w:r w:rsidRPr="00271A2F">
        <w:rPr>
          <w:rFonts w:cs="Arial"/>
          <w:szCs w:val="24"/>
        </w:rPr>
        <w:t xml:space="preserve">policies with those in the </w:t>
      </w:r>
      <w:r>
        <w:rPr>
          <w:rFonts w:cs="Arial"/>
          <w:szCs w:val="24"/>
        </w:rPr>
        <w:t>S</w:t>
      </w:r>
      <w:r w:rsidRPr="00271A2F">
        <w:rPr>
          <w:rFonts w:cs="Arial"/>
          <w:szCs w:val="24"/>
        </w:rPr>
        <w:t xml:space="preserve">outh </w:t>
      </w:r>
      <w:r>
        <w:rPr>
          <w:rFonts w:cs="Arial"/>
          <w:szCs w:val="24"/>
        </w:rPr>
        <w:t>E</w:t>
      </w:r>
      <w:r w:rsidRPr="00271A2F">
        <w:rPr>
          <w:rFonts w:cs="Arial"/>
          <w:szCs w:val="24"/>
        </w:rPr>
        <w:t xml:space="preserve">ast and </w:t>
      </w:r>
      <w:r>
        <w:rPr>
          <w:rFonts w:cs="Arial"/>
          <w:szCs w:val="24"/>
        </w:rPr>
        <w:t>S</w:t>
      </w:r>
      <w:r w:rsidRPr="00271A2F">
        <w:rPr>
          <w:rFonts w:cs="Arial"/>
          <w:szCs w:val="24"/>
        </w:rPr>
        <w:t xml:space="preserve">outh </w:t>
      </w:r>
      <w:r>
        <w:rPr>
          <w:rFonts w:cs="Arial"/>
          <w:szCs w:val="24"/>
        </w:rPr>
        <w:t>W</w:t>
      </w:r>
      <w:r w:rsidRPr="00271A2F">
        <w:rPr>
          <w:rFonts w:cs="Arial"/>
          <w:szCs w:val="24"/>
        </w:rPr>
        <w:t xml:space="preserve">est </w:t>
      </w:r>
      <w:r>
        <w:rPr>
          <w:rFonts w:cs="Arial"/>
          <w:szCs w:val="24"/>
        </w:rPr>
        <w:t>M</w:t>
      </w:r>
      <w:r w:rsidRPr="00271A2F">
        <w:rPr>
          <w:rFonts w:cs="Arial"/>
          <w:szCs w:val="24"/>
        </w:rPr>
        <w:t xml:space="preserve">arine </w:t>
      </w:r>
      <w:r w:rsidR="00DC2E44">
        <w:rPr>
          <w:rFonts w:cs="Arial"/>
          <w:szCs w:val="24"/>
        </w:rPr>
        <w:t>Plan</w:t>
      </w:r>
      <w:r w:rsidRPr="00271A2F">
        <w:rPr>
          <w:rFonts w:cs="Arial"/>
          <w:szCs w:val="24"/>
        </w:rPr>
        <w:t xml:space="preserve">s revealed </w:t>
      </w:r>
      <w:r>
        <w:rPr>
          <w:rFonts w:cs="Arial"/>
          <w:szCs w:val="24"/>
        </w:rPr>
        <w:t>inconsistencies</w:t>
      </w:r>
      <w:r w:rsidRPr="00271A2F">
        <w:rPr>
          <w:rFonts w:cs="Arial"/>
          <w:szCs w:val="24"/>
        </w:rPr>
        <w:t xml:space="preserve"> around renewable energy, air quality and clean maritime growth, among other topics. </w:t>
      </w:r>
      <w:r w:rsidR="00DC2E44">
        <w:rPr>
          <w:rFonts w:cs="Arial"/>
          <w:szCs w:val="24"/>
        </w:rPr>
        <w:br/>
      </w:r>
      <w:r w:rsidR="00DC2E44">
        <w:rPr>
          <w:rFonts w:cs="Arial"/>
          <w:szCs w:val="24"/>
        </w:rPr>
        <w:br/>
      </w:r>
      <w:r w:rsidRPr="00271A2F">
        <w:rPr>
          <w:rFonts w:cs="Arial"/>
          <w:szCs w:val="24"/>
        </w:rPr>
        <w:t xml:space="preserve">Policies in emerging marine </w:t>
      </w:r>
      <w:r w:rsidR="00CD2D35">
        <w:rPr>
          <w:rFonts w:cs="Arial"/>
          <w:szCs w:val="24"/>
        </w:rPr>
        <w:t>p</w:t>
      </w:r>
      <w:r w:rsidR="00DC2E44">
        <w:rPr>
          <w:rFonts w:cs="Arial"/>
          <w:szCs w:val="24"/>
        </w:rPr>
        <w:t>lan</w:t>
      </w:r>
      <w:r w:rsidRPr="00271A2F">
        <w:rPr>
          <w:rFonts w:cs="Arial"/>
          <w:szCs w:val="24"/>
        </w:rPr>
        <w:t xml:space="preserve">s have been introduced in response to changing national drivers and priorities, and the publication of new legislation and strategies, such as around the climate change crisis. </w:t>
      </w:r>
      <w:r w:rsidR="00DC2E44">
        <w:rPr>
          <w:rFonts w:cs="Arial"/>
          <w:szCs w:val="24"/>
        </w:rPr>
        <w:br/>
      </w:r>
      <w:r w:rsidR="00DC2E44">
        <w:rPr>
          <w:rFonts w:cs="Arial"/>
          <w:szCs w:val="24"/>
        </w:rPr>
        <w:br/>
      </w:r>
      <w:r w:rsidRPr="00271A2F">
        <w:rPr>
          <w:rFonts w:cs="Arial"/>
          <w:szCs w:val="24"/>
        </w:rPr>
        <w:lastRenderedPageBreak/>
        <w:t xml:space="preserve">These policies </w:t>
      </w:r>
      <w:r>
        <w:rPr>
          <w:rFonts w:cs="Arial"/>
          <w:szCs w:val="24"/>
        </w:rPr>
        <w:t xml:space="preserve">may also hold relevance for the </w:t>
      </w:r>
      <w:r w:rsidR="00B07496">
        <w:rPr>
          <w:rFonts w:cs="Arial"/>
          <w:szCs w:val="24"/>
        </w:rPr>
        <w:t xml:space="preserve">South Marine </w:t>
      </w:r>
      <w:r w:rsidR="00DC2E44">
        <w:rPr>
          <w:rFonts w:cs="Arial"/>
          <w:szCs w:val="24"/>
        </w:rPr>
        <w:t>Plan</w:t>
      </w:r>
      <w:r w:rsidRPr="00271A2F">
        <w:rPr>
          <w:rFonts w:cs="Arial"/>
          <w:szCs w:val="24"/>
        </w:rPr>
        <w:t xml:space="preserve"> areas </w:t>
      </w:r>
      <w:r>
        <w:rPr>
          <w:rFonts w:cs="Arial"/>
          <w:szCs w:val="24"/>
        </w:rPr>
        <w:t xml:space="preserve">and would </w:t>
      </w:r>
      <w:r w:rsidRPr="00271A2F">
        <w:rPr>
          <w:rFonts w:cs="Arial"/>
          <w:szCs w:val="24"/>
        </w:rPr>
        <w:t>standardise approaches</w:t>
      </w:r>
      <w:r w:rsidRPr="00271A2F">
        <w:rPr>
          <w:szCs w:val="24"/>
        </w:rPr>
        <w:t xml:space="preserve"> across </w:t>
      </w:r>
      <w:r w:rsidR="00CD2D35">
        <w:rPr>
          <w:szCs w:val="24"/>
        </w:rPr>
        <w:t>p</w:t>
      </w:r>
      <w:r w:rsidR="00DC2E44">
        <w:rPr>
          <w:szCs w:val="24"/>
        </w:rPr>
        <w:t>lan</w:t>
      </w:r>
      <w:r w:rsidRPr="00271A2F">
        <w:rPr>
          <w:szCs w:val="24"/>
        </w:rPr>
        <w:t xml:space="preserve"> area boundaries</w:t>
      </w:r>
      <w:r>
        <w:rPr>
          <w:szCs w:val="24"/>
        </w:rPr>
        <w:t>.</w:t>
      </w:r>
    </w:p>
    <w:p w14:paraId="4FAF3D79" w14:textId="1F40C1EE" w:rsidR="00B15D50" w:rsidRPr="00271A2F" w:rsidRDefault="00B15D50" w:rsidP="00B15D50">
      <w:pPr>
        <w:pStyle w:val="ListParagraph"/>
        <w:numPr>
          <w:ilvl w:val="0"/>
          <w:numId w:val="8"/>
        </w:numPr>
        <w:ind w:left="561" w:hanging="567"/>
        <w:contextualSpacing w:val="0"/>
      </w:pPr>
      <w:r>
        <w:rPr>
          <w:rFonts w:cs="Arial"/>
          <w:szCs w:val="24"/>
        </w:rPr>
        <w:t>Despite the noted evolution in some contextual matters, the k</w:t>
      </w:r>
      <w:r w:rsidRPr="00E70C8F">
        <w:rPr>
          <w:rFonts w:cs="Arial"/>
          <w:szCs w:val="24"/>
        </w:rPr>
        <w:t xml:space="preserve">ey characteristics and uses of the </w:t>
      </w:r>
      <w:r w:rsidR="00B07496">
        <w:rPr>
          <w:rFonts w:cs="Arial"/>
          <w:szCs w:val="24"/>
        </w:rPr>
        <w:t xml:space="preserve">South Marine </w:t>
      </w:r>
      <w:r w:rsidR="00DC2E44">
        <w:rPr>
          <w:rFonts w:cs="Arial"/>
          <w:szCs w:val="24"/>
        </w:rPr>
        <w:t>Plan</w:t>
      </w:r>
      <w:r w:rsidRPr="00E70C8F">
        <w:rPr>
          <w:rFonts w:cs="Arial"/>
          <w:szCs w:val="24"/>
        </w:rPr>
        <w:t xml:space="preserve"> areas have not </w:t>
      </w:r>
      <w:r>
        <w:rPr>
          <w:rFonts w:cs="Arial"/>
          <w:szCs w:val="24"/>
        </w:rPr>
        <w:t xml:space="preserve">significantly </w:t>
      </w:r>
      <w:r w:rsidRPr="00E70C8F">
        <w:rPr>
          <w:rFonts w:cs="Arial"/>
          <w:szCs w:val="24"/>
        </w:rPr>
        <w:t xml:space="preserve">changed since </w:t>
      </w:r>
      <w:r w:rsidR="00DC2E44">
        <w:rPr>
          <w:rFonts w:cs="Arial"/>
          <w:szCs w:val="24"/>
        </w:rPr>
        <w:t>Plan</w:t>
      </w:r>
      <w:r w:rsidRPr="00E70C8F">
        <w:rPr>
          <w:rFonts w:cs="Arial"/>
          <w:szCs w:val="24"/>
        </w:rPr>
        <w:t xml:space="preserve"> adoption. </w:t>
      </w:r>
      <w:r w:rsidR="00DC2E44">
        <w:rPr>
          <w:rFonts w:cs="Arial"/>
          <w:szCs w:val="24"/>
        </w:rPr>
        <w:br/>
      </w:r>
      <w:r w:rsidR="00DC2E44">
        <w:rPr>
          <w:rFonts w:cs="Arial"/>
          <w:szCs w:val="24"/>
        </w:rPr>
        <w:br/>
      </w:r>
      <w:r w:rsidRPr="00E70C8F">
        <w:rPr>
          <w:rFonts w:cs="Arial"/>
          <w:szCs w:val="24"/>
        </w:rPr>
        <w:t>While a 30% increase in the number of marine licen</w:t>
      </w:r>
      <w:r>
        <w:rPr>
          <w:rFonts w:cs="Arial"/>
          <w:szCs w:val="24"/>
        </w:rPr>
        <w:t>c</w:t>
      </w:r>
      <w:r w:rsidRPr="00E70C8F">
        <w:rPr>
          <w:rFonts w:cs="Arial"/>
          <w:szCs w:val="24"/>
        </w:rPr>
        <w:t xml:space="preserve">es granted </w:t>
      </w:r>
      <w:r w:rsidRPr="00A2230B">
        <w:t>shows</w:t>
      </w:r>
      <w:r w:rsidRPr="00E70C8F">
        <w:rPr>
          <w:rFonts w:cs="Arial"/>
          <w:szCs w:val="24"/>
        </w:rPr>
        <w:t xml:space="preserve"> </w:t>
      </w:r>
      <w:r>
        <w:rPr>
          <w:rFonts w:cs="Arial"/>
          <w:szCs w:val="24"/>
        </w:rPr>
        <w:t xml:space="preserve">that </w:t>
      </w:r>
      <w:proofErr w:type="gramStart"/>
      <w:r w:rsidRPr="00E70C8F">
        <w:rPr>
          <w:rFonts w:cs="Arial"/>
          <w:szCs w:val="24"/>
        </w:rPr>
        <w:t>overall</w:t>
      </w:r>
      <w:proofErr w:type="gramEnd"/>
      <w:r w:rsidRPr="00E70C8F">
        <w:rPr>
          <w:rFonts w:cs="Arial"/>
          <w:szCs w:val="24"/>
        </w:rPr>
        <w:t xml:space="preserve"> </w:t>
      </w:r>
      <w:r>
        <w:rPr>
          <w:rFonts w:cs="Arial"/>
          <w:szCs w:val="24"/>
        </w:rPr>
        <w:t xml:space="preserve">the </w:t>
      </w:r>
      <w:r w:rsidR="00DC2E44">
        <w:rPr>
          <w:rFonts w:cs="Arial"/>
          <w:szCs w:val="24"/>
        </w:rPr>
        <w:t>Plan</w:t>
      </w:r>
      <w:r>
        <w:rPr>
          <w:rFonts w:cs="Arial"/>
          <w:szCs w:val="24"/>
        </w:rPr>
        <w:t xml:space="preserve"> area is i</w:t>
      </w:r>
      <w:r w:rsidRPr="00E70C8F">
        <w:rPr>
          <w:rFonts w:cs="Arial"/>
          <w:szCs w:val="24"/>
        </w:rPr>
        <w:t>ncreasing</w:t>
      </w:r>
      <w:r>
        <w:rPr>
          <w:rFonts w:cs="Arial"/>
          <w:szCs w:val="24"/>
        </w:rPr>
        <w:t>ly</w:t>
      </w:r>
      <w:r w:rsidRPr="00E70C8F">
        <w:rPr>
          <w:rFonts w:cs="Arial"/>
          <w:szCs w:val="24"/>
        </w:rPr>
        <w:t xml:space="preserve"> busy, the </w:t>
      </w:r>
      <w:r>
        <w:rPr>
          <w:rFonts w:cs="Arial"/>
          <w:szCs w:val="24"/>
        </w:rPr>
        <w:t xml:space="preserve">sectoral breakdown of activities remains relatively consistent. </w:t>
      </w:r>
      <w:r w:rsidR="00DC2E44">
        <w:rPr>
          <w:rFonts w:cs="Arial"/>
          <w:szCs w:val="24"/>
        </w:rPr>
        <w:br/>
      </w:r>
      <w:r w:rsidR="00DC2E44">
        <w:rPr>
          <w:rFonts w:cs="Arial"/>
          <w:szCs w:val="24"/>
        </w:rPr>
        <w:br/>
      </w:r>
      <w:r w:rsidRPr="00E70C8F">
        <w:rPr>
          <w:rFonts w:cs="Arial"/>
          <w:szCs w:val="24"/>
        </w:rPr>
        <w:t xml:space="preserve">The </w:t>
      </w:r>
      <w:r w:rsidR="00DC2E44">
        <w:rPr>
          <w:rFonts w:cs="Arial"/>
          <w:szCs w:val="24"/>
        </w:rPr>
        <w:t>Plan</w:t>
      </w:r>
      <w:r w:rsidRPr="00E70C8F">
        <w:rPr>
          <w:rFonts w:cs="Arial"/>
          <w:szCs w:val="24"/>
        </w:rPr>
        <w:t xml:space="preserve"> remains aligned with priorities of local authorities, suggesting that</w:t>
      </w:r>
      <w:r>
        <w:rPr>
          <w:rFonts w:cs="Arial"/>
          <w:szCs w:val="24"/>
        </w:rPr>
        <w:t>,</w:t>
      </w:r>
      <w:r w:rsidRPr="00E70C8F">
        <w:rPr>
          <w:rFonts w:cs="Arial"/>
          <w:szCs w:val="24"/>
        </w:rPr>
        <w:t xml:space="preserve"> </w:t>
      </w:r>
      <w:r>
        <w:rPr>
          <w:rFonts w:cs="Arial"/>
          <w:szCs w:val="24"/>
        </w:rPr>
        <w:t xml:space="preserve">outside of those noted above, the </w:t>
      </w:r>
      <w:r w:rsidRPr="00E70C8F">
        <w:rPr>
          <w:rFonts w:cs="Arial"/>
          <w:szCs w:val="24"/>
        </w:rPr>
        <w:t>wider policy themes and topics ha</w:t>
      </w:r>
      <w:r>
        <w:rPr>
          <w:rFonts w:cs="Arial"/>
          <w:szCs w:val="24"/>
        </w:rPr>
        <w:t>ve not substantially shifted</w:t>
      </w:r>
      <w:r w:rsidRPr="00E70C8F">
        <w:rPr>
          <w:rFonts w:cs="Arial"/>
          <w:szCs w:val="24"/>
        </w:rPr>
        <w:t xml:space="preserve">. </w:t>
      </w:r>
      <w:r w:rsidR="00DC2E44">
        <w:rPr>
          <w:rFonts w:cs="Arial"/>
          <w:szCs w:val="24"/>
        </w:rPr>
        <w:br/>
      </w:r>
      <w:r w:rsidR="00DC2E44">
        <w:rPr>
          <w:rFonts w:cs="Arial"/>
          <w:szCs w:val="24"/>
        </w:rPr>
        <w:br/>
      </w:r>
      <w:r>
        <w:t xml:space="preserve">Similarly, since adoption of the </w:t>
      </w:r>
      <w:r w:rsidR="00DC2E44">
        <w:t>Plan</w:t>
      </w:r>
      <w:r>
        <w:t xml:space="preserve">, no significant divergence with bordering international marine </w:t>
      </w:r>
      <w:r w:rsidR="00CD2D35">
        <w:t>p</w:t>
      </w:r>
      <w:r w:rsidR="00DC2E44">
        <w:t>lan</w:t>
      </w:r>
      <w:r>
        <w:t>s have been noted.</w:t>
      </w:r>
    </w:p>
    <w:p w14:paraId="10D63D4D" w14:textId="125C9CCF" w:rsidR="00B15D50" w:rsidRPr="00271A2F" w:rsidRDefault="00B15D50" w:rsidP="00B15D50">
      <w:pPr>
        <w:pStyle w:val="ListParagraph"/>
        <w:numPr>
          <w:ilvl w:val="0"/>
          <w:numId w:val="8"/>
        </w:numPr>
        <w:ind w:left="561" w:hanging="567"/>
        <w:contextualSpacing w:val="0"/>
      </w:pPr>
      <w:r w:rsidRPr="00271A2F">
        <w:rPr>
          <w:rFonts w:cs="Arial"/>
          <w:szCs w:val="24"/>
        </w:rPr>
        <w:t xml:space="preserve">The report identified </w:t>
      </w:r>
      <w:r w:rsidRPr="00271A2F">
        <w:rPr>
          <w:szCs w:val="24"/>
        </w:rPr>
        <w:t>legislation such as the Environment Bill</w:t>
      </w:r>
      <w:r>
        <w:rPr>
          <w:szCs w:val="24"/>
        </w:rPr>
        <w:t>,</w:t>
      </w:r>
      <w:r w:rsidRPr="00271A2F">
        <w:rPr>
          <w:szCs w:val="24"/>
        </w:rPr>
        <w:t xml:space="preserve"> which is not yet </w:t>
      </w:r>
      <w:r>
        <w:rPr>
          <w:szCs w:val="24"/>
        </w:rPr>
        <w:t>UK law</w:t>
      </w:r>
      <w:r w:rsidRPr="00271A2F">
        <w:rPr>
          <w:szCs w:val="24"/>
        </w:rPr>
        <w:t xml:space="preserve">, and strategies and </w:t>
      </w:r>
      <w:r w:rsidR="00CD2D35">
        <w:rPr>
          <w:szCs w:val="24"/>
        </w:rPr>
        <w:t>p</w:t>
      </w:r>
      <w:r w:rsidR="00DC2E44">
        <w:rPr>
          <w:szCs w:val="24"/>
        </w:rPr>
        <w:t>lan</w:t>
      </w:r>
      <w:r w:rsidRPr="00271A2F">
        <w:rPr>
          <w:szCs w:val="24"/>
        </w:rPr>
        <w:t xml:space="preserve">s that are either anticipated, or recently published. The impact </w:t>
      </w:r>
      <w:r w:rsidRPr="00A2230B">
        <w:t>these</w:t>
      </w:r>
      <w:r w:rsidRPr="00271A2F">
        <w:rPr>
          <w:szCs w:val="24"/>
        </w:rPr>
        <w:t xml:space="preserve"> might have on the </w:t>
      </w:r>
      <w:r w:rsidR="00DC2E44">
        <w:rPr>
          <w:szCs w:val="24"/>
        </w:rPr>
        <w:t>Plan</w:t>
      </w:r>
      <w:r w:rsidRPr="00271A2F">
        <w:rPr>
          <w:szCs w:val="24"/>
        </w:rPr>
        <w:t xml:space="preserve"> is not yet clear. </w:t>
      </w:r>
    </w:p>
    <w:p w14:paraId="552E8A90" w14:textId="578AC805" w:rsidR="005540A3" w:rsidRDefault="00B15D50" w:rsidP="00F36863">
      <w:pPr>
        <w:pStyle w:val="ListParagraph"/>
        <w:numPr>
          <w:ilvl w:val="0"/>
          <w:numId w:val="8"/>
        </w:numPr>
        <w:ind w:left="561" w:hanging="567"/>
        <w:contextualSpacing w:val="0"/>
      </w:pPr>
      <w:r>
        <w:t xml:space="preserve">The review of relevant matters did identify some contextual changes that may in the long term affect the ongoing relevance or functionality of parts of the </w:t>
      </w:r>
      <w:r w:rsidR="00B07496">
        <w:t xml:space="preserve">South Marine </w:t>
      </w:r>
      <w:r w:rsidR="00DC2E44">
        <w:t>Plan</w:t>
      </w:r>
      <w:r>
        <w:t xml:space="preserve">, which is to be expected. </w:t>
      </w:r>
      <w:r w:rsidR="00DC2E44">
        <w:br/>
      </w:r>
      <w:r w:rsidR="00DC2E44">
        <w:br/>
      </w:r>
      <w:r>
        <w:t xml:space="preserve">However, these do not as yet, appear significant enough to fundamentally hinder the implementation of the </w:t>
      </w:r>
      <w:r w:rsidR="00DC2E44">
        <w:t>Plan</w:t>
      </w:r>
      <w:r>
        <w:t xml:space="preserve">, particularly with tools such as </w:t>
      </w:r>
      <w:hyperlink r:id="rId34" w:history="1">
        <w:r w:rsidRPr="005D44DF">
          <w:rPr>
            <w:rStyle w:val="Hyperlink"/>
          </w:rPr>
          <w:t xml:space="preserve">Explore Marine </w:t>
        </w:r>
        <w:r w:rsidR="00DC2E44">
          <w:rPr>
            <w:rStyle w:val="Hyperlink"/>
          </w:rPr>
          <w:t>Plan</w:t>
        </w:r>
        <w:r w:rsidRPr="005D44DF">
          <w:rPr>
            <w:rStyle w:val="Hyperlink"/>
          </w:rPr>
          <w:t>s</w:t>
        </w:r>
      </w:hyperlink>
      <w:r>
        <w:t xml:space="preserve"> (EMP) in place, that allow for live updates to the evidence base. </w:t>
      </w:r>
      <w:r w:rsidR="00DC2E44">
        <w:br/>
      </w:r>
      <w:r w:rsidR="00DC2E44">
        <w:br/>
      </w:r>
      <w:r>
        <w:t xml:space="preserve">The </w:t>
      </w:r>
      <w:r w:rsidR="00DC2E44">
        <w:t>Plan</w:t>
      </w:r>
      <w:r>
        <w:t xml:space="preserve"> also remains relevant with regards to the ongoing activities in the </w:t>
      </w:r>
      <w:r w:rsidR="00DC2E44">
        <w:t>Plan</w:t>
      </w:r>
      <w:r>
        <w:t xml:space="preserve"> area and the related contribution the area provides towards delivering the High Level Marine Objectives of the Marine Policy Statement, as well as other relevant over-arching strategies. </w:t>
      </w:r>
      <w:r w:rsidR="00DC2E44">
        <w:br/>
      </w:r>
      <w:r w:rsidR="00DC2E44">
        <w:br/>
      </w:r>
      <w:r>
        <w:t xml:space="preserve">Consideration could be given to how this contribution may be increased once a clearer understanding of associated outcomes develops in the longer term. </w:t>
      </w:r>
    </w:p>
    <w:p w14:paraId="455D6AEA" w14:textId="4D6184A3" w:rsidR="005540A3" w:rsidRDefault="005540A3" w:rsidP="00B05B30">
      <w:pPr>
        <w:ind w:left="-6"/>
      </w:pPr>
    </w:p>
    <w:p w14:paraId="312A4CF7" w14:textId="3ED75AD9" w:rsidR="006D5C33" w:rsidRDefault="006D5C33" w:rsidP="00B05B30">
      <w:pPr>
        <w:ind w:left="-6"/>
      </w:pPr>
    </w:p>
    <w:p w14:paraId="66C51CBC" w14:textId="2DCF5F9B" w:rsidR="006D5C33" w:rsidRDefault="006D5C33" w:rsidP="00B05B30">
      <w:pPr>
        <w:ind w:left="-6"/>
      </w:pPr>
    </w:p>
    <w:p w14:paraId="07939188" w14:textId="77777777" w:rsidR="006D5C33" w:rsidRDefault="006D5C33" w:rsidP="00B05B30">
      <w:pPr>
        <w:ind w:left="-6"/>
      </w:pPr>
    </w:p>
    <w:p w14:paraId="330EBCDB" w14:textId="77777777" w:rsidR="00F166D4" w:rsidRDefault="00F166D4" w:rsidP="00285EEE">
      <w:pPr>
        <w:pStyle w:val="Heading2"/>
      </w:pPr>
      <w:bookmarkStart w:id="146" w:name="_4._Process"/>
      <w:bookmarkStart w:id="147" w:name="_Toc68190137"/>
      <w:bookmarkStart w:id="148" w:name="_Toc72414603"/>
      <w:bookmarkStart w:id="149" w:name="_Toc72489170"/>
      <w:bookmarkStart w:id="150" w:name="_Toc74307997"/>
      <w:bookmarkStart w:id="151" w:name="_Toc74577263"/>
      <w:bookmarkEnd w:id="146"/>
      <w:r>
        <w:lastRenderedPageBreak/>
        <w:t>4. Process</w:t>
      </w:r>
      <w:bookmarkEnd w:id="147"/>
      <w:bookmarkEnd w:id="148"/>
      <w:bookmarkEnd w:id="149"/>
      <w:bookmarkEnd w:id="150"/>
      <w:bookmarkEnd w:id="151"/>
    </w:p>
    <w:p w14:paraId="576FDC1F" w14:textId="77777777" w:rsidR="00F166D4" w:rsidRPr="008D7708" w:rsidRDefault="00F166D4" w:rsidP="00285EEE">
      <w:pPr>
        <w:pStyle w:val="Heading3"/>
      </w:pPr>
      <w:bookmarkStart w:id="152" w:name="_Toc72414604"/>
      <w:bookmarkStart w:id="153" w:name="_Toc72489171"/>
      <w:bookmarkStart w:id="154" w:name="_Toc74307998"/>
      <w:bookmarkStart w:id="155" w:name="_Toc74577264"/>
      <w:bookmarkStart w:id="156" w:name="_Toc68190138"/>
      <w:r>
        <w:t xml:space="preserve">4.1 </w:t>
      </w:r>
      <w:r w:rsidRPr="008D7708">
        <w:t>Background to process monitoring</w:t>
      </w:r>
      <w:bookmarkEnd w:id="152"/>
      <w:bookmarkEnd w:id="153"/>
      <w:bookmarkEnd w:id="154"/>
      <w:bookmarkEnd w:id="155"/>
      <w:r w:rsidRPr="008D7708">
        <w:t xml:space="preserve"> </w:t>
      </w:r>
      <w:bookmarkEnd w:id="156"/>
    </w:p>
    <w:p w14:paraId="795C84CC" w14:textId="79DDBD22" w:rsidR="00F166D4" w:rsidRPr="00F400B4" w:rsidRDefault="00F166D4" w:rsidP="00D43BAE">
      <w:pPr>
        <w:pStyle w:val="ListParagraph"/>
        <w:numPr>
          <w:ilvl w:val="0"/>
          <w:numId w:val="8"/>
        </w:numPr>
        <w:ind w:left="561" w:hanging="567"/>
        <w:contextualSpacing w:val="0"/>
        <w:rPr>
          <w:rFonts w:cs="Arial"/>
        </w:rPr>
      </w:pPr>
      <w:bookmarkStart w:id="157" w:name="_Hlk63691730"/>
      <w:r w:rsidRPr="375902C0">
        <w:rPr>
          <w:rFonts w:cs="Arial"/>
        </w:rPr>
        <w:t xml:space="preserve">The following evidence </w:t>
      </w:r>
      <w:r w:rsidRPr="00D43BAE">
        <w:t>sources</w:t>
      </w:r>
      <w:r w:rsidRPr="375902C0">
        <w:rPr>
          <w:rFonts w:cs="Arial"/>
        </w:rPr>
        <w:t xml:space="preserve"> informed process monitoring of the </w:t>
      </w:r>
      <w:r w:rsidR="00DC2E44">
        <w:rPr>
          <w:rFonts w:cs="Arial"/>
        </w:rPr>
        <w:t>Plan</w:t>
      </w:r>
      <w:r>
        <w:t xml:space="preserve">: </w:t>
      </w:r>
    </w:p>
    <w:p w14:paraId="6D5F89C2" w14:textId="77777777" w:rsidR="00F166D4" w:rsidRPr="00D43BAE" w:rsidRDefault="00F166D4" w:rsidP="00D43BAE">
      <w:pPr>
        <w:pStyle w:val="ListParagraph"/>
        <w:numPr>
          <w:ilvl w:val="0"/>
          <w:numId w:val="11"/>
        </w:numPr>
        <w:ind w:left="1276" w:hanging="425"/>
        <w:rPr>
          <w:rFonts w:cs="Arial"/>
          <w:szCs w:val="24"/>
        </w:rPr>
      </w:pPr>
      <w:r w:rsidRPr="00D43BAE">
        <w:rPr>
          <w:rFonts w:cs="Arial"/>
          <w:szCs w:val="24"/>
        </w:rPr>
        <w:t xml:space="preserve">marine licence </w:t>
      </w:r>
      <w:r w:rsidRPr="00D43BAE">
        <w:rPr>
          <w:szCs w:val="24"/>
        </w:rPr>
        <w:t>applications</w:t>
      </w:r>
    </w:p>
    <w:p w14:paraId="0534B6DD" w14:textId="2DF8E596" w:rsidR="00F166D4" w:rsidRPr="00D43BAE" w:rsidRDefault="00F166D4" w:rsidP="00D43BAE">
      <w:pPr>
        <w:pStyle w:val="ListParagraph"/>
        <w:numPr>
          <w:ilvl w:val="0"/>
          <w:numId w:val="11"/>
        </w:numPr>
        <w:ind w:left="1276" w:hanging="425"/>
        <w:rPr>
          <w:rFonts w:cs="Arial"/>
          <w:szCs w:val="24"/>
        </w:rPr>
      </w:pPr>
      <w:r w:rsidRPr="00D43BAE">
        <w:rPr>
          <w:rFonts w:cs="Arial"/>
          <w:szCs w:val="24"/>
        </w:rPr>
        <w:t xml:space="preserve">stakeholder </w:t>
      </w:r>
      <w:r w:rsidR="008F71CD" w:rsidRPr="00D43BAE">
        <w:rPr>
          <w:rFonts w:cs="Arial"/>
          <w:szCs w:val="24"/>
        </w:rPr>
        <w:t xml:space="preserve">surveys </w:t>
      </w:r>
      <w:r w:rsidR="008F71CD">
        <w:rPr>
          <w:rFonts w:cs="Arial"/>
          <w:szCs w:val="24"/>
        </w:rPr>
        <w:t xml:space="preserve">and follow-up </w:t>
      </w:r>
      <w:r w:rsidRPr="00D43BAE">
        <w:rPr>
          <w:rFonts w:cs="Arial"/>
          <w:szCs w:val="24"/>
        </w:rPr>
        <w:t xml:space="preserve">interviews </w:t>
      </w:r>
    </w:p>
    <w:p w14:paraId="5257F89A" w14:textId="77777777" w:rsidR="00F166D4" w:rsidRPr="00D43BAE" w:rsidRDefault="00F166D4" w:rsidP="00D43BAE">
      <w:pPr>
        <w:pStyle w:val="ListParagraph"/>
        <w:numPr>
          <w:ilvl w:val="0"/>
          <w:numId w:val="11"/>
        </w:numPr>
        <w:ind w:left="1276" w:hanging="425"/>
        <w:rPr>
          <w:rFonts w:cs="Arial"/>
          <w:szCs w:val="24"/>
        </w:rPr>
      </w:pPr>
      <w:r w:rsidRPr="00D43BAE">
        <w:rPr>
          <w:rFonts w:cs="Arial"/>
          <w:szCs w:val="24"/>
        </w:rPr>
        <w:t xml:space="preserve">sub-national policy documents </w:t>
      </w:r>
    </w:p>
    <w:p w14:paraId="22678735" w14:textId="4AADA9F3" w:rsidR="009C780B" w:rsidRPr="0082521E" w:rsidRDefault="009C780B" w:rsidP="00D43BAE">
      <w:pPr>
        <w:pStyle w:val="ListParagraph"/>
        <w:numPr>
          <w:ilvl w:val="0"/>
          <w:numId w:val="8"/>
        </w:numPr>
        <w:ind w:left="561" w:hanging="567"/>
        <w:contextualSpacing w:val="0"/>
        <w:rPr>
          <w:rFonts w:cs="Arial"/>
        </w:rPr>
      </w:pPr>
      <w:bookmarkStart w:id="158" w:name="_Hlk63702004"/>
      <w:bookmarkStart w:id="159" w:name="_Hlk63691797"/>
      <w:bookmarkEnd w:id="157"/>
      <w:r>
        <w:t xml:space="preserve">The process </w:t>
      </w:r>
      <w:r w:rsidRPr="00AF364B">
        <w:rPr>
          <w:rFonts w:cs="Arial"/>
        </w:rPr>
        <w:t>monitoring</w:t>
      </w:r>
      <w:r>
        <w:t xml:space="preserve"> approach included c</w:t>
      </w:r>
      <w:r w:rsidRPr="008F5D78">
        <w:t xml:space="preserve">onsideration of the wider effects of the </w:t>
      </w:r>
      <w:r w:rsidR="00DC2E44">
        <w:t>Plan</w:t>
      </w:r>
      <w:r>
        <w:t>.</w:t>
      </w:r>
    </w:p>
    <w:p w14:paraId="6ED49313" w14:textId="77777777" w:rsidR="00F166D4" w:rsidRPr="00C92B18" w:rsidRDefault="00F166D4" w:rsidP="00285EEE">
      <w:pPr>
        <w:pStyle w:val="Heading4"/>
      </w:pPr>
      <w:r w:rsidRPr="00C92B18">
        <w:t xml:space="preserve">Marine licence applications </w:t>
      </w:r>
    </w:p>
    <w:p w14:paraId="6C1B3A55" w14:textId="2BEC4381" w:rsidR="00F166D4" w:rsidRDefault="00F166D4" w:rsidP="00D43BAE">
      <w:pPr>
        <w:pStyle w:val="ListParagraph"/>
        <w:numPr>
          <w:ilvl w:val="0"/>
          <w:numId w:val="8"/>
        </w:numPr>
        <w:ind w:left="561" w:hanging="567"/>
        <w:contextualSpacing w:val="0"/>
      </w:pPr>
      <w:r>
        <w:t xml:space="preserve">A sample of 97 marine licence applications was used to assess the use of the </w:t>
      </w:r>
      <w:r w:rsidR="00DC2E44">
        <w:t>Plan</w:t>
      </w:r>
      <w:r>
        <w:t xml:space="preserve"> by both the MMO </w:t>
      </w:r>
      <w:r w:rsidRPr="00AF364B">
        <w:rPr>
          <w:rFonts w:cs="Arial"/>
        </w:rPr>
        <w:t>and</w:t>
      </w:r>
      <w:r>
        <w:t xml:space="preserve"> </w:t>
      </w:r>
      <w:r w:rsidR="00B302C5">
        <w:t>applicants</w:t>
      </w:r>
      <w:r>
        <w:t xml:space="preserve">. </w:t>
      </w:r>
      <w:r w:rsidR="00DC2E44">
        <w:br/>
      </w:r>
      <w:r w:rsidR="00DC2E44">
        <w:br/>
      </w:r>
      <w:r>
        <w:t xml:space="preserve">The sample included only marine licence applications </w:t>
      </w:r>
      <w:r w:rsidRPr="375902C0">
        <w:rPr>
          <w:rFonts w:cs="Arial"/>
        </w:rPr>
        <w:t xml:space="preserve">within the </w:t>
      </w:r>
      <w:r w:rsidR="00B07496">
        <w:rPr>
          <w:rFonts w:cs="Arial"/>
        </w:rPr>
        <w:t xml:space="preserve">South Marine </w:t>
      </w:r>
      <w:r w:rsidR="00DC2E44">
        <w:rPr>
          <w:rFonts w:cs="Arial"/>
        </w:rPr>
        <w:t>Plan</w:t>
      </w:r>
      <w:r w:rsidRPr="375902C0">
        <w:rPr>
          <w:rFonts w:cs="Arial"/>
        </w:rPr>
        <w:t xml:space="preserve"> areas</w:t>
      </w:r>
      <w:r>
        <w:rPr>
          <w:rFonts w:cs="Arial"/>
        </w:rPr>
        <w:t>,</w:t>
      </w:r>
      <w:r w:rsidRPr="375902C0">
        <w:rPr>
          <w:rFonts w:cs="Arial"/>
        </w:rPr>
        <w:t xml:space="preserve"> </w:t>
      </w:r>
      <w:r>
        <w:rPr>
          <w:rFonts w:cs="Arial"/>
        </w:rPr>
        <w:t>granted</w:t>
      </w:r>
      <w:r w:rsidRPr="375902C0">
        <w:rPr>
          <w:rFonts w:cs="Arial"/>
        </w:rPr>
        <w:t xml:space="preserve"> </w:t>
      </w:r>
      <w:r>
        <w:t xml:space="preserve">between 17 July 2018 and 16 July 2020. </w:t>
      </w:r>
    </w:p>
    <w:p w14:paraId="6B99C796" w14:textId="16643500" w:rsidR="00F166D4" w:rsidRPr="00C92B18" w:rsidRDefault="00F166D4" w:rsidP="00285EEE">
      <w:pPr>
        <w:pStyle w:val="Heading4"/>
      </w:pPr>
      <w:r w:rsidRPr="00C92B18">
        <w:t>Stakeholder surveys</w:t>
      </w:r>
      <w:r w:rsidR="008F71CD" w:rsidRPr="008F71CD">
        <w:t xml:space="preserve"> </w:t>
      </w:r>
      <w:r w:rsidR="008F71CD" w:rsidRPr="00C92B18">
        <w:t xml:space="preserve">and </w:t>
      </w:r>
      <w:r w:rsidR="008F71CD">
        <w:t xml:space="preserve">follow-up </w:t>
      </w:r>
      <w:r w:rsidRPr="00C92B18">
        <w:t>interviews</w:t>
      </w:r>
    </w:p>
    <w:p w14:paraId="058AB750" w14:textId="210C19F0" w:rsidR="00F166D4" w:rsidRPr="0050260B" w:rsidRDefault="00F166D4" w:rsidP="00D43BAE">
      <w:pPr>
        <w:pStyle w:val="ListParagraph"/>
        <w:numPr>
          <w:ilvl w:val="0"/>
          <w:numId w:val="8"/>
        </w:numPr>
        <w:ind w:left="561" w:hanging="567"/>
        <w:contextualSpacing w:val="0"/>
        <w:rPr>
          <w:rFonts w:cs="Arial"/>
          <w:color w:val="1D70B8"/>
          <w:u w:val="single"/>
        </w:rPr>
      </w:pPr>
      <w:bookmarkStart w:id="160" w:name="_Hlk63702030"/>
      <w:bookmarkEnd w:id="158"/>
      <w:r>
        <w:t xml:space="preserve">Responses to relevant stakeholder survey questions were used to assess use of the </w:t>
      </w:r>
      <w:r w:rsidR="00DC2E44">
        <w:t>Plan</w:t>
      </w:r>
      <w:r>
        <w:t xml:space="preserve"> by both </w:t>
      </w:r>
      <w:r w:rsidRPr="00AF364B">
        <w:rPr>
          <w:rFonts w:cs="Arial"/>
        </w:rPr>
        <w:t>decision</w:t>
      </w:r>
      <w:r>
        <w:t xml:space="preserve">-makers and </w:t>
      </w:r>
      <w:r w:rsidR="00B302C5">
        <w:t>marine licence applicants</w:t>
      </w:r>
      <w:r>
        <w:t>.</w:t>
      </w:r>
      <w:r w:rsidRPr="375902C0">
        <w:rPr>
          <w:rStyle w:val="Hyperlink"/>
          <w:color w:val="auto"/>
          <w:u w:val="none"/>
        </w:rPr>
        <w:t xml:space="preserve"> </w:t>
      </w:r>
      <w:r w:rsidR="00DC2E44">
        <w:rPr>
          <w:rStyle w:val="Hyperlink"/>
          <w:color w:val="auto"/>
          <w:u w:val="none"/>
        </w:rPr>
        <w:br/>
      </w:r>
      <w:r w:rsidR="00DC2E44">
        <w:rPr>
          <w:rStyle w:val="Hyperlink"/>
          <w:color w:val="auto"/>
          <w:u w:val="none"/>
        </w:rPr>
        <w:br/>
      </w:r>
      <w:r w:rsidRPr="375902C0">
        <w:rPr>
          <w:rStyle w:val="Hyperlink"/>
          <w:color w:val="auto"/>
          <w:u w:val="none"/>
        </w:rPr>
        <w:t xml:space="preserve">Additional information on the use of the </w:t>
      </w:r>
      <w:r w:rsidR="00DC2E44">
        <w:rPr>
          <w:rStyle w:val="Hyperlink"/>
          <w:color w:val="auto"/>
          <w:u w:val="none"/>
        </w:rPr>
        <w:t>Plan</w:t>
      </w:r>
      <w:r w:rsidRPr="375902C0">
        <w:rPr>
          <w:rStyle w:val="Hyperlink"/>
          <w:color w:val="auto"/>
          <w:u w:val="none"/>
        </w:rPr>
        <w:t xml:space="preserve"> </w:t>
      </w:r>
      <w:r>
        <w:t xml:space="preserve">were sourced from follow-up interviews. </w:t>
      </w:r>
    </w:p>
    <w:p w14:paraId="35A7283E" w14:textId="77777777" w:rsidR="00F166D4" w:rsidRPr="00285EEE" w:rsidRDefault="00F166D4" w:rsidP="00285EEE">
      <w:pPr>
        <w:pStyle w:val="Heading4"/>
      </w:pPr>
      <w:r w:rsidRPr="00C92B18">
        <w:t xml:space="preserve">Sub-national policy documents </w:t>
      </w:r>
    </w:p>
    <w:p w14:paraId="68BFA47E" w14:textId="02B08C6B" w:rsidR="00F166D4" w:rsidRPr="00220C3C" w:rsidRDefault="00F166D4" w:rsidP="00D43BAE">
      <w:pPr>
        <w:pStyle w:val="ListParagraph"/>
        <w:numPr>
          <w:ilvl w:val="0"/>
          <w:numId w:val="8"/>
        </w:numPr>
        <w:ind w:left="561" w:hanging="567"/>
        <w:contextualSpacing w:val="0"/>
        <w:rPr>
          <w:rFonts w:cs="Arial"/>
        </w:rPr>
      </w:pPr>
      <w:r w:rsidRPr="375902C0">
        <w:rPr>
          <w:rFonts w:cs="Arial"/>
        </w:rPr>
        <w:t xml:space="preserve">A review of 62 adopted and draft sub-national policy documents relevant to the </w:t>
      </w:r>
      <w:r w:rsidR="00B07496">
        <w:rPr>
          <w:rFonts w:cs="Arial"/>
        </w:rPr>
        <w:t xml:space="preserve">South Marine </w:t>
      </w:r>
      <w:r w:rsidR="00DC2E44">
        <w:rPr>
          <w:rFonts w:cs="Arial"/>
        </w:rPr>
        <w:t>Plan</w:t>
      </w:r>
      <w:r w:rsidRPr="375902C0">
        <w:rPr>
          <w:rFonts w:cs="Arial"/>
        </w:rPr>
        <w:t xml:space="preserve"> areas was </w:t>
      </w:r>
      <w:r w:rsidRPr="00D43BAE">
        <w:t>undertaken</w:t>
      </w:r>
      <w:r w:rsidRPr="375902C0">
        <w:rPr>
          <w:rFonts w:cs="Arial"/>
        </w:rPr>
        <w:t xml:space="preserve">. The purpose of the review was to </w:t>
      </w:r>
      <w:r>
        <w:rPr>
          <w:rFonts w:cs="Arial"/>
        </w:rPr>
        <w:t>assess</w:t>
      </w:r>
      <w:r w:rsidRPr="375902C0">
        <w:rPr>
          <w:rFonts w:cs="Arial"/>
        </w:rPr>
        <w:t xml:space="preserve"> the degree to which the </w:t>
      </w:r>
      <w:hyperlink r:id="rId35">
        <w:r w:rsidR="00DC2E44">
          <w:rPr>
            <w:rStyle w:val="Hyperlink"/>
            <w:color w:val="auto"/>
            <w:u w:val="none"/>
          </w:rPr>
          <w:t>Plan</w:t>
        </w:r>
      </w:hyperlink>
      <w:r w:rsidRPr="375902C0">
        <w:rPr>
          <w:rStyle w:val="Hyperlink"/>
          <w:color w:val="auto"/>
          <w:u w:val="none"/>
        </w:rPr>
        <w:t xml:space="preserve"> has influenced and been integrated by other relevant sub-national policy documents</w:t>
      </w:r>
      <w:r w:rsidRPr="375902C0">
        <w:rPr>
          <w:rFonts w:cs="Arial"/>
        </w:rPr>
        <w:t xml:space="preserve">. </w:t>
      </w:r>
    </w:p>
    <w:p w14:paraId="1B166B0A" w14:textId="4A078D42" w:rsidR="00F166D4" w:rsidRPr="00C92B18" w:rsidRDefault="00F166D4" w:rsidP="00285EEE">
      <w:pPr>
        <w:pStyle w:val="Heading4"/>
      </w:pPr>
      <w:r w:rsidRPr="00C92B18">
        <w:t xml:space="preserve">Wider effects of marine </w:t>
      </w:r>
      <w:r w:rsidR="00DC2E44">
        <w:t>plan</w:t>
      </w:r>
      <w:r w:rsidRPr="00C92B18">
        <w:t>ning</w:t>
      </w:r>
    </w:p>
    <w:p w14:paraId="46151C60" w14:textId="1007D7A1" w:rsidR="00F166D4" w:rsidRPr="000E147C" w:rsidRDefault="00F166D4" w:rsidP="00D43BAE">
      <w:pPr>
        <w:pStyle w:val="ListParagraph"/>
        <w:numPr>
          <w:ilvl w:val="0"/>
          <w:numId w:val="8"/>
        </w:numPr>
        <w:ind w:left="561" w:hanging="567"/>
        <w:contextualSpacing w:val="0"/>
        <w:rPr>
          <w:rFonts w:cs="Arial"/>
        </w:rPr>
      </w:pPr>
      <w:r w:rsidRPr="000E147C">
        <w:rPr>
          <w:rStyle w:val="eop"/>
          <w:rFonts w:cs="Arial"/>
        </w:rPr>
        <w:t xml:space="preserve">Wider effects monitoring assessed stakeholder awareness and use of the </w:t>
      </w:r>
      <w:r w:rsidR="00DC2E44">
        <w:rPr>
          <w:rStyle w:val="eop"/>
          <w:rFonts w:cs="Arial"/>
        </w:rPr>
        <w:t>Plan</w:t>
      </w:r>
      <w:r w:rsidRPr="000E147C">
        <w:rPr>
          <w:rStyle w:val="eop"/>
          <w:rFonts w:cs="Arial"/>
        </w:rPr>
        <w:t xml:space="preserve">, as well as for </w:t>
      </w:r>
      <w:r w:rsidRPr="00AF364B">
        <w:t>available</w:t>
      </w:r>
      <w:r w:rsidRPr="000E147C">
        <w:rPr>
          <w:rStyle w:val="eop"/>
          <w:rFonts w:cs="Arial"/>
        </w:rPr>
        <w:t xml:space="preserve"> outputs </w:t>
      </w:r>
      <w:r>
        <w:rPr>
          <w:rStyle w:val="eop"/>
          <w:rFonts w:cs="Arial"/>
        </w:rPr>
        <w:t xml:space="preserve">and products </w:t>
      </w:r>
      <w:r w:rsidRPr="000E147C">
        <w:rPr>
          <w:rStyle w:val="eop"/>
          <w:rFonts w:cs="Arial"/>
        </w:rPr>
        <w:t xml:space="preserve">that support the use of marine </w:t>
      </w:r>
      <w:r w:rsidR="00C406C0">
        <w:rPr>
          <w:rStyle w:val="eop"/>
          <w:rFonts w:cs="Arial"/>
        </w:rPr>
        <w:t>p</w:t>
      </w:r>
      <w:r w:rsidR="00DC2E44">
        <w:rPr>
          <w:rStyle w:val="eop"/>
          <w:rFonts w:cs="Arial"/>
        </w:rPr>
        <w:t>lan</w:t>
      </w:r>
      <w:r w:rsidRPr="000E147C">
        <w:rPr>
          <w:rStyle w:val="eop"/>
          <w:rFonts w:cs="Arial"/>
        </w:rPr>
        <w:t xml:space="preserve">s. </w:t>
      </w:r>
      <w:r w:rsidRPr="000E147C">
        <w:rPr>
          <w:rFonts w:cs="Arial"/>
        </w:rPr>
        <w:t xml:space="preserve">The following evidence </w:t>
      </w:r>
      <w:r w:rsidRPr="00D43BAE">
        <w:t>sources</w:t>
      </w:r>
      <w:r w:rsidRPr="000E147C">
        <w:rPr>
          <w:rFonts w:cs="Arial"/>
        </w:rPr>
        <w:t xml:space="preserve"> informed the wider effects monitoring of the </w:t>
      </w:r>
      <w:r w:rsidR="00DC2E44">
        <w:rPr>
          <w:rFonts w:cs="Arial"/>
        </w:rPr>
        <w:t>Plan</w:t>
      </w:r>
      <w:r w:rsidRPr="000E147C">
        <w:rPr>
          <w:rFonts w:cs="Arial"/>
        </w:rPr>
        <w:t xml:space="preserve">: </w:t>
      </w:r>
    </w:p>
    <w:p w14:paraId="5F4DCA2C" w14:textId="77777777" w:rsidR="00F166D4" w:rsidRPr="00B74131" w:rsidRDefault="00F166D4" w:rsidP="00D43BAE">
      <w:pPr>
        <w:pStyle w:val="ListParagraph"/>
        <w:numPr>
          <w:ilvl w:val="0"/>
          <w:numId w:val="11"/>
        </w:numPr>
        <w:ind w:left="1276" w:hanging="425"/>
        <w:rPr>
          <w:rFonts w:cs="Arial"/>
        </w:rPr>
      </w:pPr>
      <w:r w:rsidRPr="00B74131">
        <w:rPr>
          <w:rFonts w:cs="Arial"/>
        </w:rPr>
        <w:t xml:space="preserve">direct </w:t>
      </w:r>
      <w:r w:rsidRPr="00D43BAE">
        <w:rPr>
          <w:szCs w:val="24"/>
        </w:rPr>
        <w:t>engagement</w:t>
      </w:r>
      <w:r w:rsidRPr="00B74131">
        <w:rPr>
          <w:rFonts w:cs="Arial"/>
        </w:rPr>
        <w:t xml:space="preserve"> activities</w:t>
      </w:r>
    </w:p>
    <w:p w14:paraId="4651F338" w14:textId="17E7F82F" w:rsidR="00F166D4" w:rsidRPr="00B74131" w:rsidRDefault="00F166D4" w:rsidP="00D43BAE">
      <w:pPr>
        <w:pStyle w:val="ListParagraph"/>
        <w:numPr>
          <w:ilvl w:val="0"/>
          <w:numId w:val="11"/>
        </w:numPr>
        <w:ind w:left="1276" w:hanging="425"/>
        <w:rPr>
          <w:rFonts w:cs="Arial"/>
        </w:rPr>
      </w:pPr>
      <w:r w:rsidRPr="00B74131">
        <w:rPr>
          <w:rFonts w:cs="Arial"/>
        </w:rPr>
        <w:t xml:space="preserve">marine </w:t>
      </w:r>
      <w:r w:rsidR="00C406C0">
        <w:rPr>
          <w:rFonts w:cs="Arial"/>
        </w:rPr>
        <w:t>p</w:t>
      </w:r>
      <w:r w:rsidR="00DC2E44">
        <w:rPr>
          <w:rFonts w:cs="Arial"/>
        </w:rPr>
        <w:t>lan</w:t>
      </w:r>
      <w:r w:rsidRPr="00B74131">
        <w:rPr>
          <w:rFonts w:cs="Arial"/>
        </w:rPr>
        <w:t xml:space="preserve">ning </w:t>
      </w:r>
      <w:r w:rsidRPr="00D43BAE">
        <w:rPr>
          <w:szCs w:val="24"/>
        </w:rPr>
        <w:t>evidence</w:t>
      </w:r>
      <w:r w:rsidRPr="00B74131">
        <w:rPr>
          <w:rFonts w:cs="Arial"/>
        </w:rPr>
        <w:t xml:space="preserve"> assurance scores</w:t>
      </w:r>
    </w:p>
    <w:p w14:paraId="50EC8123" w14:textId="77777777" w:rsidR="00F166D4" w:rsidRPr="00B74131" w:rsidRDefault="00F166D4" w:rsidP="00D43BAE">
      <w:pPr>
        <w:pStyle w:val="ListParagraph"/>
        <w:numPr>
          <w:ilvl w:val="0"/>
          <w:numId w:val="11"/>
        </w:numPr>
        <w:ind w:left="1276" w:hanging="425"/>
        <w:rPr>
          <w:rFonts w:cs="Arial"/>
        </w:rPr>
      </w:pPr>
      <w:r w:rsidRPr="00B74131">
        <w:rPr>
          <w:rFonts w:cs="Arial"/>
        </w:rPr>
        <w:t xml:space="preserve">social media </w:t>
      </w:r>
      <w:r w:rsidRPr="00D43BAE">
        <w:rPr>
          <w:szCs w:val="24"/>
        </w:rPr>
        <w:t>performance</w:t>
      </w:r>
      <w:r w:rsidRPr="00B74131">
        <w:rPr>
          <w:rFonts w:cs="Arial"/>
        </w:rPr>
        <w:t xml:space="preserve"> indicators</w:t>
      </w:r>
    </w:p>
    <w:p w14:paraId="1C22F4BB" w14:textId="77777777" w:rsidR="00F166D4" w:rsidRPr="000A02F0" w:rsidRDefault="00F166D4" w:rsidP="00D43BAE">
      <w:pPr>
        <w:pStyle w:val="ListParagraph"/>
        <w:numPr>
          <w:ilvl w:val="0"/>
          <w:numId w:val="11"/>
        </w:numPr>
        <w:ind w:left="1276" w:hanging="425"/>
        <w:rPr>
          <w:rFonts w:cs="Arial"/>
        </w:rPr>
      </w:pPr>
      <w:r w:rsidRPr="000A02F0">
        <w:rPr>
          <w:rFonts w:cs="Arial"/>
        </w:rPr>
        <w:t xml:space="preserve">stakeholder </w:t>
      </w:r>
      <w:r w:rsidRPr="00D43BAE">
        <w:rPr>
          <w:szCs w:val="24"/>
        </w:rPr>
        <w:t>surveys</w:t>
      </w:r>
    </w:p>
    <w:p w14:paraId="04137BAF" w14:textId="7E7824BF" w:rsidR="00C01F15" w:rsidRPr="00C01F15" w:rsidRDefault="00C01F15" w:rsidP="00D43BAE">
      <w:pPr>
        <w:pStyle w:val="ListParagraph"/>
        <w:numPr>
          <w:ilvl w:val="0"/>
          <w:numId w:val="11"/>
        </w:numPr>
        <w:ind w:left="1276" w:hanging="425"/>
        <w:rPr>
          <w:rFonts w:cs="Arial"/>
          <w:szCs w:val="24"/>
        </w:rPr>
      </w:pPr>
      <w:r w:rsidRPr="00C01F15">
        <w:rPr>
          <w:rFonts w:cs="Arial"/>
          <w:szCs w:val="24"/>
        </w:rPr>
        <w:t xml:space="preserve">time taken for MMO staff to process marine licence </w:t>
      </w:r>
      <w:r w:rsidRPr="00C01F15">
        <w:rPr>
          <w:szCs w:val="24"/>
        </w:rPr>
        <w:t>applications</w:t>
      </w:r>
    </w:p>
    <w:p w14:paraId="7A7CA291" w14:textId="3928DB7F" w:rsidR="00F166D4" w:rsidRPr="00B74131" w:rsidRDefault="00F166D4" w:rsidP="00D43BAE">
      <w:pPr>
        <w:pStyle w:val="ListParagraph"/>
        <w:numPr>
          <w:ilvl w:val="0"/>
          <w:numId w:val="11"/>
        </w:numPr>
        <w:ind w:left="1276" w:hanging="425"/>
        <w:rPr>
          <w:rFonts w:cs="Arial"/>
        </w:rPr>
      </w:pPr>
      <w:r w:rsidRPr="00B74131">
        <w:rPr>
          <w:rFonts w:cs="Arial"/>
        </w:rPr>
        <w:t xml:space="preserve">web analytics </w:t>
      </w:r>
      <w:r w:rsidRPr="00D43BAE">
        <w:rPr>
          <w:szCs w:val="24"/>
        </w:rPr>
        <w:t>for</w:t>
      </w:r>
      <w:r w:rsidRPr="00B74131">
        <w:rPr>
          <w:rFonts w:cs="Arial"/>
        </w:rPr>
        <w:t xml:space="preserve"> online marine </w:t>
      </w:r>
      <w:r w:rsidR="00C406C0">
        <w:rPr>
          <w:rFonts w:cs="Arial"/>
        </w:rPr>
        <w:t>p</w:t>
      </w:r>
      <w:r w:rsidR="00DC2E44">
        <w:rPr>
          <w:rFonts w:cs="Arial"/>
        </w:rPr>
        <w:t>lan</w:t>
      </w:r>
      <w:r w:rsidRPr="00B74131">
        <w:rPr>
          <w:rFonts w:cs="Arial"/>
        </w:rPr>
        <w:t>ning products</w:t>
      </w:r>
    </w:p>
    <w:p w14:paraId="08A699B5" w14:textId="77777777" w:rsidR="00F166D4" w:rsidRDefault="00F166D4" w:rsidP="00285EEE">
      <w:pPr>
        <w:pStyle w:val="Heading3"/>
      </w:pPr>
      <w:bookmarkStart w:id="161" w:name="_4.2_Process_monitoring"/>
      <w:bookmarkStart w:id="162" w:name="_Toc72414605"/>
      <w:bookmarkStart w:id="163" w:name="_Toc72489172"/>
      <w:bookmarkStart w:id="164" w:name="_Toc74307999"/>
      <w:bookmarkStart w:id="165" w:name="_Toc74577265"/>
      <w:bookmarkStart w:id="166" w:name="_Ref68164549"/>
      <w:bookmarkStart w:id="167" w:name="_Toc68186335"/>
      <w:bookmarkStart w:id="168" w:name="_Toc68190139"/>
      <w:bookmarkEnd w:id="161"/>
      <w:r>
        <w:lastRenderedPageBreak/>
        <w:t>4</w:t>
      </w:r>
      <w:bookmarkEnd w:id="159"/>
      <w:bookmarkEnd w:id="160"/>
      <w:r>
        <w:t xml:space="preserve">.2 </w:t>
      </w:r>
      <w:bookmarkStart w:id="169" w:name="_Toc33457222"/>
      <w:r w:rsidRPr="008D7708">
        <w:t>Process monitoring findings</w:t>
      </w:r>
      <w:bookmarkEnd w:id="162"/>
      <w:bookmarkEnd w:id="163"/>
      <w:bookmarkEnd w:id="164"/>
      <w:bookmarkEnd w:id="165"/>
      <w:bookmarkEnd w:id="169"/>
    </w:p>
    <w:bookmarkEnd w:id="166"/>
    <w:bookmarkEnd w:id="167"/>
    <w:bookmarkEnd w:id="168"/>
    <w:p w14:paraId="7A637C62" w14:textId="6F79685B" w:rsidR="00F166D4" w:rsidRDefault="00F166D4" w:rsidP="00285EEE">
      <w:pPr>
        <w:pStyle w:val="Heading4"/>
        <w:rPr>
          <w:rStyle w:val="eop"/>
          <w:rFonts w:eastAsia="Arial" w:cs="Arial"/>
          <w:b w:val="0"/>
          <w:bCs w:val="0"/>
          <w:iCs w:val="0"/>
          <w:color w:val="008938"/>
          <w:sz w:val="36"/>
          <w:szCs w:val="24"/>
        </w:rPr>
      </w:pPr>
      <w:r w:rsidRPr="00C92B18">
        <w:t xml:space="preserve">Wider effects of marine </w:t>
      </w:r>
      <w:r w:rsidR="002F2801">
        <w:t>p</w:t>
      </w:r>
      <w:r w:rsidR="00DC2E44">
        <w:t>lan</w:t>
      </w:r>
      <w:r w:rsidRPr="00C92B18">
        <w:t xml:space="preserve">ning </w:t>
      </w:r>
    </w:p>
    <w:p w14:paraId="55A7AE51" w14:textId="277B41D0" w:rsidR="00F166D4" w:rsidRPr="00953446" w:rsidRDefault="00F166D4" w:rsidP="00D43BAE">
      <w:pPr>
        <w:pStyle w:val="ListParagraph"/>
        <w:numPr>
          <w:ilvl w:val="0"/>
          <w:numId w:val="8"/>
        </w:numPr>
        <w:ind w:left="561" w:hanging="567"/>
        <w:contextualSpacing w:val="0"/>
        <w:rPr>
          <w:rStyle w:val="Hyperlink"/>
          <w:rFonts w:cs="Arial"/>
          <w:color w:val="auto"/>
          <w:sz w:val="28"/>
          <w:szCs w:val="28"/>
          <w:u w:val="none"/>
        </w:rPr>
      </w:pPr>
      <w:r w:rsidRPr="00953446">
        <w:rPr>
          <w:rStyle w:val="Hyperlink"/>
          <w:color w:val="auto"/>
          <w:u w:val="none"/>
        </w:rPr>
        <w:t xml:space="preserve">Overall, monitoring data </w:t>
      </w:r>
      <w:r>
        <w:rPr>
          <w:rStyle w:val="Hyperlink"/>
          <w:color w:val="auto"/>
          <w:u w:val="none"/>
        </w:rPr>
        <w:t xml:space="preserve">showed an increase in </w:t>
      </w:r>
      <w:r w:rsidRPr="00953446">
        <w:rPr>
          <w:rStyle w:val="Hyperlink"/>
          <w:color w:val="auto"/>
          <w:u w:val="none"/>
        </w:rPr>
        <w:t xml:space="preserve">stakeholder awareness and understanding of </w:t>
      </w:r>
      <w:r>
        <w:rPr>
          <w:rStyle w:val="Hyperlink"/>
          <w:color w:val="auto"/>
          <w:u w:val="none"/>
        </w:rPr>
        <w:t xml:space="preserve">the </w:t>
      </w:r>
      <w:r w:rsidR="00DC2E44">
        <w:rPr>
          <w:rStyle w:val="Hyperlink"/>
          <w:color w:val="auto"/>
          <w:u w:val="none"/>
        </w:rPr>
        <w:t>Plan</w:t>
      </w:r>
      <w:r>
        <w:rPr>
          <w:rStyle w:val="Hyperlink"/>
          <w:color w:val="auto"/>
          <w:u w:val="none"/>
        </w:rPr>
        <w:t xml:space="preserve"> and </w:t>
      </w:r>
      <w:r w:rsidRPr="00953446">
        <w:rPr>
          <w:rStyle w:val="Hyperlink"/>
          <w:color w:val="auto"/>
          <w:u w:val="none"/>
        </w:rPr>
        <w:t xml:space="preserve">how to use </w:t>
      </w:r>
      <w:r>
        <w:rPr>
          <w:rStyle w:val="Hyperlink"/>
          <w:color w:val="auto"/>
          <w:u w:val="none"/>
        </w:rPr>
        <w:t>it</w:t>
      </w:r>
      <w:r w:rsidRPr="00953446">
        <w:rPr>
          <w:rStyle w:val="Hyperlink"/>
          <w:color w:val="auto"/>
          <w:u w:val="none"/>
        </w:rPr>
        <w:t xml:space="preserve">. Findings also </w:t>
      </w:r>
      <w:r>
        <w:rPr>
          <w:rStyle w:val="Hyperlink"/>
          <w:color w:val="auto"/>
          <w:u w:val="none"/>
        </w:rPr>
        <w:t>evidenced</w:t>
      </w:r>
      <w:r w:rsidRPr="00953446">
        <w:rPr>
          <w:rStyle w:val="Hyperlink"/>
          <w:color w:val="auto"/>
          <w:u w:val="none"/>
        </w:rPr>
        <w:t xml:space="preserve"> </w:t>
      </w:r>
      <w:r>
        <w:rPr>
          <w:rStyle w:val="Hyperlink"/>
          <w:color w:val="auto"/>
          <w:u w:val="none"/>
        </w:rPr>
        <w:t>improvements to</w:t>
      </w:r>
      <w:r w:rsidRPr="00953446">
        <w:rPr>
          <w:rStyle w:val="Hyperlink"/>
          <w:color w:val="auto"/>
          <w:u w:val="none"/>
        </w:rPr>
        <w:t xml:space="preserve"> the </w:t>
      </w:r>
      <w:r w:rsidRPr="00AF364B">
        <w:rPr>
          <w:rFonts w:cs="Arial"/>
        </w:rPr>
        <w:t>evidence</w:t>
      </w:r>
      <w:r w:rsidRPr="00953446">
        <w:rPr>
          <w:rStyle w:val="Hyperlink"/>
          <w:color w:val="auto"/>
          <w:u w:val="none"/>
        </w:rPr>
        <w:t xml:space="preserve"> base and </w:t>
      </w:r>
      <w:r w:rsidR="00704EAE">
        <w:rPr>
          <w:rStyle w:val="Hyperlink"/>
          <w:color w:val="auto"/>
          <w:u w:val="none"/>
        </w:rPr>
        <w:t xml:space="preserve">engagement with </w:t>
      </w:r>
      <w:r>
        <w:rPr>
          <w:rStyle w:val="Hyperlink"/>
          <w:color w:val="auto"/>
          <w:u w:val="none"/>
        </w:rPr>
        <w:t>outputs that</w:t>
      </w:r>
      <w:r w:rsidRPr="00953446">
        <w:rPr>
          <w:rStyle w:val="Hyperlink"/>
          <w:color w:val="auto"/>
          <w:u w:val="none"/>
        </w:rPr>
        <w:t xml:space="preserve"> support </w:t>
      </w:r>
      <w:r>
        <w:rPr>
          <w:rStyle w:val="Hyperlink"/>
          <w:color w:val="auto"/>
          <w:u w:val="none"/>
        </w:rPr>
        <w:t xml:space="preserve">the use of the </w:t>
      </w:r>
      <w:r w:rsidR="00DC2E44">
        <w:rPr>
          <w:rStyle w:val="Hyperlink"/>
          <w:color w:val="auto"/>
          <w:u w:val="none"/>
        </w:rPr>
        <w:t>Plan</w:t>
      </w:r>
      <w:r w:rsidRPr="00953446">
        <w:rPr>
          <w:rStyle w:val="Hyperlink"/>
          <w:color w:val="auto"/>
          <w:u w:val="none"/>
        </w:rPr>
        <w:t>.</w:t>
      </w:r>
    </w:p>
    <w:p w14:paraId="2CE8DB4B" w14:textId="60AAB644" w:rsidR="002F2801" w:rsidRDefault="00F166D4" w:rsidP="00D43BAE">
      <w:pPr>
        <w:pStyle w:val="ListParagraph"/>
        <w:numPr>
          <w:ilvl w:val="0"/>
          <w:numId w:val="8"/>
        </w:numPr>
        <w:ind w:left="561" w:hanging="567"/>
        <w:contextualSpacing w:val="0"/>
        <w:rPr>
          <w:rStyle w:val="Hyperlink"/>
          <w:rFonts w:cs="Arial"/>
          <w:color w:val="auto"/>
          <w:u w:val="none"/>
        </w:rPr>
      </w:pPr>
      <w:r w:rsidRPr="09F83F24">
        <w:rPr>
          <w:rStyle w:val="Hyperlink"/>
          <w:rFonts w:cs="Arial"/>
          <w:color w:val="auto"/>
          <w:u w:val="none"/>
        </w:rPr>
        <w:t xml:space="preserve">Since </w:t>
      </w:r>
      <w:r w:rsidR="00DC2E44">
        <w:rPr>
          <w:rStyle w:val="Hyperlink"/>
          <w:rFonts w:cs="Arial"/>
          <w:color w:val="auto"/>
          <w:u w:val="none"/>
        </w:rPr>
        <w:t>Plan</w:t>
      </w:r>
      <w:r w:rsidRPr="09F83F24">
        <w:rPr>
          <w:rStyle w:val="Hyperlink"/>
          <w:rFonts w:cs="Arial"/>
          <w:color w:val="auto"/>
          <w:u w:val="none"/>
        </w:rPr>
        <w:t xml:space="preserve"> adoption, the MMO has attended a total </w:t>
      </w:r>
      <w:r w:rsidR="007F1BAC">
        <w:rPr>
          <w:rStyle w:val="Hyperlink"/>
          <w:rFonts w:cs="Arial"/>
          <w:color w:val="auto"/>
          <w:u w:val="none"/>
        </w:rPr>
        <w:t xml:space="preserve">of </w:t>
      </w:r>
      <w:r w:rsidRPr="09F83F24">
        <w:rPr>
          <w:rStyle w:val="Hyperlink"/>
          <w:rFonts w:cs="Arial"/>
          <w:color w:val="auto"/>
          <w:u w:val="none"/>
        </w:rPr>
        <w:t xml:space="preserve">58 direct stakeholder engagement events </w:t>
      </w:r>
      <w:r w:rsidRPr="00AF364B">
        <w:t>related</w:t>
      </w:r>
      <w:r w:rsidRPr="09F83F24">
        <w:rPr>
          <w:rStyle w:val="Hyperlink"/>
          <w:rFonts w:cs="Arial"/>
          <w:color w:val="auto"/>
          <w:u w:val="none"/>
        </w:rPr>
        <w:t xml:space="preserve"> to marine </w:t>
      </w:r>
      <w:r w:rsidR="00C406C0">
        <w:rPr>
          <w:rStyle w:val="Hyperlink"/>
          <w:rFonts w:cs="Arial"/>
          <w:color w:val="auto"/>
          <w:u w:val="none"/>
        </w:rPr>
        <w:t>p</w:t>
      </w:r>
      <w:r w:rsidR="00DC2E44">
        <w:rPr>
          <w:rStyle w:val="Hyperlink"/>
          <w:rFonts w:cs="Arial"/>
          <w:color w:val="auto"/>
          <w:u w:val="none"/>
        </w:rPr>
        <w:t>lan</w:t>
      </w:r>
      <w:r w:rsidRPr="09F83F24">
        <w:rPr>
          <w:rStyle w:val="Hyperlink"/>
          <w:rFonts w:cs="Arial"/>
          <w:color w:val="auto"/>
          <w:u w:val="none"/>
        </w:rPr>
        <w:t xml:space="preserve">ning and the </w:t>
      </w:r>
      <w:r w:rsidR="00B07496">
        <w:rPr>
          <w:rStyle w:val="Hyperlink"/>
          <w:rFonts w:cs="Arial"/>
          <w:color w:val="auto"/>
          <w:u w:val="none"/>
        </w:rPr>
        <w:t xml:space="preserve">South Marine </w:t>
      </w:r>
      <w:r w:rsidR="00DC2E44">
        <w:rPr>
          <w:rStyle w:val="Hyperlink"/>
          <w:rFonts w:cs="Arial"/>
          <w:color w:val="auto"/>
          <w:u w:val="none"/>
        </w:rPr>
        <w:t>Plan</w:t>
      </w:r>
      <w:r w:rsidRPr="09F83F24">
        <w:rPr>
          <w:rStyle w:val="Hyperlink"/>
          <w:rFonts w:cs="Arial"/>
          <w:color w:val="auto"/>
          <w:u w:val="none"/>
        </w:rPr>
        <w:t xml:space="preserve"> areas. </w:t>
      </w:r>
    </w:p>
    <w:p w14:paraId="1CD736DD" w14:textId="098DA901" w:rsidR="00F166D4" w:rsidRPr="008F5D78" w:rsidRDefault="00F166D4" w:rsidP="00285EEE">
      <w:pPr>
        <w:pStyle w:val="ListParagraph"/>
        <w:ind w:left="561"/>
        <w:contextualSpacing w:val="0"/>
        <w:rPr>
          <w:rFonts w:cs="Arial"/>
        </w:rPr>
      </w:pPr>
      <w:r w:rsidRPr="09F83F24">
        <w:rPr>
          <w:rStyle w:val="Hyperlink"/>
          <w:rFonts w:cs="Arial"/>
          <w:color w:val="auto"/>
          <w:u w:val="none"/>
        </w:rPr>
        <w:t>Most</w:t>
      </w:r>
      <w:r w:rsidRPr="008F5D78">
        <w:rPr>
          <w:rFonts w:cs="Arial"/>
        </w:rPr>
        <w:t xml:space="preserve"> direct engagement activities were forum</w:t>
      </w:r>
      <w:r w:rsidR="002F2801">
        <w:rPr>
          <w:rFonts w:cs="Arial"/>
        </w:rPr>
        <w:t xml:space="preserve">s and </w:t>
      </w:r>
      <w:r w:rsidRPr="008F5D78">
        <w:rPr>
          <w:rFonts w:cs="Arial"/>
        </w:rPr>
        <w:t>group events (93%)</w:t>
      </w:r>
      <w:r>
        <w:rPr>
          <w:rFonts w:cs="Arial"/>
        </w:rPr>
        <w:t xml:space="preserve">, reflecting </w:t>
      </w:r>
      <w:r w:rsidRPr="008F5D78">
        <w:rPr>
          <w:rFonts w:cs="Arial"/>
        </w:rPr>
        <w:t>the weight placed by the MMO on maximising stakeholder engagement and transparency.</w:t>
      </w:r>
      <w:r>
        <w:rPr>
          <w:rFonts w:cs="Arial"/>
        </w:rPr>
        <w:t xml:space="preserve"> </w:t>
      </w:r>
      <w:r w:rsidR="005540A3">
        <w:rPr>
          <w:rFonts w:cs="Arial"/>
        </w:rPr>
        <w:br/>
      </w:r>
      <w:r w:rsidR="002F2801">
        <w:rPr>
          <w:rFonts w:cs="Arial"/>
        </w:rPr>
        <w:br/>
      </w:r>
      <w:r w:rsidRPr="09F83F24">
        <w:rPr>
          <w:rFonts w:cs="Arial"/>
        </w:rPr>
        <w:t xml:space="preserve">The number of direct engagement events </w:t>
      </w:r>
      <w:r w:rsidRPr="09F83F24">
        <w:rPr>
          <w:rStyle w:val="Hyperlink"/>
          <w:rFonts w:cs="Arial"/>
          <w:color w:val="auto"/>
          <w:u w:val="none"/>
        </w:rPr>
        <w:t xml:space="preserve">related to marine </w:t>
      </w:r>
      <w:r w:rsidR="00C406C0">
        <w:rPr>
          <w:rStyle w:val="Hyperlink"/>
          <w:rFonts w:cs="Arial"/>
          <w:color w:val="auto"/>
          <w:u w:val="none"/>
        </w:rPr>
        <w:t>p</w:t>
      </w:r>
      <w:r w:rsidR="00DC2E44">
        <w:rPr>
          <w:rStyle w:val="Hyperlink"/>
          <w:rFonts w:cs="Arial"/>
          <w:color w:val="auto"/>
          <w:u w:val="none"/>
        </w:rPr>
        <w:t>lan</w:t>
      </w:r>
      <w:r w:rsidRPr="09F83F24">
        <w:rPr>
          <w:rStyle w:val="Hyperlink"/>
          <w:rFonts w:cs="Arial"/>
          <w:color w:val="auto"/>
          <w:u w:val="none"/>
        </w:rPr>
        <w:t xml:space="preserve">ning and the </w:t>
      </w:r>
      <w:r w:rsidR="00B07496">
        <w:rPr>
          <w:rStyle w:val="Hyperlink"/>
          <w:rFonts w:cs="Arial"/>
          <w:color w:val="auto"/>
          <w:u w:val="none"/>
        </w:rPr>
        <w:t xml:space="preserve">South Marine </w:t>
      </w:r>
      <w:r w:rsidR="00DC2E44">
        <w:rPr>
          <w:rStyle w:val="Hyperlink"/>
          <w:rFonts w:cs="Arial"/>
          <w:color w:val="auto"/>
          <w:u w:val="none"/>
        </w:rPr>
        <w:t>Plan</w:t>
      </w:r>
      <w:r w:rsidRPr="09F83F24">
        <w:rPr>
          <w:rStyle w:val="Hyperlink"/>
          <w:rFonts w:cs="Arial"/>
          <w:color w:val="auto"/>
          <w:u w:val="none"/>
        </w:rPr>
        <w:t xml:space="preserve"> areas</w:t>
      </w:r>
      <w:r w:rsidRPr="09F83F24">
        <w:rPr>
          <w:rFonts w:cs="Arial"/>
        </w:rPr>
        <w:t xml:space="preserve"> attended by the MMO increased after </w:t>
      </w:r>
      <w:r w:rsidR="00DC2E44">
        <w:rPr>
          <w:rFonts w:cs="Arial"/>
        </w:rPr>
        <w:t>Plan</w:t>
      </w:r>
      <w:r w:rsidRPr="09F83F24">
        <w:rPr>
          <w:rFonts w:cs="Arial"/>
        </w:rPr>
        <w:t xml:space="preserve"> adoption.</w:t>
      </w:r>
      <w:r w:rsidRPr="008F5D78">
        <w:rPr>
          <w:rFonts w:cs="Arial"/>
        </w:rPr>
        <w:t xml:space="preserve"> This increase was largely driven by the delivery of training sessions on the use of the </w:t>
      </w:r>
      <w:r w:rsidR="00DC2E44">
        <w:rPr>
          <w:rFonts w:cs="Arial"/>
        </w:rPr>
        <w:t>Plan</w:t>
      </w:r>
      <w:r w:rsidRPr="008F5D78">
        <w:rPr>
          <w:rFonts w:cs="Arial"/>
        </w:rPr>
        <w:t xml:space="preserve"> to decision-makers. </w:t>
      </w:r>
    </w:p>
    <w:p w14:paraId="0760832C" w14:textId="05F86BE9" w:rsidR="00F166D4" w:rsidRDefault="00F166D4" w:rsidP="00D43BAE">
      <w:pPr>
        <w:pStyle w:val="ListParagraph"/>
        <w:numPr>
          <w:ilvl w:val="0"/>
          <w:numId w:val="8"/>
        </w:numPr>
        <w:ind w:left="561" w:hanging="567"/>
        <w:contextualSpacing w:val="0"/>
        <w:rPr>
          <w:rFonts w:cs="Arial"/>
        </w:rPr>
      </w:pPr>
      <w:r>
        <w:rPr>
          <w:rStyle w:val="Hyperlink"/>
          <w:color w:val="auto"/>
          <w:u w:val="none"/>
        </w:rPr>
        <w:t>T</w:t>
      </w:r>
      <w:r w:rsidRPr="009C5865">
        <w:rPr>
          <w:rStyle w:val="Hyperlink"/>
          <w:color w:val="auto"/>
          <w:u w:val="none"/>
        </w:rPr>
        <w:t>he MMO has also increase</w:t>
      </w:r>
      <w:r>
        <w:rPr>
          <w:rStyle w:val="Hyperlink"/>
          <w:color w:val="auto"/>
          <w:u w:val="none"/>
        </w:rPr>
        <w:t>d</w:t>
      </w:r>
      <w:r w:rsidRPr="009C5865">
        <w:rPr>
          <w:rStyle w:val="Hyperlink"/>
          <w:color w:val="auto"/>
          <w:u w:val="none"/>
        </w:rPr>
        <w:t xml:space="preserve"> stakeholder use </w:t>
      </w:r>
      <w:r w:rsidR="004B0C03">
        <w:rPr>
          <w:rStyle w:val="Hyperlink"/>
          <w:color w:val="auto"/>
          <w:u w:val="none"/>
        </w:rPr>
        <w:t xml:space="preserve">of </w:t>
      </w:r>
      <w:r w:rsidRPr="009C5865">
        <w:rPr>
          <w:rStyle w:val="Hyperlink"/>
          <w:color w:val="auto"/>
          <w:u w:val="none"/>
        </w:rPr>
        <w:t xml:space="preserve">the </w:t>
      </w:r>
      <w:r w:rsidR="00DC2E44">
        <w:rPr>
          <w:rStyle w:val="Hyperlink"/>
          <w:color w:val="auto"/>
          <w:u w:val="none"/>
        </w:rPr>
        <w:t>Plan</w:t>
      </w:r>
      <w:r w:rsidRPr="009C5865">
        <w:rPr>
          <w:rStyle w:val="Hyperlink"/>
          <w:color w:val="auto"/>
          <w:u w:val="none"/>
        </w:rPr>
        <w:t xml:space="preserve"> through </w:t>
      </w:r>
      <w:r>
        <w:t>the development of products,</w:t>
      </w:r>
      <w:r w:rsidRPr="009A2DF8">
        <w:rPr>
          <w:rFonts w:cs="Arial"/>
        </w:rPr>
        <w:t xml:space="preserve"> </w:t>
      </w:r>
      <w:r w:rsidRPr="00D43BAE">
        <w:t>underpinned</w:t>
      </w:r>
      <w:r w:rsidRPr="009C5865">
        <w:rPr>
          <w:rFonts w:cs="Arial"/>
        </w:rPr>
        <w:t xml:space="preserve"> by data and evidence</w:t>
      </w:r>
      <w:r>
        <w:t xml:space="preserve">. </w:t>
      </w:r>
      <w:r w:rsidR="002F2801">
        <w:br/>
      </w:r>
      <w:r w:rsidR="002F2801">
        <w:br/>
      </w:r>
      <w:r w:rsidRPr="0000452C">
        <w:t xml:space="preserve">The ‘Explore Marine </w:t>
      </w:r>
      <w:r w:rsidR="00DC2E44">
        <w:t>Plan</w:t>
      </w:r>
      <w:r w:rsidRPr="0000452C">
        <w:t xml:space="preserve">s’ case study </w:t>
      </w:r>
      <w:r>
        <w:t xml:space="preserve">shows that stakeholders are using available products designed to </w:t>
      </w:r>
      <w:r w:rsidRPr="000E147C">
        <w:rPr>
          <w:rStyle w:val="eop"/>
          <w:rFonts w:cs="Arial"/>
        </w:rPr>
        <w:t xml:space="preserve">support the use of marine </w:t>
      </w:r>
      <w:r w:rsidR="00CD2D35">
        <w:rPr>
          <w:rStyle w:val="eop"/>
          <w:rFonts w:cs="Arial"/>
        </w:rPr>
        <w:t>p</w:t>
      </w:r>
      <w:r w:rsidR="00DC2E44">
        <w:rPr>
          <w:rStyle w:val="eop"/>
          <w:rFonts w:cs="Arial"/>
        </w:rPr>
        <w:t>lan</w:t>
      </w:r>
      <w:r w:rsidRPr="000E147C">
        <w:rPr>
          <w:rStyle w:val="eop"/>
          <w:rFonts w:cs="Arial"/>
        </w:rPr>
        <w:t>s</w:t>
      </w:r>
      <w:r w:rsidRPr="009C5865">
        <w:rPr>
          <w:rFonts w:cs="Arial"/>
        </w:rPr>
        <w:t>.</w:t>
      </w:r>
    </w:p>
    <w:p w14:paraId="1C94DC05" w14:textId="6A5EEDC3" w:rsidR="00F166D4" w:rsidRDefault="002F2801" w:rsidP="00285EEE">
      <w:pPr>
        <w:pStyle w:val="Heading4"/>
      </w:pPr>
      <w:bookmarkStart w:id="170" w:name="_Hlk71273819"/>
      <w:r w:rsidRPr="00FC621C">
        <w:t>Case study:</w:t>
      </w:r>
      <w:r>
        <w:t xml:space="preserve"> explore marine plan</w:t>
      </w:r>
      <w:r w:rsidR="00F166D4">
        <w:t>s</w:t>
      </w:r>
    </w:p>
    <w:p w14:paraId="15C965AA" w14:textId="2650760B" w:rsidR="00F166D4" w:rsidRDefault="00F166D4" w:rsidP="00D56257">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Times New Roman" w:cs="Arial"/>
          <w:color w:val="0B0C0C"/>
          <w:szCs w:val="24"/>
          <w:lang w:eastAsia="en-GB"/>
        </w:rPr>
      </w:pPr>
      <w:r>
        <w:rPr>
          <w:rFonts w:cs="Arial"/>
          <w:szCs w:val="24"/>
        </w:rPr>
        <w:t xml:space="preserve">The </w:t>
      </w:r>
      <w:r w:rsidRPr="00FC621C">
        <w:rPr>
          <w:rFonts w:cs="Arial"/>
          <w:szCs w:val="24"/>
        </w:rPr>
        <w:t xml:space="preserve">Explore Marine </w:t>
      </w:r>
      <w:r w:rsidR="00DC2E44">
        <w:rPr>
          <w:rFonts w:cs="Arial"/>
          <w:szCs w:val="24"/>
        </w:rPr>
        <w:t>Plan</w:t>
      </w:r>
      <w:r w:rsidRPr="00FC621C">
        <w:rPr>
          <w:rFonts w:cs="Arial"/>
          <w:szCs w:val="24"/>
        </w:rPr>
        <w:t>s</w:t>
      </w:r>
      <w:r>
        <w:rPr>
          <w:rFonts w:cs="Arial"/>
          <w:szCs w:val="24"/>
        </w:rPr>
        <w:t xml:space="preserve"> (EMP) digital service is an online, interactive resource for viewing </w:t>
      </w:r>
      <w:r w:rsidRPr="00D56257">
        <w:rPr>
          <w:rFonts w:cs="Arial"/>
          <w:bCs/>
          <w:color w:val="000000"/>
          <w:szCs w:val="24"/>
        </w:rPr>
        <w:t>marine</w:t>
      </w:r>
      <w:r>
        <w:rPr>
          <w:rFonts w:cs="Arial"/>
          <w:szCs w:val="24"/>
        </w:rPr>
        <w:t xml:space="preserve"> </w:t>
      </w:r>
      <w:r w:rsidR="00CD2D35">
        <w:rPr>
          <w:rFonts w:cs="Arial"/>
          <w:szCs w:val="24"/>
        </w:rPr>
        <w:t>p</w:t>
      </w:r>
      <w:r w:rsidR="00DC2E44">
        <w:rPr>
          <w:rFonts w:cs="Arial"/>
          <w:szCs w:val="24"/>
        </w:rPr>
        <w:t>lan</w:t>
      </w:r>
      <w:r>
        <w:rPr>
          <w:rFonts w:cs="Arial"/>
          <w:szCs w:val="24"/>
        </w:rPr>
        <w:t xml:space="preserve"> policies, evidence and supporting information relevant to England’s marine area.</w:t>
      </w:r>
      <w:r>
        <w:rPr>
          <w:rFonts w:eastAsia="Times New Roman" w:cs="Arial"/>
          <w:color w:val="0B0C0C"/>
          <w:szCs w:val="24"/>
          <w:lang w:eastAsia="en-GB"/>
        </w:rPr>
        <w:t xml:space="preserve"> </w:t>
      </w:r>
    </w:p>
    <w:p w14:paraId="4965548D" w14:textId="77777777" w:rsidR="002F2801" w:rsidRDefault="00F166D4" w:rsidP="00D56257">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szCs w:val="24"/>
        </w:rPr>
      </w:pPr>
      <w:r>
        <w:rPr>
          <w:rFonts w:cs="Arial"/>
          <w:szCs w:val="24"/>
        </w:rPr>
        <w:t xml:space="preserve">In its </w:t>
      </w:r>
      <w:r w:rsidRPr="0027728B">
        <w:rPr>
          <w:rFonts w:cs="Arial"/>
          <w:szCs w:val="24"/>
        </w:rPr>
        <w:t>first year of operation (</w:t>
      </w:r>
      <w:r>
        <w:rPr>
          <w:rFonts w:cs="Arial"/>
          <w:szCs w:val="24"/>
        </w:rPr>
        <w:t xml:space="preserve">between </w:t>
      </w:r>
      <w:r w:rsidRPr="0027728B">
        <w:rPr>
          <w:rFonts w:cs="Arial"/>
          <w:szCs w:val="24"/>
        </w:rPr>
        <w:t xml:space="preserve">4 November 2019 </w:t>
      </w:r>
      <w:r>
        <w:rPr>
          <w:rFonts w:cs="Arial"/>
          <w:szCs w:val="24"/>
        </w:rPr>
        <w:t>and</w:t>
      </w:r>
      <w:r w:rsidRPr="0027728B">
        <w:rPr>
          <w:rFonts w:cs="Arial"/>
          <w:szCs w:val="24"/>
        </w:rPr>
        <w:t xml:space="preserve"> 3 November 2020)</w:t>
      </w:r>
      <w:r>
        <w:rPr>
          <w:rFonts w:cs="Arial"/>
          <w:szCs w:val="24"/>
        </w:rPr>
        <w:t xml:space="preserve">, a total of 3,522 users engaged with the digital service, over 7,533 sessions. The average user session </w:t>
      </w:r>
      <w:r w:rsidRPr="00D56257">
        <w:rPr>
          <w:rFonts w:cs="Arial"/>
          <w:bCs/>
          <w:color w:val="000000"/>
          <w:szCs w:val="24"/>
        </w:rPr>
        <w:t>duration</w:t>
      </w:r>
      <w:r>
        <w:rPr>
          <w:rFonts w:cs="Arial"/>
          <w:szCs w:val="24"/>
        </w:rPr>
        <w:t xml:space="preserve"> is becoming less variable over time. </w:t>
      </w:r>
    </w:p>
    <w:p w14:paraId="6A4DE6EC" w14:textId="092E3F46" w:rsidR="00F166D4" w:rsidRDefault="00F166D4" w:rsidP="00D5625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Helvetica" w:hAnsi="Helvetica" w:cs="Helvetica"/>
        </w:rPr>
      </w:pPr>
      <w:r>
        <w:rPr>
          <w:rFonts w:cs="Arial"/>
          <w:szCs w:val="24"/>
        </w:rPr>
        <w:t xml:space="preserve">This finding suggests that users are increasingly able to use the digital service and locate the marine </w:t>
      </w:r>
      <w:r w:rsidR="00C406C0">
        <w:rPr>
          <w:rFonts w:cs="Arial"/>
          <w:szCs w:val="24"/>
        </w:rPr>
        <w:t>p</w:t>
      </w:r>
      <w:r w:rsidR="00DC2E44">
        <w:rPr>
          <w:rFonts w:cs="Arial"/>
          <w:szCs w:val="24"/>
        </w:rPr>
        <w:t>lan</w:t>
      </w:r>
      <w:r>
        <w:rPr>
          <w:rFonts w:cs="Arial"/>
          <w:szCs w:val="24"/>
        </w:rPr>
        <w:t xml:space="preserve">ning </w:t>
      </w:r>
      <w:r w:rsidRPr="0084212A">
        <w:rPr>
          <w:rFonts w:ascii="Helvetica" w:hAnsi="Helvetica" w:cs="Helvetica"/>
        </w:rPr>
        <w:t xml:space="preserve">information that they </w:t>
      </w:r>
      <w:r>
        <w:rPr>
          <w:rFonts w:ascii="Helvetica" w:hAnsi="Helvetica" w:cs="Helvetica"/>
        </w:rPr>
        <w:t xml:space="preserve">need. </w:t>
      </w:r>
    </w:p>
    <w:p w14:paraId="55BE004C" w14:textId="77CD3C27" w:rsidR="005540A3" w:rsidRPr="00F36863" w:rsidRDefault="00F166D4" w:rsidP="00D56257">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rPr>
          <w:rFonts w:ascii="Helvetica" w:hAnsi="Helvetica" w:cs="Helvetica"/>
        </w:rPr>
        <w:t>Monitoring d</w:t>
      </w:r>
      <w:r w:rsidRPr="00685B71">
        <w:rPr>
          <w:rFonts w:cs="Arial"/>
          <w:szCs w:val="24"/>
        </w:rPr>
        <w:t>ata also show</w:t>
      </w:r>
      <w:r>
        <w:rPr>
          <w:rFonts w:cs="Arial"/>
          <w:szCs w:val="24"/>
        </w:rPr>
        <w:t xml:space="preserve">ed that </w:t>
      </w:r>
      <w:r>
        <w:t xml:space="preserve">EMP </w:t>
      </w:r>
      <w:r w:rsidRPr="00685B71">
        <w:rPr>
          <w:rFonts w:cs="Arial"/>
        </w:rPr>
        <w:t xml:space="preserve">is being used to support </w:t>
      </w:r>
      <w:r>
        <w:rPr>
          <w:rFonts w:cs="Arial"/>
        </w:rPr>
        <w:t xml:space="preserve">the use of the </w:t>
      </w:r>
      <w:r w:rsidR="00DC2E44">
        <w:rPr>
          <w:rFonts w:cs="Arial"/>
        </w:rPr>
        <w:t>Plan</w:t>
      </w:r>
      <w:r w:rsidRPr="00685B71">
        <w:rPr>
          <w:rFonts w:cs="Arial"/>
        </w:rPr>
        <w:t xml:space="preserve">. </w:t>
      </w:r>
      <w:r>
        <w:rPr>
          <w:rFonts w:cs="Arial"/>
        </w:rPr>
        <w:t>For example</w:t>
      </w:r>
      <w:r w:rsidRPr="00685B71">
        <w:rPr>
          <w:rFonts w:cs="Arial"/>
        </w:rPr>
        <w:t xml:space="preserve">, pages related to the </w:t>
      </w:r>
      <w:r w:rsidR="00B07496">
        <w:rPr>
          <w:rFonts w:cs="Arial"/>
        </w:rPr>
        <w:t xml:space="preserve">South Marine </w:t>
      </w:r>
      <w:r w:rsidR="00CD2D35">
        <w:rPr>
          <w:rFonts w:cs="Arial"/>
        </w:rPr>
        <w:t>P</w:t>
      </w:r>
      <w:r w:rsidR="00DC2E44">
        <w:rPr>
          <w:rFonts w:cs="Arial"/>
        </w:rPr>
        <w:t>lan</w:t>
      </w:r>
      <w:r>
        <w:rPr>
          <w:rFonts w:cs="Arial"/>
        </w:rPr>
        <w:t xml:space="preserve"> areas</w:t>
      </w:r>
      <w:r w:rsidRPr="00685B71">
        <w:rPr>
          <w:rFonts w:cs="Arial"/>
        </w:rPr>
        <w:t xml:space="preserve"> received the highest number of pageviews </w:t>
      </w:r>
      <w:r w:rsidRPr="00D56257">
        <w:rPr>
          <w:rFonts w:cs="Arial"/>
          <w:bCs/>
          <w:color w:val="000000"/>
          <w:szCs w:val="24"/>
        </w:rPr>
        <w:t>across</w:t>
      </w:r>
      <w:r>
        <w:rPr>
          <w:rFonts w:cs="Arial"/>
        </w:rPr>
        <w:t xml:space="preserve"> </w:t>
      </w:r>
      <w:r w:rsidRPr="00685B71">
        <w:rPr>
          <w:rFonts w:cs="Arial"/>
        </w:rPr>
        <w:t xml:space="preserve">all </w:t>
      </w:r>
      <w:r>
        <w:rPr>
          <w:rFonts w:cs="Arial"/>
        </w:rPr>
        <w:t xml:space="preserve">English </w:t>
      </w:r>
      <w:r w:rsidRPr="00685B71">
        <w:rPr>
          <w:rFonts w:cs="Arial"/>
        </w:rPr>
        <w:t xml:space="preserve">marine </w:t>
      </w:r>
      <w:r w:rsidR="00C406C0">
        <w:rPr>
          <w:rFonts w:cs="Arial"/>
        </w:rPr>
        <w:t>p</w:t>
      </w:r>
      <w:r w:rsidR="00DC2E44">
        <w:rPr>
          <w:rFonts w:cs="Arial"/>
        </w:rPr>
        <w:t>lan</w:t>
      </w:r>
      <w:r w:rsidRPr="00685B71">
        <w:rPr>
          <w:rFonts w:cs="Arial"/>
        </w:rPr>
        <w:t xml:space="preserve"> </w:t>
      </w:r>
      <w:r>
        <w:rPr>
          <w:rFonts w:cs="Arial"/>
        </w:rPr>
        <w:t xml:space="preserve">areas </w:t>
      </w:r>
      <w:r w:rsidRPr="00685B71">
        <w:rPr>
          <w:rFonts w:cs="Arial"/>
        </w:rPr>
        <w:t xml:space="preserve">(26% of 5,628 </w:t>
      </w:r>
      <w:r w:rsidR="00DC2E44">
        <w:rPr>
          <w:rFonts w:cs="Arial"/>
        </w:rPr>
        <w:t>Plan</w:t>
      </w:r>
      <w:r w:rsidRPr="00685B71">
        <w:rPr>
          <w:rFonts w:cs="Arial"/>
        </w:rPr>
        <w:t xml:space="preserve">-specific pageviews). </w:t>
      </w:r>
    </w:p>
    <w:p w14:paraId="649D4517" w14:textId="30A176A3" w:rsidR="002F2801" w:rsidRDefault="00F166D4" w:rsidP="00D56257">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rsidRPr="00374661">
        <w:rPr>
          <w:rFonts w:cs="Arial"/>
        </w:rPr>
        <w:t xml:space="preserve">The MMO will continue to support </w:t>
      </w:r>
      <w:r>
        <w:rPr>
          <w:rFonts w:cs="Arial"/>
        </w:rPr>
        <w:t>EMP</w:t>
      </w:r>
      <w:r w:rsidRPr="00374661">
        <w:rPr>
          <w:rFonts w:cs="Arial"/>
        </w:rPr>
        <w:t xml:space="preserve"> through regular monitoring and promotion of the online </w:t>
      </w:r>
      <w:r w:rsidRPr="00D56257">
        <w:rPr>
          <w:rFonts w:cs="Arial"/>
          <w:bCs/>
          <w:color w:val="000000"/>
          <w:szCs w:val="24"/>
        </w:rPr>
        <w:t>service</w:t>
      </w:r>
      <w:r w:rsidR="002F2801">
        <w:rPr>
          <w:rFonts w:cs="Arial"/>
        </w:rPr>
        <w:t>.</w:t>
      </w:r>
      <w:r w:rsidRPr="000D7BDE">
        <w:rPr>
          <w:rFonts w:cs="Arial"/>
        </w:rPr>
        <w:t xml:space="preserve"> </w:t>
      </w:r>
    </w:p>
    <w:p w14:paraId="3CB6514D" w14:textId="3D5117DE" w:rsidR="00F166D4" w:rsidRPr="000D7BDE" w:rsidRDefault="002F2801" w:rsidP="00D56257">
      <w:pPr>
        <w:pBdr>
          <w:top w:val="single" w:sz="4" w:space="1" w:color="auto"/>
          <w:left w:val="single" w:sz="4" w:space="4" w:color="auto"/>
          <w:bottom w:val="single" w:sz="4" w:space="1" w:color="auto"/>
          <w:right w:val="single" w:sz="4" w:space="4" w:color="auto"/>
        </w:pBdr>
        <w:shd w:val="clear" w:color="auto" w:fill="F2F2F2" w:themeFill="background1" w:themeFillShade="F2"/>
        <w:rPr>
          <w:rStyle w:val="Hyperlink"/>
          <w:rFonts w:cs="Arial"/>
          <w:color w:val="auto"/>
          <w:szCs w:val="24"/>
          <w:u w:val="none"/>
        </w:rPr>
      </w:pPr>
      <w:r>
        <w:rPr>
          <w:rFonts w:cs="Arial"/>
        </w:rPr>
        <w:lastRenderedPageBreak/>
        <w:t>I</w:t>
      </w:r>
      <w:r w:rsidR="00F166D4" w:rsidRPr="1CE8A524">
        <w:rPr>
          <w:rFonts w:cs="Arial"/>
        </w:rPr>
        <w:t xml:space="preserve">n line with the </w:t>
      </w:r>
      <w:bookmarkStart w:id="171" w:name="_Hlk71799423"/>
      <w:r w:rsidR="00F33BA1">
        <w:fldChar w:fldCharType="begin"/>
      </w:r>
      <w:r w:rsidR="00F33BA1">
        <w:instrText xml:space="preserve"> HYPERLINK "https://www.gov.uk/government/organisations/government-digital-service" </w:instrText>
      </w:r>
      <w:r w:rsidR="00F33BA1">
        <w:fldChar w:fldCharType="separate"/>
      </w:r>
      <w:r w:rsidR="00F166D4" w:rsidRPr="1CE8A524">
        <w:rPr>
          <w:rStyle w:val="Hyperlink"/>
          <w:rFonts w:cs="Arial"/>
        </w:rPr>
        <w:t>Government Digital Service</w:t>
      </w:r>
      <w:r w:rsidR="00F33BA1">
        <w:rPr>
          <w:rStyle w:val="Hyperlink"/>
          <w:rFonts w:cs="Arial"/>
        </w:rPr>
        <w:fldChar w:fldCharType="end"/>
      </w:r>
      <w:bookmarkEnd w:id="171"/>
      <w:r w:rsidR="00F166D4" w:rsidRPr="1CE8A524">
        <w:rPr>
          <w:rStyle w:val="Hyperlink"/>
          <w:rFonts w:cs="Arial"/>
          <w:color w:val="000000" w:themeColor="text1"/>
          <w:u w:val="none"/>
          <w:lang w:eastAsia="en-GB"/>
        </w:rPr>
        <w:t xml:space="preserve"> requirements and best practice</w:t>
      </w:r>
      <w:r w:rsidR="00F166D4" w:rsidRPr="00374661">
        <w:rPr>
          <w:rFonts w:cs="Arial"/>
        </w:rPr>
        <w:t>. Where possible, improvements to the service will also be made, including in response to user feedback</w:t>
      </w:r>
      <w:r w:rsidR="00F166D4">
        <w:rPr>
          <w:rFonts w:cs="Arial"/>
          <w:szCs w:val="24"/>
        </w:rPr>
        <w:t>.</w:t>
      </w:r>
    </w:p>
    <w:bookmarkEnd w:id="170"/>
    <w:p w14:paraId="3959CA4B" w14:textId="1789968C" w:rsidR="00F166D4" w:rsidRPr="004D26EE" w:rsidRDefault="00F166D4" w:rsidP="00D43BAE">
      <w:pPr>
        <w:pStyle w:val="ListParagraph"/>
        <w:numPr>
          <w:ilvl w:val="0"/>
          <w:numId w:val="8"/>
        </w:numPr>
        <w:ind w:left="561" w:hanging="567"/>
        <w:contextualSpacing w:val="0"/>
        <w:rPr>
          <w:rFonts w:cs="Arial"/>
          <w:color w:val="FF0000"/>
          <w:sz w:val="28"/>
          <w:szCs w:val="28"/>
        </w:rPr>
      </w:pPr>
      <w:r w:rsidRPr="09F83F24">
        <w:rPr>
          <w:rStyle w:val="Hyperlink"/>
          <w:rFonts w:cs="Arial"/>
          <w:color w:val="auto"/>
          <w:u w:val="none"/>
        </w:rPr>
        <w:t xml:space="preserve">A total of 13 new evidence projects related to marine </w:t>
      </w:r>
      <w:r w:rsidR="00C406C0">
        <w:rPr>
          <w:rStyle w:val="Hyperlink"/>
          <w:rFonts w:cs="Arial"/>
          <w:color w:val="auto"/>
          <w:u w:val="none"/>
        </w:rPr>
        <w:t>p</w:t>
      </w:r>
      <w:r w:rsidR="00DC2E44">
        <w:rPr>
          <w:rStyle w:val="Hyperlink"/>
          <w:rFonts w:cs="Arial"/>
          <w:color w:val="auto"/>
          <w:u w:val="none"/>
        </w:rPr>
        <w:t>lan</w:t>
      </w:r>
      <w:r w:rsidRPr="09F83F24">
        <w:rPr>
          <w:rStyle w:val="Hyperlink"/>
          <w:rFonts w:cs="Arial"/>
          <w:color w:val="auto"/>
          <w:u w:val="none"/>
        </w:rPr>
        <w:t xml:space="preserve">ning have been completed since </w:t>
      </w:r>
      <w:r w:rsidR="00DC2E44">
        <w:rPr>
          <w:rStyle w:val="Hyperlink"/>
          <w:rFonts w:cs="Arial"/>
          <w:color w:val="auto"/>
          <w:u w:val="none"/>
        </w:rPr>
        <w:t>Plan</w:t>
      </w:r>
      <w:r w:rsidRPr="09F83F24">
        <w:rPr>
          <w:rStyle w:val="Hyperlink"/>
          <w:rFonts w:cs="Arial"/>
          <w:color w:val="auto"/>
          <w:u w:val="none"/>
        </w:rPr>
        <w:t xml:space="preserve"> adoption, increasing the total number of available evidence projects to 66 in 2020.</w:t>
      </w:r>
      <w:r w:rsidRPr="000F0BB3">
        <w:t xml:space="preserve"> </w:t>
      </w:r>
      <w:r w:rsidR="002F2801">
        <w:br/>
      </w:r>
      <w:r w:rsidR="002F2801">
        <w:br/>
      </w:r>
      <w:r w:rsidRPr="00BF2EAB">
        <w:t>All evidence projects were completed independently by the MMO (11 projects) or by non-MMO led projects (55 projects).</w:t>
      </w:r>
      <w:r w:rsidRPr="0048275F">
        <w:t xml:space="preserve"> </w:t>
      </w:r>
      <w:r w:rsidR="002F2801">
        <w:br/>
      </w:r>
      <w:r w:rsidR="002F2801">
        <w:br/>
      </w:r>
      <w:r>
        <w:t xml:space="preserve">The quality of the marine </w:t>
      </w:r>
      <w:r w:rsidR="002223E6">
        <w:t>p</w:t>
      </w:r>
      <w:r w:rsidR="00DC2E44">
        <w:t>lan</w:t>
      </w:r>
      <w:r>
        <w:t xml:space="preserve">ning evidence base has also improved since </w:t>
      </w:r>
      <w:r w:rsidR="00DC2E44">
        <w:t>Plan</w:t>
      </w:r>
      <w:r>
        <w:t xml:space="preserve"> adoption, with the </w:t>
      </w:r>
      <w:r w:rsidRPr="000F0BB3">
        <w:t>average quality assurance score</w:t>
      </w:r>
      <w:r>
        <w:t xml:space="preserve"> of evidence items</w:t>
      </w:r>
      <w:r w:rsidRPr="004D26EE">
        <w:t xml:space="preserve"> </w:t>
      </w:r>
      <w:r>
        <w:t>increasing from 82% in April 2018 to 84% in October 2020.</w:t>
      </w:r>
    </w:p>
    <w:p w14:paraId="44B2787C" w14:textId="04C6097C" w:rsidR="00F166D4" w:rsidRDefault="00F166D4" w:rsidP="00D43BAE">
      <w:pPr>
        <w:pStyle w:val="ListParagraph"/>
        <w:numPr>
          <w:ilvl w:val="0"/>
          <w:numId w:val="8"/>
        </w:numPr>
        <w:ind w:left="561" w:hanging="567"/>
        <w:contextualSpacing w:val="0"/>
        <w:rPr>
          <w:rStyle w:val="Hyperlink"/>
          <w:color w:val="auto"/>
          <w:u w:val="none"/>
        </w:rPr>
      </w:pPr>
      <w:r>
        <w:rPr>
          <w:rStyle w:val="Hyperlink"/>
          <w:color w:val="auto"/>
          <w:u w:val="none"/>
        </w:rPr>
        <w:t>I</w:t>
      </w:r>
      <w:r w:rsidRPr="00475E78">
        <w:rPr>
          <w:rStyle w:val="Hyperlink"/>
          <w:color w:val="auto"/>
          <w:u w:val="none"/>
        </w:rPr>
        <w:t>ncreas</w:t>
      </w:r>
      <w:r>
        <w:rPr>
          <w:rStyle w:val="Hyperlink"/>
          <w:color w:val="auto"/>
          <w:u w:val="none"/>
        </w:rPr>
        <w:t>ed</w:t>
      </w:r>
      <w:r w:rsidRPr="00475E78">
        <w:rPr>
          <w:rStyle w:val="Hyperlink"/>
          <w:color w:val="auto"/>
          <w:u w:val="none"/>
        </w:rPr>
        <w:t xml:space="preserve"> stakeholder awareness and understanding of </w:t>
      </w:r>
      <w:r>
        <w:rPr>
          <w:rStyle w:val="Hyperlink"/>
          <w:color w:val="auto"/>
          <w:u w:val="none"/>
        </w:rPr>
        <w:t xml:space="preserve">the </w:t>
      </w:r>
      <w:r w:rsidR="00DC2E44">
        <w:rPr>
          <w:rStyle w:val="Hyperlink"/>
          <w:color w:val="auto"/>
          <w:u w:val="none"/>
        </w:rPr>
        <w:t>Plan</w:t>
      </w:r>
      <w:r>
        <w:rPr>
          <w:rStyle w:val="Hyperlink"/>
          <w:color w:val="auto"/>
          <w:u w:val="none"/>
        </w:rPr>
        <w:t xml:space="preserve"> and how to use it</w:t>
      </w:r>
      <w:r>
        <w:rPr>
          <w:rFonts w:cs="Arial"/>
        </w:rPr>
        <w:t xml:space="preserve"> was also promoted</w:t>
      </w:r>
      <w:r w:rsidRPr="00475E78">
        <w:rPr>
          <w:rFonts w:cs="Arial"/>
        </w:rPr>
        <w:t xml:space="preserve"> using social media</w:t>
      </w:r>
      <w:r>
        <w:rPr>
          <w:rFonts w:cs="Arial"/>
        </w:rPr>
        <w:t>.</w:t>
      </w:r>
      <w:r w:rsidRPr="00475E78">
        <w:rPr>
          <w:rStyle w:val="Hyperlink"/>
          <w:color w:val="auto"/>
          <w:u w:val="none"/>
        </w:rPr>
        <w:t xml:space="preserve"> </w:t>
      </w:r>
      <w:r w:rsidR="002F2801">
        <w:rPr>
          <w:rStyle w:val="Hyperlink"/>
          <w:color w:val="auto"/>
          <w:u w:val="none"/>
        </w:rPr>
        <w:br/>
      </w:r>
      <w:r w:rsidR="002F2801">
        <w:rPr>
          <w:rStyle w:val="Hyperlink"/>
          <w:color w:val="auto"/>
          <w:u w:val="none"/>
        </w:rPr>
        <w:br/>
      </w:r>
      <w:r w:rsidRPr="00475E78">
        <w:t xml:space="preserve">In the period since </w:t>
      </w:r>
      <w:r w:rsidR="00DC2E44">
        <w:t>Plan</w:t>
      </w:r>
      <w:r w:rsidRPr="00475E78">
        <w:t xml:space="preserve"> adoption, the MMO published</w:t>
      </w:r>
      <w:r>
        <w:t xml:space="preserve"> a total of</w:t>
      </w:r>
      <w:r w:rsidRPr="00475E78">
        <w:t xml:space="preserve"> nine blog posts, eight tweets, five LinkedIn posts and 112 Facebook posts relevant to the </w:t>
      </w:r>
      <w:r w:rsidR="00DC2E44">
        <w:t>Plan</w:t>
      </w:r>
      <w:r w:rsidRPr="00475E78">
        <w:t xml:space="preserve"> and </w:t>
      </w:r>
      <w:r w:rsidR="00C406C0">
        <w:t>S</w:t>
      </w:r>
      <w:r w:rsidRPr="00475E78">
        <w:t xml:space="preserve">outh </w:t>
      </w:r>
      <w:r w:rsidR="00C406C0">
        <w:t>M</w:t>
      </w:r>
      <w:r w:rsidRPr="00475E78">
        <w:t xml:space="preserve">arine </w:t>
      </w:r>
      <w:r w:rsidR="00DC2E44">
        <w:t>Plan</w:t>
      </w:r>
      <w:r w:rsidRPr="00475E78">
        <w:t xml:space="preserve"> areas</w:t>
      </w:r>
      <w:r>
        <w:t xml:space="preserve">. </w:t>
      </w:r>
      <w:r w:rsidR="002F2801">
        <w:br/>
      </w:r>
      <w:r w:rsidR="002F2801">
        <w:br/>
      </w:r>
      <w:r>
        <w:t xml:space="preserve">Monitoring data showed that users are engaging with online content published by the MMO. </w:t>
      </w:r>
      <w:r w:rsidR="002F2801">
        <w:br/>
      </w:r>
      <w:r w:rsidR="002F2801">
        <w:br/>
      </w:r>
      <w:r>
        <w:t>For example, t</w:t>
      </w:r>
      <w:r w:rsidRPr="006D1C5A">
        <w:t xml:space="preserve">he average number of recipients choosing to unsubscribe </w:t>
      </w:r>
      <w:r>
        <w:t>from</w:t>
      </w:r>
      <w:r w:rsidRPr="006D1C5A">
        <w:t xml:space="preserve"> the marine </w:t>
      </w:r>
      <w:r w:rsidR="002F2801">
        <w:t>p</w:t>
      </w:r>
      <w:r w:rsidR="00DC2E44">
        <w:t>lan</w:t>
      </w:r>
      <w:r w:rsidRPr="006D1C5A">
        <w:t>ning newsletter has remained low (5%)</w:t>
      </w:r>
      <w:r>
        <w:t xml:space="preserve"> in the period since </w:t>
      </w:r>
      <w:r w:rsidR="00DC2E44">
        <w:t>Plan</w:t>
      </w:r>
      <w:r>
        <w:t xml:space="preserve"> adoption. This finding</w:t>
      </w:r>
      <w:r w:rsidRPr="006D1C5A">
        <w:t xml:space="preserve"> </w:t>
      </w:r>
      <w:r>
        <w:t>shows that there is</w:t>
      </w:r>
      <w:r w:rsidRPr="006D1C5A">
        <w:t xml:space="preserve"> a maintained interest in marine </w:t>
      </w:r>
      <w:r w:rsidR="002F2801">
        <w:t>p</w:t>
      </w:r>
      <w:r w:rsidR="00DC2E44">
        <w:t>lan</w:t>
      </w:r>
      <w:r w:rsidRPr="006D1C5A">
        <w:t>ning</w:t>
      </w:r>
      <w:r>
        <w:t xml:space="preserve"> among stakeholders</w:t>
      </w:r>
      <w:r w:rsidRPr="006D1C5A">
        <w:t>.</w:t>
      </w:r>
    </w:p>
    <w:p w14:paraId="0DC513B4" w14:textId="3C66929E" w:rsidR="00F166D4" w:rsidRPr="00C92B18" w:rsidRDefault="00DC2E44" w:rsidP="00285EEE">
      <w:pPr>
        <w:pStyle w:val="Heading4"/>
      </w:pPr>
      <w:r>
        <w:t>Plan</w:t>
      </w:r>
      <w:r w:rsidR="00F166D4" w:rsidRPr="00C92B18">
        <w:t xml:space="preserve"> use by </w:t>
      </w:r>
      <w:r w:rsidR="00B302C5">
        <w:t>marine licence applicants</w:t>
      </w:r>
    </w:p>
    <w:p w14:paraId="5C918E05" w14:textId="7883B9A6" w:rsidR="00F166D4" w:rsidRPr="008F5D78" w:rsidRDefault="00F166D4" w:rsidP="00D43BAE">
      <w:pPr>
        <w:pStyle w:val="ListParagraph"/>
        <w:numPr>
          <w:ilvl w:val="0"/>
          <w:numId w:val="8"/>
        </w:numPr>
        <w:ind w:left="561" w:hanging="567"/>
        <w:contextualSpacing w:val="0"/>
        <w:rPr>
          <w:rStyle w:val="Hyperlink"/>
          <w:rFonts w:cs="Arial"/>
          <w:color w:val="auto"/>
          <w:sz w:val="28"/>
          <w:szCs w:val="28"/>
          <w:u w:val="none"/>
        </w:rPr>
      </w:pPr>
      <w:r w:rsidRPr="00C01EBA">
        <w:rPr>
          <w:rStyle w:val="Hyperlink"/>
          <w:color w:val="auto"/>
          <w:u w:val="none"/>
        </w:rPr>
        <w:t xml:space="preserve">Overall, monitoring data showed </w:t>
      </w:r>
      <w:r>
        <w:rPr>
          <w:rStyle w:val="Hyperlink"/>
          <w:color w:val="auto"/>
          <w:u w:val="none"/>
        </w:rPr>
        <w:t xml:space="preserve">an increase in the </w:t>
      </w:r>
      <w:r w:rsidRPr="00C01EBA">
        <w:rPr>
          <w:rStyle w:val="Hyperlink"/>
          <w:color w:val="auto"/>
          <w:u w:val="none"/>
        </w:rPr>
        <w:t xml:space="preserve">use of the </w:t>
      </w:r>
      <w:r w:rsidR="00DC2E44">
        <w:rPr>
          <w:rStyle w:val="Hyperlink"/>
          <w:color w:val="auto"/>
          <w:u w:val="none"/>
        </w:rPr>
        <w:t>Plan</w:t>
      </w:r>
      <w:r w:rsidRPr="00C01EBA">
        <w:rPr>
          <w:rStyle w:val="Hyperlink"/>
          <w:color w:val="auto"/>
          <w:u w:val="none"/>
        </w:rPr>
        <w:t xml:space="preserve"> by </w:t>
      </w:r>
      <w:r w:rsidR="00B302C5">
        <w:rPr>
          <w:rStyle w:val="Hyperlink"/>
          <w:color w:val="auto"/>
          <w:u w:val="none"/>
        </w:rPr>
        <w:t>marine licence applicants</w:t>
      </w:r>
      <w:r w:rsidRPr="000E0C51">
        <w:rPr>
          <w:rStyle w:val="Hyperlink"/>
          <w:color w:val="auto"/>
          <w:u w:val="none"/>
        </w:rPr>
        <w:t xml:space="preserve">. However, </w:t>
      </w:r>
      <w:r>
        <w:rPr>
          <w:rStyle w:val="Hyperlink"/>
          <w:color w:val="auto"/>
          <w:u w:val="none"/>
        </w:rPr>
        <w:t>f</w:t>
      </w:r>
      <w:r w:rsidRPr="008F5D78">
        <w:rPr>
          <w:rStyle w:val="Hyperlink"/>
          <w:color w:val="auto"/>
          <w:u w:val="none"/>
        </w:rPr>
        <w:t>indings</w:t>
      </w:r>
      <w:r w:rsidRPr="000E0C51">
        <w:rPr>
          <w:rStyle w:val="Hyperlink"/>
          <w:color w:val="auto"/>
          <w:u w:val="none"/>
        </w:rPr>
        <w:t xml:space="preserve"> </w:t>
      </w:r>
      <w:r w:rsidRPr="00D43BAE">
        <w:t>also</w:t>
      </w:r>
      <w:r w:rsidRPr="000E0C51">
        <w:rPr>
          <w:rStyle w:val="Hyperlink"/>
          <w:color w:val="auto"/>
          <w:u w:val="none"/>
        </w:rPr>
        <w:t xml:space="preserve"> suggest that further engagement is needed to support use of the </w:t>
      </w:r>
      <w:r w:rsidR="00DC2E44">
        <w:rPr>
          <w:rStyle w:val="Hyperlink"/>
          <w:color w:val="auto"/>
          <w:u w:val="none"/>
        </w:rPr>
        <w:t>Plan</w:t>
      </w:r>
      <w:r w:rsidRPr="000E0C51">
        <w:rPr>
          <w:rStyle w:val="Hyperlink"/>
          <w:color w:val="auto"/>
          <w:u w:val="none"/>
        </w:rPr>
        <w:t xml:space="preserve"> by </w:t>
      </w:r>
      <w:r w:rsidR="00B302C5">
        <w:rPr>
          <w:rStyle w:val="Hyperlink"/>
          <w:color w:val="auto"/>
          <w:u w:val="none"/>
        </w:rPr>
        <w:t>applicants</w:t>
      </w:r>
      <w:r w:rsidRPr="000E0C51">
        <w:rPr>
          <w:rStyle w:val="Hyperlink"/>
          <w:color w:val="auto"/>
          <w:u w:val="none"/>
        </w:rPr>
        <w:t>.</w:t>
      </w:r>
    </w:p>
    <w:p w14:paraId="57024768" w14:textId="0A7927C7" w:rsidR="00F166D4" w:rsidRPr="00B9470A" w:rsidRDefault="00F166D4" w:rsidP="00D43BAE">
      <w:pPr>
        <w:pStyle w:val="ListParagraph"/>
        <w:numPr>
          <w:ilvl w:val="0"/>
          <w:numId w:val="8"/>
        </w:numPr>
        <w:ind w:left="561" w:hanging="567"/>
        <w:contextualSpacing w:val="0"/>
        <w:rPr>
          <w:rFonts w:cs="Arial"/>
          <w:sz w:val="28"/>
          <w:szCs w:val="28"/>
        </w:rPr>
      </w:pPr>
      <w:r w:rsidRPr="00220C3C">
        <w:rPr>
          <w:rStyle w:val="Hyperlink"/>
          <w:color w:val="auto"/>
          <w:u w:val="none"/>
        </w:rPr>
        <w:t>S</w:t>
      </w:r>
      <w:r w:rsidRPr="00BD4CAA">
        <w:rPr>
          <w:rStyle w:val="Hyperlink"/>
          <w:color w:val="auto"/>
          <w:u w:val="none"/>
        </w:rPr>
        <w:t xml:space="preserve">takeholder </w:t>
      </w:r>
      <w:r w:rsidRPr="00AF364B">
        <w:rPr>
          <w:rFonts w:cs="Arial"/>
        </w:rPr>
        <w:t>surveys</w:t>
      </w:r>
      <w:r w:rsidRPr="00BD4CAA">
        <w:rPr>
          <w:rStyle w:val="Hyperlink"/>
          <w:color w:val="auto"/>
          <w:u w:val="none"/>
        </w:rPr>
        <w:t xml:space="preserve"> suggest that </w:t>
      </w:r>
      <w:r w:rsidR="00B302C5">
        <w:rPr>
          <w:rStyle w:val="Hyperlink"/>
          <w:color w:val="auto"/>
          <w:u w:val="none"/>
        </w:rPr>
        <w:t>applicants</w:t>
      </w:r>
      <w:r w:rsidRPr="00BD4CAA">
        <w:rPr>
          <w:rStyle w:val="Hyperlink"/>
          <w:color w:val="auto"/>
          <w:u w:val="none"/>
        </w:rPr>
        <w:t xml:space="preserve"> are using the </w:t>
      </w:r>
      <w:r w:rsidR="00DC2E44">
        <w:rPr>
          <w:rStyle w:val="Hyperlink"/>
          <w:color w:val="auto"/>
          <w:u w:val="none"/>
        </w:rPr>
        <w:t>Plan</w:t>
      </w:r>
      <w:r w:rsidRPr="00BD4CAA">
        <w:rPr>
          <w:rStyle w:val="Hyperlink"/>
          <w:color w:val="auto"/>
          <w:u w:val="none"/>
        </w:rPr>
        <w:t xml:space="preserve"> when either developing a proposal or deciding on whether to submit a proposal (80% in 2021 survey). </w:t>
      </w:r>
      <w:r w:rsidR="002F2801">
        <w:rPr>
          <w:rStyle w:val="Hyperlink"/>
          <w:color w:val="auto"/>
          <w:u w:val="none"/>
        </w:rPr>
        <w:br/>
      </w:r>
      <w:r w:rsidR="002F2801">
        <w:rPr>
          <w:rStyle w:val="Hyperlink"/>
          <w:color w:val="auto"/>
          <w:u w:val="none"/>
        </w:rPr>
        <w:br/>
      </w:r>
      <w:r w:rsidRPr="00BD4CAA">
        <w:rPr>
          <w:rStyle w:val="Hyperlink"/>
          <w:color w:val="auto"/>
          <w:u w:val="none"/>
        </w:rPr>
        <w:t xml:space="preserve">The marine licence application review also found </w:t>
      </w:r>
      <w:r w:rsidR="00B302C5">
        <w:rPr>
          <w:rStyle w:val="Hyperlink"/>
          <w:color w:val="auto"/>
          <w:u w:val="none"/>
        </w:rPr>
        <w:t>applicants</w:t>
      </w:r>
      <w:r w:rsidRPr="00BD4CAA">
        <w:rPr>
          <w:rStyle w:val="Hyperlink"/>
          <w:color w:val="auto"/>
          <w:u w:val="none"/>
        </w:rPr>
        <w:t xml:space="preserve"> to have </w:t>
      </w:r>
      <w:r w:rsidR="002B702D">
        <w:rPr>
          <w:rStyle w:val="Hyperlink"/>
          <w:color w:val="auto"/>
          <w:u w:val="none"/>
        </w:rPr>
        <w:t>confirmed</w:t>
      </w:r>
      <w:r w:rsidRPr="00BD4CAA">
        <w:rPr>
          <w:rStyle w:val="Hyperlink"/>
          <w:color w:val="auto"/>
          <w:u w:val="none"/>
        </w:rPr>
        <w:t xml:space="preserve"> consideration of the </w:t>
      </w:r>
      <w:r w:rsidR="00DC2E44">
        <w:rPr>
          <w:rStyle w:val="Hyperlink"/>
          <w:color w:val="auto"/>
          <w:u w:val="none"/>
        </w:rPr>
        <w:t>Plan</w:t>
      </w:r>
      <w:r>
        <w:rPr>
          <w:rStyle w:val="Hyperlink"/>
          <w:color w:val="auto"/>
          <w:u w:val="none"/>
        </w:rPr>
        <w:t xml:space="preserve"> (</w:t>
      </w:r>
      <w:r w:rsidRPr="00BD4CAA">
        <w:rPr>
          <w:rStyle w:val="Hyperlink"/>
          <w:color w:val="auto"/>
          <w:u w:val="none"/>
        </w:rPr>
        <w:t>as a whole</w:t>
      </w:r>
      <w:r>
        <w:rPr>
          <w:rStyle w:val="Hyperlink"/>
          <w:color w:val="auto"/>
          <w:u w:val="none"/>
        </w:rPr>
        <w:t>)</w:t>
      </w:r>
      <w:r w:rsidRPr="00BD4CAA">
        <w:rPr>
          <w:rStyle w:val="Hyperlink"/>
          <w:color w:val="auto"/>
          <w:u w:val="none"/>
        </w:rPr>
        <w:t xml:space="preserve"> in 94% of cases.</w:t>
      </w:r>
      <w:r w:rsidRPr="375902C0">
        <w:rPr>
          <w:rStyle w:val="Hyperlink"/>
          <w:color w:val="auto"/>
          <w:u w:val="none"/>
        </w:rPr>
        <w:t xml:space="preserve"> </w:t>
      </w:r>
    </w:p>
    <w:p w14:paraId="0D7A48B6" w14:textId="14614A29" w:rsidR="00F166D4" w:rsidRPr="00220C3C" w:rsidRDefault="00F166D4" w:rsidP="00D43BAE">
      <w:pPr>
        <w:pStyle w:val="ListParagraph"/>
        <w:numPr>
          <w:ilvl w:val="0"/>
          <w:numId w:val="8"/>
        </w:numPr>
        <w:ind w:left="561" w:hanging="567"/>
        <w:contextualSpacing w:val="0"/>
        <w:rPr>
          <w:rStyle w:val="Hyperlink"/>
          <w:color w:val="auto"/>
          <w:u w:val="none"/>
        </w:rPr>
      </w:pPr>
      <w:r w:rsidRPr="00220C3C">
        <w:rPr>
          <w:rStyle w:val="Hyperlink"/>
          <w:color w:val="auto"/>
          <w:u w:val="none"/>
        </w:rPr>
        <w:t>T</w:t>
      </w:r>
      <w:r w:rsidRPr="00B15F79">
        <w:rPr>
          <w:rStyle w:val="Hyperlink"/>
          <w:color w:val="auto"/>
          <w:u w:val="none"/>
        </w:rPr>
        <w:t xml:space="preserve">he level of consideration of the </w:t>
      </w:r>
      <w:r w:rsidR="00DC2E44">
        <w:rPr>
          <w:rStyle w:val="Hyperlink"/>
          <w:color w:val="auto"/>
          <w:u w:val="none"/>
        </w:rPr>
        <w:t>Plan</w:t>
      </w:r>
      <w:r w:rsidRPr="00B15F79">
        <w:rPr>
          <w:rStyle w:val="Hyperlink"/>
          <w:color w:val="auto"/>
          <w:u w:val="none"/>
        </w:rPr>
        <w:t xml:space="preserve"> by </w:t>
      </w:r>
      <w:r w:rsidR="00B302C5">
        <w:rPr>
          <w:rStyle w:val="Hyperlink"/>
          <w:color w:val="auto"/>
          <w:u w:val="none"/>
        </w:rPr>
        <w:t>applicants</w:t>
      </w:r>
      <w:r w:rsidRPr="00B15F79">
        <w:rPr>
          <w:rStyle w:val="Hyperlink"/>
          <w:color w:val="auto"/>
          <w:u w:val="none"/>
        </w:rPr>
        <w:t xml:space="preserve"> was higher than the 67% of cases detailed in the </w:t>
      </w:r>
      <w:r w:rsidR="00487C0B">
        <w:t>Three-</w:t>
      </w:r>
      <w:r>
        <w:t xml:space="preserve">year </w:t>
      </w:r>
      <w:r w:rsidR="00487C0B">
        <w:t>r</w:t>
      </w:r>
      <w:r>
        <w:t xml:space="preserve">eport on the East Marine </w:t>
      </w:r>
      <w:r w:rsidR="00DC2E44">
        <w:t>Plan</w:t>
      </w:r>
      <w:r>
        <w:t xml:space="preserve">s (for the period 2 April 2014 </w:t>
      </w:r>
      <w:r w:rsidR="002F2801">
        <w:t>to</w:t>
      </w:r>
      <w:r>
        <w:t xml:space="preserve"> 1 April 2017</w:t>
      </w:r>
      <w:r w:rsidRPr="00220C3C">
        <w:rPr>
          <w:rStyle w:val="Hyperlink"/>
          <w:color w:val="auto"/>
          <w:u w:val="none"/>
        </w:rPr>
        <w:t xml:space="preserve">). </w:t>
      </w:r>
      <w:r w:rsidR="002F2801">
        <w:rPr>
          <w:rStyle w:val="Hyperlink"/>
          <w:color w:val="auto"/>
          <w:u w:val="none"/>
        </w:rPr>
        <w:br/>
      </w:r>
      <w:r w:rsidR="002F2801">
        <w:rPr>
          <w:rStyle w:val="Hyperlink"/>
          <w:color w:val="auto"/>
          <w:u w:val="none"/>
        </w:rPr>
        <w:br/>
      </w:r>
      <w:r w:rsidRPr="00D43BAE">
        <w:lastRenderedPageBreak/>
        <w:t>This</w:t>
      </w:r>
      <w:r w:rsidRPr="00220C3C">
        <w:rPr>
          <w:rStyle w:val="Hyperlink"/>
          <w:color w:val="auto"/>
          <w:u w:val="none"/>
        </w:rPr>
        <w:t xml:space="preserve"> finding</w:t>
      </w:r>
      <w:r w:rsidRPr="00B15F79">
        <w:rPr>
          <w:rStyle w:val="Hyperlink"/>
          <w:color w:val="auto"/>
          <w:u w:val="none"/>
        </w:rPr>
        <w:t xml:space="preserve"> shows that proponent awareness of marine </w:t>
      </w:r>
      <w:r w:rsidR="00487C0B">
        <w:rPr>
          <w:rStyle w:val="Hyperlink"/>
          <w:color w:val="auto"/>
          <w:u w:val="none"/>
        </w:rPr>
        <w:t>p</w:t>
      </w:r>
      <w:r w:rsidR="00DC2E44">
        <w:rPr>
          <w:rStyle w:val="Hyperlink"/>
          <w:color w:val="auto"/>
          <w:u w:val="none"/>
        </w:rPr>
        <w:t>lan</w:t>
      </w:r>
      <w:r w:rsidRPr="00B15F79">
        <w:rPr>
          <w:rStyle w:val="Hyperlink"/>
          <w:color w:val="auto"/>
          <w:u w:val="none"/>
        </w:rPr>
        <w:t xml:space="preserve">s has increased over time and that marine </w:t>
      </w:r>
      <w:r w:rsidR="002F2801">
        <w:rPr>
          <w:rStyle w:val="Hyperlink"/>
          <w:color w:val="auto"/>
          <w:u w:val="none"/>
        </w:rPr>
        <w:t>p</w:t>
      </w:r>
      <w:r w:rsidR="00DC2E44">
        <w:rPr>
          <w:rStyle w:val="Hyperlink"/>
          <w:color w:val="auto"/>
          <w:u w:val="none"/>
        </w:rPr>
        <w:t>lan</w:t>
      </w:r>
      <w:r w:rsidRPr="00B15F79">
        <w:rPr>
          <w:rStyle w:val="Hyperlink"/>
          <w:color w:val="auto"/>
          <w:u w:val="none"/>
        </w:rPr>
        <w:t xml:space="preserve">ning is becoming more embedded within proposal development processes. </w:t>
      </w:r>
      <w:r w:rsidR="002F2801">
        <w:rPr>
          <w:rStyle w:val="Hyperlink"/>
          <w:color w:val="auto"/>
          <w:u w:val="none"/>
        </w:rPr>
        <w:br/>
      </w:r>
      <w:r w:rsidR="002F2801">
        <w:rPr>
          <w:rStyle w:val="Hyperlink"/>
          <w:color w:val="auto"/>
          <w:u w:val="none"/>
        </w:rPr>
        <w:br/>
      </w:r>
      <w:r>
        <w:t>Over half (51%) of the marine licence applications reviewed also contained detail of the policy</w:t>
      </w:r>
      <w:r w:rsidR="002F2801">
        <w:t xml:space="preserve"> </w:t>
      </w:r>
      <w:r>
        <w:t xml:space="preserve">level assessments undertaken during proposal development. </w:t>
      </w:r>
      <w:r w:rsidR="002F2801">
        <w:br/>
      </w:r>
      <w:r w:rsidR="002F2801">
        <w:br/>
      </w:r>
      <w:r>
        <w:t xml:space="preserve">This finding provides further evidence of the increasing influence of the </w:t>
      </w:r>
      <w:r w:rsidR="00DC2E44">
        <w:t>Plan</w:t>
      </w:r>
      <w:r>
        <w:t xml:space="preserve"> </w:t>
      </w:r>
      <w:r w:rsidRPr="00D735AA">
        <w:rPr>
          <w:rStyle w:val="Hyperlink"/>
          <w:color w:val="auto"/>
          <w:u w:val="none"/>
        </w:rPr>
        <w:t>within proposal development processes</w:t>
      </w:r>
      <w:r>
        <w:t>.</w:t>
      </w:r>
    </w:p>
    <w:p w14:paraId="27441F1F" w14:textId="006488AC" w:rsidR="00F166D4" w:rsidRDefault="00F166D4" w:rsidP="00D43BAE">
      <w:pPr>
        <w:pStyle w:val="ListParagraph"/>
        <w:numPr>
          <w:ilvl w:val="0"/>
          <w:numId w:val="8"/>
        </w:numPr>
        <w:ind w:left="561" w:hanging="567"/>
        <w:contextualSpacing w:val="0"/>
      </w:pPr>
      <w:r>
        <w:t xml:space="preserve">Stakeholder survey responses acknowledged several advantages to considering the </w:t>
      </w:r>
      <w:r w:rsidR="00DC2E44">
        <w:t>Plan</w:t>
      </w:r>
      <w:r>
        <w:t xml:space="preserve"> during </w:t>
      </w:r>
      <w:r w:rsidRPr="00AF364B">
        <w:rPr>
          <w:rFonts w:cs="Arial"/>
        </w:rPr>
        <w:t>proposal</w:t>
      </w:r>
      <w:r>
        <w:t xml:space="preserve"> development, including the promotion of cooperation and co-existence between different activities and sectors.</w:t>
      </w:r>
    </w:p>
    <w:p w14:paraId="7B6ABA28" w14:textId="7366BD71" w:rsidR="00F166D4" w:rsidRPr="00B80407" w:rsidRDefault="00F166D4" w:rsidP="00D43BAE">
      <w:pPr>
        <w:pStyle w:val="ListParagraph"/>
        <w:numPr>
          <w:ilvl w:val="0"/>
          <w:numId w:val="8"/>
        </w:numPr>
        <w:ind w:left="561" w:hanging="567"/>
        <w:contextualSpacing w:val="0"/>
        <w:rPr>
          <w:color w:val="FF0000"/>
        </w:rPr>
      </w:pPr>
      <w:r w:rsidRPr="00DB42AB">
        <w:t xml:space="preserve">While consideration of the </w:t>
      </w:r>
      <w:r w:rsidR="00DC2E44">
        <w:t>Plan</w:t>
      </w:r>
      <w:r w:rsidRPr="00DB42AB">
        <w:t xml:space="preserve"> </w:t>
      </w:r>
      <w:r>
        <w:t>(as a whole)</w:t>
      </w:r>
      <w:r w:rsidRPr="00DB42AB">
        <w:t xml:space="preserve"> by </w:t>
      </w:r>
      <w:r w:rsidR="00B302C5">
        <w:t>applicants</w:t>
      </w:r>
      <w:r>
        <w:t xml:space="preserve"> has increased,</w:t>
      </w:r>
      <w:r w:rsidRPr="00DB42AB">
        <w:t xml:space="preserve"> </w:t>
      </w:r>
      <w:r>
        <w:t xml:space="preserve">49% of the marine licence applications reviewed did not contain detail of the policy-level assessments undertaken during proposal development. </w:t>
      </w:r>
      <w:r w:rsidR="002F2801">
        <w:br/>
      </w:r>
      <w:r w:rsidR="002F2801">
        <w:br/>
      </w:r>
      <w:r w:rsidRPr="00A73881">
        <w:t xml:space="preserve">The difference in the number of marine licence applications showing consideration of the </w:t>
      </w:r>
      <w:r w:rsidR="00DC2E44">
        <w:t>Plan</w:t>
      </w:r>
      <w:r w:rsidR="00B1540F">
        <w:t xml:space="preserve"> (</w:t>
      </w:r>
      <w:r w:rsidRPr="00A73881">
        <w:t>as a whole</w:t>
      </w:r>
      <w:r w:rsidR="00B1540F">
        <w:t>)</w:t>
      </w:r>
      <w:r w:rsidRPr="00A73881">
        <w:t xml:space="preserve"> and at the policy level suggests that there is a disconnect in how the </w:t>
      </w:r>
      <w:r w:rsidR="00DC2E44">
        <w:t>Plan</w:t>
      </w:r>
      <w:r w:rsidRPr="00A73881">
        <w:t xml:space="preserve"> is considered </w:t>
      </w:r>
      <w:r>
        <w:t xml:space="preserve">during proposal </w:t>
      </w:r>
      <w:r w:rsidRPr="00AF364B">
        <w:rPr>
          <w:rFonts w:cs="Arial"/>
        </w:rPr>
        <w:t>development</w:t>
      </w:r>
      <w:r w:rsidR="00E65278">
        <w:rPr>
          <w:rFonts w:cs="Arial"/>
        </w:rPr>
        <w:t xml:space="preserve"> and evidenced </w:t>
      </w:r>
      <w:r w:rsidR="00B1540F" w:rsidRPr="00B1540F">
        <w:rPr>
          <w:rFonts w:cs="Arial"/>
        </w:rPr>
        <w:t>at</w:t>
      </w:r>
      <w:r w:rsidR="00E65278">
        <w:rPr>
          <w:rFonts w:cs="Arial"/>
        </w:rPr>
        <w:t xml:space="preserve"> the application</w:t>
      </w:r>
      <w:r w:rsidR="00B1540F" w:rsidRPr="00B1540F">
        <w:rPr>
          <w:rFonts w:cs="Arial"/>
        </w:rPr>
        <w:t xml:space="preserve"> stage.</w:t>
      </w:r>
      <w:bookmarkStart w:id="172" w:name="_Hlk71737801"/>
      <w:r>
        <w:t xml:space="preserve"> </w:t>
      </w:r>
      <w:bookmarkEnd w:id="172"/>
      <w:r w:rsidR="002F2801">
        <w:br/>
      </w:r>
      <w:r w:rsidR="002F2801">
        <w:br/>
      </w:r>
      <w:r>
        <w:t>A similar disconnect was identified in the Three</w:t>
      </w:r>
      <w:r w:rsidR="00B07496">
        <w:t xml:space="preserve"> </w:t>
      </w:r>
      <w:r>
        <w:t xml:space="preserve">year report on the East Marine </w:t>
      </w:r>
      <w:r w:rsidR="00DC2E44">
        <w:t>Plan</w:t>
      </w:r>
      <w:r>
        <w:t>s (for the period</w:t>
      </w:r>
      <w:r w:rsidR="002F2801">
        <w:t xml:space="preserve"> of</w:t>
      </w:r>
      <w:r>
        <w:t xml:space="preserve"> 2 April 2017 </w:t>
      </w:r>
      <w:r w:rsidR="002F2801">
        <w:t>to</w:t>
      </w:r>
      <w:r>
        <w:t xml:space="preserve"> 1 April 2020)</w:t>
      </w:r>
      <w:r w:rsidRPr="00DB42AB">
        <w:rPr>
          <w:rStyle w:val="Hyperlink"/>
          <w:color w:val="auto"/>
          <w:u w:val="none"/>
        </w:rPr>
        <w:t xml:space="preserve">, highlighting the need to provide continued </w:t>
      </w:r>
      <w:r>
        <w:rPr>
          <w:rStyle w:val="Hyperlink"/>
          <w:color w:val="auto"/>
          <w:u w:val="none"/>
        </w:rPr>
        <w:t xml:space="preserve">and improved </w:t>
      </w:r>
      <w:r w:rsidRPr="00DB42AB">
        <w:rPr>
          <w:rStyle w:val="Hyperlink"/>
          <w:color w:val="auto"/>
          <w:u w:val="none"/>
        </w:rPr>
        <w:t xml:space="preserve">support to </w:t>
      </w:r>
      <w:r w:rsidR="00B302C5">
        <w:rPr>
          <w:rStyle w:val="Hyperlink"/>
          <w:color w:val="auto"/>
          <w:u w:val="none"/>
        </w:rPr>
        <w:t>applicants</w:t>
      </w:r>
      <w:r w:rsidRPr="00DB42AB">
        <w:rPr>
          <w:rStyle w:val="Hyperlink"/>
          <w:color w:val="auto"/>
          <w:u w:val="none"/>
        </w:rPr>
        <w:t xml:space="preserve"> to help them use marine </w:t>
      </w:r>
      <w:r w:rsidR="00487C0B">
        <w:rPr>
          <w:rStyle w:val="Hyperlink"/>
          <w:color w:val="auto"/>
          <w:u w:val="none"/>
        </w:rPr>
        <w:t>p</w:t>
      </w:r>
      <w:r w:rsidR="00DC2E44">
        <w:rPr>
          <w:rStyle w:val="Hyperlink"/>
          <w:color w:val="auto"/>
          <w:u w:val="none"/>
        </w:rPr>
        <w:t>lan</w:t>
      </w:r>
      <w:r w:rsidRPr="00DB42AB">
        <w:rPr>
          <w:rStyle w:val="Hyperlink"/>
          <w:color w:val="auto"/>
          <w:u w:val="none"/>
        </w:rPr>
        <w:t>s.</w:t>
      </w:r>
      <w:r w:rsidR="002F2801">
        <w:rPr>
          <w:rStyle w:val="Hyperlink"/>
          <w:color w:val="auto"/>
          <w:u w:val="none"/>
        </w:rPr>
        <w:br/>
      </w:r>
      <w:r w:rsidR="002F2801">
        <w:rPr>
          <w:rStyle w:val="Hyperlink"/>
          <w:color w:val="auto"/>
          <w:u w:val="none"/>
        </w:rPr>
        <w:br/>
      </w:r>
      <w:r>
        <w:t>Further promotion of EMP and other products (</w:t>
      </w:r>
      <w:r w:rsidR="002F2801">
        <w:t>for example the</w:t>
      </w:r>
      <w:r>
        <w:t xml:space="preserve"> </w:t>
      </w:r>
      <w:bookmarkStart w:id="173" w:name="_Hlk71799432"/>
      <w:r w:rsidR="00F33BA1">
        <w:fldChar w:fldCharType="begin"/>
      </w:r>
      <w:r w:rsidR="00F33BA1">
        <w:instrText xml:space="preserve"> HYPERLINK "https://www.gov.uk/topic/planning-development/marine-planning" </w:instrText>
      </w:r>
      <w:r w:rsidR="00F33BA1">
        <w:fldChar w:fldCharType="separate"/>
      </w:r>
      <w:r w:rsidR="002F2801">
        <w:rPr>
          <w:rStyle w:val="Hyperlink"/>
        </w:rPr>
        <w:t>u</w:t>
      </w:r>
      <w:r w:rsidRPr="004D6999">
        <w:rPr>
          <w:rStyle w:val="Hyperlink"/>
        </w:rPr>
        <w:t xml:space="preserve">sing Marine </w:t>
      </w:r>
      <w:r w:rsidR="00DC2E44">
        <w:rPr>
          <w:rStyle w:val="Hyperlink"/>
        </w:rPr>
        <w:t>Plan</w:t>
      </w:r>
      <w:r w:rsidRPr="004D6999">
        <w:rPr>
          <w:rStyle w:val="Hyperlink"/>
        </w:rPr>
        <w:t>s</w:t>
      </w:r>
      <w:r w:rsidR="00F33BA1">
        <w:rPr>
          <w:rStyle w:val="Hyperlink"/>
        </w:rPr>
        <w:fldChar w:fldCharType="end"/>
      </w:r>
      <w:bookmarkEnd w:id="173"/>
      <w:r>
        <w:t xml:space="preserve"> guidance page</w:t>
      </w:r>
      <w:r w:rsidR="002F2801">
        <w:t xml:space="preserve"> on GOV.UK</w:t>
      </w:r>
      <w:r>
        <w:t xml:space="preserve">) may help to improve </w:t>
      </w:r>
      <w:r w:rsidR="00B302C5">
        <w:t>applicant</w:t>
      </w:r>
      <w:r>
        <w:t xml:space="preserve"> understanding and use of the </w:t>
      </w:r>
      <w:r w:rsidR="00DC2E44">
        <w:t>Plan</w:t>
      </w:r>
      <w:r>
        <w:t>.</w:t>
      </w:r>
    </w:p>
    <w:p w14:paraId="48747ED3" w14:textId="74DBFD1C" w:rsidR="00F166D4" w:rsidRPr="008F5D78" w:rsidRDefault="00F166D4" w:rsidP="00D43BAE">
      <w:pPr>
        <w:pStyle w:val="ListParagraph"/>
        <w:numPr>
          <w:ilvl w:val="0"/>
          <w:numId w:val="8"/>
        </w:numPr>
        <w:ind w:left="561" w:hanging="567"/>
        <w:contextualSpacing w:val="0"/>
        <w:rPr>
          <w:rStyle w:val="Hyperlink"/>
          <w:color w:val="FF0000"/>
        </w:rPr>
      </w:pPr>
      <w:r w:rsidRPr="375902C0">
        <w:rPr>
          <w:rFonts w:cs="Arial"/>
        </w:rPr>
        <w:t xml:space="preserve">Follow-up interviews to the stakeholder surveys provided further detail on use of the </w:t>
      </w:r>
      <w:r w:rsidR="00DC2E44">
        <w:rPr>
          <w:rFonts w:cs="Arial"/>
        </w:rPr>
        <w:t>Plan</w:t>
      </w:r>
      <w:r>
        <w:rPr>
          <w:rFonts w:cs="Arial"/>
        </w:rPr>
        <w:t>. S</w:t>
      </w:r>
      <w:r w:rsidRPr="375902C0">
        <w:rPr>
          <w:rFonts w:cs="Arial"/>
        </w:rPr>
        <w:t xml:space="preserve">ome decision-makers </w:t>
      </w:r>
      <w:r>
        <w:rPr>
          <w:rFonts w:cs="Arial"/>
        </w:rPr>
        <w:t>considered that there was</w:t>
      </w:r>
      <w:r w:rsidRPr="375902C0">
        <w:rPr>
          <w:rFonts w:cs="Arial"/>
        </w:rPr>
        <w:t xml:space="preserve"> a </w:t>
      </w:r>
      <w:r>
        <w:rPr>
          <w:rFonts w:cs="Arial"/>
        </w:rPr>
        <w:t xml:space="preserve">current </w:t>
      </w:r>
      <w:r w:rsidRPr="375902C0">
        <w:rPr>
          <w:rFonts w:cs="Arial"/>
        </w:rPr>
        <w:t xml:space="preserve">lack of awareness of the </w:t>
      </w:r>
      <w:r w:rsidR="00DC2E44">
        <w:rPr>
          <w:rFonts w:cs="Arial"/>
        </w:rPr>
        <w:t>Plan</w:t>
      </w:r>
      <w:r w:rsidRPr="375902C0">
        <w:rPr>
          <w:rFonts w:cs="Arial"/>
        </w:rPr>
        <w:t xml:space="preserve"> amongst some </w:t>
      </w:r>
      <w:r w:rsidR="00B302C5">
        <w:t>applicants</w:t>
      </w:r>
      <w:r w:rsidRPr="375902C0">
        <w:rPr>
          <w:rFonts w:cs="Arial"/>
        </w:rPr>
        <w:t>.</w:t>
      </w:r>
      <w:r>
        <w:t xml:space="preserve"> </w:t>
      </w:r>
      <w:r w:rsidR="002F2801">
        <w:br/>
      </w:r>
      <w:r w:rsidR="002F2801">
        <w:br/>
      </w:r>
      <w:r>
        <w:t xml:space="preserve">This information provides further evidence for the need to provide continued and improved support to </w:t>
      </w:r>
      <w:r w:rsidRPr="375902C0">
        <w:rPr>
          <w:rStyle w:val="Hyperlink"/>
          <w:color w:val="auto"/>
          <w:u w:val="none"/>
        </w:rPr>
        <w:t>promote</w:t>
      </w:r>
      <w:r>
        <w:rPr>
          <w:rStyle w:val="Hyperlink"/>
          <w:color w:val="auto"/>
          <w:u w:val="none"/>
        </w:rPr>
        <w:t xml:space="preserve"> </w:t>
      </w:r>
      <w:r w:rsidRPr="375902C0">
        <w:rPr>
          <w:rStyle w:val="Hyperlink"/>
          <w:color w:val="auto"/>
          <w:u w:val="none"/>
        </w:rPr>
        <w:t xml:space="preserve">use of the </w:t>
      </w:r>
      <w:r w:rsidR="00DC2E44">
        <w:rPr>
          <w:rStyle w:val="Hyperlink"/>
          <w:color w:val="auto"/>
          <w:u w:val="none"/>
        </w:rPr>
        <w:t>Plan</w:t>
      </w:r>
      <w:r w:rsidRPr="375902C0">
        <w:rPr>
          <w:rStyle w:val="Hyperlink"/>
          <w:color w:val="auto"/>
          <w:u w:val="none"/>
        </w:rPr>
        <w:t>.</w:t>
      </w:r>
    </w:p>
    <w:p w14:paraId="38324CE1" w14:textId="368A1AA0" w:rsidR="00F166D4" w:rsidRPr="00C92B18" w:rsidRDefault="00DC2E44" w:rsidP="00285EEE">
      <w:pPr>
        <w:pStyle w:val="Heading4"/>
      </w:pPr>
      <w:r>
        <w:t>Plan</w:t>
      </w:r>
      <w:r w:rsidR="00F166D4" w:rsidRPr="00C92B18">
        <w:t xml:space="preserve"> use in marine licence decision-making</w:t>
      </w:r>
    </w:p>
    <w:p w14:paraId="7CBC209D" w14:textId="1C5CA837" w:rsidR="00F166D4" w:rsidRDefault="00F166D4" w:rsidP="00D43BAE">
      <w:pPr>
        <w:pStyle w:val="ListParagraph"/>
        <w:numPr>
          <w:ilvl w:val="0"/>
          <w:numId w:val="8"/>
        </w:numPr>
        <w:ind w:left="561" w:hanging="567"/>
        <w:contextualSpacing w:val="0"/>
        <w:rPr>
          <w:rStyle w:val="Hyperlink"/>
          <w:color w:val="auto"/>
          <w:u w:val="none"/>
        </w:rPr>
      </w:pPr>
      <w:r w:rsidRPr="00BA1F70">
        <w:rPr>
          <w:rStyle w:val="Hyperlink"/>
          <w:color w:val="auto"/>
          <w:u w:val="none"/>
        </w:rPr>
        <w:t xml:space="preserve">Overall, monitoring data showed </w:t>
      </w:r>
      <w:r>
        <w:rPr>
          <w:rStyle w:val="Hyperlink"/>
          <w:color w:val="auto"/>
          <w:u w:val="none"/>
        </w:rPr>
        <w:t xml:space="preserve">an increase in the </w:t>
      </w:r>
      <w:r w:rsidRPr="00BA1F70">
        <w:rPr>
          <w:rStyle w:val="Hyperlink"/>
          <w:color w:val="auto"/>
          <w:u w:val="none"/>
        </w:rPr>
        <w:t xml:space="preserve">use of the </w:t>
      </w:r>
      <w:r w:rsidR="00DC2E44">
        <w:rPr>
          <w:rStyle w:val="Hyperlink"/>
          <w:color w:val="auto"/>
          <w:u w:val="none"/>
        </w:rPr>
        <w:t>Plan</w:t>
      </w:r>
      <w:r w:rsidRPr="00BA1F70">
        <w:rPr>
          <w:rStyle w:val="Hyperlink"/>
          <w:color w:val="auto"/>
          <w:u w:val="none"/>
        </w:rPr>
        <w:t xml:space="preserve"> in marine licence decision-making.</w:t>
      </w:r>
      <w:r w:rsidRPr="00420057">
        <w:rPr>
          <w:rStyle w:val="Hyperlink"/>
          <w:color w:val="auto"/>
          <w:u w:val="none"/>
        </w:rPr>
        <w:t xml:space="preserve"> </w:t>
      </w:r>
      <w:r>
        <w:rPr>
          <w:rStyle w:val="Hyperlink"/>
          <w:color w:val="auto"/>
          <w:u w:val="none"/>
        </w:rPr>
        <w:t>However, findings</w:t>
      </w:r>
      <w:r w:rsidRPr="00420057">
        <w:rPr>
          <w:rStyle w:val="Hyperlink"/>
          <w:color w:val="auto"/>
          <w:u w:val="none"/>
        </w:rPr>
        <w:t xml:space="preserve"> suggest that further engagement and training may </w:t>
      </w:r>
      <w:r w:rsidRPr="00AF364B">
        <w:rPr>
          <w:rFonts w:cs="Arial"/>
        </w:rPr>
        <w:t>be</w:t>
      </w:r>
      <w:r w:rsidRPr="00420057">
        <w:rPr>
          <w:rStyle w:val="Hyperlink"/>
          <w:color w:val="auto"/>
          <w:u w:val="none"/>
        </w:rPr>
        <w:t xml:space="preserve"> required to support the use of </w:t>
      </w:r>
      <w:r w:rsidR="00F86035">
        <w:rPr>
          <w:rStyle w:val="Hyperlink"/>
          <w:color w:val="auto"/>
          <w:u w:val="none"/>
        </w:rPr>
        <w:t xml:space="preserve">the </w:t>
      </w:r>
      <w:r w:rsidR="00DC2E44">
        <w:rPr>
          <w:rStyle w:val="Hyperlink"/>
          <w:color w:val="auto"/>
          <w:u w:val="none"/>
        </w:rPr>
        <w:t>Plan</w:t>
      </w:r>
      <w:r w:rsidRPr="00420057">
        <w:rPr>
          <w:rStyle w:val="Hyperlink"/>
          <w:color w:val="auto"/>
          <w:u w:val="none"/>
        </w:rPr>
        <w:t xml:space="preserve"> in marine licen</w:t>
      </w:r>
      <w:r w:rsidR="006F2A02">
        <w:rPr>
          <w:rStyle w:val="Hyperlink"/>
          <w:color w:val="auto"/>
          <w:u w:val="none"/>
        </w:rPr>
        <w:t>ce</w:t>
      </w:r>
      <w:r w:rsidRPr="00420057">
        <w:rPr>
          <w:rStyle w:val="Hyperlink"/>
          <w:color w:val="auto"/>
          <w:u w:val="none"/>
        </w:rPr>
        <w:t xml:space="preserve"> decision-making.</w:t>
      </w:r>
    </w:p>
    <w:p w14:paraId="583C0ECF" w14:textId="7534072E" w:rsidR="00F166D4" w:rsidRPr="00220C3C" w:rsidRDefault="00F166D4" w:rsidP="00D43BAE">
      <w:pPr>
        <w:pStyle w:val="ListParagraph"/>
        <w:numPr>
          <w:ilvl w:val="0"/>
          <w:numId w:val="8"/>
        </w:numPr>
        <w:ind w:left="561" w:hanging="567"/>
        <w:contextualSpacing w:val="0"/>
        <w:rPr>
          <w:rStyle w:val="Hyperlink"/>
          <w:color w:val="auto"/>
          <w:u w:val="none"/>
        </w:rPr>
      </w:pPr>
      <w:r w:rsidRPr="00220C3C">
        <w:rPr>
          <w:rStyle w:val="Hyperlink"/>
          <w:color w:val="auto"/>
          <w:u w:val="none"/>
        </w:rPr>
        <w:t xml:space="preserve">The MMO </w:t>
      </w:r>
      <w:r w:rsidRPr="008F719F">
        <w:rPr>
          <w:rStyle w:val="Hyperlink"/>
          <w:color w:val="auto"/>
          <w:u w:val="none"/>
        </w:rPr>
        <w:t xml:space="preserve">considered use of the </w:t>
      </w:r>
      <w:r w:rsidR="00DC2E44">
        <w:rPr>
          <w:rStyle w:val="Hyperlink"/>
          <w:color w:val="auto"/>
          <w:u w:val="none"/>
        </w:rPr>
        <w:t>Plan</w:t>
      </w:r>
      <w:r w:rsidRPr="008F719F">
        <w:rPr>
          <w:rStyle w:val="Hyperlink"/>
          <w:color w:val="auto"/>
          <w:u w:val="none"/>
        </w:rPr>
        <w:t xml:space="preserve"> for all 97 </w:t>
      </w:r>
      <w:r w:rsidRPr="008F719F">
        <w:rPr>
          <w:rStyle w:val="Hyperlink"/>
          <w:rFonts w:cs="Arial"/>
          <w:color w:val="auto"/>
          <w:u w:val="none"/>
        </w:rPr>
        <w:t>marine licence applications reviewed. O</w:t>
      </w:r>
      <w:r w:rsidRPr="008F719F">
        <w:rPr>
          <w:rStyle w:val="Hyperlink"/>
          <w:color w:val="auto"/>
          <w:u w:val="none"/>
        </w:rPr>
        <w:t xml:space="preserve">ne </w:t>
      </w:r>
      <w:r>
        <w:t xml:space="preserve">marine licence application was refused by the MMO after being considered non-compliant with the </w:t>
      </w:r>
      <w:r w:rsidR="00DC2E44">
        <w:rPr>
          <w:rFonts w:cs="Arial"/>
        </w:rPr>
        <w:t>Plan</w:t>
      </w:r>
      <w:r w:rsidRPr="00220C3C">
        <w:rPr>
          <w:rStyle w:val="Hyperlink"/>
          <w:rFonts w:cs="Arial"/>
          <w:color w:val="auto"/>
          <w:u w:val="none"/>
        </w:rPr>
        <w:t>.</w:t>
      </w:r>
      <w:r w:rsidRPr="008F719F">
        <w:rPr>
          <w:rStyle w:val="Hyperlink"/>
          <w:rFonts w:cs="Arial"/>
          <w:color w:val="auto"/>
          <w:u w:val="none"/>
        </w:rPr>
        <w:t xml:space="preserve"> </w:t>
      </w:r>
      <w:r w:rsidR="002F2801">
        <w:rPr>
          <w:rStyle w:val="Hyperlink"/>
          <w:rFonts w:cs="Arial"/>
          <w:color w:val="auto"/>
          <w:u w:val="none"/>
        </w:rPr>
        <w:br/>
      </w:r>
      <w:r w:rsidR="002F2801">
        <w:rPr>
          <w:rStyle w:val="Hyperlink"/>
          <w:rFonts w:cs="Arial"/>
          <w:color w:val="auto"/>
          <w:u w:val="none"/>
        </w:rPr>
        <w:lastRenderedPageBreak/>
        <w:br/>
      </w:r>
      <w:r w:rsidRPr="008F719F">
        <w:rPr>
          <w:rStyle w:val="Hyperlink"/>
          <w:rFonts w:cs="Arial"/>
          <w:color w:val="auto"/>
          <w:u w:val="none"/>
        </w:rPr>
        <w:t xml:space="preserve">However, the MMO granted the vast majority </w:t>
      </w:r>
      <w:r w:rsidRPr="00220C3C">
        <w:rPr>
          <w:rStyle w:val="Hyperlink"/>
          <w:rFonts w:cs="Arial"/>
          <w:color w:val="auto"/>
          <w:u w:val="none"/>
        </w:rPr>
        <w:t>(99%)</w:t>
      </w:r>
      <w:r w:rsidRPr="008F719F">
        <w:rPr>
          <w:rStyle w:val="Hyperlink"/>
          <w:rFonts w:cs="Arial"/>
          <w:color w:val="auto"/>
          <w:u w:val="none"/>
        </w:rPr>
        <w:t xml:space="preserve"> of </w:t>
      </w:r>
      <w:r>
        <w:t xml:space="preserve">marine licence applications </w:t>
      </w:r>
      <w:r w:rsidRPr="008F719F">
        <w:rPr>
          <w:rStyle w:val="Hyperlink"/>
          <w:rFonts w:cs="Arial"/>
          <w:color w:val="auto"/>
          <w:u w:val="none"/>
        </w:rPr>
        <w:t xml:space="preserve">after </w:t>
      </w:r>
      <w:r>
        <w:t xml:space="preserve">considering them to be compliant with the </w:t>
      </w:r>
      <w:r w:rsidR="00DC2E44">
        <w:t>Plan</w:t>
      </w:r>
      <w:r>
        <w:t>.</w:t>
      </w:r>
      <w:r w:rsidRPr="008F719F">
        <w:rPr>
          <w:rStyle w:val="Hyperlink"/>
          <w:rFonts w:cs="Arial"/>
          <w:color w:val="auto"/>
          <w:u w:val="none"/>
        </w:rPr>
        <w:t xml:space="preserve"> </w:t>
      </w:r>
    </w:p>
    <w:p w14:paraId="13110B12" w14:textId="477E7AE2" w:rsidR="00F166D4" w:rsidRPr="0046057A" w:rsidRDefault="00F166D4" w:rsidP="00D43BAE">
      <w:pPr>
        <w:pStyle w:val="ListParagraph"/>
        <w:numPr>
          <w:ilvl w:val="0"/>
          <w:numId w:val="8"/>
        </w:numPr>
        <w:ind w:left="561" w:hanging="567"/>
        <w:contextualSpacing w:val="0"/>
        <w:rPr>
          <w:rFonts w:cs="Arial"/>
          <w:sz w:val="28"/>
          <w:szCs w:val="28"/>
        </w:rPr>
      </w:pPr>
      <w:r w:rsidRPr="008E4992">
        <w:t xml:space="preserve">Since </w:t>
      </w:r>
      <w:r w:rsidR="00DC2E44">
        <w:t>Plan</w:t>
      </w:r>
      <w:r w:rsidRPr="008E4992">
        <w:t xml:space="preserve"> adoption, the average time taken </w:t>
      </w:r>
      <w:r w:rsidR="00176071">
        <w:t xml:space="preserve">for MMO staff </w:t>
      </w:r>
      <w:r w:rsidRPr="008E4992">
        <w:t xml:space="preserve">to process a marine licence application </w:t>
      </w:r>
      <w:r w:rsidR="00176071">
        <w:t xml:space="preserve">for licensable activities within the </w:t>
      </w:r>
      <w:r w:rsidR="00B07496">
        <w:t xml:space="preserve">South Marine </w:t>
      </w:r>
      <w:r w:rsidR="00DC2E44">
        <w:t>Plan</w:t>
      </w:r>
      <w:r w:rsidR="00176071">
        <w:t xml:space="preserve"> areas </w:t>
      </w:r>
      <w:r w:rsidRPr="008E4992">
        <w:t xml:space="preserve">has increased to 64 hours in the 2019/2020 reporting year. </w:t>
      </w:r>
      <w:r w:rsidR="002F2801">
        <w:br/>
      </w:r>
      <w:r w:rsidR="002F2801">
        <w:br/>
      </w:r>
      <w:r>
        <w:t>This f</w:t>
      </w:r>
      <w:r w:rsidRPr="0046057A">
        <w:t>inding</w:t>
      </w:r>
      <w:r>
        <w:t xml:space="preserve"> shows</w:t>
      </w:r>
      <w:r w:rsidRPr="0046057A">
        <w:t xml:space="preserve"> that </w:t>
      </w:r>
      <w:r w:rsidRPr="00AF364B">
        <w:rPr>
          <w:rFonts w:cs="Arial"/>
        </w:rPr>
        <w:t>improved</w:t>
      </w:r>
      <w:r w:rsidRPr="0046057A">
        <w:t xml:space="preserve"> efficiency as a result of an integrated </w:t>
      </w:r>
      <w:r w:rsidR="00487C0B">
        <w:t>p</w:t>
      </w:r>
      <w:r w:rsidR="00DC2E44">
        <w:t>lan</w:t>
      </w:r>
      <w:r w:rsidRPr="0046057A">
        <w:t xml:space="preserve">-led approach has yet to be realised. </w:t>
      </w:r>
      <w:r w:rsidR="002F2801">
        <w:br/>
      </w:r>
      <w:r w:rsidR="002F2801">
        <w:br/>
      </w:r>
      <w:r w:rsidRPr="0046057A">
        <w:t xml:space="preserve">However, an increase in application processing times is expected during the early periods after </w:t>
      </w:r>
      <w:r w:rsidR="00DC2E44">
        <w:t>Plan</w:t>
      </w:r>
      <w:r w:rsidRPr="0046057A">
        <w:t xml:space="preserve"> adoption as existing systems and processes adapt to the change. </w:t>
      </w:r>
    </w:p>
    <w:p w14:paraId="0FE26C49" w14:textId="7D52E29B" w:rsidR="00F166D4" w:rsidRDefault="00F166D4" w:rsidP="00D43BAE">
      <w:pPr>
        <w:pStyle w:val="ListParagraph"/>
        <w:numPr>
          <w:ilvl w:val="0"/>
          <w:numId w:val="8"/>
        </w:numPr>
        <w:ind w:left="561" w:hanging="567"/>
        <w:contextualSpacing w:val="0"/>
      </w:pPr>
      <w:r>
        <w:t>I</w:t>
      </w:r>
      <w:r w:rsidRPr="00A7776C">
        <w:t xml:space="preserve">mprovements </w:t>
      </w:r>
      <w:r>
        <w:t>were</w:t>
      </w:r>
      <w:r w:rsidRPr="00A7776C">
        <w:t xml:space="preserve"> made to policy assessments and record </w:t>
      </w:r>
      <w:r>
        <w:t xml:space="preserve">keeping used to inform marine </w:t>
      </w:r>
      <w:r w:rsidR="001D5809">
        <w:t>licence</w:t>
      </w:r>
      <w:r>
        <w:t xml:space="preserve"> decision</w:t>
      </w:r>
      <w:r w:rsidR="001D5809">
        <w:t>-making</w:t>
      </w:r>
      <w:r>
        <w:t xml:space="preserve"> during the first reporting window of the </w:t>
      </w:r>
      <w:r w:rsidR="00DC2E44">
        <w:t>Plan</w:t>
      </w:r>
      <w:r>
        <w:t>.</w:t>
      </w:r>
      <w:r w:rsidRPr="004259E9">
        <w:rPr>
          <w:rStyle w:val="Hyperlink"/>
          <w:rFonts w:cs="Arial"/>
          <w:color w:val="auto"/>
          <w:u w:val="none"/>
        </w:rPr>
        <w:t xml:space="preserve"> </w:t>
      </w:r>
      <w:r w:rsidR="002F2801">
        <w:rPr>
          <w:rStyle w:val="Hyperlink"/>
          <w:rFonts w:cs="Arial"/>
          <w:color w:val="auto"/>
          <w:u w:val="none"/>
        </w:rPr>
        <w:br/>
      </w:r>
      <w:r w:rsidR="002F2801">
        <w:rPr>
          <w:rStyle w:val="Hyperlink"/>
          <w:rFonts w:cs="Arial"/>
          <w:color w:val="auto"/>
          <w:u w:val="none"/>
        </w:rPr>
        <w:br/>
      </w:r>
      <w:r w:rsidRPr="004259E9">
        <w:rPr>
          <w:rStyle w:val="Hyperlink"/>
          <w:rFonts w:cs="Arial"/>
          <w:color w:val="auto"/>
          <w:u w:val="none"/>
        </w:rPr>
        <w:t xml:space="preserve">Completed </w:t>
      </w:r>
      <w:r w:rsidRPr="00D43BAE">
        <w:t>policy</w:t>
      </w:r>
      <w:r w:rsidRPr="004259E9">
        <w:rPr>
          <w:rStyle w:val="Hyperlink"/>
          <w:rFonts w:cs="Arial"/>
          <w:color w:val="auto"/>
          <w:u w:val="none"/>
        </w:rPr>
        <w:t xml:space="preserve"> assessment</w:t>
      </w:r>
      <w:r>
        <w:rPr>
          <w:rStyle w:val="Hyperlink"/>
          <w:rFonts w:cs="Arial"/>
          <w:color w:val="auto"/>
          <w:u w:val="none"/>
        </w:rPr>
        <w:t>s</w:t>
      </w:r>
      <w:r w:rsidRPr="004259E9">
        <w:rPr>
          <w:rStyle w:val="Hyperlink"/>
          <w:rFonts w:cs="Arial"/>
          <w:color w:val="auto"/>
          <w:u w:val="none"/>
        </w:rPr>
        <w:t xml:space="preserve"> were found for 82 </w:t>
      </w:r>
      <w:r>
        <w:t xml:space="preserve">of the 97 (85%) of the </w:t>
      </w:r>
      <w:r w:rsidRPr="004259E9">
        <w:rPr>
          <w:rStyle w:val="Hyperlink"/>
          <w:rFonts w:cs="Arial"/>
          <w:color w:val="auto"/>
          <w:u w:val="none"/>
        </w:rPr>
        <w:t>marine licence applications</w:t>
      </w:r>
      <w:r>
        <w:rPr>
          <w:rStyle w:val="Hyperlink"/>
          <w:rFonts w:cs="Arial"/>
          <w:color w:val="auto"/>
          <w:u w:val="none"/>
        </w:rPr>
        <w:t xml:space="preserve"> reviewed (</w:t>
      </w:r>
      <w:hyperlink w:anchor="_Annex_B:_Policy">
        <w:r w:rsidRPr="09F83F24">
          <w:rPr>
            <w:rStyle w:val="Hyperlink"/>
            <w:rFonts w:cs="Arial"/>
          </w:rPr>
          <w:t>Annex B</w:t>
        </w:r>
      </w:hyperlink>
      <w:r w:rsidRPr="09F83F24">
        <w:rPr>
          <w:rStyle w:val="Hyperlink"/>
          <w:rFonts w:cs="Arial"/>
          <w:color w:val="auto"/>
          <w:u w:val="none"/>
        </w:rPr>
        <w:t>)</w:t>
      </w:r>
      <w:r>
        <w:t xml:space="preserve">. </w:t>
      </w:r>
      <w:r w:rsidR="002F2801">
        <w:br/>
      </w:r>
      <w:r w:rsidR="002F2801">
        <w:br/>
      </w:r>
      <w:r>
        <w:t xml:space="preserve">Missing or incomplete </w:t>
      </w:r>
      <w:r w:rsidRPr="004259E9">
        <w:rPr>
          <w:rStyle w:val="Hyperlink"/>
          <w:rFonts w:cs="Arial"/>
          <w:color w:val="auto"/>
          <w:u w:val="none"/>
        </w:rPr>
        <w:t>policy assessment</w:t>
      </w:r>
      <w:r>
        <w:rPr>
          <w:rStyle w:val="Hyperlink"/>
          <w:rFonts w:cs="Arial"/>
          <w:color w:val="auto"/>
          <w:u w:val="none"/>
        </w:rPr>
        <w:t>s</w:t>
      </w:r>
      <w:r w:rsidRPr="004259E9">
        <w:rPr>
          <w:rStyle w:val="Hyperlink"/>
          <w:rFonts w:cs="Arial"/>
          <w:color w:val="auto"/>
          <w:u w:val="none"/>
        </w:rPr>
        <w:t xml:space="preserve"> </w:t>
      </w:r>
      <w:r>
        <w:t xml:space="preserve">most likely occurred as the result of human error. </w:t>
      </w:r>
      <w:r w:rsidRPr="00442E37">
        <w:t xml:space="preserve">Training </w:t>
      </w:r>
      <w:r>
        <w:t xml:space="preserve">sessions were </w:t>
      </w:r>
      <w:r w:rsidRPr="00442E37">
        <w:t xml:space="preserve">delivered in 2019 </w:t>
      </w:r>
      <w:r w:rsidRPr="008F5D78">
        <w:t xml:space="preserve">and 2020 </w:t>
      </w:r>
      <w:r w:rsidRPr="00442E37">
        <w:t xml:space="preserve">to </w:t>
      </w:r>
      <w:r>
        <w:t>help support and</w:t>
      </w:r>
      <w:r w:rsidRPr="008F5D78">
        <w:t xml:space="preserve"> </w:t>
      </w:r>
      <w:r w:rsidRPr="00442E37">
        <w:t xml:space="preserve">improve the use the </w:t>
      </w:r>
      <w:r w:rsidR="00DC2E44">
        <w:t>Plan</w:t>
      </w:r>
      <w:r w:rsidRPr="00442E37">
        <w:t xml:space="preserve"> by the MMO.</w:t>
      </w:r>
    </w:p>
    <w:p w14:paraId="4276D014" w14:textId="6FCC485F" w:rsidR="00F65B88" w:rsidRPr="00F65B88" w:rsidRDefault="00F166D4" w:rsidP="00400930">
      <w:pPr>
        <w:pStyle w:val="ListParagraph"/>
        <w:numPr>
          <w:ilvl w:val="0"/>
          <w:numId w:val="8"/>
        </w:numPr>
        <w:ind w:left="561" w:hanging="567"/>
        <w:contextualSpacing w:val="0"/>
        <w:rPr>
          <w:color w:val="1D70B8"/>
          <w:u w:val="single"/>
        </w:rPr>
      </w:pPr>
      <w:r>
        <w:t xml:space="preserve">Overall, 35 of the 82 (43%) marine licence applications with completed policy assessments were </w:t>
      </w:r>
      <w:r w:rsidRPr="00D43BAE">
        <w:t>considered</w:t>
      </w:r>
      <w:r>
        <w:t xml:space="preserve"> by the MMO to have demonstrated compliance with all applicable policies within the initial application. </w:t>
      </w:r>
      <w:r w:rsidR="002F2801">
        <w:br/>
      </w:r>
      <w:r w:rsidR="002F2801">
        <w:br/>
      </w:r>
      <w:r w:rsidR="00F65B88">
        <w:t xml:space="preserve">Despite </w:t>
      </w:r>
      <w:r w:rsidR="00B302C5">
        <w:t>applicants</w:t>
      </w:r>
      <w:r w:rsidR="00F65B88">
        <w:t xml:space="preserve"> considering the </w:t>
      </w:r>
      <w:r w:rsidR="00DC2E44">
        <w:t>Plan</w:t>
      </w:r>
      <w:r w:rsidR="00F65B88">
        <w:t xml:space="preserve"> during proposal development (see paragraphs 72 and 73), t</w:t>
      </w:r>
      <w:r w:rsidR="00EE3343">
        <w:t xml:space="preserve">his finding suggests that </w:t>
      </w:r>
      <w:r w:rsidR="00F65B88">
        <w:t xml:space="preserve">initial </w:t>
      </w:r>
      <w:r w:rsidR="00BA7738">
        <w:t xml:space="preserve">marine licence applications often </w:t>
      </w:r>
      <w:r w:rsidR="00F65B88">
        <w:t>do not contain the information needed</w:t>
      </w:r>
      <w:r w:rsidR="00BA7738">
        <w:t xml:space="preserve"> to </w:t>
      </w:r>
      <w:r w:rsidR="00670A8A">
        <w:t>satisfy the MMO</w:t>
      </w:r>
      <w:r w:rsidR="00F65B88">
        <w:t xml:space="preserve"> that compliance with all applicable policies has been demonstrated.</w:t>
      </w:r>
    </w:p>
    <w:p w14:paraId="3444BD80" w14:textId="5A3CFA0E" w:rsidR="00F166D4" w:rsidRDefault="00F166D4" w:rsidP="00D43BAE">
      <w:pPr>
        <w:pStyle w:val="ListParagraph"/>
        <w:numPr>
          <w:ilvl w:val="0"/>
          <w:numId w:val="8"/>
        </w:numPr>
        <w:ind w:left="561" w:hanging="567"/>
        <w:contextualSpacing w:val="0"/>
      </w:pPr>
      <w:r>
        <w:t xml:space="preserve">Completed policy assessments provided evidence on how often policies are being applied in marine </w:t>
      </w:r>
      <w:r w:rsidR="001D5809">
        <w:t>licence</w:t>
      </w:r>
      <w:r>
        <w:t xml:space="preserve"> </w:t>
      </w:r>
      <w:r w:rsidR="001D5809">
        <w:t>decision-making</w:t>
      </w:r>
      <w:r>
        <w:t xml:space="preserve"> </w:t>
      </w:r>
      <w:r w:rsidRPr="00E518E2">
        <w:rPr>
          <w:rStyle w:val="Hyperlink"/>
          <w:color w:val="auto"/>
          <w:u w:val="none"/>
        </w:rPr>
        <w:t>(</w:t>
      </w:r>
      <w:hyperlink w:anchor="_Annex_B:_Policy">
        <w:r w:rsidRPr="375902C0">
          <w:rPr>
            <w:rStyle w:val="Hyperlink"/>
          </w:rPr>
          <w:t>Annex B</w:t>
        </w:r>
      </w:hyperlink>
      <w:r w:rsidRPr="00E518E2">
        <w:rPr>
          <w:rStyle w:val="Hyperlink"/>
          <w:color w:val="auto"/>
          <w:u w:val="none"/>
        </w:rPr>
        <w:t>)</w:t>
      </w:r>
      <w:r>
        <w:t>. This information, therefore, also allowed policy influence in marine licen</w:t>
      </w:r>
      <w:r w:rsidR="006F2A02">
        <w:t xml:space="preserve">ce decision-making </w:t>
      </w:r>
      <w:r>
        <w:t xml:space="preserve">to be assessed. </w:t>
      </w:r>
      <w:r w:rsidR="002F2801">
        <w:br/>
      </w:r>
      <w:r w:rsidR="002F2801">
        <w:br/>
      </w:r>
      <w:r>
        <w:t xml:space="preserve">Policy influence assessments were made on the assumption that the most </w:t>
      </w:r>
      <w:r w:rsidRPr="00AF364B">
        <w:rPr>
          <w:rFonts w:cs="Arial"/>
        </w:rPr>
        <w:t>influential</w:t>
      </w:r>
      <w:r>
        <w:t xml:space="preserve"> policies are those which most often require additional information from either consultees or </w:t>
      </w:r>
      <w:r w:rsidR="00B302C5">
        <w:t>marine licence applicants</w:t>
      </w:r>
      <w:r w:rsidRPr="00E518E2">
        <w:rPr>
          <w:rFonts w:cs="Arial"/>
        </w:rPr>
        <w:t xml:space="preserve">. </w:t>
      </w:r>
      <w:r w:rsidR="002F2801">
        <w:rPr>
          <w:rFonts w:cs="Arial"/>
        </w:rPr>
        <w:br/>
      </w:r>
      <w:r w:rsidR="002F2801">
        <w:rPr>
          <w:rFonts w:cs="Arial"/>
        </w:rPr>
        <w:br/>
      </w:r>
      <w:r>
        <w:t xml:space="preserve">Overall, 12 of the 82 (15%) marine licence applications were returned to </w:t>
      </w:r>
      <w:r w:rsidR="00B302C5">
        <w:t>applicants</w:t>
      </w:r>
      <w:r>
        <w:t xml:space="preserve"> for further information related to one or more policies. </w:t>
      </w:r>
      <w:r w:rsidR="002F2801">
        <w:br/>
      </w:r>
      <w:r w:rsidR="002F2801">
        <w:br/>
      </w:r>
      <w:r>
        <w:t xml:space="preserve">Consultees provided the details needed to inform the marine </w:t>
      </w:r>
      <w:r w:rsidR="00487C0B">
        <w:t>p</w:t>
      </w:r>
      <w:r w:rsidR="00DC2E44">
        <w:t>lan</w:t>
      </w:r>
      <w:r>
        <w:t xml:space="preserve"> policy assessment for 34 of the 82 (41%) marine licence applications.</w:t>
      </w:r>
      <w:r w:rsidRPr="00061B47">
        <w:t xml:space="preserve"> </w:t>
      </w:r>
    </w:p>
    <w:p w14:paraId="4C26976A" w14:textId="4B28C312" w:rsidR="00F166D4" w:rsidRPr="00E518E2" w:rsidRDefault="00F166D4" w:rsidP="00D43BAE">
      <w:pPr>
        <w:pStyle w:val="ListParagraph"/>
        <w:numPr>
          <w:ilvl w:val="0"/>
          <w:numId w:val="8"/>
        </w:numPr>
        <w:ind w:left="561" w:hanging="567"/>
        <w:contextualSpacing w:val="0"/>
        <w:rPr>
          <w:rStyle w:val="Hyperlink"/>
          <w:color w:val="auto"/>
          <w:u w:val="none"/>
        </w:rPr>
      </w:pPr>
      <w:r>
        <w:lastRenderedPageBreak/>
        <w:t xml:space="preserve">Information was most often required for environmental policies (63% of 317 instances) within the first reporting window of the </w:t>
      </w:r>
      <w:r w:rsidR="00DC2E44">
        <w:t>Plan</w:t>
      </w:r>
      <w:r>
        <w:t xml:space="preserve">. </w:t>
      </w:r>
      <w:r w:rsidR="002F2801">
        <w:br/>
      </w:r>
      <w:r w:rsidR="002F2801">
        <w:br/>
      </w:r>
      <w:r>
        <w:t xml:space="preserve">Economic and </w:t>
      </w:r>
      <w:r w:rsidRPr="00E518E2">
        <w:rPr>
          <w:rStyle w:val="Hyperlink"/>
          <w:color w:val="auto"/>
          <w:u w:val="none"/>
        </w:rPr>
        <w:t>social policies accounted for 8% and 30% of instances of policies requiring further information. The spatial nature</w:t>
      </w:r>
      <w:r w:rsidRPr="00E518E2" w:rsidDel="00A50D33">
        <w:rPr>
          <w:rStyle w:val="Hyperlink"/>
          <w:color w:val="auto"/>
          <w:u w:val="none"/>
        </w:rPr>
        <w:t xml:space="preserve"> </w:t>
      </w:r>
      <w:r w:rsidRPr="00E518E2">
        <w:rPr>
          <w:rStyle w:val="Hyperlink"/>
          <w:color w:val="auto"/>
          <w:u w:val="none"/>
        </w:rPr>
        <w:t>of many of the economic policies (</w:t>
      </w:r>
      <w:r w:rsidR="002F2801">
        <w:rPr>
          <w:rStyle w:val="Hyperlink"/>
          <w:color w:val="auto"/>
          <w:u w:val="none"/>
        </w:rPr>
        <w:t>for example,</w:t>
      </w:r>
      <w:r w:rsidR="002F2801" w:rsidRPr="00E518E2">
        <w:rPr>
          <w:rStyle w:val="Hyperlink"/>
          <w:color w:val="auto"/>
          <w:u w:val="none"/>
        </w:rPr>
        <w:t xml:space="preserve"> </w:t>
      </w:r>
      <w:r w:rsidRPr="00E518E2">
        <w:rPr>
          <w:rStyle w:val="Hyperlink"/>
          <w:color w:val="auto"/>
          <w:u w:val="none"/>
        </w:rPr>
        <w:t>S-AGG-1) may explain why further information was required least often for these policies.</w:t>
      </w:r>
      <w:r>
        <w:t xml:space="preserve"> </w:t>
      </w:r>
    </w:p>
    <w:p w14:paraId="1E574F3B" w14:textId="5AFE9395" w:rsidR="002F2801" w:rsidRPr="00285EEE" w:rsidRDefault="00F166D4" w:rsidP="00D43BAE">
      <w:pPr>
        <w:pStyle w:val="ListParagraph"/>
        <w:numPr>
          <w:ilvl w:val="0"/>
          <w:numId w:val="8"/>
        </w:numPr>
        <w:ind w:left="561" w:hanging="567"/>
        <w:contextualSpacing w:val="0"/>
        <w:rPr>
          <w:color w:val="1D70B8"/>
          <w:u w:val="single"/>
        </w:rPr>
      </w:pPr>
      <w:r>
        <w:t xml:space="preserve">Of the environmental policies, further information was requested most often to assist in the assessment of S-MPA-1 (21 instances) and S-BIO-1 (19 instances). These policies may, therefore, be considered as </w:t>
      </w:r>
      <w:r w:rsidR="00D6553C">
        <w:t xml:space="preserve">being </w:t>
      </w:r>
      <w:r w:rsidR="00497F30">
        <w:t xml:space="preserve">most </w:t>
      </w:r>
      <w:r w:rsidR="00D6553C">
        <w:t>influential</w:t>
      </w:r>
      <w:r>
        <w:t xml:space="preserve"> in </w:t>
      </w:r>
      <w:r w:rsidR="006F2A02">
        <w:t xml:space="preserve">the </w:t>
      </w:r>
      <w:r>
        <w:t>marine licen</w:t>
      </w:r>
      <w:r w:rsidR="006F2A02">
        <w:t>ce</w:t>
      </w:r>
      <w:r>
        <w:t xml:space="preserve"> decision</w:t>
      </w:r>
      <w:r w:rsidR="006F2A02">
        <w:t>-making process</w:t>
      </w:r>
      <w:r>
        <w:t>.</w:t>
      </w:r>
    </w:p>
    <w:p w14:paraId="7F8B9505" w14:textId="7051CFA3" w:rsidR="00F166D4" w:rsidRPr="000D6FE9" w:rsidRDefault="00F166D4" w:rsidP="00F36863">
      <w:pPr>
        <w:pStyle w:val="ListParagraph"/>
        <w:ind w:left="561"/>
        <w:contextualSpacing w:val="0"/>
        <w:rPr>
          <w:color w:val="1D70B8"/>
          <w:u w:val="single"/>
        </w:rPr>
      </w:pPr>
      <w:r>
        <w:t>Further information was also often requested regarding S-MPA-3 (17 instances)</w:t>
      </w:r>
      <w:r w:rsidR="000359C8">
        <w:t xml:space="preserve">, which </w:t>
      </w:r>
      <w:r w:rsidRPr="000D6FE9">
        <w:rPr>
          <w:rStyle w:val="Hyperlink"/>
          <w:color w:val="auto"/>
          <w:u w:val="none"/>
        </w:rPr>
        <w:t>does not directly relate to licensable marine activities</w:t>
      </w:r>
      <w:r w:rsidR="000359C8">
        <w:rPr>
          <w:rStyle w:val="Hyperlink"/>
          <w:color w:val="auto"/>
          <w:u w:val="none"/>
        </w:rPr>
        <w:t xml:space="preserve">. </w:t>
      </w:r>
      <w:r w:rsidR="002F2801">
        <w:rPr>
          <w:rStyle w:val="Hyperlink"/>
          <w:color w:val="auto"/>
          <w:u w:val="none"/>
        </w:rPr>
        <w:br/>
      </w:r>
      <w:r w:rsidR="002F2801">
        <w:rPr>
          <w:rStyle w:val="Hyperlink"/>
          <w:color w:val="auto"/>
          <w:u w:val="none"/>
        </w:rPr>
        <w:br/>
      </w:r>
      <w:r w:rsidR="000359C8">
        <w:rPr>
          <w:rStyle w:val="Hyperlink"/>
          <w:color w:val="auto"/>
          <w:u w:val="none"/>
        </w:rPr>
        <w:t>T</w:t>
      </w:r>
      <w:r w:rsidRPr="000D6FE9">
        <w:rPr>
          <w:rStyle w:val="Hyperlink"/>
          <w:color w:val="auto"/>
          <w:u w:val="none"/>
        </w:rPr>
        <w:t xml:space="preserve">his finding suggests that </w:t>
      </w:r>
      <w:r w:rsidR="000359C8">
        <w:rPr>
          <w:rStyle w:val="Hyperlink"/>
          <w:color w:val="auto"/>
          <w:u w:val="none"/>
        </w:rPr>
        <w:t>S-MPA-3</w:t>
      </w:r>
      <w:r w:rsidRPr="000D6FE9">
        <w:rPr>
          <w:rStyle w:val="Hyperlink"/>
          <w:color w:val="auto"/>
          <w:u w:val="none"/>
        </w:rPr>
        <w:t xml:space="preserve"> may be vulnerable to </w:t>
      </w:r>
      <w:r w:rsidR="000359C8">
        <w:rPr>
          <w:rStyle w:val="Hyperlink"/>
          <w:color w:val="auto"/>
          <w:u w:val="none"/>
        </w:rPr>
        <w:t xml:space="preserve">misinterpretation, </w:t>
      </w:r>
      <w:r w:rsidR="000359C8">
        <w:rPr>
          <w:rFonts w:cs="Arial"/>
        </w:rPr>
        <w:t xml:space="preserve">resulting in the policy </w:t>
      </w:r>
      <w:r>
        <w:rPr>
          <w:rFonts w:cs="Arial"/>
        </w:rPr>
        <w:t xml:space="preserve">being </w:t>
      </w:r>
      <w:r w:rsidR="000359C8">
        <w:rPr>
          <w:rFonts w:cs="Arial"/>
        </w:rPr>
        <w:t>considered unnecessarily</w:t>
      </w:r>
      <w:r w:rsidRPr="000D6FE9">
        <w:rPr>
          <w:rStyle w:val="Hyperlink"/>
          <w:color w:val="auto"/>
          <w:u w:val="none"/>
        </w:rPr>
        <w:t xml:space="preserve">. </w:t>
      </w:r>
      <w:r w:rsidR="002F2801">
        <w:rPr>
          <w:rStyle w:val="Hyperlink"/>
          <w:color w:val="auto"/>
          <w:u w:val="none"/>
        </w:rPr>
        <w:br/>
      </w:r>
      <w:r w:rsidR="002F2801">
        <w:rPr>
          <w:rStyle w:val="Hyperlink"/>
          <w:color w:val="auto"/>
          <w:u w:val="none"/>
        </w:rPr>
        <w:br/>
      </w:r>
      <w:r w:rsidRPr="000D6FE9">
        <w:rPr>
          <w:rStyle w:val="Hyperlink"/>
          <w:color w:val="auto"/>
          <w:u w:val="none"/>
        </w:rPr>
        <w:t xml:space="preserve">Further training on the use of marine </w:t>
      </w:r>
      <w:r w:rsidR="00487C0B">
        <w:rPr>
          <w:rStyle w:val="Hyperlink"/>
          <w:color w:val="auto"/>
          <w:u w:val="none"/>
        </w:rPr>
        <w:t>p</w:t>
      </w:r>
      <w:r w:rsidR="00DC2E44">
        <w:rPr>
          <w:rStyle w:val="Hyperlink"/>
          <w:color w:val="auto"/>
          <w:u w:val="none"/>
        </w:rPr>
        <w:t>lan</w:t>
      </w:r>
      <w:r w:rsidRPr="000D6FE9">
        <w:rPr>
          <w:rStyle w:val="Hyperlink"/>
          <w:color w:val="auto"/>
          <w:u w:val="none"/>
        </w:rPr>
        <w:t xml:space="preserve">s may, therefore, help to support the appropriate </w:t>
      </w:r>
      <w:r>
        <w:rPr>
          <w:rStyle w:val="Hyperlink"/>
          <w:color w:val="auto"/>
          <w:u w:val="none"/>
        </w:rPr>
        <w:t>use</w:t>
      </w:r>
      <w:r w:rsidRPr="000D6FE9">
        <w:rPr>
          <w:rStyle w:val="Hyperlink"/>
          <w:color w:val="auto"/>
          <w:u w:val="none"/>
        </w:rPr>
        <w:t xml:space="preserve"> of policies</w:t>
      </w:r>
      <w:r>
        <w:rPr>
          <w:rStyle w:val="Hyperlink"/>
          <w:color w:val="auto"/>
          <w:u w:val="none"/>
        </w:rPr>
        <w:t xml:space="preserve"> </w:t>
      </w:r>
      <w:r w:rsidR="001D5809">
        <w:rPr>
          <w:rStyle w:val="Hyperlink"/>
          <w:color w:val="auto"/>
          <w:u w:val="none"/>
        </w:rPr>
        <w:t>in</w:t>
      </w:r>
      <w:r>
        <w:rPr>
          <w:rStyle w:val="Hyperlink"/>
          <w:color w:val="auto"/>
          <w:u w:val="none"/>
        </w:rPr>
        <w:t xml:space="preserve"> marine licen</w:t>
      </w:r>
      <w:r w:rsidR="006F2A02">
        <w:rPr>
          <w:rStyle w:val="Hyperlink"/>
          <w:color w:val="auto"/>
          <w:u w:val="none"/>
        </w:rPr>
        <w:t>ce decision-making</w:t>
      </w:r>
      <w:r w:rsidRPr="000D6FE9">
        <w:rPr>
          <w:rStyle w:val="Hyperlink"/>
          <w:color w:val="auto"/>
          <w:u w:val="none"/>
        </w:rPr>
        <w:t>.</w:t>
      </w:r>
      <w:r w:rsidRPr="000D6FE9">
        <w:rPr>
          <w:rStyle w:val="Hyperlink"/>
          <w:color w:val="auto"/>
        </w:rPr>
        <w:t xml:space="preserve"> </w:t>
      </w:r>
    </w:p>
    <w:p w14:paraId="28E0E704" w14:textId="2EE59F2C" w:rsidR="00F166D4" w:rsidRPr="000D6FE9" w:rsidRDefault="00F166D4" w:rsidP="00D43BAE">
      <w:pPr>
        <w:pStyle w:val="ListParagraph"/>
        <w:numPr>
          <w:ilvl w:val="0"/>
          <w:numId w:val="8"/>
        </w:numPr>
        <w:ind w:left="561" w:hanging="567"/>
        <w:contextualSpacing w:val="0"/>
        <w:rPr>
          <w:color w:val="FF0000"/>
        </w:rPr>
      </w:pPr>
      <w:r>
        <w:t xml:space="preserve">Insights into policy influence were also gained from information on how often policies were </w:t>
      </w:r>
      <w:r w:rsidRPr="00AF364B">
        <w:rPr>
          <w:rFonts w:cs="Arial"/>
        </w:rPr>
        <w:t>assessed</w:t>
      </w:r>
      <w:r>
        <w:t xml:space="preserve"> as being ‘not applicable’ </w:t>
      </w:r>
      <w:r w:rsidRPr="00E518E2">
        <w:rPr>
          <w:rStyle w:val="Hyperlink"/>
          <w:color w:val="auto"/>
          <w:u w:val="none"/>
        </w:rPr>
        <w:t>(</w:t>
      </w:r>
      <w:hyperlink w:anchor="_Annex_B:_Policy">
        <w:r w:rsidRPr="375902C0">
          <w:rPr>
            <w:rStyle w:val="Hyperlink"/>
          </w:rPr>
          <w:t>Annex B</w:t>
        </w:r>
      </w:hyperlink>
      <w:r w:rsidRPr="00E518E2">
        <w:rPr>
          <w:rStyle w:val="Hyperlink"/>
          <w:color w:val="auto"/>
          <w:u w:val="none"/>
        </w:rPr>
        <w:t>)</w:t>
      </w:r>
      <w:r>
        <w:t xml:space="preserve">. </w:t>
      </w:r>
      <w:r w:rsidR="002F2801">
        <w:br/>
      </w:r>
      <w:r w:rsidR="002F2801">
        <w:br/>
      </w:r>
      <w:r>
        <w:t>While the assessment of policies as being ‘not applicable’ may be a signal that the proportionate principle is being applied by the MMO, policies that are often considered to be ‘not applicable’ are likely to have a weak influence in marine licensing decision</w:t>
      </w:r>
      <w:r w:rsidR="00302CD2">
        <w:t>s</w:t>
      </w:r>
      <w:r>
        <w:t xml:space="preserve">. </w:t>
      </w:r>
      <w:r w:rsidR="002F2801">
        <w:br/>
      </w:r>
      <w:r w:rsidR="002F2801">
        <w:br/>
      </w:r>
      <w:r>
        <w:t>This statement does not apply to policies linked to s</w:t>
      </w:r>
      <w:r>
        <w:rPr>
          <w:rStyle w:val="normaltextrun"/>
          <w:rFonts w:cs="Arial"/>
          <w:color w:val="000000"/>
          <w:bdr w:val="none" w:sz="0" w:space="0" w:color="auto" w:frame="1"/>
        </w:rPr>
        <w:t>patially defined areas</w:t>
      </w:r>
      <w:r>
        <w:t>.</w:t>
      </w:r>
    </w:p>
    <w:p w14:paraId="570B4437" w14:textId="7EE02EBF" w:rsidR="00F166D4" w:rsidRPr="008F5D78" w:rsidRDefault="00F166D4" w:rsidP="00D43BAE">
      <w:pPr>
        <w:pStyle w:val="ListParagraph"/>
        <w:numPr>
          <w:ilvl w:val="0"/>
          <w:numId w:val="8"/>
        </w:numPr>
        <w:ind w:left="561" w:hanging="567"/>
        <w:contextualSpacing w:val="0"/>
        <w:rPr>
          <w:color w:val="1D70B8"/>
          <w:u w:val="single"/>
        </w:rPr>
      </w:pPr>
      <w:r>
        <w:t xml:space="preserve">Excluding spatial policies, S-CAB-1 (68 instances) and S-ML-1 (66 instances) were most often assessed as being ‘not applicable’ to the marine licence </w:t>
      </w:r>
      <w:r w:rsidRPr="00AF364B">
        <w:rPr>
          <w:rFonts w:cs="Arial"/>
        </w:rPr>
        <w:t>applications</w:t>
      </w:r>
      <w:r w:rsidR="001D5809">
        <w:rPr>
          <w:rFonts w:cs="Arial"/>
        </w:rPr>
        <w:t xml:space="preserve"> reviewed</w:t>
      </w:r>
      <w:r>
        <w:t xml:space="preserve">. This finding may be explained by both policies being highly activity specific. </w:t>
      </w:r>
      <w:r w:rsidR="002F2801">
        <w:br/>
      </w:r>
      <w:r w:rsidR="002F2801">
        <w:br/>
      </w:r>
      <w:r>
        <w:t xml:space="preserve">However, process monitoring showed that several policies applicable throughout the </w:t>
      </w:r>
      <w:r w:rsidR="00B07496">
        <w:t xml:space="preserve">South Marine </w:t>
      </w:r>
      <w:r w:rsidR="00DC2E44">
        <w:t>Plan</w:t>
      </w:r>
      <w:r>
        <w:t xml:space="preserve"> areas were often assessed as ‘not applicable’. </w:t>
      </w:r>
      <w:r w:rsidR="002F2801">
        <w:br/>
      </w:r>
      <w:r w:rsidR="002F2801">
        <w:br/>
      </w:r>
      <w:r>
        <w:t xml:space="preserve">This finding, therefore, provides further evidence for the need to deliver further </w:t>
      </w:r>
      <w:r w:rsidRPr="00734F3E">
        <w:rPr>
          <w:rStyle w:val="Hyperlink"/>
          <w:color w:val="auto"/>
          <w:u w:val="none"/>
        </w:rPr>
        <w:t>training</w:t>
      </w:r>
      <w:r w:rsidRPr="00F673E1">
        <w:rPr>
          <w:rStyle w:val="Hyperlink"/>
          <w:color w:val="auto"/>
          <w:u w:val="none"/>
        </w:rPr>
        <w:t xml:space="preserve"> </w:t>
      </w:r>
      <w:r w:rsidRPr="00734F3E">
        <w:rPr>
          <w:rStyle w:val="Hyperlink"/>
          <w:color w:val="auto"/>
          <w:u w:val="none"/>
        </w:rPr>
        <w:t xml:space="preserve">to support the use of </w:t>
      </w:r>
      <w:r w:rsidR="00DC2E44">
        <w:rPr>
          <w:rStyle w:val="Hyperlink"/>
          <w:color w:val="auto"/>
          <w:u w:val="none"/>
        </w:rPr>
        <w:t>Plan</w:t>
      </w:r>
      <w:r w:rsidRPr="00734F3E">
        <w:rPr>
          <w:rStyle w:val="Hyperlink"/>
          <w:color w:val="auto"/>
          <w:u w:val="none"/>
        </w:rPr>
        <w:t xml:space="preserve"> </w:t>
      </w:r>
      <w:r w:rsidR="001D5809">
        <w:rPr>
          <w:rStyle w:val="Hyperlink"/>
          <w:color w:val="auto"/>
          <w:u w:val="none"/>
        </w:rPr>
        <w:t>in marine licence decision-making</w:t>
      </w:r>
      <w:r w:rsidRPr="00734F3E">
        <w:rPr>
          <w:rStyle w:val="Hyperlink"/>
          <w:color w:val="auto"/>
          <w:u w:val="none"/>
        </w:rPr>
        <w:t xml:space="preserve"> and to </w:t>
      </w:r>
      <w:r>
        <w:rPr>
          <w:rStyle w:val="Hyperlink"/>
          <w:color w:val="auto"/>
          <w:u w:val="none"/>
        </w:rPr>
        <w:t>improve</w:t>
      </w:r>
      <w:r w:rsidRPr="00734F3E">
        <w:rPr>
          <w:rStyle w:val="Hyperlink"/>
          <w:color w:val="auto"/>
          <w:u w:val="none"/>
        </w:rPr>
        <w:t xml:space="preserve"> policy effectiveness in achieving the </w:t>
      </w:r>
      <w:r w:rsidR="00DC2E44">
        <w:rPr>
          <w:rStyle w:val="Hyperlink"/>
          <w:color w:val="auto"/>
          <w:u w:val="none"/>
        </w:rPr>
        <w:t>Plan</w:t>
      </w:r>
      <w:r w:rsidRPr="00734F3E">
        <w:rPr>
          <w:rStyle w:val="Hyperlink"/>
          <w:color w:val="auto"/>
          <w:u w:val="none"/>
        </w:rPr>
        <w:t xml:space="preserve"> objectives.</w:t>
      </w:r>
    </w:p>
    <w:p w14:paraId="6644E1EC" w14:textId="19BC4942" w:rsidR="00F166D4" w:rsidRPr="00333AD5" w:rsidRDefault="005540A3" w:rsidP="00C92B18">
      <w:pPr>
        <w:pStyle w:val="Heading3"/>
        <w:rPr>
          <w:rFonts w:cs="Arial"/>
          <w:sz w:val="24"/>
          <w:szCs w:val="24"/>
        </w:rPr>
      </w:pPr>
      <w:r>
        <w:lastRenderedPageBreak/>
        <w:t xml:space="preserve">The </w:t>
      </w:r>
      <w:r w:rsidR="00DC2E44">
        <w:t>Plan</w:t>
      </w:r>
      <w:r w:rsidR="00F166D4" w:rsidRPr="00C92B18">
        <w:t xml:space="preserve"> use in other </w:t>
      </w:r>
      <w:r>
        <w:t>p</w:t>
      </w:r>
      <w:r w:rsidR="00DC2E44">
        <w:t>lan</w:t>
      </w:r>
      <w:r w:rsidR="00F166D4" w:rsidRPr="00C92B18">
        <w:t>ning and consenting processes</w:t>
      </w:r>
      <w:r w:rsidR="00F166D4" w:rsidRPr="00C92B18" w:rsidDel="008D3039">
        <w:t xml:space="preserve"> </w:t>
      </w:r>
    </w:p>
    <w:p w14:paraId="7B9C02CE" w14:textId="021398DC" w:rsidR="00F166D4" w:rsidRPr="00797853" w:rsidRDefault="00F166D4" w:rsidP="00D43BAE">
      <w:pPr>
        <w:pStyle w:val="ListParagraph"/>
        <w:numPr>
          <w:ilvl w:val="0"/>
          <w:numId w:val="8"/>
        </w:numPr>
        <w:ind w:left="561" w:hanging="567"/>
        <w:contextualSpacing w:val="0"/>
        <w:rPr>
          <w:rStyle w:val="Hyperlink"/>
          <w:rFonts w:cs="Arial"/>
          <w:color w:val="auto"/>
          <w:sz w:val="28"/>
          <w:szCs w:val="28"/>
          <w:u w:val="none"/>
        </w:rPr>
      </w:pPr>
      <w:r w:rsidRPr="00BA1F70">
        <w:rPr>
          <w:rStyle w:val="Hyperlink"/>
          <w:color w:val="auto"/>
          <w:u w:val="none"/>
        </w:rPr>
        <w:t xml:space="preserve">Overall, monitoring data showed </w:t>
      </w:r>
      <w:r>
        <w:rPr>
          <w:rStyle w:val="Hyperlink"/>
          <w:color w:val="auto"/>
          <w:u w:val="none"/>
        </w:rPr>
        <w:t xml:space="preserve">an increase in the </w:t>
      </w:r>
      <w:r w:rsidRPr="00BA1F70">
        <w:rPr>
          <w:rStyle w:val="Hyperlink"/>
          <w:color w:val="auto"/>
          <w:u w:val="none"/>
        </w:rPr>
        <w:t xml:space="preserve">use of the </w:t>
      </w:r>
      <w:r w:rsidR="00DC2E44">
        <w:rPr>
          <w:rStyle w:val="Hyperlink"/>
          <w:color w:val="auto"/>
          <w:u w:val="none"/>
        </w:rPr>
        <w:t>Plan</w:t>
      </w:r>
      <w:r w:rsidRPr="00BA1F70">
        <w:rPr>
          <w:rStyle w:val="Hyperlink"/>
          <w:color w:val="auto"/>
          <w:u w:val="none"/>
        </w:rPr>
        <w:t xml:space="preserve"> in other </w:t>
      </w:r>
      <w:r w:rsidR="00C406C0">
        <w:rPr>
          <w:rStyle w:val="Hyperlink"/>
          <w:color w:val="auto"/>
          <w:u w:val="none"/>
        </w:rPr>
        <w:t>p</w:t>
      </w:r>
      <w:r w:rsidR="00DC2E44">
        <w:rPr>
          <w:rStyle w:val="Hyperlink"/>
          <w:color w:val="auto"/>
          <w:u w:val="none"/>
        </w:rPr>
        <w:t>lan</w:t>
      </w:r>
      <w:r w:rsidRPr="00BA1F70">
        <w:rPr>
          <w:rStyle w:val="Hyperlink"/>
          <w:color w:val="auto"/>
          <w:u w:val="none"/>
        </w:rPr>
        <w:t xml:space="preserve">ning and consenting </w:t>
      </w:r>
      <w:r w:rsidRPr="00D43BAE">
        <w:t>processes</w:t>
      </w:r>
      <w:r w:rsidRPr="00BA1F70">
        <w:rPr>
          <w:rStyle w:val="Hyperlink"/>
          <w:color w:val="auto"/>
          <w:u w:val="none"/>
        </w:rPr>
        <w:t>.</w:t>
      </w:r>
      <w:r w:rsidRPr="000E2F0D">
        <w:rPr>
          <w:rStyle w:val="Hyperlink"/>
          <w:color w:val="auto"/>
          <w:u w:val="none"/>
        </w:rPr>
        <w:t xml:space="preserve"> </w:t>
      </w:r>
      <w:r>
        <w:rPr>
          <w:rStyle w:val="Hyperlink"/>
          <w:color w:val="auto"/>
          <w:u w:val="none"/>
        </w:rPr>
        <w:t>However, findings</w:t>
      </w:r>
      <w:r w:rsidRPr="00420057">
        <w:rPr>
          <w:rStyle w:val="Hyperlink"/>
          <w:color w:val="auto"/>
          <w:u w:val="none"/>
        </w:rPr>
        <w:t xml:space="preserve"> suggest that further engagement and training may be required to support the use of </w:t>
      </w:r>
      <w:r w:rsidR="00487C0B">
        <w:rPr>
          <w:rStyle w:val="Hyperlink"/>
          <w:color w:val="auto"/>
          <w:u w:val="none"/>
        </w:rPr>
        <w:t xml:space="preserve">the </w:t>
      </w:r>
      <w:r w:rsidR="00DC2E44">
        <w:rPr>
          <w:rStyle w:val="Hyperlink"/>
          <w:color w:val="auto"/>
          <w:u w:val="none"/>
        </w:rPr>
        <w:t>Plan</w:t>
      </w:r>
      <w:r>
        <w:rPr>
          <w:rStyle w:val="Hyperlink"/>
          <w:color w:val="auto"/>
          <w:u w:val="none"/>
        </w:rPr>
        <w:t xml:space="preserve"> by decision-makers</w:t>
      </w:r>
      <w:r w:rsidRPr="00420057">
        <w:rPr>
          <w:rStyle w:val="Hyperlink"/>
          <w:color w:val="auto"/>
          <w:u w:val="none"/>
        </w:rPr>
        <w:t>.</w:t>
      </w:r>
    </w:p>
    <w:p w14:paraId="2B24A481" w14:textId="7D8E4297" w:rsidR="00F166D4" w:rsidRPr="008F5D78" w:rsidRDefault="00F166D4" w:rsidP="00D43BAE">
      <w:pPr>
        <w:pStyle w:val="ListParagraph"/>
        <w:numPr>
          <w:ilvl w:val="0"/>
          <w:numId w:val="8"/>
        </w:numPr>
        <w:ind w:left="561" w:hanging="567"/>
        <w:contextualSpacing w:val="0"/>
        <w:rPr>
          <w:color w:val="FF0000"/>
          <w:u w:val="single"/>
        </w:rPr>
      </w:pPr>
      <w:r>
        <w:t>Survey responses suggest that d</w:t>
      </w:r>
      <w:r w:rsidRPr="00BA5074">
        <w:t xml:space="preserve">ecision-maker opinion on whether the </w:t>
      </w:r>
      <w:r w:rsidR="00DC2E44">
        <w:t>Plan</w:t>
      </w:r>
      <w:r w:rsidRPr="00BA5074">
        <w:t xml:space="preserve"> </w:t>
      </w:r>
      <w:r>
        <w:t xml:space="preserve">has </w:t>
      </w:r>
      <w:r w:rsidRPr="00BA5074">
        <w:t>provide</w:t>
      </w:r>
      <w:r>
        <w:t>d</w:t>
      </w:r>
      <w:r w:rsidRPr="00BA5074">
        <w:t xml:space="preserve"> opportunities to deal with future challenges</w:t>
      </w:r>
      <w:r>
        <w:t xml:space="preserve"> is mixed</w:t>
      </w:r>
      <w:r w:rsidRPr="00BA5074">
        <w:t xml:space="preserve">. </w:t>
      </w:r>
      <w:r w:rsidR="002F2801">
        <w:br/>
      </w:r>
      <w:r w:rsidR="002F2801">
        <w:br/>
      </w:r>
      <w:r>
        <w:t xml:space="preserve">For example, some decision-makers recognised the important role that the </w:t>
      </w:r>
      <w:r w:rsidR="00DC2E44">
        <w:t>Plan</w:t>
      </w:r>
      <w:r>
        <w:t xml:space="preserve"> has in promoting sustainable development, whereas others considered the </w:t>
      </w:r>
      <w:r w:rsidR="00DC2E44">
        <w:t>Plan</w:t>
      </w:r>
      <w:r>
        <w:t xml:space="preserve"> to have had little influence on their activities.</w:t>
      </w:r>
    </w:p>
    <w:p w14:paraId="37C7B285" w14:textId="559D8D7F" w:rsidR="00F166D4" w:rsidRPr="000C19A8" w:rsidRDefault="00F166D4" w:rsidP="00D43BAE">
      <w:pPr>
        <w:pStyle w:val="ListParagraph"/>
        <w:numPr>
          <w:ilvl w:val="0"/>
          <w:numId w:val="8"/>
        </w:numPr>
        <w:ind w:left="561" w:hanging="567"/>
        <w:contextualSpacing w:val="0"/>
        <w:rPr>
          <w:rStyle w:val="Hyperlink"/>
          <w:color w:val="FF0000"/>
        </w:rPr>
      </w:pPr>
      <w:r>
        <w:rPr>
          <w:rStyle w:val="Hyperlink"/>
          <w:color w:val="auto"/>
          <w:u w:val="none"/>
        </w:rPr>
        <w:t>In the vast majority of cases (86% of 28 decision-maker survey responses</w:t>
      </w:r>
      <w:r w:rsidR="00B8798B">
        <w:rPr>
          <w:rStyle w:val="Hyperlink"/>
          <w:color w:val="auto"/>
          <w:u w:val="none"/>
        </w:rPr>
        <w:t xml:space="preserve"> received across all survey years</w:t>
      </w:r>
      <w:r>
        <w:rPr>
          <w:rStyle w:val="Hyperlink"/>
          <w:color w:val="auto"/>
          <w:u w:val="none"/>
        </w:rPr>
        <w:t xml:space="preserve">), decision-makers </w:t>
      </w:r>
      <w:r w:rsidRPr="00D735AA">
        <w:rPr>
          <w:rStyle w:val="Hyperlink"/>
          <w:color w:val="auto"/>
          <w:u w:val="none"/>
        </w:rPr>
        <w:t xml:space="preserve">confirmed that the </w:t>
      </w:r>
      <w:r w:rsidR="00DC2E44">
        <w:rPr>
          <w:rStyle w:val="Hyperlink"/>
          <w:color w:val="auto"/>
          <w:u w:val="none"/>
        </w:rPr>
        <w:t>Plan</w:t>
      </w:r>
      <w:r w:rsidRPr="00D735AA">
        <w:rPr>
          <w:rStyle w:val="Hyperlink"/>
          <w:color w:val="auto"/>
          <w:u w:val="none"/>
        </w:rPr>
        <w:t xml:space="preserve"> had been considered, </w:t>
      </w:r>
      <w:r w:rsidRPr="00D43BAE">
        <w:t>at</w:t>
      </w:r>
      <w:r w:rsidRPr="00D735AA">
        <w:rPr>
          <w:rStyle w:val="Hyperlink"/>
          <w:color w:val="auto"/>
          <w:u w:val="none"/>
        </w:rPr>
        <w:t xml:space="preserve"> least in some instances, when making authorisation and enforcement decisions.</w:t>
      </w:r>
      <w:r w:rsidRPr="000C19A8">
        <w:rPr>
          <w:rStyle w:val="Hyperlink"/>
          <w:color w:val="auto"/>
          <w:u w:val="none"/>
        </w:rPr>
        <w:t xml:space="preserve"> </w:t>
      </w:r>
    </w:p>
    <w:p w14:paraId="03186100" w14:textId="184A17AF" w:rsidR="00F166D4" w:rsidRPr="00FF6D54" w:rsidRDefault="00F166D4" w:rsidP="00D43BAE">
      <w:pPr>
        <w:pStyle w:val="ListParagraph"/>
        <w:numPr>
          <w:ilvl w:val="0"/>
          <w:numId w:val="8"/>
        </w:numPr>
        <w:ind w:left="561" w:hanging="567"/>
        <w:contextualSpacing w:val="0"/>
      </w:pPr>
      <w:r w:rsidRPr="00FF6D54">
        <w:t xml:space="preserve">Similarly, </w:t>
      </w:r>
      <w:r w:rsidR="00B8798B" w:rsidRPr="00FF6D54">
        <w:t xml:space="preserve">the </w:t>
      </w:r>
      <w:r w:rsidR="00B8798B" w:rsidRPr="00FF6D54">
        <w:rPr>
          <w:rStyle w:val="Hyperlink"/>
          <w:color w:val="auto"/>
          <w:u w:val="none"/>
        </w:rPr>
        <w:t xml:space="preserve">majority of decision-makers (93% of all 27 responses decision-maker survey responses received across all survey years) confirmed that the </w:t>
      </w:r>
      <w:r w:rsidR="00DC2E44">
        <w:rPr>
          <w:rStyle w:val="Hyperlink"/>
          <w:color w:val="auto"/>
          <w:u w:val="none"/>
        </w:rPr>
        <w:t>Plan</w:t>
      </w:r>
      <w:r w:rsidR="00B8798B" w:rsidRPr="00FF6D54">
        <w:rPr>
          <w:rStyle w:val="Hyperlink"/>
          <w:color w:val="auto"/>
          <w:u w:val="none"/>
        </w:rPr>
        <w:t xml:space="preserve"> had been considered, at least in some instances, when making ‘other kinds of decisions’</w:t>
      </w:r>
      <w:r w:rsidRPr="00FF6D54">
        <w:rPr>
          <w:rStyle w:val="Hyperlink"/>
          <w:color w:val="auto"/>
          <w:u w:val="none"/>
        </w:rPr>
        <w:t xml:space="preserve">. </w:t>
      </w:r>
    </w:p>
    <w:p w14:paraId="594DF7D1" w14:textId="6D7B402E" w:rsidR="00F166D4" w:rsidRPr="00E45EFF" w:rsidRDefault="00F166D4" w:rsidP="00D43BAE">
      <w:pPr>
        <w:pStyle w:val="ListParagraph"/>
        <w:numPr>
          <w:ilvl w:val="0"/>
          <w:numId w:val="8"/>
        </w:numPr>
        <w:ind w:left="561" w:hanging="567"/>
        <w:contextualSpacing w:val="0"/>
        <w:rPr>
          <w:color w:val="FF0000"/>
          <w:u w:val="single"/>
        </w:rPr>
      </w:pPr>
      <w:r w:rsidRPr="00013C9D">
        <w:rPr>
          <w:rFonts w:cs="Arial"/>
        </w:rPr>
        <w:t xml:space="preserve">Where the </w:t>
      </w:r>
      <w:r w:rsidR="00DC2E44">
        <w:rPr>
          <w:rFonts w:cs="Arial"/>
        </w:rPr>
        <w:t>Plan</w:t>
      </w:r>
      <w:r w:rsidRPr="00013C9D">
        <w:rPr>
          <w:rFonts w:cs="Arial"/>
        </w:rPr>
        <w:t xml:space="preserve"> had been considered, survey responses showed that decision-</w:t>
      </w:r>
      <w:r w:rsidRPr="00D43BAE">
        <w:t>makers</w:t>
      </w:r>
      <w:r w:rsidRPr="00013C9D">
        <w:rPr>
          <w:rFonts w:cs="Arial"/>
        </w:rPr>
        <w:t xml:space="preserve"> are using a wide and variable range of policies (depending on the function of the respondent) to:</w:t>
      </w:r>
    </w:p>
    <w:p w14:paraId="152B950A" w14:textId="2C5A19FA" w:rsidR="00F166D4" w:rsidRPr="004F3594" w:rsidRDefault="00F166D4" w:rsidP="00825BF4">
      <w:pPr>
        <w:pStyle w:val="ListParagraph"/>
        <w:numPr>
          <w:ilvl w:val="0"/>
          <w:numId w:val="32"/>
        </w:numPr>
        <w:ind w:left="1276" w:hanging="357"/>
      </w:pPr>
      <w:r w:rsidRPr="004F3594">
        <w:t xml:space="preserve">determine </w:t>
      </w:r>
      <w:r w:rsidR="00C406C0">
        <w:t>p</w:t>
      </w:r>
      <w:r w:rsidR="00DC2E44">
        <w:t>lan</w:t>
      </w:r>
      <w:r w:rsidRPr="00825BF4">
        <w:t>ning</w:t>
      </w:r>
      <w:r w:rsidRPr="004F3594">
        <w:t xml:space="preserve"> applications</w:t>
      </w:r>
    </w:p>
    <w:p w14:paraId="59EEF83F" w14:textId="2BBD51A2" w:rsidR="00F166D4" w:rsidRPr="004F3594" w:rsidRDefault="00F166D4" w:rsidP="00825BF4">
      <w:pPr>
        <w:pStyle w:val="ListParagraph"/>
        <w:numPr>
          <w:ilvl w:val="0"/>
          <w:numId w:val="32"/>
        </w:numPr>
        <w:ind w:left="1276" w:hanging="357"/>
      </w:pPr>
      <w:r w:rsidRPr="004F3594">
        <w:t xml:space="preserve">develop </w:t>
      </w:r>
      <w:r w:rsidRPr="00825BF4">
        <w:t>byelaws</w:t>
      </w:r>
    </w:p>
    <w:p w14:paraId="18F17B43" w14:textId="0D20CC31" w:rsidR="00F166D4" w:rsidRPr="004F3594" w:rsidRDefault="00F166D4" w:rsidP="00825BF4">
      <w:pPr>
        <w:pStyle w:val="ListParagraph"/>
        <w:numPr>
          <w:ilvl w:val="0"/>
          <w:numId w:val="32"/>
        </w:numPr>
        <w:ind w:left="1276" w:hanging="357"/>
      </w:pPr>
      <w:r>
        <w:t>develop</w:t>
      </w:r>
      <w:r w:rsidRPr="004F3594">
        <w:t xml:space="preserve"> sub-national policy documents</w:t>
      </w:r>
    </w:p>
    <w:p w14:paraId="15FD79B2" w14:textId="2CBBCD2C" w:rsidR="00F166D4" w:rsidRDefault="00F166D4" w:rsidP="00825BF4">
      <w:pPr>
        <w:pStyle w:val="ListParagraph"/>
        <w:numPr>
          <w:ilvl w:val="0"/>
          <w:numId w:val="32"/>
        </w:numPr>
        <w:ind w:left="1276" w:hanging="357"/>
      </w:pPr>
      <w:r w:rsidRPr="004F3594">
        <w:t xml:space="preserve">provide </w:t>
      </w:r>
      <w:r w:rsidRPr="00825BF4">
        <w:t>consultation</w:t>
      </w:r>
      <w:r w:rsidRPr="004F3594">
        <w:t xml:space="preserve"> advice</w:t>
      </w:r>
    </w:p>
    <w:p w14:paraId="2DE9D6EA" w14:textId="0D979748" w:rsidR="00F166D4" w:rsidRDefault="00F166D4" w:rsidP="00D43BAE">
      <w:pPr>
        <w:pStyle w:val="ListParagraph"/>
        <w:numPr>
          <w:ilvl w:val="0"/>
          <w:numId w:val="8"/>
        </w:numPr>
        <w:ind w:left="561" w:hanging="567"/>
        <w:contextualSpacing w:val="0"/>
        <w:rPr>
          <w:rStyle w:val="Hyperlink"/>
          <w:color w:val="auto"/>
          <w:u w:val="none"/>
        </w:rPr>
      </w:pPr>
      <w:r>
        <w:rPr>
          <w:rStyle w:val="Hyperlink"/>
          <w:color w:val="auto"/>
          <w:u w:val="none"/>
        </w:rPr>
        <w:t>Overall</w:t>
      </w:r>
      <w:r w:rsidRPr="00E45EFF">
        <w:rPr>
          <w:rStyle w:val="Hyperlink"/>
          <w:color w:val="auto"/>
          <w:u w:val="none"/>
        </w:rPr>
        <w:t xml:space="preserve">, 24% of the 62 sub-national policy documents reviewed referenced the </w:t>
      </w:r>
      <w:r w:rsidR="00DC2E44">
        <w:rPr>
          <w:rStyle w:val="Hyperlink"/>
          <w:color w:val="auto"/>
          <w:u w:val="none"/>
        </w:rPr>
        <w:t>Plan</w:t>
      </w:r>
      <w:r w:rsidRPr="00E45EFF">
        <w:rPr>
          <w:rStyle w:val="Hyperlink"/>
          <w:color w:val="auto"/>
          <w:u w:val="none"/>
        </w:rPr>
        <w:t xml:space="preserve"> directly (Figure 2</w:t>
      </w:r>
      <w:r w:rsidR="00825BF4" w:rsidRPr="00825BF4">
        <w:rPr>
          <w:rStyle w:val="Hyperlink"/>
          <w:color w:val="auto"/>
          <w:u w:val="none"/>
        </w:rPr>
        <w:t xml:space="preserve">), while a </w:t>
      </w:r>
      <w:r w:rsidR="00825BF4" w:rsidRPr="00825BF4">
        <w:t xml:space="preserve">further 18% made general references to the MMO and marine </w:t>
      </w:r>
      <w:r w:rsidR="00487C0B">
        <w:t>p</w:t>
      </w:r>
      <w:r w:rsidR="00DC2E44">
        <w:t>lan</w:t>
      </w:r>
      <w:r w:rsidR="00825BF4" w:rsidRPr="00825BF4">
        <w:t>s.</w:t>
      </w:r>
      <w:r w:rsidR="00825BF4">
        <w:t xml:space="preserve"> </w:t>
      </w:r>
      <w:r w:rsidR="002F2801">
        <w:br/>
      </w:r>
      <w:r w:rsidR="002F2801">
        <w:br/>
      </w:r>
      <w:r w:rsidR="00825BF4" w:rsidRPr="00825BF4">
        <w:rPr>
          <w:rStyle w:val="Hyperlink"/>
          <w:color w:val="auto"/>
          <w:u w:val="none"/>
        </w:rPr>
        <w:t xml:space="preserve">Seven of the 20 (35%) sub-national policy documents published after the </w:t>
      </w:r>
      <w:r w:rsidR="00DC2E44">
        <w:rPr>
          <w:rStyle w:val="Hyperlink"/>
          <w:color w:val="auto"/>
          <w:u w:val="none"/>
        </w:rPr>
        <w:t>Plan</w:t>
      </w:r>
      <w:r w:rsidR="00825BF4" w:rsidRPr="00825BF4">
        <w:rPr>
          <w:rStyle w:val="Hyperlink"/>
          <w:color w:val="auto"/>
          <w:u w:val="none"/>
        </w:rPr>
        <w:t xml:space="preserve"> was adopted were found to have referenced the </w:t>
      </w:r>
      <w:r w:rsidR="00DC2E44">
        <w:rPr>
          <w:rStyle w:val="Hyperlink"/>
          <w:color w:val="auto"/>
          <w:u w:val="none"/>
        </w:rPr>
        <w:t>Plan</w:t>
      </w:r>
      <w:r w:rsidR="00825BF4" w:rsidRPr="00825BF4">
        <w:rPr>
          <w:rStyle w:val="Hyperlink"/>
          <w:color w:val="auto"/>
          <w:u w:val="none"/>
        </w:rPr>
        <w:t xml:space="preserve">. </w:t>
      </w:r>
      <w:r w:rsidR="002F2801">
        <w:rPr>
          <w:rStyle w:val="Hyperlink"/>
          <w:color w:val="auto"/>
          <w:u w:val="none"/>
        </w:rPr>
        <w:br/>
      </w:r>
      <w:r w:rsidR="002F2801">
        <w:rPr>
          <w:rStyle w:val="Hyperlink"/>
          <w:color w:val="auto"/>
          <w:u w:val="none"/>
        </w:rPr>
        <w:br/>
      </w:r>
      <w:r w:rsidR="00825BF4" w:rsidRPr="00FF6D54">
        <w:rPr>
          <w:rStyle w:val="Hyperlink"/>
          <w:color w:val="auto"/>
          <w:u w:val="none"/>
        </w:rPr>
        <w:t xml:space="preserve">Integration of the </w:t>
      </w:r>
      <w:r w:rsidR="00DC2E44">
        <w:t>Plan</w:t>
      </w:r>
      <w:r w:rsidR="00825BF4" w:rsidRPr="00FF6D54">
        <w:t>, following its adoption,</w:t>
      </w:r>
      <w:r w:rsidR="00825BF4" w:rsidRPr="00FF6D54">
        <w:rPr>
          <w:rStyle w:val="Hyperlink"/>
          <w:color w:val="auto"/>
          <w:u w:val="none"/>
        </w:rPr>
        <w:t xml:space="preserve"> was </w:t>
      </w:r>
      <w:r w:rsidR="00825BF4" w:rsidRPr="00FF6D54">
        <w:t>highest</w:t>
      </w:r>
      <w:r w:rsidR="00825BF4" w:rsidRPr="00FF6D54">
        <w:rPr>
          <w:rStyle w:val="Hyperlink"/>
          <w:color w:val="auto"/>
          <w:u w:val="none"/>
        </w:rPr>
        <w:t xml:space="preserve"> for area of outstanding natural beauty management </w:t>
      </w:r>
      <w:r w:rsidR="002F2801">
        <w:rPr>
          <w:rStyle w:val="Hyperlink"/>
          <w:color w:val="auto"/>
          <w:u w:val="none"/>
        </w:rPr>
        <w:t>p</w:t>
      </w:r>
      <w:r w:rsidR="00DC2E44">
        <w:rPr>
          <w:rStyle w:val="Hyperlink"/>
          <w:color w:val="auto"/>
          <w:u w:val="none"/>
        </w:rPr>
        <w:t>lan</w:t>
      </w:r>
      <w:r w:rsidR="00825BF4" w:rsidRPr="00FF6D54">
        <w:rPr>
          <w:rStyle w:val="Hyperlink"/>
          <w:color w:val="auto"/>
          <w:u w:val="none"/>
        </w:rPr>
        <w:t xml:space="preserve">s (three out of six </w:t>
      </w:r>
      <w:r w:rsidR="002F2801">
        <w:rPr>
          <w:rStyle w:val="Hyperlink"/>
          <w:color w:val="auto"/>
          <w:u w:val="none"/>
        </w:rPr>
        <w:t>p</w:t>
      </w:r>
      <w:r w:rsidR="00DC2E44">
        <w:rPr>
          <w:rStyle w:val="Hyperlink"/>
          <w:color w:val="auto"/>
          <w:u w:val="none"/>
        </w:rPr>
        <w:t>lan</w:t>
      </w:r>
      <w:r w:rsidR="00825BF4" w:rsidRPr="00FF6D54">
        <w:rPr>
          <w:rStyle w:val="Hyperlink"/>
          <w:color w:val="auto"/>
          <w:u w:val="none"/>
        </w:rPr>
        <w:t xml:space="preserve">s) and local </w:t>
      </w:r>
      <w:r w:rsidR="002F2801">
        <w:rPr>
          <w:rStyle w:val="Hyperlink"/>
          <w:color w:val="auto"/>
          <w:u w:val="none"/>
        </w:rPr>
        <w:t>p</w:t>
      </w:r>
      <w:r w:rsidR="00DC2E44">
        <w:rPr>
          <w:rStyle w:val="Hyperlink"/>
          <w:color w:val="auto"/>
          <w:u w:val="none"/>
        </w:rPr>
        <w:t>lan</w:t>
      </w:r>
      <w:r w:rsidR="00825BF4" w:rsidRPr="00FF6D54">
        <w:rPr>
          <w:rStyle w:val="Hyperlink"/>
          <w:color w:val="auto"/>
          <w:u w:val="none"/>
        </w:rPr>
        <w:t xml:space="preserve">s (four out of five </w:t>
      </w:r>
      <w:r w:rsidR="002F2801">
        <w:rPr>
          <w:rStyle w:val="Hyperlink"/>
          <w:color w:val="auto"/>
          <w:u w:val="none"/>
        </w:rPr>
        <w:t>p</w:t>
      </w:r>
      <w:r w:rsidR="00DC2E44">
        <w:rPr>
          <w:rStyle w:val="Hyperlink"/>
          <w:color w:val="auto"/>
          <w:u w:val="none"/>
        </w:rPr>
        <w:t>lan</w:t>
      </w:r>
      <w:r w:rsidR="00825BF4" w:rsidRPr="00FF6D54">
        <w:rPr>
          <w:rStyle w:val="Hyperlink"/>
          <w:color w:val="auto"/>
          <w:u w:val="none"/>
        </w:rPr>
        <w:t xml:space="preserve">s). </w:t>
      </w:r>
    </w:p>
    <w:p w14:paraId="737AF1DF" w14:textId="0B934A66" w:rsidR="00F166D4" w:rsidRDefault="00F166D4" w:rsidP="00D43BAE">
      <w:pPr>
        <w:pStyle w:val="ListParagraph"/>
        <w:numPr>
          <w:ilvl w:val="0"/>
          <w:numId w:val="8"/>
        </w:numPr>
        <w:ind w:left="561" w:hanging="567"/>
        <w:contextualSpacing w:val="0"/>
        <w:rPr>
          <w:rStyle w:val="Hyperlink"/>
          <w:color w:val="auto"/>
          <w:u w:val="none"/>
        </w:rPr>
      </w:pPr>
      <w:r w:rsidRPr="00103BC1">
        <w:rPr>
          <w:rStyle w:val="Hyperlink"/>
          <w:color w:val="auto"/>
          <w:u w:val="none"/>
        </w:rPr>
        <w:t xml:space="preserve">Integration of the </w:t>
      </w:r>
      <w:r w:rsidR="00DC2E44">
        <w:rPr>
          <w:rStyle w:val="Hyperlink"/>
          <w:color w:val="auto"/>
          <w:u w:val="none"/>
        </w:rPr>
        <w:t>Plan</w:t>
      </w:r>
      <w:r w:rsidRPr="00103BC1">
        <w:rPr>
          <w:rStyle w:val="Hyperlink"/>
          <w:color w:val="auto"/>
          <w:u w:val="none"/>
        </w:rPr>
        <w:t xml:space="preserve"> with other sub-national policy documents is expected to improve over time, as new sub-national policy documents are adopted, and existing ones updated. </w:t>
      </w:r>
      <w:r w:rsidR="002F2801">
        <w:rPr>
          <w:rStyle w:val="Hyperlink"/>
          <w:color w:val="auto"/>
          <w:u w:val="none"/>
        </w:rPr>
        <w:br/>
      </w:r>
      <w:r w:rsidR="002F2801">
        <w:rPr>
          <w:rStyle w:val="Hyperlink"/>
          <w:color w:val="auto"/>
          <w:u w:val="none"/>
        </w:rPr>
        <w:br/>
      </w:r>
      <w:r w:rsidRPr="00103BC1">
        <w:rPr>
          <w:rStyle w:val="Hyperlink"/>
          <w:color w:val="auto"/>
          <w:u w:val="none"/>
        </w:rPr>
        <w:t xml:space="preserve">Efficiency improvements are also expected as the number of sub-national policy documents having regard to the </w:t>
      </w:r>
      <w:r w:rsidR="00DC2E44">
        <w:rPr>
          <w:rStyle w:val="Hyperlink"/>
          <w:color w:val="auto"/>
          <w:u w:val="none"/>
        </w:rPr>
        <w:t>Plan</w:t>
      </w:r>
      <w:r w:rsidRPr="00103BC1">
        <w:rPr>
          <w:rStyle w:val="Hyperlink"/>
          <w:color w:val="auto"/>
          <w:u w:val="none"/>
        </w:rPr>
        <w:t xml:space="preserve"> increases. </w:t>
      </w:r>
      <w:r w:rsidR="002F2801">
        <w:rPr>
          <w:rStyle w:val="Hyperlink"/>
          <w:color w:val="auto"/>
          <w:u w:val="none"/>
        </w:rPr>
        <w:br/>
      </w:r>
      <w:r w:rsidR="002F2801">
        <w:rPr>
          <w:rStyle w:val="Hyperlink"/>
          <w:color w:val="auto"/>
          <w:u w:val="none"/>
        </w:rPr>
        <w:lastRenderedPageBreak/>
        <w:br/>
      </w:r>
      <w:r w:rsidRPr="00103BC1">
        <w:rPr>
          <w:rStyle w:val="Hyperlink"/>
          <w:color w:val="auto"/>
          <w:u w:val="none"/>
        </w:rPr>
        <w:t xml:space="preserve">Currently, survey responses </w:t>
      </w:r>
      <w:r w:rsidRPr="00D43BAE">
        <w:t>suggest</w:t>
      </w:r>
      <w:r w:rsidRPr="00103BC1">
        <w:rPr>
          <w:rStyle w:val="Hyperlink"/>
          <w:color w:val="auto"/>
          <w:u w:val="none"/>
        </w:rPr>
        <w:t xml:space="preserve"> that positive effects on </w:t>
      </w:r>
      <w:r w:rsidRPr="00103BC1">
        <w:rPr>
          <w:rFonts w:cs="Arial"/>
        </w:rPr>
        <w:t xml:space="preserve">cost/time savings have yet to be realised. For example, the majority (over 50%) of </w:t>
      </w:r>
      <w:r>
        <w:rPr>
          <w:rFonts w:cs="Arial"/>
        </w:rPr>
        <w:t xml:space="preserve">survey </w:t>
      </w:r>
      <w:r w:rsidRPr="00103BC1">
        <w:rPr>
          <w:rFonts w:cs="Arial"/>
        </w:rPr>
        <w:t xml:space="preserve">responses </w:t>
      </w:r>
      <w:r>
        <w:rPr>
          <w:rFonts w:cs="Arial"/>
        </w:rPr>
        <w:t>consistently considered</w:t>
      </w:r>
      <w:r w:rsidRPr="00103BC1">
        <w:rPr>
          <w:rFonts w:cs="Arial"/>
        </w:rPr>
        <w:t xml:space="preserve"> that the </w:t>
      </w:r>
      <w:r w:rsidR="00DC2E44">
        <w:rPr>
          <w:rFonts w:cs="Arial"/>
        </w:rPr>
        <w:t>Plan</w:t>
      </w:r>
      <w:r w:rsidRPr="00103BC1">
        <w:rPr>
          <w:rFonts w:cs="Arial"/>
        </w:rPr>
        <w:t xml:space="preserve">s have had either a ‘neutral’ (no change) or ‘negative’ effect on administration costs, across all survey years. </w:t>
      </w:r>
      <w:r w:rsidR="002F2801">
        <w:rPr>
          <w:rFonts w:cs="Arial"/>
        </w:rPr>
        <w:br/>
      </w:r>
      <w:r w:rsidR="002F2801">
        <w:rPr>
          <w:rFonts w:cs="Arial"/>
        </w:rPr>
        <w:br/>
      </w:r>
      <w:r w:rsidRPr="00103BC1">
        <w:rPr>
          <w:rStyle w:val="Hyperlink"/>
          <w:color w:val="auto"/>
          <w:u w:val="none"/>
        </w:rPr>
        <w:t xml:space="preserve">Findings, therefore, suggest that further engagement with decision-makers is needed to </w:t>
      </w:r>
      <w:r w:rsidRPr="00D04804">
        <w:rPr>
          <w:rStyle w:val="Hyperlink"/>
          <w:color w:val="auto"/>
          <w:u w:val="none"/>
        </w:rPr>
        <w:t>promote</w:t>
      </w:r>
      <w:r w:rsidRPr="00103BC1">
        <w:rPr>
          <w:rStyle w:val="Hyperlink"/>
          <w:color w:val="auto"/>
          <w:u w:val="none"/>
        </w:rPr>
        <w:t xml:space="preserve"> the integration of the </w:t>
      </w:r>
      <w:r w:rsidR="00DC2E44">
        <w:rPr>
          <w:rStyle w:val="Hyperlink"/>
          <w:color w:val="auto"/>
          <w:u w:val="none"/>
        </w:rPr>
        <w:t>Plan</w:t>
      </w:r>
      <w:r w:rsidRPr="00103BC1">
        <w:rPr>
          <w:rStyle w:val="Hyperlink"/>
          <w:color w:val="auto"/>
          <w:u w:val="none"/>
        </w:rPr>
        <w:t xml:space="preserve"> with other sub-national policy documents. </w:t>
      </w:r>
      <w:r w:rsidR="002F2801">
        <w:rPr>
          <w:rStyle w:val="Hyperlink"/>
          <w:color w:val="auto"/>
          <w:u w:val="none"/>
        </w:rPr>
        <w:br/>
      </w:r>
      <w:r w:rsidR="002F2801">
        <w:rPr>
          <w:rStyle w:val="Hyperlink"/>
          <w:color w:val="auto"/>
          <w:u w:val="none"/>
        </w:rPr>
        <w:br/>
      </w:r>
      <w:r w:rsidRPr="00103BC1">
        <w:rPr>
          <w:rStyle w:val="Hyperlink"/>
          <w:color w:val="auto"/>
          <w:u w:val="none"/>
        </w:rPr>
        <w:t xml:space="preserve">The ‘Supporting marine </w:t>
      </w:r>
      <w:r w:rsidR="00487C0B">
        <w:rPr>
          <w:rStyle w:val="Hyperlink"/>
          <w:color w:val="auto"/>
          <w:u w:val="none"/>
        </w:rPr>
        <w:t>p</w:t>
      </w:r>
      <w:r w:rsidR="00DC2E44">
        <w:rPr>
          <w:rStyle w:val="Hyperlink"/>
          <w:color w:val="auto"/>
          <w:u w:val="none"/>
        </w:rPr>
        <w:t>lan</w:t>
      </w:r>
      <w:r w:rsidRPr="00103BC1">
        <w:rPr>
          <w:rStyle w:val="Hyperlink"/>
          <w:color w:val="auto"/>
          <w:u w:val="none"/>
        </w:rPr>
        <w:t xml:space="preserve"> use’ case study </w:t>
      </w:r>
      <w:r w:rsidRPr="00D04804">
        <w:rPr>
          <w:rStyle w:val="Hyperlink"/>
          <w:color w:val="auto"/>
          <w:u w:val="none"/>
        </w:rPr>
        <w:t>provide</w:t>
      </w:r>
      <w:r>
        <w:rPr>
          <w:rStyle w:val="Hyperlink"/>
          <w:color w:val="auto"/>
          <w:u w:val="none"/>
        </w:rPr>
        <w:t>s</w:t>
      </w:r>
      <w:r w:rsidRPr="00D04804">
        <w:rPr>
          <w:rStyle w:val="Hyperlink"/>
          <w:color w:val="auto"/>
          <w:u w:val="none"/>
        </w:rPr>
        <w:t xml:space="preserve"> an overview</w:t>
      </w:r>
      <w:r w:rsidRPr="00103BC1">
        <w:rPr>
          <w:rStyle w:val="Hyperlink"/>
          <w:color w:val="auto"/>
          <w:u w:val="none"/>
        </w:rPr>
        <w:t xml:space="preserve"> of </w:t>
      </w:r>
      <w:r w:rsidRPr="00D04804">
        <w:rPr>
          <w:rStyle w:val="Hyperlink"/>
          <w:color w:val="auto"/>
          <w:u w:val="none"/>
        </w:rPr>
        <w:t xml:space="preserve">some of the outputs and </w:t>
      </w:r>
      <w:r>
        <w:rPr>
          <w:rStyle w:val="Hyperlink"/>
          <w:color w:val="auto"/>
          <w:u w:val="none"/>
        </w:rPr>
        <w:t>products</w:t>
      </w:r>
      <w:r w:rsidRPr="00D04804">
        <w:rPr>
          <w:rStyle w:val="Hyperlink"/>
          <w:color w:val="auto"/>
          <w:u w:val="none"/>
        </w:rPr>
        <w:t xml:space="preserve"> developed by the MMO</w:t>
      </w:r>
      <w:r w:rsidRPr="00103BC1">
        <w:rPr>
          <w:rStyle w:val="Hyperlink"/>
          <w:color w:val="auto"/>
          <w:u w:val="none"/>
        </w:rPr>
        <w:t xml:space="preserve"> to support the use of the </w:t>
      </w:r>
      <w:r w:rsidR="00DC2E44">
        <w:rPr>
          <w:rStyle w:val="Hyperlink"/>
          <w:color w:val="auto"/>
          <w:u w:val="none"/>
        </w:rPr>
        <w:t>Plan</w:t>
      </w:r>
      <w:r w:rsidRPr="00103BC1">
        <w:rPr>
          <w:rStyle w:val="Hyperlink"/>
          <w:color w:val="auto"/>
          <w:u w:val="none"/>
        </w:rPr>
        <w:t xml:space="preserve"> in other </w:t>
      </w:r>
      <w:r w:rsidR="00C406C0">
        <w:rPr>
          <w:rStyle w:val="Hyperlink"/>
          <w:color w:val="auto"/>
          <w:u w:val="none"/>
        </w:rPr>
        <w:t>p</w:t>
      </w:r>
      <w:r w:rsidR="00DC2E44">
        <w:rPr>
          <w:rStyle w:val="Hyperlink"/>
          <w:color w:val="auto"/>
          <w:u w:val="none"/>
        </w:rPr>
        <w:t>lan</w:t>
      </w:r>
      <w:r w:rsidRPr="00103BC1">
        <w:rPr>
          <w:rStyle w:val="Hyperlink"/>
          <w:color w:val="auto"/>
          <w:u w:val="none"/>
        </w:rPr>
        <w:t>ning and consenting processes.</w:t>
      </w:r>
    </w:p>
    <w:p w14:paraId="4E9DF897" w14:textId="2ECC208C" w:rsidR="00F166D4" w:rsidRPr="005540A3" w:rsidRDefault="00F166D4" w:rsidP="00285EEE">
      <w:pPr>
        <w:pStyle w:val="Caption"/>
      </w:pPr>
      <w:r w:rsidRPr="005540A3">
        <w:t>Figure 2</w:t>
      </w:r>
      <w:r w:rsidR="00D56257" w:rsidRPr="005540A3">
        <w:t>:</w:t>
      </w:r>
      <w:r w:rsidRPr="005540A3">
        <w:t xml:space="preserve"> </w:t>
      </w:r>
      <w:r w:rsidR="005540A3">
        <w:t>n</w:t>
      </w:r>
      <w:r w:rsidRPr="005540A3">
        <w:t xml:space="preserve">umber of relevant sub-national policy documents citing (blue), or not citing (yellow), the </w:t>
      </w:r>
      <w:r w:rsidR="00B07496">
        <w:t xml:space="preserve">South Marine </w:t>
      </w:r>
      <w:r w:rsidR="00DC2E44" w:rsidRPr="005540A3">
        <w:t>Plan</w:t>
      </w:r>
      <w:r w:rsidRPr="005540A3">
        <w:t xml:space="preserve">. The bar plot includes sub-national policy documents that have not been updated since the adoption of the </w:t>
      </w:r>
      <w:r w:rsidR="00B07496">
        <w:t xml:space="preserve">South Marine </w:t>
      </w:r>
      <w:r w:rsidR="00DC2E44" w:rsidRPr="005540A3">
        <w:t>Plan</w:t>
      </w:r>
    </w:p>
    <w:p w14:paraId="099D8A16" w14:textId="77777777" w:rsidR="00F36863" w:rsidRDefault="00F166D4" w:rsidP="00F36863">
      <w:pPr>
        <w:spacing w:before="160" w:after="0" w:line="259" w:lineRule="auto"/>
        <w:rPr>
          <w:rFonts w:cs="Arial"/>
        </w:rPr>
      </w:pPr>
      <w:r>
        <w:rPr>
          <w:noProof/>
          <w:lang w:eastAsia="en-GB"/>
        </w:rPr>
        <w:drawing>
          <wp:inline distT="0" distB="0" distL="0" distR="0" wp14:anchorId="1C773EF6" wp14:editId="502D485E">
            <wp:extent cx="5731510" cy="3160395"/>
            <wp:effectExtent l="0" t="0" r="2540" b="1905"/>
            <wp:docPr id="4" name="Chart 4" descr="Figure 2 is a bar plot showing the number of relevant sub-national policy documents citing (blue bars), or not citing (yellow bars), the South Marine Plan. The sub-national policy documents have been grouped and are presented (from left to right) as area of outstanding natural beauty management plans (three citing and four not citing the South Marine Plan); core strategies (one citing and seven not citing the South Marine Plan); local enterprise partnership plans (zero citing and nine not citing the South Marine Plan); local plans (ten citing and sixteen not citing the South Marine Plan); mineral and waste plans (one citing and eight not citing the South Marine Plan); river basin management plans (zero citing and two not citing the South Marine Plan); and world heritage site plans (zero citing and one not citing the South Marine Plan). The bar plot includes sub-national policy documents that have not been updated since the adoption of the South Marine Plan.">
              <a:extLst xmlns:a="http://schemas.openxmlformats.org/drawingml/2006/main">
                <a:ext uri="{FF2B5EF4-FFF2-40B4-BE49-F238E27FC236}">
                  <a16:creationId xmlns:a16="http://schemas.microsoft.com/office/drawing/2014/main" id="{3391B2EF-8892-4C10-BE5C-8B42D63299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55908FF" w14:textId="57BA0D19" w:rsidR="00AE31F4" w:rsidRDefault="00F166D4" w:rsidP="00F36863">
      <w:pPr>
        <w:pStyle w:val="ListParagraph"/>
        <w:numPr>
          <w:ilvl w:val="0"/>
          <w:numId w:val="8"/>
        </w:numPr>
        <w:ind w:left="567" w:hanging="567"/>
        <w:contextualSpacing w:val="0"/>
      </w:pPr>
      <w:r w:rsidRPr="00F36863">
        <w:rPr>
          <w:rFonts w:cs="Arial"/>
        </w:rPr>
        <w:t xml:space="preserve">Follow-up interviews provided further detail on use of the </w:t>
      </w:r>
      <w:r w:rsidR="00DC2E44" w:rsidRPr="00F36863">
        <w:rPr>
          <w:rFonts w:cs="Arial"/>
        </w:rPr>
        <w:t>Plan</w:t>
      </w:r>
      <w:r w:rsidRPr="00F36863">
        <w:rPr>
          <w:rFonts w:cs="Arial"/>
        </w:rPr>
        <w:t xml:space="preserve"> by decision-makers. Overall, decision-makers expressed confidence in using the </w:t>
      </w:r>
      <w:r w:rsidR="00DC2E44" w:rsidRPr="00F36863">
        <w:rPr>
          <w:rFonts w:cs="Arial"/>
        </w:rPr>
        <w:t>Plan</w:t>
      </w:r>
      <w:r w:rsidRPr="00F36863">
        <w:rPr>
          <w:rFonts w:cs="Arial"/>
        </w:rPr>
        <w:t xml:space="preserve"> but </w:t>
      </w:r>
      <w:r>
        <w:t xml:space="preserve">suspected that some stakeholders were unfamiliar with the </w:t>
      </w:r>
      <w:r w:rsidR="00DC2E44">
        <w:t>Plan</w:t>
      </w:r>
      <w:r>
        <w:t xml:space="preserve"> and how to use it. </w:t>
      </w:r>
      <w:r w:rsidR="002F2801">
        <w:br/>
      </w:r>
      <w:r w:rsidR="002F2801">
        <w:br/>
      </w:r>
      <w:r>
        <w:t xml:space="preserve">This information provides further evidence for continued engagement with </w:t>
      </w:r>
      <w:r w:rsidRPr="00F36863">
        <w:rPr>
          <w:rFonts w:cs="Arial"/>
        </w:rPr>
        <w:t xml:space="preserve">decision-makers to promote use of the </w:t>
      </w:r>
      <w:r w:rsidR="00DC2E44" w:rsidRPr="00F36863">
        <w:rPr>
          <w:rFonts w:cs="Arial"/>
        </w:rPr>
        <w:t>Plan</w:t>
      </w:r>
      <w:r w:rsidRPr="00F36863">
        <w:rPr>
          <w:rFonts w:cs="Arial"/>
        </w:rPr>
        <w:t xml:space="preserve"> </w:t>
      </w:r>
      <w:r w:rsidRPr="00F36863">
        <w:rPr>
          <w:rStyle w:val="Hyperlink"/>
          <w:color w:val="auto"/>
          <w:u w:val="none"/>
        </w:rPr>
        <w:t xml:space="preserve">in </w:t>
      </w:r>
      <w:r w:rsidR="001D5809" w:rsidRPr="00F36863">
        <w:rPr>
          <w:rStyle w:val="Hyperlink"/>
          <w:color w:val="auto"/>
          <w:u w:val="none"/>
        </w:rPr>
        <w:t xml:space="preserve">consenting and </w:t>
      </w:r>
      <w:r w:rsidR="002F2801" w:rsidRPr="00F36863">
        <w:rPr>
          <w:rStyle w:val="Hyperlink"/>
          <w:color w:val="auto"/>
          <w:u w:val="none"/>
        </w:rPr>
        <w:t>p</w:t>
      </w:r>
      <w:r w:rsidR="00DC2E44" w:rsidRPr="00F36863">
        <w:rPr>
          <w:rStyle w:val="Hyperlink"/>
          <w:color w:val="auto"/>
          <w:u w:val="none"/>
        </w:rPr>
        <w:t>lan</w:t>
      </w:r>
      <w:r w:rsidRPr="00F36863">
        <w:rPr>
          <w:rStyle w:val="Hyperlink"/>
          <w:color w:val="auto"/>
          <w:u w:val="none"/>
        </w:rPr>
        <w:t>ning processes.</w:t>
      </w:r>
      <w:r w:rsidRPr="008814EE">
        <w:t xml:space="preserve"> </w:t>
      </w:r>
    </w:p>
    <w:p w14:paraId="03009DB1" w14:textId="1662EF8B" w:rsidR="00F166D4" w:rsidRPr="00B0530A" w:rsidRDefault="002F2801" w:rsidP="00285EEE">
      <w:pPr>
        <w:pStyle w:val="Heading4"/>
        <w:rPr>
          <w:color w:val="000000"/>
          <w:szCs w:val="24"/>
        </w:rPr>
      </w:pPr>
      <w:r w:rsidRPr="00B0530A">
        <w:t>Case study:</w:t>
      </w:r>
      <w:r w:rsidR="00F166D4" w:rsidRPr="00B0530A">
        <w:t xml:space="preserve"> </w:t>
      </w:r>
      <w:r>
        <w:t>s</w:t>
      </w:r>
      <w:r w:rsidR="00F166D4" w:rsidRPr="00B0530A">
        <w:t xml:space="preserve">upporting marine </w:t>
      </w:r>
      <w:r>
        <w:t>p</w:t>
      </w:r>
      <w:r w:rsidR="00DC2E44">
        <w:t>lan</w:t>
      </w:r>
      <w:r w:rsidR="00F166D4" w:rsidRPr="00B0530A">
        <w:t xml:space="preserve"> </w:t>
      </w:r>
      <w:r w:rsidR="00F166D4">
        <w:t>use</w:t>
      </w:r>
    </w:p>
    <w:p w14:paraId="4B5B64C2" w14:textId="6C8C6250" w:rsidR="002F2801" w:rsidRDefault="00F166D4" w:rsidP="00D56257">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rPr>
          <w:rFonts w:cs="Arial"/>
        </w:rPr>
        <w:t xml:space="preserve">The delivery of </w:t>
      </w:r>
      <w:r w:rsidRPr="00B0530A">
        <w:rPr>
          <w:rFonts w:cs="Arial"/>
        </w:rPr>
        <w:t>training</w:t>
      </w:r>
      <w:r>
        <w:rPr>
          <w:rFonts w:cs="Arial"/>
        </w:rPr>
        <w:t xml:space="preserve"> sessions</w:t>
      </w:r>
      <w:r w:rsidRPr="00B0530A">
        <w:rPr>
          <w:rFonts w:cs="Arial"/>
        </w:rPr>
        <w:t xml:space="preserve"> is a key engagement activity used by the MMO to </w:t>
      </w:r>
      <w:r>
        <w:rPr>
          <w:rFonts w:cs="Arial"/>
        </w:rPr>
        <w:t xml:space="preserve">increase decision-maker awareness and understanding of the </w:t>
      </w:r>
      <w:r w:rsidR="00DC2E44">
        <w:rPr>
          <w:rFonts w:cs="Arial"/>
        </w:rPr>
        <w:t>Plan</w:t>
      </w:r>
      <w:r>
        <w:rPr>
          <w:rFonts w:cs="Arial"/>
        </w:rPr>
        <w:t xml:space="preserve">. </w:t>
      </w:r>
    </w:p>
    <w:p w14:paraId="49AE4972" w14:textId="60A48774" w:rsidR="00F166D4" w:rsidRDefault="00F166D4" w:rsidP="00D56257">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rPr>
          <w:rFonts w:cs="Arial"/>
        </w:rPr>
        <w:lastRenderedPageBreak/>
        <w:t xml:space="preserve">Training sessions, therefore, help to promote the use of the </w:t>
      </w:r>
      <w:r w:rsidR="00DC2E44">
        <w:rPr>
          <w:rFonts w:cs="Arial"/>
        </w:rPr>
        <w:t>Plan</w:t>
      </w:r>
      <w:r>
        <w:rPr>
          <w:rFonts w:cs="Arial"/>
        </w:rPr>
        <w:t xml:space="preserve"> in authorisation and enforcement decisions, as well as in non-authorisation decisions. </w:t>
      </w:r>
    </w:p>
    <w:p w14:paraId="3E447275" w14:textId="2B06AD4C" w:rsidR="00F166D4" w:rsidRDefault="00C46F0A" w:rsidP="00D56257">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rPr>
          <w:rFonts w:cs="Arial"/>
        </w:rPr>
        <w:t xml:space="preserve">Attendance of </w:t>
      </w:r>
      <w:r w:rsidR="00F166D4">
        <w:rPr>
          <w:rFonts w:cs="Arial"/>
        </w:rPr>
        <w:t xml:space="preserve">training sessions </w:t>
      </w:r>
      <w:r>
        <w:rPr>
          <w:rFonts w:cs="Arial"/>
        </w:rPr>
        <w:t>by</w:t>
      </w:r>
      <w:r w:rsidR="00C6648D" w:rsidRPr="00C6648D">
        <w:rPr>
          <w:rFonts w:cs="Arial"/>
        </w:rPr>
        <w:t xml:space="preserve"> </w:t>
      </w:r>
      <w:r w:rsidR="00F166D4">
        <w:rPr>
          <w:rFonts w:cs="Arial"/>
        </w:rPr>
        <w:t xml:space="preserve">decision-makers </w:t>
      </w:r>
      <w:r w:rsidR="00C6648D" w:rsidRPr="00C6648D">
        <w:rPr>
          <w:rFonts w:cs="Arial"/>
        </w:rPr>
        <w:t xml:space="preserve">relevant to </w:t>
      </w:r>
      <w:r w:rsidR="00F166D4">
        <w:rPr>
          <w:rFonts w:cs="Arial"/>
        </w:rPr>
        <w:t xml:space="preserve">the </w:t>
      </w:r>
      <w:r w:rsidR="00B07496">
        <w:rPr>
          <w:rFonts w:cs="Arial"/>
        </w:rPr>
        <w:t xml:space="preserve">South Marine </w:t>
      </w:r>
      <w:r w:rsidR="00DC2E44">
        <w:rPr>
          <w:rFonts w:cs="Arial"/>
        </w:rPr>
        <w:t>Plan</w:t>
      </w:r>
      <w:r w:rsidR="00C6648D" w:rsidRPr="00C6648D">
        <w:rPr>
          <w:rFonts w:cs="Arial"/>
        </w:rPr>
        <w:t xml:space="preserve"> areas</w:t>
      </w:r>
      <w:r w:rsidR="00F166D4">
        <w:rPr>
          <w:rFonts w:cs="Arial"/>
        </w:rPr>
        <w:t xml:space="preserve"> during the </w:t>
      </w:r>
      <w:r w:rsidR="00C6648D" w:rsidRPr="00C6648D">
        <w:rPr>
          <w:rFonts w:cs="Arial"/>
        </w:rPr>
        <w:t>2018</w:t>
      </w:r>
      <w:r w:rsidR="002F2801">
        <w:rPr>
          <w:rFonts w:cs="Arial"/>
        </w:rPr>
        <w:t xml:space="preserve"> to </w:t>
      </w:r>
      <w:r w:rsidR="00F166D4" w:rsidRPr="00C6648D">
        <w:rPr>
          <w:rFonts w:cs="Arial"/>
        </w:rPr>
        <w:t>2019</w:t>
      </w:r>
      <w:r w:rsidR="00F166D4">
        <w:rPr>
          <w:rFonts w:cs="Arial"/>
        </w:rPr>
        <w:t xml:space="preserve"> and 2020</w:t>
      </w:r>
      <w:r w:rsidR="002F2801">
        <w:rPr>
          <w:rFonts w:cs="Arial"/>
        </w:rPr>
        <w:t xml:space="preserve"> to </w:t>
      </w:r>
      <w:r w:rsidR="00F166D4">
        <w:rPr>
          <w:rFonts w:cs="Arial"/>
        </w:rPr>
        <w:t xml:space="preserve">2021 reporting years </w:t>
      </w:r>
      <w:r>
        <w:rPr>
          <w:rFonts w:cs="Arial"/>
        </w:rPr>
        <w:t>was high</w:t>
      </w:r>
      <w:r w:rsidR="00C6648D" w:rsidRPr="00C6648D">
        <w:rPr>
          <w:rFonts w:cs="Arial"/>
        </w:rPr>
        <w:t xml:space="preserve">. </w:t>
      </w:r>
      <w:r w:rsidR="00F166D4" w:rsidRPr="00001AE7">
        <w:rPr>
          <w:rFonts w:cs="Arial"/>
        </w:rPr>
        <w:t xml:space="preserve">Feedback </w:t>
      </w:r>
      <w:r w:rsidR="00C6648D" w:rsidRPr="00001AE7">
        <w:rPr>
          <w:rFonts w:cs="Arial"/>
        </w:rPr>
        <w:t xml:space="preserve">received </w:t>
      </w:r>
      <w:r w:rsidR="00F166D4" w:rsidRPr="00001AE7">
        <w:rPr>
          <w:rFonts w:cs="Arial"/>
        </w:rPr>
        <w:t xml:space="preserve">from </w:t>
      </w:r>
      <w:r w:rsidRPr="00001AE7">
        <w:rPr>
          <w:rFonts w:cs="Arial"/>
        </w:rPr>
        <w:t xml:space="preserve">attending decision-makers </w:t>
      </w:r>
      <w:r w:rsidR="00F166D4" w:rsidRPr="00001AE7">
        <w:rPr>
          <w:rFonts w:cs="Arial"/>
        </w:rPr>
        <w:t xml:space="preserve">confirmed that the </w:t>
      </w:r>
      <w:r w:rsidR="00001AE7" w:rsidRPr="00001AE7">
        <w:rPr>
          <w:rFonts w:cs="Arial"/>
        </w:rPr>
        <w:t>2018</w:t>
      </w:r>
      <w:r w:rsidR="00E10564">
        <w:rPr>
          <w:rFonts w:cs="Arial"/>
        </w:rPr>
        <w:t xml:space="preserve"> to </w:t>
      </w:r>
      <w:r w:rsidR="00001AE7" w:rsidRPr="00001AE7">
        <w:rPr>
          <w:rFonts w:cs="Arial"/>
        </w:rPr>
        <w:t>2019 and 2020</w:t>
      </w:r>
      <w:r w:rsidR="00E10564">
        <w:rPr>
          <w:rFonts w:cs="Arial"/>
        </w:rPr>
        <w:t xml:space="preserve"> to </w:t>
      </w:r>
      <w:r w:rsidR="00001AE7" w:rsidRPr="00001AE7">
        <w:rPr>
          <w:rFonts w:cs="Arial"/>
        </w:rPr>
        <w:t xml:space="preserve">2021 </w:t>
      </w:r>
      <w:r w:rsidR="00F166D4" w:rsidRPr="00001AE7">
        <w:rPr>
          <w:rFonts w:cs="Arial"/>
        </w:rPr>
        <w:t>training sessions were well received</w:t>
      </w:r>
      <w:r w:rsidR="00F166D4" w:rsidRPr="00001AE7">
        <w:rPr>
          <w:rStyle w:val="Hyperlink"/>
          <w:color w:val="auto"/>
          <w:u w:val="none"/>
        </w:rPr>
        <w:t>.</w:t>
      </w:r>
      <w:r w:rsidR="00F166D4" w:rsidRPr="00001AE7">
        <w:rPr>
          <w:rFonts w:cs="Arial"/>
        </w:rPr>
        <w:t xml:space="preserve"> </w:t>
      </w:r>
    </w:p>
    <w:p w14:paraId="62E7CD64" w14:textId="3A330B36" w:rsidR="00F166D4" w:rsidRDefault="00F166D4" w:rsidP="00D56257">
      <w:pPr>
        <w:pBdr>
          <w:top w:val="single" w:sz="4" w:space="1" w:color="auto"/>
          <w:left w:val="single" w:sz="4" w:space="4" w:color="auto"/>
          <w:bottom w:val="single" w:sz="4" w:space="1" w:color="auto"/>
          <w:right w:val="single" w:sz="4" w:space="4" w:color="auto"/>
        </w:pBdr>
        <w:shd w:val="clear" w:color="auto" w:fill="F2F2F2" w:themeFill="background1" w:themeFillShade="F2"/>
        <w:rPr>
          <w:rStyle w:val="Hyperlink"/>
          <w:color w:val="auto"/>
          <w:u w:val="none"/>
        </w:rPr>
      </w:pPr>
      <w:r>
        <w:t xml:space="preserve">In </w:t>
      </w:r>
      <w:r w:rsidRPr="00D56257">
        <w:rPr>
          <w:rFonts w:cs="Arial"/>
          <w:color w:val="000000" w:themeColor="text1"/>
        </w:rPr>
        <w:t>addition</w:t>
      </w:r>
      <w:r>
        <w:t xml:space="preserve"> to delivering </w:t>
      </w:r>
      <w:r w:rsidRPr="00B0530A">
        <w:rPr>
          <w:rFonts w:cs="Arial"/>
        </w:rPr>
        <w:t>training</w:t>
      </w:r>
      <w:r>
        <w:rPr>
          <w:rFonts w:cs="Arial"/>
        </w:rPr>
        <w:t xml:space="preserve"> sessions, t</w:t>
      </w:r>
      <w:r w:rsidRPr="00FC56C7">
        <w:t xml:space="preserve">he MMO has also developed several </w:t>
      </w:r>
      <w:r w:rsidRPr="00FC56C7">
        <w:rPr>
          <w:rStyle w:val="Hyperlink"/>
          <w:color w:val="auto"/>
          <w:u w:val="none"/>
        </w:rPr>
        <w:t xml:space="preserve">frameworks and </w:t>
      </w:r>
      <w:r>
        <w:rPr>
          <w:rStyle w:val="Hyperlink"/>
          <w:color w:val="auto"/>
          <w:u w:val="none"/>
        </w:rPr>
        <w:t>outputs</w:t>
      </w:r>
      <w:r w:rsidRPr="00FC56C7">
        <w:rPr>
          <w:rStyle w:val="Hyperlink"/>
          <w:color w:val="auto"/>
          <w:u w:val="none"/>
        </w:rPr>
        <w:t xml:space="preserve"> that </w:t>
      </w:r>
      <w:r>
        <w:rPr>
          <w:rStyle w:val="Hyperlink"/>
          <w:color w:val="auto"/>
          <w:u w:val="none"/>
        </w:rPr>
        <w:t>promote</w:t>
      </w:r>
      <w:r w:rsidRPr="00FC56C7">
        <w:rPr>
          <w:rStyle w:val="Hyperlink"/>
          <w:color w:val="auto"/>
          <w:u w:val="none"/>
        </w:rPr>
        <w:t xml:space="preserve"> </w:t>
      </w:r>
      <w:r>
        <w:rPr>
          <w:rStyle w:val="Hyperlink"/>
          <w:color w:val="auto"/>
          <w:u w:val="none"/>
        </w:rPr>
        <w:t xml:space="preserve">the </w:t>
      </w:r>
      <w:r w:rsidRPr="00FC56C7">
        <w:rPr>
          <w:rStyle w:val="Hyperlink"/>
          <w:color w:val="auto"/>
          <w:u w:val="none"/>
        </w:rPr>
        <w:t xml:space="preserve">use of the </w:t>
      </w:r>
      <w:r w:rsidR="00DC2E44">
        <w:rPr>
          <w:rStyle w:val="Hyperlink"/>
          <w:color w:val="auto"/>
          <w:u w:val="none"/>
        </w:rPr>
        <w:t>Plan</w:t>
      </w:r>
      <w:r w:rsidRPr="00FC56C7">
        <w:rPr>
          <w:rStyle w:val="Hyperlink"/>
          <w:color w:val="auto"/>
          <w:u w:val="none"/>
        </w:rPr>
        <w:t xml:space="preserve"> </w:t>
      </w:r>
      <w:r>
        <w:rPr>
          <w:rStyle w:val="Hyperlink"/>
          <w:color w:val="auto"/>
          <w:u w:val="none"/>
        </w:rPr>
        <w:t>by decision-makers, including:</w:t>
      </w:r>
    </w:p>
    <w:p w14:paraId="71BF5BD4" w14:textId="4A5AA5E5" w:rsidR="00F166D4" w:rsidRDefault="00F166D4" w:rsidP="00D56257">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ind w:left="357" w:hanging="357"/>
        <w:rPr>
          <w:rStyle w:val="Hyperlink"/>
          <w:color w:val="auto"/>
          <w:u w:val="none"/>
        </w:rPr>
      </w:pPr>
      <w:r w:rsidRPr="00FC56C7">
        <w:rPr>
          <w:rStyle w:val="Hyperlink"/>
          <w:color w:val="auto"/>
          <w:u w:val="none"/>
        </w:rPr>
        <w:t>an internal framework to inform the preparation and agreement of statement of common grounds with other decision-makers on the development of sub-national policy documents</w:t>
      </w:r>
    </w:p>
    <w:p w14:paraId="5532C070" w14:textId="210F0892" w:rsidR="00F166D4" w:rsidRDefault="00F166D4" w:rsidP="00D56257">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ind w:left="357" w:hanging="357"/>
      </w:pPr>
      <w:r>
        <w:t xml:space="preserve">a ‘marine </w:t>
      </w:r>
      <w:r w:rsidR="00C406C0">
        <w:t>p</w:t>
      </w:r>
      <w:r w:rsidR="00DC2E44">
        <w:t>lan</w:t>
      </w:r>
      <w:r>
        <w:t xml:space="preserve">ning policy assessment matrix’ tool to inform decisions on marine wildlife licence applications and byelaw </w:t>
      </w:r>
      <w:r w:rsidRPr="00D56257">
        <w:rPr>
          <w:rStyle w:val="Hyperlink"/>
          <w:color w:val="auto"/>
          <w:u w:val="none"/>
        </w:rPr>
        <w:t>development</w:t>
      </w:r>
      <w:r>
        <w:t xml:space="preserve"> (</w:t>
      </w:r>
      <w:r w:rsidR="00B07496">
        <w:t xml:space="preserve">for example, </w:t>
      </w:r>
      <w:r>
        <w:t xml:space="preserve">commercial fisheries and marine protected area byelaws) </w:t>
      </w:r>
    </w:p>
    <w:p w14:paraId="038FB227" w14:textId="58C8856E" w:rsidR="00904996" w:rsidRPr="0059093A" w:rsidRDefault="00904996" w:rsidP="00285EEE">
      <w:pPr>
        <w:pStyle w:val="Heading3"/>
      </w:pPr>
      <w:bookmarkStart w:id="174" w:name="_5._Outcomes"/>
      <w:bookmarkStart w:id="175" w:name="_Toc74308000"/>
      <w:bookmarkStart w:id="176" w:name="_Toc74577266"/>
      <w:bookmarkStart w:id="177" w:name="_Toc68186337"/>
      <w:bookmarkStart w:id="178" w:name="_Toc72414606"/>
      <w:bookmarkStart w:id="179" w:name="_Toc72489173"/>
      <w:bookmarkEnd w:id="145"/>
      <w:bookmarkEnd w:id="174"/>
      <w:r>
        <w:t>4</w:t>
      </w:r>
      <w:r w:rsidRPr="0059093A">
        <w:t>.</w:t>
      </w:r>
      <w:r>
        <w:t>3</w:t>
      </w:r>
      <w:r w:rsidRPr="0059093A">
        <w:t xml:space="preserve"> </w:t>
      </w:r>
      <w:r>
        <w:t xml:space="preserve">Concluding </w:t>
      </w:r>
      <w:r w:rsidR="00E10564">
        <w:t>s</w:t>
      </w:r>
      <w:r>
        <w:t>tatement</w:t>
      </w:r>
      <w:bookmarkEnd w:id="175"/>
      <w:bookmarkEnd w:id="176"/>
    </w:p>
    <w:p w14:paraId="0EA6573F" w14:textId="4C62FD81" w:rsidR="00AB3441" w:rsidRPr="007B00A7" w:rsidRDefault="00AB3441" w:rsidP="00AB3441">
      <w:pPr>
        <w:pStyle w:val="ListParagraph"/>
        <w:numPr>
          <w:ilvl w:val="0"/>
          <w:numId w:val="8"/>
        </w:numPr>
        <w:ind w:left="561" w:hanging="567"/>
        <w:contextualSpacing w:val="0"/>
      </w:pPr>
      <w:r>
        <w:rPr>
          <w:szCs w:val="24"/>
        </w:rPr>
        <w:t>Process</w:t>
      </w:r>
      <w:r w:rsidRPr="007B00A7">
        <w:rPr>
          <w:szCs w:val="24"/>
        </w:rPr>
        <w:t xml:space="preserve"> </w:t>
      </w:r>
      <w:r>
        <w:rPr>
          <w:szCs w:val="24"/>
        </w:rPr>
        <w:t>m</w:t>
      </w:r>
      <w:r w:rsidRPr="007B00A7">
        <w:rPr>
          <w:szCs w:val="24"/>
        </w:rPr>
        <w:t xml:space="preserve">onitoring </w:t>
      </w:r>
      <w:r>
        <w:rPr>
          <w:szCs w:val="24"/>
        </w:rPr>
        <w:t>assessed the</w:t>
      </w:r>
      <w:r w:rsidRPr="007B00A7">
        <w:rPr>
          <w:szCs w:val="24"/>
        </w:rPr>
        <w:t xml:space="preserve"> use of the </w:t>
      </w:r>
      <w:r w:rsidR="00DC2E44">
        <w:rPr>
          <w:szCs w:val="24"/>
        </w:rPr>
        <w:t>Plan</w:t>
      </w:r>
      <w:r w:rsidRPr="007B00A7">
        <w:rPr>
          <w:szCs w:val="24"/>
        </w:rPr>
        <w:t xml:space="preserve"> by marine licence </w:t>
      </w:r>
      <w:r>
        <w:rPr>
          <w:szCs w:val="24"/>
        </w:rPr>
        <w:t>applicants</w:t>
      </w:r>
      <w:r w:rsidRPr="007B00A7">
        <w:rPr>
          <w:szCs w:val="24"/>
        </w:rPr>
        <w:t xml:space="preserve">, the MMO marine licensing function, and other decision-makers, as well as </w:t>
      </w:r>
      <w:r w:rsidRPr="007C02CD">
        <w:rPr>
          <w:szCs w:val="24"/>
        </w:rPr>
        <w:t>its</w:t>
      </w:r>
      <w:r w:rsidRPr="007B00A7">
        <w:rPr>
          <w:szCs w:val="24"/>
        </w:rPr>
        <w:t xml:space="preserve"> </w:t>
      </w:r>
      <w:r w:rsidRPr="007C02CD">
        <w:rPr>
          <w:szCs w:val="24"/>
        </w:rPr>
        <w:t>integration</w:t>
      </w:r>
      <w:r w:rsidRPr="007B00A7">
        <w:rPr>
          <w:szCs w:val="24"/>
        </w:rPr>
        <w:t xml:space="preserve"> with other </w:t>
      </w:r>
      <w:r w:rsidRPr="007B00A7">
        <w:t>sub-national policy documents</w:t>
      </w:r>
      <w:r w:rsidRPr="007B00A7">
        <w:rPr>
          <w:szCs w:val="24"/>
        </w:rPr>
        <w:t>.</w:t>
      </w:r>
      <w:r w:rsidRPr="007C02CD">
        <w:rPr>
          <w:szCs w:val="24"/>
        </w:rPr>
        <w:t xml:space="preserve"> </w:t>
      </w:r>
    </w:p>
    <w:p w14:paraId="1E6DB39A" w14:textId="0D5F2F61" w:rsidR="00AB3441" w:rsidRPr="00271A2F" w:rsidRDefault="00AB3441" w:rsidP="00AB3441">
      <w:pPr>
        <w:pStyle w:val="ListParagraph"/>
        <w:numPr>
          <w:ilvl w:val="0"/>
          <w:numId w:val="8"/>
        </w:numPr>
        <w:ind w:left="561" w:hanging="567"/>
        <w:contextualSpacing w:val="0"/>
      </w:pPr>
      <w:r>
        <w:t>Findings evidenced</w:t>
      </w:r>
      <w:r w:rsidRPr="00271A2F">
        <w:rPr>
          <w:szCs w:val="24"/>
        </w:rPr>
        <w:t xml:space="preserve"> increase</w:t>
      </w:r>
      <w:r>
        <w:rPr>
          <w:szCs w:val="24"/>
        </w:rPr>
        <w:t>d</w:t>
      </w:r>
      <w:r w:rsidRPr="00271A2F">
        <w:rPr>
          <w:szCs w:val="24"/>
        </w:rPr>
        <w:t xml:space="preserve"> awareness and understanding of the </w:t>
      </w:r>
      <w:r w:rsidR="00DC2E44">
        <w:rPr>
          <w:szCs w:val="24"/>
        </w:rPr>
        <w:t>Plan</w:t>
      </w:r>
      <w:r w:rsidRPr="00271A2F">
        <w:rPr>
          <w:szCs w:val="24"/>
        </w:rPr>
        <w:t xml:space="preserve"> and how to use it. Progress was achieved through the delivery of </w:t>
      </w:r>
      <w:r w:rsidRPr="00A2230B">
        <w:t>direct</w:t>
      </w:r>
      <w:r w:rsidRPr="00271A2F">
        <w:rPr>
          <w:szCs w:val="24"/>
        </w:rPr>
        <w:t xml:space="preserve"> engagement activities</w:t>
      </w:r>
      <w:r>
        <w:rPr>
          <w:szCs w:val="24"/>
        </w:rPr>
        <w:t xml:space="preserve">, combined with the use of digital channels. </w:t>
      </w:r>
      <w:r w:rsidR="00E10564">
        <w:rPr>
          <w:szCs w:val="24"/>
        </w:rPr>
        <w:br/>
      </w:r>
      <w:r w:rsidR="00E10564">
        <w:rPr>
          <w:szCs w:val="24"/>
        </w:rPr>
        <w:br/>
      </w:r>
      <w:r>
        <w:rPr>
          <w:szCs w:val="24"/>
        </w:rPr>
        <w:t>T</w:t>
      </w:r>
      <w:r w:rsidRPr="00271A2F">
        <w:rPr>
          <w:szCs w:val="24"/>
        </w:rPr>
        <w:t xml:space="preserve">he provision of online tools and guidance that support use of the </w:t>
      </w:r>
      <w:r w:rsidR="00DC2E44">
        <w:rPr>
          <w:szCs w:val="24"/>
        </w:rPr>
        <w:t>Plan</w:t>
      </w:r>
      <w:r>
        <w:rPr>
          <w:szCs w:val="24"/>
        </w:rPr>
        <w:t xml:space="preserve"> has also helped to build user capacity</w:t>
      </w:r>
      <w:r w:rsidRPr="00271A2F">
        <w:rPr>
          <w:szCs w:val="24"/>
        </w:rPr>
        <w:t xml:space="preserve">. </w:t>
      </w:r>
    </w:p>
    <w:p w14:paraId="718FD8C2" w14:textId="53CBC384" w:rsidR="00AB3441" w:rsidRDefault="00AB3441" w:rsidP="00AB3441">
      <w:pPr>
        <w:pStyle w:val="ListParagraph"/>
        <w:numPr>
          <w:ilvl w:val="0"/>
          <w:numId w:val="8"/>
        </w:numPr>
        <w:ind w:left="561" w:hanging="567"/>
        <w:contextualSpacing w:val="0"/>
      </w:pPr>
      <w:r>
        <w:t xml:space="preserve">Process monitoring </w:t>
      </w:r>
      <w:r w:rsidRPr="00AA1961">
        <w:rPr>
          <w:rStyle w:val="Hyperlink"/>
          <w:color w:val="auto"/>
          <w:u w:val="none"/>
        </w:rPr>
        <w:t xml:space="preserve">showed an increase in the use of the </w:t>
      </w:r>
      <w:r w:rsidR="00DC2E44">
        <w:rPr>
          <w:rStyle w:val="Hyperlink"/>
          <w:color w:val="auto"/>
          <w:u w:val="none"/>
        </w:rPr>
        <w:t>Plan</w:t>
      </w:r>
      <w:r w:rsidRPr="00AA1961">
        <w:rPr>
          <w:rStyle w:val="Hyperlink"/>
          <w:color w:val="auto"/>
          <w:u w:val="none"/>
        </w:rPr>
        <w:t xml:space="preserve"> by </w:t>
      </w:r>
      <w:r>
        <w:rPr>
          <w:rStyle w:val="Hyperlink"/>
          <w:color w:val="auto"/>
          <w:u w:val="none"/>
        </w:rPr>
        <w:t>marine licence applicants</w:t>
      </w:r>
      <w:r w:rsidRPr="00AA1961">
        <w:rPr>
          <w:rStyle w:val="Hyperlink"/>
          <w:color w:val="auto"/>
          <w:u w:val="none"/>
        </w:rPr>
        <w:t xml:space="preserve"> and in its influence within proposal development processes. </w:t>
      </w:r>
      <w:r w:rsidR="00E10564">
        <w:rPr>
          <w:rStyle w:val="Hyperlink"/>
          <w:color w:val="auto"/>
          <w:u w:val="none"/>
        </w:rPr>
        <w:br/>
      </w:r>
      <w:r w:rsidR="00E10564">
        <w:rPr>
          <w:rStyle w:val="Hyperlink"/>
          <w:color w:val="auto"/>
          <w:u w:val="none"/>
        </w:rPr>
        <w:br/>
      </w:r>
      <w:r w:rsidRPr="00AA1961">
        <w:rPr>
          <w:rStyle w:val="Hyperlink"/>
          <w:color w:val="auto"/>
          <w:u w:val="none"/>
        </w:rPr>
        <w:t xml:space="preserve">However, marine licence applications often did not provide </w:t>
      </w:r>
      <w:r>
        <w:t xml:space="preserve">full consideration of all relevant policies. The influence of the </w:t>
      </w:r>
      <w:r w:rsidR="00DC2E44">
        <w:t>Plan</w:t>
      </w:r>
      <w:r>
        <w:t xml:space="preserve"> on proposal </w:t>
      </w:r>
      <w:r w:rsidRPr="00A2230B">
        <w:t>development</w:t>
      </w:r>
      <w:r>
        <w:t xml:space="preserve"> was, therefore, difficult to assess in detail.</w:t>
      </w:r>
    </w:p>
    <w:p w14:paraId="367B850F" w14:textId="5DC98DB4" w:rsidR="00AB3441" w:rsidRPr="003C6B78" w:rsidRDefault="00AB3441" w:rsidP="00AB3441">
      <w:pPr>
        <w:pStyle w:val="ListParagraph"/>
        <w:numPr>
          <w:ilvl w:val="0"/>
          <w:numId w:val="8"/>
        </w:numPr>
        <w:ind w:left="561" w:hanging="567"/>
        <w:contextualSpacing w:val="0"/>
      </w:pPr>
      <w:bookmarkStart w:id="180" w:name="_Hlk73631316"/>
      <w:r>
        <w:t xml:space="preserve">In contrast, the influence of the </w:t>
      </w:r>
      <w:r w:rsidR="00DC2E44">
        <w:t>Plan</w:t>
      </w:r>
      <w:r>
        <w:t xml:space="preserve"> in marine licence decision-making was clearly evidenced by detailed consideration that was consistently given by the MMO marine licensing function.</w:t>
      </w:r>
      <w:r w:rsidR="00E10564">
        <w:br/>
      </w:r>
      <w:r w:rsidR="00E10564">
        <w:rPr>
          <w:rFonts w:cs="Arial"/>
          <w:i/>
          <w:iCs/>
        </w:rPr>
        <w:br/>
      </w:r>
      <w:r w:rsidRPr="007C02CD">
        <w:rPr>
          <w:rFonts w:cs="Arial"/>
        </w:rPr>
        <w:t>This information provided an improved understanding of the influence and effectiveness of individual policies.</w:t>
      </w:r>
      <w:r>
        <w:rPr>
          <w:rFonts w:cs="Arial"/>
        </w:rPr>
        <w:t xml:space="preserve"> This licensing decision-making data showed some variation in</w:t>
      </w:r>
      <w:r w:rsidRPr="798DAF5F">
        <w:rPr>
          <w:rFonts w:cs="Arial"/>
        </w:rPr>
        <w:t xml:space="preserve"> </w:t>
      </w:r>
      <w:r w:rsidRPr="798DAF5F">
        <w:rPr>
          <w:rStyle w:val="Hyperlink"/>
          <w:color w:val="auto"/>
          <w:u w:val="none"/>
        </w:rPr>
        <w:t xml:space="preserve">the level of influence that </w:t>
      </w:r>
      <w:r w:rsidRPr="798DAF5F">
        <w:rPr>
          <w:rFonts w:cs="Arial"/>
        </w:rPr>
        <w:t>individual policies have</w:t>
      </w:r>
      <w:r>
        <w:t xml:space="preserve">. </w:t>
      </w:r>
      <w:r w:rsidR="00E10564">
        <w:br/>
      </w:r>
      <w:r w:rsidR="00E10564">
        <w:br/>
      </w:r>
      <w:r w:rsidRPr="798DAF5F">
        <w:rPr>
          <w:rFonts w:cs="Arial"/>
        </w:rPr>
        <w:t>E</w:t>
      </w:r>
      <w:r w:rsidRPr="007C02CD">
        <w:rPr>
          <w:rStyle w:val="eop"/>
          <w:rFonts w:cs="Arial"/>
        </w:rPr>
        <w:t xml:space="preserve">vidence of policy use also highlighted the need for the continued delivery of training </w:t>
      </w:r>
      <w:r w:rsidRPr="007C02CD">
        <w:rPr>
          <w:rStyle w:val="eop"/>
          <w:rFonts w:cs="Arial"/>
        </w:rPr>
        <w:lastRenderedPageBreak/>
        <w:t xml:space="preserve">to </w:t>
      </w:r>
      <w:r w:rsidRPr="007C02CD">
        <w:rPr>
          <w:rStyle w:val="Hyperlink"/>
          <w:rFonts w:cs="Arial"/>
          <w:color w:val="000000" w:themeColor="text1"/>
          <w:u w:val="none"/>
        </w:rPr>
        <w:t xml:space="preserve">support the use of the </w:t>
      </w:r>
      <w:r w:rsidR="00DC2E44">
        <w:rPr>
          <w:rStyle w:val="Hyperlink"/>
          <w:rFonts w:cs="Arial"/>
          <w:color w:val="000000" w:themeColor="text1"/>
          <w:u w:val="none"/>
        </w:rPr>
        <w:t>Plan</w:t>
      </w:r>
      <w:r w:rsidRPr="007C02CD">
        <w:rPr>
          <w:rStyle w:val="Hyperlink"/>
          <w:rFonts w:cs="Arial"/>
          <w:color w:val="000000" w:themeColor="text1"/>
          <w:u w:val="none"/>
        </w:rPr>
        <w:t xml:space="preserve">. </w:t>
      </w:r>
      <w:r w:rsidR="00E10564">
        <w:rPr>
          <w:rStyle w:val="Hyperlink"/>
          <w:rFonts w:cs="Arial"/>
          <w:color w:val="000000" w:themeColor="text1"/>
          <w:u w:val="none"/>
        </w:rPr>
        <w:br/>
      </w:r>
      <w:r w:rsidR="00E10564">
        <w:rPr>
          <w:rStyle w:val="Hyperlink"/>
          <w:rFonts w:cs="Arial"/>
          <w:color w:val="000000" w:themeColor="text1"/>
          <w:u w:val="none"/>
        </w:rPr>
        <w:br/>
      </w:r>
      <w:r w:rsidRPr="007C02CD">
        <w:rPr>
          <w:rFonts w:cs="Arial"/>
        </w:rPr>
        <w:t>For example, the findings suggested that the MPA boundary change policy (</w:t>
      </w:r>
      <w:r w:rsidRPr="798DAF5F">
        <w:rPr>
          <w:rStyle w:val="eop"/>
          <w:rFonts w:cs="Arial"/>
        </w:rPr>
        <w:t>S</w:t>
      </w:r>
      <w:r w:rsidRPr="798DAF5F">
        <w:rPr>
          <w:rStyle w:val="Hyperlink"/>
          <w:color w:val="auto"/>
          <w:u w:val="none"/>
        </w:rPr>
        <w:t>-MPA-3)</w:t>
      </w:r>
      <w:r w:rsidRPr="007C02CD">
        <w:rPr>
          <w:rFonts w:cs="Arial"/>
        </w:rPr>
        <w:t xml:space="preserve"> is </w:t>
      </w:r>
      <w:r>
        <w:rPr>
          <w:rFonts w:cs="Arial"/>
        </w:rPr>
        <w:t xml:space="preserve">often misinterpreted, resulting in the policy being considered unnecessarily in </w:t>
      </w:r>
      <w:r w:rsidRPr="00810E8D">
        <w:rPr>
          <w:rFonts w:cs="Arial"/>
        </w:rPr>
        <w:t>marine licence decisions</w:t>
      </w:r>
    </w:p>
    <w:p w14:paraId="3BAC7095" w14:textId="06DFD73A" w:rsidR="00AB3441" w:rsidRPr="00271A2F" w:rsidRDefault="00AB3441" w:rsidP="00AB3441">
      <w:pPr>
        <w:pStyle w:val="ListParagraph"/>
        <w:numPr>
          <w:ilvl w:val="0"/>
          <w:numId w:val="8"/>
        </w:numPr>
        <w:ind w:left="561" w:hanging="567"/>
        <w:contextualSpacing w:val="0"/>
        <w:rPr>
          <w:rStyle w:val="Hyperlink"/>
          <w:color w:val="auto"/>
          <w:u w:val="none"/>
        </w:rPr>
      </w:pPr>
      <w:bookmarkStart w:id="181" w:name="_Hlk72491536"/>
      <w:bookmarkEnd w:id="180"/>
      <w:r w:rsidRPr="00271A2F">
        <w:rPr>
          <w:szCs w:val="24"/>
        </w:rPr>
        <w:t xml:space="preserve">Process monitoring showed that decision-makers external to the MMO are </w:t>
      </w:r>
      <w:r w:rsidRPr="00271A2F">
        <w:rPr>
          <w:rStyle w:val="Hyperlink"/>
          <w:color w:val="auto"/>
          <w:szCs w:val="24"/>
          <w:u w:val="none"/>
        </w:rPr>
        <w:t xml:space="preserve">using the </w:t>
      </w:r>
      <w:r w:rsidR="00DC2E44">
        <w:rPr>
          <w:rStyle w:val="Hyperlink"/>
          <w:color w:val="auto"/>
          <w:szCs w:val="24"/>
          <w:u w:val="none"/>
        </w:rPr>
        <w:t>Plan</w:t>
      </w:r>
      <w:r w:rsidRPr="00271A2F">
        <w:rPr>
          <w:rStyle w:val="Hyperlink"/>
          <w:color w:val="auto"/>
          <w:szCs w:val="24"/>
          <w:u w:val="none"/>
        </w:rPr>
        <w:t xml:space="preserve"> to inform a </w:t>
      </w:r>
      <w:r w:rsidRPr="00A2230B">
        <w:t>range</w:t>
      </w:r>
      <w:r w:rsidRPr="00271A2F">
        <w:rPr>
          <w:rStyle w:val="Hyperlink"/>
          <w:color w:val="auto"/>
          <w:szCs w:val="24"/>
          <w:u w:val="none"/>
        </w:rPr>
        <w:t xml:space="preserve"> of consenting and </w:t>
      </w:r>
      <w:r w:rsidR="00E10564">
        <w:rPr>
          <w:rStyle w:val="Hyperlink"/>
          <w:color w:val="auto"/>
          <w:szCs w:val="24"/>
          <w:u w:val="none"/>
        </w:rPr>
        <w:t>p</w:t>
      </w:r>
      <w:r w:rsidR="00DC2E44">
        <w:rPr>
          <w:rStyle w:val="Hyperlink"/>
          <w:color w:val="auto"/>
          <w:szCs w:val="24"/>
          <w:u w:val="none"/>
        </w:rPr>
        <w:t>lan</w:t>
      </w:r>
      <w:r w:rsidRPr="00271A2F">
        <w:rPr>
          <w:rStyle w:val="Hyperlink"/>
          <w:color w:val="auto"/>
          <w:szCs w:val="24"/>
          <w:u w:val="none"/>
        </w:rPr>
        <w:t xml:space="preserve">ning decisions. </w:t>
      </w:r>
      <w:r w:rsidR="00E10564">
        <w:rPr>
          <w:rStyle w:val="Hyperlink"/>
          <w:color w:val="auto"/>
          <w:szCs w:val="24"/>
          <w:u w:val="none"/>
        </w:rPr>
        <w:br/>
      </w:r>
      <w:r w:rsidR="00E10564">
        <w:rPr>
          <w:rStyle w:val="Hyperlink"/>
          <w:color w:val="auto"/>
          <w:szCs w:val="24"/>
          <w:u w:val="none"/>
        </w:rPr>
        <w:br/>
      </w:r>
      <w:r>
        <w:rPr>
          <w:rStyle w:val="Hyperlink"/>
          <w:color w:val="auto"/>
          <w:szCs w:val="24"/>
          <w:u w:val="none"/>
        </w:rPr>
        <w:t>T</w:t>
      </w:r>
      <w:r w:rsidRPr="00271A2F">
        <w:rPr>
          <w:rStyle w:val="Hyperlink"/>
          <w:color w:val="auto"/>
          <w:szCs w:val="24"/>
          <w:u w:val="none"/>
        </w:rPr>
        <w:t xml:space="preserve">he number of other sub-national policy documents which have regard to the </w:t>
      </w:r>
      <w:r w:rsidR="00DC2E44">
        <w:rPr>
          <w:rStyle w:val="Hyperlink"/>
          <w:color w:val="auto"/>
          <w:szCs w:val="24"/>
          <w:u w:val="none"/>
        </w:rPr>
        <w:t>Plan</w:t>
      </w:r>
      <w:r w:rsidRPr="00271A2F">
        <w:rPr>
          <w:rStyle w:val="Hyperlink"/>
          <w:color w:val="auto"/>
          <w:szCs w:val="24"/>
          <w:u w:val="none"/>
        </w:rPr>
        <w:t xml:space="preserve"> has </w:t>
      </w:r>
      <w:r>
        <w:rPr>
          <w:rStyle w:val="Hyperlink"/>
          <w:color w:val="auto"/>
          <w:szCs w:val="24"/>
          <w:u w:val="none"/>
        </w:rPr>
        <w:t>also</w:t>
      </w:r>
      <w:r w:rsidRPr="00271A2F">
        <w:rPr>
          <w:rStyle w:val="Hyperlink"/>
          <w:color w:val="auto"/>
          <w:szCs w:val="24"/>
          <w:u w:val="none"/>
        </w:rPr>
        <w:t xml:space="preserve"> increased</w:t>
      </w:r>
      <w:r>
        <w:rPr>
          <w:rStyle w:val="Hyperlink"/>
          <w:color w:val="auto"/>
          <w:szCs w:val="24"/>
          <w:u w:val="none"/>
        </w:rPr>
        <w:t xml:space="preserve">. </w:t>
      </w:r>
      <w:r w:rsidR="00E10564">
        <w:rPr>
          <w:rStyle w:val="Hyperlink"/>
          <w:color w:val="auto"/>
          <w:szCs w:val="24"/>
          <w:u w:val="none"/>
        </w:rPr>
        <w:br/>
      </w:r>
      <w:r w:rsidR="00E10564">
        <w:rPr>
          <w:rStyle w:val="Hyperlink"/>
          <w:color w:val="auto"/>
          <w:szCs w:val="24"/>
          <w:u w:val="none"/>
        </w:rPr>
        <w:br/>
      </w:r>
      <w:r>
        <w:rPr>
          <w:rStyle w:val="Hyperlink"/>
          <w:color w:val="auto"/>
          <w:szCs w:val="24"/>
          <w:u w:val="none"/>
        </w:rPr>
        <w:t>However</w:t>
      </w:r>
      <w:r w:rsidRPr="00271A2F" w:rsidDel="000A7DF2">
        <w:rPr>
          <w:rStyle w:val="Hyperlink"/>
          <w:color w:val="auto"/>
          <w:szCs w:val="24"/>
          <w:u w:val="none"/>
        </w:rPr>
        <w:t xml:space="preserve">, </w:t>
      </w:r>
      <w:r>
        <w:rPr>
          <w:rStyle w:val="Hyperlink"/>
          <w:color w:val="auto"/>
          <w:szCs w:val="24"/>
          <w:u w:val="none"/>
        </w:rPr>
        <w:t>e</w:t>
      </w:r>
      <w:r>
        <w:t xml:space="preserve">vidence suggests that the rate at which the </w:t>
      </w:r>
      <w:r w:rsidR="00DC2E44">
        <w:t>Plan</w:t>
      </w:r>
      <w:r>
        <w:t xml:space="preserve"> is integrated with other sub-national policy documents could be improved through continued engagement with relevant decision-makers. </w:t>
      </w:r>
    </w:p>
    <w:bookmarkEnd w:id="181"/>
    <w:p w14:paraId="6167DFB1" w14:textId="36BCA3DC" w:rsidR="00AB3441" w:rsidRPr="00271A2F" w:rsidRDefault="00AB3441" w:rsidP="00AB3441">
      <w:pPr>
        <w:pStyle w:val="ListParagraph"/>
        <w:numPr>
          <w:ilvl w:val="0"/>
          <w:numId w:val="8"/>
        </w:numPr>
        <w:ind w:left="561" w:hanging="567"/>
        <w:contextualSpacing w:val="0"/>
        <w:rPr>
          <w:rStyle w:val="Hyperlink"/>
          <w:color w:val="auto"/>
          <w:u w:val="none"/>
        </w:rPr>
      </w:pPr>
      <w:r w:rsidRPr="00271A2F">
        <w:rPr>
          <w:rStyle w:val="Hyperlink"/>
          <w:color w:val="auto"/>
          <w:szCs w:val="24"/>
          <w:u w:val="none"/>
        </w:rPr>
        <w:t xml:space="preserve">Overall, </w:t>
      </w:r>
      <w:r w:rsidRPr="00271A2F">
        <w:rPr>
          <w:szCs w:val="24"/>
        </w:rPr>
        <w:t xml:space="preserve">the influence of the </w:t>
      </w:r>
      <w:r w:rsidR="00DC2E44">
        <w:rPr>
          <w:szCs w:val="24"/>
        </w:rPr>
        <w:t>Plan</w:t>
      </w:r>
      <w:r w:rsidRPr="00271A2F">
        <w:rPr>
          <w:szCs w:val="24"/>
        </w:rPr>
        <w:t xml:space="preserve"> and its use by both decision-makers and </w:t>
      </w:r>
      <w:r>
        <w:rPr>
          <w:szCs w:val="24"/>
        </w:rPr>
        <w:t>marine licence applicants</w:t>
      </w:r>
      <w:r w:rsidRPr="00271A2F">
        <w:rPr>
          <w:szCs w:val="24"/>
        </w:rPr>
        <w:t xml:space="preserve"> w</w:t>
      </w:r>
      <w:r>
        <w:rPr>
          <w:szCs w:val="24"/>
        </w:rPr>
        <w:t>as</w:t>
      </w:r>
      <w:r w:rsidRPr="00271A2F">
        <w:rPr>
          <w:szCs w:val="24"/>
        </w:rPr>
        <w:t xml:space="preserve"> evident within </w:t>
      </w:r>
      <w:r>
        <w:rPr>
          <w:szCs w:val="24"/>
        </w:rPr>
        <w:t>the</w:t>
      </w:r>
      <w:r w:rsidRPr="00271A2F">
        <w:rPr>
          <w:szCs w:val="24"/>
        </w:rPr>
        <w:t xml:space="preserve"> first reporting </w:t>
      </w:r>
      <w:r>
        <w:rPr>
          <w:szCs w:val="24"/>
        </w:rPr>
        <w:t>window</w:t>
      </w:r>
      <w:r w:rsidRPr="00271A2F">
        <w:rPr>
          <w:szCs w:val="24"/>
        </w:rPr>
        <w:t xml:space="preserve">. </w:t>
      </w:r>
      <w:r w:rsidR="00E10564">
        <w:rPr>
          <w:szCs w:val="24"/>
        </w:rPr>
        <w:br/>
      </w:r>
      <w:r w:rsidR="00E10564">
        <w:rPr>
          <w:szCs w:val="24"/>
        </w:rPr>
        <w:br/>
      </w:r>
      <w:r>
        <w:rPr>
          <w:szCs w:val="24"/>
        </w:rPr>
        <w:t xml:space="preserve">However, </w:t>
      </w:r>
      <w:r w:rsidRPr="00271A2F">
        <w:rPr>
          <w:szCs w:val="24"/>
        </w:rPr>
        <w:t xml:space="preserve">some limitations in the use of the </w:t>
      </w:r>
      <w:r w:rsidR="00DC2E44">
        <w:rPr>
          <w:szCs w:val="24"/>
        </w:rPr>
        <w:t>Plan</w:t>
      </w:r>
      <w:r w:rsidRPr="00271A2F">
        <w:rPr>
          <w:szCs w:val="24"/>
        </w:rPr>
        <w:t xml:space="preserve"> by both decision-makers and proponents</w:t>
      </w:r>
      <w:r>
        <w:rPr>
          <w:szCs w:val="24"/>
        </w:rPr>
        <w:t xml:space="preserve"> were</w:t>
      </w:r>
      <w:r w:rsidRPr="00271A2F">
        <w:rPr>
          <w:szCs w:val="24"/>
        </w:rPr>
        <w:t xml:space="preserve"> identified. </w:t>
      </w:r>
      <w:r w:rsidR="00E10564">
        <w:rPr>
          <w:szCs w:val="24"/>
        </w:rPr>
        <w:br/>
      </w:r>
      <w:r w:rsidR="00E10564">
        <w:rPr>
          <w:szCs w:val="24"/>
        </w:rPr>
        <w:br/>
      </w:r>
      <w:r w:rsidRPr="00271A2F">
        <w:rPr>
          <w:szCs w:val="24"/>
        </w:rPr>
        <w:t xml:space="preserve">Findings, therefore, show that </w:t>
      </w:r>
      <w:r w:rsidRPr="00271A2F">
        <w:rPr>
          <w:rStyle w:val="Hyperlink"/>
          <w:color w:val="auto"/>
          <w:szCs w:val="24"/>
          <w:u w:val="none"/>
        </w:rPr>
        <w:t xml:space="preserve">awareness of the </w:t>
      </w:r>
      <w:r w:rsidR="00DC2E44">
        <w:rPr>
          <w:rStyle w:val="Hyperlink"/>
          <w:color w:val="auto"/>
          <w:szCs w:val="24"/>
          <w:u w:val="none"/>
        </w:rPr>
        <w:t>Plan</w:t>
      </w:r>
      <w:r w:rsidRPr="00271A2F">
        <w:rPr>
          <w:rStyle w:val="Hyperlink"/>
          <w:color w:val="auto"/>
          <w:szCs w:val="24"/>
          <w:u w:val="none"/>
        </w:rPr>
        <w:t xml:space="preserve"> and how to use it has increased, but </w:t>
      </w:r>
      <w:r>
        <w:rPr>
          <w:rStyle w:val="Hyperlink"/>
          <w:color w:val="auto"/>
          <w:szCs w:val="24"/>
          <w:u w:val="none"/>
        </w:rPr>
        <w:t xml:space="preserve">suggest </w:t>
      </w:r>
      <w:r w:rsidRPr="00271A2F">
        <w:rPr>
          <w:rStyle w:val="Hyperlink"/>
          <w:color w:val="auto"/>
          <w:szCs w:val="24"/>
          <w:u w:val="none"/>
        </w:rPr>
        <w:t xml:space="preserve">that </w:t>
      </w:r>
      <w:r>
        <w:rPr>
          <w:rStyle w:val="Hyperlink"/>
          <w:color w:val="auto"/>
          <w:szCs w:val="24"/>
          <w:u w:val="none"/>
        </w:rPr>
        <w:t xml:space="preserve">it will take time for the </w:t>
      </w:r>
      <w:r w:rsidR="00DC2E44">
        <w:rPr>
          <w:rStyle w:val="Hyperlink"/>
          <w:color w:val="auto"/>
          <w:szCs w:val="24"/>
          <w:u w:val="none"/>
        </w:rPr>
        <w:t>Plan</w:t>
      </w:r>
      <w:r>
        <w:rPr>
          <w:rStyle w:val="Hyperlink"/>
          <w:color w:val="auto"/>
          <w:szCs w:val="24"/>
          <w:u w:val="none"/>
        </w:rPr>
        <w:t xml:space="preserve"> to fully embed itself within decision-making and proposal development processes.</w:t>
      </w:r>
    </w:p>
    <w:p w14:paraId="68FD61CA" w14:textId="30497B67" w:rsidR="00AB3441" w:rsidRPr="00271A2F" w:rsidRDefault="00AB3441" w:rsidP="00AB3441">
      <w:pPr>
        <w:pStyle w:val="ListParagraph"/>
        <w:numPr>
          <w:ilvl w:val="0"/>
          <w:numId w:val="8"/>
        </w:numPr>
        <w:ind w:left="561" w:hanging="567"/>
        <w:contextualSpacing w:val="0"/>
      </w:pPr>
      <w:r w:rsidRPr="00271A2F">
        <w:rPr>
          <w:szCs w:val="24"/>
        </w:rPr>
        <w:t xml:space="preserve">No clear limitations were identified that could only be addressed by a change to the </w:t>
      </w:r>
      <w:r w:rsidR="00DC2E44">
        <w:rPr>
          <w:szCs w:val="24"/>
        </w:rPr>
        <w:t>Plan</w:t>
      </w:r>
      <w:r w:rsidRPr="00271A2F">
        <w:rPr>
          <w:szCs w:val="24"/>
        </w:rPr>
        <w:t>.</w:t>
      </w:r>
      <w:r w:rsidR="00E10564">
        <w:rPr>
          <w:szCs w:val="24"/>
        </w:rPr>
        <w:br/>
      </w:r>
      <w:r w:rsidR="00E10564">
        <w:rPr>
          <w:szCs w:val="24"/>
        </w:rPr>
        <w:br/>
      </w:r>
      <w:r w:rsidRPr="00271A2F">
        <w:rPr>
          <w:szCs w:val="24"/>
        </w:rPr>
        <w:t xml:space="preserve">Instead, many limitations may be addressed through continuous improvements to engagement activities, as well </w:t>
      </w:r>
      <w:r>
        <w:rPr>
          <w:szCs w:val="24"/>
        </w:rPr>
        <w:t xml:space="preserve">as </w:t>
      </w:r>
      <w:r w:rsidRPr="00271A2F">
        <w:rPr>
          <w:szCs w:val="24"/>
        </w:rPr>
        <w:t xml:space="preserve">to the available frameworks and products that support use </w:t>
      </w:r>
      <w:r w:rsidRPr="00A2230B">
        <w:t>of</w:t>
      </w:r>
      <w:r w:rsidRPr="00271A2F">
        <w:rPr>
          <w:szCs w:val="24"/>
        </w:rPr>
        <w:t xml:space="preserve"> the </w:t>
      </w:r>
      <w:r w:rsidR="00DC2E44">
        <w:rPr>
          <w:szCs w:val="24"/>
        </w:rPr>
        <w:t>Plan</w:t>
      </w:r>
      <w:r w:rsidRPr="00271A2F">
        <w:rPr>
          <w:szCs w:val="24"/>
        </w:rPr>
        <w:t xml:space="preserve">. </w:t>
      </w:r>
      <w:r w:rsidR="00E10564">
        <w:rPr>
          <w:szCs w:val="24"/>
        </w:rPr>
        <w:br/>
      </w:r>
      <w:r w:rsidR="00E10564">
        <w:rPr>
          <w:szCs w:val="24"/>
        </w:rPr>
        <w:br/>
      </w:r>
      <w:r w:rsidRPr="00271A2F">
        <w:rPr>
          <w:szCs w:val="24"/>
        </w:rPr>
        <w:t xml:space="preserve">However, challenges remain in the monitoring of </w:t>
      </w:r>
      <w:r w:rsidR="00DC2E44">
        <w:rPr>
          <w:szCs w:val="24"/>
        </w:rPr>
        <w:t>Plan</w:t>
      </w:r>
      <w:r w:rsidRPr="00271A2F">
        <w:rPr>
          <w:szCs w:val="24"/>
        </w:rPr>
        <w:t xml:space="preserve"> use by decision-makers external to the MMO, who do not have a legislative duty to report monitoring information on the </w:t>
      </w:r>
      <w:r w:rsidR="00DC2E44">
        <w:rPr>
          <w:szCs w:val="24"/>
        </w:rPr>
        <w:t>Plan</w:t>
      </w:r>
      <w:r w:rsidRPr="00271A2F">
        <w:rPr>
          <w:szCs w:val="24"/>
        </w:rPr>
        <w:t xml:space="preserve">. </w:t>
      </w:r>
    </w:p>
    <w:p w14:paraId="5B9D7014" w14:textId="6C99ECAB" w:rsidR="00AB3441" w:rsidRPr="007D6517" w:rsidRDefault="00AB3441" w:rsidP="00AB3441">
      <w:pPr>
        <w:pStyle w:val="ListParagraph"/>
        <w:numPr>
          <w:ilvl w:val="0"/>
          <w:numId w:val="8"/>
        </w:numPr>
        <w:ind w:left="561" w:hanging="567"/>
        <w:contextualSpacing w:val="0"/>
      </w:pPr>
      <w:r w:rsidRPr="00271A2F">
        <w:rPr>
          <w:szCs w:val="24"/>
        </w:rPr>
        <w:t xml:space="preserve">The report </w:t>
      </w:r>
      <w:r w:rsidRPr="00A2230B">
        <w:t>findings</w:t>
      </w:r>
      <w:r w:rsidRPr="00271A2F">
        <w:rPr>
          <w:szCs w:val="24"/>
        </w:rPr>
        <w:t xml:space="preserve"> may provide a useful context for monitoring progress towards achieving the </w:t>
      </w:r>
      <w:r w:rsidR="00DC2E44">
        <w:rPr>
          <w:szCs w:val="24"/>
        </w:rPr>
        <w:t>Plan</w:t>
      </w:r>
      <w:r w:rsidRPr="00271A2F">
        <w:rPr>
          <w:szCs w:val="24"/>
        </w:rPr>
        <w:t xml:space="preserve"> objectives in the future. </w:t>
      </w:r>
    </w:p>
    <w:p w14:paraId="68193F66" w14:textId="51D5A73B" w:rsidR="007D6517" w:rsidRDefault="007D6517" w:rsidP="007D6517">
      <w:pPr>
        <w:pStyle w:val="ListParagraph"/>
        <w:ind w:left="561"/>
        <w:contextualSpacing w:val="0"/>
      </w:pPr>
    </w:p>
    <w:p w14:paraId="0C7D5755" w14:textId="00BC0B97" w:rsidR="007D6517" w:rsidRDefault="007D6517" w:rsidP="007D6517">
      <w:pPr>
        <w:pStyle w:val="ListParagraph"/>
        <w:ind w:left="561"/>
        <w:contextualSpacing w:val="0"/>
      </w:pPr>
    </w:p>
    <w:p w14:paraId="491547A4" w14:textId="16F830D8" w:rsidR="007D6517" w:rsidRDefault="007D6517" w:rsidP="007D6517">
      <w:pPr>
        <w:pStyle w:val="ListParagraph"/>
        <w:ind w:left="561"/>
        <w:contextualSpacing w:val="0"/>
      </w:pPr>
    </w:p>
    <w:p w14:paraId="5D1BB40D" w14:textId="77777777" w:rsidR="007D6517" w:rsidRPr="00271A2F" w:rsidRDefault="007D6517" w:rsidP="007D6517">
      <w:pPr>
        <w:pStyle w:val="ListParagraph"/>
        <w:ind w:left="561"/>
        <w:contextualSpacing w:val="0"/>
      </w:pPr>
    </w:p>
    <w:p w14:paraId="34A787F4" w14:textId="142E447B" w:rsidR="00B20E09" w:rsidRDefault="00B20E09" w:rsidP="00285EEE">
      <w:pPr>
        <w:pStyle w:val="Heading2"/>
      </w:pPr>
      <w:bookmarkStart w:id="182" w:name="_Toc74308001"/>
      <w:bookmarkStart w:id="183" w:name="_Toc74577267"/>
      <w:r>
        <w:lastRenderedPageBreak/>
        <w:t>5</w:t>
      </w:r>
      <w:r w:rsidR="00E02CED">
        <w:t xml:space="preserve">. </w:t>
      </w:r>
      <w:r>
        <w:t>Outcomes</w:t>
      </w:r>
      <w:bookmarkEnd w:id="177"/>
      <w:bookmarkEnd w:id="178"/>
      <w:bookmarkEnd w:id="179"/>
      <w:bookmarkEnd w:id="182"/>
      <w:bookmarkEnd w:id="183"/>
    </w:p>
    <w:p w14:paraId="18976CC3" w14:textId="77777777" w:rsidR="00091AF9" w:rsidRPr="008D7708" w:rsidRDefault="00091AF9" w:rsidP="00285EEE">
      <w:pPr>
        <w:pStyle w:val="Heading3"/>
      </w:pPr>
      <w:bookmarkStart w:id="184" w:name="_Toc72414607"/>
      <w:bookmarkStart w:id="185" w:name="_Toc72489174"/>
      <w:bookmarkStart w:id="186" w:name="_Toc74308002"/>
      <w:bookmarkStart w:id="187" w:name="_Toc74577268"/>
      <w:bookmarkStart w:id="188" w:name="_Toc68186341"/>
      <w:bookmarkStart w:id="189" w:name="_Hlk68100661"/>
      <w:r>
        <w:t xml:space="preserve">5.1 </w:t>
      </w:r>
      <w:bookmarkStart w:id="190" w:name="_Toc33457225"/>
      <w:r w:rsidRPr="008D7708">
        <w:t>Background to outcome monitoring</w:t>
      </w:r>
      <w:bookmarkEnd w:id="184"/>
      <w:bookmarkEnd w:id="185"/>
      <w:bookmarkEnd w:id="186"/>
      <w:bookmarkEnd w:id="187"/>
      <w:bookmarkEnd w:id="190"/>
    </w:p>
    <w:p w14:paraId="04342938" w14:textId="28C7EE25" w:rsidR="00091AF9" w:rsidRPr="00043B05" w:rsidRDefault="00091AF9" w:rsidP="00D43BAE">
      <w:pPr>
        <w:pStyle w:val="ListParagraph"/>
        <w:numPr>
          <w:ilvl w:val="0"/>
          <w:numId w:val="8"/>
        </w:numPr>
        <w:ind w:left="561" w:hanging="567"/>
        <w:contextualSpacing w:val="0"/>
        <w:rPr>
          <w:rFonts w:cs="Arial"/>
        </w:rPr>
      </w:pPr>
      <w:bookmarkStart w:id="191" w:name="_Hlk68187500"/>
      <w:r w:rsidRPr="0059093A">
        <w:t xml:space="preserve">Outcome monitoring assessed the effects of policies, the effectiveness of these policies, and their contribution towards progressing </w:t>
      </w:r>
      <w:r w:rsidR="00DC2E44">
        <w:t>Plan</w:t>
      </w:r>
      <w:r w:rsidRPr="0059093A">
        <w:t xml:space="preserve"> objectives and HLMOs. </w:t>
      </w:r>
    </w:p>
    <w:p w14:paraId="601DFB8B" w14:textId="1907C302" w:rsidR="00091AF9" w:rsidRPr="0059093A" w:rsidRDefault="00091AF9" w:rsidP="00D43BAE">
      <w:pPr>
        <w:pStyle w:val="ListParagraph"/>
        <w:numPr>
          <w:ilvl w:val="0"/>
          <w:numId w:val="8"/>
        </w:numPr>
        <w:ind w:left="561" w:hanging="567"/>
        <w:contextualSpacing w:val="0"/>
        <w:rPr>
          <w:rFonts w:cs="Arial"/>
        </w:rPr>
      </w:pPr>
      <w:r w:rsidRPr="0059093A">
        <w:rPr>
          <w:rFonts w:cs="Arial"/>
        </w:rPr>
        <w:t xml:space="preserve">Outcome </w:t>
      </w:r>
      <w:r w:rsidRPr="00D43BAE">
        <w:t>monitoring</w:t>
      </w:r>
      <w:r w:rsidRPr="0059093A">
        <w:rPr>
          <w:rFonts w:cs="Arial"/>
        </w:rPr>
        <w:t xml:space="preserve"> of the </w:t>
      </w:r>
      <w:r w:rsidR="00DC2E44">
        <w:rPr>
          <w:rFonts w:cs="Arial"/>
        </w:rPr>
        <w:t>Plan</w:t>
      </w:r>
      <w:r w:rsidRPr="0059093A">
        <w:rPr>
          <w:rFonts w:cs="Arial"/>
        </w:rPr>
        <w:t xml:space="preserve"> was informed by both data-driven indicators and </w:t>
      </w:r>
      <w:r w:rsidRPr="00D43BAE">
        <w:t>stakeholder</w:t>
      </w:r>
      <w:r w:rsidRPr="0059093A">
        <w:rPr>
          <w:rFonts w:cs="Arial"/>
        </w:rPr>
        <w:t xml:space="preserve"> surveys.</w:t>
      </w:r>
    </w:p>
    <w:p w14:paraId="7947F828" w14:textId="77777777" w:rsidR="00091AF9" w:rsidRPr="00C92B18" w:rsidRDefault="00091AF9" w:rsidP="00285EEE">
      <w:pPr>
        <w:pStyle w:val="Heading4"/>
      </w:pPr>
      <w:r w:rsidRPr="00C92B18">
        <w:t>Data-driven indicators</w:t>
      </w:r>
    </w:p>
    <w:p w14:paraId="59080F9D" w14:textId="59D0D4BA" w:rsidR="00091AF9" w:rsidRPr="0059093A" w:rsidRDefault="00D45432" w:rsidP="00D43BAE">
      <w:pPr>
        <w:pStyle w:val="ListParagraph"/>
        <w:numPr>
          <w:ilvl w:val="0"/>
          <w:numId w:val="8"/>
        </w:numPr>
        <w:ind w:left="561" w:hanging="567"/>
        <w:contextualSpacing w:val="0"/>
        <w:rPr>
          <w:rFonts w:cs="Arial"/>
          <w:color w:val="1D70B8"/>
          <w:u w:val="single"/>
        </w:rPr>
      </w:pPr>
      <w:r>
        <w:t>I</w:t>
      </w:r>
      <w:r w:rsidR="00091AF9" w:rsidRPr="0059093A">
        <w:t>ndicators derive findings from sources both internal and external to the MMO. I</w:t>
      </w:r>
      <w:r w:rsidR="004A1E73">
        <w:t>n total</w:t>
      </w:r>
      <w:r w:rsidR="00091AF9" w:rsidRPr="0059093A">
        <w:t xml:space="preserve"> 11 indicators</w:t>
      </w:r>
      <w:r w:rsidR="006D13E5">
        <w:t>, underpinned by 57 individual sub-indicators,</w:t>
      </w:r>
      <w:r w:rsidR="00091AF9" w:rsidRPr="0059093A">
        <w:t xml:space="preserve"> were used to inform the outcome monitoring of the </w:t>
      </w:r>
      <w:r w:rsidR="00DC2E44">
        <w:t>Plan</w:t>
      </w:r>
      <w:r w:rsidR="00091AF9" w:rsidRPr="0059093A">
        <w:t>.</w:t>
      </w:r>
    </w:p>
    <w:p w14:paraId="254BE842" w14:textId="77777777" w:rsidR="00091AF9" w:rsidRPr="00C92B18" w:rsidRDefault="00091AF9" w:rsidP="00285EEE">
      <w:pPr>
        <w:pStyle w:val="Heading4"/>
      </w:pPr>
      <w:r w:rsidRPr="00C92B18">
        <w:t>Stakeholder surveys</w:t>
      </w:r>
    </w:p>
    <w:p w14:paraId="38BACA03" w14:textId="29E9B063" w:rsidR="00091AF9" w:rsidRPr="007105C4" w:rsidRDefault="00091AF9" w:rsidP="007105C4">
      <w:pPr>
        <w:pStyle w:val="ListParagraph"/>
        <w:numPr>
          <w:ilvl w:val="0"/>
          <w:numId w:val="8"/>
        </w:numPr>
        <w:ind w:left="561" w:hanging="567"/>
        <w:contextualSpacing w:val="0"/>
        <w:rPr>
          <w:rFonts w:cs="Arial"/>
        </w:rPr>
      </w:pPr>
      <w:r w:rsidRPr="0059093A">
        <w:t xml:space="preserve">Responses to relevant questions from surveys were used to assess the extent to which stakeholders felt that the expected policy outcomes had been achieved. </w:t>
      </w:r>
      <w:bookmarkStart w:id="192" w:name="_Toc68186339"/>
      <w:bookmarkStart w:id="193" w:name="_Toc68190143"/>
      <w:bookmarkEnd w:id="191"/>
    </w:p>
    <w:p w14:paraId="70E49633" w14:textId="3B039E11" w:rsidR="00091AF9" w:rsidRPr="0059093A" w:rsidRDefault="00091AF9" w:rsidP="00285EEE">
      <w:pPr>
        <w:pStyle w:val="Heading3"/>
      </w:pPr>
      <w:bookmarkStart w:id="194" w:name="_5.2_Outcome_monitoring"/>
      <w:bookmarkStart w:id="195" w:name="_Toc72414608"/>
      <w:bookmarkStart w:id="196" w:name="_Toc72489175"/>
      <w:bookmarkStart w:id="197" w:name="_Toc74308003"/>
      <w:bookmarkStart w:id="198" w:name="_Toc74577269"/>
      <w:bookmarkEnd w:id="194"/>
      <w:r w:rsidRPr="0059093A">
        <w:t xml:space="preserve">5.2 </w:t>
      </w:r>
      <w:bookmarkStart w:id="199" w:name="_Toc33457226"/>
      <w:r w:rsidRPr="0059093A">
        <w:t>Outcome monitoring findings</w:t>
      </w:r>
      <w:bookmarkEnd w:id="192"/>
      <w:bookmarkEnd w:id="193"/>
      <w:bookmarkEnd w:id="195"/>
      <w:bookmarkEnd w:id="196"/>
      <w:bookmarkEnd w:id="197"/>
      <w:bookmarkEnd w:id="198"/>
      <w:bookmarkEnd w:id="199"/>
    </w:p>
    <w:p w14:paraId="0C631CD0" w14:textId="6667424F" w:rsidR="00091AF9" w:rsidRPr="0059093A" w:rsidRDefault="00F86035" w:rsidP="00D43BAE">
      <w:pPr>
        <w:pStyle w:val="ListParagraph"/>
        <w:numPr>
          <w:ilvl w:val="0"/>
          <w:numId w:val="8"/>
        </w:numPr>
        <w:ind w:left="561" w:hanging="567"/>
        <w:contextualSpacing w:val="0"/>
        <w:rPr>
          <w:rFonts w:cs="Arial"/>
          <w:color w:val="1D70B8"/>
          <w:u w:val="single"/>
        </w:rPr>
      </w:pPr>
      <w:r>
        <w:t>This s</w:t>
      </w:r>
      <w:r w:rsidR="00091AF9" w:rsidRPr="00D43BAE">
        <w:t>ection</w:t>
      </w:r>
      <w:r w:rsidR="00091AF9" w:rsidRPr="0059093A">
        <w:rPr>
          <w:rFonts w:cs="Arial"/>
        </w:rPr>
        <w:t xml:space="preserve"> presents </w:t>
      </w:r>
      <w:r w:rsidR="00091AF9" w:rsidRPr="00D43BAE">
        <w:t>the</w:t>
      </w:r>
      <w:r w:rsidR="00091AF9" w:rsidRPr="0059093A">
        <w:rPr>
          <w:rFonts w:cs="Arial"/>
        </w:rPr>
        <w:t xml:space="preserve"> outcome monitoring findings for each of the 12 </w:t>
      </w:r>
      <w:r w:rsidR="00DC2E44">
        <w:rPr>
          <w:rFonts w:cs="Arial"/>
        </w:rPr>
        <w:t>Plan</w:t>
      </w:r>
      <w:r w:rsidR="00091AF9" w:rsidRPr="0059093A">
        <w:rPr>
          <w:rFonts w:cs="Arial"/>
        </w:rPr>
        <w:t xml:space="preserve"> </w:t>
      </w:r>
      <w:r w:rsidR="00091AF9">
        <w:rPr>
          <w:rFonts w:cs="Arial"/>
        </w:rPr>
        <w:t>o</w:t>
      </w:r>
      <w:r w:rsidR="00091AF9" w:rsidRPr="0059093A">
        <w:rPr>
          <w:rFonts w:cs="Arial"/>
        </w:rPr>
        <w:t xml:space="preserve">bjectives. </w:t>
      </w:r>
    </w:p>
    <w:p w14:paraId="51551BD2" w14:textId="2FC21BB4" w:rsidR="00091AF9" w:rsidRPr="0059093A" w:rsidRDefault="00091AF9" w:rsidP="00D43BAE">
      <w:pPr>
        <w:pStyle w:val="ListParagraph"/>
        <w:numPr>
          <w:ilvl w:val="0"/>
          <w:numId w:val="8"/>
        </w:numPr>
        <w:ind w:left="561" w:hanging="567"/>
        <w:contextualSpacing w:val="0"/>
      </w:pPr>
      <w:r w:rsidRPr="0059093A">
        <w:rPr>
          <w:rFonts w:cs="Arial"/>
        </w:rPr>
        <w:t>A table showing the outcome findings</w:t>
      </w:r>
      <w:r w:rsidRPr="0059093A">
        <w:t xml:space="preserve"> </w:t>
      </w:r>
      <w:r w:rsidRPr="0059093A">
        <w:rPr>
          <w:rFonts w:cs="Arial"/>
        </w:rPr>
        <w:t xml:space="preserve">of all directly and indirectly contributing policies is </w:t>
      </w:r>
      <w:r w:rsidRPr="00D43BAE">
        <w:t>provided</w:t>
      </w:r>
      <w:r w:rsidRPr="0059093A">
        <w:rPr>
          <w:rFonts w:cs="Arial"/>
        </w:rPr>
        <w:t xml:space="preserve"> for each objective. </w:t>
      </w:r>
      <w:r w:rsidR="00E10564">
        <w:rPr>
          <w:rFonts w:cs="Arial"/>
        </w:rPr>
        <w:br/>
      </w:r>
      <w:r w:rsidR="00E10564">
        <w:rPr>
          <w:rFonts w:cs="Arial"/>
        </w:rPr>
        <w:br/>
      </w:r>
      <w:r w:rsidRPr="0059093A">
        <w:t xml:space="preserve">The outcome findings </w:t>
      </w:r>
      <w:r w:rsidR="00FC14BB">
        <w:t>for</w:t>
      </w:r>
      <w:r w:rsidRPr="0059093A">
        <w:t xml:space="preserve"> the contributing policies </w:t>
      </w:r>
      <w:r w:rsidR="00FC14BB">
        <w:t xml:space="preserve">are intended to </w:t>
      </w:r>
      <w:r w:rsidR="00FC14BB" w:rsidRPr="0059093A">
        <w:t>reflect</w:t>
      </w:r>
      <w:r w:rsidRPr="0059093A">
        <w:t xml:space="preserve"> policy effects </w:t>
      </w:r>
      <w:r w:rsidR="00FC14BB">
        <w:t xml:space="preserve">by identifying whether observed outcomes </w:t>
      </w:r>
      <w:r w:rsidRPr="0059093A">
        <w:rPr>
          <w:rFonts w:cs="Arial"/>
        </w:rPr>
        <w:t xml:space="preserve">show progress towards or achievement of </w:t>
      </w:r>
      <w:r w:rsidR="00FC14BB">
        <w:rPr>
          <w:rFonts w:cs="Arial"/>
        </w:rPr>
        <w:t xml:space="preserve">indicator </w:t>
      </w:r>
      <w:r w:rsidRPr="0059093A">
        <w:rPr>
          <w:rFonts w:cs="Arial"/>
        </w:rPr>
        <w:t xml:space="preserve">targets that align with policy </w:t>
      </w:r>
      <w:r w:rsidRPr="0059093A">
        <w:t>aims.</w:t>
      </w:r>
    </w:p>
    <w:p w14:paraId="49193356" w14:textId="0CB7B990" w:rsidR="00091AF9" w:rsidRPr="0059093A" w:rsidRDefault="00091AF9" w:rsidP="00D43BAE">
      <w:pPr>
        <w:pStyle w:val="ListParagraph"/>
        <w:numPr>
          <w:ilvl w:val="0"/>
          <w:numId w:val="8"/>
        </w:numPr>
        <w:ind w:left="561" w:hanging="567"/>
        <w:contextualSpacing w:val="0"/>
        <w:rPr>
          <w:rFonts w:cs="Arial"/>
        </w:rPr>
      </w:pPr>
      <w:r w:rsidRPr="0059093A">
        <w:rPr>
          <w:rFonts w:cs="Arial"/>
        </w:rPr>
        <w:t xml:space="preserve">The effects of all relevant </w:t>
      </w:r>
      <w:r w:rsidRPr="0059093A">
        <w:t xml:space="preserve">contributing policies were used to inform the assessment of overall </w:t>
      </w:r>
      <w:r w:rsidRPr="00D43BAE">
        <w:t>progress</w:t>
      </w:r>
      <w:r w:rsidRPr="0059093A">
        <w:rPr>
          <w:rFonts w:cs="Arial"/>
        </w:rPr>
        <w:t xml:space="preserve"> </w:t>
      </w:r>
      <w:r w:rsidRPr="00D43BAE">
        <w:t>made</w:t>
      </w:r>
      <w:r w:rsidRPr="0059093A">
        <w:rPr>
          <w:rFonts w:cs="Arial"/>
        </w:rPr>
        <w:t xml:space="preserve"> towards the </w:t>
      </w:r>
      <w:r w:rsidR="00DC2E44">
        <w:rPr>
          <w:rFonts w:cs="Arial"/>
        </w:rPr>
        <w:t>Plan</w:t>
      </w:r>
      <w:r w:rsidRPr="0059093A">
        <w:rPr>
          <w:rFonts w:cs="Arial"/>
        </w:rPr>
        <w:t xml:space="preserve"> </w:t>
      </w:r>
      <w:r>
        <w:rPr>
          <w:rFonts w:cs="Arial"/>
        </w:rPr>
        <w:t>o</w:t>
      </w:r>
      <w:r w:rsidRPr="0059093A">
        <w:rPr>
          <w:rFonts w:cs="Arial"/>
        </w:rPr>
        <w:t xml:space="preserve">bjectives. Progress made towards the </w:t>
      </w:r>
      <w:r w:rsidR="00DC2E44">
        <w:rPr>
          <w:rFonts w:cs="Arial"/>
        </w:rPr>
        <w:t>Plan</w:t>
      </w:r>
      <w:r w:rsidRPr="0059093A">
        <w:rPr>
          <w:rFonts w:cs="Arial"/>
        </w:rPr>
        <w:t xml:space="preserve"> </w:t>
      </w:r>
      <w:r>
        <w:rPr>
          <w:rFonts w:cs="Arial"/>
        </w:rPr>
        <w:t>o</w:t>
      </w:r>
      <w:r w:rsidRPr="0059093A">
        <w:rPr>
          <w:rFonts w:cs="Arial"/>
        </w:rPr>
        <w:t>bjectives was assessed as being either ‘positive’, ‘negative’, or ‘inconclusive’.</w:t>
      </w:r>
    </w:p>
    <w:p w14:paraId="66D3413B" w14:textId="1B37B9FF" w:rsidR="00091AF9" w:rsidRPr="0059093A" w:rsidRDefault="00091AF9" w:rsidP="00D43BAE">
      <w:pPr>
        <w:pStyle w:val="ListParagraph"/>
        <w:numPr>
          <w:ilvl w:val="0"/>
          <w:numId w:val="8"/>
        </w:numPr>
        <w:ind w:left="561" w:hanging="567"/>
        <w:contextualSpacing w:val="0"/>
      </w:pPr>
      <w:r w:rsidRPr="0059093A">
        <w:t xml:space="preserve">Discussions on the </w:t>
      </w:r>
      <w:r w:rsidRPr="0059093A">
        <w:rPr>
          <w:rFonts w:cs="Arial"/>
        </w:rPr>
        <w:t xml:space="preserve">outcome monitoring findings are also provided for each of the </w:t>
      </w:r>
      <w:r w:rsidR="00DC2E44">
        <w:rPr>
          <w:rFonts w:cs="Arial"/>
        </w:rPr>
        <w:t>Plan</w:t>
      </w:r>
      <w:r w:rsidRPr="0059093A">
        <w:rPr>
          <w:rFonts w:cs="Arial"/>
        </w:rPr>
        <w:t xml:space="preserve"> objectives and address the following items, in order: </w:t>
      </w:r>
    </w:p>
    <w:p w14:paraId="517A7037" w14:textId="77777777" w:rsidR="00091AF9" w:rsidRPr="0059093A" w:rsidRDefault="00091AF9" w:rsidP="00D43BAE">
      <w:pPr>
        <w:pStyle w:val="ListParagraph"/>
        <w:numPr>
          <w:ilvl w:val="0"/>
          <w:numId w:val="11"/>
        </w:numPr>
        <w:ind w:left="1276" w:hanging="425"/>
      </w:pPr>
      <w:r w:rsidRPr="0059093A">
        <w:t xml:space="preserve">policy </w:t>
      </w:r>
      <w:r w:rsidRPr="00D43BAE">
        <w:rPr>
          <w:szCs w:val="24"/>
        </w:rPr>
        <w:t>aims</w:t>
      </w:r>
      <w:r w:rsidRPr="0059093A">
        <w:t xml:space="preserve"> </w:t>
      </w:r>
    </w:p>
    <w:p w14:paraId="612FCA84" w14:textId="77777777" w:rsidR="00091AF9" w:rsidRPr="0059093A" w:rsidRDefault="00091AF9" w:rsidP="00D43BAE">
      <w:pPr>
        <w:pStyle w:val="ListParagraph"/>
        <w:numPr>
          <w:ilvl w:val="0"/>
          <w:numId w:val="11"/>
        </w:numPr>
        <w:ind w:left="1276" w:hanging="425"/>
      </w:pPr>
      <w:r w:rsidRPr="0059093A">
        <w:t xml:space="preserve">how policy </w:t>
      </w:r>
      <w:r w:rsidRPr="00D43BAE">
        <w:rPr>
          <w:szCs w:val="24"/>
        </w:rPr>
        <w:t>effects</w:t>
      </w:r>
      <w:r w:rsidRPr="0059093A">
        <w:t xml:space="preserve"> were assessed</w:t>
      </w:r>
    </w:p>
    <w:p w14:paraId="0179104F" w14:textId="77777777" w:rsidR="00091AF9" w:rsidRPr="0059093A" w:rsidRDefault="00091AF9" w:rsidP="00D43BAE">
      <w:pPr>
        <w:pStyle w:val="ListParagraph"/>
        <w:numPr>
          <w:ilvl w:val="0"/>
          <w:numId w:val="11"/>
        </w:numPr>
        <w:ind w:left="1276" w:hanging="425"/>
      </w:pPr>
      <w:r w:rsidRPr="0059093A">
        <w:t xml:space="preserve">policy effects findings </w:t>
      </w:r>
    </w:p>
    <w:p w14:paraId="1C735ED3" w14:textId="43E7330B" w:rsidR="00091AF9" w:rsidRPr="0059093A" w:rsidRDefault="00091AF9" w:rsidP="00D43BAE">
      <w:pPr>
        <w:pStyle w:val="ListParagraph"/>
        <w:numPr>
          <w:ilvl w:val="0"/>
          <w:numId w:val="11"/>
        </w:numPr>
        <w:ind w:left="1276" w:hanging="425"/>
      </w:pPr>
      <w:r w:rsidRPr="0059093A">
        <w:t>policy</w:t>
      </w:r>
      <w:r w:rsidR="00E10564">
        <w:t xml:space="preserve"> </w:t>
      </w:r>
      <w:r w:rsidRPr="0059093A">
        <w:t>specific limitations and areas for improvement</w:t>
      </w:r>
    </w:p>
    <w:p w14:paraId="11097A01" w14:textId="25116A90" w:rsidR="00091AF9" w:rsidRPr="0059093A" w:rsidRDefault="00091AF9" w:rsidP="00D43BAE">
      <w:pPr>
        <w:pStyle w:val="ListParagraph"/>
        <w:numPr>
          <w:ilvl w:val="0"/>
          <w:numId w:val="11"/>
        </w:numPr>
        <w:ind w:left="1276" w:hanging="425"/>
      </w:pPr>
      <w:r w:rsidRPr="0059093A">
        <w:t xml:space="preserve">overall </w:t>
      </w:r>
      <w:r w:rsidRPr="00D43BAE">
        <w:rPr>
          <w:szCs w:val="24"/>
        </w:rPr>
        <w:t>progress</w:t>
      </w:r>
      <w:r w:rsidRPr="0059093A">
        <w:t xml:space="preserve"> towards securing </w:t>
      </w:r>
      <w:r w:rsidRPr="0059093A">
        <w:rPr>
          <w:rFonts w:cs="Arial"/>
        </w:rPr>
        <w:t xml:space="preserve">the </w:t>
      </w:r>
      <w:r w:rsidR="00DC2E44">
        <w:rPr>
          <w:rFonts w:cs="Arial"/>
        </w:rPr>
        <w:t>Plan</w:t>
      </w:r>
      <w:r w:rsidRPr="0059093A">
        <w:rPr>
          <w:rFonts w:cs="Arial"/>
        </w:rPr>
        <w:t xml:space="preserve"> </w:t>
      </w:r>
      <w:r>
        <w:rPr>
          <w:rFonts w:cs="Arial"/>
        </w:rPr>
        <w:t>o</w:t>
      </w:r>
      <w:r w:rsidRPr="0059093A">
        <w:rPr>
          <w:rFonts w:cs="Arial"/>
        </w:rPr>
        <w:t>bjectives</w:t>
      </w:r>
      <w:r w:rsidRPr="0059093A">
        <w:t xml:space="preserve"> and the effectiveness of contributing policies</w:t>
      </w:r>
    </w:p>
    <w:p w14:paraId="339A43EE" w14:textId="494193E2" w:rsidR="00091AF9" w:rsidRPr="0059093A" w:rsidRDefault="00091AF9" w:rsidP="00D43BAE">
      <w:pPr>
        <w:pStyle w:val="ListParagraph"/>
        <w:numPr>
          <w:ilvl w:val="0"/>
          <w:numId w:val="8"/>
        </w:numPr>
        <w:ind w:left="561" w:hanging="567"/>
        <w:contextualSpacing w:val="0"/>
        <w:rPr>
          <w:rFonts w:cs="Arial"/>
        </w:rPr>
      </w:pPr>
      <w:r w:rsidRPr="0059093A">
        <w:rPr>
          <w:rFonts w:cs="Arial"/>
        </w:rPr>
        <w:lastRenderedPageBreak/>
        <w:t xml:space="preserve">Individual policies often contribute to many of the </w:t>
      </w:r>
      <w:r w:rsidR="00DC2E44">
        <w:rPr>
          <w:rFonts w:cs="Arial"/>
        </w:rPr>
        <w:t>Plan</w:t>
      </w:r>
      <w:r w:rsidRPr="0059093A">
        <w:rPr>
          <w:rFonts w:cs="Arial"/>
        </w:rPr>
        <w:t xml:space="preserve"> </w:t>
      </w:r>
      <w:r>
        <w:rPr>
          <w:rFonts w:cs="Arial"/>
        </w:rPr>
        <w:t>o</w:t>
      </w:r>
      <w:r w:rsidRPr="0059093A">
        <w:rPr>
          <w:rFonts w:cs="Arial"/>
        </w:rPr>
        <w:t xml:space="preserve">bjectives. For example, one policy may directly contribute to one of the </w:t>
      </w:r>
      <w:r w:rsidR="00DC2E44">
        <w:rPr>
          <w:rFonts w:cs="Arial"/>
        </w:rPr>
        <w:t>Plan</w:t>
      </w:r>
      <w:r w:rsidRPr="0059093A">
        <w:rPr>
          <w:rFonts w:cs="Arial"/>
        </w:rPr>
        <w:t xml:space="preserve"> </w:t>
      </w:r>
      <w:r>
        <w:rPr>
          <w:rFonts w:cs="Arial"/>
        </w:rPr>
        <w:t>o</w:t>
      </w:r>
      <w:r w:rsidRPr="0059093A">
        <w:rPr>
          <w:rFonts w:cs="Arial"/>
        </w:rPr>
        <w:t xml:space="preserve">bjectives whilst also indirectly contributing to </w:t>
      </w:r>
      <w:r w:rsidRPr="00D43BAE">
        <w:t>another</w:t>
      </w:r>
      <w:r w:rsidRPr="0059093A">
        <w:rPr>
          <w:rFonts w:cs="Arial"/>
        </w:rPr>
        <w:t xml:space="preserve">. </w:t>
      </w:r>
      <w:r w:rsidR="00E10564">
        <w:rPr>
          <w:rFonts w:cs="Arial"/>
        </w:rPr>
        <w:br/>
      </w:r>
      <w:r w:rsidR="00E10564">
        <w:rPr>
          <w:rFonts w:cs="Arial"/>
        </w:rPr>
        <w:br/>
      </w:r>
      <w:r w:rsidRPr="0059093A">
        <w:rPr>
          <w:rFonts w:cs="Arial"/>
        </w:rPr>
        <w:t xml:space="preserve">Discussions on indirectly contributing policies are, therefore, only given where needed to support the conclusion of the overall </w:t>
      </w:r>
      <w:r w:rsidRPr="0059093A">
        <w:t xml:space="preserve">progress towards </w:t>
      </w:r>
      <w:r w:rsidRPr="0059093A">
        <w:rPr>
          <w:rFonts w:cs="Arial"/>
        </w:rPr>
        <w:t xml:space="preserve">securing the </w:t>
      </w:r>
      <w:r w:rsidR="00DC2E44">
        <w:rPr>
          <w:rFonts w:cs="Arial"/>
        </w:rPr>
        <w:t>Plan</w:t>
      </w:r>
      <w:r w:rsidRPr="0059093A">
        <w:rPr>
          <w:rFonts w:cs="Arial"/>
        </w:rPr>
        <w:t xml:space="preserve"> </w:t>
      </w:r>
      <w:r>
        <w:rPr>
          <w:rFonts w:cs="Arial"/>
        </w:rPr>
        <w:t>o</w:t>
      </w:r>
      <w:r w:rsidRPr="0059093A">
        <w:rPr>
          <w:rFonts w:cs="Arial"/>
        </w:rPr>
        <w:t>bjectives.</w:t>
      </w:r>
    </w:p>
    <w:p w14:paraId="402CCF33" w14:textId="40BCB8AC" w:rsidR="00091AF9" w:rsidRPr="0059093A" w:rsidRDefault="00091AF9" w:rsidP="00D43BAE">
      <w:pPr>
        <w:pStyle w:val="ListParagraph"/>
        <w:numPr>
          <w:ilvl w:val="0"/>
          <w:numId w:val="8"/>
        </w:numPr>
        <w:ind w:left="561" w:hanging="567"/>
        <w:contextualSpacing w:val="0"/>
      </w:pPr>
      <w:r w:rsidRPr="0059093A">
        <w:t>Findings from the stakeholder surveys are not discussed in this section where indicators provided enough information on policy effects, or where survey findings provided no further clarity to the conclusions reached.</w:t>
      </w:r>
    </w:p>
    <w:p w14:paraId="1215AF89" w14:textId="055014F7" w:rsidR="00091AF9" w:rsidRPr="0059093A" w:rsidRDefault="00091AF9">
      <w:pPr>
        <w:pStyle w:val="ListParagraph"/>
        <w:numPr>
          <w:ilvl w:val="0"/>
          <w:numId w:val="8"/>
        </w:numPr>
        <w:ind w:left="561" w:hanging="567"/>
        <w:contextualSpacing w:val="0"/>
      </w:pPr>
      <w:r w:rsidRPr="0059093A">
        <w:t xml:space="preserve">Suitable indicators or stakeholder survey questions remain to be developed for several policies, resulting in gaps in the monitoring of policy effects and longer-term outcomes. </w:t>
      </w:r>
      <w:r w:rsidR="00E10564">
        <w:br/>
      </w:r>
      <w:r w:rsidR="00E10564">
        <w:br/>
      </w:r>
      <w:r w:rsidRPr="0059093A">
        <w:t xml:space="preserve">Where these gaps occur, </w:t>
      </w:r>
      <w:r w:rsidRPr="0059093A">
        <w:rPr>
          <w:rFonts w:cs="Arial"/>
        </w:rPr>
        <w:t>evidence of policy use in marine licen</w:t>
      </w:r>
      <w:r w:rsidR="006F2A02">
        <w:rPr>
          <w:rFonts w:cs="Arial"/>
        </w:rPr>
        <w:t>ce</w:t>
      </w:r>
      <w:r w:rsidRPr="0059093A">
        <w:rPr>
          <w:rFonts w:cs="Arial"/>
        </w:rPr>
        <w:t xml:space="preserve"> </w:t>
      </w:r>
      <w:r w:rsidRPr="00D43BAE">
        <w:t>decision</w:t>
      </w:r>
      <w:r w:rsidRPr="0059093A">
        <w:rPr>
          <w:rFonts w:cs="Arial"/>
        </w:rPr>
        <w:t>-making has been used to demonstrate how these policies are contributing towards objective outcomes</w:t>
      </w:r>
      <w:r w:rsidRPr="0059093A">
        <w:rPr>
          <w:rStyle w:val="eop"/>
          <w:rFonts w:cs="Arial"/>
        </w:rPr>
        <w:t xml:space="preserve">. </w:t>
      </w:r>
      <w:r w:rsidR="00E10564">
        <w:rPr>
          <w:rStyle w:val="eop"/>
          <w:rFonts w:cs="Arial"/>
        </w:rPr>
        <w:br/>
      </w:r>
      <w:r w:rsidR="00E10564">
        <w:rPr>
          <w:rStyle w:val="eop"/>
          <w:rFonts w:cs="Arial"/>
        </w:rPr>
        <w:br/>
      </w:r>
      <w:r w:rsidR="00F276AF" w:rsidRPr="00E10564">
        <w:rPr>
          <w:rStyle w:val="eop"/>
          <w:rFonts w:cs="Arial"/>
        </w:rPr>
        <w:t>The case study below</w:t>
      </w:r>
      <w:r w:rsidR="00882CD0" w:rsidRPr="00E10564">
        <w:rPr>
          <w:rStyle w:val="eop"/>
          <w:rFonts w:cs="Arial"/>
        </w:rPr>
        <w:t xml:space="preserve"> describes the approach used to assess policies through evidence of policy </w:t>
      </w:r>
      <w:r w:rsidR="00952920" w:rsidRPr="00E10564">
        <w:rPr>
          <w:rStyle w:val="eop"/>
          <w:rFonts w:cs="Arial"/>
        </w:rPr>
        <w:t>use</w:t>
      </w:r>
      <w:r w:rsidR="00882CD0" w:rsidRPr="00E10564">
        <w:rPr>
          <w:rStyle w:val="eop"/>
          <w:rFonts w:cs="Arial"/>
        </w:rPr>
        <w:t xml:space="preserve"> when data is otherwise unavailable. </w:t>
      </w:r>
    </w:p>
    <w:p w14:paraId="64FBC806" w14:textId="12F883AC" w:rsidR="00091AF9" w:rsidRPr="0059093A" w:rsidRDefault="00E10564" w:rsidP="00285EEE">
      <w:pPr>
        <w:pStyle w:val="Heading4"/>
        <w:rPr>
          <w:color w:val="000000"/>
          <w:szCs w:val="24"/>
        </w:rPr>
      </w:pPr>
      <w:r w:rsidRPr="00E53D8B">
        <w:t>Case study</w:t>
      </w:r>
      <w:r w:rsidRPr="0059093A">
        <w:t>: intermediate outcomes</w:t>
      </w:r>
      <w:r>
        <w:t xml:space="preserve"> delivered through marine licence decisions</w:t>
      </w:r>
    </w:p>
    <w:p w14:paraId="2A35834B" w14:textId="3E03FC8A" w:rsidR="00091AF9" w:rsidRPr="0059093A" w:rsidRDefault="00084144" w:rsidP="00D56257">
      <w:pPr>
        <w:pBdr>
          <w:top w:val="single" w:sz="4" w:space="1" w:color="auto"/>
          <w:left w:val="single" w:sz="4" w:space="1" w:color="auto"/>
          <w:bottom w:val="single" w:sz="4" w:space="1" w:color="auto"/>
          <w:right w:val="single" w:sz="4" w:space="1" w:color="auto"/>
        </w:pBdr>
        <w:shd w:val="clear" w:color="auto" w:fill="F2F2F2" w:themeFill="background1" w:themeFillShade="F2"/>
        <w:rPr>
          <w:rStyle w:val="Hyperlink"/>
          <w:rFonts w:cs="Arial"/>
          <w:color w:val="auto"/>
          <w:szCs w:val="24"/>
          <w:u w:val="none"/>
        </w:rPr>
      </w:pPr>
      <w:r>
        <w:rPr>
          <w:rStyle w:val="Hyperlink"/>
          <w:rFonts w:cs="Arial"/>
          <w:color w:val="auto"/>
          <w:szCs w:val="24"/>
          <w:u w:val="none"/>
        </w:rPr>
        <w:t>Longer term effects and impacts of</w:t>
      </w:r>
      <w:r w:rsidR="00091AF9" w:rsidRPr="0059093A">
        <w:rPr>
          <w:rStyle w:val="Hyperlink"/>
          <w:rFonts w:cs="Arial"/>
          <w:color w:val="auto"/>
          <w:szCs w:val="24"/>
          <w:u w:val="none"/>
        </w:rPr>
        <w:t xml:space="preserve"> policies may be uncertain</w:t>
      </w:r>
      <w:r>
        <w:rPr>
          <w:rStyle w:val="Hyperlink"/>
          <w:rFonts w:cs="Arial"/>
          <w:color w:val="auto"/>
          <w:szCs w:val="24"/>
          <w:u w:val="none"/>
        </w:rPr>
        <w:t xml:space="preserve"> where data gaps persist</w:t>
      </w:r>
      <w:r w:rsidR="00091AF9" w:rsidRPr="0059093A">
        <w:rPr>
          <w:rStyle w:val="Hyperlink"/>
          <w:rFonts w:cs="Arial"/>
          <w:color w:val="auto"/>
          <w:szCs w:val="24"/>
          <w:u w:val="none"/>
        </w:rPr>
        <w:t xml:space="preserve">, but intermediate outcomes, such as evidence of policy use in </w:t>
      </w:r>
      <w:r w:rsidR="00912A61">
        <w:rPr>
          <w:rStyle w:val="Hyperlink"/>
          <w:rFonts w:cs="Arial"/>
          <w:color w:val="auto"/>
          <w:szCs w:val="24"/>
          <w:u w:val="none"/>
        </w:rPr>
        <w:t xml:space="preserve">marine licence </w:t>
      </w:r>
      <w:r w:rsidR="00091AF9" w:rsidRPr="0059093A">
        <w:rPr>
          <w:rStyle w:val="Hyperlink"/>
          <w:rFonts w:cs="Arial"/>
          <w:color w:val="auto"/>
          <w:szCs w:val="24"/>
          <w:u w:val="none"/>
        </w:rPr>
        <w:t xml:space="preserve">decision-making, may be used as an adequate proxy to understand policy effects in the short term. This case study assesses policies listed under all objectives as ‘no data’. </w:t>
      </w:r>
    </w:p>
    <w:p w14:paraId="384AD220" w14:textId="7F567870" w:rsidR="00DD7287" w:rsidRDefault="00091AF9" w:rsidP="009800D3">
      <w:pPr>
        <w:pBdr>
          <w:top w:val="single" w:sz="4" w:space="1" w:color="auto"/>
          <w:left w:val="single" w:sz="4" w:space="1" w:color="auto"/>
          <w:bottom w:val="single" w:sz="4" w:space="1" w:color="auto"/>
          <w:right w:val="single" w:sz="4" w:space="1" w:color="auto"/>
        </w:pBdr>
        <w:shd w:val="clear" w:color="auto" w:fill="F2F2F2" w:themeFill="background1" w:themeFillShade="F2"/>
      </w:pPr>
      <w:r w:rsidRPr="0059093A">
        <w:rPr>
          <w:rFonts w:cs="Arial"/>
          <w:szCs w:val="24"/>
        </w:rPr>
        <w:t xml:space="preserve">The findings presented in </w:t>
      </w:r>
      <w:r w:rsidR="00D56257">
        <w:rPr>
          <w:rFonts w:cs="Arial"/>
          <w:szCs w:val="24"/>
        </w:rPr>
        <w:t>Figure 3</w:t>
      </w:r>
      <w:r w:rsidRPr="0059093A">
        <w:rPr>
          <w:rFonts w:cs="Arial"/>
          <w:szCs w:val="24"/>
        </w:rPr>
        <w:t xml:space="preserve"> </w:t>
      </w:r>
      <w:r w:rsidRPr="00D56257">
        <w:rPr>
          <w:rStyle w:val="Hyperlink"/>
          <w:color w:val="auto"/>
          <w:u w:val="none"/>
        </w:rPr>
        <w:t>demonstrate</w:t>
      </w:r>
      <w:r w:rsidRPr="0059093A">
        <w:rPr>
          <w:rFonts w:cs="Arial"/>
          <w:szCs w:val="24"/>
        </w:rPr>
        <w:t xml:space="preserve"> that</w:t>
      </w:r>
      <w:r w:rsidR="009800D3">
        <w:rPr>
          <w:rFonts w:cs="Arial"/>
          <w:szCs w:val="24"/>
        </w:rPr>
        <w:t>, despite having ‘no data’ for longer term outcomes,</w:t>
      </w:r>
      <w:r w:rsidR="00DD7287">
        <w:rPr>
          <w:rFonts w:cs="Arial"/>
          <w:szCs w:val="24"/>
        </w:rPr>
        <w:t xml:space="preserve"> it can be shown that</w:t>
      </w:r>
      <w:r w:rsidRPr="0059093A">
        <w:rPr>
          <w:rFonts w:cs="Arial"/>
          <w:szCs w:val="24"/>
        </w:rPr>
        <w:t xml:space="preserve"> the MMO is considering these policies </w:t>
      </w:r>
      <w:r w:rsidRPr="0059093A">
        <w:rPr>
          <w:rStyle w:val="Hyperlink"/>
          <w:rFonts w:cs="Arial"/>
          <w:color w:val="auto"/>
          <w:szCs w:val="24"/>
          <w:u w:val="none"/>
        </w:rPr>
        <w:t xml:space="preserve">when making marine licence </w:t>
      </w:r>
      <w:r w:rsidRPr="0059093A">
        <w:rPr>
          <w:rFonts w:cs="Arial"/>
          <w:szCs w:val="24"/>
        </w:rPr>
        <w:t>determinations.</w:t>
      </w:r>
      <w:r w:rsidR="00DD7287">
        <w:t xml:space="preserve"> </w:t>
      </w:r>
      <w:r w:rsidR="00E10564">
        <w:br/>
      </w:r>
      <w:r w:rsidR="00E10564">
        <w:br/>
      </w:r>
      <w:r w:rsidR="009800D3" w:rsidRPr="006F59D9">
        <w:t xml:space="preserve">This evidences that the </w:t>
      </w:r>
      <w:r w:rsidR="00DC2E44">
        <w:t>Plan</w:t>
      </w:r>
      <w:r w:rsidR="009800D3" w:rsidRPr="006F59D9">
        <w:t xml:space="preserve"> policies are being implemented where policy use is within direct control and direct influence of the MMO through </w:t>
      </w:r>
      <w:r w:rsidR="009800D3">
        <w:t xml:space="preserve">its </w:t>
      </w:r>
      <w:r w:rsidR="009800D3" w:rsidRPr="006F59D9">
        <w:t xml:space="preserve">marine </w:t>
      </w:r>
      <w:r w:rsidR="009800D3">
        <w:t>licence decision-making</w:t>
      </w:r>
      <w:r w:rsidR="00DD7287">
        <w:t xml:space="preserve"> and suggests there are likely to be outcomes linked to their implementation</w:t>
      </w:r>
      <w:r w:rsidR="00C51194">
        <w:t>,</w:t>
      </w:r>
      <w:r w:rsidR="00DD7287">
        <w:t xml:space="preserve"> despite monitoring gaps. </w:t>
      </w:r>
    </w:p>
    <w:p w14:paraId="646A2C53" w14:textId="1C12852A" w:rsidR="009800D3" w:rsidRPr="0059093A" w:rsidRDefault="009800D3" w:rsidP="009800D3">
      <w:pPr>
        <w:pBdr>
          <w:top w:val="single" w:sz="4" w:space="1" w:color="auto"/>
          <w:left w:val="single" w:sz="4" w:space="1" w:color="auto"/>
          <w:bottom w:val="single" w:sz="4" w:space="1" w:color="auto"/>
          <w:right w:val="single" w:sz="4" w:space="1" w:color="auto"/>
        </w:pBdr>
        <w:shd w:val="clear" w:color="auto" w:fill="F2F2F2" w:themeFill="background1" w:themeFillShade="F2"/>
        <w:rPr>
          <w:rStyle w:val="Hyperlink"/>
          <w:rFonts w:cs="Arial"/>
          <w:color w:val="auto"/>
          <w:szCs w:val="24"/>
          <w:u w:val="none"/>
        </w:rPr>
      </w:pPr>
      <w:r w:rsidRPr="0059093A">
        <w:rPr>
          <w:rStyle w:val="Hyperlink"/>
          <w:rFonts w:cs="Arial"/>
          <w:color w:val="auto"/>
          <w:szCs w:val="24"/>
          <w:u w:val="none"/>
        </w:rPr>
        <w:t xml:space="preserve">Stakeholder survey responses </w:t>
      </w:r>
      <w:r w:rsidR="00C51194">
        <w:rPr>
          <w:rStyle w:val="Hyperlink"/>
          <w:rFonts w:cs="Arial"/>
          <w:color w:val="auto"/>
          <w:szCs w:val="24"/>
          <w:u w:val="none"/>
        </w:rPr>
        <w:t>seemingly corroborate this, indicating</w:t>
      </w:r>
      <w:r w:rsidRPr="0059093A">
        <w:rPr>
          <w:rStyle w:val="Hyperlink"/>
          <w:rFonts w:cs="Arial"/>
          <w:color w:val="auto"/>
          <w:szCs w:val="24"/>
          <w:u w:val="none"/>
        </w:rPr>
        <w:t xml:space="preserve"> that positive (albeit limited) progress towards policy aims are being made, with responses suggesting policies </w:t>
      </w:r>
      <w:r w:rsidR="00084144">
        <w:rPr>
          <w:rStyle w:val="Hyperlink"/>
          <w:rFonts w:cs="Arial"/>
          <w:color w:val="auto"/>
          <w:szCs w:val="24"/>
          <w:u w:val="none"/>
        </w:rPr>
        <w:t>with indicator gaps</w:t>
      </w:r>
      <w:r w:rsidRPr="0059093A">
        <w:rPr>
          <w:rStyle w:val="Hyperlink"/>
          <w:rFonts w:cs="Arial"/>
          <w:color w:val="auto"/>
          <w:szCs w:val="24"/>
          <w:u w:val="none"/>
        </w:rPr>
        <w:t xml:space="preserve"> were being considered. </w:t>
      </w:r>
    </w:p>
    <w:p w14:paraId="66C7DC05" w14:textId="21E911D4" w:rsidR="00E10564" w:rsidRDefault="00DC2E44" w:rsidP="00C51194">
      <w:pPr>
        <w:pBdr>
          <w:top w:val="single" w:sz="4" w:space="1" w:color="auto"/>
          <w:left w:val="single" w:sz="4" w:space="1" w:color="auto"/>
          <w:bottom w:val="single" w:sz="4" w:space="1" w:color="auto"/>
          <w:right w:val="single" w:sz="4" w:space="1" w:color="auto"/>
        </w:pBdr>
        <w:shd w:val="clear" w:color="auto" w:fill="F2F2F2" w:themeFill="background1" w:themeFillShade="F2"/>
        <w:rPr>
          <w:rStyle w:val="Hyperlink"/>
          <w:rFonts w:cs="Arial"/>
          <w:color w:val="auto"/>
          <w:szCs w:val="24"/>
          <w:u w:val="none"/>
        </w:rPr>
      </w:pPr>
      <w:r>
        <w:rPr>
          <w:rStyle w:val="Hyperlink"/>
          <w:rFonts w:cs="Arial"/>
          <w:color w:val="auto"/>
          <w:szCs w:val="24"/>
          <w:u w:val="none"/>
        </w:rPr>
        <w:t>Plan</w:t>
      </w:r>
      <w:r w:rsidR="00C51194" w:rsidRPr="0059093A">
        <w:rPr>
          <w:rStyle w:val="Hyperlink"/>
          <w:rFonts w:cs="Arial"/>
          <w:color w:val="auto"/>
          <w:szCs w:val="24"/>
          <w:u w:val="none"/>
        </w:rPr>
        <w:t xml:space="preserve"> policies have also influenced the conditions and information required from </w:t>
      </w:r>
      <w:r w:rsidR="00CF78C8">
        <w:rPr>
          <w:rStyle w:val="Hyperlink"/>
          <w:rFonts w:cs="Arial"/>
          <w:color w:val="auto"/>
          <w:szCs w:val="24"/>
          <w:u w:val="none"/>
        </w:rPr>
        <w:t>applicants</w:t>
      </w:r>
      <w:r w:rsidR="00CF78C8" w:rsidRPr="0059093A">
        <w:rPr>
          <w:rStyle w:val="Hyperlink"/>
          <w:rFonts w:cs="Arial"/>
          <w:color w:val="auto"/>
          <w:szCs w:val="24"/>
          <w:u w:val="none"/>
        </w:rPr>
        <w:t xml:space="preserve"> </w:t>
      </w:r>
      <w:r w:rsidR="00C51194" w:rsidRPr="0059093A">
        <w:rPr>
          <w:rStyle w:val="Hyperlink"/>
          <w:rFonts w:cs="Arial"/>
          <w:color w:val="auto"/>
          <w:szCs w:val="24"/>
          <w:u w:val="none"/>
        </w:rPr>
        <w:t>within marine licensing decision</w:t>
      </w:r>
      <w:r w:rsidR="00C51194">
        <w:rPr>
          <w:rStyle w:val="Hyperlink"/>
          <w:rFonts w:cs="Arial"/>
          <w:color w:val="auto"/>
          <w:szCs w:val="24"/>
          <w:u w:val="none"/>
        </w:rPr>
        <w:t>s</w:t>
      </w:r>
      <w:r w:rsidR="00C51194" w:rsidRPr="0059093A">
        <w:rPr>
          <w:rStyle w:val="Hyperlink"/>
          <w:rFonts w:cs="Arial"/>
          <w:color w:val="auto"/>
          <w:szCs w:val="24"/>
          <w:u w:val="none"/>
        </w:rPr>
        <w:t xml:space="preserve">. </w:t>
      </w:r>
    </w:p>
    <w:p w14:paraId="180792CB" w14:textId="33576A8F" w:rsidR="00C51194" w:rsidRDefault="00C51194" w:rsidP="00C51194">
      <w:pPr>
        <w:pBdr>
          <w:top w:val="single" w:sz="4" w:space="1" w:color="auto"/>
          <w:left w:val="single" w:sz="4" w:space="1" w:color="auto"/>
          <w:bottom w:val="single" w:sz="4" w:space="1" w:color="auto"/>
          <w:right w:val="single" w:sz="4" w:space="1" w:color="auto"/>
        </w:pBdr>
        <w:shd w:val="clear" w:color="auto" w:fill="F2F2F2" w:themeFill="background1" w:themeFillShade="F2"/>
        <w:rPr>
          <w:rStyle w:val="Hyperlink"/>
          <w:rFonts w:cs="Arial"/>
          <w:color w:val="auto"/>
          <w:szCs w:val="24"/>
          <w:u w:val="none"/>
        </w:rPr>
      </w:pPr>
      <w:r w:rsidRPr="0059093A">
        <w:rPr>
          <w:rStyle w:val="Hyperlink"/>
          <w:rFonts w:cs="Arial"/>
          <w:color w:val="auto"/>
          <w:szCs w:val="24"/>
          <w:u w:val="none"/>
        </w:rPr>
        <w:t xml:space="preserve">In the sample reviewed, 15% of proposals were returned to </w:t>
      </w:r>
      <w:r w:rsidR="00856493">
        <w:rPr>
          <w:rStyle w:val="Hyperlink"/>
          <w:rFonts w:cs="Arial"/>
          <w:color w:val="auto"/>
          <w:szCs w:val="24"/>
          <w:u w:val="none"/>
        </w:rPr>
        <w:t>marine licence applicants</w:t>
      </w:r>
      <w:r w:rsidR="00856493" w:rsidRPr="0059093A">
        <w:rPr>
          <w:rStyle w:val="Hyperlink"/>
          <w:rFonts w:cs="Arial"/>
          <w:color w:val="auto"/>
          <w:szCs w:val="24"/>
          <w:u w:val="none"/>
        </w:rPr>
        <w:t xml:space="preserve"> </w:t>
      </w:r>
      <w:r w:rsidRPr="0059093A">
        <w:rPr>
          <w:rStyle w:val="Hyperlink"/>
          <w:rFonts w:cs="Arial"/>
          <w:color w:val="auto"/>
          <w:szCs w:val="24"/>
          <w:u w:val="none"/>
        </w:rPr>
        <w:t xml:space="preserve">to demonstrate compliance with one or more policies. </w:t>
      </w:r>
      <w:r w:rsidR="00E10564">
        <w:rPr>
          <w:rStyle w:val="Hyperlink"/>
          <w:rFonts w:cs="Arial"/>
          <w:color w:val="auto"/>
          <w:szCs w:val="24"/>
          <w:u w:val="none"/>
        </w:rPr>
        <w:br/>
      </w:r>
      <w:r w:rsidRPr="0059093A">
        <w:rPr>
          <w:rStyle w:val="Hyperlink"/>
          <w:rFonts w:cs="Arial"/>
          <w:color w:val="auto"/>
          <w:szCs w:val="24"/>
          <w:u w:val="none"/>
        </w:rPr>
        <w:lastRenderedPageBreak/>
        <w:t xml:space="preserve">This could require further evidence of policy consideration, and in some cases resulted in proposals including additional measures, so as to comply with policies. </w:t>
      </w:r>
      <w:r w:rsidR="00E10564">
        <w:rPr>
          <w:rStyle w:val="Hyperlink"/>
          <w:rFonts w:cs="Arial"/>
          <w:color w:val="auto"/>
          <w:szCs w:val="24"/>
          <w:u w:val="none"/>
        </w:rPr>
        <w:br/>
      </w:r>
      <w:r w:rsidR="00E10564">
        <w:rPr>
          <w:rStyle w:val="Hyperlink"/>
          <w:rFonts w:cs="Arial"/>
          <w:color w:val="auto"/>
          <w:szCs w:val="24"/>
          <w:u w:val="none"/>
        </w:rPr>
        <w:br/>
      </w:r>
      <w:r w:rsidRPr="0059093A">
        <w:rPr>
          <w:rStyle w:val="Hyperlink"/>
          <w:rFonts w:cs="Arial"/>
          <w:color w:val="auto"/>
          <w:szCs w:val="24"/>
          <w:u w:val="none"/>
        </w:rPr>
        <w:t xml:space="preserve">For example, a number of proposals were altered to incorporate measures to prevent the spread of non-native invasive species, in order to comply with S-NIS-1. </w:t>
      </w:r>
    </w:p>
    <w:p w14:paraId="0DB5DC00" w14:textId="3D95555C" w:rsidR="00B07496" w:rsidRDefault="00C51194" w:rsidP="00C51194">
      <w:pPr>
        <w:pBdr>
          <w:top w:val="single" w:sz="4" w:space="1" w:color="auto"/>
          <w:left w:val="single" w:sz="4" w:space="1" w:color="auto"/>
          <w:bottom w:val="single" w:sz="4" w:space="1" w:color="auto"/>
          <w:right w:val="single" w:sz="4" w:space="1" w:color="auto"/>
        </w:pBdr>
        <w:shd w:val="clear" w:color="auto" w:fill="F2F2F2" w:themeFill="background1" w:themeFillShade="F2"/>
        <w:rPr>
          <w:rStyle w:val="Hyperlink"/>
          <w:rFonts w:cs="Arial"/>
          <w:color w:val="auto"/>
          <w:szCs w:val="24"/>
          <w:u w:val="none"/>
        </w:rPr>
      </w:pPr>
      <w:r w:rsidRPr="0059093A">
        <w:rPr>
          <w:rStyle w:val="Hyperlink"/>
          <w:rFonts w:cs="Arial"/>
          <w:color w:val="auto"/>
          <w:szCs w:val="24"/>
          <w:u w:val="none"/>
        </w:rPr>
        <w:t xml:space="preserve">The continued delivery of training on marine </w:t>
      </w:r>
      <w:r w:rsidR="00E10564">
        <w:rPr>
          <w:rStyle w:val="Hyperlink"/>
          <w:rFonts w:cs="Arial"/>
          <w:color w:val="auto"/>
          <w:szCs w:val="24"/>
          <w:u w:val="none"/>
        </w:rPr>
        <w:t>p</w:t>
      </w:r>
      <w:r w:rsidR="00DC2E44">
        <w:rPr>
          <w:rStyle w:val="Hyperlink"/>
          <w:rFonts w:cs="Arial"/>
          <w:color w:val="auto"/>
          <w:szCs w:val="24"/>
          <w:u w:val="none"/>
        </w:rPr>
        <w:t>lan</w:t>
      </w:r>
      <w:r w:rsidRPr="0059093A">
        <w:rPr>
          <w:rStyle w:val="Hyperlink"/>
          <w:rFonts w:cs="Arial"/>
          <w:color w:val="auto"/>
          <w:szCs w:val="24"/>
          <w:u w:val="none"/>
        </w:rPr>
        <w:t xml:space="preserve"> implementation will facilitate and support internal and external decision-makers in the implementation of the </w:t>
      </w:r>
      <w:r w:rsidR="00DC2E44">
        <w:rPr>
          <w:rStyle w:val="Hyperlink"/>
          <w:color w:val="auto"/>
          <w:u w:val="none"/>
        </w:rPr>
        <w:t>Plan</w:t>
      </w:r>
      <w:r w:rsidRPr="0059093A">
        <w:rPr>
          <w:rStyle w:val="Hyperlink"/>
          <w:color w:val="auto"/>
          <w:u w:val="none"/>
        </w:rPr>
        <w:t>, and</w:t>
      </w:r>
      <w:r>
        <w:rPr>
          <w:rStyle w:val="Hyperlink"/>
          <w:color w:val="auto"/>
          <w:u w:val="none"/>
        </w:rPr>
        <w:t>,</w:t>
      </w:r>
      <w:r w:rsidRPr="0059093A">
        <w:rPr>
          <w:rStyle w:val="Hyperlink"/>
          <w:color w:val="auto"/>
          <w:u w:val="none"/>
        </w:rPr>
        <w:t xml:space="preserve"> therefore</w:t>
      </w:r>
      <w:r>
        <w:rPr>
          <w:rStyle w:val="Hyperlink"/>
          <w:color w:val="auto"/>
          <w:u w:val="none"/>
        </w:rPr>
        <w:t>,</w:t>
      </w:r>
      <w:r w:rsidRPr="0059093A">
        <w:rPr>
          <w:rStyle w:val="Hyperlink"/>
          <w:color w:val="auto"/>
          <w:u w:val="none"/>
        </w:rPr>
        <w:t xml:space="preserve"> progress towards associated objectives, particularly over shorter timescales.</w:t>
      </w:r>
      <w:r w:rsidRPr="0059093A">
        <w:rPr>
          <w:rStyle w:val="Hyperlink"/>
          <w:rFonts w:cs="Arial"/>
          <w:color w:val="auto"/>
          <w:szCs w:val="24"/>
          <w:u w:val="none"/>
        </w:rPr>
        <w:t xml:space="preserve"> </w:t>
      </w:r>
    </w:p>
    <w:p w14:paraId="0B1D3582" w14:textId="583CF865" w:rsidR="00091AF9" w:rsidRPr="0059093A" w:rsidRDefault="00091AF9" w:rsidP="00285EEE">
      <w:pPr>
        <w:pBdr>
          <w:top w:val="single" w:sz="4" w:space="1" w:color="auto"/>
          <w:left w:val="single" w:sz="4" w:space="1" w:color="auto"/>
          <w:bottom w:val="single" w:sz="4" w:space="1" w:color="auto"/>
          <w:right w:val="single" w:sz="4" w:space="1" w:color="auto"/>
        </w:pBdr>
        <w:shd w:val="clear" w:color="auto" w:fill="F2F2F2" w:themeFill="background1" w:themeFillShade="F2"/>
        <w:spacing w:before="160"/>
        <w:rPr>
          <w:rFonts w:cs="Arial"/>
          <w:szCs w:val="24"/>
        </w:rPr>
      </w:pPr>
      <w:r w:rsidRPr="0059093A">
        <w:rPr>
          <w:b/>
          <w:sz w:val="22"/>
        </w:rPr>
        <w:t xml:space="preserve">Figure </w:t>
      </w:r>
      <w:r w:rsidR="00D56257">
        <w:rPr>
          <w:b/>
          <w:sz w:val="22"/>
        </w:rPr>
        <w:t>3:</w:t>
      </w:r>
      <w:r w:rsidRPr="0059093A">
        <w:rPr>
          <w:sz w:val="22"/>
        </w:rPr>
        <w:t xml:space="preserve"> </w:t>
      </w:r>
      <w:r w:rsidRPr="0059093A">
        <w:rPr>
          <w:b/>
          <w:sz w:val="22"/>
        </w:rPr>
        <w:t>B</w:t>
      </w:r>
      <w:r w:rsidRPr="0059093A">
        <w:rPr>
          <w:rFonts w:cs="Arial"/>
          <w:b/>
          <w:sz w:val="22"/>
        </w:rPr>
        <w:t xml:space="preserve">reakdown of policy-level decisions for 15 </w:t>
      </w:r>
      <w:r w:rsidR="00B07496">
        <w:rPr>
          <w:rFonts w:cs="Arial"/>
          <w:b/>
          <w:sz w:val="22"/>
        </w:rPr>
        <w:t xml:space="preserve">South Marine </w:t>
      </w:r>
      <w:r w:rsidR="00DC2E44">
        <w:rPr>
          <w:rFonts w:cs="Arial"/>
          <w:b/>
          <w:sz w:val="22"/>
        </w:rPr>
        <w:t>Plan</w:t>
      </w:r>
      <w:r w:rsidRPr="0059093A">
        <w:rPr>
          <w:rFonts w:cs="Arial"/>
          <w:b/>
          <w:sz w:val="22"/>
        </w:rPr>
        <w:t xml:space="preserve"> policies without </w:t>
      </w:r>
      <w:r w:rsidRPr="0059093A">
        <w:rPr>
          <w:rStyle w:val="Hyperlink"/>
          <w:rFonts w:cs="Arial"/>
          <w:b/>
          <w:color w:val="auto"/>
          <w:sz w:val="22"/>
          <w:u w:val="none"/>
        </w:rPr>
        <w:t>outcome indicators</w:t>
      </w:r>
      <w:r w:rsidRPr="0059093A">
        <w:rPr>
          <w:rFonts w:cs="Arial"/>
          <w:b/>
          <w:sz w:val="22"/>
        </w:rPr>
        <w:t xml:space="preserve">. </w:t>
      </w:r>
      <w:r w:rsidR="00B07496" w:rsidRPr="00043B05">
        <w:rPr>
          <w:noProof/>
          <w:lang w:eastAsia="en-GB"/>
        </w:rPr>
        <w:drawing>
          <wp:inline distT="0" distB="0" distL="0" distR="0" wp14:anchorId="01F6134A" wp14:editId="584EAC6A">
            <wp:extent cx="5982655" cy="4106228"/>
            <wp:effectExtent l="0" t="0" r="18415" b="8890"/>
            <wp:docPr id="5" name="Chart 5" descr="Figure 3 shows a breakdown of MMO policy-level decisions for marine licence applications with completed policy assessments (n=82), granted between 17 July 2018 and 16 July 2020 for 15 policies without outcome indicators. Decisions are categorised as 'compliant', 'compliant after further information provided', 'not applicable', 'screened in but not assessed', 'further information requested, 'outcome uncertain', and 'not compliant'. The term ‘not applicable’ refers to instances where marine plan policies were ‘scoped out’ of the assessment. &#10;Decision categories are presented as a percentage of the number of marine licence applications with completed policy assessments granted within the specified timeframe for each of the 15 policies without outcome indicators.">
              <a:extLst xmlns:a="http://schemas.openxmlformats.org/drawingml/2006/main">
                <a:ext uri="{FF2B5EF4-FFF2-40B4-BE49-F238E27FC236}">
                  <a16:creationId xmlns:a16="http://schemas.microsoft.com/office/drawing/2014/main" id="{C28291FE-E2BE-4DAB-B8DC-E3DFB6B1A2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6623281" w14:textId="36120E50" w:rsidR="00E10564" w:rsidRDefault="00091AF9" w:rsidP="00D56257">
      <w:pPr>
        <w:pBdr>
          <w:top w:val="single" w:sz="4" w:space="1" w:color="auto"/>
          <w:left w:val="single" w:sz="4" w:space="1" w:color="auto"/>
          <w:bottom w:val="single" w:sz="4" w:space="1" w:color="auto"/>
          <w:right w:val="single" w:sz="4" w:space="1" w:color="auto"/>
        </w:pBdr>
        <w:shd w:val="clear" w:color="auto" w:fill="F2F2F2" w:themeFill="background1" w:themeFillShade="F2"/>
        <w:rPr>
          <w:rStyle w:val="Hyperlink"/>
          <w:rFonts w:cs="Arial"/>
          <w:color w:val="auto"/>
          <w:szCs w:val="24"/>
          <w:u w:val="none"/>
        </w:rPr>
      </w:pPr>
      <w:r w:rsidRPr="0059093A">
        <w:rPr>
          <w:rStyle w:val="Hyperlink"/>
          <w:rFonts w:cs="Arial"/>
          <w:color w:val="auto"/>
          <w:szCs w:val="24"/>
          <w:u w:val="none"/>
        </w:rPr>
        <w:t>Without outcome findings related to specific policy effects, there is limited understanding of how effective these policies are in progressing their policy aims or those of the overall objectives they contribute to.</w:t>
      </w:r>
    </w:p>
    <w:p w14:paraId="69F2DD77" w14:textId="6DBBE1CF" w:rsidR="00E10564" w:rsidRDefault="00091AF9" w:rsidP="00D56257">
      <w:pPr>
        <w:pBdr>
          <w:top w:val="single" w:sz="4" w:space="1" w:color="auto"/>
          <w:left w:val="single" w:sz="4" w:space="1" w:color="auto"/>
          <w:bottom w:val="single" w:sz="4" w:space="1" w:color="auto"/>
          <w:right w:val="single" w:sz="4" w:space="1" w:color="auto"/>
        </w:pBdr>
        <w:shd w:val="clear" w:color="auto" w:fill="F2F2F2" w:themeFill="background1" w:themeFillShade="F2"/>
        <w:rPr>
          <w:rStyle w:val="Hyperlink"/>
          <w:rFonts w:cs="Arial"/>
          <w:color w:val="auto"/>
          <w:szCs w:val="24"/>
          <w:u w:val="none"/>
        </w:rPr>
      </w:pPr>
      <w:r w:rsidRPr="0059093A">
        <w:rPr>
          <w:rStyle w:val="Hyperlink"/>
          <w:rFonts w:cs="Arial"/>
          <w:color w:val="auto"/>
          <w:szCs w:val="24"/>
          <w:u w:val="none"/>
        </w:rPr>
        <w:t xml:space="preserve">Development of survey </w:t>
      </w:r>
      <w:r w:rsidR="00D45432">
        <w:rPr>
          <w:rStyle w:val="Hyperlink"/>
          <w:rFonts w:cs="Arial"/>
          <w:color w:val="auto"/>
          <w:szCs w:val="24"/>
          <w:u w:val="none"/>
        </w:rPr>
        <w:t>questions</w:t>
      </w:r>
      <w:r w:rsidRPr="0059093A">
        <w:rPr>
          <w:rStyle w:val="Hyperlink"/>
          <w:rFonts w:cs="Arial"/>
          <w:color w:val="auto"/>
          <w:szCs w:val="24"/>
          <w:u w:val="none"/>
        </w:rPr>
        <w:t xml:space="preserve"> or indicators</w:t>
      </w:r>
      <w:r w:rsidR="00952920">
        <w:rPr>
          <w:rStyle w:val="Hyperlink"/>
          <w:rFonts w:cs="Arial"/>
          <w:color w:val="auto"/>
          <w:szCs w:val="24"/>
          <w:u w:val="none"/>
        </w:rPr>
        <w:t xml:space="preserve"> </w:t>
      </w:r>
      <w:r w:rsidRPr="0059093A">
        <w:rPr>
          <w:rStyle w:val="Hyperlink"/>
          <w:rFonts w:cs="Arial"/>
          <w:color w:val="auto"/>
          <w:szCs w:val="24"/>
          <w:u w:val="none"/>
        </w:rPr>
        <w:t xml:space="preserve">to </w:t>
      </w:r>
      <w:r w:rsidR="00DD7287">
        <w:rPr>
          <w:rStyle w:val="Hyperlink"/>
          <w:rFonts w:cs="Arial"/>
          <w:color w:val="auto"/>
          <w:szCs w:val="24"/>
          <w:u w:val="none"/>
        </w:rPr>
        <w:t>monitor</w:t>
      </w:r>
      <w:r w:rsidR="00DD7287" w:rsidRPr="0059093A">
        <w:rPr>
          <w:rStyle w:val="Hyperlink"/>
          <w:rFonts w:cs="Arial"/>
          <w:color w:val="auto"/>
          <w:szCs w:val="24"/>
          <w:u w:val="none"/>
        </w:rPr>
        <w:t xml:space="preserve"> </w:t>
      </w:r>
      <w:r w:rsidRPr="0059093A">
        <w:rPr>
          <w:rStyle w:val="Hyperlink"/>
          <w:rFonts w:cs="Arial"/>
          <w:color w:val="auto"/>
          <w:szCs w:val="24"/>
          <w:u w:val="none"/>
        </w:rPr>
        <w:t xml:space="preserve">policy effects and provide outcome findings </w:t>
      </w:r>
      <w:r w:rsidR="000A4174">
        <w:rPr>
          <w:rStyle w:val="Hyperlink"/>
          <w:rFonts w:cs="Arial"/>
          <w:color w:val="auto"/>
          <w:szCs w:val="24"/>
          <w:u w:val="none"/>
        </w:rPr>
        <w:t>will</w:t>
      </w:r>
      <w:r w:rsidR="000A4174" w:rsidRPr="0059093A">
        <w:rPr>
          <w:rStyle w:val="Hyperlink"/>
          <w:rFonts w:cs="Arial"/>
          <w:color w:val="auto"/>
          <w:szCs w:val="24"/>
          <w:u w:val="none"/>
        </w:rPr>
        <w:t xml:space="preserve"> </w:t>
      </w:r>
      <w:r w:rsidR="000A4174">
        <w:rPr>
          <w:rStyle w:val="Hyperlink"/>
          <w:rFonts w:cs="Arial"/>
          <w:color w:val="auto"/>
          <w:szCs w:val="24"/>
          <w:u w:val="none"/>
        </w:rPr>
        <w:t xml:space="preserve">be investigated to </w:t>
      </w:r>
      <w:r w:rsidR="00EC2D67" w:rsidRPr="0059093A">
        <w:rPr>
          <w:rStyle w:val="Hyperlink"/>
          <w:rFonts w:cs="Arial"/>
          <w:color w:val="auto"/>
          <w:szCs w:val="24"/>
          <w:u w:val="none"/>
        </w:rPr>
        <w:t>address</w:t>
      </w:r>
      <w:r w:rsidR="00952920">
        <w:rPr>
          <w:rStyle w:val="Hyperlink"/>
          <w:rFonts w:cs="Arial"/>
          <w:color w:val="auto"/>
          <w:szCs w:val="24"/>
          <w:u w:val="none"/>
        </w:rPr>
        <w:t xml:space="preserve"> </w:t>
      </w:r>
      <w:r w:rsidRPr="0059093A">
        <w:rPr>
          <w:rStyle w:val="Hyperlink"/>
          <w:rFonts w:cs="Arial"/>
          <w:color w:val="auto"/>
          <w:szCs w:val="24"/>
          <w:u w:val="none"/>
        </w:rPr>
        <w:t xml:space="preserve">these known gaps to provide </w:t>
      </w:r>
      <w:r w:rsidR="00046883">
        <w:rPr>
          <w:rStyle w:val="Hyperlink"/>
          <w:rFonts w:cs="Arial"/>
          <w:color w:val="auto"/>
          <w:szCs w:val="24"/>
          <w:u w:val="none"/>
        </w:rPr>
        <w:t xml:space="preserve">a </w:t>
      </w:r>
      <w:r w:rsidRPr="0059093A">
        <w:rPr>
          <w:rStyle w:val="Hyperlink"/>
          <w:rFonts w:cs="Arial"/>
          <w:color w:val="auto"/>
          <w:szCs w:val="24"/>
          <w:u w:val="none"/>
        </w:rPr>
        <w:t xml:space="preserve">more robust </w:t>
      </w:r>
      <w:r w:rsidR="00046883">
        <w:rPr>
          <w:rStyle w:val="Hyperlink"/>
          <w:rFonts w:cs="Arial"/>
          <w:color w:val="auto"/>
          <w:szCs w:val="24"/>
          <w:u w:val="none"/>
        </w:rPr>
        <w:t xml:space="preserve">evaluation </w:t>
      </w:r>
      <w:r w:rsidRPr="0059093A">
        <w:rPr>
          <w:rStyle w:val="Hyperlink"/>
          <w:rFonts w:cs="Arial"/>
          <w:color w:val="auto"/>
          <w:szCs w:val="24"/>
          <w:u w:val="none"/>
        </w:rPr>
        <w:t xml:space="preserve">of these policies in the long-term. </w:t>
      </w:r>
    </w:p>
    <w:p w14:paraId="51E54A48" w14:textId="5BD2BEBB" w:rsidR="00046883" w:rsidRPr="0059093A" w:rsidRDefault="00E53D8B" w:rsidP="00D56257">
      <w:pPr>
        <w:pBdr>
          <w:top w:val="single" w:sz="4" w:space="1" w:color="auto"/>
          <w:left w:val="single" w:sz="4" w:space="1" w:color="auto"/>
          <w:bottom w:val="single" w:sz="4" w:space="1" w:color="auto"/>
          <w:right w:val="single" w:sz="4" w:space="1" w:color="auto"/>
        </w:pBdr>
        <w:shd w:val="clear" w:color="auto" w:fill="F2F2F2" w:themeFill="background1" w:themeFillShade="F2"/>
      </w:pPr>
      <w:r>
        <w:rPr>
          <w:rStyle w:val="Hyperlink"/>
          <w:rFonts w:cs="Arial"/>
          <w:color w:val="auto"/>
          <w:szCs w:val="24"/>
          <w:u w:val="none"/>
        </w:rPr>
        <w:t>W</w:t>
      </w:r>
      <w:r w:rsidR="00046883">
        <w:rPr>
          <w:rStyle w:val="Hyperlink"/>
          <w:rFonts w:cs="Arial"/>
          <w:color w:val="auto"/>
          <w:szCs w:val="24"/>
          <w:u w:val="none"/>
        </w:rPr>
        <w:t xml:space="preserve">here data gaps </w:t>
      </w:r>
      <w:r w:rsidR="00C51194">
        <w:rPr>
          <w:rStyle w:val="Hyperlink"/>
          <w:rFonts w:cs="Arial"/>
          <w:color w:val="auto"/>
          <w:szCs w:val="24"/>
          <w:u w:val="none"/>
        </w:rPr>
        <w:t xml:space="preserve">may </w:t>
      </w:r>
      <w:r w:rsidR="00046883">
        <w:rPr>
          <w:rStyle w:val="Hyperlink"/>
          <w:rFonts w:cs="Arial"/>
          <w:color w:val="auto"/>
          <w:szCs w:val="24"/>
          <w:u w:val="none"/>
        </w:rPr>
        <w:t>persist despite continued development of monitoring measures</w:t>
      </w:r>
      <w:r w:rsidR="00C51194">
        <w:rPr>
          <w:rStyle w:val="Hyperlink"/>
          <w:rFonts w:cs="Arial"/>
          <w:color w:val="auto"/>
          <w:szCs w:val="24"/>
          <w:u w:val="none"/>
        </w:rPr>
        <w:t>,</w:t>
      </w:r>
      <w:r w:rsidR="00046883">
        <w:rPr>
          <w:rStyle w:val="Hyperlink"/>
          <w:rFonts w:cs="Arial"/>
          <w:color w:val="auto"/>
          <w:szCs w:val="24"/>
          <w:u w:val="none"/>
        </w:rPr>
        <w:t xml:space="preserve"> </w:t>
      </w:r>
      <w:r w:rsidR="00C51194">
        <w:t xml:space="preserve">consideration will </w:t>
      </w:r>
      <w:r>
        <w:t>need</w:t>
      </w:r>
      <w:r w:rsidR="00C51194">
        <w:t xml:space="preserve"> to be given as to whether outcomes can be adequately assessed collectively at the objective level</w:t>
      </w:r>
      <w:r w:rsidR="00084144">
        <w:t>,</w:t>
      </w:r>
      <w:r w:rsidR="00C51194">
        <w:t xml:space="preserve"> or whether an outcome data gap is indicative of a flaw in policy development that should be </w:t>
      </w:r>
      <w:r>
        <w:t>addressed</w:t>
      </w:r>
      <w:r w:rsidR="00C51194">
        <w:t xml:space="preserve"> with a change to </w:t>
      </w:r>
      <w:r w:rsidR="00E10564">
        <w:t>p</w:t>
      </w:r>
      <w:r w:rsidR="00DC2E44">
        <w:t>lan</w:t>
      </w:r>
      <w:r w:rsidR="00C51194">
        <w:t xml:space="preserve"> content.  </w:t>
      </w:r>
    </w:p>
    <w:p w14:paraId="4EC5F9C2" w14:textId="4FFDB2B8" w:rsidR="00091AF9" w:rsidRDefault="00091AF9" w:rsidP="00285EEE">
      <w:pPr>
        <w:pStyle w:val="Heading4"/>
      </w:pPr>
      <w:bookmarkStart w:id="200" w:name="_Ref68185959"/>
      <w:bookmarkStart w:id="201" w:name="Obj1"/>
      <w:r>
        <w:lastRenderedPageBreak/>
        <w:t xml:space="preserve">High Level Marine </w:t>
      </w:r>
      <w:r w:rsidR="008D2BF9">
        <w:t>O</w:t>
      </w:r>
      <w:r>
        <w:t xml:space="preserve">bjectives </w:t>
      </w:r>
    </w:p>
    <w:p w14:paraId="52CFA5B8" w14:textId="662F2906" w:rsidR="007D6517" w:rsidRDefault="001B25F8" w:rsidP="007D6517">
      <w:pPr>
        <w:pStyle w:val="ListParagraph"/>
        <w:numPr>
          <w:ilvl w:val="0"/>
          <w:numId w:val="8"/>
        </w:numPr>
        <w:spacing w:after="0"/>
        <w:ind w:left="561" w:hanging="567"/>
        <w:contextualSpacing w:val="0"/>
      </w:pPr>
      <w:r>
        <w:t xml:space="preserve">Due to the limited time since the </w:t>
      </w:r>
      <w:r w:rsidR="00DC2E44">
        <w:t>Plan</w:t>
      </w:r>
      <w:r>
        <w:t xml:space="preserve"> was adopted, achievement of </w:t>
      </w:r>
      <w:r w:rsidR="00DC2E44">
        <w:t>Plan</w:t>
      </w:r>
      <w:r>
        <w:t xml:space="preserve"> objectives and HLMOs would not be expected to be evident. Some of the wider effects and evidence of </w:t>
      </w:r>
      <w:r w:rsidR="00DC2E44">
        <w:t>Plan</w:t>
      </w:r>
      <w:r>
        <w:t xml:space="preserve"> use</w:t>
      </w:r>
      <w:r w:rsidR="00D45432">
        <w:t>,</w:t>
      </w:r>
      <w:r>
        <w:t xml:space="preserve"> discussed within </w:t>
      </w:r>
      <w:hyperlink w:anchor="_4._Process" w:history="1">
        <w:r w:rsidRPr="00FC2AFC">
          <w:rPr>
            <w:rStyle w:val="Hyperlink"/>
          </w:rPr>
          <w:t>Chapter 4</w:t>
        </w:r>
      </w:hyperlink>
      <w:r w:rsidR="00D45432">
        <w:rPr>
          <w:rStyle w:val="Hyperlink"/>
        </w:rPr>
        <w:t>,</w:t>
      </w:r>
      <w:r>
        <w:t xml:space="preserve"> are primary indicators of progress at this stage.</w:t>
      </w:r>
      <w:r w:rsidRPr="00567E1E">
        <w:t xml:space="preserve"> </w:t>
      </w:r>
      <w:r w:rsidR="00E10564">
        <w:br/>
      </w:r>
      <w:r w:rsidR="00E10564">
        <w:br/>
      </w:r>
      <w:r w:rsidR="00663E08">
        <w:t>As the objectives</w:t>
      </w:r>
      <w:r w:rsidR="00091AF9" w:rsidRPr="00567E1E">
        <w:t xml:space="preserve"> contribute towards HLMOs (</w:t>
      </w:r>
      <w:hyperlink w:anchor="_Annex_A:_High">
        <w:r w:rsidR="00FC2AFC" w:rsidRPr="09F83F24">
          <w:rPr>
            <w:rStyle w:val="Hyperlink"/>
          </w:rPr>
          <w:t>Annex A</w:t>
        </w:r>
      </w:hyperlink>
      <w:r w:rsidR="00091AF9">
        <w:t>)</w:t>
      </w:r>
      <w:r w:rsidR="00663E08">
        <w:t xml:space="preserve">, the evidence of progress towards the </w:t>
      </w:r>
      <w:r w:rsidR="00DC2E44">
        <w:t>Plan</w:t>
      </w:r>
      <w:r w:rsidR="00663E08">
        <w:t xml:space="preserve"> objectives </w:t>
      </w:r>
      <w:r w:rsidR="001B060E" w:rsidRPr="00567E1E">
        <w:t>suggest</w:t>
      </w:r>
      <w:r w:rsidR="00663E08">
        <w:t>s</w:t>
      </w:r>
      <w:r w:rsidR="001B060E" w:rsidRPr="00567E1E">
        <w:t xml:space="preserve"> that the </w:t>
      </w:r>
      <w:r w:rsidR="00DC2E44">
        <w:t>Plan</w:t>
      </w:r>
      <w:r w:rsidR="001B060E" w:rsidRPr="00567E1E">
        <w:t xml:space="preserve"> is making a contribution towards all of the HLMOs</w:t>
      </w:r>
      <w:r w:rsidR="002F5781">
        <w:t>.</w:t>
      </w:r>
      <w:r w:rsidR="00E10564">
        <w:br/>
      </w:r>
    </w:p>
    <w:p w14:paraId="1C0B7493" w14:textId="7C0972AB" w:rsidR="00091AF9" w:rsidRPr="00567E1E" w:rsidRDefault="007D6517" w:rsidP="007D6517">
      <w:pPr>
        <w:pStyle w:val="ListParagraph"/>
        <w:spacing w:before="0" w:after="0"/>
        <w:ind w:left="561"/>
        <w:contextualSpacing w:val="0"/>
      </w:pPr>
      <w:r>
        <w:t>H</w:t>
      </w:r>
      <w:r w:rsidR="00663E08">
        <w:t>owever,</w:t>
      </w:r>
      <w:r w:rsidR="002F5781">
        <w:t xml:space="preserve"> </w:t>
      </w:r>
      <w:r w:rsidR="001B060E">
        <w:t>achievement of the HLMOs is wider in scope than objective</w:t>
      </w:r>
      <w:r w:rsidR="00663E08">
        <w:t>-</w:t>
      </w:r>
      <w:r w:rsidR="001B060E">
        <w:t>specific outcomes</w:t>
      </w:r>
      <w:r w:rsidR="00663E08">
        <w:t>,</w:t>
      </w:r>
      <w:r w:rsidR="001B060E">
        <w:t xml:space="preserve"> or the </w:t>
      </w:r>
      <w:r w:rsidR="00B07496">
        <w:t xml:space="preserve">South Marine </w:t>
      </w:r>
      <w:r w:rsidR="00DC2E44">
        <w:t>Plan</w:t>
      </w:r>
      <w:r w:rsidR="001B060E">
        <w:t>’s contribution</w:t>
      </w:r>
      <w:r w:rsidR="00557174">
        <w:t xml:space="preserve"> alone</w:t>
      </w:r>
      <w:r w:rsidR="001B060E">
        <w:t xml:space="preserve">. </w:t>
      </w:r>
    </w:p>
    <w:p w14:paraId="7E83F0DB" w14:textId="64BD1BE3" w:rsidR="00091AF9" w:rsidRPr="0059093A" w:rsidRDefault="00D565CC" w:rsidP="00285EEE">
      <w:pPr>
        <w:pStyle w:val="Caption"/>
      </w:pPr>
      <w:r>
        <w:t xml:space="preserve">Table 1: Outcomes findings for </w:t>
      </w:r>
      <w:r w:rsidR="00091AF9" w:rsidRPr="0059093A">
        <w:t>Objective 1</w:t>
      </w:r>
      <w:r>
        <w:t xml:space="preserve"> -</w:t>
      </w:r>
      <w:r w:rsidR="00091AF9" w:rsidRPr="0059093A">
        <w:t xml:space="preserve"> </w:t>
      </w:r>
      <w:bookmarkStart w:id="202" w:name="_Hlk67648641"/>
      <w:r w:rsidR="00091AF9" w:rsidRPr="0059093A">
        <w:t>To encourage effective use of space to support existing and future sustainable economic activity through co-existence, mitigation of conflicts and minimisation of development footprints</w:t>
      </w:r>
      <w:bookmarkEnd w:id="200"/>
      <w:bookmarkEnd w:id="202"/>
    </w:p>
    <w:tbl>
      <w:tblPr>
        <w:tblStyle w:val="DefraGreen1"/>
        <w:tblW w:w="5007" w:type="pct"/>
        <w:tblLayout w:type="fixed"/>
        <w:tblLook w:val="04A0" w:firstRow="1" w:lastRow="0" w:firstColumn="1" w:lastColumn="0" w:noHBand="0" w:noVBand="1"/>
      </w:tblPr>
      <w:tblGrid>
        <w:gridCol w:w="7366"/>
        <w:gridCol w:w="2268"/>
      </w:tblGrid>
      <w:tr w:rsidR="00091AF9" w:rsidRPr="0059093A" w14:paraId="2BE44E67" w14:textId="77777777" w:rsidTr="00E02BCB">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823" w:type="pct"/>
          </w:tcPr>
          <w:p w14:paraId="26BC1060" w14:textId="45E3AFA0" w:rsidR="00091AF9" w:rsidRPr="0059093A" w:rsidRDefault="00091AF9" w:rsidP="00E02BCB">
            <w:pPr>
              <w:spacing w:before="60" w:after="60"/>
              <w:rPr>
                <w:rFonts w:eastAsia="Times New Roman" w:cs="Arial"/>
                <w:b/>
                <w:bCs/>
                <w:color w:val="000000"/>
              </w:rPr>
            </w:pPr>
            <w:r w:rsidRPr="0059093A">
              <w:rPr>
                <w:rFonts w:eastAsia="Times New Roman" w:cs="Arial"/>
                <w:b/>
                <w:bCs/>
                <w:color w:val="FFFFFF" w:themeColor="background1"/>
                <w:sz w:val="28"/>
              </w:rPr>
              <w:t xml:space="preserve">Objective progress: </w:t>
            </w:r>
            <w:r w:rsidR="00E10564">
              <w:rPr>
                <w:rFonts w:eastAsia="Times New Roman" w:cs="Arial"/>
                <w:b/>
                <w:bCs/>
                <w:color w:val="FFFFFF" w:themeColor="background1"/>
                <w:sz w:val="28"/>
              </w:rPr>
              <w:t>p</w:t>
            </w:r>
            <w:r w:rsidRPr="0059093A">
              <w:rPr>
                <w:rFonts w:eastAsia="Times New Roman" w:cs="Arial"/>
                <w:b/>
                <w:bCs/>
                <w:color w:val="FFFFFF" w:themeColor="background1"/>
                <w:sz w:val="28"/>
              </w:rPr>
              <w:t>ositive</w:t>
            </w:r>
          </w:p>
        </w:tc>
        <w:tc>
          <w:tcPr>
            <w:tcW w:w="1177" w:type="pct"/>
            <w:noWrap/>
          </w:tcPr>
          <w:p w14:paraId="17CCEE72" w14:textId="77777777" w:rsidR="00091AF9" w:rsidRPr="0059093A" w:rsidRDefault="00091AF9" w:rsidP="00E02BCB">
            <w:pPr>
              <w:spacing w:before="0" w:after="0"/>
              <w:cnfStyle w:val="100000000000" w:firstRow="1" w:lastRow="0" w:firstColumn="0" w:lastColumn="0" w:oddVBand="0" w:evenVBand="0" w:oddHBand="0" w:evenHBand="0" w:firstRowFirstColumn="0" w:firstRowLastColumn="0" w:lastRowFirstColumn="0" w:lastRowLastColumn="0"/>
              <w:rPr>
                <w:rFonts w:eastAsia="Times New Roman" w:cs="Arial"/>
                <w:b/>
                <w:bCs/>
                <w:color w:val="000000"/>
              </w:rPr>
            </w:pPr>
          </w:p>
        </w:tc>
      </w:tr>
      <w:tr w:rsidR="00091AF9" w:rsidRPr="001A65F6" w14:paraId="33657007"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tcPr>
          <w:p w14:paraId="70A087BA" w14:textId="77777777" w:rsidR="00091AF9" w:rsidRPr="0059093A" w:rsidRDefault="00091AF9" w:rsidP="00E02BCB">
            <w:pPr>
              <w:spacing w:before="0" w:after="0"/>
              <w:rPr>
                <w:rFonts w:eastAsia="Times New Roman" w:cs="Arial"/>
                <w:b/>
                <w:bCs/>
                <w:color w:val="000000"/>
              </w:rPr>
            </w:pPr>
            <w:r w:rsidRPr="0059093A">
              <w:rPr>
                <w:rFonts w:eastAsia="Times New Roman" w:cs="Arial"/>
                <w:b/>
                <w:bCs/>
                <w:color w:val="000000"/>
              </w:rPr>
              <w:t>Policy code</w:t>
            </w:r>
          </w:p>
        </w:tc>
        <w:tc>
          <w:tcPr>
            <w:tcW w:w="1177" w:type="pct"/>
            <w:shd w:val="clear" w:color="auto" w:fill="CBE9D3"/>
            <w:noWrap/>
          </w:tcPr>
          <w:p w14:paraId="5983E141" w14:textId="77777777" w:rsidR="00091AF9" w:rsidRPr="004A245D"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rPr>
            </w:pPr>
            <w:r>
              <w:rPr>
                <w:rFonts w:eastAsia="Times New Roman" w:cs="Arial"/>
                <w:b/>
                <w:bCs/>
                <w:color w:val="000000"/>
              </w:rPr>
              <w:t>Outcome findings</w:t>
            </w:r>
          </w:p>
        </w:tc>
      </w:tr>
      <w:tr w:rsidR="00091AF9" w:rsidRPr="001A65F6" w14:paraId="4B81B7B7" w14:textId="77777777" w:rsidTr="00285EEE">
        <w:trPr>
          <w:trHeight w:val="346"/>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55878838" w14:textId="77777777" w:rsidR="00091AF9" w:rsidRPr="00A056EE" w:rsidRDefault="00091AF9" w:rsidP="00E02BCB">
            <w:pPr>
              <w:spacing w:before="0" w:after="0"/>
              <w:rPr>
                <w:rFonts w:eastAsia="Times New Roman" w:cs="Arial"/>
                <w:b/>
                <w:color w:val="000000"/>
              </w:rPr>
            </w:pPr>
            <w:r w:rsidRPr="00A056EE">
              <w:rPr>
                <w:rFonts w:eastAsia="Times New Roman" w:cs="Arial"/>
                <w:b/>
                <w:color w:val="000000"/>
              </w:rPr>
              <w:t>Directly contributing policies</w:t>
            </w:r>
          </w:p>
        </w:tc>
      </w:tr>
      <w:tr w:rsidR="00091AF9" w:rsidRPr="001A65F6" w14:paraId="4A0881F7"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hideMark/>
          </w:tcPr>
          <w:p w14:paraId="4A71CC7C" w14:textId="77777777" w:rsidR="00091AF9" w:rsidRPr="001A65F6" w:rsidRDefault="00091AF9" w:rsidP="00E02BCB">
            <w:pPr>
              <w:spacing w:before="0" w:after="0"/>
              <w:rPr>
                <w:rFonts w:eastAsia="Times New Roman" w:cs="Arial"/>
                <w:color w:val="000000"/>
              </w:rPr>
            </w:pPr>
            <w:r w:rsidRPr="001A65F6">
              <w:rPr>
                <w:rFonts w:eastAsia="Times New Roman" w:cs="Arial"/>
                <w:color w:val="000000"/>
              </w:rPr>
              <w:t>S-AGG-1</w:t>
            </w:r>
            <w:r>
              <w:rPr>
                <w:rFonts w:eastAsia="Times New Roman" w:cs="Arial"/>
                <w:color w:val="000000"/>
              </w:rPr>
              <w:t xml:space="preserve">, S-AGG-2, S-AGG-3, S-CO-1, </w:t>
            </w:r>
            <w:r w:rsidRPr="00904FDC">
              <w:rPr>
                <w:rFonts w:eastAsia="Times New Roman" w:cs="Arial"/>
                <w:color w:val="000000"/>
              </w:rPr>
              <w:t>S-DD-1</w:t>
            </w:r>
            <w:r>
              <w:rPr>
                <w:rFonts w:eastAsia="Times New Roman" w:cs="Arial"/>
                <w:color w:val="000000"/>
              </w:rPr>
              <w:t>, S-DEF-1, S-OG-1</w:t>
            </w:r>
          </w:p>
        </w:tc>
        <w:tc>
          <w:tcPr>
            <w:tcW w:w="1177" w:type="pct"/>
            <w:shd w:val="clear" w:color="auto" w:fill="FFFFFF" w:themeFill="background1"/>
            <w:noWrap/>
            <w:vAlign w:val="center"/>
            <w:hideMark/>
          </w:tcPr>
          <w:p w14:paraId="0ABE8532"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Positive</w:t>
            </w:r>
          </w:p>
        </w:tc>
      </w:tr>
      <w:tr w:rsidR="00091AF9" w:rsidRPr="001A65F6" w14:paraId="2DE516FB"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436EC06A" w14:textId="77777777" w:rsidR="00091AF9" w:rsidRPr="001A65F6" w:rsidRDefault="00091AF9" w:rsidP="00E02BCB">
            <w:pPr>
              <w:spacing w:before="0" w:after="0"/>
              <w:rPr>
                <w:rFonts w:eastAsia="Times New Roman" w:cs="Arial"/>
                <w:color w:val="000000"/>
              </w:rPr>
            </w:pPr>
            <w:r w:rsidRPr="001A65F6">
              <w:rPr>
                <w:rFonts w:eastAsia="Times New Roman" w:cs="Arial"/>
                <w:color w:val="000000"/>
              </w:rPr>
              <w:t>S-PS-1</w:t>
            </w:r>
          </w:p>
        </w:tc>
        <w:tc>
          <w:tcPr>
            <w:tcW w:w="1177" w:type="pct"/>
            <w:shd w:val="clear" w:color="auto" w:fill="FFFFFF" w:themeFill="background1"/>
            <w:noWrap/>
            <w:vAlign w:val="center"/>
          </w:tcPr>
          <w:p w14:paraId="0AD87AA1"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A65F6">
              <w:rPr>
                <w:rFonts w:eastAsia="Times New Roman" w:cs="Arial"/>
                <w:color w:val="000000"/>
              </w:rPr>
              <w:t>Neutral</w:t>
            </w:r>
          </w:p>
        </w:tc>
      </w:tr>
      <w:tr w:rsidR="00091AF9" w:rsidRPr="001A65F6" w14:paraId="0C4648E0"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48AF6044" w14:textId="77777777" w:rsidR="00091AF9" w:rsidRPr="001A65F6" w:rsidRDefault="00091AF9" w:rsidP="00E02BCB">
            <w:pPr>
              <w:spacing w:before="0" w:after="0"/>
              <w:rPr>
                <w:rFonts w:eastAsia="Times New Roman" w:cs="Arial"/>
                <w:color w:val="000000"/>
              </w:rPr>
            </w:pPr>
            <w:r>
              <w:rPr>
                <w:rFonts w:eastAsia="Times New Roman" w:cs="Arial"/>
                <w:color w:val="000000"/>
              </w:rPr>
              <w:t>S-PS-3, S-TIDE-1</w:t>
            </w:r>
          </w:p>
        </w:tc>
        <w:tc>
          <w:tcPr>
            <w:tcW w:w="1177" w:type="pct"/>
            <w:shd w:val="clear" w:color="auto" w:fill="FFFFFF" w:themeFill="background1"/>
            <w:noWrap/>
            <w:vAlign w:val="center"/>
          </w:tcPr>
          <w:p w14:paraId="0B0CFCAE"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Inconclusive</w:t>
            </w:r>
          </w:p>
        </w:tc>
      </w:tr>
      <w:tr w:rsidR="00091AF9" w:rsidRPr="001A65F6" w14:paraId="3B294EA0"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7F666C8C" w14:textId="77777777" w:rsidR="00091AF9" w:rsidRPr="001A65F6" w:rsidRDefault="00091AF9" w:rsidP="00E02BCB">
            <w:pPr>
              <w:spacing w:before="0" w:after="0"/>
              <w:rPr>
                <w:rFonts w:eastAsia="Times New Roman" w:cs="Arial"/>
                <w:color w:val="000000"/>
              </w:rPr>
            </w:pPr>
            <w:r w:rsidRPr="001A65F6">
              <w:rPr>
                <w:rFonts w:eastAsia="Times New Roman" w:cs="Arial"/>
                <w:color w:val="000000"/>
              </w:rPr>
              <w:t>S-AQ-1</w:t>
            </w:r>
          </w:p>
        </w:tc>
        <w:tc>
          <w:tcPr>
            <w:tcW w:w="1177" w:type="pct"/>
            <w:shd w:val="clear" w:color="auto" w:fill="FFFFFF" w:themeFill="background1"/>
            <w:noWrap/>
            <w:vAlign w:val="center"/>
          </w:tcPr>
          <w:p w14:paraId="175F3963"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A65F6">
              <w:rPr>
                <w:rFonts w:eastAsia="Times New Roman" w:cs="Arial"/>
                <w:color w:val="000000"/>
              </w:rPr>
              <w:t>Negative</w:t>
            </w:r>
          </w:p>
        </w:tc>
      </w:tr>
      <w:tr w:rsidR="00091AF9" w:rsidRPr="001A65F6" w14:paraId="130858FC" w14:textId="77777777" w:rsidTr="00285EEE">
        <w:trPr>
          <w:trHeight w:val="346"/>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3ABA2ACA" w14:textId="77777777" w:rsidR="00091AF9" w:rsidRPr="00A056EE" w:rsidRDefault="00091AF9" w:rsidP="00E02BCB">
            <w:pPr>
              <w:spacing w:before="0" w:after="0"/>
              <w:rPr>
                <w:rFonts w:eastAsia="Times New Roman" w:cs="Arial"/>
                <w:b/>
                <w:color w:val="000000"/>
              </w:rPr>
            </w:pPr>
            <w:r w:rsidRPr="00A056EE">
              <w:rPr>
                <w:rFonts w:eastAsia="Times New Roman" w:cs="Arial"/>
                <w:b/>
                <w:color w:val="000000"/>
              </w:rPr>
              <w:t xml:space="preserve">Indirectly contributing policies </w:t>
            </w:r>
          </w:p>
        </w:tc>
      </w:tr>
      <w:tr w:rsidR="00091AF9" w:rsidRPr="001A65F6" w14:paraId="247C3369"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424A679B" w14:textId="77777777" w:rsidR="00091AF9" w:rsidRPr="001A65F6" w:rsidRDefault="00091AF9" w:rsidP="00E02BCB">
            <w:pPr>
              <w:spacing w:before="0" w:after="0"/>
              <w:rPr>
                <w:rFonts w:eastAsia="Times New Roman" w:cs="Arial"/>
                <w:color w:val="000000"/>
              </w:rPr>
            </w:pPr>
            <w:r w:rsidRPr="001A65F6">
              <w:rPr>
                <w:rFonts w:eastAsia="Times New Roman" w:cs="Arial"/>
                <w:color w:val="000000"/>
              </w:rPr>
              <w:t>S-ACC-2</w:t>
            </w:r>
            <w:r>
              <w:rPr>
                <w:rFonts w:eastAsia="Times New Roman" w:cs="Arial"/>
                <w:color w:val="000000"/>
              </w:rPr>
              <w:t xml:space="preserve">, </w:t>
            </w:r>
            <w:r w:rsidRPr="001A65F6">
              <w:rPr>
                <w:rFonts w:eastAsia="Times New Roman" w:cs="Arial"/>
                <w:color w:val="000000"/>
              </w:rPr>
              <w:t>S-FISH-4-HER</w:t>
            </w:r>
            <w:r>
              <w:rPr>
                <w:rFonts w:eastAsia="Times New Roman" w:cs="Arial"/>
                <w:color w:val="000000"/>
              </w:rPr>
              <w:t xml:space="preserve">, </w:t>
            </w:r>
            <w:r w:rsidRPr="005037D1">
              <w:rPr>
                <w:rFonts w:eastAsia="Times New Roman" w:cs="Arial"/>
                <w:color w:val="000000"/>
              </w:rPr>
              <w:t>S-SOC-1</w:t>
            </w:r>
          </w:p>
        </w:tc>
        <w:tc>
          <w:tcPr>
            <w:tcW w:w="1177" w:type="pct"/>
            <w:shd w:val="clear" w:color="auto" w:fill="FFFFFF" w:themeFill="background1"/>
            <w:noWrap/>
            <w:vAlign w:val="center"/>
          </w:tcPr>
          <w:p w14:paraId="3B7577A8"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Positive</w:t>
            </w:r>
          </w:p>
        </w:tc>
      </w:tr>
      <w:tr w:rsidR="00091AF9" w:rsidRPr="001A65F6" w14:paraId="625545D2"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hideMark/>
          </w:tcPr>
          <w:p w14:paraId="4BCD12A5" w14:textId="77777777" w:rsidR="00091AF9" w:rsidRPr="001A65F6" w:rsidRDefault="00091AF9" w:rsidP="00E02BCB">
            <w:pPr>
              <w:spacing w:before="0" w:after="0"/>
              <w:rPr>
                <w:rFonts w:eastAsia="Times New Roman" w:cs="Arial"/>
                <w:color w:val="000000"/>
              </w:rPr>
            </w:pPr>
            <w:r w:rsidRPr="001A65F6">
              <w:rPr>
                <w:rFonts w:eastAsia="Times New Roman" w:cs="Arial"/>
                <w:color w:val="000000"/>
              </w:rPr>
              <w:t>S-ACC-1</w:t>
            </w:r>
          </w:p>
        </w:tc>
        <w:tc>
          <w:tcPr>
            <w:tcW w:w="1177" w:type="pct"/>
            <w:shd w:val="clear" w:color="auto" w:fill="FFFFFF" w:themeFill="background1"/>
            <w:noWrap/>
            <w:vAlign w:val="center"/>
            <w:hideMark/>
          </w:tcPr>
          <w:p w14:paraId="15511312"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A65F6">
              <w:rPr>
                <w:rFonts w:eastAsia="Times New Roman" w:cs="Arial"/>
                <w:color w:val="000000"/>
              </w:rPr>
              <w:t>Neutral</w:t>
            </w:r>
          </w:p>
        </w:tc>
      </w:tr>
      <w:tr w:rsidR="00091AF9" w:rsidRPr="001A65F6" w14:paraId="53B0C949"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7C647089" w14:textId="77777777" w:rsidR="00091AF9" w:rsidRPr="001A65F6" w:rsidRDefault="00091AF9" w:rsidP="00E02BCB">
            <w:pPr>
              <w:spacing w:before="0" w:after="0"/>
              <w:rPr>
                <w:rFonts w:eastAsia="Times New Roman" w:cs="Arial"/>
                <w:color w:val="000000"/>
              </w:rPr>
            </w:pPr>
            <w:r w:rsidRPr="001A65F6">
              <w:rPr>
                <w:rFonts w:eastAsia="Times New Roman" w:cs="Arial"/>
                <w:color w:val="000000"/>
              </w:rPr>
              <w:t>S-AQ-2</w:t>
            </w:r>
            <w:r>
              <w:rPr>
                <w:rFonts w:eastAsia="Times New Roman" w:cs="Arial"/>
                <w:color w:val="000000"/>
              </w:rPr>
              <w:t xml:space="preserve">, </w:t>
            </w:r>
            <w:r w:rsidRPr="001A65F6">
              <w:rPr>
                <w:rFonts w:eastAsia="Times New Roman" w:cs="Arial"/>
                <w:color w:val="000000"/>
              </w:rPr>
              <w:t>S-CAB-1</w:t>
            </w:r>
            <w:r>
              <w:rPr>
                <w:rFonts w:eastAsia="Times New Roman" w:cs="Arial"/>
                <w:color w:val="000000"/>
              </w:rPr>
              <w:t xml:space="preserve">, </w:t>
            </w:r>
            <w:r w:rsidRPr="001A65F6">
              <w:rPr>
                <w:rFonts w:eastAsia="Times New Roman" w:cs="Arial"/>
                <w:color w:val="000000"/>
              </w:rPr>
              <w:t>S-CAB-2</w:t>
            </w:r>
            <w:r>
              <w:rPr>
                <w:rFonts w:eastAsia="Times New Roman" w:cs="Arial"/>
                <w:color w:val="000000"/>
              </w:rPr>
              <w:t xml:space="preserve">, </w:t>
            </w:r>
            <w:r w:rsidRPr="001A65F6">
              <w:rPr>
                <w:rFonts w:eastAsia="Times New Roman" w:cs="Arial"/>
                <w:color w:val="000000"/>
              </w:rPr>
              <w:t>S-PS-2</w:t>
            </w:r>
          </w:p>
        </w:tc>
        <w:tc>
          <w:tcPr>
            <w:tcW w:w="1177" w:type="pct"/>
            <w:shd w:val="clear" w:color="auto" w:fill="FFFFFF" w:themeFill="background1"/>
            <w:noWrap/>
            <w:vAlign w:val="center"/>
          </w:tcPr>
          <w:p w14:paraId="343E4383"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A65F6">
              <w:rPr>
                <w:rFonts w:eastAsia="Times New Roman" w:cs="Arial"/>
                <w:color w:val="000000"/>
              </w:rPr>
              <w:t>Inconclusive</w:t>
            </w:r>
          </w:p>
        </w:tc>
      </w:tr>
      <w:tr w:rsidR="00091AF9" w:rsidRPr="001A65F6" w14:paraId="23530F03" w14:textId="77777777" w:rsidTr="00285EEE">
        <w:trPr>
          <w:trHeight w:val="346"/>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vAlign w:val="center"/>
          </w:tcPr>
          <w:p w14:paraId="4026E769" w14:textId="77777777" w:rsidR="00091AF9" w:rsidRPr="001A65F6" w:rsidRDefault="00091AF9" w:rsidP="00E02BCB">
            <w:pPr>
              <w:spacing w:before="0" w:after="0"/>
              <w:rPr>
                <w:rFonts w:eastAsia="Times New Roman" w:cs="Arial"/>
                <w:color w:val="000000"/>
              </w:rPr>
            </w:pPr>
            <w:r w:rsidRPr="001A65F6">
              <w:rPr>
                <w:rFonts w:eastAsia="Times New Roman" w:cs="Arial"/>
                <w:color w:val="000000"/>
              </w:rPr>
              <w:t>S-AGG-4</w:t>
            </w:r>
            <w:r>
              <w:rPr>
                <w:rFonts w:eastAsia="Times New Roman" w:cs="Arial"/>
                <w:color w:val="000000"/>
              </w:rPr>
              <w:t xml:space="preserve">, </w:t>
            </w:r>
            <w:r w:rsidRPr="001A65F6">
              <w:rPr>
                <w:rFonts w:eastAsia="Times New Roman" w:cs="Arial"/>
                <w:color w:val="000000"/>
              </w:rPr>
              <w:t>S-INF-1</w:t>
            </w:r>
          </w:p>
        </w:tc>
        <w:tc>
          <w:tcPr>
            <w:tcW w:w="0" w:type="pct"/>
            <w:shd w:val="clear" w:color="auto" w:fill="FFFFFF" w:themeFill="background1"/>
            <w:noWrap/>
            <w:vAlign w:val="center"/>
          </w:tcPr>
          <w:p w14:paraId="2F888495"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A65F6">
              <w:rPr>
                <w:rFonts w:eastAsia="Times New Roman" w:cs="Arial"/>
                <w:color w:val="000000"/>
              </w:rPr>
              <w:t>No data</w:t>
            </w:r>
          </w:p>
        </w:tc>
      </w:tr>
    </w:tbl>
    <w:p w14:paraId="4473B97C" w14:textId="1B316976" w:rsidR="00091AF9" w:rsidRPr="0059093A" w:rsidRDefault="00091AF9" w:rsidP="00574D19">
      <w:pPr>
        <w:pStyle w:val="ListParagraph"/>
        <w:numPr>
          <w:ilvl w:val="0"/>
          <w:numId w:val="8"/>
        </w:numPr>
        <w:ind w:left="561" w:hanging="567"/>
        <w:contextualSpacing w:val="0"/>
        <w:rPr>
          <w:rStyle w:val="eop"/>
        </w:rPr>
      </w:pPr>
      <w:bookmarkStart w:id="203" w:name="_Hlk71900059"/>
      <w:r w:rsidRPr="0059093A">
        <w:rPr>
          <w:rStyle w:val="eop"/>
        </w:rPr>
        <w:t xml:space="preserve">All directly contributing policies, except S-CO-1 and S-PS-1, seek to safeguard spatially defined areas for specific marine activities and/or require proposals to reduce or avoid their impact within defined areas where they may have a negative impact on safeguarded </w:t>
      </w:r>
      <w:r w:rsidRPr="00D43BAE">
        <w:t>activities</w:t>
      </w:r>
      <w:r w:rsidRPr="0059093A">
        <w:rPr>
          <w:rStyle w:val="eop"/>
        </w:rPr>
        <w:t xml:space="preserve">. </w:t>
      </w:r>
      <w:r w:rsidR="00E10564">
        <w:rPr>
          <w:rStyle w:val="eop"/>
        </w:rPr>
        <w:br/>
      </w:r>
      <w:r w:rsidR="00E10564">
        <w:rPr>
          <w:rStyle w:val="eop"/>
        </w:rPr>
        <w:br/>
      </w:r>
      <w:r w:rsidRPr="0059093A">
        <w:rPr>
          <w:rStyle w:val="eop"/>
        </w:rPr>
        <w:t xml:space="preserve">The effects of these policies were assessed using data on the number and location of marine activities licensed by the MMO. </w:t>
      </w:r>
      <w:r w:rsidR="00E10564">
        <w:rPr>
          <w:rStyle w:val="eop"/>
        </w:rPr>
        <w:br/>
      </w:r>
      <w:r w:rsidR="00E10564">
        <w:rPr>
          <w:rStyle w:val="eop"/>
        </w:rPr>
        <w:br/>
      </w:r>
      <w:r w:rsidRPr="0059093A">
        <w:rPr>
          <w:rStyle w:val="eop"/>
        </w:rPr>
        <w:t xml:space="preserve">Policy effect assessments also considered the number of </w:t>
      </w:r>
      <w:r w:rsidR="00574D19">
        <w:rPr>
          <w:rStyle w:val="eop"/>
        </w:rPr>
        <w:t xml:space="preserve">licensed </w:t>
      </w:r>
      <w:r w:rsidR="00574D19" w:rsidRPr="0059093A">
        <w:rPr>
          <w:rStyle w:val="eop"/>
        </w:rPr>
        <w:t xml:space="preserve">marine activities </w:t>
      </w:r>
      <w:r w:rsidRPr="0059093A">
        <w:rPr>
          <w:rStyle w:val="eop"/>
        </w:rPr>
        <w:t>which showed how they reduced their impacts to safeguarded activities</w:t>
      </w:r>
      <w:r w:rsidR="00574D19">
        <w:rPr>
          <w:rStyle w:val="eop"/>
        </w:rPr>
        <w:t xml:space="preserve"> within their related marine licence applications</w:t>
      </w:r>
      <w:r w:rsidRPr="0059093A">
        <w:rPr>
          <w:rStyle w:val="eop"/>
        </w:rPr>
        <w:t xml:space="preserve">, where appropriate. </w:t>
      </w:r>
    </w:p>
    <w:bookmarkEnd w:id="203"/>
    <w:p w14:paraId="269FAA42" w14:textId="51A790DC" w:rsidR="00091AF9" w:rsidRPr="0059093A" w:rsidRDefault="00091AF9" w:rsidP="00C042EF">
      <w:pPr>
        <w:pStyle w:val="ListParagraph"/>
        <w:numPr>
          <w:ilvl w:val="0"/>
          <w:numId w:val="8"/>
        </w:numPr>
        <w:ind w:left="561" w:hanging="567"/>
        <w:contextualSpacing w:val="0"/>
        <w:rPr>
          <w:rStyle w:val="eop"/>
        </w:rPr>
      </w:pPr>
      <w:r w:rsidRPr="0059093A">
        <w:rPr>
          <w:rStyle w:val="eop"/>
        </w:rPr>
        <w:t>Outcome monitoring findings showed positive effects for several directly contributing policies.</w:t>
      </w:r>
      <w:r w:rsidR="00E10564">
        <w:rPr>
          <w:rStyle w:val="eop"/>
        </w:rPr>
        <w:br/>
      </w:r>
      <w:r w:rsidRPr="0059093A">
        <w:rPr>
          <w:rStyle w:val="eop"/>
        </w:rPr>
        <w:lastRenderedPageBreak/>
        <w:t xml:space="preserve">The percentage of </w:t>
      </w:r>
      <w:r w:rsidR="00C042EF">
        <w:rPr>
          <w:rStyle w:val="eop"/>
        </w:rPr>
        <w:t>granted marine licence applications</w:t>
      </w:r>
      <w:r w:rsidRPr="0059093A">
        <w:rPr>
          <w:rStyle w:val="eop"/>
        </w:rPr>
        <w:t xml:space="preserve"> evidencing compliance with several directly contributing policies increased since </w:t>
      </w:r>
      <w:r w:rsidR="00DC2E44">
        <w:rPr>
          <w:rStyle w:val="eop"/>
        </w:rPr>
        <w:t>Plan</w:t>
      </w:r>
      <w:r w:rsidRPr="0059093A">
        <w:rPr>
          <w:rStyle w:val="eop"/>
        </w:rPr>
        <w:t xml:space="preserve"> adoption (</w:t>
      </w:r>
      <w:hyperlink w:anchor="_Annex_B:_Policy">
        <w:r w:rsidR="00FC2AFC" w:rsidRPr="09F83F24">
          <w:rPr>
            <w:rStyle w:val="Hyperlink"/>
          </w:rPr>
          <w:t>Annex B</w:t>
        </w:r>
      </w:hyperlink>
      <w:r w:rsidRPr="09F83F24">
        <w:rPr>
          <w:rStyle w:val="eop"/>
        </w:rPr>
        <w:t>).</w:t>
      </w:r>
      <w:r w:rsidRPr="0059093A">
        <w:rPr>
          <w:rStyle w:val="eop"/>
        </w:rPr>
        <w:t xml:space="preserve"> </w:t>
      </w:r>
      <w:r w:rsidR="00E10564">
        <w:rPr>
          <w:rStyle w:val="eop"/>
        </w:rPr>
        <w:br/>
      </w:r>
      <w:r w:rsidR="00E10564">
        <w:rPr>
          <w:rStyle w:val="eop"/>
        </w:rPr>
        <w:br/>
      </w:r>
      <w:r w:rsidRPr="0059093A">
        <w:rPr>
          <w:rStyle w:val="eop"/>
        </w:rPr>
        <w:t xml:space="preserve">For example, </w:t>
      </w:r>
      <w:r w:rsidRPr="09F83F24">
        <w:rPr>
          <w:rStyle w:val="eop"/>
          <w:rFonts w:cs="Arial"/>
        </w:rPr>
        <w:t xml:space="preserve">the </w:t>
      </w:r>
      <w:r w:rsidRPr="00D43BAE">
        <w:t>average</w:t>
      </w:r>
      <w:r w:rsidRPr="0059093A">
        <w:rPr>
          <w:rStyle w:val="eop"/>
        </w:rPr>
        <w:t xml:space="preserve"> annual number of </w:t>
      </w:r>
      <w:r w:rsidR="00C042EF" w:rsidRPr="0059093A">
        <w:rPr>
          <w:rStyle w:val="eop"/>
        </w:rPr>
        <w:t>marine activities licensed by the MMO</w:t>
      </w:r>
      <w:r w:rsidR="00C042EF">
        <w:rPr>
          <w:rStyle w:val="eop"/>
        </w:rPr>
        <w:t xml:space="preserve"> </w:t>
      </w:r>
      <w:r w:rsidRPr="0059093A">
        <w:rPr>
          <w:rStyle w:val="eop"/>
        </w:rPr>
        <w:t xml:space="preserve">within Ministry of Defence (MoD) areas that received approval from the MoD increased by 45% since </w:t>
      </w:r>
      <w:r w:rsidR="00DC2E44">
        <w:rPr>
          <w:rStyle w:val="eop"/>
        </w:rPr>
        <w:t>Plan</w:t>
      </w:r>
      <w:r w:rsidRPr="0059093A">
        <w:rPr>
          <w:rStyle w:val="eop"/>
        </w:rPr>
        <w:t xml:space="preserve"> adoption. </w:t>
      </w:r>
    </w:p>
    <w:p w14:paraId="76F75DCF" w14:textId="6B775C9F" w:rsidR="008D2BF9" w:rsidRPr="008D2BF9" w:rsidRDefault="00091AF9" w:rsidP="008D2BF9">
      <w:pPr>
        <w:pStyle w:val="ListParagraph"/>
        <w:numPr>
          <w:ilvl w:val="0"/>
          <w:numId w:val="8"/>
        </w:numPr>
        <w:ind w:left="561" w:hanging="567"/>
        <w:contextualSpacing w:val="0"/>
        <w:rPr>
          <w:rStyle w:val="eop"/>
        </w:rPr>
      </w:pPr>
      <w:r w:rsidRPr="0059093A">
        <w:rPr>
          <w:rStyle w:val="eop"/>
        </w:rPr>
        <w:t xml:space="preserve">Decreases in the </w:t>
      </w:r>
      <w:r w:rsidRPr="00D43BAE">
        <w:t>average</w:t>
      </w:r>
      <w:r w:rsidRPr="0059093A">
        <w:rPr>
          <w:rStyle w:val="eop"/>
        </w:rPr>
        <w:t xml:space="preserve"> annual number of </w:t>
      </w:r>
      <w:r w:rsidR="00C042EF" w:rsidRPr="0059093A">
        <w:rPr>
          <w:rStyle w:val="eop"/>
        </w:rPr>
        <w:t>marine activities licensed by the MMO</w:t>
      </w:r>
      <w:r w:rsidR="00C042EF">
        <w:rPr>
          <w:rStyle w:val="eop"/>
        </w:rPr>
        <w:t xml:space="preserve"> </w:t>
      </w:r>
      <w:r w:rsidRPr="0059093A">
        <w:rPr>
          <w:rStyle w:val="eop"/>
        </w:rPr>
        <w:t>within areas where they may have a negative impact</w:t>
      </w:r>
      <w:r w:rsidRPr="09F83F24">
        <w:rPr>
          <w:rStyle w:val="eop"/>
          <w:rFonts w:cs="Arial"/>
        </w:rPr>
        <w:t xml:space="preserve"> were also found </w:t>
      </w:r>
      <w:r w:rsidRPr="0059093A">
        <w:rPr>
          <w:rStyle w:val="eop"/>
        </w:rPr>
        <w:t xml:space="preserve">after </w:t>
      </w:r>
      <w:r w:rsidR="00DC2E44">
        <w:rPr>
          <w:rStyle w:val="eop"/>
        </w:rPr>
        <w:t>Plan</w:t>
      </w:r>
      <w:r w:rsidRPr="0059093A">
        <w:rPr>
          <w:rStyle w:val="eop"/>
        </w:rPr>
        <w:t xml:space="preserve"> </w:t>
      </w:r>
      <w:r w:rsidRPr="09F83F24">
        <w:rPr>
          <w:rStyle w:val="eop"/>
          <w:rFonts w:cs="Arial"/>
        </w:rPr>
        <w:t xml:space="preserve">adoption. </w:t>
      </w:r>
    </w:p>
    <w:p w14:paraId="56536225" w14:textId="6301209F" w:rsidR="00091AF9" w:rsidRPr="0059093A" w:rsidRDefault="00091AF9" w:rsidP="008D2BF9">
      <w:pPr>
        <w:pStyle w:val="ListParagraph"/>
        <w:ind w:left="561"/>
        <w:contextualSpacing w:val="0"/>
        <w:rPr>
          <w:rStyle w:val="eop"/>
        </w:rPr>
      </w:pPr>
      <w:r w:rsidRPr="008D2BF9">
        <w:rPr>
          <w:rStyle w:val="eop"/>
          <w:rFonts w:cs="Arial"/>
        </w:rPr>
        <w:t xml:space="preserve">For example, the </w:t>
      </w:r>
      <w:r w:rsidRPr="0059093A">
        <w:rPr>
          <w:rStyle w:val="eop"/>
        </w:rPr>
        <w:t xml:space="preserve">average annual number of </w:t>
      </w:r>
      <w:r w:rsidR="00C042EF">
        <w:rPr>
          <w:rStyle w:val="eop"/>
        </w:rPr>
        <w:t xml:space="preserve">marine </w:t>
      </w:r>
      <w:r w:rsidRPr="008D2BF9">
        <w:rPr>
          <w:rFonts w:cs="Arial"/>
        </w:rPr>
        <w:t xml:space="preserve">activities not related to the marine aggregate sector occurring in areas licensed for aggregate extraction has decreased by 60% since </w:t>
      </w:r>
      <w:r w:rsidR="00DC2E44" w:rsidRPr="008D2BF9">
        <w:rPr>
          <w:rFonts w:cs="Arial"/>
        </w:rPr>
        <w:t>Plan</w:t>
      </w:r>
      <w:r w:rsidRPr="008D2BF9">
        <w:rPr>
          <w:rFonts w:cs="Arial"/>
        </w:rPr>
        <w:t xml:space="preserve"> adoption.</w:t>
      </w:r>
    </w:p>
    <w:p w14:paraId="57E8F9CF" w14:textId="0330E36B" w:rsidR="00091AF9" w:rsidRPr="0059093A" w:rsidRDefault="00091AF9" w:rsidP="00D43BAE">
      <w:pPr>
        <w:pStyle w:val="ListParagraph"/>
        <w:numPr>
          <w:ilvl w:val="0"/>
          <w:numId w:val="8"/>
        </w:numPr>
        <w:ind w:left="561" w:hanging="567"/>
        <w:contextualSpacing w:val="0"/>
        <w:rPr>
          <w:rStyle w:val="eop"/>
        </w:rPr>
      </w:pPr>
      <w:r w:rsidRPr="0059093A">
        <w:rPr>
          <w:rStyle w:val="eop"/>
        </w:rPr>
        <w:t xml:space="preserve">The assessment of policy effects using marine licensing data was limited, in some cases, by the low number of relevant marine activities licensed in spatially defined areas safeguarded by relevant policies. </w:t>
      </w:r>
      <w:r w:rsidR="00E10564">
        <w:rPr>
          <w:rStyle w:val="eop"/>
        </w:rPr>
        <w:br/>
      </w:r>
      <w:r w:rsidR="00E10564">
        <w:rPr>
          <w:rStyle w:val="eop"/>
        </w:rPr>
        <w:br/>
      </w:r>
      <w:r w:rsidRPr="0059093A">
        <w:rPr>
          <w:rStyle w:val="eop"/>
        </w:rPr>
        <w:t xml:space="preserve">However, sample sizes are expected to increase over </w:t>
      </w:r>
      <w:r w:rsidRPr="00D43BAE">
        <w:t>time</w:t>
      </w:r>
      <w:r w:rsidRPr="0059093A">
        <w:rPr>
          <w:rStyle w:val="eop"/>
        </w:rPr>
        <w:t xml:space="preserve"> as new proposals are developed and licensed. The assessment of policy effects is likely to improve with increasing time from </w:t>
      </w:r>
      <w:r w:rsidR="00DC2E44">
        <w:rPr>
          <w:rStyle w:val="eop"/>
        </w:rPr>
        <w:t>Plan</w:t>
      </w:r>
      <w:r w:rsidRPr="0059093A">
        <w:rPr>
          <w:rStyle w:val="eop"/>
        </w:rPr>
        <w:t xml:space="preserve"> adoption. </w:t>
      </w:r>
    </w:p>
    <w:p w14:paraId="126DDBD2" w14:textId="05912185" w:rsidR="000302B9" w:rsidRDefault="00091AF9" w:rsidP="000302B9">
      <w:pPr>
        <w:pStyle w:val="ListParagraph"/>
        <w:numPr>
          <w:ilvl w:val="0"/>
          <w:numId w:val="8"/>
        </w:numPr>
        <w:ind w:left="561" w:hanging="567"/>
        <w:contextualSpacing w:val="0"/>
      </w:pPr>
      <w:r w:rsidRPr="00285EEE">
        <w:rPr>
          <w:rStyle w:val="eop"/>
          <w:rFonts w:cs="Arial"/>
        </w:rPr>
        <w:t xml:space="preserve">Overall, </w:t>
      </w:r>
      <w:r w:rsidRPr="00285EEE">
        <w:rPr>
          <w:rStyle w:val="eop"/>
        </w:rPr>
        <w:t>findings suggest that positive</w:t>
      </w:r>
      <w:r w:rsidRPr="00285EEE">
        <w:rPr>
          <w:rStyle w:val="eop"/>
          <w:rFonts w:cs="Arial"/>
        </w:rPr>
        <w:t xml:space="preserve"> progress has been made towards</w:t>
      </w:r>
      <w:r w:rsidRPr="00285EEE">
        <w:rPr>
          <w:rStyle w:val="eop"/>
        </w:rPr>
        <w:t xml:space="preserve"> Objective 1, and the HLMOs to which it is linked</w:t>
      </w:r>
      <w:r w:rsidRPr="0059093A">
        <w:rPr>
          <w:rStyle w:val="eop"/>
          <w:b/>
          <w:bCs/>
        </w:rPr>
        <w:t xml:space="preserve"> </w:t>
      </w:r>
      <w:r w:rsidRPr="0059093A">
        <w:rPr>
          <w:rStyle w:val="eop"/>
        </w:rPr>
        <w:t>(</w:t>
      </w:r>
      <w:hyperlink w:anchor="_Annex_A:_High">
        <w:r w:rsidR="00FC2AFC" w:rsidRPr="09F83F24">
          <w:rPr>
            <w:rStyle w:val="Hyperlink"/>
          </w:rPr>
          <w:t>Annex A</w:t>
        </w:r>
      </w:hyperlink>
      <w:r w:rsidRPr="09F83F24">
        <w:rPr>
          <w:rStyle w:val="eop"/>
        </w:rPr>
        <w:t>).</w:t>
      </w:r>
      <w:r w:rsidRPr="0059093A">
        <w:rPr>
          <w:rStyle w:val="eop"/>
        </w:rPr>
        <w:t xml:space="preserve"> This conclusion is supported by the </w:t>
      </w:r>
      <w:r w:rsidRPr="0059093A">
        <w:t xml:space="preserve">evidence of implementation of the directly and indirectly contributing policies in marine licensing </w:t>
      </w:r>
      <w:r w:rsidR="00C042EF">
        <w:t>decision-making</w:t>
      </w:r>
      <w:r w:rsidRPr="0059093A">
        <w:t xml:space="preserve"> </w:t>
      </w:r>
      <w:r w:rsidRPr="0059093A">
        <w:rPr>
          <w:rStyle w:val="eop"/>
        </w:rPr>
        <w:t>(</w:t>
      </w:r>
      <w:hyperlink w:anchor="_Annex_B:_Policy">
        <w:r w:rsidR="00FC2AFC" w:rsidRPr="09F83F24">
          <w:rPr>
            <w:rStyle w:val="Hyperlink"/>
          </w:rPr>
          <w:t>Annex B</w:t>
        </w:r>
      </w:hyperlink>
      <w:r w:rsidRPr="09F83F24">
        <w:rPr>
          <w:rStyle w:val="eop"/>
        </w:rPr>
        <w:t>).</w:t>
      </w:r>
      <w:r w:rsidRPr="0059093A">
        <w:rPr>
          <w:rStyle w:val="eop"/>
        </w:rPr>
        <w:t xml:space="preserve"> </w:t>
      </w:r>
      <w:r w:rsidR="00E10564">
        <w:rPr>
          <w:rStyle w:val="eop"/>
        </w:rPr>
        <w:br/>
      </w:r>
      <w:r w:rsidR="00E10564">
        <w:rPr>
          <w:rStyle w:val="eop"/>
        </w:rPr>
        <w:br/>
      </w:r>
      <w:r w:rsidRPr="0059093A">
        <w:rPr>
          <w:rStyle w:val="eop"/>
        </w:rPr>
        <w:t>Furthermore, many direct</w:t>
      </w:r>
      <w:r>
        <w:rPr>
          <w:rStyle w:val="eop"/>
        </w:rPr>
        <w:t>ly</w:t>
      </w:r>
      <w:r w:rsidRPr="0059093A">
        <w:rPr>
          <w:rStyle w:val="eop"/>
        </w:rPr>
        <w:t xml:space="preserve"> and indirect</w:t>
      </w:r>
      <w:r>
        <w:rPr>
          <w:rStyle w:val="eop"/>
        </w:rPr>
        <w:t>ly contributing</w:t>
      </w:r>
      <w:r w:rsidRPr="0059093A">
        <w:rPr>
          <w:rStyle w:val="eop"/>
        </w:rPr>
        <w:t xml:space="preserve"> policies have shown positive policy effects, and </w:t>
      </w:r>
      <w:r w:rsidRPr="0059093A">
        <w:rPr>
          <w:rFonts w:cs="Arial"/>
        </w:rPr>
        <w:t xml:space="preserve">progress towards policy </w:t>
      </w:r>
      <w:r w:rsidRPr="0059093A">
        <w:t xml:space="preserve">aims. </w:t>
      </w:r>
      <w:r w:rsidR="00E10564">
        <w:br/>
      </w:r>
      <w:r w:rsidR="00E10564">
        <w:br/>
      </w:r>
      <w:r w:rsidRPr="0059093A">
        <w:t xml:space="preserve">Policy effects for Objective 1 </w:t>
      </w:r>
      <w:r w:rsidR="000E16F1" w:rsidRPr="0059093A">
        <w:t xml:space="preserve">are easier to assess </w:t>
      </w:r>
      <w:r w:rsidRPr="0059093A">
        <w:t xml:space="preserve">than other objectives at this stage due to the policy aims, to increase effective use of space, which could be </w:t>
      </w:r>
      <w:r w:rsidR="000E16F1">
        <w:t xml:space="preserve">observed via consented activity data </w:t>
      </w:r>
      <w:r w:rsidRPr="0059093A">
        <w:t xml:space="preserve">following </w:t>
      </w:r>
      <w:r w:rsidR="00DC2E44">
        <w:t>Plan</w:t>
      </w:r>
      <w:r w:rsidRPr="0059093A">
        <w:t xml:space="preserve"> adoption. </w:t>
      </w:r>
    </w:p>
    <w:p w14:paraId="6D92FF20" w14:textId="20936A13" w:rsidR="000302B9" w:rsidRDefault="00091AF9" w:rsidP="007D6517">
      <w:pPr>
        <w:pStyle w:val="ListParagraph"/>
        <w:ind w:left="561"/>
        <w:contextualSpacing w:val="0"/>
      </w:pPr>
      <w:r w:rsidRPr="0059093A">
        <w:t xml:space="preserve">These findings show that </w:t>
      </w:r>
      <w:r w:rsidR="00C042EF">
        <w:t>marine licence applications</w:t>
      </w:r>
      <w:r w:rsidRPr="0059093A">
        <w:t xml:space="preserve"> are increasingly taking account of </w:t>
      </w:r>
      <w:r w:rsidR="000E16F1">
        <w:t>other users</w:t>
      </w:r>
      <w:r w:rsidRPr="0059093A">
        <w:t xml:space="preserve"> in the </w:t>
      </w:r>
      <w:r w:rsidR="00B07496">
        <w:t xml:space="preserve">South Marine </w:t>
      </w:r>
      <w:r w:rsidR="00DC2E44">
        <w:t>Plan</w:t>
      </w:r>
      <w:r w:rsidRPr="0059093A">
        <w:t xml:space="preserve"> areas and indicates that the contributing policies have been effective in delivering sustainable economic activity through co-existence. </w:t>
      </w:r>
    </w:p>
    <w:p w14:paraId="52590D67" w14:textId="3D641298" w:rsidR="007D6517" w:rsidRDefault="007D6517" w:rsidP="007D6517">
      <w:pPr>
        <w:pStyle w:val="ListParagraph"/>
        <w:ind w:left="561"/>
        <w:contextualSpacing w:val="0"/>
      </w:pPr>
    </w:p>
    <w:p w14:paraId="432A1375" w14:textId="403938DC" w:rsidR="007D6517" w:rsidRDefault="007D6517" w:rsidP="007D6517">
      <w:pPr>
        <w:pStyle w:val="ListParagraph"/>
        <w:ind w:left="561"/>
        <w:contextualSpacing w:val="0"/>
      </w:pPr>
    </w:p>
    <w:p w14:paraId="6E472317" w14:textId="77777777" w:rsidR="007D6517" w:rsidRDefault="007D6517" w:rsidP="007D6517">
      <w:pPr>
        <w:pStyle w:val="ListParagraph"/>
        <w:ind w:left="561"/>
        <w:contextualSpacing w:val="0"/>
      </w:pPr>
    </w:p>
    <w:p w14:paraId="13732843" w14:textId="77777777" w:rsidR="000302B9" w:rsidRPr="0059093A" w:rsidRDefault="000302B9" w:rsidP="00285EEE"/>
    <w:p w14:paraId="4CE0F263" w14:textId="08CE8811" w:rsidR="00091AF9" w:rsidRPr="0059093A" w:rsidRDefault="00D565CC" w:rsidP="00285EEE">
      <w:pPr>
        <w:pStyle w:val="Caption"/>
      </w:pPr>
      <w:bookmarkStart w:id="204" w:name="_Objective_2:_To"/>
      <w:bookmarkStart w:id="205" w:name="_Ref68189660"/>
      <w:bookmarkEnd w:id="201"/>
      <w:bookmarkEnd w:id="204"/>
      <w:r>
        <w:lastRenderedPageBreak/>
        <w:t xml:space="preserve">Table 2: Outcomes findings for </w:t>
      </w:r>
      <w:r w:rsidR="00091AF9" w:rsidRPr="0059093A">
        <w:t>Objective 2</w:t>
      </w:r>
      <w:r>
        <w:t xml:space="preserve"> -</w:t>
      </w:r>
      <w:r w:rsidR="00091AF9" w:rsidRPr="0059093A">
        <w:t xml:space="preserve"> To manage existing, and aid the provision of new, infrastructure supporting marine and terrestrial activity</w:t>
      </w:r>
      <w:bookmarkEnd w:id="205"/>
    </w:p>
    <w:tbl>
      <w:tblPr>
        <w:tblStyle w:val="DefraGreen2"/>
        <w:tblW w:w="4995" w:type="pct"/>
        <w:tblLook w:val="04A0" w:firstRow="1" w:lastRow="0" w:firstColumn="1" w:lastColumn="0" w:noHBand="0" w:noVBand="1"/>
      </w:tblPr>
      <w:tblGrid>
        <w:gridCol w:w="7343"/>
        <w:gridCol w:w="2268"/>
      </w:tblGrid>
      <w:tr w:rsidR="00091AF9" w:rsidRPr="001A65F6" w14:paraId="015016A5" w14:textId="77777777" w:rsidTr="00E02BCB">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820" w:type="pct"/>
          </w:tcPr>
          <w:p w14:paraId="6CBF9934" w14:textId="7646A181" w:rsidR="00091AF9" w:rsidRPr="001A65F6" w:rsidRDefault="00091AF9" w:rsidP="00E02BCB">
            <w:pPr>
              <w:spacing w:before="60" w:after="60"/>
              <w:rPr>
                <w:rFonts w:eastAsia="Times New Roman" w:cs="Arial"/>
                <w:b/>
                <w:bCs/>
                <w:color w:val="000000"/>
              </w:rPr>
            </w:pPr>
            <w:r w:rsidRPr="00730DB2">
              <w:rPr>
                <w:rFonts w:eastAsia="Times New Roman" w:cs="Arial"/>
                <w:b/>
                <w:bCs/>
                <w:color w:val="FFFFFF" w:themeColor="background1"/>
                <w:sz w:val="28"/>
              </w:rPr>
              <w:t xml:space="preserve">Objective </w:t>
            </w:r>
            <w:r>
              <w:rPr>
                <w:rFonts w:eastAsia="Times New Roman" w:cs="Arial"/>
                <w:b/>
                <w:bCs/>
                <w:color w:val="FFFFFF" w:themeColor="background1"/>
                <w:sz w:val="28"/>
              </w:rPr>
              <w:t>progress</w:t>
            </w:r>
            <w:r w:rsidRPr="00730DB2">
              <w:rPr>
                <w:rFonts w:eastAsia="Times New Roman" w:cs="Arial"/>
                <w:b/>
                <w:bCs/>
                <w:color w:val="FFFFFF" w:themeColor="background1"/>
                <w:sz w:val="28"/>
              </w:rPr>
              <w:t xml:space="preserve">: </w:t>
            </w:r>
            <w:r w:rsidR="00E10564">
              <w:rPr>
                <w:rFonts w:eastAsia="Times New Roman" w:cs="Arial"/>
                <w:b/>
                <w:bCs/>
                <w:color w:val="FFFFFF" w:themeColor="background1"/>
                <w:sz w:val="28"/>
              </w:rPr>
              <w:t>p</w:t>
            </w:r>
            <w:r w:rsidRPr="00730DB2">
              <w:rPr>
                <w:rFonts w:eastAsia="Times New Roman" w:cs="Arial"/>
                <w:b/>
                <w:bCs/>
                <w:color w:val="FFFFFF" w:themeColor="background1"/>
                <w:sz w:val="28"/>
              </w:rPr>
              <w:t>ositive</w:t>
            </w:r>
          </w:p>
        </w:tc>
        <w:tc>
          <w:tcPr>
            <w:tcW w:w="1180" w:type="pct"/>
            <w:noWrap/>
          </w:tcPr>
          <w:p w14:paraId="0D65468C" w14:textId="77777777" w:rsidR="00091AF9" w:rsidRPr="001A65F6" w:rsidRDefault="00091AF9" w:rsidP="00E02BCB">
            <w:pPr>
              <w:spacing w:before="0" w:after="0"/>
              <w:cnfStyle w:val="100000000000" w:firstRow="1" w:lastRow="0" w:firstColumn="0" w:lastColumn="0" w:oddVBand="0" w:evenVBand="0" w:oddHBand="0" w:evenHBand="0" w:firstRowFirstColumn="0" w:firstRowLastColumn="0" w:lastRowFirstColumn="0" w:lastRowLastColumn="0"/>
              <w:rPr>
                <w:rFonts w:eastAsia="Times New Roman" w:cs="Arial"/>
                <w:b/>
                <w:bCs/>
                <w:color w:val="000000"/>
              </w:rPr>
            </w:pPr>
          </w:p>
        </w:tc>
      </w:tr>
      <w:tr w:rsidR="00091AF9" w:rsidRPr="001A65F6" w14:paraId="5B1B357B"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0" w:type="pct"/>
          </w:tcPr>
          <w:p w14:paraId="78816ABD" w14:textId="77777777" w:rsidR="00091AF9" w:rsidRPr="004A245D" w:rsidRDefault="00091AF9" w:rsidP="00E02BCB">
            <w:pPr>
              <w:spacing w:before="0" w:after="0"/>
              <w:rPr>
                <w:rFonts w:eastAsia="Times New Roman" w:cs="Arial"/>
                <w:b/>
                <w:bCs/>
                <w:color w:val="000000"/>
              </w:rPr>
            </w:pPr>
            <w:r w:rsidRPr="004A245D">
              <w:rPr>
                <w:rFonts w:eastAsia="Times New Roman" w:cs="Arial"/>
                <w:b/>
                <w:bCs/>
                <w:color w:val="000000"/>
              </w:rPr>
              <w:t>Policy code</w:t>
            </w:r>
          </w:p>
        </w:tc>
        <w:tc>
          <w:tcPr>
            <w:tcW w:w="1180" w:type="pct"/>
            <w:shd w:val="clear" w:color="auto" w:fill="CBE9D3"/>
            <w:noWrap/>
          </w:tcPr>
          <w:p w14:paraId="17E8DAB6" w14:textId="77777777" w:rsidR="00091AF9" w:rsidRPr="004A245D"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rPr>
            </w:pPr>
            <w:r>
              <w:rPr>
                <w:rFonts w:eastAsia="Times New Roman" w:cs="Arial"/>
                <w:b/>
                <w:bCs/>
                <w:color w:val="000000"/>
              </w:rPr>
              <w:t>Outcome findings</w:t>
            </w:r>
          </w:p>
        </w:tc>
      </w:tr>
      <w:tr w:rsidR="00091AF9" w:rsidRPr="001A65F6" w14:paraId="480F98C9"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4998" w:type="pct"/>
            <w:gridSpan w:val="2"/>
            <w:vAlign w:val="center"/>
          </w:tcPr>
          <w:p w14:paraId="3DDFA6D2" w14:textId="77777777" w:rsidR="00091AF9" w:rsidRPr="00A056EE" w:rsidRDefault="00091AF9" w:rsidP="00E02BCB">
            <w:pPr>
              <w:spacing w:before="0" w:after="0"/>
              <w:rPr>
                <w:rFonts w:eastAsia="Times New Roman" w:cs="Arial"/>
                <w:b/>
                <w:color w:val="000000"/>
              </w:rPr>
            </w:pPr>
            <w:r w:rsidRPr="00A056EE">
              <w:rPr>
                <w:rFonts w:eastAsia="Times New Roman" w:cs="Arial"/>
                <w:b/>
                <w:color w:val="000000"/>
              </w:rPr>
              <w:t>Directly contributing policies</w:t>
            </w:r>
          </w:p>
        </w:tc>
      </w:tr>
      <w:tr w:rsidR="00091AF9" w:rsidRPr="001A65F6" w14:paraId="37917060"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0" w:type="pct"/>
            <w:shd w:val="clear" w:color="auto" w:fill="FFFFFF" w:themeFill="background1"/>
            <w:vAlign w:val="center"/>
          </w:tcPr>
          <w:p w14:paraId="19653056" w14:textId="77777777" w:rsidR="00091AF9" w:rsidRPr="001A65F6" w:rsidRDefault="00091AF9" w:rsidP="00E02BCB">
            <w:pPr>
              <w:spacing w:before="0" w:after="0"/>
              <w:rPr>
                <w:rFonts w:eastAsia="Times New Roman" w:cs="Arial"/>
                <w:color w:val="000000"/>
              </w:rPr>
            </w:pPr>
            <w:r>
              <w:rPr>
                <w:rFonts w:eastAsia="Times New Roman" w:cs="Arial"/>
                <w:color w:val="000000"/>
              </w:rPr>
              <w:t>S-PS-1</w:t>
            </w:r>
          </w:p>
        </w:tc>
        <w:tc>
          <w:tcPr>
            <w:tcW w:w="1180" w:type="pct"/>
            <w:shd w:val="clear" w:color="auto" w:fill="FFFFFF" w:themeFill="background1"/>
            <w:noWrap/>
            <w:vAlign w:val="center"/>
          </w:tcPr>
          <w:p w14:paraId="59FC1A7F"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A65F6">
              <w:rPr>
                <w:rFonts w:eastAsia="Times New Roman" w:cs="Arial"/>
                <w:color w:val="000000"/>
              </w:rPr>
              <w:t>Neutral</w:t>
            </w:r>
          </w:p>
        </w:tc>
      </w:tr>
      <w:tr w:rsidR="00091AF9" w:rsidRPr="001A65F6" w14:paraId="46A7EC55"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0" w:type="pct"/>
            <w:shd w:val="clear" w:color="auto" w:fill="FFFFFF" w:themeFill="background1"/>
            <w:vAlign w:val="center"/>
          </w:tcPr>
          <w:p w14:paraId="6190DE7A" w14:textId="77777777" w:rsidR="00091AF9" w:rsidRPr="001A65F6" w:rsidRDefault="00091AF9" w:rsidP="00E02BCB">
            <w:pPr>
              <w:spacing w:before="0" w:after="0"/>
              <w:rPr>
                <w:rFonts w:eastAsia="Times New Roman" w:cs="Arial"/>
                <w:color w:val="000000"/>
              </w:rPr>
            </w:pPr>
            <w:r>
              <w:rPr>
                <w:rFonts w:eastAsia="Times New Roman" w:cs="Arial"/>
                <w:color w:val="000000"/>
              </w:rPr>
              <w:t>S-AQ-2, S-CAB-1, S-CAB-2, S-PS-2, S-PS-3</w:t>
            </w:r>
          </w:p>
        </w:tc>
        <w:tc>
          <w:tcPr>
            <w:tcW w:w="1180" w:type="pct"/>
            <w:shd w:val="clear" w:color="auto" w:fill="FFFFFF" w:themeFill="background1"/>
            <w:noWrap/>
            <w:vAlign w:val="center"/>
          </w:tcPr>
          <w:p w14:paraId="0DB3D2BA"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Inconclusive</w:t>
            </w:r>
          </w:p>
        </w:tc>
      </w:tr>
      <w:tr w:rsidR="00091AF9" w:rsidRPr="001A65F6" w14:paraId="3DD9D633"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0" w:type="pct"/>
            <w:shd w:val="clear" w:color="auto" w:fill="FFFFFF" w:themeFill="background1"/>
            <w:vAlign w:val="center"/>
          </w:tcPr>
          <w:p w14:paraId="33224CA6" w14:textId="77777777" w:rsidR="00091AF9" w:rsidRPr="001A65F6" w:rsidRDefault="00091AF9" w:rsidP="00E02BCB">
            <w:pPr>
              <w:spacing w:before="0" w:after="0"/>
              <w:rPr>
                <w:rFonts w:eastAsia="Times New Roman" w:cs="Arial"/>
                <w:color w:val="000000"/>
              </w:rPr>
            </w:pPr>
            <w:r>
              <w:rPr>
                <w:rFonts w:eastAsia="Times New Roman" w:cs="Arial"/>
                <w:color w:val="000000"/>
              </w:rPr>
              <w:t>S-INF-1</w:t>
            </w:r>
          </w:p>
        </w:tc>
        <w:tc>
          <w:tcPr>
            <w:tcW w:w="1180" w:type="pct"/>
            <w:shd w:val="clear" w:color="auto" w:fill="FFFFFF" w:themeFill="background1"/>
            <w:noWrap/>
            <w:vAlign w:val="center"/>
          </w:tcPr>
          <w:p w14:paraId="45E358FE"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A65F6">
              <w:rPr>
                <w:rFonts w:eastAsia="Times New Roman" w:cs="Arial"/>
                <w:color w:val="000000"/>
              </w:rPr>
              <w:t>N</w:t>
            </w:r>
            <w:r>
              <w:rPr>
                <w:rFonts w:eastAsia="Times New Roman" w:cs="Arial"/>
                <w:color w:val="000000"/>
              </w:rPr>
              <w:t>o data</w:t>
            </w:r>
          </w:p>
        </w:tc>
      </w:tr>
      <w:tr w:rsidR="00091AF9" w:rsidRPr="001A65F6" w14:paraId="08BDBA08"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4998" w:type="pct"/>
            <w:gridSpan w:val="2"/>
            <w:vAlign w:val="center"/>
          </w:tcPr>
          <w:p w14:paraId="68FB38C5" w14:textId="77777777" w:rsidR="00091AF9" w:rsidRPr="00A056EE" w:rsidRDefault="00091AF9" w:rsidP="00E02BCB">
            <w:pPr>
              <w:spacing w:before="0" w:after="0"/>
              <w:rPr>
                <w:rFonts w:eastAsia="Times New Roman" w:cs="Arial"/>
                <w:b/>
                <w:color w:val="000000"/>
              </w:rPr>
            </w:pPr>
            <w:r w:rsidRPr="00A056EE">
              <w:rPr>
                <w:rFonts w:eastAsia="Times New Roman" w:cs="Arial"/>
                <w:b/>
                <w:color w:val="000000"/>
              </w:rPr>
              <w:t xml:space="preserve">Indirectly contributing policies </w:t>
            </w:r>
          </w:p>
        </w:tc>
      </w:tr>
      <w:tr w:rsidR="00091AF9" w:rsidRPr="001A65F6" w14:paraId="375207BB"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0" w:type="pct"/>
            <w:shd w:val="clear" w:color="auto" w:fill="FFFFFF" w:themeFill="background1"/>
            <w:vAlign w:val="center"/>
          </w:tcPr>
          <w:p w14:paraId="71967DED" w14:textId="77777777" w:rsidR="00091AF9" w:rsidRPr="001A65F6" w:rsidRDefault="00091AF9" w:rsidP="00E02BCB">
            <w:pPr>
              <w:spacing w:before="0" w:after="0"/>
              <w:rPr>
                <w:rFonts w:eastAsia="Times New Roman" w:cs="Arial"/>
                <w:color w:val="000000"/>
              </w:rPr>
            </w:pPr>
            <w:r>
              <w:rPr>
                <w:rFonts w:eastAsia="Times New Roman" w:cs="Arial"/>
                <w:color w:val="000000"/>
              </w:rPr>
              <w:t xml:space="preserve">S-ACC-2, S-AGG-1, S-AGG-2, S-AGG-3, </w:t>
            </w:r>
            <w:r w:rsidRPr="00904FDC">
              <w:rPr>
                <w:rFonts w:eastAsia="Times New Roman" w:cs="Arial"/>
                <w:color w:val="000000"/>
              </w:rPr>
              <w:t>S-DD-1</w:t>
            </w:r>
            <w:r>
              <w:rPr>
                <w:rFonts w:eastAsia="Times New Roman" w:cs="Arial"/>
                <w:color w:val="000000"/>
              </w:rPr>
              <w:t>, S-FISH-4-HER, S-OG-1, S-SOC-1, S-TR-2</w:t>
            </w:r>
          </w:p>
        </w:tc>
        <w:tc>
          <w:tcPr>
            <w:tcW w:w="1180" w:type="pct"/>
            <w:shd w:val="clear" w:color="auto" w:fill="FFFFFF" w:themeFill="background1"/>
            <w:noWrap/>
            <w:vAlign w:val="center"/>
          </w:tcPr>
          <w:p w14:paraId="3569CFB4"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Positive</w:t>
            </w:r>
          </w:p>
        </w:tc>
      </w:tr>
      <w:tr w:rsidR="00091AF9" w:rsidRPr="001A65F6" w14:paraId="283CB6CF"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0" w:type="pct"/>
            <w:shd w:val="clear" w:color="auto" w:fill="FFFFFF" w:themeFill="background1"/>
            <w:vAlign w:val="center"/>
          </w:tcPr>
          <w:p w14:paraId="60FF5484" w14:textId="77777777" w:rsidR="00091AF9" w:rsidRPr="001A65F6" w:rsidRDefault="00091AF9" w:rsidP="00E02BCB">
            <w:pPr>
              <w:spacing w:before="0" w:after="0"/>
              <w:rPr>
                <w:rFonts w:eastAsia="Times New Roman" w:cs="Arial"/>
                <w:color w:val="000000"/>
              </w:rPr>
            </w:pPr>
            <w:r>
              <w:rPr>
                <w:rFonts w:eastAsia="Times New Roman" w:cs="Arial"/>
                <w:color w:val="000000"/>
              </w:rPr>
              <w:t>S-ACC-1</w:t>
            </w:r>
          </w:p>
        </w:tc>
        <w:tc>
          <w:tcPr>
            <w:tcW w:w="1180" w:type="pct"/>
            <w:shd w:val="clear" w:color="auto" w:fill="FFFFFF" w:themeFill="background1"/>
            <w:noWrap/>
            <w:vAlign w:val="center"/>
          </w:tcPr>
          <w:p w14:paraId="3E5A4603"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A65F6">
              <w:rPr>
                <w:rFonts w:eastAsia="Times New Roman" w:cs="Arial"/>
                <w:color w:val="000000"/>
              </w:rPr>
              <w:t>Neutral</w:t>
            </w:r>
          </w:p>
        </w:tc>
      </w:tr>
      <w:tr w:rsidR="00091AF9" w:rsidRPr="001A65F6" w14:paraId="162B9719"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0" w:type="pct"/>
            <w:shd w:val="clear" w:color="auto" w:fill="FFFFFF" w:themeFill="background1"/>
            <w:vAlign w:val="center"/>
          </w:tcPr>
          <w:p w14:paraId="3C3DF53F" w14:textId="77777777" w:rsidR="00091AF9" w:rsidRPr="001A65F6" w:rsidRDefault="00091AF9" w:rsidP="00E02BCB">
            <w:pPr>
              <w:spacing w:before="0" w:after="0"/>
              <w:rPr>
                <w:rFonts w:eastAsia="Times New Roman" w:cs="Arial"/>
                <w:color w:val="000000"/>
              </w:rPr>
            </w:pPr>
            <w:r>
              <w:rPr>
                <w:rFonts w:eastAsia="Times New Roman" w:cs="Arial"/>
                <w:color w:val="000000"/>
              </w:rPr>
              <w:t>S-REN-1, S-TIDE-1</w:t>
            </w:r>
          </w:p>
        </w:tc>
        <w:tc>
          <w:tcPr>
            <w:tcW w:w="1180" w:type="pct"/>
            <w:shd w:val="clear" w:color="auto" w:fill="FFFFFF" w:themeFill="background1"/>
            <w:noWrap/>
            <w:vAlign w:val="center"/>
          </w:tcPr>
          <w:p w14:paraId="2FF647C1"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A65F6">
              <w:rPr>
                <w:rFonts w:eastAsia="Times New Roman" w:cs="Arial"/>
                <w:color w:val="000000"/>
              </w:rPr>
              <w:t>Inconclusive</w:t>
            </w:r>
          </w:p>
        </w:tc>
      </w:tr>
      <w:tr w:rsidR="00091AF9" w:rsidRPr="001A65F6" w14:paraId="45D360FE"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0" w:type="pct"/>
            <w:shd w:val="clear" w:color="auto" w:fill="FFFFFF" w:themeFill="background1"/>
            <w:vAlign w:val="center"/>
          </w:tcPr>
          <w:p w14:paraId="215067B6" w14:textId="77777777" w:rsidR="00091AF9" w:rsidRDefault="00091AF9" w:rsidP="00E02BCB">
            <w:pPr>
              <w:spacing w:before="0" w:after="0"/>
              <w:rPr>
                <w:rFonts w:eastAsia="Times New Roman" w:cs="Arial"/>
                <w:color w:val="000000"/>
              </w:rPr>
            </w:pPr>
            <w:r>
              <w:rPr>
                <w:rFonts w:eastAsia="Times New Roman" w:cs="Arial"/>
                <w:color w:val="000000"/>
              </w:rPr>
              <w:t>S-AQ-1</w:t>
            </w:r>
          </w:p>
        </w:tc>
        <w:tc>
          <w:tcPr>
            <w:tcW w:w="1180" w:type="pct"/>
            <w:shd w:val="clear" w:color="auto" w:fill="FFFFFF" w:themeFill="background1"/>
            <w:noWrap/>
            <w:vAlign w:val="center"/>
          </w:tcPr>
          <w:p w14:paraId="24A76B7D"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Negative</w:t>
            </w:r>
          </w:p>
        </w:tc>
      </w:tr>
      <w:tr w:rsidR="00091AF9" w:rsidRPr="001A65F6" w14:paraId="6743FCBD"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0" w:type="pct"/>
            <w:shd w:val="clear" w:color="auto" w:fill="FFFFFF" w:themeFill="background1"/>
            <w:vAlign w:val="center"/>
          </w:tcPr>
          <w:p w14:paraId="593CCE28" w14:textId="77777777" w:rsidR="00091AF9" w:rsidRPr="001A65F6" w:rsidRDefault="00091AF9" w:rsidP="00E02BCB">
            <w:pPr>
              <w:spacing w:before="0" w:after="0"/>
              <w:rPr>
                <w:rFonts w:eastAsia="Times New Roman" w:cs="Arial"/>
                <w:color w:val="000000"/>
              </w:rPr>
            </w:pPr>
            <w:r>
              <w:rPr>
                <w:rFonts w:eastAsia="Times New Roman" w:cs="Arial"/>
                <w:color w:val="000000"/>
              </w:rPr>
              <w:t>S-AGG-4, S-FISH-1</w:t>
            </w:r>
          </w:p>
        </w:tc>
        <w:tc>
          <w:tcPr>
            <w:tcW w:w="1180" w:type="pct"/>
            <w:shd w:val="clear" w:color="auto" w:fill="FFFFFF" w:themeFill="background1"/>
            <w:noWrap/>
            <w:vAlign w:val="center"/>
          </w:tcPr>
          <w:p w14:paraId="0CBDC53A"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A65F6">
              <w:rPr>
                <w:rFonts w:eastAsia="Times New Roman" w:cs="Arial"/>
                <w:color w:val="000000"/>
              </w:rPr>
              <w:t>No data</w:t>
            </w:r>
          </w:p>
        </w:tc>
      </w:tr>
    </w:tbl>
    <w:p w14:paraId="3643C11E" w14:textId="77777777" w:rsidR="00091AF9" w:rsidRPr="0059093A" w:rsidRDefault="00091AF9" w:rsidP="00D43BAE">
      <w:pPr>
        <w:pStyle w:val="ListParagraph"/>
        <w:numPr>
          <w:ilvl w:val="0"/>
          <w:numId w:val="8"/>
        </w:numPr>
        <w:ind w:left="561" w:hanging="567"/>
        <w:contextualSpacing w:val="0"/>
        <w:rPr>
          <w:rStyle w:val="eop"/>
          <w:rFonts w:cs="Arial"/>
        </w:rPr>
      </w:pPr>
      <w:r w:rsidRPr="0059093A">
        <w:rPr>
          <w:rStyle w:val="eop"/>
        </w:rPr>
        <w:t>All directly contributing policies seek to either support the provision of appropriate and new infrastructure, or to safeguard existing infrastructure supporting marine and terrestrial activities. The effects of these policies were assessed using the following data:</w:t>
      </w:r>
    </w:p>
    <w:p w14:paraId="6054694C" w14:textId="77777777" w:rsidR="00091AF9" w:rsidRPr="0059093A" w:rsidRDefault="00091AF9" w:rsidP="00D43BAE">
      <w:pPr>
        <w:pStyle w:val="ListParagraph"/>
        <w:numPr>
          <w:ilvl w:val="0"/>
          <w:numId w:val="11"/>
        </w:numPr>
        <w:ind w:left="1276" w:hanging="425"/>
        <w:rPr>
          <w:rStyle w:val="eop"/>
          <w:rFonts w:cs="Arial"/>
        </w:rPr>
      </w:pPr>
      <w:r w:rsidRPr="0059093A">
        <w:rPr>
          <w:rStyle w:val="eop"/>
          <w:rFonts w:cs="Arial"/>
        </w:rPr>
        <w:t xml:space="preserve">metrics on </w:t>
      </w:r>
      <w:r w:rsidRPr="00D43BAE">
        <w:rPr>
          <w:szCs w:val="24"/>
        </w:rPr>
        <w:t>aquaculture</w:t>
      </w:r>
      <w:r w:rsidRPr="0059093A">
        <w:rPr>
          <w:rStyle w:val="eop"/>
          <w:rFonts w:cs="Arial"/>
        </w:rPr>
        <w:t xml:space="preserve"> sector performance, including the number of registered businesses and production volumes (S-AQ-2)</w:t>
      </w:r>
    </w:p>
    <w:p w14:paraId="21587ACD" w14:textId="77777777" w:rsidR="00091AF9" w:rsidRPr="0059093A" w:rsidRDefault="00091AF9" w:rsidP="00D43BAE">
      <w:pPr>
        <w:pStyle w:val="ListParagraph"/>
        <w:numPr>
          <w:ilvl w:val="0"/>
          <w:numId w:val="11"/>
        </w:numPr>
        <w:ind w:left="1276" w:hanging="425"/>
        <w:rPr>
          <w:rStyle w:val="eop"/>
          <w:rFonts w:cs="Arial"/>
        </w:rPr>
      </w:pPr>
      <w:r w:rsidRPr="0059093A">
        <w:rPr>
          <w:rStyle w:val="eop"/>
          <w:rFonts w:cs="Arial"/>
        </w:rPr>
        <w:t xml:space="preserve">stakeholder </w:t>
      </w:r>
      <w:r w:rsidRPr="00D43BAE">
        <w:rPr>
          <w:szCs w:val="24"/>
        </w:rPr>
        <w:t>survey</w:t>
      </w:r>
      <w:r w:rsidRPr="0059093A">
        <w:rPr>
          <w:rStyle w:val="eop"/>
          <w:rFonts w:cs="Arial"/>
        </w:rPr>
        <w:t xml:space="preserve"> responses (S-PS-1)</w:t>
      </w:r>
    </w:p>
    <w:p w14:paraId="5A6BDD6B" w14:textId="77777777" w:rsidR="00091AF9" w:rsidRPr="0059093A" w:rsidRDefault="00091AF9" w:rsidP="00D43BAE">
      <w:pPr>
        <w:pStyle w:val="ListParagraph"/>
        <w:numPr>
          <w:ilvl w:val="0"/>
          <w:numId w:val="11"/>
        </w:numPr>
        <w:ind w:left="1276" w:hanging="425"/>
        <w:rPr>
          <w:rFonts w:cs="Arial"/>
        </w:rPr>
      </w:pPr>
      <w:r w:rsidRPr="0059093A">
        <w:t>the number of legal challenges and complaints to the MMO in relation to licensed marine activities and issues on co-existence and displacement (S-CAB-1 and S-CAB-2)</w:t>
      </w:r>
    </w:p>
    <w:p w14:paraId="771A2EA1" w14:textId="77777777" w:rsidR="00091AF9" w:rsidRPr="0059093A" w:rsidRDefault="00091AF9" w:rsidP="00D43BAE">
      <w:pPr>
        <w:pStyle w:val="ListParagraph"/>
        <w:numPr>
          <w:ilvl w:val="0"/>
          <w:numId w:val="11"/>
        </w:numPr>
        <w:ind w:left="1276" w:hanging="425"/>
        <w:rPr>
          <w:rStyle w:val="eop"/>
          <w:rFonts w:cs="Arial"/>
        </w:rPr>
      </w:pPr>
      <w:r w:rsidRPr="0059093A">
        <w:rPr>
          <w:rStyle w:val="eop"/>
        </w:rPr>
        <w:t>the number, location and levels of policy compliance of marine activities licensed by the MMO (S-PS-2 and S-PS-3)</w:t>
      </w:r>
    </w:p>
    <w:p w14:paraId="427BD1BF" w14:textId="3B6FA95C" w:rsidR="00091AF9" w:rsidRPr="00321001" w:rsidRDefault="00091AF9" w:rsidP="00D43BAE">
      <w:pPr>
        <w:pStyle w:val="ListParagraph"/>
        <w:numPr>
          <w:ilvl w:val="0"/>
          <w:numId w:val="8"/>
        </w:numPr>
        <w:ind w:left="561" w:hanging="567"/>
        <w:contextualSpacing w:val="0"/>
        <w:rPr>
          <w:rStyle w:val="Hyperlink"/>
          <w:color w:val="auto"/>
        </w:rPr>
      </w:pPr>
      <w:r w:rsidRPr="0059093A">
        <w:rPr>
          <w:rStyle w:val="eop"/>
        </w:rPr>
        <w:t xml:space="preserve">Outcome monitoring findings </w:t>
      </w:r>
      <w:r w:rsidRPr="0059093A" w:rsidDel="00D657FD">
        <w:rPr>
          <w:rStyle w:val="eop"/>
          <w:rFonts w:cs="Arial"/>
        </w:rPr>
        <w:t xml:space="preserve">did not </w:t>
      </w:r>
      <w:r w:rsidRPr="0059093A">
        <w:rPr>
          <w:rStyle w:val="eop"/>
          <w:rFonts w:cs="Arial"/>
        </w:rPr>
        <w:t xml:space="preserve">allow </w:t>
      </w:r>
      <w:r w:rsidRPr="0059093A">
        <w:rPr>
          <w:rStyle w:val="eop"/>
        </w:rPr>
        <w:t xml:space="preserve">robust conclusions on policy effects </w:t>
      </w:r>
      <w:r w:rsidRPr="00D43BAE">
        <w:t>to</w:t>
      </w:r>
      <w:r w:rsidRPr="0059093A">
        <w:rPr>
          <w:rStyle w:val="eop"/>
        </w:rPr>
        <w:t xml:space="preserve"> be made, beyond ‘inconclusive’ or ‘neutral’</w:t>
      </w:r>
      <w:r w:rsidR="00D657FD" w:rsidRPr="00D657FD">
        <w:rPr>
          <w:rStyle w:val="eop"/>
          <w:rFonts w:cs="Arial"/>
        </w:rPr>
        <w:t xml:space="preserve"> </w:t>
      </w:r>
      <w:r w:rsidR="00D657FD">
        <w:rPr>
          <w:rStyle w:val="eop"/>
          <w:rFonts w:cs="Arial"/>
        </w:rPr>
        <w:t xml:space="preserve">for any </w:t>
      </w:r>
      <w:r w:rsidR="00D657FD" w:rsidRPr="0059093A">
        <w:rPr>
          <w:rStyle w:val="eop"/>
          <w:rFonts w:cs="Arial"/>
        </w:rPr>
        <w:t>directly contributing policies</w:t>
      </w:r>
      <w:r w:rsidR="0096019F">
        <w:rPr>
          <w:rStyle w:val="eop"/>
          <w:rFonts w:cs="Arial"/>
        </w:rPr>
        <w:t xml:space="preserve"> with indicator or survey data available</w:t>
      </w:r>
      <w:r w:rsidR="00D657FD" w:rsidRPr="0059093A">
        <w:rPr>
          <w:rStyle w:val="eop"/>
          <w:rFonts w:cs="Arial"/>
        </w:rPr>
        <w:t>.</w:t>
      </w:r>
      <w:r w:rsidR="00D657FD">
        <w:rPr>
          <w:rStyle w:val="eop"/>
        </w:rPr>
        <w:t xml:space="preserve"> </w:t>
      </w:r>
      <w:r w:rsidR="00E10564">
        <w:rPr>
          <w:rStyle w:val="eop"/>
        </w:rPr>
        <w:br/>
      </w:r>
      <w:r w:rsidR="00E10564">
        <w:rPr>
          <w:rStyle w:val="eop"/>
        </w:rPr>
        <w:br/>
      </w:r>
      <w:r w:rsidR="002F5781">
        <w:rPr>
          <w:rStyle w:val="eop"/>
        </w:rPr>
        <w:t>As detailed in</w:t>
      </w:r>
      <w:r w:rsidRPr="0059093A">
        <w:rPr>
          <w:rStyle w:val="eop"/>
        </w:rPr>
        <w:t xml:space="preserve"> the ‘Intermediate Outcomes’ case study in </w:t>
      </w:r>
      <w:hyperlink w:anchor="_5.2_Outcome_monitoring">
        <w:r w:rsidRPr="09F83F24">
          <w:rPr>
            <w:rStyle w:val="Hyperlink"/>
          </w:rPr>
          <w:t>Section 5.2</w:t>
        </w:r>
      </w:hyperlink>
      <w:r w:rsidR="002F5781">
        <w:rPr>
          <w:rStyle w:val="eop"/>
        </w:rPr>
        <w:t>,</w:t>
      </w:r>
      <w:r w:rsidR="002F5781" w:rsidRPr="09F83F24">
        <w:rPr>
          <w:rStyle w:val="eop"/>
        </w:rPr>
        <w:t xml:space="preserve"> </w:t>
      </w:r>
      <w:r>
        <w:t xml:space="preserve">S-INF-1 </w:t>
      </w:r>
      <w:r w:rsidR="002F5781">
        <w:t xml:space="preserve">showed high levels of compliance, being </w:t>
      </w:r>
      <w:r>
        <w:t xml:space="preserve">considered </w:t>
      </w:r>
      <w:r w:rsidR="00D657FD">
        <w:t xml:space="preserve">compliant </w:t>
      </w:r>
      <w:r w:rsidRPr="0059093A">
        <w:t xml:space="preserve">in 41% of </w:t>
      </w:r>
      <w:r w:rsidR="00250422">
        <w:t>the marine licence applications reviewed</w:t>
      </w:r>
      <w:r w:rsidRPr="0059093A">
        <w:t xml:space="preserve">. The high compliance with the policy evidences that new infrastructure is being supported in </w:t>
      </w:r>
      <w:r w:rsidR="00250422">
        <w:t>marine licence</w:t>
      </w:r>
      <w:r w:rsidRPr="0059093A">
        <w:t xml:space="preserve"> decision-making and thus </w:t>
      </w:r>
      <w:r w:rsidR="00BA7347">
        <w:t>outcomes that aligned to the intent of the policy are occurring</w:t>
      </w:r>
      <w:r w:rsidRPr="0059093A">
        <w:t>.</w:t>
      </w:r>
      <w:r>
        <w:t xml:space="preserve"> </w:t>
      </w:r>
      <w:r w:rsidR="00BA7347">
        <w:t xml:space="preserve">However, it is difficult to ascertain the degree to which the policy has influenced this outcome. </w:t>
      </w:r>
    </w:p>
    <w:p w14:paraId="232A5E96" w14:textId="1AD0F3B8" w:rsidR="00091AF9" w:rsidRPr="00321001" w:rsidRDefault="00091AF9" w:rsidP="00D43BAE">
      <w:pPr>
        <w:pStyle w:val="ListParagraph"/>
        <w:numPr>
          <w:ilvl w:val="0"/>
          <w:numId w:val="8"/>
        </w:numPr>
        <w:ind w:left="561" w:hanging="567"/>
        <w:contextualSpacing w:val="0"/>
        <w:rPr>
          <w:rStyle w:val="eop"/>
          <w:u w:val="single"/>
        </w:rPr>
      </w:pPr>
      <w:r w:rsidRPr="00434C05">
        <w:rPr>
          <w:rStyle w:val="eop"/>
        </w:rPr>
        <w:t xml:space="preserve">The assessment of the effects of directly contributing policies was limited </w:t>
      </w:r>
      <w:r w:rsidRPr="00321001">
        <w:rPr>
          <w:rStyle w:val="eop"/>
          <w:rFonts w:cs="Arial"/>
        </w:rPr>
        <w:t>by existing data gaps and/or by how well data reflected actual policy effects. For example, stakeholder survey responses indicate</w:t>
      </w:r>
      <w:r w:rsidR="00C216B5">
        <w:rPr>
          <w:rStyle w:val="eop"/>
          <w:rFonts w:cs="Arial"/>
        </w:rPr>
        <w:t>d</w:t>
      </w:r>
      <w:r w:rsidRPr="00321001">
        <w:rPr>
          <w:rStyle w:val="eop"/>
          <w:rFonts w:cs="Arial"/>
        </w:rPr>
        <w:t xml:space="preserve"> that port and harbour authorities have been involved in the </w:t>
      </w:r>
      <w:r w:rsidRPr="00D43BAE">
        <w:t>development</w:t>
      </w:r>
      <w:r w:rsidRPr="00321001">
        <w:rPr>
          <w:rStyle w:val="eop"/>
          <w:rFonts w:cs="Arial"/>
        </w:rPr>
        <w:t xml:space="preserve"> and consenting processes of proposals within </w:t>
      </w:r>
      <w:r w:rsidRPr="00321001">
        <w:rPr>
          <w:rStyle w:val="eop"/>
          <w:rFonts w:cs="Arial"/>
        </w:rPr>
        <w:lastRenderedPageBreak/>
        <w:t xml:space="preserve">port/harbour areas. </w:t>
      </w:r>
      <w:r w:rsidR="00E10564">
        <w:rPr>
          <w:rStyle w:val="eop"/>
          <w:rFonts w:cs="Arial"/>
        </w:rPr>
        <w:br/>
      </w:r>
      <w:r w:rsidR="00E10564">
        <w:rPr>
          <w:rStyle w:val="eop"/>
          <w:rFonts w:cs="Arial"/>
        </w:rPr>
        <w:br/>
      </w:r>
      <w:r w:rsidRPr="00321001">
        <w:rPr>
          <w:rStyle w:val="eop"/>
          <w:rFonts w:cs="Arial"/>
        </w:rPr>
        <w:t xml:space="preserve">However, low and variable survey responses prevented </w:t>
      </w:r>
      <w:r>
        <w:rPr>
          <w:rStyle w:val="eop"/>
        </w:rPr>
        <w:t xml:space="preserve">a reliable conclusion of positive progress towards the objective from being made with regards to S-PS-1. Improvements to the monitoring of S-PS-1 policy effects may be gained through the continued development and promotion of stakeholder surveys. </w:t>
      </w:r>
    </w:p>
    <w:p w14:paraId="507AF1D9" w14:textId="0EAECDF3" w:rsidR="00286274" w:rsidRDefault="00EF3FA1" w:rsidP="00D657FD">
      <w:pPr>
        <w:pStyle w:val="ListParagraph"/>
        <w:numPr>
          <w:ilvl w:val="0"/>
          <w:numId w:val="8"/>
        </w:numPr>
        <w:ind w:left="561" w:hanging="567"/>
        <w:contextualSpacing w:val="0"/>
      </w:pPr>
      <w:r w:rsidRPr="00285EEE">
        <w:rPr>
          <w:rStyle w:val="eop"/>
          <w:rFonts w:cs="Arial"/>
        </w:rPr>
        <w:t xml:space="preserve">Overall, </w:t>
      </w:r>
      <w:r w:rsidRPr="00285EEE">
        <w:rPr>
          <w:rStyle w:val="eop"/>
        </w:rPr>
        <w:t>findings suggest that positive</w:t>
      </w:r>
      <w:r w:rsidRPr="00285EEE">
        <w:rPr>
          <w:rStyle w:val="eop"/>
          <w:rFonts w:cs="Arial"/>
        </w:rPr>
        <w:t xml:space="preserve"> progress has been made towards</w:t>
      </w:r>
      <w:r w:rsidRPr="00285EEE">
        <w:rPr>
          <w:rStyle w:val="eop"/>
        </w:rPr>
        <w:t xml:space="preserve"> Objective 2, and the HLMOs to which it is linked</w:t>
      </w:r>
      <w:r w:rsidRPr="00E10564">
        <w:rPr>
          <w:rStyle w:val="eop"/>
        </w:rPr>
        <w:t xml:space="preserve"> </w:t>
      </w:r>
      <w:r w:rsidR="00091AF9" w:rsidRPr="00E10564">
        <w:rPr>
          <w:rStyle w:val="eop"/>
        </w:rPr>
        <w:t>(</w:t>
      </w:r>
      <w:hyperlink w:anchor="_Annex_A:_High">
        <w:r w:rsidR="00FC2AFC" w:rsidRPr="09F83F24">
          <w:rPr>
            <w:rStyle w:val="Hyperlink"/>
          </w:rPr>
          <w:t>Annex A</w:t>
        </w:r>
      </w:hyperlink>
      <w:r w:rsidR="00091AF9" w:rsidRPr="09F83F24">
        <w:rPr>
          <w:rStyle w:val="eop"/>
        </w:rPr>
        <w:t>).</w:t>
      </w:r>
      <w:r w:rsidR="00091AF9" w:rsidRPr="00434C05">
        <w:rPr>
          <w:rStyle w:val="eop"/>
        </w:rPr>
        <w:t xml:space="preserve"> </w:t>
      </w:r>
      <w:r w:rsidR="00E10564">
        <w:rPr>
          <w:rStyle w:val="eop"/>
        </w:rPr>
        <w:br/>
      </w:r>
      <w:r w:rsidR="00E10564">
        <w:rPr>
          <w:rStyle w:val="eop"/>
        </w:rPr>
        <w:br/>
      </w:r>
      <w:r w:rsidR="00091AF9" w:rsidRPr="00501470">
        <w:rPr>
          <w:rStyle w:val="eop"/>
        </w:rPr>
        <w:t>This conclusion is</w:t>
      </w:r>
      <w:r w:rsidR="00091AF9" w:rsidRPr="00321001">
        <w:rPr>
          <w:rStyle w:val="eop"/>
        </w:rPr>
        <w:t xml:space="preserve"> supported </w:t>
      </w:r>
      <w:r w:rsidR="00091AF9" w:rsidRPr="00501470">
        <w:rPr>
          <w:rStyle w:val="eop"/>
        </w:rPr>
        <w:t>by evidence of implementation of directly and indirectly contributing policies in marine licen</w:t>
      </w:r>
      <w:r w:rsidR="009B1493">
        <w:rPr>
          <w:rStyle w:val="eop"/>
        </w:rPr>
        <w:t xml:space="preserve">ce decision-making </w:t>
      </w:r>
      <w:r w:rsidR="00091AF9" w:rsidRPr="00501470">
        <w:rPr>
          <w:rStyle w:val="eop"/>
        </w:rPr>
        <w:t>(</w:t>
      </w:r>
      <w:hyperlink w:anchor="_Annex_B:_Policy">
        <w:r w:rsidR="00FC2AFC" w:rsidRPr="09F83F24">
          <w:rPr>
            <w:rStyle w:val="Hyperlink"/>
          </w:rPr>
          <w:t>Annex B</w:t>
        </w:r>
      </w:hyperlink>
      <w:r w:rsidR="00091AF9" w:rsidRPr="00501470">
        <w:rPr>
          <w:rStyle w:val="eop"/>
        </w:rPr>
        <w:t xml:space="preserve">), </w:t>
      </w:r>
      <w:r w:rsidR="000A4174">
        <w:rPr>
          <w:rStyle w:val="eop"/>
        </w:rPr>
        <w:t>particularly the use of S-INF-1,</w:t>
      </w:r>
      <w:r w:rsidR="00091AF9" w:rsidRPr="00501470">
        <w:rPr>
          <w:rStyle w:val="eop"/>
        </w:rPr>
        <w:t xml:space="preserve"> which evidences support for provision of new infrastructure and</w:t>
      </w:r>
      <w:r w:rsidR="005B48AF">
        <w:rPr>
          <w:rStyle w:val="eop"/>
        </w:rPr>
        <w:t>,</w:t>
      </w:r>
      <w:r w:rsidR="00091AF9" w:rsidRPr="00501470">
        <w:rPr>
          <w:rStyle w:val="eop"/>
        </w:rPr>
        <w:t xml:space="preserve"> therefore</w:t>
      </w:r>
      <w:r w:rsidR="005B48AF">
        <w:rPr>
          <w:rStyle w:val="eop"/>
        </w:rPr>
        <w:t>,</w:t>
      </w:r>
      <w:r w:rsidR="00091AF9" w:rsidRPr="00501470">
        <w:rPr>
          <w:rStyle w:val="eop"/>
        </w:rPr>
        <w:t xml:space="preserve"> progress towards Objective 2. </w:t>
      </w:r>
      <w:r w:rsidR="00E10564">
        <w:rPr>
          <w:rStyle w:val="eop"/>
        </w:rPr>
        <w:br/>
      </w:r>
      <w:r w:rsidR="00E10564">
        <w:rPr>
          <w:rStyle w:val="eop"/>
        </w:rPr>
        <w:br/>
      </w:r>
      <w:r w:rsidR="00663E08">
        <w:rPr>
          <w:rStyle w:val="eop"/>
        </w:rPr>
        <w:t xml:space="preserve">A large number of </w:t>
      </w:r>
      <w:r w:rsidR="00091AF9">
        <w:rPr>
          <w:rStyle w:val="eop"/>
        </w:rPr>
        <w:t xml:space="preserve">indirectly contributing policies, discussed under other objectives, also showed positive </w:t>
      </w:r>
      <w:r w:rsidR="00BA7347">
        <w:rPr>
          <w:rStyle w:val="eop"/>
        </w:rPr>
        <w:t xml:space="preserve">outcomes </w:t>
      </w:r>
      <w:r w:rsidR="00091AF9">
        <w:rPr>
          <w:rStyle w:val="eop"/>
        </w:rPr>
        <w:t>and therefore</w:t>
      </w:r>
      <w:r w:rsidR="005B48AF">
        <w:rPr>
          <w:rStyle w:val="eop"/>
        </w:rPr>
        <w:t>,</w:t>
      </w:r>
      <w:r w:rsidR="00BA7347">
        <w:rPr>
          <w:rStyle w:val="eop"/>
        </w:rPr>
        <w:t xml:space="preserve"> it is assumed positive</w:t>
      </w:r>
      <w:r w:rsidR="00091AF9">
        <w:rPr>
          <w:rStyle w:val="eop"/>
        </w:rPr>
        <w:t xml:space="preserve"> </w:t>
      </w:r>
      <w:r w:rsidR="00BA7347" w:rsidRPr="00D43BAE">
        <w:t>effects</w:t>
      </w:r>
      <w:r w:rsidR="00091AF9">
        <w:t xml:space="preserve">. </w:t>
      </w:r>
      <w:r w:rsidR="00091AF9">
        <w:rPr>
          <w:rStyle w:val="eop"/>
        </w:rPr>
        <w:t xml:space="preserve">However, at this stage there is limited understanding of </w:t>
      </w:r>
      <w:r w:rsidR="00BA7347">
        <w:rPr>
          <w:rStyle w:val="eop"/>
        </w:rPr>
        <w:t>the</w:t>
      </w:r>
      <w:r w:rsidR="00091AF9">
        <w:rPr>
          <w:rStyle w:val="eop"/>
        </w:rPr>
        <w:t xml:space="preserve"> </w:t>
      </w:r>
      <w:r w:rsidR="00091AF9" w:rsidRPr="00DC3A2A">
        <w:t>effective</w:t>
      </w:r>
      <w:r w:rsidR="00091AF9">
        <w:rPr>
          <w:rStyle w:val="eop"/>
        </w:rPr>
        <w:t xml:space="preserve">ness of the policies in </w:t>
      </w:r>
      <w:r w:rsidR="00BA7347">
        <w:rPr>
          <w:rStyle w:val="eop"/>
        </w:rPr>
        <w:t>contributing towards objective progress</w:t>
      </w:r>
      <w:r w:rsidR="00091AF9">
        <w:rPr>
          <w:rStyle w:val="eop"/>
        </w:rPr>
        <w:t xml:space="preserve">. </w:t>
      </w:r>
    </w:p>
    <w:p w14:paraId="36CF7191" w14:textId="631F8EF5" w:rsidR="00091AF9" w:rsidRPr="002A532E" w:rsidRDefault="00D565CC" w:rsidP="00285EEE">
      <w:pPr>
        <w:pStyle w:val="Caption"/>
      </w:pPr>
      <w:bookmarkStart w:id="206" w:name="Obj3"/>
      <w:r>
        <w:t>Table 3: Outcomes findings for</w:t>
      </w:r>
      <w:r w:rsidRPr="00003DD3">
        <w:t xml:space="preserve"> </w:t>
      </w:r>
      <w:r w:rsidR="00091AF9" w:rsidRPr="002A532E">
        <w:t>Objective 3</w:t>
      </w:r>
      <w:r>
        <w:t xml:space="preserve"> -</w:t>
      </w:r>
      <w:r w:rsidR="00091AF9" w:rsidRPr="002A532E">
        <w:t xml:space="preserve"> </w:t>
      </w:r>
      <w:r w:rsidR="00091AF9" w:rsidRPr="003E35B2">
        <w:t>To support diversification of activities which improve socio-economic conditions in coastal communities</w:t>
      </w:r>
    </w:p>
    <w:tbl>
      <w:tblPr>
        <w:tblStyle w:val="DefraGreen3"/>
        <w:tblW w:w="5000" w:type="pct"/>
        <w:tblLook w:val="04A0" w:firstRow="1" w:lastRow="0" w:firstColumn="1" w:lastColumn="0" w:noHBand="0" w:noVBand="1"/>
      </w:tblPr>
      <w:tblGrid>
        <w:gridCol w:w="7356"/>
        <w:gridCol w:w="2265"/>
      </w:tblGrid>
      <w:tr w:rsidR="00091AF9" w:rsidRPr="001A65F6" w14:paraId="6B5C883E" w14:textId="77777777" w:rsidTr="00E02BCB">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823" w:type="pct"/>
          </w:tcPr>
          <w:p w14:paraId="4F44960D" w14:textId="77777777" w:rsidR="00091AF9" w:rsidRPr="001A65F6" w:rsidRDefault="00091AF9" w:rsidP="00E02BCB">
            <w:pPr>
              <w:spacing w:before="60" w:after="60"/>
              <w:rPr>
                <w:rFonts w:eastAsia="Times New Roman" w:cs="Arial"/>
                <w:b/>
                <w:bCs/>
                <w:color w:val="000000"/>
              </w:rPr>
            </w:pPr>
            <w:r w:rsidRPr="00860F94">
              <w:rPr>
                <w:rFonts w:eastAsia="Times New Roman" w:cs="Arial"/>
                <w:b/>
                <w:bCs/>
                <w:color w:val="FFFFFF" w:themeColor="background1"/>
                <w:sz w:val="28"/>
              </w:rPr>
              <w:t xml:space="preserve">Objective </w:t>
            </w:r>
            <w:r>
              <w:rPr>
                <w:rFonts w:eastAsia="Times New Roman" w:cs="Arial"/>
                <w:b/>
                <w:bCs/>
                <w:color w:val="FFFFFF" w:themeColor="background1"/>
                <w:sz w:val="28"/>
              </w:rPr>
              <w:t>progress</w:t>
            </w:r>
            <w:r w:rsidRPr="00860F94">
              <w:rPr>
                <w:rFonts w:eastAsia="Times New Roman" w:cs="Arial"/>
                <w:b/>
                <w:bCs/>
                <w:color w:val="FFFFFF" w:themeColor="background1"/>
                <w:sz w:val="28"/>
              </w:rPr>
              <w:t>: Positive</w:t>
            </w:r>
          </w:p>
        </w:tc>
        <w:tc>
          <w:tcPr>
            <w:tcW w:w="1177" w:type="pct"/>
            <w:noWrap/>
          </w:tcPr>
          <w:p w14:paraId="153D4A6A" w14:textId="77777777" w:rsidR="00091AF9" w:rsidRPr="001A65F6" w:rsidRDefault="00091AF9" w:rsidP="00E02BCB">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Arial"/>
                <w:b/>
                <w:bCs/>
                <w:color w:val="000000"/>
              </w:rPr>
            </w:pPr>
          </w:p>
        </w:tc>
      </w:tr>
      <w:tr w:rsidR="00091AF9" w:rsidRPr="001A65F6" w14:paraId="2D1F4F65"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tcPr>
          <w:p w14:paraId="57E39427" w14:textId="77777777" w:rsidR="00091AF9" w:rsidRPr="004A245D" w:rsidRDefault="00091AF9" w:rsidP="00E02BCB">
            <w:pPr>
              <w:spacing w:before="0" w:after="0"/>
              <w:rPr>
                <w:rFonts w:eastAsia="Times New Roman" w:cs="Arial"/>
                <w:b/>
                <w:bCs/>
                <w:color w:val="000000"/>
              </w:rPr>
            </w:pPr>
            <w:r w:rsidRPr="004A245D">
              <w:rPr>
                <w:rFonts w:eastAsia="Times New Roman" w:cs="Arial"/>
                <w:b/>
                <w:bCs/>
                <w:color w:val="000000"/>
              </w:rPr>
              <w:t>Policy code</w:t>
            </w:r>
          </w:p>
        </w:tc>
        <w:tc>
          <w:tcPr>
            <w:tcW w:w="1177" w:type="pct"/>
            <w:shd w:val="clear" w:color="auto" w:fill="CBE9D3"/>
            <w:noWrap/>
          </w:tcPr>
          <w:p w14:paraId="50B79015" w14:textId="77777777" w:rsidR="00091AF9" w:rsidRPr="004A245D"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rPr>
            </w:pPr>
            <w:r>
              <w:rPr>
                <w:rFonts w:eastAsia="Times New Roman" w:cs="Arial"/>
                <w:b/>
                <w:bCs/>
                <w:color w:val="000000"/>
              </w:rPr>
              <w:t>Outcome findings</w:t>
            </w:r>
          </w:p>
        </w:tc>
      </w:tr>
      <w:tr w:rsidR="00091AF9" w:rsidRPr="001A65F6" w14:paraId="15572034"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2535A066" w14:textId="77777777" w:rsidR="00091AF9" w:rsidRPr="00A056EE" w:rsidRDefault="00091AF9" w:rsidP="00E02BCB">
            <w:pPr>
              <w:spacing w:before="0" w:after="0"/>
              <w:rPr>
                <w:rFonts w:eastAsia="Times New Roman" w:cs="Arial"/>
                <w:b/>
                <w:color w:val="000000"/>
              </w:rPr>
            </w:pPr>
            <w:r w:rsidRPr="00A056EE">
              <w:rPr>
                <w:rFonts w:eastAsia="Times New Roman" w:cs="Arial"/>
                <w:b/>
                <w:color w:val="000000"/>
              </w:rPr>
              <w:t>Directly contributing policies</w:t>
            </w:r>
          </w:p>
        </w:tc>
      </w:tr>
      <w:tr w:rsidR="00091AF9" w:rsidRPr="001A65F6" w14:paraId="54DE6431"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4A7B38BE" w14:textId="77777777" w:rsidR="00091AF9" w:rsidRPr="001A65F6" w:rsidRDefault="00091AF9" w:rsidP="00E02BCB">
            <w:pPr>
              <w:spacing w:before="0" w:after="0"/>
              <w:rPr>
                <w:rFonts w:eastAsia="Times New Roman" w:cs="Arial"/>
                <w:color w:val="000000"/>
              </w:rPr>
            </w:pPr>
            <w:r>
              <w:rPr>
                <w:rFonts w:eastAsia="Times New Roman" w:cs="Arial"/>
                <w:color w:val="000000"/>
              </w:rPr>
              <w:t>S-REN-1, S-TR-1</w:t>
            </w:r>
          </w:p>
        </w:tc>
        <w:tc>
          <w:tcPr>
            <w:tcW w:w="1177" w:type="pct"/>
            <w:shd w:val="clear" w:color="auto" w:fill="FFFFFF" w:themeFill="background1"/>
            <w:noWrap/>
            <w:vAlign w:val="center"/>
          </w:tcPr>
          <w:p w14:paraId="743CA04B"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Inconclusive</w:t>
            </w:r>
          </w:p>
        </w:tc>
      </w:tr>
      <w:tr w:rsidR="00091AF9" w:rsidRPr="001A65F6" w14:paraId="386A82FD"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72B68AE2" w14:textId="77777777" w:rsidR="00091AF9" w:rsidRPr="001A65F6" w:rsidRDefault="00091AF9" w:rsidP="00E02BCB">
            <w:pPr>
              <w:spacing w:before="0" w:after="0"/>
              <w:rPr>
                <w:rFonts w:eastAsia="Times New Roman" w:cs="Arial"/>
                <w:color w:val="000000"/>
              </w:rPr>
            </w:pPr>
            <w:r>
              <w:rPr>
                <w:rFonts w:eastAsia="Times New Roman" w:cs="Arial"/>
                <w:color w:val="000000"/>
              </w:rPr>
              <w:t>S-AGG-4, S-FISH-1</w:t>
            </w:r>
          </w:p>
        </w:tc>
        <w:tc>
          <w:tcPr>
            <w:tcW w:w="1177" w:type="pct"/>
            <w:shd w:val="clear" w:color="auto" w:fill="FFFFFF" w:themeFill="background1"/>
            <w:noWrap/>
            <w:vAlign w:val="center"/>
          </w:tcPr>
          <w:p w14:paraId="5FFAED32"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A65F6">
              <w:rPr>
                <w:rFonts w:eastAsia="Times New Roman" w:cs="Arial"/>
                <w:color w:val="000000"/>
              </w:rPr>
              <w:t>N</w:t>
            </w:r>
            <w:r>
              <w:rPr>
                <w:rFonts w:eastAsia="Times New Roman" w:cs="Arial"/>
                <w:color w:val="000000"/>
              </w:rPr>
              <w:t>o data</w:t>
            </w:r>
          </w:p>
        </w:tc>
      </w:tr>
      <w:tr w:rsidR="00091AF9" w:rsidRPr="001A65F6" w14:paraId="6D97496A"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692FE5FF" w14:textId="77777777" w:rsidR="00091AF9" w:rsidRPr="00A056EE" w:rsidRDefault="00091AF9" w:rsidP="00E02BCB">
            <w:pPr>
              <w:spacing w:before="0" w:after="0"/>
              <w:rPr>
                <w:rFonts w:eastAsia="Times New Roman" w:cs="Arial"/>
                <w:b/>
                <w:color w:val="000000"/>
              </w:rPr>
            </w:pPr>
            <w:r w:rsidRPr="00A056EE">
              <w:rPr>
                <w:rFonts w:eastAsia="Times New Roman" w:cs="Arial"/>
                <w:b/>
                <w:color w:val="000000"/>
              </w:rPr>
              <w:t xml:space="preserve">Indirectly contributing policies </w:t>
            </w:r>
          </w:p>
        </w:tc>
      </w:tr>
      <w:tr w:rsidR="00091AF9" w:rsidRPr="001A65F6" w14:paraId="3270087A"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5FE86948" w14:textId="77777777" w:rsidR="00091AF9" w:rsidRPr="001A65F6" w:rsidRDefault="00091AF9" w:rsidP="00E02BCB">
            <w:pPr>
              <w:spacing w:before="0" w:after="0"/>
              <w:rPr>
                <w:rFonts w:eastAsia="Times New Roman" w:cs="Arial"/>
                <w:color w:val="000000"/>
              </w:rPr>
            </w:pPr>
            <w:r>
              <w:rPr>
                <w:rFonts w:eastAsia="Times New Roman" w:cs="Arial"/>
                <w:color w:val="000000"/>
              </w:rPr>
              <w:t xml:space="preserve">S-AGG-1, S-AGG-2, S-AGG-3, </w:t>
            </w:r>
            <w:r w:rsidRPr="00904FDC">
              <w:rPr>
                <w:rFonts w:eastAsia="Times New Roman" w:cs="Arial"/>
                <w:color w:val="000000"/>
              </w:rPr>
              <w:t>S-DD-1</w:t>
            </w:r>
            <w:r>
              <w:rPr>
                <w:rFonts w:eastAsia="Times New Roman" w:cs="Arial"/>
                <w:color w:val="000000"/>
              </w:rPr>
              <w:t>, S-EMP-1, S-FISH-2, S-FISH-4, S-FISH-4-HER, S-TR-2</w:t>
            </w:r>
          </w:p>
        </w:tc>
        <w:tc>
          <w:tcPr>
            <w:tcW w:w="1177" w:type="pct"/>
            <w:shd w:val="clear" w:color="auto" w:fill="FFFFFF" w:themeFill="background1"/>
            <w:noWrap/>
            <w:vAlign w:val="center"/>
          </w:tcPr>
          <w:p w14:paraId="721BE012"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Positive</w:t>
            </w:r>
          </w:p>
        </w:tc>
      </w:tr>
      <w:tr w:rsidR="00091AF9" w:rsidRPr="001A65F6" w14:paraId="5451F150"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0F020691" w14:textId="77777777" w:rsidR="00091AF9" w:rsidRPr="001A65F6" w:rsidRDefault="00091AF9" w:rsidP="00E02BCB">
            <w:pPr>
              <w:spacing w:before="0" w:after="0"/>
              <w:rPr>
                <w:rFonts w:eastAsia="Times New Roman" w:cs="Arial"/>
                <w:color w:val="000000"/>
              </w:rPr>
            </w:pPr>
            <w:r>
              <w:rPr>
                <w:rFonts w:eastAsia="Times New Roman" w:cs="Arial"/>
                <w:color w:val="000000"/>
              </w:rPr>
              <w:t>S-EMP-2</w:t>
            </w:r>
          </w:p>
        </w:tc>
        <w:tc>
          <w:tcPr>
            <w:tcW w:w="1177" w:type="pct"/>
            <w:shd w:val="clear" w:color="auto" w:fill="FFFFFF" w:themeFill="background1"/>
            <w:noWrap/>
            <w:vAlign w:val="center"/>
          </w:tcPr>
          <w:p w14:paraId="5BC29EC6"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A65F6">
              <w:rPr>
                <w:rFonts w:eastAsia="Times New Roman" w:cs="Arial"/>
                <w:color w:val="000000"/>
              </w:rPr>
              <w:t>Inconclusive</w:t>
            </w:r>
          </w:p>
        </w:tc>
      </w:tr>
      <w:tr w:rsidR="00091AF9" w:rsidRPr="001A65F6" w14:paraId="7F66ED73"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66A36CAB" w14:textId="77777777" w:rsidR="00091AF9" w:rsidRPr="001A65F6" w:rsidRDefault="00091AF9" w:rsidP="00E02BCB">
            <w:pPr>
              <w:spacing w:before="0" w:after="0"/>
              <w:rPr>
                <w:rFonts w:eastAsia="Times New Roman" w:cs="Arial"/>
                <w:color w:val="000000"/>
              </w:rPr>
            </w:pPr>
            <w:r>
              <w:rPr>
                <w:rFonts w:eastAsia="Times New Roman" w:cs="Arial"/>
                <w:color w:val="000000"/>
              </w:rPr>
              <w:t xml:space="preserve">S-FISH-3, S-CC-3 </w:t>
            </w:r>
          </w:p>
        </w:tc>
        <w:tc>
          <w:tcPr>
            <w:tcW w:w="1177" w:type="pct"/>
            <w:shd w:val="clear" w:color="auto" w:fill="FFFFFF" w:themeFill="background1"/>
            <w:noWrap/>
            <w:vAlign w:val="center"/>
          </w:tcPr>
          <w:p w14:paraId="268CB776"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A65F6">
              <w:rPr>
                <w:rFonts w:eastAsia="Times New Roman" w:cs="Arial"/>
                <w:color w:val="000000"/>
              </w:rPr>
              <w:t>No data</w:t>
            </w:r>
          </w:p>
        </w:tc>
      </w:tr>
    </w:tbl>
    <w:p w14:paraId="2AB04ED6" w14:textId="620E8AE3" w:rsidR="00091AF9" w:rsidRPr="00C437D4" w:rsidRDefault="00091AF9" w:rsidP="00D43BAE">
      <w:pPr>
        <w:pStyle w:val="ListParagraph"/>
        <w:numPr>
          <w:ilvl w:val="0"/>
          <w:numId w:val="8"/>
        </w:numPr>
        <w:ind w:left="561" w:hanging="567"/>
        <w:contextualSpacing w:val="0"/>
        <w:rPr>
          <w:rStyle w:val="eop"/>
          <w:rFonts w:cs="Arial"/>
        </w:rPr>
      </w:pPr>
      <w:r w:rsidRPr="00C437D4">
        <w:rPr>
          <w:rStyle w:val="eop"/>
        </w:rPr>
        <w:t>S-REN-1 and S-TR-1 seek to support proposals related to sector-specific activities (</w:t>
      </w:r>
      <w:r w:rsidR="00E10564">
        <w:rPr>
          <w:rStyle w:val="eop"/>
        </w:rPr>
        <w:t>for example,</w:t>
      </w:r>
      <w:r w:rsidR="00E10564" w:rsidRPr="00C437D4">
        <w:rPr>
          <w:rStyle w:val="eop"/>
        </w:rPr>
        <w:t xml:space="preserve"> </w:t>
      </w:r>
      <w:r w:rsidRPr="00C437D4">
        <w:rPr>
          <w:rStyle w:val="eop"/>
        </w:rPr>
        <w:t xml:space="preserve">renewable energy, and tourism and recreation). The effects of these policies were assessed using data on the </w:t>
      </w:r>
      <w:r w:rsidRPr="00D43BAE">
        <w:t>number</w:t>
      </w:r>
      <w:r w:rsidRPr="00C437D4">
        <w:rPr>
          <w:rStyle w:val="eop"/>
        </w:rPr>
        <w:t xml:space="preserve"> of </w:t>
      </w:r>
      <w:r w:rsidRPr="00C437D4">
        <w:rPr>
          <w:rStyle w:val="eop"/>
          <w:rFonts w:cs="Arial"/>
        </w:rPr>
        <w:t xml:space="preserve">marine sector businesses in the </w:t>
      </w:r>
      <w:r w:rsidR="00B07496">
        <w:rPr>
          <w:rStyle w:val="eop"/>
          <w:rFonts w:cs="Arial"/>
        </w:rPr>
        <w:t xml:space="preserve">South Marine </w:t>
      </w:r>
      <w:r w:rsidR="00DC2E44">
        <w:rPr>
          <w:rStyle w:val="eop"/>
          <w:rFonts w:cs="Arial"/>
        </w:rPr>
        <w:t>Plan</w:t>
      </w:r>
      <w:r w:rsidRPr="00C437D4">
        <w:rPr>
          <w:rStyle w:val="eop"/>
          <w:rFonts w:cs="Arial"/>
        </w:rPr>
        <w:t xml:space="preserve"> areas and changes to average Gross Value Added (GVA) over time. Assessment of policy effects also considered the </w:t>
      </w:r>
      <w:r w:rsidRPr="09F83F24">
        <w:rPr>
          <w:rFonts w:cs="Arial"/>
        </w:rPr>
        <w:t>Herfindahl-Hirschman Index (HHI) as a means of measuring the diversity of marine sector economies.</w:t>
      </w:r>
    </w:p>
    <w:p w14:paraId="48CD3D89" w14:textId="3A1A1B06" w:rsidR="00091AF9" w:rsidRPr="00C437D4" w:rsidRDefault="00091AF9" w:rsidP="00D43BAE">
      <w:pPr>
        <w:pStyle w:val="ListParagraph"/>
        <w:numPr>
          <w:ilvl w:val="0"/>
          <w:numId w:val="8"/>
        </w:numPr>
        <w:ind w:left="561" w:hanging="567"/>
        <w:contextualSpacing w:val="0"/>
        <w:rPr>
          <w:rStyle w:val="eop"/>
          <w:rFonts w:cs="Arial"/>
        </w:rPr>
      </w:pPr>
      <w:r w:rsidRPr="00C437D4">
        <w:rPr>
          <w:rStyle w:val="eop"/>
        </w:rPr>
        <w:t xml:space="preserve">Outcome monitoring findings </w:t>
      </w:r>
      <w:r w:rsidRPr="00C437D4">
        <w:rPr>
          <w:rStyle w:val="eop"/>
          <w:rFonts w:cs="Arial"/>
        </w:rPr>
        <w:t>did not provide clear evidence of policy effects for either S-REN-1 or S-TR-1</w:t>
      </w:r>
      <w:r w:rsidRPr="00C437D4">
        <w:rPr>
          <w:rStyle w:val="eop"/>
        </w:rPr>
        <w:t xml:space="preserve"> as not enough time has passed since the </w:t>
      </w:r>
      <w:r w:rsidR="00DC2E44">
        <w:rPr>
          <w:rStyle w:val="eop"/>
        </w:rPr>
        <w:t>Plan</w:t>
      </w:r>
      <w:r w:rsidRPr="00C437D4">
        <w:rPr>
          <w:rStyle w:val="eop"/>
        </w:rPr>
        <w:t xml:space="preserve"> was adopted</w:t>
      </w:r>
      <w:r w:rsidRPr="00C437D4">
        <w:rPr>
          <w:rStyle w:val="eop"/>
          <w:rFonts w:cs="Arial"/>
        </w:rPr>
        <w:t xml:space="preserve">. </w:t>
      </w:r>
      <w:r w:rsidR="00E10564">
        <w:rPr>
          <w:rStyle w:val="eop"/>
          <w:rFonts w:cs="Arial"/>
        </w:rPr>
        <w:br/>
      </w:r>
      <w:r w:rsidR="00E10564">
        <w:rPr>
          <w:rStyle w:val="eop"/>
          <w:rFonts w:cs="Arial"/>
        </w:rPr>
        <w:br/>
      </w:r>
      <w:r w:rsidRPr="00C437D4">
        <w:rPr>
          <w:rStyle w:val="eop"/>
          <w:rFonts w:cs="Arial"/>
        </w:rPr>
        <w:t xml:space="preserve">Findings, therefore, did not allow </w:t>
      </w:r>
      <w:r w:rsidRPr="00C437D4">
        <w:rPr>
          <w:rStyle w:val="eop"/>
        </w:rPr>
        <w:t>robust conclusions on policy effects to be made, beyond ‘inconclusive</w:t>
      </w:r>
      <w:r w:rsidRPr="00043B05">
        <w:rPr>
          <w:rStyle w:val="eop"/>
        </w:rPr>
        <w:t>’</w:t>
      </w:r>
      <w:r w:rsidRPr="00043B05">
        <w:rPr>
          <w:rStyle w:val="eop"/>
          <w:rFonts w:cs="Arial"/>
        </w:rPr>
        <w:t>.</w:t>
      </w:r>
      <w:r w:rsidRPr="00003DD3">
        <w:rPr>
          <w:rStyle w:val="eop"/>
          <w:rFonts w:cs="Arial"/>
        </w:rPr>
        <w:t xml:space="preserve"> </w:t>
      </w:r>
      <w:r w:rsidR="00E10564">
        <w:rPr>
          <w:rStyle w:val="eop"/>
          <w:rFonts w:cs="Arial"/>
        </w:rPr>
        <w:br/>
      </w:r>
      <w:r w:rsidRPr="00003DD3">
        <w:rPr>
          <w:rStyle w:val="eop"/>
          <w:rFonts w:cs="Arial"/>
        </w:rPr>
        <w:lastRenderedPageBreak/>
        <w:t xml:space="preserve">Policy </w:t>
      </w:r>
      <w:r w:rsidRPr="00D43BAE">
        <w:t>implementation</w:t>
      </w:r>
      <w:r w:rsidRPr="00003DD3">
        <w:rPr>
          <w:rStyle w:val="eop"/>
          <w:rFonts w:cs="Arial"/>
        </w:rPr>
        <w:t xml:space="preserve"> was shown for S-AGG-4 and S-FISH-1, a</w:t>
      </w:r>
      <w:r w:rsidRPr="00C437D4">
        <w:rPr>
          <w:rStyle w:val="eop"/>
          <w:rFonts w:cs="Arial"/>
        </w:rPr>
        <w:t xml:space="preserve">s discussed within the ‘Intermediate Outcomes’ case study in </w:t>
      </w:r>
      <w:hyperlink w:anchor="_5.2_Outcome_monitoring">
        <w:r w:rsidRPr="09F83F24">
          <w:rPr>
            <w:rStyle w:val="Hyperlink"/>
            <w:rFonts w:cs="Arial"/>
          </w:rPr>
          <w:t>Section 5.2</w:t>
        </w:r>
      </w:hyperlink>
      <w:r w:rsidRPr="09F83F24">
        <w:rPr>
          <w:rStyle w:val="eop"/>
          <w:rFonts w:cs="Arial"/>
        </w:rPr>
        <w:t xml:space="preserve">. </w:t>
      </w:r>
    </w:p>
    <w:p w14:paraId="04BE89CA" w14:textId="2FFED740" w:rsidR="00091AF9" w:rsidRPr="00C437D4" w:rsidRDefault="00091AF9" w:rsidP="00D43BAE">
      <w:pPr>
        <w:pStyle w:val="ListParagraph"/>
        <w:numPr>
          <w:ilvl w:val="0"/>
          <w:numId w:val="8"/>
        </w:numPr>
        <w:ind w:left="561" w:hanging="567"/>
        <w:contextualSpacing w:val="0"/>
        <w:rPr>
          <w:rStyle w:val="eop"/>
          <w:rFonts w:cs="Arial"/>
          <w:color w:val="FF0000"/>
        </w:rPr>
      </w:pPr>
      <w:r w:rsidRPr="00C437D4">
        <w:rPr>
          <w:rStyle w:val="eop"/>
        </w:rPr>
        <w:t xml:space="preserve">The assessment of the effects of directly contributing policies were limited by </w:t>
      </w:r>
      <w:r w:rsidRPr="00C437D4">
        <w:rPr>
          <w:rStyle w:val="eop"/>
          <w:rFonts w:cs="Arial"/>
        </w:rPr>
        <w:t xml:space="preserve">the methodology used to attribute business numbers related to policy effects, and as the result of data gaps. </w:t>
      </w:r>
      <w:r w:rsidR="00E10564">
        <w:rPr>
          <w:rStyle w:val="eop"/>
          <w:rFonts w:cs="Arial"/>
        </w:rPr>
        <w:br/>
      </w:r>
      <w:r w:rsidR="00E10564">
        <w:rPr>
          <w:rStyle w:val="eop"/>
          <w:rFonts w:cs="Arial"/>
        </w:rPr>
        <w:br/>
      </w:r>
      <w:r w:rsidRPr="00C437D4">
        <w:rPr>
          <w:rStyle w:val="eop"/>
          <w:rFonts w:cs="Arial"/>
        </w:rPr>
        <w:t xml:space="preserve">For example, the number of tourism and recreation businesses in the </w:t>
      </w:r>
      <w:r w:rsidR="00B07496">
        <w:rPr>
          <w:rStyle w:val="eop"/>
          <w:rFonts w:cs="Arial"/>
        </w:rPr>
        <w:t xml:space="preserve">South Marine </w:t>
      </w:r>
      <w:r w:rsidR="00DC2E44">
        <w:rPr>
          <w:rStyle w:val="eop"/>
          <w:rFonts w:cs="Arial"/>
        </w:rPr>
        <w:t>Plan</w:t>
      </w:r>
      <w:r w:rsidRPr="00C437D4">
        <w:rPr>
          <w:rStyle w:val="eop"/>
          <w:rFonts w:cs="Arial"/>
        </w:rPr>
        <w:t xml:space="preserve"> areas has increased by 0.9% since </w:t>
      </w:r>
      <w:r w:rsidR="00DC2E44">
        <w:rPr>
          <w:rStyle w:val="eop"/>
          <w:rFonts w:cs="Arial"/>
        </w:rPr>
        <w:t>Plan</w:t>
      </w:r>
      <w:r w:rsidRPr="00C437D4">
        <w:rPr>
          <w:rStyle w:val="eop"/>
          <w:rFonts w:cs="Arial"/>
        </w:rPr>
        <w:t xml:space="preserve"> adoption, suggesting that positive progress has been made towards Objective 3. </w:t>
      </w:r>
      <w:r w:rsidR="00E10564">
        <w:rPr>
          <w:rStyle w:val="eop"/>
          <w:rFonts w:cs="Arial"/>
        </w:rPr>
        <w:br/>
      </w:r>
      <w:r w:rsidR="00E10564">
        <w:rPr>
          <w:rStyle w:val="eop"/>
          <w:rFonts w:cs="Arial"/>
        </w:rPr>
        <w:br/>
      </w:r>
      <w:r w:rsidRPr="00C437D4">
        <w:rPr>
          <w:rStyle w:val="eop"/>
          <w:rFonts w:cs="Arial"/>
        </w:rPr>
        <w:t xml:space="preserve">However, as multiple years of the data needed to assess GVA were not yet available, the policy effects of S-TR-1 could not be further </w:t>
      </w:r>
      <w:r w:rsidRPr="00D43BAE">
        <w:t>assessed</w:t>
      </w:r>
      <w:r w:rsidRPr="00C437D4">
        <w:rPr>
          <w:rStyle w:val="eop"/>
          <w:rFonts w:cs="Arial"/>
        </w:rPr>
        <w:t xml:space="preserve">. </w:t>
      </w:r>
      <w:r w:rsidR="00E10564">
        <w:rPr>
          <w:rStyle w:val="eop"/>
          <w:rFonts w:cs="Arial"/>
        </w:rPr>
        <w:br/>
      </w:r>
      <w:r w:rsidR="00E10564">
        <w:rPr>
          <w:rStyle w:val="eop"/>
          <w:rFonts w:cs="Arial"/>
        </w:rPr>
        <w:br/>
      </w:r>
      <w:r w:rsidRPr="00C437D4">
        <w:rPr>
          <w:rStyle w:val="eop"/>
          <w:rFonts w:cs="Arial"/>
        </w:rPr>
        <w:t xml:space="preserve">The assessment of policy effects will improve </w:t>
      </w:r>
      <w:r w:rsidRPr="00C437D4">
        <w:rPr>
          <w:rStyle w:val="eop"/>
        </w:rPr>
        <w:t xml:space="preserve">with increasing time from </w:t>
      </w:r>
      <w:r w:rsidR="00DC2E44">
        <w:rPr>
          <w:rStyle w:val="eop"/>
        </w:rPr>
        <w:t>Plan</w:t>
      </w:r>
      <w:r w:rsidRPr="00C437D4">
        <w:rPr>
          <w:rStyle w:val="eop"/>
        </w:rPr>
        <w:t xml:space="preserve"> adoption. Furthermore, the continued development of indicators may improve </w:t>
      </w:r>
      <w:r w:rsidRPr="00C437D4">
        <w:rPr>
          <w:rStyle w:val="normaltextrun"/>
          <w:rFonts w:cs="Arial"/>
        </w:rPr>
        <w:t>methodologies with which to assess the effects of the policies directly contributing to Objective 3.</w:t>
      </w:r>
    </w:p>
    <w:p w14:paraId="5A51C6E0" w14:textId="2D6EB717" w:rsidR="00E10564" w:rsidRPr="007D6517" w:rsidRDefault="00091AF9" w:rsidP="00285EEE">
      <w:pPr>
        <w:pStyle w:val="ListParagraph"/>
        <w:numPr>
          <w:ilvl w:val="0"/>
          <w:numId w:val="8"/>
        </w:numPr>
        <w:ind w:left="561" w:hanging="567"/>
        <w:contextualSpacing w:val="0"/>
        <w:rPr>
          <w:rStyle w:val="eop"/>
          <w:rFonts w:cs="Arial"/>
          <w:b/>
          <w:bCs/>
        </w:rPr>
      </w:pPr>
      <w:r w:rsidRPr="00285EEE">
        <w:rPr>
          <w:rStyle w:val="eop"/>
          <w:rFonts w:cs="Arial"/>
        </w:rPr>
        <w:t>Overall, findings suggest that positive progress has been made towards Objective 3, and the HLMOs to which it is linked</w:t>
      </w:r>
      <w:r w:rsidRPr="09F83F24">
        <w:rPr>
          <w:rStyle w:val="eop"/>
          <w:rFonts w:cs="Arial"/>
          <w:b/>
          <w:bCs/>
        </w:rPr>
        <w:t xml:space="preserve"> </w:t>
      </w:r>
      <w:r w:rsidRPr="00C437D4">
        <w:rPr>
          <w:rStyle w:val="eop"/>
          <w:rFonts w:cs="Arial"/>
        </w:rPr>
        <w:t>(</w:t>
      </w:r>
      <w:hyperlink w:anchor="_Annex_A:_High">
        <w:r w:rsidR="00FC2AFC" w:rsidRPr="09F83F24">
          <w:rPr>
            <w:rStyle w:val="Hyperlink"/>
          </w:rPr>
          <w:t>Annex A</w:t>
        </w:r>
      </w:hyperlink>
      <w:r w:rsidRPr="09F83F24">
        <w:rPr>
          <w:rStyle w:val="eop"/>
          <w:rFonts w:cs="Arial"/>
        </w:rPr>
        <w:t>).</w:t>
      </w:r>
      <w:r w:rsidRPr="00043B05">
        <w:rPr>
          <w:rStyle w:val="eop"/>
          <w:rFonts w:cs="Arial"/>
          <w:b/>
          <w:bCs/>
        </w:rPr>
        <w:t xml:space="preserve"> </w:t>
      </w:r>
      <w:r w:rsidRPr="00003DD3">
        <w:rPr>
          <w:rStyle w:val="eop"/>
        </w:rPr>
        <w:t xml:space="preserve">This conclusion </w:t>
      </w:r>
      <w:r w:rsidRPr="00C437D4">
        <w:rPr>
          <w:rStyle w:val="eop"/>
        </w:rPr>
        <w:t xml:space="preserve">is supported by </w:t>
      </w:r>
      <w:r w:rsidRPr="00C437D4">
        <w:t>evidence of implementation of direct</w:t>
      </w:r>
      <w:r>
        <w:t>ly</w:t>
      </w:r>
      <w:r w:rsidRPr="00C437D4">
        <w:t xml:space="preserve"> and indirectly contributing policies in marine </w:t>
      </w:r>
      <w:r w:rsidR="009B1493">
        <w:t>licence</w:t>
      </w:r>
      <w:r w:rsidRPr="00C437D4">
        <w:t xml:space="preserve"> </w:t>
      </w:r>
      <w:r w:rsidR="009B1493">
        <w:t>decision-making</w:t>
      </w:r>
      <w:r w:rsidRPr="00C437D4">
        <w:t xml:space="preserve"> </w:t>
      </w:r>
      <w:r w:rsidRPr="00C437D4">
        <w:rPr>
          <w:rStyle w:val="eop"/>
        </w:rPr>
        <w:t>(</w:t>
      </w:r>
      <w:hyperlink w:anchor="_Annex_B:_Policy">
        <w:r w:rsidR="00FC2AFC" w:rsidRPr="09F83F24">
          <w:rPr>
            <w:rStyle w:val="Hyperlink"/>
          </w:rPr>
          <w:t>Annex B</w:t>
        </w:r>
      </w:hyperlink>
      <w:r w:rsidRPr="09F83F24">
        <w:rPr>
          <w:rStyle w:val="eop"/>
        </w:rPr>
        <w:t>).</w:t>
      </w:r>
      <w:r w:rsidRPr="00043B05">
        <w:rPr>
          <w:rStyle w:val="eop"/>
        </w:rPr>
        <w:t xml:space="preserve"> </w:t>
      </w:r>
      <w:r w:rsidR="00E10564">
        <w:rPr>
          <w:rStyle w:val="eop"/>
        </w:rPr>
        <w:br/>
      </w:r>
      <w:r w:rsidR="00E10564">
        <w:rPr>
          <w:rStyle w:val="eop"/>
        </w:rPr>
        <w:br/>
      </w:r>
      <w:r w:rsidR="00F027EA">
        <w:rPr>
          <w:rStyle w:val="eop"/>
        </w:rPr>
        <w:t>D</w:t>
      </w:r>
      <w:r w:rsidRPr="00C437D4">
        <w:rPr>
          <w:rStyle w:val="eop"/>
        </w:rPr>
        <w:t xml:space="preserve">irectly contributing policies assessed have shown positive </w:t>
      </w:r>
      <w:r w:rsidR="00C91FA0">
        <w:rPr>
          <w:rStyle w:val="eop"/>
        </w:rPr>
        <w:t>outcomes, although it is too soon to determine if the policies are influencing the observed changes.</w:t>
      </w:r>
      <w:r w:rsidRPr="00043B05">
        <w:rPr>
          <w:rStyle w:val="eop"/>
        </w:rPr>
        <w:t xml:space="preserve"> </w:t>
      </w:r>
      <w:r w:rsidRPr="00003DD3">
        <w:rPr>
          <w:rStyle w:val="eop"/>
        </w:rPr>
        <w:t>M</w:t>
      </w:r>
      <w:r w:rsidRPr="00C437D4">
        <w:rPr>
          <w:rStyle w:val="eop"/>
        </w:rPr>
        <w:t xml:space="preserve">any indirectly contributing policies also showed positive </w:t>
      </w:r>
      <w:r w:rsidR="00F027EA">
        <w:rPr>
          <w:rStyle w:val="eop"/>
        </w:rPr>
        <w:t xml:space="preserve">effects and therefore </w:t>
      </w:r>
      <w:r w:rsidRPr="00C437D4">
        <w:rPr>
          <w:rStyle w:val="eop"/>
        </w:rPr>
        <w:t xml:space="preserve">progress </w:t>
      </w:r>
      <w:r w:rsidRPr="00C437D4">
        <w:rPr>
          <w:rFonts w:cs="Arial"/>
        </w:rPr>
        <w:t>towards policy aims</w:t>
      </w:r>
      <w:r w:rsidRPr="00C437D4">
        <w:t xml:space="preserve">. </w:t>
      </w:r>
      <w:r w:rsidR="00E10564">
        <w:br/>
      </w:r>
      <w:r w:rsidR="00E10564">
        <w:br/>
      </w:r>
      <w:r w:rsidRPr="00C437D4">
        <w:rPr>
          <w:rStyle w:val="eop"/>
        </w:rPr>
        <w:t xml:space="preserve">However, at this stage there is limited understanding of effectiveness of the </w:t>
      </w:r>
      <w:r w:rsidR="00F027EA">
        <w:rPr>
          <w:rStyle w:val="eop"/>
        </w:rPr>
        <w:t xml:space="preserve">contributing </w:t>
      </w:r>
      <w:r w:rsidRPr="00C437D4">
        <w:rPr>
          <w:rStyle w:val="eop"/>
        </w:rPr>
        <w:t xml:space="preserve">policies in progressing towards the objective due to the limited time since the </w:t>
      </w:r>
      <w:r w:rsidR="00DC2E44">
        <w:rPr>
          <w:rStyle w:val="eop"/>
        </w:rPr>
        <w:t>Plan</w:t>
      </w:r>
      <w:r w:rsidRPr="00C437D4">
        <w:rPr>
          <w:rStyle w:val="eop"/>
        </w:rPr>
        <w:t xml:space="preserve"> was adopted. </w:t>
      </w:r>
    </w:p>
    <w:p w14:paraId="0B72A854" w14:textId="52F90B97" w:rsidR="007D6517" w:rsidRDefault="007D6517" w:rsidP="007D6517">
      <w:pPr>
        <w:rPr>
          <w:rFonts w:cs="Arial"/>
          <w:b/>
          <w:bCs/>
        </w:rPr>
      </w:pPr>
    </w:p>
    <w:p w14:paraId="373E78B9" w14:textId="344E9971" w:rsidR="007D6517" w:rsidRDefault="007D6517" w:rsidP="007D6517">
      <w:pPr>
        <w:rPr>
          <w:rFonts w:cs="Arial"/>
          <w:b/>
          <w:bCs/>
        </w:rPr>
      </w:pPr>
    </w:p>
    <w:p w14:paraId="46615739" w14:textId="73434B70" w:rsidR="007D6517" w:rsidRDefault="007D6517" w:rsidP="007D6517">
      <w:pPr>
        <w:rPr>
          <w:rFonts w:cs="Arial"/>
          <w:b/>
          <w:bCs/>
        </w:rPr>
      </w:pPr>
    </w:p>
    <w:p w14:paraId="77B2003E" w14:textId="119ED823" w:rsidR="007D6517" w:rsidRDefault="007D6517" w:rsidP="007D6517">
      <w:pPr>
        <w:rPr>
          <w:rFonts w:cs="Arial"/>
          <w:b/>
          <w:bCs/>
        </w:rPr>
      </w:pPr>
    </w:p>
    <w:p w14:paraId="15D67D4D" w14:textId="61BA7A43" w:rsidR="007D6517" w:rsidRDefault="007D6517" w:rsidP="007D6517">
      <w:pPr>
        <w:rPr>
          <w:rFonts w:cs="Arial"/>
          <w:b/>
          <w:bCs/>
        </w:rPr>
      </w:pPr>
    </w:p>
    <w:p w14:paraId="49F13ECC" w14:textId="056941D2" w:rsidR="007D6517" w:rsidRDefault="007D6517" w:rsidP="007D6517">
      <w:pPr>
        <w:rPr>
          <w:rFonts w:cs="Arial"/>
          <w:b/>
          <w:bCs/>
        </w:rPr>
      </w:pPr>
    </w:p>
    <w:p w14:paraId="320ECBB0" w14:textId="77777777" w:rsidR="007D6517" w:rsidRPr="007D6517" w:rsidRDefault="007D6517" w:rsidP="007D6517">
      <w:pPr>
        <w:rPr>
          <w:rFonts w:cs="Arial"/>
          <w:b/>
          <w:bCs/>
        </w:rPr>
      </w:pPr>
    </w:p>
    <w:p w14:paraId="7522008F" w14:textId="180E1D66" w:rsidR="00091AF9" w:rsidRPr="00285EEE" w:rsidRDefault="00D565CC" w:rsidP="00285EEE">
      <w:pPr>
        <w:pStyle w:val="Caption"/>
      </w:pPr>
      <w:bookmarkStart w:id="207" w:name="Obj4"/>
      <w:bookmarkEnd w:id="206"/>
      <w:r>
        <w:lastRenderedPageBreak/>
        <w:t xml:space="preserve">Table 4: Outcomes findings for </w:t>
      </w:r>
      <w:r w:rsidR="00091AF9" w:rsidRPr="00D43D9E">
        <w:t>Objective 4</w:t>
      </w:r>
      <w:r>
        <w:t xml:space="preserve"> -</w:t>
      </w:r>
      <w:r w:rsidR="00091AF9" w:rsidRPr="00D43D9E">
        <w:t xml:space="preserve"> </w:t>
      </w:r>
      <w:bookmarkEnd w:id="207"/>
      <w:r w:rsidR="00091AF9" w:rsidRPr="00D43D9E">
        <w:t xml:space="preserve">To support marine activities that increase or enhance employment opportunities at all skill levels among the workforce of coastal communities, particularly where they support existing or developing industries within the </w:t>
      </w:r>
      <w:r w:rsidR="00B07496">
        <w:t xml:space="preserve">South Marine </w:t>
      </w:r>
      <w:r w:rsidR="00DC2E44" w:rsidRPr="00285EEE">
        <w:t>Plan</w:t>
      </w:r>
      <w:r w:rsidR="00091AF9" w:rsidRPr="00285EEE">
        <w:t xml:space="preserve"> areas</w:t>
      </w:r>
    </w:p>
    <w:tbl>
      <w:tblPr>
        <w:tblStyle w:val="DefraGreen"/>
        <w:tblW w:w="5006" w:type="pct"/>
        <w:tblLook w:val="04A0" w:firstRow="1" w:lastRow="0" w:firstColumn="1" w:lastColumn="0" w:noHBand="0" w:noVBand="1"/>
      </w:tblPr>
      <w:tblGrid>
        <w:gridCol w:w="7365"/>
        <w:gridCol w:w="2268"/>
      </w:tblGrid>
      <w:tr w:rsidR="00091AF9" w:rsidRPr="001A65F6" w14:paraId="6532D753" w14:textId="77777777" w:rsidTr="00E02BCB">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823" w:type="pct"/>
          </w:tcPr>
          <w:p w14:paraId="347C5E6B" w14:textId="708A9F87" w:rsidR="00091AF9" w:rsidRPr="001A65F6" w:rsidRDefault="00091AF9" w:rsidP="00E02BCB">
            <w:pPr>
              <w:spacing w:before="60" w:after="60"/>
              <w:rPr>
                <w:rFonts w:eastAsia="Times New Roman" w:cs="Arial"/>
                <w:b/>
                <w:bCs/>
                <w:color w:val="000000"/>
              </w:rPr>
            </w:pPr>
            <w:r w:rsidRPr="00860F94">
              <w:rPr>
                <w:rFonts w:eastAsia="Times New Roman" w:cs="Arial"/>
                <w:b/>
                <w:bCs/>
                <w:color w:val="FFFFFF" w:themeColor="background1"/>
                <w:sz w:val="28"/>
              </w:rPr>
              <w:t xml:space="preserve">Objective </w:t>
            </w:r>
            <w:r>
              <w:rPr>
                <w:rFonts w:eastAsia="Times New Roman" w:cs="Arial"/>
                <w:b/>
                <w:bCs/>
                <w:color w:val="FFFFFF" w:themeColor="background1"/>
                <w:sz w:val="28"/>
              </w:rPr>
              <w:t>progress</w:t>
            </w:r>
            <w:r w:rsidRPr="00860F94">
              <w:rPr>
                <w:rFonts w:eastAsia="Times New Roman" w:cs="Arial"/>
                <w:b/>
                <w:bCs/>
                <w:color w:val="FFFFFF" w:themeColor="background1"/>
                <w:sz w:val="28"/>
              </w:rPr>
              <w:t xml:space="preserve">: </w:t>
            </w:r>
            <w:r w:rsidR="00E10564">
              <w:rPr>
                <w:rFonts w:eastAsia="Times New Roman" w:cs="Arial"/>
                <w:b/>
                <w:bCs/>
                <w:color w:val="FFFFFF" w:themeColor="background1"/>
                <w:sz w:val="28"/>
              </w:rPr>
              <w:t>p</w:t>
            </w:r>
            <w:r w:rsidRPr="00860F94">
              <w:rPr>
                <w:rFonts w:eastAsia="Times New Roman" w:cs="Arial"/>
                <w:b/>
                <w:bCs/>
                <w:color w:val="FFFFFF" w:themeColor="background1"/>
                <w:sz w:val="28"/>
              </w:rPr>
              <w:t>ositive</w:t>
            </w:r>
          </w:p>
        </w:tc>
        <w:tc>
          <w:tcPr>
            <w:tcW w:w="1177" w:type="pct"/>
            <w:noWrap/>
          </w:tcPr>
          <w:p w14:paraId="223EFB13" w14:textId="77777777" w:rsidR="00091AF9" w:rsidRPr="001A65F6" w:rsidRDefault="00091AF9" w:rsidP="00E02BCB">
            <w:pPr>
              <w:spacing w:before="0" w:after="0"/>
              <w:cnfStyle w:val="100000000000" w:firstRow="1" w:lastRow="0" w:firstColumn="0" w:lastColumn="0" w:oddVBand="0" w:evenVBand="0" w:oddHBand="0" w:evenHBand="0" w:firstRowFirstColumn="0" w:firstRowLastColumn="0" w:lastRowFirstColumn="0" w:lastRowLastColumn="0"/>
              <w:rPr>
                <w:rFonts w:eastAsia="Times New Roman" w:cs="Arial"/>
                <w:b/>
                <w:bCs/>
                <w:color w:val="000000"/>
              </w:rPr>
            </w:pPr>
          </w:p>
        </w:tc>
      </w:tr>
      <w:tr w:rsidR="00091AF9" w:rsidRPr="001A65F6" w14:paraId="3DB28821"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tcPr>
          <w:p w14:paraId="6A7B79AB" w14:textId="77777777" w:rsidR="00091AF9" w:rsidRPr="004A245D" w:rsidRDefault="00091AF9" w:rsidP="00E02BCB">
            <w:pPr>
              <w:spacing w:before="0" w:after="0"/>
              <w:rPr>
                <w:rFonts w:eastAsia="Times New Roman" w:cs="Arial"/>
                <w:b/>
                <w:bCs/>
                <w:color w:val="000000"/>
              </w:rPr>
            </w:pPr>
            <w:r w:rsidRPr="004A245D">
              <w:rPr>
                <w:rFonts w:eastAsia="Times New Roman" w:cs="Arial"/>
                <w:b/>
                <w:bCs/>
                <w:color w:val="000000"/>
              </w:rPr>
              <w:t>Policy code</w:t>
            </w:r>
          </w:p>
        </w:tc>
        <w:tc>
          <w:tcPr>
            <w:tcW w:w="1177" w:type="pct"/>
            <w:shd w:val="clear" w:color="auto" w:fill="CBE9D3"/>
            <w:noWrap/>
          </w:tcPr>
          <w:p w14:paraId="1DF79241" w14:textId="77777777" w:rsidR="00091AF9" w:rsidRPr="004A245D"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rPr>
            </w:pPr>
            <w:r>
              <w:rPr>
                <w:rFonts w:eastAsia="Times New Roman" w:cs="Arial"/>
                <w:b/>
                <w:bCs/>
                <w:color w:val="000000"/>
              </w:rPr>
              <w:t>Outcome findings</w:t>
            </w:r>
          </w:p>
        </w:tc>
      </w:tr>
      <w:tr w:rsidR="00091AF9" w:rsidRPr="001A65F6" w14:paraId="48DC25E8"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051D1C87" w14:textId="77777777" w:rsidR="00091AF9" w:rsidRPr="00A056EE" w:rsidRDefault="00091AF9" w:rsidP="00E02BCB">
            <w:pPr>
              <w:spacing w:before="0" w:after="0"/>
              <w:rPr>
                <w:rFonts w:eastAsia="Times New Roman" w:cs="Arial"/>
                <w:b/>
                <w:color w:val="000000"/>
              </w:rPr>
            </w:pPr>
            <w:r w:rsidRPr="00A056EE">
              <w:rPr>
                <w:rFonts w:eastAsia="Times New Roman" w:cs="Arial"/>
                <w:b/>
                <w:color w:val="000000"/>
              </w:rPr>
              <w:t>Directly contributing policies</w:t>
            </w:r>
          </w:p>
        </w:tc>
      </w:tr>
      <w:tr w:rsidR="00091AF9" w:rsidRPr="001A65F6" w14:paraId="44204705"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40A71E55" w14:textId="77777777" w:rsidR="00091AF9" w:rsidRPr="001A65F6" w:rsidRDefault="00091AF9" w:rsidP="00E02BCB">
            <w:pPr>
              <w:spacing w:before="0" w:after="0"/>
              <w:rPr>
                <w:rFonts w:eastAsia="Times New Roman" w:cs="Arial"/>
                <w:color w:val="000000"/>
              </w:rPr>
            </w:pPr>
            <w:r>
              <w:rPr>
                <w:rFonts w:eastAsia="Times New Roman" w:cs="Arial"/>
                <w:color w:val="000000"/>
              </w:rPr>
              <w:t>S-EMP-1</w:t>
            </w:r>
          </w:p>
        </w:tc>
        <w:tc>
          <w:tcPr>
            <w:tcW w:w="1177" w:type="pct"/>
            <w:shd w:val="clear" w:color="auto" w:fill="FFFFFF" w:themeFill="background1"/>
            <w:noWrap/>
            <w:vAlign w:val="center"/>
            <w:hideMark/>
          </w:tcPr>
          <w:p w14:paraId="66436FAE"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Positive</w:t>
            </w:r>
          </w:p>
        </w:tc>
      </w:tr>
      <w:tr w:rsidR="00091AF9" w:rsidRPr="001A65F6" w14:paraId="7648C6B5"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2551585F" w14:textId="77777777" w:rsidR="00091AF9" w:rsidRPr="001A65F6" w:rsidRDefault="00091AF9" w:rsidP="00E02BCB">
            <w:pPr>
              <w:spacing w:before="0" w:after="0"/>
              <w:rPr>
                <w:rFonts w:eastAsia="Times New Roman" w:cs="Arial"/>
                <w:color w:val="000000"/>
              </w:rPr>
            </w:pPr>
            <w:r>
              <w:rPr>
                <w:rFonts w:eastAsia="Times New Roman" w:cs="Arial"/>
                <w:color w:val="000000"/>
              </w:rPr>
              <w:t>S-EMP-2</w:t>
            </w:r>
          </w:p>
        </w:tc>
        <w:tc>
          <w:tcPr>
            <w:tcW w:w="1177" w:type="pct"/>
            <w:shd w:val="clear" w:color="auto" w:fill="FFFFFF" w:themeFill="background1"/>
            <w:noWrap/>
            <w:vAlign w:val="center"/>
            <w:hideMark/>
          </w:tcPr>
          <w:p w14:paraId="3CB7E7EA"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Inconclusive</w:t>
            </w:r>
          </w:p>
        </w:tc>
      </w:tr>
      <w:tr w:rsidR="00091AF9" w:rsidRPr="001A65F6" w14:paraId="413D1B57"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60FC11A0" w14:textId="77777777" w:rsidR="00091AF9" w:rsidRPr="00A056EE" w:rsidRDefault="00091AF9" w:rsidP="00E02BCB">
            <w:pPr>
              <w:spacing w:before="0" w:after="0"/>
              <w:rPr>
                <w:rFonts w:eastAsia="Times New Roman" w:cs="Arial"/>
                <w:b/>
                <w:color w:val="000000"/>
              </w:rPr>
            </w:pPr>
            <w:r w:rsidRPr="00A056EE">
              <w:rPr>
                <w:rFonts w:eastAsia="Times New Roman" w:cs="Arial"/>
                <w:b/>
                <w:color w:val="000000"/>
              </w:rPr>
              <w:t xml:space="preserve">Indirectly contributing policies </w:t>
            </w:r>
          </w:p>
        </w:tc>
      </w:tr>
      <w:tr w:rsidR="00091AF9" w:rsidRPr="001A65F6" w14:paraId="2DA27FCD"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604EA7E1" w14:textId="77777777" w:rsidR="00091AF9" w:rsidRPr="001A65F6" w:rsidRDefault="00091AF9" w:rsidP="00E02BCB">
            <w:pPr>
              <w:spacing w:before="0" w:after="0"/>
              <w:rPr>
                <w:rFonts w:eastAsia="Times New Roman" w:cs="Arial"/>
                <w:color w:val="000000"/>
              </w:rPr>
            </w:pPr>
            <w:r>
              <w:rPr>
                <w:rFonts w:eastAsia="Times New Roman" w:cs="Arial"/>
                <w:color w:val="000000"/>
              </w:rPr>
              <w:t xml:space="preserve">S-AGG-1, S-AGG-2, S-AGG-3, S-WQ-1, S-OG-1 </w:t>
            </w:r>
          </w:p>
        </w:tc>
        <w:tc>
          <w:tcPr>
            <w:tcW w:w="1177" w:type="pct"/>
            <w:shd w:val="clear" w:color="auto" w:fill="FFFFFF" w:themeFill="background1"/>
            <w:noWrap/>
            <w:vAlign w:val="center"/>
          </w:tcPr>
          <w:p w14:paraId="448B4352"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Positive</w:t>
            </w:r>
          </w:p>
        </w:tc>
      </w:tr>
      <w:tr w:rsidR="00091AF9" w:rsidRPr="001A65F6" w14:paraId="2C6C06BD"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4E0D9B3C" w14:textId="77777777" w:rsidR="00091AF9" w:rsidRPr="001A65F6" w:rsidRDefault="00091AF9" w:rsidP="00E02BCB">
            <w:pPr>
              <w:spacing w:before="0" w:after="0"/>
              <w:rPr>
                <w:rFonts w:eastAsia="Times New Roman" w:cs="Arial"/>
                <w:color w:val="000000"/>
              </w:rPr>
            </w:pPr>
            <w:r>
              <w:rPr>
                <w:rFonts w:eastAsia="Times New Roman" w:cs="Arial"/>
                <w:color w:val="000000"/>
              </w:rPr>
              <w:t>S-PS-3, S-REN-1</w:t>
            </w:r>
          </w:p>
        </w:tc>
        <w:tc>
          <w:tcPr>
            <w:tcW w:w="1177" w:type="pct"/>
            <w:shd w:val="clear" w:color="auto" w:fill="FFFFFF" w:themeFill="background1"/>
            <w:noWrap/>
            <w:vAlign w:val="center"/>
          </w:tcPr>
          <w:p w14:paraId="7B093CBD"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A65F6">
              <w:rPr>
                <w:rFonts w:eastAsia="Times New Roman" w:cs="Arial"/>
                <w:color w:val="000000"/>
              </w:rPr>
              <w:t>Inconclusive</w:t>
            </w:r>
          </w:p>
        </w:tc>
      </w:tr>
      <w:tr w:rsidR="00091AF9" w:rsidRPr="001A65F6" w14:paraId="40D70684"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tcBorders>
              <w:bottom w:val="single" w:sz="4" w:space="0" w:color="008938"/>
            </w:tcBorders>
            <w:shd w:val="clear" w:color="auto" w:fill="FFFFFF" w:themeFill="background1"/>
            <w:vAlign w:val="center"/>
          </w:tcPr>
          <w:p w14:paraId="474B3FAD" w14:textId="77777777" w:rsidR="00091AF9" w:rsidRPr="001A65F6" w:rsidRDefault="00091AF9" w:rsidP="00E02BCB">
            <w:pPr>
              <w:spacing w:before="0" w:after="0"/>
              <w:rPr>
                <w:rFonts w:eastAsia="Times New Roman" w:cs="Arial"/>
                <w:color w:val="000000"/>
              </w:rPr>
            </w:pPr>
            <w:r>
              <w:rPr>
                <w:rFonts w:eastAsia="Times New Roman" w:cs="Arial"/>
                <w:color w:val="000000"/>
              </w:rPr>
              <w:t>S-WQ-2</w:t>
            </w:r>
          </w:p>
        </w:tc>
        <w:tc>
          <w:tcPr>
            <w:tcW w:w="1177" w:type="pct"/>
            <w:tcBorders>
              <w:bottom w:val="single" w:sz="4" w:space="0" w:color="008938"/>
            </w:tcBorders>
            <w:shd w:val="clear" w:color="auto" w:fill="FFFFFF" w:themeFill="background1"/>
            <w:noWrap/>
            <w:vAlign w:val="center"/>
          </w:tcPr>
          <w:p w14:paraId="2CD6A079"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Negative</w:t>
            </w:r>
          </w:p>
        </w:tc>
      </w:tr>
      <w:tr w:rsidR="00091AF9" w:rsidRPr="001A65F6" w14:paraId="78932CFF"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1421D783" w14:textId="77777777" w:rsidR="00091AF9" w:rsidRPr="001A65F6" w:rsidRDefault="00091AF9" w:rsidP="00E02BCB">
            <w:pPr>
              <w:spacing w:before="0" w:after="0"/>
              <w:rPr>
                <w:rFonts w:eastAsia="Times New Roman" w:cs="Arial"/>
                <w:color w:val="000000"/>
              </w:rPr>
            </w:pPr>
            <w:r>
              <w:rPr>
                <w:rFonts w:eastAsia="Times New Roman" w:cs="Arial"/>
                <w:color w:val="000000"/>
              </w:rPr>
              <w:t>S-AGG-4, S-FISH-1</w:t>
            </w:r>
          </w:p>
        </w:tc>
        <w:tc>
          <w:tcPr>
            <w:tcW w:w="1177" w:type="pct"/>
            <w:shd w:val="clear" w:color="auto" w:fill="FFFFFF" w:themeFill="background1"/>
            <w:noWrap/>
            <w:vAlign w:val="center"/>
          </w:tcPr>
          <w:p w14:paraId="71558318"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A65F6">
              <w:rPr>
                <w:rFonts w:eastAsia="Times New Roman" w:cs="Arial"/>
                <w:color w:val="000000"/>
              </w:rPr>
              <w:t>No data</w:t>
            </w:r>
          </w:p>
        </w:tc>
      </w:tr>
    </w:tbl>
    <w:p w14:paraId="41322773" w14:textId="391654CA" w:rsidR="00091AF9" w:rsidRPr="00C437D4" w:rsidRDefault="00091AF9" w:rsidP="00D43BAE">
      <w:pPr>
        <w:pStyle w:val="ListParagraph"/>
        <w:numPr>
          <w:ilvl w:val="0"/>
          <w:numId w:val="8"/>
        </w:numPr>
        <w:ind w:left="561" w:hanging="567"/>
        <w:contextualSpacing w:val="0"/>
        <w:rPr>
          <w:rStyle w:val="eop"/>
          <w:rFonts w:cs="Arial"/>
        </w:rPr>
      </w:pPr>
      <w:r w:rsidRPr="00C437D4">
        <w:rPr>
          <w:rStyle w:val="eop"/>
        </w:rPr>
        <w:t xml:space="preserve">Both directly contributing policies seek to encourage proposals that support marine-related </w:t>
      </w:r>
      <w:r w:rsidRPr="00D43BAE">
        <w:t>employment</w:t>
      </w:r>
      <w:r w:rsidRPr="00C437D4">
        <w:rPr>
          <w:rStyle w:val="eop"/>
        </w:rPr>
        <w:t xml:space="preserve"> opportunities. </w:t>
      </w:r>
      <w:r w:rsidRPr="00043B05">
        <w:rPr>
          <w:rStyle w:val="eop"/>
        </w:rPr>
        <w:t>The effects of S-EMP-1 were assessed using stakeholder survey responses</w:t>
      </w:r>
      <w:r w:rsidRPr="00003DD3">
        <w:rPr>
          <w:rStyle w:val="eop"/>
        </w:rPr>
        <w:t xml:space="preserve">. </w:t>
      </w:r>
      <w:r w:rsidR="00E10564">
        <w:rPr>
          <w:rStyle w:val="eop"/>
        </w:rPr>
        <w:br/>
      </w:r>
      <w:r w:rsidR="00E10564">
        <w:rPr>
          <w:rStyle w:val="eop"/>
        </w:rPr>
        <w:br/>
      </w:r>
      <w:r w:rsidRPr="00003DD3">
        <w:rPr>
          <w:rStyle w:val="eop"/>
        </w:rPr>
        <w:t>The effects of S-EMP-2 were assessed using Office for National Statistics (ONS) employment data</w:t>
      </w:r>
      <w:r w:rsidRPr="00C437D4">
        <w:rPr>
          <w:rStyle w:val="eop"/>
        </w:rPr>
        <w:t xml:space="preserve"> </w:t>
      </w:r>
      <w:r w:rsidRPr="00043B05">
        <w:rPr>
          <w:rStyle w:val="eop"/>
          <w:rFonts w:cs="Arial"/>
        </w:rPr>
        <w:t xml:space="preserve">in the </w:t>
      </w:r>
      <w:r w:rsidR="00B07496">
        <w:rPr>
          <w:rStyle w:val="eop"/>
          <w:rFonts w:cs="Arial"/>
        </w:rPr>
        <w:t xml:space="preserve">South Marine </w:t>
      </w:r>
      <w:r w:rsidR="00DC2E44">
        <w:rPr>
          <w:rStyle w:val="eop"/>
          <w:rFonts w:cs="Arial"/>
        </w:rPr>
        <w:t>Plan</w:t>
      </w:r>
      <w:r w:rsidRPr="00043B05">
        <w:rPr>
          <w:rStyle w:val="eop"/>
          <w:rFonts w:cs="Arial"/>
        </w:rPr>
        <w:t xml:space="preserve"> area</w:t>
      </w:r>
      <w:r w:rsidRPr="00C437D4">
        <w:rPr>
          <w:rStyle w:val="eop"/>
          <w:rFonts w:cs="Arial"/>
        </w:rPr>
        <w:t xml:space="preserve">. </w:t>
      </w:r>
    </w:p>
    <w:p w14:paraId="3C204783" w14:textId="28BFAD7D" w:rsidR="00091AF9" w:rsidRPr="00C437D4" w:rsidRDefault="00091AF9" w:rsidP="00D43BAE">
      <w:pPr>
        <w:pStyle w:val="ListParagraph"/>
        <w:numPr>
          <w:ilvl w:val="0"/>
          <w:numId w:val="8"/>
        </w:numPr>
        <w:ind w:left="561" w:hanging="567"/>
        <w:contextualSpacing w:val="0"/>
        <w:rPr>
          <w:rStyle w:val="eop"/>
          <w:rFonts w:cs="Arial"/>
          <w:color w:val="FF0000"/>
        </w:rPr>
      </w:pPr>
      <w:r w:rsidRPr="00C437D4">
        <w:rPr>
          <w:rStyle w:val="eop"/>
        </w:rPr>
        <w:t xml:space="preserve">Outcome monitoring findings showed positive effects for S-EMP-1. For example, stakeholder surveys indicated that respondents increasingly </w:t>
      </w:r>
      <w:r w:rsidRPr="00043B05">
        <w:rPr>
          <w:rStyle w:val="eop"/>
        </w:rPr>
        <w:t xml:space="preserve">thought </w:t>
      </w:r>
      <w:r w:rsidRPr="00C437D4">
        <w:rPr>
          <w:rStyle w:val="eop"/>
        </w:rPr>
        <w:t xml:space="preserve">that marine-related </w:t>
      </w:r>
      <w:r w:rsidRPr="00D43BAE">
        <w:t>employment</w:t>
      </w:r>
      <w:r w:rsidRPr="00C437D4">
        <w:rPr>
          <w:rStyle w:val="eop"/>
        </w:rPr>
        <w:t xml:space="preserve"> opportunities, skills and local employment strategies were being considered in decision-making processes. </w:t>
      </w:r>
    </w:p>
    <w:p w14:paraId="3D64332C" w14:textId="5141DF7E" w:rsidR="00091AF9" w:rsidRPr="00043B05" w:rsidRDefault="00091AF9" w:rsidP="00D43BAE">
      <w:pPr>
        <w:pStyle w:val="ListParagraph"/>
        <w:numPr>
          <w:ilvl w:val="0"/>
          <w:numId w:val="8"/>
        </w:numPr>
        <w:ind w:left="561" w:hanging="567"/>
        <w:contextualSpacing w:val="0"/>
        <w:rPr>
          <w:rStyle w:val="eop"/>
          <w:rFonts w:cs="Arial"/>
          <w:color w:val="FF0000"/>
        </w:rPr>
      </w:pPr>
      <w:r w:rsidRPr="00C437D4">
        <w:rPr>
          <w:rStyle w:val="eop"/>
        </w:rPr>
        <w:t xml:space="preserve">Positive policy effects were also found for S-EMP-2, although only one year of data was available following </w:t>
      </w:r>
      <w:r w:rsidR="00DC2E44">
        <w:rPr>
          <w:rStyle w:val="eop"/>
        </w:rPr>
        <w:t>Plan</w:t>
      </w:r>
      <w:r w:rsidRPr="00C437D4">
        <w:rPr>
          <w:rStyle w:val="eop"/>
        </w:rPr>
        <w:t xml:space="preserve"> adoption. </w:t>
      </w:r>
      <w:r w:rsidR="00E10564">
        <w:rPr>
          <w:rStyle w:val="eop"/>
        </w:rPr>
        <w:br/>
      </w:r>
      <w:r w:rsidR="00E10564">
        <w:rPr>
          <w:rStyle w:val="eop"/>
        </w:rPr>
        <w:br/>
      </w:r>
      <w:r w:rsidRPr="00C437D4">
        <w:rPr>
          <w:rStyle w:val="eop"/>
        </w:rPr>
        <w:t xml:space="preserve">Data showed a 7% increase in total </w:t>
      </w:r>
      <w:r w:rsidRPr="00C437D4">
        <w:rPr>
          <w:rStyle w:val="eop"/>
          <w:rFonts w:cs="Arial"/>
        </w:rPr>
        <w:t xml:space="preserve">marine-related employment since </w:t>
      </w:r>
      <w:r w:rsidR="00DC2E44">
        <w:rPr>
          <w:rStyle w:val="eop"/>
          <w:rFonts w:cs="Arial"/>
        </w:rPr>
        <w:t>Plan</w:t>
      </w:r>
      <w:r w:rsidRPr="00C437D4">
        <w:rPr>
          <w:rStyle w:val="eop"/>
          <w:rFonts w:cs="Arial"/>
        </w:rPr>
        <w:t xml:space="preserve"> adoption</w:t>
      </w:r>
      <w:r w:rsidRPr="00043B05">
        <w:rPr>
          <w:rStyle w:val="eop"/>
          <w:rFonts w:cs="Arial"/>
        </w:rPr>
        <w:t xml:space="preserve">. </w:t>
      </w:r>
      <w:r w:rsidRPr="00003DD3">
        <w:rPr>
          <w:rStyle w:val="eop"/>
          <w:rFonts w:cs="Arial"/>
        </w:rPr>
        <w:t xml:space="preserve">Coastal tourism accounted for the largest proportion of </w:t>
      </w:r>
      <w:r w:rsidRPr="00D43BAE">
        <w:t>marine</w:t>
      </w:r>
      <w:r w:rsidRPr="00C437D4">
        <w:rPr>
          <w:rStyle w:val="eop"/>
          <w:rFonts w:cs="Arial"/>
        </w:rPr>
        <w:t>-related employment at 64%</w:t>
      </w:r>
      <w:r>
        <w:rPr>
          <w:rStyle w:val="eop"/>
          <w:rFonts w:cs="Arial"/>
        </w:rPr>
        <w:t>, with aggregates and recreation showing the largest increases in marine-related employment</w:t>
      </w:r>
      <w:r w:rsidR="008B0871">
        <w:rPr>
          <w:rStyle w:val="eop"/>
          <w:rFonts w:cs="Arial"/>
        </w:rPr>
        <w:t xml:space="preserve"> since the </w:t>
      </w:r>
      <w:r w:rsidR="00DC2E44">
        <w:rPr>
          <w:rStyle w:val="eop"/>
          <w:rFonts w:cs="Arial"/>
        </w:rPr>
        <w:t>Plan</w:t>
      </w:r>
      <w:r w:rsidR="008B0871">
        <w:rPr>
          <w:rStyle w:val="eop"/>
          <w:rFonts w:cs="Arial"/>
        </w:rPr>
        <w:t xml:space="preserve"> was adopted</w:t>
      </w:r>
      <w:r>
        <w:rPr>
          <w:rStyle w:val="eop"/>
          <w:rFonts w:cs="Arial"/>
        </w:rPr>
        <w:t>.</w:t>
      </w:r>
      <w:r w:rsidRPr="00C437D4">
        <w:rPr>
          <w:rStyle w:val="normaltextrun"/>
          <w:rFonts w:cs="Arial"/>
        </w:rPr>
        <w:t xml:space="preserve"> </w:t>
      </w:r>
    </w:p>
    <w:p w14:paraId="480BFCDF" w14:textId="7B1BBAF4" w:rsidR="00091AF9" w:rsidRPr="001F792E" w:rsidRDefault="00091AF9" w:rsidP="00D43BAE">
      <w:pPr>
        <w:pStyle w:val="ListParagraph"/>
        <w:numPr>
          <w:ilvl w:val="0"/>
          <w:numId w:val="8"/>
        </w:numPr>
        <w:ind w:left="561" w:hanging="567"/>
        <w:contextualSpacing w:val="0"/>
        <w:rPr>
          <w:rStyle w:val="eop"/>
          <w:rFonts w:cs="Arial"/>
          <w:color w:val="FF0000"/>
        </w:rPr>
      </w:pPr>
      <w:r w:rsidRPr="00043B05">
        <w:rPr>
          <w:rStyle w:val="eop"/>
        </w:rPr>
        <w:t xml:space="preserve">Given the lag anticipated between policy implementation and these observed changes in employment, the </w:t>
      </w:r>
      <w:r w:rsidR="00DC2E44">
        <w:rPr>
          <w:rStyle w:val="eop"/>
        </w:rPr>
        <w:t>Plan</w:t>
      </w:r>
      <w:r w:rsidRPr="00043B05">
        <w:rPr>
          <w:rStyle w:val="eop"/>
        </w:rPr>
        <w:t xml:space="preserve"> is unlikely to have had much influence over the changes at this stage. </w:t>
      </w:r>
      <w:r w:rsidR="00E10564">
        <w:rPr>
          <w:rStyle w:val="eop"/>
        </w:rPr>
        <w:br/>
      </w:r>
      <w:r w:rsidR="00E10564">
        <w:rPr>
          <w:rStyle w:val="eop"/>
        </w:rPr>
        <w:br/>
      </w:r>
      <w:r w:rsidRPr="006E1104">
        <w:rPr>
          <w:rStyle w:val="eop"/>
        </w:rPr>
        <w:t xml:space="preserve">The assessment of the effects of directly contributing policies were further </w:t>
      </w:r>
      <w:r w:rsidRPr="00D43BAE">
        <w:t>limited</w:t>
      </w:r>
      <w:r w:rsidRPr="006E1104">
        <w:rPr>
          <w:rStyle w:val="eop"/>
        </w:rPr>
        <w:t xml:space="preserve"> </w:t>
      </w:r>
      <w:r>
        <w:rPr>
          <w:rStyle w:val="eop"/>
          <w:rFonts w:cs="Arial"/>
        </w:rPr>
        <w:t>by the</w:t>
      </w:r>
      <w:r w:rsidRPr="00043B05">
        <w:rPr>
          <w:rStyle w:val="eop"/>
          <w:rFonts w:cs="Arial"/>
        </w:rPr>
        <w:t xml:space="preserve"> </w:t>
      </w:r>
      <w:r w:rsidRPr="00B00DDE">
        <w:rPr>
          <w:rStyle w:val="eop"/>
          <w:rFonts w:cs="Arial"/>
        </w:rPr>
        <w:t xml:space="preserve">methodology used to attribute </w:t>
      </w:r>
      <w:r>
        <w:rPr>
          <w:rStyle w:val="eop"/>
          <w:rFonts w:cs="Arial"/>
        </w:rPr>
        <w:t xml:space="preserve">employment </w:t>
      </w:r>
      <w:r w:rsidRPr="00B00DDE">
        <w:rPr>
          <w:rStyle w:val="eop"/>
          <w:rFonts w:cs="Arial"/>
        </w:rPr>
        <w:t>related to policy effects</w:t>
      </w:r>
      <w:r w:rsidRPr="006E1104">
        <w:rPr>
          <w:rStyle w:val="normaltextrun"/>
          <w:rFonts w:cs="Arial"/>
        </w:rPr>
        <w:t>.</w:t>
      </w:r>
      <w:r w:rsidRPr="006E1104">
        <w:rPr>
          <w:rStyle w:val="eop"/>
        </w:rPr>
        <w:t xml:space="preserve"> </w:t>
      </w:r>
      <w:r w:rsidR="00E10564">
        <w:rPr>
          <w:rStyle w:val="eop"/>
        </w:rPr>
        <w:br/>
      </w:r>
      <w:r w:rsidR="00E10564">
        <w:rPr>
          <w:rStyle w:val="eop"/>
        </w:rPr>
        <w:br/>
      </w:r>
      <w:r w:rsidRPr="005C73F0">
        <w:rPr>
          <w:rStyle w:val="eop"/>
        </w:rPr>
        <w:t xml:space="preserve">The monitoring of policy effects is likely to improve over time, as </w:t>
      </w:r>
      <w:r>
        <w:rPr>
          <w:rStyle w:val="eop"/>
        </w:rPr>
        <w:t xml:space="preserve">more time passes since </w:t>
      </w:r>
      <w:r w:rsidR="00DC2E44">
        <w:rPr>
          <w:rStyle w:val="eop"/>
        </w:rPr>
        <w:t>Plan</w:t>
      </w:r>
      <w:r>
        <w:rPr>
          <w:rStyle w:val="eop"/>
        </w:rPr>
        <w:t xml:space="preserve"> adoption and observable trends become clearer. </w:t>
      </w:r>
      <w:r w:rsidR="00E10564">
        <w:rPr>
          <w:rStyle w:val="eop"/>
        </w:rPr>
        <w:br/>
      </w:r>
      <w:r w:rsidR="00E10564">
        <w:rPr>
          <w:rStyle w:val="eop"/>
        </w:rPr>
        <w:br/>
      </w:r>
      <w:r w:rsidRPr="001F792E">
        <w:lastRenderedPageBreak/>
        <w:t>The continued development of monitoring methodologies is required to robustly assess the effects of the policies directly contributing to Objective 4.</w:t>
      </w:r>
    </w:p>
    <w:p w14:paraId="0EF0C158" w14:textId="71E01DF8" w:rsidR="00091AF9" w:rsidRPr="006E1104" w:rsidRDefault="00091AF9" w:rsidP="00D43BAE">
      <w:pPr>
        <w:pStyle w:val="ListParagraph"/>
        <w:numPr>
          <w:ilvl w:val="0"/>
          <w:numId w:val="8"/>
        </w:numPr>
        <w:ind w:left="561" w:hanging="567"/>
        <w:contextualSpacing w:val="0"/>
        <w:rPr>
          <w:rFonts w:cs="Arial"/>
          <w:b/>
          <w:bCs/>
        </w:rPr>
      </w:pPr>
      <w:r w:rsidRPr="00285EEE">
        <w:rPr>
          <w:rStyle w:val="eop"/>
          <w:rFonts w:cs="Arial"/>
        </w:rPr>
        <w:t xml:space="preserve">Overall, </w:t>
      </w:r>
      <w:r w:rsidRPr="00285EEE">
        <w:rPr>
          <w:rStyle w:val="eop"/>
        </w:rPr>
        <w:t>findings suggest that positive</w:t>
      </w:r>
      <w:r w:rsidRPr="00285EEE">
        <w:rPr>
          <w:rStyle w:val="eop"/>
          <w:rFonts w:cs="Arial"/>
        </w:rPr>
        <w:t xml:space="preserve"> progress has been made towards</w:t>
      </w:r>
      <w:r w:rsidRPr="00285EEE">
        <w:rPr>
          <w:rStyle w:val="eop"/>
        </w:rPr>
        <w:t xml:space="preserve"> Objective 4, and the HLMOs to which it is linked </w:t>
      </w:r>
      <w:r w:rsidRPr="0012007B">
        <w:rPr>
          <w:rStyle w:val="eop"/>
        </w:rPr>
        <w:t>(</w:t>
      </w:r>
      <w:hyperlink w:anchor="_Annex_A:_High">
        <w:r w:rsidR="00FC2AFC" w:rsidRPr="0012007B">
          <w:rPr>
            <w:rStyle w:val="Hyperlink"/>
          </w:rPr>
          <w:t>Annex A</w:t>
        </w:r>
      </w:hyperlink>
      <w:r w:rsidRPr="0012007B">
        <w:rPr>
          <w:rStyle w:val="eop"/>
        </w:rPr>
        <w:t>).</w:t>
      </w:r>
      <w:r w:rsidRPr="00043B05">
        <w:rPr>
          <w:rStyle w:val="eop"/>
          <w:b/>
          <w:bCs/>
        </w:rPr>
        <w:t xml:space="preserve"> </w:t>
      </w:r>
      <w:r w:rsidR="0012007B">
        <w:rPr>
          <w:rStyle w:val="eop"/>
          <w:b/>
          <w:bCs/>
        </w:rPr>
        <w:br/>
      </w:r>
      <w:r w:rsidR="0012007B">
        <w:rPr>
          <w:rStyle w:val="eop"/>
          <w:b/>
          <w:bCs/>
        </w:rPr>
        <w:br/>
      </w:r>
      <w:r w:rsidRPr="00003DD3">
        <w:rPr>
          <w:rStyle w:val="eop"/>
        </w:rPr>
        <w:t>This conclusion is supported by</w:t>
      </w:r>
      <w:r w:rsidRPr="006E1104">
        <w:t xml:space="preserve"> evidence of use of the directly and indirectly contributing policies use in marine </w:t>
      </w:r>
      <w:r w:rsidR="009B1493">
        <w:t>licence</w:t>
      </w:r>
      <w:r w:rsidRPr="006E1104">
        <w:t xml:space="preserve"> </w:t>
      </w:r>
      <w:r w:rsidR="009B1493">
        <w:t>decision-making</w:t>
      </w:r>
      <w:r w:rsidRPr="006E1104">
        <w:t xml:space="preserve"> </w:t>
      </w:r>
      <w:r w:rsidRPr="006E1104">
        <w:rPr>
          <w:rStyle w:val="eop"/>
        </w:rPr>
        <w:t>(</w:t>
      </w:r>
      <w:hyperlink w:anchor="_Annex_B:_Policy">
        <w:r w:rsidR="00FC2AFC" w:rsidRPr="09F83F24">
          <w:rPr>
            <w:rStyle w:val="Hyperlink"/>
          </w:rPr>
          <w:t>Annex B</w:t>
        </w:r>
      </w:hyperlink>
      <w:r w:rsidRPr="09F83F24">
        <w:rPr>
          <w:rStyle w:val="eop"/>
        </w:rPr>
        <w:t>).</w:t>
      </w:r>
      <w:r w:rsidRPr="00043B05">
        <w:rPr>
          <w:rStyle w:val="eop"/>
        </w:rPr>
        <w:t xml:space="preserve"> </w:t>
      </w:r>
      <w:r w:rsidR="0012007B">
        <w:rPr>
          <w:rStyle w:val="eop"/>
        </w:rPr>
        <w:br/>
      </w:r>
      <w:r w:rsidR="0012007B">
        <w:rPr>
          <w:rStyle w:val="eop"/>
        </w:rPr>
        <w:br/>
      </w:r>
      <w:r w:rsidRPr="00043B05">
        <w:rPr>
          <w:rStyle w:val="eop"/>
        </w:rPr>
        <w:t>Survey</w:t>
      </w:r>
      <w:r w:rsidRPr="00003DD3">
        <w:rPr>
          <w:rStyle w:val="eop"/>
        </w:rPr>
        <w:t xml:space="preserve"> </w:t>
      </w:r>
      <w:r w:rsidRPr="006E1104">
        <w:rPr>
          <w:rStyle w:val="eop"/>
        </w:rPr>
        <w:t>findings showed positive progress</w:t>
      </w:r>
      <w:r w:rsidRPr="006E1104">
        <w:rPr>
          <w:rFonts w:cs="Arial"/>
        </w:rPr>
        <w:t xml:space="preserve"> towards policy</w:t>
      </w:r>
      <w:r w:rsidRPr="006E1104">
        <w:t xml:space="preserve"> aims </w:t>
      </w:r>
      <w:r w:rsidRPr="00043B05">
        <w:t>being</w:t>
      </w:r>
      <w:r w:rsidRPr="00003DD3">
        <w:t xml:space="preserve"> made by directly contributing policy S-EMP</w:t>
      </w:r>
      <w:r w:rsidRPr="006E1104">
        <w:t xml:space="preserve">-1, and many indirectly contributing policies also showed positive effects. </w:t>
      </w:r>
      <w:r w:rsidR="0012007B">
        <w:br/>
      </w:r>
      <w:r w:rsidR="0012007B">
        <w:br/>
      </w:r>
      <w:r w:rsidRPr="00043B05">
        <w:rPr>
          <w:rStyle w:val="eop"/>
        </w:rPr>
        <w:t>F</w:t>
      </w:r>
      <w:r w:rsidRPr="00043B05">
        <w:t>indings</w:t>
      </w:r>
      <w:r w:rsidR="00C5657A">
        <w:t>,</w:t>
      </w:r>
      <w:r w:rsidRPr="00043B05">
        <w:t xml:space="preserve"> therefore</w:t>
      </w:r>
      <w:r w:rsidR="00C5657A">
        <w:t>,</w:t>
      </w:r>
      <w:r w:rsidRPr="00043B05">
        <w:t xml:space="preserve"> suggest that the contributing policies have been </w:t>
      </w:r>
      <w:r w:rsidRPr="00003DD3">
        <w:t xml:space="preserve">somewhat </w:t>
      </w:r>
      <w:r w:rsidRPr="006E1104">
        <w:t>effective</w:t>
      </w:r>
      <w:r w:rsidRPr="00043B05">
        <w:t xml:space="preserve"> in supporting </w:t>
      </w:r>
      <w:r w:rsidRPr="00003DD3">
        <w:t>activities that increase</w:t>
      </w:r>
      <w:r w:rsidRPr="006E1104">
        <w:t>, or enhance, marine-related employment opportunities</w:t>
      </w:r>
      <w:r w:rsidR="00C5657A">
        <w:t>.</w:t>
      </w:r>
      <w:r w:rsidRPr="006E1104">
        <w:t xml:space="preserve"> </w:t>
      </w:r>
      <w:r w:rsidR="0012007B">
        <w:br/>
      </w:r>
      <w:r w:rsidR="0012007B">
        <w:br/>
      </w:r>
      <w:r w:rsidR="00C5657A">
        <w:t>It</w:t>
      </w:r>
      <w:r w:rsidRPr="006E1104">
        <w:t xml:space="preserve"> is</w:t>
      </w:r>
      <w:r w:rsidR="00C5657A">
        <w:t>, however,</w:t>
      </w:r>
      <w:r w:rsidRPr="006E1104">
        <w:t xml:space="preserve"> difficult to discern a trend with limited data available following </w:t>
      </w:r>
      <w:r w:rsidR="00DC2E44">
        <w:t>Plan</w:t>
      </w:r>
      <w:r w:rsidRPr="006E1104">
        <w:t xml:space="preserve"> adoption, and the nature of policy effects which will be realised over a longer time-scale.</w:t>
      </w:r>
    </w:p>
    <w:p w14:paraId="453607A3" w14:textId="3DEAB2B2" w:rsidR="00091AF9" w:rsidRPr="002A532E" w:rsidRDefault="00D565CC" w:rsidP="00285EEE">
      <w:pPr>
        <w:pStyle w:val="Caption"/>
      </w:pPr>
      <w:bookmarkStart w:id="208" w:name="_Objective_5:_To"/>
      <w:bookmarkStart w:id="209" w:name="_Ref68185737"/>
      <w:bookmarkStart w:id="210" w:name="Obj5"/>
      <w:bookmarkEnd w:id="208"/>
      <w:r>
        <w:t xml:space="preserve">Table 5: Outcomes findings for </w:t>
      </w:r>
      <w:r w:rsidR="00091AF9" w:rsidRPr="002A532E">
        <w:t>Objective 5</w:t>
      </w:r>
      <w:r>
        <w:t xml:space="preserve"> - </w:t>
      </w:r>
      <w:r w:rsidR="00091AF9" w:rsidRPr="003E35B2">
        <w:t>To avoid, minimise, mitigate displacement of marine activities, particularly where of importance to adjacent coastal communities, and where this is not practical, to make sure significant adverse impacts on social benefits are avoided</w:t>
      </w:r>
      <w:bookmarkEnd w:id="209"/>
    </w:p>
    <w:tbl>
      <w:tblPr>
        <w:tblStyle w:val="DefraGreen"/>
        <w:tblW w:w="5006" w:type="pct"/>
        <w:tblLook w:val="04A0" w:firstRow="1" w:lastRow="0" w:firstColumn="1" w:lastColumn="0" w:noHBand="0" w:noVBand="1"/>
      </w:tblPr>
      <w:tblGrid>
        <w:gridCol w:w="7365"/>
        <w:gridCol w:w="2268"/>
      </w:tblGrid>
      <w:tr w:rsidR="00091AF9" w:rsidRPr="001A65F6" w14:paraId="5328614B" w14:textId="77777777" w:rsidTr="00E02BCB">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823" w:type="pct"/>
          </w:tcPr>
          <w:p w14:paraId="44CFDAAC" w14:textId="6FD63D63" w:rsidR="00091AF9" w:rsidRPr="001A65F6" w:rsidRDefault="00091AF9" w:rsidP="00E02BCB">
            <w:pPr>
              <w:spacing w:before="60" w:after="60"/>
              <w:rPr>
                <w:rFonts w:eastAsia="Times New Roman" w:cs="Arial"/>
                <w:b/>
                <w:bCs/>
                <w:color w:val="000000"/>
              </w:rPr>
            </w:pPr>
            <w:bookmarkStart w:id="211" w:name="_Hlk67387477"/>
            <w:bookmarkEnd w:id="210"/>
            <w:r w:rsidRPr="00860F94">
              <w:rPr>
                <w:rFonts w:eastAsia="Times New Roman" w:cs="Arial"/>
                <w:b/>
                <w:bCs/>
                <w:color w:val="FFFFFF" w:themeColor="background1"/>
                <w:sz w:val="28"/>
              </w:rPr>
              <w:t xml:space="preserve">Objective </w:t>
            </w:r>
            <w:r>
              <w:rPr>
                <w:rFonts w:eastAsia="Times New Roman" w:cs="Arial"/>
                <w:b/>
                <w:bCs/>
                <w:color w:val="FFFFFF" w:themeColor="background1"/>
                <w:sz w:val="28"/>
              </w:rPr>
              <w:t>progress</w:t>
            </w:r>
            <w:r w:rsidRPr="00860F94">
              <w:rPr>
                <w:rFonts w:eastAsia="Times New Roman" w:cs="Arial"/>
                <w:b/>
                <w:bCs/>
                <w:color w:val="FFFFFF" w:themeColor="background1"/>
                <w:sz w:val="28"/>
              </w:rPr>
              <w:t xml:space="preserve">: </w:t>
            </w:r>
            <w:r w:rsidR="001F1C08">
              <w:rPr>
                <w:rFonts w:eastAsia="Times New Roman" w:cs="Arial"/>
                <w:b/>
                <w:bCs/>
                <w:color w:val="FFFFFF" w:themeColor="background1"/>
                <w:sz w:val="28"/>
              </w:rPr>
              <w:t>p</w:t>
            </w:r>
            <w:r w:rsidRPr="00860F94">
              <w:rPr>
                <w:rFonts w:eastAsia="Times New Roman" w:cs="Arial"/>
                <w:b/>
                <w:bCs/>
                <w:color w:val="FFFFFF" w:themeColor="background1"/>
                <w:sz w:val="28"/>
              </w:rPr>
              <w:t>ositive</w:t>
            </w:r>
          </w:p>
        </w:tc>
        <w:tc>
          <w:tcPr>
            <w:tcW w:w="1177" w:type="pct"/>
            <w:noWrap/>
          </w:tcPr>
          <w:p w14:paraId="7504C5E2" w14:textId="77777777" w:rsidR="00091AF9" w:rsidRPr="001A65F6" w:rsidRDefault="00091AF9" w:rsidP="00E02BCB">
            <w:pPr>
              <w:spacing w:before="0" w:after="0"/>
              <w:cnfStyle w:val="100000000000" w:firstRow="1" w:lastRow="0" w:firstColumn="0" w:lastColumn="0" w:oddVBand="0" w:evenVBand="0" w:oddHBand="0" w:evenHBand="0" w:firstRowFirstColumn="0" w:firstRowLastColumn="0" w:lastRowFirstColumn="0" w:lastRowLastColumn="0"/>
              <w:rPr>
                <w:rFonts w:eastAsia="Times New Roman" w:cs="Arial"/>
                <w:b/>
                <w:bCs/>
                <w:color w:val="000000"/>
              </w:rPr>
            </w:pPr>
          </w:p>
        </w:tc>
      </w:tr>
      <w:tr w:rsidR="00091AF9" w:rsidRPr="001A65F6" w14:paraId="0977C236"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tcPr>
          <w:p w14:paraId="4F294D31" w14:textId="77777777" w:rsidR="00091AF9" w:rsidRPr="004A245D" w:rsidRDefault="00091AF9" w:rsidP="00E02BCB">
            <w:pPr>
              <w:spacing w:before="0" w:after="0"/>
              <w:rPr>
                <w:rFonts w:eastAsia="Times New Roman" w:cs="Arial"/>
                <w:b/>
                <w:bCs/>
                <w:color w:val="000000"/>
              </w:rPr>
            </w:pPr>
            <w:r w:rsidRPr="004A245D">
              <w:rPr>
                <w:rFonts w:eastAsia="Times New Roman" w:cs="Arial"/>
                <w:b/>
                <w:bCs/>
                <w:color w:val="000000"/>
              </w:rPr>
              <w:t>Policy code</w:t>
            </w:r>
          </w:p>
        </w:tc>
        <w:tc>
          <w:tcPr>
            <w:tcW w:w="1177" w:type="pct"/>
            <w:shd w:val="clear" w:color="auto" w:fill="CBE9D3"/>
            <w:noWrap/>
          </w:tcPr>
          <w:p w14:paraId="7E832D8F" w14:textId="77777777" w:rsidR="00091AF9" w:rsidRPr="004A245D"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rPr>
            </w:pPr>
            <w:r>
              <w:rPr>
                <w:rFonts w:eastAsia="Times New Roman" w:cs="Arial"/>
                <w:b/>
                <w:bCs/>
                <w:color w:val="000000"/>
              </w:rPr>
              <w:t>Outcome findings</w:t>
            </w:r>
          </w:p>
        </w:tc>
      </w:tr>
      <w:tr w:rsidR="00091AF9" w:rsidRPr="001A65F6" w14:paraId="1DDC4896"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52623D73" w14:textId="77777777" w:rsidR="00091AF9" w:rsidRPr="00A056EE" w:rsidRDefault="00091AF9" w:rsidP="00E02BCB">
            <w:pPr>
              <w:spacing w:before="0" w:after="0"/>
              <w:rPr>
                <w:rFonts w:eastAsia="Times New Roman" w:cs="Arial"/>
                <w:b/>
                <w:color w:val="000000"/>
              </w:rPr>
            </w:pPr>
            <w:r w:rsidRPr="00A056EE">
              <w:rPr>
                <w:rFonts w:eastAsia="Times New Roman" w:cs="Arial"/>
                <w:b/>
                <w:color w:val="000000"/>
              </w:rPr>
              <w:t>Directly contributing policies</w:t>
            </w:r>
          </w:p>
        </w:tc>
      </w:tr>
      <w:tr w:rsidR="00091AF9" w:rsidRPr="001A65F6" w14:paraId="37458FA8"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26D953DF" w14:textId="77777777" w:rsidR="00091AF9" w:rsidRPr="001A65F6" w:rsidRDefault="00091AF9" w:rsidP="00E02BCB">
            <w:pPr>
              <w:spacing w:before="0" w:after="0"/>
              <w:rPr>
                <w:rFonts w:eastAsia="Times New Roman" w:cs="Arial"/>
                <w:color w:val="000000"/>
              </w:rPr>
            </w:pPr>
            <w:r>
              <w:rPr>
                <w:rFonts w:eastAsia="Times New Roman" w:cs="Arial"/>
                <w:color w:val="000000"/>
              </w:rPr>
              <w:t>S-FISH-2, S-SOC-1, S-TR-2</w:t>
            </w:r>
          </w:p>
        </w:tc>
        <w:tc>
          <w:tcPr>
            <w:tcW w:w="1177" w:type="pct"/>
            <w:shd w:val="clear" w:color="auto" w:fill="FFFFFF" w:themeFill="background1"/>
            <w:noWrap/>
            <w:vAlign w:val="center"/>
            <w:hideMark/>
          </w:tcPr>
          <w:p w14:paraId="7A736062"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Positive</w:t>
            </w:r>
          </w:p>
        </w:tc>
      </w:tr>
      <w:tr w:rsidR="00091AF9" w:rsidRPr="001A65F6" w14:paraId="5959C41C"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02A4E3D8" w14:textId="77777777" w:rsidR="00091AF9" w:rsidRPr="001A65F6" w:rsidRDefault="00091AF9" w:rsidP="00E02BCB">
            <w:pPr>
              <w:spacing w:before="0" w:after="0"/>
              <w:rPr>
                <w:rFonts w:eastAsia="Times New Roman" w:cs="Arial"/>
                <w:color w:val="000000"/>
              </w:rPr>
            </w:pPr>
            <w:r>
              <w:rPr>
                <w:rFonts w:eastAsia="Times New Roman" w:cs="Arial"/>
                <w:color w:val="000000"/>
              </w:rPr>
              <w:t>S-FISH-3</w:t>
            </w:r>
          </w:p>
        </w:tc>
        <w:tc>
          <w:tcPr>
            <w:tcW w:w="1177" w:type="pct"/>
            <w:shd w:val="clear" w:color="auto" w:fill="FFFFFF" w:themeFill="background1"/>
            <w:noWrap/>
            <w:vAlign w:val="center"/>
          </w:tcPr>
          <w:p w14:paraId="0AC597B5"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A65F6">
              <w:rPr>
                <w:rFonts w:eastAsia="Times New Roman" w:cs="Arial"/>
                <w:color w:val="000000"/>
              </w:rPr>
              <w:t>N</w:t>
            </w:r>
            <w:r>
              <w:rPr>
                <w:rFonts w:eastAsia="Times New Roman" w:cs="Arial"/>
                <w:color w:val="000000"/>
              </w:rPr>
              <w:t>o data</w:t>
            </w:r>
          </w:p>
        </w:tc>
      </w:tr>
      <w:tr w:rsidR="00091AF9" w:rsidRPr="001A65F6" w14:paraId="23A7CC8F"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63C55056" w14:textId="77777777" w:rsidR="00091AF9" w:rsidRPr="00A056EE" w:rsidRDefault="00091AF9" w:rsidP="00E02BCB">
            <w:pPr>
              <w:spacing w:before="0" w:after="0"/>
              <w:rPr>
                <w:rFonts w:eastAsia="Times New Roman" w:cs="Arial"/>
                <w:b/>
                <w:color w:val="000000"/>
              </w:rPr>
            </w:pPr>
            <w:r w:rsidRPr="00A056EE">
              <w:rPr>
                <w:rFonts w:eastAsia="Times New Roman" w:cs="Arial"/>
                <w:b/>
                <w:color w:val="000000"/>
              </w:rPr>
              <w:t xml:space="preserve">Indirectly contributing policies </w:t>
            </w:r>
          </w:p>
        </w:tc>
      </w:tr>
      <w:tr w:rsidR="00091AF9" w:rsidRPr="001A65F6" w14:paraId="0DE573BF"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775F5134" w14:textId="77777777" w:rsidR="00091AF9" w:rsidRPr="001A65F6" w:rsidRDefault="00091AF9" w:rsidP="00E02BCB">
            <w:pPr>
              <w:spacing w:before="0" w:after="0"/>
              <w:rPr>
                <w:rFonts w:eastAsia="Times New Roman" w:cs="Arial"/>
                <w:color w:val="000000"/>
              </w:rPr>
            </w:pPr>
            <w:r>
              <w:rPr>
                <w:rFonts w:eastAsia="Times New Roman" w:cs="Arial"/>
                <w:color w:val="000000"/>
              </w:rPr>
              <w:t>S-WQ-1</w:t>
            </w:r>
          </w:p>
        </w:tc>
        <w:tc>
          <w:tcPr>
            <w:tcW w:w="1177" w:type="pct"/>
            <w:shd w:val="clear" w:color="auto" w:fill="FFFFFF" w:themeFill="background1"/>
            <w:noWrap/>
            <w:vAlign w:val="center"/>
          </w:tcPr>
          <w:p w14:paraId="1EBB2E21"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Positive</w:t>
            </w:r>
          </w:p>
        </w:tc>
      </w:tr>
      <w:tr w:rsidR="00091AF9" w:rsidRPr="001A65F6" w14:paraId="6EC77E9E"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36960C00" w14:textId="77777777" w:rsidR="00091AF9" w:rsidRPr="001A65F6" w:rsidRDefault="00091AF9" w:rsidP="00E02BCB">
            <w:pPr>
              <w:spacing w:before="0" w:after="0"/>
              <w:rPr>
                <w:rFonts w:eastAsia="Times New Roman" w:cs="Arial"/>
                <w:color w:val="000000"/>
              </w:rPr>
            </w:pPr>
            <w:r w:rsidRPr="00955CFC">
              <w:rPr>
                <w:rFonts w:eastAsia="Times New Roman" w:cs="Arial"/>
                <w:color w:val="000000"/>
              </w:rPr>
              <w:t>S-AQ-2</w:t>
            </w:r>
            <w:r>
              <w:rPr>
                <w:rFonts w:eastAsia="Times New Roman" w:cs="Arial"/>
                <w:color w:val="000000"/>
              </w:rPr>
              <w:t>, S-PS-2, S-PS-3</w:t>
            </w:r>
          </w:p>
        </w:tc>
        <w:tc>
          <w:tcPr>
            <w:tcW w:w="1177" w:type="pct"/>
            <w:shd w:val="clear" w:color="auto" w:fill="FFFFFF" w:themeFill="background1"/>
            <w:noWrap/>
            <w:vAlign w:val="center"/>
          </w:tcPr>
          <w:p w14:paraId="35573CE2"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A65F6">
              <w:rPr>
                <w:rFonts w:eastAsia="Times New Roman" w:cs="Arial"/>
                <w:color w:val="000000"/>
              </w:rPr>
              <w:t>Inconclusive</w:t>
            </w:r>
          </w:p>
        </w:tc>
      </w:tr>
      <w:tr w:rsidR="00091AF9" w:rsidRPr="001A65F6" w14:paraId="00A2B8DC"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76516F67" w14:textId="77777777" w:rsidR="00091AF9" w:rsidRPr="001A65F6" w:rsidRDefault="00091AF9" w:rsidP="00E02BCB">
            <w:pPr>
              <w:spacing w:before="0" w:after="0"/>
              <w:rPr>
                <w:rFonts w:eastAsia="Times New Roman" w:cs="Arial"/>
                <w:color w:val="000000"/>
              </w:rPr>
            </w:pPr>
            <w:r>
              <w:rPr>
                <w:rFonts w:eastAsia="Times New Roman" w:cs="Arial"/>
                <w:color w:val="000000"/>
              </w:rPr>
              <w:t>S-WQ-2</w:t>
            </w:r>
          </w:p>
        </w:tc>
        <w:tc>
          <w:tcPr>
            <w:tcW w:w="1177" w:type="pct"/>
            <w:shd w:val="clear" w:color="auto" w:fill="FFFFFF" w:themeFill="background1"/>
            <w:noWrap/>
            <w:vAlign w:val="center"/>
          </w:tcPr>
          <w:p w14:paraId="2D2BB3F0"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A65F6">
              <w:rPr>
                <w:rFonts w:eastAsia="Times New Roman" w:cs="Arial"/>
                <w:color w:val="000000"/>
              </w:rPr>
              <w:t>N</w:t>
            </w:r>
            <w:r>
              <w:rPr>
                <w:rFonts w:eastAsia="Times New Roman" w:cs="Arial"/>
                <w:color w:val="000000"/>
              </w:rPr>
              <w:t>egative</w:t>
            </w:r>
          </w:p>
        </w:tc>
      </w:tr>
    </w:tbl>
    <w:bookmarkEnd w:id="211"/>
    <w:p w14:paraId="7D9A8C03" w14:textId="135E0482" w:rsidR="00091AF9" w:rsidRPr="006E1104" w:rsidRDefault="00091AF9" w:rsidP="00D43BAE">
      <w:pPr>
        <w:pStyle w:val="ListParagraph"/>
        <w:numPr>
          <w:ilvl w:val="0"/>
          <w:numId w:val="8"/>
        </w:numPr>
        <w:ind w:left="561" w:hanging="567"/>
        <w:contextualSpacing w:val="0"/>
        <w:rPr>
          <w:rStyle w:val="eop"/>
          <w:rFonts w:cs="Arial"/>
        </w:rPr>
      </w:pPr>
      <w:r w:rsidRPr="00003DD3">
        <w:rPr>
          <w:rStyle w:val="eop"/>
        </w:rPr>
        <w:t xml:space="preserve">All </w:t>
      </w:r>
      <w:r w:rsidRPr="006E1104">
        <w:rPr>
          <w:rStyle w:val="eop"/>
        </w:rPr>
        <w:t xml:space="preserve">directly contributing policies seek to support and/or </w:t>
      </w:r>
      <w:r w:rsidR="00297720">
        <w:rPr>
          <w:rStyle w:val="eop"/>
        </w:rPr>
        <w:t>minimise displacement of</w:t>
      </w:r>
      <w:r w:rsidR="00297720" w:rsidRPr="006E1104">
        <w:rPr>
          <w:rStyle w:val="eop"/>
        </w:rPr>
        <w:t xml:space="preserve"> </w:t>
      </w:r>
      <w:r w:rsidRPr="006E1104">
        <w:rPr>
          <w:rStyle w:val="eop"/>
        </w:rPr>
        <w:t xml:space="preserve">marine activities within the </w:t>
      </w:r>
      <w:r w:rsidR="00B07496">
        <w:rPr>
          <w:rStyle w:val="eop"/>
        </w:rPr>
        <w:t xml:space="preserve">South Marine </w:t>
      </w:r>
      <w:r w:rsidR="00DC2E44">
        <w:rPr>
          <w:rStyle w:val="eop"/>
        </w:rPr>
        <w:t>Plan</w:t>
      </w:r>
      <w:r w:rsidRPr="006E1104">
        <w:rPr>
          <w:rStyle w:val="eop"/>
        </w:rPr>
        <w:t xml:space="preserve"> areas. </w:t>
      </w:r>
      <w:r w:rsidR="0012007B">
        <w:rPr>
          <w:rStyle w:val="eop"/>
        </w:rPr>
        <w:br/>
      </w:r>
      <w:r w:rsidR="0012007B">
        <w:rPr>
          <w:rStyle w:val="eop"/>
        </w:rPr>
        <w:br/>
      </w:r>
      <w:r w:rsidRPr="00043B05">
        <w:rPr>
          <w:rStyle w:val="eop"/>
        </w:rPr>
        <w:t xml:space="preserve">With the exception of S-FISH-3, all directly </w:t>
      </w:r>
      <w:r w:rsidRPr="00D43BAE">
        <w:t>contributing</w:t>
      </w:r>
      <w:r w:rsidRPr="00043B05">
        <w:rPr>
          <w:rStyle w:val="eop"/>
        </w:rPr>
        <w:t xml:space="preserve"> policies were assessed using </w:t>
      </w:r>
      <w:r w:rsidRPr="00003DD3">
        <w:t xml:space="preserve">the number of legal challenges and complaints to the MMO in relation to </w:t>
      </w:r>
      <w:r w:rsidRPr="006E1104">
        <w:t>issues of co-existence and displacement.</w:t>
      </w:r>
    </w:p>
    <w:p w14:paraId="2CFA42DB" w14:textId="4D190317" w:rsidR="00091AF9" w:rsidRPr="009B1493" w:rsidRDefault="00091AF9" w:rsidP="00E43C78">
      <w:pPr>
        <w:pStyle w:val="ListParagraph"/>
        <w:numPr>
          <w:ilvl w:val="0"/>
          <w:numId w:val="8"/>
        </w:numPr>
        <w:ind w:left="561" w:hanging="567"/>
        <w:contextualSpacing w:val="0"/>
        <w:rPr>
          <w:rStyle w:val="eop"/>
          <w:rFonts w:cs="Arial"/>
        </w:rPr>
      </w:pPr>
      <w:r w:rsidRPr="006E1104">
        <w:rPr>
          <w:rStyle w:val="eop"/>
        </w:rPr>
        <w:t xml:space="preserve">Outcome monitoring findings showed positive effects for S-FISH-2, S-SOC-1 and S-TR-2. Data showed a decrease in both the number of complaints (45% decline) and legal challenges (100% decline) received by the MMO in relation to licensed marine </w:t>
      </w:r>
      <w:r w:rsidRPr="006E1104">
        <w:rPr>
          <w:rStyle w:val="eop"/>
        </w:rPr>
        <w:lastRenderedPageBreak/>
        <w:t xml:space="preserve">activities within the </w:t>
      </w:r>
      <w:r w:rsidR="00B07496">
        <w:rPr>
          <w:rStyle w:val="eop"/>
        </w:rPr>
        <w:t xml:space="preserve">South Marine </w:t>
      </w:r>
      <w:r w:rsidR="00DC2E44">
        <w:rPr>
          <w:rStyle w:val="eop"/>
        </w:rPr>
        <w:t>Plan</w:t>
      </w:r>
      <w:r w:rsidRPr="006E1104">
        <w:rPr>
          <w:rStyle w:val="eop"/>
        </w:rPr>
        <w:t xml:space="preserve"> areas since </w:t>
      </w:r>
      <w:r w:rsidR="00DC2E44">
        <w:rPr>
          <w:rStyle w:val="eop"/>
        </w:rPr>
        <w:t>Plan</w:t>
      </w:r>
      <w:r w:rsidRPr="006E1104">
        <w:rPr>
          <w:rStyle w:val="eop"/>
        </w:rPr>
        <w:t xml:space="preserve"> adoption. In both cases, the numbers of complaints and legal challenges received by the MMO during the first reporting window of the </w:t>
      </w:r>
      <w:r w:rsidR="00DC2E44">
        <w:rPr>
          <w:rStyle w:val="eop"/>
        </w:rPr>
        <w:t>Plan</w:t>
      </w:r>
      <w:r w:rsidRPr="006E1104">
        <w:rPr>
          <w:rStyle w:val="eop"/>
        </w:rPr>
        <w:t xml:space="preserve"> were low. </w:t>
      </w:r>
      <w:r w:rsidR="0012007B">
        <w:rPr>
          <w:rStyle w:val="eop"/>
        </w:rPr>
        <w:br/>
      </w:r>
      <w:r w:rsidR="0012007B">
        <w:rPr>
          <w:rStyle w:val="eop"/>
        </w:rPr>
        <w:br/>
      </w:r>
      <w:r w:rsidRPr="006E1104">
        <w:rPr>
          <w:rStyle w:val="eop"/>
        </w:rPr>
        <w:t xml:space="preserve">In total, five complaints and no legal challenges of relevance have been received by the MMO since </w:t>
      </w:r>
      <w:r w:rsidR="00DC2E44">
        <w:rPr>
          <w:rStyle w:val="eop"/>
        </w:rPr>
        <w:t>Plan</w:t>
      </w:r>
      <w:r w:rsidRPr="006E1104">
        <w:rPr>
          <w:rStyle w:val="eop"/>
        </w:rPr>
        <w:t xml:space="preserve"> adoption. No references to specific policies were found within any of the five relevant complaints received during the first reporting window of the </w:t>
      </w:r>
      <w:r w:rsidR="00DC2E44">
        <w:rPr>
          <w:rStyle w:val="eop"/>
        </w:rPr>
        <w:t>Plan</w:t>
      </w:r>
      <w:r w:rsidRPr="006E1104">
        <w:rPr>
          <w:rStyle w:val="eop"/>
        </w:rPr>
        <w:t>.</w:t>
      </w:r>
    </w:p>
    <w:p w14:paraId="17E3A301" w14:textId="4DFBA08B" w:rsidR="00091AF9" w:rsidRPr="006E1104" w:rsidRDefault="00091AF9" w:rsidP="00D43BAE">
      <w:pPr>
        <w:pStyle w:val="ListParagraph"/>
        <w:numPr>
          <w:ilvl w:val="0"/>
          <w:numId w:val="8"/>
        </w:numPr>
        <w:ind w:left="561" w:hanging="567"/>
        <w:contextualSpacing w:val="0"/>
        <w:rPr>
          <w:rStyle w:val="normaltextrun"/>
          <w:rFonts w:cs="Arial"/>
        </w:rPr>
      </w:pPr>
      <w:r w:rsidRPr="006E1104">
        <w:rPr>
          <w:rStyle w:val="eop"/>
        </w:rPr>
        <w:t xml:space="preserve">The assessment of the effects of directly contributing policies were limited by the existing indicator methodology which does not capture other consenting decisions made by the MMO, or those made by other decision-makers. </w:t>
      </w:r>
      <w:r w:rsidR="0012007B">
        <w:rPr>
          <w:rStyle w:val="eop"/>
        </w:rPr>
        <w:br/>
      </w:r>
      <w:r w:rsidR="0012007B">
        <w:rPr>
          <w:rStyle w:val="eop"/>
        </w:rPr>
        <w:br/>
      </w:r>
      <w:r w:rsidRPr="006E1104">
        <w:rPr>
          <w:rStyle w:val="eop"/>
        </w:rPr>
        <w:t>The existing methodology is also likely to only capture the most extreme cases and assumes that all instances of complaint and legal challenge directly result from insufficient consideration of co-</w:t>
      </w:r>
      <w:r w:rsidRPr="00D43BAE">
        <w:t>existence</w:t>
      </w:r>
      <w:r w:rsidRPr="006E1104">
        <w:rPr>
          <w:rStyle w:val="eop"/>
        </w:rPr>
        <w:t xml:space="preserve"> and displacement in marine </w:t>
      </w:r>
      <w:r w:rsidR="00C954E3">
        <w:rPr>
          <w:rStyle w:val="eop"/>
        </w:rPr>
        <w:t>licence</w:t>
      </w:r>
      <w:r w:rsidRPr="006E1104">
        <w:rPr>
          <w:rStyle w:val="eop"/>
        </w:rPr>
        <w:t xml:space="preserve"> decision</w:t>
      </w:r>
      <w:r w:rsidR="00C954E3">
        <w:rPr>
          <w:rStyle w:val="eop"/>
        </w:rPr>
        <w:t>-making</w:t>
      </w:r>
      <w:r w:rsidRPr="006E1104">
        <w:rPr>
          <w:rStyle w:val="eop"/>
        </w:rPr>
        <w:t xml:space="preserve">. </w:t>
      </w:r>
      <w:r w:rsidR="0012007B">
        <w:rPr>
          <w:rStyle w:val="eop"/>
        </w:rPr>
        <w:br/>
      </w:r>
      <w:r w:rsidR="0012007B">
        <w:rPr>
          <w:rStyle w:val="eop"/>
        </w:rPr>
        <w:br/>
      </w:r>
      <w:r w:rsidRPr="006E1104">
        <w:rPr>
          <w:rStyle w:val="eop"/>
        </w:rPr>
        <w:t xml:space="preserve">The continued development of indicators may improve </w:t>
      </w:r>
      <w:r w:rsidRPr="006E1104">
        <w:rPr>
          <w:rStyle w:val="normaltextrun"/>
          <w:rFonts w:cs="Arial"/>
        </w:rPr>
        <w:t xml:space="preserve">methodologies with which to assess the effects of the policies directly contributing to Objective 5. </w:t>
      </w:r>
    </w:p>
    <w:p w14:paraId="12F10FDE" w14:textId="35F27D5E" w:rsidR="00091AF9" w:rsidRPr="006E1104" w:rsidRDefault="00091AF9" w:rsidP="00D43BAE">
      <w:pPr>
        <w:pStyle w:val="ListParagraph"/>
        <w:numPr>
          <w:ilvl w:val="0"/>
          <w:numId w:val="8"/>
        </w:numPr>
        <w:ind w:left="561" w:hanging="567"/>
        <w:contextualSpacing w:val="0"/>
        <w:rPr>
          <w:rFonts w:cs="Arial"/>
        </w:rPr>
      </w:pPr>
      <w:r w:rsidRPr="00285EEE">
        <w:rPr>
          <w:rStyle w:val="eop"/>
          <w:rFonts w:cs="Arial"/>
        </w:rPr>
        <w:t xml:space="preserve">Overall, </w:t>
      </w:r>
      <w:r w:rsidRPr="00285EEE">
        <w:rPr>
          <w:rStyle w:val="eop"/>
        </w:rPr>
        <w:t>findings suggest that positive</w:t>
      </w:r>
      <w:r w:rsidRPr="00285EEE">
        <w:rPr>
          <w:rStyle w:val="eop"/>
          <w:rFonts w:cs="Arial"/>
        </w:rPr>
        <w:t xml:space="preserve"> progress has been made towards</w:t>
      </w:r>
      <w:r w:rsidRPr="00285EEE">
        <w:rPr>
          <w:rStyle w:val="eop"/>
        </w:rPr>
        <w:t xml:space="preserve"> Objective 5, and the HLMOs to which it is linked </w:t>
      </w:r>
      <w:r w:rsidRPr="0012007B">
        <w:rPr>
          <w:rStyle w:val="eop"/>
        </w:rPr>
        <w:t>(</w:t>
      </w:r>
      <w:hyperlink w:anchor="_Annex_A:_High">
        <w:r w:rsidR="00FC2AFC" w:rsidRPr="0012007B">
          <w:rPr>
            <w:rStyle w:val="Hyperlink"/>
          </w:rPr>
          <w:t>Annex A</w:t>
        </w:r>
      </w:hyperlink>
      <w:r w:rsidRPr="0012007B">
        <w:rPr>
          <w:rStyle w:val="eop"/>
        </w:rPr>
        <w:t>).</w:t>
      </w:r>
      <w:r w:rsidRPr="00043B05">
        <w:rPr>
          <w:rStyle w:val="eop"/>
          <w:b/>
          <w:bCs/>
        </w:rPr>
        <w:t xml:space="preserve"> </w:t>
      </w:r>
      <w:r w:rsidR="0012007B">
        <w:rPr>
          <w:rStyle w:val="eop"/>
          <w:b/>
          <w:bCs/>
        </w:rPr>
        <w:br/>
      </w:r>
      <w:r w:rsidR="0012007B">
        <w:rPr>
          <w:rStyle w:val="eop"/>
          <w:b/>
          <w:bCs/>
        </w:rPr>
        <w:br/>
      </w:r>
      <w:r w:rsidRPr="00003DD3">
        <w:rPr>
          <w:rStyle w:val="eop"/>
        </w:rPr>
        <w:t>This conclusion is supported by</w:t>
      </w:r>
      <w:r w:rsidRPr="006E1104">
        <w:rPr>
          <w:rStyle w:val="eop"/>
        </w:rPr>
        <w:t xml:space="preserve"> </w:t>
      </w:r>
      <w:r w:rsidRPr="006E1104">
        <w:t xml:space="preserve">evidence of implementation of the directly </w:t>
      </w:r>
      <w:r w:rsidRPr="00043B05">
        <w:t xml:space="preserve">contributing policies in marine </w:t>
      </w:r>
      <w:r w:rsidR="00C954E3">
        <w:t>licence</w:t>
      </w:r>
      <w:r w:rsidRPr="00043B05">
        <w:t xml:space="preserve"> decision</w:t>
      </w:r>
      <w:r w:rsidR="00C954E3">
        <w:t>-making</w:t>
      </w:r>
      <w:r w:rsidRPr="00043B05">
        <w:t xml:space="preserve"> </w:t>
      </w:r>
      <w:r w:rsidRPr="00003DD3">
        <w:rPr>
          <w:rStyle w:val="eop"/>
        </w:rPr>
        <w:t>(</w:t>
      </w:r>
      <w:hyperlink w:anchor="_Annex_B:_Policy">
        <w:r w:rsidR="00FC2AFC" w:rsidRPr="09F83F24">
          <w:rPr>
            <w:rStyle w:val="Hyperlink"/>
          </w:rPr>
          <w:t>Annex B</w:t>
        </w:r>
      </w:hyperlink>
      <w:r w:rsidRPr="09F83F24">
        <w:rPr>
          <w:rStyle w:val="eop"/>
        </w:rPr>
        <w:t>).</w:t>
      </w:r>
      <w:r w:rsidRPr="00043B05">
        <w:rPr>
          <w:rStyle w:val="eop"/>
        </w:rPr>
        <w:t xml:space="preserve"> </w:t>
      </w:r>
      <w:r w:rsidR="0012007B">
        <w:rPr>
          <w:rStyle w:val="eop"/>
        </w:rPr>
        <w:br/>
      </w:r>
      <w:r w:rsidR="0012007B">
        <w:rPr>
          <w:rStyle w:val="eop"/>
        </w:rPr>
        <w:br/>
      </w:r>
      <w:r w:rsidRPr="00003DD3">
        <w:rPr>
          <w:rStyle w:val="eop"/>
        </w:rPr>
        <w:t>Furthermore,</w:t>
      </w:r>
      <w:r w:rsidRPr="00003DD3" w:rsidDel="00297720">
        <w:rPr>
          <w:rStyle w:val="eop"/>
        </w:rPr>
        <w:t xml:space="preserve"> </w:t>
      </w:r>
      <w:r w:rsidR="00297720" w:rsidRPr="00003DD3">
        <w:rPr>
          <w:rStyle w:val="eop"/>
        </w:rPr>
        <w:t>m</w:t>
      </w:r>
      <w:r w:rsidR="00297720">
        <w:rPr>
          <w:rStyle w:val="eop"/>
        </w:rPr>
        <w:t>ost</w:t>
      </w:r>
      <w:r w:rsidR="00297720" w:rsidRPr="00003DD3">
        <w:rPr>
          <w:rStyle w:val="eop"/>
        </w:rPr>
        <w:t xml:space="preserve"> </w:t>
      </w:r>
      <w:r w:rsidRPr="00003DD3">
        <w:rPr>
          <w:rStyle w:val="eop"/>
        </w:rPr>
        <w:t xml:space="preserve">directly contributing policies </w:t>
      </w:r>
      <w:r w:rsidRPr="00D43BAE">
        <w:t>have</w:t>
      </w:r>
      <w:r w:rsidRPr="00003DD3">
        <w:rPr>
          <w:rStyle w:val="eop"/>
        </w:rPr>
        <w:t xml:space="preserve"> shown</w:t>
      </w:r>
      <w:r w:rsidRPr="006E1104">
        <w:rPr>
          <w:rStyle w:val="eop"/>
        </w:rPr>
        <w:t xml:space="preserve"> positive progress</w:t>
      </w:r>
      <w:r w:rsidRPr="006E1104">
        <w:rPr>
          <w:rFonts w:cs="Arial"/>
        </w:rPr>
        <w:t xml:space="preserve"> towards </w:t>
      </w:r>
      <w:r w:rsidRPr="006E1104">
        <w:t xml:space="preserve">policy aims. </w:t>
      </w:r>
      <w:r w:rsidR="0012007B">
        <w:br/>
      </w:r>
      <w:r w:rsidR="0012007B">
        <w:br/>
      </w:r>
      <w:r w:rsidRPr="00043B05">
        <w:rPr>
          <w:rStyle w:val="eop"/>
        </w:rPr>
        <w:t>F</w:t>
      </w:r>
      <w:r w:rsidRPr="00003DD3">
        <w:t>indings</w:t>
      </w:r>
      <w:r w:rsidR="005B48AF">
        <w:t>,</w:t>
      </w:r>
      <w:r w:rsidRPr="00003DD3">
        <w:t xml:space="preserve"> therefore</w:t>
      </w:r>
      <w:r w:rsidR="005B48AF">
        <w:t>,</w:t>
      </w:r>
      <w:r w:rsidRPr="00003DD3">
        <w:t xml:space="preserve"> sugge</w:t>
      </w:r>
      <w:r w:rsidRPr="006E1104">
        <w:t>st that the contributing policies have been effective</w:t>
      </w:r>
      <w:r w:rsidRPr="00043B05">
        <w:t xml:space="preserve"> in </w:t>
      </w:r>
      <w:r w:rsidRPr="00003DD3">
        <w:t xml:space="preserve">reducing the impacts of </w:t>
      </w:r>
      <w:r w:rsidRPr="006E1104">
        <w:t>displacement</w:t>
      </w:r>
      <w:r w:rsidR="00297720">
        <w:t xml:space="preserve"> on other marine activities</w:t>
      </w:r>
      <w:r w:rsidRPr="006E1104">
        <w:t>.</w:t>
      </w:r>
    </w:p>
    <w:p w14:paraId="44FA7B75" w14:textId="78489483" w:rsidR="00091AF9" w:rsidRPr="006E1104" w:rsidRDefault="00D565CC" w:rsidP="00285EEE">
      <w:pPr>
        <w:pStyle w:val="Caption"/>
      </w:pPr>
      <w:bookmarkStart w:id="212" w:name="Obj6"/>
      <w:r>
        <w:t xml:space="preserve">Table 6: Outcomes findings for </w:t>
      </w:r>
      <w:r w:rsidR="00091AF9" w:rsidRPr="006E1104">
        <w:t>Objective 6</w:t>
      </w:r>
      <w:r>
        <w:t xml:space="preserve"> -</w:t>
      </w:r>
      <w:r w:rsidR="00091AF9" w:rsidRPr="006E1104">
        <w:t xml:space="preserve"> To maintain and enhance inclusive public access to, and within, the </w:t>
      </w:r>
      <w:r w:rsidR="00B07496">
        <w:t xml:space="preserve">South Marine </w:t>
      </w:r>
      <w:r w:rsidR="00DC2E44">
        <w:t>Plan</w:t>
      </w:r>
      <w:r w:rsidR="00091AF9" w:rsidRPr="006E1104">
        <w:t xml:space="preserve"> areas appropriate to its setting</w:t>
      </w:r>
    </w:p>
    <w:tbl>
      <w:tblPr>
        <w:tblStyle w:val="DefraGreen"/>
        <w:tblW w:w="5006" w:type="pct"/>
        <w:tblLook w:val="04A0" w:firstRow="1" w:lastRow="0" w:firstColumn="1" w:lastColumn="0" w:noHBand="0" w:noVBand="1"/>
      </w:tblPr>
      <w:tblGrid>
        <w:gridCol w:w="7365"/>
        <w:gridCol w:w="2268"/>
      </w:tblGrid>
      <w:tr w:rsidR="00091AF9" w:rsidRPr="006E1104" w14:paraId="6D1E9F6D" w14:textId="77777777" w:rsidTr="00E02BCB">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823" w:type="pct"/>
          </w:tcPr>
          <w:p w14:paraId="585F201A" w14:textId="13766B57" w:rsidR="00091AF9" w:rsidRPr="006E1104" w:rsidRDefault="00091AF9" w:rsidP="00E02BCB">
            <w:pPr>
              <w:spacing w:before="60" w:after="60"/>
              <w:rPr>
                <w:rFonts w:eastAsia="Times New Roman" w:cs="Arial"/>
                <w:b/>
                <w:bCs/>
                <w:color w:val="000000"/>
              </w:rPr>
            </w:pPr>
            <w:bookmarkStart w:id="213" w:name="_Hlk67387604"/>
            <w:bookmarkEnd w:id="212"/>
            <w:r w:rsidRPr="00003DD3">
              <w:rPr>
                <w:rFonts w:eastAsia="Times New Roman" w:cs="Arial"/>
                <w:b/>
                <w:bCs/>
                <w:color w:val="FFFFFF" w:themeColor="background1"/>
                <w:sz w:val="28"/>
              </w:rPr>
              <w:t xml:space="preserve">Objective </w:t>
            </w:r>
            <w:r w:rsidRPr="006E1104">
              <w:rPr>
                <w:rFonts w:eastAsia="Times New Roman" w:cs="Arial"/>
                <w:b/>
                <w:bCs/>
                <w:color w:val="FFFFFF" w:themeColor="background1"/>
                <w:sz w:val="28"/>
              </w:rPr>
              <w:t xml:space="preserve">progress: </w:t>
            </w:r>
            <w:r w:rsidR="001F1C08">
              <w:rPr>
                <w:rFonts w:eastAsia="Times New Roman" w:cs="Arial"/>
                <w:b/>
                <w:bCs/>
                <w:color w:val="FFFFFF" w:themeColor="background1"/>
                <w:sz w:val="28"/>
              </w:rPr>
              <w:t>p</w:t>
            </w:r>
            <w:r w:rsidRPr="006E1104">
              <w:rPr>
                <w:rFonts w:eastAsia="Times New Roman" w:cs="Arial"/>
                <w:b/>
                <w:bCs/>
                <w:color w:val="FFFFFF" w:themeColor="background1"/>
                <w:sz w:val="28"/>
              </w:rPr>
              <w:t>ositive</w:t>
            </w:r>
          </w:p>
        </w:tc>
        <w:tc>
          <w:tcPr>
            <w:tcW w:w="1177" w:type="pct"/>
            <w:noWrap/>
          </w:tcPr>
          <w:p w14:paraId="545F752A" w14:textId="77777777" w:rsidR="00091AF9" w:rsidRPr="006E1104" w:rsidRDefault="00091AF9" w:rsidP="00E02BCB">
            <w:pPr>
              <w:spacing w:before="0" w:after="0"/>
              <w:cnfStyle w:val="100000000000" w:firstRow="1" w:lastRow="0" w:firstColumn="0" w:lastColumn="0" w:oddVBand="0" w:evenVBand="0" w:oddHBand="0" w:evenHBand="0" w:firstRowFirstColumn="0" w:firstRowLastColumn="0" w:lastRowFirstColumn="0" w:lastRowLastColumn="0"/>
              <w:rPr>
                <w:rFonts w:eastAsia="Times New Roman" w:cs="Arial"/>
                <w:b/>
                <w:bCs/>
                <w:color w:val="000000"/>
              </w:rPr>
            </w:pPr>
          </w:p>
        </w:tc>
      </w:tr>
      <w:tr w:rsidR="00091AF9" w:rsidRPr="001A65F6" w14:paraId="569FFFE9"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tcPr>
          <w:p w14:paraId="4AD70A43" w14:textId="77777777" w:rsidR="00091AF9" w:rsidRPr="006E1104" w:rsidRDefault="00091AF9" w:rsidP="00E02BCB">
            <w:pPr>
              <w:spacing w:before="0" w:after="0"/>
              <w:rPr>
                <w:rFonts w:eastAsia="Times New Roman" w:cs="Arial"/>
                <w:b/>
                <w:bCs/>
                <w:color w:val="000000"/>
              </w:rPr>
            </w:pPr>
            <w:r w:rsidRPr="006E1104">
              <w:rPr>
                <w:rFonts w:eastAsia="Times New Roman" w:cs="Arial"/>
                <w:b/>
                <w:bCs/>
                <w:color w:val="000000"/>
              </w:rPr>
              <w:t>Policy code</w:t>
            </w:r>
          </w:p>
        </w:tc>
        <w:tc>
          <w:tcPr>
            <w:tcW w:w="1177" w:type="pct"/>
            <w:shd w:val="clear" w:color="auto" w:fill="CBE9D3"/>
            <w:noWrap/>
          </w:tcPr>
          <w:p w14:paraId="36B19B4F" w14:textId="77777777" w:rsidR="00091AF9" w:rsidRPr="006E1104"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rPr>
            </w:pPr>
            <w:r w:rsidRPr="006E1104">
              <w:rPr>
                <w:rFonts w:eastAsia="Times New Roman" w:cs="Arial"/>
                <w:b/>
                <w:bCs/>
                <w:color w:val="000000"/>
              </w:rPr>
              <w:t>Outcome findings</w:t>
            </w:r>
          </w:p>
        </w:tc>
      </w:tr>
      <w:tr w:rsidR="00091AF9" w:rsidRPr="001A65F6" w14:paraId="7A7323AD"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53298228" w14:textId="77777777" w:rsidR="00091AF9" w:rsidRPr="00A056EE" w:rsidRDefault="00091AF9" w:rsidP="00E02BCB">
            <w:pPr>
              <w:spacing w:before="0" w:after="0"/>
              <w:rPr>
                <w:rFonts w:eastAsia="Times New Roman" w:cs="Arial"/>
                <w:b/>
                <w:color w:val="000000"/>
              </w:rPr>
            </w:pPr>
            <w:r w:rsidRPr="00A056EE">
              <w:rPr>
                <w:rFonts w:eastAsia="Times New Roman" w:cs="Arial"/>
                <w:b/>
                <w:color w:val="000000"/>
              </w:rPr>
              <w:t>Directly contributing policies</w:t>
            </w:r>
          </w:p>
        </w:tc>
      </w:tr>
      <w:tr w:rsidR="00091AF9" w:rsidRPr="001A65F6" w14:paraId="32F30E2B"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2E2C9A50" w14:textId="77777777" w:rsidR="00091AF9" w:rsidRPr="001A65F6" w:rsidRDefault="00091AF9" w:rsidP="00E02BCB">
            <w:pPr>
              <w:spacing w:before="0" w:after="0"/>
              <w:rPr>
                <w:rFonts w:eastAsia="Times New Roman" w:cs="Arial"/>
                <w:color w:val="000000"/>
              </w:rPr>
            </w:pPr>
            <w:r>
              <w:rPr>
                <w:rFonts w:eastAsia="Times New Roman" w:cs="Arial"/>
                <w:color w:val="000000"/>
              </w:rPr>
              <w:t>S-ACC-2</w:t>
            </w:r>
          </w:p>
        </w:tc>
        <w:tc>
          <w:tcPr>
            <w:tcW w:w="1177" w:type="pct"/>
            <w:shd w:val="clear" w:color="auto" w:fill="FFFFFF" w:themeFill="background1"/>
            <w:noWrap/>
            <w:vAlign w:val="center"/>
            <w:hideMark/>
          </w:tcPr>
          <w:p w14:paraId="0028A949"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Positive</w:t>
            </w:r>
          </w:p>
        </w:tc>
      </w:tr>
      <w:tr w:rsidR="00091AF9" w:rsidRPr="001A65F6" w14:paraId="77DA25BD"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31734763" w14:textId="77777777" w:rsidR="00091AF9" w:rsidRPr="001A65F6" w:rsidRDefault="00091AF9" w:rsidP="00E02BCB">
            <w:pPr>
              <w:spacing w:before="0" w:after="0"/>
              <w:rPr>
                <w:rFonts w:eastAsia="Times New Roman" w:cs="Arial"/>
                <w:color w:val="000000"/>
              </w:rPr>
            </w:pPr>
            <w:r>
              <w:rPr>
                <w:rFonts w:eastAsia="Times New Roman" w:cs="Arial"/>
                <w:color w:val="000000"/>
              </w:rPr>
              <w:t>S-ACC-1</w:t>
            </w:r>
          </w:p>
        </w:tc>
        <w:tc>
          <w:tcPr>
            <w:tcW w:w="1177" w:type="pct"/>
            <w:shd w:val="clear" w:color="auto" w:fill="FFFFFF" w:themeFill="background1"/>
            <w:noWrap/>
            <w:vAlign w:val="center"/>
          </w:tcPr>
          <w:p w14:paraId="2E8678EF"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A65F6">
              <w:rPr>
                <w:rFonts w:eastAsia="Times New Roman" w:cs="Arial"/>
                <w:color w:val="000000"/>
              </w:rPr>
              <w:t>Neutral</w:t>
            </w:r>
          </w:p>
        </w:tc>
      </w:tr>
      <w:tr w:rsidR="00091AF9" w:rsidRPr="001A65F6" w14:paraId="5C14BC8E"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06E6B75A" w14:textId="77777777" w:rsidR="00091AF9" w:rsidRPr="00A056EE" w:rsidRDefault="00091AF9" w:rsidP="00E02BCB">
            <w:pPr>
              <w:spacing w:before="0" w:after="0"/>
              <w:rPr>
                <w:rFonts w:eastAsia="Times New Roman" w:cs="Arial"/>
                <w:b/>
                <w:color w:val="000000"/>
              </w:rPr>
            </w:pPr>
            <w:r w:rsidRPr="00A056EE">
              <w:rPr>
                <w:rFonts w:eastAsia="Times New Roman" w:cs="Arial"/>
                <w:b/>
                <w:color w:val="000000"/>
              </w:rPr>
              <w:t xml:space="preserve">Indirectly contributing policies </w:t>
            </w:r>
          </w:p>
        </w:tc>
      </w:tr>
      <w:tr w:rsidR="00091AF9" w:rsidRPr="001A65F6" w14:paraId="6ABBA280"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22926AA8" w14:textId="77777777" w:rsidR="00091AF9" w:rsidRPr="001A65F6" w:rsidRDefault="00091AF9" w:rsidP="00E02BCB">
            <w:pPr>
              <w:spacing w:before="0" w:after="0"/>
              <w:rPr>
                <w:rFonts w:eastAsia="Times New Roman" w:cs="Arial"/>
                <w:color w:val="000000"/>
              </w:rPr>
            </w:pPr>
            <w:r w:rsidRPr="00904FDC">
              <w:rPr>
                <w:rFonts w:eastAsia="Times New Roman" w:cs="Arial"/>
                <w:color w:val="000000"/>
              </w:rPr>
              <w:t>S-DD-1</w:t>
            </w:r>
            <w:r>
              <w:rPr>
                <w:rFonts w:eastAsia="Times New Roman" w:cs="Arial"/>
                <w:color w:val="000000"/>
              </w:rPr>
              <w:t>, S-SOC-1</w:t>
            </w:r>
          </w:p>
        </w:tc>
        <w:tc>
          <w:tcPr>
            <w:tcW w:w="1177" w:type="pct"/>
            <w:shd w:val="clear" w:color="auto" w:fill="FFFFFF" w:themeFill="background1"/>
            <w:noWrap/>
            <w:vAlign w:val="center"/>
          </w:tcPr>
          <w:p w14:paraId="6612650D"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Positive</w:t>
            </w:r>
          </w:p>
        </w:tc>
      </w:tr>
      <w:tr w:rsidR="00091AF9" w:rsidRPr="001A65F6" w14:paraId="7D95A360"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3B55EF3A" w14:textId="77777777" w:rsidR="00091AF9" w:rsidRPr="001A65F6" w:rsidRDefault="00091AF9" w:rsidP="00E02BCB">
            <w:pPr>
              <w:spacing w:before="0" w:after="0"/>
              <w:rPr>
                <w:rFonts w:eastAsia="Times New Roman" w:cs="Arial"/>
                <w:color w:val="000000"/>
              </w:rPr>
            </w:pPr>
            <w:r>
              <w:rPr>
                <w:rFonts w:eastAsia="Times New Roman" w:cs="Arial"/>
                <w:color w:val="000000"/>
              </w:rPr>
              <w:t>S-PS-2, S-PS-3</w:t>
            </w:r>
          </w:p>
        </w:tc>
        <w:tc>
          <w:tcPr>
            <w:tcW w:w="1177" w:type="pct"/>
            <w:shd w:val="clear" w:color="auto" w:fill="FFFFFF" w:themeFill="background1"/>
            <w:noWrap/>
            <w:vAlign w:val="center"/>
          </w:tcPr>
          <w:p w14:paraId="6AC75F08"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A65F6">
              <w:rPr>
                <w:rFonts w:eastAsia="Times New Roman" w:cs="Arial"/>
                <w:color w:val="000000"/>
              </w:rPr>
              <w:t>Inconclusive</w:t>
            </w:r>
          </w:p>
        </w:tc>
      </w:tr>
    </w:tbl>
    <w:bookmarkEnd w:id="213"/>
    <w:p w14:paraId="70A9823F" w14:textId="77777777" w:rsidR="00091AF9" w:rsidRPr="006E1104" w:rsidRDefault="00091AF9" w:rsidP="00D43BAE">
      <w:pPr>
        <w:pStyle w:val="ListParagraph"/>
        <w:numPr>
          <w:ilvl w:val="0"/>
          <w:numId w:val="8"/>
        </w:numPr>
        <w:ind w:left="561" w:hanging="567"/>
        <w:contextualSpacing w:val="0"/>
        <w:rPr>
          <w:rStyle w:val="eop"/>
          <w:rFonts w:cs="Arial"/>
        </w:rPr>
      </w:pPr>
      <w:r w:rsidRPr="006E1104">
        <w:rPr>
          <w:rStyle w:val="eop"/>
        </w:rPr>
        <w:lastRenderedPageBreak/>
        <w:t xml:space="preserve">Policy S-ACC-1 </w:t>
      </w:r>
      <w:r w:rsidRPr="00D43BAE">
        <w:t>requires</w:t>
      </w:r>
      <w:r w:rsidRPr="006E1104">
        <w:rPr>
          <w:rStyle w:val="eop"/>
        </w:rPr>
        <w:t xml:space="preserve"> proposals to reduce their impacts on public access, whilst S-ACC-2 seeks to support proposals that will enhance public access to and within the marine area. The effects of both directly contributing policies were assessed using </w:t>
      </w:r>
      <w:r w:rsidRPr="006E1104">
        <w:rPr>
          <w:rStyle w:val="eop"/>
          <w:rFonts w:cs="Arial"/>
        </w:rPr>
        <w:t>stakeholder survey responses.</w:t>
      </w:r>
    </w:p>
    <w:p w14:paraId="31F6AC24" w14:textId="4100A4EC" w:rsidR="00091AF9" w:rsidRPr="006E1104" w:rsidRDefault="00091AF9" w:rsidP="00D43BAE">
      <w:pPr>
        <w:pStyle w:val="ListParagraph"/>
        <w:numPr>
          <w:ilvl w:val="0"/>
          <w:numId w:val="8"/>
        </w:numPr>
        <w:ind w:left="561" w:hanging="567"/>
        <w:contextualSpacing w:val="0"/>
        <w:rPr>
          <w:rStyle w:val="eop"/>
          <w:rFonts w:cs="Arial"/>
        </w:rPr>
      </w:pPr>
      <w:r w:rsidRPr="006E1104">
        <w:rPr>
          <w:rStyle w:val="eop"/>
        </w:rPr>
        <w:t xml:space="preserve">Outcome monitoring findings showed positive effects for S-ACC-2. For example, the </w:t>
      </w:r>
      <w:r w:rsidRPr="006E1104">
        <w:rPr>
          <w:rStyle w:val="eop"/>
          <w:rFonts w:cs="Arial"/>
        </w:rPr>
        <w:t xml:space="preserve">percentage </w:t>
      </w:r>
      <w:r w:rsidRPr="006E1104">
        <w:rPr>
          <w:rStyle w:val="eop"/>
        </w:rPr>
        <w:t xml:space="preserve">of survey respondents confirming that they have seen improved proposal consideration of </w:t>
      </w:r>
      <w:r w:rsidRPr="00D43BAE">
        <w:t>enhanced</w:t>
      </w:r>
      <w:r w:rsidRPr="006E1104">
        <w:rPr>
          <w:rStyle w:val="eop"/>
        </w:rPr>
        <w:t xml:space="preserve"> public access increased by 22% between 2019 and 2021. </w:t>
      </w:r>
      <w:r w:rsidR="0012007B">
        <w:rPr>
          <w:rStyle w:val="eop"/>
        </w:rPr>
        <w:br/>
      </w:r>
      <w:r w:rsidR="0012007B">
        <w:rPr>
          <w:rStyle w:val="eop"/>
        </w:rPr>
        <w:br/>
      </w:r>
      <w:r w:rsidR="009D6C1B">
        <w:rPr>
          <w:rStyle w:val="eop"/>
        </w:rPr>
        <w:t>R</w:t>
      </w:r>
      <w:r w:rsidRPr="006E1104">
        <w:rPr>
          <w:rStyle w:val="eop"/>
        </w:rPr>
        <w:t xml:space="preserve">esponses to questions linked to S-ACC-1 </w:t>
      </w:r>
      <w:r w:rsidRPr="006E1104">
        <w:rPr>
          <w:rStyle w:val="eop"/>
          <w:rFonts w:cs="Arial"/>
        </w:rPr>
        <w:t xml:space="preserve">showed no change in stakeholder perception as to whether public access to the marine area has improved since </w:t>
      </w:r>
      <w:r w:rsidR="00DC2E44">
        <w:rPr>
          <w:rStyle w:val="eop"/>
          <w:rFonts w:cs="Arial"/>
        </w:rPr>
        <w:t>Plan</w:t>
      </w:r>
      <w:r w:rsidRPr="006E1104">
        <w:rPr>
          <w:rStyle w:val="eop"/>
          <w:rFonts w:cs="Arial"/>
        </w:rPr>
        <w:t xml:space="preserve"> adoption. </w:t>
      </w:r>
      <w:r w:rsidR="0000569D">
        <w:rPr>
          <w:rStyle w:val="eop"/>
          <w:rFonts w:cs="Arial"/>
        </w:rPr>
        <w:t>Issues around access were also cited by stakeholders in follow-up interviews</w:t>
      </w:r>
      <w:r w:rsidR="004A1E73">
        <w:rPr>
          <w:rStyle w:val="eop"/>
          <w:rFonts w:cs="Arial"/>
        </w:rPr>
        <w:t>, indicating that S-ACC-1 has not been considered consistently</w:t>
      </w:r>
      <w:r w:rsidR="0000569D">
        <w:rPr>
          <w:rStyle w:val="eop"/>
          <w:rFonts w:cs="Arial"/>
        </w:rPr>
        <w:t xml:space="preserve">. </w:t>
      </w:r>
      <w:r w:rsidR="0012007B">
        <w:rPr>
          <w:rStyle w:val="eop"/>
          <w:rFonts w:cs="Arial"/>
        </w:rPr>
        <w:br/>
      </w:r>
      <w:r w:rsidR="0012007B">
        <w:rPr>
          <w:rStyle w:val="eop"/>
          <w:rFonts w:cs="Arial"/>
        </w:rPr>
        <w:br/>
      </w:r>
      <w:r w:rsidRPr="006E1104">
        <w:rPr>
          <w:rStyle w:val="eop"/>
          <w:rFonts w:cs="Arial"/>
        </w:rPr>
        <w:t>Findings</w:t>
      </w:r>
      <w:r w:rsidR="005B48AF">
        <w:rPr>
          <w:rStyle w:val="eop"/>
          <w:rFonts w:cs="Arial"/>
        </w:rPr>
        <w:t>,</w:t>
      </w:r>
      <w:r w:rsidRPr="006E1104">
        <w:rPr>
          <w:rStyle w:val="eop"/>
          <w:rFonts w:cs="Arial"/>
        </w:rPr>
        <w:t xml:space="preserve"> therefore</w:t>
      </w:r>
      <w:r w:rsidR="005B48AF">
        <w:rPr>
          <w:rStyle w:val="eop"/>
          <w:rFonts w:cs="Arial"/>
        </w:rPr>
        <w:t>,</w:t>
      </w:r>
      <w:r w:rsidRPr="006E1104">
        <w:rPr>
          <w:rStyle w:val="eop"/>
          <w:rFonts w:cs="Arial"/>
        </w:rPr>
        <w:t xml:space="preserve"> suggest that the reported increase in proposal </w:t>
      </w:r>
      <w:r w:rsidRPr="006E1104">
        <w:rPr>
          <w:rStyle w:val="eop"/>
        </w:rPr>
        <w:t>consideration of enhanced public access have yet to result in observed improvements to public access.</w:t>
      </w:r>
    </w:p>
    <w:p w14:paraId="5F36A14A" w14:textId="48DB21B3" w:rsidR="00091AF9" w:rsidRPr="006E1104" w:rsidRDefault="00091AF9" w:rsidP="00D43BAE">
      <w:pPr>
        <w:pStyle w:val="ListParagraph"/>
        <w:numPr>
          <w:ilvl w:val="0"/>
          <w:numId w:val="8"/>
        </w:numPr>
        <w:ind w:left="561" w:hanging="567"/>
        <w:contextualSpacing w:val="0"/>
        <w:rPr>
          <w:rFonts w:cs="Arial"/>
        </w:rPr>
      </w:pPr>
      <w:r w:rsidRPr="006E1104">
        <w:rPr>
          <w:rStyle w:val="eop"/>
        </w:rPr>
        <w:t>The assessment of the effects of directly contributing policies were limited by the</w:t>
      </w:r>
      <w:r w:rsidRPr="006E1104">
        <w:rPr>
          <w:rStyle w:val="eop"/>
          <w:rFonts w:cs="Arial"/>
        </w:rPr>
        <w:t xml:space="preserve"> sole reliance of </w:t>
      </w:r>
      <w:r w:rsidRPr="00D43BAE">
        <w:t>stakeholder</w:t>
      </w:r>
      <w:r w:rsidRPr="006E1104">
        <w:rPr>
          <w:rStyle w:val="eop"/>
          <w:rFonts w:cs="Arial"/>
        </w:rPr>
        <w:t xml:space="preserve"> surveys</w:t>
      </w:r>
      <w:r w:rsidR="005B48AF">
        <w:rPr>
          <w:rStyle w:val="eop"/>
          <w:rFonts w:cs="Arial"/>
        </w:rPr>
        <w:t>,</w:t>
      </w:r>
      <w:r w:rsidRPr="006E1104">
        <w:rPr>
          <w:rStyle w:val="eop"/>
          <w:rFonts w:cs="Arial"/>
        </w:rPr>
        <w:t xml:space="preserve"> therefore, the e</w:t>
      </w:r>
      <w:r w:rsidRPr="006E1104">
        <w:rPr>
          <w:rStyle w:val="eop"/>
        </w:rPr>
        <w:t xml:space="preserve">xisting methodology does not provide a means of assessing actual changes to public access, </w:t>
      </w:r>
      <w:r w:rsidRPr="006E1104">
        <w:rPr>
          <w:rStyle w:val="eop"/>
          <w:rFonts w:cs="Arial"/>
        </w:rPr>
        <w:t>beyond respondent perception</w:t>
      </w:r>
      <w:r w:rsidRPr="006E1104">
        <w:rPr>
          <w:rStyle w:val="eop"/>
        </w:rPr>
        <w:t xml:space="preserve">. </w:t>
      </w:r>
      <w:r w:rsidR="0012007B">
        <w:rPr>
          <w:rStyle w:val="eop"/>
        </w:rPr>
        <w:br/>
      </w:r>
      <w:r w:rsidR="0012007B">
        <w:rPr>
          <w:rStyle w:val="eop"/>
        </w:rPr>
        <w:br/>
      </w:r>
      <w:r w:rsidRPr="006E1104">
        <w:rPr>
          <w:rStyle w:val="eop"/>
        </w:rPr>
        <w:t>C</w:t>
      </w:r>
      <w:r w:rsidRPr="006E1104">
        <w:t>onsideration should</w:t>
      </w:r>
      <w:r w:rsidRPr="006E1104" w:rsidDel="00A115FE">
        <w:rPr>
          <w:rStyle w:val="eop"/>
        </w:rPr>
        <w:t xml:space="preserve"> </w:t>
      </w:r>
      <w:r w:rsidRPr="006E1104">
        <w:t>be given to how best to maximise survey data, following recent improvements made, to build a robust understanding of perceptions of public access over time.</w:t>
      </w:r>
    </w:p>
    <w:p w14:paraId="4DD68746" w14:textId="077C7F57" w:rsidR="00091AF9" w:rsidRPr="00D43D9E" w:rsidRDefault="00091AF9" w:rsidP="00D43BAE">
      <w:pPr>
        <w:pStyle w:val="ListParagraph"/>
        <w:numPr>
          <w:ilvl w:val="0"/>
          <w:numId w:val="8"/>
        </w:numPr>
        <w:ind w:left="561" w:hanging="567"/>
        <w:contextualSpacing w:val="0"/>
        <w:rPr>
          <w:rFonts w:cs="Arial"/>
        </w:rPr>
      </w:pPr>
      <w:r w:rsidRPr="00285EEE">
        <w:rPr>
          <w:rStyle w:val="eop"/>
          <w:rFonts w:cs="Arial"/>
        </w:rPr>
        <w:t xml:space="preserve">Overall, </w:t>
      </w:r>
      <w:r w:rsidRPr="00285EEE">
        <w:rPr>
          <w:rStyle w:val="eop"/>
        </w:rPr>
        <w:t>findings suggest that positive</w:t>
      </w:r>
      <w:r w:rsidRPr="00285EEE">
        <w:rPr>
          <w:rStyle w:val="eop"/>
          <w:rFonts w:cs="Arial"/>
        </w:rPr>
        <w:t xml:space="preserve"> progress has been made towards</w:t>
      </w:r>
      <w:r w:rsidRPr="00285EEE">
        <w:rPr>
          <w:rStyle w:val="eop"/>
        </w:rPr>
        <w:t xml:space="preserve"> Objective 6, and the HLMOs to which it is linked </w:t>
      </w:r>
      <w:r w:rsidRPr="0012007B">
        <w:rPr>
          <w:rStyle w:val="eop"/>
        </w:rPr>
        <w:t>(</w:t>
      </w:r>
      <w:hyperlink w:anchor="_Annex_A:_High">
        <w:r w:rsidR="00FC2AFC" w:rsidRPr="0012007B">
          <w:rPr>
            <w:rStyle w:val="Hyperlink"/>
          </w:rPr>
          <w:t>Annex A</w:t>
        </w:r>
      </w:hyperlink>
      <w:r w:rsidRPr="0012007B">
        <w:rPr>
          <w:rStyle w:val="eop"/>
        </w:rPr>
        <w:t>).</w:t>
      </w:r>
      <w:r w:rsidR="0012007B" w:rsidRPr="0012007B">
        <w:rPr>
          <w:rStyle w:val="eop"/>
        </w:rPr>
        <w:br/>
      </w:r>
      <w:r w:rsidR="0012007B">
        <w:rPr>
          <w:rStyle w:val="eop"/>
        </w:rPr>
        <w:br/>
      </w:r>
      <w:r w:rsidRPr="006E1104">
        <w:rPr>
          <w:rStyle w:val="eop"/>
        </w:rPr>
        <w:t xml:space="preserve">This conclusion is supported by </w:t>
      </w:r>
      <w:r w:rsidRPr="006E1104">
        <w:t xml:space="preserve">the evidence of policy use in marine </w:t>
      </w:r>
      <w:r w:rsidR="00603C2C">
        <w:t>licence</w:t>
      </w:r>
      <w:r w:rsidRPr="006E1104">
        <w:t xml:space="preserve"> </w:t>
      </w:r>
      <w:r w:rsidR="00603C2C">
        <w:t>decision-making</w:t>
      </w:r>
      <w:r w:rsidRPr="006E1104">
        <w:t xml:space="preserve"> </w:t>
      </w:r>
      <w:r w:rsidRPr="006E1104">
        <w:rPr>
          <w:rStyle w:val="eop"/>
        </w:rPr>
        <w:t>(</w:t>
      </w:r>
      <w:hyperlink w:anchor="_Annex_B:_Policy">
        <w:r w:rsidR="00FC2AFC" w:rsidRPr="09F83F24">
          <w:rPr>
            <w:rStyle w:val="Hyperlink"/>
          </w:rPr>
          <w:t>Annex B</w:t>
        </w:r>
      </w:hyperlink>
      <w:r w:rsidRPr="09F83F24">
        <w:rPr>
          <w:rStyle w:val="eop"/>
        </w:rPr>
        <w:t>).</w:t>
      </w:r>
      <w:r w:rsidRPr="006E1104">
        <w:rPr>
          <w:rStyle w:val="eop"/>
        </w:rPr>
        <w:t xml:space="preserve"> It is further supported </w:t>
      </w:r>
      <w:r w:rsidRPr="00D43BAE">
        <w:t>by</w:t>
      </w:r>
      <w:r w:rsidRPr="006E1104">
        <w:rPr>
          <w:rStyle w:val="eop"/>
        </w:rPr>
        <w:t xml:space="preserve"> the</w:t>
      </w:r>
      <w:r w:rsidRPr="006E1104" w:rsidDel="00FE1D53">
        <w:rPr>
          <w:rStyle w:val="eop"/>
        </w:rPr>
        <w:t xml:space="preserve"> </w:t>
      </w:r>
      <w:r w:rsidRPr="006E1104">
        <w:rPr>
          <w:rStyle w:val="eop"/>
        </w:rPr>
        <w:t>positive progress</w:t>
      </w:r>
      <w:r w:rsidRPr="006E1104">
        <w:rPr>
          <w:rFonts w:cs="Arial"/>
        </w:rPr>
        <w:t xml:space="preserve"> towards </w:t>
      </w:r>
      <w:r w:rsidRPr="006E1104">
        <w:t xml:space="preserve">policy aims shown to some extent, by both directly and indirectly contributing policies. </w:t>
      </w:r>
      <w:r w:rsidR="0012007B">
        <w:br/>
      </w:r>
      <w:r w:rsidR="0012007B">
        <w:br/>
      </w:r>
      <w:r w:rsidRPr="006E1104">
        <w:rPr>
          <w:rStyle w:val="eop"/>
        </w:rPr>
        <w:t>F</w:t>
      </w:r>
      <w:r w:rsidRPr="006E1104">
        <w:t>indings</w:t>
      </w:r>
      <w:r w:rsidR="005B48AF">
        <w:t>,</w:t>
      </w:r>
      <w:r w:rsidRPr="006E1104">
        <w:t xml:space="preserve"> therefore</w:t>
      </w:r>
      <w:r w:rsidR="005B48AF">
        <w:t>,</w:t>
      </w:r>
      <w:r w:rsidRPr="006E1104">
        <w:t xml:space="preserve"> suggest that the contributing policies have been somewhat effective in maintaining and improving public access to, and within, the </w:t>
      </w:r>
      <w:r w:rsidR="00B07496">
        <w:t xml:space="preserve">South Marine </w:t>
      </w:r>
      <w:r w:rsidR="00DC2E44">
        <w:t>Plan</w:t>
      </w:r>
      <w:r w:rsidRPr="006E1104">
        <w:t xml:space="preserve"> areas. </w:t>
      </w:r>
      <w:r w:rsidR="0012007B">
        <w:br/>
      </w:r>
      <w:r w:rsidR="0012007B">
        <w:br/>
      </w:r>
      <w:r w:rsidRPr="006E1104">
        <w:t xml:space="preserve">Objective 6 would benefit from further monitoring to understand whether the positive policy effects observed are resulting in real world </w:t>
      </w:r>
      <w:r w:rsidR="001F1C08" w:rsidRPr="006E1104">
        <w:t>changes and</w:t>
      </w:r>
      <w:r w:rsidRPr="006E1104">
        <w:t xml:space="preserve"> being effective in progressing towards Objective 6. </w:t>
      </w:r>
    </w:p>
    <w:p w14:paraId="3C7CD417" w14:textId="77777777" w:rsidR="001F1C08" w:rsidRPr="006E1104" w:rsidRDefault="001F1C08" w:rsidP="00285EEE">
      <w:pPr>
        <w:pStyle w:val="ListParagraph"/>
        <w:ind w:left="561"/>
        <w:contextualSpacing w:val="0"/>
        <w:rPr>
          <w:rStyle w:val="eop"/>
          <w:rFonts w:cs="Arial"/>
        </w:rPr>
      </w:pPr>
    </w:p>
    <w:p w14:paraId="3A1057C8" w14:textId="03E37463" w:rsidR="00091AF9" w:rsidRPr="00C92B18" w:rsidRDefault="00D565CC" w:rsidP="00285EEE">
      <w:pPr>
        <w:pStyle w:val="Caption"/>
      </w:pPr>
      <w:bookmarkStart w:id="214" w:name="Obj7"/>
      <w:r>
        <w:lastRenderedPageBreak/>
        <w:t xml:space="preserve">Table 7: Outcomes findings for </w:t>
      </w:r>
      <w:r w:rsidR="00091AF9" w:rsidRPr="00C92B18" w:rsidDel="00607A30">
        <w:t>Objective</w:t>
      </w:r>
      <w:r w:rsidR="00091AF9" w:rsidRPr="00C92B18">
        <w:t> </w:t>
      </w:r>
      <w:r w:rsidR="00091AF9" w:rsidRPr="00C92B18" w:rsidDel="00607A30">
        <w:t>7</w:t>
      </w:r>
      <w:r>
        <w:t xml:space="preserve"> -</w:t>
      </w:r>
      <w:r w:rsidR="00091AF9" w:rsidRPr="00C92B18">
        <w:t> </w:t>
      </w:r>
      <w:r w:rsidR="00091AF9" w:rsidRPr="00C92B18" w:rsidDel="00607A30">
        <w:t>To support the reduction of the environmental,</w:t>
      </w:r>
      <w:r w:rsidR="00091AF9" w:rsidRPr="00C92B18">
        <w:t> </w:t>
      </w:r>
      <w:r w:rsidR="00091AF9" w:rsidRPr="00C92B18" w:rsidDel="00607A30">
        <w:t>social</w:t>
      </w:r>
      <w:r w:rsidR="00091AF9" w:rsidRPr="00C92B18">
        <w:t> </w:t>
      </w:r>
      <w:r w:rsidR="00091AF9" w:rsidRPr="00C92B18" w:rsidDel="00607A30">
        <w:t>and economic impacts of climate change, through encouraging the implementation of</w:t>
      </w:r>
      <w:r w:rsidR="00091AF9" w:rsidRPr="00C92B18">
        <w:t> </w:t>
      </w:r>
      <w:r w:rsidR="00091AF9" w:rsidRPr="00C92B18" w:rsidDel="00607A30">
        <w:t>mitigation</w:t>
      </w:r>
      <w:r w:rsidR="00091AF9" w:rsidRPr="00C92B18">
        <w:t> </w:t>
      </w:r>
      <w:r w:rsidR="00091AF9" w:rsidRPr="00C92B18" w:rsidDel="00607A30">
        <w:t>and adaptation measures that:</w:t>
      </w:r>
      <w:r w:rsidR="00091AF9" w:rsidRPr="00C92B18">
        <w:t> </w:t>
      </w:r>
    </w:p>
    <w:p w14:paraId="200454D9" w14:textId="77777777" w:rsidR="00091AF9" w:rsidRPr="00285EEE" w:rsidRDefault="00091AF9" w:rsidP="00285EEE">
      <w:pPr>
        <w:pStyle w:val="Caption"/>
        <w:numPr>
          <w:ilvl w:val="0"/>
          <w:numId w:val="38"/>
        </w:numPr>
        <w:spacing w:after="240" w:line="240" w:lineRule="auto"/>
        <w:ind w:left="714" w:hanging="357"/>
        <w:rPr>
          <w:rStyle w:val="normaltextrun"/>
          <w:b w:val="0"/>
          <w:bCs/>
          <w:szCs w:val="18"/>
        </w:rPr>
      </w:pPr>
      <w:r w:rsidRPr="00285EEE" w:rsidDel="00607A30">
        <w:rPr>
          <w:rStyle w:val="normaltextrun"/>
          <w:bCs/>
          <w:szCs w:val="18"/>
        </w:rPr>
        <w:t>avoid proposals’ indirect contributions to</w:t>
      </w:r>
      <w:r w:rsidRPr="00285EEE">
        <w:rPr>
          <w:rStyle w:val="normaltextrun"/>
          <w:bCs/>
          <w:szCs w:val="18"/>
        </w:rPr>
        <w:t> greenhouse </w:t>
      </w:r>
      <w:r w:rsidRPr="00285EEE" w:rsidDel="00607A30">
        <w:rPr>
          <w:rStyle w:val="normaltextrun"/>
          <w:bCs/>
          <w:szCs w:val="18"/>
        </w:rPr>
        <w:t>gas emissions</w:t>
      </w:r>
      <w:r w:rsidRPr="00285EEE">
        <w:rPr>
          <w:rStyle w:val="normaltextrun"/>
          <w:bCs/>
          <w:szCs w:val="18"/>
        </w:rPr>
        <w:t xml:space="preserve">, </w:t>
      </w:r>
    </w:p>
    <w:p w14:paraId="6137BD5B" w14:textId="77777777" w:rsidR="00091AF9" w:rsidRPr="00285EEE" w:rsidRDefault="00091AF9" w:rsidP="00285EEE">
      <w:pPr>
        <w:pStyle w:val="Caption"/>
        <w:numPr>
          <w:ilvl w:val="0"/>
          <w:numId w:val="38"/>
        </w:numPr>
        <w:spacing w:after="240" w:line="240" w:lineRule="auto"/>
        <w:ind w:left="714" w:hanging="357"/>
        <w:rPr>
          <w:rStyle w:val="eop"/>
          <w:b w:val="0"/>
          <w:bCs/>
          <w:iCs w:val="0"/>
          <w:szCs w:val="18"/>
        </w:rPr>
      </w:pPr>
      <w:r w:rsidRPr="00285EEE" w:rsidDel="00607A30">
        <w:rPr>
          <w:rStyle w:val="normaltextrun"/>
          <w:bCs/>
          <w:szCs w:val="18"/>
        </w:rPr>
        <w:t>reduce vulnerability</w:t>
      </w:r>
      <w:r w:rsidRPr="00285EEE">
        <w:rPr>
          <w:rStyle w:val="eop"/>
          <w:bCs/>
          <w:szCs w:val="18"/>
        </w:rPr>
        <w:t> </w:t>
      </w:r>
    </w:p>
    <w:p w14:paraId="32683290" w14:textId="77777777" w:rsidR="00091AF9" w:rsidRPr="00285EEE" w:rsidRDefault="00091AF9" w:rsidP="00285EEE">
      <w:pPr>
        <w:pStyle w:val="Caption"/>
        <w:numPr>
          <w:ilvl w:val="0"/>
          <w:numId w:val="38"/>
        </w:numPr>
        <w:spacing w:after="240" w:line="240" w:lineRule="auto"/>
        <w:ind w:left="714" w:hanging="357"/>
        <w:rPr>
          <w:rStyle w:val="eop"/>
          <w:b w:val="0"/>
          <w:bCs/>
          <w:iCs w:val="0"/>
          <w:szCs w:val="18"/>
        </w:rPr>
      </w:pPr>
      <w:r w:rsidRPr="00285EEE" w:rsidDel="00607A30">
        <w:rPr>
          <w:rStyle w:val="normaltextrun"/>
          <w:bCs/>
          <w:szCs w:val="18"/>
        </w:rPr>
        <w:t>improve resilience to climate and coastal change</w:t>
      </w:r>
      <w:r w:rsidRPr="00285EEE">
        <w:rPr>
          <w:rStyle w:val="eop"/>
          <w:bCs/>
          <w:szCs w:val="18"/>
        </w:rPr>
        <w:t xml:space="preserve">, </w:t>
      </w:r>
    </w:p>
    <w:p w14:paraId="6268845E" w14:textId="77777777" w:rsidR="00091AF9" w:rsidRPr="00285EEE" w:rsidRDefault="00091AF9" w:rsidP="00285EEE">
      <w:pPr>
        <w:pStyle w:val="Caption"/>
        <w:numPr>
          <w:ilvl w:val="0"/>
          <w:numId w:val="38"/>
        </w:numPr>
        <w:spacing w:after="240" w:line="240" w:lineRule="auto"/>
        <w:ind w:left="714" w:hanging="357"/>
        <w:rPr>
          <w:b w:val="0"/>
          <w:bCs/>
          <w:szCs w:val="18"/>
        </w:rPr>
      </w:pPr>
      <w:r w:rsidRPr="00285EEE">
        <w:rPr>
          <w:rStyle w:val="normaltextrun"/>
          <w:bCs/>
          <w:szCs w:val="18"/>
        </w:rPr>
        <w:t>consider habitats that provide related ecosystem services </w:t>
      </w:r>
      <w:r w:rsidRPr="00285EEE">
        <w:rPr>
          <w:rStyle w:val="eop"/>
          <w:bCs/>
          <w:szCs w:val="18"/>
        </w:rPr>
        <w:t> </w:t>
      </w:r>
    </w:p>
    <w:tbl>
      <w:tblPr>
        <w:tblStyle w:val="DefraGreen"/>
        <w:tblW w:w="5007" w:type="pct"/>
        <w:tblLayout w:type="fixed"/>
        <w:tblLook w:val="04A0" w:firstRow="1" w:lastRow="0" w:firstColumn="1" w:lastColumn="0" w:noHBand="0" w:noVBand="1"/>
      </w:tblPr>
      <w:tblGrid>
        <w:gridCol w:w="7366"/>
        <w:gridCol w:w="2268"/>
      </w:tblGrid>
      <w:tr w:rsidR="00091AF9" w:rsidRPr="001A65F6" w14:paraId="4E88F6D5" w14:textId="77777777" w:rsidTr="00E02BCB">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823" w:type="pct"/>
          </w:tcPr>
          <w:p w14:paraId="5EAB03FB" w14:textId="47F4B768" w:rsidR="00091AF9" w:rsidRPr="001A65F6" w:rsidRDefault="00091AF9" w:rsidP="00E02BCB">
            <w:pPr>
              <w:spacing w:before="60" w:after="60"/>
              <w:rPr>
                <w:rFonts w:eastAsia="Times New Roman" w:cs="Arial"/>
                <w:b/>
                <w:bCs/>
                <w:color w:val="000000"/>
              </w:rPr>
            </w:pPr>
            <w:bookmarkStart w:id="215" w:name="_Hlk67387770"/>
            <w:bookmarkEnd w:id="214"/>
            <w:r w:rsidRPr="00860F94">
              <w:rPr>
                <w:rFonts w:eastAsia="Times New Roman" w:cs="Arial"/>
                <w:b/>
                <w:bCs/>
                <w:color w:val="FFFFFF" w:themeColor="background1"/>
                <w:sz w:val="28"/>
              </w:rPr>
              <w:t xml:space="preserve">Objective </w:t>
            </w:r>
            <w:r>
              <w:rPr>
                <w:rFonts w:eastAsia="Times New Roman" w:cs="Arial"/>
                <w:b/>
                <w:bCs/>
                <w:color w:val="FFFFFF" w:themeColor="background1"/>
                <w:sz w:val="28"/>
              </w:rPr>
              <w:t>progress</w:t>
            </w:r>
            <w:r w:rsidRPr="00860F94">
              <w:rPr>
                <w:rFonts w:eastAsia="Times New Roman" w:cs="Arial"/>
                <w:b/>
                <w:bCs/>
                <w:color w:val="FFFFFF" w:themeColor="background1"/>
                <w:sz w:val="28"/>
              </w:rPr>
              <w:t xml:space="preserve">: </w:t>
            </w:r>
            <w:r w:rsidR="0012007B">
              <w:rPr>
                <w:rFonts w:eastAsia="Times New Roman" w:cs="Arial"/>
                <w:b/>
                <w:bCs/>
                <w:color w:val="FFFFFF" w:themeColor="background1"/>
                <w:sz w:val="28"/>
              </w:rPr>
              <w:t>p</w:t>
            </w:r>
            <w:r w:rsidRPr="00860F94">
              <w:rPr>
                <w:rFonts w:eastAsia="Times New Roman" w:cs="Arial"/>
                <w:b/>
                <w:bCs/>
                <w:color w:val="FFFFFF" w:themeColor="background1"/>
                <w:sz w:val="28"/>
              </w:rPr>
              <w:t>ositive</w:t>
            </w:r>
          </w:p>
        </w:tc>
        <w:tc>
          <w:tcPr>
            <w:tcW w:w="1177" w:type="pct"/>
            <w:noWrap/>
          </w:tcPr>
          <w:p w14:paraId="61C49B5C" w14:textId="77777777" w:rsidR="00091AF9" w:rsidRPr="001A65F6" w:rsidRDefault="00091AF9" w:rsidP="00E02BCB">
            <w:pPr>
              <w:spacing w:before="0" w:after="0"/>
              <w:cnfStyle w:val="100000000000" w:firstRow="1" w:lastRow="0" w:firstColumn="0" w:lastColumn="0" w:oddVBand="0" w:evenVBand="0" w:oddHBand="0" w:evenHBand="0" w:firstRowFirstColumn="0" w:firstRowLastColumn="0" w:lastRowFirstColumn="0" w:lastRowLastColumn="0"/>
              <w:rPr>
                <w:rFonts w:eastAsia="Times New Roman" w:cs="Arial"/>
                <w:b/>
                <w:bCs/>
                <w:color w:val="000000"/>
              </w:rPr>
            </w:pPr>
          </w:p>
        </w:tc>
      </w:tr>
      <w:tr w:rsidR="00091AF9" w:rsidRPr="001A65F6" w14:paraId="76866B6D"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tcPr>
          <w:p w14:paraId="77721E1F" w14:textId="77777777" w:rsidR="00091AF9" w:rsidRPr="00DE3A21" w:rsidRDefault="00091AF9" w:rsidP="00E02BCB">
            <w:pPr>
              <w:spacing w:before="0" w:after="0"/>
              <w:rPr>
                <w:rFonts w:eastAsia="Times New Roman" w:cs="Arial"/>
                <w:b/>
                <w:bCs/>
                <w:color w:val="000000"/>
              </w:rPr>
            </w:pPr>
            <w:r w:rsidRPr="00DE3A21">
              <w:rPr>
                <w:rFonts w:eastAsia="Times New Roman" w:cs="Arial"/>
                <w:b/>
                <w:bCs/>
                <w:color w:val="000000"/>
              </w:rPr>
              <w:t>Policy code</w:t>
            </w:r>
          </w:p>
        </w:tc>
        <w:tc>
          <w:tcPr>
            <w:tcW w:w="1177" w:type="pct"/>
            <w:shd w:val="clear" w:color="auto" w:fill="CBE9D3"/>
            <w:noWrap/>
          </w:tcPr>
          <w:p w14:paraId="6FFA75CF" w14:textId="77777777" w:rsidR="00091AF9" w:rsidRPr="00DE3A21"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rPr>
            </w:pPr>
            <w:r>
              <w:rPr>
                <w:rFonts w:eastAsia="Times New Roman" w:cs="Arial"/>
                <w:b/>
                <w:bCs/>
                <w:color w:val="000000"/>
              </w:rPr>
              <w:t>Outcome findings</w:t>
            </w:r>
          </w:p>
        </w:tc>
      </w:tr>
      <w:tr w:rsidR="00091AF9" w:rsidRPr="001A65F6" w14:paraId="6D85160D"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DD41DB9" w14:textId="77777777" w:rsidR="00091AF9" w:rsidRPr="00A056EE" w:rsidRDefault="00091AF9" w:rsidP="00E02BCB">
            <w:pPr>
              <w:spacing w:before="0" w:after="0"/>
              <w:rPr>
                <w:rFonts w:eastAsia="Times New Roman" w:cs="Arial"/>
                <w:b/>
                <w:color w:val="000000"/>
              </w:rPr>
            </w:pPr>
            <w:r w:rsidRPr="00A056EE">
              <w:rPr>
                <w:rFonts w:eastAsia="Times New Roman" w:cs="Arial"/>
                <w:b/>
                <w:color w:val="000000"/>
              </w:rPr>
              <w:t>Directly contributing policies</w:t>
            </w:r>
          </w:p>
        </w:tc>
      </w:tr>
      <w:tr w:rsidR="00091AF9" w:rsidRPr="001A65F6" w14:paraId="1DC0D75B"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25ABD461" w14:textId="77777777" w:rsidR="00091AF9" w:rsidRPr="001A65F6" w:rsidRDefault="00091AF9" w:rsidP="00E02BCB">
            <w:pPr>
              <w:spacing w:before="0" w:after="0"/>
              <w:rPr>
                <w:rFonts w:eastAsia="Times New Roman" w:cs="Arial"/>
                <w:color w:val="000000"/>
              </w:rPr>
            </w:pPr>
            <w:r>
              <w:rPr>
                <w:rFonts w:eastAsia="Times New Roman" w:cs="Arial"/>
                <w:color w:val="000000"/>
              </w:rPr>
              <w:t>S-CC-2, S-CC-4</w:t>
            </w:r>
          </w:p>
        </w:tc>
        <w:tc>
          <w:tcPr>
            <w:tcW w:w="1177" w:type="pct"/>
            <w:shd w:val="clear" w:color="auto" w:fill="FFFFFF" w:themeFill="background1"/>
            <w:noWrap/>
            <w:vAlign w:val="center"/>
            <w:hideMark/>
          </w:tcPr>
          <w:p w14:paraId="4BFF5731"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Positive</w:t>
            </w:r>
          </w:p>
        </w:tc>
      </w:tr>
      <w:tr w:rsidR="00091AF9" w:rsidRPr="001A65F6" w14:paraId="3D9E27CD"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0A128EC3" w14:textId="77777777" w:rsidR="00091AF9" w:rsidRPr="001A65F6" w:rsidRDefault="00091AF9" w:rsidP="00E02BCB">
            <w:pPr>
              <w:spacing w:before="0" w:after="0"/>
              <w:rPr>
                <w:rFonts w:eastAsia="Times New Roman" w:cs="Arial"/>
                <w:color w:val="000000"/>
              </w:rPr>
            </w:pPr>
            <w:r>
              <w:rPr>
                <w:rFonts w:eastAsia="Times New Roman" w:cs="Arial"/>
                <w:color w:val="000000"/>
              </w:rPr>
              <w:t>S-CC-1, S-CC-3</w:t>
            </w:r>
          </w:p>
        </w:tc>
        <w:tc>
          <w:tcPr>
            <w:tcW w:w="1177" w:type="pct"/>
            <w:shd w:val="clear" w:color="auto" w:fill="FFFFFF" w:themeFill="background1"/>
            <w:noWrap/>
            <w:vAlign w:val="center"/>
          </w:tcPr>
          <w:p w14:paraId="04FB7402"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No data</w:t>
            </w:r>
          </w:p>
        </w:tc>
      </w:tr>
      <w:tr w:rsidR="00091AF9" w:rsidRPr="001A65F6" w14:paraId="2BB93875"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7769AA5A" w14:textId="77777777" w:rsidR="00091AF9" w:rsidRPr="00A056EE" w:rsidRDefault="00091AF9" w:rsidP="00E02BCB">
            <w:pPr>
              <w:spacing w:before="0" w:after="0"/>
              <w:rPr>
                <w:rFonts w:eastAsia="Times New Roman" w:cs="Arial"/>
                <w:b/>
                <w:color w:val="000000"/>
              </w:rPr>
            </w:pPr>
            <w:r w:rsidRPr="00A056EE">
              <w:rPr>
                <w:rFonts w:eastAsia="Times New Roman" w:cs="Arial"/>
                <w:b/>
                <w:color w:val="000000"/>
              </w:rPr>
              <w:t xml:space="preserve">Indirectly contributing policies </w:t>
            </w:r>
          </w:p>
        </w:tc>
      </w:tr>
      <w:tr w:rsidR="00091AF9" w:rsidRPr="001A65F6" w14:paraId="5C249E8B"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7BB79A6C" w14:textId="77777777" w:rsidR="00091AF9" w:rsidRPr="001A65F6" w:rsidRDefault="00091AF9" w:rsidP="00E02BCB">
            <w:pPr>
              <w:spacing w:before="0" w:after="0"/>
              <w:rPr>
                <w:rFonts w:eastAsia="Times New Roman" w:cs="Arial"/>
                <w:color w:val="000000"/>
              </w:rPr>
            </w:pPr>
            <w:r>
              <w:rPr>
                <w:rFonts w:eastAsia="Times New Roman" w:cs="Arial"/>
                <w:color w:val="000000"/>
              </w:rPr>
              <w:t>S-SOC-1</w:t>
            </w:r>
          </w:p>
        </w:tc>
        <w:tc>
          <w:tcPr>
            <w:tcW w:w="1177" w:type="pct"/>
            <w:shd w:val="clear" w:color="auto" w:fill="FFFFFF" w:themeFill="background1"/>
            <w:noWrap/>
            <w:vAlign w:val="center"/>
          </w:tcPr>
          <w:p w14:paraId="4DAC0ABC"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Positive</w:t>
            </w:r>
          </w:p>
        </w:tc>
      </w:tr>
      <w:tr w:rsidR="00091AF9" w:rsidRPr="001A65F6" w14:paraId="58F0C254"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03E328F2" w14:textId="77777777" w:rsidR="00091AF9" w:rsidRPr="001A65F6" w:rsidRDefault="00091AF9" w:rsidP="00E02BCB">
            <w:pPr>
              <w:spacing w:before="0" w:after="0"/>
              <w:rPr>
                <w:rFonts w:eastAsia="Times New Roman" w:cs="Arial"/>
                <w:color w:val="000000"/>
              </w:rPr>
            </w:pPr>
            <w:r>
              <w:rPr>
                <w:rFonts w:eastAsia="Times New Roman" w:cs="Arial"/>
                <w:color w:val="000000"/>
              </w:rPr>
              <w:t xml:space="preserve">S-REN-1, S-TIDE-1, </w:t>
            </w:r>
            <w:r w:rsidRPr="00F37D4F">
              <w:rPr>
                <w:rFonts w:eastAsia="Times New Roman" w:cs="Arial"/>
                <w:color w:val="000000"/>
              </w:rPr>
              <w:t>S-MPA-2</w:t>
            </w:r>
          </w:p>
        </w:tc>
        <w:tc>
          <w:tcPr>
            <w:tcW w:w="1177" w:type="pct"/>
            <w:shd w:val="clear" w:color="auto" w:fill="FFFFFF" w:themeFill="background1"/>
            <w:noWrap/>
            <w:vAlign w:val="center"/>
          </w:tcPr>
          <w:p w14:paraId="3CA6755A"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A65F6">
              <w:rPr>
                <w:rFonts w:eastAsia="Times New Roman" w:cs="Arial"/>
                <w:color w:val="000000"/>
              </w:rPr>
              <w:t>Inconclusive</w:t>
            </w:r>
          </w:p>
        </w:tc>
      </w:tr>
      <w:tr w:rsidR="00091AF9" w:rsidRPr="001A65F6" w14:paraId="27D2CFE5"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275BF90B" w14:textId="77777777" w:rsidR="00091AF9" w:rsidRDefault="00091AF9" w:rsidP="00E02BCB">
            <w:pPr>
              <w:spacing w:before="0" w:after="0"/>
              <w:rPr>
                <w:rFonts w:eastAsia="Times New Roman" w:cs="Arial"/>
                <w:color w:val="000000"/>
              </w:rPr>
            </w:pPr>
            <w:r w:rsidRPr="00F37D4F">
              <w:rPr>
                <w:rFonts w:eastAsia="Times New Roman" w:cs="Arial"/>
                <w:color w:val="000000"/>
              </w:rPr>
              <w:t>S-MPA-3</w:t>
            </w:r>
          </w:p>
        </w:tc>
        <w:tc>
          <w:tcPr>
            <w:tcW w:w="1177" w:type="pct"/>
            <w:shd w:val="clear" w:color="auto" w:fill="FFFFFF" w:themeFill="background1"/>
            <w:noWrap/>
            <w:vAlign w:val="center"/>
          </w:tcPr>
          <w:p w14:paraId="0E6DDD63"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No data</w:t>
            </w:r>
          </w:p>
        </w:tc>
      </w:tr>
    </w:tbl>
    <w:bookmarkEnd w:id="215"/>
    <w:p w14:paraId="5D7E4F1E" w14:textId="122CE887" w:rsidR="00091AF9" w:rsidRPr="009A6AE8" w:rsidRDefault="00C163CB" w:rsidP="00D43BAE">
      <w:pPr>
        <w:pStyle w:val="ListParagraph"/>
        <w:numPr>
          <w:ilvl w:val="0"/>
          <w:numId w:val="8"/>
        </w:numPr>
        <w:ind w:left="561" w:hanging="567"/>
        <w:contextualSpacing w:val="0"/>
        <w:rPr>
          <w:rStyle w:val="eop"/>
          <w:rFonts w:cs="Arial"/>
        </w:rPr>
      </w:pPr>
      <w:r>
        <w:rPr>
          <w:rStyle w:val="eop"/>
        </w:rPr>
        <w:t>D</w:t>
      </w:r>
      <w:r w:rsidR="00091AF9" w:rsidRPr="009A6AE8">
        <w:rPr>
          <w:rStyle w:val="eop"/>
        </w:rPr>
        <w:t xml:space="preserve">irectly contributing policies </w:t>
      </w:r>
      <w:r>
        <w:rPr>
          <w:rStyle w:val="eop"/>
        </w:rPr>
        <w:t xml:space="preserve">seek to reduce the impacts of climate change through </w:t>
      </w:r>
      <w:r w:rsidR="008B0871">
        <w:rPr>
          <w:rStyle w:val="eop"/>
        </w:rPr>
        <w:t>various</w:t>
      </w:r>
      <w:r>
        <w:rPr>
          <w:rStyle w:val="eop"/>
        </w:rPr>
        <w:t xml:space="preserve"> means</w:t>
      </w:r>
      <w:r w:rsidR="008B0871">
        <w:rPr>
          <w:rStyle w:val="eop"/>
        </w:rPr>
        <w:t>,</w:t>
      </w:r>
      <w:r w:rsidR="00643785">
        <w:rPr>
          <w:rStyle w:val="eop"/>
        </w:rPr>
        <w:t xml:space="preserve"> </w:t>
      </w:r>
      <w:r>
        <w:rPr>
          <w:rStyle w:val="eop"/>
        </w:rPr>
        <w:t xml:space="preserve">S-CC-2 and S-CC-4 </w:t>
      </w:r>
      <w:r w:rsidR="00091AF9" w:rsidRPr="009A6AE8">
        <w:rPr>
          <w:rStyle w:val="eop"/>
        </w:rPr>
        <w:t xml:space="preserve">require proposals to consider their impacts on existing </w:t>
      </w:r>
      <w:r w:rsidR="00091AF9" w:rsidRPr="00D43BAE">
        <w:t>climate</w:t>
      </w:r>
      <w:r w:rsidR="00091AF9" w:rsidRPr="009A6AE8">
        <w:rPr>
          <w:rStyle w:val="eop"/>
        </w:rPr>
        <w:t xml:space="preserve"> change adaptation measures, coastal change, and habitats that provide valuable services (</w:t>
      </w:r>
      <w:r w:rsidR="0012007B">
        <w:rPr>
          <w:rStyle w:val="eop"/>
        </w:rPr>
        <w:t>such as</w:t>
      </w:r>
      <w:r w:rsidR="0012007B" w:rsidRPr="009A6AE8">
        <w:rPr>
          <w:rStyle w:val="eop"/>
        </w:rPr>
        <w:t xml:space="preserve"> </w:t>
      </w:r>
      <w:r w:rsidR="00091AF9" w:rsidRPr="09F83F24">
        <w:rPr>
          <w:rStyle w:val="eop"/>
          <w:rFonts w:cs="Arial"/>
        </w:rPr>
        <w:t xml:space="preserve">flood defence </w:t>
      </w:r>
      <w:r w:rsidR="00E25125" w:rsidRPr="09F83F24">
        <w:rPr>
          <w:rStyle w:val="eop"/>
          <w:rFonts w:cs="Arial"/>
        </w:rPr>
        <w:t>and/</w:t>
      </w:r>
      <w:r w:rsidR="00091AF9" w:rsidRPr="09F83F24">
        <w:rPr>
          <w:rStyle w:val="eop"/>
          <w:rFonts w:cs="Arial"/>
        </w:rPr>
        <w:t>or carbon storage)</w:t>
      </w:r>
      <w:r w:rsidR="00091AF9" w:rsidRPr="009A6AE8">
        <w:rPr>
          <w:rStyle w:val="eop"/>
        </w:rPr>
        <w:t xml:space="preserve">. </w:t>
      </w:r>
      <w:r w:rsidR="0012007B">
        <w:rPr>
          <w:rStyle w:val="eop"/>
        </w:rPr>
        <w:br/>
      </w:r>
      <w:r w:rsidR="0012007B">
        <w:rPr>
          <w:rStyle w:val="eop"/>
        </w:rPr>
        <w:br/>
      </w:r>
      <w:r w:rsidR="00091AF9" w:rsidRPr="09F83F24">
        <w:rPr>
          <w:rStyle w:val="eop"/>
        </w:rPr>
        <w:t xml:space="preserve">The effects of S-CC-2 were assessed using stakeholder survey responses. The effects of S-CC-4 were assessed using </w:t>
      </w:r>
      <w:r w:rsidR="00091AF9" w:rsidRPr="09F83F24">
        <w:rPr>
          <w:rStyle w:val="eop"/>
          <w:rFonts w:cs="Arial"/>
        </w:rPr>
        <w:t xml:space="preserve">data on the extent of coastal and marine priority habitats, as listed under Section 41 of the </w:t>
      </w:r>
      <w:bookmarkStart w:id="216" w:name="_Hlk71799756"/>
      <w:r w:rsidR="00F33BA1" w:rsidRPr="09F83F24">
        <w:fldChar w:fldCharType="begin"/>
      </w:r>
      <w:r w:rsidR="00F33BA1">
        <w:instrText xml:space="preserve"> HYPERLINK "http://www.legislation.gov.uk/ukpga/2006/16/contents" </w:instrText>
      </w:r>
      <w:r w:rsidR="00F33BA1" w:rsidRPr="09F83F24">
        <w:fldChar w:fldCharType="separate"/>
      </w:r>
      <w:r w:rsidR="00091AF9" w:rsidRPr="09F83F24">
        <w:rPr>
          <w:rStyle w:val="Hyperlink"/>
        </w:rPr>
        <w:t>Natural Environment and Rural Communities Act 2006</w:t>
      </w:r>
      <w:r w:rsidR="00F33BA1" w:rsidRPr="09F83F24">
        <w:rPr>
          <w:rStyle w:val="Hyperlink"/>
        </w:rPr>
        <w:fldChar w:fldCharType="end"/>
      </w:r>
      <w:bookmarkEnd w:id="216"/>
      <w:r w:rsidR="00091AF9" w:rsidRPr="09F83F24">
        <w:rPr>
          <w:rStyle w:val="Hyperlink"/>
          <w:color w:val="auto"/>
          <w:u w:val="none"/>
        </w:rPr>
        <w:t>.</w:t>
      </w:r>
    </w:p>
    <w:p w14:paraId="51AE2450" w14:textId="410E4307" w:rsidR="00091AF9" w:rsidRPr="009A6AE8" w:rsidRDefault="00091AF9" w:rsidP="00D43BAE">
      <w:pPr>
        <w:pStyle w:val="ListParagraph"/>
        <w:numPr>
          <w:ilvl w:val="0"/>
          <w:numId w:val="8"/>
        </w:numPr>
        <w:ind w:left="561" w:hanging="567"/>
        <w:contextualSpacing w:val="0"/>
        <w:rPr>
          <w:rStyle w:val="eop"/>
          <w:rFonts w:cs="Arial"/>
          <w:color w:val="FF0000"/>
        </w:rPr>
      </w:pPr>
      <w:r w:rsidRPr="009A6AE8">
        <w:rPr>
          <w:rStyle w:val="eop"/>
        </w:rPr>
        <w:t xml:space="preserve">Outcome monitoring findings showed positive effects for S-CC-4. Overall, data showed the extent of all four </w:t>
      </w:r>
      <w:r w:rsidRPr="09F83F24">
        <w:rPr>
          <w:rStyle w:val="eop"/>
          <w:rFonts w:cs="Arial"/>
        </w:rPr>
        <w:t xml:space="preserve">priority habitats relevant to </w:t>
      </w:r>
      <w:r w:rsidRPr="009A6AE8">
        <w:rPr>
          <w:rStyle w:val="eop"/>
        </w:rPr>
        <w:t xml:space="preserve">S-CC-4 </w:t>
      </w:r>
      <w:r w:rsidRPr="09F83F24">
        <w:rPr>
          <w:rFonts w:eastAsia="Times New Roman" w:cs="Arial"/>
          <w:color w:val="000000" w:themeColor="text1"/>
        </w:rPr>
        <w:t xml:space="preserve">to have increased since </w:t>
      </w:r>
      <w:r w:rsidR="00DC2E44">
        <w:rPr>
          <w:rFonts w:eastAsia="Times New Roman" w:cs="Arial"/>
          <w:color w:val="000000" w:themeColor="text1"/>
        </w:rPr>
        <w:t>Plan</w:t>
      </w:r>
      <w:r w:rsidRPr="09F83F24">
        <w:rPr>
          <w:rFonts w:eastAsia="Times New Roman" w:cs="Arial"/>
          <w:color w:val="000000" w:themeColor="text1"/>
        </w:rPr>
        <w:t xml:space="preserve"> adoption, representing a 2.5% mean increase in total spatial extent for each habitat.</w:t>
      </w:r>
      <w:r w:rsidRPr="09F83F24">
        <w:rPr>
          <w:rStyle w:val="eop"/>
          <w:rFonts w:cs="Arial"/>
        </w:rPr>
        <w:t xml:space="preserve"> </w:t>
      </w:r>
      <w:r w:rsidR="0012007B">
        <w:rPr>
          <w:rStyle w:val="eop"/>
          <w:rFonts w:cs="Arial"/>
        </w:rPr>
        <w:br/>
      </w:r>
      <w:r w:rsidR="0012007B">
        <w:rPr>
          <w:rStyle w:val="eop"/>
          <w:rFonts w:cs="Arial"/>
        </w:rPr>
        <w:br/>
      </w:r>
      <w:r w:rsidRPr="09F83F24">
        <w:rPr>
          <w:rStyle w:val="eop"/>
          <w:rFonts w:cs="Arial"/>
        </w:rPr>
        <w:t xml:space="preserve">Of </w:t>
      </w:r>
      <w:r w:rsidRPr="00D43BAE">
        <w:t>the</w:t>
      </w:r>
      <w:r w:rsidRPr="09F83F24">
        <w:rPr>
          <w:rStyle w:val="eop"/>
          <w:rFonts w:cs="Arial"/>
        </w:rPr>
        <w:t xml:space="preserve"> four priority habitats linked to </w:t>
      </w:r>
      <w:r w:rsidRPr="009A6AE8">
        <w:rPr>
          <w:rStyle w:val="eop"/>
        </w:rPr>
        <w:t>S-CC-4, mudflats showed th</w:t>
      </w:r>
      <w:r w:rsidR="00434A89">
        <w:rPr>
          <w:rStyle w:val="eop"/>
        </w:rPr>
        <w:t>e</w:t>
      </w:r>
      <w:r w:rsidRPr="009A6AE8">
        <w:rPr>
          <w:rStyle w:val="eop"/>
        </w:rPr>
        <w:t xml:space="preserve"> greatest extent increase (2.2 square kilometres</w:t>
      </w:r>
      <w:r w:rsidRPr="00043B05">
        <w:rPr>
          <w:rStyle w:val="eop"/>
        </w:rPr>
        <w:t xml:space="preserve">) during the first reporting window of the </w:t>
      </w:r>
      <w:r w:rsidR="00DC2E44">
        <w:rPr>
          <w:rStyle w:val="eop"/>
        </w:rPr>
        <w:t>Plan</w:t>
      </w:r>
      <w:r w:rsidRPr="00043B05">
        <w:rPr>
          <w:rStyle w:val="eop"/>
        </w:rPr>
        <w:t xml:space="preserve">. </w:t>
      </w:r>
      <w:r w:rsidR="0012007B">
        <w:rPr>
          <w:rStyle w:val="eop"/>
        </w:rPr>
        <w:br/>
      </w:r>
      <w:r w:rsidR="0012007B">
        <w:rPr>
          <w:rStyle w:val="eop"/>
        </w:rPr>
        <w:br/>
      </w:r>
      <w:r w:rsidRPr="00043B05">
        <w:rPr>
          <w:rStyle w:val="eop"/>
        </w:rPr>
        <w:t>Positive policy effects were also found for S-</w:t>
      </w:r>
      <w:r w:rsidRPr="00003DD3">
        <w:rPr>
          <w:rStyle w:val="eop"/>
        </w:rPr>
        <w:t>CC</w:t>
      </w:r>
      <w:r w:rsidRPr="009A6AE8">
        <w:rPr>
          <w:rStyle w:val="eop"/>
        </w:rPr>
        <w:t xml:space="preserve">-2, with data suggesting that stakeholders have perceived </w:t>
      </w:r>
      <w:r w:rsidRPr="009A6AE8">
        <w:rPr>
          <w:rStyle w:val="eop"/>
          <w:rFonts w:cs="Arial"/>
        </w:rPr>
        <w:t xml:space="preserve">an increase in the consideration of climate change adaption measures by proposals since </w:t>
      </w:r>
      <w:r w:rsidR="00DC2E44">
        <w:rPr>
          <w:rStyle w:val="eop"/>
          <w:rFonts w:cs="Arial"/>
        </w:rPr>
        <w:t>Plan</w:t>
      </w:r>
      <w:r w:rsidRPr="009A6AE8">
        <w:rPr>
          <w:rStyle w:val="eop"/>
          <w:rFonts w:cs="Arial"/>
        </w:rPr>
        <w:t xml:space="preserve"> adoption.</w:t>
      </w:r>
    </w:p>
    <w:p w14:paraId="20B3F8EA" w14:textId="5B2E452C" w:rsidR="00091AF9" w:rsidRPr="009A6AE8" w:rsidRDefault="00091AF9" w:rsidP="00D43BAE">
      <w:pPr>
        <w:pStyle w:val="ListParagraph"/>
        <w:numPr>
          <w:ilvl w:val="0"/>
          <w:numId w:val="8"/>
        </w:numPr>
        <w:ind w:left="561" w:hanging="567"/>
        <w:contextualSpacing w:val="0"/>
        <w:rPr>
          <w:rStyle w:val="eop"/>
          <w:rFonts w:cs="Arial"/>
        </w:rPr>
      </w:pPr>
      <w:r w:rsidRPr="009A6AE8">
        <w:rPr>
          <w:rStyle w:val="eop"/>
        </w:rPr>
        <w:lastRenderedPageBreak/>
        <w:t xml:space="preserve">The assessment of policy effects was limited by the available data on the extent of coastal and marine priority habitats, which provides incomplete coverage of priority habitats. </w:t>
      </w:r>
      <w:r w:rsidR="001F1C08">
        <w:rPr>
          <w:rStyle w:val="eop"/>
        </w:rPr>
        <w:br/>
      </w:r>
      <w:r w:rsidR="001F1C08">
        <w:rPr>
          <w:rStyle w:val="eop"/>
        </w:rPr>
        <w:br/>
      </w:r>
      <w:r w:rsidR="00C163CB">
        <w:rPr>
          <w:rStyle w:val="eop"/>
        </w:rPr>
        <w:t>Any influence of S-CC-4 on t</w:t>
      </w:r>
      <w:r w:rsidRPr="009A6AE8">
        <w:rPr>
          <w:rStyle w:val="eop"/>
        </w:rPr>
        <w:t xml:space="preserve">he reported increases in the extent of priority habitats </w:t>
      </w:r>
      <w:r w:rsidR="00C163CB">
        <w:rPr>
          <w:rStyle w:val="eop"/>
        </w:rPr>
        <w:t>is unlikely</w:t>
      </w:r>
      <w:r w:rsidRPr="009A6AE8">
        <w:rPr>
          <w:rStyle w:val="eop"/>
        </w:rPr>
        <w:t xml:space="preserve">, due to the short time </w:t>
      </w:r>
      <w:r>
        <w:rPr>
          <w:rStyle w:val="eop"/>
        </w:rPr>
        <w:t>e</w:t>
      </w:r>
      <w:r w:rsidRPr="009A6AE8">
        <w:rPr>
          <w:rStyle w:val="eop"/>
        </w:rPr>
        <w:t xml:space="preserve">lapsed since </w:t>
      </w:r>
      <w:r w:rsidR="00DC2E44">
        <w:rPr>
          <w:rStyle w:val="eop"/>
        </w:rPr>
        <w:t>Plan</w:t>
      </w:r>
      <w:r w:rsidRPr="009A6AE8">
        <w:rPr>
          <w:rStyle w:val="eop"/>
        </w:rPr>
        <w:t xml:space="preserve"> adoption and the time required for priority habitats to establish and expand their spatial extent.</w:t>
      </w:r>
    </w:p>
    <w:p w14:paraId="3360F968" w14:textId="6E873603" w:rsidR="00091AF9" w:rsidRPr="009A6AE8" w:rsidRDefault="00091AF9" w:rsidP="00D43BAE">
      <w:pPr>
        <w:pStyle w:val="ListParagraph"/>
        <w:numPr>
          <w:ilvl w:val="0"/>
          <w:numId w:val="8"/>
        </w:numPr>
        <w:ind w:left="561" w:hanging="567"/>
        <w:contextualSpacing w:val="0"/>
        <w:rPr>
          <w:rFonts w:cs="Arial"/>
        </w:rPr>
      </w:pPr>
      <w:r w:rsidRPr="00285EEE">
        <w:rPr>
          <w:rStyle w:val="eop"/>
          <w:rFonts w:cs="Arial"/>
        </w:rPr>
        <w:t xml:space="preserve">Overall, </w:t>
      </w:r>
      <w:r w:rsidRPr="00285EEE">
        <w:rPr>
          <w:rStyle w:val="eop"/>
        </w:rPr>
        <w:t>findings suggest that positive</w:t>
      </w:r>
      <w:r w:rsidRPr="00285EEE">
        <w:rPr>
          <w:rStyle w:val="eop"/>
          <w:rFonts w:cs="Arial"/>
        </w:rPr>
        <w:t xml:space="preserve"> progress has been made towards</w:t>
      </w:r>
      <w:r w:rsidRPr="00285EEE">
        <w:rPr>
          <w:rStyle w:val="eop"/>
        </w:rPr>
        <w:t xml:space="preserve"> Objective 7, and the HLMOs to which it is linked</w:t>
      </w:r>
      <w:r w:rsidRPr="0012007B">
        <w:rPr>
          <w:rStyle w:val="eop"/>
        </w:rPr>
        <w:t xml:space="preserve"> (</w:t>
      </w:r>
      <w:hyperlink w:anchor="_Annex_A:_High">
        <w:r w:rsidR="00FC2AFC" w:rsidRPr="0012007B">
          <w:rPr>
            <w:rStyle w:val="Hyperlink"/>
          </w:rPr>
          <w:t>Annex A</w:t>
        </w:r>
      </w:hyperlink>
      <w:r w:rsidRPr="09F83F24">
        <w:rPr>
          <w:rStyle w:val="eop"/>
        </w:rPr>
        <w:t>).</w:t>
      </w:r>
      <w:r w:rsidRPr="009A6AE8">
        <w:rPr>
          <w:rStyle w:val="eop"/>
          <w:b/>
          <w:bCs/>
        </w:rPr>
        <w:t xml:space="preserve"> </w:t>
      </w:r>
      <w:r w:rsidR="0012007B">
        <w:rPr>
          <w:rStyle w:val="eop"/>
          <w:b/>
          <w:bCs/>
        </w:rPr>
        <w:br/>
      </w:r>
      <w:r w:rsidR="0012007B">
        <w:rPr>
          <w:rStyle w:val="eop"/>
          <w:b/>
          <w:bCs/>
        </w:rPr>
        <w:br/>
      </w:r>
      <w:r w:rsidRPr="009A6AE8">
        <w:rPr>
          <w:rStyle w:val="eop"/>
        </w:rPr>
        <w:t>This conclusion is supported by the findings of positive progress</w:t>
      </w:r>
      <w:r w:rsidRPr="009A6AE8">
        <w:rPr>
          <w:rFonts w:cs="Arial"/>
        </w:rPr>
        <w:t xml:space="preserve"> towards some </w:t>
      </w:r>
      <w:r w:rsidRPr="009A6AE8">
        <w:t xml:space="preserve">policy aims having been made by both directly and indirectly contributing policies. </w:t>
      </w:r>
      <w:r w:rsidR="0012007B">
        <w:br/>
      </w:r>
      <w:r w:rsidR="0012007B">
        <w:br/>
      </w:r>
      <w:r w:rsidRPr="009A6AE8">
        <w:t xml:space="preserve">Positive progress towards Objective 7 is also evidenced by use of the directly and indirectly contributing policies used in marine </w:t>
      </w:r>
      <w:r w:rsidR="00E507AC">
        <w:t>licence</w:t>
      </w:r>
      <w:r w:rsidRPr="009A6AE8">
        <w:t xml:space="preserve"> </w:t>
      </w:r>
      <w:r w:rsidR="00E507AC">
        <w:t>decision-making</w:t>
      </w:r>
      <w:r w:rsidRPr="009A6AE8">
        <w:t xml:space="preserve"> </w:t>
      </w:r>
      <w:r w:rsidRPr="009A6AE8">
        <w:rPr>
          <w:rStyle w:val="eop"/>
        </w:rPr>
        <w:t>(</w:t>
      </w:r>
      <w:hyperlink w:anchor="_Annex_B:_Policy">
        <w:r w:rsidR="00FC2AFC" w:rsidRPr="09F83F24">
          <w:rPr>
            <w:rStyle w:val="Hyperlink"/>
          </w:rPr>
          <w:t>Annex B</w:t>
        </w:r>
      </w:hyperlink>
      <w:r w:rsidRPr="09F83F24">
        <w:rPr>
          <w:rStyle w:val="eop"/>
        </w:rPr>
        <w:t>).</w:t>
      </w:r>
      <w:r w:rsidRPr="009A6AE8">
        <w:rPr>
          <w:rStyle w:val="eop"/>
        </w:rPr>
        <w:t xml:space="preserve"> </w:t>
      </w:r>
      <w:r w:rsidR="0012007B">
        <w:rPr>
          <w:rStyle w:val="eop"/>
        </w:rPr>
        <w:br/>
      </w:r>
      <w:r w:rsidR="0012007B">
        <w:rPr>
          <w:rStyle w:val="eop"/>
        </w:rPr>
        <w:br/>
      </w:r>
      <w:r w:rsidRPr="009A6AE8">
        <w:rPr>
          <w:rStyle w:val="eop"/>
        </w:rPr>
        <w:t>F</w:t>
      </w:r>
      <w:r w:rsidRPr="009A6AE8">
        <w:t>indings</w:t>
      </w:r>
      <w:r w:rsidR="005B48AF">
        <w:t>,</w:t>
      </w:r>
      <w:r w:rsidRPr="009A6AE8">
        <w:t xml:space="preserve"> therefore</w:t>
      </w:r>
      <w:r w:rsidR="005B48AF">
        <w:t>,</w:t>
      </w:r>
      <w:r w:rsidRPr="009A6AE8">
        <w:t xml:space="preserve"> suggest that</w:t>
      </w:r>
      <w:r w:rsidR="00C163CB">
        <w:t xml:space="preserve"> progress ha</w:t>
      </w:r>
      <w:r w:rsidR="004D30C6">
        <w:t xml:space="preserve">s </w:t>
      </w:r>
      <w:r w:rsidR="00C163CB">
        <w:t>been made</w:t>
      </w:r>
      <w:r w:rsidR="004D30C6">
        <w:t xml:space="preserve"> and S-CC-2 appears to be somewhat effective. </w:t>
      </w:r>
      <w:r w:rsidR="0012007B">
        <w:br/>
      </w:r>
      <w:r w:rsidR="0012007B">
        <w:br/>
      </w:r>
      <w:r w:rsidR="004D30C6">
        <w:t>However,</w:t>
      </w:r>
      <w:r w:rsidR="00C163CB">
        <w:t xml:space="preserve"> it is yet too soon to </w:t>
      </w:r>
      <w:r w:rsidR="00AD7AEF">
        <w:t>determine</w:t>
      </w:r>
      <w:r w:rsidRPr="009A6AE8">
        <w:t xml:space="preserve"> the </w:t>
      </w:r>
      <w:r w:rsidR="004D30C6">
        <w:t xml:space="preserve">overall </w:t>
      </w:r>
      <w:r w:rsidR="00C163CB">
        <w:t xml:space="preserve">effectiveness of </w:t>
      </w:r>
      <w:r w:rsidRPr="009A6AE8">
        <w:t>contributing policies in supporting the reduction of the environmental, social and economic impacts of climate change.</w:t>
      </w:r>
    </w:p>
    <w:p w14:paraId="2A4CE0CD" w14:textId="44CF939A" w:rsidR="00091AF9" w:rsidRPr="009A6AE8" w:rsidRDefault="00D565CC" w:rsidP="00285EEE">
      <w:pPr>
        <w:pStyle w:val="Caption"/>
      </w:pPr>
      <w:bookmarkStart w:id="217" w:name="Obj8"/>
      <w:r>
        <w:t xml:space="preserve">Table 8: Outcomes findings for </w:t>
      </w:r>
      <w:r w:rsidR="00091AF9" w:rsidRPr="009A6AE8">
        <w:t xml:space="preserve">Objective 8 </w:t>
      </w:r>
      <w:r>
        <w:t xml:space="preserve">- </w:t>
      </w:r>
      <w:r w:rsidR="00091AF9" w:rsidRPr="009A6AE8">
        <w:t xml:space="preserve">To identify and conserve heritage assets that are significant to the historic environment of the </w:t>
      </w:r>
      <w:r w:rsidR="00B07496">
        <w:t xml:space="preserve">South Marine </w:t>
      </w:r>
      <w:r w:rsidR="00DC2E44">
        <w:t>Plan</w:t>
      </w:r>
      <w:r w:rsidR="00091AF9" w:rsidRPr="009A6AE8">
        <w:t xml:space="preserve"> areas</w:t>
      </w:r>
    </w:p>
    <w:tbl>
      <w:tblPr>
        <w:tblStyle w:val="DefraGreen"/>
        <w:tblW w:w="5006" w:type="pct"/>
        <w:tblLook w:val="04A0" w:firstRow="1" w:lastRow="0" w:firstColumn="1" w:lastColumn="0" w:noHBand="0" w:noVBand="1"/>
      </w:tblPr>
      <w:tblGrid>
        <w:gridCol w:w="7365"/>
        <w:gridCol w:w="2268"/>
      </w:tblGrid>
      <w:tr w:rsidR="00091AF9" w:rsidRPr="001A65F6" w14:paraId="7722F05D" w14:textId="77777777" w:rsidTr="00285EEE">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5F5F5F" w:themeColor="accent6" w:themeShade="BF"/>
              <w:left w:val="single" w:sz="4" w:space="0" w:color="5F5F5F" w:themeColor="accent6" w:themeShade="BF"/>
              <w:bottom w:val="single" w:sz="4" w:space="0" w:color="5F5F5F" w:themeColor="accent6" w:themeShade="BF"/>
              <w:right w:val="single" w:sz="4" w:space="0" w:color="5F5F5F" w:themeColor="accent6" w:themeShade="BF"/>
            </w:tcBorders>
            <w:shd w:val="clear" w:color="auto" w:fill="00B050"/>
          </w:tcPr>
          <w:p w14:paraId="6258E007" w14:textId="6A5E5814" w:rsidR="00091AF9" w:rsidRPr="001A65F6" w:rsidRDefault="00091AF9" w:rsidP="00285EEE">
            <w:pPr>
              <w:spacing w:before="0" w:after="0"/>
              <w:rPr>
                <w:rFonts w:eastAsia="Times New Roman" w:cs="Arial"/>
                <w:b/>
                <w:bCs/>
                <w:color w:val="000000"/>
              </w:rPr>
            </w:pPr>
            <w:bookmarkStart w:id="218" w:name="_Hlk67387876"/>
            <w:bookmarkEnd w:id="217"/>
            <w:r w:rsidRPr="00860F94">
              <w:rPr>
                <w:rFonts w:eastAsia="Times New Roman" w:cs="Arial"/>
                <w:b/>
                <w:bCs/>
                <w:color w:val="FFFFFF" w:themeColor="background1"/>
                <w:sz w:val="28"/>
              </w:rPr>
              <w:t xml:space="preserve">Objective </w:t>
            </w:r>
            <w:r>
              <w:rPr>
                <w:rFonts w:eastAsia="Times New Roman" w:cs="Arial"/>
                <w:b/>
                <w:bCs/>
                <w:color w:val="FFFFFF" w:themeColor="background1"/>
                <w:sz w:val="28"/>
              </w:rPr>
              <w:t>progress</w:t>
            </w:r>
            <w:r w:rsidRPr="00860F94">
              <w:rPr>
                <w:rFonts w:eastAsia="Times New Roman" w:cs="Arial"/>
                <w:b/>
                <w:bCs/>
                <w:color w:val="FFFFFF" w:themeColor="background1"/>
                <w:sz w:val="28"/>
              </w:rPr>
              <w:t xml:space="preserve">: </w:t>
            </w:r>
            <w:r w:rsidR="0012007B">
              <w:rPr>
                <w:rFonts w:eastAsia="Times New Roman" w:cs="Arial"/>
                <w:b/>
                <w:bCs/>
                <w:color w:val="FFFFFF" w:themeColor="background1"/>
                <w:sz w:val="28"/>
              </w:rPr>
              <w:t>i</w:t>
            </w:r>
            <w:r>
              <w:rPr>
                <w:rFonts w:eastAsia="Times New Roman" w:cs="Arial"/>
                <w:b/>
                <w:bCs/>
                <w:color w:val="FFFFFF" w:themeColor="background1"/>
                <w:sz w:val="28"/>
              </w:rPr>
              <w:t>nconclusive</w:t>
            </w:r>
          </w:p>
        </w:tc>
        <w:tc>
          <w:tcPr>
            <w:tcW w:w="0" w:type="pct"/>
            <w:tcBorders>
              <w:top w:val="single" w:sz="4" w:space="0" w:color="5F5F5F" w:themeColor="accent6" w:themeShade="BF"/>
              <w:left w:val="single" w:sz="4" w:space="0" w:color="5F5F5F" w:themeColor="accent6" w:themeShade="BF"/>
              <w:bottom w:val="single" w:sz="4" w:space="0" w:color="5F5F5F" w:themeColor="accent6" w:themeShade="BF"/>
              <w:right w:val="single" w:sz="4" w:space="0" w:color="5F5F5F" w:themeColor="accent6" w:themeShade="BF"/>
            </w:tcBorders>
            <w:shd w:val="clear" w:color="auto" w:fill="00B050"/>
            <w:noWrap/>
          </w:tcPr>
          <w:p w14:paraId="0697584B" w14:textId="77777777" w:rsidR="00091AF9" w:rsidRPr="001A65F6" w:rsidRDefault="00091AF9" w:rsidP="00E02BCB">
            <w:pPr>
              <w:spacing w:before="0" w:after="0"/>
              <w:cnfStyle w:val="100000000000" w:firstRow="1" w:lastRow="0" w:firstColumn="0" w:lastColumn="0" w:oddVBand="0" w:evenVBand="0" w:oddHBand="0" w:evenHBand="0" w:firstRowFirstColumn="0" w:firstRowLastColumn="0" w:lastRowFirstColumn="0" w:lastRowLastColumn="0"/>
              <w:rPr>
                <w:rFonts w:eastAsia="Times New Roman" w:cs="Arial"/>
                <w:b/>
                <w:bCs/>
                <w:color w:val="000000"/>
              </w:rPr>
            </w:pPr>
          </w:p>
        </w:tc>
      </w:tr>
      <w:tr w:rsidR="00091AF9" w:rsidRPr="001A65F6" w14:paraId="3C8F43E5" w14:textId="77777777" w:rsidTr="00366097">
        <w:trPr>
          <w:trHeight w:val="346"/>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5F5F5F" w:themeColor="accent6" w:themeShade="BF"/>
            </w:tcBorders>
          </w:tcPr>
          <w:p w14:paraId="126C05B1" w14:textId="77777777" w:rsidR="00091AF9" w:rsidRPr="00DE3A21" w:rsidRDefault="00091AF9" w:rsidP="00E02BCB">
            <w:pPr>
              <w:spacing w:before="0" w:after="0"/>
              <w:rPr>
                <w:rFonts w:eastAsia="Times New Roman" w:cs="Arial"/>
                <w:b/>
                <w:bCs/>
                <w:color w:val="000000"/>
              </w:rPr>
            </w:pPr>
            <w:r w:rsidRPr="00DE3A21">
              <w:rPr>
                <w:rFonts w:eastAsia="Times New Roman" w:cs="Arial"/>
                <w:b/>
                <w:bCs/>
                <w:color w:val="000000"/>
              </w:rPr>
              <w:t>Policy code</w:t>
            </w:r>
          </w:p>
        </w:tc>
        <w:tc>
          <w:tcPr>
            <w:tcW w:w="0" w:type="pct"/>
            <w:tcBorders>
              <w:top w:val="single" w:sz="4" w:space="0" w:color="5F5F5F" w:themeColor="accent6" w:themeShade="BF"/>
            </w:tcBorders>
            <w:shd w:val="clear" w:color="auto" w:fill="CBE9D3"/>
            <w:noWrap/>
          </w:tcPr>
          <w:p w14:paraId="55230BF9" w14:textId="77777777" w:rsidR="00091AF9" w:rsidRPr="00DE3A21"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rPr>
            </w:pPr>
            <w:r>
              <w:rPr>
                <w:rFonts w:eastAsia="Times New Roman" w:cs="Arial"/>
                <w:b/>
                <w:bCs/>
                <w:color w:val="000000"/>
              </w:rPr>
              <w:t>Outcome findings</w:t>
            </w:r>
          </w:p>
        </w:tc>
      </w:tr>
      <w:tr w:rsidR="00091AF9" w:rsidRPr="001A65F6" w14:paraId="4B11ECBB"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5F2C8C5E" w14:textId="77777777" w:rsidR="00091AF9" w:rsidRPr="00A056EE" w:rsidRDefault="00091AF9" w:rsidP="00E02BCB">
            <w:pPr>
              <w:spacing w:before="0" w:after="0"/>
              <w:rPr>
                <w:rFonts w:eastAsia="Times New Roman" w:cs="Arial"/>
                <w:b/>
                <w:color w:val="000000"/>
              </w:rPr>
            </w:pPr>
            <w:r w:rsidRPr="00A056EE">
              <w:rPr>
                <w:rFonts w:eastAsia="Times New Roman" w:cs="Arial"/>
                <w:b/>
                <w:color w:val="000000"/>
              </w:rPr>
              <w:t>Directly contributing policies</w:t>
            </w:r>
          </w:p>
        </w:tc>
      </w:tr>
      <w:tr w:rsidR="00091AF9" w:rsidRPr="001A65F6" w14:paraId="53AFC826"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09B3A212" w14:textId="77777777" w:rsidR="00091AF9" w:rsidRPr="001A65F6" w:rsidRDefault="00091AF9" w:rsidP="00E02BCB">
            <w:pPr>
              <w:spacing w:before="0" w:after="0"/>
              <w:rPr>
                <w:rFonts w:eastAsia="Times New Roman" w:cs="Arial"/>
                <w:color w:val="000000"/>
              </w:rPr>
            </w:pPr>
            <w:r>
              <w:rPr>
                <w:rFonts w:eastAsia="Times New Roman" w:cs="Arial"/>
                <w:color w:val="000000"/>
              </w:rPr>
              <w:t>S-HER-1</w:t>
            </w:r>
          </w:p>
        </w:tc>
        <w:tc>
          <w:tcPr>
            <w:tcW w:w="1177" w:type="pct"/>
            <w:shd w:val="clear" w:color="auto" w:fill="FFFFFF" w:themeFill="background1"/>
            <w:noWrap/>
            <w:vAlign w:val="center"/>
          </w:tcPr>
          <w:p w14:paraId="4B5D41BD"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A65F6">
              <w:rPr>
                <w:rFonts w:eastAsia="Times New Roman" w:cs="Arial"/>
                <w:color w:val="000000"/>
              </w:rPr>
              <w:t>Negative</w:t>
            </w:r>
          </w:p>
        </w:tc>
      </w:tr>
      <w:tr w:rsidR="00091AF9" w:rsidRPr="001A65F6" w14:paraId="6829D057"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99E4781" w14:textId="77777777" w:rsidR="00091AF9" w:rsidRPr="00A056EE" w:rsidRDefault="00091AF9" w:rsidP="00E02BCB">
            <w:pPr>
              <w:spacing w:before="0" w:after="0"/>
              <w:rPr>
                <w:rFonts w:eastAsia="Times New Roman" w:cs="Arial"/>
                <w:b/>
                <w:color w:val="000000"/>
              </w:rPr>
            </w:pPr>
            <w:r w:rsidRPr="00A056EE">
              <w:rPr>
                <w:rFonts w:eastAsia="Times New Roman" w:cs="Arial"/>
                <w:b/>
                <w:color w:val="000000"/>
              </w:rPr>
              <w:t xml:space="preserve">Indirectly contributing policies </w:t>
            </w:r>
          </w:p>
        </w:tc>
      </w:tr>
      <w:tr w:rsidR="00091AF9" w:rsidRPr="001A65F6" w14:paraId="4CE2CC30"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272A8774" w14:textId="77777777" w:rsidR="00091AF9" w:rsidRPr="001A65F6" w:rsidRDefault="00091AF9" w:rsidP="00E02BCB">
            <w:pPr>
              <w:spacing w:before="0" w:after="0"/>
              <w:rPr>
                <w:rFonts w:eastAsia="Times New Roman" w:cs="Arial"/>
                <w:color w:val="000000"/>
              </w:rPr>
            </w:pPr>
            <w:r>
              <w:rPr>
                <w:rFonts w:eastAsia="Times New Roman" w:cs="Arial"/>
                <w:color w:val="000000"/>
              </w:rPr>
              <w:t>S-SCP-1, S-TR-2</w:t>
            </w:r>
          </w:p>
        </w:tc>
        <w:tc>
          <w:tcPr>
            <w:tcW w:w="1177" w:type="pct"/>
            <w:shd w:val="clear" w:color="auto" w:fill="FFFFFF" w:themeFill="background1"/>
            <w:noWrap/>
            <w:vAlign w:val="center"/>
          </w:tcPr>
          <w:p w14:paraId="259B2B8F"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Positive</w:t>
            </w:r>
          </w:p>
        </w:tc>
      </w:tr>
      <w:tr w:rsidR="00091AF9" w:rsidRPr="001A65F6" w14:paraId="38945590"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33C032F7" w14:textId="77777777" w:rsidR="00091AF9" w:rsidRPr="001A65F6" w:rsidRDefault="00091AF9" w:rsidP="00E02BCB">
            <w:pPr>
              <w:spacing w:before="0" w:after="0"/>
              <w:rPr>
                <w:rFonts w:eastAsia="Times New Roman" w:cs="Arial"/>
                <w:color w:val="000000"/>
              </w:rPr>
            </w:pPr>
            <w:r>
              <w:rPr>
                <w:rFonts w:eastAsia="Times New Roman" w:cs="Arial"/>
                <w:color w:val="000000"/>
              </w:rPr>
              <w:t>S-PS-1</w:t>
            </w:r>
          </w:p>
        </w:tc>
        <w:tc>
          <w:tcPr>
            <w:tcW w:w="1177" w:type="pct"/>
            <w:shd w:val="clear" w:color="auto" w:fill="FFFFFF" w:themeFill="background1"/>
            <w:noWrap/>
            <w:vAlign w:val="center"/>
            <w:hideMark/>
          </w:tcPr>
          <w:p w14:paraId="6F700C4A"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A65F6">
              <w:rPr>
                <w:rFonts w:eastAsia="Times New Roman" w:cs="Arial"/>
                <w:color w:val="000000"/>
              </w:rPr>
              <w:t>Neutral</w:t>
            </w:r>
          </w:p>
        </w:tc>
      </w:tr>
      <w:tr w:rsidR="00091AF9" w:rsidRPr="001A65F6" w14:paraId="28F1A508"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2DA357B2" w14:textId="77777777" w:rsidR="00091AF9" w:rsidRPr="001A65F6" w:rsidRDefault="00091AF9" w:rsidP="00E02BCB">
            <w:pPr>
              <w:spacing w:before="0" w:after="0"/>
              <w:rPr>
                <w:rFonts w:eastAsia="Times New Roman" w:cs="Arial"/>
                <w:color w:val="000000"/>
              </w:rPr>
            </w:pPr>
            <w:r>
              <w:rPr>
                <w:rFonts w:eastAsia="Times New Roman" w:cs="Arial"/>
                <w:color w:val="000000"/>
              </w:rPr>
              <w:t>S-TR-1</w:t>
            </w:r>
          </w:p>
        </w:tc>
        <w:tc>
          <w:tcPr>
            <w:tcW w:w="1177" w:type="pct"/>
            <w:shd w:val="clear" w:color="auto" w:fill="FFFFFF" w:themeFill="background1"/>
            <w:noWrap/>
            <w:vAlign w:val="center"/>
          </w:tcPr>
          <w:p w14:paraId="6E680E18"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A65F6">
              <w:rPr>
                <w:rFonts w:eastAsia="Times New Roman" w:cs="Arial"/>
                <w:color w:val="000000"/>
              </w:rPr>
              <w:t>Inconclusive</w:t>
            </w:r>
          </w:p>
        </w:tc>
      </w:tr>
    </w:tbl>
    <w:bookmarkEnd w:id="218"/>
    <w:p w14:paraId="5954F68D" w14:textId="7B0AB472" w:rsidR="00091AF9" w:rsidRPr="009A6AE8" w:rsidRDefault="00091AF9" w:rsidP="00D43BAE">
      <w:pPr>
        <w:pStyle w:val="ListParagraph"/>
        <w:numPr>
          <w:ilvl w:val="0"/>
          <w:numId w:val="8"/>
        </w:numPr>
        <w:ind w:left="561" w:hanging="567"/>
        <w:contextualSpacing w:val="0"/>
        <w:rPr>
          <w:rStyle w:val="eop"/>
          <w:rFonts w:cs="Arial"/>
        </w:rPr>
      </w:pPr>
      <w:r w:rsidRPr="009A6AE8">
        <w:rPr>
          <w:rStyle w:val="eop"/>
        </w:rPr>
        <w:t xml:space="preserve">Policy S-HER-1 seeks to avoid or reduce negative impacts on heritage </w:t>
      </w:r>
      <w:r w:rsidR="0012007B" w:rsidRPr="009A6AE8">
        <w:rPr>
          <w:rStyle w:val="eop"/>
        </w:rPr>
        <w:t>assets unless</w:t>
      </w:r>
      <w:r w:rsidRPr="009A6AE8">
        <w:rPr>
          <w:rStyle w:val="eop"/>
        </w:rPr>
        <w:t xml:space="preserve"> negative impacts are outweighed by wider public benefits. </w:t>
      </w:r>
      <w:r w:rsidR="0012007B">
        <w:rPr>
          <w:rStyle w:val="eop"/>
        </w:rPr>
        <w:br/>
      </w:r>
      <w:r w:rsidR="0012007B">
        <w:rPr>
          <w:rStyle w:val="eop"/>
        </w:rPr>
        <w:br/>
      </w:r>
      <w:r w:rsidRPr="009A6AE8">
        <w:rPr>
          <w:rStyle w:val="eop"/>
        </w:rPr>
        <w:t xml:space="preserve">The effects of S-HER-1 were assessed </w:t>
      </w:r>
      <w:r w:rsidRPr="00D43BAE">
        <w:t>using</w:t>
      </w:r>
      <w:r w:rsidRPr="009A6AE8">
        <w:rPr>
          <w:rStyle w:val="eop"/>
        </w:rPr>
        <w:t xml:space="preserve"> </w:t>
      </w:r>
      <w:r w:rsidRPr="09F83F24">
        <w:rPr>
          <w:rStyle w:val="eop"/>
          <w:rFonts w:cs="Arial"/>
        </w:rPr>
        <w:t xml:space="preserve">Historic England’s </w:t>
      </w:r>
      <w:bookmarkStart w:id="219" w:name="_Hlk71799781"/>
      <w:r w:rsidR="00F33BA1" w:rsidRPr="09F83F24">
        <w:fldChar w:fldCharType="begin"/>
      </w:r>
      <w:r w:rsidR="00F33BA1">
        <w:instrText xml:space="preserve"> HYPERLINK "https://historicengland.org.uk/advice/heritage-at-risk/" </w:instrText>
      </w:r>
      <w:r w:rsidR="00F33BA1" w:rsidRPr="09F83F24">
        <w:fldChar w:fldCharType="separate"/>
      </w:r>
      <w:r w:rsidRPr="09F83F24">
        <w:rPr>
          <w:rStyle w:val="Hyperlink"/>
          <w:rFonts w:cs="Arial"/>
        </w:rPr>
        <w:t>Heritage at Risk Register</w:t>
      </w:r>
      <w:r w:rsidR="00F33BA1" w:rsidRPr="09F83F24">
        <w:rPr>
          <w:rStyle w:val="Hyperlink"/>
          <w:rFonts w:cs="Arial"/>
        </w:rPr>
        <w:fldChar w:fldCharType="end"/>
      </w:r>
      <w:bookmarkEnd w:id="219"/>
      <w:r w:rsidRPr="09F83F24">
        <w:rPr>
          <w:rStyle w:val="eop"/>
          <w:rFonts w:cs="Arial"/>
        </w:rPr>
        <w:t xml:space="preserve"> and changes in the number of entries that can be reasonably linked to marine activities licensed by the MMO within the </w:t>
      </w:r>
      <w:r w:rsidR="00B07496">
        <w:rPr>
          <w:rStyle w:val="eop"/>
          <w:rFonts w:cs="Arial"/>
        </w:rPr>
        <w:t xml:space="preserve">South Marine </w:t>
      </w:r>
      <w:r w:rsidR="00DC2E44">
        <w:rPr>
          <w:rStyle w:val="eop"/>
          <w:rFonts w:cs="Arial"/>
        </w:rPr>
        <w:t>Plan</w:t>
      </w:r>
      <w:r w:rsidRPr="09F83F24">
        <w:rPr>
          <w:rStyle w:val="eop"/>
          <w:rFonts w:cs="Arial"/>
        </w:rPr>
        <w:t xml:space="preserve"> area. </w:t>
      </w:r>
    </w:p>
    <w:p w14:paraId="514AD3AE" w14:textId="3EA7934D" w:rsidR="007D6517" w:rsidRDefault="004D30C6" w:rsidP="004D30C6">
      <w:pPr>
        <w:pStyle w:val="ListParagraph"/>
        <w:numPr>
          <w:ilvl w:val="0"/>
          <w:numId w:val="8"/>
        </w:numPr>
        <w:ind w:left="561" w:hanging="567"/>
        <w:contextualSpacing w:val="0"/>
        <w:rPr>
          <w:rStyle w:val="eop"/>
          <w:rFonts w:cs="Arial"/>
        </w:rPr>
      </w:pPr>
      <w:r>
        <w:rPr>
          <w:rStyle w:val="eop"/>
        </w:rPr>
        <w:lastRenderedPageBreak/>
        <w:t>F</w:t>
      </w:r>
      <w:r w:rsidR="00091AF9" w:rsidRPr="009A6AE8">
        <w:rPr>
          <w:rStyle w:val="eop"/>
        </w:rPr>
        <w:t xml:space="preserve">indings showed </w:t>
      </w:r>
      <w:r>
        <w:rPr>
          <w:rStyle w:val="eop"/>
        </w:rPr>
        <w:t xml:space="preserve">a </w:t>
      </w:r>
      <w:r w:rsidR="00091AF9" w:rsidRPr="009A6AE8">
        <w:rPr>
          <w:rStyle w:val="eop"/>
        </w:rPr>
        <w:t xml:space="preserve">negative </w:t>
      </w:r>
      <w:r>
        <w:rPr>
          <w:rStyle w:val="eop"/>
        </w:rPr>
        <w:t>outcome, with th</w:t>
      </w:r>
      <w:r w:rsidRPr="009A6AE8">
        <w:rPr>
          <w:rStyle w:val="eop"/>
        </w:rPr>
        <w:t>e highest number of assets</w:t>
      </w:r>
      <w:r>
        <w:rPr>
          <w:rStyle w:val="eop"/>
        </w:rPr>
        <w:t xml:space="preserve"> (40)</w:t>
      </w:r>
      <w:r w:rsidRPr="009A6AE8">
        <w:rPr>
          <w:rStyle w:val="eop"/>
        </w:rPr>
        <w:t xml:space="preserve"> on the Heritage at Risk Register</w:t>
      </w:r>
      <w:r>
        <w:rPr>
          <w:rStyle w:val="eop"/>
        </w:rPr>
        <w:t xml:space="preserve"> listed in 2019</w:t>
      </w:r>
      <w:r w:rsidRPr="009A6AE8">
        <w:rPr>
          <w:rStyle w:val="eop"/>
        </w:rPr>
        <w:t xml:space="preserve"> following </w:t>
      </w:r>
      <w:r w:rsidR="00DC2E44">
        <w:rPr>
          <w:rStyle w:val="eop"/>
        </w:rPr>
        <w:t>Plan</w:t>
      </w:r>
      <w:r w:rsidRPr="009A6AE8">
        <w:rPr>
          <w:rStyle w:val="eop"/>
        </w:rPr>
        <w:t xml:space="preserve"> adoption</w:t>
      </w:r>
      <w:r>
        <w:rPr>
          <w:rStyle w:val="eop"/>
        </w:rPr>
        <w:t xml:space="preserve">. However, this does not appear </w:t>
      </w:r>
      <w:r w:rsidR="001617AF">
        <w:rPr>
          <w:rStyle w:val="eop"/>
        </w:rPr>
        <w:t xml:space="preserve">as </w:t>
      </w:r>
      <w:r>
        <w:rPr>
          <w:rStyle w:val="eop"/>
        </w:rPr>
        <w:t xml:space="preserve">part of a consistent trend. </w:t>
      </w:r>
    </w:p>
    <w:p w14:paraId="2BDD018B" w14:textId="4E2DE22E" w:rsidR="004D30C6" w:rsidRPr="009A6AE8" w:rsidRDefault="004D30C6" w:rsidP="007D6517">
      <w:pPr>
        <w:pStyle w:val="ListParagraph"/>
        <w:ind w:left="561"/>
        <w:contextualSpacing w:val="0"/>
        <w:rPr>
          <w:rStyle w:val="normaltextrun"/>
          <w:rFonts w:cs="Arial"/>
        </w:rPr>
      </w:pPr>
      <w:r>
        <w:rPr>
          <w:rStyle w:val="eop"/>
          <w:rFonts w:cs="Arial"/>
        </w:rPr>
        <w:t>Data</w:t>
      </w:r>
      <w:r w:rsidRPr="009A6AE8">
        <w:rPr>
          <w:rStyle w:val="eop"/>
          <w:rFonts w:cs="Arial"/>
        </w:rPr>
        <w:t xml:space="preserve"> </w:t>
      </w:r>
      <w:r w:rsidR="001617AF">
        <w:rPr>
          <w:rStyle w:val="eop"/>
          <w:rFonts w:cs="Arial"/>
        </w:rPr>
        <w:t xml:space="preserve">does </w:t>
      </w:r>
      <w:r w:rsidRPr="009A6AE8">
        <w:rPr>
          <w:rStyle w:val="eop"/>
          <w:rFonts w:cs="Arial"/>
        </w:rPr>
        <w:t xml:space="preserve">show that S-HER-1 is being considered </w:t>
      </w:r>
      <w:r>
        <w:rPr>
          <w:rStyle w:val="eop"/>
          <w:rFonts w:cs="Arial"/>
        </w:rPr>
        <w:t>in</w:t>
      </w:r>
      <w:r w:rsidRPr="009A6AE8">
        <w:rPr>
          <w:rStyle w:val="eop"/>
          <w:rFonts w:cs="Arial"/>
        </w:rPr>
        <w:t xml:space="preserve"> marine </w:t>
      </w:r>
      <w:r>
        <w:rPr>
          <w:rStyle w:val="eop"/>
          <w:rFonts w:cs="Arial"/>
        </w:rPr>
        <w:t>licence</w:t>
      </w:r>
      <w:r w:rsidRPr="009A6AE8">
        <w:rPr>
          <w:rStyle w:val="eop"/>
          <w:rFonts w:cs="Arial"/>
        </w:rPr>
        <w:t xml:space="preserve"> </w:t>
      </w:r>
      <w:r>
        <w:rPr>
          <w:rStyle w:val="eop"/>
          <w:rFonts w:cs="Arial"/>
        </w:rPr>
        <w:t>decision-making</w:t>
      </w:r>
      <w:r w:rsidRPr="009A6AE8">
        <w:rPr>
          <w:rStyle w:val="eop"/>
          <w:rFonts w:cs="Arial"/>
        </w:rPr>
        <w:t xml:space="preserve"> (</w:t>
      </w:r>
      <w:hyperlink w:anchor="_Annex_B:_Policy" w:history="1">
        <w:r w:rsidRPr="00FC2AFC">
          <w:rPr>
            <w:rStyle w:val="Hyperlink"/>
          </w:rPr>
          <w:t>Annex B</w:t>
        </w:r>
      </w:hyperlink>
      <w:r w:rsidRPr="009A6AE8">
        <w:rPr>
          <w:rStyle w:val="eop"/>
          <w:rFonts w:cs="Arial"/>
        </w:rPr>
        <w:t xml:space="preserve">), </w:t>
      </w:r>
      <w:r w:rsidR="001617AF">
        <w:t>therefore</w:t>
      </w:r>
      <w:r w:rsidR="00AD7AEF">
        <w:t xml:space="preserve"> the policy</w:t>
      </w:r>
      <w:r w:rsidR="001617AF">
        <w:t xml:space="preserve"> is</w:t>
      </w:r>
      <w:r w:rsidRPr="009A6AE8">
        <w:rPr>
          <w:rStyle w:val="eop"/>
          <w:rFonts w:cs="Arial"/>
        </w:rPr>
        <w:t xml:space="preserve"> </w:t>
      </w:r>
      <w:r w:rsidR="001617AF">
        <w:rPr>
          <w:rStyle w:val="eop"/>
          <w:rFonts w:cs="Arial"/>
        </w:rPr>
        <w:t>either in</w:t>
      </w:r>
      <w:r w:rsidRPr="009A6AE8">
        <w:rPr>
          <w:rStyle w:val="eop"/>
          <w:rFonts w:cs="Arial"/>
        </w:rPr>
        <w:t xml:space="preserve">effective </w:t>
      </w:r>
      <w:r w:rsidR="001617AF">
        <w:rPr>
          <w:rStyle w:val="eop"/>
          <w:rFonts w:cs="Arial"/>
        </w:rPr>
        <w:t>at</w:t>
      </w:r>
      <w:r w:rsidRPr="009A6AE8">
        <w:rPr>
          <w:rStyle w:val="eop"/>
          <w:rFonts w:cs="Arial"/>
        </w:rPr>
        <w:t xml:space="preserve"> securing </w:t>
      </w:r>
      <w:r w:rsidR="001617AF">
        <w:rPr>
          <w:rStyle w:val="eop"/>
          <w:rFonts w:cs="Arial"/>
        </w:rPr>
        <w:t>it’s</w:t>
      </w:r>
      <w:r w:rsidRPr="009A6AE8">
        <w:rPr>
          <w:rStyle w:val="eop"/>
          <w:rFonts w:cs="Arial"/>
        </w:rPr>
        <w:t xml:space="preserve"> aims</w:t>
      </w:r>
      <w:r w:rsidR="001617AF">
        <w:rPr>
          <w:rStyle w:val="eop"/>
          <w:rFonts w:cs="Arial"/>
        </w:rPr>
        <w:t xml:space="preserve"> or has not yet had sufficient time to influence outcomes</w:t>
      </w:r>
      <w:r w:rsidRPr="009A6AE8">
        <w:rPr>
          <w:rStyle w:val="normaltextrun"/>
          <w:rFonts w:cs="Arial"/>
        </w:rPr>
        <w:t>.</w:t>
      </w:r>
      <w:r w:rsidRPr="009A6AE8">
        <w:rPr>
          <w:rStyle w:val="eop"/>
          <w:rFonts w:cs="Arial"/>
        </w:rPr>
        <w:t xml:space="preserve"> </w:t>
      </w:r>
      <w:r w:rsidRPr="009A6AE8">
        <w:rPr>
          <w:rStyle w:val="normaltextrun"/>
          <w:rFonts w:cs="Arial"/>
        </w:rPr>
        <w:t xml:space="preserve"> </w:t>
      </w:r>
    </w:p>
    <w:p w14:paraId="56E254DD" w14:textId="30B518D0" w:rsidR="00091AF9" w:rsidRPr="009A6AE8" w:rsidRDefault="00091AF9" w:rsidP="00D43BAE">
      <w:pPr>
        <w:pStyle w:val="ListParagraph"/>
        <w:numPr>
          <w:ilvl w:val="0"/>
          <w:numId w:val="8"/>
        </w:numPr>
        <w:ind w:left="561" w:hanging="567"/>
        <w:contextualSpacing w:val="0"/>
        <w:rPr>
          <w:rStyle w:val="normaltextrun"/>
          <w:rFonts w:cs="Arial"/>
        </w:rPr>
      </w:pPr>
      <w:r w:rsidRPr="009A6AE8">
        <w:rPr>
          <w:rStyle w:val="eop"/>
        </w:rPr>
        <w:t xml:space="preserve">The assessment of policy effects were limited as </w:t>
      </w:r>
      <w:r w:rsidRPr="09F83F24">
        <w:rPr>
          <w:rStyle w:val="eop"/>
          <w:rFonts w:cs="Arial"/>
        </w:rPr>
        <w:t xml:space="preserve">it cannot be </w:t>
      </w:r>
      <w:r w:rsidR="004D30C6">
        <w:rPr>
          <w:rStyle w:val="eop"/>
          <w:rFonts w:cs="Arial"/>
          <w:bCs/>
        </w:rPr>
        <w:t>confirmed</w:t>
      </w:r>
      <w:r w:rsidR="004D30C6" w:rsidRPr="009A6AE8">
        <w:rPr>
          <w:rStyle w:val="eop"/>
          <w:rFonts w:cs="Arial"/>
          <w:bCs/>
        </w:rPr>
        <w:t xml:space="preserve"> </w:t>
      </w:r>
      <w:r w:rsidRPr="09F83F24">
        <w:rPr>
          <w:rStyle w:val="eop"/>
          <w:rFonts w:cs="Arial"/>
        </w:rPr>
        <w:t xml:space="preserve">whether the additions to the Heritage at Risk Register are the result of negative impacts from marine development, or </w:t>
      </w:r>
      <w:r w:rsidR="004D30C6">
        <w:rPr>
          <w:rStyle w:val="eop"/>
          <w:rFonts w:cs="Arial"/>
          <w:bCs/>
        </w:rPr>
        <w:t>for other reasons</w:t>
      </w:r>
      <w:r w:rsidRPr="009A6AE8">
        <w:rPr>
          <w:rStyle w:val="eop"/>
          <w:rFonts w:cs="Arial"/>
          <w:bCs/>
        </w:rPr>
        <w:t>.</w:t>
      </w:r>
      <w:r w:rsidRPr="09F83F24">
        <w:rPr>
          <w:rStyle w:val="eop"/>
          <w:rFonts w:cs="Arial"/>
        </w:rPr>
        <w:t xml:space="preserve"> </w:t>
      </w:r>
      <w:r w:rsidR="0012007B">
        <w:rPr>
          <w:rStyle w:val="eop"/>
          <w:rFonts w:cs="Arial"/>
        </w:rPr>
        <w:br/>
      </w:r>
      <w:r w:rsidR="0012007B">
        <w:rPr>
          <w:rStyle w:val="eop"/>
          <w:rFonts w:cs="Arial"/>
        </w:rPr>
        <w:br/>
      </w:r>
      <w:r w:rsidRPr="09F83F24">
        <w:rPr>
          <w:rStyle w:val="eop"/>
          <w:rFonts w:cs="Arial"/>
        </w:rPr>
        <w:t xml:space="preserve">Furthermore, </w:t>
      </w:r>
      <w:r w:rsidRPr="009A6AE8">
        <w:rPr>
          <w:rStyle w:val="eop"/>
        </w:rPr>
        <w:t xml:space="preserve">the existing </w:t>
      </w:r>
      <w:r w:rsidRPr="00D43BAE">
        <w:t>monitoring</w:t>
      </w:r>
      <w:r w:rsidRPr="009A6AE8">
        <w:rPr>
          <w:rStyle w:val="eop"/>
        </w:rPr>
        <w:t xml:space="preserve"> methodology does not consider policy effects to undesignated heritage assets or changes in status to entries in the </w:t>
      </w:r>
      <w:r w:rsidRPr="09F83F24">
        <w:rPr>
          <w:rStyle w:val="eop"/>
          <w:rFonts w:cs="Arial"/>
        </w:rPr>
        <w:t xml:space="preserve">Heritage at Risk Register. </w:t>
      </w:r>
      <w:r w:rsidR="001F1C08">
        <w:rPr>
          <w:rStyle w:val="eop"/>
          <w:rFonts w:cs="Arial"/>
        </w:rPr>
        <w:br/>
      </w:r>
      <w:r w:rsidR="001F1C08">
        <w:rPr>
          <w:rStyle w:val="eop"/>
          <w:rFonts w:cs="Arial"/>
        </w:rPr>
        <w:br/>
      </w:r>
      <w:r w:rsidRPr="009A6AE8">
        <w:rPr>
          <w:rStyle w:val="normaltextrun"/>
          <w:rFonts w:cs="Arial"/>
        </w:rPr>
        <w:t>Engagement with key stakeholders, alongside</w:t>
      </w:r>
      <w:r w:rsidRPr="009A6AE8">
        <w:rPr>
          <w:rStyle w:val="eop"/>
        </w:rPr>
        <w:t xml:space="preserve"> the continued development of indicators, will deliver improvements </w:t>
      </w:r>
      <w:r w:rsidR="00434A89">
        <w:rPr>
          <w:rStyle w:val="eop"/>
        </w:rPr>
        <w:t xml:space="preserve">to </w:t>
      </w:r>
      <w:r w:rsidRPr="009A6AE8">
        <w:rPr>
          <w:rStyle w:val="eop"/>
        </w:rPr>
        <w:t xml:space="preserve">the </w:t>
      </w:r>
      <w:r w:rsidRPr="009A6AE8">
        <w:rPr>
          <w:rStyle w:val="normaltextrun"/>
          <w:rFonts w:cs="Arial"/>
        </w:rPr>
        <w:t>methodology used to assess the effects S-HER-1.</w:t>
      </w:r>
    </w:p>
    <w:p w14:paraId="43DE8D35" w14:textId="38258F0C" w:rsidR="00091AF9" w:rsidRPr="00285EEE" w:rsidRDefault="00091AF9">
      <w:pPr>
        <w:pStyle w:val="ListParagraph"/>
        <w:numPr>
          <w:ilvl w:val="0"/>
          <w:numId w:val="8"/>
        </w:numPr>
        <w:ind w:left="561" w:hanging="567"/>
        <w:contextualSpacing w:val="0"/>
        <w:rPr>
          <w:rFonts w:cs="Arial"/>
        </w:rPr>
      </w:pPr>
      <w:r w:rsidRPr="00285EEE">
        <w:rPr>
          <w:rStyle w:val="eop"/>
          <w:rFonts w:cs="Arial"/>
        </w:rPr>
        <w:t xml:space="preserve">Overall, </w:t>
      </w:r>
      <w:r w:rsidRPr="00285EEE">
        <w:rPr>
          <w:rStyle w:val="eop"/>
        </w:rPr>
        <w:t xml:space="preserve">findings on the </w:t>
      </w:r>
      <w:r w:rsidRPr="00285EEE">
        <w:rPr>
          <w:rStyle w:val="eop"/>
          <w:rFonts w:cs="Arial"/>
        </w:rPr>
        <w:t>progress made towards</w:t>
      </w:r>
      <w:r w:rsidRPr="00285EEE">
        <w:rPr>
          <w:rStyle w:val="eop"/>
        </w:rPr>
        <w:t xml:space="preserve"> Objective </w:t>
      </w:r>
      <w:r w:rsidR="00434A89" w:rsidRPr="00285EEE">
        <w:rPr>
          <w:rStyle w:val="eop"/>
        </w:rPr>
        <w:t>8</w:t>
      </w:r>
      <w:r w:rsidRPr="00285EEE">
        <w:rPr>
          <w:rStyle w:val="eop"/>
        </w:rPr>
        <w:t>, and the HLMOs to which it is linked</w:t>
      </w:r>
      <w:r w:rsidRPr="0012007B">
        <w:rPr>
          <w:rStyle w:val="eop"/>
        </w:rPr>
        <w:t xml:space="preserve"> (</w:t>
      </w:r>
      <w:hyperlink w:anchor="_Annex_A:_High">
        <w:r w:rsidR="00FC2AFC" w:rsidRPr="0012007B">
          <w:rPr>
            <w:rStyle w:val="Hyperlink"/>
          </w:rPr>
          <w:t>Annex A</w:t>
        </w:r>
      </w:hyperlink>
      <w:r w:rsidRPr="0012007B">
        <w:rPr>
          <w:rStyle w:val="eop"/>
        </w:rPr>
        <w:t xml:space="preserve">), </w:t>
      </w:r>
      <w:r w:rsidRPr="00285EEE">
        <w:rPr>
          <w:rStyle w:val="eop"/>
        </w:rPr>
        <w:t>were inconclusive</w:t>
      </w:r>
      <w:r w:rsidRPr="0012007B">
        <w:rPr>
          <w:rStyle w:val="eop"/>
        </w:rPr>
        <w:t>.</w:t>
      </w:r>
      <w:r w:rsidRPr="00D43D9E">
        <w:rPr>
          <w:rStyle w:val="eop"/>
          <w:rFonts w:cs="Arial"/>
        </w:rPr>
        <w:t xml:space="preserve"> </w:t>
      </w:r>
      <w:r w:rsidR="0012007B">
        <w:rPr>
          <w:rStyle w:val="eop"/>
          <w:rFonts w:cs="Arial"/>
        </w:rPr>
        <w:br/>
      </w:r>
      <w:r w:rsidR="0012007B">
        <w:rPr>
          <w:rStyle w:val="eop"/>
          <w:rFonts w:cs="Arial"/>
        </w:rPr>
        <w:br/>
      </w:r>
      <w:r w:rsidRPr="009A6AE8">
        <w:rPr>
          <w:rStyle w:val="eop"/>
          <w:rFonts w:cs="Arial"/>
        </w:rPr>
        <w:t xml:space="preserve">This conclusion is supported by conflicting findings between the effects and use of the only directly contributing policy. </w:t>
      </w:r>
      <w:r w:rsidR="0012007B">
        <w:rPr>
          <w:rStyle w:val="eop"/>
          <w:rFonts w:cs="Arial"/>
        </w:rPr>
        <w:br/>
      </w:r>
      <w:r w:rsidR="0012007B">
        <w:rPr>
          <w:rStyle w:val="eop"/>
          <w:rFonts w:cs="Arial"/>
        </w:rPr>
        <w:br/>
      </w:r>
      <w:r w:rsidRPr="009A6AE8">
        <w:rPr>
          <w:rStyle w:val="eop"/>
          <w:rFonts w:cs="Arial"/>
        </w:rPr>
        <w:t xml:space="preserve">As available evidence shows that S-HER-1 is being considered within marine </w:t>
      </w:r>
      <w:r w:rsidR="00F15E22">
        <w:rPr>
          <w:rStyle w:val="eop"/>
          <w:rFonts w:cs="Arial"/>
        </w:rPr>
        <w:t>licence</w:t>
      </w:r>
      <w:r w:rsidRPr="009A6AE8">
        <w:rPr>
          <w:rStyle w:val="eop"/>
          <w:rFonts w:cs="Arial"/>
        </w:rPr>
        <w:t xml:space="preserve"> </w:t>
      </w:r>
      <w:r w:rsidR="00F15E22">
        <w:rPr>
          <w:rStyle w:val="eop"/>
          <w:rFonts w:cs="Arial"/>
        </w:rPr>
        <w:t>decision-making</w:t>
      </w:r>
      <w:r w:rsidRPr="009A6AE8">
        <w:rPr>
          <w:rStyle w:val="eop"/>
          <w:rFonts w:cs="Arial"/>
        </w:rPr>
        <w:t xml:space="preserve"> (</w:t>
      </w:r>
      <w:hyperlink w:anchor="_Annex_B:_Policy">
        <w:r w:rsidR="00FC2AFC" w:rsidRPr="09F83F24">
          <w:rPr>
            <w:rStyle w:val="Hyperlink"/>
          </w:rPr>
          <w:t>Annex B</w:t>
        </w:r>
      </w:hyperlink>
      <w:r w:rsidRPr="009A6AE8">
        <w:rPr>
          <w:rStyle w:val="eop"/>
          <w:rFonts w:cs="Arial"/>
        </w:rPr>
        <w:t xml:space="preserve">), it is likely not enough time has </w:t>
      </w:r>
      <w:r w:rsidR="00B928D4">
        <w:rPr>
          <w:rStyle w:val="eop"/>
          <w:rFonts w:cs="Arial"/>
        </w:rPr>
        <w:t>e</w:t>
      </w:r>
      <w:r w:rsidRPr="009A6AE8">
        <w:rPr>
          <w:rStyle w:val="eop"/>
          <w:rFonts w:cs="Arial"/>
        </w:rPr>
        <w:t xml:space="preserve">lapsed since </w:t>
      </w:r>
      <w:r w:rsidR="00DC2E44">
        <w:rPr>
          <w:rStyle w:val="eop"/>
          <w:rFonts w:cs="Arial"/>
        </w:rPr>
        <w:t>Plan</w:t>
      </w:r>
      <w:r w:rsidRPr="009A6AE8">
        <w:rPr>
          <w:rStyle w:val="eop"/>
          <w:rFonts w:cs="Arial"/>
        </w:rPr>
        <w:t xml:space="preserve"> adoption for the intended positive policy effects to be </w:t>
      </w:r>
      <w:r w:rsidR="001617AF">
        <w:rPr>
          <w:rStyle w:val="eop"/>
          <w:rFonts w:cs="Arial"/>
        </w:rPr>
        <w:t>realised</w:t>
      </w:r>
      <w:r w:rsidRPr="009A6AE8">
        <w:rPr>
          <w:rStyle w:val="eop"/>
          <w:rFonts w:cs="Arial"/>
        </w:rPr>
        <w:t xml:space="preserve">. Findings were also mixed for the indirectly contributing policies. </w:t>
      </w:r>
      <w:r w:rsidR="0012007B">
        <w:rPr>
          <w:rStyle w:val="eop"/>
          <w:rFonts w:cs="Arial"/>
        </w:rPr>
        <w:br/>
      </w:r>
      <w:r w:rsidR="0012007B">
        <w:rPr>
          <w:rStyle w:val="eop"/>
          <w:rFonts w:cs="Arial"/>
        </w:rPr>
        <w:br/>
      </w:r>
      <w:r w:rsidRPr="0012007B">
        <w:rPr>
          <w:rStyle w:val="eop"/>
          <w:rFonts w:cs="Arial"/>
        </w:rPr>
        <w:t>However, two indirectly contributing policies (</w:t>
      </w:r>
      <w:r w:rsidRPr="0012007B">
        <w:rPr>
          <w:rFonts w:eastAsia="Times New Roman" w:cs="Arial"/>
          <w:color w:val="000000" w:themeColor="text1"/>
        </w:rPr>
        <w:t>S-SCP-1 and S-TR-2</w:t>
      </w:r>
      <w:r w:rsidRPr="0012007B">
        <w:rPr>
          <w:rStyle w:val="eop"/>
          <w:rFonts w:cs="Arial"/>
        </w:rPr>
        <w:t xml:space="preserve">) did show some positive progress towards </w:t>
      </w:r>
      <w:r w:rsidRPr="009A6AE8">
        <w:t>policy aims.</w:t>
      </w:r>
      <w:r w:rsidRPr="009A6AE8">
        <w:rPr>
          <w:rStyle w:val="eop"/>
        </w:rPr>
        <w:t xml:space="preserve"> F</w:t>
      </w:r>
      <w:r w:rsidRPr="009A6AE8">
        <w:t>indings suggest the contributing policies have yet to be effective in supporting the conservation of heritage assets</w:t>
      </w:r>
      <w:r w:rsidR="001617AF">
        <w:t xml:space="preserve">, but that further monitoring is required. </w:t>
      </w:r>
    </w:p>
    <w:p w14:paraId="1CD6734D" w14:textId="05F04CA5" w:rsidR="000302B9" w:rsidRDefault="000302B9" w:rsidP="000302B9">
      <w:pPr>
        <w:rPr>
          <w:rStyle w:val="eop"/>
          <w:rFonts w:cs="Arial"/>
        </w:rPr>
      </w:pPr>
    </w:p>
    <w:p w14:paraId="6EB90D29" w14:textId="7B3EACD3" w:rsidR="000302B9" w:rsidRDefault="000302B9" w:rsidP="000302B9">
      <w:pPr>
        <w:rPr>
          <w:rStyle w:val="eop"/>
          <w:rFonts w:cs="Arial"/>
        </w:rPr>
      </w:pPr>
    </w:p>
    <w:p w14:paraId="2E791C81" w14:textId="78DC283A" w:rsidR="000302B9" w:rsidRDefault="000302B9" w:rsidP="000302B9">
      <w:pPr>
        <w:rPr>
          <w:rStyle w:val="eop"/>
          <w:rFonts w:cs="Arial"/>
        </w:rPr>
      </w:pPr>
    </w:p>
    <w:p w14:paraId="31002AD0" w14:textId="54A366C3" w:rsidR="000302B9" w:rsidRDefault="000302B9" w:rsidP="000302B9">
      <w:pPr>
        <w:rPr>
          <w:rStyle w:val="eop"/>
          <w:rFonts w:cs="Arial"/>
        </w:rPr>
      </w:pPr>
    </w:p>
    <w:p w14:paraId="1BAA3CDB" w14:textId="39879B50" w:rsidR="000302B9" w:rsidRDefault="000302B9" w:rsidP="000302B9">
      <w:pPr>
        <w:rPr>
          <w:rStyle w:val="eop"/>
          <w:rFonts w:cs="Arial"/>
        </w:rPr>
      </w:pPr>
    </w:p>
    <w:p w14:paraId="5EF1E8BE" w14:textId="77777777" w:rsidR="000302B9" w:rsidRPr="000302B9" w:rsidRDefault="000302B9" w:rsidP="00285EEE">
      <w:pPr>
        <w:rPr>
          <w:rStyle w:val="eop"/>
          <w:rFonts w:cs="Arial"/>
        </w:rPr>
      </w:pPr>
    </w:p>
    <w:p w14:paraId="4BDC0BCF" w14:textId="6F0C7E24" w:rsidR="00091AF9" w:rsidRPr="009A6AE8" w:rsidRDefault="00D565CC" w:rsidP="00285EEE">
      <w:pPr>
        <w:pStyle w:val="Caption"/>
      </w:pPr>
      <w:bookmarkStart w:id="220" w:name="Obj9"/>
      <w:r>
        <w:lastRenderedPageBreak/>
        <w:t xml:space="preserve">Table 9: Outcomes findings for </w:t>
      </w:r>
      <w:r w:rsidR="00091AF9" w:rsidRPr="009A6AE8">
        <w:t>Objective 9</w:t>
      </w:r>
      <w:r>
        <w:t xml:space="preserve"> -</w:t>
      </w:r>
      <w:r w:rsidR="00091AF9" w:rsidRPr="009A6AE8">
        <w:t xml:space="preserve"> To consider the seascape and its constituent marine character and visual resource and the landscape of the </w:t>
      </w:r>
      <w:r w:rsidR="00B07496">
        <w:t xml:space="preserve">South Marine </w:t>
      </w:r>
      <w:r w:rsidR="00DC2E44">
        <w:t>Plan</w:t>
      </w:r>
      <w:r w:rsidR="00091AF9" w:rsidRPr="009A6AE8">
        <w:t xml:space="preserve"> areas</w:t>
      </w:r>
    </w:p>
    <w:tbl>
      <w:tblPr>
        <w:tblStyle w:val="DefraGreen"/>
        <w:tblW w:w="5006" w:type="pct"/>
        <w:tblLook w:val="04A0" w:firstRow="1" w:lastRow="0" w:firstColumn="1" w:lastColumn="0" w:noHBand="0" w:noVBand="1"/>
      </w:tblPr>
      <w:tblGrid>
        <w:gridCol w:w="7365"/>
        <w:gridCol w:w="2268"/>
      </w:tblGrid>
      <w:tr w:rsidR="00091AF9" w:rsidRPr="001A65F6" w14:paraId="082854F5" w14:textId="77777777" w:rsidTr="00E02BCB">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823" w:type="pct"/>
          </w:tcPr>
          <w:p w14:paraId="53BDF112" w14:textId="4D500F1B" w:rsidR="00091AF9" w:rsidRPr="001A65F6" w:rsidRDefault="00091AF9" w:rsidP="00E02BCB">
            <w:pPr>
              <w:spacing w:before="0" w:after="0"/>
              <w:rPr>
                <w:rFonts w:eastAsia="Times New Roman" w:cs="Arial"/>
                <w:b/>
                <w:bCs/>
                <w:color w:val="000000"/>
              </w:rPr>
            </w:pPr>
            <w:bookmarkStart w:id="221" w:name="_Hlk67387923"/>
            <w:bookmarkEnd w:id="220"/>
            <w:r w:rsidRPr="007F7A55">
              <w:rPr>
                <w:rFonts w:eastAsia="Times New Roman" w:cs="Arial"/>
                <w:b/>
                <w:bCs/>
                <w:color w:val="FFFFFF" w:themeColor="background1"/>
                <w:sz w:val="28"/>
              </w:rPr>
              <w:t xml:space="preserve">Objective </w:t>
            </w:r>
            <w:r>
              <w:rPr>
                <w:rFonts w:eastAsia="Times New Roman" w:cs="Arial"/>
                <w:b/>
                <w:bCs/>
                <w:color w:val="FFFFFF" w:themeColor="background1"/>
                <w:sz w:val="28"/>
              </w:rPr>
              <w:t>progress</w:t>
            </w:r>
            <w:r w:rsidRPr="007F7A55">
              <w:rPr>
                <w:rFonts w:eastAsia="Times New Roman" w:cs="Arial"/>
                <w:b/>
                <w:bCs/>
                <w:color w:val="FFFFFF" w:themeColor="background1"/>
                <w:sz w:val="28"/>
              </w:rPr>
              <w:t xml:space="preserve">: </w:t>
            </w:r>
            <w:r w:rsidR="0012007B">
              <w:rPr>
                <w:rFonts w:eastAsia="Times New Roman" w:cs="Arial"/>
                <w:b/>
                <w:bCs/>
                <w:color w:val="FFFFFF" w:themeColor="background1"/>
                <w:sz w:val="28"/>
              </w:rPr>
              <w:t>p</w:t>
            </w:r>
            <w:r w:rsidRPr="007F7A55">
              <w:rPr>
                <w:rFonts w:eastAsia="Times New Roman" w:cs="Arial"/>
                <w:b/>
                <w:bCs/>
                <w:color w:val="FFFFFF" w:themeColor="background1"/>
                <w:sz w:val="28"/>
              </w:rPr>
              <w:t>ositive</w:t>
            </w:r>
          </w:p>
        </w:tc>
        <w:tc>
          <w:tcPr>
            <w:tcW w:w="1177" w:type="pct"/>
            <w:noWrap/>
          </w:tcPr>
          <w:p w14:paraId="38D61675" w14:textId="77777777" w:rsidR="00091AF9" w:rsidRPr="001A65F6" w:rsidRDefault="00091AF9" w:rsidP="00E02BCB">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Arial"/>
                <w:b/>
                <w:bCs/>
                <w:color w:val="000000"/>
              </w:rPr>
            </w:pPr>
          </w:p>
        </w:tc>
      </w:tr>
      <w:tr w:rsidR="00091AF9" w:rsidRPr="001A65F6" w14:paraId="1D743E80"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tcPr>
          <w:p w14:paraId="0E4FF54D" w14:textId="77777777" w:rsidR="00091AF9" w:rsidRPr="00DE3A21" w:rsidRDefault="00091AF9" w:rsidP="00E02BCB">
            <w:pPr>
              <w:spacing w:before="0" w:after="0"/>
              <w:rPr>
                <w:rFonts w:eastAsia="Times New Roman" w:cs="Arial"/>
                <w:b/>
                <w:bCs/>
                <w:color w:val="000000"/>
              </w:rPr>
            </w:pPr>
            <w:r w:rsidRPr="00DE3A21">
              <w:rPr>
                <w:rFonts w:eastAsia="Times New Roman" w:cs="Arial"/>
                <w:b/>
                <w:bCs/>
                <w:color w:val="000000"/>
              </w:rPr>
              <w:t>Policy code</w:t>
            </w:r>
          </w:p>
        </w:tc>
        <w:tc>
          <w:tcPr>
            <w:tcW w:w="1177" w:type="pct"/>
            <w:shd w:val="clear" w:color="auto" w:fill="CBE9D3"/>
            <w:noWrap/>
          </w:tcPr>
          <w:p w14:paraId="2C824A97" w14:textId="77777777" w:rsidR="00091AF9" w:rsidRPr="00DE3A21"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rPr>
            </w:pPr>
            <w:r>
              <w:rPr>
                <w:rFonts w:eastAsia="Times New Roman" w:cs="Arial"/>
                <w:b/>
                <w:bCs/>
                <w:color w:val="000000"/>
              </w:rPr>
              <w:t>Outcome findings</w:t>
            </w:r>
          </w:p>
        </w:tc>
      </w:tr>
      <w:tr w:rsidR="00091AF9" w:rsidRPr="001A65F6" w14:paraId="68960CB1"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0F8E7E75" w14:textId="77777777" w:rsidR="00091AF9" w:rsidRPr="00A056EE" w:rsidRDefault="00091AF9" w:rsidP="00E02BCB">
            <w:pPr>
              <w:spacing w:before="0" w:after="0"/>
              <w:rPr>
                <w:rFonts w:eastAsia="Times New Roman" w:cs="Arial"/>
                <w:b/>
                <w:color w:val="000000"/>
              </w:rPr>
            </w:pPr>
            <w:r w:rsidRPr="00A056EE">
              <w:rPr>
                <w:rFonts w:eastAsia="Times New Roman" w:cs="Arial"/>
                <w:b/>
                <w:color w:val="000000"/>
              </w:rPr>
              <w:t>Directly contributing policies</w:t>
            </w:r>
          </w:p>
        </w:tc>
      </w:tr>
      <w:tr w:rsidR="00091AF9" w:rsidRPr="001A65F6" w14:paraId="50292A7F"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5F71D95C" w14:textId="77777777" w:rsidR="00091AF9" w:rsidRPr="001A65F6" w:rsidRDefault="00091AF9" w:rsidP="00E02BCB">
            <w:pPr>
              <w:spacing w:before="0" w:after="0"/>
              <w:rPr>
                <w:rFonts w:eastAsia="Times New Roman" w:cs="Arial"/>
                <w:color w:val="000000"/>
              </w:rPr>
            </w:pPr>
            <w:r>
              <w:rPr>
                <w:rFonts w:eastAsia="Times New Roman" w:cs="Arial"/>
                <w:color w:val="000000"/>
              </w:rPr>
              <w:t>S-SCP-1</w:t>
            </w:r>
          </w:p>
        </w:tc>
        <w:tc>
          <w:tcPr>
            <w:tcW w:w="1177" w:type="pct"/>
            <w:shd w:val="clear" w:color="auto" w:fill="FFFFFF" w:themeFill="background1"/>
            <w:noWrap/>
            <w:vAlign w:val="center"/>
            <w:hideMark/>
          </w:tcPr>
          <w:p w14:paraId="2DAC9050"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Positive</w:t>
            </w:r>
          </w:p>
        </w:tc>
      </w:tr>
      <w:tr w:rsidR="00091AF9" w:rsidRPr="001A65F6" w14:paraId="5E697DFF"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56503762" w14:textId="77777777" w:rsidR="00091AF9" w:rsidRPr="00A056EE" w:rsidRDefault="00091AF9" w:rsidP="00E02BCB">
            <w:pPr>
              <w:spacing w:before="0" w:after="0"/>
              <w:rPr>
                <w:rFonts w:eastAsia="Times New Roman" w:cs="Arial"/>
                <w:b/>
                <w:color w:val="000000"/>
              </w:rPr>
            </w:pPr>
            <w:r w:rsidRPr="00A056EE">
              <w:rPr>
                <w:rFonts w:eastAsia="Times New Roman" w:cs="Arial"/>
                <w:b/>
                <w:color w:val="000000"/>
              </w:rPr>
              <w:t xml:space="preserve">Indirectly contributing policies </w:t>
            </w:r>
          </w:p>
        </w:tc>
      </w:tr>
      <w:tr w:rsidR="00091AF9" w:rsidRPr="001A65F6" w14:paraId="7735285E"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10137FD9" w14:textId="77777777" w:rsidR="00091AF9" w:rsidRPr="001A65F6" w:rsidRDefault="00091AF9" w:rsidP="00E02BCB">
            <w:pPr>
              <w:spacing w:before="0" w:after="0"/>
              <w:rPr>
                <w:rFonts w:eastAsia="Times New Roman" w:cs="Arial"/>
                <w:color w:val="000000"/>
              </w:rPr>
            </w:pPr>
            <w:r w:rsidRPr="00904FDC">
              <w:rPr>
                <w:rFonts w:eastAsia="Times New Roman" w:cs="Arial"/>
                <w:color w:val="000000"/>
              </w:rPr>
              <w:t>S-DD-1</w:t>
            </w:r>
            <w:r>
              <w:rPr>
                <w:rFonts w:eastAsia="Times New Roman" w:cs="Arial"/>
                <w:color w:val="000000"/>
              </w:rPr>
              <w:t>, S-TR-2</w:t>
            </w:r>
          </w:p>
        </w:tc>
        <w:tc>
          <w:tcPr>
            <w:tcW w:w="1177" w:type="pct"/>
            <w:shd w:val="clear" w:color="auto" w:fill="FFFFFF" w:themeFill="background1"/>
            <w:noWrap/>
            <w:vAlign w:val="center"/>
          </w:tcPr>
          <w:p w14:paraId="571C6400"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Positive</w:t>
            </w:r>
          </w:p>
        </w:tc>
      </w:tr>
      <w:tr w:rsidR="00091AF9" w:rsidRPr="001A65F6" w14:paraId="217C19DF"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4D5A8C38" w14:textId="77777777" w:rsidR="00091AF9" w:rsidRDefault="00091AF9" w:rsidP="00E02BCB">
            <w:pPr>
              <w:spacing w:before="0" w:after="0"/>
              <w:rPr>
                <w:rFonts w:eastAsia="Times New Roman" w:cs="Arial"/>
                <w:color w:val="000000"/>
              </w:rPr>
            </w:pPr>
            <w:r>
              <w:rPr>
                <w:rFonts w:eastAsia="Times New Roman" w:cs="Arial"/>
                <w:color w:val="000000"/>
              </w:rPr>
              <w:t>S</w:t>
            </w:r>
            <w:r>
              <w:rPr>
                <w:rFonts w:eastAsia="Times New Roman"/>
                <w:color w:val="000000"/>
              </w:rPr>
              <w:t>-PS-1</w:t>
            </w:r>
          </w:p>
        </w:tc>
        <w:tc>
          <w:tcPr>
            <w:tcW w:w="1177" w:type="pct"/>
            <w:shd w:val="clear" w:color="auto" w:fill="FFFFFF" w:themeFill="background1"/>
            <w:noWrap/>
            <w:vAlign w:val="center"/>
          </w:tcPr>
          <w:p w14:paraId="25C213BE" w14:textId="77777777" w:rsidR="00091AF9"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N</w:t>
            </w:r>
            <w:r>
              <w:rPr>
                <w:rFonts w:eastAsia="Times New Roman"/>
                <w:color w:val="000000"/>
              </w:rPr>
              <w:t>eutral</w:t>
            </w:r>
          </w:p>
        </w:tc>
      </w:tr>
      <w:tr w:rsidR="00091AF9" w:rsidRPr="001A65F6" w14:paraId="17AC3E57"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30F93C2E" w14:textId="77777777" w:rsidR="00091AF9" w:rsidRPr="001A65F6" w:rsidRDefault="00091AF9" w:rsidP="00E02BCB">
            <w:pPr>
              <w:spacing w:before="0" w:after="0"/>
              <w:rPr>
                <w:rFonts w:eastAsia="Times New Roman" w:cs="Arial"/>
                <w:color w:val="000000"/>
              </w:rPr>
            </w:pPr>
            <w:r>
              <w:rPr>
                <w:rFonts w:eastAsia="Times New Roman" w:cs="Arial"/>
                <w:color w:val="000000"/>
              </w:rPr>
              <w:t>S-TR-1</w:t>
            </w:r>
          </w:p>
        </w:tc>
        <w:tc>
          <w:tcPr>
            <w:tcW w:w="1177" w:type="pct"/>
            <w:shd w:val="clear" w:color="auto" w:fill="FFFFFF" w:themeFill="background1"/>
            <w:noWrap/>
            <w:vAlign w:val="center"/>
          </w:tcPr>
          <w:p w14:paraId="64868514"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A65F6">
              <w:rPr>
                <w:rFonts w:eastAsia="Times New Roman" w:cs="Arial"/>
                <w:color w:val="000000"/>
              </w:rPr>
              <w:t>Inconclusive</w:t>
            </w:r>
          </w:p>
        </w:tc>
      </w:tr>
      <w:tr w:rsidR="00091AF9" w:rsidRPr="001A65F6" w14:paraId="402CBCE0"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45E03C90" w14:textId="77777777" w:rsidR="00091AF9" w:rsidRPr="001A65F6" w:rsidRDefault="00091AF9" w:rsidP="00E02BCB">
            <w:pPr>
              <w:spacing w:before="0" w:after="0"/>
              <w:rPr>
                <w:rFonts w:eastAsia="Times New Roman" w:cs="Arial"/>
                <w:color w:val="000000"/>
              </w:rPr>
            </w:pPr>
            <w:r>
              <w:rPr>
                <w:rFonts w:eastAsia="Times New Roman" w:cs="Arial"/>
                <w:color w:val="000000"/>
              </w:rPr>
              <w:t>S-HER-1</w:t>
            </w:r>
          </w:p>
        </w:tc>
        <w:tc>
          <w:tcPr>
            <w:tcW w:w="1177" w:type="pct"/>
            <w:shd w:val="clear" w:color="auto" w:fill="FFFFFF" w:themeFill="background1"/>
            <w:noWrap/>
            <w:vAlign w:val="center"/>
          </w:tcPr>
          <w:p w14:paraId="4680398D"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A65F6">
              <w:rPr>
                <w:rFonts w:eastAsia="Times New Roman" w:cs="Arial"/>
                <w:color w:val="000000"/>
              </w:rPr>
              <w:t>N</w:t>
            </w:r>
            <w:r>
              <w:rPr>
                <w:rFonts w:eastAsia="Times New Roman" w:cs="Arial"/>
                <w:color w:val="000000"/>
              </w:rPr>
              <w:t>egative</w:t>
            </w:r>
          </w:p>
        </w:tc>
      </w:tr>
    </w:tbl>
    <w:bookmarkEnd w:id="221"/>
    <w:p w14:paraId="0F56B15F" w14:textId="1D16F1A9" w:rsidR="00091AF9" w:rsidRPr="009A6AE8" w:rsidRDefault="00091AF9">
      <w:pPr>
        <w:pStyle w:val="ListParagraph"/>
        <w:numPr>
          <w:ilvl w:val="0"/>
          <w:numId w:val="8"/>
        </w:numPr>
        <w:ind w:left="567" w:hanging="567"/>
        <w:contextualSpacing w:val="0"/>
        <w:rPr>
          <w:rStyle w:val="eop"/>
          <w:rFonts w:cs="Arial"/>
        </w:rPr>
      </w:pPr>
      <w:r w:rsidRPr="009A6AE8">
        <w:rPr>
          <w:rStyle w:val="eop"/>
        </w:rPr>
        <w:t xml:space="preserve">Policy S-SCP-1 aims to reduce or avoid negative impacts of proposals on local seascapes. </w:t>
      </w:r>
      <w:r w:rsidR="0012007B">
        <w:rPr>
          <w:rStyle w:val="eop"/>
        </w:rPr>
        <w:br/>
      </w:r>
      <w:r w:rsidR="0012007B">
        <w:rPr>
          <w:rStyle w:val="eop"/>
        </w:rPr>
        <w:br/>
      </w:r>
      <w:r w:rsidRPr="009A6AE8">
        <w:rPr>
          <w:rStyle w:val="eop"/>
        </w:rPr>
        <w:t xml:space="preserve">The effects of S-SCP-1 were assessed using the </w:t>
      </w:r>
      <w:r w:rsidRPr="009A6AE8">
        <w:rPr>
          <w:rStyle w:val="eop"/>
          <w:rFonts w:cs="Arial"/>
        </w:rPr>
        <w:t xml:space="preserve">percentage of </w:t>
      </w:r>
      <w:r w:rsidR="008E310D">
        <w:rPr>
          <w:rStyle w:val="eop"/>
          <w:rFonts w:cs="Arial"/>
        </w:rPr>
        <w:t xml:space="preserve">granted marine licence applications for </w:t>
      </w:r>
      <w:r w:rsidR="008C79F4">
        <w:rPr>
          <w:rStyle w:val="eop"/>
          <w:rFonts w:cs="Arial"/>
        </w:rPr>
        <w:t xml:space="preserve">activities </w:t>
      </w:r>
      <w:r w:rsidR="008E310D">
        <w:rPr>
          <w:rStyle w:val="eop"/>
          <w:rFonts w:cs="Arial"/>
        </w:rPr>
        <w:t>located</w:t>
      </w:r>
      <w:r w:rsidR="008C79F4">
        <w:rPr>
          <w:rStyle w:val="eop"/>
          <w:rFonts w:cs="Arial"/>
        </w:rPr>
        <w:t xml:space="preserve"> </w:t>
      </w:r>
      <w:r w:rsidRPr="009A6AE8">
        <w:rPr>
          <w:rStyle w:val="eop"/>
          <w:rFonts w:cs="Arial"/>
        </w:rPr>
        <w:t>in areas with a high degree of visibility of the sea as seen from the land, and in less developed marine character areas</w:t>
      </w:r>
      <w:r w:rsidR="00C05696">
        <w:rPr>
          <w:rStyle w:val="eop"/>
          <w:rFonts w:cs="Arial"/>
        </w:rPr>
        <w:t xml:space="preserve"> (as described in </w:t>
      </w:r>
      <w:hyperlink r:id="rId38" w:history="1">
        <w:r w:rsidR="00C05696" w:rsidRPr="00C05696">
          <w:rPr>
            <w:rStyle w:val="Hyperlink"/>
            <w:rFonts w:cs="Arial"/>
          </w:rPr>
          <w:t xml:space="preserve">Seascape assessment for the </w:t>
        </w:r>
        <w:r w:rsidR="00B07496">
          <w:rPr>
            <w:rStyle w:val="Hyperlink"/>
            <w:rFonts w:cs="Arial"/>
          </w:rPr>
          <w:t xml:space="preserve">South Marine </w:t>
        </w:r>
        <w:r w:rsidR="00DC2E44">
          <w:rPr>
            <w:rStyle w:val="Hyperlink"/>
            <w:rFonts w:cs="Arial"/>
          </w:rPr>
          <w:t>Plan</w:t>
        </w:r>
        <w:r w:rsidR="00C05696" w:rsidRPr="00C05696">
          <w:rPr>
            <w:rStyle w:val="Hyperlink"/>
            <w:rFonts w:cs="Arial"/>
          </w:rPr>
          <w:t xml:space="preserve"> areas</w:t>
        </w:r>
      </w:hyperlink>
      <w:r w:rsidR="00F027EA">
        <w:rPr>
          <w:rStyle w:val="Hyperlink"/>
          <w:rFonts w:cs="Arial"/>
        </w:rPr>
        <w:t xml:space="preserve"> </w:t>
      </w:r>
      <w:r w:rsidR="00F027EA" w:rsidRPr="00F027EA">
        <w:rPr>
          <w:rStyle w:val="Hyperlink"/>
          <w:rFonts w:cs="Arial"/>
        </w:rPr>
        <w:t>MMO1037</w:t>
      </w:r>
      <w:r w:rsidR="00C05696">
        <w:rPr>
          <w:rStyle w:val="eop"/>
          <w:rFonts w:cs="Arial"/>
        </w:rPr>
        <w:t>)</w:t>
      </w:r>
      <w:r w:rsidRPr="009A6AE8">
        <w:rPr>
          <w:rStyle w:val="eop"/>
          <w:rFonts w:cs="Arial"/>
        </w:rPr>
        <w:t xml:space="preserve">. </w:t>
      </w:r>
    </w:p>
    <w:p w14:paraId="0BDF54BE" w14:textId="14419A04" w:rsidR="00091AF9" w:rsidRPr="00321001" w:rsidRDefault="00091AF9" w:rsidP="008E310D">
      <w:pPr>
        <w:pStyle w:val="ListParagraph"/>
        <w:numPr>
          <w:ilvl w:val="0"/>
          <w:numId w:val="8"/>
        </w:numPr>
        <w:ind w:left="561" w:hanging="567"/>
        <w:contextualSpacing w:val="0"/>
        <w:rPr>
          <w:rStyle w:val="eop"/>
          <w:rFonts w:cs="Arial"/>
        </w:rPr>
      </w:pPr>
      <w:r w:rsidRPr="009A6AE8">
        <w:rPr>
          <w:rStyle w:val="eop"/>
        </w:rPr>
        <w:t xml:space="preserve">Outcome monitoring findings showed positive effects for S-SCP-1. </w:t>
      </w:r>
      <w:r w:rsidRPr="009A6AE8">
        <w:rPr>
          <w:rStyle w:val="eop"/>
          <w:rFonts w:cs="Arial"/>
        </w:rPr>
        <w:t xml:space="preserve">Since </w:t>
      </w:r>
      <w:r w:rsidR="00DC2E44">
        <w:rPr>
          <w:rStyle w:val="eop"/>
          <w:rFonts w:cs="Arial"/>
        </w:rPr>
        <w:t>Plan</w:t>
      </w:r>
      <w:r w:rsidRPr="009A6AE8">
        <w:rPr>
          <w:rStyle w:val="eop"/>
          <w:rFonts w:cs="Arial"/>
        </w:rPr>
        <w:t xml:space="preserve"> adoption</w:t>
      </w:r>
      <w:r w:rsidRPr="009A6AE8">
        <w:rPr>
          <w:rStyle w:val="eop"/>
        </w:rPr>
        <w:t xml:space="preserve">, data suggests that there has been a slight decrease in the </w:t>
      </w:r>
      <w:r w:rsidRPr="009A6AE8">
        <w:rPr>
          <w:rStyle w:val="eop"/>
          <w:rFonts w:cs="Arial"/>
        </w:rPr>
        <w:t xml:space="preserve">percentage of </w:t>
      </w:r>
      <w:r w:rsidR="008E310D">
        <w:rPr>
          <w:rStyle w:val="eop"/>
          <w:rFonts w:cs="Arial"/>
        </w:rPr>
        <w:t xml:space="preserve">granted marine licence applications for activities located in </w:t>
      </w:r>
      <w:r w:rsidRPr="009A6AE8">
        <w:rPr>
          <w:rStyle w:val="eop"/>
          <w:rFonts w:cs="Arial"/>
        </w:rPr>
        <w:t xml:space="preserve">areas of high visibility of the sea. </w:t>
      </w:r>
      <w:r w:rsidR="0012007B">
        <w:rPr>
          <w:rStyle w:val="eop"/>
          <w:rFonts w:cs="Arial"/>
        </w:rPr>
        <w:br/>
      </w:r>
      <w:r w:rsidR="0012007B">
        <w:rPr>
          <w:rStyle w:val="eop"/>
          <w:rFonts w:cs="Arial"/>
        </w:rPr>
        <w:br/>
      </w:r>
      <w:r w:rsidRPr="009A6AE8">
        <w:rPr>
          <w:rStyle w:val="eop"/>
          <w:rFonts w:cs="Arial"/>
        </w:rPr>
        <w:t xml:space="preserve">A similar trend was also found in the percentage of </w:t>
      </w:r>
      <w:r w:rsidR="008E310D">
        <w:rPr>
          <w:rStyle w:val="eop"/>
          <w:rFonts w:cs="Arial"/>
        </w:rPr>
        <w:t xml:space="preserve">granted marine licence applications for activities located in </w:t>
      </w:r>
      <w:r w:rsidRPr="009A6AE8">
        <w:rPr>
          <w:rStyle w:val="eop"/>
          <w:rFonts w:cs="Arial"/>
        </w:rPr>
        <w:t>less developed marine character areas.</w:t>
      </w:r>
    </w:p>
    <w:p w14:paraId="11C2BE97" w14:textId="33BE5914" w:rsidR="00091AF9" w:rsidRPr="009A6AE8" w:rsidRDefault="00091AF9" w:rsidP="00D43BAE">
      <w:pPr>
        <w:pStyle w:val="ListParagraph"/>
        <w:numPr>
          <w:ilvl w:val="0"/>
          <w:numId w:val="8"/>
        </w:numPr>
        <w:ind w:left="561" w:hanging="567"/>
        <w:contextualSpacing w:val="0"/>
        <w:rPr>
          <w:rFonts w:cs="Arial"/>
        </w:rPr>
      </w:pPr>
      <w:r w:rsidRPr="009A6AE8">
        <w:rPr>
          <w:rStyle w:val="eop"/>
        </w:rPr>
        <w:t xml:space="preserve">The assessment of the effects of </w:t>
      </w:r>
      <w:r w:rsidR="0036671D">
        <w:rPr>
          <w:rStyle w:val="eop"/>
        </w:rPr>
        <w:t xml:space="preserve">the </w:t>
      </w:r>
      <w:r w:rsidRPr="009A6AE8">
        <w:rPr>
          <w:rStyle w:val="eop"/>
        </w:rPr>
        <w:t>directly contributing polic</w:t>
      </w:r>
      <w:r w:rsidR="0036671D">
        <w:rPr>
          <w:rStyle w:val="eop"/>
        </w:rPr>
        <w:t>y</w:t>
      </w:r>
      <w:r w:rsidRPr="009A6AE8">
        <w:rPr>
          <w:rStyle w:val="eop"/>
        </w:rPr>
        <w:t xml:space="preserve"> </w:t>
      </w:r>
      <w:r w:rsidR="0036671D" w:rsidRPr="009A6AE8">
        <w:rPr>
          <w:rStyle w:val="eop"/>
        </w:rPr>
        <w:t>w</w:t>
      </w:r>
      <w:r w:rsidR="0036671D">
        <w:rPr>
          <w:rStyle w:val="eop"/>
        </w:rPr>
        <w:t>as</w:t>
      </w:r>
      <w:r w:rsidR="0036671D" w:rsidRPr="009A6AE8">
        <w:rPr>
          <w:rStyle w:val="eop"/>
        </w:rPr>
        <w:t xml:space="preserve"> </w:t>
      </w:r>
      <w:r w:rsidRPr="009A6AE8">
        <w:rPr>
          <w:rStyle w:val="eop"/>
        </w:rPr>
        <w:t xml:space="preserve">limited by the existing indicator methodology which may overestimate visual impact as the result of its focus on all </w:t>
      </w:r>
      <w:r w:rsidR="008E310D">
        <w:rPr>
          <w:rStyle w:val="eop"/>
        </w:rPr>
        <w:t>marine licence applications</w:t>
      </w:r>
      <w:r w:rsidRPr="009A6AE8">
        <w:rPr>
          <w:rStyle w:val="eop"/>
        </w:rPr>
        <w:t xml:space="preserve">, not only those </w:t>
      </w:r>
      <w:r w:rsidR="008E310D">
        <w:rPr>
          <w:rStyle w:val="eop"/>
        </w:rPr>
        <w:t>for</w:t>
      </w:r>
      <w:r w:rsidRPr="009A6AE8">
        <w:rPr>
          <w:rStyle w:val="eop"/>
        </w:rPr>
        <w:t xml:space="preserve"> surface or above-surface </w:t>
      </w:r>
      <w:r w:rsidRPr="00D43BAE">
        <w:t>infrastructure</w:t>
      </w:r>
      <w:r w:rsidRPr="009A6AE8">
        <w:rPr>
          <w:rStyle w:val="eop"/>
        </w:rPr>
        <w:t xml:space="preserve">. </w:t>
      </w:r>
      <w:r w:rsidR="0012007B">
        <w:rPr>
          <w:rStyle w:val="eop"/>
        </w:rPr>
        <w:br/>
      </w:r>
      <w:r w:rsidR="0012007B">
        <w:rPr>
          <w:rStyle w:val="eop"/>
        </w:rPr>
        <w:br/>
      </w:r>
      <w:r w:rsidRPr="009A6AE8">
        <w:rPr>
          <w:rStyle w:val="eop"/>
        </w:rPr>
        <w:t>M</w:t>
      </w:r>
      <w:r w:rsidRPr="009A6AE8">
        <w:t>onitoring of policy effects could be improved by broadening the scope of the</w:t>
      </w:r>
      <w:r w:rsidRPr="009A6AE8">
        <w:rPr>
          <w:rStyle w:val="eop"/>
        </w:rPr>
        <w:t xml:space="preserve"> indicator</w:t>
      </w:r>
      <w:r w:rsidRPr="009A6AE8">
        <w:t xml:space="preserve"> to include only proposals capable of having a significant negative impact on seascape and activities captured by other consent</w:t>
      </w:r>
      <w:r w:rsidR="00434A89">
        <w:t>ing</w:t>
      </w:r>
      <w:r w:rsidRPr="009A6AE8">
        <w:t xml:space="preserve"> decisions (</w:t>
      </w:r>
      <w:r w:rsidR="001F1C08">
        <w:t xml:space="preserve">for example, </w:t>
      </w:r>
      <w:r w:rsidRPr="009A6AE8">
        <w:t>nationally significant infrastructure projects).</w:t>
      </w:r>
    </w:p>
    <w:p w14:paraId="0A0D8831" w14:textId="7DE67335" w:rsidR="001F1C08" w:rsidRPr="007D6517" w:rsidRDefault="00091AF9" w:rsidP="007D6517">
      <w:pPr>
        <w:pStyle w:val="ListParagraph"/>
        <w:numPr>
          <w:ilvl w:val="0"/>
          <w:numId w:val="8"/>
        </w:numPr>
        <w:ind w:left="561" w:hanging="567"/>
        <w:contextualSpacing w:val="0"/>
        <w:rPr>
          <w:rFonts w:cs="Arial"/>
        </w:rPr>
      </w:pPr>
      <w:r w:rsidRPr="00285EEE">
        <w:rPr>
          <w:rStyle w:val="eop"/>
          <w:rFonts w:cs="Arial"/>
        </w:rPr>
        <w:t xml:space="preserve">Overall, </w:t>
      </w:r>
      <w:r w:rsidRPr="00285EEE">
        <w:rPr>
          <w:rStyle w:val="eop"/>
        </w:rPr>
        <w:t>findings suggest that positive</w:t>
      </w:r>
      <w:r w:rsidRPr="00285EEE">
        <w:rPr>
          <w:rStyle w:val="eop"/>
          <w:rFonts w:cs="Arial"/>
        </w:rPr>
        <w:t xml:space="preserve"> progress has been made towards</w:t>
      </w:r>
      <w:r w:rsidRPr="00285EEE">
        <w:rPr>
          <w:rStyle w:val="eop"/>
        </w:rPr>
        <w:t xml:space="preserve"> Objective 9, and the HLMOs to which it is linked</w:t>
      </w:r>
      <w:r w:rsidRPr="0012007B">
        <w:rPr>
          <w:rStyle w:val="eop"/>
        </w:rPr>
        <w:t xml:space="preserve"> (</w:t>
      </w:r>
      <w:hyperlink w:anchor="_Annex_A:_High">
        <w:r w:rsidR="00FC2AFC" w:rsidRPr="0012007B">
          <w:rPr>
            <w:rStyle w:val="Hyperlink"/>
          </w:rPr>
          <w:t>Annex A</w:t>
        </w:r>
      </w:hyperlink>
      <w:r w:rsidRPr="0012007B">
        <w:rPr>
          <w:rStyle w:val="eop"/>
        </w:rPr>
        <w:t>).</w:t>
      </w:r>
      <w:r w:rsidRPr="009A6AE8">
        <w:rPr>
          <w:rStyle w:val="eop"/>
          <w:b/>
          <w:bCs/>
        </w:rPr>
        <w:t xml:space="preserve"> </w:t>
      </w:r>
      <w:r w:rsidRPr="009A6AE8">
        <w:rPr>
          <w:rStyle w:val="eop"/>
        </w:rPr>
        <w:t xml:space="preserve">This conclusion is supported by evidence of implementation of directly and indirectly contributing policies </w:t>
      </w:r>
      <w:r w:rsidRPr="009A6AE8">
        <w:t xml:space="preserve">in marine </w:t>
      </w:r>
      <w:r w:rsidR="008E310D">
        <w:t>licence</w:t>
      </w:r>
      <w:r w:rsidRPr="009A6AE8">
        <w:t xml:space="preserve"> </w:t>
      </w:r>
      <w:r w:rsidR="008E310D">
        <w:t>decision-making</w:t>
      </w:r>
      <w:r w:rsidRPr="009A6AE8">
        <w:t xml:space="preserve"> </w:t>
      </w:r>
      <w:r w:rsidRPr="009A6AE8">
        <w:rPr>
          <w:rStyle w:val="eop"/>
        </w:rPr>
        <w:t>(</w:t>
      </w:r>
      <w:hyperlink w:anchor="_Annex_B:_Policy">
        <w:r w:rsidR="00FC2AFC" w:rsidRPr="09F83F24">
          <w:rPr>
            <w:rStyle w:val="Hyperlink"/>
          </w:rPr>
          <w:t>Annex B</w:t>
        </w:r>
      </w:hyperlink>
      <w:r w:rsidRPr="09F83F24">
        <w:rPr>
          <w:rStyle w:val="eop"/>
        </w:rPr>
        <w:t>).</w:t>
      </w:r>
      <w:r w:rsidRPr="009A6AE8">
        <w:rPr>
          <w:rStyle w:val="eop"/>
        </w:rPr>
        <w:t xml:space="preserve"> </w:t>
      </w:r>
      <w:r w:rsidR="0012007B">
        <w:rPr>
          <w:rStyle w:val="eop"/>
        </w:rPr>
        <w:br/>
      </w:r>
      <w:r w:rsidR="0012007B">
        <w:rPr>
          <w:rStyle w:val="eop"/>
        </w:rPr>
        <w:br/>
      </w:r>
      <w:r w:rsidRPr="009A6AE8">
        <w:rPr>
          <w:rStyle w:val="eop"/>
        </w:rPr>
        <w:t>Furthermore, direct</w:t>
      </w:r>
      <w:r>
        <w:rPr>
          <w:rStyle w:val="eop"/>
        </w:rPr>
        <w:t>ly</w:t>
      </w:r>
      <w:r w:rsidRPr="009A6AE8">
        <w:rPr>
          <w:rStyle w:val="eop"/>
        </w:rPr>
        <w:t xml:space="preserve"> and indirectly contributing policies have shown positive </w:t>
      </w:r>
      <w:r w:rsidRPr="009A6AE8">
        <w:rPr>
          <w:rStyle w:val="eop"/>
        </w:rPr>
        <w:lastRenderedPageBreak/>
        <w:t>progress</w:t>
      </w:r>
      <w:r w:rsidRPr="007D6517">
        <w:rPr>
          <w:rFonts w:cs="Arial"/>
        </w:rPr>
        <w:t xml:space="preserve"> towards </w:t>
      </w:r>
      <w:r w:rsidRPr="009A6AE8">
        <w:t xml:space="preserve">policy aims. </w:t>
      </w:r>
      <w:r w:rsidR="001F1C08">
        <w:br/>
      </w:r>
      <w:r w:rsidR="001F1C08">
        <w:br/>
      </w:r>
      <w:r w:rsidRPr="009A6AE8">
        <w:rPr>
          <w:rStyle w:val="eop"/>
        </w:rPr>
        <w:t>F</w:t>
      </w:r>
      <w:r w:rsidRPr="009A6AE8">
        <w:t>indings</w:t>
      </w:r>
      <w:r w:rsidR="005B48AF">
        <w:t>,</w:t>
      </w:r>
      <w:r w:rsidRPr="009A6AE8">
        <w:t xml:space="preserve"> therefore</w:t>
      </w:r>
      <w:r w:rsidR="005B48AF">
        <w:t>,</w:t>
      </w:r>
      <w:r w:rsidRPr="009A6AE8">
        <w:t xml:space="preserve"> suggest that the contributing policies have been effective in supporting the consideration of landscape and </w:t>
      </w:r>
      <w:r w:rsidRPr="009A6AE8">
        <w:rPr>
          <w:lang w:eastAsia="en-GB"/>
        </w:rPr>
        <w:t>seascape, and its constituent marine character and visual resource.</w:t>
      </w:r>
    </w:p>
    <w:p w14:paraId="2F3564D2" w14:textId="286C3500" w:rsidR="00091AF9" w:rsidRPr="009A6AE8" w:rsidRDefault="00D565CC" w:rsidP="00285EEE">
      <w:pPr>
        <w:pStyle w:val="Caption"/>
      </w:pPr>
      <w:bookmarkStart w:id="222" w:name="Obj10"/>
      <w:r>
        <w:t xml:space="preserve">Table 10: Outcomes findings for </w:t>
      </w:r>
      <w:r w:rsidRPr="00003DD3">
        <w:t>Objective 1</w:t>
      </w:r>
      <w:r>
        <w:t>0 -</w:t>
      </w:r>
      <w:r w:rsidR="00091AF9" w:rsidRPr="009A6AE8">
        <w:t xml:space="preserve"> To support marine protected area objectives and a well-managed ecologically coherent network with enhanced resilience and capability to adapt to change</w:t>
      </w:r>
      <w:bookmarkEnd w:id="222"/>
    </w:p>
    <w:tbl>
      <w:tblPr>
        <w:tblStyle w:val="DefraGreen"/>
        <w:tblW w:w="5006" w:type="pct"/>
        <w:tblLook w:val="04A0" w:firstRow="1" w:lastRow="0" w:firstColumn="1" w:lastColumn="0" w:noHBand="0" w:noVBand="1"/>
      </w:tblPr>
      <w:tblGrid>
        <w:gridCol w:w="7365"/>
        <w:gridCol w:w="2268"/>
      </w:tblGrid>
      <w:tr w:rsidR="00091AF9" w:rsidRPr="009A6AE8" w14:paraId="5896E7CE" w14:textId="77777777" w:rsidTr="00E02BCB">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823" w:type="pct"/>
          </w:tcPr>
          <w:p w14:paraId="2E69944C" w14:textId="5A3A0795" w:rsidR="00091AF9" w:rsidRPr="009A6AE8" w:rsidRDefault="00091AF9" w:rsidP="00E02BCB">
            <w:pPr>
              <w:spacing w:before="60" w:after="60"/>
              <w:rPr>
                <w:rFonts w:eastAsia="Times New Roman" w:cs="Arial"/>
                <w:b/>
                <w:bCs/>
                <w:color w:val="000000"/>
              </w:rPr>
            </w:pPr>
            <w:bookmarkStart w:id="223" w:name="_Hlk67388055"/>
            <w:r w:rsidRPr="009A6AE8">
              <w:rPr>
                <w:rFonts w:eastAsia="Times New Roman" w:cs="Arial"/>
                <w:b/>
                <w:bCs/>
                <w:color w:val="FFFFFF" w:themeColor="background1"/>
                <w:sz w:val="28"/>
              </w:rPr>
              <w:t xml:space="preserve">Objective progress: </w:t>
            </w:r>
            <w:r w:rsidR="001F1C08">
              <w:rPr>
                <w:rFonts w:eastAsia="Times New Roman" w:cs="Arial"/>
                <w:b/>
                <w:bCs/>
                <w:color w:val="FFFFFF" w:themeColor="background1"/>
                <w:sz w:val="28"/>
              </w:rPr>
              <w:t>p</w:t>
            </w:r>
            <w:r w:rsidRPr="009A6AE8">
              <w:rPr>
                <w:rFonts w:eastAsia="Times New Roman" w:cs="Arial"/>
                <w:b/>
                <w:bCs/>
                <w:color w:val="FFFFFF" w:themeColor="background1"/>
                <w:sz w:val="28"/>
              </w:rPr>
              <w:t>ositive</w:t>
            </w:r>
          </w:p>
        </w:tc>
        <w:tc>
          <w:tcPr>
            <w:tcW w:w="1177" w:type="pct"/>
            <w:noWrap/>
          </w:tcPr>
          <w:p w14:paraId="236AF071" w14:textId="77777777" w:rsidR="00091AF9" w:rsidRPr="009A6AE8" w:rsidRDefault="00091AF9" w:rsidP="00E02BCB">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Arial"/>
                <w:b/>
                <w:bCs/>
                <w:color w:val="000000"/>
              </w:rPr>
            </w:pPr>
          </w:p>
        </w:tc>
      </w:tr>
      <w:tr w:rsidR="00091AF9" w:rsidRPr="001A65F6" w14:paraId="6786C9D2"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tcPr>
          <w:p w14:paraId="3047B1FD" w14:textId="77777777" w:rsidR="00091AF9" w:rsidRPr="001A65F6" w:rsidRDefault="00091AF9" w:rsidP="00E02BCB">
            <w:pPr>
              <w:spacing w:before="0" w:after="0"/>
              <w:rPr>
                <w:rFonts w:eastAsia="Times New Roman" w:cs="Arial"/>
                <w:b/>
                <w:bCs/>
                <w:color w:val="000000"/>
              </w:rPr>
            </w:pPr>
            <w:r w:rsidRPr="001A65F6">
              <w:rPr>
                <w:rFonts w:eastAsia="Times New Roman" w:cs="Arial"/>
                <w:b/>
                <w:bCs/>
                <w:color w:val="000000"/>
              </w:rPr>
              <w:t>Policy code</w:t>
            </w:r>
          </w:p>
        </w:tc>
        <w:tc>
          <w:tcPr>
            <w:tcW w:w="1177" w:type="pct"/>
            <w:shd w:val="clear" w:color="auto" w:fill="CBE9D3"/>
            <w:noWrap/>
          </w:tcPr>
          <w:p w14:paraId="4983FCD1"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rPr>
            </w:pPr>
            <w:r>
              <w:rPr>
                <w:rFonts w:eastAsia="Times New Roman" w:cs="Arial"/>
                <w:b/>
                <w:bCs/>
                <w:color w:val="000000"/>
              </w:rPr>
              <w:t>Outcome findings</w:t>
            </w:r>
          </w:p>
        </w:tc>
      </w:tr>
      <w:tr w:rsidR="00091AF9" w:rsidRPr="001A65F6" w14:paraId="53CC396A"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38F96CB5" w14:textId="77777777" w:rsidR="00091AF9" w:rsidRPr="00A056EE" w:rsidRDefault="00091AF9" w:rsidP="00E02BCB">
            <w:pPr>
              <w:spacing w:before="0" w:after="0"/>
              <w:rPr>
                <w:rFonts w:eastAsia="Times New Roman" w:cs="Arial"/>
                <w:b/>
                <w:color w:val="000000"/>
              </w:rPr>
            </w:pPr>
            <w:r w:rsidRPr="00A056EE">
              <w:rPr>
                <w:rFonts w:eastAsia="Times New Roman" w:cs="Arial"/>
                <w:b/>
                <w:color w:val="000000"/>
              </w:rPr>
              <w:t>Directly contributing policies</w:t>
            </w:r>
          </w:p>
        </w:tc>
      </w:tr>
      <w:tr w:rsidR="00091AF9" w:rsidRPr="001A65F6" w14:paraId="778501E8"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5CC3734B" w14:textId="77777777" w:rsidR="00091AF9" w:rsidRPr="001A65F6" w:rsidRDefault="00091AF9" w:rsidP="00E02BCB">
            <w:pPr>
              <w:spacing w:before="0" w:after="0"/>
              <w:rPr>
                <w:rFonts w:eastAsia="Times New Roman" w:cs="Arial"/>
                <w:color w:val="000000"/>
              </w:rPr>
            </w:pPr>
            <w:r>
              <w:rPr>
                <w:rFonts w:eastAsia="Times New Roman" w:cs="Arial"/>
                <w:color w:val="000000"/>
              </w:rPr>
              <w:t xml:space="preserve">S-MPA-1, S-MPA-2, </w:t>
            </w:r>
            <w:r w:rsidRPr="00955CFC">
              <w:rPr>
                <w:rFonts w:eastAsia="Times New Roman" w:cs="Arial"/>
                <w:color w:val="000000"/>
              </w:rPr>
              <w:t>S-MPA-4</w:t>
            </w:r>
          </w:p>
        </w:tc>
        <w:tc>
          <w:tcPr>
            <w:tcW w:w="1177" w:type="pct"/>
            <w:shd w:val="clear" w:color="auto" w:fill="FFFFFF" w:themeFill="background1"/>
            <w:noWrap/>
            <w:vAlign w:val="center"/>
          </w:tcPr>
          <w:p w14:paraId="512AF1A4"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Inconclusive</w:t>
            </w:r>
          </w:p>
        </w:tc>
      </w:tr>
      <w:tr w:rsidR="00091AF9" w:rsidRPr="001A65F6" w14:paraId="436FCBB5"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44A71F9C" w14:textId="77777777" w:rsidR="00091AF9" w:rsidRPr="001A65F6" w:rsidRDefault="00091AF9" w:rsidP="00E02BCB">
            <w:pPr>
              <w:spacing w:before="0" w:after="0"/>
              <w:rPr>
                <w:rFonts w:eastAsia="Times New Roman" w:cs="Arial"/>
                <w:color w:val="000000"/>
              </w:rPr>
            </w:pPr>
            <w:r>
              <w:rPr>
                <w:rFonts w:eastAsia="Times New Roman" w:cs="Arial"/>
                <w:color w:val="000000"/>
              </w:rPr>
              <w:t>S-MPA-3</w:t>
            </w:r>
          </w:p>
        </w:tc>
        <w:tc>
          <w:tcPr>
            <w:tcW w:w="1177" w:type="pct"/>
            <w:shd w:val="clear" w:color="auto" w:fill="FFFFFF" w:themeFill="background1"/>
            <w:noWrap/>
            <w:vAlign w:val="center"/>
          </w:tcPr>
          <w:p w14:paraId="5A74871A"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A65F6">
              <w:rPr>
                <w:rFonts w:eastAsia="Times New Roman" w:cs="Arial"/>
                <w:color w:val="000000"/>
              </w:rPr>
              <w:t>N</w:t>
            </w:r>
            <w:r>
              <w:rPr>
                <w:rFonts w:eastAsia="Times New Roman" w:cs="Arial"/>
                <w:color w:val="000000"/>
              </w:rPr>
              <w:t>o data</w:t>
            </w:r>
          </w:p>
        </w:tc>
      </w:tr>
      <w:tr w:rsidR="00091AF9" w:rsidRPr="001A65F6" w14:paraId="59A3211D"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32E6C1BC" w14:textId="77777777" w:rsidR="00091AF9" w:rsidRPr="00A056EE" w:rsidRDefault="00091AF9" w:rsidP="00E02BCB">
            <w:pPr>
              <w:spacing w:before="0" w:after="0"/>
              <w:rPr>
                <w:rFonts w:eastAsia="Times New Roman" w:cs="Arial"/>
                <w:b/>
                <w:color w:val="000000"/>
              </w:rPr>
            </w:pPr>
            <w:r w:rsidRPr="00A056EE">
              <w:rPr>
                <w:rFonts w:eastAsia="Times New Roman" w:cs="Arial"/>
                <w:b/>
                <w:color w:val="000000"/>
              </w:rPr>
              <w:t xml:space="preserve">Indirectly contributing policies </w:t>
            </w:r>
          </w:p>
        </w:tc>
      </w:tr>
      <w:tr w:rsidR="00091AF9" w:rsidRPr="001A65F6" w14:paraId="4A9CCDCF"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623A2AE0" w14:textId="77777777" w:rsidR="00091AF9" w:rsidRPr="001A65F6" w:rsidRDefault="00091AF9" w:rsidP="00E02BCB">
            <w:pPr>
              <w:spacing w:before="0" w:after="0"/>
              <w:rPr>
                <w:rFonts w:eastAsia="Times New Roman" w:cs="Arial"/>
                <w:color w:val="000000"/>
              </w:rPr>
            </w:pPr>
            <w:r>
              <w:rPr>
                <w:rFonts w:eastAsia="Times New Roman" w:cs="Arial"/>
                <w:color w:val="000000"/>
              </w:rPr>
              <w:t>S-BIO-2, S-BIO-3, S-CC-2, S-CC-4</w:t>
            </w:r>
          </w:p>
        </w:tc>
        <w:tc>
          <w:tcPr>
            <w:tcW w:w="1177" w:type="pct"/>
            <w:shd w:val="clear" w:color="auto" w:fill="FFFFFF" w:themeFill="background1"/>
            <w:noWrap/>
            <w:vAlign w:val="center"/>
          </w:tcPr>
          <w:p w14:paraId="6C8BCF4E"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Positive</w:t>
            </w:r>
          </w:p>
        </w:tc>
      </w:tr>
      <w:tr w:rsidR="00091AF9" w:rsidRPr="001A65F6" w14:paraId="11930C63"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7C905C61" w14:textId="77777777" w:rsidR="00091AF9" w:rsidRPr="001A65F6" w:rsidRDefault="00091AF9" w:rsidP="00E02BCB">
            <w:pPr>
              <w:spacing w:before="0" w:after="0"/>
              <w:rPr>
                <w:rFonts w:eastAsia="Times New Roman" w:cs="Arial"/>
                <w:color w:val="000000"/>
              </w:rPr>
            </w:pPr>
            <w:r>
              <w:rPr>
                <w:rFonts w:eastAsia="Times New Roman" w:cs="Arial"/>
                <w:color w:val="000000"/>
              </w:rPr>
              <w:t>S-BIO-1, S-BIO-4</w:t>
            </w:r>
          </w:p>
        </w:tc>
        <w:tc>
          <w:tcPr>
            <w:tcW w:w="1177" w:type="pct"/>
            <w:shd w:val="clear" w:color="auto" w:fill="FFFFFF" w:themeFill="background1"/>
            <w:noWrap/>
            <w:vAlign w:val="center"/>
          </w:tcPr>
          <w:p w14:paraId="493501CE"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A65F6">
              <w:rPr>
                <w:rFonts w:eastAsia="Times New Roman" w:cs="Arial"/>
                <w:color w:val="000000"/>
              </w:rPr>
              <w:t>Inconclusive</w:t>
            </w:r>
          </w:p>
        </w:tc>
      </w:tr>
    </w:tbl>
    <w:bookmarkEnd w:id="223"/>
    <w:p w14:paraId="514EEF8E" w14:textId="4B4B2650" w:rsidR="00091AF9" w:rsidRPr="009A6AE8" w:rsidRDefault="00091AF9" w:rsidP="00E3178A">
      <w:pPr>
        <w:pStyle w:val="ListParagraph"/>
        <w:numPr>
          <w:ilvl w:val="0"/>
          <w:numId w:val="8"/>
        </w:numPr>
        <w:ind w:left="561" w:hanging="567"/>
        <w:contextualSpacing w:val="0"/>
        <w:rPr>
          <w:rStyle w:val="eop"/>
          <w:rFonts w:cs="Arial"/>
        </w:rPr>
      </w:pPr>
      <w:r w:rsidRPr="00003DD3">
        <w:rPr>
          <w:rStyle w:val="eop"/>
        </w:rPr>
        <w:t>All directly contributing policies</w:t>
      </w:r>
      <w:r w:rsidRPr="009A6AE8">
        <w:rPr>
          <w:rStyle w:val="eop"/>
        </w:rPr>
        <w:t xml:space="preserve"> support proposals that aim to enhance the MPA network and/or require activities to reduce or avoid negative impacts on the MPA network. </w:t>
      </w:r>
      <w:r w:rsidR="001F1C08">
        <w:rPr>
          <w:rStyle w:val="eop"/>
        </w:rPr>
        <w:br/>
      </w:r>
      <w:r w:rsidR="001F1C08">
        <w:rPr>
          <w:rStyle w:val="eop"/>
        </w:rPr>
        <w:br/>
      </w:r>
      <w:r w:rsidRPr="009A6AE8">
        <w:rPr>
          <w:rStyle w:val="eop"/>
        </w:rPr>
        <w:t xml:space="preserve">The effects of S-MPA-1 and S-MPA-2 were assessed using designated site condition assessments and changes to the condition of sites with marine components. </w:t>
      </w:r>
      <w:r w:rsidR="001F1C08">
        <w:rPr>
          <w:rStyle w:val="eop"/>
        </w:rPr>
        <w:br/>
      </w:r>
      <w:r w:rsidR="001F1C08">
        <w:rPr>
          <w:rStyle w:val="eop"/>
        </w:rPr>
        <w:br/>
      </w:r>
      <w:r w:rsidRPr="009A6AE8">
        <w:rPr>
          <w:rStyle w:val="eop"/>
        </w:rPr>
        <w:t xml:space="preserve">Data on the number and location of marine activities licensed by the MMO, as well as the number of </w:t>
      </w:r>
      <w:r w:rsidR="00E3178A">
        <w:rPr>
          <w:rStyle w:val="eop"/>
        </w:rPr>
        <w:t xml:space="preserve">licensed </w:t>
      </w:r>
      <w:r w:rsidR="00E3178A" w:rsidRPr="0059093A">
        <w:rPr>
          <w:rStyle w:val="eop"/>
        </w:rPr>
        <w:t>marine activities</w:t>
      </w:r>
      <w:r w:rsidRPr="009A6AE8">
        <w:rPr>
          <w:rStyle w:val="eop"/>
        </w:rPr>
        <w:t xml:space="preserve"> which showed how they reduced impacts to MPAs</w:t>
      </w:r>
      <w:r w:rsidR="00E3178A">
        <w:rPr>
          <w:rStyle w:val="eop"/>
        </w:rPr>
        <w:t xml:space="preserve"> within their related marine licence applications</w:t>
      </w:r>
      <w:r w:rsidRPr="009A6AE8">
        <w:rPr>
          <w:rStyle w:val="eop"/>
        </w:rPr>
        <w:t>, were also used to assess the effects of S-MPA-1 and S-MPA-2. The effects of S-MPA-4 were assessed using stakeholder survey responses.</w:t>
      </w:r>
    </w:p>
    <w:p w14:paraId="5C490043" w14:textId="17FD0CC9" w:rsidR="00091AF9" w:rsidRPr="007C05E5" w:rsidRDefault="00091AF9" w:rsidP="00D43BAE">
      <w:pPr>
        <w:pStyle w:val="ListParagraph"/>
        <w:numPr>
          <w:ilvl w:val="0"/>
          <w:numId w:val="8"/>
        </w:numPr>
        <w:ind w:left="561" w:hanging="567"/>
        <w:contextualSpacing w:val="0"/>
        <w:rPr>
          <w:rStyle w:val="eop"/>
          <w:rFonts w:cs="Arial"/>
        </w:rPr>
      </w:pPr>
      <w:r w:rsidRPr="009A6AE8">
        <w:rPr>
          <w:rStyle w:val="eop"/>
        </w:rPr>
        <w:t xml:space="preserve">Outcome monitoring findings </w:t>
      </w:r>
      <w:r w:rsidRPr="009A6AE8">
        <w:rPr>
          <w:rStyle w:val="eop"/>
          <w:rFonts w:cs="Arial"/>
        </w:rPr>
        <w:t xml:space="preserve">did not provide clear evidence of policy effects for S-MPA-1, S-MPA-2 and S-MPA-4. Findings, therefore, did not allow </w:t>
      </w:r>
      <w:r w:rsidRPr="009A6AE8">
        <w:rPr>
          <w:rStyle w:val="eop"/>
        </w:rPr>
        <w:t xml:space="preserve">robust conclusions on policy effects to be made, beyond ‘inconclusive’. </w:t>
      </w:r>
      <w:r w:rsidR="001F1C08">
        <w:rPr>
          <w:rStyle w:val="eop"/>
        </w:rPr>
        <w:br/>
      </w:r>
      <w:r w:rsidR="001F1C08">
        <w:rPr>
          <w:rStyle w:val="eop"/>
        </w:rPr>
        <w:br/>
      </w:r>
      <w:r w:rsidRPr="00FE66BF">
        <w:rPr>
          <w:rStyle w:val="eop"/>
        </w:rPr>
        <w:t xml:space="preserve">Evidence showed a 13% increase in the total </w:t>
      </w:r>
      <w:r w:rsidRPr="00FE66BF">
        <w:rPr>
          <w:rStyle w:val="eop"/>
          <w:rFonts w:cs="Arial"/>
        </w:rPr>
        <w:t xml:space="preserve">Site of Specific Scientific Interest (SSSI) area in </w:t>
      </w:r>
      <w:r w:rsidRPr="00FE66BF">
        <w:t>‘destroyed’, ‘part destroyed’ or ‘unfavourable declining’ condition</w:t>
      </w:r>
      <w:r w:rsidRPr="00FE66BF">
        <w:rPr>
          <w:rStyle w:val="eop"/>
        </w:rPr>
        <w:t xml:space="preserve"> since </w:t>
      </w:r>
      <w:r w:rsidR="00DC2E44">
        <w:rPr>
          <w:rStyle w:val="eop"/>
          <w:rFonts w:cs="Arial"/>
        </w:rPr>
        <w:t>Plan</w:t>
      </w:r>
      <w:r w:rsidRPr="00FE66BF">
        <w:rPr>
          <w:rStyle w:val="eop"/>
          <w:rFonts w:cs="Arial"/>
        </w:rPr>
        <w:t xml:space="preserve"> adoption; this increase also occurred alongside a 10% decrease in the </w:t>
      </w:r>
      <w:r w:rsidRPr="00FE66BF">
        <w:rPr>
          <w:rStyle w:val="eop"/>
        </w:rPr>
        <w:t>total SSSI area</w:t>
      </w:r>
      <w:r w:rsidRPr="00FE66BF">
        <w:rPr>
          <w:rStyle w:val="eop"/>
          <w:rFonts w:cs="Arial"/>
        </w:rPr>
        <w:t xml:space="preserve"> in </w:t>
      </w:r>
      <w:r w:rsidRPr="00FE66BF">
        <w:rPr>
          <w:rFonts w:cs="Arial"/>
        </w:rPr>
        <w:t xml:space="preserve">‘favourable’ or ‘unfavourable recovering’ condition, </w:t>
      </w:r>
      <w:r w:rsidRPr="00FE66BF">
        <w:rPr>
          <w:rStyle w:val="eop"/>
        </w:rPr>
        <w:t xml:space="preserve">since </w:t>
      </w:r>
      <w:r w:rsidR="00DC2E44">
        <w:rPr>
          <w:rStyle w:val="eop"/>
          <w:rFonts w:cs="Arial"/>
        </w:rPr>
        <w:t>Plan</w:t>
      </w:r>
      <w:r w:rsidRPr="00FE66BF">
        <w:rPr>
          <w:rStyle w:val="eop"/>
          <w:rFonts w:cs="Arial"/>
        </w:rPr>
        <w:t xml:space="preserve"> adoption. </w:t>
      </w:r>
    </w:p>
    <w:p w14:paraId="779BF6D5" w14:textId="71788364" w:rsidR="00091AF9" w:rsidRPr="00043B05" w:rsidRDefault="00091AF9" w:rsidP="00AF1150">
      <w:pPr>
        <w:pStyle w:val="ListParagraph"/>
        <w:numPr>
          <w:ilvl w:val="0"/>
          <w:numId w:val="8"/>
        </w:numPr>
        <w:ind w:left="561" w:hanging="567"/>
        <w:contextualSpacing w:val="0"/>
        <w:rPr>
          <w:rFonts w:cs="Arial"/>
        </w:rPr>
      </w:pPr>
      <w:r w:rsidRPr="007C05E5">
        <w:rPr>
          <w:rStyle w:val="eop"/>
        </w:rPr>
        <w:t>Marine licensing data showed</w:t>
      </w:r>
      <w:r w:rsidRPr="007C05E5">
        <w:rPr>
          <w:rStyle w:val="eop"/>
          <w:rFonts w:cs="Arial"/>
        </w:rPr>
        <w:t xml:space="preserve"> </w:t>
      </w:r>
      <w:r w:rsidRPr="007C05E5">
        <w:rPr>
          <w:rStyle w:val="eop"/>
        </w:rPr>
        <w:t>some</w:t>
      </w:r>
      <w:r w:rsidRPr="007C05E5">
        <w:rPr>
          <w:rStyle w:val="eop"/>
          <w:rFonts w:cs="Arial"/>
        </w:rPr>
        <w:t xml:space="preserve"> positive policy effects for </w:t>
      </w:r>
      <w:r w:rsidRPr="007C05E5">
        <w:rPr>
          <w:rStyle w:val="eop"/>
        </w:rPr>
        <w:t xml:space="preserve">S-MPA-1 and S-MPA-2, with all </w:t>
      </w:r>
      <w:r w:rsidR="00AF1150">
        <w:rPr>
          <w:rStyle w:val="eop"/>
        </w:rPr>
        <w:t xml:space="preserve">relevant marine licence applications granted within the </w:t>
      </w:r>
      <w:r w:rsidR="00AF1150" w:rsidRPr="007C05E5">
        <w:rPr>
          <w:rStyle w:val="eop"/>
        </w:rPr>
        <w:t xml:space="preserve">first reporting window of the </w:t>
      </w:r>
      <w:r w:rsidR="00DC2E44">
        <w:rPr>
          <w:rStyle w:val="eop"/>
        </w:rPr>
        <w:t>Plan</w:t>
      </w:r>
      <w:r w:rsidR="00AF1150" w:rsidRPr="007C05E5">
        <w:rPr>
          <w:rStyle w:val="eop"/>
        </w:rPr>
        <w:t xml:space="preserve"> showing </w:t>
      </w:r>
      <w:r w:rsidR="00AF1150" w:rsidRPr="00D43BAE">
        <w:t>consideration</w:t>
      </w:r>
      <w:r w:rsidR="00AF1150" w:rsidRPr="007C05E5">
        <w:rPr>
          <w:rStyle w:val="eop"/>
        </w:rPr>
        <w:t xml:space="preserve"> of the policies and how they were compliant with them</w:t>
      </w:r>
      <w:r w:rsidR="00EA1E94">
        <w:rPr>
          <w:rStyle w:val="eop"/>
        </w:rPr>
        <w:t xml:space="preserve"> by reducing impacts</w:t>
      </w:r>
      <w:r w:rsidR="00AF1150">
        <w:rPr>
          <w:rStyle w:val="eop"/>
        </w:rPr>
        <w:t>.</w:t>
      </w:r>
      <w:r w:rsidRPr="007C05E5">
        <w:rPr>
          <w:rFonts w:cs="Arial"/>
        </w:rPr>
        <w:t xml:space="preserve"> </w:t>
      </w:r>
      <w:r w:rsidR="001F1C08">
        <w:rPr>
          <w:rFonts w:cs="Arial"/>
        </w:rPr>
        <w:br/>
      </w:r>
      <w:r w:rsidR="001F1C08">
        <w:rPr>
          <w:rFonts w:cs="Arial"/>
        </w:rPr>
        <w:br/>
      </w:r>
      <w:r w:rsidRPr="00043B05">
        <w:rPr>
          <w:rFonts w:cs="Arial"/>
        </w:rPr>
        <w:lastRenderedPageBreak/>
        <w:t xml:space="preserve">However, </w:t>
      </w:r>
      <w:r w:rsidRPr="00043B05">
        <w:rPr>
          <w:rStyle w:val="eop"/>
        </w:rPr>
        <w:t xml:space="preserve">there was no evidence of </w:t>
      </w:r>
      <w:r w:rsidR="00AF1150">
        <w:rPr>
          <w:rStyle w:val="eop"/>
        </w:rPr>
        <w:t xml:space="preserve">marine licence applications for activities that </w:t>
      </w:r>
      <w:r w:rsidR="00AF1150" w:rsidRPr="00043B05">
        <w:rPr>
          <w:rStyle w:val="eop"/>
        </w:rPr>
        <w:t xml:space="preserve">promoted </w:t>
      </w:r>
      <w:r w:rsidR="00AF1150">
        <w:rPr>
          <w:rStyle w:val="eop"/>
        </w:rPr>
        <w:t xml:space="preserve">the </w:t>
      </w:r>
      <w:r w:rsidR="00AF1150" w:rsidRPr="00043B05">
        <w:rPr>
          <w:rStyle w:val="eop"/>
        </w:rPr>
        <w:t>enhancement</w:t>
      </w:r>
      <w:r w:rsidR="00AF1150" w:rsidRPr="00043B05">
        <w:rPr>
          <w:rStyle w:val="eop"/>
          <w:rFonts w:cs="Arial"/>
        </w:rPr>
        <w:t xml:space="preserve"> of the MPA network</w:t>
      </w:r>
      <w:r w:rsidR="00AF1150">
        <w:rPr>
          <w:rStyle w:val="eop"/>
          <w:rFonts w:cs="Arial"/>
        </w:rPr>
        <w:t xml:space="preserve"> having been granted since </w:t>
      </w:r>
      <w:r w:rsidR="00DC2E44">
        <w:rPr>
          <w:rStyle w:val="eop"/>
          <w:rFonts w:cs="Arial"/>
        </w:rPr>
        <w:t>Plan</w:t>
      </w:r>
      <w:r w:rsidR="00AF1150">
        <w:rPr>
          <w:rStyle w:val="eop"/>
          <w:rFonts w:cs="Arial"/>
        </w:rPr>
        <w:t xml:space="preserve"> adoption.</w:t>
      </w:r>
      <w:r w:rsidRPr="00043B05">
        <w:rPr>
          <w:rStyle w:val="eop"/>
        </w:rPr>
        <w:t xml:space="preserve"> This suggests these policies are not having </w:t>
      </w:r>
      <w:r w:rsidR="00486A2E">
        <w:rPr>
          <w:rStyle w:val="eop"/>
        </w:rPr>
        <w:t>the</w:t>
      </w:r>
      <w:r w:rsidRPr="00043B05">
        <w:rPr>
          <w:rStyle w:val="eop"/>
        </w:rPr>
        <w:t xml:space="preserve"> effect </w:t>
      </w:r>
      <w:r w:rsidR="00486A2E">
        <w:rPr>
          <w:rStyle w:val="eop"/>
        </w:rPr>
        <w:t xml:space="preserve">of </w:t>
      </w:r>
      <w:r w:rsidRPr="00043B05">
        <w:rPr>
          <w:rStyle w:val="eop"/>
        </w:rPr>
        <w:t>furthering positive gains to the MPA network.</w:t>
      </w:r>
    </w:p>
    <w:p w14:paraId="35594A2E" w14:textId="0FF5762C" w:rsidR="00091AF9" w:rsidRPr="00043B05" w:rsidRDefault="00091AF9" w:rsidP="00D43BAE">
      <w:pPr>
        <w:pStyle w:val="ListParagraph"/>
        <w:numPr>
          <w:ilvl w:val="0"/>
          <w:numId w:val="8"/>
        </w:numPr>
        <w:ind w:left="561" w:hanging="567"/>
        <w:contextualSpacing w:val="0"/>
        <w:rPr>
          <w:rStyle w:val="eop"/>
          <w:rFonts w:cs="Arial"/>
        </w:rPr>
      </w:pPr>
      <w:r w:rsidRPr="00043B05">
        <w:rPr>
          <w:rFonts w:cs="Arial"/>
        </w:rPr>
        <w:t xml:space="preserve">Whilst there are currently no monitoring measures in place to assess policy effects of S-MPA-3, </w:t>
      </w:r>
      <w:r w:rsidRPr="00043B05">
        <w:rPr>
          <w:rStyle w:val="eop"/>
          <w:rFonts w:cs="Arial"/>
        </w:rPr>
        <w:t xml:space="preserve">evidence of policy use and compliance in marine </w:t>
      </w:r>
      <w:r w:rsidR="00AF1150">
        <w:rPr>
          <w:rStyle w:val="eop"/>
          <w:rFonts w:cs="Arial"/>
        </w:rPr>
        <w:t>licence decision-making</w:t>
      </w:r>
      <w:r w:rsidRPr="00043B05">
        <w:rPr>
          <w:rStyle w:val="eop"/>
          <w:rFonts w:cs="Arial"/>
        </w:rPr>
        <w:t xml:space="preserve"> (see ‘Intermediate Outcomes’ case study in </w:t>
      </w:r>
      <w:hyperlink w:anchor="_5.2_Outcome_monitoring">
        <w:r w:rsidRPr="09F83F24">
          <w:rPr>
            <w:rStyle w:val="Hyperlink"/>
            <w:rFonts w:cs="Arial"/>
          </w:rPr>
          <w:t>Section 5.2</w:t>
        </w:r>
      </w:hyperlink>
      <w:r w:rsidRPr="00043B05">
        <w:rPr>
          <w:rStyle w:val="eop"/>
          <w:rFonts w:cs="Arial"/>
        </w:rPr>
        <w:t xml:space="preserve">) shows that proposals are considering MPA boundary changes. </w:t>
      </w:r>
      <w:r w:rsidR="0012007B">
        <w:rPr>
          <w:rStyle w:val="eop"/>
          <w:rFonts w:cs="Arial"/>
        </w:rPr>
        <w:br/>
      </w:r>
      <w:r w:rsidR="0012007B">
        <w:rPr>
          <w:rStyle w:val="eop"/>
          <w:rFonts w:cs="Arial"/>
        </w:rPr>
        <w:br/>
      </w:r>
      <w:r w:rsidRPr="00043B05">
        <w:rPr>
          <w:rStyle w:val="eop"/>
          <w:rFonts w:cs="Arial"/>
        </w:rPr>
        <w:t>However, t</w:t>
      </w:r>
      <w:r w:rsidRPr="00043B05">
        <w:rPr>
          <w:rStyle w:val="Hyperlink"/>
          <w:color w:val="auto"/>
          <w:u w:val="none"/>
        </w:rPr>
        <w:t xml:space="preserve">he relatively high rate at which S-MPA-3 </w:t>
      </w:r>
      <w:r w:rsidRPr="00D43BAE">
        <w:t>has</w:t>
      </w:r>
      <w:r w:rsidRPr="00043B05">
        <w:rPr>
          <w:rStyle w:val="Hyperlink"/>
          <w:color w:val="auto"/>
          <w:u w:val="none"/>
        </w:rPr>
        <w:t xml:space="preserve"> been considered in marine </w:t>
      </w:r>
      <w:r w:rsidR="00AF1150">
        <w:rPr>
          <w:rStyle w:val="Hyperlink"/>
          <w:color w:val="auto"/>
          <w:u w:val="none"/>
        </w:rPr>
        <w:t>licence</w:t>
      </w:r>
      <w:r w:rsidRPr="00043B05">
        <w:rPr>
          <w:rStyle w:val="Hyperlink"/>
          <w:color w:val="auto"/>
          <w:u w:val="none"/>
        </w:rPr>
        <w:t xml:space="preserve"> </w:t>
      </w:r>
      <w:r w:rsidR="00AF1150">
        <w:rPr>
          <w:rStyle w:val="Hyperlink"/>
          <w:color w:val="auto"/>
          <w:u w:val="none"/>
        </w:rPr>
        <w:t>decision-making</w:t>
      </w:r>
      <w:r w:rsidRPr="00043B05">
        <w:rPr>
          <w:rStyle w:val="Hyperlink"/>
          <w:color w:val="auto"/>
          <w:u w:val="none"/>
        </w:rPr>
        <w:t xml:space="preserve"> may suggest that </w:t>
      </w:r>
      <w:r w:rsidR="00307481">
        <w:rPr>
          <w:rStyle w:val="Hyperlink"/>
          <w:color w:val="auto"/>
          <w:u w:val="none"/>
        </w:rPr>
        <w:t xml:space="preserve">the </w:t>
      </w:r>
      <w:r w:rsidRPr="00043B05">
        <w:rPr>
          <w:rStyle w:val="Hyperlink"/>
          <w:color w:val="auto"/>
          <w:u w:val="none"/>
        </w:rPr>
        <w:t xml:space="preserve">policy is vulnerable to being misunderstood </w:t>
      </w:r>
      <w:r w:rsidRPr="00043B05">
        <w:rPr>
          <w:rStyle w:val="eop"/>
          <w:rFonts w:cs="Arial"/>
        </w:rPr>
        <w:t>(</w:t>
      </w:r>
      <w:hyperlink w:anchor="_4.2_Process_monitoring">
        <w:r w:rsidR="00FC2AFC" w:rsidRPr="09F83F24">
          <w:rPr>
            <w:rStyle w:val="Hyperlink"/>
          </w:rPr>
          <w:t>S</w:t>
        </w:r>
        <w:r w:rsidRPr="09F83F24">
          <w:rPr>
            <w:rStyle w:val="Hyperlink"/>
          </w:rPr>
          <w:t>ection 4.2</w:t>
        </w:r>
      </w:hyperlink>
      <w:r w:rsidRPr="09F83F24">
        <w:rPr>
          <w:rStyle w:val="eop"/>
          <w:rFonts w:cs="Arial"/>
        </w:rPr>
        <w:t>).</w:t>
      </w:r>
      <w:r w:rsidRPr="00043B05">
        <w:rPr>
          <w:rStyle w:val="eop"/>
          <w:rFonts w:cs="Arial"/>
        </w:rPr>
        <w:t xml:space="preserve"> </w:t>
      </w:r>
      <w:r w:rsidR="001F1C08">
        <w:rPr>
          <w:rStyle w:val="eop"/>
          <w:rFonts w:cs="Arial"/>
        </w:rPr>
        <w:br/>
      </w:r>
      <w:r w:rsidR="001F1C08">
        <w:rPr>
          <w:rStyle w:val="eop"/>
          <w:rFonts w:cs="Arial"/>
        </w:rPr>
        <w:br/>
      </w:r>
      <w:r w:rsidR="005B48AF">
        <w:rPr>
          <w:rStyle w:val="eop"/>
          <w:rFonts w:cs="Arial"/>
        </w:rPr>
        <w:t>C</w:t>
      </w:r>
      <w:r w:rsidRPr="09F83F24">
        <w:rPr>
          <w:rStyle w:val="Hyperlink"/>
          <w:rFonts w:cs="Arial"/>
          <w:color w:val="auto"/>
          <w:u w:val="none"/>
        </w:rPr>
        <w:t xml:space="preserve">ontinued delivery of training on marine </w:t>
      </w:r>
      <w:r w:rsidR="008D2BF9">
        <w:rPr>
          <w:rStyle w:val="Hyperlink"/>
          <w:rFonts w:cs="Arial"/>
          <w:color w:val="auto"/>
          <w:u w:val="none"/>
        </w:rPr>
        <w:t>p</w:t>
      </w:r>
      <w:r w:rsidR="00DC2E44">
        <w:rPr>
          <w:rStyle w:val="Hyperlink"/>
          <w:rFonts w:cs="Arial"/>
          <w:color w:val="auto"/>
          <w:u w:val="none"/>
        </w:rPr>
        <w:t>lan</w:t>
      </w:r>
      <w:r w:rsidRPr="09F83F24">
        <w:rPr>
          <w:rStyle w:val="Hyperlink"/>
          <w:rFonts w:cs="Arial"/>
          <w:color w:val="auto"/>
          <w:u w:val="none"/>
        </w:rPr>
        <w:t xml:space="preserve"> implementation will</w:t>
      </w:r>
      <w:r w:rsidR="005B48AF" w:rsidRPr="09F83F24">
        <w:rPr>
          <w:rStyle w:val="Hyperlink"/>
          <w:rFonts w:cs="Arial"/>
          <w:color w:val="auto"/>
          <w:u w:val="none"/>
        </w:rPr>
        <w:t>, therefore,</w:t>
      </w:r>
      <w:r w:rsidRPr="09F83F24">
        <w:rPr>
          <w:rStyle w:val="Hyperlink"/>
          <w:rFonts w:cs="Arial"/>
          <w:color w:val="auto"/>
          <w:u w:val="none"/>
        </w:rPr>
        <w:t xml:space="preserve"> facilitate and support internal and external decision-makers in the interpretation and implementation of this</w:t>
      </w:r>
      <w:r w:rsidRPr="00043B05">
        <w:rPr>
          <w:rStyle w:val="eop"/>
          <w:rFonts w:cs="Arial"/>
        </w:rPr>
        <w:t xml:space="preserve"> policy. </w:t>
      </w:r>
    </w:p>
    <w:p w14:paraId="3D7FA9D7" w14:textId="52D2C295" w:rsidR="00091AF9" w:rsidRPr="00043B05" w:rsidRDefault="00091AF9" w:rsidP="00D43BAE">
      <w:pPr>
        <w:pStyle w:val="ListParagraph"/>
        <w:numPr>
          <w:ilvl w:val="0"/>
          <w:numId w:val="8"/>
        </w:numPr>
        <w:ind w:left="561" w:hanging="567"/>
        <w:contextualSpacing w:val="0"/>
        <w:rPr>
          <w:rStyle w:val="eop"/>
        </w:rPr>
      </w:pPr>
      <w:r w:rsidRPr="00043B05">
        <w:rPr>
          <w:rStyle w:val="eop"/>
        </w:rPr>
        <w:t xml:space="preserve">The assessment of the effects of directly contributing policies were limited by existing indicator methodologies and available data. </w:t>
      </w:r>
      <w:r w:rsidR="001F1C08">
        <w:rPr>
          <w:rStyle w:val="eop"/>
        </w:rPr>
        <w:br/>
      </w:r>
      <w:r w:rsidR="001F1C08">
        <w:rPr>
          <w:rStyle w:val="eop"/>
        </w:rPr>
        <w:br/>
      </w:r>
      <w:r w:rsidRPr="00043B05">
        <w:rPr>
          <w:rStyle w:val="eop"/>
        </w:rPr>
        <w:t xml:space="preserve">Changes in the condition status of MPAs could only be assessed for SSSIs with marine components, as similar data was not </w:t>
      </w:r>
      <w:r w:rsidR="00486A2E">
        <w:rPr>
          <w:rStyle w:val="eop"/>
        </w:rPr>
        <w:t xml:space="preserve">readily </w:t>
      </w:r>
      <w:r w:rsidRPr="00043B05">
        <w:rPr>
          <w:rStyle w:val="eop"/>
        </w:rPr>
        <w:t xml:space="preserve">available for other MPA designations. </w:t>
      </w:r>
      <w:r w:rsidR="001F1C08">
        <w:rPr>
          <w:rStyle w:val="eop"/>
        </w:rPr>
        <w:br/>
      </w:r>
      <w:r w:rsidR="001F1C08">
        <w:rPr>
          <w:rStyle w:val="eop"/>
        </w:rPr>
        <w:br/>
      </w:r>
      <w:r w:rsidRPr="00043B05">
        <w:rPr>
          <w:rStyle w:val="eop"/>
        </w:rPr>
        <w:t xml:space="preserve">The total SSSI area included within the site </w:t>
      </w:r>
      <w:r w:rsidRPr="00D43BAE">
        <w:t>condition</w:t>
      </w:r>
      <w:r w:rsidRPr="00043B05">
        <w:rPr>
          <w:rStyle w:val="eop"/>
        </w:rPr>
        <w:t xml:space="preserve"> data has also increased over time and is</w:t>
      </w:r>
      <w:r w:rsidR="005B48AF">
        <w:rPr>
          <w:rStyle w:val="eop"/>
        </w:rPr>
        <w:t>,</w:t>
      </w:r>
      <w:r w:rsidRPr="00043B05">
        <w:rPr>
          <w:rStyle w:val="eop"/>
        </w:rPr>
        <w:t xml:space="preserve"> therefore</w:t>
      </w:r>
      <w:r w:rsidR="005B48AF">
        <w:rPr>
          <w:rStyle w:val="eop"/>
        </w:rPr>
        <w:t>,</w:t>
      </w:r>
      <w:r w:rsidRPr="00043B05">
        <w:rPr>
          <w:rStyle w:val="eop"/>
        </w:rPr>
        <w:t xml:space="preserve"> likely to have influenced the findings. </w:t>
      </w:r>
      <w:r w:rsidR="00307481" w:rsidRPr="00043B05">
        <w:rPr>
          <w:rStyle w:val="eop"/>
        </w:rPr>
        <w:t>Furthermore,</w:t>
      </w:r>
      <w:r w:rsidRPr="00043B05">
        <w:rPr>
          <w:rStyle w:val="eop"/>
        </w:rPr>
        <w:t xml:space="preserve"> the condition assessments of SSSIs are surveyed infrequently </w:t>
      </w:r>
      <w:r w:rsidR="00486A2E">
        <w:rPr>
          <w:rStyle w:val="eop"/>
        </w:rPr>
        <w:t xml:space="preserve">at irregular intervals </w:t>
      </w:r>
      <w:r w:rsidRPr="00043B05">
        <w:rPr>
          <w:rStyle w:val="eop"/>
        </w:rPr>
        <w:t xml:space="preserve">which does not allow </w:t>
      </w:r>
      <w:r w:rsidR="00486A2E">
        <w:rPr>
          <w:rStyle w:val="eop"/>
        </w:rPr>
        <w:t xml:space="preserve">for a clear </w:t>
      </w:r>
      <w:r w:rsidRPr="00043B05">
        <w:rPr>
          <w:rStyle w:val="eop"/>
        </w:rPr>
        <w:t xml:space="preserve">assessment over time of condition. </w:t>
      </w:r>
    </w:p>
    <w:p w14:paraId="65A382DB" w14:textId="2EC300AD" w:rsidR="00091AF9" w:rsidRPr="00043B05" w:rsidRDefault="00091AF9" w:rsidP="00D43BAE">
      <w:pPr>
        <w:pStyle w:val="ListParagraph"/>
        <w:numPr>
          <w:ilvl w:val="0"/>
          <w:numId w:val="8"/>
        </w:numPr>
        <w:ind w:left="561" w:hanging="567"/>
        <w:contextualSpacing w:val="0"/>
        <w:rPr>
          <w:rStyle w:val="eop"/>
        </w:rPr>
      </w:pPr>
      <w:r w:rsidRPr="00043B05">
        <w:rPr>
          <w:rStyle w:val="eop"/>
        </w:rPr>
        <w:t xml:space="preserve">The spatially defined areas used to identify relevant </w:t>
      </w:r>
      <w:r w:rsidR="00AF1150">
        <w:rPr>
          <w:rStyle w:val="eop"/>
        </w:rPr>
        <w:t>marine licence applications</w:t>
      </w:r>
      <w:r w:rsidRPr="00043B05">
        <w:rPr>
          <w:rStyle w:val="eop"/>
        </w:rPr>
        <w:t xml:space="preserve"> may have resulted in the low sample size obtained. </w:t>
      </w:r>
      <w:r w:rsidR="001F1C08">
        <w:rPr>
          <w:rStyle w:val="eop"/>
        </w:rPr>
        <w:br/>
      </w:r>
      <w:r w:rsidR="001F1C08">
        <w:rPr>
          <w:rStyle w:val="eop"/>
        </w:rPr>
        <w:br/>
      </w:r>
      <w:r w:rsidRPr="00043B05">
        <w:rPr>
          <w:rStyle w:val="eop"/>
        </w:rPr>
        <w:t xml:space="preserve">Low sample sizes in the marine licensing baseline data may also reflect the effectiveness of consenting processes that were in place before </w:t>
      </w:r>
      <w:r w:rsidR="00DC2E44">
        <w:rPr>
          <w:rStyle w:val="eop"/>
        </w:rPr>
        <w:t>Plan</w:t>
      </w:r>
      <w:r w:rsidRPr="00043B05">
        <w:rPr>
          <w:rStyle w:val="eop"/>
        </w:rPr>
        <w:t xml:space="preserve"> adoption. </w:t>
      </w:r>
      <w:r w:rsidR="001F1C08">
        <w:rPr>
          <w:rStyle w:val="eop"/>
        </w:rPr>
        <w:br/>
      </w:r>
      <w:r w:rsidR="001F1C08">
        <w:rPr>
          <w:rStyle w:val="eop"/>
        </w:rPr>
        <w:br/>
      </w:r>
      <w:r w:rsidRPr="00043B05">
        <w:rPr>
          <w:rStyle w:val="eop"/>
        </w:rPr>
        <w:t xml:space="preserve">Sample sizes are expected to increase over time as new proposals are developed and licensed. The assessment of policy effects is, therefore, likely to improve with increasing time from </w:t>
      </w:r>
      <w:r w:rsidR="00DC2E44">
        <w:rPr>
          <w:rStyle w:val="eop"/>
        </w:rPr>
        <w:t>Plan</w:t>
      </w:r>
      <w:r w:rsidRPr="00043B05">
        <w:rPr>
          <w:rStyle w:val="eop"/>
        </w:rPr>
        <w:t xml:space="preserve"> adoption.</w:t>
      </w:r>
    </w:p>
    <w:p w14:paraId="4CDFFF06" w14:textId="678E21AD" w:rsidR="00091AF9" w:rsidRPr="00043B05" w:rsidRDefault="00091AF9" w:rsidP="00D43BAE">
      <w:pPr>
        <w:pStyle w:val="ListParagraph"/>
        <w:numPr>
          <w:ilvl w:val="0"/>
          <w:numId w:val="8"/>
        </w:numPr>
        <w:ind w:left="561" w:hanging="567"/>
        <w:contextualSpacing w:val="0"/>
        <w:rPr>
          <w:rStyle w:val="eop"/>
        </w:rPr>
      </w:pPr>
      <w:r w:rsidRPr="00285EEE">
        <w:rPr>
          <w:rStyle w:val="eop"/>
          <w:rFonts w:cs="Arial"/>
        </w:rPr>
        <w:t xml:space="preserve">Overall, </w:t>
      </w:r>
      <w:r w:rsidRPr="00285EEE">
        <w:rPr>
          <w:rStyle w:val="eop"/>
        </w:rPr>
        <w:t>findings suggest that some positive</w:t>
      </w:r>
      <w:r w:rsidRPr="00285EEE">
        <w:rPr>
          <w:rStyle w:val="eop"/>
          <w:rFonts w:cs="Arial"/>
        </w:rPr>
        <w:t xml:space="preserve"> progress has been made towards</w:t>
      </w:r>
      <w:r w:rsidRPr="00285EEE">
        <w:rPr>
          <w:rStyle w:val="eop"/>
        </w:rPr>
        <w:t xml:space="preserve"> Objective 10, and the HLMOs to which it is linked </w:t>
      </w:r>
      <w:r w:rsidRPr="0012007B">
        <w:rPr>
          <w:rStyle w:val="eop"/>
        </w:rPr>
        <w:t>(</w:t>
      </w:r>
      <w:hyperlink w:anchor="_Annex_A:_High">
        <w:r w:rsidR="00FC2AFC" w:rsidRPr="0012007B">
          <w:rPr>
            <w:rStyle w:val="Hyperlink"/>
          </w:rPr>
          <w:t>Annex A</w:t>
        </w:r>
      </w:hyperlink>
      <w:r w:rsidRPr="0012007B">
        <w:rPr>
          <w:rStyle w:val="eop"/>
        </w:rPr>
        <w:t>).</w:t>
      </w:r>
      <w:r w:rsidRPr="00043B05">
        <w:rPr>
          <w:rStyle w:val="eop"/>
        </w:rPr>
        <w:t xml:space="preserve"> </w:t>
      </w:r>
      <w:r w:rsidR="0012007B">
        <w:rPr>
          <w:rStyle w:val="eop"/>
        </w:rPr>
        <w:br/>
      </w:r>
      <w:r w:rsidR="0012007B">
        <w:rPr>
          <w:rStyle w:val="eop"/>
        </w:rPr>
        <w:br/>
      </w:r>
      <w:r w:rsidRPr="00043B05">
        <w:rPr>
          <w:rStyle w:val="eop"/>
        </w:rPr>
        <w:t>This conclusion is supported by some evidence of implementation of direct</w:t>
      </w:r>
      <w:r>
        <w:rPr>
          <w:rStyle w:val="eop"/>
        </w:rPr>
        <w:t>ly</w:t>
      </w:r>
      <w:r w:rsidRPr="00043B05">
        <w:rPr>
          <w:rStyle w:val="eop"/>
        </w:rPr>
        <w:t xml:space="preserve"> and indirectly contributing policies in marine </w:t>
      </w:r>
      <w:r w:rsidRPr="00043B05">
        <w:t>licensing decision</w:t>
      </w:r>
      <w:r w:rsidR="00302CD2">
        <w:t>s</w:t>
      </w:r>
      <w:r w:rsidRPr="00043B05">
        <w:t xml:space="preserve"> </w:t>
      </w:r>
      <w:r w:rsidRPr="00043B05">
        <w:rPr>
          <w:rStyle w:val="eop"/>
        </w:rPr>
        <w:t>(</w:t>
      </w:r>
      <w:hyperlink w:anchor="_Annex_B:_Policy">
        <w:r w:rsidR="00FC2AFC" w:rsidRPr="09F83F24">
          <w:rPr>
            <w:rStyle w:val="Hyperlink"/>
          </w:rPr>
          <w:t>Annex B</w:t>
        </w:r>
      </w:hyperlink>
      <w:r w:rsidRPr="09F83F24">
        <w:rPr>
          <w:rStyle w:val="eop"/>
        </w:rPr>
        <w:t>).</w:t>
      </w:r>
      <w:r w:rsidRPr="00043B05">
        <w:rPr>
          <w:rStyle w:val="eop"/>
        </w:rPr>
        <w:t xml:space="preserve"> </w:t>
      </w:r>
      <w:r w:rsidR="0012007B">
        <w:rPr>
          <w:rStyle w:val="eop"/>
        </w:rPr>
        <w:br/>
      </w:r>
      <w:r w:rsidR="0012007B">
        <w:rPr>
          <w:rStyle w:val="eop"/>
        </w:rPr>
        <w:br/>
      </w:r>
      <w:r w:rsidRPr="00043B05">
        <w:rPr>
          <w:rStyle w:val="eop"/>
        </w:rPr>
        <w:t>Furthermore, many indirect</w:t>
      </w:r>
      <w:r>
        <w:rPr>
          <w:rStyle w:val="eop"/>
        </w:rPr>
        <w:t>ly contributing</w:t>
      </w:r>
      <w:r w:rsidRPr="00043B05">
        <w:rPr>
          <w:rStyle w:val="eop"/>
        </w:rPr>
        <w:t xml:space="preserve"> policies have shown positive </w:t>
      </w:r>
      <w:r w:rsidRPr="00043B05">
        <w:rPr>
          <w:rFonts w:cs="Arial"/>
        </w:rPr>
        <w:t xml:space="preserve">progress </w:t>
      </w:r>
      <w:r w:rsidRPr="00043B05">
        <w:rPr>
          <w:rFonts w:cs="Arial"/>
        </w:rPr>
        <w:lastRenderedPageBreak/>
        <w:t xml:space="preserve">towards </w:t>
      </w:r>
      <w:r w:rsidRPr="00043B05">
        <w:t xml:space="preserve">policy aims. </w:t>
      </w:r>
      <w:r w:rsidRPr="00043B05">
        <w:rPr>
          <w:rStyle w:val="eop"/>
        </w:rPr>
        <w:t xml:space="preserve">Low sample sizes in the marine licensing baseline data are likely to reflect the effectiveness of consenting processes that were in place before </w:t>
      </w:r>
      <w:r w:rsidR="00DC2E44">
        <w:rPr>
          <w:rStyle w:val="eop"/>
        </w:rPr>
        <w:t>Plan</w:t>
      </w:r>
      <w:r w:rsidRPr="00043B05">
        <w:rPr>
          <w:rStyle w:val="eop"/>
        </w:rPr>
        <w:t xml:space="preserve"> adoption. </w:t>
      </w:r>
      <w:r w:rsidR="0012007B">
        <w:rPr>
          <w:rStyle w:val="eop"/>
        </w:rPr>
        <w:br/>
      </w:r>
      <w:r w:rsidR="0012007B">
        <w:rPr>
          <w:rStyle w:val="eop"/>
        </w:rPr>
        <w:br/>
      </w:r>
      <w:r w:rsidRPr="00043B05">
        <w:rPr>
          <w:rStyle w:val="eop"/>
        </w:rPr>
        <w:t>This finding suggests that policies S-MPA-1 and S-MPA-2 have not added notable</w:t>
      </w:r>
      <w:r w:rsidRPr="00003DD3">
        <w:rPr>
          <w:rStyle w:val="eop"/>
        </w:rPr>
        <w:t xml:space="preserve"> </w:t>
      </w:r>
      <w:r w:rsidRPr="00043B05">
        <w:rPr>
          <w:rStyle w:val="eop"/>
        </w:rPr>
        <w:t>value in supporting MPA objectives and the ecological coherence of the MPA network</w:t>
      </w:r>
      <w:r>
        <w:rPr>
          <w:rStyle w:val="eop"/>
        </w:rPr>
        <w:t>,</w:t>
      </w:r>
      <w:r w:rsidRPr="00043B05">
        <w:rPr>
          <w:rStyle w:val="eop"/>
        </w:rPr>
        <w:t xml:space="preserve"> beyond existing measures. </w:t>
      </w:r>
      <w:r w:rsidR="0012007B">
        <w:rPr>
          <w:rStyle w:val="eop"/>
        </w:rPr>
        <w:br/>
      </w:r>
      <w:r w:rsidR="0012007B">
        <w:rPr>
          <w:rStyle w:val="eop"/>
        </w:rPr>
        <w:br/>
      </w:r>
      <w:r w:rsidRPr="00043B05">
        <w:rPr>
          <w:rStyle w:val="eop"/>
        </w:rPr>
        <w:t xml:space="preserve">The effectiveness of </w:t>
      </w:r>
      <w:r w:rsidRPr="00043B05">
        <w:rPr>
          <w:rStyle w:val="eop"/>
          <w:rFonts w:cs="Arial"/>
        </w:rPr>
        <w:t>S-MPA-4 in supporting Objective 10</w:t>
      </w:r>
      <w:r w:rsidRPr="00043B05" w:rsidDel="00EA1E94">
        <w:rPr>
          <w:rStyle w:val="eop"/>
          <w:rFonts w:cs="Arial"/>
        </w:rPr>
        <w:t xml:space="preserve"> </w:t>
      </w:r>
      <w:r w:rsidR="00EA1E94">
        <w:rPr>
          <w:rStyle w:val="eop"/>
          <w:rFonts w:cs="Arial"/>
        </w:rPr>
        <w:t xml:space="preserve">is </w:t>
      </w:r>
      <w:r w:rsidRPr="00043B05">
        <w:rPr>
          <w:rStyle w:val="eop"/>
          <w:rFonts w:cs="Arial"/>
        </w:rPr>
        <w:t xml:space="preserve">also </w:t>
      </w:r>
      <w:r w:rsidR="00EA1E94">
        <w:rPr>
          <w:rStyle w:val="eop"/>
          <w:rFonts w:cs="Arial"/>
        </w:rPr>
        <w:t>expected</w:t>
      </w:r>
      <w:r w:rsidR="005463B6">
        <w:rPr>
          <w:rStyle w:val="eop"/>
          <w:rFonts w:cs="Arial"/>
        </w:rPr>
        <w:t xml:space="preserve"> to</w:t>
      </w:r>
      <w:r w:rsidR="00EA1E94">
        <w:rPr>
          <w:rStyle w:val="eop"/>
          <w:rFonts w:cs="Arial"/>
        </w:rPr>
        <w:t xml:space="preserve"> </w:t>
      </w:r>
      <w:r w:rsidRPr="00043B05">
        <w:rPr>
          <w:rStyle w:val="eop"/>
          <w:rFonts w:cs="Arial"/>
        </w:rPr>
        <w:t xml:space="preserve">lessen as completion of the </w:t>
      </w:r>
      <w:r w:rsidRPr="00043B05">
        <w:rPr>
          <w:rStyle w:val="eop"/>
        </w:rPr>
        <w:t>MPA network progresses (</w:t>
      </w:r>
      <w:hyperlink w:anchor="_3.2_Context_monitoring">
        <w:r w:rsidR="00FC2AFC" w:rsidRPr="09F83F24">
          <w:rPr>
            <w:rStyle w:val="Hyperlink"/>
          </w:rPr>
          <w:t>S</w:t>
        </w:r>
        <w:r w:rsidRPr="09F83F24">
          <w:rPr>
            <w:rStyle w:val="Hyperlink"/>
          </w:rPr>
          <w:t>ection 3.2</w:t>
        </w:r>
      </w:hyperlink>
      <w:r w:rsidRPr="09F83F24">
        <w:rPr>
          <w:rStyle w:val="eop"/>
        </w:rPr>
        <w:t>)</w:t>
      </w:r>
      <w:r w:rsidRPr="09F83F24">
        <w:rPr>
          <w:rStyle w:val="eop"/>
          <w:rFonts w:cs="Arial"/>
        </w:rPr>
        <w:t xml:space="preserve">. </w:t>
      </w:r>
    </w:p>
    <w:p w14:paraId="48475F7F" w14:textId="52AEDECF" w:rsidR="00091AF9" w:rsidRPr="002A532E" w:rsidRDefault="00D565CC" w:rsidP="00285EEE">
      <w:pPr>
        <w:pStyle w:val="Caption"/>
      </w:pPr>
      <w:bookmarkStart w:id="224" w:name="Obj11"/>
      <w:r>
        <w:t xml:space="preserve">Table 11: Outcomes findings for </w:t>
      </w:r>
      <w:r w:rsidR="00091AF9" w:rsidRPr="002A532E">
        <w:t>Objective 11</w:t>
      </w:r>
      <w:r>
        <w:t xml:space="preserve"> -</w:t>
      </w:r>
      <w:r w:rsidR="00091AF9" w:rsidRPr="002A532E">
        <w:t xml:space="preserve"> To complement and contribute to the achievement or maintenance of Good Ecological Status or Potential under the Water Framework Directive and Good Environmental Status under the Marine Strategy Framework Directive with respect to descriptors for marine litter, non-indigenous species and underwater noise</w:t>
      </w:r>
    </w:p>
    <w:tbl>
      <w:tblPr>
        <w:tblStyle w:val="DefraGreen"/>
        <w:tblW w:w="5006" w:type="pct"/>
        <w:tblLook w:val="04A0" w:firstRow="1" w:lastRow="0" w:firstColumn="1" w:lastColumn="0" w:noHBand="0" w:noVBand="1"/>
      </w:tblPr>
      <w:tblGrid>
        <w:gridCol w:w="7365"/>
        <w:gridCol w:w="2268"/>
      </w:tblGrid>
      <w:tr w:rsidR="00091AF9" w:rsidRPr="001A65F6" w14:paraId="430A5951" w14:textId="77777777" w:rsidTr="00E02BCB">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823" w:type="pct"/>
          </w:tcPr>
          <w:p w14:paraId="75276E90" w14:textId="19A699CC" w:rsidR="00091AF9" w:rsidRPr="001A65F6" w:rsidRDefault="00091AF9" w:rsidP="00E02BCB">
            <w:pPr>
              <w:spacing w:before="60" w:after="60"/>
              <w:rPr>
                <w:rFonts w:eastAsia="Times New Roman" w:cs="Arial"/>
                <w:b/>
                <w:bCs/>
                <w:color w:val="000000"/>
              </w:rPr>
            </w:pPr>
            <w:bookmarkStart w:id="225" w:name="_Hlk67388154"/>
            <w:bookmarkStart w:id="226" w:name="_Hlk67558984"/>
            <w:bookmarkEnd w:id="224"/>
            <w:r w:rsidRPr="007F7A55">
              <w:rPr>
                <w:rFonts w:eastAsia="Times New Roman" w:cs="Arial"/>
                <w:b/>
                <w:bCs/>
                <w:color w:val="FFFFFF" w:themeColor="background1"/>
                <w:sz w:val="28"/>
              </w:rPr>
              <w:t xml:space="preserve">Objective </w:t>
            </w:r>
            <w:r>
              <w:rPr>
                <w:rFonts w:eastAsia="Times New Roman" w:cs="Arial"/>
                <w:b/>
                <w:bCs/>
                <w:color w:val="FFFFFF" w:themeColor="background1"/>
                <w:sz w:val="28"/>
              </w:rPr>
              <w:t>progress</w:t>
            </w:r>
            <w:r w:rsidRPr="007F7A55">
              <w:rPr>
                <w:rFonts w:eastAsia="Times New Roman" w:cs="Arial"/>
                <w:b/>
                <w:bCs/>
                <w:color w:val="FFFFFF" w:themeColor="background1"/>
                <w:sz w:val="28"/>
              </w:rPr>
              <w:t xml:space="preserve">: </w:t>
            </w:r>
            <w:r w:rsidR="001F1C08">
              <w:rPr>
                <w:rFonts w:eastAsia="Times New Roman" w:cs="Arial"/>
                <w:b/>
                <w:bCs/>
                <w:color w:val="FFFFFF" w:themeColor="background1"/>
                <w:sz w:val="28"/>
              </w:rPr>
              <w:t>p</w:t>
            </w:r>
            <w:r>
              <w:rPr>
                <w:rFonts w:eastAsia="Times New Roman" w:cs="Arial"/>
                <w:b/>
                <w:bCs/>
                <w:color w:val="FFFFFF" w:themeColor="background1"/>
                <w:sz w:val="28"/>
              </w:rPr>
              <w:t>ositive</w:t>
            </w:r>
          </w:p>
        </w:tc>
        <w:tc>
          <w:tcPr>
            <w:tcW w:w="1177" w:type="pct"/>
            <w:noWrap/>
          </w:tcPr>
          <w:p w14:paraId="04C98BF1" w14:textId="77777777" w:rsidR="00091AF9" w:rsidRPr="001A65F6" w:rsidRDefault="00091AF9" w:rsidP="00E02BCB">
            <w:pPr>
              <w:spacing w:before="0" w:after="0"/>
              <w:cnfStyle w:val="100000000000" w:firstRow="1" w:lastRow="0" w:firstColumn="0" w:lastColumn="0" w:oddVBand="0" w:evenVBand="0" w:oddHBand="0" w:evenHBand="0" w:firstRowFirstColumn="0" w:firstRowLastColumn="0" w:lastRowFirstColumn="0" w:lastRowLastColumn="0"/>
              <w:rPr>
                <w:rFonts w:eastAsia="Times New Roman" w:cs="Arial"/>
                <w:b/>
                <w:bCs/>
                <w:color w:val="000000"/>
              </w:rPr>
            </w:pPr>
          </w:p>
        </w:tc>
      </w:tr>
      <w:tr w:rsidR="00091AF9" w:rsidRPr="001A65F6" w14:paraId="16A21CF5"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tcPr>
          <w:p w14:paraId="7F115E2D" w14:textId="77777777" w:rsidR="00091AF9" w:rsidRPr="00DE3A21" w:rsidRDefault="00091AF9" w:rsidP="00E02BCB">
            <w:pPr>
              <w:spacing w:before="0" w:after="0"/>
              <w:rPr>
                <w:rFonts w:eastAsia="Times New Roman" w:cs="Arial"/>
                <w:b/>
                <w:bCs/>
                <w:color w:val="000000"/>
              </w:rPr>
            </w:pPr>
            <w:r w:rsidRPr="00DE3A21">
              <w:rPr>
                <w:rFonts w:eastAsia="Times New Roman" w:cs="Arial"/>
                <w:b/>
                <w:bCs/>
                <w:color w:val="000000"/>
              </w:rPr>
              <w:t>Policy code</w:t>
            </w:r>
          </w:p>
        </w:tc>
        <w:tc>
          <w:tcPr>
            <w:tcW w:w="1177" w:type="pct"/>
            <w:shd w:val="clear" w:color="auto" w:fill="CBE9D3"/>
            <w:noWrap/>
          </w:tcPr>
          <w:p w14:paraId="5856D7D0" w14:textId="77777777" w:rsidR="00091AF9" w:rsidRPr="00DE3A21"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rPr>
            </w:pPr>
            <w:r>
              <w:rPr>
                <w:rFonts w:eastAsia="Times New Roman" w:cs="Arial"/>
                <w:b/>
                <w:bCs/>
                <w:color w:val="000000"/>
              </w:rPr>
              <w:t>Outcome findings</w:t>
            </w:r>
          </w:p>
        </w:tc>
      </w:tr>
      <w:tr w:rsidR="00091AF9" w:rsidRPr="001A65F6" w14:paraId="2C3E01C7"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643DA709" w14:textId="77777777" w:rsidR="00091AF9" w:rsidRPr="00A056EE" w:rsidRDefault="00091AF9" w:rsidP="00E02BCB">
            <w:pPr>
              <w:spacing w:before="0" w:after="0"/>
              <w:rPr>
                <w:rFonts w:eastAsia="Times New Roman" w:cs="Arial"/>
                <w:b/>
                <w:color w:val="000000"/>
              </w:rPr>
            </w:pPr>
            <w:r w:rsidRPr="00A056EE">
              <w:rPr>
                <w:rFonts w:eastAsia="Times New Roman" w:cs="Arial"/>
                <w:b/>
                <w:color w:val="000000"/>
              </w:rPr>
              <w:t>Directly contributing policies</w:t>
            </w:r>
          </w:p>
        </w:tc>
      </w:tr>
      <w:tr w:rsidR="00091AF9" w:rsidRPr="001A65F6" w14:paraId="0BE192AB"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61D6EC48" w14:textId="77777777" w:rsidR="00091AF9" w:rsidRPr="001A65F6" w:rsidRDefault="00091AF9" w:rsidP="00E02BCB">
            <w:pPr>
              <w:spacing w:before="0" w:after="0"/>
              <w:rPr>
                <w:rFonts w:eastAsia="Times New Roman" w:cs="Arial"/>
                <w:color w:val="000000"/>
              </w:rPr>
            </w:pPr>
            <w:r>
              <w:rPr>
                <w:rFonts w:eastAsia="Times New Roman" w:cs="Arial"/>
                <w:color w:val="000000"/>
              </w:rPr>
              <w:t>S-UWN-1, S-WQ-1</w:t>
            </w:r>
          </w:p>
        </w:tc>
        <w:tc>
          <w:tcPr>
            <w:tcW w:w="1177" w:type="pct"/>
            <w:shd w:val="clear" w:color="auto" w:fill="FFFFFF" w:themeFill="background1"/>
            <w:noWrap/>
            <w:vAlign w:val="center"/>
            <w:hideMark/>
          </w:tcPr>
          <w:p w14:paraId="0D3380D1"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Positive</w:t>
            </w:r>
          </w:p>
        </w:tc>
      </w:tr>
      <w:tr w:rsidR="00091AF9" w:rsidRPr="001A65F6" w14:paraId="5175C280"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67C45B32" w14:textId="77777777" w:rsidR="00091AF9" w:rsidRPr="001A65F6" w:rsidRDefault="00091AF9" w:rsidP="00E02BCB">
            <w:pPr>
              <w:spacing w:before="0" w:after="0"/>
              <w:rPr>
                <w:rFonts w:eastAsia="Times New Roman" w:cs="Arial"/>
                <w:color w:val="000000"/>
              </w:rPr>
            </w:pPr>
            <w:r>
              <w:rPr>
                <w:rFonts w:eastAsia="Times New Roman" w:cs="Arial"/>
                <w:color w:val="000000"/>
              </w:rPr>
              <w:t>S-WQ-2</w:t>
            </w:r>
          </w:p>
        </w:tc>
        <w:tc>
          <w:tcPr>
            <w:tcW w:w="1177" w:type="pct"/>
            <w:shd w:val="clear" w:color="auto" w:fill="FFFFFF" w:themeFill="background1"/>
            <w:noWrap/>
            <w:vAlign w:val="center"/>
          </w:tcPr>
          <w:p w14:paraId="72EB8C64"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A65F6">
              <w:rPr>
                <w:rFonts w:eastAsia="Times New Roman" w:cs="Arial"/>
                <w:color w:val="000000"/>
              </w:rPr>
              <w:t>N</w:t>
            </w:r>
            <w:r>
              <w:rPr>
                <w:rFonts w:eastAsia="Times New Roman" w:cs="Arial"/>
                <w:color w:val="000000"/>
              </w:rPr>
              <w:t>egative</w:t>
            </w:r>
          </w:p>
        </w:tc>
      </w:tr>
      <w:tr w:rsidR="00091AF9" w:rsidRPr="001A65F6" w14:paraId="7B5F0488"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2DB3912D" w14:textId="77777777" w:rsidR="00091AF9" w:rsidRPr="001A65F6" w:rsidRDefault="00091AF9" w:rsidP="00E02BCB">
            <w:pPr>
              <w:spacing w:before="0" w:after="0"/>
              <w:rPr>
                <w:rFonts w:eastAsia="Times New Roman" w:cs="Arial"/>
                <w:color w:val="000000"/>
              </w:rPr>
            </w:pPr>
            <w:r>
              <w:rPr>
                <w:rFonts w:eastAsia="Times New Roman" w:cs="Arial"/>
                <w:color w:val="000000"/>
              </w:rPr>
              <w:t>S-ML-1, S-ML-2, S-NIS-1, S-UWN-2</w:t>
            </w:r>
          </w:p>
        </w:tc>
        <w:tc>
          <w:tcPr>
            <w:tcW w:w="1177" w:type="pct"/>
            <w:shd w:val="clear" w:color="auto" w:fill="FFFFFF" w:themeFill="background1"/>
            <w:noWrap/>
            <w:vAlign w:val="center"/>
          </w:tcPr>
          <w:p w14:paraId="5CD53BAB"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No data</w:t>
            </w:r>
          </w:p>
        </w:tc>
      </w:tr>
      <w:tr w:rsidR="00091AF9" w:rsidRPr="001A65F6" w14:paraId="68194BEF"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073DC773" w14:textId="77777777" w:rsidR="00091AF9" w:rsidRPr="00A056EE" w:rsidRDefault="00091AF9" w:rsidP="00E02BCB">
            <w:pPr>
              <w:spacing w:before="0" w:after="0"/>
              <w:rPr>
                <w:rFonts w:eastAsia="Times New Roman" w:cs="Arial"/>
                <w:b/>
                <w:color w:val="000000"/>
              </w:rPr>
            </w:pPr>
            <w:r w:rsidRPr="00A056EE">
              <w:rPr>
                <w:rFonts w:eastAsia="Times New Roman" w:cs="Arial"/>
                <w:b/>
                <w:color w:val="000000"/>
              </w:rPr>
              <w:t xml:space="preserve">Indirectly contributing policies </w:t>
            </w:r>
          </w:p>
        </w:tc>
      </w:tr>
      <w:tr w:rsidR="00091AF9" w:rsidRPr="001A65F6" w14:paraId="2E1B16B9"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2D8302C4" w14:textId="77777777" w:rsidR="00091AF9" w:rsidRPr="001A65F6" w:rsidRDefault="00091AF9" w:rsidP="00E02BCB">
            <w:pPr>
              <w:spacing w:before="0" w:after="0"/>
              <w:rPr>
                <w:rFonts w:eastAsia="Times New Roman" w:cs="Arial"/>
                <w:color w:val="000000"/>
              </w:rPr>
            </w:pPr>
            <w:r>
              <w:rPr>
                <w:rFonts w:eastAsia="Times New Roman" w:cs="Arial"/>
                <w:color w:val="000000"/>
              </w:rPr>
              <w:t>S-BIO-2, S-BIO-3, S-CC-2, S-CC-4, S-FISH-4-HER, S-SOC-1</w:t>
            </w:r>
          </w:p>
        </w:tc>
        <w:tc>
          <w:tcPr>
            <w:tcW w:w="1177" w:type="pct"/>
            <w:shd w:val="clear" w:color="auto" w:fill="FFFFFF" w:themeFill="background1"/>
            <w:noWrap/>
            <w:vAlign w:val="center"/>
          </w:tcPr>
          <w:p w14:paraId="160DE51C"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Positive</w:t>
            </w:r>
          </w:p>
        </w:tc>
      </w:tr>
      <w:tr w:rsidR="00091AF9" w:rsidRPr="001A65F6" w14:paraId="5C84AD0B"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60438FD8" w14:textId="77777777" w:rsidR="00091AF9" w:rsidRPr="001A65F6" w:rsidRDefault="00091AF9" w:rsidP="00E02BCB">
            <w:pPr>
              <w:spacing w:before="0" w:after="0"/>
              <w:rPr>
                <w:rFonts w:eastAsia="Times New Roman" w:cs="Arial"/>
                <w:color w:val="000000"/>
              </w:rPr>
            </w:pPr>
            <w:r>
              <w:rPr>
                <w:rFonts w:eastAsia="Times New Roman" w:cs="Arial"/>
                <w:color w:val="000000"/>
              </w:rPr>
              <w:t>S-BIO-1, S-BIO-4</w:t>
            </w:r>
          </w:p>
        </w:tc>
        <w:tc>
          <w:tcPr>
            <w:tcW w:w="1177" w:type="pct"/>
            <w:shd w:val="clear" w:color="auto" w:fill="FFFFFF" w:themeFill="background1"/>
            <w:noWrap/>
            <w:vAlign w:val="center"/>
          </w:tcPr>
          <w:p w14:paraId="1AF24D1A"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A65F6">
              <w:rPr>
                <w:rFonts w:eastAsia="Times New Roman" w:cs="Arial"/>
                <w:color w:val="000000"/>
              </w:rPr>
              <w:t>Inconclusive</w:t>
            </w:r>
          </w:p>
        </w:tc>
      </w:tr>
    </w:tbl>
    <w:bookmarkEnd w:id="225"/>
    <w:p w14:paraId="68EF6D97" w14:textId="70A88E0B" w:rsidR="00091AF9" w:rsidRPr="00043B05" w:rsidRDefault="00091AF9" w:rsidP="00D43BAE">
      <w:pPr>
        <w:pStyle w:val="ListParagraph"/>
        <w:numPr>
          <w:ilvl w:val="0"/>
          <w:numId w:val="8"/>
        </w:numPr>
        <w:ind w:left="561" w:hanging="567"/>
        <w:contextualSpacing w:val="0"/>
        <w:rPr>
          <w:rStyle w:val="eop"/>
          <w:rFonts w:cs="Arial"/>
        </w:rPr>
      </w:pPr>
      <w:r w:rsidRPr="00043B05">
        <w:rPr>
          <w:rStyle w:val="eop"/>
        </w:rPr>
        <w:t xml:space="preserve">All directly contributing policies support proposals that progress towards </w:t>
      </w:r>
      <w:r w:rsidRPr="00043B05">
        <w:rPr>
          <w:lang w:eastAsia="en-GB"/>
        </w:rPr>
        <w:t xml:space="preserve">achievement or maintenance of GES and/or </w:t>
      </w:r>
      <w:r w:rsidRPr="00043B05">
        <w:rPr>
          <w:rStyle w:val="eop"/>
        </w:rPr>
        <w:t xml:space="preserve">require activities to reduce or avoid negative impact on the marine environment. </w:t>
      </w:r>
      <w:r w:rsidR="001F1C08">
        <w:rPr>
          <w:rStyle w:val="eop"/>
        </w:rPr>
        <w:br/>
      </w:r>
      <w:r w:rsidR="001F1C08">
        <w:rPr>
          <w:rStyle w:val="eop"/>
        </w:rPr>
        <w:br/>
      </w:r>
      <w:r w:rsidRPr="00043B05">
        <w:rPr>
          <w:rStyle w:val="eop"/>
        </w:rPr>
        <w:t>The effects of these policies were assessed using the following data:</w:t>
      </w:r>
    </w:p>
    <w:p w14:paraId="444C1797" w14:textId="77777777" w:rsidR="00091AF9" w:rsidRPr="00043B05" w:rsidRDefault="00091AF9" w:rsidP="00D43BAE">
      <w:pPr>
        <w:pStyle w:val="ListParagraph"/>
        <w:numPr>
          <w:ilvl w:val="0"/>
          <w:numId w:val="11"/>
        </w:numPr>
        <w:ind w:left="1276" w:hanging="425"/>
        <w:rPr>
          <w:rStyle w:val="eop"/>
          <w:rFonts w:cs="Arial"/>
        </w:rPr>
      </w:pPr>
      <w:r w:rsidRPr="00043B05">
        <w:rPr>
          <w:rStyle w:val="eop"/>
          <w:rFonts w:cs="Arial"/>
          <w:bCs/>
          <w:szCs w:val="24"/>
        </w:rPr>
        <w:t>changes in the extent of coastal and marine priority habitats (S-WQ-1)</w:t>
      </w:r>
    </w:p>
    <w:p w14:paraId="3631DE9D" w14:textId="77777777" w:rsidR="00091AF9" w:rsidRPr="00043B05" w:rsidRDefault="00091AF9" w:rsidP="00D43BAE">
      <w:pPr>
        <w:pStyle w:val="ListParagraph"/>
        <w:numPr>
          <w:ilvl w:val="0"/>
          <w:numId w:val="11"/>
        </w:numPr>
        <w:ind w:left="1276" w:hanging="425"/>
        <w:rPr>
          <w:rStyle w:val="eop"/>
          <w:rFonts w:cs="Arial"/>
        </w:rPr>
      </w:pPr>
      <w:r w:rsidRPr="00043B05">
        <w:rPr>
          <w:rStyle w:val="eop"/>
          <w:szCs w:val="24"/>
        </w:rPr>
        <w:t xml:space="preserve">stakeholder survey </w:t>
      </w:r>
      <w:r w:rsidRPr="00D43BAE">
        <w:t>responses</w:t>
      </w:r>
      <w:r w:rsidRPr="00043B05">
        <w:rPr>
          <w:rStyle w:val="eop"/>
          <w:szCs w:val="24"/>
        </w:rPr>
        <w:t xml:space="preserve"> (S-WQ-2)</w:t>
      </w:r>
    </w:p>
    <w:p w14:paraId="3235EFF3" w14:textId="77777777" w:rsidR="00091AF9" w:rsidRPr="00043B05" w:rsidRDefault="00091AF9" w:rsidP="00D43BAE">
      <w:pPr>
        <w:pStyle w:val="ListParagraph"/>
        <w:numPr>
          <w:ilvl w:val="0"/>
          <w:numId w:val="11"/>
        </w:numPr>
        <w:ind w:left="1276" w:hanging="425"/>
        <w:rPr>
          <w:rStyle w:val="eop"/>
          <w:rFonts w:cs="Arial"/>
        </w:rPr>
      </w:pPr>
      <w:r w:rsidRPr="00043B05">
        <w:rPr>
          <w:rStyle w:val="eop"/>
        </w:rPr>
        <w:t xml:space="preserve">the number of </w:t>
      </w:r>
      <w:r w:rsidRPr="00D43BAE">
        <w:rPr>
          <w:szCs w:val="24"/>
        </w:rPr>
        <w:t>submissions</w:t>
      </w:r>
      <w:r w:rsidRPr="00043B05">
        <w:rPr>
          <w:rStyle w:val="eop"/>
        </w:rPr>
        <w:t xml:space="preserve"> (required and voluntary) to the </w:t>
      </w:r>
      <w:bookmarkStart w:id="227" w:name="_Hlk71799928"/>
      <w:r w:rsidR="00F33BA1">
        <w:fldChar w:fldCharType="begin"/>
      </w:r>
      <w:r w:rsidR="00F33BA1">
        <w:instrText xml:space="preserve"> HYPERLINK "https://mnr.jncc.gov.uk/" </w:instrText>
      </w:r>
      <w:r w:rsidR="00F33BA1">
        <w:fldChar w:fldCharType="separate"/>
      </w:r>
      <w:r w:rsidRPr="00043B05">
        <w:rPr>
          <w:rStyle w:val="Hyperlink"/>
          <w:rFonts w:cs="Arial"/>
        </w:rPr>
        <w:t>Marine Noise Registry service</w:t>
      </w:r>
      <w:r w:rsidR="00F33BA1">
        <w:rPr>
          <w:rStyle w:val="Hyperlink"/>
          <w:rFonts w:cs="Arial"/>
        </w:rPr>
        <w:fldChar w:fldCharType="end"/>
      </w:r>
      <w:bookmarkEnd w:id="227"/>
      <w:r w:rsidRPr="00043B05">
        <w:rPr>
          <w:rStyle w:val="eop"/>
          <w:rFonts w:cs="Arial"/>
        </w:rPr>
        <w:t xml:space="preserve"> (MNR) </w:t>
      </w:r>
      <w:r w:rsidRPr="00043B05">
        <w:rPr>
          <w:rStyle w:val="eop"/>
          <w:rFonts w:cs="Arial"/>
          <w:bCs/>
        </w:rPr>
        <w:t>linked to marine activities licensed by the MMO (</w:t>
      </w:r>
      <w:r w:rsidRPr="00043B05">
        <w:rPr>
          <w:rStyle w:val="eop"/>
        </w:rPr>
        <w:t>S-UWN-1</w:t>
      </w:r>
      <w:r w:rsidRPr="00043B05">
        <w:rPr>
          <w:rStyle w:val="eop"/>
          <w:rFonts w:cs="Arial"/>
          <w:bCs/>
        </w:rPr>
        <w:t>)</w:t>
      </w:r>
    </w:p>
    <w:p w14:paraId="5648C034" w14:textId="5316FB13" w:rsidR="00091AF9" w:rsidRPr="00B83995" w:rsidRDefault="00091AF9" w:rsidP="00B83995">
      <w:pPr>
        <w:pStyle w:val="ListParagraph"/>
        <w:numPr>
          <w:ilvl w:val="0"/>
          <w:numId w:val="8"/>
        </w:numPr>
        <w:ind w:left="561" w:hanging="567"/>
        <w:contextualSpacing w:val="0"/>
        <w:rPr>
          <w:rStyle w:val="eop"/>
          <w:rFonts w:cs="Arial"/>
          <w:color w:val="FF0000"/>
        </w:rPr>
      </w:pPr>
      <w:r w:rsidRPr="00043B05">
        <w:rPr>
          <w:rStyle w:val="eop"/>
        </w:rPr>
        <w:t xml:space="preserve">Outcome monitoring findings showed </w:t>
      </w:r>
      <w:r w:rsidR="00B83995">
        <w:rPr>
          <w:rStyle w:val="eop"/>
        </w:rPr>
        <w:t xml:space="preserve">some </w:t>
      </w:r>
      <w:r w:rsidRPr="00043B05">
        <w:rPr>
          <w:rStyle w:val="eop"/>
        </w:rPr>
        <w:t xml:space="preserve">positive effects for </w:t>
      </w:r>
      <w:r w:rsidRPr="09F83F24">
        <w:rPr>
          <w:rFonts w:eastAsia="Times New Roman" w:cs="Arial"/>
          <w:color w:val="000000" w:themeColor="text1"/>
        </w:rPr>
        <w:t xml:space="preserve">S-UWN-1 and S-WQ-1. </w:t>
      </w:r>
      <w:r w:rsidRPr="00043B05">
        <w:rPr>
          <w:rStyle w:val="eop"/>
        </w:rPr>
        <w:t xml:space="preserve">Overall, data showed the extent of all six </w:t>
      </w:r>
      <w:r w:rsidRPr="00B83995">
        <w:rPr>
          <w:rStyle w:val="eop"/>
          <w:rFonts w:cs="Arial"/>
        </w:rPr>
        <w:t xml:space="preserve">coastal and marine priority habitats linked to S-WQ-1 to have </w:t>
      </w:r>
      <w:r w:rsidRPr="00D43BAE">
        <w:t>increased</w:t>
      </w:r>
      <w:r w:rsidRPr="00B83995">
        <w:rPr>
          <w:rStyle w:val="eop"/>
          <w:rFonts w:cs="Arial"/>
        </w:rPr>
        <w:t xml:space="preserve"> since </w:t>
      </w:r>
      <w:r w:rsidR="00DC2E44">
        <w:rPr>
          <w:rStyle w:val="eop"/>
          <w:rFonts w:cs="Arial"/>
        </w:rPr>
        <w:t>Plan</w:t>
      </w:r>
      <w:r w:rsidRPr="00B83995">
        <w:rPr>
          <w:rStyle w:val="eop"/>
          <w:rFonts w:cs="Arial"/>
        </w:rPr>
        <w:t xml:space="preserve"> adoption (4 square kilometres total increase). </w:t>
      </w:r>
      <w:r w:rsidR="001F1C08">
        <w:rPr>
          <w:rStyle w:val="eop"/>
          <w:rFonts w:cs="Arial"/>
        </w:rPr>
        <w:br/>
      </w:r>
      <w:r w:rsidR="001F1C08">
        <w:rPr>
          <w:rStyle w:val="eop"/>
          <w:rFonts w:cs="Arial"/>
        </w:rPr>
        <w:br/>
      </w:r>
      <w:r w:rsidRPr="00B83995">
        <w:rPr>
          <w:rStyle w:val="eop"/>
          <w:rFonts w:cs="Arial"/>
        </w:rPr>
        <w:t xml:space="preserve">On average, the spatial extent of the six priority habitats relevant to the policy increased by 2.5% </w:t>
      </w:r>
      <w:r w:rsidRPr="00043B05">
        <w:rPr>
          <w:rStyle w:val="eop"/>
        </w:rPr>
        <w:t xml:space="preserve">during the first reporting window of the </w:t>
      </w:r>
      <w:r w:rsidR="00DC2E44">
        <w:rPr>
          <w:rStyle w:val="eop"/>
        </w:rPr>
        <w:t>Plan</w:t>
      </w:r>
      <w:r w:rsidRPr="00043B05">
        <w:rPr>
          <w:rStyle w:val="eop"/>
        </w:rPr>
        <w:t>.</w:t>
      </w:r>
    </w:p>
    <w:p w14:paraId="2DB22C87" w14:textId="57F54B36" w:rsidR="001F1C08" w:rsidRDefault="00091AF9" w:rsidP="00D43BAE">
      <w:pPr>
        <w:pStyle w:val="ListParagraph"/>
        <w:numPr>
          <w:ilvl w:val="0"/>
          <w:numId w:val="8"/>
        </w:numPr>
        <w:ind w:left="561" w:hanging="567"/>
        <w:contextualSpacing w:val="0"/>
        <w:rPr>
          <w:rStyle w:val="eop"/>
          <w:rFonts w:cs="Arial"/>
        </w:rPr>
      </w:pPr>
      <w:r w:rsidRPr="00043B05">
        <w:rPr>
          <w:rStyle w:val="eop"/>
          <w:rFonts w:cs="Arial"/>
        </w:rPr>
        <w:lastRenderedPageBreak/>
        <w:t xml:space="preserve">Survey questions linked to S-WQ-2 showed an increase in the proportion of respondents reporting perceived </w:t>
      </w:r>
      <w:r w:rsidR="006001EE" w:rsidRPr="00043B05">
        <w:rPr>
          <w:rStyle w:val="eop"/>
          <w:rFonts w:cs="Arial"/>
        </w:rPr>
        <w:t>declines</w:t>
      </w:r>
      <w:r w:rsidR="00CA18A9">
        <w:rPr>
          <w:rStyle w:val="eop"/>
          <w:rFonts w:cs="Arial"/>
        </w:rPr>
        <w:t xml:space="preserve"> in</w:t>
      </w:r>
      <w:r w:rsidR="006001EE" w:rsidRPr="00043B05">
        <w:rPr>
          <w:rStyle w:val="eop"/>
          <w:rFonts w:cs="Arial"/>
        </w:rPr>
        <w:t xml:space="preserve"> water </w:t>
      </w:r>
      <w:r w:rsidRPr="00043B05">
        <w:rPr>
          <w:rStyle w:val="eop"/>
          <w:rFonts w:cs="Arial"/>
        </w:rPr>
        <w:t>quality</w:t>
      </w:r>
      <w:r w:rsidRPr="00003DD3">
        <w:rPr>
          <w:rStyle w:val="eop"/>
          <w:rFonts w:cs="Arial"/>
        </w:rPr>
        <w:t xml:space="preserve"> since </w:t>
      </w:r>
      <w:r w:rsidR="00DC2E44">
        <w:rPr>
          <w:rStyle w:val="eop"/>
          <w:rFonts w:cs="Arial"/>
        </w:rPr>
        <w:t>Plan</w:t>
      </w:r>
      <w:r w:rsidRPr="00003DD3">
        <w:rPr>
          <w:rStyle w:val="eop"/>
          <w:rFonts w:cs="Arial"/>
        </w:rPr>
        <w:t xml:space="preserve"> adoption. </w:t>
      </w:r>
    </w:p>
    <w:p w14:paraId="40027FEE" w14:textId="2E9D48ED" w:rsidR="00091AF9" w:rsidRPr="00043B05" w:rsidRDefault="00091AF9" w:rsidP="007D6517">
      <w:pPr>
        <w:pStyle w:val="ListParagraph"/>
        <w:ind w:left="561"/>
        <w:contextualSpacing w:val="0"/>
        <w:rPr>
          <w:rStyle w:val="eop"/>
          <w:rFonts w:cs="Arial"/>
        </w:rPr>
      </w:pPr>
      <w:r w:rsidRPr="00003DD3">
        <w:rPr>
          <w:rStyle w:val="eop"/>
          <w:rFonts w:cs="Arial"/>
        </w:rPr>
        <w:t xml:space="preserve">Concerns </w:t>
      </w:r>
      <w:r w:rsidRPr="00043B05">
        <w:rPr>
          <w:rStyle w:val="eop"/>
          <w:rFonts w:cs="Arial"/>
        </w:rPr>
        <w:t xml:space="preserve">regarding water quality were also raised by stakeholders during follow-up interviews, although </w:t>
      </w:r>
      <w:r w:rsidR="009D7CD1">
        <w:rPr>
          <w:rStyle w:val="eop"/>
          <w:rFonts w:cs="Arial"/>
        </w:rPr>
        <w:t>these were</w:t>
      </w:r>
      <w:r w:rsidRPr="00043B05">
        <w:rPr>
          <w:rStyle w:val="eop"/>
          <w:rFonts w:cs="Arial"/>
        </w:rPr>
        <w:t xml:space="preserve"> largely related to other influences outside the control of the </w:t>
      </w:r>
      <w:r w:rsidR="00DC2E44">
        <w:rPr>
          <w:rStyle w:val="eop"/>
          <w:rFonts w:cs="Arial"/>
        </w:rPr>
        <w:t>Plan</w:t>
      </w:r>
      <w:r w:rsidRPr="00043B05">
        <w:rPr>
          <w:rStyle w:val="eop"/>
          <w:rFonts w:cs="Arial"/>
        </w:rPr>
        <w:t xml:space="preserve">, such as nitrogen leaching, rather than the influence of the </w:t>
      </w:r>
      <w:r w:rsidR="00DC2E44">
        <w:rPr>
          <w:rStyle w:val="eop"/>
          <w:rFonts w:cs="Arial"/>
        </w:rPr>
        <w:t>Plan</w:t>
      </w:r>
      <w:r w:rsidRPr="00043B05">
        <w:rPr>
          <w:rStyle w:val="eop"/>
          <w:rFonts w:cs="Arial"/>
        </w:rPr>
        <w:t xml:space="preserve"> on marine developments. </w:t>
      </w:r>
    </w:p>
    <w:p w14:paraId="1D35B983" w14:textId="17D288C6" w:rsidR="00B83995" w:rsidRDefault="00B83995" w:rsidP="00D43BAE">
      <w:pPr>
        <w:pStyle w:val="ListParagraph"/>
        <w:numPr>
          <w:ilvl w:val="0"/>
          <w:numId w:val="8"/>
        </w:numPr>
        <w:ind w:left="561" w:hanging="567"/>
        <w:contextualSpacing w:val="0"/>
        <w:rPr>
          <w:rStyle w:val="eop"/>
          <w:rFonts w:cs="Arial"/>
        </w:rPr>
      </w:pPr>
      <w:r>
        <w:rPr>
          <w:rFonts w:cs="Arial"/>
        </w:rPr>
        <w:t>For S-UWN-1, o</w:t>
      </w:r>
      <w:r w:rsidRPr="00043B05">
        <w:rPr>
          <w:rFonts w:cs="Arial"/>
        </w:rPr>
        <w:t xml:space="preserve">f the nine </w:t>
      </w:r>
      <w:r>
        <w:rPr>
          <w:rStyle w:val="eop"/>
          <w:rFonts w:cs="Arial"/>
        </w:rPr>
        <w:t>granted marine licence applications</w:t>
      </w:r>
      <w:r w:rsidRPr="00043B05">
        <w:rPr>
          <w:rStyle w:val="eop"/>
          <w:rFonts w:cs="Arial"/>
        </w:rPr>
        <w:t xml:space="preserve"> relevant to the </w:t>
      </w:r>
      <w:r w:rsidR="00B07496">
        <w:rPr>
          <w:rStyle w:val="eop"/>
          <w:rFonts w:cs="Arial"/>
        </w:rPr>
        <w:t xml:space="preserve">South Marine </w:t>
      </w:r>
      <w:r w:rsidR="00DC2E44">
        <w:rPr>
          <w:rStyle w:val="eop"/>
          <w:rFonts w:cs="Arial"/>
        </w:rPr>
        <w:t>Plan</w:t>
      </w:r>
      <w:r w:rsidRPr="00043B05">
        <w:rPr>
          <w:rStyle w:val="eop"/>
          <w:rFonts w:cs="Arial"/>
        </w:rPr>
        <w:t xml:space="preserve"> areas identified within the MNR, 44% were recorded as having submit</w:t>
      </w:r>
      <w:r w:rsidR="00F97448">
        <w:rPr>
          <w:rStyle w:val="eop"/>
          <w:rFonts w:cs="Arial"/>
        </w:rPr>
        <w:t xml:space="preserve">ted </w:t>
      </w:r>
      <w:r w:rsidR="008D2BF9">
        <w:rPr>
          <w:rStyle w:val="eop"/>
          <w:rFonts w:cs="Arial"/>
        </w:rPr>
        <w:t>p</w:t>
      </w:r>
      <w:r w:rsidR="00DC2E44">
        <w:rPr>
          <w:rStyle w:val="eop"/>
          <w:rFonts w:cs="Arial"/>
        </w:rPr>
        <w:t>lan</w:t>
      </w:r>
      <w:r w:rsidR="00F97448">
        <w:rPr>
          <w:rStyle w:val="eop"/>
          <w:rFonts w:cs="Arial"/>
        </w:rPr>
        <w:t>ned noise data, and</w:t>
      </w:r>
      <w:r w:rsidRPr="00043B05">
        <w:rPr>
          <w:rStyle w:val="eop"/>
          <w:rFonts w:cs="Arial"/>
        </w:rPr>
        <w:t xml:space="preserve"> 33% were recorded as having submitted actual noise data to the MNR. </w:t>
      </w:r>
    </w:p>
    <w:p w14:paraId="3AF29CA9" w14:textId="3DE876FA" w:rsidR="00091AF9" w:rsidRPr="00043B05" w:rsidRDefault="00091AF9" w:rsidP="00D43BAE">
      <w:pPr>
        <w:pStyle w:val="ListParagraph"/>
        <w:numPr>
          <w:ilvl w:val="0"/>
          <w:numId w:val="8"/>
        </w:numPr>
        <w:ind w:left="561" w:hanging="567"/>
        <w:contextualSpacing w:val="0"/>
        <w:rPr>
          <w:rStyle w:val="normaltextrun"/>
          <w:rFonts w:cs="Arial"/>
        </w:rPr>
      </w:pPr>
      <w:r w:rsidRPr="00043B05">
        <w:rPr>
          <w:rStyle w:val="eop"/>
          <w:rFonts w:cs="Arial"/>
        </w:rPr>
        <w:t xml:space="preserve">Data </w:t>
      </w:r>
      <w:r w:rsidRPr="00D43BAE">
        <w:t>sources</w:t>
      </w:r>
      <w:r w:rsidRPr="00043B05">
        <w:rPr>
          <w:rStyle w:val="eop"/>
          <w:rFonts w:cs="Arial"/>
        </w:rPr>
        <w:t xml:space="preserve"> and monitoring methodologies made it difficult to assess change</w:t>
      </w:r>
      <w:r w:rsidRPr="00043B05">
        <w:rPr>
          <w:rStyle w:val="eop"/>
        </w:rPr>
        <w:t xml:space="preserve"> in the number of required and voluntary entries over time. The findings presented, therefore, represent marine </w:t>
      </w:r>
      <w:r w:rsidRPr="00D43BAE">
        <w:t>activities</w:t>
      </w:r>
      <w:r w:rsidRPr="00043B05">
        <w:rPr>
          <w:rStyle w:val="eop"/>
        </w:rPr>
        <w:t xml:space="preserve"> licensed by the MMO in periods before and after </w:t>
      </w:r>
      <w:r w:rsidR="00DC2E44">
        <w:rPr>
          <w:rStyle w:val="eop"/>
        </w:rPr>
        <w:t>Plan</w:t>
      </w:r>
      <w:r w:rsidRPr="00043B05">
        <w:rPr>
          <w:rStyle w:val="eop"/>
        </w:rPr>
        <w:t xml:space="preserve"> adoption. </w:t>
      </w:r>
      <w:r w:rsidR="001F1C08">
        <w:rPr>
          <w:rStyle w:val="eop"/>
        </w:rPr>
        <w:br/>
      </w:r>
      <w:r w:rsidR="001F1C08">
        <w:rPr>
          <w:rStyle w:val="eop"/>
        </w:rPr>
        <w:br/>
      </w:r>
      <w:r w:rsidRPr="00043B05">
        <w:rPr>
          <w:rStyle w:val="eop"/>
          <w:rFonts w:cs="Arial"/>
        </w:rPr>
        <w:t xml:space="preserve">Despite these limitations, the case study below suggests that S-UWN-1 has supported progress towards Objective 11. </w:t>
      </w:r>
      <w:r w:rsidR="001F1C08">
        <w:rPr>
          <w:rStyle w:val="eop"/>
          <w:rFonts w:cs="Arial"/>
        </w:rPr>
        <w:br/>
      </w:r>
      <w:r w:rsidR="001F1C08">
        <w:rPr>
          <w:rStyle w:val="eop"/>
          <w:rFonts w:cs="Arial"/>
        </w:rPr>
        <w:br/>
      </w:r>
      <w:r w:rsidRPr="00043B05">
        <w:rPr>
          <w:rStyle w:val="eop"/>
        </w:rPr>
        <w:t xml:space="preserve">The assessment of policy effects for S-UWN-1 is likely to improve with increasing time from </w:t>
      </w:r>
      <w:r w:rsidR="00DC2E44">
        <w:rPr>
          <w:rStyle w:val="eop"/>
        </w:rPr>
        <w:t>Plan</w:t>
      </w:r>
      <w:r w:rsidRPr="00043B05">
        <w:rPr>
          <w:rStyle w:val="eop"/>
        </w:rPr>
        <w:t xml:space="preserve"> adoption and as the number of entries on the MNR increases. </w:t>
      </w:r>
      <w:r w:rsidRPr="00043B05">
        <w:rPr>
          <w:rStyle w:val="normaltextrun"/>
          <w:rFonts w:cs="Arial"/>
        </w:rPr>
        <w:t xml:space="preserve">Engagement with key stakeholders may also help to improve the </w:t>
      </w:r>
      <w:r w:rsidRPr="00043B05">
        <w:rPr>
          <w:rStyle w:val="eop"/>
        </w:rPr>
        <w:t xml:space="preserve">indicator </w:t>
      </w:r>
      <w:r w:rsidRPr="00043B05">
        <w:rPr>
          <w:rStyle w:val="normaltextrun"/>
          <w:rFonts w:cs="Arial"/>
        </w:rPr>
        <w:t>methodology.</w:t>
      </w:r>
    </w:p>
    <w:p w14:paraId="6C4204DB" w14:textId="2241DDC0" w:rsidR="00091AF9" w:rsidRPr="00043B05" w:rsidRDefault="001F1C08" w:rsidP="00285EEE">
      <w:pPr>
        <w:pStyle w:val="Heading4"/>
        <w:rPr>
          <w:color w:val="000000"/>
          <w:szCs w:val="24"/>
        </w:rPr>
      </w:pPr>
      <w:r w:rsidRPr="00E53D8B">
        <w:t>Case study</w:t>
      </w:r>
      <w:r w:rsidRPr="00043B05">
        <w:t>: underwater noise</w:t>
      </w:r>
    </w:p>
    <w:p w14:paraId="7F3056BB" w14:textId="4B2896CB" w:rsidR="001F1C08" w:rsidRDefault="00091AF9" w:rsidP="00D273B7">
      <w:pPr>
        <w:pBdr>
          <w:top w:val="single" w:sz="4" w:space="1" w:color="auto"/>
          <w:left w:val="single" w:sz="4" w:space="4" w:color="auto"/>
          <w:bottom w:val="single" w:sz="4" w:space="1" w:color="auto"/>
          <w:right w:val="single" w:sz="4" w:space="4" w:color="auto"/>
        </w:pBdr>
        <w:shd w:val="clear" w:color="auto" w:fill="F2F2F2" w:themeFill="background1" w:themeFillShade="F2"/>
        <w:rPr>
          <w:szCs w:val="24"/>
        </w:rPr>
      </w:pPr>
      <w:r w:rsidRPr="00043B05">
        <w:rPr>
          <w:szCs w:val="24"/>
        </w:rPr>
        <w:t xml:space="preserve">The management of man-made impulsive underwater noise plays an important role in achieving and maintaining GES of the UK marine area, as detailed in the </w:t>
      </w:r>
      <w:hyperlink r:id="rId39" w:history="1">
        <w:r w:rsidRPr="00043B05">
          <w:rPr>
            <w:rStyle w:val="Hyperlink"/>
            <w:szCs w:val="24"/>
          </w:rPr>
          <w:t>Marine Strategy Regulations 2010</w:t>
        </w:r>
      </w:hyperlink>
      <w:r w:rsidRPr="00043B05">
        <w:rPr>
          <w:szCs w:val="24"/>
        </w:rPr>
        <w:t xml:space="preserve">. </w:t>
      </w:r>
    </w:p>
    <w:p w14:paraId="64C158B2" w14:textId="78534176" w:rsidR="000302B9" w:rsidRPr="00043B05" w:rsidRDefault="00091AF9" w:rsidP="00D273B7">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color w:val="000000" w:themeColor="text1"/>
          <w:szCs w:val="24"/>
        </w:rPr>
      </w:pPr>
      <w:r w:rsidRPr="00043B05">
        <w:rPr>
          <w:rFonts w:cs="Arial"/>
          <w:color w:val="000000" w:themeColor="text1"/>
          <w:szCs w:val="24"/>
        </w:rPr>
        <w:t xml:space="preserve">S-UWN-1 supports the achievement of </w:t>
      </w:r>
      <w:r w:rsidRPr="00003DD3">
        <w:rPr>
          <w:szCs w:val="24"/>
        </w:rPr>
        <w:t xml:space="preserve">GES by </w:t>
      </w:r>
      <w:r w:rsidRPr="00043B05">
        <w:rPr>
          <w:szCs w:val="24"/>
        </w:rPr>
        <w:t xml:space="preserve">requiring </w:t>
      </w:r>
      <w:r w:rsidRPr="00043B05">
        <w:rPr>
          <w:rFonts w:cs="Arial"/>
          <w:color w:val="000000" w:themeColor="text1"/>
          <w:szCs w:val="24"/>
        </w:rPr>
        <w:t xml:space="preserve">all proposals linked to impulsive underwater noise generation to contribute data to the MNR and for decision-makers to consider the targets agreed under descriptor 11 of the </w:t>
      </w:r>
      <w:r w:rsidRPr="00D43332">
        <w:t>Marine Strategy Part One: UK updated assessment and Good Environmental Status</w:t>
      </w:r>
      <w:r w:rsidRPr="00043B05">
        <w:rPr>
          <w:rFonts w:cs="Arial"/>
          <w:color w:val="000000" w:themeColor="text1"/>
          <w:szCs w:val="24"/>
        </w:rPr>
        <w:t xml:space="preserve">. </w:t>
      </w:r>
    </w:p>
    <w:p w14:paraId="7CA7694F" w14:textId="77AD1DD6" w:rsidR="00091AF9" w:rsidRPr="00043B05" w:rsidRDefault="00091AF9" w:rsidP="00D273B7">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color w:val="000000" w:themeColor="text1"/>
          <w:szCs w:val="24"/>
        </w:rPr>
      </w:pPr>
      <w:r w:rsidRPr="00043B05">
        <w:rPr>
          <w:rFonts w:cs="Arial"/>
          <w:color w:val="000000" w:themeColor="text1"/>
          <w:szCs w:val="24"/>
        </w:rPr>
        <w:t xml:space="preserve">To fulfil its requirements </w:t>
      </w:r>
      <w:r w:rsidRPr="00D273B7">
        <w:rPr>
          <w:szCs w:val="24"/>
        </w:rPr>
        <w:t>under</w:t>
      </w:r>
      <w:r w:rsidRPr="00043B05">
        <w:rPr>
          <w:rFonts w:cs="Arial"/>
          <w:color w:val="000000" w:themeColor="text1"/>
          <w:szCs w:val="24"/>
        </w:rPr>
        <w:t xml:space="preserve"> the </w:t>
      </w:r>
      <w:r w:rsidRPr="00043B05">
        <w:rPr>
          <w:szCs w:val="24"/>
        </w:rPr>
        <w:t xml:space="preserve">UK Marine Strategy, and ensure that relevant proposals comply with </w:t>
      </w:r>
      <w:r w:rsidRPr="00043B05">
        <w:rPr>
          <w:rFonts w:cs="Arial"/>
          <w:color w:val="000000" w:themeColor="text1"/>
          <w:szCs w:val="24"/>
        </w:rPr>
        <w:t xml:space="preserve">S-UWN-1, the </w:t>
      </w:r>
      <w:r w:rsidRPr="00662539">
        <w:rPr>
          <w:rFonts w:cs="Arial"/>
          <w:color w:val="000000" w:themeColor="text1"/>
          <w:szCs w:val="24"/>
        </w:rPr>
        <w:t>marine licensing function</w:t>
      </w:r>
      <w:r w:rsidRPr="00043B05">
        <w:rPr>
          <w:rFonts w:cs="Arial"/>
          <w:color w:val="000000" w:themeColor="text1"/>
          <w:szCs w:val="24"/>
        </w:rPr>
        <w:t xml:space="preserve"> ensures that relevant proposals submit data to the MNR by either:</w:t>
      </w:r>
    </w:p>
    <w:p w14:paraId="3D800651" w14:textId="77777777" w:rsidR="00091AF9" w:rsidRPr="00043B05" w:rsidRDefault="00091AF9" w:rsidP="00D273B7">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ind w:left="357" w:hanging="357"/>
        <w:rPr>
          <w:rFonts w:cs="Arial"/>
          <w:color w:val="000000" w:themeColor="text1"/>
          <w:szCs w:val="24"/>
        </w:rPr>
      </w:pPr>
      <w:r w:rsidRPr="00043B05">
        <w:rPr>
          <w:rFonts w:cs="Arial"/>
          <w:color w:val="000000" w:themeColor="text1"/>
          <w:szCs w:val="24"/>
        </w:rPr>
        <w:t xml:space="preserve">notifying the </w:t>
      </w:r>
      <w:r w:rsidRPr="00D273B7">
        <w:rPr>
          <w:rStyle w:val="Hyperlink"/>
          <w:color w:val="auto"/>
          <w:u w:val="none"/>
        </w:rPr>
        <w:t>MNR</w:t>
      </w:r>
      <w:r w:rsidRPr="00043B05">
        <w:rPr>
          <w:rFonts w:cs="Arial"/>
          <w:color w:val="000000" w:themeColor="text1"/>
          <w:szCs w:val="24"/>
        </w:rPr>
        <w:t xml:space="preserve"> directly during the consultation process </w:t>
      </w:r>
    </w:p>
    <w:p w14:paraId="045071DF" w14:textId="5DE5B6B6" w:rsidR="001F1C08" w:rsidRPr="00285EEE" w:rsidRDefault="00091AF9">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ind w:left="357" w:hanging="357"/>
        <w:rPr>
          <w:rFonts w:cs="Arial"/>
          <w:color w:val="000000" w:themeColor="text1"/>
          <w:szCs w:val="24"/>
        </w:rPr>
      </w:pPr>
      <w:r w:rsidRPr="00043B05">
        <w:rPr>
          <w:rFonts w:cs="Arial"/>
          <w:color w:val="000000" w:themeColor="text1"/>
          <w:szCs w:val="24"/>
        </w:rPr>
        <w:t xml:space="preserve">including </w:t>
      </w:r>
      <w:r w:rsidRPr="00D273B7">
        <w:rPr>
          <w:rStyle w:val="Hyperlink"/>
          <w:color w:val="auto"/>
          <w:u w:val="none"/>
        </w:rPr>
        <w:t>conditions</w:t>
      </w:r>
      <w:r w:rsidRPr="00043B05">
        <w:rPr>
          <w:rFonts w:cs="Arial"/>
          <w:color w:val="000000" w:themeColor="text1"/>
          <w:szCs w:val="24"/>
        </w:rPr>
        <w:t xml:space="preserve"> to marine licences, requiring </w:t>
      </w:r>
      <w:r w:rsidR="00856493">
        <w:rPr>
          <w:rFonts w:cs="Arial"/>
          <w:color w:val="000000" w:themeColor="text1"/>
          <w:szCs w:val="24"/>
        </w:rPr>
        <w:t>licence holders</w:t>
      </w:r>
      <w:r w:rsidR="00856493" w:rsidRPr="00043B05">
        <w:rPr>
          <w:rFonts w:cs="Arial"/>
          <w:color w:val="000000" w:themeColor="text1"/>
          <w:szCs w:val="24"/>
        </w:rPr>
        <w:t xml:space="preserve"> </w:t>
      </w:r>
      <w:r w:rsidRPr="00043B05">
        <w:rPr>
          <w:rFonts w:cs="Arial"/>
          <w:color w:val="000000" w:themeColor="text1"/>
          <w:szCs w:val="24"/>
        </w:rPr>
        <w:t xml:space="preserve">to submit noise data to the MNR </w:t>
      </w:r>
    </w:p>
    <w:p w14:paraId="28ED4BED" w14:textId="3598C882" w:rsidR="001F1C08" w:rsidRDefault="00091AF9" w:rsidP="00D273B7">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color w:val="000000" w:themeColor="text1"/>
          <w:szCs w:val="24"/>
        </w:rPr>
      </w:pPr>
      <w:r w:rsidRPr="00043B05">
        <w:rPr>
          <w:rFonts w:cs="Arial"/>
          <w:color w:val="000000" w:themeColor="text1"/>
          <w:szCs w:val="24"/>
        </w:rPr>
        <w:t>In all cases</w:t>
      </w:r>
      <w:r w:rsidRPr="00003DD3">
        <w:rPr>
          <w:rFonts w:cs="Arial"/>
          <w:color w:val="000000" w:themeColor="text1"/>
          <w:szCs w:val="24"/>
        </w:rPr>
        <w:t xml:space="preserve"> following </w:t>
      </w:r>
      <w:r w:rsidR="00DC2E44">
        <w:rPr>
          <w:rFonts w:cs="Arial"/>
          <w:color w:val="000000" w:themeColor="text1"/>
          <w:szCs w:val="24"/>
        </w:rPr>
        <w:t>Plan</w:t>
      </w:r>
      <w:r w:rsidRPr="00003DD3">
        <w:rPr>
          <w:rFonts w:cs="Arial"/>
          <w:color w:val="000000" w:themeColor="text1"/>
          <w:szCs w:val="24"/>
        </w:rPr>
        <w:t xml:space="preserve"> adoption, </w:t>
      </w:r>
      <w:r w:rsidRPr="00D273B7">
        <w:rPr>
          <w:szCs w:val="24"/>
        </w:rPr>
        <w:t>measures</w:t>
      </w:r>
      <w:r w:rsidRPr="00003DD3">
        <w:rPr>
          <w:rFonts w:cs="Arial"/>
          <w:color w:val="000000" w:themeColor="text1"/>
          <w:szCs w:val="24"/>
        </w:rPr>
        <w:t xml:space="preserve"> were taken by the </w:t>
      </w:r>
      <w:r w:rsidR="00155656">
        <w:rPr>
          <w:rFonts w:cs="Arial"/>
          <w:color w:val="000000" w:themeColor="text1"/>
          <w:szCs w:val="24"/>
        </w:rPr>
        <w:t xml:space="preserve">marine </w:t>
      </w:r>
      <w:r w:rsidRPr="00662539">
        <w:rPr>
          <w:rFonts w:cs="Arial"/>
          <w:color w:val="000000" w:themeColor="text1"/>
          <w:szCs w:val="24"/>
        </w:rPr>
        <w:t>licensing function</w:t>
      </w:r>
      <w:r w:rsidRPr="00043B05">
        <w:rPr>
          <w:rFonts w:cs="Arial"/>
          <w:color w:val="000000" w:themeColor="text1"/>
          <w:szCs w:val="24"/>
        </w:rPr>
        <w:t xml:space="preserve"> to ensure that impulsive underwater noise data was submitted to the MNR </w:t>
      </w:r>
      <w:r w:rsidRPr="00003DD3">
        <w:rPr>
          <w:rFonts w:cs="Arial"/>
          <w:color w:val="000000" w:themeColor="text1"/>
          <w:szCs w:val="24"/>
        </w:rPr>
        <w:t xml:space="preserve">and these proposals submitted data to the MNR as required. </w:t>
      </w:r>
    </w:p>
    <w:p w14:paraId="70E51EC9" w14:textId="5B1DFFDB" w:rsidR="00091AF9" w:rsidRPr="00003DD3" w:rsidRDefault="00091AF9" w:rsidP="00D273B7">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color w:val="000000" w:themeColor="text1"/>
        </w:rPr>
      </w:pPr>
      <w:r w:rsidRPr="00003DD3">
        <w:rPr>
          <w:rFonts w:cs="Arial"/>
          <w:color w:val="000000" w:themeColor="text1"/>
          <w:szCs w:val="24"/>
        </w:rPr>
        <w:lastRenderedPageBreak/>
        <w:t>These findings</w:t>
      </w:r>
      <w:r w:rsidRPr="00043B05">
        <w:rPr>
          <w:rFonts w:cs="Arial"/>
          <w:color w:val="000000" w:themeColor="text1"/>
          <w:szCs w:val="24"/>
        </w:rPr>
        <w:t xml:space="preserve">, alongside </w:t>
      </w:r>
      <w:r w:rsidRPr="00043B05">
        <w:rPr>
          <w:rStyle w:val="eop"/>
          <w:rFonts w:cs="Arial"/>
        </w:rPr>
        <w:t>evidence of policy use within marine licensing decision</w:t>
      </w:r>
      <w:r w:rsidR="00D07215">
        <w:rPr>
          <w:rStyle w:val="eop"/>
          <w:rFonts w:cs="Arial"/>
        </w:rPr>
        <w:t>s</w:t>
      </w:r>
      <w:r w:rsidRPr="00043B05">
        <w:rPr>
          <w:rStyle w:val="eop"/>
          <w:rFonts w:cs="Arial"/>
        </w:rPr>
        <w:t xml:space="preserve"> (</w:t>
      </w:r>
      <w:hyperlink w:anchor="_Annex_B:_Policy" w:history="1">
        <w:r w:rsidRPr="00043B05">
          <w:rPr>
            <w:rStyle w:val="Hyperlink"/>
            <w:rFonts w:cs="Arial"/>
          </w:rPr>
          <w:t>Annex B</w:t>
        </w:r>
      </w:hyperlink>
      <w:r w:rsidRPr="00043B05">
        <w:rPr>
          <w:rStyle w:val="eop"/>
          <w:rFonts w:cs="Arial"/>
        </w:rPr>
        <w:t>),</w:t>
      </w:r>
      <w:r w:rsidRPr="00003DD3">
        <w:rPr>
          <w:rFonts w:cs="Arial"/>
          <w:color w:val="FF0000"/>
        </w:rPr>
        <w:t xml:space="preserve"> </w:t>
      </w:r>
      <w:r w:rsidRPr="00003DD3">
        <w:rPr>
          <w:rFonts w:cs="Arial"/>
          <w:color w:val="000000" w:themeColor="text1"/>
        </w:rPr>
        <w:t xml:space="preserve">suggest that S-UWN-1 is being applied </w:t>
      </w:r>
      <w:r w:rsidR="00275618" w:rsidRPr="00314BDA">
        <w:rPr>
          <w:color w:val="000000" w:themeColor="text1"/>
        </w:rPr>
        <w:t>and contributing to the evidence base on noise via the MNR and will support future decision making in the UK Marine Strategy on noise</w:t>
      </w:r>
      <w:r w:rsidR="00494405" w:rsidRPr="00314BDA">
        <w:rPr>
          <w:i/>
          <w:iCs/>
          <w:color w:val="000000" w:themeColor="text1"/>
        </w:rPr>
        <w:t>.</w:t>
      </w:r>
      <w:r w:rsidRPr="00314BDA">
        <w:rPr>
          <w:rFonts w:cs="Arial"/>
          <w:color w:val="000000" w:themeColor="text1"/>
        </w:rPr>
        <w:t xml:space="preserve"> </w:t>
      </w:r>
    </w:p>
    <w:p w14:paraId="075AD48B" w14:textId="4150EE74" w:rsidR="00B83995" w:rsidRPr="00043B05" w:rsidRDefault="00B83995" w:rsidP="00B83995">
      <w:pPr>
        <w:pStyle w:val="ListParagraph"/>
        <w:numPr>
          <w:ilvl w:val="0"/>
          <w:numId w:val="8"/>
        </w:numPr>
        <w:ind w:left="561" w:hanging="567"/>
        <w:contextualSpacing w:val="0"/>
        <w:rPr>
          <w:rStyle w:val="eop"/>
          <w:rFonts w:cs="Arial"/>
        </w:rPr>
      </w:pPr>
      <w:r w:rsidRPr="00043B05">
        <w:rPr>
          <w:rStyle w:val="eop"/>
        </w:rPr>
        <w:t xml:space="preserve">The assessment of the effects of </w:t>
      </w:r>
      <w:r w:rsidRPr="00043B05">
        <w:rPr>
          <w:rStyle w:val="eop"/>
          <w:rFonts w:cs="Arial"/>
        </w:rPr>
        <w:t xml:space="preserve">S-WQ-2 </w:t>
      </w:r>
      <w:r w:rsidRPr="00043B05">
        <w:rPr>
          <w:rStyle w:val="eop"/>
        </w:rPr>
        <w:t>were limited by the</w:t>
      </w:r>
      <w:r w:rsidRPr="00043B05">
        <w:rPr>
          <w:rStyle w:val="eop"/>
          <w:rFonts w:cs="Arial"/>
        </w:rPr>
        <w:t xml:space="preserve"> sole reliance </w:t>
      </w:r>
      <w:r w:rsidR="00151FF2" w:rsidRPr="00043B05">
        <w:rPr>
          <w:rStyle w:val="eop"/>
          <w:rFonts w:cs="Arial"/>
        </w:rPr>
        <w:t>o</w:t>
      </w:r>
      <w:r w:rsidR="00151FF2">
        <w:rPr>
          <w:rStyle w:val="eop"/>
          <w:rFonts w:cs="Arial"/>
        </w:rPr>
        <w:t>n</w:t>
      </w:r>
      <w:r w:rsidR="00151FF2" w:rsidRPr="00043B05">
        <w:rPr>
          <w:rStyle w:val="eop"/>
          <w:rFonts w:cs="Arial"/>
        </w:rPr>
        <w:t xml:space="preserve"> </w:t>
      </w:r>
      <w:r w:rsidRPr="00043B05">
        <w:rPr>
          <w:rStyle w:val="eop"/>
          <w:rFonts w:cs="Arial"/>
        </w:rPr>
        <w:t>stakeholder surveys. For example, the e</w:t>
      </w:r>
      <w:r w:rsidRPr="00043B05">
        <w:rPr>
          <w:rStyle w:val="eop"/>
        </w:rPr>
        <w:t xml:space="preserve">xisting methodology does not provide a means of assessing actual changes to water quality, </w:t>
      </w:r>
      <w:r w:rsidRPr="00043B05">
        <w:rPr>
          <w:rStyle w:val="eop"/>
          <w:rFonts w:cs="Arial"/>
        </w:rPr>
        <w:t>beyond respondent perception</w:t>
      </w:r>
      <w:r w:rsidRPr="00043B05">
        <w:rPr>
          <w:rStyle w:val="eop"/>
        </w:rPr>
        <w:t>.</w:t>
      </w:r>
      <w:r w:rsidR="001F1C08">
        <w:rPr>
          <w:rStyle w:val="eop"/>
        </w:rPr>
        <w:br/>
      </w:r>
      <w:r w:rsidR="001F1C08">
        <w:rPr>
          <w:rStyle w:val="eop"/>
        </w:rPr>
        <w:br/>
      </w:r>
      <w:r w:rsidRPr="00043B05">
        <w:rPr>
          <w:rStyle w:val="eop"/>
        </w:rPr>
        <w:t>C</w:t>
      </w:r>
      <w:r w:rsidRPr="00043B05">
        <w:t>onsideration should, therefore, be given to how best to monitor the effects of the directly contributing policies into the future</w:t>
      </w:r>
      <w:r>
        <w:t>, in consideration of other monitoring programmes</w:t>
      </w:r>
      <w:r w:rsidRPr="00043B05">
        <w:t>.</w:t>
      </w:r>
    </w:p>
    <w:p w14:paraId="186F64BD" w14:textId="16220E1B" w:rsidR="001F1C08" w:rsidRPr="007D6517" w:rsidRDefault="00091AF9" w:rsidP="00285EEE">
      <w:pPr>
        <w:pStyle w:val="ListParagraph"/>
        <w:numPr>
          <w:ilvl w:val="0"/>
          <w:numId w:val="8"/>
        </w:numPr>
        <w:ind w:left="561" w:hanging="567"/>
        <w:contextualSpacing w:val="0"/>
        <w:rPr>
          <w:rStyle w:val="eop"/>
          <w:rFonts w:cs="Arial"/>
        </w:rPr>
      </w:pPr>
      <w:r w:rsidRPr="00285EEE">
        <w:rPr>
          <w:rStyle w:val="eop"/>
          <w:rFonts w:cs="Arial"/>
        </w:rPr>
        <w:t xml:space="preserve">Overall, </w:t>
      </w:r>
      <w:r w:rsidRPr="00285EEE">
        <w:rPr>
          <w:rStyle w:val="eop"/>
        </w:rPr>
        <w:t>findings suggest that positive</w:t>
      </w:r>
      <w:r w:rsidRPr="00285EEE">
        <w:rPr>
          <w:rStyle w:val="eop"/>
          <w:rFonts w:cs="Arial"/>
        </w:rPr>
        <w:t xml:space="preserve"> progress has been made towards</w:t>
      </w:r>
      <w:r w:rsidRPr="00285EEE">
        <w:rPr>
          <w:rStyle w:val="eop"/>
        </w:rPr>
        <w:t xml:space="preserve"> Objective 11, and the HLMOs to which it is linked </w:t>
      </w:r>
      <w:r w:rsidRPr="001F1C08">
        <w:rPr>
          <w:rStyle w:val="eop"/>
        </w:rPr>
        <w:t>(</w:t>
      </w:r>
      <w:hyperlink w:anchor="_Annex_A:_High">
        <w:r w:rsidR="00D43332" w:rsidRPr="001F1C08">
          <w:rPr>
            <w:rStyle w:val="Hyperlink"/>
          </w:rPr>
          <w:t>Annex A</w:t>
        </w:r>
      </w:hyperlink>
      <w:r w:rsidRPr="001F1C08">
        <w:rPr>
          <w:rStyle w:val="eop"/>
        </w:rPr>
        <w:t>).</w:t>
      </w:r>
      <w:r w:rsidRPr="00003DD3">
        <w:rPr>
          <w:rStyle w:val="eop"/>
          <w:b/>
          <w:bCs/>
        </w:rPr>
        <w:t xml:space="preserve"> </w:t>
      </w:r>
      <w:r w:rsidR="001F1C08">
        <w:rPr>
          <w:rStyle w:val="eop"/>
          <w:b/>
          <w:bCs/>
        </w:rPr>
        <w:br/>
      </w:r>
      <w:r w:rsidR="001F1C08">
        <w:rPr>
          <w:rStyle w:val="eop"/>
          <w:b/>
          <w:bCs/>
        </w:rPr>
        <w:br/>
      </w:r>
      <w:r w:rsidRPr="00003DD3">
        <w:rPr>
          <w:rStyle w:val="eop"/>
        </w:rPr>
        <w:t xml:space="preserve">This conclusion is supported by evidence of implementation of </w:t>
      </w:r>
      <w:r w:rsidRPr="00003DD3">
        <w:t xml:space="preserve">directly and indirectly contributing policies in marine </w:t>
      </w:r>
      <w:r w:rsidR="004155B6">
        <w:t>licence</w:t>
      </w:r>
      <w:r w:rsidRPr="00003DD3">
        <w:t xml:space="preserve"> </w:t>
      </w:r>
      <w:r w:rsidR="004155B6">
        <w:t>decision-making</w:t>
      </w:r>
      <w:r w:rsidRPr="00003DD3">
        <w:t xml:space="preserve"> </w:t>
      </w:r>
      <w:r w:rsidRPr="00003DD3">
        <w:rPr>
          <w:rStyle w:val="eop"/>
        </w:rPr>
        <w:t>(</w:t>
      </w:r>
      <w:hyperlink w:anchor="_Annex_B:_Policy">
        <w:r w:rsidR="00D43332" w:rsidRPr="09F83F24">
          <w:rPr>
            <w:rStyle w:val="Hyperlink"/>
          </w:rPr>
          <w:t>Annex B</w:t>
        </w:r>
      </w:hyperlink>
      <w:r w:rsidRPr="09F83F24">
        <w:rPr>
          <w:rStyle w:val="eop"/>
        </w:rPr>
        <w:t>)</w:t>
      </w:r>
      <w:r w:rsidR="00F97448">
        <w:rPr>
          <w:rStyle w:val="eop"/>
        </w:rPr>
        <w:t xml:space="preserve">, such as the use of S-NIS-1, as discussed in </w:t>
      </w:r>
      <w:r w:rsidR="00F97448" w:rsidRPr="0059093A">
        <w:rPr>
          <w:rStyle w:val="eop"/>
        </w:rPr>
        <w:t xml:space="preserve">the ‘Intermediate Outcomes’ case study in </w:t>
      </w:r>
      <w:hyperlink w:anchor="_5.2_Outcome_monitoring">
        <w:r w:rsidR="00F97448" w:rsidRPr="09F83F24">
          <w:rPr>
            <w:rStyle w:val="Hyperlink"/>
          </w:rPr>
          <w:t>Section 5.2</w:t>
        </w:r>
      </w:hyperlink>
      <w:r w:rsidRPr="09F83F24">
        <w:rPr>
          <w:rStyle w:val="eop"/>
        </w:rPr>
        <w:t>.</w:t>
      </w:r>
      <w:r w:rsidRPr="00003DD3">
        <w:rPr>
          <w:rStyle w:val="eop"/>
        </w:rPr>
        <w:t xml:space="preserve"> </w:t>
      </w:r>
      <w:r w:rsidR="001F1C08">
        <w:rPr>
          <w:rStyle w:val="eop"/>
        </w:rPr>
        <w:br/>
      </w:r>
      <w:r w:rsidR="001F1C08">
        <w:rPr>
          <w:rStyle w:val="eop"/>
        </w:rPr>
        <w:br/>
      </w:r>
      <w:r w:rsidRPr="00003DD3">
        <w:rPr>
          <w:rStyle w:val="eop"/>
        </w:rPr>
        <w:t>Furthermore, findings show that two direct</w:t>
      </w:r>
      <w:r>
        <w:rPr>
          <w:rStyle w:val="eop"/>
        </w:rPr>
        <w:t>ly</w:t>
      </w:r>
      <w:r w:rsidRPr="00003DD3">
        <w:rPr>
          <w:rStyle w:val="eop"/>
        </w:rPr>
        <w:t xml:space="preserve"> and many indirect</w:t>
      </w:r>
      <w:r>
        <w:rPr>
          <w:rStyle w:val="eop"/>
        </w:rPr>
        <w:t>ly contributing</w:t>
      </w:r>
      <w:r w:rsidRPr="00003DD3">
        <w:rPr>
          <w:rStyle w:val="eop"/>
        </w:rPr>
        <w:t xml:space="preserve"> policies have shown positive policy effects, and </w:t>
      </w:r>
      <w:r w:rsidRPr="00D43BAE">
        <w:t>progress</w:t>
      </w:r>
      <w:r w:rsidRPr="00003DD3">
        <w:rPr>
          <w:rFonts w:cs="Arial"/>
        </w:rPr>
        <w:t xml:space="preserve"> towards </w:t>
      </w:r>
      <w:r w:rsidRPr="00003DD3">
        <w:t xml:space="preserve">policy aims. </w:t>
      </w:r>
      <w:r w:rsidR="005B48AF">
        <w:t>T</w:t>
      </w:r>
      <w:r w:rsidRPr="00003DD3">
        <w:rPr>
          <w:rStyle w:val="eop"/>
        </w:rPr>
        <w:t>hese findings</w:t>
      </w:r>
      <w:r w:rsidR="005B48AF">
        <w:rPr>
          <w:rStyle w:val="eop"/>
        </w:rPr>
        <w:t>, therefore,</w:t>
      </w:r>
      <w:r w:rsidRPr="00003DD3">
        <w:t xml:space="preserve"> suggest </w:t>
      </w:r>
      <w:r w:rsidR="007F4C0D">
        <w:t xml:space="preserve">a mixed picture regarding effectiveness of contributing policies. </w:t>
      </w:r>
      <w:r w:rsidR="001F1C08">
        <w:br/>
      </w:r>
      <w:r w:rsidR="001F1C08">
        <w:br/>
      </w:r>
      <w:r w:rsidR="007F4C0D">
        <w:t>The relative contribution of S-UWN-1 appears to be somewhat effective in supporting progress towards the objective, whereas, an assessment of other directly contributing policies</w:t>
      </w:r>
      <w:r w:rsidR="00C271A0">
        <w:t>’</w:t>
      </w:r>
      <w:r w:rsidR="007F4C0D">
        <w:t xml:space="preserve"> effectiveness is either not yet clear due to the passage of time</w:t>
      </w:r>
      <w:r w:rsidR="00C05696">
        <w:t>,</w:t>
      </w:r>
      <w:r w:rsidR="007F4C0D">
        <w:t xml:space="preserve"> or because of insufficient data. </w:t>
      </w:r>
    </w:p>
    <w:bookmarkEnd w:id="226"/>
    <w:p w14:paraId="529B24E2" w14:textId="3383DA75" w:rsidR="001F1C08" w:rsidRPr="00D43D9E" w:rsidRDefault="00D565CC" w:rsidP="00285EEE">
      <w:pPr>
        <w:pStyle w:val="Caption"/>
      </w:pPr>
      <w:r>
        <w:t xml:space="preserve">Table 12: Outcomes findings for </w:t>
      </w:r>
      <w:r w:rsidR="00091AF9" w:rsidRPr="00003DD3">
        <w:t>Objective 12</w:t>
      </w:r>
      <w:r>
        <w:t xml:space="preserve"> -</w:t>
      </w:r>
      <w:r w:rsidR="00091AF9" w:rsidRPr="00003DD3">
        <w:t xml:space="preserve"> </w:t>
      </w:r>
      <w:bookmarkStart w:id="228" w:name="_Hlk67652078"/>
      <w:r w:rsidR="00091AF9" w:rsidRPr="00C92B18">
        <w:t>To safeguard space for, and improve the quality of, the natural marine environment, including to enable continued provision of ecosystem goods and services, particularly in relation to coastal and seabed habitats, fisheries and cumulative impacts on highly mobile species</w:t>
      </w:r>
    </w:p>
    <w:tbl>
      <w:tblPr>
        <w:tblStyle w:val="DefraGreen"/>
        <w:tblW w:w="5006" w:type="pct"/>
        <w:tblLook w:val="04A0" w:firstRow="1" w:lastRow="0" w:firstColumn="1" w:lastColumn="0" w:noHBand="0" w:noVBand="1"/>
      </w:tblPr>
      <w:tblGrid>
        <w:gridCol w:w="7365"/>
        <w:gridCol w:w="2268"/>
      </w:tblGrid>
      <w:tr w:rsidR="00091AF9" w:rsidRPr="001A65F6" w14:paraId="1EE683EB" w14:textId="77777777" w:rsidTr="00E02BCB">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823" w:type="pct"/>
          </w:tcPr>
          <w:p w14:paraId="612F843E" w14:textId="40595D65" w:rsidR="00091AF9" w:rsidRPr="001A65F6" w:rsidRDefault="00091AF9" w:rsidP="00E02BCB">
            <w:pPr>
              <w:spacing w:before="60" w:after="60"/>
              <w:rPr>
                <w:rFonts w:eastAsia="Times New Roman" w:cs="Arial"/>
                <w:b/>
                <w:bCs/>
                <w:color w:val="000000"/>
              </w:rPr>
            </w:pPr>
            <w:bookmarkStart w:id="229" w:name="_Hlk67388232"/>
            <w:bookmarkEnd w:id="228"/>
            <w:r w:rsidRPr="007F7A55">
              <w:rPr>
                <w:rFonts w:eastAsia="Times New Roman" w:cs="Arial"/>
                <w:b/>
                <w:bCs/>
                <w:color w:val="FFFFFF" w:themeColor="background1"/>
                <w:sz w:val="28"/>
              </w:rPr>
              <w:t xml:space="preserve">Objective </w:t>
            </w:r>
            <w:r>
              <w:rPr>
                <w:rFonts w:eastAsia="Times New Roman" w:cs="Arial"/>
                <w:b/>
                <w:bCs/>
                <w:color w:val="FFFFFF" w:themeColor="background1"/>
                <w:sz w:val="28"/>
              </w:rPr>
              <w:t>progress</w:t>
            </w:r>
            <w:r w:rsidRPr="007F7A55">
              <w:rPr>
                <w:rFonts w:eastAsia="Times New Roman" w:cs="Arial"/>
                <w:b/>
                <w:bCs/>
                <w:color w:val="FFFFFF" w:themeColor="background1"/>
                <w:sz w:val="28"/>
              </w:rPr>
              <w:t xml:space="preserve">: </w:t>
            </w:r>
            <w:r w:rsidR="001F1C08">
              <w:rPr>
                <w:rFonts w:eastAsia="Times New Roman" w:cs="Arial"/>
                <w:b/>
                <w:bCs/>
                <w:color w:val="FFFFFF" w:themeColor="background1"/>
                <w:sz w:val="28"/>
              </w:rPr>
              <w:t>p</w:t>
            </w:r>
            <w:r w:rsidRPr="007F7A55">
              <w:rPr>
                <w:rFonts w:eastAsia="Times New Roman" w:cs="Arial"/>
                <w:b/>
                <w:bCs/>
                <w:color w:val="FFFFFF" w:themeColor="background1"/>
                <w:sz w:val="28"/>
              </w:rPr>
              <w:t>ositive</w:t>
            </w:r>
          </w:p>
        </w:tc>
        <w:tc>
          <w:tcPr>
            <w:tcW w:w="1177" w:type="pct"/>
            <w:noWrap/>
          </w:tcPr>
          <w:p w14:paraId="76F13761" w14:textId="77777777" w:rsidR="00091AF9" w:rsidRPr="001A65F6" w:rsidRDefault="00091AF9" w:rsidP="00E02BCB">
            <w:pPr>
              <w:spacing w:before="0" w:after="0"/>
              <w:cnfStyle w:val="100000000000" w:firstRow="1" w:lastRow="0" w:firstColumn="0" w:lastColumn="0" w:oddVBand="0" w:evenVBand="0" w:oddHBand="0" w:evenHBand="0" w:firstRowFirstColumn="0" w:firstRowLastColumn="0" w:lastRowFirstColumn="0" w:lastRowLastColumn="0"/>
              <w:rPr>
                <w:rFonts w:eastAsia="Times New Roman" w:cs="Arial"/>
                <w:b/>
                <w:bCs/>
                <w:color w:val="000000"/>
              </w:rPr>
            </w:pPr>
          </w:p>
        </w:tc>
      </w:tr>
      <w:tr w:rsidR="00091AF9" w:rsidRPr="001A65F6" w14:paraId="6632E863"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tcPr>
          <w:p w14:paraId="0C5F95A2" w14:textId="77777777" w:rsidR="00091AF9" w:rsidRPr="00DE3A21" w:rsidRDefault="00091AF9" w:rsidP="00E02BCB">
            <w:pPr>
              <w:spacing w:before="0" w:after="0"/>
              <w:rPr>
                <w:rFonts w:eastAsia="Times New Roman" w:cs="Arial"/>
                <w:b/>
                <w:bCs/>
                <w:color w:val="000000"/>
              </w:rPr>
            </w:pPr>
            <w:r w:rsidRPr="00DE3A21">
              <w:rPr>
                <w:rFonts w:eastAsia="Times New Roman" w:cs="Arial"/>
                <w:b/>
                <w:bCs/>
                <w:color w:val="000000"/>
              </w:rPr>
              <w:t>Policy code</w:t>
            </w:r>
          </w:p>
        </w:tc>
        <w:tc>
          <w:tcPr>
            <w:tcW w:w="1177" w:type="pct"/>
            <w:shd w:val="clear" w:color="auto" w:fill="CBE9D3"/>
            <w:noWrap/>
          </w:tcPr>
          <w:p w14:paraId="49FC115D" w14:textId="77777777" w:rsidR="00091AF9" w:rsidRPr="00DE3A21"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rPr>
            </w:pPr>
            <w:r>
              <w:rPr>
                <w:rFonts w:eastAsia="Times New Roman" w:cs="Arial"/>
                <w:b/>
                <w:bCs/>
                <w:color w:val="000000"/>
              </w:rPr>
              <w:t>Outcome findings</w:t>
            </w:r>
          </w:p>
        </w:tc>
      </w:tr>
      <w:tr w:rsidR="00091AF9" w:rsidRPr="001A65F6" w14:paraId="7D09B945"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4A0A025E" w14:textId="77777777" w:rsidR="00091AF9" w:rsidRPr="00A056EE" w:rsidRDefault="00091AF9" w:rsidP="00E02BCB">
            <w:pPr>
              <w:spacing w:before="0" w:after="0"/>
              <w:rPr>
                <w:rFonts w:eastAsia="Times New Roman" w:cs="Arial"/>
                <w:b/>
                <w:color w:val="000000"/>
              </w:rPr>
            </w:pPr>
            <w:r w:rsidRPr="00A056EE">
              <w:rPr>
                <w:rFonts w:eastAsia="Times New Roman" w:cs="Arial"/>
                <w:b/>
                <w:color w:val="000000"/>
              </w:rPr>
              <w:t>Directly contributing policies</w:t>
            </w:r>
          </w:p>
        </w:tc>
      </w:tr>
      <w:tr w:rsidR="00091AF9" w:rsidRPr="001A65F6" w14:paraId="6C87DEB8"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79158632" w14:textId="77777777" w:rsidR="00091AF9" w:rsidRPr="001A65F6" w:rsidRDefault="00091AF9" w:rsidP="00E02BCB">
            <w:pPr>
              <w:spacing w:before="0" w:after="0"/>
              <w:rPr>
                <w:rFonts w:eastAsia="Times New Roman" w:cs="Arial"/>
                <w:color w:val="000000"/>
              </w:rPr>
            </w:pPr>
            <w:r>
              <w:rPr>
                <w:rFonts w:eastAsia="Times New Roman" w:cs="Arial"/>
                <w:color w:val="000000"/>
              </w:rPr>
              <w:t>S-BIO-2, S-BIO-3, S-FISH-4, S-FISH-4-HER</w:t>
            </w:r>
          </w:p>
        </w:tc>
        <w:tc>
          <w:tcPr>
            <w:tcW w:w="1177" w:type="pct"/>
            <w:shd w:val="clear" w:color="auto" w:fill="FFFFFF" w:themeFill="background1"/>
            <w:noWrap/>
            <w:vAlign w:val="center"/>
            <w:hideMark/>
          </w:tcPr>
          <w:p w14:paraId="49CA2F5D"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Positive</w:t>
            </w:r>
          </w:p>
        </w:tc>
      </w:tr>
      <w:tr w:rsidR="00091AF9" w:rsidRPr="001A65F6" w14:paraId="4D701025"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3378342D" w14:textId="77777777" w:rsidR="00091AF9" w:rsidRPr="001A65F6" w:rsidRDefault="00091AF9" w:rsidP="00E02BCB">
            <w:pPr>
              <w:spacing w:before="0" w:after="0"/>
              <w:rPr>
                <w:rFonts w:eastAsia="Times New Roman" w:cs="Arial"/>
                <w:color w:val="000000"/>
              </w:rPr>
            </w:pPr>
            <w:r>
              <w:rPr>
                <w:rFonts w:eastAsia="Times New Roman" w:cs="Arial"/>
                <w:color w:val="000000"/>
              </w:rPr>
              <w:t>S-BIO-1, S-BIO-4</w:t>
            </w:r>
          </w:p>
        </w:tc>
        <w:tc>
          <w:tcPr>
            <w:tcW w:w="1177" w:type="pct"/>
            <w:shd w:val="clear" w:color="auto" w:fill="FFFFFF" w:themeFill="background1"/>
            <w:noWrap/>
            <w:vAlign w:val="center"/>
          </w:tcPr>
          <w:p w14:paraId="25767B97"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Inconclusive</w:t>
            </w:r>
          </w:p>
        </w:tc>
      </w:tr>
      <w:tr w:rsidR="00091AF9" w:rsidRPr="001A65F6" w14:paraId="4B0046EF"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5F282F6F" w14:textId="77777777" w:rsidR="00091AF9" w:rsidRPr="001A65F6" w:rsidRDefault="00091AF9" w:rsidP="00E02BCB">
            <w:pPr>
              <w:spacing w:before="0" w:after="0"/>
              <w:rPr>
                <w:rFonts w:eastAsia="Times New Roman" w:cs="Arial"/>
                <w:color w:val="000000"/>
              </w:rPr>
            </w:pPr>
            <w:r>
              <w:rPr>
                <w:rFonts w:eastAsia="Times New Roman" w:cs="Arial"/>
                <w:color w:val="000000"/>
              </w:rPr>
              <w:t>S-DD-2, S-DIST-1</w:t>
            </w:r>
          </w:p>
        </w:tc>
        <w:tc>
          <w:tcPr>
            <w:tcW w:w="1177" w:type="pct"/>
            <w:shd w:val="clear" w:color="auto" w:fill="FFFFFF" w:themeFill="background1"/>
            <w:noWrap/>
            <w:vAlign w:val="center"/>
          </w:tcPr>
          <w:p w14:paraId="23B0A6EB"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A65F6">
              <w:rPr>
                <w:rFonts w:eastAsia="Times New Roman" w:cs="Arial"/>
                <w:color w:val="000000"/>
              </w:rPr>
              <w:t>N</w:t>
            </w:r>
            <w:r>
              <w:rPr>
                <w:rFonts w:eastAsia="Times New Roman" w:cs="Arial"/>
                <w:color w:val="000000"/>
              </w:rPr>
              <w:t>o data</w:t>
            </w:r>
          </w:p>
        </w:tc>
      </w:tr>
      <w:tr w:rsidR="00091AF9" w:rsidRPr="001A65F6" w14:paraId="059627B4"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64AE1630" w14:textId="77777777" w:rsidR="00091AF9" w:rsidRPr="00A056EE" w:rsidRDefault="00091AF9" w:rsidP="00E02BCB">
            <w:pPr>
              <w:spacing w:before="0" w:after="0"/>
              <w:rPr>
                <w:rFonts w:eastAsia="Times New Roman" w:cs="Arial"/>
                <w:b/>
                <w:color w:val="000000"/>
              </w:rPr>
            </w:pPr>
            <w:r w:rsidRPr="00A056EE">
              <w:rPr>
                <w:rFonts w:eastAsia="Times New Roman" w:cs="Arial"/>
                <w:b/>
                <w:color w:val="000000"/>
              </w:rPr>
              <w:t xml:space="preserve">Indirectly contributing policies </w:t>
            </w:r>
          </w:p>
        </w:tc>
      </w:tr>
      <w:tr w:rsidR="00091AF9" w:rsidRPr="001A65F6" w14:paraId="5DE71462"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6C7DC5F5" w14:textId="77777777" w:rsidR="00091AF9" w:rsidRPr="001A65F6" w:rsidRDefault="00091AF9" w:rsidP="00E02BCB">
            <w:pPr>
              <w:spacing w:before="0" w:after="0"/>
              <w:rPr>
                <w:rFonts w:eastAsia="Times New Roman" w:cs="Arial"/>
                <w:color w:val="000000"/>
              </w:rPr>
            </w:pPr>
            <w:r>
              <w:rPr>
                <w:rFonts w:eastAsia="Times New Roman" w:cs="Arial"/>
                <w:color w:val="000000"/>
              </w:rPr>
              <w:t>S-CC-2, S-CC-4, S-CO-1, S-SOC-1</w:t>
            </w:r>
          </w:p>
        </w:tc>
        <w:tc>
          <w:tcPr>
            <w:tcW w:w="1177" w:type="pct"/>
            <w:shd w:val="clear" w:color="auto" w:fill="FFFFFF" w:themeFill="background1"/>
            <w:noWrap/>
            <w:vAlign w:val="center"/>
          </w:tcPr>
          <w:p w14:paraId="3020303B"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Positive</w:t>
            </w:r>
          </w:p>
        </w:tc>
      </w:tr>
      <w:tr w:rsidR="00091AF9" w:rsidRPr="001A65F6" w14:paraId="3B1BAF18"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0505E259" w14:textId="3A09CAEB" w:rsidR="00091AF9" w:rsidRDefault="00882CD0" w:rsidP="00E02BCB">
            <w:pPr>
              <w:spacing w:before="0" w:after="0"/>
              <w:rPr>
                <w:rFonts w:eastAsia="Times New Roman" w:cs="Arial"/>
                <w:color w:val="000000"/>
              </w:rPr>
            </w:pPr>
            <w:r>
              <w:rPr>
                <w:rFonts w:eastAsia="Times New Roman" w:cs="Arial"/>
                <w:color w:val="000000"/>
              </w:rPr>
              <w:t xml:space="preserve">S-MPA-1, S-MPA-2, </w:t>
            </w:r>
            <w:r w:rsidRPr="00664FD7">
              <w:rPr>
                <w:rFonts w:eastAsia="Times New Roman" w:cs="Arial"/>
                <w:color w:val="000000"/>
              </w:rPr>
              <w:t>S-MPA-4</w:t>
            </w:r>
            <w:r>
              <w:rPr>
                <w:rFonts w:eastAsia="Times New Roman" w:cs="Arial"/>
                <w:color w:val="000000"/>
              </w:rPr>
              <w:t xml:space="preserve"> </w:t>
            </w:r>
          </w:p>
        </w:tc>
        <w:tc>
          <w:tcPr>
            <w:tcW w:w="1177" w:type="pct"/>
            <w:shd w:val="clear" w:color="auto" w:fill="FFFFFF" w:themeFill="background1"/>
            <w:noWrap/>
            <w:vAlign w:val="center"/>
          </w:tcPr>
          <w:p w14:paraId="4DC935A4" w14:textId="56EF3798" w:rsidR="00091AF9" w:rsidRDefault="00882CD0"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A65F6">
              <w:rPr>
                <w:rFonts w:eastAsia="Times New Roman" w:cs="Arial"/>
                <w:color w:val="000000"/>
              </w:rPr>
              <w:t>Inconclusive</w:t>
            </w:r>
          </w:p>
        </w:tc>
      </w:tr>
      <w:tr w:rsidR="00091AF9" w:rsidRPr="001A65F6" w14:paraId="01DB0D85"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3018EF61" w14:textId="26230AD5" w:rsidR="00091AF9" w:rsidRPr="001A65F6" w:rsidRDefault="00882CD0" w:rsidP="00E02BCB">
            <w:pPr>
              <w:spacing w:before="0" w:after="0"/>
              <w:rPr>
                <w:rFonts w:eastAsia="Times New Roman" w:cs="Arial"/>
                <w:color w:val="000000"/>
              </w:rPr>
            </w:pPr>
            <w:r>
              <w:rPr>
                <w:rFonts w:eastAsia="Times New Roman" w:cs="Arial"/>
                <w:color w:val="000000"/>
              </w:rPr>
              <w:t>S-AQ-1</w:t>
            </w:r>
          </w:p>
        </w:tc>
        <w:tc>
          <w:tcPr>
            <w:tcW w:w="1177" w:type="pct"/>
            <w:shd w:val="clear" w:color="auto" w:fill="FFFFFF" w:themeFill="background1"/>
            <w:noWrap/>
            <w:vAlign w:val="center"/>
          </w:tcPr>
          <w:p w14:paraId="47A436E7" w14:textId="62F5E556" w:rsidR="00091AF9" w:rsidRPr="001A65F6" w:rsidRDefault="00882CD0"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Negative</w:t>
            </w:r>
            <w:r w:rsidRPr="001A65F6" w:rsidDel="00882CD0">
              <w:rPr>
                <w:rFonts w:eastAsia="Times New Roman" w:cs="Arial"/>
                <w:color w:val="000000"/>
              </w:rPr>
              <w:t xml:space="preserve"> </w:t>
            </w:r>
          </w:p>
        </w:tc>
      </w:tr>
      <w:tr w:rsidR="00091AF9" w:rsidRPr="001A65F6" w14:paraId="248FD917" w14:textId="77777777" w:rsidTr="00E02BCB">
        <w:trPr>
          <w:trHeight w:val="346"/>
        </w:trPr>
        <w:tc>
          <w:tcPr>
            <w:cnfStyle w:val="001000000000" w:firstRow="0" w:lastRow="0" w:firstColumn="1" w:lastColumn="0" w:oddVBand="0" w:evenVBand="0" w:oddHBand="0" w:evenHBand="0" w:firstRowFirstColumn="0" w:firstRowLastColumn="0" w:lastRowFirstColumn="0" w:lastRowLastColumn="0"/>
            <w:tcW w:w="3823" w:type="pct"/>
            <w:shd w:val="clear" w:color="auto" w:fill="FFFFFF" w:themeFill="background1"/>
            <w:vAlign w:val="center"/>
          </w:tcPr>
          <w:p w14:paraId="4BA25360" w14:textId="77777777" w:rsidR="00091AF9" w:rsidRPr="001A65F6" w:rsidRDefault="00091AF9" w:rsidP="00E02BCB">
            <w:pPr>
              <w:spacing w:before="0" w:after="0"/>
              <w:rPr>
                <w:rFonts w:eastAsia="Times New Roman" w:cs="Arial"/>
                <w:color w:val="000000"/>
              </w:rPr>
            </w:pPr>
            <w:r>
              <w:rPr>
                <w:rFonts w:eastAsia="Times New Roman" w:cs="Arial"/>
                <w:color w:val="000000"/>
              </w:rPr>
              <w:t>S-MPA-3</w:t>
            </w:r>
          </w:p>
        </w:tc>
        <w:tc>
          <w:tcPr>
            <w:tcW w:w="1177" w:type="pct"/>
            <w:shd w:val="clear" w:color="auto" w:fill="FFFFFF" w:themeFill="background1"/>
            <w:noWrap/>
            <w:vAlign w:val="center"/>
          </w:tcPr>
          <w:p w14:paraId="2D655C3A" w14:textId="77777777" w:rsidR="00091AF9" w:rsidRPr="001A65F6" w:rsidRDefault="00091AF9" w:rsidP="00E02BC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A65F6">
              <w:rPr>
                <w:rFonts w:eastAsia="Times New Roman" w:cs="Arial"/>
                <w:color w:val="000000"/>
              </w:rPr>
              <w:t>No data</w:t>
            </w:r>
          </w:p>
        </w:tc>
      </w:tr>
    </w:tbl>
    <w:bookmarkEnd w:id="229"/>
    <w:p w14:paraId="3D880DCA" w14:textId="23DFCDA3" w:rsidR="00091AF9" w:rsidRPr="00003DD3" w:rsidRDefault="00091AF9" w:rsidP="00D43BAE">
      <w:pPr>
        <w:pStyle w:val="ListParagraph"/>
        <w:numPr>
          <w:ilvl w:val="0"/>
          <w:numId w:val="8"/>
        </w:numPr>
        <w:ind w:left="561" w:hanging="567"/>
        <w:contextualSpacing w:val="0"/>
        <w:rPr>
          <w:rStyle w:val="eop"/>
          <w:rFonts w:cs="Arial"/>
        </w:rPr>
      </w:pPr>
      <w:r w:rsidRPr="00003DD3">
        <w:rPr>
          <w:rStyle w:val="eop"/>
        </w:rPr>
        <w:lastRenderedPageBreak/>
        <w:t xml:space="preserve">All directly contributing policies seek to either support proposals that will enhance the quality of marine </w:t>
      </w:r>
      <w:r w:rsidRPr="00D43BAE">
        <w:t>habitats</w:t>
      </w:r>
      <w:r w:rsidRPr="00003DD3">
        <w:rPr>
          <w:rStyle w:val="eop"/>
        </w:rPr>
        <w:t xml:space="preserve"> and/or require activities to reduce their impacts, or avoid them altogether, where they may have a negative impact on marine habitats or highly mobile species. </w:t>
      </w:r>
      <w:r w:rsidR="001F1C08">
        <w:rPr>
          <w:rStyle w:val="eop"/>
        </w:rPr>
        <w:br/>
      </w:r>
      <w:r w:rsidR="001F1C08">
        <w:rPr>
          <w:rStyle w:val="eop"/>
        </w:rPr>
        <w:br/>
      </w:r>
      <w:r w:rsidRPr="00003DD3">
        <w:rPr>
          <w:rStyle w:val="eop"/>
        </w:rPr>
        <w:t>The effects of these policies were assessed using the following data:</w:t>
      </w:r>
    </w:p>
    <w:p w14:paraId="2785CE55" w14:textId="77777777" w:rsidR="00091AF9" w:rsidRPr="00003DD3" w:rsidRDefault="00091AF9" w:rsidP="00D43BAE">
      <w:pPr>
        <w:pStyle w:val="ListParagraph"/>
        <w:numPr>
          <w:ilvl w:val="0"/>
          <w:numId w:val="11"/>
        </w:numPr>
        <w:ind w:left="1276" w:hanging="425"/>
        <w:rPr>
          <w:rStyle w:val="eop"/>
          <w:rFonts w:cs="Arial"/>
        </w:rPr>
      </w:pPr>
      <w:r w:rsidRPr="00003DD3">
        <w:rPr>
          <w:rStyle w:val="eop"/>
          <w:rFonts w:cs="Arial"/>
          <w:bCs/>
          <w:szCs w:val="24"/>
        </w:rPr>
        <w:t>changes in the extent of coastal and marine priority habitats (</w:t>
      </w:r>
      <w:r w:rsidRPr="00003DD3">
        <w:rPr>
          <w:rFonts w:eastAsia="Times New Roman" w:cs="Arial"/>
          <w:color w:val="000000"/>
        </w:rPr>
        <w:t>S-BIO-1, S-BIO-3, S-BIO-4 and S-FISH-4)</w:t>
      </w:r>
    </w:p>
    <w:p w14:paraId="53496573" w14:textId="77777777" w:rsidR="00091AF9" w:rsidRPr="00003DD3" w:rsidRDefault="00091AF9" w:rsidP="00D43BAE">
      <w:pPr>
        <w:pStyle w:val="ListParagraph"/>
        <w:numPr>
          <w:ilvl w:val="0"/>
          <w:numId w:val="11"/>
        </w:numPr>
        <w:ind w:left="1276" w:hanging="425"/>
        <w:rPr>
          <w:rStyle w:val="eop"/>
          <w:rFonts w:cs="Arial"/>
        </w:rPr>
      </w:pPr>
      <w:r w:rsidRPr="00003DD3">
        <w:rPr>
          <w:rStyle w:val="eop"/>
          <w:rFonts w:cs="Arial"/>
        </w:rPr>
        <w:t xml:space="preserve">stakeholder </w:t>
      </w:r>
      <w:r w:rsidRPr="00D43BAE">
        <w:rPr>
          <w:szCs w:val="24"/>
        </w:rPr>
        <w:t>survey</w:t>
      </w:r>
      <w:r w:rsidRPr="00003DD3">
        <w:rPr>
          <w:rStyle w:val="eop"/>
          <w:rFonts w:cs="Arial"/>
        </w:rPr>
        <w:t xml:space="preserve"> responses (S-BIO-2)</w:t>
      </w:r>
    </w:p>
    <w:p w14:paraId="41C5CD0F" w14:textId="77777777" w:rsidR="00091AF9" w:rsidRPr="00003DD3" w:rsidRDefault="00091AF9" w:rsidP="00D43BAE">
      <w:pPr>
        <w:pStyle w:val="ListParagraph"/>
        <w:numPr>
          <w:ilvl w:val="0"/>
          <w:numId w:val="11"/>
        </w:numPr>
        <w:ind w:left="1276" w:hanging="425"/>
        <w:rPr>
          <w:rStyle w:val="eop"/>
          <w:rFonts w:cs="Arial"/>
        </w:rPr>
      </w:pPr>
      <w:r w:rsidRPr="00003DD3">
        <w:rPr>
          <w:rStyle w:val="eop"/>
        </w:rPr>
        <w:t xml:space="preserve">the number, </w:t>
      </w:r>
      <w:r w:rsidRPr="00D43BAE">
        <w:rPr>
          <w:szCs w:val="24"/>
        </w:rPr>
        <w:t>location</w:t>
      </w:r>
      <w:r w:rsidRPr="00003DD3">
        <w:rPr>
          <w:rStyle w:val="eop"/>
        </w:rPr>
        <w:t xml:space="preserve"> and policy compliance of marine activities licensed by the MMO (S-FISH-4-HER)</w:t>
      </w:r>
    </w:p>
    <w:p w14:paraId="5C58A1F2" w14:textId="1F6030CA" w:rsidR="00091AF9" w:rsidRPr="00003DD3" w:rsidRDefault="00091AF9" w:rsidP="00D43BAE">
      <w:pPr>
        <w:pStyle w:val="ListParagraph"/>
        <w:numPr>
          <w:ilvl w:val="0"/>
          <w:numId w:val="8"/>
        </w:numPr>
        <w:ind w:left="561" w:hanging="567"/>
        <w:contextualSpacing w:val="0"/>
        <w:rPr>
          <w:rFonts w:cs="Arial"/>
        </w:rPr>
      </w:pPr>
      <w:r w:rsidRPr="00003DD3">
        <w:rPr>
          <w:rStyle w:val="eop"/>
        </w:rPr>
        <w:t xml:space="preserve">Outcome monitoring findings showed positive effects </w:t>
      </w:r>
      <w:r w:rsidR="00C273C4">
        <w:rPr>
          <w:rStyle w:val="eop"/>
        </w:rPr>
        <w:t>associated with</w:t>
      </w:r>
      <w:r w:rsidR="00C273C4" w:rsidRPr="00003DD3">
        <w:rPr>
          <w:rStyle w:val="eop"/>
        </w:rPr>
        <w:t xml:space="preserve"> </w:t>
      </w:r>
      <w:r w:rsidRPr="09F83F24">
        <w:rPr>
          <w:rFonts w:eastAsia="Times New Roman" w:cs="Arial"/>
          <w:color w:val="000000" w:themeColor="text1"/>
        </w:rPr>
        <w:t xml:space="preserve">S-BIO-3 and S-FISH-4. </w:t>
      </w:r>
      <w:r w:rsidR="001F1C08">
        <w:rPr>
          <w:rFonts w:eastAsia="Times New Roman" w:cs="Arial"/>
          <w:color w:val="000000" w:themeColor="text1"/>
        </w:rPr>
        <w:br/>
      </w:r>
      <w:r w:rsidR="001F1C08">
        <w:rPr>
          <w:rFonts w:eastAsia="Times New Roman" w:cs="Arial"/>
          <w:color w:val="000000" w:themeColor="text1"/>
        </w:rPr>
        <w:br/>
      </w:r>
      <w:r w:rsidRPr="00003DD3">
        <w:rPr>
          <w:rStyle w:val="eop"/>
        </w:rPr>
        <w:t xml:space="preserve">Overall, data showed that the extent of all six </w:t>
      </w:r>
      <w:r w:rsidRPr="09F83F24">
        <w:rPr>
          <w:rStyle w:val="eop"/>
          <w:rFonts w:cs="Arial"/>
        </w:rPr>
        <w:t xml:space="preserve">priority habitats relevant to </w:t>
      </w:r>
      <w:r w:rsidRPr="09F83F24">
        <w:rPr>
          <w:rFonts w:eastAsia="Times New Roman" w:cs="Arial"/>
          <w:color w:val="000000" w:themeColor="text1"/>
        </w:rPr>
        <w:t xml:space="preserve">S-BIO-3 to have increased by 2.5% in total spatial extent since </w:t>
      </w:r>
      <w:r w:rsidR="00DC2E44">
        <w:rPr>
          <w:rFonts w:eastAsia="Times New Roman" w:cs="Arial"/>
          <w:color w:val="000000" w:themeColor="text1"/>
        </w:rPr>
        <w:t>Plan</w:t>
      </w:r>
      <w:r w:rsidRPr="09F83F24">
        <w:rPr>
          <w:rFonts w:eastAsia="Times New Roman" w:cs="Arial"/>
          <w:color w:val="000000" w:themeColor="text1"/>
        </w:rPr>
        <w:t xml:space="preserve"> adoption. </w:t>
      </w:r>
      <w:r w:rsidR="001F1C08">
        <w:rPr>
          <w:rFonts w:eastAsia="Times New Roman" w:cs="Arial"/>
          <w:color w:val="000000" w:themeColor="text1"/>
        </w:rPr>
        <w:br/>
      </w:r>
      <w:r w:rsidR="001F1C08">
        <w:rPr>
          <w:rFonts w:eastAsia="Times New Roman" w:cs="Arial"/>
          <w:color w:val="000000" w:themeColor="text1"/>
        </w:rPr>
        <w:br/>
      </w:r>
      <w:r w:rsidRPr="09F83F24">
        <w:rPr>
          <w:rFonts w:eastAsia="Times New Roman" w:cs="Arial"/>
          <w:color w:val="000000" w:themeColor="text1"/>
        </w:rPr>
        <w:t xml:space="preserve">Both </w:t>
      </w:r>
      <w:r w:rsidRPr="09F83F24">
        <w:rPr>
          <w:rStyle w:val="eop"/>
          <w:rFonts w:cs="Arial"/>
        </w:rPr>
        <w:t xml:space="preserve">priority habitats relevant to </w:t>
      </w:r>
      <w:r w:rsidRPr="09F83F24">
        <w:rPr>
          <w:rFonts w:eastAsia="Times New Roman" w:cs="Arial"/>
          <w:color w:val="000000" w:themeColor="text1"/>
        </w:rPr>
        <w:t xml:space="preserve">S-FISH-4 were also found to have increased by 2.3% in total spatial extent since </w:t>
      </w:r>
      <w:r w:rsidR="00DC2E44">
        <w:rPr>
          <w:rFonts w:eastAsia="Times New Roman" w:cs="Arial"/>
          <w:color w:val="000000" w:themeColor="text1"/>
        </w:rPr>
        <w:t>Plan</w:t>
      </w:r>
      <w:r w:rsidRPr="09F83F24">
        <w:rPr>
          <w:rFonts w:eastAsia="Times New Roman" w:cs="Arial"/>
          <w:color w:val="000000" w:themeColor="text1"/>
        </w:rPr>
        <w:t xml:space="preserve"> adoption.</w:t>
      </w:r>
    </w:p>
    <w:p w14:paraId="750B4A41" w14:textId="6ACEFCFE" w:rsidR="001F1C08" w:rsidRPr="007D6517" w:rsidRDefault="00C273C4" w:rsidP="007D6517">
      <w:pPr>
        <w:pStyle w:val="ListParagraph"/>
        <w:numPr>
          <w:ilvl w:val="0"/>
          <w:numId w:val="8"/>
        </w:numPr>
        <w:ind w:left="561" w:hanging="567"/>
        <w:contextualSpacing w:val="0"/>
        <w:rPr>
          <w:rFonts w:cs="Arial"/>
        </w:rPr>
      </w:pPr>
      <w:r>
        <w:rPr>
          <w:rStyle w:val="eop"/>
        </w:rPr>
        <w:t>Monitoring findings also</w:t>
      </w:r>
      <w:r w:rsidR="00091AF9" w:rsidRPr="00003DD3">
        <w:rPr>
          <w:rStyle w:val="eop"/>
        </w:rPr>
        <w:t xml:space="preserve"> showed positive effects for S-FISH-4-HER.</w:t>
      </w:r>
      <w:r w:rsidR="00F027EA">
        <w:rPr>
          <w:rStyle w:val="eop"/>
        </w:rPr>
        <w:t xml:space="preserve"> </w:t>
      </w:r>
      <w:r w:rsidR="00FF5EAC">
        <w:rPr>
          <w:rStyle w:val="eop"/>
        </w:rPr>
        <w:t xml:space="preserve">There has been a 55% increase in the number of granted marine licences demonstrating compliance with S-FISH-4-HER </w:t>
      </w:r>
      <w:r w:rsidR="00091AF9" w:rsidRPr="00003DD3">
        <w:rPr>
          <w:rStyle w:val="eop"/>
        </w:rPr>
        <w:t xml:space="preserve">by </w:t>
      </w:r>
      <w:r w:rsidR="00C271A0">
        <w:rPr>
          <w:rStyle w:val="eop"/>
        </w:rPr>
        <w:t>including</w:t>
      </w:r>
      <w:r w:rsidR="00091AF9" w:rsidRPr="00003DD3">
        <w:rPr>
          <w:rStyle w:val="eop"/>
        </w:rPr>
        <w:t xml:space="preserve"> measures to reduce negative impacts to spawning herring.</w:t>
      </w:r>
    </w:p>
    <w:p w14:paraId="5A127E1F" w14:textId="483C76F2" w:rsidR="00091AF9" w:rsidRPr="00003DD3" w:rsidRDefault="00091AF9" w:rsidP="00D43BAE">
      <w:pPr>
        <w:pStyle w:val="ListParagraph"/>
        <w:numPr>
          <w:ilvl w:val="0"/>
          <w:numId w:val="8"/>
        </w:numPr>
        <w:ind w:left="561" w:hanging="567"/>
        <w:contextualSpacing w:val="0"/>
        <w:rPr>
          <w:rStyle w:val="eop"/>
          <w:rFonts w:cs="Arial"/>
        </w:rPr>
      </w:pPr>
      <w:r w:rsidRPr="00003DD3">
        <w:rPr>
          <w:rStyle w:val="eop"/>
        </w:rPr>
        <w:t xml:space="preserve">The assessment of policy effects was limited by the available data on the extent of coastal and marine priority habitats, which provides incomplete coverage of priority habitats. </w:t>
      </w:r>
      <w:r w:rsidR="001F1C08">
        <w:rPr>
          <w:rStyle w:val="eop"/>
        </w:rPr>
        <w:br/>
      </w:r>
      <w:r w:rsidR="001F1C08">
        <w:rPr>
          <w:rStyle w:val="eop"/>
        </w:rPr>
        <w:br/>
      </w:r>
      <w:r w:rsidRPr="00003DD3">
        <w:rPr>
          <w:rStyle w:val="eop"/>
        </w:rPr>
        <w:t xml:space="preserve">The reported increases in the extent of priority habitats are also unlikely to </w:t>
      </w:r>
      <w:r w:rsidRPr="00003DD3" w:rsidDel="00C273C4">
        <w:rPr>
          <w:rStyle w:val="eop"/>
        </w:rPr>
        <w:t xml:space="preserve">have </w:t>
      </w:r>
      <w:r w:rsidR="00C273C4">
        <w:rPr>
          <w:rStyle w:val="eop"/>
        </w:rPr>
        <w:t>been influenced</w:t>
      </w:r>
      <w:r w:rsidRPr="00003DD3">
        <w:rPr>
          <w:rStyle w:val="eop"/>
        </w:rPr>
        <w:t xml:space="preserve"> </w:t>
      </w:r>
      <w:r w:rsidR="00C273C4">
        <w:rPr>
          <w:rStyle w:val="eop"/>
        </w:rPr>
        <w:t xml:space="preserve">by </w:t>
      </w:r>
      <w:r w:rsidRPr="09F83F24">
        <w:rPr>
          <w:rFonts w:eastAsia="Times New Roman" w:cs="Arial"/>
          <w:color w:val="000000" w:themeColor="text1"/>
        </w:rPr>
        <w:t>S-BIO-3 and S-FISH-4,</w:t>
      </w:r>
      <w:r w:rsidRPr="00003DD3">
        <w:rPr>
          <w:rStyle w:val="eop"/>
        </w:rPr>
        <w:t xml:space="preserve"> due to the short time elapsed since </w:t>
      </w:r>
      <w:r w:rsidR="00DC2E44">
        <w:rPr>
          <w:rStyle w:val="eop"/>
        </w:rPr>
        <w:t>Plan</w:t>
      </w:r>
      <w:r w:rsidRPr="00003DD3">
        <w:rPr>
          <w:rStyle w:val="eop"/>
        </w:rPr>
        <w:t xml:space="preserve"> adoption and the time periods required for priority habitats to establish and expand their spatial extent.</w:t>
      </w:r>
    </w:p>
    <w:p w14:paraId="02183B22" w14:textId="1E64226B" w:rsidR="005D5715" w:rsidRPr="005D5715" w:rsidRDefault="00091AF9" w:rsidP="00D43BAE">
      <w:pPr>
        <w:pStyle w:val="ListParagraph"/>
        <w:numPr>
          <w:ilvl w:val="0"/>
          <w:numId w:val="8"/>
        </w:numPr>
        <w:ind w:left="561" w:hanging="567"/>
        <w:contextualSpacing w:val="0"/>
        <w:rPr>
          <w:rStyle w:val="eop"/>
        </w:rPr>
      </w:pPr>
      <w:r w:rsidRPr="00285EEE">
        <w:rPr>
          <w:rStyle w:val="eop"/>
          <w:rFonts w:cs="Arial"/>
        </w:rPr>
        <w:t xml:space="preserve">Overall, </w:t>
      </w:r>
      <w:r w:rsidRPr="00285EEE">
        <w:rPr>
          <w:rStyle w:val="eop"/>
        </w:rPr>
        <w:t>findings suggest that positive</w:t>
      </w:r>
      <w:r w:rsidRPr="00285EEE">
        <w:rPr>
          <w:rStyle w:val="eop"/>
          <w:rFonts w:cs="Arial"/>
        </w:rPr>
        <w:t xml:space="preserve"> progress has been made towards</w:t>
      </w:r>
      <w:r w:rsidRPr="00285EEE">
        <w:rPr>
          <w:rStyle w:val="eop"/>
        </w:rPr>
        <w:t xml:space="preserve"> Objective 12, and the HLMOs to which it is linked </w:t>
      </w:r>
      <w:r w:rsidRPr="001F1C08">
        <w:rPr>
          <w:rStyle w:val="eop"/>
        </w:rPr>
        <w:t>(</w:t>
      </w:r>
      <w:hyperlink w:anchor="_Annex_A:_High">
        <w:r w:rsidR="008F31D3" w:rsidRPr="001F1C08">
          <w:rPr>
            <w:rStyle w:val="Hyperlink"/>
          </w:rPr>
          <w:t>Annex A</w:t>
        </w:r>
      </w:hyperlink>
      <w:r w:rsidRPr="001F1C08">
        <w:rPr>
          <w:rStyle w:val="eop"/>
        </w:rPr>
        <w:t>).</w:t>
      </w:r>
      <w:r w:rsidRPr="00003DD3">
        <w:rPr>
          <w:rStyle w:val="eop"/>
          <w:b/>
          <w:bCs/>
        </w:rPr>
        <w:t xml:space="preserve"> </w:t>
      </w:r>
      <w:r w:rsidR="001F1C08">
        <w:rPr>
          <w:rStyle w:val="eop"/>
          <w:b/>
          <w:bCs/>
        </w:rPr>
        <w:br/>
      </w:r>
      <w:r w:rsidR="001F1C08">
        <w:rPr>
          <w:rStyle w:val="eop"/>
          <w:b/>
          <w:bCs/>
        </w:rPr>
        <w:br/>
      </w:r>
      <w:r w:rsidRPr="00003DD3">
        <w:rPr>
          <w:rStyle w:val="eop"/>
        </w:rPr>
        <w:t xml:space="preserve">This conclusion is supported by evidence of implementation of directly and indirectly contributing policies in </w:t>
      </w:r>
      <w:r w:rsidRPr="00003DD3">
        <w:t xml:space="preserve">marine </w:t>
      </w:r>
      <w:r w:rsidR="00D5164F">
        <w:t>licence</w:t>
      </w:r>
      <w:r w:rsidRPr="00003DD3">
        <w:t xml:space="preserve"> </w:t>
      </w:r>
      <w:r w:rsidR="00D5164F">
        <w:t>decision-making</w:t>
      </w:r>
      <w:r w:rsidRPr="00003DD3">
        <w:t xml:space="preserve"> </w:t>
      </w:r>
      <w:r w:rsidRPr="00003DD3">
        <w:rPr>
          <w:rStyle w:val="eop"/>
        </w:rPr>
        <w:t>(</w:t>
      </w:r>
      <w:hyperlink w:anchor="_Annex_B:_Policy">
        <w:r w:rsidR="008F31D3" w:rsidRPr="09F83F24">
          <w:rPr>
            <w:rStyle w:val="Hyperlink"/>
          </w:rPr>
          <w:t>Annex B</w:t>
        </w:r>
      </w:hyperlink>
      <w:r w:rsidRPr="09F83F24">
        <w:rPr>
          <w:rStyle w:val="eop"/>
        </w:rPr>
        <w:t>).</w:t>
      </w:r>
      <w:r w:rsidRPr="00003DD3">
        <w:rPr>
          <w:rStyle w:val="eop"/>
        </w:rPr>
        <w:t xml:space="preserve"> </w:t>
      </w:r>
      <w:r w:rsidR="001F1C08">
        <w:rPr>
          <w:rStyle w:val="eop"/>
        </w:rPr>
        <w:br/>
      </w:r>
      <w:r w:rsidR="001F1C08">
        <w:rPr>
          <w:rStyle w:val="eop"/>
        </w:rPr>
        <w:br/>
      </w:r>
      <w:r w:rsidRPr="00003DD3">
        <w:rPr>
          <w:rStyle w:val="eop"/>
        </w:rPr>
        <w:t>Furthermore, many direct</w:t>
      </w:r>
      <w:r>
        <w:rPr>
          <w:rStyle w:val="eop"/>
        </w:rPr>
        <w:t>ly</w:t>
      </w:r>
      <w:r w:rsidRPr="00003DD3">
        <w:rPr>
          <w:rStyle w:val="eop"/>
        </w:rPr>
        <w:t xml:space="preserve"> and indirect</w:t>
      </w:r>
      <w:r>
        <w:rPr>
          <w:rStyle w:val="eop"/>
        </w:rPr>
        <w:t>ly contributing</w:t>
      </w:r>
      <w:r w:rsidRPr="00003DD3">
        <w:rPr>
          <w:rStyle w:val="eop"/>
        </w:rPr>
        <w:t xml:space="preserve"> policies have shown positive </w:t>
      </w:r>
      <w:r w:rsidRPr="00003DD3">
        <w:rPr>
          <w:rFonts w:cs="Arial"/>
        </w:rPr>
        <w:t xml:space="preserve">progress towards </w:t>
      </w:r>
      <w:r w:rsidRPr="00003DD3">
        <w:t>policy aims; S-FISH-4-HER in particular has been very effective in progressing towards Objective 12.</w:t>
      </w:r>
      <w:r w:rsidRPr="00003DD3">
        <w:rPr>
          <w:rStyle w:val="eop"/>
          <w:rFonts w:cs="Arial"/>
        </w:rPr>
        <w:t xml:space="preserve"> </w:t>
      </w:r>
      <w:r w:rsidR="001F1C08">
        <w:rPr>
          <w:rStyle w:val="eop"/>
          <w:rFonts w:cs="Arial"/>
        </w:rPr>
        <w:br/>
      </w:r>
      <w:r w:rsidR="001F1C08">
        <w:rPr>
          <w:rStyle w:val="eop"/>
          <w:rFonts w:cs="Arial"/>
        </w:rPr>
        <w:br/>
      </w:r>
      <w:r w:rsidRPr="00003DD3">
        <w:rPr>
          <w:rStyle w:val="eop"/>
        </w:rPr>
        <w:t>F</w:t>
      </w:r>
      <w:r w:rsidRPr="00003DD3">
        <w:t>indings</w:t>
      </w:r>
      <w:r w:rsidR="00FF5EAC">
        <w:t xml:space="preserve"> </w:t>
      </w:r>
      <w:r w:rsidRPr="00003DD3">
        <w:t xml:space="preserve">suggest that </w:t>
      </w:r>
      <w:r w:rsidR="00FF5EAC">
        <w:t xml:space="preserve">S-FISH-4-HER has been effective; </w:t>
      </w:r>
      <w:r w:rsidR="00AE2A81">
        <w:t>whilst</w:t>
      </w:r>
      <w:r w:rsidR="00FF5EAC">
        <w:t xml:space="preserve"> other contributing </w:t>
      </w:r>
      <w:r w:rsidR="00FF5EAC">
        <w:lastRenderedPageBreak/>
        <w:t>policy outcomes have been broadly positive, it is too soon to determine the effectiveness of these policies</w:t>
      </w:r>
      <w:r w:rsidRPr="00003DD3">
        <w:t xml:space="preserve"> in supporting the safeguarding and enhancement of the natural marine environment. </w:t>
      </w:r>
      <w:r w:rsidR="001F1C08">
        <w:br/>
      </w:r>
      <w:r w:rsidR="001F1C08">
        <w:br/>
      </w:r>
      <w:r w:rsidR="00E5424B">
        <w:rPr>
          <w:rStyle w:val="eop"/>
          <w:rFonts w:cs="Arial"/>
        </w:rPr>
        <w:t>T</w:t>
      </w:r>
      <w:r w:rsidRPr="00003DD3">
        <w:rPr>
          <w:rStyle w:val="eop"/>
          <w:rFonts w:cs="Arial"/>
        </w:rPr>
        <w:t>he objective</w:t>
      </w:r>
      <w:r w:rsidR="00E5424B" w:rsidRPr="00003DD3">
        <w:rPr>
          <w:rStyle w:val="eop"/>
          <w:rFonts w:cs="Arial"/>
        </w:rPr>
        <w:t>,</w:t>
      </w:r>
      <w:r w:rsidR="00E5424B">
        <w:rPr>
          <w:rStyle w:val="eop"/>
          <w:rFonts w:cs="Arial"/>
        </w:rPr>
        <w:t xml:space="preserve"> however,</w:t>
      </w:r>
      <w:r w:rsidRPr="00003DD3">
        <w:rPr>
          <w:rStyle w:val="eop"/>
          <w:rFonts w:cs="Arial"/>
        </w:rPr>
        <w:t xml:space="preserve"> covers a wide range of topics and so not all aspects may demonstrate this trend. </w:t>
      </w:r>
      <w:r w:rsidR="008F27A5" w:rsidRPr="00003DD3">
        <w:rPr>
          <w:rStyle w:val="eop"/>
          <w:rFonts w:cs="Arial"/>
        </w:rPr>
        <w:t xml:space="preserve">For example, there was no assessment of the cumulative impacts of marine developments on highly mobile species. </w:t>
      </w:r>
      <w:r w:rsidRPr="00003DD3">
        <w:rPr>
          <w:rStyle w:val="eop"/>
          <w:rFonts w:cs="Arial"/>
        </w:rPr>
        <w:t xml:space="preserve"> </w:t>
      </w:r>
    </w:p>
    <w:p w14:paraId="1796B30B" w14:textId="52ABF948" w:rsidR="007C7D12" w:rsidRPr="0059093A" w:rsidRDefault="007C7D12" w:rsidP="00285EEE">
      <w:pPr>
        <w:pStyle w:val="Heading3"/>
      </w:pPr>
      <w:bookmarkStart w:id="230" w:name="_Toc74308004"/>
      <w:bookmarkStart w:id="231" w:name="_Toc74577270"/>
      <w:r w:rsidRPr="0059093A">
        <w:t>5.</w:t>
      </w:r>
      <w:r>
        <w:t>3</w:t>
      </w:r>
      <w:r w:rsidRPr="0059093A">
        <w:t xml:space="preserve"> </w:t>
      </w:r>
      <w:r>
        <w:t xml:space="preserve">Concluding </w:t>
      </w:r>
      <w:r w:rsidR="001F1C08">
        <w:t>s</w:t>
      </w:r>
      <w:r>
        <w:t>tatement</w:t>
      </w:r>
      <w:bookmarkEnd w:id="230"/>
      <w:bookmarkEnd w:id="231"/>
    </w:p>
    <w:p w14:paraId="77A070AD" w14:textId="66EBBB16" w:rsidR="00B75544" w:rsidRPr="00271A2F" w:rsidRDefault="00B75544" w:rsidP="00B75544">
      <w:pPr>
        <w:pStyle w:val="ListParagraph"/>
        <w:numPr>
          <w:ilvl w:val="0"/>
          <w:numId w:val="8"/>
        </w:numPr>
        <w:ind w:left="561" w:hanging="567"/>
        <w:contextualSpacing w:val="0"/>
      </w:pPr>
      <w:r w:rsidRPr="00271A2F">
        <w:rPr>
          <w:szCs w:val="24"/>
        </w:rPr>
        <w:t xml:space="preserve">Outcome monitoring looks at the real-world changes resulting from the marine </w:t>
      </w:r>
      <w:r w:rsidR="00C406C0">
        <w:rPr>
          <w:szCs w:val="24"/>
        </w:rPr>
        <w:t>p</w:t>
      </w:r>
      <w:r w:rsidR="00DC2E44">
        <w:rPr>
          <w:szCs w:val="24"/>
        </w:rPr>
        <w:t>lan</w:t>
      </w:r>
      <w:r w:rsidRPr="00271A2F">
        <w:rPr>
          <w:szCs w:val="24"/>
        </w:rPr>
        <w:t xml:space="preserve">ning process. </w:t>
      </w:r>
      <w:r w:rsidR="001F1C08">
        <w:rPr>
          <w:szCs w:val="24"/>
        </w:rPr>
        <w:br/>
      </w:r>
      <w:r w:rsidR="001F1C08">
        <w:rPr>
          <w:szCs w:val="24"/>
        </w:rPr>
        <w:br/>
      </w:r>
      <w:r w:rsidRPr="00271A2F">
        <w:rPr>
          <w:szCs w:val="24"/>
        </w:rPr>
        <w:t xml:space="preserve">Outcome monitoring assesses effects of policies, </w:t>
      </w:r>
      <w:r>
        <w:rPr>
          <w:szCs w:val="24"/>
        </w:rPr>
        <w:t xml:space="preserve">and </w:t>
      </w:r>
      <w:r w:rsidRPr="00271A2F">
        <w:rPr>
          <w:szCs w:val="24"/>
        </w:rPr>
        <w:t xml:space="preserve">progress towards </w:t>
      </w:r>
      <w:r w:rsidR="00DC2E44">
        <w:rPr>
          <w:szCs w:val="24"/>
        </w:rPr>
        <w:t>Plan</w:t>
      </w:r>
      <w:r w:rsidRPr="00271A2F">
        <w:rPr>
          <w:szCs w:val="24"/>
        </w:rPr>
        <w:t xml:space="preserve"> </w:t>
      </w:r>
      <w:r w:rsidRPr="00A2230B">
        <w:t>objectives</w:t>
      </w:r>
      <w:r w:rsidRPr="00271A2F">
        <w:rPr>
          <w:szCs w:val="24"/>
        </w:rPr>
        <w:t>, and therefore the contribution towards relevant HLMOs, as well as the effect</w:t>
      </w:r>
      <w:r>
        <w:rPr>
          <w:szCs w:val="24"/>
        </w:rPr>
        <w:t>iveness</w:t>
      </w:r>
      <w:r w:rsidRPr="00271A2F">
        <w:rPr>
          <w:szCs w:val="24"/>
        </w:rPr>
        <w:t xml:space="preserve"> of </w:t>
      </w:r>
      <w:r w:rsidR="00DC2E44">
        <w:rPr>
          <w:szCs w:val="24"/>
        </w:rPr>
        <w:t>Plan</w:t>
      </w:r>
      <w:r w:rsidRPr="00271A2F">
        <w:rPr>
          <w:szCs w:val="24"/>
        </w:rPr>
        <w:t xml:space="preserve"> policies that underpin achievement of relevant </w:t>
      </w:r>
      <w:r w:rsidR="00DC2E44">
        <w:rPr>
          <w:szCs w:val="24"/>
        </w:rPr>
        <w:t>Plan</w:t>
      </w:r>
      <w:r w:rsidRPr="00271A2F">
        <w:rPr>
          <w:szCs w:val="24"/>
        </w:rPr>
        <w:t xml:space="preserve"> objectives.</w:t>
      </w:r>
      <w:r>
        <w:rPr>
          <w:szCs w:val="24"/>
        </w:rPr>
        <w:t xml:space="preserve"> </w:t>
      </w:r>
    </w:p>
    <w:p w14:paraId="610F8F90" w14:textId="505CB19F" w:rsidR="00B75544" w:rsidRPr="00271A2F" w:rsidRDefault="00B75544" w:rsidP="00B75544">
      <w:pPr>
        <w:pStyle w:val="ListParagraph"/>
        <w:numPr>
          <w:ilvl w:val="0"/>
          <w:numId w:val="8"/>
        </w:numPr>
        <w:ind w:left="561" w:hanging="567"/>
        <w:contextualSpacing w:val="0"/>
      </w:pPr>
      <w:r>
        <w:rPr>
          <w:bCs/>
          <w:szCs w:val="24"/>
        </w:rPr>
        <w:t>S</w:t>
      </w:r>
      <w:r w:rsidRPr="00271A2F">
        <w:rPr>
          <w:bCs/>
          <w:szCs w:val="24"/>
        </w:rPr>
        <w:t xml:space="preserve">ome positive progress towards securing 11 of the </w:t>
      </w:r>
      <w:r w:rsidR="00DC2E44">
        <w:rPr>
          <w:bCs/>
          <w:szCs w:val="24"/>
        </w:rPr>
        <w:t>Plan</w:t>
      </w:r>
      <w:r w:rsidRPr="00271A2F">
        <w:rPr>
          <w:bCs/>
          <w:szCs w:val="24"/>
        </w:rPr>
        <w:t xml:space="preserve"> objectives</w:t>
      </w:r>
      <w:r>
        <w:rPr>
          <w:bCs/>
          <w:szCs w:val="24"/>
        </w:rPr>
        <w:t xml:space="preserve"> has been made</w:t>
      </w:r>
      <w:r w:rsidRPr="00271A2F">
        <w:rPr>
          <w:szCs w:val="24"/>
        </w:rPr>
        <w:t xml:space="preserve">, </w:t>
      </w:r>
      <w:r w:rsidRPr="00A2230B">
        <w:t>with</w:t>
      </w:r>
      <w:r w:rsidRPr="00271A2F">
        <w:rPr>
          <w:szCs w:val="24"/>
        </w:rPr>
        <w:t xml:space="preserve"> findings inconclusive for one objective (Objective 8). </w:t>
      </w:r>
      <w:r w:rsidR="001F1C08">
        <w:rPr>
          <w:szCs w:val="24"/>
        </w:rPr>
        <w:br/>
      </w:r>
      <w:r w:rsidR="001F1C08">
        <w:rPr>
          <w:szCs w:val="24"/>
        </w:rPr>
        <w:br/>
      </w:r>
      <w:r>
        <w:rPr>
          <w:szCs w:val="24"/>
        </w:rPr>
        <w:t>P</w:t>
      </w:r>
      <w:r w:rsidRPr="00271A2F">
        <w:rPr>
          <w:szCs w:val="24"/>
        </w:rPr>
        <w:t>rogress towards</w:t>
      </w:r>
      <w:r>
        <w:rPr>
          <w:szCs w:val="24"/>
        </w:rPr>
        <w:t xml:space="preserve"> </w:t>
      </w:r>
      <w:r w:rsidR="00DC2E44">
        <w:rPr>
          <w:szCs w:val="24"/>
        </w:rPr>
        <w:t>Plan</w:t>
      </w:r>
      <w:r w:rsidRPr="00271A2F">
        <w:rPr>
          <w:szCs w:val="24"/>
        </w:rPr>
        <w:t xml:space="preserve"> objectives</w:t>
      </w:r>
      <w:r>
        <w:rPr>
          <w:szCs w:val="24"/>
        </w:rPr>
        <w:t xml:space="preserve"> also show a</w:t>
      </w:r>
      <w:r w:rsidRPr="00271A2F">
        <w:rPr>
          <w:szCs w:val="24"/>
        </w:rPr>
        <w:t xml:space="preserve"> contribut</w:t>
      </w:r>
      <w:r>
        <w:rPr>
          <w:szCs w:val="24"/>
        </w:rPr>
        <w:t>ion</w:t>
      </w:r>
      <w:r w:rsidRPr="00271A2F">
        <w:rPr>
          <w:szCs w:val="24"/>
        </w:rPr>
        <w:t xml:space="preserve"> towards the HLMOs</w:t>
      </w:r>
      <w:r w:rsidR="00700658">
        <w:rPr>
          <w:szCs w:val="24"/>
        </w:rPr>
        <w:t xml:space="preserve"> (</w:t>
      </w:r>
      <w:hyperlink w:anchor="_Annex_A:_High">
        <w:r w:rsidR="00C96C4C">
          <w:rPr>
            <w:rStyle w:val="Hyperlink"/>
          </w:rPr>
          <w:t>A</w:t>
        </w:r>
        <w:r w:rsidR="00554657" w:rsidRPr="09F83F24">
          <w:rPr>
            <w:rStyle w:val="Hyperlink"/>
          </w:rPr>
          <w:t>nnex A</w:t>
        </w:r>
      </w:hyperlink>
      <w:r w:rsidR="00700658">
        <w:rPr>
          <w:szCs w:val="24"/>
        </w:rPr>
        <w:t>).</w:t>
      </w:r>
      <w:r w:rsidR="00092EEB">
        <w:rPr>
          <w:szCs w:val="24"/>
        </w:rPr>
        <w:t xml:space="preserve"> </w:t>
      </w:r>
      <w:r w:rsidRPr="00271A2F">
        <w:rPr>
          <w:szCs w:val="24"/>
        </w:rPr>
        <w:t xml:space="preserve">As this is the first </w:t>
      </w:r>
      <w:r>
        <w:rPr>
          <w:szCs w:val="24"/>
        </w:rPr>
        <w:t xml:space="preserve">three-year </w:t>
      </w:r>
      <w:r w:rsidRPr="00271A2F">
        <w:rPr>
          <w:szCs w:val="24"/>
        </w:rPr>
        <w:t>report</w:t>
      </w:r>
      <w:r>
        <w:rPr>
          <w:szCs w:val="24"/>
        </w:rPr>
        <w:t>ing cycle</w:t>
      </w:r>
      <w:r w:rsidRPr="00271A2F">
        <w:rPr>
          <w:szCs w:val="24"/>
        </w:rPr>
        <w:t xml:space="preserve"> </w:t>
      </w:r>
      <w:r>
        <w:rPr>
          <w:szCs w:val="24"/>
        </w:rPr>
        <w:t>for</w:t>
      </w:r>
      <w:r w:rsidRPr="00271A2F">
        <w:rPr>
          <w:szCs w:val="24"/>
        </w:rPr>
        <w:t xml:space="preserve"> the </w:t>
      </w:r>
      <w:r w:rsidR="00DC2E44">
        <w:rPr>
          <w:szCs w:val="24"/>
        </w:rPr>
        <w:t>Plan</w:t>
      </w:r>
      <w:r w:rsidRPr="00271A2F">
        <w:rPr>
          <w:szCs w:val="24"/>
        </w:rPr>
        <w:t>,</w:t>
      </w:r>
      <w:r>
        <w:rPr>
          <w:szCs w:val="24"/>
        </w:rPr>
        <w:t xml:space="preserve"> </w:t>
      </w:r>
      <w:r>
        <w:rPr>
          <w:bCs/>
          <w:szCs w:val="24"/>
        </w:rPr>
        <w:t>e</w:t>
      </w:r>
      <w:r w:rsidRPr="00271A2F">
        <w:rPr>
          <w:bCs/>
          <w:szCs w:val="24"/>
        </w:rPr>
        <w:t xml:space="preserve">vidence of policy use has </w:t>
      </w:r>
      <w:r>
        <w:rPr>
          <w:bCs/>
          <w:szCs w:val="24"/>
        </w:rPr>
        <w:t xml:space="preserve">been primary to underpinning these conclusions. </w:t>
      </w:r>
      <w:r w:rsidR="001F1C08">
        <w:rPr>
          <w:bCs/>
          <w:szCs w:val="24"/>
        </w:rPr>
        <w:br/>
      </w:r>
      <w:r w:rsidR="001F1C08">
        <w:rPr>
          <w:bCs/>
          <w:szCs w:val="24"/>
        </w:rPr>
        <w:br/>
      </w:r>
      <w:r w:rsidRPr="00A367B8">
        <w:rPr>
          <w:szCs w:val="24"/>
        </w:rPr>
        <w:t xml:space="preserve">Outcome monitoring shows that in many cases effects are occurring </w:t>
      </w:r>
      <w:r w:rsidRPr="00AD61C9">
        <w:rPr>
          <w:szCs w:val="24"/>
        </w:rPr>
        <w:t>in line with policy intent. However, there are many instances of either insufficient or inconclusive data which limits conclusions o</w:t>
      </w:r>
      <w:r>
        <w:rPr>
          <w:szCs w:val="24"/>
        </w:rPr>
        <w:t>n</w:t>
      </w:r>
      <w:r w:rsidRPr="00A367B8">
        <w:rPr>
          <w:szCs w:val="24"/>
        </w:rPr>
        <w:t xml:space="preserve"> policy </w:t>
      </w:r>
      <w:r>
        <w:rPr>
          <w:szCs w:val="24"/>
        </w:rPr>
        <w:t xml:space="preserve">effects and </w:t>
      </w:r>
      <w:r w:rsidRPr="00A367B8">
        <w:rPr>
          <w:szCs w:val="24"/>
        </w:rPr>
        <w:t>effectiveness drawn from outcome findings</w:t>
      </w:r>
      <w:r>
        <w:rPr>
          <w:szCs w:val="24"/>
        </w:rPr>
        <w:t xml:space="preserve"> at this stage</w:t>
      </w:r>
      <w:r w:rsidRPr="00A367B8">
        <w:rPr>
          <w:szCs w:val="24"/>
        </w:rPr>
        <w:t>.</w:t>
      </w:r>
    </w:p>
    <w:p w14:paraId="2D0364C0" w14:textId="7356ECD2" w:rsidR="00B75544" w:rsidRPr="00271A2F" w:rsidRDefault="00B75544" w:rsidP="00B75544">
      <w:pPr>
        <w:pStyle w:val="ListParagraph"/>
        <w:numPr>
          <w:ilvl w:val="0"/>
          <w:numId w:val="8"/>
        </w:numPr>
        <w:ind w:left="561" w:hanging="567"/>
        <w:contextualSpacing w:val="0"/>
      </w:pPr>
      <w:r>
        <w:rPr>
          <w:szCs w:val="24"/>
        </w:rPr>
        <w:t>A</w:t>
      </w:r>
      <w:r w:rsidRPr="00271A2F">
        <w:rPr>
          <w:szCs w:val="24"/>
        </w:rPr>
        <w:t>chievement of the HLMOs is wider in scope than the</w:t>
      </w:r>
      <w:r>
        <w:rPr>
          <w:szCs w:val="24"/>
        </w:rPr>
        <w:t xml:space="preserve"> contribution of the </w:t>
      </w:r>
      <w:r w:rsidR="00DC2E44">
        <w:rPr>
          <w:szCs w:val="24"/>
        </w:rPr>
        <w:t>Plan</w:t>
      </w:r>
      <w:r>
        <w:rPr>
          <w:szCs w:val="24"/>
        </w:rPr>
        <w:t xml:space="preserve"> through certain policy or </w:t>
      </w:r>
      <w:r w:rsidR="00DC2E44">
        <w:rPr>
          <w:szCs w:val="24"/>
        </w:rPr>
        <w:t>Plan</w:t>
      </w:r>
      <w:r>
        <w:rPr>
          <w:szCs w:val="24"/>
        </w:rPr>
        <w:t xml:space="preserve"> objective specific outcomes. The implementation of the </w:t>
      </w:r>
      <w:r w:rsidR="00DC2E44">
        <w:rPr>
          <w:szCs w:val="24"/>
        </w:rPr>
        <w:t>Plan</w:t>
      </w:r>
      <w:r>
        <w:rPr>
          <w:szCs w:val="24"/>
        </w:rPr>
        <w:t xml:space="preserve"> represents a successful step towards ‘promoting good governance’ and ‘using sound science responsibly’.</w:t>
      </w:r>
    </w:p>
    <w:p w14:paraId="763CE0A1" w14:textId="68C8213C" w:rsidR="00B75544" w:rsidRPr="00271A2F" w:rsidRDefault="00B75544" w:rsidP="00B75544">
      <w:pPr>
        <w:pStyle w:val="ListParagraph"/>
        <w:numPr>
          <w:ilvl w:val="0"/>
          <w:numId w:val="8"/>
        </w:numPr>
        <w:ind w:left="561" w:hanging="567"/>
        <w:contextualSpacing w:val="0"/>
      </w:pPr>
      <w:r w:rsidRPr="00271A2F">
        <w:rPr>
          <w:szCs w:val="24"/>
        </w:rPr>
        <w:t>Monitoring showed a mix of outcome findings for policies, with many indicating positive effects</w:t>
      </w:r>
      <w:r>
        <w:rPr>
          <w:szCs w:val="24"/>
        </w:rPr>
        <w:t>, whilst for others not enough time had yet passed for findings to be indicative of outcomes</w:t>
      </w:r>
      <w:r w:rsidRPr="00E166F6">
        <w:rPr>
          <w:szCs w:val="24"/>
        </w:rPr>
        <w:t xml:space="preserve"> </w:t>
      </w:r>
      <w:r>
        <w:rPr>
          <w:szCs w:val="24"/>
        </w:rPr>
        <w:t xml:space="preserve">influenced by </w:t>
      </w:r>
      <w:r w:rsidR="00DC2E44">
        <w:rPr>
          <w:szCs w:val="24"/>
        </w:rPr>
        <w:t>Plan</w:t>
      </w:r>
      <w:r>
        <w:rPr>
          <w:szCs w:val="24"/>
        </w:rPr>
        <w:t xml:space="preserve"> policy</w:t>
      </w:r>
      <w:r w:rsidRPr="00271A2F">
        <w:rPr>
          <w:szCs w:val="24"/>
        </w:rPr>
        <w:t xml:space="preserve">. </w:t>
      </w:r>
      <w:r>
        <w:rPr>
          <w:szCs w:val="24"/>
        </w:rPr>
        <w:t>In some cases, the data available was</w:t>
      </w:r>
      <w:r w:rsidRPr="00271A2F">
        <w:rPr>
          <w:szCs w:val="24"/>
        </w:rPr>
        <w:t xml:space="preserve"> inconclusive or did not </w:t>
      </w:r>
      <w:r w:rsidRPr="00A2230B">
        <w:t>demonstrate</w:t>
      </w:r>
      <w:r w:rsidRPr="00271A2F">
        <w:rPr>
          <w:szCs w:val="24"/>
        </w:rPr>
        <w:t xml:space="preserve"> a trend.</w:t>
      </w:r>
    </w:p>
    <w:p w14:paraId="18827A40" w14:textId="60AFE438" w:rsidR="00B75544" w:rsidRPr="00BD52F5" w:rsidRDefault="00B75544" w:rsidP="00B75544">
      <w:pPr>
        <w:pStyle w:val="ListParagraph"/>
        <w:numPr>
          <w:ilvl w:val="0"/>
          <w:numId w:val="8"/>
        </w:numPr>
        <w:ind w:left="561" w:hanging="567"/>
        <w:contextualSpacing w:val="0"/>
      </w:pPr>
      <w:r w:rsidRPr="003C45D6">
        <w:t>Higher confidence can be placed in the assessment of policy effects and effectiveness where monitoring data relate</w:t>
      </w:r>
      <w:r>
        <w:t>d</w:t>
      </w:r>
      <w:r w:rsidRPr="003C45D6">
        <w:t xml:space="preserve"> to outcomes </w:t>
      </w:r>
      <w:r>
        <w:t xml:space="preserve">that </w:t>
      </w:r>
      <w:r w:rsidRPr="003C45D6">
        <w:t xml:space="preserve">can be observed and influenced over a shorter time period. </w:t>
      </w:r>
      <w:r w:rsidR="001F1C08">
        <w:br/>
      </w:r>
      <w:r w:rsidR="001F1C08">
        <w:br/>
      </w:r>
      <w:r w:rsidRPr="003C45D6">
        <w:t>An example of this</w:t>
      </w:r>
      <w:r>
        <w:t xml:space="preserve"> are</w:t>
      </w:r>
      <w:r w:rsidRPr="003C45D6">
        <w:t xml:space="preserve"> the more spatially specific policies in the </w:t>
      </w:r>
      <w:r w:rsidR="00DC2E44">
        <w:t>Plan</w:t>
      </w:r>
      <w:r>
        <w:t>,</w:t>
      </w:r>
      <w:r w:rsidRPr="003C45D6">
        <w:t xml:space="preserve"> and </w:t>
      </w:r>
      <w:r>
        <w:t xml:space="preserve">the </w:t>
      </w:r>
      <w:r w:rsidRPr="003C45D6">
        <w:t>locational data for consented activities that is used to monitor them.</w:t>
      </w:r>
      <w:r>
        <w:t xml:space="preserve"> </w:t>
      </w:r>
      <w:r w:rsidR="001F1C08">
        <w:br/>
      </w:r>
      <w:r w:rsidR="001F1C08">
        <w:br/>
      </w:r>
      <w:r>
        <w:lastRenderedPageBreak/>
        <w:t xml:space="preserve">Outcome findings for these policies have shown them to be effective </w:t>
      </w:r>
      <w:r w:rsidRPr="003C45D6">
        <w:t>at increasing relevant considerations being taken</w:t>
      </w:r>
      <w:r>
        <w:t>,</w:t>
      </w:r>
      <w:r w:rsidRPr="003C45D6">
        <w:t xml:space="preserve"> and a</w:t>
      </w:r>
      <w:r>
        <w:t>t</w:t>
      </w:r>
      <w:r w:rsidRPr="003C45D6">
        <w:t xml:space="preserve"> decreasing proposals </w:t>
      </w:r>
      <w:r>
        <w:t>sited</w:t>
      </w:r>
      <w:r w:rsidRPr="003C45D6">
        <w:t xml:space="preserve"> in areas where they may have a negative impact.</w:t>
      </w:r>
    </w:p>
    <w:p w14:paraId="6098A32B" w14:textId="3D2BE072" w:rsidR="00B75544" w:rsidRPr="00271A2F" w:rsidRDefault="00B75544" w:rsidP="00B75544">
      <w:pPr>
        <w:pStyle w:val="ListParagraph"/>
        <w:numPr>
          <w:ilvl w:val="0"/>
          <w:numId w:val="8"/>
        </w:numPr>
        <w:ind w:left="561" w:hanging="567"/>
        <w:contextualSpacing w:val="0"/>
      </w:pPr>
      <w:r>
        <w:t xml:space="preserve">For policies, such as those addressing aquaculture and heritage (S-AQ-2 and S-HER-1), for which negative findings were observed since </w:t>
      </w:r>
      <w:r w:rsidR="00DC2E44">
        <w:t>Plan</w:t>
      </w:r>
      <w:r>
        <w:t xml:space="preserve"> adoption, it is difficult to ascertain how, or if, the observed changes have been influenced by the relevant </w:t>
      </w:r>
      <w:r w:rsidR="00DC2E44">
        <w:t>Plan</w:t>
      </w:r>
      <w:r>
        <w:t xml:space="preserve"> policies. It is likely too soon for the policies to have influenced these findings. </w:t>
      </w:r>
      <w:r w:rsidR="006525F3">
        <w:br/>
      </w:r>
      <w:r w:rsidR="006525F3">
        <w:br/>
      </w:r>
      <w:r>
        <w:t xml:space="preserve">However, it is indicative that these policies, so far, have proved ineffective. </w:t>
      </w:r>
      <w:r w:rsidRPr="39CCCA7D">
        <w:rPr>
          <w:rStyle w:val="eop"/>
          <w:rFonts w:cs="Arial"/>
        </w:rPr>
        <w:t>I</w:t>
      </w:r>
      <w:r>
        <w:t xml:space="preserve">mprovements to our monitoring methodology may need to be made to better understand the effect these policies are </w:t>
      </w:r>
      <w:r w:rsidR="006525F3">
        <w:t>having before</w:t>
      </w:r>
      <w:r>
        <w:t xml:space="preserve"> a potential change to </w:t>
      </w:r>
      <w:r w:rsidR="00DC2E44">
        <w:t>Plan</w:t>
      </w:r>
      <w:r>
        <w:t xml:space="preserve"> content is clearly warranted. </w:t>
      </w:r>
    </w:p>
    <w:p w14:paraId="5AB8921E" w14:textId="74376BC8" w:rsidR="00B75544" w:rsidRPr="00271A2F" w:rsidRDefault="00B75544" w:rsidP="00B75544">
      <w:pPr>
        <w:pStyle w:val="ListParagraph"/>
        <w:numPr>
          <w:ilvl w:val="0"/>
          <w:numId w:val="8"/>
        </w:numPr>
        <w:ind w:left="561" w:hanging="567"/>
        <w:contextualSpacing w:val="0"/>
      </w:pPr>
      <w:r w:rsidRPr="00271A2F">
        <w:rPr>
          <w:szCs w:val="24"/>
        </w:rPr>
        <w:t xml:space="preserve">At this stage it is too soon to determine the effectiveness of many of the policies in securing </w:t>
      </w:r>
      <w:r w:rsidR="00DC2E44">
        <w:rPr>
          <w:szCs w:val="24"/>
        </w:rPr>
        <w:t>Plan</w:t>
      </w:r>
      <w:r w:rsidRPr="00271A2F">
        <w:rPr>
          <w:szCs w:val="24"/>
        </w:rPr>
        <w:t xml:space="preserve"> objectives. </w:t>
      </w:r>
      <w:r w:rsidR="006525F3">
        <w:rPr>
          <w:szCs w:val="24"/>
        </w:rPr>
        <w:br/>
      </w:r>
      <w:r w:rsidR="006525F3">
        <w:rPr>
          <w:szCs w:val="24"/>
        </w:rPr>
        <w:br/>
      </w:r>
      <w:r>
        <w:rPr>
          <w:szCs w:val="24"/>
        </w:rPr>
        <w:t>O</w:t>
      </w:r>
      <w:r w:rsidRPr="00271A2F">
        <w:rPr>
          <w:szCs w:val="24"/>
        </w:rPr>
        <w:t xml:space="preserve">utcome findings for policies that may require longer before measurable policy effects become </w:t>
      </w:r>
      <w:r>
        <w:rPr>
          <w:szCs w:val="24"/>
        </w:rPr>
        <w:t>evident</w:t>
      </w:r>
      <w:r w:rsidRPr="00271A2F">
        <w:rPr>
          <w:szCs w:val="24"/>
        </w:rPr>
        <w:t xml:space="preserve">, such as those contributing to Objectives 2, 3, 4, and 6, </w:t>
      </w:r>
      <w:r>
        <w:rPr>
          <w:szCs w:val="24"/>
        </w:rPr>
        <w:t>limit</w:t>
      </w:r>
      <w:r w:rsidRPr="00271A2F">
        <w:rPr>
          <w:szCs w:val="24"/>
        </w:rPr>
        <w:t xml:space="preserve"> understanding of the effectiveness of these policies </w:t>
      </w:r>
      <w:r>
        <w:rPr>
          <w:szCs w:val="24"/>
        </w:rPr>
        <w:t xml:space="preserve">in this reporting cycle. </w:t>
      </w:r>
    </w:p>
    <w:p w14:paraId="3F210DD0" w14:textId="342B7445" w:rsidR="00EF760F" w:rsidRPr="004606E0" w:rsidRDefault="00320E6B" w:rsidP="00904996">
      <w:r>
        <w:br/>
      </w:r>
    </w:p>
    <w:p w14:paraId="54CADEA1" w14:textId="12913D74" w:rsidR="00B321E4" w:rsidRDefault="00EF760F">
      <w:pPr>
        <w:spacing w:before="0" w:after="0" w:line="240" w:lineRule="auto"/>
        <w:rPr>
          <w:rFonts w:eastAsia="Times New Roman"/>
          <w:b/>
          <w:bCs/>
          <w:color w:val="008938"/>
          <w:sz w:val="44"/>
          <w:szCs w:val="28"/>
        </w:rPr>
      </w:pPr>
      <w:r>
        <w:br w:type="page"/>
      </w:r>
      <w:bookmarkStart w:id="232" w:name="_Ref68165720"/>
      <w:bookmarkEnd w:id="188"/>
      <w:bookmarkEnd w:id="189"/>
    </w:p>
    <w:p w14:paraId="623E8A13" w14:textId="5876A0BC" w:rsidR="00B55ED0" w:rsidRPr="00271A2F" w:rsidRDefault="00B55ED0" w:rsidP="00285EEE">
      <w:pPr>
        <w:pStyle w:val="Heading2"/>
      </w:pPr>
      <w:bookmarkStart w:id="233" w:name="_Annex_A:_High"/>
      <w:bookmarkStart w:id="234" w:name="_Toc72414609"/>
      <w:bookmarkStart w:id="235" w:name="_Toc72489176"/>
      <w:bookmarkStart w:id="236" w:name="_Toc74308005"/>
      <w:bookmarkStart w:id="237" w:name="_Toc74577271"/>
      <w:bookmarkStart w:id="238" w:name="_Toc68186342"/>
      <w:bookmarkStart w:id="239" w:name="_Ref68192435"/>
      <w:bookmarkEnd w:id="233"/>
      <w:r w:rsidRPr="00E35A29">
        <w:lastRenderedPageBreak/>
        <w:t xml:space="preserve">Conclusion and </w:t>
      </w:r>
      <w:r>
        <w:t>n</w:t>
      </w:r>
      <w:r w:rsidRPr="00E35A29">
        <w:t xml:space="preserve">ext </w:t>
      </w:r>
      <w:r>
        <w:t>s</w:t>
      </w:r>
      <w:r w:rsidRPr="00E35A29">
        <w:t>teps</w:t>
      </w:r>
      <w:bookmarkEnd w:id="234"/>
      <w:bookmarkEnd w:id="235"/>
      <w:bookmarkEnd w:id="236"/>
      <w:bookmarkEnd w:id="237"/>
    </w:p>
    <w:p w14:paraId="1443F0D8" w14:textId="0D2EBCE3" w:rsidR="00B55ED0" w:rsidRPr="00271A2F" w:rsidRDefault="3B229BA1" w:rsidP="00B55ED0">
      <w:pPr>
        <w:pStyle w:val="ListParagraph"/>
        <w:numPr>
          <w:ilvl w:val="0"/>
          <w:numId w:val="8"/>
        </w:numPr>
        <w:ind w:left="561" w:hanging="567"/>
        <w:contextualSpacing w:val="0"/>
      </w:pPr>
      <w:r>
        <w:t>I</w:t>
      </w:r>
      <w:r w:rsidR="47E0202C">
        <w:t xml:space="preserve">mprovements to monitoring, implementation and </w:t>
      </w:r>
      <w:r w:rsidR="00DC2E44">
        <w:t>Plan</w:t>
      </w:r>
      <w:r w:rsidR="47E0202C">
        <w:t xml:space="preserve"> content have been identified to address </w:t>
      </w:r>
      <w:r w:rsidR="09230019">
        <w:t xml:space="preserve">most </w:t>
      </w:r>
      <w:r w:rsidR="47E0202C">
        <w:t>outstanding limitations.</w:t>
      </w:r>
    </w:p>
    <w:p w14:paraId="0D7B3E34" w14:textId="770980AB" w:rsidR="00B55ED0" w:rsidRPr="00271A2F" w:rsidRDefault="00B55ED0" w:rsidP="00B55ED0">
      <w:pPr>
        <w:pStyle w:val="ListParagraph"/>
        <w:numPr>
          <w:ilvl w:val="0"/>
          <w:numId w:val="8"/>
        </w:numPr>
        <w:ind w:left="561" w:hanging="567"/>
      </w:pPr>
      <w:r>
        <w:rPr>
          <w:rFonts w:cs="Arial"/>
        </w:rPr>
        <w:t xml:space="preserve">The </w:t>
      </w:r>
      <w:r w:rsidR="00DC2E44">
        <w:rPr>
          <w:rFonts w:cs="Arial"/>
        </w:rPr>
        <w:t>Plan</w:t>
      </w:r>
      <w:r>
        <w:rPr>
          <w:rFonts w:cs="Arial"/>
        </w:rPr>
        <w:t xml:space="preserve"> remains relevant to the MPS HLMOs and broadly aligned with current issues as well as both national and local priorities. </w:t>
      </w:r>
      <w:r w:rsidR="006525F3">
        <w:rPr>
          <w:rFonts w:cs="Arial"/>
        </w:rPr>
        <w:br/>
      </w:r>
      <w:r w:rsidR="006525F3">
        <w:rPr>
          <w:rFonts w:cs="Arial"/>
        </w:rPr>
        <w:br/>
      </w:r>
      <w:r>
        <w:rPr>
          <w:rFonts w:cs="Arial"/>
        </w:rPr>
        <w:t xml:space="preserve">Context monitoring did identify some relevant matters that suggest targeted sections of the </w:t>
      </w:r>
      <w:r w:rsidR="00DC2E44">
        <w:rPr>
          <w:rFonts w:cs="Arial"/>
        </w:rPr>
        <w:t>Plan</w:t>
      </w:r>
      <w:r>
        <w:rPr>
          <w:rFonts w:cs="Arial"/>
        </w:rPr>
        <w:t xml:space="preserve"> could be amended to ensure alignment with current issues and national priorities is maintained. </w:t>
      </w:r>
      <w:r w:rsidR="006525F3">
        <w:rPr>
          <w:rFonts w:cs="Arial"/>
        </w:rPr>
        <w:br/>
      </w:r>
      <w:r w:rsidR="006525F3">
        <w:rPr>
          <w:rFonts w:cs="Arial"/>
        </w:rPr>
        <w:br/>
      </w:r>
      <w:r>
        <w:rPr>
          <w:rFonts w:cs="Arial"/>
        </w:rPr>
        <w:t xml:space="preserve">Any changes to improve or update information and signposting could be made at the same time. </w:t>
      </w:r>
      <w:r w:rsidR="006525F3">
        <w:rPr>
          <w:rFonts w:cs="Arial"/>
        </w:rPr>
        <w:br/>
      </w:r>
      <w:r w:rsidR="006525F3">
        <w:rPr>
          <w:rFonts w:cs="Arial"/>
        </w:rPr>
        <w:br/>
      </w:r>
      <w:r w:rsidR="00CA172B">
        <w:rPr>
          <w:rFonts w:cs="Arial"/>
        </w:rPr>
        <w:t>T</w:t>
      </w:r>
      <w:r>
        <w:rPr>
          <w:rFonts w:cs="Arial"/>
        </w:rPr>
        <w:t>hese matters alone</w:t>
      </w:r>
      <w:r w:rsidR="00CA172B">
        <w:rPr>
          <w:rFonts w:cs="Arial"/>
        </w:rPr>
        <w:t>, however,</w:t>
      </w:r>
      <w:r>
        <w:rPr>
          <w:rFonts w:cs="Arial"/>
        </w:rPr>
        <w:t xml:space="preserve"> do not fundamentally undermine the continued relevance of the </w:t>
      </w:r>
      <w:r w:rsidR="00DC2E44">
        <w:rPr>
          <w:rFonts w:cs="Arial"/>
        </w:rPr>
        <w:t>Plan</w:t>
      </w:r>
      <w:r>
        <w:rPr>
          <w:rFonts w:cs="Arial"/>
        </w:rPr>
        <w:t xml:space="preserve">. </w:t>
      </w:r>
    </w:p>
    <w:p w14:paraId="4C0DF90D" w14:textId="429A1CBA" w:rsidR="00B55ED0" w:rsidRPr="00271A2F" w:rsidRDefault="00B55ED0" w:rsidP="00B55ED0">
      <w:pPr>
        <w:pStyle w:val="ListParagraph"/>
        <w:numPr>
          <w:ilvl w:val="0"/>
          <w:numId w:val="8"/>
        </w:numPr>
        <w:ind w:left="561" w:hanging="567"/>
        <w:contextualSpacing w:val="0"/>
      </w:pPr>
      <w:r>
        <w:t xml:space="preserve">Process monitoring has demonstrated positive progress towards the </w:t>
      </w:r>
      <w:r w:rsidR="00DC2E44">
        <w:t>Plan</w:t>
      </w:r>
      <w:r>
        <w:t xml:space="preserve"> </w:t>
      </w:r>
      <w:r w:rsidRPr="00A2230B">
        <w:t>embedding</w:t>
      </w:r>
      <w:r>
        <w:t xml:space="preserve"> in the decision-making process within this first reporting window. </w:t>
      </w:r>
      <w:r w:rsidR="006525F3">
        <w:br/>
      </w:r>
      <w:r w:rsidR="006525F3">
        <w:br/>
      </w:r>
      <w:r>
        <w:t xml:space="preserve">While limitations in process monitoring remain, many can be addressed through the continued provision of, and improvement to, existing implementation and monitoring processes. </w:t>
      </w:r>
    </w:p>
    <w:p w14:paraId="2A6C4B27" w14:textId="778FC714" w:rsidR="005540A3" w:rsidRPr="00271A2F" w:rsidRDefault="00B55ED0" w:rsidP="007D6517">
      <w:pPr>
        <w:pStyle w:val="ListParagraph"/>
        <w:numPr>
          <w:ilvl w:val="0"/>
          <w:numId w:val="8"/>
        </w:numPr>
        <w:ind w:left="561" w:hanging="567"/>
        <w:contextualSpacing w:val="0"/>
      </w:pPr>
      <w:r>
        <w:t xml:space="preserve">Outcome monitoring findings suggest that positive progress is being made towards almost all objectives, with many policies evidencing positive effects. </w:t>
      </w:r>
      <w:r w:rsidR="005B00F7">
        <w:t xml:space="preserve">However, in many cases it is still too soon for longer term policy-influenced outcomes to have occurred. </w:t>
      </w:r>
      <w:r w:rsidR="006525F3">
        <w:br/>
      </w:r>
      <w:r w:rsidR="006525F3">
        <w:br/>
      </w:r>
      <w:r>
        <w:t xml:space="preserve">There is a need to </w:t>
      </w:r>
      <w:r w:rsidR="009D25BB">
        <w:t xml:space="preserve">continually </w:t>
      </w:r>
      <w:r w:rsidRPr="00A2230B">
        <w:t>improve</w:t>
      </w:r>
      <w:r>
        <w:t xml:space="preserve"> aspects of outcome monitoring to reduce data gaps and increase confidence in future monitoring efforts. </w:t>
      </w:r>
      <w:r w:rsidR="006525F3">
        <w:br/>
      </w:r>
      <w:r w:rsidR="006525F3">
        <w:br/>
      </w:r>
      <w:r w:rsidRPr="09F83F24">
        <w:rPr>
          <w:rFonts w:cs="Arial"/>
        </w:rPr>
        <w:t>Over time policies are expected to become more embedded in decision-making and so will increase in impact.</w:t>
      </w:r>
      <w:r w:rsidR="008A423E">
        <w:rPr>
          <w:rFonts w:cs="Arial"/>
        </w:rPr>
        <w:t xml:space="preserve"> </w:t>
      </w:r>
      <w:r w:rsidR="006525F3">
        <w:rPr>
          <w:rFonts w:cs="Arial"/>
        </w:rPr>
        <w:br/>
      </w:r>
      <w:r w:rsidR="006525F3">
        <w:rPr>
          <w:rFonts w:cs="Arial"/>
        </w:rPr>
        <w:br/>
      </w:r>
      <w:r w:rsidR="008A423E">
        <w:rPr>
          <w:rFonts w:cs="Arial"/>
        </w:rPr>
        <w:t xml:space="preserve">Alongside the continued passage of time, this will allow for higher confidence in attributing observed outcomes to the influence of the </w:t>
      </w:r>
      <w:r w:rsidR="00DC2E44">
        <w:rPr>
          <w:rFonts w:cs="Arial"/>
        </w:rPr>
        <w:t>Plan</w:t>
      </w:r>
      <w:r w:rsidR="008A423E">
        <w:rPr>
          <w:rFonts w:cs="Arial"/>
        </w:rPr>
        <w:t xml:space="preserve">. </w:t>
      </w:r>
    </w:p>
    <w:p w14:paraId="72A8EB30" w14:textId="61D53E07" w:rsidR="00B55ED0" w:rsidRPr="00271A2F" w:rsidRDefault="00B55ED0" w:rsidP="00B55ED0">
      <w:pPr>
        <w:pStyle w:val="ListParagraph"/>
        <w:numPr>
          <w:ilvl w:val="0"/>
          <w:numId w:val="8"/>
        </w:numPr>
        <w:ind w:left="561" w:hanging="567"/>
        <w:contextualSpacing w:val="0"/>
      </w:pPr>
      <w:r>
        <w:t xml:space="preserve">The MMO and the Department for Environment, Food </w:t>
      </w:r>
      <w:r w:rsidR="00C406C0">
        <w:t>and</w:t>
      </w:r>
      <w:r>
        <w:t xml:space="preserve"> Rural Affairs</w:t>
      </w:r>
      <w:r w:rsidR="00C406C0">
        <w:t xml:space="preserve"> (Defra)</w:t>
      </w:r>
      <w:r>
        <w:t xml:space="preserve"> are currently considering the needs of future marine </w:t>
      </w:r>
      <w:r w:rsidR="00C406C0">
        <w:t>p</w:t>
      </w:r>
      <w:r w:rsidR="00DC2E44">
        <w:t>lan</w:t>
      </w:r>
      <w:r>
        <w:t xml:space="preserve">s. </w:t>
      </w:r>
      <w:r w:rsidR="006525F3">
        <w:br/>
      </w:r>
      <w:r w:rsidR="006525F3">
        <w:br/>
      </w:r>
      <w:r>
        <w:t xml:space="preserve">While a </w:t>
      </w:r>
      <w:r w:rsidRPr="00A2230B">
        <w:t>decision</w:t>
      </w:r>
      <w:r>
        <w:t xml:space="preserve"> is still to be determined as to what the scope and approach to the preparation of future </w:t>
      </w:r>
      <w:r w:rsidR="00C406C0">
        <w:t>m</w:t>
      </w:r>
      <w:r>
        <w:t xml:space="preserve">arine </w:t>
      </w:r>
      <w:r w:rsidR="00C406C0">
        <w:t>p</w:t>
      </w:r>
      <w:r w:rsidR="00DC2E44">
        <w:t>lan</w:t>
      </w:r>
      <w:r>
        <w:t xml:space="preserve">s will include, the outcome does not have a bearing on the conclusion </w:t>
      </w:r>
      <w:r w:rsidR="00C01175">
        <w:t>of</w:t>
      </w:r>
      <w:r>
        <w:t xml:space="preserve"> this report.</w:t>
      </w:r>
      <w:r w:rsidR="006525F3">
        <w:br/>
      </w:r>
      <w:r w:rsidR="006525F3">
        <w:br/>
      </w:r>
      <w:r>
        <w:lastRenderedPageBreak/>
        <w:t xml:space="preserve">In the future, it may be relevant to consider the conclusions of this report again in line with a future scope of marine </w:t>
      </w:r>
      <w:r w:rsidR="00C406C0">
        <w:t>p</w:t>
      </w:r>
      <w:r w:rsidR="00DC2E44">
        <w:t>lan</w:t>
      </w:r>
      <w:r>
        <w:t xml:space="preserve"> preparation.</w:t>
      </w:r>
    </w:p>
    <w:p w14:paraId="555372D1" w14:textId="665F8EC5" w:rsidR="00B55ED0" w:rsidRPr="00271A2F" w:rsidRDefault="00B55ED0" w:rsidP="00B55ED0">
      <w:pPr>
        <w:pStyle w:val="ListParagraph"/>
        <w:numPr>
          <w:ilvl w:val="0"/>
          <w:numId w:val="8"/>
        </w:numPr>
        <w:ind w:left="561" w:hanging="567"/>
        <w:contextualSpacing w:val="0"/>
      </w:pPr>
      <w:r>
        <w:t xml:space="preserve">Informed by this report, the MMO will provide a recommendation to ministers on whether or not to amend or replace the </w:t>
      </w:r>
      <w:r w:rsidR="00B07496">
        <w:t xml:space="preserve">South Marine </w:t>
      </w:r>
      <w:r w:rsidR="00DC2E44">
        <w:t>Plan</w:t>
      </w:r>
      <w:r>
        <w:t xml:space="preserve">. </w:t>
      </w:r>
    </w:p>
    <w:p w14:paraId="46FC0D06" w14:textId="77777777" w:rsidR="00B55ED0" w:rsidRDefault="00B55ED0">
      <w:pPr>
        <w:spacing w:before="0" w:after="0" w:line="240" w:lineRule="auto"/>
        <w:rPr>
          <w:rFonts w:eastAsia="Times New Roman"/>
          <w:b/>
          <w:bCs/>
          <w:color w:val="008938"/>
          <w:sz w:val="44"/>
          <w:szCs w:val="28"/>
        </w:rPr>
      </w:pPr>
      <w:r>
        <w:br w:type="page"/>
      </w:r>
    </w:p>
    <w:p w14:paraId="5B091B56" w14:textId="0A59F13F" w:rsidR="00EC4955" w:rsidRPr="00EC4955" w:rsidRDefault="00E03F44" w:rsidP="00285EEE">
      <w:pPr>
        <w:pStyle w:val="Heading2"/>
      </w:pPr>
      <w:bookmarkStart w:id="240" w:name="_Toc72414610"/>
      <w:bookmarkStart w:id="241" w:name="_Toc72489177"/>
      <w:bookmarkStart w:id="242" w:name="_Toc74308006"/>
      <w:bookmarkStart w:id="243" w:name="_Toc74577272"/>
      <w:r>
        <w:lastRenderedPageBreak/>
        <w:t>A</w:t>
      </w:r>
      <w:r w:rsidR="002D678B" w:rsidRPr="002D678B">
        <w:t xml:space="preserve">nnex </w:t>
      </w:r>
      <w:r w:rsidR="7AD15130">
        <w:t>A</w:t>
      </w:r>
      <w:r w:rsidR="00FD7134">
        <w:t>:</w:t>
      </w:r>
      <w:r w:rsidR="002D678B" w:rsidRPr="002D678B">
        <w:t xml:space="preserve"> </w:t>
      </w:r>
      <w:r w:rsidR="006525F3">
        <w:t>h</w:t>
      </w:r>
      <w:r w:rsidR="003A01DF" w:rsidRPr="003A01DF">
        <w:t xml:space="preserve">igh level marine objectives and </w:t>
      </w:r>
      <w:r w:rsidR="00D565CC">
        <w:t xml:space="preserve">corresponding </w:t>
      </w:r>
      <w:r w:rsidR="00B07496">
        <w:t xml:space="preserve">South Marine </w:t>
      </w:r>
      <w:r w:rsidR="00DC2E44">
        <w:t>Plan</w:t>
      </w:r>
      <w:r w:rsidR="003A01DF" w:rsidRPr="003A01DF">
        <w:t xml:space="preserve"> objectives</w:t>
      </w:r>
      <w:bookmarkEnd w:id="240"/>
      <w:bookmarkEnd w:id="241"/>
      <w:bookmarkEnd w:id="242"/>
      <w:bookmarkEnd w:id="243"/>
      <w:r w:rsidR="002D678B" w:rsidRPr="002D678B">
        <w:t xml:space="preserve"> </w:t>
      </w:r>
      <w:bookmarkEnd w:id="232"/>
      <w:bookmarkEnd w:id="238"/>
      <w:bookmarkEnd w:id="239"/>
    </w:p>
    <w:tbl>
      <w:tblPr>
        <w:tblW w:w="9291" w:type="dxa"/>
        <w:tblInd w:w="98" w:type="dxa"/>
        <w:tblBorders>
          <w:top w:val="single" w:sz="8" w:space="0" w:color="008938"/>
          <w:left w:val="single" w:sz="8" w:space="0" w:color="008938"/>
          <w:bottom w:val="single" w:sz="8" w:space="0" w:color="008938"/>
          <w:right w:val="single" w:sz="8" w:space="0" w:color="008938"/>
          <w:insideH w:val="single" w:sz="8" w:space="0" w:color="008938"/>
          <w:insideV w:val="single" w:sz="8" w:space="0" w:color="008938"/>
        </w:tblBorders>
        <w:tblLayout w:type="fixed"/>
        <w:tblCellMar>
          <w:left w:w="0" w:type="dxa"/>
          <w:right w:w="0" w:type="dxa"/>
        </w:tblCellMar>
        <w:tblLook w:val="01E0" w:firstRow="1" w:lastRow="1" w:firstColumn="1" w:lastColumn="1" w:noHBand="0" w:noVBand="0"/>
      </w:tblPr>
      <w:tblGrid>
        <w:gridCol w:w="1245"/>
        <w:gridCol w:w="6444"/>
        <w:gridCol w:w="1602"/>
      </w:tblGrid>
      <w:tr w:rsidR="00B153CC" w:rsidRPr="004348BB" w14:paraId="47B16297" w14:textId="77777777" w:rsidTr="00EF760F">
        <w:trPr>
          <w:cantSplit/>
          <w:trHeight w:hRule="exact" w:val="735"/>
          <w:tblHeader/>
        </w:trPr>
        <w:tc>
          <w:tcPr>
            <w:tcW w:w="1245" w:type="dxa"/>
            <w:shd w:val="clear" w:color="auto" w:fill="008938"/>
          </w:tcPr>
          <w:p w14:paraId="18CCB310" w14:textId="77777777" w:rsidR="00B153CC" w:rsidRPr="004348BB" w:rsidRDefault="00B153CC" w:rsidP="00F72D6D">
            <w:pPr>
              <w:rPr>
                <w:rFonts w:cs="Arial"/>
              </w:rPr>
            </w:pPr>
            <w:bookmarkStart w:id="244" w:name="_Hlk63090955"/>
          </w:p>
        </w:tc>
        <w:tc>
          <w:tcPr>
            <w:tcW w:w="6444" w:type="dxa"/>
            <w:shd w:val="clear" w:color="auto" w:fill="008938"/>
          </w:tcPr>
          <w:p w14:paraId="7FFE3CD5" w14:textId="77777777" w:rsidR="00B153CC" w:rsidRPr="00E03F44" w:rsidRDefault="00B153CC" w:rsidP="00F72D6D">
            <w:pPr>
              <w:pStyle w:val="TableParagraph"/>
              <w:rPr>
                <w:rFonts w:ascii="Arial" w:eastAsia="Arial" w:hAnsi="Arial" w:cs="Arial"/>
                <w:b/>
                <w:bCs/>
                <w:sz w:val="24"/>
                <w:szCs w:val="24"/>
              </w:rPr>
            </w:pPr>
          </w:p>
          <w:p w14:paraId="5770B748" w14:textId="77777777" w:rsidR="00B153CC" w:rsidRPr="00E03F44" w:rsidRDefault="00B153CC" w:rsidP="00F72D6D">
            <w:pPr>
              <w:pStyle w:val="TableParagraph"/>
              <w:ind w:left="88"/>
              <w:rPr>
                <w:rFonts w:ascii="Arial" w:eastAsia="Arial" w:hAnsi="Arial" w:cs="Arial"/>
                <w:sz w:val="24"/>
                <w:szCs w:val="24"/>
              </w:rPr>
            </w:pPr>
            <w:r w:rsidRPr="00E03F44">
              <w:rPr>
                <w:rFonts w:ascii="Arial" w:hAnsi="Arial" w:cs="Arial"/>
                <w:b/>
                <w:color w:val="FFFFFF"/>
                <w:spacing w:val="1"/>
                <w:sz w:val="24"/>
                <w:szCs w:val="24"/>
              </w:rPr>
              <w:t>High</w:t>
            </w:r>
            <w:r w:rsidRPr="00E03F44">
              <w:rPr>
                <w:rFonts w:ascii="Arial" w:hAnsi="Arial" w:cs="Arial"/>
                <w:b/>
                <w:color w:val="FFFFFF"/>
                <w:spacing w:val="-7"/>
                <w:sz w:val="24"/>
                <w:szCs w:val="24"/>
              </w:rPr>
              <w:t xml:space="preserve"> </w:t>
            </w:r>
            <w:r w:rsidRPr="00E03F44">
              <w:rPr>
                <w:rFonts w:ascii="Arial" w:hAnsi="Arial" w:cs="Arial"/>
                <w:b/>
                <w:color w:val="FFFFFF"/>
                <w:spacing w:val="8"/>
                <w:sz w:val="24"/>
                <w:szCs w:val="24"/>
              </w:rPr>
              <w:t>level</w:t>
            </w:r>
            <w:r w:rsidRPr="00E03F44">
              <w:rPr>
                <w:rFonts w:ascii="Arial" w:hAnsi="Arial" w:cs="Arial"/>
                <w:b/>
                <w:color w:val="FFFFFF"/>
                <w:spacing w:val="-12"/>
                <w:sz w:val="24"/>
                <w:szCs w:val="24"/>
              </w:rPr>
              <w:t xml:space="preserve"> </w:t>
            </w:r>
            <w:r w:rsidRPr="00E03F44">
              <w:rPr>
                <w:rFonts w:ascii="Arial" w:hAnsi="Arial" w:cs="Arial"/>
                <w:b/>
                <w:color w:val="FFFFFF"/>
                <w:spacing w:val="1"/>
                <w:sz w:val="24"/>
                <w:szCs w:val="24"/>
              </w:rPr>
              <w:t>marine</w:t>
            </w:r>
            <w:r w:rsidRPr="00E03F44">
              <w:rPr>
                <w:rFonts w:ascii="Arial" w:hAnsi="Arial" w:cs="Arial"/>
                <w:b/>
                <w:color w:val="FFFFFF"/>
                <w:spacing w:val="-11"/>
                <w:sz w:val="24"/>
                <w:szCs w:val="24"/>
              </w:rPr>
              <w:t xml:space="preserve"> </w:t>
            </w:r>
            <w:r w:rsidRPr="00E03F44">
              <w:rPr>
                <w:rFonts w:ascii="Arial" w:hAnsi="Arial" w:cs="Arial"/>
                <w:b/>
                <w:color w:val="FFFFFF"/>
                <w:spacing w:val="1"/>
                <w:sz w:val="24"/>
                <w:szCs w:val="24"/>
              </w:rPr>
              <w:t>objective</w:t>
            </w:r>
          </w:p>
        </w:tc>
        <w:tc>
          <w:tcPr>
            <w:tcW w:w="1602" w:type="dxa"/>
            <w:shd w:val="clear" w:color="auto" w:fill="008938"/>
          </w:tcPr>
          <w:p w14:paraId="5B225327" w14:textId="306907B1" w:rsidR="007126C8" w:rsidRPr="000B6423" w:rsidRDefault="00B07496" w:rsidP="007126C8">
            <w:pPr>
              <w:pStyle w:val="TableParagraph"/>
              <w:spacing w:line="240" w:lineRule="exact"/>
              <w:ind w:left="103" w:right="90"/>
              <w:rPr>
                <w:rFonts w:ascii="Arial" w:eastAsia="Arial" w:hAnsi="Arial" w:cs="Arial"/>
              </w:rPr>
            </w:pPr>
            <w:r>
              <w:rPr>
                <w:rFonts w:ascii="Arial" w:hAnsi="Arial" w:cs="Arial"/>
                <w:b/>
                <w:color w:val="FFFFFF"/>
                <w:spacing w:val="2"/>
              </w:rPr>
              <w:t xml:space="preserve">South Marine </w:t>
            </w:r>
            <w:r w:rsidR="00DC2E44">
              <w:rPr>
                <w:rFonts w:ascii="Arial" w:hAnsi="Arial" w:cs="Arial"/>
                <w:b/>
                <w:color w:val="FFFFFF"/>
                <w:spacing w:val="-1"/>
              </w:rPr>
              <w:t>Plan</w:t>
            </w:r>
            <w:r w:rsidR="00EF760F">
              <w:rPr>
                <w:rFonts w:ascii="Arial" w:hAnsi="Arial" w:cs="Arial"/>
                <w:b/>
                <w:color w:val="FFFFFF"/>
                <w:spacing w:val="-1"/>
              </w:rPr>
              <w:t xml:space="preserve"> </w:t>
            </w:r>
            <w:r w:rsidR="006525F3">
              <w:rPr>
                <w:rFonts w:ascii="Arial" w:hAnsi="Arial" w:cs="Arial"/>
                <w:b/>
                <w:color w:val="FFFFFF"/>
                <w:spacing w:val="-1"/>
              </w:rPr>
              <w:t>o</w:t>
            </w:r>
            <w:r w:rsidR="00EF760F">
              <w:rPr>
                <w:rFonts w:ascii="Arial" w:hAnsi="Arial" w:cs="Arial"/>
                <w:b/>
                <w:color w:val="FFFFFF"/>
                <w:spacing w:val="-1"/>
              </w:rPr>
              <w:t>bjective</w:t>
            </w:r>
          </w:p>
          <w:p w14:paraId="5CF1EA2B" w14:textId="77777777" w:rsidR="00B153CC" w:rsidRPr="00E03F44" w:rsidRDefault="00B153CC" w:rsidP="00F72D6D">
            <w:pPr>
              <w:pStyle w:val="TableParagraph"/>
              <w:spacing w:line="236" w:lineRule="exact"/>
              <w:ind w:left="103"/>
              <w:rPr>
                <w:rFonts w:ascii="Arial" w:hAnsi="Arial" w:cs="Arial"/>
                <w:b/>
                <w:color w:val="FFFFFF" w:themeColor="background1"/>
                <w:sz w:val="24"/>
                <w:szCs w:val="24"/>
              </w:rPr>
            </w:pPr>
          </w:p>
        </w:tc>
      </w:tr>
      <w:tr w:rsidR="00B153CC" w:rsidRPr="00AA6C01" w14:paraId="452F23F6" w14:textId="77777777" w:rsidTr="00EF760F">
        <w:trPr>
          <w:trHeight w:hRule="exact" w:val="700"/>
        </w:trPr>
        <w:tc>
          <w:tcPr>
            <w:tcW w:w="1245" w:type="dxa"/>
            <w:vMerge w:val="restart"/>
            <w:shd w:val="clear" w:color="auto" w:fill="auto"/>
            <w:textDirection w:val="btLr"/>
          </w:tcPr>
          <w:p w14:paraId="6AEF1117" w14:textId="3AF69AFD" w:rsidR="007C0396" w:rsidRDefault="007C0396" w:rsidP="736499EF">
            <w:pPr>
              <w:pStyle w:val="TableParagraph"/>
              <w:spacing w:line="259" w:lineRule="auto"/>
              <w:ind w:left="118" w:right="390"/>
              <w:rPr>
                <w:rFonts w:asciiTheme="minorHAnsi" w:hAnsiTheme="minorHAnsi" w:cstheme="minorBidi"/>
                <w:b/>
                <w:bCs/>
                <w:spacing w:val="2"/>
                <w:sz w:val="24"/>
                <w:szCs w:val="24"/>
              </w:rPr>
            </w:pPr>
          </w:p>
          <w:p w14:paraId="7B201511" w14:textId="77777777" w:rsidR="00B153CC" w:rsidRPr="00AA6C01" w:rsidRDefault="00B153CC" w:rsidP="00AA6C01">
            <w:pPr>
              <w:pStyle w:val="TableParagraph"/>
              <w:spacing w:line="259" w:lineRule="auto"/>
              <w:ind w:left="118" w:right="390"/>
              <w:rPr>
                <w:rFonts w:asciiTheme="minorHAnsi" w:eastAsia="Arial" w:hAnsiTheme="minorHAnsi" w:cstheme="minorBidi"/>
                <w:sz w:val="24"/>
                <w:szCs w:val="24"/>
              </w:rPr>
            </w:pPr>
            <w:r w:rsidRPr="736499EF">
              <w:rPr>
                <w:rFonts w:asciiTheme="minorHAnsi" w:hAnsiTheme="minorHAnsi" w:cstheme="minorBidi"/>
                <w:b/>
                <w:spacing w:val="2"/>
                <w:sz w:val="24"/>
                <w:szCs w:val="24"/>
              </w:rPr>
              <w:t>Achieving</w:t>
            </w:r>
            <w:r w:rsidRPr="736499EF">
              <w:rPr>
                <w:rFonts w:asciiTheme="minorHAnsi" w:hAnsiTheme="minorHAnsi" w:cstheme="minorBidi"/>
                <w:b/>
                <w:spacing w:val="-7"/>
                <w:sz w:val="24"/>
                <w:szCs w:val="24"/>
              </w:rPr>
              <w:t xml:space="preserve"> </w:t>
            </w:r>
            <w:r w:rsidRPr="736499EF">
              <w:rPr>
                <w:rFonts w:asciiTheme="minorHAnsi" w:hAnsiTheme="minorHAnsi" w:cstheme="minorBidi"/>
                <w:b/>
                <w:sz w:val="24"/>
                <w:szCs w:val="24"/>
              </w:rPr>
              <w:t>a</w:t>
            </w:r>
            <w:r w:rsidRPr="736499EF">
              <w:rPr>
                <w:rFonts w:asciiTheme="minorHAnsi" w:hAnsiTheme="minorHAnsi" w:cstheme="minorBidi"/>
                <w:b/>
                <w:spacing w:val="23"/>
                <w:sz w:val="24"/>
                <w:szCs w:val="24"/>
              </w:rPr>
              <w:t xml:space="preserve"> </w:t>
            </w:r>
            <w:r w:rsidRPr="736499EF">
              <w:rPr>
                <w:rFonts w:asciiTheme="minorHAnsi" w:hAnsiTheme="minorHAnsi" w:cstheme="minorBidi"/>
                <w:b/>
                <w:spacing w:val="3"/>
                <w:sz w:val="24"/>
                <w:szCs w:val="24"/>
              </w:rPr>
              <w:t>sustainable</w:t>
            </w:r>
            <w:r w:rsidRPr="736499EF">
              <w:rPr>
                <w:rFonts w:asciiTheme="minorHAnsi" w:hAnsiTheme="minorHAnsi" w:cstheme="minorBidi"/>
                <w:b/>
                <w:spacing w:val="-11"/>
                <w:sz w:val="24"/>
                <w:szCs w:val="24"/>
              </w:rPr>
              <w:t xml:space="preserve"> </w:t>
            </w:r>
            <w:r w:rsidRPr="736499EF">
              <w:rPr>
                <w:rFonts w:asciiTheme="minorHAnsi" w:hAnsiTheme="minorHAnsi" w:cstheme="minorBidi"/>
                <w:b/>
                <w:spacing w:val="-1"/>
                <w:sz w:val="24"/>
                <w:szCs w:val="24"/>
              </w:rPr>
              <w:t>marine</w:t>
            </w:r>
            <w:r w:rsidRPr="736499EF">
              <w:rPr>
                <w:rFonts w:asciiTheme="minorHAnsi" w:hAnsiTheme="minorHAnsi" w:cstheme="minorBidi"/>
                <w:b/>
                <w:spacing w:val="26"/>
                <w:sz w:val="24"/>
                <w:szCs w:val="24"/>
              </w:rPr>
              <w:t xml:space="preserve"> </w:t>
            </w:r>
            <w:r w:rsidRPr="736499EF">
              <w:rPr>
                <w:rFonts w:asciiTheme="minorHAnsi" w:hAnsiTheme="minorHAnsi" w:cstheme="minorBidi"/>
                <w:b/>
                <w:spacing w:val="2"/>
                <w:sz w:val="24"/>
                <w:szCs w:val="24"/>
              </w:rPr>
              <w:t>economy</w:t>
            </w:r>
          </w:p>
        </w:tc>
        <w:tc>
          <w:tcPr>
            <w:tcW w:w="6444" w:type="dxa"/>
          </w:tcPr>
          <w:p w14:paraId="18D521B1" w14:textId="77777777" w:rsidR="00B153CC" w:rsidRPr="00AA6C01" w:rsidRDefault="00B153CC" w:rsidP="00AA6C01">
            <w:pPr>
              <w:pStyle w:val="TableParagraph"/>
              <w:spacing w:line="259" w:lineRule="auto"/>
              <w:ind w:left="88" w:right="345"/>
              <w:rPr>
                <w:rFonts w:asciiTheme="minorHAnsi" w:eastAsia="Arial" w:hAnsiTheme="minorHAnsi" w:cstheme="minorBidi"/>
                <w:sz w:val="24"/>
                <w:szCs w:val="24"/>
              </w:rPr>
            </w:pPr>
            <w:r w:rsidRPr="17535D1C">
              <w:rPr>
                <w:rFonts w:asciiTheme="minorHAnsi" w:hAnsiTheme="minorHAnsi" w:cstheme="minorBidi"/>
                <w:spacing w:val="1"/>
                <w:sz w:val="24"/>
                <w:szCs w:val="24"/>
              </w:rPr>
              <w:t>Infrastructure</w:t>
            </w:r>
            <w:r w:rsidRPr="17535D1C">
              <w:rPr>
                <w:rFonts w:asciiTheme="minorHAnsi" w:hAnsiTheme="minorHAnsi" w:cstheme="minorBidi"/>
                <w:spacing w:val="-11"/>
                <w:sz w:val="24"/>
                <w:szCs w:val="24"/>
              </w:rPr>
              <w:t xml:space="preserve"> </w:t>
            </w:r>
            <w:r w:rsidRPr="17535D1C">
              <w:rPr>
                <w:rFonts w:asciiTheme="minorHAnsi" w:hAnsiTheme="minorHAnsi" w:cstheme="minorBidi"/>
                <w:spacing w:val="-1"/>
                <w:sz w:val="24"/>
                <w:szCs w:val="24"/>
              </w:rPr>
              <w:t>is</w:t>
            </w:r>
            <w:r w:rsidRPr="17535D1C">
              <w:rPr>
                <w:rFonts w:asciiTheme="minorHAnsi" w:hAnsiTheme="minorHAnsi" w:cstheme="minorBidi"/>
                <w:spacing w:val="-14"/>
                <w:sz w:val="24"/>
                <w:szCs w:val="24"/>
              </w:rPr>
              <w:t xml:space="preserve"> </w:t>
            </w:r>
            <w:r w:rsidRPr="17535D1C">
              <w:rPr>
                <w:rFonts w:asciiTheme="minorHAnsi" w:hAnsiTheme="minorHAnsi" w:cstheme="minorBidi"/>
                <w:spacing w:val="-1"/>
                <w:sz w:val="24"/>
                <w:szCs w:val="24"/>
              </w:rPr>
              <w:t>in</w:t>
            </w:r>
            <w:r w:rsidRPr="17535D1C">
              <w:rPr>
                <w:rFonts w:asciiTheme="minorHAnsi" w:hAnsiTheme="minorHAnsi" w:cstheme="minorBidi"/>
                <w:spacing w:val="4"/>
                <w:sz w:val="24"/>
                <w:szCs w:val="24"/>
              </w:rPr>
              <w:t xml:space="preserve"> </w:t>
            </w:r>
            <w:r w:rsidRPr="17535D1C">
              <w:rPr>
                <w:rFonts w:asciiTheme="minorHAnsi" w:hAnsiTheme="minorHAnsi" w:cstheme="minorBidi"/>
                <w:sz w:val="24"/>
                <w:szCs w:val="24"/>
              </w:rPr>
              <w:t>place</w:t>
            </w:r>
            <w:r w:rsidRPr="17535D1C">
              <w:rPr>
                <w:rFonts w:asciiTheme="minorHAnsi" w:hAnsiTheme="minorHAnsi" w:cstheme="minorBidi"/>
                <w:spacing w:val="4"/>
                <w:sz w:val="24"/>
                <w:szCs w:val="24"/>
              </w:rPr>
              <w:t xml:space="preserve"> </w:t>
            </w:r>
            <w:r w:rsidRPr="17535D1C">
              <w:rPr>
                <w:rFonts w:asciiTheme="minorHAnsi" w:hAnsiTheme="minorHAnsi" w:cstheme="minorBidi"/>
                <w:sz w:val="24"/>
                <w:szCs w:val="24"/>
              </w:rPr>
              <w:t>to</w:t>
            </w:r>
            <w:r w:rsidRPr="17535D1C">
              <w:rPr>
                <w:rFonts w:asciiTheme="minorHAnsi" w:hAnsiTheme="minorHAnsi" w:cstheme="minorBidi"/>
                <w:spacing w:val="-11"/>
                <w:sz w:val="24"/>
                <w:szCs w:val="24"/>
              </w:rPr>
              <w:t xml:space="preserve"> </w:t>
            </w:r>
            <w:r w:rsidRPr="17535D1C">
              <w:rPr>
                <w:rFonts w:asciiTheme="minorHAnsi" w:hAnsiTheme="minorHAnsi" w:cstheme="minorBidi"/>
                <w:spacing w:val="2"/>
                <w:sz w:val="24"/>
                <w:szCs w:val="24"/>
              </w:rPr>
              <w:t>support</w:t>
            </w:r>
            <w:r w:rsidRPr="17535D1C">
              <w:rPr>
                <w:rFonts w:asciiTheme="minorHAnsi" w:hAnsiTheme="minorHAnsi" w:cstheme="minorBidi"/>
                <w:spacing w:val="-12"/>
                <w:sz w:val="24"/>
                <w:szCs w:val="24"/>
              </w:rPr>
              <w:t xml:space="preserve"> </w:t>
            </w:r>
            <w:r w:rsidRPr="17535D1C">
              <w:rPr>
                <w:rFonts w:asciiTheme="minorHAnsi" w:hAnsiTheme="minorHAnsi" w:cstheme="minorBidi"/>
                <w:spacing w:val="2"/>
                <w:sz w:val="24"/>
                <w:szCs w:val="24"/>
              </w:rPr>
              <w:t>and</w:t>
            </w:r>
            <w:r w:rsidRPr="17535D1C">
              <w:rPr>
                <w:rFonts w:asciiTheme="minorHAnsi" w:hAnsiTheme="minorHAnsi" w:cstheme="minorBidi"/>
                <w:spacing w:val="-11"/>
                <w:sz w:val="24"/>
                <w:szCs w:val="24"/>
              </w:rPr>
              <w:t xml:space="preserve"> </w:t>
            </w:r>
            <w:r w:rsidRPr="17535D1C">
              <w:rPr>
                <w:rFonts w:asciiTheme="minorHAnsi" w:hAnsiTheme="minorHAnsi" w:cstheme="minorBidi"/>
                <w:sz w:val="24"/>
                <w:szCs w:val="24"/>
              </w:rPr>
              <w:t>promote</w:t>
            </w:r>
            <w:r w:rsidRPr="17535D1C">
              <w:rPr>
                <w:rFonts w:asciiTheme="minorHAnsi" w:hAnsiTheme="minorHAnsi" w:cstheme="minorBidi"/>
                <w:spacing w:val="-11"/>
                <w:sz w:val="24"/>
                <w:szCs w:val="24"/>
              </w:rPr>
              <w:t xml:space="preserve"> </w:t>
            </w:r>
            <w:r w:rsidRPr="17535D1C">
              <w:rPr>
                <w:rFonts w:asciiTheme="minorHAnsi" w:hAnsiTheme="minorHAnsi" w:cstheme="minorBidi"/>
                <w:spacing w:val="1"/>
                <w:sz w:val="24"/>
                <w:szCs w:val="24"/>
              </w:rPr>
              <w:t>safe,</w:t>
            </w:r>
            <w:r w:rsidRPr="17535D1C">
              <w:rPr>
                <w:rFonts w:asciiTheme="minorHAnsi" w:hAnsiTheme="minorHAnsi" w:cstheme="minorBidi"/>
                <w:spacing w:val="3"/>
                <w:sz w:val="24"/>
                <w:szCs w:val="24"/>
              </w:rPr>
              <w:t xml:space="preserve"> </w:t>
            </w:r>
            <w:r w:rsidRPr="17535D1C">
              <w:rPr>
                <w:rFonts w:asciiTheme="minorHAnsi" w:hAnsiTheme="minorHAnsi" w:cstheme="minorBidi"/>
                <w:spacing w:val="1"/>
                <w:sz w:val="24"/>
                <w:szCs w:val="24"/>
              </w:rPr>
              <w:t>profitable</w:t>
            </w:r>
            <w:r w:rsidRPr="17535D1C">
              <w:rPr>
                <w:rFonts w:asciiTheme="minorHAnsi" w:hAnsiTheme="minorHAnsi" w:cstheme="minorBidi"/>
                <w:spacing w:val="-11"/>
                <w:sz w:val="24"/>
                <w:szCs w:val="24"/>
              </w:rPr>
              <w:t xml:space="preserve"> </w:t>
            </w:r>
            <w:r w:rsidRPr="17535D1C">
              <w:rPr>
                <w:rFonts w:asciiTheme="minorHAnsi" w:hAnsiTheme="minorHAnsi" w:cstheme="minorBidi"/>
                <w:spacing w:val="3"/>
                <w:sz w:val="24"/>
                <w:szCs w:val="24"/>
              </w:rPr>
              <w:t>and</w:t>
            </w:r>
            <w:r w:rsidRPr="17535D1C">
              <w:rPr>
                <w:rFonts w:asciiTheme="minorHAnsi" w:hAnsiTheme="minorHAnsi" w:cstheme="minorBidi"/>
                <w:spacing w:val="47"/>
                <w:sz w:val="24"/>
                <w:szCs w:val="24"/>
              </w:rPr>
              <w:t xml:space="preserve"> </w:t>
            </w:r>
            <w:r w:rsidRPr="17535D1C">
              <w:rPr>
                <w:rFonts w:asciiTheme="minorHAnsi" w:hAnsiTheme="minorHAnsi" w:cstheme="minorBidi"/>
                <w:sz w:val="24"/>
                <w:szCs w:val="24"/>
              </w:rPr>
              <w:t>efficient</w:t>
            </w:r>
            <w:r w:rsidRPr="17535D1C">
              <w:rPr>
                <w:rFonts w:asciiTheme="minorHAnsi" w:hAnsiTheme="minorHAnsi" w:cstheme="minorBidi"/>
                <w:spacing w:val="-12"/>
                <w:sz w:val="24"/>
                <w:szCs w:val="24"/>
              </w:rPr>
              <w:t xml:space="preserve"> </w:t>
            </w:r>
            <w:r w:rsidRPr="17535D1C">
              <w:rPr>
                <w:rFonts w:asciiTheme="minorHAnsi" w:hAnsiTheme="minorHAnsi" w:cstheme="minorBidi"/>
                <w:spacing w:val="-1"/>
                <w:sz w:val="24"/>
                <w:szCs w:val="24"/>
              </w:rPr>
              <w:t>marine</w:t>
            </w:r>
            <w:r w:rsidRPr="17535D1C">
              <w:rPr>
                <w:rFonts w:asciiTheme="minorHAnsi" w:hAnsiTheme="minorHAnsi" w:cstheme="minorBidi"/>
                <w:spacing w:val="4"/>
                <w:sz w:val="24"/>
                <w:szCs w:val="24"/>
              </w:rPr>
              <w:t xml:space="preserve"> </w:t>
            </w:r>
            <w:r w:rsidRPr="17535D1C">
              <w:rPr>
                <w:rFonts w:asciiTheme="minorHAnsi" w:hAnsiTheme="minorHAnsi" w:cstheme="minorBidi"/>
                <w:spacing w:val="1"/>
                <w:sz w:val="24"/>
                <w:szCs w:val="24"/>
              </w:rPr>
              <w:t>businesses.</w:t>
            </w:r>
          </w:p>
        </w:tc>
        <w:tc>
          <w:tcPr>
            <w:tcW w:w="1602" w:type="dxa"/>
            <w:vAlign w:val="center"/>
          </w:tcPr>
          <w:p w14:paraId="437A4829" w14:textId="77777777" w:rsidR="00B153CC" w:rsidRPr="00AA6C01" w:rsidRDefault="00B153CC" w:rsidP="0061584A">
            <w:pPr>
              <w:pStyle w:val="TableParagraph"/>
              <w:spacing w:line="259" w:lineRule="auto"/>
              <w:ind w:left="234" w:hanging="142"/>
              <w:rPr>
                <w:rFonts w:asciiTheme="minorHAnsi" w:eastAsia="Arial" w:hAnsiTheme="minorHAnsi" w:cstheme="minorBidi"/>
                <w:sz w:val="24"/>
                <w:szCs w:val="24"/>
              </w:rPr>
            </w:pPr>
            <w:r w:rsidRPr="17535D1C">
              <w:rPr>
                <w:rFonts w:asciiTheme="minorHAnsi" w:hAnsiTheme="minorHAnsi" w:cstheme="minorBidi"/>
                <w:spacing w:val="1"/>
                <w:sz w:val="24"/>
                <w:szCs w:val="24"/>
              </w:rPr>
              <w:t>2,</w:t>
            </w:r>
            <w:r w:rsidRPr="17535D1C">
              <w:rPr>
                <w:rFonts w:asciiTheme="minorHAnsi" w:hAnsiTheme="minorHAnsi" w:cstheme="minorBidi"/>
                <w:spacing w:val="3"/>
                <w:sz w:val="24"/>
                <w:szCs w:val="24"/>
              </w:rPr>
              <w:t xml:space="preserve"> </w:t>
            </w:r>
            <w:r w:rsidRPr="17535D1C">
              <w:rPr>
                <w:rFonts w:asciiTheme="minorHAnsi" w:hAnsiTheme="minorHAnsi" w:cstheme="minorBidi"/>
                <w:sz w:val="24"/>
                <w:szCs w:val="24"/>
              </w:rPr>
              <w:t>3</w:t>
            </w:r>
          </w:p>
        </w:tc>
      </w:tr>
      <w:tr w:rsidR="00B153CC" w:rsidRPr="00AA6C01" w14:paraId="74A97187" w14:textId="77777777" w:rsidTr="00EF760F">
        <w:trPr>
          <w:trHeight w:hRule="exact" w:val="980"/>
        </w:trPr>
        <w:tc>
          <w:tcPr>
            <w:tcW w:w="1245" w:type="dxa"/>
            <w:vMerge/>
            <w:textDirection w:val="btLr"/>
          </w:tcPr>
          <w:p w14:paraId="3C8370C1" w14:textId="77777777" w:rsidR="00B153CC" w:rsidRPr="00AA6C01" w:rsidRDefault="00B153CC" w:rsidP="00AA6C01">
            <w:pPr>
              <w:spacing w:before="0" w:after="0" w:line="259" w:lineRule="auto"/>
              <w:rPr>
                <w:rFonts w:asciiTheme="minorHAnsi" w:hAnsiTheme="minorHAnsi" w:cstheme="minorHAnsi"/>
                <w:szCs w:val="24"/>
              </w:rPr>
            </w:pPr>
          </w:p>
        </w:tc>
        <w:tc>
          <w:tcPr>
            <w:tcW w:w="6444" w:type="dxa"/>
          </w:tcPr>
          <w:p w14:paraId="19897488" w14:textId="77777777" w:rsidR="00B153CC" w:rsidRPr="00AA6C01" w:rsidRDefault="00B153CC" w:rsidP="00AA6C01">
            <w:pPr>
              <w:pStyle w:val="TableParagraph"/>
              <w:spacing w:line="259" w:lineRule="auto"/>
              <w:ind w:left="88" w:right="135"/>
              <w:rPr>
                <w:rFonts w:asciiTheme="minorHAnsi" w:eastAsia="Arial" w:hAnsiTheme="minorHAnsi" w:cstheme="minorBidi"/>
                <w:sz w:val="24"/>
                <w:szCs w:val="24"/>
              </w:rPr>
            </w:pPr>
            <w:r w:rsidRPr="17535D1C">
              <w:rPr>
                <w:rFonts w:asciiTheme="minorHAnsi" w:hAnsiTheme="minorHAnsi" w:cstheme="minorBidi"/>
                <w:spacing w:val="3"/>
                <w:sz w:val="24"/>
                <w:szCs w:val="24"/>
              </w:rPr>
              <w:t>The</w:t>
            </w:r>
            <w:r w:rsidRPr="17535D1C">
              <w:rPr>
                <w:rFonts w:asciiTheme="minorHAnsi" w:hAnsiTheme="minorHAnsi" w:cstheme="minorBidi"/>
                <w:spacing w:val="-11"/>
                <w:sz w:val="24"/>
                <w:szCs w:val="24"/>
              </w:rPr>
              <w:t xml:space="preserve"> </w:t>
            </w:r>
            <w:r w:rsidRPr="17535D1C">
              <w:rPr>
                <w:rFonts w:asciiTheme="minorHAnsi" w:hAnsiTheme="minorHAnsi" w:cstheme="minorBidi"/>
                <w:spacing w:val="-1"/>
                <w:sz w:val="24"/>
                <w:szCs w:val="24"/>
              </w:rPr>
              <w:t>marine</w:t>
            </w:r>
            <w:r w:rsidRPr="17535D1C">
              <w:rPr>
                <w:rFonts w:asciiTheme="minorHAnsi" w:hAnsiTheme="minorHAnsi" w:cstheme="minorBidi"/>
                <w:spacing w:val="4"/>
                <w:sz w:val="24"/>
                <w:szCs w:val="24"/>
              </w:rPr>
              <w:t xml:space="preserve"> </w:t>
            </w:r>
            <w:r w:rsidRPr="17535D1C">
              <w:rPr>
                <w:rFonts w:asciiTheme="minorHAnsi" w:hAnsiTheme="minorHAnsi" w:cstheme="minorBidi"/>
                <w:spacing w:val="1"/>
                <w:sz w:val="24"/>
                <w:szCs w:val="24"/>
              </w:rPr>
              <w:t>environment</w:t>
            </w:r>
            <w:r w:rsidRPr="17535D1C">
              <w:rPr>
                <w:rFonts w:asciiTheme="minorHAnsi" w:hAnsiTheme="minorHAnsi" w:cstheme="minorBidi"/>
                <w:spacing w:val="-12"/>
                <w:sz w:val="24"/>
                <w:szCs w:val="24"/>
              </w:rPr>
              <w:t xml:space="preserve"> </w:t>
            </w:r>
            <w:r w:rsidRPr="17535D1C">
              <w:rPr>
                <w:rFonts w:asciiTheme="minorHAnsi" w:hAnsiTheme="minorHAnsi" w:cstheme="minorBidi"/>
                <w:spacing w:val="2"/>
                <w:sz w:val="24"/>
                <w:szCs w:val="24"/>
              </w:rPr>
              <w:t>and</w:t>
            </w:r>
            <w:r w:rsidRPr="17535D1C">
              <w:rPr>
                <w:rFonts w:asciiTheme="minorHAnsi" w:hAnsiTheme="minorHAnsi" w:cstheme="minorBidi"/>
                <w:spacing w:val="-11"/>
                <w:sz w:val="24"/>
                <w:szCs w:val="24"/>
              </w:rPr>
              <w:t xml:space="preserve"> </w:t>
            </w:r>
            <w:r w:rsidRPr="17535D1C">
              <w:rPr>
                <w:rFonts w:asciiTheme="minorHAnsi" w:hAnsiTheme="minorHAnsi" w:cstheme="minorBidi"/>
                <w:spacing w:val="-1"/>
                <w:sz w:val="24"/>
                <w:szCs w:val="24"/>
              </w:rPr>
              <w:t>its</w:t>
            </w:r>
            <w:r w:rsidRPr="17535D1C">
              <w:rPr>
                <w:rFonts w:asciiTheme="minorHAnsi" w:hAnsiTheme="minorHAnsi" w:cstheme="minorBidi"/>
                <w:spacing w:val="1"/>
                <w:sz w:val="24"/>
                <w:szCs w:val="24"/>
              </w:rPr>
              <w:t xml:space="preserve"> </w:t>
            </w:r>
            <w:r w:rsidRPr="17535D1C">
              <w:rPr>
                <w:rFonts w:asciiTheme="minorHAnsi" w:hAnsiTheme="minorHAnsi" w:cstheme="minorBidi"/>
                <w:spacing w:val="2"/>
                <w:sz w:val="24"/>
                <w:szCs w:val="24"/>
              </w:rPr>
              <w:t>resources</w:t>
            </w:r>
            <w:r w:rsidRPr="17535D1C">
              <w:rPr>
                <w:rFonts w:asciiTheme="minorHAnsi" w:hAnsiTheme="minorHAnsi" w:cstheme="minorBidi"/>
                <w:spacing w:val="-14"/>
                <w:sz w:val="24"/>
                <w:szCs w:val="24"/>
              </w:rPr>
              <w:t xml:space="preserve"> </w:t>
            </w:r>
            <w:r w:rsidRPr="17535D1C">
              <w:rPr>
                <w:rFonts w:asciiTheme="minorHAnsi" w:hAnsiTheme="minorHAnsi" w:cstheme="minorBidi"/>
                <w:spacing w:val="2"/>
                <w:sz w:val="24"/>
                <w:szCs w:val="24"/>
              </w:rPr>
              <w:t>are</w:t>
            </w:r>
            <w:r w:rsidRPr="17535D1C">
              <w:rPr>
                <w:rFonts w:asciiTheme="minorHAnsi" w:hAnsiTheme="minorHAnsi" w:cstheme="minorBidi"/>
                <w:spacing w:val="-11"/>
                <w:sz w:val="24"/>
                <w:szCs w:val="24"/>
              </w:rPr>
              <w:t xml:space="preserve"> </w:t>
            </w:r>
            <w:r w:rsidRPr="17535D1C">
              <w:rPr>
                <w:rFonts w:asciiTheme="minorHAnsi" w:hAnsiTheme="minorHAnsi" w:cstheme="minorBidi"/>
                <w:spacing w:val="1"/>
                <w:sz w:val="24"/>
                <w:szCs w:val="24"/>
              </w:rPr>
              <w:t>used</w:t>
            </w:r>
            <w:r w:rsidRPr="17535D1C">
              <w:rPr>
                <w:rFonts w:asciiTheme="minorHAnsi" w:hAnsiTheme="minorHAnsi" w:cstheme="minorBidi"/>
                <w:spacing w:val="-11"/>
                <w:sz w:val="24"/>
                <w:szCs w:val="24"/>
              </w:rPr>
              <w:t xml:space="preserve"> </w:t>
            </w:r>
            <w:r w:rsidRPr="17535D1C">
              <w:rPr>
                <w:rFonts w:asciiTheme="minorHAnsi" w:hAnsiTheme="minorHAnsi" w:cstheme="minorBidi"/>
                <w:sz w:val="24"/>
                <w:szCs w:val="24"/>
              </w:rPr>
              <w:t>to</w:t>
            </w:r>
            <w:r w:rsidRPr="17535D1C">
              <w:rPr>
                <w:rFonts w:asciiTheme="minorHAnsi" w:hAnsiTheme="minorHAnsi" w:cstheme="minorBidi"/>
                <w:spacing w:val="-11"/>
                <w:sz w:val="24"/>
                <w:szCs w:val="24"/>
              </w:rPr>
              <w:t xml:space="preserve"> </w:t>
            </w:r>
            <w:r w:rsidRPr="00E5424B">
              <w:rPr>
                <w:rFonts w:asciiTheme="minorHAnsi" w:hAnsiTheme="minorHAnsi" w:cstheme="minorBidi"/>
                <w:spacing w:val="-5"/>
                <w:sz w:val="24"/>
                <w:szCs w:val="24"/>
                <w:lang w:val="en-GB"/>
              </w:rPr>
              <w:t>maximise</w:t>
            </w:r>
            <w:r w:rsidRPr="17535D1C">
              <w:rPr>
                <w:rFonts w:asciiTheme="minorHAnsi" w:hAnsiTheme="minorHAnsi" w:cstheme="minorBidi"/>
                <w:spacing w:val="40"/>
                <w:sz w:val="24"/>
                <w:szCs w:val="24"/>
              </w:rPr>
              <w:t xml:space="preserve"> </w:t>
            </w:r>
            <w:r w:rsidRPr="17535D1C">
              <w:rPr>
                <w:rFonts w:asciiTheme="minorHAnsi" w:hAnsiTheme="minorHAnsi" w:cstheme="minorBidi"/>
                <w:spacing w:val="1"/>
                <w:sz w:val="24"/>
                <w:szCs w:val="24"/>
              </w:rPr>
              <w:t>sustainable</w:t>
            </w:r>
            <w:r w:rsidRPr="17535D1C">
              <w:rPr>
                <w:rFonts w:asciiTheme="minorHAnsi" w:hAnsiTheme="minorHAnsi" w:cstheme="minorBidi"/>
                <w:spacing w:val="-11"/>
                <w:sz w:val="24"/>
                <w:szCs w:val="24"/>
              </w:rPr>
              <w:t xml:space="preserve"> </w:t>
            </w:r>
            <w:r w:rsidRPr="17535D1C">
              <w:rPr>
                <w:rFonts w:asciiTheme="minorHAnsi" w:hAnsiTheme="minorHAnsi" w:cstheme="minorBidi"/>
                <w:sz w:val="24"/>
                <w:szCs w:val="24"/>
              </w:rPr>
              <w:t>activity,</w:t>
            </w:r>
            <w:r w:rsidRPr="17535D1C">
              <w:rPr>
                <w:rFonts w:asciiTheme="minorHAnsi" w:hAnsiTheme="minorHAnsi" w:cstheme="minorBidi"/>
                <w:spacing w:val="-12"/>
                <w:sz w:val="24"/>
                <w:szCs w:val="24"/>
              </w:rPr>
              <w:t xml:space="preserve"> </w:t>
            </w:r>
            <w:r w:rsidRPr="17535D1C">
              <w:rPr>
                <w:rFonts w:asciiTheme="minorHAnsi" w:hAnsiTheme="minorHAnsi" w:cstheme="minorBidi"/>
                <w:spacing w:val="2"/>
                <w:sz w:val="24"/>
                <w:szCs w:val="24"/>
              </w:rPr>
              <w:t>prosperity</w:t>
            </w:r>
            <w:r w:rsidRPr="17535D1C">
              <w:rPr>
                <w:rFonts w:asciiTheme="minorHAnsi" w:hAnsiTheme="minorHAnsi" w:cstheme="minorBidi"/>
                <w:spacing w:val="-14"/>
                <w:sz w:val="24"/>
                <w:szCs w:val="24"/>
              </w:rPr>
              <w:t xml:space="preserve"> </w:t>
            </w:r>
            <w:r w:rsidRPr="17535D1C">
              <w:rPr>
                <w:rFonts w:asciiTheme="minorHAnsi" w:hAnsiTheme="minorHAnsi" w:cstheme="minorBidi"/>
                <w:spacing w:val="2"/>
                <w:sz w:val="24"/>
                <w:szCs w:val="24"/>
              </w:rPr>
              <w:t>and</w:t>
            </w:r>
            <w:r w:rsidRPr="17535D1C">
              <w:rPr>
                <w:rFonts w:asciiTheme="minorHAnsi" w:hAnsiTheme="minorHAnsi" w:cstheme="minorBidi"/>
                <w:spacing w:val="-11"/>
                <w:sz w:val="24"/>
                <w:szCs w:val="24"/>
              </w:rPr>
              <w:t xml:space="preserve"> </w:t>
            </w:r>
            <w:r w:rsidRPr="17535D1C">
              <w:rPr>
                <w:rFonts w:asciiTheme="minorHAnsi" w:hAnsiTheme="minorHAnsi" w:cstheme="minorBidi"/>
                <w:spacing w:val="1"/>
                <w:sz w:val="24"/>
                <w:szCs w:val="24"/>
              </w:rPr>
              <w:t>opportunities</w:t>
            </w:r>
            <w:r w:rsidRPr="17535D1C">
              <w:rPr>
                <w:rFonts w:asciiTheme="minorHAnsi" w:hAnsiTheme="minorHAnsi" w:cstheme="minorBidi"/>
                <w:spacing w:val="-14"/>
                <w:sz w:val="24"/>
                <w:szCs w:val="24"/>
              </w:rPr>
              <w:t xml:space="preserve"> </w:t>
            </w:r>
            <w:r w:rsidRPr="17535D1C">
              <w:rPr>
                <w:rFonts w:asciiTheme="minorHAnsi" w:hAnsiTheme="minorHAnsi" w:cstheme="minorBidi"/>
                <w:spacing w:val="1"/>
                <w:sz w:val="24"/>
                <w:szCs w:val="24"/>
              </w:rPr>
              <w:t>for</w:t>
            </w:r>
            <w:r w:rsidRPr="17535D1C">
              <w:rPr>
                <w:rFonts w:asciiTheme="minorHAnsi" w:hAnsiTheme="minorHAnsi" w:cstheme="minorBidi"/>
                <w:spacing w:val="-9"/>
                <w:sz w:val="24"/>
                <w:szCs w:val="24"/>
              </w:rPr>
              <w:t xml:space="preserve"> </w:t>
            </w:r>
            <w:r w:rsidRPr="17535D1C">
              <w:rPr>
                <w:rFonts w:asciiTheme="minorHAnsi" w:hAnsiTheme="minorHAnsi" w:cstheme="minorBidi"/>
                <w:spacing w:val="-1"/>
                <w:sz w:val="24"/>
                <w:szCs w:val="24"/>
              </w:rPr>
              <w:t>all,</w:t>
            </w:r>
            <w:r w:rsidRPr="17535D1C">
              <w:rPr>
                <w:rFonts w:asciiTheme="minorHAnsi" w:hAnsiTheme="minorHAnsi" w:cstheme="minorBidi"/>
                <w:spacing w:val="-12"/>
                <w:sz w:val="24"/>
                <w:szCs w:val="24"/>
              </w:rPr>
              <w:t xml:space="preserve"> </w:t>
            </w:r>
            <w:r w:rsidRPr="17535D1C">
              <w:rPr>
                <w:rFonts w:asciiTheme="minorHAnsi" w:hAnsiTheme="minorHAnsi" w:cstheme="minorBidi"/>
                <w:spacing w:val="2"/>
                <w:sz w:val="24"/>
                <w:szCs w:val="24"/>
              </w:rPr>
              <w:t>now</w:t>
            </w:r>
            <w:r w:rsidRPr="17535D1C">
              <w:rPr>
                <w:rFonts w:asciiTheme="minorHAnsi" w:hAnsiTheme="minorHAnsi" w:cstheme="minorBidi"/>
                <w:sz w:val="24"/>
                <w:szCs w:val="24"/>
              </w:rPr>
              <w:t xml:space="preserve"> </w:t>
            </w:r>
            <w:r w:rsidRPr="17535D1C">
              <w:rPr>
                <w:rFonts w:asciiTheme="minorHAnsi" w:hAnsiTheme="minorHAnsi" w:cstheme="minorBidi"/>
                <w:spacing w:val="2"/>
                <w:sz w:val="24"/>
                <w:szCs w:val="24"/>
              </w:rPr>
              <w:t>and</w:t>
            </w:r>
            <w:r w:rsidRPr="17535D1C">
              <w:rPr>
                <w:rFonts w:asciiTheme="minorHAnsi" w:hAnsiTheme="minorHAnsi" w:cstheme="minorBidi"/>
                <w:spacing w:val="-11"/>
                <w:sz w:val="24"/>
                <w:szCs w:val="24"/>
              </w:rPr>
              <w:t xml:space="preserve"> </w:t>
            </w:r>
            <w:r w:rsidRPr="17535D1C">
              <w:rPr>
                <w:rFonts w:asciiTheme="minorHAnsi" w:hAnsiTheme="minorHAnsi" w:cstheme="minorBidi"/>
                <w:spacing w:val="-1"/>
                <w:sz w:val="24"/>
                <w:szCs w:val="24"/>
              </w:rPr>
              <w:t>in</w:t>
            </w:r>
            <w:r w:rsidRPr="17535D1C">
              <w:rPr>
                <w:rFonts w:asciiTheme="minorHAnsi" w:hAnsiTheme="minorHAnsi" w:cstheme="minorBidi"/>
                <w:spacing w:val="4"/>
                <w:sz w:val="24"/>
                <w:szCs w:val="24"/>
              </w:rPr>
              <w:t xml:space="preserve"> </w:t>
            </w:r>
            <w:r w:rsidRPr="17535D1C">
              <w:rPr>
                <w:rFonts w:asciiTheme="minorHAnsi" w:hAnsiTheme="minorHAnsi" w:cstheme="minorBidi"/>
                <w:spacing w:val="2"/>
                <w:sz w:val="24"/>
                <w:szCs w:val="24"/>
              </w:rPr>
              <w:t>the</w:t>
            </w:r>
            <w:r w:rsidRPr="17535D1C">
              <w:rPr>
                <w:rFonts w:asciiTheme="minorHAnsi" w:hAnsiTheme="minorHAnsi" w:cstheme="minorBidi"/>
                <w:spacing w:val="41"/>
                <w:sz w:val="24"/>
                <w:szCs w:val="24"/>
              </w:rPr>
              <w:t xml:space="preserve"> </w:t>
            </w:r>
            <w:r w:rsidRPr="17535D1C">
              <w:rPr>
                <w:rFonts w:asciiTheme="minorHAnsi" w:hAnsiTheme="minorHAnsi" w:cstheme="minorBidi"/>
                <w:spacing w:val="2"/>
                <w:sz w:val="24"/>
                <w:szCs w:val="24"/>
              </w:rPr>
              <w:t>future.</w:t>
            </w:r>
          </w:p>
        </w:tc>
        <w:tc>
          <w:tcPr>
            <w:tcW w:w="1602" w:type="dxa"/>
            <w:vAlign w:val="center"/>
          </w:tcPr>
          <w:p w14:paraId="494845C5" w14:textId="77777777" w:rsidR="00B153CC" w:rsidRPr="00AA6C01" w:rsidRDefault="00B153CC" w:rsidP="0061584A">
            <w:pPr>
              <w:pStyle w:val="TableParagraph"/>
              <w:spacing w:line="259" w:lineRule="auto"/>
              <w:ind w:left="234" w:hanging="142"/>
              <w:rPr>
                <w:rFonts w:asciiTheme="minorHAnsi" w:eastAsia="Arial" w:hAnsiTheme="minorHAnsi" w:cstheme="minorBidi"/>
                <w:sz w:val="24"/>
                <w:szCs w:val="24"/>
              </w:rPr>
            </w:pPr>
            <w:r w:rsidRPr="17535D1C">
              <w:rPr>
                <w:rFonts w:asciiTheme="minorHAnsi" w:hAnsiTheme="minorHAnsi" w:cstheme="minorBidi"/>
                <w:spacing w:val="1"/>
                <w:sz w:val="24"/>
                <w:szCs w:val="24"/>
              </w:rPr>
              <w:t>1,</w:t>
            </w:r>
            <w:r w:rsidRPr="17535D1C">
              <w:rPr>
                <w:rFonts w:asciiTheme="minorHAnsi" w:hAnsiTheme="minorHAnsi" w:cstheme="minorBidi"/>
                <w:spacing w:val="3"/>
                <w:sz w:val="24"/>
                <w:szCs w:val="24"/>
              </w:rPr>
              <w:t xml:space="preserve"> </w:t>
            </w:r>
            <w:r w:rsidRPr="17535D1C">
              <w:rPr>
                <w:rFonts w:asciiTheme="minorHAnsi" w:hAnsiTheme="minorHAnsi" w:cstheme="minorBidi"/>
                <w:spacing w:val="1"/>
                <w:sz w:val="24"/>
                <w:szCs w:val="24"/>
              </w:rPr>
              <w:t>2,</w:t>
            </w:r>
            <w:r w:rsidRPr="17535D1C">
              <w:rPr>
                <w:rFonts w:asciiTheme="minorHAnsi" w:hAnsiTheme="minorHAnsi" w:cstheme="minorBidi"/>
                <w:spacing w:val="-12"/>
                <w:sz w:val="24"/>
                <w:szCs w:val="24"/>
              </w:rPr>
              <w:t xml:space="preserve"> </w:t>
            </w:r>
            <w:r w:rsidRPr="17535D1C">
              <w:rPr>
                <w:rFonts w:asciiTheme="minorHAnsi" w:hAnsiTheme="minorHAnsi" w:cstheme="minorBidi"/>
                <w:spacing w:val="1"/>
                <w:sz w:val="24"/>
                <w:szCs w:val="24"/>
              </w:rPr>
              <w:t>3,</w:t>
            </w:r>
            <w:r w:rsidRPr="17535D1C">
              <w:rPr>
                <w:rFonts w:asciiTheme="minorHAnsi" w:hAnsiTheme="minorHAnsi" w:cstheme="minorBidi"/>
                <w:spacing w:val="3"/>
                <w:sz w:val="24"/>
                <w:szCs w:val="24"/>
              </w:rPr>
              <w:t xml:space="preserve"> </w:t>
            </w:r>
            <w:r w:rsidRPr="17535D1C">
              <w:rPr>
                <w:rFonts w:asciiTheme="minorHAnsi" w:hAnsiTheme="minorHAnsi" w:cstheme="minorBidi"/>
                <w:spacing w:val="1"/>
                <w:sz w:val="24"/>
                <w:szCs w:val="24"/>
              </w:rPr>
              <w:t>4,</w:t>
            </w:r>
            <w:r w:rsidRPr="17535D1C">
              <w:rPr>
                <w:rFonts w:asciiTheme="minorHAnsi" w:hAnsiTheme="minorHAnsi" w:cstheme="minorBidi"/>
                <w:spacing w:val="-12"/>
                <w:sz w:val="24"/>
                <w:szCs w:val="24"/>
              </w:rPr>
              <w:t xml:space="preserve"> </w:t>
            </w:r>
            <w:r w:rsidRPr="17535D1C">
              <w:rPr>
                <w:rFonts w:asciiTheme="minorHAnsi" w:hAnsiTheme="minorHAnsi" w:cstheme="minorBidi"/>
                <w:sz w:val="24"/>
                <w:szCs w:val="24"/>
              </w:rPr>
              <w:t>6</w:t>
            </w:r>
          </w:p>
        </w:tc>
      </w:tr>
      <w:tr w:rsidR="00B153CC" w:rsidRPr="00AA6C01" w14:paraId="5D95F407" w14:textId="77777777" w:rsidTr="00EF760F">
        <w:trPr>
          <w:trHeight w:hRule="exact" w:val="1008"/>
        </w:trPr>
        <w:tc>
          <w:tcPr>
            <w:tcW w:w="1245" w:type="dxa"/>
            <w:vMerge/>
            <w:textDirection w:val="btLr"/>
          </w:tcPr>
          <w:p w14:paraId="23753584" w14:textId="77777777" w:rsidR="00B153CC" w:rsidRPr="00AA6C01" w:rsidRDefault="00B153CC" w:rsidP="00AA6C01">
            <w:pPr>
              <w:spacing w:before="0" w:after="0" w:line="259" w:lineRule="auto"/>
              <w:rPr>
                <w:rFonts w:asciiTheme="minorHAnsi" w:hAnsiTheme="minorHAnsi" w:cstheme="minorHAnsi"/>
                <w:szCs w:val="24"/>
              </w:rPr>
            </w:pPr>
          </w:p>
        </w:tc>
        <w:tc>
          <w:tcPr>
            <w:tcW w:w="6444" w:type="dxa"/>
          </w:tcPr>
          <w:p w14:paraId="6292CAF7" w14:textId="77777777" w:rsidR="00B153CC" w:rsidRPr="00AA6C01" w:rsidRDefault="00B153CC" w:rsidP="008F67E0">
            <w:pPr>
              <w:pStyle w:val="TableParagraph"/>
              <w:spacing w:line="259" w:lineRule="auto"/>
              <w:ind w:left="88" w:right="809"/>
              <w:rPr>
                <w:rFonts w:asciiTheme="minorHAnsi" w:eastAsia="Arial" w:hAnsiTheme="minorHAnsi" w:cstheme="minorBidi"/>
                <w:sz w:val="24"/>
                <w:szCs w:val="24"/>
              </w:rPr>
            </w:pPr>
            <w:r w:rsidRPr="17535D1C">
              <w:rPr>
                <w:rFonts w:asciiTheme="minorHAnsi" w:hAnsiTheme="minorHAnsi" w:cstheme="minorBidi"/>
                <w:spacing w:val="-1"/>
                <w:sz w:val="24"/>
                <w:szCs w:val="24"/>
              </w:rPr>
              <w:t>Marine</w:t>
            </w:r>
            <w:r w:rsidRPr="17535D1C">
              <w:rPr>
                <w:rFonts w:asciiTheme="minorHAnsi" w:hAnsiTheme="minorHAnsi" w:cstheme="minorBidi"/>
                <w:spacing w:val="4"/>
                <w:sz w:val="24"/>
                <w:szCs w:val="24"/>
              </w:rPr>
              <w:t xml:space="preserve"> </w:t>
            </w:r>
            <w:r w:rsidRPr="17535D1C">
              <w:rPr>
                <w:rFonts w:asciiTheme="minorHAnsi" w:hAnsiTheme="minorHAnsi" w:cstheme="minorBidi"/>
                <w:spacing w:val="1"/>
                <w:sz w:val="24"/>
                <w:szCs w:val="24"/>
              </w:rPr>
              <w:t>businesses</w:t>
            </w:r>
            <w:r w:rsidRPr="17535D1C">
              <w:rPr>
                <w:rFonts w:asciiTheme="minorHAnsi" w:hAnsiTheme="minorHAnsi" w:cstheme="minorBidi"/>
                <w:spacing w:val="-14"/>
                <w:sz w:val="24"/>
                <w:szCs w:val="24"/>
              </w:rPr>
              <w:t xml:space="preserve"> </w:t>
            </w:r>
            <w:r w:rsidRPr="17535D1C">
              <w:rPr>
                <w:rFonts w:asciiTheme="minorHAnsi" w:hAnsiTheme="minorHAnsi" w:cstheme="minorBidi"/>
                <w:spacing w:val="2"/>
                <w:sz w:val="24"/>
                <w:szCs w:val="24"/>
              </w:rPr>
              <w:t>are</w:t>
            </w:r>
            <w:r w:rsidRPr="17535D1C">
              <w:rPr>
                <w:rFonts w:asciiTheme="minorHAnsi" w:hAnsiTheme="minorHAnsi" w:cstheme="minorBidi"/>
                <w:spacing w:val="-11"/>
                <w:sz w:val="24"/>
                <w:szCs w:val="24"/>
              </w:rPr>
              <w:t xml:space="preserve"> </w:t>
            </w:r>
            <w:r w:rsidRPr="17535D1C">
              <w:rPr>
                <w:rFonts w:asciiTheme="minorHAnsi" w:hAnsiTheme="minorHAnsi" w:cstheme="minorBidi"/>
                <w:sz w:val="24"/>
                <w:szCs w:val="24"/>
              </w:rPr>
              <w:t>taking</w:t>
            </w:r>
            <w:r w:rsidRPr="17535D1C">
              <w:rPr>
                <w:rFonts w:asciiTheme="minorHAnsi" w:hAnsiTheme="minorHAnsi" w:cstheme="minorBidi"/>
                <w:spacing w:val="-11"/>
                <w:sz w:val="24"/>
                <w:szCs w:val="24"/>
              </w:rPr>
              <w:t xml:space="preserve"> </w:t>
            </w:r>
            <w:r w:rsidRPr="17535D1C">
              <w:rPr>
                <w:rFonts w:asciiTheme="minorHAnsi" w:hAnsiTheme="minorHAnsi" w:cstheme="minorBidi"/>
                <w:spacing w:val="1"/>
                <w:sz w:val="24"/>
                <w:szCs w:val="24"/>
              </w:rPr>
              <w:t>long</w:t>
            </w:r>
            <w:r w:rsidRPr="17535D1C">
              <w:rPr>
                <w:rFonts w:asciiTheme="minorHAnsi" w:hAnsiTheme="minorHAnsi" w:cstheme="minorBidi"/>
                <w:spacing w:val="-11"/>
                <w:sz w:val="24"/>
                <w:szCs w:val="24"/>
              </w:rPr>
              <w:t xml:space="preserve"> </w:t>
            </w:r>
            <w:r w:rsidRPr="17535D1C">
              <w:rPr>
                <w:rFonts w:asciiTheme="minorHAnsi" w:hAnsiTheme="minorHAnsi" w:cstheme="minorBidi"/>
                <w:spacing w:val="2"/>
                <w:sz w:val="24"/>
                <w:szCs w:val="24"/>
              </w:rPr>
              <w:t>term</w:t>
            </w:r>
            <w:r w:rsidRPr="17535D1C">
              <w:rPr>
                <w:rFonts w:asciiTheme="minorHAnsi" w:hAnsiTheme="minorHAnsi" w:cstheme="minorBidi"/>
                <w:spacing w:val="-9"/>
                <w:sz w:val="24"/>
                <w:szCs w:val="24"/>
              </w:rPr>
              <w:t xml:space="preserve"> </w:t>
            </w:r>
            <w:r w:rsidRPr="17535D1C">
              <w:rPr>
                <w:rFonts w:asciiTheme="minorHAnsi" w:hAnsiTheme="minorHAnsi" w:cstheme="minorBidi"/>
                <w:spacing w:val="1"/>
                <w:sz w:val="24"/>
                <w:szCs w:val="24"/>
              </w:rPr>
              <w:t>strategic</w:t>
            </w:r>
            <w:r w:rsidRPr="17535D1C">
              <w:rPr>
                <w:rFonts w:asciiTheme="minorHAnsi" w:hAnsiTheme="minorHAnsi" w:cstheme="minorBidi"/>
                <w:spacing w:val="-14"/>
                <w:sz w:val="24"/>
                <w:szCs w:val="24"/>
              </w:rPr>
              <w:t xml:space="preserve"> </w:t>
            </w:r>
            <w:r w:rsidRPr="17535D1C">
              <w:rPr>
                <w:rFonts w:asciiTheme="minorHAnsi" w:hAnsiTheme="minorHAnsi" w:cstheme="minorBidi"/>
                <w:sz w:val="24"/>
                <w:szCs w:val="24"/>
              </w:rPr>
              <w:t>decisions</w:t>
            </w:r>
            <w:r w:rsidRPr="17535D1C">
              <w:rPr>
                <w:rFonts w:asciiTheme="minorHAnsi" w:hAnsiTheme="minorHAnsi" w:cstheme="minorBidi"/>
                <w:spacing w:val="-14"/>
                <w:sz w:val="24"/>
                <w:szCs w:val="24"/>
              </w:rPr>
              <w:t xml:space="preserve"> </w:t>
            </w:r>
            <w:r w:rsidRPr="17535D1C">
              <w:rPr>
                <w:rFonts w:asciiTheme="minorHAnsi" w:hAnsiTheme="minorHAnsi" w:cstheme="minorBidi"/>
                <w:spacing w:val="3"/>
                <w:sz w:val="24"/>
                <w:szCs w:val="24"/>
              </w:rPr>
              <w:t>and</w:t>
            </w:r>
            <w:r w:rsidRPr="17535D1C">
              <w:rPr>
                <w:rFonts w:asciiTheme="minorHAnsi" w:hAnsiTheme="minorHAnsi" w:cstheme="minorBidi"/>
                <w:spacing w:val="61"/>
                <w:sz w:val="24"/>
                <w:szCs w:val="24"/>
              </w:rPr>
              <w:t xml:space="preserve"> </w:t>
            </w:r>
            <w:r w:rsidRPr="17535D1C">
              <w:rPr>
                <w:rFonts w:asciiTheme="minorHAnsi" w:hAnsiTheme="minorHAnsi" w:cstheme="minorBidi"/>
                <w:sz w:val="24"/>
                <w:szCs w:val="24"/>
              </w:rPr>
              <w:t>managing</w:t>
            </w:r>
            <w:r w:rsidRPr="17535D1C">
              <w:rPr>
                <w:rFonts w:asciiTheme="minorHAnsi" w:hAnsiTheme="minorHAnsi" w:cstheme="minorBidi"/>
                <w:spacing w:val="-11"/>
                <w:sz w:val="24"/>
                <w:szCs w:val="24"/>
              </w:rPr>
              <w:t xml:space="preserve"> </w:t>
            </w:r>
            <w:r w:rsidRPr="17535D1C">
              <w:rPr>
                <w:rFonts w:asciiTheme="minorHAnsi" w:hAnsiTheme="minorHAnsi" w:cstheme="minorBidi"/>
                <w:sz w:val="24"/>
                <w:szCs w:val="24"/>
              </w:rPr>
              <w:t>risks</w:t>
            </w:r>
            <w:r w:rsidRPr="17535D1C">
              <w:rPr>
                <w:rFonts w:asciiTheme="minorHAnsi" w:hAnsiTheme="minorHAnsi" w:cstheme="minorBidi"/>
                <w:spacing w:val="1"/>
                <w:sz w:val="24"/>
                <w:szCs w:val="24"/>
              </w:rPr>
              <w:t xml:space="preserve"> </w:t>
            </w:r>
            <w:r w:rsidRPr="17535D1C">
              <w:rPr>
                <w:rFonts w:asciiTheme="minorHAnsi" w:hAnsiTheme="minorHAnsi" w:cstheme="minorBidi"/>
                <w:sz w:val="24"/>
                <w:szCs w:val="24"/>
              </w:rPr>
              <w:t>effectively.</w:t>
            </w:r>
            <w:r w:rsidRPr="17535D1C">
              <w:rPr>
                <w:rFonts w:asciiTheme="minorHAnsi" w:hAnsiTheme="minorHAnsi" w:cstheme="minorBidi"/>
                <w:spacing w:val="-12"/>
                <w:sz w:val="24"/>
                <w:szCs w:val="24"/>
              </w:rPr>
              <w:t xml:space="preserve"> </w:t>
            </w:r>
            <w:r w:rsidRPr="17535D1C">
              <w:rPr>
                <w:rFonts w:asciiTheme="minorHAnsi" w:hAnsiTheme="minorHAnsi" w:cstheme="minorBidi"/>
                <w:spacing w:val="3"/>
                <w:sz w:val="24"/>
                <w:szCs w:val="24"/>
              </w:rPr>
              <w:t>They</w:t>
            </w:r>
            <w:r w:rsidRPr="17535D1C">
              <w:rPr>
                <w:rFonts w:asciiTheme="minorHAnsi" w:hAnsiTheme="minorHAnsi" w:cstheme="minorBidi"/>
                <w:spacing w:val="-14"/>
                <w:sz w:val="24"/>
                <w:szCs w:val="24"/>
              </w:rPr>
              <w:t xml:space="preserve"> </w:t>
            </w:r>
            <w:r w:rsidRPr="17535D1C">
              <w:rPr>
                <w:rFonts w:asciiTheme="minorHAnsi" w:hAnsiTheme="minorHAnsi" w:cstheme="minorBidi"/>
                <w:spacing w:val="2"/>
                <w:sz w:val="24"/>
                <w:szCs w:val="24"/>
              </w:rPr>
              <w:t>are</w:t>
            </w:r>
            <w:r w:rsidRPr="17535D1C">
              <w:rPr>
                <w:rFonts w:asciiTheme="minorHAnsi" w:hAnsiTheme="minorHAnsi" w:cstheme="minorBidi"/>
                <w:spacing w:val="-11"/>
                <w:sz w:val="24"/>
                <w:szCs w:val="24"/>
              </w:rPr>
              <w:t xml:space="preserve"> </w:t>
            </w:r>
            <w:r w:rsidRPr="17535D1C">
              <w:rPr>
                <w:rFonts w:asciiTheme="minorHAnsi" w:hAnsiTheme="minorHAnsi" w:cstheme="minorBidi"/>
                <w:spacing w:val="-1"/>
                <w:sz w:val="24"/>
                <w:szCs w:val="24"/>
              </w:rPr>
              <w:t>competitive</w:t>
            </w:r>
            <w:r w:rsidRPr="17535D1C">
              <w:rPr>
                <w:rFonts w:asciiTheme="minorHAnsi" w:hAnsiTheme="minorHAnsi" w:cstheme="minorBidi"/>
                <w:spacing w:val="4"/>
                <w:sz w:val="24"/>
                <w:szCs w:val="24"/>
              </w:rPr>
              <w:t xml:space="preserve"> </w:t>
            </w:r>
            <w:r w:rsidRPr="17535D1C">
              <w:rPr>
                <w:rFonts w:asciiTheme="minorHAnsi" w:hAnsiTheme="minorHAnsi" w:cstheme="minorBidi"/>
                <w:spacing w:val="2"/>
                <w:sz w:val="24"/>
                <w:szCs w:val="24"/>
              </w:rPr>
              <w:t>and</w:t>
            </w:r>
            <w:r w:rsidRPr="17535D1C">
              <w:rPr>
                <w:rFonts w:asciiTheme="minorHAnsi" w:hAnsiTheme="minorHAnsi" w:cstheme="minorBidi"/>
                <w:spacing w:val="-11"/>
                <w:sz w:val="24"/>
                <w:szCs w:val="24"/>
              </w:rPr>
              <w:t xml:space="preserve"> </w:t>
            </w:r>
            <w:r w:rsidRPr="17535D1C">
              <w:rPr>
                <w:rFonts w:asciiTheme="minorHAnsi" w:hAnsiTheme="minorHAnsi" w:cstheme="minorBidi"/>
                <w:spacing w:val="2"/>
                <w:sz w:val="24"/>
                <w:szCs w:val="24"/>
              </w:rPr>
              <w:t>operating</w:t>
            </w:r>
            <w:r w:rsidRPr="17535D1C">
              <w:rPr>
                <w:rFonts w:asciiTheme="minorHAnsi" w:hAnsiTheme="minorHAnsi" w:cstheme="minorBidi"/>
                <w:spacing w:val="59"/>
                <w:sz w:val="24"/>
                <w:szCs w:val="24"/>
              </w:rPr>
              <w:t xml:space="preserve"> </w:t>
            </w:r>
            <w:r w:rsidRPr="17535D1C">
              <w:rPr>
                <w:rFonts w:asciiTheme="minorHAnsi" w:hAnsiTheme="minorHAnsi" w:cstheme="minorBidi"/>
                <w:sz w:val="24"/>
                <w:szCs w:val="24"/>
              </w:rPr>
              <w:t>efficiently.</w:t>
            </w:r>
          </w:p>
        </w:tc>
        <w:tc>
          <w:tcPr>
            <w:tcW w:w="1602" w:type="dxa"/>
            <w:vAlign w:val="center"/>
          </w:tcPr>
          <w:p w14:paraId="3481408B" w14:textId="77777777" w:rsidR="00B153CC" w:rsidRPr="00AA6C01" w:rsidRDefault="00B153CC" w:rsidP="0061584A">
            <w:pPr>
              <w:pStyle w:val="TableParagraph"/>
              <w:spacing w:line="259" w:lineRule="auto"/>
              <w:ind w:left="234" w:hanging="142"/>
              <w:rPr>
                <w:rFonts w:asciiTheme="minorHAnsi" w:eastAsia="Arial" w:hAnsiTheme="minorHAnsi" w:cstheme="minorHAnsi"/>
                <w:sz w:val="24"/>
                <w:szCs w:val="24"/>
              </w:rPr>
            </w:pPr>
            <w:r w:rsidRPr="00AA6C01">
              <w:rPr>
                <w:rFonts w:asciiTheme="minorHAnsi" w:hAnsiTheme="minorHAnsi" w:cstheme="minorHAnsi"/>
                <w:spacing w:val="1"/>
                <w:sz w:val="24"/>
                <w:szCs w:val="24"/>
              </w:rPr>
              <w:t>1,</w:t>
            </w:r>
            <w:r w:rsidRPr="00AA6C01">
              <w:rPr>
                <w:rFonts w:asciiTheme="minorHAnsi" w:hAnsiTheme="minorHAnsi" w:cstheme="minorHAnsi"/>
                <w:spacing w:val="3"/>
                <w:sz w:val="24"/>
                <w:szCs w:val="24"/>
              </w:rPr>
              <w:t xml:space="preserve"> </w:t>
            </w:r>
            <w:r w:rsidRPr="00AA6C01">
              <w:rPr>
                <w:rFonts w:asciiTheme="minorHAnsi" w:hAnsiTheme="minorHAnsi" w:cstheme="minorHAnsi"/>
                <w:spacing w:val="1"/>
                <w:sz w:val="24"/>
                <w:szCs w:val="24"/>
              </w:rPr>
              <w:t>2,</w:t>
            </w:r>
            <w:r w:rsidRPr="00AA6C01">
              <w:rPr>
                <w:rFonts w:asciiTheme="minorHAnsi" w:hAnsiTheme="minorHAnsi" w:cstheme="minorHAnsi"/>
                <w:spacing w:val="-12"/>
                <w:sz w:val="24"/>
                <w:szCs w:val="24"/>
              </w:rPr>
              <w:t xml:space="preserve"> </w:t>
            </w:r>
            <w:r w:rsidRPr="00AA6C01">
              <w:rPr>
                <w:rFonts w:asciiTheme="minorHAnsi" w:hAnsiTheme="minorHAnsi" w:cstheme="minorHAnsi"/>
                <w:spacing w:val="1"/>
                <w:sz w:val="24"/>
                <w:szCs w:val="24"/>
              </w:rPr>
              <w:t>3,</w:t>
            </w:r>
            <w:r w:rsidRPr="00AA6C01">
              <w:rPr>
                <w:rFonts w:asciiTheme="minorHAnsi" w:hAnsiTheme="minorHAnsi" w:cstheme="minorHAnsi"/>
                <w:spacing w:val="3"/>
                <w:sz w:val="24"/>
                <w:szCs w:val="24"/>
              </w:rPr>
              <w:t xml:space="preserve"> </w:t>
            </w:r>
            <w:r w:rsidRPr="00AA6C01">
              <w:rPr>
                <w:rFonts w:asciiTheme="minorHAnsi" w:hAnsiTheme="minorHAnsi" w:cstheme="minorHAnsi"/>
                <w:sz w:val="24"/>
                <w:szCs w:val="24"/>
              </w:rPr>
              <w:t>7</w:t>
            </w:r>
          </w:p>
        </w:tc>
      </w:tr>
      <w:tr w:rsidR="00B153CC" w:rsidRPr="00AA6C01" w14:paraId="58206CF4" w14:textId="77777777" w:rsidTr="00EF760F">
        <w:trPr>
          <w:trHeight w:hRule="exact" w:val="993"/>
        </w:trPr>
        <w:tc>
          <w:tcPr>
            <w:tcW w:w="1245" w:type="dxa"/>
            <w:vMerge/>
            <w:textDirection w:val="btLr"/>
          </w:tcPr>
          <w:p w14:paraId="5CBFA115" w14:textId="77777777" w:rsidR="00B153CC" w:rsidRPr="00AA6C01" w:rsidRDefault="00B153CC" w:rsidP="00AA6C01">
            <w:pPr>
              <w:spacing w:before="0" w:after="0" w:line="259" w:lineRule="auto"/>
              <w:rPr>
                <w:rFonts w:asciiTheme="minorHAnsi" w:hAnsiTheme="minorHAnsi" w:cstheme="minorHAnsi"/>
                <w:szCs w:val="24"/>
              </w:rPr>
            </w:pPr>
          </w:p>
        </w:tc>
        <w:tc>
          <w:tcPr>
            <w:tcW w:w="6444" w:type="dxa"/>
          </w:tcPr>
          <w:p w14:paraId="3E939C17" w14:textId="77777777" w:rsidR="00B153CC" w:rsidRPr="00AA6C01" w:rsidRDefault="00B153CC" w:rsidP="00AA6C01">
            <w:pPr>
              <w:pStyle w:val="TableParagraph"/>
              <w:spacing w:line="259" w:lineRule="auto"/>
              <w:ind w:left="88" w:right="192"/>
              <w:rPr>
                <w:rFonts w:asciiTheme="minorHAnsi" w:eastAsia="Arial" w:hAnsiTheme="minorHAnsi" w:cstheme="minorBidi"/>
                <w:sz w:val="24"/>
                <w:szCs w:val="24"/>
              </w:rPr>
            </w:pPr>
            <w:r w:rsidRPr="17535D1C">
              <w:rPr>
                <w:rFonts w:asciiTheme="minorHAnsi" w:hAnsiTheme="minorHAnsi" w:cstheme="minorBidi"/>
                <w:spacing w:val="-1"/>
                <w:sz w:val="24"/>
                <w:szCs w:val="24"/>
              </w:rPr>
              <w:t>Marine</w:t>
            </w:r>
            <w:r w:rsidRPr="17535D1C">
              <w:rPr>
                <w:rFonts w:asciiTheme="minorHAnsi" w:hAnsiTheme="minorHAnsi" w:cstheme="minorBidi"/>
                <w:spacing w:val="4"/>
                <w:sz w:val="24"/>
                <w:szCs w:val="24"/>
              </w:rPr>
              <w:t xml:space="preserve"> </w:t>
            </w:r>
            <w:r w:rsidRPr="17535D1C">
              <w:rPr>
                <w:rFonts w:asciiTheme="minorHAnsi" w:hAnsiTheme="minorHAnsi" w:cstheme="minorBidi"/>
                <w:spacing w:val="1"/>
                <w:sz w:val="24"/>
                <w:szCs w:val="24"/>
              </w:rPr>
              <w:t>businesses</w:t>
            </w:r>
            <w:r w:rsidRPr="17535D1C">
              <w:rPr>
                <w:rFonts w:asciiTheme="minorHAnsi" w:hAnsiTheme="minorHAnsi" w:cstheme="minorBidi"/>
                <w:spacing w:val="-14"/>
                <w:sz w:val="24"/>
                <w:szCs w:val="24"/>
              </w:rPr>
              <w:t xml:space="preserve"> </w:t>
            </w:r>
            <w:r w:rsidRPr="17535D1C">
              <w:rPr>
                <w:rFonts w:asciiTheme="minorHAnsi" w:hAnsiTheme="minorHAnsi" w:cstheme="minorBidi"/>
                <w:spacing w:val="2"/>
                <w:sz w:val="24"/>
                <w:szCs w:val="24"/>
              </w:rPr>
              <w:t>are</w:t>
            </w:r>
            <w:r w:rsidRPr="17535D1C">
              <w:rPr>
                <w:rFonts w:asciiTheme="minorHAnsi" w:hAnsiTheme="minorHAnsi" w:cstheme="minorBidi"/>
                <w:spacing w:val="-11"/>
                <w:sz w:val="24"/>
                <w:szCs w:val="24"/>
              </w:rPr>
              <w:t xml:space="preserve"> </w:t>
            </w:r>
            <w:r w:rsidRPr="17535D1C">
              <w:rPr>
                <w:rFonts w:asciiTheme="minorHAnsi" w:hAnsiTheme="minorHAnsi" w:cstheme="minorBidi"/>
                <w:sz w:val="24"/>
                <w:szCs w:val="24"/>
              </w:rPr>
              <w:t>acting</w:t>
            </w:r>
            <w:r w:rsidRPr="17535D1C">
              <w:rPr>
                <w:rFonts w:asciiTheme="minorHAnsi" w:hAnsiTheme="minorHAnsi" w:cstheme="minorBidi"/>
                <w:spacing w:val="-11"/>
                <w:sz w:val="24"/>
                <w:szCs w:val="24"/>
              </w:rPr>
              <w:t xml:space="preserve"> </w:t>
            </w:r>
            <w:r w:rsidRPr="17535D1C">
              <w:rPr>
                <w:rFonts w:asciiTheme="minorHAnsi" w:hAnsiTheme="minorHAnsi" w:cstheme="minorBidi"/>
                <w:spacing w:val="-1"/>
                <w:sz w:val="24"/>
                <w:szCs w:val="24"/>
              </w:rPr>
              <w:t>in</w:t>
            </w:r>
            <w:r w:rsidRPr="17535D1C">
              <w:rPr>
                <w:rFonts w:asciiTheme="minorHAnsi" w:hAnsiTheme="minorHAnsi" w:cstheme="minorBidi"/>
                <w:spacing w:val="4"/>
                <w:sz w:val="24"/>
                <w:szCs w:val="24"/>
              </w:rPr>
              <w:t xml:space="preserve"> </w:t>
            </w:r>
            <w:r w:rsidRPr="17535D1C">
              <w:rPr>
                <w:rFonts w:asciiTheme="minorHAnsi" w:hAnsiTheme="minorHAnsi" w:cstheme="minorBidi"/>
                <w:sz w:val="24"/>
                <w:szCs w:val="24"/>
              </w:rPr>
              <w:t>a</w:t>
            </w:r>
            <w:r w:rsidRPr="17535D1C">
              <w:rPr>
                <w:rFonts w:asciiTheme="minorHAnsi" w:hAnsiTheme="minorHAnsi" w:cstheme="minorBidi"/>
                <w:spacing w:val="4"/>
                <w:sz w:val="24"/>
                <w:szCs w:val="24"/>
              </w:rPr>
              <w:t xml:space="preserve"> </w:t>
            </w:r>
            <w:r w:rsidRPr="17535D1C">
              <w:rPr>
                <w:rFonts w:asciiTheme="minorHAnsi" w:hAnsiTheme="minorHAnsi" w:cstheme="minorBidi"/>
                <w:spacing w:val="-5"/>
                <w:sz w:val="24"/>
                <w:szCs w:val="24"/>
              </w:rPr>
              <w:t>way</w:t>
            </w:r>
            <w:r w:rsidRPr="17535D1C">
              <w:rPr>
                <w:rFonts w:asciiTheme="minorHAnsi" w:hAnsiTheme="minorHAnsi" w:cstheme="minorBidi"/>
                <w:spacing w:val="3"/>
                <w:sz w:val="24"/>
                <w:szCs w:val="24"/>
              </w:rPr>
              <w:t xml:space="preserve"> </w:t>
            </w:r>
            <w:r w:rsidRPr="17535D1C">
              <w:rPr>
                <w:rFonts w:asciiTheme="minorHAnsi" w:hAnsiTheme="minorHAnsi" w:cstheme="minorBidi"/>
                <w:spacing w:val="-4"/>
                <w:sz w:val="24"/>
                <w:szCs w:val="24"/>
              </w:rPr>
              <w:t>which</w:t>
            </w:r>
            <w:r w:rsidRPr="17535D1C">
              <w:rPr>
                <w:rFonts w:asciiTheme="minorHAnsi" w:hAnsiTheme="minorHAnsi" w:cstheme="minorBidi"/>
                <w:spacing w:val="19"/>
                <w:sz w:val="24"/>
                <w:szCs w:val="24"/>
              </w:rPr>
              <w:t xml:space="preserve"> </w:t>
            </w:r>
            <w:r w:rsidRPr="17535D1C">
              <w:rPr>
                <w:rFonts w:asciiTheme="minorHAnsi" w:hAnsiTheme="minorHAnsi" w:cstheme="minorBidi"/>
                <w:spacing w:val="1"/>
                <w:sz w:val="24"/>
                <w:szCs w:val="24"/>
              </w:rPr>
              <w:t>respects</w:t>
            </w:r>
            <w:r w:rsidRPr="17535D1C">
              <w:rPr>
                <w:rFonts w:asciiTheme="minorHAnsi" w:hAnsiTheme="minorHAnsi" w:cstheme="minorBidi"/>
                <w:spacing w:val="-14"/>
                <w:sz w:val="24"/>
                <w:szCs w:val="24"/>
              </w:rPr>
              <w:t xml:space="preserve"> </w:t>
            </w:r>
            <w:r w:rsidRPr="17535D1C">
              <w:rPr>
                <w:rFonts w:asciiTheme="minorHAnsi" w:hAnsiTheme="minorHAnsi" w:cstheme="minorBidi"/>
                <w:spacing w:val="1"/>
                <w:sz w:val="24"/>
                <w:szCs w:val="24"/>
              </w:rPr>
              <w:t>environmental</w:t>
            </w:r>
            <w:r w:rsidRPr="17535D1C">
              <w:rPr>
                <w:rFonts w:asciiTheme="minorHAnsi" w:hAnsiTheme="minorHAnsi" w:cstheme="minorBidi"/>
                <w:spacing w:val="67"/>
                <w:sz w:val="24"/>
                <w:szCs w:val="24"/>
              </w:rPr>
              <w:t xml:space="preserve"> </w:t>
            </w:r>
            <w:r w:rsidRPr="17535D1C">
              <w:rPr>
                <w:rFonts w:asciiTheme="minorHAnsi" w:hAnsiTheme="minorHAnsi" w:cstheme="minorBidi"/>
                <w:spacing w:val="-3"/>
                <w:sz w:val="24"/>
                <w:szCs w:val="24"/>
              </w:rPr>
              <w:t>limits</w:t>
            </w:r>
            <w:r w:rsidRPr="17535D1C">
              <w:rPr>
                <w:rFonts w:asciiTheme="minorHAnsi" w:hAnsiTheme="minorHAnsi" w:cstheme="minorBidi"/>
                <w:spacing w:val="16"/>
                <w:sz w:val="24"/>
                <w:szCs w:val="24"/>
              </w:rPr>
              <w:t xml:space="preserve"> </w:t>
            </w:r>
            <w:r w:rsidRPr="17535D1C">
              <w:rPr>
                <w:rFonts w:asciiTheme="minorHAnsi" w:hAnsiTheme="minorHAnsi" w:cstheme="minorBidi"/>
                <w:spacing w:val="2"/>
                <w:sz w:val="24"/>
                <w:szCs w:val="24"/>
              </w:rPr>
              <w:t>and</w:t>
            </w:r>
            <w:r w:rsidRPr="17535D1C">
              <w:rPr>
                <w:rFonts w:asciiTheme="minorHAnsi" w:hAnsiTheme="minorHAnsi" w:cstheme="minorBidi"/>
                <w:spacing w:val="-11"/>
                <w:sz w:val="24"/>
                <w:szCs w:val="24"/>
              </w:rPr>
              <w:t xml:space="preserve"> </w:t>
            </w:r>
            <w:r w:rsidRPr="17535D1C">
              <w:rPr>
                <w:rFonts w:asciiTheme="minorHAnsi" w:hAnsiTheme="minorHAnsi" w:cstheme="minorBidi"/>
                <w:spacing w:val="-1"/>
                <w:sz w:val="24"/>
                <w:szCs w:val="24"/>
              </w:rPr>
              <w:t>is</w:t>
            </w:r>
            <w:r w:rsidRPr="17535D1C">
              <w:rPr>
                <w:rFonts w:asciiTheme="minorHAnsi" w:hAnsiTheme="minorHAnsi" w:cstheme="minorBidi"/>
                <w:spacing w:val="1"/>
                <w:sz w:val="24"/>
                <w:szCs w:val="24"/>
              </w:rPr>
              <w:t xml:space="preserve"> </w:t>
            </w:r>
            <w:r w:rsidRPr="17535D1C">
              <w:rPr>
                <w:rFonts w:asciiTheme="minorHAnsi" w:hAnsiTheme="minorHAnsi" w:cstheme="minorBidi"/>
                <w:sz w:val="24"/>
                <w:szCs w:val="24"/>
              </w:rPr>
              <w:t>socially</w:t>
            </w:r>
            <w:r w:rsidRPr="17535D1C">
              <w:rPr>
                <w:rFonts w:asciiTheme="minorHAnsi" w:hAnsiTheme="minorHAnsi" w:cstheme="minorBidi"/>
                <w:spacing w:val="1"/>
                <w:sz w:val="24"/>
                <w:szCs w:val="24"/>
              </w:rPr>
              <w:t xml:space="preserve"> responsible.</w:t>
            </w:r>
            <w:r w:rsidRPr="17535D1C">
              <w:rPr>
                <w:rFonts w:asciiTheme="minorHAnsi" w:hAnsiTheme="minorHAnsi" w:cstheme="minorBidi"/>
                <w:spacing w:val="-12"/>
                <w:sz w:val="24"/>
                <w:szCs w:val="24"/>
              </w:rPr>
              <w:t xml:space="preserve"> </w:t>
            </w:r>
            <w:r w:rsidRPr="17535D1C">
              <w:rPr>
                <w:rFonts w:asciiTheme="minorHAnsi" w:hAnsiTheme="minorHAnsi" w:cstheme="minorBidi"/>
                <w:spacing w:val="1"/>
                <w:sz w:val="24"/>
                <w:szCs w:val="24"/>
              </w:rPr>
              <w:t>This</w:t>
            </w:r>
            <w:r w:rsidRPr="17535D1C">
              <w:rPr>
                <w:rFonts w:asciiTheme="minorHAnsi" w:hAnsiTheme="minorHAnsi" w:cstheme="minorBidi"/>
                <w:spacing w:val="-14"/>
                <w:sz w:val="24"/>
                <w:szCs w:val="24"/>
              </w:rPr>
              <w:t xml:space="preserve"> </w:t>
            </w:r>
            <w:r w:rsidRPr="17535D1C">
              <w:rPr>
                <w:rFonts w:asciiTheme="minorHAnsi" w:hAnsiTheme="minorHAnsi" w:cstheme="minorBidi"/>
                <w:spacing w:val="-1"/>
                <w:sz w:val="24"/>
                <w:szCs w:val="24"/>
              </w:rPr>
              <w:t>is</w:t>
            </w:r>
            <w:r w:rsidRPr="17535D1C">
              <w:rPr>
                <w:rFonts w:asciiTheme="minorHAnsi" w:hAnsiTheme="minorHAnsi" w:cstheme="minorBidi"/>
                <w:spacing w:val="1"/>
                <w:sz w:val="24"/>
                <w:szCs w:val="24"/>
              </w:rPr>
              <w:t xml:space="preserve"> </w:t>
            </w:r>
            <w:r w:rsidRPr="17535D1C">
              <w:rPr>
                <w:rFonts w:asciiTheme="minorHAnsi" w:hAnsiTheme="minorHAnsi" w:cstheme="minorBidi"/>
                <w:sz w:val="24"/>
                <w:szCs w:val="24"/>
              </w:rPr>
              <w:t>rewarded</w:t>
            </w:r>
            <w:r w:rsidRPr="17535D1C">
              <w:rPr>
                <w:rFonts w:asciiTheme="minorHAnsi" w:hAnsiTheme="minorHAnsi" w:cstheme="minorBidi"/>
                <w:spacing w:val="-11"/>
                <w:sz w:val="24"/>
                <w:szCs w:val="24"/>
              </w:rPr>
              <w:t xml:space="preserve"> </w:t>
            </w:r>
            <w:r w:rsidRPr="17535D1C">
              <w:rPr>
                <w:rFonts w:asciiTheme="minorHAnsi" w:hAnsiTheme="minorHAnsi" w:cstheme="minorBidi"/>
                <w:spacing w:val="-1"/>
                <w:sz w:val="24"/>
                <w:szCs w:val="24"/>
              </w:rPr>
              <w:t>in</w:t>
            </w:r>
            <w:r w:rsidRPr="17535D1C">
              <w:rPr>
                <w:rFonts w:asciiTheme="minorHAnsi" w:hAnsiTheme="minorHAnsi" w:cstheme="minorBidi"/>
                <w:spacing w:val="4"/>
                <w:sz w:val="24"/>
                <w:szCs w:val="24"/>
              </w:rPr>
              <w:t xml:space="preserve"> </w:t>
            </w:r>
            <w:r w:rsidRPr="17535D1C">
              <w:rPr>
                <w:rFonts w:asciiTheme="minorHAnsi" w:hAnsiTheme="minorHAnsi" w:cstheme="minorBidi"/>
                <w:spacing w:val="1"/>
                <w:sz w:val="24"/>
                <w:szCs w:val="24"/>
              </w:rPr>
              <w:t>the</w:t>
            </w:r>
            <w:r w:rsidRPr="17535D1C">
              <w:rPr>
                <w:rFonts w:asciiTheme="minorHAnsi" w:hAnsiTheme="minorHAnsi" w:cstheme="minorBidi"/>
                <w:spacing w:val="-11"/>
                <w:sz w:val="24"/>
                <w:szCs w:val="24"/>
              </w:rPr>
              <w:t xml:space="preserve"> </w:t>
            </w:r>
            <w:r w:rsidRPr="17535D1C">
              <w:rPr>
                <w:rFonts w:asciiTheme="minorHAnsi" w:hAnsiTheme="minorHAnsi" w:cstheme="minorBidi"/>
                <w:spacing w:val="1"/>
                <w:sz w:val="24"/>
                <w:szCs w:val="24"/>
              </w:rPr>
              <w:t>marketplace.</w:t>
            </w:r>
          </w:p>
        </w:tc>
        <w:tc>
          <w:tcPr>
            <w:tcW w:w="1602" w:type="dxa"/>
            <w:vAlign w:val="center"/>
          </w:tcPr>
          <w:p w14:paraId="3FD7E2B1" w14:textId="77777777" w:rsidR="00B153CC" w:rsidRPr="00AA6C01" w:rsidRDefault="00B153CC" w:rsidP="0061584A">
            <w:pPr>
              <w:pStyle w:val="TableParagraph"/>
              <w:spacing w:line="259" w:lineRule="auto"/>
              <w:ind w:left="234" w:hanging="142"/>
              <w:rPr>
                <w:rFonts w:asciiTheme="minorHAnsi" w:eastAsia="Arial" w:hAnsiTheme="minorHAnsi" w:cstheme="minorHAnsi"/>
                <w:sz w:val="24"/>
                <w:szCs w:val="24"/>
              </w:rPr>
            </w:pPr>
            <w:r w:rsidRPr="00AA6C01">
              <w:rPr>
                <w:rFonts w:asciiTheme="minorHAnsi" w:hAnsiTheme="minorHAnsi" w:cstheme="minorHAnsi"/>
                <w:spacing w:val="1"/>
                <w:sz w:val="24"/>
                <w:szCs w:val="24"/>
              </w:rPr>
              <w:t>1,</w:t>
            </w:r>
            <w:r w:rsidRPr="00AA6C01">
              <w:rPr>
                <w:rFonts w:asciiTheme="minorHAnsi" w:hAnsiTheme="minorHAnsi" w:cstheme="minorHAnsi"/>
                <w:spacing w:val="3"/>
                <w:sz w:val="24"/>
                <w:szCs w:val="24"/>
              </w:rPr>
              <w:t xml:space="preserve"> </w:t>
            </w:r>
            <w:r w:rsidRPr="00AA6C01">
              <w:rPr>
                <w:rFonts w:asciiTheme="minorHAnsi" w:hAnsiTheme="minorHAnsi" w:cstheme="minorHAnsi"/>
                <w:spacing w:val="1"/>
                <w:sz w:val="24"/>
                <w:szCs w:val="24"/>
              </w:rPr>
              <w:t>2,</w:t>
            </w:r>
            <w:r w:rsidRPr="00AA6C01">
              <w:rPr>
                <w:rFonts w:asciiTheme="minorHAnsi" w:hAnsiTheme="minorHAnsi" w:cstheme="minorHAnsi"/>
                <w:spacing w:val="-12"/>
                <w:sz w:val="24"/>
                <w:szCs w:val="24"/>
              </w:rPr>
              <w:t xml:space="preserve"> </w:t>
            </w:r>
            <w:r w:rsidRPr="00AA6C01">
              <w:rPr>
                <w:rFonts w:asciiTheme="minorHAnsi" w:hAnsiTheme="minorHAnsi" w:cstheme="minorHAnsi"/>
                <w:spacing w:val="1"/>
                <w:sz w:val="24"/>
                <w:szCs w:val="24"/>
              </w:rPr>
              <w:t>7,</w:t>
            </w:r>
            <w:r w:rsidRPr="00AA6C01">
              <w:rPr>
                <w:rFonts w:asciiTheme="minorHAnsi" w:hAnsiTheme="minorHAnsi" w:cstheme="minorHAnsi"/>
                <w:spacing w:val="3"/>
                <w:sz w:val="24"/>
                <w:szCs w:val="24"/>
              </w:rPr>
              <w:t xml:space="preserve"> 11</w:t>
            </w:r>
          </w:p>
        </w:tc>
      </w:tr>
      <w:tr w:rsidR="00B153CC" w:rsidRPr="00AA6C01" w14:paraId="4BEB5104" w14:textId="77777777" w:rsidTr="00EF760F">
        <w:trPr>
          <w:trHeight w:hRule="exact" w:val="979"/>
        </w:trPr>
        <w:tc>
          <w:tcPr>
            <w:tcW w:w="1245" w:type="dxa"/>
            <w:vMerge w:val="restart"/>
            <w:shd w:val="clear" w:color="auto" w:fill="auto"/>
            <w:textDirection w:val="btLr"/>
            <w:vAlign w:val="center"/>
          </w:tcPr>
          <w:p w14:paraId="6F009F82" w14:textId="77777777" w:rsidR="00B153CC" w:rsidRPr="00AA6C01" w:rsidRDefault="00B153CC" w:rsidP="00AA6C01">
            <w:pPr>
              <w:pStyle w:val="TableParagraph"/>
              <w:spacing w:line="259" w:lineRule="auto"/>
              <w:ind w:left="57" w:right="391"/>
              <w:rPr>
                <w:rFonts w:asciiTheme="minorHAnsi" w:eastAsia="Arial" w:hAnsiTheme="minorHAnsi" w:cstheme="minorBidi"/>
                <w:b/>
                <w:sz w:val="24"/>
                <w:szCs w:val="24"/>
              </w:rPr>
            </w:pPr>
            <w:r w:rsidRPr="17535D1C">
              <w:rPr>
                <w:rFonts w:asciiTheme="minorHAnsi" w:hAnsiTheme="minorHAnsi" w:cstheme="minorBidi"/>
                <w:b/>
                <w:spacing w:val="2"/>
                <w:sz w:val="24"/>
                <w:szCs w:val="24"/>
              </w:rPr>
              <w:t>Ensuring</w:t>
            </w:r>
            <w:r w:rsidRPr="17535D1C">
              <w:rPr>
                <w:rFonts w:asciiTheme="minorHAnsi" w:eastAsia="Arial" w:hAnsiTheme="minorHAnsi" w:cstheme="minorBidi"/>
                <w:b/>
                <w:sz w:val="24"/>
                <w:szCs w:val="24"/>
              </w:rPr>
              <w:t xml:space="preserve"> a strong, healthy and just </w:t>
            </w:r>
            <w:r w:rsidRPr="17535D1C">
              <w:rPr>
                <w:rFonts w:asciiTheme="minorHAnsi" w:hAnsiTheme="minorHAnsi" w:cstheme="minorBidi"/>
                <w:b/>
                <w:spacing w:val="2"/>
                <w:sz w:val="24"/>
                <w:szCs w:val="24"/>
              </w:rPr>
              <w:t>society</w:t>
            </w:r>
          </w:p>
        </w:tc>
        <w:tc>
          <w:tcPr>
            <w:tcW w:w="6444" w:type="dxa"/>
          </w:tcPr>
          <w:p w14:paraId="05F43A63" w14:textId="77777777" w:rsidR="00B153CC" w:rsidRPr="00AA6C01" w:rsidRDefault="00B153CC" w:rsidP="00AA6C01">
            <w:pPr>
              <w:pStyle w:val="TableParagraph"/>
              <w:spacing w:line="259" w:lineRule="auto"/>
              <w:ind w:left="88" w:right="192"/>
              <w:rPr>
                <w:rFonts w:asciiTheme="minorHAnsi" w:hAnsiTheme="minorHAnsi" w:cstheme="minorHAnsi"/>
                <w:spacing w:val="-1"/>
                <w:sz w:val="24"/>
                <w:szCs w:val="24"/>
              </w:rPr>
            </w:pPr>
            <w:r w:rsidRPr="00AA6C01">
              <w:rPr>
                <w:rFonts w:asciiTheme="minorHAnsi" w:hAnsiTheme="minorHAnsi" w:cstheme="minorHAnsi"/>
                <w:spacing w:val="1"/>
                <w:sz w:val="24"/>
                <w:szCs w:val="24"/>
              </w:rPr>
              <w:t>People appreciate the diversity of the marine environment, its seascapes, natural and cultural heritage and its resources, and act responsibly.</w:t>
            </w:r>
          </w:p>
        </w:tc>
        <w:tc>
          <w:tcPr>
            <w:tcW w:w="1602" w:type="dxa"/>
            <w:vAlign w:val="center"/>
          </w:tcPr>
          <w:p w14:paraId="05709AB2" w14:textId="77777777" w:rsidR="00B153CC" w:rsidRPr="00AA6C01" w:rsidRDefault="00B153CC" w:rsidP="0061584A">
            <w:pPr>
              <w:spacing w:before="0" w:after="0" w:line="259" w:lineRule="auto"/>
              <w:ind w:left="234" w:hanging="142"/>
              <w:rPr>
                <w:rFonts w:asciiTheme="minorHAnsi" w:hAnsiTheme="minorHAnsi" w:cstheme="minorHAnsi"/>
                <w:szCs w:val="24"/>
              </w:rPr>
            </w:pPr>
            <w:r w:rsidRPr="00AA6C01">
              <w:rPr>
                <w:rFonts w:asciiTheme="minorHAnsi" w:hAnsiTheme="minorHAnsi" w:cstheme="minorHAnsi"/>
                <w:spacing w:val="1"/>
                <w:szCs w:val="24"/>
              </w:rPr>
              <w:t>5,</w:t>
            </w:r>
            <w:r w:rsidRPr="00AA6C01">
              <w:rPr>
                <w:rFonts w:asciiTheme="minorHAnsi" w:hAnsiTheme="minorHAnsi" w:cstheme="minorHAnsi"/>
                <w:spacing w:val="3"/>
                <w:szCs w:val="24"/>
              </w:rPr>
              <w:t xml:space="preserve"> </w:t>
            </w:r>
            <w:r w:rsidRPr="00AA6C01">
              <w:rPr>
                <w:rFonts w:asciiTheme="minorHAnsi" w:hAnsiTheme="minorHAnsi" w:cstheme="minorHAnsi"/>
                <w:spacing w:val="1"/>
                <w:szCs w:val="24"/>
              </w:rPr>
              <w:t>6,</w:t>
            </w:r>
            <w:r w:rsidRPr="00AA6C01">
              <w:rPr>
                <w:rFonts w:asciiTheme="minorHAnsi" w:hAnsiTheme="minorHAnsi" w:cstheme="minorHAnsi"/>
                <w:spacing w:val="-12"/>
                <w:szCs w:val="24"/>
              </w:rPr>
              <w:t xml:space="preserve"> </w:t>
            </w:r>
            <w:r w:rsidRPr="00AA6C01">
              <w:rPr>
                <w:rFonts w:asciiTheme="minorHAnsi" w:hAnsiTheme="minorHAnsi" w:cstheme="minorHAnsi"/>
                <w:spacing w:val="1"/>
                <w:szCs w:val="24"/>
              </w:rPr>
              <w:t>8,</w:t>
            </w:r>
            <w:r w:rsidRPr="00AA6C01">
              <w:rPr>
                <w:rFonts w:asciiTheme="minorHAnsi" w:hAnsiTheme="minorHAnsi" w:cstheme="minorHAnsi"/>
                <w:spacing w:val="3"/>
                <w:szCs w:val="24"/>
              </w:rPr>
              <w:t xml:space="preserve"> </w:t>
            </w:r>
            <w:r w:rsidRPr="00AA6C01">
              <w:rPr>
                <w:rFonts w:asciiTheme="minorHAnsi" w:hAnsiTheme="minorHAnsi" w:cstheme="minorHAnsi"/>
                <w:szCs w:val="24"/>
              </w:rPr>
              <w:t>9</w:t>
            </w:r>
          </w:p>
        </w:tc>
      </w:tr>
      <w:tr w:rsidR="00B153CC" w:rsidRPr="00AA6C01" w14:paraId="1C923B8E" w14:textId="77777777" w:rsidTr="00E5424B">
        <w:trPr>
          <w:trHeight w:hRule="exact" w:val="1587"/>
        </w:trPr>
        <w:tc>
          <w:tcPr>
            <w:tcW w:w="1245" w:type="dxa"/>
            <w:vMerge/>
            <w:textDirection w:val="btLr"/>
            <w:vAlign w:val="center"/>
          </w:tcPr>
          <w:p w14:paraId="1D8FE2B1" w14:textId="77777777" w:rsidR="00B153CC" w:rsidRPr="00AA6C01" w:rsidRDefault="00B153CC" w:rsidP="00AA6C01">
            <w:pPr>
              <w:spacing w:before="0" w:after="0" w:line="259" w:lineRule="auto"/>
              <w:rPr>
                <w:rFonts w:asciiTheme="minorHAnsi" w:hAnsiTheme="minorHAnsi" w:cstheme="minorHAnsi"/>
                <w:szCs w:val="24"/>
              </w:rPr>
            </w:pPr>
          </w:p>
        </w:tc>
        <w:tc>
          <w:tcPr>
            <w:tcW w:w="6444" w:type="dxa"/>
          </w:tcPr>
          <w:p w14:paraId="33F86AC8" w14:textId="4858D795" w:rsidR="00B153CC" w:rsidRPr="00AA6C01" w:rsidRDefault="00B153CC" w:rsidP="00AA6C01">
            <w:pPr>
              <w:pStyle w:val="TableParagraph"/>
              <w:spacing w:line="259" w:lineRule="auto"/>
              <w:ind w:left="88" w:right="192"/>
              <w:rPr>
                <w:rFonts w:asciiTheme="minorHAnsi" w:hAnsiTheme="minorHAnsi" w:cstheme="minorHAnsi"/>
                <w:spacing w:val="-1"/>
                <w:sz w:val="24"/>
                <w:szCs w:val="24"/>
              </w:rPr>
            </w:pPr>
            <w:r w:rsidRPr="00AA6C01">
              <w:rPr>
                <w:rFonts w:asciiTheme="minorHAnsi" w:hAnsiTheme="minorHAnsi" w:cstheme="minorHAnsi"/>
                <w:spacing w:val="-1"/>
                <w:sz w:val="24"/>
                <w:szCs w:val="24"/>
              </w:rPr>
              <w:t xml:space="preserve">The use of the marine environment is benefiting </w:t>
            </w:r>
            <w:r w:rsidR="0030533F" w:rsidRPr="00AA6C01">
              <w:rPr>
                <w:rFonts w:asciiTheme="minorHAnsi" w:hAnsiTheme="minorHAnsi" w:cstheme="minorHAnsi"/>
                <w:spacing w:val="-1"/>
                <w:sz w:val="24"/>
                <w:szCs w:val="24"/>
              </w:rPr>
              <w:t>society, contributing</w:t>
            </w:r>
            <w:r w:rsidRPr="00AA6C01">
              <w:rPr>
                <w:rFonts w:asciiTheme="minorHAnsi" w:hAnsiTheme="minorHAnsi" w:cstheme="minorHAnsi"/>
                <w:spacing w:val="-1"/>
                <w:sz w:val="24"/>
                <w:szCs w:val="24"/>
              </w:rPr>
              <w:t xml:space="preserve"> to resilient and cohesive communities that can adapt to coastal erosion and flood risk, as well as contributing to physical and mental well-being.</w:t>
            </w:r>
          </w:p>
        </w:tc>
        <w:tc>
          <w:tcPr>
            <w:tcW w:w="1602" w:type="dxa"/>
            <w:vAlign w:val="center"/>
          </w:tcPr>
          <w:p w14:paraId="5C254343" w14:textId="77777777" w:rsidR="00B153CC" w:rsidRPr="00AA6C01" w:rsidRDefault="00B153CC" w:rsidP="0061584A">
            <w:pPr>
              <w:spacing w:before="0" w:after="0" w:line="259" w:lineRule="auto"/>
              <w:ind w:left="234" w:hanging="142"/>
              <w:rPr>
                <w:rFonts w:asciiTheme="minorHAnsi" w:hAnsiTheme="minorHAnsi" w:cstheme="minorHAnsi"/>
                <w:spacing w:val="1"/>
                <w:szCs w:val="24"/>
              </w:rPr>
            </w:pPr>
            <w:r w:rsidRPr="00AA6C01">
              <w:rPr>
                <w:rFonts w:asciiTheme="minorHAnsi" w:hAnsiTheme="minorHAnsi" w:cstheme="minorHAnsi"/>
                <w:spacing w:val="1"/>
                <w:szCs w:val="24"/>
              </w:rPr>
              <w:t>5, 6, 7</w:t>
            </w:r>
          </w:p>
        </w:tc>
      </w:tr>
      <w:tr w:rsidR="00B153CC" w:rsidRPr="00AA6C01" w14:paraId="376A562C" w14:textId="77777777" w:rsidTr="00E5424B">
        <w:trPr>
          <w:trHeight w:hRule="exact" w:val="731"/>
        </w:trPr>
        <w:tc>
          <w:tcPr>
            <w:tcW w:w="1245" w:type="dxa"/>
            <w:vMerge/>
            <w:textDirection w:val="btLr"/>
            <w:vAlign w:val="center"/>
          </w:tcPr>
          <w:p w14:paraId="310384BD" w14:textId="77777777" w:rsidR="00B153CC" w:rsidRPr="00AA6C01" w:rsidRDefault="00B153CC" w:rsidP="00AA6C01">
            <w:pPr>
              <w:spacing w:before="0" w:after="0" w:line="259" w:lineRule="auto"/>
              <w:rPr>
                <w:rFonts w:asciiTheme="minorHAnsi" w:hAnsiTheme="minorHAnsi" w:cstheme="minorHAnsi"/>
                <w:szCs w:val="24"/>
              </w:rPr>
            </w:pPr>
          </w:p>
        </w:tc>
        <w:tc>
          <w:tcPr>
            <w:tcW w:w="6444" w:type="dxa"/>
          </w:tcPr>
          <w:p w14:paraId="6F080B71" w14:textId="77777777" w:rsidR="00B153CC" w:rsidRPr="00AA6C01" w:rsidRDefault="00B153CC" w:rsidP="00AA6C01">
            <w:pPr>
              <w:pStyle w:val="TableParagraph"/>
              <w:spacing w:line="259" w:lineRule="auto"/>
              <w:ind w:left="88" w:right="192"/>
              <w:rPr>
                <w:rFonts w:asciiTheme="minorHAnsi" w:hAnsiTheme="minorHAnsi" w:cstheme="minorHAnsi"/>
                <w:spacing w:val="-1"/>
                <w:sz w:val="24"/>
                <w:szCs w:val="24"/>
              </w:rPr>
            </w:pPr>
            <w:r w:rsidRPr="00AA6C01">
              <w:rPr>
                <w:rFonts w:asciiTheme="minorHAnsi" w:hAnsiTheme="minorHAnsi" w:cstheme="minorHAnsi"/>
                <w:spacing w:val="-1"/>
                <w:sz w:val="24"/>
                <w:szCs w:val="24"/>
              </w:rPr>
              <w:t xml:space="preserve">The coast, seas, oceans and their resources are safe to use. </w:t>
            </w:r>
          </w:p>
        </w:tc>
        <w:tc>
          <w:tcPr>
            <w:tcW w:w="1602" w:type="dxa"/>
            <w:vAlign w:val="center"/>
          </w:tcPr>
          <w:p w14:paraId="22ABE484" w14:textId="77777777" w:rsidR="00B153CC" w:rsidRPr="00AA6C01" w:rsidRDefault="00B153CC" w:rsidP="0061584A">
            <w:pPr>
              <w:pStyle w:val="TableParagraph"/>
              <w:spacing w:line="259" w:lineRule="auto"/>
              <w:ind w:left="234" w:right="192" w:hanging="142"/>
              <w:rPr>
                <w:rFonts w:asciiTheme="minorHAnsi" w:hAnsiTheme="minorHAnsi" w:cstheme="minorHAnsi"/>
                <w:spacing w:val="1"/>
                <w:sz w:val="24"/>
                <w:szCs w:val="24"/>
              </w:rPr>
            </w:pPr>
            <w:r w:rsidRPr="00AA6C01">
              <w:rPr>
                <w:rFonts w:asciiTheme="minorHAnsi" w:hAnsiTheme="minorHAnsi" w:cstheme="minorHAnsi"/>
                <w:spacing w:val="1"/>
                <w:sz w:val="24"/>
                <w:szCs w:val="24"/>
              </w:rPr>
              <w:t>7</w:t>
            </w:r>
          </w:p>
        </w:tc>
      </w:tr>
      <w:tr w:rsidR="00B153CC" w:rsidRPr="00AA6C01" w14:paraId="6D6020B6" w14:textId="77777777" w:rsidTr="00EF760F">
        <w:trPr>
          <w:trHeight w:hRule="exact" w:val="848"/>
        </w:trPr>
        <w:tc>
          <w:tcPr>
            <w:tcW w:w="1245" w:type="dxa"/>
            <w:vMerge/>
            <w:textDirection w:val="btLr"/>
            <w:vAlign w:val="center"/>
          </w:tcPr>
          <w:p w14:paraId="0578B4FF" w14:textId="77777777" w:rsidR="00B153CC" w:rsidRPr="00AA6C01" w:rsidRDefault="00B153CC" w:rsidP="00AA6C01">
            <w:pPr>
              <w:spacing w:before="0" w:after="0" w:line="259" w:lineRule="auto"/>
              <w:rPr>
                <w:rFonts w:asciiTheme="minorHAnsi" w:hAnsiTheme="minorHAnsi" w:cstheme="minorHAnsi"/>
                <w:szCs w:val="24"/>
              </w:rPr>
            </w:pPr>
          </w:p>
        </w:tc>
        <w:tc>
          <w:tcPr>
            <w:tcW w:w="6444" w:type="dxa"/>
          </w:tcPr>
          <w:p w14:paraId="02C45A68" w14:textId="77777777" w:rsidR="00B153CC" w:rsidRPr="00AA6C01" w:rsidRDefault="00B153CC" w:rsidP="00AA6C01">
            <w:pPr>
              <w:pStyle w:val="TableParagraph"/>
              <w:spacing w:line="259" w:lineRule="auto"/>
              <w:ind w:left="88" w:right="192"/>
              <w:rPr>
                <w:rFonts w:asciiTheme="minorHAnsi" w:hAnsiTheme="minorHAnsi" w:cstheme="minorHAnsi"/>
                <w:spacing w:val="-1"/>
                <w:sz w:val="24"/>
                <w:szCs w:val="24"/>
              </w:rPr>
            </w:pPr>
            <w:r w:rsidRPr="00AA6C01">
              <w:rPr>
                <w:rFonts w:asciiTheme="minorHAnsi" w:hAnsiTheme="minorHAnsi" w:cstheme="minorHAnsi"/>
                <w:spacing w:val="-1"/>
                <w:sz w:val="24"/>
                <w:szCs w:val="24"/>
              </w:rPr>
              <w:t>The marine environment plays an important role in mitigating climate change.</w:t>
            </w:r>
          </w:p>
        </w:tc>
        <w:tc>
          <w:tcPr>
            <w:tcW w:w="1602" w:type="dxa"/>
            <w:vAlign w:val="center"/>
          </w:tcPr>
          <w:p w14:paraId="41CCEAFF" w14:textId="77777777" w:rsidR="00B153CC" w:rsidRPr="00AA6C01" w:rsidRDefault="00B153CC" w:rsidP="0061584A">
            <w:pPr>
              <w:pStyle w:val="TableParagraph"/>
              <w:spacing w:line="259" w:lineRule="auto"/>
              <w:ind w:left="234" w:right="192" w:hanging="142"/>
              <w:rPr>
                <w:rFonts w:asciiTheme="minorHAnsi" w:hAnsiTheme="minorHAnsi" w:cstheme="minorHAnsi"/>
                <w:spacing w:val="1"/>
                <w:sz w:val="24"/>
                <w:szCs w:val="24"/>
              </w:rPr>
            </w:pPr>
            <w:r w:rsidRPr="00AA6C01">
              <w:rPr>
                <w:rFonts w:asciiTheme="minorHAnsi" w:hAnsiTheme="minorHAnsi" w:cstheme="minorHAnsi"/>
                <w:spacing w:val="1"/>
                <w:sz w:val="24"/>
                <w:szCs w:val="24"/>
              </w:rPr>
              <w:t>12</w:t>
            </w:r>
          </w:p>
        </w:tc>
      </w:tr>
      <w:tr w:rsidR="00B153CC" w:rsidRPr="00AA6C01" w14:paraId="5D9CEA8C" w14:textId="77777777" w:rsidTr="00EF760F">
        <w:trPr>
          <w:trHeight w:hRule="exact" w:val="1708"/>
        </w:trPr>
        <w:tc>
          <w:tcPr>
            <w:tcW w:w="1245" w:type="dxa"/>
            <w:vMerge/>
            <w:textDirection w:val="btLr"/>
            <w:vAlign w:val="center"/>
          </w:tcPr>
          <w:p w14:paraId="1BD3E26D" w14:textId="77777777" w:rsidR="00B153CC" w:rsidRPr="00AA6C01" w:rsidRDefault="00B153CC" w:rsidP="00AA6C01">
            <w:pPr>
              <w:spacing w:before="0" w:after="0" w:line="259" w:lineRule="auto"/>
              <w:rPr>
                <w:rFonts w:asciiTheme="minorHAnsi" w:hAnsiTheme="minorHAnsi" w:cstheme="minorHAnsi"/>
                <w:szCs w:val="24"/>
              </w:rPr>
            </w:pPr>
          </w:p>
        </w:tc>
        <w:tc>
          <w:tcPr>
            <w:tcW w:w="6444" w:type="dxa"/>
          </w:tcPr>
          <w:p w14:paraId="2AA23043" w14:textId="597C2E61" w:rsidR="00B153CC" w:rsidRPr="00AA6C01" w:rsidRDefault="00B153CC" w:rsidP="00AA6C01">
            <w:pPr>
              <w:pStyle w:val="TableParagraph"/>
              <w:spacing w:line="259" w:lineRule="auto"/>
              <w:ind w:left="88" w:right="192"/>
              <w:rPr>
                <w:rFonts w:asciiTheme="minorHAnsi" w:hAnsiTheme="minorHAnsi" w:cstheme="minorHAnsi"/>
                <w:spacing w:val="-1"/>
                <w:sz w:val="24"/>
                <w:szCs w:val="24"/>
              </w:rPr>
            </w:pPr>
            <w:r w:rsidRPr="00AA6C01">
              <w:rPr>
                <w:rFonts w:asciiTheme="minorHAnsi" w:hAnsiTheme="minorHAnsi" w:cstheme="minorHAnsi"/>
                <w:spacing w:val="-1"/>
                <w:sz w:val="24"/>
                <w:szCs w:val="24"/>
              </w:rPr>
              <w:t xml:space="preserve">There is equitable access for those who want to use and enjoy the </w:t>
            </w:r>
            <w:r w:rsidRPr="00AA6C01">
              <w:rPr>
                <w:rFonts w:asciiTheme="minorHAnsi" w:hAnsiTheme="minorHAnsi" w:cstheme="minorHAnsi"/>
                <w:spacing w:val="1"/>
                <w:sz w:val="24"/>
                <w:szCs w:val="24"/>
              </w:rPr>
              <w:t>coast,</w:t>
            </w:r>
            <w:r w:rsidRPr="00AA6C01">
              <w:rPr>
                <w:rFonts w:asciiTheme="minorHAnsi" w:hAnsiTheme="minorHAnsi" w:cstheme="minorHAnsi"/>
                <w:spacing w:val="-12"/>
                <w:sz w:val="24"/>
                <w:szCs w:val="24"/>
              </w:rPr>
              <w:t xml:space="preserve"> </w:t>
            </w:r>
            <w:r w:rsidRPr="00AA6C01">
              <w:rPr>
                <w:rFonts w:asciiTheme="minorHAnsi" w:hAnsiTheme="minorHAnsi" w:cstheme="minorHAnsi"/>
                <w:spacing w:val="1"/>
                <w:sz w:val="24"/>
                <w:szCs w:val="24"/>
              </w:rPr>
              <w:t xml:space="preserve">seas </w:t>
            </w:r>
            <w:r w:rsidRPr="00AA6C01">
              <w:rPr>
                <w:rFonts w:asciiTheme="minorHAnsi" w:hAnsiTheme="minorHAnsi" w:cstheme="minorHAnsi"/>
                <w:spacing w:val="2"/>
                <w:sz w:val="24"/>
                <w:szCs w:val="24"/>
              </w:rPr>
              <w:t>and</w:t>
            </w:r>
            <w:r w:rsidRPr="00AA6C01">
              <w:rPr>
                <w:rFonts w:asciiTheme="minorHAnsi" w:hAnsiTheme="minorHAnsi" w:cstheme="minorHAnsi"/>
                <w:spacing w:val="-11"/>
                <w:sz w:val="24"/>
                <w:szCs w:val="24"/>
              </w:rPr>
              <w:t xml:space="preserve"> </w:t>
            </w:r>
            <w:r w:rsidRPr="00AA6C01">
              <w:rPr>
                <w:rFonts w:asciiTheme="minorHAnsi" w:hAnsiTheme="minorHAnsi" w:cstheme="minorHAnsi"/>
                <w:spacing w:val="1"/>
                <w:sz w:val="24"/>
                <w:szCs w:val="24"/>
              </w:rPr>
              <w:t>their</w:t>
            </w:r>
            <w:r w:rsidRPr="00AA6C01">
              <w:rPr>
                <w:rFonts w:asciiTheme="minorHAnsi" w:hAnsiTheme="minorHAnsi" w:cstheme="minorHAnsi"/>
                <w:spacing w:val="-9"/>
                <w:sz w:val="24"/>
                <w:szCs w:val="24"/>
              </w:rPr>
              <w:t xml:space="preserve"> </w:t>
            </w:r>
            <w:r w:rsidRPr="00AA6C01">
              <w:rPr>
                <w:rFonts w:asciiTheme="minorHAnsi" w:hAnsiTheme="minorHAnsi" w:cstheme="minorHAnsi"/>
                <w:spacing w:val="-4"/>
                <w:sz w:val="24"/>
                <w:szCs w:val="24"/>
              </w:rPr>
              <w:t>wide</w:t>
            </w:r>
            <w:r w:rsidRPr="00AA6C01">
              <w:rPr>
                <w:rFonts w:asciiTheme="minorHAnsi" w:hAnsiTheme="minorHAnsi" w:cstheme="minorHAnsi"/>
                <w:spacing w:val="19"/>
                <w:sz w:val="24"/>
                <w:szCs w:val="24"/>
              </w:rPr>
              <w:t xml:space="preserve"> </w:t>
            </w:r>
            <w:r w:rsidRPr="00AA6C01">
              <w:rPr>
                <w:rFonts w:asciiTheme="minorHAnsi" w:hAnsiTheme="minorHAnsi" w:cstheme="minorHAnsi"/>
                <w:spacing w:val="2"/>
                <w:sz w:val="24"/>
                <w:szCs w:val="24"/>
              </w:rPr>
              <w:t>range</w:t>
            </w:r>
            <w:r w:rsidRPr="00AA6C01">
              <w:rPr>
                <w:rFonts w:asciiTheme="minorHAnsi" w:hAnsiTheme="minorHAnsi" w:cstheme="minorHAnsi"/>
                <w:spacing w:val="-11"/>
                <w:sz w:val="24"/>
                <w:szCs w:val="24"/>
              </w:rPr>
              <w:t xml:space="preserve"> </w:t>
            </w:r>
            <w:r w:rsidRPr="00AA6C01">
              <w:rPr>
                <w:rFonts w:asciiTheme="minorHAnsi" w:hAnsiTheme="minorHAnsi" w:cstheme="minorHAnsi"/>
                <w:spacing w:val="1"/>
                <w:sz w:val="24"/>
                <w:szCs w:val="24"/>
              </w:rPr>
              <w:t>of</w:t>
            </w:r>
            <w:r w:rsidRPr="00AA6C01">
              <w:rPr>
                <w:rFonts w:asciiTheme="minorHAnsi" w:hAnsiTheme="minorHAnsi" w:cstheme="minorHAnsi"/>
                <w:spacing w:val="-12"/>
                <w:sz w:val="24"/>
                <w:szCs w:val="24"/>
              </w:rPr>
              <w:t xml:space="preserve"> </w:t>
            </w:r>
            <w:r w:rsidR="0030533F" w:rsidRPr="00AA6C01">
              <w:rPr>
                <w:rFonts w:asciiTheme="minorHAnsi" w:hAnsiTheme="minorHAnsi" w:cstheme="minorHAnsi"/>
                <w:spacing w:val="2"/>
                <w:sz w:val="24"/>
                <w:szCs w:val="24"/>
              </w:rPr>
              <w:t>resources</w:t>
            </w:r>
            <w:r w:rsidR="0030533F" w:rsidRPr="00AA6C01">
              <w:rPr>
                <w:rFonts w:asciiTheme="minorHAnsi" w:hAnsiTheme="minorHAnsi" w:cstheme="minorHAnsi"/>
                <w:spacing w:val="-14"/>
                <w:sz w:val="24"/>
                <w:szCs w:val="24"/>
              </w:rPr>
              <w:t>,</w:t>
            </w:r>
            <w:r w:rsidRPr="00AA6C01">
              <w:rPr>
                <w:rFonts w:asciiTheme="minorHAnsi" w:hAnsiTheme="minorHAnsi" w:cstheme="minorHAnsi"/>
                <w:spacing w:val="-11"/>
                <w:sz w:val="24"/>
                <w:szCs w:val="24"/>
              </w:rPr>
              <w:t xml:space="preserve"> </w:t>
            </w:r>
            <w:r w:rsidRPr="00AA6C01">
              <w:rPr>
                <w:rFonts w:asciiTheme="minorHAnsi" w:hAnsiTheme="minorHAnsi" w:cstheme="minorHAnsi"/>
                <w:spacing w:val="1"/>
                <w:sz w:val="24"/>
                <w:szCs w:val="24"/>
              </w:rPr>
              <w:t>assets</w:t>
            </w:r>
            <w:r w:rsidRPr="00AA6C01">
              <w:rPr>
                <w:rFonts w:asciiTheme="minorHAnsi" w:hAnsiTheme="minorHAnsi" w:cstheme="minorHAnsi"/>
                <w:spacing w:val="-14"/>
                <w:sz w:val="24"/>
                <w:szCs w:val="24"/>
              </w:rPr>
              <w:t xml:space="preserve"> </w:t>
            </w:r>
            <w:r w:rsidRPr="00AA6C01">
              <w:rPr>
                <w:rFonts w:asciiTheme="minorHAnsi" w:hAnsiTheme="minorHAnsi" w:cstheme="minorHAnsi"/>
                <w:spacing w:val="3"/>
                <w:sz w:val="24"/>
                <w:szCs w:val="24"/>
              </w:rPr>
              <w:t>and</w:t>
            </w:r>
            <w:r w:rsidRPr="00AA6C01">
              <w:rPr>
                <w:rFonts w:asciiTheme="minorHAnsi" w:hAnsiTheme="minorHAnsi" w:cstheme="minorHAnsi"/>
                <w:spacing w:val="29"/>
                <w:sz w:val="24"/>
                <w:szCs w:val="24"/>
              </w:rPr>
              <w:t xml:space="preserve"> </w:t>
            </w:r>
            <w:r w:rsidRPr="00AA6C01">
              <w:rPr>
                <w:rFonts w:asciiTheme="minorHAnsi" w:hAnsiTheme="minorHAnsi" w:cstheme="minorHAnsi"/>
                <w:spacing w:val="1"/>
                <w:sz w:val="24"/>
                <w:szCs w:val="24"/>
              </w:rPr>
              <w:t>recognition</w:t>
            </w:r>
            <w:r w:rsidRPr="00AA6C01">
              <w:rPr>
                <w:rFonts w:asciiTheme="minorHAnsi" w:hAnsiTheme="minorHAnsi" w:cstheme="minorHAnsi"/>
                <w:spacing w:val="-11"/>
                <w:sz w:val="24"/>
                <w:szCs w:val="24"/>
              </w:rPr>
              <w:t xml:space="preserve"> </w:t>
            </w:r>
            <w:r w:rsidRPr="00AA6C01">
              <w:rPr>
                <w:rFonts w:asciiTheme="minorHAnsi" w:hAnsiTheme="minorHAnsi" w:cstheme="minorHAnsi"/>
                <w:spacing w:val="1"/>
                <w:sz w:val="24"/>
                <w:szCs w:val="24"/>
              </w:rPr>
              <w:t>that</w:t>
            </w:r>
            <w:r w:rsidRPr="00AA6C01">
              <w:rPr>
                <w:rFonts w:asciiTheme="minorHAnsi" w:hAnsiTheme="minorHAnsi" w:cstheme="minorHAnsi"/>
                <w:spacing w:val="-12"/>
                <w:sz w:val="24"/>
                <w:szCs w:val="24"/>
              </w:rPr>
              <w:t xml:space="preserve"> </w:t>
            </w:r>
            <w:r w:rsidRPr="00AA6C01">
              <w:rPr>
                <w:rFonts w:asciiTheme="minorHAnsi" w:hAnsiTheme="minorHAnsi" w:cstheme="minorHAnsi"/>
                <w:spacing w:val="1"/>
                <w:sz w:val="24"/>
                <w:szCs w:val="24"/>
              </w:rPr>
              <w:t>for</w:t>
            </w:r>
            <w:r w:rsidRPr="00AA6C01">
              <w:rPr>
                <w:rFonts w:asciiTheme="minorHAnsi" w:hAnsiTheme="minorHAnsi" w:cstheme="minorHAnsi"/>
                <w:spacing w:val="-9"/>
                <w:sz w:val="24"/>
                <w:szCs w:val="24"/>
              </w:rPr>
              <w:t xml:space="preserve"> </w:t>
            </w:r>
            <w:r w:rsidRPr="00AA6C01">
              <w:rPr>
                <w:rFonts w:asciiTheme="minorHAnsi" w:hAnsiTheme="minorHAnsi" w:cstheme="minorHAnsi"/>
                <w:spacing w:val="-2"/>
                <w:sz w:val="24"/>
                <w:szCs w:val="24"/>
              </w:rPr>
              <w:t>some</w:t>
            </w:r>
            <w:r w:rsidRPr="00AA6C01">
              <w:rPr>
                <w:rFonts w:asciiTheme="minorHAnsi" w:hAnsiTheme="minorHAnsi" w:cstheme="minorHAnsi"/>
                <w:spacing w:val="4"/>
                <w:sz w:val="24"/>
                <w:szCs w:val="24"/>
              </w:rPr>
              <w:t xml:space="preserve"> </w:t>
            </w:r>
            <w:r w:rsidRPr="00AA6C01">
              <w:rPr>
                <w:rFonts w:asciiTheme="minorHAnsi" w:hAnsiTheme="minorHAnsi" w:cstheme="minorHAnsi"/>
                <w:sz w:val="24"/>
                <w:szCs w:val="24"/>
              </w:rPr>
              <w:t>island</w:t>
            </w:r>
            <w:r w:rsidRPr="00AA6C01">
              <w:rPr>
                <w:rFonts w:asciiTheme="minorHAnsi" w:hAnsiTheme="minorHAnsi" w:cstheme="minorHAnsi"/>
                <w:spacing w:val="4"/>
                <w:sz w:val="24"/>
                <w:szCs w:val="24"/>
              </w:rPr>
              <w:t xml:space="preserve"> </w:t>
            </w:r>
            <w:r w:rsidRPr="00AA6C01">
              <w:rPr>
                <w:rFonts w:asciiTheme="minorHAnsi" w:hAnsiTheme="minorHAnsi" w:cstheme="minorHAnsi"/>
                <w:spacing w:val="2"/>
                <w:sz w:val="24"/>
                <w:szCs w:val="24"/>
              </w:rPr>
              <w:t>and</w:t>
            </w:r>
            <w:r w:rsidRPr="00AA6C01">
              <w:rPr>
                <w:rFonts w:asciiTheme="minorHAnsi" w:hAnsiTheme="minorHAnsi" w:cstheme="minorHAnsi"/>
                <w:spacing w:val="-11"/>
                <w:sz w:val="24"/>
                <w:szCs w:val="24"/>
              </w:rPr>
              <w:t xml:space="preserve"> </w:t>
            </w:r>
            <w:r w:rsidRPr="00AA6C01">
              <w:rPr>
                <w:rFonts w:asciiTheme="minorHAnsi" w:hAnsiTheme="minorHAnsi" w:cstheme="minorHAnsi"/>
                <w:spacing w:val="2"/>
                <w:sz w:val="24"/>
                <w:szCs w:val="24"/>
              </w:rPr>
              <w:t>peripheral</w:t>
            </w:r>
            <w:r w:rsidRPr="00AA6C01">
              <w:rPr>
                <w:rFonts w:asciiTheme="minorHAnsi" w:hAnsiTheme="minorHAnsi" w:cstheme="minorHAnsi"/>
                <w:spacing w:val="-16"/>
                <w:sz w:val="24"/>
                <w:szCs w:val="24"/>
              </w:rPr>
              <w:t xml:space="preserve"> </w:t>
            </w:r>
            <w:r w:rsidRPr="00AA6C01">
              <w:rPr>
                <w:rFonts w:asciiTheme="minorHAnsi" w:hAnsiTheme="minorHAnsi" w:cstheme="minorHAnsi"/>
                <w:spacing w:val="-1"/>
                <w:sz w:val="24"/>
                <w:szCs w:val="24"/>
              </w:rPr>
              <w:t>communities</w:t>
            </w:r>
            <w:r w:rsidRPr="00AA6C01">
              <w:rPr>
                <w:rFonts w:asciiTheme="minorHAnsi" w:hAnsiTheme="minorHAnsi" w:cstheme="minorHAnsi"/>
                <w:spacing w:val="-14"/>
                <w:sz w:val="24"/>
                <w:szCs w:val="24"/>
              </w:rPr>
              <w:t xml:space="preserve"> </w:t>
            </w:r>
            <w:r w:rsidRPr="00AA6C01">
              <w:rPr>
                <w:rFonts w:asciiTheme="minorHAnsi" w:hAnsiTheme="minorHAnsi" w:cstheme="minorHAnsi"/>
                <w:spacing w:val="1"/>
                <w:sz w:val="24"/>
                <w:szCs w:val="24"/>
              </w:rPr>
              <w:t>the</w:t>
            </w:r>
            <w:r w:rsidRPr="00AA6C01">
              <w:rPr>
                <w:rFonts w:asciiTheme="minorHAnsi" w:hAnsiTheme="minorHAnsi" w:cstheme="minorHAnsi"/>
                <w:spacing w:val="4"/>
                <w:sz w:val="24"/>
                <w:szCs w:val="24"/>
              </w:rPr>
              <w:t xml:space="preserve"> </w:t>
            </w:r>
            <w:r w:rsidRPr="00AA6C01">
              <w:rPr>
                <w:rFonts w:asciiTheme="minorHAnsi" w:hAnsiTheme="minorHAnsi" w:cstheme="minorHAnsi"/>
                <w:spacing w:val="2"/>
                <w:sz w:val="24"/>
                <w:szCs w:val="24"/>
              </w:rPr>
              <w:t>sea</w:t>
            </w:r>
            <w:r w:rsidRPr="00AA6C01">
              <w:rPr>
                <w:rFonts w:asciiTheme="minorHAnsi" w:hAnsiTheme="minorHAnsi" w:cstheme="minorHAnsi"/>
                <w:spacing w:val="43"/>
                <w:sz w:val="24"/>
                <w:szCs w:val="24"/>
              </w:rPr>
              <w:t xml:space="preserve"> </w:t>
            </w:r>
            <w:r w:rsidRPr="00AA6C01">
              <w:rPr>
                <w:rFonts w:asciiTheme="minorHAnsi" w:hAnsiTheme="minorHAnsi" w:cstheme="minorHAnsi"/>
                <w:sz w:val="24"/>
                <w:szCs w:val="24"/>
              </w:rPr>
              <w:t>plays</w:t>
            </w:r>
            <w:r w:rsidRPr="00AA6C01">
              <w:rPr>
                <w:rFonts w:asciiTheme="minorHAnsi" w:hAnsiTheme="minorHAnsi" w:cstheme="minorHAnsi"/>
                <w:spacing w:val="1"/>
                <w:sz w:val="24"/>
                <w:szCs w:val="24"/>
              </w:rPr>
              <w:t xml:space="preserve"> </w:t>
            </w:r>
            <w:r w:rsidRPr="00AA6C01">
              <w:rPr>
                <w:rFonts w:asciiTheme="minorHAnsi" w:hAnsiTheme="minorHAnsi" w:cstheme="minorHAnsi"/>
                <w:sz w:val="24"/>
                <w:szCs w:val="24"/>
              </w:rPr>
              <w:t>a</w:t>
            </w:r>
            <w:r w:rsidRPr="00AA6C01">
              <w:rPr>
                <w:rFonts w:asciiTheme="minorHAnsi" w:hAnsiTheme="minorHAnsi" w:cstheme="minorHAnsi"/>
                <w:spacing w:val="-11"/>
                <w:sz w:val="24"/>
                <w:szCs w:val="24"/>
              </w:rPr>
              <w:t xml:space="preserve"> </w:t>
            </w:r>
            <w:r w:rsidRPr="00AA6C01">
              <w:rPr>
                <w:rFonts w:asciiTheme="minorHAnsi" w:hAnsiTheme="minorHAnsi" w:cstheme="minorHAnsi"/>
                <w:sz w:val="24"/>
                <w:szCs w:val="24"/>
              </w:rPr>
              <w:t>significant</w:t>
            </w:r>
            <w:r w:rsidRPr="00AA6C01">
              <w:rPr>
                <w:rFonts w:asciiTheme="minorHAnsi" w:hAnsiTheme="minorHAnsi" w:cstheme="minorHAnsi"/>
                <w:spacing w:val="-12"/>
                <w:sz w:val="24"/>
                <w:szCs w:val="24"/>
              </w:rPr>
              <w:t xml:space="preserve"> </w:t>
            </w:r>
            <w:r w:rsidRPr="00AA6C01">
              <w:rPr>
                <w:rFonts w:asciiTheme="minorHAnsi" w:hAnsiTheme="minorHAnsi" w:cstheme="minorHAnsi"/>
                <w:spacing w:val="1"/>
                <w:sz w:val="24"/>
                <w:szCs w:val="24"/>
              </w:rPr>
              <w:t>role</w:t>
            </w:r>
            <w:r w:rsidRPr="00AA6C01">
              <w:rPr>
                <w:rFonts w:asciiTheme="minorHAnsi" w:hAnsiTheme="minorHAnsi" w:cstheme="minorHAnsi"/>
                <w:spacing w:val="4"/>
                <w:sz w:val="24"/>
                <w:szCs w:val="24"/>
              </w:rPr>
              <w:t xml:space="preserve"> </w:t>
            </w:r>
            <w:r w:rsidRPr="00AA6C01">
              <w:rPr>
                <w:rFonts w:asciiTheme="minorHAnsi" w:hAnsiTheme="minorHAnsi" w:cstheme="minorHAnsi"/>
                <w:spacing w:val="-1"/>
                <w:sz w:val="24"/>
                <w:szCs w:val="24"/>
              </w:rPr>
              <w:t>in</w:t>
            </w:r>
            <w:r w:rsidRPr="00AA6C01">
              <w:rPr>
                <w:rFonts w:asciiTheme="minorHAnsi" w:hAnsiTheme="minorHAnsi" w:cstheme="minorHAnsi"/>
                <w:spacing w:val="-11"/>
                <w:sz w:val="24"/>
                <w:szCs w:val="24"/>
              </w:rPr>
              <w:t xml:space="preserve"> </w:t>
            </w:r>
            <w:r w:rsidRPr="00AA6C01">
              <w:rPr>
                <w:rFonts w:asciiTheme="minorHAnsi" w:hAnsiTheme="minorHAnsi" w:cstheme="minorHAnsi"/>
                <w:spacing w:val="1"/>
                <w:sz w:val="24"/>
                <w:szCs w:val="24"/>
              </w:rPr>
              <w:t>their</w:t>
            </w:r>
            <w:r w:rsidRPr="00AA6C01">
              <w:rPr>
                <w:rFonts w:asciiTheme="minorHAnsi" w:hAnsiTheme="minorHAnsi" w:cstheme="minorHAnsi"/>
                <w:spacing w:val="6"/>
                <w:sz w:val="24"/>
                <w:szCs w:val="24"/>
              </w:rPr>
              <w:t xml:space="preserve"> </w:t>
            </w:r>
            <w:r w:rsidRPr="00AA6C01">
              <w:rPr>
                <w:rFonts w:asciiTheme="minorHAnsi" w:hAnsiTheme="minorHAnsi" w:cstheme="minorHAnsi"/>
                <w:spacing w:val="-2"/>
                <w:sz w:val="24"/>
                <w:szCs w:val="24"/>
              </w:rPr>
              <w:t>community</w:t>
            </w:r>
            <w:r w:rsidR="00E5424B">
              <w:rPr>
                <w:rFonts w:asciiTheme="minorHAnsi" w:hAnsiTheme="minorHAnsi" w:cstheme="minorHAnsi"/>
                <w:spacing w:val="-2"/>
                <w:sz w:val="24"/>
                <w:szCs w:val="24"/>
              </w:rPr>
              <w:t>.</w:t>
            </w:r>
          </w:p>
        </w:tc>
        <w:tc>
          <w:tcPr>
            <w:tcW w:w="1602" w:type="dxa"/>
            <w:vAlign w:val="center"/>
          </w:tcPr>
          <w:p w14:paraId="2B224AD0" w14:textId="77777777" w:rsidR="00B153CC" w:rsidRPr="00AA6C01" w:rsidRDefault="00B153CC" w:rsidP="0061584A">
            <w:pPr>
              <w:pStyle w:val="TableParagraph"/>
              <w:spacing w:line="259" w:lineRule="auto"/>
              <w:ind w:left="234" w:hanging="142"/>
              <w:rPr>
                <w:rFonts w:asciiTheme="minorHAnsi" w:hAnsiTheme="minorHAnsi" w:cstheme="minorHAnsi"/>
                <w:spacing w:val="1"/>
                <w:sz w:val="24"/>
                <w:szCs w:val="24"/>
              </w:rPr>
            </w:pPr>
            <w:r w:rsidRPr="00AA6C01">
              <w:rPr>
                <w:rFonts w:asciiTheme="minorHAnsi" w:hAnsiTheme="minorHAnsi" w:cstheme="minorHAnsi"/>
                <w:spacing w:val="1"/>
                <w:sz w:val="24"/>
                <w:szCs w:val="24"/>
              </w:rPr>
              <w:t>6, 12</w:t>
            </w:r>
          </w:p>
        </w:tc>
      </w:tr>
      <w:tr w:rsidR="00B153CC" w:rsidRPr="00AA6C01" w14:paraId="0D4B0070" w14:textId="77777777" w:rsidTr="00EF760F">
        <w:trPr>
          <w:trHeight w:hRule="exact" w:val="1411"/>
        </w:trPr>
        <w:tc>
          <w:tcPr>
            <w:tcW w:w="1245" w:type="dxa"/>
            <w:vMerge/>
            <w:textDirection w:val="btLr"/>
            <w:vAlign w:val="center"/>
          </w:tcPr>
          <w:p w14:paraId="67DEE6A8" w14:textId="77777777" w:rsidR="00B153CC" w:rsidRPr="00AA6C01" w:rsidRDefault="00B153CC" w:rsidP="00AA6C01">
            <w:pPr>
              <w:spacing w:before="0" w:after="0" w:line="259" w:lineRule="auto"/>
              <w:rPr>
                <w:rFonts w:asciiTheme="minorHAnsi" w:hAnsiTheme="minorHAnsi" w:cstheme="minorHAnsi"/>
                <w:szCs w:val="24"/>
              </w:rPr>
            </w:pPr>
          </w:p>
        </w:tc>
        <w:tc>
          <w:tcPr>
            <w:tcW w:w="6444" w:type="dxa"/>
          </w:tcPr>
          <w:p w14:paraId="6D43A726" w14:textId="77777777" w:rsidR="00B153CC" w:rsidRPr="00AA6C01" w:rsidRDefault="00B153CC" w:rsidP="00AA6C01">
            <w:pPr>
              <w:pStyle w:val="TableParagraph"/>
              <w:spacing w:line="259" w:lineRule="auto"/>
              <w:ind w:left="88" w:right="192"/>
              <w:rPr>
                <w:rFonts w:asciiTheme="minorHAnsi" w:hAnsiTheme="minorHAnsi" w:cstheme="minorHAnsi"/>
                <w:spacing w:val="-1"/>
                <w:sz w:val="24"/>
                <w:szCs w:val="24"/>
              </w:rPr>
            </w:pPr>
            <w:r w:rsidRPr="00AA6C01">
              <w:rPr>
                <w:rFonts w:asciiTheme="minorHAnsi" w:hAnsiTheme="minorHAnsi" w:cstheme="minorHAnsi"/>
                <w:spacing w:val="-1"/>
                <w:sz w:val="24"/>
                <w:szCs w:val="24"/>
              </w:rPr>
              <w:t xml:space="preserve">Use of the marine environment will </w:t>
            </w:r>
            <w:r w:rsidRPr="00E5424B">
              <w:rPr>
                <w:rFonts w:asciiTheme="minorHAnsi" w:hAnsiTheme="minorHAnsi" w:cstheme="minorHAnsi"/>
                <w:spacing w:val="-1"/>
                <w:sz w:val="24"/>
                <w:szCs w:val="24"/>
                <w:lang w:val="en-GB"/>
              </w:rPr>
              <w:t>recognise</w:t>
            </w:r>
            <w:r w:rsidRPr="00AA6C01">
              <w:rPr>
                <w:rFonts w:asciiTheme="minorHAnsi" w:hAnsiTheme="minorHAnsi" w:cstheme="minorHAnsi"/>
                <w:spacing w:val="-1"/>
                <w:sz w:val="24"/>
                <w:szCs w:val="24"/>
              </w:rPr>
              <w:t>, and integrate with, defence priorities, including the strengthening of international peace and stability and the defence of the United Kingdom and its interests.</w:t>
            </w:r>
          </w:p>
        </w:tc>
        <w:tc>
          <w:tcPr>
            <w:tcW w:w="1602" w:type="dxa"/>
            <w:vAlign w:val="center"/>
          </w:tcPr>
          <w:p w14:paraId="57706121" w14:textId="77777777" w:rsidR="00B153CC" w:rsidRPr="00AA6C01" w:rsidRDefault="00B153CC" w:rsidP="0061584A">
            <w:pPr>
              <w:pStyle w:val="TableParagraph"/>
              <w:spacing w:line="259" w:lineRule="auto"/>
              <w:ind w:left="234" w:hanging="142"/>
              <w:rPr>
                <w:rFonts w:asciiTheme="minorHAnsi" w:hAnsiTheme="minorHAnsi" w:cstheme="minorHAnsi"/>
                <w:spacing w:val="1"/>
                <w:sz w:val="24"/>
                <w:szCs w:val="24"/>
              </w:rPr>
            </w:pPr>
            <w:r w:rsidRPr="00AA6C01">
              <w:rPr>
                <w:rFonts w:asciiTheme="minorHAnsi" w:hAnsiTheme="minorHAnsi" w:cstheme="minorHAnsi"/>
                <w:spacing w:val="1"/>
                <w:sz w:val="24"/>
                <w:szCs w:val="24"/>
              </w:rPr>
              <w:t>1</w:t>
            </w:r>
          </w:p>
        </w:tc>
      </w:tr>
      <w:tr w:rsidR="00B153CC" w:rsidRPr="00AA6C01" w14:paraId="29459673" w14:textId="77777777" w:rsidTr="00EF760F">
        <w:trPr>
          <w:trHeight w:hRule="exact" w:val="728"/>
        </w:trPr>
        <w:tc>
          <w:tcPr>
            <w:tcW w:w="1245" w:type="dxa"/>
            <w:vMerge/>
            <w:textDirection w:val="btLr"/>
            <w:vAlign w:val="center"/>
          </w:tcPr>
          <w:p w14:paraId="115C8D2D" w14:textId="77777777" w:rsidR="00B153CC" w:rsidRPr="00AA6C01" w:rsidRDefault="00B153CC" w:rsidP="00AA6C01">
            <w:pPr>
              <w:spacing w:before="0" w:after="0" w:line="259" w:lineRule="auto"/>
              <w:rPr>
                <w:rFonts w:asciiTheme="minorHAnsi" w:hAnsiTheme="minorHAnsi" w:cstheme="minorHAnsi"/>
                <w:szCs w:val="24"/>
              </w:rPr>
            </w:pPr>
          </w:p>
        </w:tc>
        <w:tc>
          <w:tcPr>
            <w:tcW w:w="6444" w:type="dxa"/>
          </w:tcPr>
          <w:p w14:paraId="26A0AB93" w14:textId="77777777" w:rsidR="00B153CC" w:rsidRPr="00AA6C01" w:rsidRDefault="00B153CC" w:rsidP="00AA6C01">
            <w:pPr>
              <w:pStyle w:val="TableParagraph"/>
              <w:spacing w:line="259" w:lineRule="auto"/>
              <w:ind w:left="88" w:right="192"/>
              <w:rPr>
                <w:rFonts w:asciiTheme="minorHAnsi" w:hAnsiTheme="minorHAnsi" w:cstheme="minorHAnsi"/>
                <w:spacing w:val="-1"/>
                <w:sz w:val="24"/>
                <w:szCs w:val="24"/>
              </w:rPr>
            </w:pPr>
            <w:r w:rsidRPr="00AA6C01">
              <w:rPr>
                <w:rFonts w:asciiTheme="minorHAnsi" w:hAnsiTheme="minorHAnsi" w:cstheme="minorHAnsi"/>
                <w:sz w:val="24"/>
                <w:szCs w:val="24"/>
              </w:rPr>
              <w:t>Biodiversity</w:t>
            </w:r>
            <w:r w:rsidRPr="00AA6C01">
              <w:rPr>
                <w:rFonts w:asciiTheme="minorHAnsi" w:hAnsiTheme="minorHAnsi" w:cstheme="minorHAnsi"/>
                <w:spacing w:val="1"/>
                <w:sz w:val="24"/>
                <w:szCs w:val="24"/>
              </w:rPr>
              <w:t xml:space="preserve"> </w:t>
            </w:r>
            <w:r w:rsidRPr="00AA6C01">
              <w:rPr>
                <w:rFonts w:asciiTheme="minorHAnsi" w:hAnsiTheme="minorHAnsi" w:cstheme="minorHAnsi"/>
                <w:spacing w:val="-1"/>
                <w:sz w:val="24"/>
                <w:szCs w:val="24"/>
              </w:rPr>
              <w:t>is</w:t>
            </w:r>
            <w:r w:rsidRPr="00AA6C01">
              <w:rPr>
                <w:rFonts w:asciiTheme="minorHAnsi" w:hAnsiTheme="minorHAnsi" w:cstheme="minorHAnsi"/>
                <w:spacing w:val="1"/>
                <w:sz w:val="24"/>
                <w:szCs w:val="24"/>
              </w:rPr>
              <w:t xml:space="preserve"> </w:t>
            </w:r>
            <w:r w:rsidRPr="00AA6C01">
              <w:rPr>
                <w:rFonts w:asciiTheme="minorHAnsi" w:hAnsiTheme="minorHAnsi" w:cstheme="minorHAnsi"/>
                <w:spacing w:val="2"/>
                <w:sz w:val="24"/>
                <w:szCs w:val="24"/>
              </w:rPr>
              <w:t>protected,</w:t>
            </w:r>
            <w:r w:rsidRPr="00AA6C01">
              <w:rPr>
                <w:rFonts w:asciiTheme="minorHAnsi" w:hAnsiTheme="minorHAnsi" w:cstheme="minorHAnsi"/>
                <w:spacing w:val="-12"/>
                <w:sz w:val="24"/>
                <w:szCs w:val="24"/>
              </w:rPr>
              <w:t xml:space="preserve"> </w:t>
            </w:r>
            <w:r w:rsidRPr="00AA6C01">
              <w:rPr>
                <w:rFonts w:asciiTheme="minorHAnsi" w:hAnsiTheme="minorHAnsi" w:cstheme="minorHAnsi"/>
                <w:spacing w:val="1"/>
                <w:sz w:val="24"/>
                <w:szCs w:val="24"/>
              </w:rPr>
              <w:t>conserved</w:t>
            </w:r>
            <w:r w:rsidRPr="00AA6C01">
              <w:rPr>
                <w:rFonts w:asciiTheme="minorHAnsi" w:hAnsiTheme="minorHAnsi" w:cstheme="minorHAnsi"/>
                <w:spacing w:val="-11"/>
                <w:sz w:val="24"/>
                <w:szCs w:val="24"/>
              </w:rPr>
              <w:t xml:space="preserve"> </w:t>
            </w:r>
            <w:r w:rsidRPr="00AA6C01">
              <w:rPr>
                <w:rFonts w:asciiTheme="minorHAnsi" w:hAnsiTheme="minorHAnsi" w:cstheme="minorHAnsi"/>
                <w:spacing w:val="2"/>
                <w:sz w:val="24"/>
                <w:szCs w:val="24"/>
              </w:rPr>
              <w:t>and,</w:t>
            </w:r>
            <w:r w:rsidRPr="00AA6C01">
              <w:rPr>
                <w:rFonts w:asciiTheme="minorHAnsi" w:hAnsiTheme="minorHAnsi" w:cstheme="minorHAnsi"/>
                <w:spacing w:val="-12"/>
                <w:sz w:val="24"/>
                <w:szCs w:val="24"/>
              </w:rPr>
              <w:t xml:space="preserve"> </w:t>
            </w:r>
            <w:r w:rsidRPr="00AA6C01">
              <w:rPr>
                <w:rFonts w:asciiTheme="minorHAnsi" w:hAnsiTheme="minorHAnsi" w:cstheme="minorHAnsi"/>
                <w:spacing w:val="-2"/>
                <w:sz w:val="24"/>
                <w:szCs w:val="24"/>
              </w:rPr>
              <w:t>where</w:t>
            </w:r>
            <w:r w:rsidRPr="00AA6C01">
              <w:rPr>
                <w:rFonts w:asciiTheme="minorHAnsi" w:hAnsiTheme="minorHAnsi" w:cstheme="minorHAnsi"/>
                <w:spacing w:val="-11"/>
                <w:sz w:val="24"/>
                <w:szCs w:val="24"/>
              </w:rPr>
              <w:t xml:space="preserve"> </w:t>
            </w:r>
            <w:r w:rsidRPr="00AA6C01">
              <w:rPr>
                <w:rFonts w:asciiTheme="minorHAnsi" w:hAnsiTheme="minorHAnsi" w:cstheme="minorHAnsi"/>
                <w:spacing w:val="-1"/>
                <w:sz w:val="24"/>
                <w:szCs w:val="24"/>
              </w:rPr>
              <w:t>appropriate</w:t>
            </w:r>
            <w:r w:rsidRPr="00AA6C01">
              <w:rPr>
                <w:rFonts w:asciiTheme="minorHAnsi" w:hAnsiTheme="minorHAnsi" w:cstheme="minorHAnsi"/>
                <w:spacing w:val="2"/>
                <w:sz w:val="24"/>
                <w:szCs w:val="24"/>
              </w:rPr>
              <w:t>, recovered,</w:t>
            </w:r>
            <w:r w:rsidRPr="00AA6C01">
              <w:rPr>
                <w:rFonts w:asciiTheme="minorHAnsi" w:hAnsiTheme="minorHAnsi" w:cstheme="minorHAnsi"/>
                <w:spacing w:val="-12"/>
                <w:sz w:val="24"/>
                <w:szCs w:val="24"/>
              </w:rPr>
              <w:t xml:space="preserve"> </w:t>
            </w:r>
            <w:r w:rsidRPr="00AA6C01">
              <w:rPr>
                <w:rFonts w:asciiTheme="minorHAnsi" w:hAnsiTheme="minorHAnsi" w:cstheme="minorHAnsi"/>
                <w:spacing w:val="2"/>
                <w:sz w:val="24"/>
                <w:szCs w:val="24"/>
              </w:rPr>
              <w:t>and</w:t>
            </w:r>
            <w:r w:rsidRPr="00AA6C01">
              <w:rPr>
                <w:rFonts w:asciiTheme="minorHAnsi" w:hAnsiTheme="minorHAnsi" w:cstheme="minorHAnsi"/>
                <w:spacing w:val="-11"/>
                <w:sz w:val="24"/>
                <w:szCs w:val="24"/>
              </w:rPr>
              <w:t xml:space="preserve"> </w:t>
            </w:r>
            <w:r w:rsidRPr="00AA6C01">
              <w:rPr>
                <w:rFonts w:asciiTheme="minorHAnsi" w:hAnsiTheme="minorHAnsi" w:cstheme="minorHAnsi"/>
                <w:sz w:val="24"/>
                <w:szCs w:val="24"/>
              </w:rPr>
              <w:t>loss</w:t>
            </w:r>
            <w:r w:rsidRPr="00AA6C01">
              <w:rPr>
                <w:rFonts w:asciiTheme="minorHAnsi" w:hAnsiTheme="minorHAnsi" w:cstheme="minorHAnsi"/>
                <w:spacing w:val="-14"/>
                <w:sz w:val="24"/>
                <w:szCs w:val="24"/>
              </w:rPr>
              <w:t xml:space="preserve"> </w:t>
            </w:r>
            <w:r w:rsidRPr="00AA6C01">
              <w:rPr>
                <w:rFonts w:asciiTheme="minorHAnsi" w:hAnsiTheme="minorHAnsi" w:cstheme="minorHAnsi"/>
                <w:spacing w:val="2"/>
                <w:sz w:val="24"/>
                <w:szCs w:val="24"/>
              </w:rPr>
              <w:t>has</w:t>
            </w:r>
            <w:r w:rsidRPr="00AA6C01">
              <w:rPr>
                <w:rFonts w:asciiTheme="minorHAnsi" w:hAnsiTheme="minorHAnsi" w:cstheme="minorHAnsi"/>
                <w:spacing w:val="1"/>
                <w:sz w:val="24"/>
                <w:szCs w:val="24"/>
              </w:rPr>
              <w:t xml:space="preserve"> </w:t>
            </w:r>
            <w:r w:rsidRPr="00AA6C01">
              <w:rPr>
                <w:rFonts w:asciiTheme="minorHAnsi" w:hAnsiTheme="minorHAnsi" w:cstheme="minorHAnsi"/>
                <w:spacing w:val="2"/>
                <w:sz w:val="24"/>
                <w:szCs w:val="24"/>
              </w:rPr>
              <w:t>been</w:t>
            </w:r>
            <w:r w:rsidRPr="00AA6C01">
              <w:rPr>
                <w:rFonts w:asciiTheme="minorHAnsi" w:hAnsiTheme="minorHAnsi" w:cstheme="minorHAnsi"/>
                <w:spacing w:val="-11"/>
                <w:sz w:val="24"/>
                <w:szCs w:val="24"/>
              </w:rPr>
              <w:t xml:space="preserve"> </w:t>
            </w:r>
            <w:r w:rsidRPr="00AA6C01">
              <w:rPr>
                <w:rFonts w:asciiTheme="minorHAnsi" w:hAnsiTheme="minorHAnsi" w:cstheme="minorHAnsi"/>
                <w:spacing w:val="2"/>
                <w:sz w:val="24"/>
                <w:szCs w:val="24"/>
              </w:rPr>
              <w:t>halted</w:t>
            </w:r>
          </w:p>
        </w:tc>
        <w:tc>
          <w:tcPr>
            <w:tcW w:w="1602" w:type="dxa"/>
            <w:vAlign w:val="center"/>
          </w:tcPr>
          <w:p w14:paraId="7CE2F107" w14:textId="77777777" w:rsidR="00B153CC" w:rsidRPr="00AA6C01" w:rsidRDefault="00B153CC" w:rsidP="0061584A">
            <w:pPr>
              <w:pStyle w:val="TableParagraph"/>
              <w:spacing w:line="259" w:lineRule="auto"/>
              <w:ind w:left="234" w:hanging="142"/>
              <w:rPr>
                <w:rFonts w:asciiTheme="minorHAnsi" w:hAnsiTheme="minorHAnsi" w:cstheme="minorHAnsi"/>
                <w:spacing w:val="1"/>
                <w:sz w:val="24"/>
                <w:szCs w:val="24"/>
              </w:rPr>
            </w:pPr>
            <w:r w:rsidRPr="00AA6C01">
              <w:rPr>
                <w:rFonts w:asciiTheme="minorHAnsi" w:hAnsiTheme="minorHAnsi" w:cstheme="minorHAnsi"/>
                <w:spacing w:val="1"/>
                <w:sz w:val="24"/>
                <w:szCs w:val="24"/>
              </w:rPr>
              <w:t>10</w:t>
            </w:r>
          </w:p>
        </w:tc>
      </w:tr>
      <w:tr w:rsidR="00B153CC" w:rsidRPr="00AA6C01" w14:paraId="7C331869" w14:textId="77777777" w:rsidTr="00EF760F">
        <w:trPr>
          <w:trHeight w:hRule="exact" w:val="1404"/>
        </w:trPr>
        <w:tc>
          <w:tcPr>
            <w:tcW w:w="1245" w:type="dxa"/>
            <w:vMerge w:val="restart"/>
            <w:shd w:val="clear" w:color="auto" w:fill="auto"/>
            <w:textDirection w:val="btLr"/>
            <w:vAlign w:val="center"/>
          </w:tcPr>
          <w:p w14:paraId="6DA98BD2" w14:textId="77777777" w:rsidR="00B153CC" w:rsidRPr="00AA6C01" w:rsidRDefault="00B153CC" w:rsidP="00780266">
            <w:pPr>
              <w:pStyle w:val="TableParagraph"/>
              <w:spacing w:line="259" w:lineRule="auto"/>
              <w:ind w:left="113" w:right="391"/>
              <w:rPr>
                <w:rFonts w:asciiTheme="minorHAnsi" w:eastAsia="Arial" w:hAnsiTheme="minorHAnsi" w:cstheme="minorBidi"/>
                <w:b/>
                <w:sz w:val="24"/>
                <w:szCs w:val="24"/>
              </w:rPr>
            </w:pPr>
            <w:r w:rsidRPr="3BA08B29">
              <w:rPr>
                <w:rFonts w:asciiTheme="minorHAnsi" w:eastAsia="Arial" w:hAnsiTheme="minorHAnsi" w:cstheme="minorBidi"/>
                <w:b/>
                <w:sz w:val="24"/>
                <w:szCs w:val="24"/>
              </w:rPr>
              <w:lastRenderedPageBreak/>
              <w:t>Living within</w:t>
            </w:r>
          </w:p>
          <w:p w14:paraId="1C65F386" w14:textId="77777777" w:rsidR="00B153CC" w:rsidRPr="00AA6C01" w:rsidRDefault="00B153CC" w:rsidP="00780266">
            <w:pPr>
              <w:pStyle w:val="TableParagraph"/>
              <w:spacing w:line="259" w:lineRule="auto"/>
              <w:ind w:left="113" w:right="391"/>
              <w:rPr>
                <w:rFonts w:asciiTheme="minorHAnsi" w:eastAsia="Arial" w:hAnsiTheme="minorHAnsi" w:cstheme="minorBidi"/>
                <w:b/>
                <w:sz w:val="24"/>
                <w:szCs w:val="24"/>
              </w:rPr>
            </w:pPr>
            <w:r w:rsidRPr="3BA08B29">
              <w:rPr>
                <w:rFonts w:asciiTheme="minorHAnsi" w:eastAsia="Arial" w:hAnsiTheme="minorHAnsi" w:cstheme="minorBidi"/>
                <w:b/>
                <w:sz w:val="24"/>
                <w:szCs w:val="24"/>
              </w:rPr>
              <w:t>environmental</w:t>
            </w:r>
          </w:p>
          <w:p w14:paraId="0E3C1574" w14:textId="77777777" w:rsidR="00B153CC" w:rsidRPr="00AA6C01" w:rsidRDefault="00B153CC" w:rsidP="00780266">
            <w:pPr>
              <w:pStyle w:val="TableParagraph"/>
              <w:spacing w:line="259" w:lineRule="auto"/>
              <w:ind w:left="113" w:right="391"/>
              <w:rPr>
                <w:rFonts w:asciiTheme="minorHAnsi" w:hAnsiTheme="minorHAnsi" w:cstheme="minorBidi"/>
                <w:sz w:val="24"/>
                <w:szCs w:val="24"/>
              </w:rPr>
            </w:pPr>
            <w:r w:rsidRPr="3BA08B29">
              <w:rPr>
                <w:rFonts w:asciiTheme="minorHAnsi" w:eastAsia="Arial" w:hAnsiTheme="minorHAnsi" w:cstheme="minorBidi"/>
                <w:b/>
                <w:sz w:val="24"/>
                <w:szCs w:val="24"/>
              </w:rPr>
              <w:t>limits</w:t>
            </w:r>
          </w:p>
        </w:tc>
        <w:tc>
          <w:tcPr>
            <w:tcW w:w="6444" w:type="dxa"/>
          </w:tcPr>
          <w:p w14:paraId="320FB857" w14:textId="77777777" w:rsidR="00B153CC" w:rsidRPr="00AA6C01" w:rsidRDefault="00B153CC" w:rsidP="00AA6C01">
            <w:pPr>
              <w:pStyle w:val="TableParagraph"/>
              <w:spacing w:line="259" w:lineRule="auto"/>
              <w:ind w:left="88" w:right="192"/>
              <w:rPr>
                <w:rFonts w:asciiTheme="minorHAnsi" w:hAnsiTheme="minorHAnsi" w:cstheme="minorHAnsi"/>
                <w:sz w:val="24"/>
                <w:szCs w:val="24"/>
              </w:rPr>
            </w:pPr>
            <w:r w:rsidRPr="00AA6C01">
              <w:rPr>
                <w:rFonts w:asciiTheme="minorHAnsi" w:eastAsia="Arial" w:hAnsiTheme="minorHAnsi" w:cstheme="minorHAnsi"/>
                <w:sz w:val="24"/>
                <w:szCs w:val="24"/>
              </w:rPr>
              <w:t>H</w:t>
            </w:r>
            <w:r w:rsidRPr="00AA6C01">
              <w:rPr>
                <w:rFonts w:asciiTheme="minorHAnsi" w:hAnsiTheme="minorHAnsi" w:cstheme="minorHAnsi"/>
                <w:sz w:val="24"/>
                <w:szCs w:val="24"/>
              </w:rPr>
              <w:t xml:space="preserve">ealthy marine and coastal habitats occur across their natural range and </w:t>
            </w:r>
            <w:proofErr w:type="gramStart"/>
            <w:r w:rsidRPr="00AA6C01">
              <w:rPr>
                <w:rFonts w:asciiTheme="minorHAnsi" w:hAnsiTheme="minorHAnsi" w:cstheme="minorHAnsi"/>
                <w:sz w:val="24"/>
                <w:szCs w:val="24"/>
              </w:rPr>
              <w:t>are able to</w:t>
            </w:r>
            <w:proofErr w:type="gramEnd"/>
            <w:r w:rsidRPr="00AA6C01">
              <w:rPr>
                <w:rFonts w:asciiTheme="minorHAnsi" w:hAnsiTheme="minorHAnsi" w:cstheme="minorHAnsi"/>
                <w:sz w:val="24"/>
                <w:szCs w:val="24"/>
              </w:rPr>
              <w:t xml:space="preserve"> support strong, biodiverse biological communities and the functioning of healthy, resilient and adaptable marine ecosystems.</w:t>
            </w:r>
          </w:p>
        </w:tc>
        <w:tc>
          <w:tcPr>
            <w:tcW w:w="1602" w:type="dxa"/>
            <w:vAlign w:val="center"/>
          </w:tcPr>
          <w:p w14:paraId="201FBA19" w14:textId="77777777" w:rsidR="00B153CC" w:rsidRPr="00AA6C01" w:rsidRDefault="00B153CC" w:rsidP="00AA6C01">
            <w:pPr>
              <w:pStyle w:val="TableParagraph"/>
              <w:spacing w:line="259" w:lineRule="auto"/>
              <w:ind w:left="103"/>
              <w:rPr>
                <w:rFonts w:asciiTheme="minorHAnsi" w:hAnsiTheme="minorHAnsi" w:cstheme="minorHAnsi"/>
                <w:spacing w:val="1"/>
                <w:sz w:val="24"/>
                <w:szCs w:val="24"/>
              </w:rPr>
            </w:pPr>
            <w:r w:rsidRPr="00AA6C01">
              <w:rPr>
                <w:rFonts w:asciiTheme="minorHAnsi" w:hAnsiTheme="minorHAnsi" w:cstheme="minorHAnsi"/>
                <w:spacing w:val="1"/>
                <w:sz w:val="24"/>
                <w:szCs w:val="24"/>
              </w:rPr>
              <w:t>10, 12</w:t>
            </w:r>
          </w:p>
        </w:tc>
      </w:tr>
      <w:tr w:rsidR="00B153CC" w:rsidRPr="00AA6C01" w14:paraId="18F5EB1F" w14:textId="77777777" w:rsidTr="00EF760F">
        <w:trPr>
          <w:trHeight w:hRule="exact" w:val="697"/>
        </w:trPr>
        <w:tc>
          <w:tcPr>
            <w:tcW w:w="1245" w:type="dxa"/>
            <w:vMerge/>
            <w:textDirection w:val="btLr"/>
            <w:vAlign w:val="center"/>
          </w:tcPr>
          <w:p w14:paraId="4F3C7159" w14:textId="77777777" w:rsidR="00B153CC" w:rsidRPr="00AA6C01" w:rsidRDefault="00B153CC" w:rsidP="00AA6C01">
            <w:pPr>
              <w:spacing w:before="0" w:after="0" w:line="259" w:lineRule="auto"/>
              <w:rPr>
                <w:rFonts w:asciiTheme="minorHAnsi" w:hAnsiTheme="minorHAnsi" w:cstheme="minorHAnsi"/>
                <w:szCs w:val="24"/>
              </w:rPr>
            </w:pPr>
          </w:p>
        </w:tc>
        <w:tc>
          <w:tcPr>
            <w:tcW w:w="6444" w:type="dxa"/>
          </w:tcPr>
          <w:p w14:paraId="5CD55140" w14:textId="77777777" w:rsidR="00B153CC" w:rsidRPr="00AA6C01" w:rsidRDefault="00B153CC" w:rsidP="00AA6C01">
            <w:pPr>
              <w:pStyle w:val="TableParagraph"/>
              <w:spacing w:line="259" w:lineRule="auto"/>
              <w:ind w:left="88" w:right="192"/>
              <w:rPr>
                <w:rFonts w:asciiTheme="minorHAnsi" w:hAnsiTheme="minorHAnsi" w:cstheme="minorHAnsi"/>
                <w:sz w:val="24"/>
                <w:szCs w:val="24"/>
              </w:rPr>
            </w:pPr>
            <w:r w:rsidRPr="00AA6C01">
              <w:rPr>
                <w:rFonts w:asciiTheme="minorHAnsi" w:hAnsiTheme="minorHAnsi" w:cstheme="minorHAnsi"/>
                <w:sz w:val="24"/>
                <w:szCs w:val="24"/>
              </w:rPr>
              <w:t>Our oceans support viable populations of representative, rare, vulnerable, and valued species.</w:t>
            </w:r>
          </w:p>
        </w:tc>
        <w:tc>
          <w:tcPr>
            <w:tcW w:w="1602" w:type="dxa"/>
            <w:vAlign w:val="center"/>
          </w:tcPr>
          <w:p w14:paraId="7E9AEFFE" w14:textId="77777777" w:rsidR="00B153CC" w:rsidRPr="00AA6C01" w:rsidRDefault="00B153CC" w:rsidP="00AA6C01">
            <w:pPr>
              <w:pStyle w:val="TableParagraph"/>
              <w:spacing w:line="259" w:lineRule="auto"/>
              <w:ind w:left="103"/>
              <w:rPr>
                <w:rFonts w:asciiTheme="minorHAnsi" w:hAnsiTheme="minorHAnsi" w:cstheme="minorHAnsi"/>
                <w:spacing w:val="1"/>
                <w:sz w:val="24"/>
                <w:szCs w:val="24"/>
              </w:rPr>
            </w:pPr>
            <w:r w:rsidRPr="00AA6C01">
              <w:rPr>
                <w:rFonts w:asciiTheme="minorHAnsi" w:hAnsiTheme="minorHAnsi" w:cstheme="minorHAnsi"/>
                <w:spacing w:val="1"/>
                <w:sz w:val="24"/>
                <w:szCs w:val="24"/>
              </w:rPr>
              <w:t>10, 11</w:t>
            </w:r>
          </w:p>
        </w:tc>
      </w:tr>
      <w:tr w:rsidR="00B153CC" w:rsidRPr="00AA6C01" w14:paraId="333B3B25" w14:textId="77777777" w:rsidTr="00EF760F">
        <w:trPr>
          <w:trHeight w:hRule="exact" w:val="721"/>
        </w:trPr>
        <w:tc>
          <w:tcPr>
            <w:tcW w:w="1245" w:type="dxa"/>
            <w:vMerge/>
            <w:textDirection w:val="btLr"/>
            <w:vAlign w:val="center"/>
          </w:tcPr>
          <w:p w14:paraId="2D49C3E1" w14:textId="77777777" w:rsidR="00B153CC" w:rsidRPr="00AA6C01" w:rsidRDefault="00B153CC" w:rsidP="00AA6C01">
            <w:pPr>
              <w:spacing w:before="0" w:after="0" w:line="259" w:lineRule="auto"/>
              <w:rPr>
                <w:rFonts w:asciiTheme="minorHAnsi" w:hAnsiTheme="minorHAnsi" w:cstheme="minorHAnsi"/>
                <w:szCs w:val="24"/>
              </w:rPr>
            </w:pPr>
          </w:p>
        </w:tc>
        <w:tc>
          <w:tcPr>
            <w:tcW w:w="6444" w:type="dxa"/>
          </w:tcPr>
          <w:p w14:paraId="01EC4A63" w14:textId="77777777" w:rsidR="00B153CC" w:rsidRPr="00AA6C01" w:rsidRDefault="00B153CC" w:rsidP="00AA6C01">
            <w:pPr>
              <w:pStyle w:val="TableParagraph"/>
              <w:spacing w:line="259" w:lineRule="auto"/>
              <w:ind w:left="88" w:right="192"/>
              <w:rPr>
                <w:rFonts w:asciiTheme="minorHAnsi" w:hAnsiTheme="minorHAnsi" w:cstheme="minorHAnsi"/>
                <w:sz w:val="24"/>
                <w:szCs w:val="24"/>
              </w:rPr>
            </w:pPr>
            <w:r w:rsidRPr="00AA6C01">
              <w:rPr>
                <w:rFonts w:asciiTheme="minorHAnsi" w:hAnsiTheme="minorHAnsi" w:cstheme="minorHAnsi"/>
                <w:sz w:val="24"/>
                <w:szCs w:val="24"/>
              </w:rPr>
              <w:t>All those who have a stake in the marine environment have an input into associated decision-making.</w:t>
            </w:r>
          </w:p>
        </w:tc>
        <w:tc>
          <w:tcPr>
            <w:tcW w:w="1602" w:type="dxa"/>
            <w:vAlign w:val="center"/>
          </w:tcPr>
          <w:p w14:paraId="60EE5B8E" w14:textId="77777777" w:rsidR="00B153CC" w:rsidRPr="00AA6C01" w:rsidRDefault="00B153CC" w:rsidP="00AA6C01">
            <w:pPr>
              <w:pStyle w:val="TableParagraph"/>
              <w:spacing w:line="259" w:lineRule="auto"/>
              <w:ind w:left="103"/>
              <w:rPr>
                <w:rFonts w:asciiTheme="minorHAnsi" w:hAnsiTheme="minorHAnsi" w:cstheme="minorHAnsi"/>
                <w:spacing w:val="1"/>
                <w:sz w:val="24"/>
                <w:szCs w:val="24"/>
              </w:rPr>
            </w:pPr>
            <w:r w:rsidRPr="00AA6C01">
              <w:rPr>
                <w:rFonts w:asciiTheme="minorHAnsi" w:hAnsiTheme="minorHAnsi" w:cstheme="minorHAnsi"/>
                <w:spacing w:val="1"/>
                <w:sz w:val="24"/>
                <w:szCs w:val="24"/>
              </w:rPr>
              <w:t>1, 2</w:t>
            </w:r>
          </w:p>
        </w:tc>
      </w:tr>
      <w:tr w:rsidR="00B153CC" w:rsidRPr="00AA6C01" w14:paraId="689F45B4" w14:textId="77777777" w:rsidTr="00EF760F">
        <w:trPr>
          <w:trHeight w:hRule="exact" w:val="1271"/>
        </w:trPr>
        <w:tc>
          <w:tcPr>
            <w:tcW w:w="1245" w:type="dxa"/>
            <w:vMerge w:val="restart"/>
            <w:shd w:val="clear" w:color="auto" w:fill="auto"/>
            <w:textDirection w:val="btLr"/>
            <w:vAlign w:val="center"/>
          </w:tcPr>
          <w:p w14:paraId="0258BBC8" w14:textId="77777777" w:rsidR="00B153CC" w:rsidRPr="00AA6C01" w:rsidRDefault="00B153CC" w:rsidP="00780266">
            <w:pPr>
              <w:pStyle w:val="TableParagraph"/>
              <w:spacing w:line="259" w:lineRule="auto"/>
              <w:ind w:left="113" w:right="391"/>
              <w:rPr>
                <w:rFonts w:asciiTheme="minorHAnsi" w:hAnsiTheme="minorHAnsi" w:cstheme="minorBidi"/>
                <w:sz w:val="24"/>
                <w:szCs w:val="24"/>
              </w:rPr>
            </w:pPr>
            <w:r w:rsidRPr="3BA08B29">
              <w:rPr>
                <w:rFonts w:asciiTheme="minorHAnsi" w:eastAsia="Arial" w:hAnsiTheme="minorHAnsi" w:cstheme="minorBidi"/>
                <w:b/>
                <w:sz w:val="24"/>
                <w:szCs w:val="24"/>
              </w:rPr>
              <w:t>Promoting good governance</w:t>
            </w:r>
          </w:p>
        </w:tc>
        <w:tc>
          <w:tcPr>
            <w:tcW w:w="6444" w:type="dxa"/>
          </w:tcPr>
          <w:p w14:paraId="2128AA1F" w14:textId="2FE1C80C" w:rsidR="00B153CC" w:rsidRPr="00AA6C01" w:rsidRDefault="00B153CC" w:rsidP="00AA6C01">
            <w:pPr>
              <w:pStyle w:val="TableParagraph"/>
              <w:spacing w:line="259" w:lineRule="auto"/>
              <w:ind w:left="88" w:right="192"/>
              <w:rPr>
                <w:rFonts w:asciiTheme="minorHAnsi" w:hAnsiTheme="minorHAnsi" w:cstheme="minorBidi"/>
                <w:sz w:val="24"/>
                <w:szCs w:val="24"/>
              </w:rPr>
            </w:pPr>
            <w:r w:rsidRPr="3BA08B29">
              <w:rPr>
                <w:rFonts w:asciiTheme="minorHAnsi" w:hAnsiTheme="minorHAnsi" w:cstheme="minorBidi"/>
                <w:sz w:val="24"/>
                <w:szCs w:val="24"/>
              </w:rPr>
              <w:t xml:space="preserve">Marine, land and water management mechanisms are responsive and work effectively together for example through integrated coastal zone management and river basin management </w:t>
            </w:r>
            <w:r w:rsidR="00337FFE">
              <w:rPr>
                <w:rFonts w:asciiTheme="minorHAnsi" w:hAnsiTheme="minorHAnsi" w:cstheme="minorBidi"/>
                <w:sz w:val="24"/>
                <w:szCs w:val="24"/>
              </w:rPr>
              <w:t>p</w:t>
            </w:r>
            <w:r w:rsidR="00DC2E44">
              <w:rPr>
                <w:rFonts w:asciiTheme="minorHAnsi" w:hAnsiTheme="minorHAnsi" w:cstheme="minorBidi"/>
                <w:sz w:val="24"/>
                <w:szCs w:val="24"/>
              </w:rPr>
              <w:t>lan</w:t>
            </w:r>
            <w:r w:rsidRPr="3BA08B29">
              <w:rPr>
                <w:rFonts w:asciiTheme="minorHAnsi" w:hAnsiTheme="minorHAnsi" w:cstheme="minorBidi"/>
                <w:sz w:val="24"/>
                <w:szCs w:val="24"/>
              </w:rPr>
              <w:t>s.</w:t>
            </w:r>
          </w:p>
        </w:tc>
        <w:tc>
          <w:tcPr>
            <w:tcW w:w="1602" w:type="dxa"/>
            <w:vAlign w:val="center"/>
          </w:tcPr>
          <w:p w14:paraId="30131F29" w14:textId="77777777" w:rsidR="00B153CC" w:rsidRPr="00AA6C01" w:rsidRDefault="00B153CC" w:rsidP="00AA6C01">
            <w:pPr>
              <w:pStyle w:val="TableParagraph"/>
              <w:spacing w:line="259" w:lineRule="auto"/>
              <w:ind w:left="103"/>
              <w:rPr>
                <w:rFonts w:asciiTheme="minorHAnsi" w:hAnsiTheme="minorHAnsi" w:cstheme="minorHAnsi"/>
                <w:spacing w:val="1"/>
                <w:sz w:val="24"/>
                <w:szCs w:val="24"/>
              </w:rPr>
            </w:pPr>
            <w:r w:rsidRPr="00AA6C01">
              <w:rPr>
                <w:rFonts w:asciiTheme="minorHAnsi" w:hAnsiTheme="minorHAnsi" w:cstheme="minorHAnsi"/>
                <w:spacing w:val="1"/>
                <w:sz w:val="24"/>
                <w:szCs w:val="24"/>
              </w:rPr>
              <w:t>12</w:t>
            </w:r>
          </w:p>
        </w:tc>
      </w:tr>
      <w:tr w:rsidR="00B153CC" w:rsidRPr="00AA6C01" w14:paraId="329833BD" w14:textId="77777777" w:rsidTr="00E5424B">
        <w:trPr>
          <w:trHeight w:hRule="exact" w:val="1278"/>
        </w:trPr>
        <w:tc>
          <w:tcPr>
            <w:tcW w:w="1245" w:type="dxa"/>
            <w:vMerge/>
            <w:textDirection w:val="btLr"/>
            <w:vAlign w:val="center"/>
          </w:tcPr>
          <w:p w14:paraId="4141F41D" w14:textId="77777777" w:rsidR="00B153CC" w:rsidRPr="00AA6C01" w:rsidRDefault="00B153CC" w:rsidP="00AA6C01">
            <w:pPr>
              <w:spacing w:before="0" w:after="0" w:line="259" w:lineRule="auto"/>
              <w:rPr>
                <w:rFonts w:asciiTheme="minorHAnsi" w:hAnsiTheme="minorHAnsi" w:cstheme="minorHAnsi"/>
                <w:szCs w:val="24"/>
              </w:rPr>
            </w:pPr>
          </w:p>
        </w:tc>
        <w:tc>
          <w:tcPr>
            <w:tcW w:w="6444" w:type="dxa"/>
          </w:tcPr>
          <w:p w14:paraId="1A3EE1B1" w14:textId="77777777" w:rsidR="00B153CC" w:rsidRPr="00AA6C01" w:rsidRDefault="00B153CC" w:rsidP="00AA6C01">
            <w:pPr>
              <w:pStyle w:val="TableParagraph"/>
              <w:spacing w:line="259" w:lineRule="auto"/>
              <w:ind w:left="88" w:right="192"/>
              <w:rPr>
                <w:rFonts w:asciiTheme="minorHAnsi" w:hAnsiTheme="minorHAnsi" w:cstheme="minorBidi"/>
                <w:sz w:val="24"/>
                <w:szCs w:val="24"/>
              </w:rPr>
            </w:pPr>
            <w:r w:rsidRPr="3BA08B29">
              <w:rPr>
                <w:rFonts w:asciiTheme="minorHAnsi" w:hAnsiTheme="minorHAnsi" w:cstheme="minorBidi"/>
                <w:sz w:val="24"/>
                <w:szCs w:val="24"/>
              </w:rPr>
              <w:t>Marine management in the United Kingdom takes account of different management systems that are in place because of administrative, political or international boundaries.</w:t>
            </w:r>
          </w:p>
        </w:tc>
        <w:tc>
          <w:tcPr>
            <w:tcW w:w="1602" w:type="dxa"/>
            <w:vAlign w:val="center"/>
          </w:tcPr>
          <w:p w14:paraId="7964FF04" w14:textId="77777777" w:rsidR="00B153CC" w:rsidRPr="00AA6C01" w:rsidRDefault="00B153CC" w:rsidP="00AA6C01">
            <w:pPr>
              <w:pStyle w:val="TableParagraph"/>
              <w:spacing w:line="259" w:lineRule="auto"/>
              <w:ind w:left="103"/>
              <w:rPr>
                <w:rFonts w:asciiTheme="minorHAnsi" w:hAnsiTheme="minorHAnsi" w:cstheme="minorHAnsi"/>
                <w:spacing w:val="1"/>
                <w:sz w:val="24"/>
                <w:szCs w:val="24"/>
              </w:rPr>
            </w:pPr>
            <w:r w:rsidRPr="00AA6C01">
              <w:rPr>
                <w:rFonts w:asciiTheme="minorHAnsi" w:hAnsiTheme="minorHAnsi" w:cstheme="minorHAnsi"/>
                <w:spacing w:val="1"/>
                <w:sz w:val="24"/>
                <w:szCs w:val="24"/>
              </w:rPr>
              <w:t xml:space="preserve">2, 3 </w:t>
            </w:r>
          </w:p>
        </w:tc>
      </w:tr>
      <w:tr w:rsidR="00B153CC" w:rsidRPr="00AA6C01" w14:paraId="43414EF2" w14:textId="77777777" w:rsidTr="00EF760F">
        <w:trPr>
          <w:trHeight w:hRule="exact" w:val="708"/>
        </w:trPr>
        <w:tc>
          <w:tcPr>
            <w:tcW w:w="1245" w:type="dxa"/>
            <w:vMerge/>
            <w:textDirection w:val="btLr"/>
            <w:vAlign w:val="center"/>
          </w:tcPr>
          <w:p w14:paraId="1405BA19" w14:textId="77777777" w:rsidR="00B153CC" w:rsidRPr="00AA6C01" w:rsidRDefault="00B153CC" w:rsidP="00AA6C01">
            <w:pPr>
              <w:spacing w:before="0" w:after="0" w:line="259" w:lineRule="auto"/>
              <w:rPr>
                <w:rFonts w:asciiTheme="minorHAnsi" w:hAnsiTheme="minorHAnsi" w:cstheme="minorHAnsi"/>
                <w:szCs w:val="24"/>
              </w:rPr>
            </w:pPr>
          </w:p>
        </w:tc>
        <w:tc>
          <w:tcPr>
            <w:tcW w:w="6444" w:type="dxa"/>
          </w:tcPr>
          <w:p w14:paraId="3AC0FBCB" w14:textId="1A218CEC" w:rsidR="00B153CC" w:rsidRPr="00AA6C01" w:rsidRDefault="00B153CC" w:rsidP="00AA6C01">
            <w:pPr>
              <w:pStyle w:val="TableParagraph"/>
              <w:spacing w:line="259" w:lineRule="auto"/>
              <w:ind w:left="88" w:right="192"/>
              <w:rPr>
                <w:rFonts w:asciiTheme="minorHAnsi" w:hAnsiTheme="minorHAnsi" w:cstheme="minorBidi"/>
                <w:sz w:val="24"/>
                <w:szCs w:val="24"/>
              </w:rPr>
            </w:pPr>
            <w:r w:rsidRPr="3BA08B29">
              <w:rPr>
                <w:rFonts w:asciiTheme="minorHAnsi" w:hAnsiTheme="minorHAnsi" w:cstheme="minorBidi"/>
                <w:sz w:val="24"/>
                <w:szCs w:val="24"/>
              </w:rPr>
              <w:t xml:space="preserve">Marine businesses are subject to clear, timely, proportionate and, where appropriate, </w:t>
            </w:r>
            <w:r w:rsidR="00337FFE">
              <w:rPr>
                <w:rFonts w:asciiTheme="minorHAnsi" w:hAnsiTheme="minorHAnsi" w:cstheme="minorBidi"/>
                <w:sz w:val="24"/>
                <w:szCs w:val="24"/>
              </w:rPr>
              <w:t>p</w:t>
            </w:r>
            <w:r w:rsidR="00DC2E44">
              <w:rPr>
                <w:rFonts w:asciiTheme="minorHAnsi" w:hAnsiTheme="minorHAnsi" w:cstheme="minorBidi"/>
                <w:sz w:val="24"/>
                <w:szCs w:val="24"/>
              </w:rPr>
              <w:t>lan</w:t>
            </w:r>
            <w:r w:rsidRPr="3BA08B29">
              <w:rPr>
                <w:rFonts w:asciiTheme="minorHAnsi" w:hAnsiTheme="minorHAnsi" w:cstheme="minorBidi"/>
                <w:sz w:val="24"/>
                <w:szCs w:val="24"/>
              </w:rPr>
              <w:t>-led regulation.</w:t>
            </w:r>
          </w:p>
        </w:tc>
        <w:tc>
          <w:tcPr>
            <w:tcW w:w="1602" w:type="dxa"/>
            <w:vAlign w:val="center"/>
          </w:tcPr>
          <w:p w14:paraId="188862C1" w14:textId="77777777" w:rsidR="00B153CC" w:rsidRPr="00AA6C01" w:rsidRDefault="00B153CC" w:rsidP="00AA6C01">
            <w:pPr>
              <w:pStyle w:val="TableParagraph"/>
              <w:spacing w:line="259" w:lineRule="auto"/>
              <w:ind w:left="103"/>
              <w:rPr>
                <w:rFonts w:asciiTheme="minorHAnsi" w:hAnsiTheme="minorHAnsi" w:cstheme="minorBidi"/>
                <w:spacing w:val="1"/>
                <w:sz w:val="24"/>
                <w:szCs w:val="24"/>
              </w:rPr>
            </w:pPr>
            <w:r w:rsidRPr="3BA08B29">
              <w:rPr>
                <w:rFonts w:asciiTheme="minorHAnsi" w:hAnsiTheme="minorHAnsi" w:cstheme="minorBidi"/>
                <w:spacing w:val="1"/>
                <w:sz w:val="24"/>
                <w:szCs w:val="24"/>
              </w:rPr>
              <w:t>1, 2, 7, 11</w:t>
            </w:r>
          </w:p>
        </w:tc>
      </w:tr>
      <w:tr w:rsidR="00B153CC" w:rsidRPr="00AA6C01" w14:paraId="4E2FD837" w14:textId="77777777" w:rsidTr="00EF760F">
        <w:trPr>
          <w:trHeight w:hRule="exact" w:val="1682"/>
        </w:trPr>
        <w:tc>
          <w:tcPr>
            <w:tcW w:w="1245" w:type="dxa"/>
            <w:vMerge/>
            <w:textDirection w:val="btLr"/>
            <w:vAlign w:val="center"/>
          </w:tcPr>
          <w:p w14:paraId="3B7E62AC" w14:textId="77777777" w:rsidR="00B153CC" w:rsidRPr="00AA6C01" w:rsidRDefault="00B153CC" w:rsidP="00AA6C01">
            <w:pPr>
              <w:spacing w:before="0" w:after="0" w:line="259" w:lineRule="auto"/>
              <w:rPr>
                <w:rFonts w:asciiTheme="minorHAnsi" w:hAnsiTheme="minorHAnsi" w:cstheme="minorHAnsi"/>
                <w:szCs w:val="24"/>
              </w:rPr>
            </w:pPr>
          </w:p>
        </w:tc>
        <w:tc>
          <w:tcPr>
            <w:tcW w:w="6444" w:type="dxa"/>
          </w:tcPr>
          <w:p w14:paraId="7A9C2245" w14:textId="532E6F0B" w:rsidR="00B153CC" w:rsidRPr="00AA6C01" w:rsidRDefault="00B153CC" w:rsidP="00AA6C01">
            <w:pPr>
              <w:pStyle w:val="TableParagraph"/>
              <w:spacing w:line="259" w:lineRule="auto"/>
              <w:ind w:left="88" w:right="192"/>
              <w:rPr>
                <w:rFonts w:asciiTheme="minorHAnsi" w:hAnsiTheme="minorHAnsi" w:cstheme="minorBidi"/>
                <w:sz w:val="24"/>
                <w:szCs w:val="24"/>
              </w:rPr>
            </w:pPr>
            <w:r w:rsidRPr="3BA08B29">
              <w:rPr>
                <w:rFonts w:asciiTheme="minorHAnsi" w:hAnsiTheme="minorHAnsi" w:cstheme="minorBidi"/>
                <w:sz w:val="24"/>
                <w:szCs w:val="24"/>
              </w:rPr>
              <w:t xml:space="preserve">The use of the marine environment is spatially </w:t>
            </w:r>
            <w:r w:rsidR="00337FFE">
              <w:rPr>
                <w:rFonts w:asciiTheme="minorHAnsi" w:hAnsiTheme="minorHAnsi" w:cstheme="minorBidi"/>
                <w:sz w:val="24"/>
                <w:szCs w:val="24"/>
              </w:rPr>
              <w:t>pl</w:t>
            </w:r>
            <w:r w:rsidR="00DC2E44">
              <w:rPr>
                <w:rFonts w:asciiTheme="minorHAnsi" w:hAnsiTheme="minorHAnsi" w:cstheme="minorBidi"/>
                <w:sz w:val="24"/>
                <w:szCs w:val="24"/>
              </w:rPr>
              <w:t>an</w:t>
            </w:r>
            <w:r w:rsidRPr="3BA08B29">
              <w:rPr>
                <w:rFonts w:asciiTheme="minorHAnsi" w:hAnsiTheme="minorHAnsi" w:cstheme="minorBidi"/>
                <w:sz w:val="24"/>
                <w:szCs w:val="24"/>
              </w:rPr>
              <w:t xml:space="preserve">ned where appropriate and based on an ecosystems approach which takes account of climate change and </w:t>
            </w:r>
            <w:r w:rsidRPr="007105C4">
              <w:rPr>
                <w:rFonts w:asciiTheme="minorHAnsi" w:hAnsiTheme="minorHAnsi" w:cstheme="minorBidi"/>
                <w:sz w:val="24"/>
                <w:szCs w:val="24"/>
                <w:lang w:val="en-GB"/>
              </w:rPr>
              <w:t>recognises</w:t>
            </w:r>
            <w:r w:rsidRPr="3BA08B29">
              <w:rPr>
                <w:rFonts w:asciiTheme="minorHAnsi" w:hAnsiTheme="minorHAnsi" w:cstheme="minorBidi"/>
                <w:sz w:val="24"/>
                <w:szCs w:val="24"/>
              </w:rPr>
              <w:t xml:space="preserve"> the protection and management needs of marine cultural heritage according to its significance</w:t>
            </w:r>
            <w:r w:rsidR="00E5424B">
              <w:rPr>
                <w:rFonts w:asciiTheme="minorHAnsi" w:hAnsiTheme="minorHAnsi" w:cstheme="minorBidi"/>
                <w:sz w:val="24"/>
                <w:szCs w:val="24"/>
              </w:rPr>
              <w:t>.</w:t>
            </w:r>
          </w:p>
        </w:tc>
        <w:tc>
          <w:tcPr>
            <w:tcW w:w="1602" w:type="dxa"/>
            <w:vAlign w:val="center"/>
          </w:tcPr>
          <w:p w14:paraId="52DB9D56" w14:textId="77777777" w:rsidR="00B153CC" w:rsidRPr="00AA6C01" w:rsidRDefault="00B153CC" w:rsidP="00AA6C01">
            <w:pPr>
              <w:pStyle w:val="TableParagraph"/>
              <w:spacing w:line="259" w:lineRule="auto"/>
              <w:ind w:left="103"/>
              <w:rPr>
                <w:rFonts w:asciiTheme="minorHAnsi" w:hAnsiTheme="minorHAnsi" w:cstheme="minorBidi"/>
                <w:spacing w:val="1"/>
                <w:sz w:val="24"/>
                <w:szCs w:val="24"/>
              </w:rPr>
            </w:pPr>
            <w:r w:rsidRPr="3BA08B29">
              <w:rPr>
                <w:rFonts w:asciiTheme="minorHAnsi" w:hAnsiTheme="minorHAnsi" w:cstheme="minorBidi"/>
                <w:spacing w:val="1"/>
                <w:sz w:val="24"/>
                <w:szCs w:val="24"/>
              </w:rPr>
              <w:t>1, 2, 7, 8</w:t>
            </w:r>
          </w:p>
        </w:tc>
      </w:tr>
      <w:tr w:rsidR="00B153CC" w:rsidRPr="00AA6C01" w14:paraId="7A81E974" w14:textId="77777777" w:rsidTr="00EF760F">
        <w:trPr>
          <w:trHeight w:hRule="exact" w:val="1011"/>
        </w:trPr>
        <w:tc>
          <w:tcPr>
            <w:tcW w:w="1245" w:type="dxa"/>
            <w:vMerge w:val="restart"/>
            <w:shd w:val="clear" w:color="auto" w:fill="auto"/>
            <w:textDirection w:val="btLr"/>
            <w:vAlign w:val="center"/>
          </w:tcPr>
          <w:p w14:paraId="1C868602" w14:textId="77777777" w:rsidR="00B153CC" w:rsidRPr="00AA6C01" w:rsidRDefault="00B153CC" w:rsidP="00780266">
            <w:pPr>
              <w:pStyle w:val="TableParagraph"/>
              <w:spacing w:line="259" w:lineRule="auto"/>
              <w:ind w:left="113" w:right="391"/>
              <w:rPr>
                <w:rFonts w:asciiTheme="minorHAnsi" w:eastAsia="Arial" w:hAnsiTheme="minorHAnsi" w:cstheme="minorBidi"/>
                <w:b/>
                <w:sz w:val="24"/>
                <w:szCs w:val="24"/>
              </w:rPr>
            </w:pPr>
            <w:r w:rsidRPr="3BA08B29">
              <w:rPr>
                <w:rFonts w:asciiTheme="minorHAnsi" w:eastAsia="Arial" w:hAnsiTheme="minorHAnsi" w:cstheme="minorBidi"/>
                <w:b/>
                <w:sz w:val="24"/>
                <w:szCs w:val="24"/>
              </w:rPr>
              <w:t>Using sound</w:t>
            </w:r>
          </w:p>
          <w:p w14:paraId="6FCFADE6" w14:textId="77777777" w:rsidR="00B153CC" w:rsidRPr="00AA6C01" w:rsidRDefault="00B153CC" w:rsidP="00780266">
            <w:pPr>
              <w:pStyle w:val="TableParagraph"/>
              <w:spacing w:line="259" w:lineRule="auto"/>
              <w:ind w:left="113" w:right="391"/>
              <w:rPr>
                <w:rFonts w:asciiTheme="minorHAnsi" w:eastAsia="Arial" w:hAnsiTheme="minorHAnsi" w:cstheme="minorBidi"/>
                <w:b/>
                <w:sz w:val="24"/>
                <w:szCs w:val="24"/>
              </w:rPr>
            </w:pPr>
            <w:r w:rsidRPr="3BA08B29">
              <w:rPr>
                <w:rFonts w:asciiTheme="minorHAnsi" w:eastAsia="Arial" w:hAnsiTheme="minorHAnsi" w:cstheme="minorBidi"/>
                <w:b/>
                <w:sz w:val="24"/>
                <w:szCs w:val="24"/>
              </w:rPr>
              <w:t>science</w:t>
            </w:r>
          </w:p>
          <w:p w14:paraId="0D4F5315" w14:textId="77777777" w:rsidR="00B153CC" w:rsidRPr="00AA6C01" w:rsidRDefault="00B153CC" w:rsidP="00780266">
            <w:pPr>
              <w:pStyle w:val="TableParagraph"/>
              <w:spacing w:line="259" w:lineRule="auto"/>
              <w:ind w:left="113" w:right="391"/>
              <w:rPr>
                <w:rFonts w:asciiTheme="minorHAnsi" w:hAnsiTheme="minorHAnsi" w:cstheme="minorBidi"/>
                <w:sz w:val="24"/>
                <w:szCs w:val="24"/>
              </w:rPr>
            </w:pPr>
            <w:r w:rsidRPr="3BA08B29">
              <w:rPr>
                <w:rFonts w:asciiTheme="minorHAnsi" w:eastAsia="Arial" w:hAnsiTheme="minorHAnsi" w:cstheme="minorBidi"/>
                <w:b/>
                <w:sz w:val="24"/>
                <w:szCs w:val="24"/>
              </w:rPr>
              <w:t>responsibly</w:t>
            </w:r>
          </w:p>
        </w:tc>
        <w:tc>
          <w:tcPr>
            <w:tcW w:w="6444" w:type="dxa"/>
          </w:tcPr>
          <w:p w14:paraId="3733104A" w14:textId="3950C89A" w:rsidR="00B153CC" w:rsidRPr="00AA6C01" w:rsidRDefault="00B153CC" w:rsidP="00AA6C01">
            <w:pPr>
              <w:pStyle w:val="TableParagraph"/>
              <w:spacing w:line="259" w:lineRule="auto"/>
              <w:ind w:left="88" w:right="192"/>
              <w:rPr>
                <w:rFonts w:asciiTheme="minorHAnsi" w:hAnsiTheme="minorHAnsi" w:cstheme="minorBidi"/>
                <w:sz w:val="24"/>
                <w:szCs w:val="24"/>
              </w:rPr>
            </w:pPr>
            <w:r w:rsidRPr="3BA08B29">
              <w:rPr>
                <w:rFonts w:asciiTheme="minorHAnsi" w:hAnsiTheme="minorHAnsi" w:cstheme="minorBidi"/>
                <w:sz w:val="24"/>
                <w:szCs w:val="24"/>
              </w:rPr>
              <w:t>Our understanding of the marine environment continues to develop through new scientific and socio-economic research and data collection</w:t>
            </w:r>
            <w:r w:rsidR="00E5424B">
              <w:rPr>
                <w:rFonts w:asciiTheme="minorHAnsi" w:hAnsiTheme="minorHAnsi" w:cstheme="minorBidi"/>
                <w:sz w:val="24"/>
                <w:szCs w:val="24"/>
              </w:rPr>
              <w:t>.</w:t>
            </w:r>
          </w:p>
        </w:tc>
        <w:tc>
          <w:tcPr>
            <w:tcW w:w="1602" w:type="dxa"/>
            <w:vAlign w:val="center"/>
          </w:tcPr>
          <w:p w14:paraId="3D04C18C" w14:textId="77777777" w:rsidR="00B153CC" w:rsidRPr="00AA6C01" w:rsidRDefault="00B153CC" w:rsidP="00AA6C01">
            <w:pPr>
              <w:pStyle w:val="TableParagraph"/>
              <w:spacing w:line="259" w:lineRule="auto"/>
              <w:ind w:left="103"/>
              <w:rPr>
                <w:rFonts w:asciiTheme="minorHAnsi" w:hAnsiTheme="minorHAnsi" w:cstheme="minorBidi"/>
                <w:spacing w:val="1"/>
                <w:sz w:val="24"/>
                <w:szCs w:val="24"/>
              </w:rPr>
            </w:pPr>
            <w:r w:rsidRPr="3BA08B29">
              <w:rPr>
                <w:rFonts w:asciiTheme="minorHAnsi" w:hAnsiTheme="minorHAnsi" w:cstheme="minorBidi"/>
                <w:spacing w:val="1"/>
                <w:sz w:val="24"/>
                <w:szCs w:val="24"/>
              </w:rPr>
              <w:t>All objectives</w:t>
            </w:r>
          </w:p>
        </w:tc>
      </w:tr>
      <w:tr w:rsidR="00B153CC" w:rsidRPr="00AA6C01" w14:paraId="6B6D1C3E" w14:textId="77777777" w:rsidTr="00EF760F">
        <w:trPr>
          <w:trHeight w:hRule="exact" w:val="828"/>
        </w:trPr>
        <w:tc>
          <w:tcPr>
            <w:tcW w:w="1245" w:type="dxa"/>
            <w:vMerge/>
            <w:textDirection w:val="btLr"/>
            <w:vAlign w:val="center"/>
          </w:tcPr>
          <w:p w14:paraId="64E5FFEC" w14:textId="77777777" w:rsidR="00B153CC" w:rsidRPr="00AA6C01" w:rsidRDefault="00B153CC" w:rsidP="00AA6C01">
            <w:pPr>
              <w:spacing w:before="0" w:after="0" w:line="259" w:lineRule="auto"/>
              <w:rPr>
                <w:rFonts w:asciiTheme="minorHAnsi" w:hAnsiTheme="minorHAnsi" w:cstheme="minorHAnsi"/>
                <w:szCs w:val="24"/>
              </w:rPr>
            </w:pPr>
          </w:p>
        </w:tc>
        <w:tc>
          <w:tcPr>
            <w:tcW w:w="6444" w:type="dxa"/>
          </w:tcPr>
          <w:p w14:paraId="6697F971" w14:textId="77777777" w:rsidR="00B153CC" w:rsidRPr="00AA6C01" w:rsidRDefault="00B153CC" w:rsidP="00AA6C01">
            <w:pPr>
              <w:pStyle w:val="TableParagraph"/>
              <w:spacing w:line="259" w:lineRule="auto"/>
              <w:ind w:left="88" w:right="192"/>
              <w:rPr>
                <w:rFonts w:asciiTheme="minorHAnsi" w:hAnsiTheme="minorHAnsi" w:cstheme="minorBidi"/>
                <w:sz w:val="24"/>
                <w:szCs w:val="24"/>
              </w:rPr>
            </w:pPr>
            <w:r w:rsidRPr="3BA08B29">
              <w:rPr>
                <w:rFonts w:asciiTheme="minorHAnsi" w:hAnsiTheme="minorHAnsi" w:cstheme="minorBidi"/>
                <w:sz w:val="24"/>
                <w:szCs w:val="24"/>
              </w:rPr>
              <w:t>Sound evidence and monitoring underpins effective marine management and policy development.</w:t>
            </w:r>
          </w:p>
        </w:tc>
        <w:tc>
          <w:tcPr>
            <w:tcW w:w="1602" w:type="dxa"/>
            <w:vAlign w:val="center"/>
          </w:tcPr>
          <w:p w14:paraId="6F4955CA" w14:textId="77777777" w:rsidR="00B153CC" w:rsidRPr="00AA6C01" w:rsidRDefault="00B153CC" w:rsidP="00AA6C01">
            <w:pPr>
              <w:pStyle w:val="TableParagraph"/>
              <w:spacing w:line="259" w:lineRule="auto"/>
              <w:ind w:left="103"/>
              <w:rPr>
                <w:rFonts w:asciiTheme="minorHAnsi" w:hAnsiTheme="minorHAnsi" w:cstheme="minorBidi"/>
                <w:spacing w:val="1"/>
                <w:sz w:val="24"/>
                <w:szCs w:val="24"/>
              </w:rPr>
            </w:pPr>
            <w:r w:rsidRPr="3BA08B29">
              <w:rPr>
                <w:rFonts w:asciiTheme="minorHAnsi" w:hAnsiTheme="minorHAnsi" w:cstheme="minorBidi"/>
                <w:spacing w:val="1"/>
                <w:sz w:val="24"/>
                <w:szCs w:val="24"/>
              </w:rPr>
              <w:t>All objectives</w:t>
            </w:r>
          </w:p>
        </w:tc>
      </w:tr>
      <w:tr w:rsidR="00B153CC" w:rsidRPr="00AA6C01" w14:paraId="4B95CA55" w14:textId="77777777" w:rsidTr="007105C4">
        <w:trPr>
          <w:trHeight w:hRule="exact" w:val="1296"/>
        </w:trPr>
        <w:tc>
          <w:tcPr>
            <w:tcW w:w="1245" w:type="dxa"/>
            <w:vMerge/>
            <w:textDirection w:val="btLr"/>
            <w:vAlign w:val="center"/>
          </w:tcPr>
          <w:p w14:paraId="53E16C16" w14:textId="77777777" w:rsidR="00B153CC" w:rsidRPr="00AA6C01" w:rsidRDefault="00B153CC" w:rsidP="00AA6C01">
            <w:pPr>
              <w:spacing w:before="0" w:after="0" w:line="259" w:lineRule="auto"/>
              <w:rPr>
                <w:rFonts w:asciiTheme="minorHAnsi" w:hAnsiTheme="minorHAnsi" w:cstheme="minorHAnsi"/>
                <w:szCs w:val="24"/>
              </w:rPr>
            </w:pPr>
          </w:p>
        </w:tc>
        <w:tc>
          <w:tcPr>
            <w:tcW w:w="6444" w:type="dxa"/>
          </w:tcPr>
          <w:p w14:paraId="09FC61AF" w14:textId="77777777" w:rsidR="00B153CC" w:rsidRPr="00AA6C01" w:rsidRDefault="00B153CC" w:rsidP="00AA6C01">
            <w:pPr>
              <w:pStyle w:val="TableParagraph"/>
              <w:spacing w:line="259" w:lineRule="auto"/>
              <w:ind w:left="88" w:right="192"/>
              <w:rPr>
                <w:rFonts w:asciiTheme="minorHAnsi" w:hAnsiTheme="minorHAnsi" w:cstheme="minorBidi"/>
                <w:sz w:val="24"/>
                <w:szCs w:val="24"/>
              </w:rPr>
            </w:pPr>
            <w:r w:rsidRPr="3BA08B29">
              <w:rPr>
                <w:rFonts w:asciiTheme="minorHAnsi" w:hAnsiTheme="minorHAnsi" w:cstheme="minorBidi"/>
                <w:sz w:val="24"/>
                <w:szCs w:val="24"/>
              </w:rPr>
              <w:t>The precautionary principle is applied consistently in accordance with the United Kingdom government and devolved administrations’ sustainable development policy.</w:t>
            </w:r>
          </w:p>
        </w:tc>
        <w:tc>
          <w:tcPr>
            <w:tcW w:w="1602" w:type="dxa"/>
            <w:vAlign w:val="center"/>
          </w:tcPr>
          <w:p w14:paraId="323C3A50" w14:textId="77777777" w:rsidR="00B153CC" w:rsidRPr="00AA6C01" w:rsidRDefault="00B153CC" w:rsidP="00AA6C01">
            <w:pPr>
              <w:pStyle w:val="TableParagraph"/>
              <w:spacing w:line="259" w:lineRule="auto"/>
              <w:ind w:left="103"/>
              <w:rPr>
                <w:rFonts w:asciiTheme="minorHAnsi" w:hAnsiTheme="minorHAnsi" w:cstheme="minorBidi"/>
                <w:spacing w:val="1"/>
                <w:sz w:val="24"/>
                <w:szCs w:val="24"/>
              </w:rPr>
            </w:pPr>
            <w:r w:rsidRPr="3BA08B29">
              <w:rPr>
                <w:rFonts w:asciiTheme="minorHAnsi" w:hAnsiTheme="minorHAnsi" w:cstheme="minorBidi"/>
                <w:spacing w:val="1"/>
                <w:sz w:val="24"/>
                <w:szCs w:val="24"/>
              </w:rPr>
              <w:t>All objectives</w:t>
            </w:r>
          </w:p>
        </w:tc>
      </w:tr>
    </w:tbl>
    <w:p w14:paraId="67D4ECED" w14:textId="40684692" w:rsidR="000102AC" w:rsidRPr="00EF760F" w:rsidRDefault="00AA6C01" w:rsidP="00EF760F">
      <w:pPr>
        <w:spacing w:before="0" w:after="0" w:line="259" w:lineRule="auto"/>
        <w:rPr>
          <w:rFonts w:asciiTheme="minorHAnsi" w:eastAsia="Times New Roman" w:hAnsiTheme="minorHAnsi" w:cstheme="minorHAnsi"/>
          <w:b/>
          <w:bCs/>
          <w:color w:val="008938"/>
          <w:szCs w:val="24"/>
        </w:rPr>
        <w:sectPr w:rsidR="000102AC" w:rsidRPr="00EF760F" w:rsidSect="0009217A">
          <w:footerReference w:type="default" r:id="rId40"/>
          <w:type w:val="continuous"/>
          <w:pgSz w:w="11899" w:h="16838" w:code="9"/>
          <w:pgMar w:top="1134" w:right="1134" w:bottom="1134" w:left="1134" w:header="340" w:footer="340" w:gutter="0"/>
          <w:cols w:space="708"/>
          <w:titlePg/>
          <w:docGrid w:linePitch="326"/>
        </w:sectPr>
      </w:pPr>
      <w:r w:rsidRPr="00AA6C01">
        <w:rPr>
          <w:rFonts w:asciiTheme="minorHAnsi" w:hAnsiTheme="minorHAnsi" w:cstheme="minorHAnsi"/>
          <w:szCs w:val="24"/>
        </w:rPr>
        <w:br w:type="page"/>
      </w:r>
      <w:bookmarkEnd w:id="244"/>
    </w:p>
    <w:p w14:paraId="2B803BD3" w14:textId="2CDD0C0B" w:rsidR="000102AC" w:rsidRDefault="000102AC" w:rsidP="000102AC">
      <w:pPr>
        <w:pStyle w:val="Heading1"/>
        <w:spacing w:before="0" w:after="0" w:line="240" w:lineRule="auto"/>
      </w:pPr>
      <w:bookmarkStart w:id="245" w:name="_Annex_B:_Policy"/>
      <w:bookmarkStart w:id="246" w:name="_Toc68186343"/>
      <w:bookmarkStart w:id="247" w:name="_Toc72414611"/>
      <w:bookmarkStart w:id="248" w:name="_Toc72489178"/>
      <w:bookmarkStart w:id="249" w:name="_Toc74308007"/>
      <w:bookmarkStart w:id="250" w:name="_Toc74577273"/>
      <w:bookmarkEnd w:id="245"/>
      <w:r w:rsidRPr="002D678B">
        <w:lastRenderedPageBreak/>
        <w:t xml:space="preserve">Annex </w:t>
      </w:r>
      <w:r w:rsidR="00CF37DA">
        <w:t>B</w:t>
      </w:r>
      <w:r>
        <w:t>:</w:t>
      </w:r>
      <w:r w:rsidRPr="002D678B">
        <w:t xml:space="preserve"> </w:t>
      </w:r>
      <w:r w:rsidR="0030533F">
        <w:t>p</w:t>
      </w:r>
      <w:r>
        <w:t>olicy implementation in marine licence decision-making</w:t>
      </w:r>
      <w:bookmarkEnd w:id="246"/>
      <w:bookmarkEnd w:id="247"/>
      <w:bookmarkEnd w:id="248"/>
      <w:bookmarkEnd w:id="249"/>
      <w:bookmarkEnd w:id="250"/>
    </w:p>
    <w:p w14:paraId="2CE53E96" w14:textId="458BDBEC" w:rsidR="00FF667E" w:rsidRPr="005540A3" w:rsidRDefault="00FF667E">
      <w:pPr>
        <w:pStyle w:val="Caption"/>
      </w:pPr>
      <w:r w:rsidRPr="005540A3">
        <w:t xml:space="preserve">Breakdown of </w:t>
      </w:r>
      <w:r w:rsidR="003149F3" w:rsidRPr="005540A3">
        <w:t xml:space="preserve">MMO </w:t>
      </w:r>
      <w:r w:rsidRPr="005540A3">
        <w:t xml:space="preserve">policy-level decisions for marine licence applications </w:t>
      </w:r>
      <w:r w:rsidR="003149F3" w:rsidRPr="005540A3">
        <w:t>with completed policy assessments (</w:t>
      </w:r>
      <w:r w:rsidR="003149F3" w:rsidRPr="00285EEE">
        <w:t>n</w:t>
      </w:r>
      <w:r w:rsidR="003149F3" w:rsidRPr="005540A3">
        <w:t>=82) granted</w:t>
      </w:r>
      <w:r w:rsidRPr="005540A3">
        <w:t xml:space="preserve"> between 17 July 2018 and 16 July 2020. The term ‘not applicable’ refers to instances where marine</w:t>
      </w:r>
      <w:r w:rsidR="00C406C0">
        <w:t xml:space="preserve"> p</w:t>
      </w:r>
      <w:r w:rsidR="00DC2E44" w:rsidRPr="005540A3">
        <w:t>lan</w:t>
      </w:r>
      <w:r w:rsidRPr="005540A3">
        <w:t xml:space="preserve"> polic</w:t>
      </w:r>
      <w:r w:rsidR="003149F3" w:rsidRPr="005540A3">
        <w:t>ies</w:t>
      </w:r>
      <w:r w:rsidRPr="005540A3">
        <w:t xml:space="preserve"> </w:t>
      </w:r>
      <w:r w:rsidR="003149F3" w:rsidRPr="005540A3">
        <w:t>were</w:t>
      </w:r>
      <w:r w:rsidRPr="005540A3">
        <w:t xml:space="preserve"> ‘scoped out’ of the assessment</w:t>
      </w:r>
      <w:r w:rsidR="003149F3" w:rsidRPr="005540A3">
        <w:t>. The information presented represents just one measure of policy use by the MMO in the marine licensing decision-making process</w:t>
      </w:r>
      <w:r w:rsidR="00C92B18" w:rsidRPr="005540A3">
        <w:t>.</w:t>
      </w:r>
    </w:p>
    <w:p w14:paraId="239CF6B2" w14:textId="1A969A03" w:rsidR="00FF667E" w:rsidRPr="00C92ED5" w:rsidRDefault="0030533F">
      <w:r w:rsidRPr="0030533F">
        <w:rPr>
          <w:noProof/>
        </w:rPr>
        <w:drawing>
          <wp:inline distT="0" distB="0" distL="0" distR="0" wp14:anchorId="170EFD75" wp14:editId="54EE2642">
            <wp:extent cx="8539843" cy="427493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8569753" cy="4289906"/>
                    </a:xfrm>
                    <a:prstGeom prst="rect">
                      <a:avLst/>
                    </a:prstGeom>
                  </pic:spPr>
                </pic:pic>
              </a:graphicData>
            </a:graphic>
          </wp:inline>
        </w:drawing>
      </w:r>
    </w:p>
    <w:sectPr w:rsidR="00FF667E" w:rsidRPr="00C92ED5" w:rsidSect="00EF760F">
      <w:footerReference w:type="first" r:id="rId42"/>
      <w:pgSz w:w="16838" w:h="11899" w:orient="landscape" w:code="9"/>
      <w:pgMar w:top="1134" w:right="1134" w:bottom="1134" w:left="1134" w:header="340"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ECEF2" w14:textId="77777777" w:rsidR="004D1F23" w:rsidRDefault="004D1F23" w:rsidP="002F321C">
      <w:r>
        <w:separator/>
      </w:r>
    </w:p>
    <w:p w14:paraId="3B45FCAC" w14:textId="77777777" w:rsidR="004D1F23" w:rsidRDefault="004D1F23"/>
  </w:endnote>
  <w:endnote w:type="continuationSeparator" w:id="0">
    <w:p w14:paraId="6970A565" w14:textId="77777777" w:rsidR="004D1F23" w:rsidRDefault="004D1F23" w:rsidP="002F321C">
      <w:r>
        <w:continuationSeparator/>
      </w:r>
    </w:p>
    <w:p w14:paraId="21860E80" w14:textId="77777777" w:rsidR="004D1F23" w:rsidRDefault="004D1F23"/>
  </w:endnote>
  <w:endnote w:type="continuationNotice" w:id="1">
    <w:p w14:paraId="71D7748B" w14:textId="77777777" w:rsidR="004D1F23" w:rsidRDefault="004D1F2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09861" w14:textId="63E4DC36" w:rsidR="002223E6" w:rsidRDefault="002223E6" w:rsidP="006A0B36">
    <w:pPr>
      <w:pStyle w:val="Footer"/>
      <w:jc w:val="right"/>
    </w:pPr>
    <w:r w:rsidRPr="00F6274F">
      <w:fldChar w:fldCharType="begin"/>
    </w:r>
    <w:r w:rsidRPr="00F6274F">
      <w:instrText xml:space="preserve"> PAGE </w:instrText>
    </w:r>
    <w:r w:rsidRPr="00F6274F">
      <w:fldChar w:fldCharType="separate"/>
    </w:r>
    <w:r>
      <w:rPr>
        <w:noProof/>
      </w:rPr>
      <w:t>2</w:t>
    </w:r>
    <w:r w:rsidRPr="00F6274F">
      <w:fldChar w:fldCharType="end"/>
    </w:r>
    <w:r w:rsidRPr="00F6274F">
      <w:t xml:space="preserve"> of </w:t>
    </w:r>
    <w:r>
      <w:rPr>
        <w:noProof/>
      </w:rPr>
      <w:fldChar w:fldCharType="begin"/>
    </w:r>
    <w:r>
      <w:rPr>
        <w:noProof/>
      </w:rPr>
      <w:instrText xml:space="preserve"> NUMPAGES  </w:instrText>
    </w:r>
    <w:r>
      <w:rPr>
        <w:noProof/>
      </w:rPr>
      <w:fldChar w:fldCharType="separate"/>
    </w:r>
    <w:r>
      <w:rPr>
        <w:noProof/>
      </w:rPr>
      <w:t>52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C298D" w14:textId="77777777" w:rsidR="002223E6" w:rsidRDefault="002223E6" w:rsidP="00123BD9">
    <w:pPr>
      <w:pStyle w:val="Footer"/>
      <w:jc w:val="right"/>
    </w:pPr>
    <w:r>
      <w:tab/>
    </w:r>
    <w:r w:rsidRPr="00F6274F">
      <w:fldChar w:fldCharType="begin"/>
    </w:r>
    <w:r w:rsidRPr="00F6274F">
      <w:instrText xml:space="preserve"> PAGE </w:instrText>
    </w:r>
    <w:r w:rsidRPr="00F6274F">
      <w:fldChar w:fldCharType="separate"/>
    </w:r>
    <w:r>
      <w:t>6</w:t>
    </w:r>
    <w:r w:rsidRPr="00F6274F">
      <w:fldChar w:fldCharType="end"/>
    </w:r>
    <w:r w:rsidRPr="00F6274F">
      <w:t xml:space="preserve"> of </w:t>
    </w:r>
    <w:r>
      <w:rPr>
        <w:noProof/>
      </w:rPr>
      <w:fldChar w:fldCharType="begin"/>
    </w:r>
    <w:r>
      <w:rPr>
        <w:noProof/>
      </w:rPr>
      <w:instrText xml:space="preserve"> NUMPAGES  </w:instrText>
    </w:r>
    <w:r>
      <w:rPr>
        <w:noProof/>
      </w:rPr>
      <w:fldChar w:fldCharType="separate"/>
    </w:r>
    <w:r>
      <w:rPr>
        <w:noProof/>
      </w:rPr>
      <w:t>51</w:t>
    </w:r>
    <w:r>
      <w:rPr>
        <w:noProof/>
      </w:rPr>
      <w:fldChar w:fldCharType="end"/>
    </w:r>
  </w:p>
  <w:p w14:paraId="19D86A48" w14:textId="0D22BBA6" w:rsidR="002223E6" w:rsidRDefault="002223E6" w:rsidP="00CF37DA">
    <w:pPr>
      <w:pStyle w:val="Footer"/>
      <w:tabs>
        <w:tab w:val="left" w:pos="1207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B80EA" w14:textId="77777777" w:rsidR="002223E6" w:rsidRDefault="002223E6" w:rsidP="006A0B36">
    <w:pPr>
      <w:pStyle w:val="Footer"/>
      <w:jc w:val="right"/>
    </w:pPr>
    <w:r w:rsidRPr="00F6274F">
      <w:fldChar w:fldCharType="begin"/>
    </w:r>
    <w:r w:rsidRPr="00F6274F">
      <w:instrText xml:space="preserve"> PAGE </w:instrText>
    </w:r>
    <w:r w:rsidRPr="00F6274F">
      <w:fldChar w:fldCharType="separate"/>
    </w:r>
    <w:r>
      <w:rPr>
        <w:noProof/>
      </w:rPr>
      <w:t>2</w:t>
    </w:r>
    <w:r w:rsidRPr="00F6274F">
      <w:fldChar w:fldCharType="end"/>
    </w:r>
    <w:r w:rsidRPr="00F6274F">
      <w:t xml:space="preserve"> of </w:t>
    </w:r>
    <w:r>
      <w:rPr>
        <w:noProof/>
      </w:rPr>
      <w:fldChar w:fldCharType="begin"/>
    </w:r>
    <w:r>
      <w:rPr>
        <w:noProof/>
      </w:rPr>
      <w:instrText xml:space="preserve"> NUMPAGES  </w:instrText>
    </w:r>
    <w:r>
      <w:rPr>
        <w:noProof/>
      </w:rPr>
      <w:fldChar w:fldCharType="separate"/>
    </w:r>
    <w:r>
      <w:rPr>
        <w:noProof/>
      </w:rPr>
      <w:t>16</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D6ECC" w14:textId="7006ED28" w:rsidR="002223E6" w:rsidRDefault="002223E6" w:rsidP="006A0B36">
    <w:pPr>
      <w:pStyle w:val="Footer"/>
      <w:jc w:val="right"/>
    </w:pPr>
    <w:r w:rsidRPr="00F6274F">
      <w:fldChar w:fldCharType="begin"/>
    </w:r>
    <w:r w:rsidRPr="00F6274F">
      <w:instrText xml:space="preserve"> PAGE </w:instrText>
    </w:r>
    <w:r w:rsidRPr="00F6274F">
      <w:fldChar w:fldCharType="separate"/>
    </w:r>
    <w:r>
      <w:rPr>
        <w:noProof/>
      </w:rPr>
      <w:t>9</w:t>
    </w:r>
    <w:r w:rsidRPr="00F6274F">
      <w:fldChar w:fldCharType="end"/>
    </w:r>
    <w:r w:rsidRPr="00F6274F">
      <w:t xml:space="preserve"> of </w:t>
    </w:r>
    <w:r>
      <w:rPr>
        <w:noProof/>
      </w:rPr>
      <w:fldChar w:fldCharType="begin"/>
    </w:r>
    <w:r>
      <w:rPr>
        <w:noProof/>
      </w:rPr>
      <w:instrText xml:space="preserve"> NUMPAGES  </w:instrText>
    </w:r>
    <w:r>
      <w:rPr>
        <w:noProof/>
      </w:rPr>
      <w:fldChar w:fldCharType="separate"/>
    </w:r>
    <w:r>
      <w:rPr>
        <w:noProof/>
      </w:rPr>
      <w:t>51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8483484"/>
      <w:docPartObj>
        <w:docPartGallery w:val="Page Numbers (Bottom of Page)"/>
        <w:docPartUnique/>
      </w:docPartObj>
    </w:sdtPr>
    <w:sdtEndPr>
      <w:rPr>
        <w:noProof/>
      </w:rPr>
    </w:sdtEndPr>
    <w:sdtContent>
      <w:p w14:paraId="22D0184A" w14:textId="7FF14606" w:rsidR="002223E6" w:rsidRDefault="002223E6" w:rsidP="000E13C2">
        <w:pPr>
          <w:pStyle w:val="Footer"/>
          <w:jc w:val="right"/>
        </w:pPr>
        <w:r>
          <w:fldChar w:fldCharType="begin"/>
        </w:r>
        <w:r>
          <w:instrText xml:space="preserve"> PAGE   \* MERGEFORMAT </w:instrText>
        </w:r>
        <w:r>
          <w:fldChar w:fldCharType="separate"/>
        </w:r>
        <w:r>
          <w:rPr>
            <w:noProof/>
          </w:rPr>
          <w:t>51</w:t>
        </w:r>
        <w:r>
          <w:fldChar w:fldCharType="end"/>
        </w:r>
        <w:r>
          <w:rPr>
            <w:noProof/>
          </w:rPr>
          <w:t xml:space="preserve"> </w:t>
        </w:r>
        <w:r w:rsidRPr="00F6274F">
          <w:t xml:space="preserve">of </w:t>
        </w:r>
        <w:r>
          <w:rPr>
            <w:noProof/>
          </w:rPr>
          <w:fldChar w:fldCharType="begin"/>
        </w:r>
        <w:r>
          <w:rPr>
            <w:noProof/>
          </w:rPr>
          <w:instrText xml:space="preserve"> NUMPAGES  </w:instrText>
        </w:r>
        <w:r>
          <w:rPr>
            <w:noProof/>
          </w:rPr>
          <w:fldChar w:fldCharType="separate"/>
        </w:r>
        <w:r>
          <w:rPr>
            <w:noProof/>
          </w:rPr>
          <w:t>51</w:t>
        </w:r>
        <w:r>
          <w:rPr>
            <w:noProof/>
          </w:rPr>
          <w:fldChar w:fldCharType="end"/>
        </w:r>
      </w:p>
    </w:sdtContent>
  </w:sdt>
  <w:p w14:paraId="1B57D7D4" w14:textId="0B003A7A" w:rsidR="002223E6" w:rsidRDefault="00222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70B73" w14:textId="77777777" w:rsidR="004D1F23" w:rsidRDefault="004D1F23">
      <w:r>
        <w:separator/>
      </w:r>
    </w:p>
  </w:footnote>
  <w:footnote w:type="continuationSeparator" w:id="0">
    <w:p w14:paraId="4DA01B20" w14:textId="77777777" w:rsidR="004D1F23" w:rsidRDefault="004D1F23" w:rsidP="002F321C">
      <w:r>
        <w:continuationSeparator/>
      </w:r>
    </w:p>
    <w:p w14:paraId="123D7345" w14:textId="77777777" w:rsidR="004D1F23" w:rsidRDefault="004D1F23"/>
  </w:footnote>
  <w:footnote w:type="continuationNotice" w:id="1">
    <w:p w14:paraId="5A733B0E" w14:textId="77777777" w:rsidR="004D1F23" w:rsidRDefault="004D1F2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B30D7"/>
    <w:multiLevelType w:val="multilevel"/>
    <w:tmpl w:val="629694E2"/>
    <w:lvl w:ilvl="0">
      <w:start w:val="10"/>
      <w:numFmt w:val="decimal"/>
      <w:lvlText w:val="%1"/>
      <w:lvlJc w:val="left"/>
      <w:pPr>
        <w:ind w:left="495" w:hanging="495"/>
      </w:pPr>
      <w:rPr>
        <w:rFonts w:hint="default"/>
        <w:b w:val="0"/>
        <w:bCs w:val="0"/>
        <w:color w:val="auto"/>
        <w:sz w:val="24"/>
        <w:szCs w:val="24"/>
      </w:rPr>
    </w:lvl>
    <w:lvl w:ilvl="1">
      <w:start w:val="1"/>
      <w:numFmt w:val="bullet"/>
      <w:lvlText w:val=""/>
      <w:lvlJc w:val="left"/>
      <w:pPr>
        <w:ind w:left="495" w:hanging="49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1233BF"/>
    <w:multiLevelType w:val="hybridMultilevel"/>
    <w:tmpl w:val="0546D27E"/>
    <w:lvl w:ilvl="0" w:tplc="0F882446">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10EB0"/>
    <w:multiLevelType w:val="multilevel"/>
    <w:tmpl w:val="88B405EE"/>
    <w:lvl w:ilvl="0">
      <w:start w:val="1"/>
      <w:numFmt w:val="bullet"/>
      <w:lvlText w:val=""/>
      <w:lvlJc w:val="left"/>
      <w:pPr>
        <w:ind w:left="720" w:hanging="360"/>
      </w:pPr>
      <w:rPr>
        <w:rFonts w:ascii="Symbol" w:hAnsi="Symbol"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394216"/>
    <w:multiLevelType w:val="hybridMultilevel"/>
    <w:tmpl w:val="2AC8AA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FA2CE7"/>
    <w:multiLevelType w:val="multilevel"/>
    <w:tmpl w:val="DD58358C"/>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1BB11ABB"/>
    <w:multiLevelType w:val="hybridMultilevel"/>
    <w:tmpl w:val="4E824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0F78E9"/>
    <w:multiLevelType w:val="hybridMultilevel"/>
    <w:tmpl w:val="AC2478B0"/>
    <w:lvl w:ilvl="0" w:tplc="08090001">
      <w:start w:val="1"/>
      <w:numFmt w:val="bullet"/>
      <w:lvlText w:val=""/>
      <w:lvlJc w:val="left"/>
      <w:pPr>
        <w:ind w:left="853" w:hanging="360"/>
      </w:pPr>
      <w:rPr>
        <w:rFonts w:ascii="Symbol" w:hAnsi="Symbol" w:hint="default"/>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7" w15:restartNumberingAfterBreak="0">
    <w:nsid w:val="215E3F70"/>
    <w:multiLevelType w:val="hybridMultilevel"/>
    <w:tmpl w:val="146E3CBE"/>
    <w:lvl w:ilvl="0" w:tplc="F7645240">
      <w:start w:val="1"/>
      <w:numFmt w:val="decimal"/>
      <w:pStyle w:val="AnnexH1"/>
      <w:lvlText w:val="Annex %1"/>
      <w:lvlJc w:val="left"/>
      <w:pPr>
        <w:ind w:left="1843" w:firstLine="0"/>
      </w:pPr>
      <w:rPr>
        <w:rFonts w:ascii="Arial" w:hAnsi="Arial" w:hint="default"/>
        <w:b/>
        <w:color w:val="211973"/>
        <w:sz w:val="48"/>
      </w:rPr>
    </w:lvl>
    <w:lvl w:ilvl="1" w:tplc="CEF8B430">
      <w:start w:val="1"/>
      <w:numFmt w:val="lowerLetter"/>
      <w:lvlText w:val="%2)"/>
      <w:lvlJc w:val="left"/>
      <w:pPr>
        <w:ind w:left="2563" w:hanging="360"/>
      </w:pPr>
      <w:rPr>
        <w:rFonts w:hint="default"/>
      </w:rPr>
    </w:lvl>
    <w:lvl w:ilvl="2" w:tplc="25220058">
      <w:start w:val="1"/>
      <w:numFmt w:val="lowerRoman"/>
      <w:lvlText w:val="%3)"/>
      <w:lvlJc w:val="left"/>
      <w:pPr>
        <w:ind w:left="2923" w:hanging="360"/>
      </w:pPr>
      <w:rPr>
        <w:rFonts w:hint="default"/>
      </w:rPr>
    </w:lvl>
    <w:lvl w:ilvl="3" w:tplc="AE1604DC">
      <w:start w:val="1"/>
      <w:numFmt w:val="decimal"/>
      <w:lvlText w:val="(%4)"/>
      <w:lvlJc w:val="left"/>
      <w:pPr>
        <w:ind w:left="3283" w:hanging="360"/>
      </w:pPr>
      <w:rPr>
        <w:rFonts w:hint="default"/>
      </w:rPr>
    </w:lvl>
    <w:lvl w:ilvl="4" w:tplc="E7EA990A">
      <w:start w:val="1"/>
      <w:numFmt w:val="lowerLetter"/>
      <w:lvlText w:val="(%5)"/>
      <w:lvlJc w:val="left"/>
      <w:pPr>
        <w:ind w:left="3643" w:hanging="360"/>
      </w:pPr>
      <w:rPr>
        <w:rFonts w:hint="default"/>
      </w:rPr>
    </w:lvl>
    <w:lvl w:ilvl="5" w:tplc="C11E529E">
      <w:start w:val="1"/>
      <w:numFmt w:val="lowerRoman"/>
      <w:lvlText w:val="(%6)"/>
      <w:lvlJc w:val="left"/>
      <w:pPr>
        <w:ind w:left="4003" w:hanging="360"/>
      </w:pPr>
      <w:rPr>
        <w:rFonts w:hint="default"/>
      </w:rPr>
    </w:lvl>
    <w:lvl w:ilvl="6" w:tplc="F7540F1A">
      <w:start w:val="1"/>
      <w:numFmt w:val="decimal"/>
      <w:lvlText w:val="%7."/>
      <w:lvlJc w:val="left"/>
      <w:pPr>
        <w:ind w:left="4363" w:hanging="360"/>
      </w:pPr>
      <w:rPr>
        <w:rFonts w:hint="default"/>
      </w:rPr>
    </w:lvl>
    <w:lvl w:ilvl="7" w:tplc="D44C0D9A">
      <w:start w:val="1"/>
      <w:numFmt w:val="lowerLetter"/>
      <w:lvlText w:val="%8."/>
      <w:lvlJc w:val="left"/>
      <w:pPr>
        <w:ind w:left="4723" w:hanging="360"/>
      </w:pPr>
      <w:rPr>
        <w:rFonts w:hint="default"/>
      </w:rPr>
    </w:lvl>
    <w:lvl w:ilvl="8" w:tplc="48D446A6">
      <w:start w:val="1"/>
      <w:numFmt w:val="lowerRoman"/>
      <w:lvlText w:val="%9."/>
      <w:lvlJc w:val="left"/>
      <w:pPr>
        <w:ind w:left="5083" w:hanging="360"/>
      </w:pPr>
      <w:rPr>
        <w:rFonts w:hint="default"/>
      </w:rPr>
    </w:lvl>
  </w:abstractNum>
  <w:abstractNum w:abstractNumId="8" w15:restartNumberingAfterBreak="0">
    <w:nsid w:val="27E400BC"/>
    <w:multiLevelType w:val="multilevel"/>
    <w:tmpl w:val="059A1F28"/>
    <w:lvl w:ilvl="0">
      <w:start w:val="134"/>
      <w:numFmt w:val="decimal"/>
      <w:lvlText w:val="%1"/>
      <w:lvlJc w:val="left"/>
      <w:pPr>
        <w:ind w:left="360" w:hanging="360"/>
      </w:pPr>
      <w:rPr>
        <w:rFonts w:hint="default"/>
      </w:rPr>
    </w:lvl>
    <w:lvl w:ilvl="1">
      <w:start w:val="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E2457EA"/>
    <w:multiLevelType w:val="hybridMultilevel"/>
    <w:tmpl w:val="B6DEE74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30393AAB"/>
    <w:multiLevelType w:val="hybridMultilevel"/>
    <w:tmpl w:val="B3AA04EA"/>
    <w:lvl w:ilvl="0" w:tplc="08090001">
      <w:start w:val="1"/>
      <w:numFmt w:val="bullet"/>
      <w:lvlText w:val=""/>
      <w:lvlJc w:val="left"/>
      <w:pPr>
        <w:ind w:left="853" w:hanging="360"/>
      </w:pPr>
      <w:rPr>
        <w:rFonts w:ascii="Symbol" w:hAnsi="Symbol" w:hint="default"/>
      </w:rPr>
    </w:lvl>
    <w:lvl w:ilvl="1" w:tplc="89422BAC">
      <w:numFmt w:val="bullet"/>
      <w:lvlText w:val="•"/>
      <w:lvlJc w:val="left"/>
      <w:pPr>
        <w:ind w:left="1573" w:hanging="360"/>
      </w:pPr>
      <w:rPr>
        <w:rFonts w:ascii="Arial" w:eastAsia="Arial" w:hAnsi="Arial" w:cs="Arial"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11" w15:restartNumberingAfterBreak="0">
    <w:nsid w:val="33BF6924"/>
    <w:multiLevelType w:val="hybridMultilevel"/>
    <w:tmpl w:val="C2C4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E11D4B"/>
    <w:multiLevelType w:val="hybridMultilevel"/>
    <w:tmpl w:val="1DF20FEC"/>
    <w:lvl w:ilvl="0" w:tplc="08090001">
      <w:start w:val="1"/>
      <w:numFmt w:val="bullet"/>
      <w:lvlText w:val=""/>
      <w:lvlJc w:val="left"/>
      <w:pPr>
        <w:ind w:left="853" w:hanging="360"/>
      </w:pPr>
      <w:rPr>
        <w:rFonts w:ascii="Symbol" w:hAnsi="Symbol" w:hint="default"/>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14" w15:restartNumberingAfterBreak="0">
    <w:nsid w:val="3E6D2EBC"/>
    <w:multiLevelType w:val="multilevel"/>
    <w:tmpl w:val="EFECBEE6"/>
    <w:lvl w:ilvl="0">
      <w:start w:val="134"/>
      <w:numFmt w:val="decimal"/>
      <w:lvlText w:val="%1"/>
      <w:lvlJc w:val="left"/>
      <w:pPr>
        <w:ind w:left="360" w:hanging="360"/>
      </w:pPr>
      <w:rPr>
        <w:rFonts w:hint="default"/>
        <w:color w:val="auto"/>
      </w:rPr>
    </w:lvl>
    <w:lvl w:ilvl="1">
      <w:start w:val="1"/>
      <w:numFmt w:val="bullet"/>
      <w:lvlText w:val=""/>
      <w:lvlJc w:val="left"/>
      <w:pPr>
        <w:ind w:left="600" w:hanging="60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F7C3761"/>
    <w:multiLevelType w:val="hybridMultilevel"/>
    <w:tmpl w:val="F23A5636"/>
    <w:lvl w:ilvl="0" w:tplc="D3EA6250">
      <w:start w:val="1"/>
      <w:numFmt w:val="bullet"/>
      <w:lvlText w:val=""/>
      <w:lvlJc w:val="left"/>
      <w:pPr>
        <w:ind w:left="853" w:hanging="360"/>
      </w:pPr>
      <w:rPr>
        <w:rFonts w:ascii="Symbol" w:hAnsi="Symbol" w:hint="default"/>
        <w:color w:val="auto"/>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16" w15:restartNumberingAfterBreak="0">
    <w:nsid w:val="400D617F"/>
    <w:multiLevelType w:val="hybridMultilevel"/>
    <w:tmpl w:val="156E5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8D43ED"/>
    <w:multiLevelType w:val="hybridMultilevel"/>
    <w:tmpl w:val="50E263C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8" w15:restartNumberingAfterBreak="0">
    <w:nsid w:val="440000D3"/>
    <w:multiLevelType w:val="hybridMultilevel"/>
    <w:tmpl w:val="B366F2C6"/>
    <w:lvl w:ilvl="0" w:tplc="08090001">
      <w:start w:val="1"/>
      <w:numFmt w:val="bullet"/>
      <w:lvlText w:val=""/>
      <w:lvlJc w:val="left"/>
      <w:pPr>
        <w:ind w:left="1281" w:hanging="360"/>
      </w:pPr>
      <w:rPr>
        <w:rFonts w:ascii="Symbol" w:hAnsi="Symbol" w:hint="default"/>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19" w15:restartNumberingAfterBreak="0">
    <w:nsid w:val="49D82FE5"/>
    <w:multiLevelType w:val="multilevel"/>
    <w:tmpl w:val="54A239C4"/>
    <w:lvl w:ilvl="0">
      <w:start w:val="134"/>
      <w:numFmt w:val="decimal"/>
      <w:lvlText w:val="%1"/>
      <w:lvlJc w:val="left"/>
      <w:pPr>
        <w:ind w:left="360" w:hanging="360"/>
      </w:pPr>
      <w:rPr>
        <w:rFonts w:hint="default"/>
        <w:color w:val="auto"/>
      </w:rPr>
    </w:lvl>
    <w:lvl w:ilvl="1">
      <w:start w:val="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B0536C5"/>
    <w:multiLevelType w:val="hybridMultilevel"/>
    <w:tmpl w:val="A26EE34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1" w15:restartNumberingAfterBreak="0">
    <w:nsid w:val="4CF643AE"/>
    <w:multiLevelType w:val="multilevel"/>
    <w:tmpl w:val="3F6440A6"/>
    <w:lvl w:ilvl="0">
      <w:start w:val="1"/>
      <w:numFmt w:val="bullet"/>
      <w:lvlText w:val=""/>
      <w:lvlJc w:val="left"/>
      <w:pPr>
        <w:ind w:left="921" w:hanging="495"/>
      </w:pPr>
      <w:rPr>
        <w:rFonts w:ascii="Symbol" w:hAnsi="Symbol" w:hint="default"/>
      </w:rPr>
    </w:lvl>
    <w:lvl w:ilvl="1">
      <w:start w:val="3"/>
      <w:numFmt w:val="decimal"/>
      <w:lvlText w:val="%1.%2"/>
      <w:lvlJc w:val="left"/>
      <w:pPr>
        <w:ind w:left="921" w:hanging="49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866"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226" w:hanging="1800"/>
      </w:pPr>
      <w:rPr>
        <w:rFonts w:hint="default"/>
      </w:rPr>
    </w:lvl>
  </w:abstractNum>
  <w:abstractNum w:abstractNumId="22" w15:restartNumberingAfterBreak="0">
    <w:nsid w:val="4E2D55E7"/>
    <w:multiLevelType w:val="multilevel"/>
    <w:tmpl w:val="487ADCC6"/>
    <w:lvl w:ilvl="0">
      <w:start w:val="134"/>
      <w:numFmt w:val="decimal"/>
      <w:lvlText w:val="%1"/>
      <w:lvlJc w:val="left"/>
      <w:pPr>
        <w:ind w:left="360" w:hanging="360"/>
      </w:pPr>
      <w:rPr>
        <w:rFonts w:hint="default"/>
      </w:rPr>
    </w:lvl>
    <w:lvl w:ilvl="1">
      <w:start w:val="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381C20"/>
    <w:multiLevelType w:val="multilevel"/>
    <w:tmpl w:val="C6203780"/>
    <w:lvl w:ilvl="0">
      <w:start w:val="171"/>
      <w:numFmt w:val="decimal"/>
      <w:lvlText w:val="%1"/>
      <w:lvlJc w:val="left"/>
      <w:pPr>
        <w:ind w:left="360" w:hanging="360"/>
      </w:pPr>
      <w:rPr>
        <w:rFonts w:hint="default"/>
        <w:b w:val="0"/>
        <w:bCs/>
        <w:color w:val="auto"/>
      </w:rPr>
    </w:lvl>
    <w:lvl w:ilvl="1">
      <w:start w:val="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C905424"/>
    <w:multiLevelType w:val="hybridMultilevel"/>
    <w:tmpl w:val="58BA6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BD562F"/>
    <w:multiLevelType w:val="hybridMultilevel"/>
    <w:tmpl w:val="054CACB2"/>
    <w:lvl w:ilvl="0" w:tplc="08090001">
      <w:start w:val="1"/>
      <w:numFmt w:val="bullet"/>
      <w:lvlText w:val=""/>
      <w:lvlJc w:val="left"/>
      <w:pPr>
        <w:ind w:left="853" w:hanging="360"/>
      </w:pPr>
      <w:rPr>
        <w:rFonts w:ascii="Symbol" w:hAnsi="Symbol" w:hint="default"/>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27" w15:restartNumberingAfterBreak="0">
    <w:nsid w:val="614C6DA5"/>
    <w:multiLevelType w:val="hybridMultilevel"/>
    <w:tmpl w:val="628ADA08"/>
    <w:lvl w:ilvl="0" w:tplc="113A6188">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D67180"/>
    <w:multiLevelType w:val="hybridMultilevel"/>
    <w:tmpl w:val="F91A0A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C3391A"/>
    <w:multiLevelType w:val="hybridMultilevel"/>
    <w:tmpl w:val="9950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891232"/>
    <w:multiLevelType w:val="hybridMultilevel"/>
    <w:tmpl w:val="ECFC1E06"/>
    <w:lvl w:ilvl="0" w:tplc="BAE0C512">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43D0FF5"/>
    <w:multiLevelType w:val="hybridMultilevel"/>
    <w:tmpl w:val="13D42EF2"/>
    <w:lvl w:ilvl="0" w:tplc="583A1A44">
      <w:start w:val="1"/>
      <w:numFmt w:val="bullet"/>
      <w:lvlText w:val=""/>
      <w:lvlJc w:val="left"/>
      <w:pPr>
        <w:ind w:left="855" w:hanging="360"/>
      </w:pPr>
      <w:rPr>
        <w:rFonts w:ascii="Symbol" w:hAnsi="Symbol" w:hint="default"/>
        <w:color w:val="auto"/>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3"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312C3D"/>
    <w:multiLevelType w:val="multilevel"/>
    <w:tmpl w:val="6CCA15FA"/>
    <w:lvl w:ilvl="0">
      <w:start w:val="1"/>
      <w:numFmt w:val="decimal"/>
      <w:lvlText w:val="%1."/>
      <w:lvlJc w:val="left"/>
      <w:pPr>
        <w:ind w:left="360" w:hanging="360"/>
      </w:pPr>
      <w:rPr>
        <w:rFonts w:hint="default"/>
        <w:b w:val="0"/>
        <w:bCs w:val="0"/>
        <w:color w:val="auto"/>
        <w:sz w:val="24"/>
        <w:szCs w:val="24"/>
      </w:rPr>
    </w:lvl>
    <w:lvl w:ilvl="1">
      <w:start w:val="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27"/>
  </w:num>
  <w:num w:numId="2">
    <w:abstractNumId w:val="30"/>
  </w:num>
  <w:num w:numId="3">
    <w:abstractNumId w:val="23"/>
  </w:num>
  <w:num w:numId="4">
    <w:abstractNumId w:val="12"/>
  </w:num>
  <w:num w:numId="5">
    <w:abstractNumId w:val="33"/>
  </w:num>
  <w:num w:numId="6">
    <w:abstractNumId w:val="34"/>
  </w:num>
  <w:num w:numId="7">
    <w:abstractNumId w:val="4"/>
  </w:num>
  <w:num w:numId="8">
    <w:abstractNumId w:val="35"/>
  </w:num>
  <w:num w:numId="9">
    <w:abstractNumId w:val="7"/>
  </w:num>
  <w:num w:numId="10">
    <w:abstractNumId w:val="0"/>
  </w:num>
  <w:num w:numId="11">
    <w:abstractNumId w:val="2"/>
  </w:num>
  <w:num w:numId="12">
    <w:abstractNumId w:val="14"/>
  </w:num>
  <w:num w:numId="13">
    <w:abstractNumId w:val="21"/>
  </w:num>
  <w:num w:numId="14">
    <w:abstractNumId w:val="8"/>
  </w:num>
  <w:num w:numId="15">
    <w:abstractNumId w:val="22"/>
  </w:num>
  <w:num w:numId="16">
    <w:abstractNumId w:val="32"/>
  </w:num>
  <w:num w:numId="17">
    <w:abstractNumId w:val="19"/>
  </w:num>
  <w:num w:numId="18">
    <w:abstractNumId w:val="20"/>
  </w:num>
  <w:num w:numId="19">
    <w:abstractNumId w:val="5"/>
  </w:num>
  <w:num w:numId="20">
    <w:abstractNumId w:val="29"/>
  </w:num>
  <w:num w:numId="21">
    <w:abstractNumId w:val="17"/>
  </w:num>
  <w:num w:numId="22">
    <w:abstractNumId w:val="15"/>
  </w:num>
  <w:num w:numId="23">
    <w:abstractNumId w:val="25"/>
  </w:num>
  <w:num w:numId="24">
    <w:abstractNumId w:val="10"/>
  </w:num>
  <w:num w:numId="25">
    <w:abstractNumId w:val="6"/>
  </w:num>
  <w:num w:numId="26">
    <w:abstractNumId w:val="26"/>
  </w:num>
  <w:num w:numId="27">
    <w:abstractNumId w:val="13"/>
  </w:num>
  <w:num w:numId="28">
    <w:abstractNumId w:val="24"/>
  </w:num>
  <w:num w:numId="29">
    <w:abstractNumId w:val="3"/>
  </w:num>
  <w:num w:numId="30">
    <w:abstractNumId w:val="28"/>
  </w:num>
  <w:num w:numId="31">
    <w:abstractNumId w:val="1"/>
  </w:num>
  <w:num w:numId="32">
    <w:abstractNumId w:val="18"/>
  </w:num>
  <w:num w:numId="33">
    <w:abstractNumId w:val="11"/>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1"/>
  </w:num>
  <w:num w:numId="37">
    <w:abstractNumId w:val="9"/>
  </w:num>
  <w:num w:numId="38">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LockTheme/>
  <w:styleLockQFSet/>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59F"/>
    <w:rsid w:val="000000B9"/>
    <w:rsid w:val="00000128"/>
    <w:rsid w:val="00000228"/>
    <w:rsid w:val="00000865"/>
    <w:rsid w:val="00000FAF"/>
    <w:rsid w:val="00001937"/>
    <w:rsid w:val="00001A2A"/>
    <w:rsid w:val="00001AE7"/>
    <w:rsid w:val="000020A8"/>
    <w:rsid w:val="00002128"/>
    <w:rsid w:val="0000216A"/>
    <w:rsid w:val="000021B3"/>
    <w:rsid w:val="0000226E"/>
    <w:rsid w:val="00002277"/>
    <w:rsid w:val="000022CA"/>
    <w:rsid w:val="00002443"/>
    <w:rsid w:val="0000273F"/>
    <w:rsid w:val="00002977"/>
    <w:rsid w:val="00002CD3"/>
    <w:rsid w:val="00003504"/>
    <w:rsid w:val="0000352F"/>
    <w:rsid w:val="00003782"/>
    <w:rsid w:val="0000378C"/>
    <w:rsid w:val="000038EF"/>
    <w:rsid w:val="000039DD"/>
    <w:rsid w:val="00003A7D"/>
    <w:rsid w:val="00003AED"/>
    <w:rsid w:val="0000456A"/>
    <w:rsid w:val="0000464A"/>
    <w:rsid w:val="000048C3"/>
    <w:rsid w:val="00004A5E"/>
    <w:rsid w:val="00004AFE"/>
    <w:rsid w:val="00005014"/>
    <w:rsid w:val="00005478"/>
    <w:rsid w:val="0000569D"/>
    <w:rsid w:val="0000580B"/>
    <w:rsid w:val="00005BCA"/>
    <w:rsid w:val="00005C05"/>
    <w:rsid w:val="000062ED"/>
    <w:rsid w:val="00006855"/>
    <w:rsid w:val="000069B9"/>
    <w:rsid w:val="00007284"/>
    <w:rsid w:val="00007376"/>
    <w:rsid w:val="00007DD9"/>
    <w:rsid w:val="00007F81"/>
    <w:rsid w:val="000102AC"/>
    <w:rsid w:val="00010417"/>
    <w:rsid w:val="000104D6"/>
    <w:rsid w:val="00010812"/>
    <w:rsid w:val="0001098F"/>
    <w:rsid w:val="00010E21"/>
    <w:rsid w:val="00010F26"/>
    <w:rsid w:val="000111B2"/>
    <w:rsid w:val="000113FA"/>
    <w:rsid w:val="00011414"/>
    <w:rsid w:val="00011592"/>
    <w:rsid w:val="00011AC7"/>
    <w:rsid w:val="00011B45"/>
    <w:rsid w:val="00011D9D"/>
    <w:rsid w:val="0001203B"/>
    <w:rsid w:val="0001266F"/>
    <w:rsid w:val="00012B5C"/>
    <w:rsid w:val="00012D0B"/>
    <w:rsid w:val="00013333"/>
    <w:rsid w:val="00013937"/>
    <w:rsid w:val="00013C79"/>
    <w:rsid w:val="00013E57"/>
    <w:rsid w:val="0001431B"/>
    <w:rsid w:val="000156E0"/>
    <w:rsid w:val="000163DC"/>
    <w:rsid w:val="000163E5"/>
    <w:rsid w:val="000165E3"/>
    <w:rsid w:val="000169A2"/>
    <w:rsid w:val="00016DA2"/>
    <w:rsid w:val="0001704B"/>
    <w:rsid w:val="00017076"/>
    <w:rsid w:val="0001725A"/>
    <w:rsid w:val="00017687"/>
    <w:rsid w:val="000178FB"/>
    <w:rsid w:val="00017A20"/>
    <w:rsid w:val="00017B31"/>
    <w:rsid w:val="00017C87"/>
    <w:rsid w:val="00017C89"/>
    <w:rsid w:val="00017E33"/>
    <w:rsid w:val="0002009C"/>
    <w:rsid w:val="00020178"/>
    <w:rsid w:val="000202DB"/>
    <w:rsid w:val="000205DC"/>
    <w:rsid w:val="000207B1"/>
    <w:rsid w:val="00020925"/>
    <w:rsid w:val="00020AEC"/>
    <w:rsid w:val="00020AFD"/>
    <w:rsid w:val="00020DC7"/>
    <w:rsid w:val="00020DD0"/>
    <w:rsid w:val="00020DDD"/>
    <w:rsid w:val="0002194C"/>
    <w:rsid w:val="00021ABD"/>
    <w:rsid w:val="000223D6"/>
    <w:rsid w:val="00022442"/>
    <w:rsid w:val="000224C2"/>
    <w:rsid w:val="000227D3"/>
    <w:rsid w:val="00022D5E"/>
    <w:rsid w:val="00023358"/>
    <w:rsid w:val="00023883"/>
    <w:rsid w:val="0002393A"/>
    <w:rsid w:val="000239B6"/>
    <w:rsid w:val="00023BFE"/>
    <w:rsid w:val="00023E4C"/>
    <w:rsid w:val="000241E1"/>
    <w:rsid w:val="000249B6"/>
    <w:rsid w:val="00024A93"/>
    <w:rsid w:val="000253D2"/>
    <w:rsid w:val="0002548F"/>
    <w:rsid w:val="000254BE"/>
    <w:rsid w:val="00025A64"/>
    <w:rsid w:val="0002613B"/>
    <w:rsid w:val="0002616B"/>
    <w:rsid w:val="0002625D"/>
    <w:rsid w:val="0002629A"/>
    <w:rsid w:val="00026353"/>
    <w:rsid w:val="0002665C"/>
    <w:rsid w:val="00026E75"/>
    <w:rsid w:val="000270A7"/>
    <w:rsid w:val="000274DC"/>
    <w:rsid w:val="00027576"/>
    <w:rsid w:val="00027789"/>
    <w:rsid w:val="000278C7"/>
    <w:rsid w:val="00027C29"/>
    <w:rsid w:val="00027CCA"/>
    <w:rsid w:val="00027DAA"/>
    <w:rsid w:val="00030024"/>
    <w:rsid w:val="000302B9"/>
    <w:rsid w:val="000309D0"/>
    <w:rsid w:val="00030C74"/>
    <w:rsid w:val="000311BD"/>
    <w:rsid w:val="00031348"/>
    <w:rsid w:val="0003147C"/>
    <w:rsid w:val="00031608"/>
    <w:rsid w:val="000316AE"/>
    <w:rsid w:val="00031742"/>
    <w:rsid w:val="00031861"/>
    <w:rsid w:val="00031891"/>
    <w:rsid w:val="00031A96"/>
    <w:rsid w:val="000328C9"/>
    <w:rsid w:val="00032A9E"/>
    <w:rsid w:val="00032C16"/>
    <w:rsid w:val="00033408"/>
    <w:rsid w:val="00033438"/>
    <w:rsid w:val="00033478"/>
    <w:rsid w:val="000335FE"/>
    <w:rsid w:val="000336B9"/>
    <w:rsid w:val="00033B64"/>
    <w:rsid w:val="00033E28"/>
    <w:rsid w:val="000341B4"/>
    <w:rsid w:val="00034787"/>
    <w:rsid w:val="00034BD9"/>
    <w:rsid w:val="00034F60"/>
    <w:rsid w:val="00035045"/>
    <w:rsid w:val="0003556F"/>
    <w:rsid w:val="00035813"/>
    <w:rsid w:val="000359C8"/>
    <w:rsid w:val="00035B90"/>
    <w:rsid w:val="00035B9E"/>
    <w:rsid w:val="00035BA7"/>
    <w:rsid w:val="000367C0"/>
    <w:rsid w:val="00036993"/>
    <w:rsid w:val="000369EF"/>
    <w:rsid w:val="00036BBE"/>
    <w:rsid w:val="00036CCA"/>
    <w:rsid w:val="00036FB8"/>
    <w:rsid w:val="00036FD5"/>
    <w:rsid w:val="00037056"/>
    <w:rsid w:val="00037157"/>
    <w:rsid w:val="000373DA"/>
    <w:rsid w:val="000379F5"/>
    <w:rsid w:val="00037CF6"/>
    <w:rsid w:val="00037E1D"/>
    <w:rsid w:val="000419A7"/>
    <w:rsid w:val="0004218D"/>
    <w:rsid w:val="00042473"/>
    <w:rsid w:val="0004253A"/>
    <w:rsid w:val="00042549"/>
    <w:rsid w:val="000425AD"/>
    <w:rsid w:val="00042712"/>
    <w:rsid w:val="00042D65"/>
    <w:rsid w:val="000431DB"/>
    <w:rsid w:val="000438F1"/>
    <w:rsid w:val="00043AEE"/>
    <w:rsid w:val="00043D66"/>
    <w:rsid w:val="00043FB8"/>
    <w:rsid w:val="0004401B"/>
    <w:rsid w:val="0004413B"/>
    <w:rsid w:val="000441FD"/>
    <w:rsid w:val="00044739"/>
    <w:rsid w:val="000449DD"/>
    <w:rsid w:val="00045222"/>
    <w:rsid w:val="0004539F"/>
    <w:rsid w:val="000453EB"/>
    <w:rsid w:val="00045540"/>
    <w:rsid w:val="0004566E"/>
    <w:rsid w:val="0004593A"/>
    <w:rsid w:val="00045B3A"/>
    <w:rsid w:val="00046081"/>
    <w:rsid w:val="0004638E"/>
    <w:rsid w:val="000466CD"/>
    <w:rsid w:val="00046883"/>
    <w:rsid w:val="00046D97"/>
    <w:rsid w:val="000470FA"/>
    <w:rsid w:val="00047334"/>
    <w:rsid w:val="00047833"/>
    <w:rsid w:val="000479BB"/>
    <w:rsid w:val="00047AB1"/>
    <w:rsid w:val="00050889"/>
    <w:rsid w:val="00050894"/>
    <w:rsid w:val="00050BB9"/>
    <w:rsid w:val="00050D20"/>
    <w:rsid w:val="0005128A"/>
    <w:rsid w:val="00051364"/>
    <w:rsid w:val="000517D3"/>
    <w:rsid w:val="0005192C"/>
    <w:rsid w:val="00051F86"/>
    <w:rsid w:val="000527E0"/>
    <w:rsid w:val="000535F5"/>
    <w:rsid w:val="0005395A"/>
    <w:rsid w:val="00053969"/>
    <w:rsid w:val="00053C0B"/>
    <w:rsid w:val="00053E13"/>
    <w:rsid w:val="00053EF7"/>
    <w:rsid w:val="00053F94"/>
    <w:rsid w:val="0005490A"/>
    <w:rsid w:val="00054D41"/>
    <w:rsid w:val="00054DC3"/>
    <w:rsid w:val="00054F8F"/>
    <w:rsid w:val="0005506A"/>
    <w:rsid w:val="000553F6"/>
    <w:rsid w:val="000556EA"/>
    <w:rsid w:val="0005573A"/>
    <w:rsid w:val="000559F3"/>
    <w:rsid w:val="000560E8"/>
    <w:rsid w:val="0005665B"/>
    <w:rsid w:val="00056B71"/>
    <w:rsid w:val="00056EB2"/>
    <w:rsid w:val="00056F9E"/>
    <w:rsid w:val="00057683"/>
    <w:rsid w:val="00057772"/>
    <w:rsid w:val="0005792F"/>
    <w:rsid w:val="00057ACA"/>
    <w:rsid w:val="00057ECA"/>
    <w:rsid w:val="0006017E"/>
    <w:rsid w:val="00060299"/>
    <w:rsid w:val="000607A6"/>
    <w:rsid w:val="000607FD"/>
    <w:rsid w:val="00060A09"/>
    <w:rsid w:val="00060BFA"/>
    <w:rsid w:val="00060D83"/>
    <w:rsid w:val="0006104C"/>
    <w:rsid w:val="000611AB"/>
    <w:rsid w:val="00061813"/>
    <w:rsid w:val="00061880"/>
    <w:rsid w:val="00061C96"/>
    <w:rsid w:val="00061DC8"/>
    <w:rsid w:val="00062000"/>
    <w:rsid w:val="00062302"/>
    <w:rsid w:val="00062A24"/>
    <w:rsid w:val="00062B1F"/>
    <w:rsid w:val="00062FAA"/>
    <w:rsid w:val="00063001"/>
    <w:rsid w:val="00063784"/>
    <w:rsid w:val="00063804"/>
    <w:rsid w:val="00063950"/>
    <w:rsid w:val="000645AC"/>
    <w:rsid w:val="0006464C"/>
    <w:rsid w:val="000646CC"/>
    <w:rsid w:val="000649AE"/>
    <w:rsid w:val="000649C4"/>
    <w:rsid w:val="0006504D"/>
    <w:rsid w:val="00066737"/>
    <w:rsid w:val="00066949"/>
    <w:rsid w:val="00066C0C"/>
    <w:rsid w:val="000676D1"/>
    <w:rsid w:val="00067A62"/>
    <w:rsid w:val="00067B63"/>
    <w:rsid w:val="00070193"/>
    <w:rsid w:val="00070392"/>
    <w:rsid w:val="00070735"/>
    <w:rsid w:val="000708D5"/>
    <w:rsid w:val="000708FE"/>
    <w:rsid w:val="00070B50"/>
    <w:rsid w:val="00070E44"/>
    <w:rsid w:val="00071093"/>
    <w:rsid w:val="000713E6"/>
    <w:rsid w:val="000716A3"/>
    <w:rsid w:val="00071A26"/>
    <w:rsid w:val="00072320"/>
    <w:rsid w:val="00073441"/>
    <w:rsid w:val="000738AC"/>
    <w:rsid w:val="00073B1F"/>
    <w:rsid w:val="00073FA5"/>
    <w:rsid w:val="000743E4"/>
    <w:rsid w:val="00074B35"/>
    <w:rsid w:val="00074BB4"/>
    <w:rsid w:val="00074BBC"/>
    <w:rsid w:val="00074D24"/>
    <w:rsid w:val="00074DA7"/>
    <w:rsid w:val="00075185"/>
    <w:rsid w:val="000753A3"/>
    <w:rsid w:val="000755C4"/>
    <w:rsid w:val="00075630"/>
    <w:rsid w:val="000757C5"/>
    <w:rsid w:val="000758F2"/>
    <w:rsid w:val="00075ABD"/>
    <w:rsid w:val="00076540"/>
    <w:rsid w:val="00076631"/>
    <w:rsid w:val="00076B0C"/>
    <w:rsid w:val="0007721B"/>
    <w:rsid w:val="0007741C"/>
    <w:rsid w:val="0007750A"/>
    <w:rsid w:val="00077A7C"/>
    <w:rsid w:val="00077F6F"/>
    <w:rsid w:val="000801EA"/>
    <w:rsid w:val="000803C2"/>
    <w:rsid w:val="00081689"/>
    <w:rsid w:val="00081843"/>
    <w:rsid w:val="000818A6"/>
    <w:rsid w:val="00081C70"/>
    <w:rsid w:val="00082512"/>
    <w:rsid w:val="0008270E"/>
    <w:rsid w:val="00082744"/>
    <w:rsid w:val="0008284E"/>
    <w:rsid w:val="00082A8A"/>
    <w:rsid w:val="00082DFD"/>
    <w:rsid w:val="00083529"/>
    <w:rsid w:val="0008393F"/>
    <w:rsid w:val="00083C0D"/>
    <w:rsid w:val="00083FC6"/>
    <w:rsid w:val="00083FE5"/>
    <w:rsid w:val="00084144"/>
    <w:rsid w:val="0008452F"/>
    <w:rsid w:val="000848B7"/>
    <w:rsid w:val="00084970"/>
    <w:rsid w:val="00084B29"/>
    <w:rsid w:val="00084F8D"/>
    <w:rsid w:val="00085312"/>
    <w:rsid w:val="000853F0"/>
    <w:rsid w:val="00085474"/>
    <w:rsid w:val="000856FF"/>
    <w:rsid w:val="000862FA"/>
    <w:rsid w:val="00086D01"/>
    <w:rsid w:val="0008796D"/>
    <w:rsid w:val="00087B9C"/>
    <w:rsid w:val="00087DD3"/>
    <w:rsid w:val="000900CE"/>
    <w:rsid w:val="00090500"/>
    <w:rsid w:val="0009092C"/>
    <w:rsid w:val="0009098B"/>
    <w:rsid w:val="00090A8D"/>
    <w:rsid w:val="00090BB3"/>
    <w:rsid w:val="00090EBD"/>
    <w:rsid w:val="000910A2"/>
    <w:rsid w:val="000910BF"/>
    <w:rsid w:val="00091369"/>
    <w:rsid w:val="00091740"/>
    <w:rsid w:val="00091AF9"/>
    <w:rsid w:val="00091BB5"/>
    <w:rsid w:val="00091E57"/>
    <w:rsid w:val="0009217A"/>
    <w:rsid w:val="000925D6"/>
    <w:rsid w:val="00092EEB"/>
    <w:rsid w:val="0009343E"/>
    <w:rsid w:val="00093889"/>
    <w:rsid w:val="000938D6"/>
    <w:rsid w:val="00093CF8"/>
    <w:rsid w:val="00093F5B"/>
    <w:rsid w:val="00093FE5"/>
    <w:rsid w:val="00094251"/>
    <w:rsid w:val="0009437A"/>
    <w:rsid w:val="000944E7"/>
    <w:rsid w:val="00094BAA"/>
    <w:rsid w:val="00094C55"/>
    <w:rsid w:val="00095074"/>
    <w:rsid w:val="000953CE"/>
    <w:rsid w:val="0009541A"/>
    <w:rsid w:val="00095525"/>
    <w:rsid w:val="00095AB0"/>
    <w:rsid w:val="0009651F"/>
    <w:rsid w:val="00096684"/>
    <w:rsid w:val="00096688"/>
    <w:rsid w:val="00096735"/>
    <w:rsid w:val="00096772"/>
    <w:rsid w:val="00096DAA"/>
    <w:rsid w:val="00096E6A"/>
    <w:rsid w:val="00096FCE"/>
    <w:rsid w:val="00097102"/>
    <w:rsid w:val="0009722C"/>
    <w:rsid w:val="00097240"/>
    <w:rsid w:val="00097793"/>
    <w:rsid w:val="00097BB3"/>
    <w:rsid w:val="000A00BE"/>
    <w:rsid w:val="000A00F1"/>
    <w:rsid w:val="000A02F0"/>
    <w:rsid w:val="000A0585"/>
    <w:rsid w:val="000A0980"/>
    <w:rsid w:val="000A0EB4"/>
    <w:rsid w:val="000A0FCB"/>
    <w:rsid w:val="000A130C"/>
    <w:rsid w:val="000A138A"/>
    <w:rsid w:val="000A16BC"/>
    <w:rsid w:val="000A19A1"/>
    <w:rsid w:val="000A1B2A"/>
    <w:rsid w:val="000A223F"/>
    <w:rsid w:val="000A2378"/>
    <w:rsid w:val="000A25A7"/>
    <w:rsid w:val="000A2ABA"/>
    <w:rsid w:val="000A2EDD"/>
    <w:rsid w:val="000A31BD"/>
    <w:rsid w:val="000A3608"/>
    <w:rsid w:val="000A4174"/>
    <w:rsid w:val="000A43FE"/>
    <w:rsid w:val="000A46CB"/>
    <w:rsid w:val="000A4877"/>
    <w:rsid w:val="000A48BE"/>
    <w:rsid w:val="000A4D50"/>
    <w:rsid w:val="000A51CA"/>
    <w:rsid w:val="000A528A"/>
    <w:rsid w:val="000A531F"/>
    <w:rsid w:val="000A561F"/>
    <w:rsid w:val="000A57E8"/>
    <w:rsid w:val="000A59DE"/>
    <w:rsid w:val="000A5F39"/>
    <w:rsid w:val="000A6475"/>
    <w:rsid w:val="000A6589"/>
    <w:rsid w:val="000A680A"/>
    <w:rsid w:val="000A68E5"/>
    <w:rsid w:val="000A6BDE"/>
    <w:rsid w:val="000A6BE0"/>
    <w:rsid w:val="000A6DA5"/>
    <w:rsid w:val="000A73B4"/>
    <w:rsid w:val="000A7D0D"/>
    <w:rsid w:val="000A7F37"/>
    <w:rsid w:val="000B031E"/>
    <w:rsid w:val="000B0B4B"/>
    <w:rsid w:val="000B0E34"/>
    <w:rsid w:val="000B1124"/>
    <w:rsid w:val="000B13C0"/>
    <w:rsid w:val="000B18C3"/>
    <w:rsid w:val="000B1B7A"/>
    <w:rsid w:val="000B1C9F"/>
    <w:rsid w:val="000B1FCC"/>
    <w:rsid w:val="000B2DE0"/>
    <w:rsid w:val="000B2EAF"/>
    <w:rsid w:val="000B32EC"/>
    <w:rsid w:val="000B360F"/>
    <w:rsid w:val="000B3724"/>
    <w:rsid w:val="000B3BB4"/>
    <w:rsid w:val="000B45A9"/>
    <w:rsid w:val="000B4641"/>
    <w:rsid w:val="000B4745"/>
    <w:rsid w:val="000B4A96"/>
    <w:rsid w:val="000B4D7E"/>
    <w:rsid w:val="000B4E5D"/>
    <w:rsid w:val="000B52D1"/>
    <w:rsid w:val="000B5448"/>
    <w:rsid w:val="000B5AF9"/>
    <w:rsid w:val="000B5C95"/>
    <w:rsid w:val="000B5FBD"/>
    <w:rsid w:val="000B6423"/>
    <w:rsid w:val="000B64A0"/>
    <w:rsid w:val="000B6929"/>
    <w:rsid w:val="000B69C7"/>
    <w:rsid w:val="000B6E3B"/>
    <w:rsid w:val="000B763B"/>
    <w:rsid w:val="000B79C5"/>
    <w:rsid w:val="000B79E8"/>
    <w:rsid w:val="000B7D74"/>
    <w:rsid w:val="000C017E"/>
    <w:rsid w:val="000C0675"/>
    <w:rsid w:val="000C183C"/>
    <w:rsid w:val="000C18FD"/>
    <w:rsid w:val="000C1A69"/>
    <w:rsid w:val="000C1B31"/>
    <w:rsid w:val="000C22E5"/>
    <w:rsid w:val="000C3326"/>
    <w:rsid w:val="000C3664"/>
    <w:rsid w:val="000C3869"/>
    <w:rsid w:val="000C430D"/>
    <w:rsid w:val="000C4481"/>
    <w:rsid w:val="000C46CD"/>
    <w:rsid w:val="000C4A04"/>
    <w:rsid w:val="000C4DE5"/>
    <w:rsid w:val="000C5631"/>
    <w:rsid w:val="000C581F"/>
    <w:rsid w:val="000C6600"/>
    <w:rsid w:val="000C67CC"/>
    <w:rsid w:val="000C6D7B"/>
    <w:rsid w:val="000C6E54"/>
    <w:rsid w:val="000C7193"/>
    <w:rsid w:val="000C747A"/>
    <w:rsid w:val="000C7AAB"/>
    <w:rsid w:val="000C7C36"/>
    <w:rsid w:val="000C7E26"/>
    <w:rsid w:val="000D0298"/>
    <w:rsid w:val="000D0457"/>
    <w:rsid w:val="000D0521"/>
    <w:rsid w:val="000D05C6"/>
    <w:rsid w:val="000D1076"/>
    <w:rsid w:val="000D11C7"/>
    <w:rsid w:val="000D19F6"/>
    <w:rsid w:val="000D1A90"/>
    <w:rsid w:val="000D1C40"/>
    <w:rsid w:val="000D2B36"/>
    <w:rsid w:val="000D3164"/>
    <w:rsid w:val="000D323C"/>
    <w:rsid w:val="000D3323"/>
    <w:rsid w:val="000D387C"/>
    <w:rsid w:val="000D38C3"/>
    <w:rsid w:val="000D456A"/>
    <w:rsid w:val="000D4CC3"/>
    <w:rsid w:val="000D4E91"/>
    <w:rsid w:val="000D4EE9"/>
    <w:rsid w:val="000D508E"/>
    <w:rsid w:val="000D574D"/>
    <w:rsid w:val="000D5ADB"/>
    <w:rsid w:val="000D604B"/>
    <w:rsid w:val="000D6227"/>
    <w:rsid w:val="000D6257"/>
    <w:rsid w:val="000D62AC"/>
    <w:rsid w:val="000D62D3"/>
    <w:rsid w:val="000D639D"/>
    <w:rsid w:val="000D7062"/>
    <w:rsid w:val="000D73BD"/>
    <w:rsid w:val="000D78E9"/>
    <w:rsid w:val="000D7BDE"/>
    <w:rsid w:val="000E029F"/>
    <w:rsid w:val="000E0357"/>
    <w:rsid w:val="000E06CD"/>
    <w:rsid w:val="000E0863"/>
    <w:rsid w:val="000E0E0E"/>
    <w:rsid w:val="000E0E11"/>
    <w:rsid w:val="000E1308"/>
    <w:rsid w:val="000E13C2"/>
    <w:rsid w:val="000E16F1"/>
    <w:rsid w:val="000E1873"/>
    <w:rsid w:val="000E23AA"/>
    <w:rsid w:val="000E2479"/>
    <w:rsid w:val="000E2487"/>
    <w:rsid w:val="000E25E0"/>
    <w:rsid w:val="000E25FA"/>
    <w:rsid w:val="000E267A"/>
    <w:rsid w:val="000E282C"/>
    <w:rsid w:val="000E283E"/>
    <w:rsid w:val="000E2B2E"/>
    <w:rsid w:val="000E2CD6"/>
    <w:rsid w:val="000E2E98"/>
    <w:rsid w:val="000E322F"/>
    <w:rsid w:val="000E32EC"/>
    <w:rsid w:val="000E33FA"/>
    <w:rsid w:val="000E3C63"/>
    <w:rsid w:val="000E41E2"/>
    <w:rsid w:val="000E44E4"/>
    <w:rsid w:val="000E4E87"/>
    <w:rsid w:val="000E577D"/>
    <w:rsid w:val="000E5B64"/>
    <w:rsid w:val="000E685F"/>
    <w:rsid w:val="000E6D8A"/>
    <w:rsid w:val="000E7242"/>
    <w:rsid w:val="000E7295"/>
    <w:rsid w:val="000E75E5"/>
    <w:rsid w:val="000E7619"/>
    <w:rsid w:val="000E7891"/>
    <w:rsid w:val="000E78B2"/>
    <w:rsid w:val="000E7A7B"/>
    <w:rsid w:val="000E7B71"/>
    <w:rsid w:val="000E7CEC"/>
    <w:rsid w:val="000E7EB2"/>
    <w:rsid w:val="000F0730"/>
    <w:rsid w:val="000F0FCF"/>
    <w:rsid w:val="000F1244"/>
    <w:rsid w:val="000F1365"/>
    <w:rsid w:val="000F156F"/>
    <w:rsid w:val="000F1F6E"/>
    <w:rsid w:val="000F2A97"/>
    <w:rsid w:val="000F2C6A"/>
    <w:rsid w:val="000F2DB9"/>
    <w:rsid w:val="000F3113"/>
    <w:rsid w:val="000F31D7"/>
    <w:rsid w:val="000F338C"/>
    <w:rsid w:val="000F3484"/>
    <w:rsid w:val="000F3BC3"/>
    <w:rsid w:val="000F3FE8"/>
    <w:rsid w:val="000F4159"/>
    <w:rsid w:val="000F41A7"/>
    <w:rsid w:val="000F422A"/>
    <w:rsid w:val="000F42CC"/>
    <w:rsid w:val="000F49A0"/>
    <w:rsid w:val="000F4CFA"/>
    <w:rsid w:val="000F4D79"/>
    <w:rsid w:val="000F4E22"/>
    <w:rsid w:val="000F533C"/>
    <w:rsid w:val="000F55C0"/>
    <w:rsid w:val="000F5782"/>
    <w:rsid w:val="000F5D46"/>
    <w:rsid w:val="000F5D6F"/>
    <w:rsid w:val="000F5E94"/>
    <w:rsid w:val="000F5F45"/>
    <w:rsid w:val="000F63BF"/>
    <w:rsid w:val="000F693C"/>
    <w:rsid w:val="000F6A30"/>
    <w:rsid w:val="000F6E46"/>
    <w:rsid w:val="000F6E50"/>
    <w:rsid w:val="000F6F81"/>
    <w:rsid w:val="000F749A"/>
    <w:rsid w:val="000F7CDA"/>
    <w:rsid w:val="001000FD"/>
    <w:rsid w:val="00100121"/>
    <w:rsid w:val="0010026E"/>
    <w:rsid w:val="0010058A"/>
    <w:rsid w:val="001007E6"/>
    <w:rsid w:val="00101110"/>
    <w:rsid w:val="00101256"/>
    <w:rsid w:val="00101335"/>
    <w:rsid w:val="00101BA2"/>
    <w:rsid w:val="00102496"/>
    <w:rsid w:val="001024A8"/>
    <w:rsid w:val="001029A5"/>
    <w:rsid w:val="00102BE7"/>
    <w:rsid w:val="00102DC1"/>
    <w:rsid w:val="00102F55"/>
    <w:rsid w:val="0010310A"/>
    <w:rsid w:val="00103179"/>
    <w:rsid w:val="00103744"/>
    <w:rsid w:val="00103781"/>
    <w:rsid w:val="001039A1"/>
    <w:rsid w:val="00103AE1"/>
    <w:rsid w:val="00103E44"/>
    <w:rsid w:val="001045C3"/>
    <w:rsid w:val="001045F1"/>
    <w:rsid w:val="00104773"/>
    <w:rsid w:val="00104FAA"/>
    <w:rsid w:val="001052B1"/>
    <w:rsid w:val="00105B9E"/>
    <w:rsid w:val="00105C0B"/>
    <w:rsid w:val="00105DCE"/>
    <w:rsid w:val="00105FB3"/>
    <w:rsid w:val="0010603C"/>
    <w:rsid w:val="001064A4"/>
    <w:rsid w:val="001064D4"/>
    <w:rsid w:val="001064EE"/>
    <w:rsid w:val="00106C22"/>
    <w:rsid w:val="00107017"/>
    <w:rsid w:val="00107173"/>
    <w:rsid w:val="00107335"/>
    <w:rsid w:val="001073A8"/>
    <w:rsid w:val="00107619"/>
    <w:rsid w:val="001101B0"/>
    <w:rsid w:val="001103AE"/>
    <w:rsid w:val="00110884"/>
    <w:rsid w:val="001109DF"/>
    <w:rsid w:val="00110C2B"/>
    <w:rsid w:val="00110E7A"/>
    <w:rsid w:val="001114C6"/>
    <w:rsid w:val="0011162B"/>
    <w:rsid w:val="001118E5"/>
    <w:rsid w:val="00111CA3"/>
    <w:rsid w:val="001121C9"/>
    <w:rsid w:val="00112458"/>
    <w:rsid w:val="0011248A"/>
    <w:rsid w:val="00112668"/>
    <w:rsid w:val="00112815"/>
    <w:rsid w:val="00112996"/>
    <w:rsid w:val="00112AA4"/>
    <w:rsid w:val="00112B4F"/>
    <w:rsid w:val="001133BB"/>
    <w:rsid w:val="00113634"/>
    <w:rsid w:val="00113C34"/>
    <w:rsid w:val="00113E6C"/>
    <w:rsid w:val="00114911"/>
    <w:rsid w:val="00114AA4"/>
    <w:rsid w:val="00114C3A"/>
    <w:rsid w:val="00114D87"/>
    <w:rsid w:val="001152E3"/>
    <w:rsid w:val="001153E0"/>
    <w:rsid w:val="00115699"/>
    <w:rsid w:val="001156AF"/>
    <w:rsid w:val="00116230"/>
    <w:rsid w:val="001164BF"/>
    <w:rsid w:val="00116571"/>
    <w:rsid w:val="00116EDF"/>
    <w:rsid w:val="00117117"/>
    <w:rsid w:val="00117429"/>
    <w:rsid w:val="00117621"/>
    <w:rsid w:val="00117627"/>
    <w:rsid w:val="00117852"/>
    <w:rsid w:val="00117C06"/>
    <w:rsid w:val="00117C5C"/>
    <w:rsid w:val="00117FE3"/>
    <w:rsid w:val="00117FEC"/>
    <w:rsid w:val="00120070"/>
    <w:rsid w:val="0012007B"/>
    <w:rsid w:val="001200F9"/>
    <w:rsid w:val="0012054F"/>
    <w:rsid w:val="001206D0"/>
    <w:rsid w:val="001208A8"/>
    <w:rsid w:val="00121143"/>
    <w:rsid w:val="00121659"/>
    <w:rsid w:val="001217CA"/>
    <w:rsid w:val="00121A8F"/>
    <w:rsid w:val="00121C16"/>
    <w:rsid w:val="0012210F"/>
    <w:rsid w:val="00122128"/>
    <w:rsid w:val="00122185"/>
    <w:rsid w:val="0012241B"/>
    <w:rsid w:val="00122465"/>
    <w:rsid w:val="0012284D"/>
    <w:rsid w:val="00122DE0"/>
    <w:rsid w:val="00122DE5"/>
    <w:rsid w:val="00122F0C"/>
    <w:rsid w:val="00122F20"/>
    <w:rsid w:val="00123BD9"/>
    <w:rsid w:val="00123C0E"/>
    <w:rsid w:val="001240AA"/>
    <w:rsid w:val="00124371"/>
    <w:rsid w:val="001243E0"/>
    <w:rsid w:val="001244CC"/>
    <w:rsid w:val="00124A1A"/>
    <w:rsid w:val="0012502F"/>
    <w:rsid w:val="001252F7"/>
    <w:rsid w:val="0012545B"/>
    <w:rsid w:val="00125963"/>
    <w:rsid w:val="00125E77"/>
    <w:rsid w:val="00125FB7"/>
    <w:rsid w:val="001262AB"/>
    <w:rsid w:val="001264F6"/>
    <w:rsid w:val="0012660B"/>
    <w:rsid w:val="00126848"/>
    <w:rsid w:val="00126B09"/>
    <w:rsid w:val="00126D18"/>
    <w:rsid w:val="00126D4E"/>
    <w:rsid w:val="00126F06"/>
    <w:rsid w:val="00126FB9"/>
    <w:rsid w:val="00126FD4"/>
    <w:rsid w:val="00126FDF"/>
    <w:rsid w:val="0012749A"/>
    <w:rsid w:val="0012752A"/>
    <w:rsid w:val="001275EF"/>
    <w:rsid w:val="001278EE"/>
    <w:rsid w:val="00127926"/>
    <w:rsid w:val="00127962"/>
    <w:rsid w:val="0013002D"/>
    <w:rsid w:val="001300B1"/>
    <w:rsid w:val="001306FA"/>
    <w:rsid w:val="001307F6"/>
    <w:rsid w:val="0013085C"/>
    <w:rsid w:val="00130CCE"/>
    <w:rsid w:val="00130EAD"/>
    <w:rsid w:val="00131615"/>
    <w:rsid w:val="001320D8"/>
    <w:rsid w:val="0013216D"/>
    <w:rsid w:val="00132280"/>
    <w:rsid w:val="001331C0"/>
    <w:rsid w:val="00133B8A"/>
    <w:rsid w:val="00133EED"/>
    <w:rsid w:val="00133F46"/>
    <w:rsid w:val="001340D2"/>
    <w:rsid w:val="00134C90"/>
    <w:rsid w:val="00134E44"/>
    <w:rsid w:val="0013528C"/>
    <w:rsid w:val="001353D6"/>
    <w:rsid w:val="00135597"/>
    <w:rsid w:val="001355D8"/>
    <w:rsid w:val="00135925"/>
    <w:rsid w:val="00135E2E"/>
    <w:rsid w:val="00135E96"/>
    <w:rsid w:val="00135FB7"/>
    <w:rsid w:val="00136057"/>
    <w:rsid w:val="00136107"/>
    <w:rsid w:val="001363CE"/>
    <w:rsid w:val="001369F0"/>
    <w:rsid w:val="00136B8F"/>
    <w:rsid w:val="00136CBD"/>
    <w:rsid w:val="00136F1D"/>
    <w:rsid w:val="00136FA7"/>
    <w:rsid w:val="001370F7"/>
    <w:rsid w:val="00137265"/>
    <w:rsid w:val="00137381"/>
    <w:rsid w:val="00137ABA"/>
    <w:rsid w:val="00137D3B"/>
    <w:rsid w:val="00137E49"/>
    <w:rsid w:val="00137EA9"/>
    <w:rsid w:val="001403BB"/>
    <w:rsid w:val="00140BBF"/>
    <w:rsid w:val="00140E3D"/>
    <w:rsid w:val="00141011"/>
    <w:rsid w:val="00141076"/>
    <w:rsid w:val="001412BE"/>
    <w:rsid w:val="00141DC5"/>
    <w:rsid w:val="0014286F"/>
    <w:rsid w:val="00142C85"/>
    <w:rsid w:val="00142CDC"/>
    <w:rsid w:val="00142F52"/>
    <w:rsid w:val="00142F7B"/>
    <w:rsid w:val="0014340B"/>
    <w:rsid w:val="00143F08"/>
    <w:rsid w:val="001442B2"/>
    <w:rsid w:val="00144478"/>
    <w:rsid w:val="00144B7E"/>
    <w:rsid w:val="00144C70"/>
    <w:rsid w:val="00144D29"/>
    <w:rsid w:val="00144E2A"/>
    <w:rsid w:val="00144E43"/>
    <w:rsid w:val="00145185"/>
    <w:rsid w:val="001451EC"/>
    <w:rsid w:val="00145328"/>
    <w:rsid w:val="00145514"/>
    <w:rsid w:val="00145577"/>
    <w:rsid w:val="00145A01"/>
    <w:rsid w:val="00145EAC"/>
    <w:rsid w:val="00145EEC"/>
    <w:rsid w:val="00146121"/>
    <w:rsid w:val="001461F8"/>
    <w:rsid w:val="001464D3"/>
    <w:rsid w:val="001464F7"/>
    <w:rsid w:val="00146784"/>
    <w:rsid w:val="00146886"/>
    <w:rsid w:val="0014735F"/>
    <w:rsid w:val="0014768D"/>
    <w:rsid w:val="001476C1"/>
    <w:rsid w:val="00147733"/>
    <w:rsid w:val="00147DDB"/>
    <w:rsid w:val="00147ED4"/>
    <w:rsid w:val="0015006E"/>
    <w:rsid w:val="00150179"/>
    <w:rsid w:val="00150180"/>
    <w:rsid w:val="001507BD"/>
    <w:rsid w:val="00150A69"/>
    <w:rsid w:val="00150A8D"/>
    <w:rsid w:val="00150D89"/>
    <w:rsid w:val="00150DAF"/>
    <w:rsid w:val="001512F1"/>
    <w:rsid w:val="0015168B"/>
    <w:rsid w:val="00151D29"/>
    <w:rsid w:val="00151E15"/>
    <w:rsid w:val="00151FF2"/>
    <w:rsid w:val="001520F0"/>
    <w:rsid w:val="00152249"/>
    <w:rsid w:val="001525F3"/>
    <w:rsid w:val="0015291C"/>
    <w:rsid w:val="00152B2E"/>
    <w:rsid w:val="00152F4C"/>
    <w:rsid w:val="00153264"/>
    <w:rsid w:val="00153331"/>
    <w:rsid w:val="001537B0"/>
    <w:rsid w:val="00153B06"/>
    <w:rsid w:val="00153ED4"/>
    <w:rsid w:val="00154769"/>
    <w:rsid w:val="00154782"/>
    <w:rsid w:val="001549CF"/>
    <w:rsid w:val="00154CEA"/>
    <w:rsid w:val="00155466"/>
    <w:rsid w:val="001555EC"/>
    <w:rsid w:val="00155656"/>
    <w:rsid w:val="001559C2"/>
    <w:rsid w:val="00155C74"/>
    <w:rsid w:val="001560C9"/>
    <w:rsid w:val="0015630B"/>
    <w:rsid w:val="001564B7"/>
    <w:rsid w:val="00156619"/>
    <w:rsid w:val="00156DDA"/>
    <w:rsid w:val="00156E0F"/>
    <w:rsid w:val="00156FEC"/>
    <w:rsid w:val="00157EE0"/>
    <w:rsid w:val="00157F8B"/>
    <w:rsid w:val="001600B0"/>
    <w:rsid w:val="001603C9"/>
    <w:rsid w:val="00160BDD"/>
    <w:rsid w:val="00160BE4"/>
    <w:rsid w:val="00160DE1"/>
    <w:rsid w:val="00160FF9"/>
    <w:rsid w:val="001612F8"/>
    <w:rsid w:val="001614BA"/>
    <w:rsid w:val="001617AF"/>
    <w:rsid w:val="00161A83"/>
    <w:rsid w:val="00161F88"/>
    <w:rsid w:val="00162361"/>
    <w:rsid w:val="00162608"/>
    <w:rsid w:val="001628D5"/>
    <w:rsid w:val="00162F0D"/>
    <w:rsid w:val="00163B9E"/>
    <w:rsid w:val="00163E4D"/>
    <w:rsid w:val="00163EBB"/>
    <w:rsid w:val="001643C9"/>
    <w:rsid w:val="0016444E"/>
    <w:rsid w:val="00164558"/>
    <w:rsid w:val="0016470A"/>
    <w:rsid w:val="00165100"/>
    <w:rsid w:val="00165197"/>
    <w:rsid w:val="00165831"/>
    <w:rsid w:val="00165890"/>
    <w:rsid w:val="00165DD6"/>
    <w:rsid w:val="0016602D"/>
    <w:rsid w:val="001660D6"/>
    <w:rsid w:val="00166822"/>
    <w:rsid w:val="0016698B"/>
    <w:rsid w:val="001669B4"/>
    <w:rsid w:val="00166B12"/>
    <w:rsid w:val="00166CDD"/>
    <w:rsid w:val="00166DF1"/>
    <w:rsid w:val="00166F50"/>
    <w:rsid w:val="00166F62"/>
    <w:rsid w:val="00166FC3"/>
    <w:rsid w:val="0016755A"/>
    <w:rsid w:val="001679AE"/>
    <w:rsid w:val="0017023A"/>
    <w:rsid w:val="0017060E"/>
    <w:rsid w:val="00170C45"/>
    <w:rsid w:val="00170E60"/>
    <w:rsid w:val="0017119C"/>
    <w:rsid w:val="001716A6"/>
    <w:rsid w:val="00171774"/>
    <w:rsid w:val="001719AA"/>
    <w:rsid w:val="00171F17"/>
    <w:rsid w:val="0017210C"/>
    <w:rsid w:val="00172147"/>
    <w:rsid w:val="0017222A"/>
    <w:rsid w:val="001722AC"/>
    <w:rsid w:val="001724B1"/>
    <w:rsid w:val="001724EC"/>
    <w:rsid w:val="0017286E"/>
    <w:rsid w:val="001728CC"/>
    <w:rsid w:val="00172B19"/>
    <w:rsid w:val="00172D89"/>
    <w:rsid w:val="00173153"/>
    <w:rsid w:val="001732E3"/>
    <w:rsid w:val="00173302"/>
    <w:rsid w:val="001733A0"/>
    <w:rsid w:val="0017357A"/>
    <w:rsid w:val="00174200"/>
    <w:rsid w:val="0017470C"/>
    <w:rsid w:val="00174D46"/>
    <w:rsid w:val="00174DA4"/>
    <w:rsid w:val="0017532D"/>
    <w:rsid w:val="00175A47"/>
    <w:rsid w:val="00175CF2"/>
    <w:rsid w:val="00175D8C"/>
    <w:rsid w:val="00175F43"/>
    <w:rsid w:val="00176018"/>
    <w:rsid w:val="00176071"/>
    <w:rsid w:val="001762F8"/>
    <w:rsid w:val="0017689E"/>
    <w:rsid w:val="00176F57"/>
    <w:rsid w:val="00177103"/>
    <w:rsid w:val="00177493"/>
    <w:rsid w:val="0017764C"/>
    <w:rsid w:val="001777FF"/>
    <w:rsid w:val="00177954"/>
    <w:rsid w:val="00177A06"/>
    <w:rsid w:val="00177B18"/>
    <w:rsid w:val="00177F0C"/>
    <w:rsid w:val="0018003F"/>
    <w:rsid w:val="001802FC"/>
    <w:rsid w:val="0018068B"/>
    <w:rsid w:val="00181127"/>
    <w:rsid w:val="001818D5"/>
    <w:rsid w:val="001831DB"/>
    <w:rsid w:val="00183C96"/>
    <w:rsid w:val="001840CD"/>
    <w:rsid w:val="0018431B"/>
    <w:rsid w:val="00184519"/>
    <w:rsid w:val="001846F2"/>
    <w:rsid w:val="0018487A"/>
    <w:rsid w:val="00184E26"/>
    <w:rsid w:val="00184F06"/>
    <w:rsid w:val="00184FA6"/>
    <w:rsid w:val="00185401"/>
    <w:rsid w:val="001858A8"/>
    <w:rsid w:val="001858AE"/>
    <w:rsid w:val="001858DD"/>
    <w:rsid w:val="00185921"/>
    <w:rsid w:val="00185A6F"/>
    <w:rsid w:val="00185C2C"/>
    <w:rsid w:val="00185DB4"/>
    <w:rsid w:val="001862B0"/>
    <w:rsid w:val="001862F0"/>
    <w:rsid w:val="00186981"/>
    <w:rsid w:val="00186D1B"/>
    <w:rsid w:val="00186E81"/>
    <w:rsid w:val="00187674"/>
    <w:rsid w:val="00187A14"/>
    <w:rsid w:val="00187D88"/>
    <w:rsid w:val="00187FD7"/>
    <w:rsid w:val="00190312"/>
    <w:rsid w:val="00190679"/>
    <w:rsid w:val="00190B5F"/>
    <w:rsid w:val="00190E87"/>
    <w:rsid w:val="001918BE"/>
    <w:rsid w:val="00191DE7"/>
    <w:rsid w:val="00191DF9"/>
    <w:rsid w:val="001921A2"/>
    <w:rsid w:val="001927DE"/>
    <w:rsid w:val="00192BC4"/>
    <w:rsid w:val="00192C26"/>
    <w:rsid w:val="00192D43"/>
    <w:rsid w:val="00192EBA"/>
    <w:rsid w:val="001934C5"/>
    <w:rsid w:val="001938EB"/>
    <w:rsid w:val="0019393B"/>
    <w:rsid w:val="00193B0A"/>
    <w:rsid w:val="00193BC9"/>
    <w:rsid w:val="00193F5D"/>
    <w:rsid w:val="0019419B"/>
    <w:rsid w:val="001942F1"/>
    <w:rsid w:val="00194375"/>
    <w:rsid w:val="0019442D"/>
    <w:rsid w:val="00194992"/>
    <w:rsid w:val="001949A9"/>
    <w:rsid w:val="00194DAF"/>
    <w:rsid w:val="001954E0"/>
    <w:rsid w:val="00195712"/>
    <w:rsid w:val="001957AF"/>
    <w:rsid w:val="00195C2F"/>
    <w:rsid w:val="00195D72"/>
    <w:rsid w:val="00196633"/>
    <w:rsid w:val="00196B84"/>
    <w:rsid w:val="00196E42"/>
    <w:rsid w:val="00196FFC"/>
    <w:rsid w:val="0019729F"/>
    <w:rsid w:val="0019750D"/>
    <w:rsid w:val="00197A97"/>
    <w:rsid w:val="00197AD0"/>
    <w:rsid w:val="00197C3A"/>
    <w:rsid w:val="00197E6B"/>
    <w:rsid w:val="00197F06"/>
    <w:rsid w:val="00197F2D"/>
    <w:rsid w:val="001A05E4"/>
    <w:rsid w:val="001A07CB"/>
    <w:rsid w:val="001A0DE8"/>
    <w:rsid w:val="001A1704"/>
    <w:rsid w:val="001A170A"/>
    <w:rsid w:val="001A17FF"/>
    <w:rsid w:val="001A1C69"/>
    <w:rsid w:val="001A203F"/>
    <w:rsid w:val="001A26B7"/>
    <w:rsid w:val="001A2A03"/>
    <w:rsid w:val="001A2A85"/>
    <w:rsid w:val="001A3188"/>
    <w:rsid w:val="001A3890"/>
    <w:rsid w:val="001A38EE"/>
    <w:rsid w:val="001A38FB"/>
    <w:rsid w:val="001A3A3E"/>
    <w:rsid w:val="001A3B95"/>
    <w:rsid w:val="001A3CC6"/>
    <w:rsid w:val="001A3E04"/>
    <w:rsid w:val="001A3FBE"/>
    <w:rsid w:val="001A4210"/>
    <w:rsid w:val="001A4A66"/>
    <w:rsid w:val="001A4DEA"/>
    <w:rsid w:val="001A4E9B"/>
    <w:rsid w:val="001A4FA5"/>
    <w:rsid w:val="001A56F5"/>
    <w:rsid w:val="001A5E96"/>
    <w:rsid w:val="001A6450"/>
    <w:rsid w:val="001A6631"/>
    <w:rsid w:val="001A6D54"/>
    <w:rsid w:val="001A7388"/>
    <w:rsid w:val="001A7789"/>
    <w:rsid w:val="001A7A0B"/>
    <w:rsid w:val="001A7B8D"/>
    <w:rsid w:val="001A7F9D"/>
    <w:rsid w:val="001B05E1"/>
    <w:rsid w:val="001B060E"/>
    <w:rsid w:val="001B0FB4"/>
    <w:rsid w:val="001B110E"/>
    <w:rsid w:val="001B13CE"/>
    <w:rsid w:val="001B14A4"/>
    <w:rsid w:val="001B15DD"/>
    <w:rsid w:val="001B1FE3"/>
    <w:rsid w:val="001B218D"/>
    <w:rsid w:val="001B2194"/>
    <w:rsid w:val="001B21B7"/>
    <w:rsid w:val="001B227E"/>
    <w:rsid w:val="001B23D3"/>
    <w:rsid w:val="001B25F8"/>
    <w:rsid w:val="001B26C1"/>
    <w:rsid w:val="001B26EB"/>
    <w:rsid w:val="001B2C57"/>
    <w:rsid w:val="001B2CD9"/>
    <w:rsid w:val="001B3DFD"/>
    <w:rsid w:val="001B3EA3"/>
    <w:rsid w:val="001B3FB2"/>
    <w:rsid w:val="001B45F2"/>
    <w:rsid w:val="001B481F"/>
    <w:rsid w:val="001B4A92"/>
    <w:rsid w:val="001B52B7"/>
    <w:rsid w:val="001B5621"/>
    <w:rsid w:val="001B565C"/>
    <w:rsid w:val="001B58AF"/>
    <w:rsid w:val="001B606D"/>
    <w:rsid w:val="001B654D"/>
    <w:rsid w:val="001B66A3"/>
    <w:rsid w:val="001B6741"/>
    <w:rsid w:val="001B6866"/>
    <w:rsid w:val="001B6BBE"/>
    <w:rsid w:val="001B6D3A"/>
    <w:rsid w:val="001B6F5C"/>
    <w:rsid w:val="001B711E"/>
    <w:rsid w:val="001B73A5"/>
    <w:rsid w:val="001B7491"/>
    <w:rsid w:val="001B7899"/>
    <w:rsid w:val="001B7B5C"/>
    <w:rsid w:val="001B7FE3"/>
    <w:rsid w:val="001C00C2"/>
    <w:rsid w:val="001C0829"/>
    <w:rsid w:val="001C09C0"/>
    <w:rsid w:val="001C0AA8"/>
    <w:rsid w:val="001C0BD5"/>
    <w:rsid w:val="001C1068"/>
    <w:rsid w:val="001C156F"/>
    <w:rsid w:val="001C19DA"/>
    <w:rsid w:val="001C1ED9"/>
    <w:rsid w:val="001C1FF7"/>
    <w:rsid w:val="001C240E"/>
    <w:rsid w:val="001C2565"/>
    <w:rsid w:val="001C27B2"/>
    <w:rsid w:val="001C2C96"/>
    <w:rsid w:val="001C2D49"/>
    <w:rsid w:val="001C2E32"/>
    <w:rsid w:val="001C36D0"/>
    <w:rsid w:val="001C3D11"/>
    <w:rsid w:val="001C3D53"/>
    <w:rsid w:val="001C4380"/>
    <w:rsid w:val="001C4430"/>
    <w:rsid w:val="001C468C"/>
    <w:rsid w:val="001C4F7D"/>
    <w:rsid w:val="001C518B"/>
    <w:rsid w:val="001C5502"/>
    <w:rsid w:val="001C55E5"/>
    <w:rsid w:val="001C5CF6"/>
    <w:rsid w:val="001C5D1D"/>
    <w:rsid w:val="001C6136"/>
    <w:rsid w:val="001C6486"/>
    <w:rsid w:val="001C69FC"/>
    <w:rsid w:val="001C6C0B"/>
    <w:rsid w:val="001C6E1E"/>
    <w:rsid w:val="001C6E26"/>
    <w:rsid w:val="001C7427"/>
    <w:rsid w:val="001C74DA"/>
    <w:rsid w:val="001C774B"/>
    <w:rsid w:val="001C77B0"/>
    <w:rsid w:val="001C7A1B"/>
    <w:rsid w:val="001C7B19"/>
    <w:rsid w:val="001C7CC2"/>
    <w:rsid w:val="001C7D3E"/>
    <w:rsid w:val="001D028D"/>
    <w:rsid w:val="001D02C3"/>
    <w:rsid w:val="001D03ED"/>
    <w:rsid w:val="001D0416"/>
    <w:rsid w:val="001D07DA"/>
    <w:rsid w:val="001D0AE4"/>
    <w:rsid w:val="001D0F91"/>
    <w:rsid w:val="001D14DC"/>
    <w:rsid w:val="001D1559"/>
    <w:rsid w:val="001D1872"/>
    <w:rsid w:val="001D18CE"/>
    <w:rsid w:val="001D1B0E"/>
    <w:rsid w:val="001D1B32"/>
    <w:rsid w:val="001D1C5D"/>
    <w:rsid w:val="001D1F67"/>
    <w:rsid w:val="001D24A6"/>
    <w:rsid w:val="001D2972"/>
    <w:rsid w:val="001D29D3"/>
    <w:rsid w:val="001D2D27"/>
    <w:rsid w:val="001D2E19"/>
    <w:rsid w:val="001D3852"/>
    <w:rsid w:val="001D4273"/>
    <w:rsid w:val="001D435F"/>
    <w:rsid w:val="001D467C"/>
    <w:rsid w:val="001D4713"/>
    <w:rsid w:val="001D471F"/>
    <w:rsid w:val="001D4AE2"/>
    <w:rsid w:val="001D4EC2"/>
    <w:rsid w:val="001D5243"/>
    <w:rsid w:val="001D55E2"/>
    <w:rsid w:val="001D5809"/>
    <w:rsid w:val="001D5E79"/>
    <w:rsid w:val="001D60E4"/>
    <w:rsid w:val="001D6211"/>
    <w:rsid w:val="001D6572"/>
    <w:rsid w:val="001D6638"/>
    <w:rsid w:val="001D771A"/>
    <w:rsid w:val="001D775C"/>
    <w:rsid w:val="001D78A4"/>
    <w:rsid w:val="001D7BBB"/>
    <w:rsid w:val="001E02EB"/>
    <w:rsid w:val="001E0547"/>
    <w:rsid w:val="001E05A2"/>
    <w:rsid w:val="001E0833"/>
    <w:rsid w:val="001E083E"/>
    <w:rsid w:val="001E088E"/>
    <w:rsid w:val="001E09A6"/>
    <w:rsid w:val="001E0B16"/>
    <w:rsid w:val="001E0F09"/>
    <w:rsid w:val="001E13B8"/>
    <w:rsid w:val="001E1789"/>
    <w:rsid w:val="001E1990"/>
    <w:rsid w:val="001E2056"/>
    <w:rsid w:val="001E27F4"/>
    <w:rsid w:val="001E299F"/>
    <w:rsid w:val="001E2A08"/>
    <w:rsid w:val="001E2D72"/>
    <w:rsid w:val="001E2F63"/>
    <w:rsid w:val="001E2FC4"/>
    <w:rsid w:val="001E32E2"/>
    <w:rsid w:val="001E3FEC"/>
    <w:rsid w:val="001E408C"/>
    <w:rsid w:val="001E409A"/>
    <w:rsid w:val="001E4100"/>
    <w:rsid w:val="001E41D6"/>
    <w:rsid w:val="001E42AA"/>
    <w:rsid w:val="001E4611"/>
    <w:rsid w:val="001E48A7"/>
    <w:rsid w:val="001E4FBB"/>
    <w:rsid w:val="001E50C1"/>
    <w:rsid w:val="001E5163"/>
    <w:rsid w:val="001E5552"/>
    <w:rsid w:val="001E5693"/>
    <w:rsid w:val="001E5A1A"/>
    <w:rsid w:val="001E5DDB"/>
    <w:rsid w:val="001E5FF9"/>
    <w:rsid w:val="001E623F"/>
    <w:rsid w:val="001E6535"/>
    <w:rsid w:val="001E66B6"/>
    <w:rsid w:val="001E66BC"/>
    <w:rsid w:val="001E6E61"/>
    <w:rsid w:val="001E7D4B"/>
    <w:rsid w:val="001E7F99"/>
    <w:rsid w:val="001F006E"/>
    <w:rsid w:val="001F0646"/>
    <w:rsid w:val="001F0967"/>
    <w:rsid w:val="001F0BA1"/>
    <w:rsid w:val="001F0BE0"/>
    <w:rsid w:val="001F0C85"/>
    <w:rsid w:val="001F0DB7"/>
    <w:rsid w:val="001F0F90"/>
    <w:rsid w:val="001F103A"/>
    <w:rsid w:val="001F1761"/>
    <w:rsid w:val="001F1C08"/>
    <w:rsid w:val="001F1CD2"/>
    <w:rsid w:val="001F24E8"/>
    <w:rsid w:val="001F282A"/>
    <w:rsid w:val="001F29CD"/>
    <w:rsid w:val="001F2DEE"/>
    <w:rsid w:val="001F2E19"/>
    <w:rsid w:val="001F2ED9"/>
    <w:rsid w:val="001F3215"/>
    <w:rsid w:val="001F326B"/>
    <w:rsid w:val="001F36C8"/>
    <w:rsid w:val="001F38C5"/>
    <w:rsid w:val="001F3905"/>
    <w:rsid w:val="001F3B1F"/>
    <w:rsid w:val="001F4807"/>
    <w:rsid w:val="001F4938"/>
    <w:rsid w:val="001F4A69"/>
    <w:rsid w:val="001F503B"/>
    <w:rsid w:val="001F536C"/>
    <w:rsid w:val="001F58C1"/>
    <w:rsid w:val="001F58F4"/>
    <w:rsid w:val="001F592F"/>
    <w:rsid w:val="001F5E02"/>
    <w:rsid w:val="001F6232"/>
    <w:rsid w:val="001F6731"/>
    <w:rsid w:val="001F6909"/>
    <w:rsid w:val="001F6C81"/>
    <w:rsid w:val="001F7A03"/>
    <w:rsid w:val="001F7B8A"/>
    <w:rsid w:val="001F7EDA"/>
    <w:rsid w:val="0020009F"/>
    <w:rsid w:val="002001EC"/>
    <w:rsid w:val="002002BF"/>
    <w:rsid w:val="00200340"/>
    <w:rsid w:val="002005DA"/>
    <w:rsid w:val="002007C3"/>
    <w:rsid w:val="00200A84"/>
    <w:rsid w:val="00200D1E"/>
    <w:rsid w:val="00201161"/>
    <w:rsid w:val="00201C19"/>
    <w:rsid w:val="00201D84"/>
    <w:rsid w:val="00202694"/>
    <w:rsid w:val="002026C6"/>
    <w:rsid w:val="002027F2"/>
    <w:rsid w:val="00202869"/>
    <w:rsid w:val="00203056"/>
    <w:rsid w:val="002033F6"/>
    <w:rsid w:val="0020358C"/>
    <w:rsid w:val="0020360B"/>
    <w:rsid w:val="0020382E"/>
    <w:rsid w:val="00203978"/>
    <w:rsid w:val="00203F18"/>
    <w:rsid w:val="00204074"/>
    <w:rsid w:val="00204505"/>
    <w:rsid w:val="00204918"/>
    <w:rsid w:val="002049CC"/>
    <w:rsid w:val="00204B63"/>
    <w:rsid w:val="00204BE3"/>
    <w:rsid w:val="00204EDC"/>
    <w:rsid w:val="00204FF5"/>
    <w:rsid w:val="00205781"/>
    <w:rsid w:val="00205CD9"/>
    <w:rsid w:val="002061AE"/>
    <w:rsid w:val="00206238"/>
    <w:rsid w:val="0020635C"/>
    <w:rsid w:val="00206536"/>
    <w:rsid w:val="00206A5E"/>
    <w:rsid w:val="0020719E"/>
    <w:rsid w:val="00207686"/>
    <w:rsid w:val="00207797"/>
    <w:rsid w:val="0020794C"/>
    <w:rsid w:val="00207C49"/>
    <w:rsid w:val="00207E14"/>
    <w:rsid w:val="002103A0"/>
    <w:rsid w:val="00210E49"/>
    <w:rsid w:val="00210EE6"/>
    <w:rsid w:val="00210F5F"/>
    <w:rsid w:val="00211317"/>
    <w:rsid w:val="002116CC"/>
    <w:rsid w:val="00211856"/>
    <w:rsid w:val="002118F2"/>
    <w:rsid w:val="00211C70"/>
    <w:rsid w:val="00211F98"/>
    <w:rsid w:val="00212165"/>
    <w:rsid w:val="002122AD"/>
    <w:rsid w:val="00212665"/>
    <w:rsid w:val="002126DA"/>
    <w:rsid w:val="00212866"/>
    <w:rsid w:val="002132B8"/>
    <w:rsid w:val="00213732"/>
    <w:rsid w:val="002139EB"/>
    <w:rsid w:val="00213EC4"/>
    <w:rsid w:val="00213F82"/>
    <w:rsid w:val="00214025"/>
    <w:rsid w:val="00214C66"/>
    <w:rsid w:val="00214C8F"/>
    <w:rsid w:val="002157E3"/>
    <w:rsid w:val="00215807"/>
    <w:rsid w:val="00215AF0"/>
    <w:rsid w:val="00215D86"/>
    <w:rsid w:val="00216220"/>
    <w:rsid w:val="002164F6"/>
    <w:rsid w:val="0021698A"/>
    <w:rsid w:val="002169D5"/>
    <w:rsid w:val="00216A60"/>
    <w:rsid w:val="00216AB2"/>
    <w:rsid w:val="00216B45"/>
    <w:rsid w:val="00217226"/>
    <w:rsid w:val="0021742B"/>
    <w:rsid w:val="00217506"/>
    <w:rsid w:val="0021793F"/>
    <w:rsid w:val="00217BE1"/>
    <w:rsid w:val="002204DC"/>
    <w:rsid w:val="00220810"/>
    <w:rsid w:val="00220B85"/>
    <w:rsid w:val="00220C18"/>
    <w:rsid w:val="00220C44"/>
    <w:rsid w:val="00220E37"/>
    <w:rsid w:val="00220EB6"/>
    <w:rsid w:val="00220FCE"/>
    <w:rsid w:val="00221082"/>
    <w:rsid w:val="002215D5"/>
    <w:rsid w:val="0022172C"/>
    <w:rsid w:val="00221A2B"/>
    <w:rsid w:val="00221F71"/>
    <w:rsid w:val="00221FB9"/>
    <w:rsid w:val="0022227E"/>
    <w:rsid w:val="002223D3"/>
    <w:rsid w:val="002223E6"/>
    <w:rsid w:val="002229D8"/>
    <w:rsid w:val="00223C1E"/>
    <w:rsid w:val="00224054"/>
    <w:rsid w:val="0022447D"/>
    <w:rsid w:val="0022491E"/>
    <w:rsid w:val="00224A26"/>
    <w:rsid w:val="00224C32"/>
    <w:rsid w:val="00224EEB"/>
    <w:rsid w:val="002250B1"/>
    <w:rsid w:val="00225833"/>
    <w:rsid w:val="002259F8"/>
    <w:rsid w:val="00225A6F"/>
    <w:rsid w:val="00225B16"/>
    <w:rsid w:val="002263A8"/>
    <w:rsid w:val="002266D0"/>
    <w:rsid w:val="0022746D"/>
    <w:rsid w:val="002275B2"/>
    <w:rsid w:val="00227618"/>
    <w:rsid w:val="0022769B"/>
    <w:rsid w:val="0022776A"/>
    <w:rsid w:val="00227882"/>
    <w:rsid w:val="00227944"/>
    <w:rsid w:val="00227951"/>
    <w:rsid w:val="00227A18"/>
    <w:rsid w:val="00227B1E"/>
    <w:rsid w:val="00227F8C"/>
    <w:rsid w:val="00230145"/>
    <w:rsid w:val="002312B3"/>
    <w:rsid w:val="00231754"/>
    <w:rsid w:val="00231BFF"/>
    <w:rsid w:val="00232C22"/>
    <w:rsid w:val="002331E8"/>
    <w:rsid w:val="00233E33"/>
    <w:rsid w:val="00233E47"/>
    <w:rsid w:val="00234080"/>
    <w:rsid w:val="00234187"/>
    <w:rsid w:val="002342D3"/>
    <w:rsid w:val="00234566"/>
    <w:rsid w:val="00234D58"/>
    <w:rsid w:val="00234F01"/>
    <w:rsid w:val="0023535A"/>
    <w:rsid w:val="0023553B"/>
    <w:rsid w:val="002355B7"/>
    <w:rsid w:val="00235654"/>
    <w:rsid w:val="00235812"/>
    <w:rsid w:val="00235D0A"/>
    <w:rsid w:val="00235EB6"/>
    <w:rsid w:val="0023601B"/>
    <w:rsid w:val="00236159"/>
    <w:rsid w:val="00236283"/>
    <w:rsid w:val="00236DE2"/>
    <w:rsid w:val="00237038"/>
    <w:rsid w:val="002371BC"/>
    <w:rsid w:val="00237325"/>
    <w:rsid w:val="0023744B"/>
    <w:rsid w:val="0023745C"/>
    <w:rsid w:val="0023788D"/>
    <w:rsid w:val="00237C47"/>
    <w:rsid w:val="00237CCA"/>
    <w:rsid w:val="00237EE3"/>
    <w:rsid w:val="002400EB"/>
    <w:rsid w:val="002403DC"/>
    <w:rsid w:val="00240788"/>
    <w:rsid w:val="002407F5"/>
    <w:rsid w:val="00240FF2"/>
    <w:rsid w:val="00241122"/>
    <w:rsid w:val="00242031"/>
    <w:rsid w:val="002421BC"/>
    <w:rsid w:val="0024245A"/>
    <w:rsid w:val="00242721"/>
    <w:rsid w:val="00242F08"/>
    <w:rsid w:val="00243151"/>
    <w:rsid w:val="00243342"/>
    <w:rsid w:val="00243DDB"/>
    <w:rsid w:val="00243EBA"/>
    <w:rsid w:val="002448D9"/>
    <w:rsid w:val="00244D44"/>
    <w:rsid w:val="00244E78"/>
    <w:rsid w:val="00244ECD"/>
    <w:rsid w:val="002459D8"/>
    <w:rsid w:val="00245A01"/>
    <w:rsid w:val="00245AD6"/>
    <w:rsid w:val="00245C24"/>
    <w:rsid w:val="00245E4C"/>
    <w:rsid w:val="002460AF"/>
    <w:rsid w:val="002471F7"/>
    <w:rsid w:val="0024759A"/>
    <w:rsid w:val="00247669"/>
    <w:rsid w:val="00247981"/>
    <w:rsid w:val="00247A14"/>
    <w:rsid w:val="00247F7E"/>
    <w:rsid w:val="00250422"/>
    <w:rsid w:val="002508A8"/>
    <w:rsid w:val="002508FA"/>
    <w:rsid w:val="00250C7C"/>
    <w:rsid w:val="002515A6"/>
    <w:rsid w:val="00251647"/>
    <w:rsid w:val="00251670"/>
    <w:rsid w:val="00251AEF"/>
    <w:rsid w:val="00251C64"/>
    <w:rsid w:val="00251D60"/>
    <w:rsid w:val="00251DEA"/>
    <w:rsid w:val="002528F3"/>
    <w:rsid w:val="002529CB"/>
    <w:rsid w:val="00252BF8"/>
    <w:rsid w:val="0025322E"/>
    <w:rsid w:val="002537F6"/>
    <w:rsid w:val="00253B6D"/>
    <w:rsid w:val="0025421A"/>
    <w:rsid w:val="002542B0"/>
    <w:rsid w:val="00254902"/>
    <w:rsid w:val="00254AC6"/>
    <w:rsid w:val="00254CCD"/>
    <w:rsid w:val="00254D0D"/>
    <w:rsid w:val="00254DA7"/>
    <w:rsid w:val="00254E5E"/>
    <w:rsid w:val="002556BF"/>
    <w:rsid w:val="00255986"/>
    <w:rsid w:val="00255C38"/>
    <w:rsid w:val="002569F8"/>
    <w:rsid w:val="00256A6B"/>
    <w:rsid w:val="00256D60"/>
    <w:rsid w:val="00257719"/>
    <w:rsid w:val="00257BBC"/>
    <w:rsid w:val="00257F64"/>
    <w:rsid w:val="00260AB0"/>
    <w:rsid w:val="00260DF1"/>
    <w:rsid w:val="00260E3A"/>
    <w:rsid w:val="00260E47"/>
    <w:rsid w:val="002610ED"/>
    <w:rsid w:val="00261464"/>
    <w:rsid w:val="00261B21"/>
    <w:rsid w:val="00261CCA"/>
    <w:rsid w:val="00261E37"/>
    <w:rsid w:val="0026211B"/>
    <w:rsid w:val="00262175"/>
    <w:rsid w:val="002625FD"/>
    <w:rsid w:val="00262A74"/>
    <w:rsid w:val="00263938"/>
    <w:rsid w:val="00263A86"/>
    <w:rsid w:val="00263CDE"/>
    <w:rsid w:val="00264079"/>
    <w:rsid w:val="002641D7"/>
    <w:rsid w:val="002643BB"/>
    <w:rsid w:val="00265372"/>
    <w:rsid w:val="002654B6"/>
    <w:rsid w:val="002655DA"/>
    <w:rsid w:val="002656E9"/>
    <w:rsid w:val="00265CB4"/>
    <w:rsid w:val="00265EAD"/>
    <w:rsid w:val="00266334"/>
    <w:rsid w:val="002667BB"/>
    <w:rsid w:val="0026683C"/>
    <w:rsid w:val="00266ACF"/>
    <w:rsid w:val="00266EA4"/>
    <w:rsid w:val="00266FB6"/>
    <w:rsid w:val="0026732A"/>
    <w:rsid w:val="00267A5B"/>
    <w:rsid w:val="00267CB2"/>
    <w:rsid w:val="00267F39"/>
    <w:rsid w:val="00270051"/>
    <w:rsid w:val="002705DB"/>
    <w:rsid w:val="00271CAD"/>
    <w:rsid w:val="00271CD6"/>
    <w:rsid w:val="00271D62"/>
    <w:rsid w:val="00271FE2"/>
    <w:rsid w:val="0027200C"/>
    <w:rsid w:val="00272502"/>
    <w:rsid w:val="002725D9"/>
    <w:rsid w:val="002725E1"/>
    <w:rsid w:val="00272977"/>
    <w:rsid w:val="00272AD1"/>
    <w:rsid w:val="00272DF4"/>
    <w:rsid w:val="002733A8"/>
    <w:rsid w:val="002743BF"/>
    <w:rsid w:val="00274593"/>
    <w:rsid w:val="002749BC"/>
    <w:rsid w:val="002752C2"/>
    <w:rsid w:val="002752E2"/>
    <w:rsid w:val="00275618"/>
    <w:rsid w:val="002758B1"/>
    <w:rsid w:val="00275D20"/>
    <w:rsid w:val="002760BA"/>
    <w:rsid w:val="0027623B"/>
    <w:rsid w:val="00276437"/>
    <w:rsid w:val="00276855"/>
    <w:rsid w:val="002768E0"/>
    <w:rsid w:val="0027724A"/>
    <w:rsid w:val="00277252"/>
    <w:rsid w:val="0027728B"/>
    <w:rsid w:val="00277A66"/>
    <w:rsid w:val="002803A6"/>
    <w:rsid w:val="00280439"/>
    <w:rsid w:val="002808B9"/>
    <w:rsid w:val="00280957"/>
    <w:rsid w:val="00280E81"/>
    <w:rsid w:val="0028111B"/>
    <w:rsid w:val="0028127A"/>
    <w:rsid w:val="0028141A"/>
    <w:rsid w:val="0028147F"/>
    <w:rsid w:val="00281886"/>
    <w:rsid w:val="00281CCB"/>
    <w:rsid w:val="0028203C"/>
    <w:rsid w:val="00283095"/>
    <w:rsid w:val="00283615"/>
    <w:rsid w:val="002836F6"/>
    <w:rsid w:val="00283844"/>
    <w:rsid w:val="00284539"/>
    <w:rsid w:val="00284A72"/>
    <w:rsid w:val="00284AF8"/>
    <w:rsid w:val="00285942"/>
    <w:rsid w:val="00285BA5"/>
    <w:rsid w:val="00285EC4"/>
    <w:rsid w:val="00285EEE"/>
    <w:rsid w:val="0028622E"/>
    <w:rsid w:val="00286274"/>
    <w:rsid w:val="00286277"/>
    <w:rsid w:val="002864B5"/>
    <w:rsid w:val="0028699A"/>
    <w:rsid w:val="0028722B"/>
    <w:rsid w:val="00287420"/>
    <w:rsid w:val="00287E4B"/>
    <w:rsid w:val="00290004"/>
    <w:rsid w:val="00290066"/>
    <w:rsid w:val="00290677"/>
    <w:rsid w:val="00290A6A"/>
    <w:rsid w:val="00290CD7"/>
    <w:rsid w:val="00290E48"/>
    <w:rsid w:val="002917F3"/>
    <w:rsid w:val="00291B95"/>
    <w:rsid w:val="00292376"/>
    <w:rsid w:val="0029248A"/>
    <w:rsid w:val="00292751"/>
    <w:rsid w:val="00292817"/>
    <w:rsid w:val="00292AF1"/>
    <w:rsid w:val="00292F42"/>
    <w:rsid w:val="0029311E"/>
    <w:rsid w:val="00293152"/>
    <w:rsid w:val="002934D3"/>
    <w:rsid w:val="0029351E"/>
    <w:rsid w:val="002938F7"/>
    <w:rsid w:val="00293B38"/>
    <w:rsid w:val="00293D6C"/>
    <w:rsid w:val="00293E06"/>
    <w:rsid w:val="002943F7"/>
    <w:rsid w:val="0029472C"/>
    <w:rsid w:val="002947BA"/>
    <w:rsid w:val="00294955"/>
    <w:rsid w:val="00294BD8"/>
    <w:rsid w:val="00294C4A"/>
    <w:rsid w:val="00294DFA"/>
    <w:rsid w:val="002955A1"/>
    <w:rsid w:val="00295727"/>
    <w:rsid w:val="00296432"/>
    <w:rsid w:val="00296EA0"/>
    <w:rsid w:val="00297720"/>
    <w:rsid w:val="0029792F"/>
    <w:rsid w:val="00297B55"/>
    <w:rsid w:val="00297E9A"/>
    <w:rsid w:val="00297F61"/>
    <w:rsid w:val="002A0025"/>
    <w:rsid w:val="002A00DC"/>
    <w:rsid w:val="002A0767"/>
    <w:rsid w:val="002A0D5D"/>
    <w:rsid w:val="002A0F3B"/>
    <w:rsid w:val="002A10B1"/>
    <w:rsid w:val="002A12B5"/>
    <w:rsid w:val="002A15B2"/>
    <w:rsid w:val="002A1724"/>
    <w:rsid w:val="002A1C19"/>
    <w:rsid w:val="002A1DDA"/>
    <w:rsid w:val="002A1F13"/>
    <w:rsid w:val="002A1F72"/>
    <w:rsid w:val="002A22DB"/>
    <w:rsid w:val="002A2A56"/>
    <w:rsid w:val="002A2C33"/>
    <w:rsid w:val="002A2C9B"/>
    <w:rsid w:val="002A377F"/>
    <w:rsid w:val="002A3BC7"/>
    <w:rsid w:val="002A40B8"/>
    <w:rsid w:val="002A4201"/>
    <w:rsid w:val="002A4264"/>
    <w:rsid w:val="002A474A"/>
    <w:rsid w:val="002A49E2"/>
    <w:rsid w:val="002A4A27"/>
    <w:rsid w:val="002A532E"/>
    <w:rsid w:val="002A5762"/>
    <w:rsid w:val="002A5A12"/>
    <w:rsid w:val="002A5F5A"/>
    <w:rsid w:val="002A6084"/>
    <w:rsid w:val="002A61D1"/>
    <w:rsid w:val="002A62DE"/>
    <w:rsid w:val="002A67C9"/>
    <w:rsid w:val="002A67F9"/>
    <w:rsid w:val="002A6931"/>
    <w:rsid w:val="002A70C1"/>
    <w:rsid w:val="002A7411"/>
    <w:rsid w:val="002A7626"/>
    <w:rsid w:val="002B0155"/>
    <w:rsid w:val="002B0526"/>
    <w:rsid w:val="002B07F5"/>
    <w:rsid w:val="002B0813"/>
    <w:rsid w:val="002B10BA"/>
    <w:rsid w:val="002B15DB"/>
    <w:rsid w:val="002B177F"/>
    <w:rsid w:val="002B1BA0"/>
    <w:rsid w:val="002B1E3E"/>
    <w:rsid w:val="002B2045"/>
    <w:rsid w:val="002B2F39"/>
    <w:rsid w:val="002B2F47"/>
    <w:rsid w:val="002B3954"/>
    <w:rsid w:val="002B46F4"/>
    <w:rsid w:val="002B4917"/>
    <w:rsid w:val="002B4B75"/>
    <w:rsid w:val="002B5269"/>
    <w:rsid w:val="002B5931"/>
    <w:rsid w:val="002B5B16"/>
    <w:rsid w:val="002B5BE3"/>
    <w:rsid w:val="002B5D8E"/>
    <w:rsid w:val="002B5E40"/>
    <w:rsid w:val="002B63B7"/>
    <w:rsid w:val="002B6B83"/>
    <w:rsid w:val="002B6D1A"/>
    <w:rsid w:val="002B6E6B"/>
    <w:rsid w:val="002B6F20"/>
    <w:rsid w:val="002B702D"/>
    <w:rsid w:val="002B70D4"/>
    <w:rsid w:val="002B70DB"/>
    <w:rsid w:val="002B7243"/>
    <w:rsid w:val="002B725C"/>
    <w:rsid w:val="002B736C"/>
    <w:rsid w:val="002B7427"/>
    <w:rsid w:val="002B7666"/>
    <w:rsid w:val="002B7CCC"/>
    <w:rsid w:val="002C0BB7"/>
    <w:rsid w:val="002C0E21"/>
    <w:rsid w:val="002C15A1"/>
    <w:rsid w:val="002C15A3"/>
    <w:rsid w:val="002C16A0"/>
    <w:rsid w:val="002C1CAA"/>
    <w:rsid w:val="002C1FFC"/>
    <w:rsid w:val="002C2461"/>
    <w:rsid w:val="002C2DF8"/>
    <w:rsid w:val="002C33B5"/>
    <w:rsid w:val="002C3447"/>
    <w:rsid w:val="002C39DE"/>
    <w:rsid w:val="002C4237"/>
    <w:rsid w:val="002C4278"/>
    <w:rsid w:val="002C43F4"/>
    <w:rsid w:val="002C47EC"/>
    <w:rsid w:val="002C4BAD"/>
    <w:rsid w:val="002C4CD6"/>
    <w:rsid w:val="002C4F32"/>
    <w:rsid w:val="002C5501"/>
    <w:rsid w:val="002C5601"/>
    <w:rsid w:val="002C5637"/>
    <w:rsid w:val="002C5CE3"/>
    <w:rsid w:val="002C677A"/>
    <w:rsid w:val="002C6895"/>
    <w:rsid w:val="002C6956"/>
    <w:rsid w:val="002C70E8"/>
    <w:rsid w:val="002C7102"/>
    <w:rsid w:val="002C719E"/>
    <w:rsid w:val="002C79CF"/>
    <w:rsid w:val="002C7B93"/>
    <w:rsid w:val="002C7FBF"/>
    <w:rsid w:val="002D0436"/>
    <w:rsid w:val="002D067F"/>
    <w:rsid w:val="002D07F8"/>
    <w:rsid w:val="002D0DD4"/>
    <w:rsid w:val="002D0FB8"/>
    <w:rsid w:val="002D11AC"/>
    <w:rsid w:val="002D1700"/>
    <w:rsid w:val="002D1A8C"/>
    <w:rsid w:val="002D1AB5"/>
    <w:rsid w:val="002D2206"/>
    <w:rsid w:val="002D2325"/>
    <w:rsid w:val="002D2EDC"/>
    <w:rsid w:val="002D31CF"/>
    <w:rsid w:val="002D39BC"/>
    <w:rsid w:val="002D3E87"/>
    <w:rsid w:val="002D404F"/>
    <w:rsid w:val="002D420A"/>
    <w:rsid w:val="002D453C"/>
    <w:rsid w:val="002D4700"/>
    <w:rsid w:val="002D4DC0"/>
    <w:rsid w:val="002D5483"/>
    <w:rsid w:val="002D54CE"/>
    <w:rsid w:val="002D54D4"/>
    <w:rsid w:val="002D5929"/>
    <w:rsid w:val="002D6045"/>
    <w:rsid w:val="002D6675"/>
    <w:rsid w:val="002D678B"/>
    <w:rsid w:val="002D6FA1"/>
    <w:rsid w:val="002D712A"/>
    <w:rsid w:val="002D72DB"/>
    <w:rsid w:val="002D7CE5"/>
    <w:rsid w:val="002D7D30"/>
    <w:rsid w:val="002E01A6"/>
    <w:rsid w:val="002E040D"/>
    <w:rsid w:val="002E0A36"/>
    <w:rsid w:val="002E0BC2"/>
    <w:rsid w:val="002E0D01"/>
    <w:rsid w:val="002E173D"/>
    <w:rsid w:val="002E2172"/>
    <w:rsid w:val="002E25A6"/>
    <w:rsid w:val="002E266A"/>
    <w:rsid w:val="002E30B8"/>
    <w:rsid w:val="002E4579"/>
    <w:rsid w:val="002E4745"/>
    <w:rsid w:val="002E4B07"/>
    <w:rsid w:val="002E50F5"/>
    <w:rsid w:val="002E5279"/>
    <w:rsid w:val="002E52A4"/>
    <w:rsid w:val="002E5569"/>
    <w:rsid w:val="002E5636"/>
    <w:rsid w:val="002E5EED"/>
    <w:rsid w:val="002E61CA"/>
    <w:rsid w:val="002E6835"/>
    <w:rsid w:val="002E69C4"/>
    <w:rsid w:val="002E6F82"/>
    <w:rsid w:val="002E7077"/>
    <w:rsid w:val="002E7731"/>
    <w:rsid w:val="002E7860"/>
    <w:rsid w:val="002E7875"/>
    <w:rsid w:val="002E78DF"/>
    <w:rsid w:val="002E7B5A"/>
    <w:rsid w:val="002E7CED"/>
    <w:rsid w:val="002F064D"/>
    <w:rsid w:val="002F0886"/>
    <w:rsid w:val="002F136A"/>
    <w:rsid w:val="002F147E"/>
    <w:rsid w:val="002F1798"/>
    <w:rsid w:val="002F1D2B"/>
    <w:rsid w:val="002F1D85"/>
    <w:rsid w:val="002F1DAA"/>
    <w:rsid w:val="002F2069"/>
    <w:rsid w:val="002F2801"/>
    <w:rsid w:val="002F31F6"/>
    <w:rsid w:val="002F321C"/>
    <w:rsid w:val="002F323D"/>
    <w:rsid w:val="002F3529"/>
    <w:rsid w:val="002F35FF"/>
    <w:rsid w:val="002F37D9"/>
    <w:rsid w:val="002F3A54"/>
    <w:rsid w:val="002F3FF0"/>
    <w:rsid w:val="002F4255"/>
    <w:rsid w:val="002F4505"/>
    <w:rsid w:val="002F4545"/>
    <w:rsid w:val="002F4637"/>
    <w:rsid w:val="002F4C3A"/>
    <w:rsid w:val="002F4E98"/>
    <w:rsid w:val="002F51C6"/>
    <w:rsid w:val="002F546A"/>
    <w:rsid w:val="002F5781"/>
    <w:rsid w:val="002F5819"/>
    <w:rsid w:val="002F5AA1"/>
    <w:rsid w:val="002F639F"/>
    <w:rsid w:val="002F67B1"/>
    <w:rsid w:val="002F7064"/>
    <w:rsid w:val="002F70E4"/>
    <w:rsid w:val="002F711E"/>
    <w:rsid w:val="002F75DD"/>
    <w:rsid w:val="002F7CAD"/>
    <w:rsid w:val="00300457"/>
    <w:rsid w:val="00300AED"/>
    <w:rsid w:val="00300B27"/>
    <w:rsid w:val="00300BB4"/>
    <w:rsid w:val="00301089"/>
    <w:rsid w:val="0030131F"/>
    <w:rsid w:val="0030139F"/>
    <w:rsid w:val="0030147F"/>
    <w:rsid w:val="00301AD5"/>
    <w:rsid w:val="00301E47"/>
    <w:rsid w:val="003021AF"/>
    <w:rsid w:val="00302574"/>
    <w:rsid w:val="003028B8"/>
    <w:rsid w:val="00302CD2"/>
    <w:rsid w:val="00302D24"/>
    <w:rsid w:val="003033C3"/>
    <w:rsid w:val="00304490"/>
    <w:rsid w:val="00304705"/>
    <w:rsid w:val="003050C3"/>
    <w:rsid w:val="003052D0"/>
    <w:rsid w:val="0030533F"/>
    <w:rsid w:val="00306037"/>
    <w:rsid w:val="0030648D"/>
    <w:rsid w:val="003066C3"/>
    <w:rsid w:val="00306A7D"/>
    <w:rsid w:val="00306BDB"/>
    <w:rsid w:val="00306F5D"/>
    <w:rsid w:val="0030724C"/>
    <w:rsid w:val="00307288"/>
    <w:rsid w:val="00307481"/>
    <w:rsid w:val="003074A8"/>
    <w:rsid w:val="003076D4"/>
    <w:rsid w:val="0030774F"/>
    <w:rsid w:val="00307823"/>
    <w:rsid w:val="00307AF7"/>
    <w:rsid w:val="00310070"/>
    <w:rsid w:val="003101D6"/>
    <w:rsid w:val="00310935"/>
    <w:rsid w:val="00310D1A"/>
    <w:rsid w:val="00310EE3"/>
    <w:rsid w:val="00311011"/>
    <w:rsid w:val="00311639"/>
    <w:rsid w:val="00311B07"/>
    <w:rsid w:val="00312125"/>
    <w:rsid w:val="003123EE"/>
    <w:rsid w:val="00312461"/>
    <w:rsid w:val="00312819"/>
    <w:rsid w:val="00312B1D"/>
    <w:rsid w:val="003131EA"/>
    <w:rsid w:val="0031348C"/>
    <w:rsid w:val="003135B2"/>
    <w:rsid w:val="003140D5"/>
    <w:rsid w:val="00314156"/>
    <w:rsid w:val="0031466C"/>
    <w:rsid w:val="00314683"/>
    <w:rsid w:val="003147AF"/>
    <w:rsid w:val="003148CF"/>
    <w:rsid w:val="003149F3"/>
    <w:rsid w:val="00314A6F"/>
    <w:rsid w:val="00314A72"/>
    <w:rsid w:val="00314BDA"/>
    <w:rsid w:val="00314D44"/>
    <w:rsid w:val="00314F0F"/>
    <w:rsid w:val="00315123"/>
    <w:rsid w:val="003151DC"/>
    <w:rsid w:val="0031547D"/>
    <w:rsid w:val="003156A2"/>
    <w:rsid w:val="003157C7"/>
    <w:rsid w:val="003158E7"/>
    <w:rsid w:val="00315AE5"/>
    <w:rsid w:val="00315E9C"/>
    <w:rsid w:val="00315F62"/>
    <w:rsid w:val="00315FA9"/>
    <w:rsid w:val="003163D3"/>
    <w:rsid w:val="003164DE"/>
    <w:rsid w:val="00316765"/>
    <w:rsid w:val="00316C9D"/>
    <w:rsid w:val="00316F21"/>
    <w:rsid w:val="00317327"/>
    <w:rsid w:val="00317CAA"/>
    <w:rsid w:val="0032002A"/>
    <w:rsid w:val="00320132"/>
    <w:rsid w:val="00320CC0"/>
    <w:rsid w:val="00320E6B"/>
    <w:rsid w:val="00321225"/>
    <w:rsid w:val="00321244"/>
    <w:rsid w:val="0032125D"/>
    <w:rsid w:val="003218B2"/>
    <w:rsid w:val="00321A6E"/>
    <w:rsid w:val="00321C2A"/>
    <w:rsid w:val="00321EE8"/>
    <w:rsid w:val="00321FA2"/>
    <w:rsid w:val="00322314"/>
    <w:rsid w:val="0032263A"/>
    <w:rsid w:val="00323130"/>
    <w:rsid w:val="00323173"/>
    <w:rsid w:val="003238EC"/>
    <w:rsid w:val="00323ACF"/>
    <w:rsid w:val="00323CD7"/>
    <w:rsid w:val="00324242"/>
    <w:rsid w:val="00324581"/>
    <w:rsid w:val="00324743"/>
    <w:rsid w:val="003248C5"/>
    <w:rsid w:val="003250F0"/>
    <w:rsid w:val="00325687"/>
    <w:rsid w:val="00325B3E"/>
    <w:rsid w:val="0032601C"/>
    <w:rsid w:val="003262DA"/>
    <w:rsid w:val="00326ADB"/>
    <w:rsid w:val="00326B13"/>
    <w:rsid w:val="00326DAA"/>
    <w:rsid w:val="00327697"/>
    <w:rsid w:val="003276AF"/>
    <w:rsid w:val="00327B94"/>
    <w:rsid w:val="003301B3"/>
    <w:rsid w:val="00330774"/>
    <w:rsid w:val="00330853"/>
    <w:rsid w:val="00330876"/>
    <w:rsid w:val="00330B8A"/>
    <w:rsid w:val="00330C70"/>
    <w:rsid w:val="003312E0"/>
    <w:rsid w:val="00331E5B"/>
    <w:rsid w:val="00332362"/>
    <w:rsid w:val="00332753"/>
    <w:rsid w:val="0033293F"/>
    <w:rsid w:val="00332989"/>
    <w:rsid w:val="00332A87"/>
    <w:rsid w:val="0033301B"/>
    <w:rsid w:val="00333226"/>
    <w:rsid w:val="0033383A"/>
    <w:rsid w:val="003339E7"/>
    <w:rsid w:val="00333DF0"/>
    <w:rsid w:val="00333F26"/>
    <w:rsid w:val="00333F7E"/>
    <w:rsid w:val="003340D3"/>
    <w:rsid w:val="00334196"/>
    <w:rsid w:val="00334748"/>
    <w:rsid w:val="00334A73"/>
    <w:rsid w:val="00334D07"/>
    <w:rsid w:val="00334D4D"/>
    <w:rsid w:val="00334F43"/>
    <w:rsid w:val="00335315"/>
    <w:rsid w:val="00335A92"/>
    <w:rsid w:val="00335C1A"/>
    <w:rsid w:val="003362DD"/>
    <w:rsid w:val="00336584"/>
    <w:rsid w:val="003369F2"/>
    <w:rsid w:val="00336D3F"/>
    <w:rsid w:val="00336E01"/>
    <w:rsid w:val="00337425"/>
    <w:rsid w:val="00337508"/>
    <w:rsid w:val="00337526"/>
    <w:rsid w:val="00337561"/>
    <w:rsid w:val="00337607"/>
    <w:rsid w:val="00337627"/>
    <w:rsid w:val="00337FFE"/>
    <w:rsid w:val="00340522"/>
    <w:rsid w:val="00340AA3"/>
    <w:rsid w:val="00340BB5"/>
    <w:rsid w:val="00340E64"/>
    <w:rsid w:val="00341053"/>
    <w:rsid w:val="00341178"/>
    <w:rsid w:val="003414EB"/>
    <w:rsid w:val="003415E4"/>
    <w:rsid w:val="00341968"/>
    <w:rsid w:val="003419DB"/>
    <w:rsid w:val="00341A0E"/>
    <w:rsid w:val="00341A21"/>
    <w:rsid w:val="00342363"/>
    <w:rsid w:val="003423CF"/>
    <w:rsid w:val="003424A8"/>
    <w:rsid w:val="00342DA8"/>
    <w:rsid w:val="00342E5C"/>
    <w:rsid w:val="00342E6F"/>
    <w:rsid w:val="00343987"/>
    <w:rsid w:val="00343B08"/>
    <w:rsid w:val="00343D6F"/>
    <w:rsid w:val="00343E17"/>
    <w:rsid w:val="00343E3C"/>
    <w:rsid w:val="00343FC4"/>
    <w:rsid w:val="00344026"/>
    <w:rsid w:val="003446F3"/>
    <w:rsid w:val="00344E54"/>
    <w:rsid w:val="00344E9E"/>
    <w:rsid w:val="0034504F"/>
    <w:rsid w:val="0034570A"/>
    <w:rsid w:val="003458DD"/>
    <w:rsid w:val="00345B8C"/>
    <w:rsid w:val="003461B1"/>
    <w:rsid w:val="0034627C"/>
    <w:rsid w:val="003466C0"/>
    <w:rsid w:val="00346874"/>
    <w:rsid w:val="0034693C"/>
    <w:rsid w:val="003469F6"/>
    <w:rsid w:val="00346AA6"/>
    <w:rsid w:val="00346AF9"/>
    <w:rsid w:val="00346C46"/>
    <w:rsid w:val="00346FB2"/>
    <w:rsid w:val="00347106"/>
    <w:rsid w:val="0034721E"/>
    <w:rsid w:val="0034752A"/>
    <w:rsid w:val="003478B9"/>
    <w:rsid w:val="00347A46"/>
    <w:rsid w:val="00347AD3"/>
    <w:rsid w:val="00347C64"/>
    <w:rsid w:val="00350AFA"/>
    <w:rsid w:val="00350B21"/>
    <w:rsid w:val="00351282"/>
    <w:rsid w:val="00351C18"/>
    <w:rsid w:val="00352308"/>
    <w:rsid w:val="00352C09"/>
    <w:rsid w:val="00352C72"/>
    <w:rsid w:val="00353155"/>
    <w:rsid w:val="003532E6"/>
    <w:rsid w:val="00353494"/>
    <w:rsid w:val="00353819"/>
    <w:rsid w:val="00353C4E"/>
    <w:rsid w:val="00353F0B"/>
    <w:rsid w:val="003541C6"/>
    <w:rsid w:val="003542FF"/>
    <w:rsid w:val="0035450A"/>
    <w:rsid w:val="00355015"/>
    <w:rsid w:val="003553A1"/>
    <w:rsid w:val="003555E3"/>
    <w:rsid w:val="0035560A"/>
    <w:rsid w:val="00355E06"/>
    <w:rsid w:val="00355E3B"/>
    <w:rsid w:val="00356161"/>
    <w:rsid w:val="00356D49"/>
    <w:rsid w:val="003574DC"/>
    <w:rsid w:val="0035777D"/>
    <w:rsid w:val="003578B9"/>
    <w:rsid w:val="00360041"/>
    <w:rsid w:val="00360345"/>
    <w:rsid w:val="003603DB"/>
    <w:rsid w:val="0036096C"/>
    <w:rsid w:val="00360E73"/>
    <w:rsid w:val="00361663"/>
    <w:rsid w:val="00361E17"/>
    <w:rsid w:val="00361F41"/>
    <w:rsid w:val="00361F57"/>
    <w:rsid w:val="00361F69"/>
    <w:rsid w:val="003625D8"/>
    <w:rsid w:val="0036271C"/>
    <w:rsid w:val="00362A92"/>
    <w:rsid w:val="00362E8A"/>
    <w:rsid w:val="0036316A"/>
    <w:rsid w:val="00363313"/>
    <w:rsid w:val="003635BC"/>
    <w:rsid w:val="0036385E"/>
    <w:rsid w:val="003638C8"/>
    <w:rsid w:val="00363B7C"/>
    <w:rsid w:val="00363C8C"/>
    <w:rsid w:val="00363D99"/>
    <w:rsid w:val="00363DF4"/>
    <w:rsid w:val="00364505"/>
    <w:rsid w:val="00364CA0"/>
    <w:rsid w:val="00364E18"/>
    <w:rsid w:val="00364EB5"/>
    <w:rsid w:val="003653CB"/>
    <w:rsid w:val="003659B8"/>
    <w:rsid w:val="00365BFA"/>
    <w:rsid w:val="00365FFB"/>
    <w:rsid w:val="00366097"/>
    <w:rsid w:val="00366410"/>
    <w:rsid w:val="00366411"/>
    <w:rsid w:val="003664A2"/>
    <w:rsid w:val="00366526"/>
    <w:rsid w:val="0036671D"/>
    <w:rsid w:val="0036683F"/>
    <w:rsid w:val="00366C41"/>
    <w:rsid w:val="00367B32"/>
    <w:rsid w:val="00367B61"/>
    <w:rsid w:val="00367CF3"/>
    <w:rsid w:val="00367E78"/>
    <w:rsid w:val="003708C2"/>
    <w:rsid w:val="00370B75"/>
    <w:rsid w:val="00370D7D"/>
    <w:rsid w:val="00370F57"/>
    <w:rsid w:val="00370FDB"/>
    <w:rsid w:val="00371037"/>
    <w:rsid w:val="003713F2"/>
    <w:rsid w:val="00371A98"/>
    <w:rsid w:val="00371ECB"/>
    <w:rsid w:val="003728BA"/>
    <w:rsid w:val="00372BFD"/>
    <w:rsid w:val="00372EEE"/>
    <w:rsid w:val="00372F3F"/>
    <w:rsid w:val="0037333B"/>
    <w:rsid w:val="00373628"/>
    <w:rsid w:val="0037389C"/>
    <w:rsid w:val="00373FF2"/>
    <w:rsid w:val="00374038"/>
    <w:rsid w:val="00374661"/>
    <w:rsid w:val="00374706"/>
    <w:rsid w:val="00374970"/>
    <w:rsid w:val="00374D3B"/>
    <w:rsid w:val="00375508"/>
    <w:rsid w:val="00375C84"/>
    <w:rsid w:val="003760CC"/>
    <w:rsid w:val="0037644B"/>
    <w:rsid w:val="00376667"/>
    <w:rsid w:val="00376804"/>
    <w:rsid w:val="00376958"/>
    <w:rsid w:val="00377108"/>
    <w:rsid w:val="00377456"/>
    <w:rsid w:val="003776A8"/>
    <w:rsid w:val="00377DAB"/>
    <w:rsid w:val="00380165"/>
    <w:rsid w:val="003802D1"/>
    <w:rsid w:val="00380BF3"/>
    <w:rsid w:val="003812EE"/>
    <w:rsid w:val="0038145A"/>
    <w:rsid w:val="003816D1"/>
    <w:rsid w:val="0038191D"/>
    <w:rsid w:val="00381E67"/>
    <w:rsid w:val="0038227A"/>
    <w:rsid w:val="003824BC"/>
    <w:rsid w:val="003825FA"/>
    <w:rsid w:val="00383117"/>
    <w:rsid w:val="00383323"/>
    <w:rsid w:val="0038336D"/>
    <w:rsid w:val="00383DC0"/>
    <w:rsid w:val="0038413F"/>
    <w:rsid w:val="00384396"/>
    <w:rsid w:val="0038439F"/>
    <w:rsid w:val="003843EF"/>
    <w:rsid w:val="00384800"/>
    <w:rsid w:val="00384D55"/>
    <w:rsid w:val="00384D68"/>
    <w:rsid w:val="00384E54"/>
    <w:rsid w:val="00385299"/>
    <w:rsid w:val="003859A1"/>
    <w:rsid w:val="00385B53"/>
    <w:rsid w:val="00385C84"/>
    <w:rsid w:val="003861D5"/>
    <w:rsid w:val="00386525"/>
    <w:rsid w:val="003866AB"/>
    <w:rsid w:val="00386EB9"/>
    <w:rsid w:val="00386F02"/>
    <w:rsid w:val="00387025"/>
    <w:rsid w:val="0038783F"/>
    <w:rsid w:val="00387900"/>
    <w:rsid w:val="00387A66"/>
    <w:rsid w:val="00387A83"/>
    <w:rsid w:val="00387C03"/>
    <w:rsid w:val="00387E00"/>
    <w:rsid w:val="003908D1"/>
    <w:rsid w:val="00390D1C"/>
    <w:rsid w:val="0039122C"/>
    <w:rsid w:val="00391802"/>
    <w:rsid w:val="00391ECF"/>
    <w:rsid w:val="003924B2"/>
    <w:rsid w:val="00392CCC"/>
    <w:rsid w:val="00392D08"/>
    <w:rsid w:val="00393252"/>
    <w:rsid w:val="003937E5"/>
    <w:rsid w:val="00393810"/>
    <w:rsid w:val="00393F2C"/>
    <w:rsid w:val="00394367"/>
    <w:rsid w:val="003943D9"/>
    <w:rsid w:val="00394706"/>
    <w:rsid w:val="003948AD"/>
    <w:rsid w:val="00394A3A"/>
    <w:rsid w:val="003950DF"/>
    <w:rsid w:val="00395164"/>
    <w:rsid w:val="0039517A"/>
    <w:rsid w:val="003952CF"/>
    <w:rsid w:val="003953F2"/>
    <w:rsid w:val="003957F4"/>
    <w:rsid w:val="0039621D"/>
    <w:rsid w:val="0039687B"/>
    <w:rsid w:val="0039714B"/>
    <w:rsid w:val="00397221"/>
    <w:rsid w:val="0039723F"/>
    <w:rsid w:val="003975BC"/>
    <w:rsid w:val="003976F5"/>
    <w:rsid w:val="0039793B"/>
    <w:rsid w:val="00397DA1"/>
    <w:rsid w:val="00397F15"/>
    <w:rsid w:val="003A01DF"/>
    <w:rsid w:val="003A0801"/>
    <w:rsid w:val="003A0CCC"/>
    <w:rsid w:val="003A0D2E"/>
    <w:rsid w:val="003A12EB"/>
    <w:rsid w:val="003A1400"/>
    <w:rsid w:val="003A1487"/>
    <w:rsid w:val="003A15BB"/>
    <w:rsid w:val="003A16E4"/>
    <w:rsid w:val="003A2A3C"/>
    <w:rsid w:val="003A2B11"/>
    <w:rsid w:val="003A2E40"/>
    <w:rsid w:val="003A3242"/>
    <w:rsid w:val="003A38A1"/>
    <w:rsid w:val="003A399F"/>
    <w:rsid w:val="003A3BAA"/>
    <w:rsid w:val="003A3DD7"/>
    <w:rsid w:val="003A4244"/>
    <w:rsid w:val="003A436E"/>
    <w:rsid w:val="003A437D"/>
    <w:rsid w:val="003A43D9"/>
    <w:rsid w:val="003A4887"/>
    <w:rsid w:val="003A4A13"/>
    <w:rsid w:val="003A50F6"/>
    <w:rsid w:val="003A51AB"/>
    <w:rsid w:val="003A584E"/>
    <w:rsid w:val="003A5D43"/>
    <w:rsid w:val="003A5F09"/>
    <w:rsid w:val="003A6259"/>
    <w:rsid w:val="003A626E"/>
    <w:rsid w:val="003A6969"/>
    <w:rsid w:val="003A699A"/>
    <w:rsid w:val="003A69FF"/>
    <w:rsid w:val="003A7082"/>
    <w:rsid w:val="003A7172"/>
    <w:rsid w:val="003A77C9"/>
    <w:rsid w:val="003A7804"/>
    <w:rsid w:val="003ADD96"/>
    <w:rsid w:val="003B02D4"/>
    <w:rsid w:val="003B08F1"/>
    <w:rsid w:val="003B10FF"/>
    <w:rsid w:val="003B1147"/>
    <w:rsid w:val="003B124F"/>
    <w:rsid w:val="003B148F"/>
    <w:rsid w:val="003B18B2"/>
    <w:rsid w:val="003B1D12"/>
    <w:rsid w:val="003B2243"/>
    <w:rsid w:val="003B2892"/>
    <w:rsid w:val="003B2C62"/>
    <w:rsid w:val="003B2FBA"/>
    <w:rsid w:val="003B352A"/>
    <w:rsid w:val="003B389B"/>
    <w:rsid w:val="003B3BCE"/>
    <w:rsid w:val="003B3C54"/>
    <w:rsid w:val="003B4427"/>
    <w:rsid w:val="003B448E"/>
    <w:rsid w:val="003B4526"/>
    <w:rsid w:val="003B467C"/>
    <w:rsid w:val="003B4793"/>
    <w:rsid w:val="003B49DE"/>
    <w:rsid w:val="003B4BCE"/>
    <w:rsid w:val="003B5131"/>
    <w:rsid w:val="003B5170"/>
    <w:rsid w:val="003B5804"/>
    <w:rsid w:val="003B5A32"/>
    <w:rsid w:val="003B5A8B"/>
    <w:rsid w:val="003B5AB9"/>
    <w:rsid w:val="003B5B00"/>
    <w:rsid w:val="003B5D0A"/>
    <w:rsid w:val="003B5D81"/>
    <w:rsid w:val="003B5F1A"/>
    <w:rsid w:val="003B6226"/>
    <w:rsid w:val="003B6358"/>
    <w:rsid w:val="003B67CA"/>
    <w:rsid w:val="003B67DE"/>
    <w:rsid w:val="003B6952"/>
    <w:rsid w:val="003B717B"/>
    <w:rsid w:val="003B729A"/>
    <w:rsid w:val="003B7316"/>
    <w:rsid w:val="003B7E05"/>
    <w:rsid w:val="003C06B2"/>
    <w:rsid w:val="003C14F9"/>
    <w:rsid w:val="003C1559"/>
    <w:rsid w:val="003C1564"/>
    <w:rsid w:val="003C1ACB"/>
    <w:rsid w:val="003C1DEE"/>
    <w:rsid w:val="003C1E69"/>
    <w:rsid w:val="003C23E5"/>
    <w:rsid w:val="003C2400"/>
    <w:rsid w:val="003C2A5A"/>
    <w:rsid w:val="003C30B9"/>
    <w:rsid w:val="003C32D1"/>
    <w:rsid w:val="003C4616"/>
    <w:rsid w:val="003C4AC8"/>
    <w:rsid w:val="003C4C19"/>
    <w:rsid w:val="003C4E49"/>
    <w:rsid w:val="003C5078"/>
    <w:rsid w:val="003C5084"/>
    <w:rsid w:val="003C516B"/>
    <w:rsid w:val="003C5A20"/>
    <w:rsid w:val="003C60E6"/>
    <w:rsid w:val="003C69E7"/>
    <w:rsid w:val="003C6B81"/>
    <w:rsid w:val="003C6D2A"/>
    <w:rsid w:val="003C6E0C"/>
    <w:rsid w:val="003C7224"/>
    <w:rsid w:val="003D0087"/>
    <w:rsid w:val="003D0453"/>
    <w:rsid w:val="003D0552"/>
    <w:rsid w:val="003D088A"/>
    <w:rsid w:val="003D0F78"/>
    <w:rsid w:val="003D11F3"/>
    <w:rsid w:val="003D1276"/>
    <w:rsid w:val="003D153D"/>
    <w:rsid w:val="003D1B7C"/>
    <w:rsid w:val="003D1F67"/>
    <w:rsid w:val="003D2942"/>
    <w:rsid w:val="003D29CB"/>
    <w:rsid w:val="003D2CE3"/>
    <w:rsid w:val="003D303F"/>
    <w:rsid w:val="003D31A0"/>
    <w:rsid w:val="003D31DF"/>
    <w:rsid w:val="003D36CC"/>
    <w:rsid w:val="003D3768"/>
    <w:rsid w:val="003D3B92"/>
    <w:rsid w:val="003D3F23"/>
    <w:rsid w:val="003D3F4C"/>
    <w:rsid w:val="003D3F8A"/>
    <w:rsid w:val="003D4159"/>
    <w:rsid w:val="003D4AF6"/>
    <w:rsid w:val="003D4C82"/>
    <w:rsid w:val="003D53F6"/>
    <w:rsid w:val="003D59B0"/>
    <w:rsid w:val="003D5DBC"/>
    <w:rsid w:val="003D5EB8"/>
    <w:rsid w:val="003D5EC0"/>
    <w:rsid w:val="003D6053"/>
    <w:rsid w:val="003D6304"/>
    <w:rsid w:val="003D6EFC"/>
    <w:rsid w:val="003D70D7"/>
    <w:rsid w:val="003D71A6"/>
    <w:rsid w:val="003D71BC"/>
    <w:rsid w:val="003D74E4"/>
    <w:rsid w:val="003E00A3"/>
    <w:rsid w:val="003E04F9"/>
    <w:rsid w:val="003E0686"/>
    <w:rsid w:val="003E0709"/>
    <w:rsid w:val="003E0B0E"/>
    <w:rsid w:val="003E0C97"/>
    <w:rsid w:val="003E14DA"/>
    <w:rsid w:val="003E183B"/>
    <w:rsid w:val="003E1882"/>
    <w:rsid w:val="003E196C"/>
    <w:rsid w:val="003E1C05"/>
    <w:rsid w:val="003E1D89"/>
    <w:rsid w:val="003E27CF"/>
    <w:rsid w:val="003E2840"/>
    <w:rsid w:val="003E2BC6"/>
    <w:rsid w:val="003E2FF6"/>
    <w:rsid w:val="003E3268"/>
    <w:rsid w:val="003E35DB"/>
    <w:rsid w:val="003E364F"/>
    <w:rsid w:val="003E3661"/>
    <w:rsid w:val="003E36D6"/>
    <w:rsid w:val="003E3824"/>
    <w:rsid w:val="003E3877"/>
    <w:rsid w:val="003E3A25"/>
    <w:rsid w:val="003E3A58"/>
    <w:rsid w:val="003E3C65"/>
    <w:rsid w:val="003E3CB8"/>
    <w:rsid w:val="003E3E69"/>
    <w:rsid w:val="003E40BF"/>
    <w:rsid w:val="003E4909"/>
    <w:rsid w:val="003E4DD9"/>
    <w:rsid w:val="003E5260"/>
    <w:rsid w:val="003E55F9"/>
    <w:rsid w:val="003E5758"/>
    <w:rsid w:val="003E5934"/>
    <w:rsid w:val="003E59D3"/>
    <w:rsid w:val="003E5A84"/>
    <w:rsid w:val="003E5A98"/>
    <w:rsid w:val="003E5BCD"/>
    <w:rsid w:val="003E5E6A"/>
    <w:rsid w:val="003E60D9"/>
    <w:rsid w:val="003E64EB"/>
    <w:rsid w:val="003E64F5"/>
    <w:rsid w:val="003E6733"/>
    <w:rsid w:val="003E673B"/>
    <w:rsid w:val="003E6A35"/>
    <w:rsid w:val="003E6AFF"/>
    <w:rsid w:val="003E6E8F"/>
    <w:rsid w:val="003E6F6D"/>
    <w:rsid w:val="003E728C"/>
    <w:rsid w:val="003E72AE"/>
    <w:rsid w:val="003E7544"/>
    <w:rsid w:val="003E798D"/>
    <w:rsid w:val="003E7A3A"/>
    <w:rsid w:val="003E7F56"/>
    <w:rsid w:val="003F04D8"/>
    <w:rsid w:val="003F0579"/>
    <w:rsid w:val="003F0719"/>
    <w:rsid w:val="003F08EA"/>
    <w:rsid w:val="003F0B6C"/>
    <w:rsid w:val="003F0DB0"/>
    <w:rsid w:val="003F12DA"/>
    <w:rsid w:val="003F199B"/>
    <w:rsid w:val="003F19DE"/>
    <w:rsid w:val="003F1B12"/>
    <w:rsid w:val="003F1FFD"/>
    <w:rsid w:val="003F265D"/>
    <w:rsid w:val="003F28F9"/>
    <w:rsid w:val="003F2DD1"/>
    <w:rsid w:val="003F2E18"/>
    <w:rsid w:val="003F2EE1"/>
    <w:rsid w:val="003F3D5B"/>
    <w:rsid w:val="003F3EEA"/>
    <w:rsid w:val="003F4355"/>
    <w:rsid w:val="003F4A93"/>
    <w:rsid w:val="003F4D14"/>
    <w:rsid w:val="003F518B"/>
    <w:rsid w:val="003F55E5"/>
    <w:rsid w:val="003F598A"/>
    <w:rsid w:val="003F5ACB"/>
    <w:rsid w:val="003F5B23"/>
    <w:rsid w:val="003F5DD4"/>
    <w:rsid w:val="003F5E22"/>
    <w:rsid w:val="003F5F97"/>
    <w:rsid w:val="003F5FD3"/>
    <w:rsid w:val="003F6474"/>
    <w:rsid w:val="003F69E3"/>
    <w:rsid w:val="003F69F5"/>
    <w:rsid w:val="003F6DAB"/>
    <w:rsid w:val="003F72FE"/>
    <w:rsid w:val="003F7A13"/>
    <w:rsid w:val="003F7B09"/>
    <w:rsid w:val="003F7B1F"/>
    <w:rsid w:val="00400015"/>
    <w:rsid w:val="00400024"/>
    <w:rsid w:val="00400435"/>
    <w:rsid w:val="004004E6"/>
    <w:rsid w:val="00400930"/>
    <w:rsid w:val="00400E66"/>
    <w:rsid w:val="00400F66"/>
    <w:rsid w:val="0040101A"/>
    <w:rsid w:val="00401696"/>
    <w:rsid w:val="0040207A"/>
    <w:rsid w:val="00402288"/>
    <w:rsid w:val="00402A8A"/>
    <w:rsid w:val="0040305E"/>
    <w:rsid w:val="00403198"/>
    <w:rsid w:val="004032F6"/>
    <w:rsid w:val="00403372"/>
    <w:rsid w:val="0040365C"/>
    <w:rsid w:val="00403CB0"/>
    <w:rsid w:val="00403CCB"/>
    <w:rsid w:val="00403ED9"/>
    <w:rsid w:val="00404046"/>
    <w:rsid w:val="00404700"/>
    <w:rsid w:val="0040495F"/>
    <w:rsid w:val="00404B6F"/>
    <w:rsid w:val="00404B9A"/>
    <w:rsid w:val="004051CB"/>
    <w:rsid w:val="0040529A"/>
    <w:rsid w:val="004053FE"/>
    <w:rsid w:val="004054F0"/>
    <w:rsid w:val="004058A6"/>
    <w:rsid w:val="00405A69"/>
    <w:rsid w:val="00405ADA"/>
    <w:rsid w:val="00405E7E"/>
    <w:rsid w:val="00406501"/>
    <w:rsid w:val="004065BC"/>
    <w:rsid w:val="004067CC"/>
    <w:rsid w:val="00406A2C"/>
    <w:rsid w:val="004074DB"/>
    <w:rsid w:val="004074E3"/>
    <w:rsid w:val="00407D19"/>
    <w:rsid w:val="00407D3A"/>
    <w:rsid w:val="00407DDA"/>
    <w:rsid w:val="00407F11"/>
    <w:rsid w:val="004102BF"/>
    <w:rsid w:val="00410E59"/>
    <w:rsid w:val="0041127B"/>
    <w:rsid w:val="0041129F"/>
    <w:rsid w:val="004115F6"/>
    <w:rsid w:val="00411F36"/>
    <w:rsid w:val="00412121"/>
    <w:rsid w:val="004121AA"/>
    <w:rsid w:val="00412306"/>
    <w:rsid w:val="00412674"/>
    <w:rsid w:val="004127E7"/>
    <w:rsid w:val="00412C9C"/>
    <w:rsid w:val="00412F92"/>
    <w:rsid w:val="00413BB9"/>
    <w:rsid w:val="00414145"/>
    <w:rsid w:val="0041437D"/>
    <w:rsid w:val="00414739"/>
    <w:rsid w:val="00414808"/>
    <w:rsid w:val="00414DE0"/>
    <w:rsid w:val="004155B6"/>
    <w:rsid w:val="00415CEB"/>
    <w:rsid w:val="00415DC9"/>
    <w:rsid w:val="00416378"/>
    <w:rsid w:val="004165B4"/>
    <w:rsid w:val="004168B1"/>
    <w:rsid w:val="00416CEB"/>
    <w:rsid w:val="0041712F"/>
    <w:rsid w:val="00417385"/>
    <w:rsid w:val="0041752B"/>
    <w:rsid w:val="004176EC"/>
    <w:rsid w:val="00417B3D"/>
    <w:rsid w:val="00420224"/>
    <w:rsid w:val="004203FB"/>
    <w:rsid w:val="00420591"/>
    <w:rsid w:val="004209C5"/>
    <w:rsid w:val="00420E66"/>
    <w:rsid w:val="00420ECB"/>
    <w:rsid w:val="00421023"/>
    <w:rsid w:val="004211E0"/>
    <w:rsid w:val="004213E5"/>
    <w:rsid w:val="004218EC"/>
    <w:rsid w:val="00421A16"/>
    <w:rsid w:val="00421E7D"/>
    <w:rsid w:val="00422873"/>
    <w:rsid w:val="0042287B"/>
    <w:rsid w:val="00422944"/>
    <w:rsid w:val="004229C5"/>
    <w:rsid w:val="00422B23"/>
    <w:rsid w:val="00422D06"/>
    <w:rsid w:val="00423134"/>
    <w:rsid w:val="004233E0"/>
    <w:rsid w:val="0042352A"/>
    <w:rsid w:val="00423E12"/>
    <w:rsid w:val="00423E92"/>
    <w:rsid w:val="00423EEE"/>
    <w:rsid w:val="0042475D"/>
    <w:rsid w:val="00424996"/>
    <w:rsid w:val="00424BF9"/>
    <w:rsid w:val="00424E27"/>
    <w:rsid w:val="00425040"/>
    <w:rsid w:val="00425D03"/>
    <w:rsid w:val="00426D0B"/>
    <w:rsid w:val="004270A1"/>
    <w:rsid w:val="00427137"/>
    <w:rsid w:val="0042720B"/>
    <w:rsid w:val="00427587"/>
    <w:rsid w:val="00427633"/>
    <w:rsid w:val="00427D94"/>
    <w:rsid w:val="00427FF7"/>
    <w:rsid w:val="004300B5"/>
    <w:rsid w:val="00430140"/>
    <w:rsid w:val="0043035A"/>
    <w:rsid w:val="004304A4"/>
    <w:rsid w:val="0043056D"/>
    <w:rsid w:val="0043085A"/>
    <w:rsid w:val="00430F3C"/>
    <w:rsid w:val="00431144"/>
    <w:rsid w:val="004311B3"/>
    <w:rsid w:val="004312EC"/>
    <w:rsid w:val="004312FC"/>
    <w:rsid w:val="004313A2"/>
    <w:rsid w:val="0043163F"/>
    <w:rsid w:val="004318C0"/>
    <w:rsid w:val="00431B1B"/>
    <w:rsid w:val="00431E10"/>
    <w:rsid w:val="00431FDA"/>
    <w:rsid w:val="00431FE3"/>
    <w:rsid w:val="00432D23"/>
    <w:rsid w:val="004335EB"/>
    <w:rsid w:val="004338B1"/>
    <w:rsid w:val="00433B9A"/>
    <w:rsid w:val="00433D3C"/>
    <w:rsid w:val="00433DA3"/>
    <w:rsid w:val="00433F8E"/>
    <w:rsid w:val="00434204"/>
    <w:rsid w:val="00434816"/>
    <w:rsid w:val="00434A89"/>
    <w:rsid w:val="00434F1F"/>
    <w:rsid w:val="00434FA2"/>
    <w:rsid w:val="004354F4"/>
    <w:rsid w:val="00436294"/>
    <w:rsid w:val="0043632B"/>
    <w:rsid w:val="00436833"/>
    <w:rsid w:val="0043697D"/>
    <w:rsid w:val="00436D9C"/>
    <w:rsid w:val="00436DB5"/>
    <w:rsid w:val="00437292"/>
    <w:rsid w:val="0043790E"/>
    <w:rsid w:val="00437AF9"/>
    <w:rsid w:val="00437B2B"/>
    <w:rsid w:val="00437D59"/>
    <w:rsid w:val="00437D62"/>
    <w:rsid w:val="0044084C"/>
    <w:rsid w:val="004408E4"/>
    <w:rsid w:val="00440B85"/>
    <w:rsid w:val="00440FA0"/>
    <w:rsid w:val="004413D7"/>
    <w:rsid w:val="00441658"/>
    <w:rsid w:val="00441990"/>
    <w:rsid w:val="00441AD8"/>
    <w:rsid w:val="00441C55"/>
    <w:rsid w:val="004426B3"/>
    <w:rsid w:val="00442A0A"/>
    <w:rsid w:val="00442B82"/>
    <w:rsid w:val="00442BC1"/>
    <w:rsid w:val="00442E37"/>
    <w:rsid w:val="00443152"/>
    <w:rsid w:val="004431C0"/>
    <w:rsid w:val="004432AA"/>
    <w:rsid w:val="00443363"/>
    <w:rsid w:val="00443962"/>
    <w:rsid w:val="004439FE"/>
    <w:rsid w:val="00443E77"/>
    <w:rsid w:val="0044415F"/>
    <w:rsid w:val="00444CDD"/>
    <w:rsid w:val="00444D9B"/>
    <w:rsid w:val="00444F7C"/>
    <w:rsid w:val="00445C78"/>
    <w:rsid w:val="00445F53"/>
    <w:rsid w:val="004461F4"/>
    <w:rsid w:val="00446334"/>
    <w:rsid w:val="00446951"/>
    <w:rsid w:val="00446AA9"/>
    <w:rsid w:val="00446B43"/>
    <w:rsid w:val="00446D05"/>
    <w:rsid w:val="00446FAC"/>
    <w:rsid w:val="00447202"/>
    <w:rsid w:val="00447392"/>
    <w:rsid w:val="00447844"/>
    <w:rsid w:val="0044792B"/>
    <w:rsid w:val="00447931"/>
    <w:rsid w:val="0045037A"/>
    <w:rsid w:val="00450548"/>
    <w:rsid w:val="00450695"/>
    <w:rsid w:val="00450703"/>
    <w:rsid w:val="004507C1"/>
    <w:rsid w:val="0045084B"/>
    <w:rsid w:val="004509A7"/>
    <w:rsid w:val="00450DA1"/>
    <w:rsid w:val="00451300"/>
    <w:rsid w:val="004519FF"/>
    <w:rsid w:val="00451B4C"/>
    <w:rsid w:val="00451BB8"/>
    <w:rsid w:val="0045239A"/>
    <w:rsid w:val="0045248C"/>
    <w:rsid w:val="00452CD4"/>
    <w:rsid w:val="0045310E"/>
    <w:rsid w:val="00453508"/>
    <w:rsid w:val="004541D0"/>
    <w:rsid w:val="00454541"/>
    <w:rsid w:val="004546BA"/>
    <w:rsid w:val="00454755"/>
    <w:rsid w:val="004548B7"/>
    <w:rsid w:val="00454EA0"/>
    <w:rsid w:val="00454F95"/>
    <w:rsid w:val="00455232"/>
    <w:rsid w:val="004555C4"/>
    <w:rsid w:val="004559D8"/>
    <w:rsid w:val="0045604C"/>
    <w:rsid w:val="004561A4"/>
    <w:rsid w:val="004569C7"/>
    <w:rsid w:val="00456A99"/>
    <w:rsid w:val="00456B15"/>
    <w:rsid w:val="00456E24"/>
    <w:rsid w:val="004571EE"/>
    <w:rsid w:val="00457D4D"/>
    <w:rsid w:val="00457D65"/>
    <w:rsid w:val="00457F3D"/>
    <w:rsid w:val="004600B4"/>
    <w:rsid w:val="004606E0"/>
    <w:rsid w:val="00460729"/>
    <w:rsid w:val="00460844"/>
    <w:rsid w:val="00460D13"/>
    <w:rsid w:val="0046136F"/>
    <w:rsid w:val="004617A9"/>
    <w:rsid w:val="0046198F"/>
    <w:rsid w:val="00461DC7"/>
    <w:rsid w:val="00461E98"/>
    <w:rsid w:val="0046231B"/>
    <w:rsid w:val="0046254C"/>
    <w:rsid w:val="004625FC"/>
    <w:rsid w:val="00462A19"/>
    <w:rsid w:val="00462D00"/>
    <w:rsid w:val="00462EF5"/>
    <w:rsid w:val="00462F31"/>
    <w:rsid w:val="00463583"/>
    <w:rsid w:val="004635EF"/>
    <w:rsid w:val="004635F8"/>
    <w:rsid w:val="00463919"/>
    <w:rsid w:val="00463E94"/>
    <w:rsid w:val="004642C1"/>
    <w:rsid w:val="004647A7"/>
    <w:rsid w:val="004647DE"/>
    <w:rsid w:val="00464BAF"/>
    <w:rsid w:val="00464EDB"/>
    <w:rsid w:val="00465209"/>
    <w:rsid w:val="00465294"/>
    <w:rsid w:val="00465370"/>
    <w:rsid w:val="004658A7"/>
    <w:rsid w:val="00465AB7"/>
    <w:rsid w:val="00465C75"/>
    <w:rsid w:val="00466118"/>
    <w:rsid w:val="0046629C"/>
    <w:rsid w:val="00466A65"/>
    <w:rsid w:val="00467127"/>
    <w:rsid w:val="00467383"/>
    <w:rsid w:val="00467696"/>
    <w:rsid w:val="0047019C"/>
    <w:rsid w:val="004701C7"/>
    <w:rsid w:val="00470392"/>
    <w:rsid w:val="00470623"/>
    <w:rsid w:val="00470A3A"/>
    <w:rsid w:val="00470CD9"/>
    <w:rsid w:val="004716AB"/>
    <w:rsid w:val="00471904"/>
    <w:rsid w:val="00472110"/>
    <w:rsid w:val="00472885"/>
    <w:rsid w:val="00472932"/>
    <w:rsid w:val="00472BBB"/>
    <w:rsid w:val="00472DBA"/>
    <w:rsid w:val="00472ED0"/>
    <w:rsid w:val="004733AC"/>
    <w:rsid w:val="0047370B"/>
    <w:rsid w:val="00473FB0"/>
    <w:rsid w:val="00474229"/>
    <w:rsid w:val="00474489"/>
    <w:rsid w:val="00474703"/>
    <w:rsid w:val="00474A7A"/>
    <w:rsid w:val="00474B53"/>
    <w:rsid w:val="00475026"/>
    <w:rsid w:val="0047539B"/>
    <w:rsid w:val="004758B7"/>
    <w:rsid w:val="00475A03"/>
    <w:rsid w:val="00475A77"/>
    <w:rsid w:val="00475BBB"/>
    <w:rsid w:val="00475F90"/>
    <w:rsid w:val="0047633E"/>
    <w:rsid w:val="0047659C"/>
    <w:rsid w:val="00476B35"/>
    <w:rsid w:val="00477215"/>
    <w:rsid w:val="00477426"/>
    <w:rsid w:val="00477537"/>
    <w:rsid w:val="004775E4"/>
    <w:rsid w:val="00477C8A"/>
    <w:rsid w:val="00477D45"/>
    <w:rsid w:val="00477E16"/>
    <w:rsid w:val="00477F91"/>
    <w:rsid w:val="0048082B"/>
    <w:rsid w:val="004809D0"/>
    <w:rsid w:val="00480D3C"/>
    <w:rsid w:val="00480E02"/>
    <w:rsid w:val="004818A0"/>
    <w:rsid w:val="00481A95"/>
    <w:rsid w:val="00482975"/>
    <w:rsid w:val="00482EC2"/>
    <w:rsid w:val="00482FD3"/>
    <w:rsid w:val="004832A3"/>
    <w:rsid w:val="00483814"/>
    <w:rsid w:val="00483900"/>
    <w:rsid w:val="00483920"/>
    <w:rsid w:val="00483A6F"/>
    <w:rsid w:val="00483D57"/>
    <w:rsid w:val="00483E41"/>
    <w:rsid w:val="00484204"/>
    <w:rsid w:val="00484562"/>
    <w:rsid w:val="00484C0F"/>
    <w:rsid w:val="00485129"/>
    <w:rsid w:val="004859C1"/>
    <w:rsid w:val="00485C34"/>
    <w:rsid w:val="00485DB7"/>
    <w:rsid w:val="00485ED9"/>
    <w:rsid w:val="00486264"/>
    <w:rsid w:val="004862EF"/>
    <w:rsid w:val="004864A3"/>
    <w:rsid w:val="004868CA"/>
    <w:rsid w:val="004868E5"/>
    <w:rsid w:val="004869B5"/>
    <w:rsid w:val="00486A2E"/>
    <w:rsid w:val="00486DDA"/>
    <w:rsid w:val="0048727C"/>
    <w:rsid w:val="0048744B"/>
    <w:rsid w:val="00487C0B"/>
    <w:rsid w:val="00487F88"/>
    <w:rsid w:val="004900FD"/>
    <w:rsid w:val="004903D5"/>
    <w:rsid w:val="00490506"/>
    <w:rsid w:val="00490A64"/>
    <w:rsid w:val="00490C4E"/>
    <w:rsid w:val="00490CA7"/>
    <w:rsid w:val="00490CFF"/>
    <w:rsid w:val="004917D7"/>
    <w:rsid w:val="0049197D"/>
    <w:rsid w:val="004919CE"/>
    <w:rsid w:val="00491BE7"/>
    <w:rsid w:val="0049229D"/>
    <w:rsid w:val="0049231E"/>
    <w:rsid w:val="00492630"/>
    <w:rsid w:val="004934A8"/>
    <w:rsid w:val="0049364A"/>
    <w:rsid w:val="00493828"/>
    <w:rsid w:val="0049416F"/>
    <w:rsid w:val="00494405"/>
    <w:rsid w:val="004944D1"/>
    <w:rsid w:val="00494C67"/>
    <w:rsid w:val="00495443"/>
    <w:rsid w:val="0049564F"/>
    <w:rsid w:val="00495768"/>
    <w:rsid w:val="00495942"/>
    <w:rsid w:val="00495AB5"/>
    <w:rsid w:val="004963FB"/>
    <w:rsid w:val="00496517"/>
    <w:rsid w:val="00496821"/>
    <w:rsid w:val="00496B74"/>
    <w:rsid w:val="00496C09"/>
    <w:rsid w:val="00496CD2"/>
    <w:rsid w:val="00496DCD"/>
    <w:rsid w:val="00497822"/>
    <w:rsid w:val="00497A77"/>
    <w:rsid w:val="00497E37"/>
    <w:rsid w:val="00497E8D"/>
    <w:rsid w:val="00497F30"/>
    <w:rsid w:val="004A01BC"/>
    <w:rsid w:val="004A0ADF"/>
    <w:rsid w:val="004A0E32"/>
    <w:rsid w:val="004A0FA3"/>
    <w:rsid w:val="004A1112"/>
    <w:rsid w:val="004A136B"/>
    <w:rsid w:val="004A14A9"/>
    <w:rsid w:val="004A184B"/>
    <w:rsid w:val="004A1B04"/>
    <w:rsid w:val="004A1BF7"/>
    <w:rsid w:val="004A1E73"/>
    <w:rsid w:val="004A22F7"/>
    <w:rsid w:val="004A2567"/>
    <w:rsid w:val="004A26A0"/>
    <w:rsid w:val="004A2748"/>
    <w:rsid w:val="004A27D0"/>
    <w:rsid w:val="004A284A"/>
    <w:rsid w:val="004A31B5"/>
    <w:rsid w:val="004A32E6"/>
    <w:rsid w:val="004A34AB"/>
    <w:rsid w:val="004A35F0"/>
    <w:rsid w:val="004A3B98"/>
    <w:rsid w:val="004A3D95"/>
    <w:rsid w:val="004A3DE8"/>
    <w:rsid w:val="004A49F8"/>
    <w:rsid w:val="004A4A73"/>
    <w:rsid w:val="004A528E"/>
    <w:rsid w:val="004A561A"/>
    <w:rsid w:val="004A6189"/>
    <w:rsid w:val="004A650E"/>
    <w:rsid w:val="004A6D4C"/>
    <w:rsid w:val="004A765F"/>
    <w:rsid w:val="004A7905"/>
    <w:rsid w:val="004A7D61"/>
    <w:rsid w:val="004B0006"/>
    <w:rsid w:val="004B0097"/>
    <w:rsid w:val="004B0205"/>
    <w:rsid w:val="004B0756"/>
    <w:rsid w:val="004B0BE2"/>
    <w:rsid w:val="004B0C03"/>
    <w:rsid w:val="004B10E8"/>
    <w:rsid w:val="004B1602"/>
    <w:rsid w:val="004B17AE"/>
    <w:rsid w:val="004B1FC3"/>
    <w:rsid w:val="004B1FD0"/>
    <w:rsid w:val="004B20BB"/>
    <w:rsid w:val="004B2680"/>
    <w:rsid w:val="004B270A"/>
    <w:rsid w:val="004B3F5B"/>
    <w:rsid w:val="004B3FA6"/>
    <w:rsid w:val="004B3FCB"/>
    <w:rsid w:val="004B411B"/>
    <w:rsid w:val="004B48B9"/>
    <w:rsid w:val="004B4E22"/>
    <w:rsid w:val="004B59DE"/>
    <w:rsid w:val="004B5BC0"/>
    <w:rsid w:val="004B60F4"/>
    <w:rsid w:val="004B6139"/>
    <w:rsid w:val="004B6169"/>
    <w:rsid w:val="004B61CF"/>
    <w:rsid w:val="004B662C"/>
    <w:rsid w:val="004B6846"/>
    <w:rsid w:val="004B6AFF"/>
    <w:rsid w:val="004B6C9D"/>
    <w:rsid w:val="004B7568"/>
    <w:rsid w:val="004B7728"/>
    <w:rsid w:val="004C0202"/>
    <w:rsid w:val="004C046D"/>
    <w:rsid w:val="004C0656"/>
    <w:rsid w:val="004C0739"/>
    <w:rsid w:val="004C0819"/>
    <w:rsid w:val="004C0853"/>
    <w:rsid w:val="004C0E12"/>
    <w:rsid w:val="004C1115"/>
    <w:rsid w:val="004C11BB"/>
    <w:rsid w:val="004C1582"/>
    <w:rsid w:val="004C1868"/>
    <w:rsid w:val="004C1CE3"/>
    <w:rsid w:val="004C1D2F"/>
    <w:rsid w:val="004C1F8A"/>
    <w:rsid w:val="004C1FDF"/>
    <w:rsid w:val="004C20FE"/>
    <w:rsid w:val="004C2289"/>
    <w:rsid w:val="004C26FE"/>
    <w:rsid w:val="004C292A"/>
    <w:rsid w:val="004C32F2"/>
    <w:rsid w:val="004C3869"/>
    <w:rsid w:val="004C38ED"/>
    <w:rsid w:val="004C4111"/>
    <w:rsid w:val="004C4198"/>
    <w:rsid w:val="004C432F"/>
    <w:rsid w:val="004C4343"/>
    <w:rsid w:val="004C46BA"/>
    <w:rsid w:val="004C48B1"/>
    <w:rsid w:val="004C4A19"/>
    <w:rsid w:val="004C4C3F"/>
    <w:rsid w:val="004C4E87"/>
    <w:rsid w:val="004C4FF3"/>
    <w:rsid w:val="004C4FF5"/>
    <w:rsid w:val="004C537D"/>
    <w:rsid w:val="004C56EB"/>
    <w:rsid w:val="004C5959"/>
    <w:rsid w:val="004C5A0A"/>
    <w:rsid w:val="004C637F"/>
    <w:rsid w:val="004C6ACE"/>
    <w:rsid w:val="004C6FDD"/>
    <w:rsid w:val="004C736D"/>
    <w:rsid w:val="004C749C"/>
    <w:rsid w:val="004D005A"/>
    <w:rsid w:val="004D04D7"/>
    <w:rsid w:val="004D06BA"/>
    <w:rsid w:val="004D0956"/>
    <w:rsid w:val="004D0D80"/>
    <w:rsid w:val="004D0F36"/>
    <w:rsid w:val="004D1876"/>
    <w:rsid w:val="004D1E4A"/>
    <w:rsid w:val="004D1F23"/>
    <w:rsid w:val="004D2011"/>
    <w:rsid w:val="004D29B6"/>
    <w:rsid w:val="004D2AD6"/>
    <w:rsid w:val="004D30C6"/>
    <w:rsid w:val="004D3732"/>
    <w:rsid w:val="004D3CD3"/>
    <w:rsid w:val="004D3E5B"/>
    <w:rsid w:val="004D4368"/>
    <w:rsid w:val="004D4468"/>
    <w:rsid w:val="004D46B8"/>
    <w:rsid w:val="004D4A28"/>
    <w:rsid w:val="004D4B01"/>
    <w:rsid w:val="004D4BE3"/>
    <w:rsid w:val="004D5723"/>
    <w:rsid w:val="004D6307"/>
    <w:rsid w:val="004D729B"/>
    <w:rsid w:val="004D7D30"/>
    <w:rsid w:val="004E0068"/>
    <w:rsid w:val="004E04FB"/>
    <w:rsid w:val="004E0535"/>
    <w:rsid w:val="004E0AB3"/>
    <w:rsid w:val="004E1052"/>
    <w:rsid w:val="004E264B"/>
    <w:rsid w:val="004E27EC"/>
    <w:rsid w:val="004E2A66"/>
    <w:rsid w:val="004E2B3C"/>
    <w:rsid w:val="004E2C26"/>
    <w:rsid w:val="004E2EC9"/>
    <w:rsid w:val="004E3196"/>
    <w:rsid w:val="004E3467"/>
    <w:rsid w:val="004E3AF3"/>
    <w:rsid w:val="004E3C61"/>
    <w:rsid w:val="004E3C88"/>
    <w:rsid w:val="004E3D84"/>
    <w:rsid w:val="004E412B"/>
    <w:rsid w:val="004E49B0"/>
    <w:rsid w:val="004E4D1D"/>
    <w:rsid w:val="004E4EBA"/>
    <w:rsid w:val="004E4F0D"/>
    <w:rsid w:val="004E4F12"/>
    <w:rsid w:val="004E525B"/>
    <w:rsid w:val="004E5354"/>
    <w:rsid w:val="004E5691"/>
    <w:rsid w:val="004E5BFF"/>
    <w:rsid w:val="004E5E54"/>
    <w:rsid w:val="004E6451"/>
    <w:rsid w:val="004E72A3"/>
    <w:rsid w:val="004E73A5"/>
    <w:rsid w:val="004E763D"/>
    <w:rsid w:val="004E77CC"/>
    <w:rsid w:val="004E7C49"/>
    <w:rsid w:val="004E7E35"/>
    <w:rsid w:val="004F0B34"/>
    <w:rsid w:val="004F0C15"/>
    <w:rsid w:val="004F0CBC"/>
    <w:rsid w:val="004F0DAE"/>
    <w:rsid w:val="004F11A4"/>
    <w:rsid w:val="004F1622"/>
    <w:rsid w:val="004F1654"/>
    <w:rsid w:val="004F1782"/>
    <w:rsid w:val="004F19EC"/>
    <w:rsid w:val="004F1DD3"/>
    <w:rsid w:val="004F2146"/>
    <w:rsid w:val="004F22A2"/>
    <w:rsid w:val="004F22FA"/>
    <w:rsid w:val="004F2356"/>
    <w:rsid w:val="004F2544"/>
    <w:rsid w:val="004F2644"/>
    <w:rsid w:val="004F2724"/>
    <w:rsid w:val="004F287E"/>
    <w:rsid w:val="004F3459"/>
    <w:rsid w:val="004F35BB"/>
    <w:rsid w:val="004F3A3E"/>
    <w:rsid w:val="004F3B17"/>
    <w:rsid w:val="004F3BD2"/>
    <w:rsid w:val="004F408B"/>
    <w:rsid w:val="004F4834"/>
    <w:rsid w:val="004F51B8"/>
    <w:rsid w:val="004F539C"/>
    <w:rsid w:val="004F53F0"/>
    <w:rsid w:val="004F55AC"/>
    <w:rsid w:val="004F614E"/>
    <w:rsid w:val="004F6B6A"/>
    <w:rsid w:val="004F6C6A"/>
    <w:rsid w:val="004F6DEF"/>
    <w:rsid w:val="004F7167"/>
    <w:rsid w:val="004F74DF"/>
    <w:rsid w:val="004F7978"/>
    <w:rsid w:val="004F7A1A"/>
    <w:rsid w:val="004F7BB9"/>
    <w:rsid w:val="004F7C8C"/>
    <w:rsid w:val="004F7D36"/>
    <w:rsid w:val="004F7D76"/>
    <w:rsid w:val="004F7E71"/>
    <w:rsid w:val="00500C42"/>
    <w:rsid w:val="00500CE9"/>
    <w:rsid w:val="00500D0C"/>
    <w:rsid w:val="0050106B"/>
    <w:rsid w:val="00501125"/>
    <w:rsid w:val="0050123D"/>
    <w:rsid w:val="005013E9"/>
    <w:rsid w:val="0050141D"/>
    <w:rsid w:val="0050169D"/>
    <w:rsid w:val="005019EF"/>
    <w:rsid w:val="00502132"/>
    <w:rsid w:val="005024E6"/>
    <w:rsid w:val="0050260B"/>
    <w:rsid w:val="00502E20"/>
    <w:rsid w:val="0050326D"/>
    <w:rsid w:val="00503620"/>
    <w:rsid w:val="005037C9"/>
    <w:rsid w:val="00503C91"/>
    <w:rsid w:val="005043FB"/>
    <w:rsid w:val="0050452D"/>
    <w:rsid w:val="0050468A"/>
    <w:rsid w:val="005046C2"/>
    <w:rsid w:val="00504E99"/>
    <w:rsid w:val="00505F09"/>
    <w:rsid w:val="005064C1"/>
    <w:rsid w:val="005065F9"/>
    <w:rsid w:val="00506656"/>
    <w:rsid w:val="00506832"/>
    <w:rsid w:val="0050692E"/>
    <w:rsid w:val="00506B0F"/>
    <w:rsid w:val="00506B4E"/>
    <w:rsid w:val="00507343"/>
    <w:rsid w:val="00507E6B"/>
    <w:rsid w:val="00510A30"/>
    <w:rsid w:val="00510AE5"/>
    <w:rsid w:val="00510CE4"/>
    <w:rsid w:val="005113B3"/>
    <w:rsid w:val="00511429"/>
    <w:rsid w:val="005118BC"/>
    <w:rsid w:val="00511B7D"/>
    <w:rsid w:val="00511DEA"/>
    <w:rsid w:val="00511E5F"/>
    <w:rsid w:val="00511EE4"/>
    <w:rsid w:val="00511F6D"/>
    <w:rsid w:val="0051299E"/>
    <w:rsid w:val="00512A6F"/>
    <w:rsid w:val="00512D14"/>
    <w:rsid w:val="00513856"/>
    <w:rsid w:val="00513887"/>
    <w:rsid w:val="00513BA6"/>
    <w:rsid w:val="00513FAB"/>
    <w:rsid w:val="00514C18"/>
    <w:rsid w:val="0051501B"/>
    <w:rsid w:val="005153E5"/>
    <w:rsid w:val="005156E5"/>
    <w:rsid w:val="005157B5"/>
    <w:rsid w:val="00515819"/>
    <w:rsid w:val="005158D9"/>
    <w:rsid w:val="00515FB7"/>
    <w:rsid w:val="00516B2D"/>
    <w:rsid w:val="00517612"/>
    <w:rsid w:val="005176B6"/>
    <w:rsid w:val="0051795A"/>
    <w:rsid w:val="00517C36"/>
    <w:rsid w:val="00520542"/>
    <w:rsid w:val="0052071E"/>
    <w:rsid w:val="005207CA"/>
    <w:rsid w:val="00520913"/>
    <w:rsid w:val="00520AE2"/>
    <w:rsid w:val="00520B65"/>
    <w:rsid w:val="00520D7E"/>
    <w:rsid w:val="00520FD2"/>
    <w:rsid w:val="0052150C"/>
    <w:rsid w:val="005216CA"/>
    <w:rsid w:val="00521B32"/>
    <w:rsid w:val="00521D46"/>
    <w:rsid w:val="00521FD9"/>
    <w:rsid w:val="0052224C"/>
    <w:rsid w:val="005222AA"/>
    <w:rsid w:val="005227A7"/>
    <w:rsid w:val="005229DC"/>
    <w:rsid w:val="00522FB1"/>
    <w:rsid w:val="00522FD6"/>
    <w:rsid w:val="00523480"/>
    <w:rsid w:val="005235E1"/>
    <w:rsid w:val="005235EA"/>
    <w:rsid w:val="005236FD"/>
    <w:rsid w:val="0052387D"/>
    <w:rsid w:val="00523B3F"/>
    <w:rsid w:val="00523C41"/>
    <w:rsid w:val="00523CB4"/>
    <w:rsid w:val="00523F66"/>
    <w:rsid w:val="00524B4A"/>
    <w:rsid w:val="00524C44"/>
    <w:rsid w:val="00525803"/>
    <w:rsid w:val="00525AB2"/>
    <w:rsid w:val="00525B01"/>
    <w:rsid w:val="00525F64"/>
    <w:rsid w:val="00526190"/>
    <w:rsid w:val="0052674C"/>
    <w:rsid w:val="00526AC1"/>
    <w:rsid w:val="00526AF8"/>
    <w:rsid w:val="0052737A"/>
    <w:rsid w:val="00527479"/>
    <w:rsid w:val="00527740"/>
    <w:rsid w:val="00527747"/>
    <w:rsid w:val="00527896"/>
    <w:rsid w:val="00527AA5"/>
    <w:rsid w:val="00527E4D"/>
    <w:rsid w:val="0053022C"/>
    <w:rsid w:val="00531C09"/>
    <w:rsid w:val="00531E1D"/>
    <w:rsid w:val="00532268"/>
    <w:rsid w:val="00532764"/>
    <w:rsid w:val="00532B26"/>
    <w:rsid w:val="00532B3E"/>
    <w:rsid w:val="00532E50"/>
    <w:rsid w:val="00533BE9"/>
    <w:rsid w:val="00533D91"/>
    <w:rsid w:val="005342A4"/>
    <w:rsid w:val="005344C3"/>
    <w:rsid w:val="00535233"/>
    <w:rsid w:val="005354E0"/>
    <w:rsid w:val="0053569D"/>
    <w:rsid w:val="00535804"/>
    <w:rsid w:val="00535A67"/>
    <w:rsid w:val="0053661F"/>
    <w:rsid w:val="005366D9"/>
    <w:rsid w:val="005368E0"/>
    <w:rsid w:val="005368FA"/>
    <w:rsid w:val="00536AC2"/>
    <w:rsid w:val="00536C12"/>
    <w:rsid w:val="005370A0"/>
    <w:rsid w:val="0053719C"/>
    <w:rsid w:val="005375FA"/>
    <w:rsid w:val="00537853"/>
    <w:rsid w:val="00537881"/>
    <w:rsid w:val="00537C83"/>
    <w:rsid w:val="00537EFB"/>
    <w:rsid w:val="00540042"/>
    <w:rsid w:val="005403E3"/>
    <w:rsid w:val="00540537"/>
    <w:rsid w:val="00540546"/>
    <w:rsid w:val="00540777"/>
    <w:rsid w:val="00540B89"/>
    <w:rsid w:val="00540BAF"/>
    <w:rsid w:val="00540D20"/>
    <w:rsid w:val="0054145D"/>
    <w:rsid w:val="005414F8"/>
    <w:rsid w:val="00541B13"/>
    <w:rsid w:val="005422F4"/>
    <w:rsid w:val="0054248F"/>
    <w:rsid w:val="0054267C"/>
    <w:rsid w:val="005431D2"/>
    <w:rsid w:val="00543545"/>
    <w:rsid w:val="00544564"/>
    <w:rsid w:val="005446AD"/>
    <w:rsid w:val="00544B1F"/>
    <w:rsid w:val="00544E1B"/>
    <w:rsid w:val="00544F2F"/>
    <w:rsid w:val="00545267"/>
    <w:rsid w:val="005454BD"/>
    <w:rsid w:val="005456D3"/>
    <w:rsid w:val="0054571E"/>
    <w:rsid w:val="005460A5"/>
    <w:rsid w:val="00546227"/>
    <w:rsid w:val="005462F7"/>
    <w:rsid w:val="005463B6"/>
    <w:rsid w:val="0054687C"/>
    <w:rsid w:val="005469F0"/>
    <w:rsid w:val="00546C0B"/>
    <w:rsid w:val="00546C1E"/>
    <w:rsid w:val="00547435"/>
    <w:rsid w:val="005477FA"/>
    <w:rsid w:val="00547958"/>
    <w:rsid w:val="00547A66"/>
    <w:rsid w:val="00550597"/>
    <w:rsid w:val="00550BFE"/>
    <w:rsid w:val="00550FAC"/>
    <w:rsid w:val="00551226"/>
    <w:rsid w:val="0055126C"/>
    <w:rsid w:val="005513EB"/>
    <w:rsid w:val="00551421"/>
    <w:rsid w:val="00551825"/>
    <w:rsid w:val="00551AA9"/>
    <w:rsid w:val="00551EE0"/>
    <w:rsid w:val="00551FC2"/>
    <w:rsid w:val="005520A2"/>
    <w:rsid w:val="005522B3"/>
    <w:rsid w:val="00552430"/>
    <w:rsid w:val="005524D4"/>
    <w:rsid w:val="00552A0E"/>
    <w:rsid w:val="00552B7D"/>
    <w:rsid w:val="00552E02"/>
    <w:rsid w:val="00552E26"/>
    <w:rsid w:val="005535DA"/>
    <w:rsid w:val="00553FC9"/>
    <w:rsid w:val="005540A3"/>
    <w:rsid w:val="005540FA"/>
    <w:rsid w:val="0055418F"/>
    <w:rsid w:val="005541CF"/>
    <w:rsid w:val="00554620"/>
    <w:rsid w:val="00554657"/>
    <w:rsid w:val="00554A75"/>
    <w:rsid w:val="00554E84"/>
    <w:rsid w:val="00554FB3"/>
    <w:rsid w:val="005554DE"/>
    <w:rsid w:val="005560AB"/>
    <w:rsid w:val="00556252"/>
    <w:rsid w:val="00556825"/>
    <w:rsid w:val="00556D2D"/>
    <w:rsid w:val="00557174"/>
    <w:rsid w:val="0055742E"/>
    <w:rsid w:val="00557ABD"/>
    <w:rsid w:val="005604D6"/>
    <w:rsid w:val="0056060E"/>
    <w:rsid w:val="005612F9"/>
    <w:rsid w:val="005615A0"/>
    <w:rsid w:val="00561B49"/>
    <w:rsid w:val="00561F29"/>
    <w:rsid w:val="005629E4"/>
    <w:rsid w:val="00562D8D"/>
    <w:rsid w:val="00563508"/>
    <w:rsid w:val="005647A1"/>
    <w:rsid w:val="005649A1"/>
    <w:rsid w:val="00564DFF"/>
    <w:rsid w:val="00565195"/>
    <w:rsid w:val="00565539"/>
    <w:rsid w:val="00565A7A"/>
    <w:rsid w:val="00565AD8"/>
    <w:rsid w:val="005663EE"/>
    <w:rsid w:val="005667AE"/>
    <w:rsid w:val="005667C9"/>
    <w:rsid w:val="005669D1"/>
    <w:rsid w:val="00566BFC"/>
    <w:rsid w:val="00566C53"/>
    <w:rsid w:val="00566E6C"/>
    <w:rsid w:val="00566F6F"/>
    <w:rsid w:val="00566FCE"/>
    <w:rsid w:val="005677F1"/>
    <w:rsid w:val="0056788B"/>
    <w:rsid w:val="005678B6"/>
    <w:rsid w:val="00567936"/>
    <w:rsid w:val="00567AF3"/>
    <w:rsid w:val="00567D63"/>
    <w:rsid w:val="00567F6B"/>
    <w:rsid w:val="00570219"/>
    <w:rsid w:val="00570374"/>
    <w:rsid w:val="005709E1"/>
    <w:rsid w:val="00570C46"/>
    <w:rsid w:val="00570D44"/>
    <w:rsid w:val="00571083"/>
    <w:rsid w:val="005713E2"/>
    <w:rsid w:val="00572459"/>
    <w:rsid w:val="0057256D"/>
    <w:rsid w:val="0057276A"/>
    <w:rsid w:val="005728B2"/>
    <w:rsid w:val="00572BA5"/>
    <w:rsid w:val="00572DC0"/>
    <w:rsid w:val="00573925"/>
    <w:rsid w:val="00574552"/>
    <w:rsid w:val="005745C1"/>
    <w:rsid w:val="00574869"/>
    <w:rsid w:val="00574C1B"/>
    <w:rsid w:val="00574C47"/>
    <w:rsid w:val="00574D19"/>
    <w:rsid w:val="0057535E"/>
    <w:rsid w:val="005753E5"/>
    <w:rsid w:val="005755F4"/>
    <w:rsid w:val="0057562A"/>
    <w:rsid w:val="005756CB"/>
    <w:rsid w:val="00575746"/>
    <w:rsid w:val="005759CA"/>
    <w:rsid w:val="005759CF"/>
    <w:rsid w:val="00575B78"/>
    <w:rsid w:val="00575BAE"/>
    <w:rsid w:val="00575F9E"/>
    <w:rsid w:val="005762B0"/>
    <w:rsid w:val="005762F6"/>
    <w:rsid w:val="00576402"/>
    <w:rsid w:val="00576760"/>
    <w:rsid w:val="00576F3B"/>
    <w:rsid w:val="00577107"/>
    <w:rsid w:val="0057715F"/>
    <w:rsid w:val="0057724A"/>
    <w:rsid w:val="00577E9A"/>
    <w:rsid w:val="00580394"/>
    <w:rsid w:val="005805E3"/>
    <w:rsid w:val="00580780"/>
    <w:rsid w:val="00580BC7"/>
    <w:rsid w:val="00580BFB"/>
    <w:rsid w:val="00581162"/>
    <w:rsid w:val="005815F0"/>
    <w:rsid w:val="00581725"/>
    <w:rsid w:val="0058192C"/>
    <w:rsid w:val="00581A62"/>
    <w:rsid w:val="00582053"/>
    <w:rsid w:val="00582091"/>
    <w:rsid w:val="0058223C"/>
    <w:rsid w:val="0058283F"/>
    <w:rsid w:val="00582C4F"/>
    <w:rsid w:val="00582C71"/>
    <w:rsid w:val="00582D4F"/>
    <w:rsid w:val="00582FAC"/>
    <w:rsid w:val="005831C4"/>
    <w:rsid w:val="005833E5"/>
    <w:rsid w:val="00583501"/>
    <w:rsid w:val="005837F7"/>
    <w:rsid w:val="00583C8F"/>
    <w:rsid w:val="005842A8"/>
    <w:rsid w:val="00584336"/>
    <w:rsid w:val="00584923"/>
    <w:rsid w:val="005851AD"/>
    <w:rsid w:val="00585330"/>
    <w:rsid w:val="00585710"/>
    <w:rsid w:val="0058583D"/>
    <w:rsid w:val="00586315"/>
    <w:rsid w:val="00586380"/>
    <w:rsid w:val="00586746"/>
    <w:rsid w:val="00586AE0"/>
    <w:rsid w:val="00586F16"/>
    <w:rsid w:val="005877CF"/>
    <w:rsid w:val="00587CBA"/>
    <w:rsid w:val="00587CBB"/>
    <w:rsid w:val="00590015"/>
    <w:rsid w:val="00590072"/>
    <w:rsid w:val="005902DE"/>
    <w:rsid w:val="00590760"/>
    <w:rsid w:val="0059095B"/>
    <w:rsid w:val="00590A2A"/>
    <w:rsid w:val="00590A5B"/>
    <w:rsid w:val="00590BFA"/>
    <w:rsid w:val="00590F16"/>
    <w:rsid w:val="005921B8"/>
    <w:rsid w:val="00592326"/>
    <w:rsid w:val="00592509"/>
    <w:rsid w:val="005929DC"/>
    <w:rsid w:val="0059386D"/>
    <w:rsid w:val="005939E2"/>
    <w:rsid w:val="00593B99"/>
    <w:rsid w:val="00593E64"/>
    <w:rsid w:val="00594C02"/>
    <w:rsid w:val="00594CA9"/>
    <w:rsid w:val="00594E00"/>
    <w:rsid w:val="00594EF3"/>
    <w:rsid w:val="00594FA0"/>
    <w:rsid w:val="00594FD1"/>
    <w:rsid w:val="00595118"/>
    <w:rsid w:val="00595152"/>
    <w:rsid w:val="0059521B"/>
    <w:rsid w:val="005956F8"/>
    <w:rsid w:val="00595C44"/>
    <w:rsid w:val="00595C64"/>
    <w:rsid w:val="0059625C"/>
    <w:rsid w:val="005962B4"/>
    <w:rsid w:val="005964D2"/>
    <w:rsid w:val="00597FB1"/>
    <w:rsid w:val="005A041B"/>
    <w:rsid w:val="005A0593"/>
    <w:rsid w:val="005A0F12"/>
    <w:rsid w:val="005A1084"/>
    <w:rsid w:val="005A1386"/>
    <w:rsid w:val="005A17B5"/>
    <w:rsid w:val="005A1A40"/>
    <w:rsid w:val="005A1E35"/>
    <w:rsid w:val="005A1E75"/>
    <w:rsid w:val="005A2028"/>
    <w:rsid w:val="005A21FE"/>
    <w:rsid w:val="005A32FF"/>
    <w:rsid w:val="005A335C"/>
    <w:rsid w:val="005A3A16"/>
    <w:rsid w:val="005A49FB"/>
    <w:rsid w:val="005A4A9E"/>
    <w:rsid w:val="005A4B0E"/>
    <w:rsid w:val="005A5155"/>
    <w:rsid w:val="005A5163"/>
    <w:rsid w:val="005A5372"/>
    <w:rsid w:val="005A554B"/>
    <w:rsid w:val="005A58F3"/>
    <w:rsid w:val="005A5BB7"/>
    <w:rsid w:val="005A5D4B"/>
    <w:rsid w:val="005A5FF0"/>
    <w:rsid w:val="005A63AF"/>
    <w:rsid w:val="005A64AA"/>
    <w:rsid w:val="005A6864"/>
    <w:rsid w:val="005A6AAA"/>
    <w:rsid w:val="005A6DA9"/>
    <w:rsid w:val="005A6F3A"/>
    <w:rsid w:val="005A748E"/>
    <w:rsid w:val="005B00F7"/>
    <w:rsid w:val="005B0A32"/>
    <w:rsid w:val="005B0A35"/>
    <w:rsid w:val="005B12ED"/>
    <w:rsid w:val="005B14B1"/>
    <w:rsid w:val="005B1D9C"/>
    <w:rsid w:val="005B1F7B"/>
    <w:rsid w:val="005B277E"/>
    <w:rsid w:val="005B28AB"/>
    <w:rsid w:val="005B2B44"/>
    <w:rsid w:val="005B2D4A"/>
    <w:rsid w:val="005B2E33"/>
    <w:rsid w:val="005B30AE"/>
    <w:rsid w:val="005B3947"/>
    <w:rsid w:val="005B3B54"/>
    <w:rsid w:val="005B3D04"/>
    <w:rsid w:val="005B3EFF"/>
    <w:rsid w:val="005B407F"/>
    <w:rsid w:val="005B4137"/>
    <w:rsid w:val="005B42F5"/>
    <w:rsid w:val="005B4349"/>
    <w:rsid w:val="005B4835"/>
    <w:rsid w:val="005B48AF"/>
    <w:rsid w:val="005B4AD4"/>
    <w:rsid w:val="005B5A8A"/>
    <w:rsid w:val="005B602E"/>
    <w:rsid w:val="005B60EB"/>
    <w:rsid w:val="005B612A"/>
    <w:rsid w:val="005B63B0"/>
    <w:rsid w:val="005B649F"/>
    <w:rsid w:val="005B7220"/>
    <w:rsid w:val="005B7536"/>
    <w:rsid w:val="005B75D4"/>
    <w:rsid w:val="005B7C4B"/>
    <w:rsid w:val="005B7D80"/>
    <w:rsid w:val="005C001A"/>
    <w:rsid w:val="005C01B2"/>
    <w:rsid w:val="005C040F"/>
    <w:rsid w:val="005C1177"/>
    <w:rsid w:val="005C11B1"/>
    <w:rsid w:val="005C1237"/>
    <w:rsid w:val="005C15FE"/>
    <w:rsid w:val="005C1E2A"/>
    <w:rsid w:val="005C1FE6"/>
    <w:rsid w:val="005C2A03"/>
    <w:rsid w:val="005C2A5C"/>
    <w:rsid w:val="005C2E1C"/>
    <w:rsid w:val="005C3158"/>
    <w:rsid w:val="005C315E"/>
    <w:rsid w:val="005C353D"/>
    <w:rsid w:val="005C35C7"/>
    <w:rsid w:val="005C3947"/>
    <w:rsid w:val="005C3A87"/>
    <w:rsid w:val="005C3B50"/>
    <w:rsid w:val="005C428E"/>
    <w:rsid w:val="005C4B02"/>
    <w:rsid w:val="005C52B5"/>
    <w:rsid w:val="005C52FF"/>
    <w:rsid w:val="005C5305"/>
    <w:rsid w:val="005C55DA"/>
    <w:rsid w:val="005C5898"/>
    <w:rsid w:val="005C5973"/>
    <w:rsid w:val="005C5A0F"/>
    <w:rsid w:val="005C5DA7"/>
    <w:rsid w:val="005C6001"/>
    <w:rsid w:val="005C641E"/>
    <w:rsid w:val="005C6426"/>
    <w:rsid w:val="005C699C"/>
    <w:rsid w:val="005C6A86"/>
    <w:rsid w:val="005C6CC9"/>
    <w:rsid w:val="005C7101"/>
    <w:rsid w:val="005C7165"/>
    <w:rsid w:val="005C7614"/>
    <w:rsid w:val="005C77DE"/>
    <w:rsid w:val="005C7857"/>
    <w:rsid w:val="005C7888"/>
    <w:rsid w:val="005C7C23"/>
    <w:rsid w:val="005C7D4A"/>
    <w:rsid w:val="005D00AB"/>
    <w:rsid w:val="005D0535"/>
    <w:rsid w:val="005D099A"/>
    <w:rsid w:val="005D144C"/>
    <w:rsid w:val="005D164A"/>
    <w:rsid w:val="005D189B"/>
    <w:rsid w:val="005D19EC"/>
    <w:rsid w:val="005D1B45"/>
    <w:rsid w:val="005D1F74"/>
    <w:rsid w:val="005D2026"/>
    <w:rsid w:val="005D23B7"/>
    <w:rsid w:val="005D2F35"/>
    <w:rsid w:val="005D37C8"/>
    <w:rsid w:val="005D399B"/>
    <w:rsid w:val="005D3C68"/>
    <w:rsid w:val="005D3D91"/>
    <w:rsid w:val="005D40D0"/>
    <w:rsid w:val="005D40FD"/>
    <w:rsid w:val="005D4126"/>
    <w:rsid w:val="005D4613"/>
    <w:rsid w:val="005D4EE7"/>
    <w:rsid w:val="005D51F9"/>
    <w:rsid w:val="005D5293"/>
    <w:rsid w:val="005D5715"/>
    <w:rsid w:val="005D5B0B"/>
    <w:rsid w:val="005D60B7"/>
    <w:rsid w:val="005D638C"/>
    <w:rsid w:val="005D6A28"/>
    <w:rsid w:val="005D6C7E"/>
    <w:rsid w:val="005D743D"/>
    <w:rsid w:val="005D74A6"/>
    <w:rsid w:val="005D7525"/>
    <w:rsid w:val="005D766D"/>
    <w:rsid w:val="005D786B"/>
    <w:rsid w:val="005D7B80"/>
    <w:rsid w:val="005D7F18"/>
    <w:rsid w:val="005E01B9"/>
    <w:rsid w:val="005E01E9"/>
    <w:rsid w:val="005E0688"/>
    <w:rsid w:val="005E0E70"/>
    <w:rsid w:val="005E14E4"/>
    <w:rsid w:val="005E1A42"/>
    <w:rsid w:val="005E1F60"/>
    <w:rsid w:val="005E2045"/>
    <w:rsid w:val="005E24F6"/>
    <w:rsid w:val="005E27BD"/>
    <w:rsid w:val="005E2D6F"/>
    <w:rsid w:val="005E2EBC"/>
    <w:rsid w:val="005E32E1"/>
    <w:rsid w:val="005E3F4A"/>
    <w:rsid w:val="005E4784"/>
    <w:rsid w:val="005E49ED"/>
    <w:rsid w:val="005E57A7"/>
    <w:rsid w:val="005E64A8"/>
    <w:rsid w:val="005E73C9"/>
    <w:rsid w:val="005E7533"/>
    <w:rsid w:val="005E7585"/>
    <w:rsid w:val="005E775D"/>
    <w:rsid w:val="005E791A"/>
    <w:rsid w:val="005E7C07"/>
    <w:rsid w:val="005E7E03"/>
    <w:rsid w:val="005F013D"/>
    <w:rsid w:val="005F0241"/>
    <w:rsid w:val="005F0944"/>
    <w:rsid w:val="005F10D4"/>
    <w:rsid w:val="005F1332"/>
    <w:rsid w:val="005F209A"/>
    <w:rsid w:val="005F2585"/>
    <w:rsid w:val="005F2683"/>
    <w:rsid w:val="005F2A97"/>
    <w:rsid w:val="005F2D41"/>
    <w:rsid w:val="005F2E22"/>
    <w:rsid w:val="005F3013"/>
    <w:rsid w:val="005F322A"/>
    <w:rsid w:val="005F3543"/>
    <w:rsid w:val="005F38DD"/>
    <w:rsid w:val="005F3CD3"/>
    <w:rsid w:val="005F434A"/>
    <w:rsid w:val="005F4BDC"/>
    <w:rsid w:val="005F51AA"/>
    <w:rsid w:val="005F539A"/>
    <w:rsid w:val="005F5414"/>
    <w:rsid w:val="005F55A3"/>
    <w:rsid w:val="005F55C8"/>
    <w:rsid w:val="005F566D"/>
    <w:rsid w:val="005F5695"/>
    <w:rsid w:val="005F587A"/>
    <w:rsid w:val="005F603E"/>
    <w:rsid w:val="005F62F7"/>
    <w:rsid w:val="005F6536"/>
    <w:rsid w:val="005F66F8"/>
    <w:rsid w:val="005F6D3D"/>
    <w:rsid w:val="005F73E7"/>
    <w:rsid w:val="005F782D"/>
    <w:rsid w:val="005F7AE4"/>
    <w:rsid w:val="005F7D2E"/>
    <w:rsid w:val="005F7EE4"/>
    <w:rsid w:val="005FEA29"/>
    <w:rsid w:val="006000E3"/>
    <w:rsid w:val="006001EE"/>
    <w:rsid w:val="006004F4"/>
    <w:rsid w:val="006006EF"/>
    <w:rsid w:val="0060075F"/>
    <w:rsid w:val="00600790"/>
    <w:rsid w:val="00600D43"/>
    <w:rsid w:val="0060127A"/>
    <w:rsid w:val="006013EE"/>
    <w:rsid w:val="006017BB"/>
    <w:rsid w:val="006018D9"/>
    <w:rsid w:val="00601E70"/>
    <w:rsid w:val="0060249C"/>
    <w:rsid w:val="006028BA"/>
    <w:rsid w:val="006029A0"/>
    <w:rsid w:val="00602CF3"/>
    <w:rsid w:val="00602FC6"/>
    <w:rsid w:val="006033D9"/>
    <w:rsid w:val="0060378F"/>
    <w:rsid w:val="00603AC6"/>
    <w:rsid w:val="00603C2C"/>
    <w:rsid w:val="0060418C"/>
    <w:rsid w:val="0060442A"/>
    <w:rsid w:val="00604E3F"/>
    <w:rsid w:val="00605894"/>
    <w:rsid w:val="00605A77"/>
    <w:rsid w:val="00605CF3"/>
    <w:rsid w:val="00606F83"/>
    <w:rsid w:val="00607A30"/>
    <w:rsid w:val="00607B0B"/>
    <w:rsid w:val="006101B1"/>
    <w:rsid w:val="006104BC"/>
    <w:rsid w:val="00610864"/>
    <w:rsid w:val="006109EF"/>
    <w:rsid w:val="006111E2"/>
    <w:rsid w:val="0061139D"/>
    <w:rsid w:val="00611488"/>
    <w:rsid w:val="00611D99"/>
    <w:rsid w:val="006120C7"/>
    <w:rsid w:val="006120DA"/>
    <w:rsid w:val="0061216B"/>
    <w:rsid w:val="006121BC"/>
    <w:rsid w:val="00612449"/>
    <w:rsid w:val="006125AC"/>
    <w:rsid w:val="00612A8B"/>
    <w:rsid w:val="00613298"/>
    <w:rsid w:val="006137E8"/>
    <w:rsid w:val="006138D7"/>
    <w:rsid w:val="00613BC3"/>
    <w:rsid w:val="00613E2A"/>
    <w:rsid w:val="006141A2"/>
    <w:rsid w:val="006141D7"/>
    <w:rsid w:val="006145FC"/>
    <w:rsid w:val="00614771"/>
    <w:rsid w:val="00614974"/>
    <w:rsid w:val="00614A08"/>
    <w:rsid w:val="00614A17"/>
    <w:rsid w:val="00614D8C"/>
    <w:rsid w:val="0061510E"/>
    <w:rsid w:val="006155AC"/>
    <w:rsid w:val="0061584A"/>
    <w:rsid w:val="00615A8C"/>
    <w:rsid w:val="0061621E"/>
    <w:rsid w:val="0061756D"/>
    <w:rsid w:val="0062010F"/>
    <w:rsid w:val="006204EE"/>
    <w:rsid w:val="00620522"/>
    <w:rsid w:val="00620595"/>
    <w:rsid w:val="00620610"/>
    <w:rsid w:val="00620998"/>
    <w:rsid w:val="00620B73"/>
    <w:rsid w:val="00620D6E"/>
    <w:rsid w:val="00620E1D"/>
    <w:rsid w:val="00621B6E"/>
    <w:rsid w:val="00621FDE"/>
    <w:rsid w:val="0062235B"/>
    <w:rsid w:val="00622538"/>
    <w:rsid w:val="00622BF9"/>
    <w:rsid w:val="00622D7B"/>
    <w:rsid w:val="00622E11"/>
    <w:rsid w:val="00622E34"/>
    <w:rsid w:val="00622F3C"/>
    <w:rsid w:val="00623207"/>
    <w:rsid w:val="00623442"/>
    <w:rsid w:val="006237CE"/>
    <w:rsid w:val="00624082"/>
    <w:rsid w:val="00624461"/>
    <w:rsid w:val="00624575"/>
    <w:rsid w:val="00624B3E"/>
    <w:rsid w:val="00624C89"/>
    <w:rsid w:val="00625411"/>
    <w:rsid w:val="00625998"/>
    <w:rsid w:val="00625CCE"/>
    <w:rsid w:val="00625F94"/>
    <w:rsid w:val="0062612F"/>
    <w:rsid w:val="0062617A"/>
    <w:rsid w:val="006263CF"/>
    <w:rsid w:val="006265B7"/>
    <w:rsid w:val="00626811"/>
    <w:rsid w:val="0062721F"/>
    <w:rsid w:val="00627324"/>
    <w:rsid w:val="006278F7"/>
    <w:rsid w:val="00630167"/>
    <w:rsid w:val="006301CC"/>
    <w:rsid w:val="0063049D"/>
    <w:rsid w:val="006304B3"/>
    <w:rsid w:val="0063071B"/>
    <w:rsid w:val="00630A97"/>
    <w:rsid w:val="00630E88"/>
    <w:rsid w:val="0063171C"/>
    <w:rsid w:val="00631817"/>
    <w:rsid w:val="00631E6D"/>
    <w:rsid w:val="0063270E"/>
    <w:rsid w:val="00633186"/>
    <w:rsid w:val="006335F9"/>
    <w:rsid w:val="006337DE"/>
    <w:rsid w:val="006339E6"/>
    <w:rsid w:val="00633C20"/>
    <w:rsid w:val="0063460C"/>
    <w:rsid w:val="00634F43"/>
    <w:rsid w:val="006355A5"/>
    <w:rsid w:val="00635652"/>
    <w:rsid w:val="00635687"/>
    <w:rsid w:val="006357C6"/>
    <w:rsid w:val="00635AFC"/>
    <w:rsid w:val="0063618B"/>
    <w:rsid w:val="0063633D"/>
    <w:rsid w:val="006364E9"/>
    <w:rsid w:val="00636575"/>
    <w:rsid w:val="00636971"/>
    <w:rsid w:val="00637357"/>
    <w:rsid w:val="006375BE"/>
    <w:rsid w:val="00637605"/>
    <w:rsid w:val="006378E2"/>
    <w:rsid w:val="00637D1D"/>
    <w:rsid w:val="00640365"/>
    <w:rsid w:val="006403AC"/>
    <w:rsid w:val="006403D7"/>
    <w:rsid w:val="00640418"/>
    <w:rsid w:val="006409B7"/>
    <w:rsid w:val="00640C27"/>
    <w:rsid w:val="00640D06"/>
    <w:rsid w:val="00640EBB"/>
    <w:rsid w:val="00640EF5"/>
    <w:rsid w:val="00640F80"/>
    <w:rsid w:val="006410C4"/>
    <w:rsid w:val="006411C5"/>
    <w:rsid w:val="0064147F"/>
    <w:rsid w:val="00641C94"/>
    <w:rsid w:val="00642087"/>
    <w:rsid w:val="0064272E"/>
    <w:rsid w:val="00642769"/>
    <w:rsid w:val="00642B07"/>
    <w:rsid w:val="00642B58"/>
    <w:rsid w:val="00642BC8"/>
    <w:rsid w:val="00642CB2"/>
    <w:rsid w:val="00642E55"/>
    <w:rsid w:val="00642E87"/>
    <w:rsid w:val="00642E9F"/>
    <w:rsid w:val="00643785"/>
    <w:rsid w:val="00643943"/>
    <w:rsid w:val="00643A4D"/>
    <w:rsid w:val="00643B81"/>
    <w:rsid w:val="00643C29"/>
    <w:rsid w:val="006443BB"/>
    <w:rsid w:val="0064581F"/>
    <w:rsid w:val="00645883"/>
    <w:rsid w:val="00645AF4"/>
    <w:rsid w:val="006461FE"/>
    <w:rsid w:val="00646A53"/>
    <w:rsid w:val="00646B13"/>
    <w:rsid w:val="00646B20"/>
    <w:rsid w:val="00646CBA"/>
    <w:rsid w:val="00647294"/>
    <w:rsid w:val="00647986"/>
    <w:rsid w:val="006501DF"/>
    <w:rsid w:val="0065074F"/>
    <w:rsid w:val="00650C79"/>
    <w:rsid w:val="006515B7"/>
    <w:rsid w:val="00651E8F"/>
    <w:rsid w:val="00652043"/>
    <w:rsid w:val="006521AA"/>
    <w:rsid w:val="006525F3"/>
    <w:rsid w:val="00652636"/>
    <w:rsid w:val="006526CC"/>
    <w:rsid w:val="006526D8"/>
    <w:rsid w:val="006527CB"/>
    <w:rsid w:val="00652A14"/>
    <w:rsid w:val="00652C7A"/>
    <w:rsid w:val="00652C86"/>
    <w:rsid w:val="00653031"/>
    <w:rsid w:val="00653254"/>
    <w:rsid w:val="00653292"/>
    <w:rsid w:val="0065329E"/>
    <w:rsid w:val="006532A1"/>
    <w:rsid w:val="00653321"/>
    <w:rsid w:val="00653651"/>
    <w:rsid w:val="00653865"/>
    <w:rsid w:val="006538DD"/>
    <w:rsid w:val="00653901"/>
    <w:rsid w:val="00653B90"/>
    <w:rsid w:val="0065423E"/>
    <w:rsid w:val="00654C24"/>
    <w:rsid w:val="00654D93"/>
    <w:rsid w:val="00654EFF"/>
    <w:rsid w:val="006554DE"/>
    <w:rsid w:val="006556F5"/>
    <w:rsid w:val="006557D1"/>
    <w:rsid w:val="006559C1"/>
    <w:rsid w:val="0065608A"/>
    <w:rsid w:val="00656F59"/>
    <w:rsid w:val="006574FB"/>
    <w:rsid w:val="006576FF"/>
    <w:rsid w:val="0065780E"/>
    <w:rsid w:val="006578E1"/>
    <w:rsid w:val="006579D9"/>
    <w:rsid w:val="00660170"/>
    <w:rsid w:val="006602CC"/>
    <w:rsid w:val="00660372"/>
    <w:rsid w:val="0066050F"/>
    <w:rsid w:val="006606FF"/>
    <w:rsid w:val="00661694"/>
    <w:rsid w:val="0066196A"/>
    <w:rsid w:val="00662195"/>
    <w:rsid w:val="006623B3"/>
    <w:rsid w:val="0066246E"/>
    <w:rsid w:val="006625F4"/>
    <w:rsid w:val="006626D0"/>
    <w:rsid w:val="00662C33"/>
    <w:rsid w:val="00663250"/>
    <w:rsid w:val="0066397F"/>
    <w:rsid w:val="00663CFD"/>
    <w:rsid w:val="00663E08"/>
    <w:rsid w:val="00663FAD"/>
    <w:rsid w:val="006642DD"/>
    <w:rsid w:val="006646C3"/>
    <w:rsid w:val="00665013"/>
    <w:rsid w:val="0066572C"/>
    <w:rsid w:val="00665BC6"/>
    <w:rsid w:val="00665D56"/>
    <w:rsid w:val="00665E02"/>
    <w:rsid w:val="0066626C"/>
    <w:rsid w:val="00666305"/>
    <w:rsid w:val="006667C8"/>
    <w:rsid w:val="00666A4E"/>
    <w:rsid w:val="00666E40"/>
    <w:rsid w:val="00667422"/>
    <w:rsid w:val="0066756E"/>
    <w:rsid w:val="00667F8A"/>
    <w:rsid w:val="00668C84"/>
    <w:rsid w:val="00670057"/>
    <w:rsid w:val="00670106"/>
    <w:rsid w:val="006702F2"/>
    <w:rsid w:val="00670A8A"/>
    <w:rsid w:val="00670D05"/>
    <w:rsid w:val="00670E4E"/>
    <w:rsid w:val="00670F6E"/>
    <w:rsid w:val="00670FBA"/>
    <w:rsid w:val="00671117"/>
    <w:rsid w:val="00671173"/>
    <w:rsid w:val="00671498"/>
    <w:rsid w:val="006714A2"/>
    <w:rsid w:val="00671504"/>
    <w:rsid w:val="0067164C"/>
    <w:rsid w:val="00671AE3"/>
    <w:rsid w:val="00671C9C"/>
    <w:rsid w:val="00671D2B"/>
    <w:rsid w:val="006724BA"/>
    <w:rsid w:val="00672BDD"/>
    <w:rsid w:val="00672FD4"/>
    <w:rsid w:val="006730D9"/>
    <w:rsid w:val="00673797"/>
    <w:rsid w:val="006739D3"/>
    <w:rsid w:val="00673B3C"/>
    <w:rsid w:val="00673B5C"/>
    <w:rsid w:val="00673B99"/>
    <w:rsid w:val="00675099"/>
    <w:rsid w:val="00675169"/>
    <w:rsid w:val="0067538F"/>
    <w:rsid w:val="00675533"/>
    <w:rsid w:val="006755C6"/>
    <w:rsid w:val="00675A38"/>
    <w:rsid w:val="0067642F"/>
    <w:rsid w:val="00676633"/>
    <w:rsid w:val="0067670F"/>
    <w:rsid w:val="00676764"/>
    <w:rsid w:val="00676D70"/>
    <w:rsid w:val="00676F2F"/>
    <w:rsid w:val="006778D0"/>
    <w:rsid w:val="00677C16"/>
    <w:rsid w:val="00680055"/>
    <w:rsid w:val="0068023D"/>
    <w:rsid w:val="00680D32"/>
    <w:rsid w:val="00681395"/>
    <w:rsid w:val="0068165A"/>
    <w:rsid w:val="00681706"/>
    <w:rsid w:val="00681967"/>
    <w:rsid w:val="0068279A"/>
    <w:rsid w:val="00682AB0"/>
    <w:rsid w:val="00682F4B"/>
    <w:rsid w:val="00683373"/>
    <w:rsid w:val="006843B1"/>
    <w:rsid w:val="00684683"/>
    <w:rsid w:val="00684867"/>
    <w:rsid w:val="006853FC"/>
    <w:rsid w:val="006855CC"/>
    <w:rsid w:val="006856EE"/>
    <w:rsid w:val="0068585A"/>
    <w:rsid w:val="00685A80"/>
    <w:rsid w:val="00685B71"/>
    <w:rsid w:val="00685E46"/>
    <w:rsid w:val="00686061"/>
    <w:rsid w:val="00686304"/>
    <w:rsid w:val="00686389"/>
    <w:rsid w:val="00686920"/>
    <w:rsid w:val="0068699B"/>
    <w:rsid w:val="00686BF1"/>
    <w:rsid w:val="00686CC6"/>
    <w:rsid w:val="00686FF0"/>
    <w:rsid w:val="006874ED"/>
    <w:rsid w:val="006878DA"/>
    <w:rsid w:val="00687B10"/>
    <w:rsid w:val="0069013F"/>
    <w:rsid w:val="00690144"/>
    <w:rsid w:val="00690794"/>
    <w:rsid w:val="0069120B"/>
    <w:rsid w:val="00691400"/>
    <w:rsid w:val="006919DC"/>
    <w:rsid w:val="00691F62"/>
    <w:rsid w:val="006923DC"/>
    <w:rsid w:val="006928D1"/>
    <w:rsid w:val="00692C27"/>
    <w:rsid w:val="00692E76"/>
    <w:rsid w:val="006934ED"/>
    <w:rsid w:val="00694287"/>
    <w:rsid w:val="00694855"/>
    <w:rsid w:val="00694A7A"/>
    <w:rsid w:val="00694A9D"/>
    <w:rsid w:val="00694AB1"/>
    <w:rsid w:val="00694F06"/>
    <w:rsid w:val="00695096"/>
    <w:rsid w:val="006951C6"/>
    <w:rsid w:val="006952B1"/>
    <w:rsid w:val="006959ED"/>
    <w:rsid w:val="00695AD5"/>
    <w:rsid w:val="00695F36"/>
    <w:rsid w:val="00696551"/>
    <w:rsid w:val="006968F0"/>
    <w:rsid w:val="00696C49"/>
    <w:rsid w:val="00696E50"/>
    <w:rsid w:val="00696FAA"/>
    <w:rsid w:val="0069728D"/>
    <w:rsid w:val="006974C9"/>
    <w:rsid w:val="00697533"/>
    <w:rsid w:val="0069764B"/>
    <w:rsid w:val="006978AB"/>
    <w:rsid w:val="00697939"/>
    <w:rsid w:val="00697E2C"/>
    <w:rsid w:val="006A00A3"/>
    <w:rsid w:val="006A0444"/>
    <w:rsid w:val="006A0549"/>
    <w:rsid w:val="006A0761"/>
    <w:rsid w:val="006A0B36"/>
    <w:rsid w:val="006A0BA0"/>
    <w:rsid w:val="006A0BCC"/>
    <w:rsid w:val="006A0DF2"/>
    <w:rsid w:val="006A0F3E"/>
    <w:rsid w:val="006A0FBD"/>
    <w:rsid w:val="006A21AB"/>
    <w:rsid w:val="006A2253"/>
    <w:rsid w:val="006A239A"/>
    <w:rsid w:val="006A2537"/>
    <w:rsid w:val="006A27CC"/>
    <w:rsid w:val="006A27E1"/>
    <w:rsid w:val="006A2A7F"/>
    <w:rsid w:val="006A2B73"/>
    <w:rsid w:val="006A2BB7"/>
    <w:rsid w:val="006A2BDB"/>
    <w:rsid w:val="006A2E8B"/>
    <w:rsid w:val="006A30D1"/>
    <w:rsid w:val="006A3519"/>
    <w:rsid w:val="006A3725"/>
    <w:rsid w:val="006A373A"/>
    <w:rsid w:val="006A3777"/>
    <w:rsid w:val="006A38AF"/>
    <w:rsid w:val="006A3D27"/>
    <w:rsid w:val="006A45E0"/>
    <w:rsid w:val="006A482E"/>
    <w:rsid w:val="006A497B"/>
    <w:rsid w:val="006A4C04"/>
    <w:rsid w:val="006A4DC8"/>
    <w:rsid w:val="006A50FB"/>
    <w:rsid w:val="006A5AA5"/>
    <w:rsid w:val="006A5CDB"/>
    <w:rsid w:val="006A63B6"/>
    <w:rsid w:val="006A650D"/>
    <w:rsid w:val="006A6707"/>
    <w:rsid w:val="006A6898"/>
    <w:rsid w:val="006A689F"/>
    <w:rsid w:val="006A6914"/>
    <w:rsid w:val="006A6E37"/>
    <w:rsid w:val="006A705C"/>
    <w:rsid w:val="006A7B99"/>
    <w:rsid w:val="006A7D3D"/>
    <w:rsid w:val="006B00FE"/>
    <w:rsid w:val="006B04E4"/>
    <w:rsid w:val="006B083D"/>
    <w:rsid w:val="006B1028"/>
    <w:rsid w:val="006B10A3"/>
    <w:rsid w:val="006B135B"/>
    <w:rsid w:val="006B1421"/>
    <w:rsid w:val="006B16CB"/>
    <w:rsid w:val="006B18F3"/>
    <w:rsid w:val="006B1B49"/>
    <w:rsid w:val="006B1DB3"/>
    <w:rsid w:val="006B22BC"/>
    <w:rsid w:val="006B2315"/>
    <w:rsid w:val="006B2759"/>
    <w:rsid w:val="006B2ABD"/>
    <w:rsid w:val="006B2B3D"/>
    <w:rsid w:val="006B317C"/>
    <w:rsid w:val="006B3277"/>
    <w:rsid w:val="006B3680"/>
    <w:rsid w:val="006B368B"/>
    <w:rsid w:val="006B3897"/>
    <w:rsid w:val="006B398E"/>
    <w:rsid w:val="006B3A12"/>
    <w:rsid w:val="006B475D"/>
    <w:rsid w:val="006B4976"/>
    <w:rsid w:val="006B4986"/>
    <w:rsid w:val="006B4DFF"/>
    <w:rsid w:val="006B4F04"/>
    <w:rsid w:val="006B54AD"/>
    <w:rsid w:val="006B5713"/>
    <w:rsid w:val="006B581B"/>
    <w:rsid w:val="006B5898"/>
    <w:rsid w:val="006B7062"/>
    <w:rsid w:val="006B7165"/>
    <w:rsid w:val="006B7688"/>
    <w:rsid w:val="006B76A7"/>
    <w:rsid w:val="006B7E63"/>
    <w:rsid w:val="006C0035"/>
    <w:rsid w:val="006C04F4"/>
    <w:rsid w:val="006C08AF"/>
    <w:rsid w:val="006C0CD8"/>
    <w:rsid w:val="006C10B9"/>
    <w:rsid w:val="006C11F4"/>
    <w:rsid w:val="006C1211"/>
    <w:rsid w:val="006C146A"/>
    <w:rsid w:val="006C17E5"/>
    <w:rsid w:val="006C19E4"/>
    <w:rsid w:val="006C1ABB"/>
    <w:rsid w:val="006C1C03"/>
    <w:rsid w:val="006C1D91"/>
    <w:rsid w:val="006C1F5D"/>
    <w:rsid w:val="006C2228"/>
    <w:rsid w:val="006C290B"/>
    <w:rsid w:val="006C2B29"/>
    <w:rsid w:val="006C2B69"/>
    <w:rsid w:val="006C2C0D"/>
    <w:rsid w:val="006C2E45"/>
    <w:rsid w:val="006C304B"/>
    <w:rsid w:val="006C30BA"/>
    <w:rsid w:val="006C32E8"/>
    <w:rsid w:val="006C3396"/>
    <w:rsid w:val="006C3458"/>
    <w:rsid w:val="006C36C8"/>
    <w:rsid w:val="006C3786"/>
    <w:rsid w:val="006C3A1C"/>
    <w:rsid w:val="006C3D82"/>
    <w:rsid w:val="006C3EF8"/>
    <w:rsid w:val="006C3F88"/>
    <w:rsid w:val="006C421A"/>
    <w:rsid w:val="006C4271"/>
    <w:rsid w:val="006C4814"/>
    <w:rsid w:val="006C48ED"/>
    <w:rsid w:val="006C4FA2"/>
    <w:rsid w:val="006C4FE6"/>
    <w:rsid w:val="006C510E"/>
    <w:rsid w:val="006C556F"/>
    <w:rsid w:val="006C5FC5"/>
    <w:rsid w:val="006C66D0"/>
    <w:rsid w:val="006C6BC4"/>
    <w:rsid w:val="006C6C27"/>
    <w:rsid w:val="006C6F4F"/>
    <w:rsid w:val="006C75F3"/>
    <w:rsid w:val="006C7747"/>
    <w:rsid w:val="006D041A"/>
    <w:rsid w:val="006D06B8"/>
    <w:rsid w:val="006D06C4"/>
    <w:rsid w:val="006D08F4"/>
    <w:rsid w:val="006D0ACB"/>
    <w:rsid w:val="006D1290"/>
    <w:rsid w:val="006D1374"/>
    <w:rsid w:val="006D13E5"/>
    <w:rsid w:val="006D1508"/>
    <w:rsid w:val="006D1A6B"/>
    <w:rsid w:val="006D27B5"/>
    <w:rsid w:val="006D2C81"/>
    <w:rsid w:val="006D307A"/>
    <w:rsid w:val="006D35B0"/>
    <w:rsid w:val="006D3AAB"/>
    <w:rsid w:val="006D3BB8"/>
    <w:rsid w:val="006D3D95"/>
    <w:rsid w:val="006D3E80"/>
    <w:rsid w:val="006D3F46"/>
    <w:rsid w:val="006D4338"/>
    <w:rsid w:val="006D4374"/>
    <w:rsid w:val="006D45FF"/>
    <w:rsid w:val="006D4A19"/>
    <w:rsid w:val="006D5C32"/>
    <w:rsid w:val="006D5C33"/>
    <w:rsid w:val="006D5D1B"/>
    <w:rsid w:val="006D5FFF"/>
    <w:rsid w:val="006D6413"/>
    <w:rsid w:val="006D6643"/>
    <w:rsid w:val="006D67CF"/>
    <w:rsid w:val="006D681F"/>
    <w:rsid w:val="006D6CC5"/>
    <w:rsid w:val="006D6E2D"/>
    <w:rsid w:val="006D6F5B"/>
    <w:rsid w:val="006D7270"/>
    <w:rsid w:val="006D728C"/>
    <w:rsid w:val="006D74A1"/>
    <w:rsid w:val="006D7815"/>
    <w:rsid w:val="006D7832"/>
    <w:rsid w:val="006D7988"/>
    <w:rsid w:val="006D798E"/>
    <w:rsid w:val="006D7A15"/>
    <w:rsid w:val="006D7CBF"/>
    <w:rsid w:val="006E0254"/>
    <w:rsid w:val="006E0753"/>
    <w:rsid w:val="006E087A"/>
    <w:rsid w:val="006E0B72"/>
    <w:rsid w:val="006E0F24"/>
    <w:rsid w:val="006E0F39"/>
    <w:rsid w:val="006E10D6"/>
    <w:rsid w:val="006E18BD"/>
    <w:rsid w:val="006E1C4E"/>
    <w:rsid w:val="006E2A61"/>
    <w:rsid w:val="006E2C59"/>
    <w:rsid w:val="006E313E"/>
    <w:rsid w:val="006E34D5"/>
    <w:rsid w:val="006E3887"/>
    <w:rsid w:val="006E3D51"/>
    <w:rsid w:val="006E431D"/>
    <w:rsid w:val="006E441B"/>
    <w:rsid w:val="006E4722"/>
    <w:rsid w:val="006E4B65"/>
    <w:rsid w:val="006E4C05"/>
    <w:rsid w:val="006E4EDC"/>
    <w:rsid w:val="006E4F4C"/>
    <w:rsid w:val="006E4FDF"/>
    <w:rsid w:val="006E5546"/>
    <w:rsid w:val="006E56F6"/>
    <w:rsid w:val="006E5733"/>
    <w:rsid w:val="006E57AE"/>
    <w:rsid w:val="006E58E3"/>
    <w:rsid w:val="006E5DDD"/>
    <w:rsid w:val="006E5F0D"/>
    <w:rsid w:val="006E632E"/>
    <w:rsid w:val="006E6A8F"/>
    <w:rsid w:val="006E6B3D"/>
    <w:rsid w:val="006E7031"/>
    <w:rsid w:val="006E703F"/>
    <w:rsid w:val="006E7048"/>
    <w:rsid w:val="006E7050"/>
    <w:rsid w:val="006E7267"/>
    <w:rsid w:val="006E7465"/>
    <w:rsid w:val="006E770A"/>
    <w:rsid w:val="006E7903"/>
    <w:rsid w:val="006E7EA7"/>
    <w:rsid w:val="006F03CE"/>
    <w:rsid w:val="006F0499"/>
    <w:rsid w:val="006F05A5"/>
    <w:rsid w:val="006F064E"/>
    <w:rsid w:val="006F073B"/>
    <w:rsid w:val="006F0FEB"/>
    <w:rsid w:val="006F11B0"/>
    <w:rsid w:val="006F1522"/>
    <w:rsid w:val="006F18CB"/>
    <w:rsid w:val="006F2293"/>
    <w:rsid w:val="006F2329"/>
    <w:rsid w:val="006F263D"/>
    <w:rsid w:val="006F2A02"/>
    <w:rsid w:val="006F2B50"/>
    <w:rsid w:val="006F2BDC"/>
    <w:rsid w:val="006F2EFD"/>
    <w:rsid w:val="006F39A5"/>
    <w:rsid w:val="006F39E3"/>
    <w:rsid w:val="006F4584"/>
    <w:rsid w:val="006F52D5"/>
    <w:rsid w:val="006F5840"/>
    <w:rsid w:val="006F5945"/>
    <w:rsid w:val="006F613E"/>
    <w:rsid w:val="006F6294"/>
    <w:rsid w:val="006F629D"/>
    <w:rsid w:val="006F6596"/>
    <w:rsid w:val="006F673E"/>
    <w:rsid w:val="006F6929"/>
    <w:rsid w:val="006F6E8E"/>
    <w:rsid w:val="006F70EE"/>
    <w:rsid w:val="006F720A"/>
    <w:rsid w:val="006F7425"/>
    <w:rsid w:val="006F779B"/>
    <w:rsid w:val="006F7EC2"/>
    <w:rsid w:val="006F7F5F"/>
    <w:rsid w:val="006FBDB5"/>
    <w:rsid w:val="00700658"/>
    <w:rsid w:val="00700812"/>
    <w:rsid w:val="00700C8D"/>
    <w:rsid w:val="00700CB6"/>
    <w:rsid w:val="00700D10"/>
    <w:rsid w:val="007014D6"/>
    <w:rsid w:val="00701593"/>
    <w:rsid w:val="007016D0"/>
    <w:rsid w:val="00701707"/>
    <w:rsid w:val="00701800"/>
    <w:rsid w:val="007018BD"/>
    <w:rsid w:val="0070194F"/>
    <w:rsid w:val="0070199C"/>
    <w:rsid w:val="007021EB"/>
    <w:rsid w:val="007022B0"/>
    <w:rsid w:val="007028BD"/>
    <w:rsid w:val="00702EE5"/>
    <w:rsid w:val="0070316A"/>
    <w:rsid w:val="007033B6"/>
    <w:rsid w:val="00703775"/>
    <w:rsid w:val="00703969"/>
    <w:rsid w:val="00703C55"/>
    <w:rsid w:val="00703F86"/>
    <w:rsid w:val="007040F8"/>
    <w:rsid w:val="007042D5"/>
    <w:rsid w:val="007043FE"/>
    <w:rsid w:val="0070441D"/>
    <w:rsid w:val="007047A1"/>
    <w:rsid w:val="00704B61"/>
    <w:rsid w:val="00704DD3"/>
    <w:rsid w:val="00704EAE"/>
    <w:rsid w:val="0070528D"/>
    <w:rsid w:val="007052F6"/>
    <w:rsid w:val="0070555E"/>
    <w:rsid w:val="007062C4"/>
    <w:rsid w:val="00706BBA"/>
    <w:rsid w:val="00706E05"/>
    <w:rsid w:val="0070728F"/>
    <w:rsid w:val="00707344"/>
    <w:rsid w:val="007074C6"/>
    <w:rsid w:val="007074E8"/>
    <w:rsid w:val="007075DD"/>
    <w:rsid w:val="00707831"/>
    <w:rsid w:val="00707B64"/>
    <w:rsid w:val="007102DE"/>
    <w:rsid w:val="007105C4"/>
    <w:rsid w:val="007106EA"/>
    <w:rsid w:val="00710E6C"/>
    <w:rsid w:val="00711007"/>
    <w:rsid w:val="007110B2"/>
    <w:rsid w:val="007111D0"/>
    <w:rsid w:val="007116E2"/>
    <w:rsid w:val="007117B6"/>
    <w:rsid w:val="00711842"/>
    <w:rsid w:val="00711935"/>
    <w:rsid w:val="00711BCE"/>
    <w:rsid w:val="00711D91"/>
    <w:rsid w:val="00711E7C"/>
    <w:rsid w:val="00712263"/>
    <w:rsid w:val="007126C8"/>
    <w:rsid w:val="007127AF"/>
    <w:rsid w:val="00712CB5"/>
    <w:rsid w:val="00712D85"/>
    <w:rsid w:val="0071338F"/>
    <w:rsid w:val="00713809"/>
    <w:rsid w:val="00714101"/>
    <w:rsid w:val="00715987"/>
    <w:rsid w:val="00715A9D"/>
    <w:rsid w:val="00715F44"/>
    <w:rsid w:val="0071618B"/>
    <w:rsid w:val="00716249"/>
    <w:rsid w:val="0071628E"/>
    <w:rsid w:val="00716B5D"/>
    <w:rsid w:val="00716B8E"/>
    <w:rsid w:val="007170DF"/>
    <w:rsid w:val="00717346"/>
    <w:rsid w:val="00717419"/>
    <w:rsid w:val="00717462"/>
    <w:rsid w:val="00717546"/>
    <w:rsid w:val="007175BB"/>
    <w:rsid w:val="00717BF7"/>
    <w:rsid w:val="007206C0"/>
    <w:rsid w:val="00720714"/>
    <w:rsid w:val="007211B6"/>
    <w:rsid w:val="007213C5"/>
    <w:rsid w:val="00721681"/>
    <w:rsid w:val="007219E0"/>
    <w:rsid w:val="00722279"/>
    <w:rsid w:val="00722CB0"/>
    <w:rsid w:val="007235C3"/>
    <w:rsid w:val="007235FE"/>
    <w:rsid w:val="00723648"/>
    <w:rsid w:val="007239E5"/>
    <w:rsid w:val="00723A8B"/>
    <w:rsid w:val="00723AA3"/>
    <w:rsid w:val="0072436C"/>
    <w:rsid w:val="00724606"/>
    <w:rsid w:val="00724753"/>
    <w:rsid w:val="00724762"/>
    <w:rsid w:val="00724772"/>
    <w:rsid w:val="00724803"/>
    <w:rsid w:val="007248F9"/>
    <w:rsid w:val="00724D1C"/>
    <w:rsid w:val="00725115"/>
    <w:rsid w:val="00725563"/>
    <w:rsid w:val="00725A85"/>
    <w:rsid w:val="00726128"/>
    <w:rsid w:val="007266A1"/>
    <w:rsid w:val="0072682E"/>
    <w:rsid w:val="007271EC"/>
    <w:rsid w:val="00727290"/>
    <w:rsid w:val="00727D94"/>
    <w:rsid w:val="00727E8F"/>
    <w:rsid w:val="00727F0F"/>
    <w:rsid w:val="00727F22"/>
    <w:rsid w:val="007302BE"/>
    <w:rsid w:val="00730486"/>
    <w:rsid w:val="007305C4"/>
    <w:rsid w:val="00730B47"/>
    <w:rsid w:val="00730C46"/>
    <w:rsid w:val="00730DB2"/>
    <w:rsid w:val="007312EF"/>
    <w:rsid w:val="00731CD3"/>
    <w:rsid w:val="00731E41"/>
    <w:rsid w:val="0073257E"/>
    <w:rsid w:val="00732F12"/>
    <w:rsid w:val="00732FC2"/>
    <w:rsid w:val="00733B60"/>
    <w:rsid w:val="00733C70"/>
    <w:rsid w:val="0073440D"/>
    <w:rsid w:val="007344CF"/>
    <w:rsid w:val="0073469B"/>
    <w:rsid w:val="0073469D"/>
    <w:rsid w:val="00734C65"/>
    <w:rsid w:val="007351EB"/>
    <w:rsid w:val="007352CD"/>
    <w:rsid w:val="007354C4"/>
    <w:rsid w:val="00735ABA"/>
    <w:rsid w:val="00735B59"/>
    <w:rsid w:val="00735B86"/>
    <w:rsid w:val="00735C63"/>
    <w:rsid w:val="007364F1"/>
    <w:rsid w:val="007367CE"/>
    <w:rsid w:val="00736CD5"/>
    <w:rsid w:val="00737504"/>
    <w:rsid w:val="0073756E"/>
    <w:rsid w:val="007376DD"/>
    <w:rsid w:val="007379B5"/>
    <w:rsid w:val="0074026D"/>
    <w:rsid w:val="007402AD"/>
    <w:rsid w:val="007406E6"/>
    <w:rsid w:val="007408AB"/>
    <w:rsid w:val="00740C89"/>
    <w:rsid w:val="00741176"/>
    <w:rsid w:val="007419A0"/>
    <w:rsid w:val="00741B11"/>
    <w:rsid w:val="00741D01"/>
    <w:rsid w:val="007422B5"/>
    <w:rsid w:val="00742403"/>
    <w:rsid w:val="00742438"/>
    <w:rsid w:val="0074287F"/>
    <w:rsid w:val="00742965"/>
    <w:rsid w:val="00742F11"/>
    <w:rsid w:val="00742FDB"/>
    <w:rsid w:val="0074342F"/>
    <w:rsid w:val="0074344D"/>
    <w:rsid w:val="00743750"/>
    <w:rsid w:val="007437E8"/>
    <w:rsid w:val="00743A12"/>
    <w:rsid w:val="00743A33"/>
    <w:rsid w:val="007441CF"/>
    <w:rsid w:val="007448E3"/>
    <w:rsid w:val="007449A1"/>
    <w:rsid w:val="007452BA"/>
    <w:rsid w:val="007453B0"/>
    <w:rsid w:val="0074544A"/>
    <w:rsid w:val="00745645"/>
    <w:rsid w:val="00745C8A"/>
    <w:rsid w:val="007466B1"/>
    <w:rsid w:val="00746B53"/>
    <w:rsid w:val="00746CD2"/>
    <w:rsid w:val="00746D02"/>
    <w:rsid w:val="0074700D"/>
    <w:rsid w:val="007474C0"/>
    <w:rsid w:val="00747D37"/>
    <w:rsid w:val="00750021"/>
    <w:rsid w:val="007506D6"/>
    <w:rsid w:val="00750846"/>
    <w:rsid w:val="00750850"/>
    <w:rsid w:val="00750ABF"/>
    <w:rsid w:val="00750AD5"/>
    <w:rsid w:val="00750C78"/>
    <w:rsid w:val="00750D51"/>
    <w:rsid w:val="00750FE6"/>
    <w:rsid w:val="00751211"/>
    <w:rsid w:val="00751535"/>
    <w:rsid w:val="0075193F"/>
    <w:rsid w:val="00751A71"/>
    <w:rsid w:val="00751D75"/>
    <w:rsid w:val="00751F53"/>
    <w:rsid w:val="00752296"/>
    <w:rsid w:val="007524CC"/>
    <w:rsid w:val="00752A5A"/>
    <w:rsid w:val="00753423"/>
    <w:rsid w:val="0075357B"/>
    <w:rsid w:val="007537DD"/>
    <w:rsid w:val="00753D30"/>
    <w:rsid w:val="00753F78"/>
    <w:rsid w:val="00753F9C"/>
    <w:rsid w:val="00754460"/>
    <w:rsid w:val="00754498"/>
    <w:rsid w:val="00754602"/>
    <w:rsid w:val="007546DC"/>
    <w:rsid w:val="00754766"/>
    <w:rsid w:val="007548CD"/>
    <w:rsid w:val="00754AA9"/>
    <w:rsid w:val="00755178"/>
    <w:rsid w:val="007554C7"/>
    <w:rsid w:val="00755581"/>
    <w:rsid w:val="007557E0"/>
    <w:rsid w:val="00755ED6"/>
    <w:rsid w:val="00755FBF"/>
    <w:rsid w:val="007560C5"/>
    <w:rsid w:val="00756706"/>
    <w:rsid w:val="007573BC"/>
    <w:rsid w:val="00757AFC"/>
    <w:rsid w:val="00757D43"/>
    <w:rsid w:val="00757E25"/>
    <w:rsid w:val="00760000"/>
    <w:rsid w:val="00760235"/>
    <w:rsid w:val="00760FCF"/>
    <w:rsid w:val="0076106D"/>
    <w:rsid w:val="00761083"/>
    <w:rsid w:val="007614F3"/>
    <w:rsid w:val="00761505"/>
    <w:rsid w:val="00761828"/>
    <w:rsid w:val="0076192A"/>
    <w:rsid w:val="00761B50"/>
    <w:rsid w:val="00762003"/>
    <w:rsid w:val="007620A3"/>
    <w:rsid w:val="0076224C"/>
    <w:rsid w:val="0076311E"/>
    <w:rsid w:val="00763A8B"/>
    <w:rsid w:val="00764329"/>
    <w:rsid w:val="00764799"/>
    <w:rsid w:val="0076488F"/>
    <w:rsid w:val="00765054"/>
    <w:rsid w:val="0076558A"/>
    <w:rsid w:val="00765894"/>
    <w:rsid w:val="007659C5"/>
    <w:rsid w:val="007660F4"/>
    <w:rsid w:val="00766966"/>
    <w:rsid w:val="00766A2F"/>
    <w:rsid w:val="007670A9"/>
    <w:rsid w:val="00767968"/>
    <w:rsid w:val="007679DB"/>
    <w:rsid w:val="00767CDF"/>
    <w:rsid w:val="00767DFD"/>
    <w:rsid w:val="00767E64"/>
    <w:rsid w:val="007701DF"/>
    <w:rsid w:val="007704C4"/>
    <w:rsid w:val="00770DFA"/>
    <w:rsid w:val="007710ED"/>
    <w:rsid w:val="0077136F"/>
    <w:rsid w:val="0077196B"/>
    <w:rsid w:val="007719ED"/>
    <w:rsid w:val="00771C43"/>
    <w:rsid w:val="00771F38"/>
    <w:rsid w:val="00772062"/>
    <w:rsid w:val="007723D4"/>
    <w:rsid w:val="0077244E"/>
    <w:rsid w:val="00772E8E"/>
    <w:rsid w:val="00772F2F"/>
    <w:rsid w:val="00773546"/>
    <w:rsid w:val="00773825"/>
    <w:rsid w:val="00773CA7"/>
    <w:rsid w:val="00773D38"/>
    <w:rsid w:val="00774060"/>
    <w:rsid w:val="00774098"/>
    <w:rsid w:val="0077450D"/>
    <w:rsid w:val="00774574"/>
    <w:rsid w:val="00775093"/>
    <w:rsid w:val="00775893"/>
    <w:rsid w:val="00775E03"/>
    <w:rsid w:val="00775E09"/>
    <w:rsid w:val="00776020"/>
    <w:rsid w:val="00776204"/>
    <w:rsid w:val="007762DE"/>
    <w:rsid w:val="007763DF"/>
    <w:rsid w:val="007764A3"/>
    <w:rsid w:val="00776673"/>
    <w:rsid w:val="00776B04"/>
    <w:rsid w:val="00776B2B"/>
    <w:rsid w:val="00776B73"/>
    <w:rsid w:val="00776BA2"/>
    <w:rsid w:val="00776FDF"/>
    <w:rsid w:val="00777247"/>
    <w:rsid w:val="007773F7"/>
    <w:rsid w:val="007778D7"/>
    <w:rsid w:val="00777CA3"/>
    <w:rsid w:val="00777F4B"/>
    <w:rsid w:val="00780266"/>
    <w:rsid w:val="007806BD"/>
    <w:rsid w:val="007807F8"/>
    <w:rsid w:val="00780DF7"/>
    <w:rsid w:val="0078131D"/>
    <w:rsid w:val="007816DD"/>
    <w:rsid w:val="007817D7"/>
    <w:rsid w:val="00781880"/>
    <w:rsid w:val="0078192E"/>
    <w:rsid w:val="0078296D"/>
    <w:rsid w:val="007829A8"/>
    <w:rsid w:val="00782A10"/>
    <w:rsid w:val="0078316B"/>
    <w:rsid w:val="00783347"/>
    <w:rsid w:val="00783563"/>
    <w:rsid w:val="00783656"/>
    <w:rsid w:val="00783A10"/>
    <w:rsid w:val="00783ADD"/>
    <w:rsid w:val="00783D1A"/>
    <w:rsid w:val="00783D75"/>
    <w:rsid w:val="00783F16"/>
    <w:rsid w:val="00784968"/>
    <w:rsid w:val="00784C9B"/>
    <w:rsid w:val="00784DF8"/>
    <w:rsid w:val="007852AC"/>
    <w:rsid w:val="00785510"/>
    <w:rsid w:val="00785793"/>
    <w:rsid w:val="007859EC"/>
    <w:rsid w:val="00785BF3"/>
    <w:rsid w:val="00785D6F"/>
    <w:rsid w:val="00786199"/>
    <w:rsid w:val="007865CF"/>
    <w:rsid w:val="00786947"/>
    <w:rsid w:val="0078698C"/>
    <w:rsid w:val="0078726E"/>
    <w:rsid w:val="0078733A"/>
    <w:rsid w:val="007879C2"/>
    <w:rsid w:val="007903BD"/>
    <w:rsid w:val="007903F0"/>
    <w:rsid w:val="007905CC"/>
    <w:rsid w:val="00790A5D"/>
    <w:rsid w:val="00790AE3"/>
    <w:rsid w:val="00790C78"/>
    <w:rsid w:val="00790CA5"/>
    <w:rsid w:val="0079166A"/>
    <w:rsid w:val="007917F8"/>
    <w:rsid w:val="00791D4E"/>
    <w:rsid w:val="00792252"/>
    <w:rsid w:val="00792527"/>
    <w:rsid w:val="0079253E"/>
    <w:rsid w:val="00792ED4"/>
    <w:rsid w:val="007930AD"/>
    <w:rsid w:val="00793124"/>
    <w:rsid w:val="0079326B"/>
    <w:rsid w:val="00793B7C"/>
    <w:rsid w:val="007948AB"/>
    <w:rsid w:val="007951C0"/>
    <w:rsid w:val="007952BE"/>
    <w:rsid w:val="007953A6"/>
    <w:rsid w:val="0079556E"/>
    <w:rsid w:val="00795CEE"/>
    <w:rsid w:val="0079670E"/>
    <w:rsid w:val="00796938"/>
    <w:rsid w:val="00796AB1"/>
    <w:rsid w:val="00796CDD"/>
    <w:rsid w:val="00796DCA"/>
    <w:rsid w:val="007974F3"/>
    <w:rsid w:val="007975A4"/>
    <w:rsid w:val="007977EB"/>
    <w:rsid w:val="007977F1"/>
    <w:rsid w:val="00797A96"/>
    <w:rsid w:val="007A0014"/>
    <w:rsid w:val="007A0220"/>
    <w:rsid w:val="007A032F"/>
    <w:rsid w:val="007A0798"/>
    <w:rsid w:val="007A0A11"/>
    <w:rsid w:val="007A0C27"/>
    <w:rsid w:val="007A2203"/>
    <w:rsid w:val="007A2262"/>
    <w:rsid w:val="007A23A9"/>
    <w:rsid w:val="007A279A"/>
    <w:rsid w:val="007A27E6"/>
    <w:rsid w:val="007A2D04"/>
    <w:rsid w:val="007A2F48"/>
    <w:rsid w:val="007A3157"/>
    <w:rsid w:val="007A32AE"/>
    <w:rsid w:val="007A34B1"/>
    <w:rsid w:val="007A3DE1"/>
    <w:rsid w:val="007A5898"/>
    <w:rsid w:val="007A5B9B"/>
    <w:rsid w:val="007A66BE"/>
    <w:rsid w:val="007A6889"/>
    <w:rsid w:val="007A6E6D"/>
    <w:rsid w:val="007A6EF5"/>
    <w:rsid w:val="007A707A"/>
    <w:rsid w:val="007A74CF"/>
    <w:rsid w:val="007A7657"/>
    <w:rsid w:val="007B0130"/>
    <w:rsid w:val="007B0A00"/>
    <w:rsid w:val="007B0B16"/>
    <w:rsid w:val="007B0D82"/>
    <w:rsid w:val="007B0D97"/>
    <w:rsid w:val="007B11ED"/>
    <w:rsid w:val="007B142A"/>
    <w:rsid w:val="007B1746"/>
    <w:rsid w:val="007B1B74"/>
    <w:rsid w:val="007B2166"/>
    <w:rsid w:val="007B21D7"/>
    <w:rsid w:val="007B299E"/>
    <w:rsid w:val="007B2A3C"/>
    <w:rsid w:val="007B2A83"/>
    <w:rsid w:val="007B2C00"/>
    <w:rsid w:val="007B2CFD"/>
    <w:rsid w:val="007B3593"/>
    <w:rsid w:val="007B35A2"/>
    <w:rsid w:val="007B35C4"/>
    <w:rsid w:val="007B3964"/>
    <w:rsid w:val="007B4560"/>
    <w:rsid w:val="007B45FD"/>
    <w:rsid w:val="007B4874"/>
    <w:rsid w:val="007B56B1"/>
    <w:rsid w:val="007B57F9"/>
    <w:rsid w:val="007B581E"/>
    <w:rsid w:val="007B5ECA"/>
    <w:rsid w:val="007B5F8A"/>
    <w:rsid w:val="007B6088"/>
    <w:rsid w:val="007B66AF"/>
    <w:rsid w:val="007B6B77"/>
    <w:rsid w:val="007B6DED"/>
    <w:rsid w:val="007B6EBF"/>
    <w:rsid w:val="007B707E"/>
    <w:rsid w:val="007B71A4"/>
    <w:rsid w:val="007B7486"/>
    <w:rsid w:val="007B796F"/>
    <w:rsid w:val="007B7A91"/>
    <w:rsid w:val="007B7C00"/>
    <w:rsid w:val="007C012D"/>
    <w:rsid w:val="007C0396"/>
    <w:rsid w:val="007C0703"/>
    <w:rsid w:val="007C0B46"/>
    <w:rsid w:val="007C0B4A"/>
    <w:rsid w:val="007C0FA7"/>
    <w:rsid w:val="007C0FF9"/>
    <w:rsid w:val="007C119F"/>
    <w:rsid w:val="007C1284"/>
    <w:rsid w:val="007C1918"/>
    <w:rsid w:val="007C1BE1"/>
    <w:rsid w:val="007C1CE3"/>
    <w:rsid w:val="007C1DEE"/>
    <w:rsid w:val="007C1F99"/>
    <w:rsid w:val="007C208F"/>
    <w:rsid w:val="007C218E"/>
    <w:rsid w:val="007C2551"/>
    <w:rsid w:val="007C2A09"/>
    <w:rsid w:val="007C3866"/>
    <w:rsid w:val="007C400E"/>
    <w:rsid w:val="007C4289"/>
    <w:rsid w:val="007C4522"/>
    <w:rsid w:val="007C4A23"/>
    <w:rsid w:val="007C4C19"/>
    <w:rsid w:val="007C4E84"/>
    <w:rsid w:val="007C4ECD"/>
    <w:rsid w:val="007C5CFC"/>
    <w:rsid w:val="007C60A5"/>
    <w:rsid w:val="007C65D0"/>
    <w:rsid w:val="007C67E9"/>
    <w:rsid w:val="007C688F"/>
    <w:rsid w:val="007C6F9B"/>
    <w:rsid w:val="007C74A3"/>
    <w:rsid w:val="007C7676"/>
    <w:rsid w:val="007C78C3"/>
    <w:rsid w:val="007C7A7C"/>
    <w:rsid w:val="007C7D12"/>
    <w:rsid w:val="007C7DB3"/>
    <w:rsid w:val="007C7EEA"/>
    <w:rsid w:val="007D00BC"/>
    <w:rsid w:val="007D083D"/>
    <w:rsid w:val="007D0A21"/>
    <w:rsid w:val="007D0CBF"/>
    <w:rsid w:val="007D0D45"/>
    <w:rsid w:val="007D122A"/>
    <w:rsid w:val="007D150F"/>
    <w:rsid w:val="007D151D"/>
    <w:rsid w:val="007D15DF"/>
    <w:rsid w:val="007D1A1D"/>
    <w:rsid w:val="007D1D17"/>
    <w:rsid w:val="007D1E79"/>
    <w:rsid w:val="007D2188"/>
    <w:rsid w:val="007D25B1"/>
    <w:rsid w:val="007D2AC7"/>
    <w:rsid w:val="007D314A"/>
    <w:rsid w:val="007D3787"/>
    <w:rsid w:val="007D39A7"/>
    <w:rsid w:val="007D3D28"/>
    <w:rsid w:val="007D41DA"/>
    <w:rsid w:val="007D41F2"/>
    <w:rsid w:val="007D4A9C"/>
    <w:rsid w:val="007D4F22"/>
    <w:rsid w:val="007D4F29"/>
    <w:rsid w:val="007D5772"/>
    <w:rsid w:val="007D5868"/>
    <w:rsid w:val="007D6207"/>
    <w:rsid w:val="007D6517"/>
    <w:rsid w:val="007D665B"/>
    <w:rsid w:val="007D6A8B"/>
    <w:rsid w:val="007D6C93"/>
    <w:rsid w:val="007D6FBA"/>
    <w:rsid w:val="007D717C"/>
    <w:rsid w:val="007D722C"/>
    <w:rsid w:val="007D7477"/>
    <w:rsid w:val="007D76F9"/>
    <w:rsid w:val="007D7B87"/>
    <w:rsid w:val="007E01EA"/>
    <w:rsid w:val="007E0513"/>
    <w:rsid w:val="007E0E47"/>
    <w:rsid w:val="007E154E"/>
    <w:rsid w:val="007E18B5"/>
    <w:rsid w:val="007E191A"/>
    <w:rsid w:val="007E199C"/>
    <w:rsid w:val="007E19A8"/>
    <w:rsid w:val="007E1A6F"/>
    <w:rsid w:val="007E1D0A"/>
    <w:rsid w:val="007E1DDB"/>
    <w:rsid w:val="007E1E79"/>
    <w:rsid w:val="007E1FB6"/>
    <w:rsid w:val="007E28E1"/>
    <w:rsid w:val="007E2DF4"/>
    <w:rsid w:val="007E3568"/>
    <w:rsid w:val="007E3991"/>
    <w:rsid w:val="007E3B4A"/>
    <w:rsid w:val="007E4047"/>
    <w:rsid w:val="007E4810"/>
    <w:rsid w:val="007E4879"/>
    <w:rsid w:val="007E4AE1"/>
    <w:rsid w:val="007E4C20"/>
    <w:rsid w:val="007E4D17"/>
    <w:rsid w:val="007E4D60"/>
    <w:rsid w:val="007E4F9A"/>
    <w:rsid w:val="007E5474"/>
    <w:rsid w:val="007E5C58"/>
    <w:rsid w:val="007E5F15"/>
    <w:rsid w:val="007E5F1A"/>
    <w:rsid w:val="007E5F60"/>
    <w:rsid w:val="007E6D59"/>
    <w:rsid w:val="007E6F4C"/>
    <w:rsid w:val="007E7040"/>
    <w:rsid w:val="007E762F"/>
    <w:rsid w:val="007E7644"/>
    <w:rsid w:val="007E7753"/>
    <w:rsid w:val="007E776A"/>
    <w:rsid w:val="007E7A21"/>
    <w:rsid w:val="007E7A83"/>
    <w:rsid w:val="007E7EB3"/>
    <w:rsid w:val="007EE236"/>
    <w:rsid w:val="007F0089"/>
    <w:rsid w:val="007F0A1C"/>
    <w:rsid w:val="007F108E"/>
    <w:rsid w:val="007F1233"/>
    <w:rsid w:val="007F1276"/>
    <w:rsid w:val="007F1384"/>
    <w:rsid w:val="007F15FA"/>
    <w:rsid w:val="007F1A0B"/>
    <w:rsid w:val="007F1B12"/>
    <w:rsid w:val="007F1BAC"/>
    <w:rsid w:val="007F216D"/>
    <w:rsid w:val="007F2B14"/>
    <w:rsid w:val="007F359A"/>
    <w:rsid w:val="007F3F07"/>
    <w:rsid w:val="007F43FA"/>
    <w:rsid w:val="007F44F5"/>
    <w:rsid w:val="007F4C0D"/>
    <w:rsid w:val="007F4C20"/>
    <w:rsid w:val="007F4C52"/>
    <w:rsid w:val="007F4E24"/>
    <w:rsid w:val="007F5036"/>
    <w:rsid w:val="007F5135"/>
    <w:rsid w:val="007F54DE"/>
    <w:rsid w:val="007F5BD8"/>
    <w:rsid w:val="007F5D06"/>
    <w:rsid w:val="007F5D62"/>
    <w:rsid w:val="007F6162"/>
    <w:rsid w:val="007F6208"/>
    <w:rsid w:val="007F63BA"/>
    <w:rsid w:val="007F63EC"/>
    <w:rsid w:val="007F665C"/>
    <w:rsid w:val="007F6715"/>
    <w:rsid w:val="007F6885"/>
    <w:rsid w:val="007F7407"/>
    <w:rsid w:val="007F77B9"/>
    <w:rsid w:val="007F7A55"/>
    <w:rsid w:val="008004CA"/>
    <w:rsid w:val="0080053C"/>
    <w:rsid w:val="00800617"/>
    <w:rsid w:val="0080077E"/>
    <w:rsid w:val="00800805"/>
    <w:rsid w:val="00800A2A"/>
    <w:rsid w:val="00801286"/>
    <w:rsid w:val="008016BA"/>
    <w:rsid w:val="00801B1C"/>
    <w:rsid w:val="00801B23"/>
    <w:rsid w:val="00801F5D"/>
    <w:rsid w:val="008020D3"/>
    <w:rsid w:val="00802286"/>
    <w:rsid w:val="00802D77"/>
    <w:rsid w:val="00802F45"/>
    <w:rsid w:val="00803194"/>
    <w:rsid w:val="008033A8"/>
    <w:rsid w:val="0080359D"/>
    <w:rsid w:val="008035A1"/>
    <w:rsid w:val="0080375F"/>
    <w:rsid w:val="008038A4"/>
    <w:rsid w:val="00803AAC"/>
    <w:rsid w:val="00804048"/>
    <w:rsid w:val="008043EE"/>
    <w:rsid w:val="0080455F"/>
    <w:rsid w:val="00804B19"/>
    <w:rsid w:val="00804DAC"/>
    <w:rsid w:val="00805288"/>
    <w:rsid w:val="0080569B"/>
    <w:rsid w:val="00805DC4"/>
    <w:rsid w:val="008062F2"/>
    <w:rsid w:val="00806646"/>
    <w:rsid w:val="008066C0"/>
    <w:rsid w:val="00806D99"/>
    <w:rsid w:val="008071A0"/>
    <w:rsid w:val="008071FD"/>
    <w:rsid w:val="0080721C"/>
    <w:rsid w:val="00807390"/>
    <w:rsid w:val="008077D1"/>
    <w:rsid w:val="00807B51"/>
    <w:rsid w:val="00807D17"/>
    <w:rsid w:val="00807EC5"/>
    <w:rsid w:val="00810680"/>
    <w:rsid w:val="0081089F"/>
    <w:rsid w:val="00810911"/>
    <w:rsid w:val="0081104B"/>
    <w:rsid w:val="00811135"/>
    <w:rsid w:val="008113F8"/>
    <w:rsid w:val="0081154D"/>
    <w:rsid w:val="00811766"/>
    <w:rsid w:val="00811769"/>
    <w:rsid w:val="00811C2C"/>
    <w:rsid w:val="00812133"/>
    <w:rsid w:val="008127D0"/>
    <w:rsid w:val="00812BE3"/>
    <w:rsid w:val="00812F5A"/>
    <w:rsid w:val="00812F8F"/>
    <w:rsid w:val="008136CD"/>
    <w:rsid w:val="008138AC"/>
    <w:rsid w:val="00813C4F"/>
    <w:rsid w:val="008140E5"/>
    <w:rsid w:val="00814660"/>
    <w:rsid w:val="00814B26"/>
    <w:rsid w:val="00814FC9"/>
    <w:rsid w:val="00815311"/>
    <w:rsid w:val="008155E9"/>
    <w:rsid w:val="00815876"/>
    <w:rsid w:val="00815B17"/>
    <w:rsid w:val="00815F2F"/>
    <w:rsid w:val="00815F43"/>
    <w:rsid w:val="00815FF1"/>
    <w:rsid w:val="00816159"/>
    <w:rsid w:val="008167AE"/>
    <w:rsid w:val="00816C8E"/>
    <w:rsid w:val="00816F61"/>
    <w:rsid w:val="00817598"/>
    <w:rsid w:val="0081794E"/>
    <w:rsid w:val="00817B40"/>
    <w:rsid w:val="00817F71"/>
    <w:rsid w:val="00817F97"/>
    <w:rsid w:val="008203B7"/>
    <w:rsid w:val="00820468"/>
    <w:rsid w:val="00820536"/>
    <w:rsid w:val="00820925"/>
    <w:rsid w:val="00820A22"/>
    <w:rsid w:val="00820A69"/>
    <w:rsid w:val="00821384"/>
    <w:rsid w:val="00821629"/>
    <w:rsid w:val="00821890"/>
    <w:rsid w:val="0082195A"/>
    <w:rsid w:val="008219F2"/>
    <w:rsid w:val="00822133"/>
    <w:rsid w:val="00822380"/>
    <w:rsid w:val="0082241D"/>
    <w:rsid w:val="008226CA"/>
    <w:rsid w:val="008231FD"/>
    <w:rsid w:val="00823C1B"/>
    <w:rsid w:val="008240AB"/>
    <w:rsid w:val="008242EE"/>
    <w:rsid w:val="008245DE"/>
    <w:rsid w:val="008246C8"/>
    <w:rsid w:val="00824A1E"/>
    <w:rsid w:val="00824E91"/>
    <w:rsid w:val="0082521E"/>
    <w:rsid w:val="008255F9"/>
    <w:rsid w:val="00825BF4"/>
    <w:rsid w:val="00825C80"/>
    <w:rsid w:val="00825ED4"/>
    <w:rsid w:val="00826EF3"/>
    <w:rsid w:val="008271C7"/>
    <w:rsid w:val="008272F5"/>
    <w:rsid w:val="00827658"/>
    <w:rsid w:val="008276BC"/>
    <w:rsid w:val="00827CD2"/>
    <w:rsid w:val="00827DFB"/>
    <w:rsid w:val="00830177"/>
    <w:rsid w:val="00830719"/>
    <w:rsid w:val="00830740"/>
    <w:rsid w:val="00830887"/>
    <w:rsid w:val="00830E52"/>
    <w:rsid w:val="0083126D"/>
    <w:rsid w:val="0083163B"/>
    <w:rsid w:val="008319F9"/>
    <w:rsid w:val="00831DE1"/>
    <w:rsid w:val="00831F55"/>
    <w:rsid w:val="00832294"/>
    <w:rsid w:val="008322E1"/>
    <w:rsid w:val="00832335"/>
    <w:rsid w:val="00832944"/>
    <w:rsid w:val="00832971"/>
    <w:rsid w:val="00833983"/>
    <w:rsid w:val="00834152"/>
    <w:rsid w:val="00834190"/>
    <w:rsid w:val="0083449F"/>
    <w:rsid w:val="008348C8"/>
    <w:rsid w:val="008348FB"/>
    <w:rsid w:val="00834BF0"/>
    <w:rsid w:val="00834E4B"/>
    <w:rsid w:val="00834FBB"/>
    <w:rsid w:val="00835071"/>
    <w:rsid w:val="008350E4"/>
    <w:rsid w:val="008353F3"/>
    <w:rsid w:val="00835916"/>
    <w:rsid w:val="00835AB7"/>
    <w:rsid w:val="00835E27"/>
    <w:rsid w:val="00836193"/>
    <w:rsid w:val="00836A8A"/>
    <w:rsid w:val="00836C1B"/>
    <w:rsid w:val="00837192"/>
    <w:rsid w:val="00837231"/>
    <w:rsid w:val="00837463"/>
    <w:rsid w:val="0083769B"/>
    <w:rsid w:val="008379FF"/>
    <w:rsid w:val="00837DBE"/>
    <w:rsid w:val="00837F8D"/>
    <w:rsid w:val="008400F6"/>
    <w:rsid w:val="00840106"/>
    <w:rsid w:val="00840842"/>
    <w:rsid w:val="0084092F"/>
    <w:rsid w:val="00840B07"/>
    <w:rsid w:val="00840F48"/>
    <w:rsid w:val="008417BF"/>
    <w:rsid w:val="00841B3B"/>
    <w:rsid w:val="00842266"/>
    <w:rsid w:val="00842D66"/>
    <w:rsid w:val="008432A1"/>
    <w:rsid w:val="0084371A"/>
    <w:rsid w:val="00843C07"/>
    <w:rsid w:val="00843F08"/>
    <w:rsid w:val="00844212"/>
    <w:rsid w:val="00844285"/>
    <w:rsid w:val="00844721"/>
    <w:rsid w:val="0084481F"/>
    <w:rsid w:val="0084497C"/>
    <w:rsid w:val="00844987"/>
    <w:rsid w:val="00844AB2"/>
    <w:rsid w:val="0084510B"/>
    <w:rsid w:val="0084514F"/>
    <w:rsid w:val="0084537A"/>
    <w:rsid w:val="008455EB"/>
    <w:rsid w:val="008456C2"/>
    <w:rsid w:val="00845AB8"/>
    <w:rsid w:val="00845AE9"/>
    <w:rsid w:val="00845F82"/>
    <w:rsid w:val="00846C04"/>
    <w:rsid w:val="00846E47"/>
    <w:rsid w:val="00846FE1"/>
    <w:rsid w:val="008473AE"/>
    <w:rsid w:val="00847C8E"/>
    <w:rsid w:val="00847D0D"/>
    <w:rsid w:val="00847F43"/>
    <w:rsid w:val="00847F64"/>
    <w:rsid w:val="00847FE0"/>
    <w:rsid w:val="00850553"/>
    <w:rsid w:val="008506B3"/>
    <w:rsid w:val="00850A97"/>
    <w:rsid w:val="00850B52"/>
    <w:rsid w:val="00850FB2"/>
    <w:rsid w:val="00850FC8"/>
    <w:rsid w:val="008516BC"/>
    <w:rsid w:val="00851946"/>
    <w:rsid w:val="00851977"/>
    <w:rsid w:val="00851AB4"/>
    <w:rsid w:val="008524F9"/>
    <w:rsid w:val="00852528"/>
    <w:rsid w:val="0085254A"/>
    <w:rsid w:val="00852792"/>
    <w:rsid w:val="008528B2"/>
    <w:rsid w:val="00852A0B"/>
    <w:rsid w:val="00852C7E"/>
    <w:rsid w:val="00852EC1"/>
    <w:rsid w:val="00852F38"/>
    <w:rsid w:val="00853436"/>
    <w:rsid w:val="00853A1B"/>
    <w:rsid w:val="00853CC1"/>
    <w:rsid w:val="008548FB"/>
    <w:rsid w:val="0085493C"/>
    <w:rsid w:val="00854CA9"/>
    <w:rsid w:val="00855049"/>
    <w:rsid w:val="008553B5"/>
    <w:rsid w:val="00855B2C"/>
    <w:rsid w:val="00856493"/>
    <w:rsid w:val="00856ACE"/>
    <w:rsid w:val="00856C5B"/>
    <w:rsid w:val="00856DA5"/>
    <w:rsid w:val="00856ED2"/>
    <w:rsid w:val="00857B2A"/>
    <w:rsid w:val="00857BE1"/>
    <w:rsid w:val="00857EA6"/>
    <w:rsid w:val="00860CAB"/>
    <w:rsid w:val="00860F62"/>
    <w:rsid w:val="00860F94"/>
    <w:rsid w:val="0086142B"/>
    <w:rsid w:val="00861CEC"/>
    <w:rsid w:val="00861E2B"/>
    <w:rsid w:val="008622C9"/>
    <w:rsid w:val="008624C4"/>
    <w:rsid w:val="00863220"/>
    <w:rsid w:val="008632FB"/>
    <w:rsid w:val="008635EF"/>
    <w:rsid w:val="0086368B"/>
    <w:rsid w:val="00863772"/>
    <w:rsid w:val="00863CDD"/>
    <w:rsid w:val="00863DE2"/>
    <w:rsid w:val="00863F14"/>
    <w:rsid w:val="00864828"/>
    <w:rsid w:val="0086496D"/>
    <w:rsid w:val="008649DC"/>
    <w:rsid w:val="008650AC"/>
    <w:rsid w:val="0086537C"/>
    <w:rsid w:val="00865617"/>
    <w:rsid w:val="00865CDE"/>
    <w:rsid w:val="008660C7"/>
    <w:rsid w:val="008661D7"/>
    <w:rsid w:val="00866B63"/>
    <w:rsid w:val="00866C31"/>
    <w:rsid w:val="00867398"/>
    <w:rsid w:val="00867646"/>
    <w:rsid w:val="00867705"/>
    <w:rsid w:val="00867AE1"/>
    <w:rsid w:val="008704A1"/>
    <w:rsid w:val="008704F3"/>
    <w:rsid w:val="0087053B"/>
    <w:rsid w:val="00870B82"/>
    <w:rsid w:val="008716D0"/>
    <w:rsid w:val="00871730"/>
    <w:rsid w:val="0087223F"/>
    <w:rsid w:val="0087232D"/>
    <w:rsid w:val="00872428"/>
    <w:rsid w:val="00872504"/>
    <w:rsid w:val="00872B5A"/>
    <w:rsid w:val="00872ED5"/>
    <w:rsid w:val="008730F2"/>
    <w:rsid w:val="00873399"/>
    <w:rsid w:val="00873473"/>
    <w:rsid w:val="00873699"/>
    <w:rsid w:val="0087384A"/>
    <w:rsid w:val="0087392F"/>
    <w:rsid w:val="00873E39"/>
    <w:rsid w:val="00874263"/>
    <w:rsid w:val="008743F2"/>
    <w:rsid w:val="00874BC9"/>
    <w:rsid w:val="00874CFC"/>
    <w:rsid w:val="00874DAF"/>
    <w:rsid w:val="008750C1"/>
    <w:rsid w:val="0087559F"/>
    <w:rsid w:val="00875992"/>
    <w:rsid w:val="00875ABF"/>
    <w:rsid w:val="00875BB4"/>
    <w:rsid w:val="00875EA6"/>
    <w:rsid w:val="008760BD"/>
    <w:rsid w:val="008764DD"/>
    <w:rsid w:val="008766AE"/>
    <w:rsid w:val="008767CF"/>
    <w:rsid w:val="008768AC"/>
    <w:rsid w:val="008769AC"/>
    <w:rsid w:val="00876FFE"/>
    <w:rsid w:val="00877217"/>
    <w:rsid w:val="00877CD6"/>
    <w:rsid w:val="00880294"/>
    <w:rsid w:val="008802D6"/>
    <w:rsid w:val="008804B6"/>
    <w:rsid w:val="0088057D"/>
    <w:rsid w:val="008806D8"/>
    <w:rsid w:val="00880D82"/>
    <w:rsid w:val="00881694"/>
    <w:rsid w:val="00881765"/>
    <w:rsid w:val="00881859"/>
    <w:rsid w:val="00881A6D"/>
    <w:rsid w:val="0088227E"/>
    <w:rsid w:val="00882480"/>
    <w:rsid w:val="0088269D"/>
    <w:rsid w:val="00882CD0"/>
    <w:rsid w:val="00882DE6"/>
    <w:rsid w:val="008830A5"/>
    <w:rsid w:val="0088310B"/>
    <w:rsid w:val="00883454"/>
    <w:rsid w:val="0088384A"/>
    <w:rsid w:val="00883864"/>
    <w:rsid w:val="0088395C"/>
    <w:rsid w:val="0088420E"/>
    <w:rsid w:val="008842CD"/>
    <w:rsid w:val="00884412"/>
    <w:rsid w:val="00884576"/>
    <w:rsid w:val="00884956"/>
    <w:rsid w:val="00884EB5"/>
    <w:rsid w:val="00884F4A"/>
    <w:rsid w:val="008850C7"/>
    <w:rsid w:val="00885615"/>
    <w:rsid w:val="00885760"/>
    <w:rsid w:val="00885BDE"/>
    <w:rsid w:val="00885D18"/>
    <w:rsid w:val="008863D0"/>
    <w:rsid w:val="00886B44"/>
    <w:rsid w:val="00886C66"/>
    <w:rsid w:val="00887141"/>
    <w:rsid w:val="0088732D"/>
    <w:rsid w:val="00887C1D"/>
    <w:rsid w:val="00887CBF"/>
    <w:rsid w:val="00887DAA"/>
    <w:rsid w:val="0089019D"/>
    <w:rsid w:val="0089023B"/>
    <w:rsid w:val="0089083F"/>
    <w:rsid w:val="00890CC2"/>
    <w:rsid w:val="00891477"/>
    <w:rsid w:val="008919C5"/>
    <w:rsid w:val="00891B4C"/>
    <w:rsid w:val="00891C4B"/>
    <w:rsid w:val="00892023"/>
    <w:rsid w:val="00892074"/>
    <w:rsid w:val="00892A0F"/>
    <w:rsid w:val="00892B84"/>
    <w:rsid w:val="00892BD9"/>
    <w:rsid w:val="008937A4"/>
    <w:rsid w:val="00893981"/>
    <w:rsid w:val="00894290"/>
    <w:rsid w:val="00894999"/>
    <w:rsid w:val="00894B28"/>
    <w:rsid w:val="00894D05"/>
    <w:rsid w:val="008954AF"/>
    <w:rsid w:val="0089573A"/>
    <w:rsid w:val="00896473"/>
    <w:rsid w:val="0089691B"/>
    <w:rsid w:val="00896E60"/>
    <w:rsid w:val="00897A55"/>
    <w:rsid w:val="00897B8A"/>
    <w:rsid w:val="00897C83"/>
    <w:rsid w:val="00897DCE"/>
    <w:rsid w:val="00897EEF"/>
    <w:rsid w:val="00897F46"/>
    <w:rsid w:val="008A002B"/>
    <w:rsid w:val="008A05D6"/>
    <w:rsid w:val="008A0B23"/>
    <w:rsid w:val="008A0D52"/>
    <w:rsid w:val="008A0F12"/>
    <w:rsid w:val="008A0FA2"/>
    <w:rsid w:val="008A1437"/>
    <w:rsid w:val="008A1896"/>
    <w:rsid w:val="008A19C5"/>
    <w:rsid w:val="008A1EA3"/>
    <w:rsid w:val="008A1EA4"/>
    <w:rsid w:val="008A2390"/>
    <w:rsid w:val="008A24A3"/>
    <w:rsid w:val="008A24BA"/>
    <w:rsid w:val="008A2A73"/>
    <w:rsid w:val="008A2EDC"/>
    <w:rsid w:val="008A31C5"/>
    <w:rsid w:val="008A3373"/>
    <w:rsid w:val="008A3548"/>
    <w:rsid w:val="008A3822"/>
    <w:rsid w:val="008A41E4"/>
    <w:rsid w:val="008A423E"/>
    <w:rsid w:val="008A436A"/>
    <w:rsid w:val="008A441B"/>
    <w:rsid w:val="008A45B8"/>
    <w:rsid w:val="008A4668"/>
    <w:rsid w:val="008A4951"/>
    <w:rsid w:val="008A495A"/>
    <w:rsid w:val="008A4F51"/>
    <w:rsid w:val="008A535E"/>
    <w:rsid w:val="008A54AD"/>
    <w:rsid w:val="008A5818"/>
    <w:rsid w:val="008A596B"/>
    <w:rsid w:val="008A5A01"/>
    <w:rsid w:val="008A5E44"/>
    <w:rsid w:val="008A6524"/>
    <w:rsid w:val="008A6AD9"/>
    <w:rsid w:val="008A6B8B"/>
    <w:rsid w:val="008A75E7"/>
    <w:rsid w:val="008A77CB"/>
    <w:rsid w:val="008B05EE"/>
    <w:rsid w:val="008B0871"/>
    <w:rsid w:val="008B0C22"/>
    <w:rsid w:val="008B0F05"/>
    <w:rsid w:val="008B12FF"/>
    <w:rsid w:val="008B14E3"/>
    <w:rsid w:val="008B1E37"/>
    <w:rsid w:val="008B23E6"/>
    <w:rsid w:val="008B296C"/>
    <w:rsid w:val="008B2B06"/>
    <w:rsid w:val="008B2B2A"/>
    <w:rsid w:val="008B2D1C"/>
    <w:rsid w:val="008B2F15"/>
    <w:rsid w:val="008B2F34"/>
    <w:rsid w:val="008B2FCA"/>
    <w:rsid w:val="008B331C"/>
    <w:rsid w:val="008B33CA"/>
    <w:rsid w:val="008B3797"/>
    <w:rsid w:val="008B4791"/>
    <w:rsid w:val="008B48E5"/>
    <w:rsid w:val="008B4C69"/>
    <w:rsid w:val="008B4C9F"/>
    <w:rsid w:val="008B50ED"/>
    <w:rsid w:val="008B5416"/>
    <w:rsid w:val="008B55E2"/>
    <w:rsid w:val="008B584B"/>
    <w:rsid w:val="008B5A37"/>
    <w:rsid w:val="008B5A55"/>
    <w:rsid w:val="008B5C1A"/>
    <w:rsid w:val="008B6506"/>
    <w:rsid w:val="008B6CE1"/>
    <w:rsid w:val="008B6D36"/>
    <w:rsid w:val="008B6D75"/>
    <w:rsid w:val="008B6DC9"/>
    <w:rsid w:val="008B6EC0"/>
    <w:rsid w:val="008B7091"/>
    <w:rsid w:val="008B7722"/>
    <w:rsid w:val="008B7E00"/>
    <w:rsid w:val="008B7EB0"/>
    <w:rsid w:val="008C055B"/>
    <w:rsid w:val="008C0748"/>
    <w:rsid w:val="008C0832"/>
    <w:rsid w:val="008C0CAE"/>
    <w:rsid w:val="008C1796"/>
    <w:rsid w:val="008C18FE"/>
    <w:rsid w:val="008C1A05"/>
    <w:rsid w:val="008C1AC8"/>
    <w:rsid w:val="008C1B24"/>
    <w:rsid w:val="008C1D0C"/>
    <w:rsid w:val="008C1D5F"/>
    <w:rsid w:val="008C1E50"/>
    <w:rsid w:val="008C20B6"/>
    <w:rsid w:val="008C2368"/>
    <w:rsid w:val="008C2A76"/>
    <w:rsid w:val="008C2AF3"/>
    <w:rsid w:val="008C2E2D"/>
    <w:rsid w:val="008C3622"/>
    <w:rsid w:val="008C37EE"/>
    <w:rsid w:val="008C3D22"/>
    <w:rsid w:val="008C414A"/>
    <w:rsid w:val="008C476A"/>
    <w:rsid w:val="008C47E5"/>
    <w:rsid w:val="008C4837"/>
    <w:rsid w:val="008C4843"/>
    <w:rsid w:val="008C4870"/>
    <w:rsid w:val="008C4B25"/>
    <w:rsid w:val="008C4B9C"/>
    <w:rsid w:val="008C4C77"/>
    <w:rsid w:val="008C4CFF"/>
    <w:rsid w:val="008C4E48"/>
    <w:rsid w:val="008C4FBD"/>
    <w:rsid w:val="008C4FDD"/>
    <w:rsid w:val="008C546C"/>
    <w:rsid w:val="008C54FE"/>
    <w:rsid w:val="008C561E"/>
    <w:rsid w:val="008C581E"/>
    <w:rsid w:val="008C5E46"/>
    <w:rsid w:val="008C5E99"/>
    <w:rsid w:val="008C6065"/>
    <w:rsid w:val="008C616B"/>
    <w:rsid w:val="008C6228"/>
    <w:rsid w:val="008C6264"/>
    <w:rsid w:val="008C6305"/>
    <w:rsid w:val="008C6D36"/>
    <w:rsid w:val="008C778B"/>
    <w:rsid w:val="008C77BC"/>
    <w:rsid w:val="008C78D4"/>
    <w:rsid w:val="008C79F4"/>
    <w:rsid w:val="008C7A10"/>
    <w:rsid w:val="008C7E86"/>
    <w:rsid w:val="008D0132"/>
    <w:rsid w:val="008D04E6"/>
    <w:rsid w:val="008D0EAF"/>
    <w:rsid w:val="008D0F57"/>
    <w:rsid w:val="008D143B"/>
    <w:rsid w:val="008D15FA"/>
    <w:rsid w:val="008D1655"/>
    <w:rsid w:val="008D168F"/>
    <w:rsid w:val="008D1840"/>
    <w:rsid w:val="008D188E"/>
    <w:rsid w:val="008D2BF9"/>
    <w:rsid w:val="008D2C5B"/>
    <w:rsid w:val="008D2D64"/>
    <w:rsid w:val="008D3039"/>
    <w:rsid w:val="008D30CB"/>
    <w:rsid w:val="008D3641"/>
    <w:rsid w:val="008D383A"/>
    <w:rsid w:val="008D3A25"/>
    <w:rsid w:val="008D3D32"/>
    <w:rsid w:val="008D449A"/>
    <w:rsid w:val="008D4C86"/>
    <w:rsid w:val="008D4FF5"/>
    <w:rsid w:val="008D50C3"/>
    <w:rsid w:val="008D51BE"/>
    <w:rsid w:val="008D58C5"/>
    <w:rsid w:val="008D5A2C"/>
    <w:rsid w:val="008D5A73"/>
    <w:rsid w:val="008D5C1C"/>
    <w:rsid w:val="008D63CC"/>
    <w:rsid w:val="008D68C2"/>
    <w:rsid w:val="008D73EF"/>
    <w:rsid w:val="008D76A8"/>
    <w:rsid w:val="008D790C"/>
    <w:rsid w:val="008D7A9A"/>
    <w:rsid w:val="008D7F8A"/>
    <w:rsid w:val="008E03AC"/>
    <w:rsid w:val="008E0463"/>
    <w:rsid w:val="008E06E1"/>
    <w:rsid w:val="008E0741"/>
    <w:rsid w:val="008E07B8"/>
    <w:rsid w:val="008E0BFA"/>
    <w:rsid w:val="008E0D32"/>
    <w:rsid w:val="008E14B5"/>
    <w:rsid w:val="008E191D"/>
    <w:rsid w:val="008E1D96"/>
    <w:rsid w:val="008E1E0A"/>
    <w:rsid w:val="008E213E"/>
    <w:rsid w:val="008E23DF"/>
    <w:rsid w:val="008E29B3"/>
    <w:rsid w:val="008E2A7C"/>
    <w:rsid w:val="008E2E37"/>
    <w:rsid w:val="008E2F50"/>
    <w:rsid w:val="008E309F"/>
    <w:rsid w:val="008E310D"/>
    <w:rsid w:val="008E32AF"/>
    <w:rsid w:val="008E3A47"/>
    <w:rsid w:val="008E41EC"/>
    <w:rsid w:val="008E43BF"/>
    <w:rsid w:val="008E4902"/>
    <w:rsid w:val="008E4A62"/>
    <w:rsid w:val="008E4BA1"/>
    <w:rsid w:val="008E4E04"/>
    <w:rsid w:val="008E4E08"/>
    <w:rsid w:val="008E4ECA"/>
    <w:rsid w:val="008E5219"/>
    <w:rsid w:val="008E521E"/>
    <w:rsid w:val="008E53C7"/>
    <w:rsid w:val="008E56A2"/>
    <w:rsid w:val="008E58F2"/>
    <w:rsid w:val="008E5A31"/>
    <w:rsid w:val="008E656A"/>
    <w:rsid w:val="008E6648"/>
    <w:rsid w:val="008E6A12"/>
    <w:rsid w:val="008E6E8B"/>
    <w:rsid w:val="008E6FBE"/>
    <w:rsid w:val="008E7077"/>
    <w:rsid w:val="008E72D9"/>
    <w:rsid w:val="008E7326"/>
    <w:rsid w:val="008E7486"/>
    <w:rsid w:val="008E7B4B"/>
    <w:rsid w:val="008E7B5B"/>
    <w:rsid w:val="008E7C6D"/>
    <w:rsid w:val="008F020D"/>
    <w:rsid w:val="008F023B"/>
    <w:rsid w:val="008F04CE"/>
    <w:rsid w:val="008F0838"/>
    <w:rsid w:val="008F085B"/>
    <w:rsid w:val="008F09D8"/>
    <w:rsid w:val="008F0F51"/>
    <w:rsid w:val="008F118F"/>
    <w:rsid w:val="008F13EE"/>
    <w:rsid w:val="008F15A7"/>
    <w:rsid w:val="008F17CB"/>
    <w:rsid w:val="008F19FA"/>
    <w:rsid w:val="008F1ADD"/>
    <w:rsid w:val="008F1E33"/>
    <w:rsid w:val="008F1F0A"/>
    <w:rsid w:val="008F22F7"/>
    <w:rsid w:val="008F2492"/>
    <w:rsid w:val="008F27A5"/>
    <w:rsid w:val="008F2AC0"/>
    <w:rsid w:val="008F30CA"/>
    <w:rsid w:val="008F31D3"/>
    <w:rsid w:val="008F3C60"/>
    <w:rsid w:val="008F4442"/>
    <w:rsid w:val="008F4631"/>
    <w:rsid w:val="008F487D"/>
    <w:rsid w:val="008F5014"/>
    <w:rsid w:val="008F5565"/>
    <w:rsid w:val="008F56A2"/>
    <w:rsid w:val="008F5E32"/>
    <w:rsid w:val="008F5EB0"/>
    <w:rsid w:val="008F6193"/>
    <w:rsid w:val="008F6447"/>
    <w:rsid w:val="008F66C8"/>
    <w:rsid w:val="008F67E0"/>
    <w:rsid w:val="008F6B51"/>
    <w:rsid w:val="008F6F2E"/>
    <w:rsid w:val="008F7065"/>
    <w:rsid w:val="008F71CD"/>
    <w:rsid w:val="009005A3"/>
    <w:rsid w:val="00900B65"/>
    <w:rsid w:val="00901082"/>
    <w:rsid w:val="00901212"/>
    <w:rsid w:val="009012DE"/>
    <w:rsid w:val="00901440"/>
    <w:rsid w:val="00901475"/>
    <w:rsid w:val="00901763"/>
    <w:rsid w:val="009017B4"/>
    <w:rsid w:val="00901946"/>
    <w:rsid w:val="00901DCD"/>
    <w:rsid w:val="00902184"/>
    <w:rsid w:val="00902599"/>
    <w:rsid w:val="00902CF3"/>
    <w:rsid w:val="00902DD7"/>
    <w:rsid w:val="0090332A"/>
    <w:rsid w:val="00903333"/>
    <w:rsid w:val="009035EA"/>
    <w:rsid w:val="009036DA"/>
    <w:rsid w:val="00903997"/>
    <w:rsid w:val="00903FF7"/>
    <w:rsid w:val="0090487C"/>
    <w:rsid w:val="00904996"/>
    <w:rsid w:val="009049A8"/>
    <w:rsid w:val="00904D4A"/>
    <w:rsid w:val="00904F1E"/>
    <w:rsid w:val="00905311"/>
    <w:rsid w:val="009054D8"/>
    <w:rsid w:val="0090554A"/>
    <w:rsid w:val="00905C56"/>
    <w:rsid w:val="00905EFD"/>
    <w:rsid w:val="0090602E"/>
    <w:rsid w:val="00906243"/>
    <w:rsid w:val="00906362"/>
    <w:rsid w:val="00906906"/>
    <w:rsid w:val="00906CD8"/>
    <w:rsid w:val="00907039"/>
    <w:rsid w:val="00907579"/>
    <w:rsid w:val="009079D9"/>
    <w:rsid w:val="00907CB0"/>
    <w:rsid w:val="00907D27"/>
    <w:rsid w:val="0091027A"/>
    <w:rsid w:val="0091095B"/>
    <w:rsid w:val="00910B5D"/>
    <w:rsid w:val="009110E8"/>
    <w:rsid w:val="009118D4"/>
    <w:rsid w:val="0091209F"/>
    <w:rsid w:val="009123E7"/>
    <w:rsid w:val="00912A61"/>
    <w:rsid w:val="009132E5"/>
    <w:rsid w:val="009141D9"/>
    <w:rsid w:val="009146E0"/>
    <w:rsid w:val="009146FE"/>
    <w:rsid w:val="009147C9"/>
    <w:rsid w:val="00914DAB"/>
    <w:rsid w:val="0091500E"/>
    <w:rsid w:val="00915308"/>
    <w:rsid w:val="0091604F"/>
    <w:rsid w:val="009162C1"/>
    <w:rsid w:val="0091689B"/>
    <w:rsid w:val="009168D1"/>
    <w:rsid w:val="00916DBD"/>
    <w:rsid w:val="00916F22"/>
    <w:rsid w:val="00917541"/>
    <w:rsid w:val="0092027E"/>
    <w:rsid w:val="009205F5"/>
    <w:rsid w:val="0092070D"/>
    <w:rsid w:val="00920B9A"/>
    <w:rsid w:val="00920DE8"/>
    <w:rsid w:val="009216A9"/>
    <w:rsid w:val="00921A67"/>
    <w:rsid w:val="00921A83"/>
    <w:rsid w:val="00921B88"/>
    <w:rsid w:val="00921CCC"/>
    <w:rsid w:val="00921E06"/>
    <w:rsid w:val="00921F68"/>
    <w:rsid w:val="00921FF6"/>
    <w:rsid w:val="00922501"/>
    <w:rsid w:val="00922653"/>
    <w:rsid w:val="0092291D"/>
    <w:rsid w:val="00922DA8"/>
    <w:rsid w:val="00923211"/>
    <w:rsid w:val="00923333"/>
    <w:rsid w:val="00923B00"/>
    <w:rsid w:val="00923DF3"/>
    <w:rsid w:val="00923DFF"/>
    <w:rsid w:val="00923E48"/>
    <w:rsid w:val="00924177"/>
    <w:rsid w:val="009244AA"/>
    <w:rsid w:val="00924857"/>
    <w:rsid w:val="0092488E"/>
    <w:rsid w:val="00924E64"/>
    <w:rsid w:val="0092540B"/>
    <w:rsid w:val="0092599D"/>
    <w:rsid w:val="00926242"/>
    <w:rsid w:val="009262F6"/>
    <w:rsid w:val="009265D9"/>
    <w:rsid w:val="0092660B"/>
    <w:rsid w:val="00926C06"/>
    <w:rsid w:val="00926C95"/>
    <w:rsid w:val="00926E25"/>
    <w:rsid w:val="009274BA"/>
    <w:rsid w:val="00927B31"/>
    <w:rsid w:val="00927F87"/>
    <w:rsid w:val="00930153"/>
    <w:rsid w:val="00930413"/>
    <w:rsid w:val="009306DC"/>
    <w:rsid w:val="0093085C"/>
    <w:rsid w:val="00930C21"/>
    <w:rsid w:val="00930FDD"/>
    <w:rsid w:val="0093128F"/>
    <w:rsid w:val="00931314"/>
    <w:rsid w:val="009313B3"/>
    <w:rsid w:val="0093164A"/>
    <w:rsid w:val="009316D8"/>
    <w:rsid w:val="00931C62"/>
    <w:rsid w:val="00931D48"/>
    <w:rsid w:val="00932012"/>
    <w:rsid w:val="009321E5"/>
    <w:rsid w:val="0093243D"/>
    <w:rsid w:val="0093260B"/>
    <w:rsid w:val="00932900"/>
    <w:rsid w:val="00932ADC"/>
    <w:rsid w:val="00932B0F"/>
    <w:rsid w:val="00932C9F"/>
    <w:rsid w:val="009331DC"/>
    <w:rsid w:val="00933398"/>
    <w:rsid w:val="0093380D"/>
    <w:rsid w:val="00933869"/>
    <w:rsid w:val="00933BBC"/>
    <w:rsid w:val="00934181"/>
    <w:rsid w:val="00934471"/>
    <w:rsid w:val="0093488A"/>
    <w:rsid w:val="00935020"/>
    <w:rsid w:val="009351B9"/>
    <w:rsid w:val="009353AC"/>
    <w:rsid w:val="00935AB8"/>
    <w:rsid w:val="009362B1"/>
    <w:rsid w:val="00936316"/>
    <w:rsid w:val="0093637E"/>
    <w:rsid w:val="00936AE0"/>
    <w:rsid w:val="00937291"/>
    <w:rsid w:val="009372C8"/>
    <w:rsid w:val="009372F7"/>
    <w:rsid w:val="0093749A"/>
    <w:rsid w:val="0093772E"/>
    <w:rsid w:val="009377C0"/>
    <w:rsid w:val="0093795F"/>
    <w:rsid w:val="00937C04"/>
    <w:rsid w:val="00937CB7"/>
    <w:rsid w:val="00937D20"/>
    <w:rsid w:val="00937E7A"/>
    <w:rsid w:val="009400DA"/>
    <w:rsid w:val="009402FC"/>
    <w:rsid w:val="009404B3"/>
    <w:rsid w:val="009404FB"/>
    <w:rsid w:val="0094060F"/>
    <w:rsid w:val="0094080F"/>
    <w:rsid w:val="00940A91"/>
    <w:rsid w:val="00940DEF"/>
    <w:rsid w:val="00941101"/>
    <w:rsid w:val="0094116C"/>
    <w:rsid w:val="009415A1"/>
    <w:rsid w:val="009418AE"/>
    <w:rsid w:val="00941C79"/>
    <w:rsid w:val="00941F15"/>
    <w:rsid w:val="0094243B"/>
    <w:rsid w:val="009425AC"/>
    <w:rsid w:val="009425DD"/>
    <w:rsid w:val="00942A26"/>
    <w:rsid w:val="00942E57"/>
    <w:rsid w:val="009437AC"/>
    <w:rsid w:val="00944043"/>
    <w:rsid w:val="009443FE"/>
    <w:rsid w:val="00944475"/>
    <w:rsid w:val="009444EC"/>
    <w:rsid w:val="009445C2"/>
    <w:rsid w:val="00944930"/>
    <w:rsid w:val="00944A56"/>
    <w:rsid w:val="00944B0E"/>
    <w:rsid w:val="0094507C"/>
    <w:rsid w:val="0094519E"/>
    <w:rsid w:val="009451A7"/>
    <w:rsid w:val="009455EB"/>
    <w:rsid w:val="00945A40"/>
    <w:rsid w:val="00945AF3"/>
    <w:rsid w:val="00946757"/>
    <w:rsid w:val="00946976"/>
    <w:rsid w:val="00947CB5"/>
    <w:rsid w:val="00947CBC"/>
    <w:rsid w:val="009500BC"/>
    <w:rsid w:val="00950C5D"/>
    <w:rsid w:val="00950E2F"/>
    <w:rsid w:val="00950FB2"/>
    <w:rsid w:val="0095116B"/>
    <w:rsid w:val="00951416"/>
    <w:rsid w:val="0095191D"/>
    <w:rsid w:val="00951A47"/>
    <w:rsid w:val="009521B1"/>
    <w:rsid w:val="0095249C"/>
    <w:rsid w:val="00952920"/>
    <w:rsid w:val="00952BB4"/>
    <w:rsid w:val="00952F1B"/>
    <w:rsid w:val="00952F5C"/>
    <w:rsid w:val="00953B10"/>
    <w:rsid w:val="00953B57"/>
    <w:rsid w:val="00953BCB"/>
    <w:rsid w:val="00953C1D"/>
    <w:rsid w:val="00954562"/>
    <w:rsid w:val="009554C2"/>
    <w:rsid w:val="00956211"/>
    <w:rsid w:val="009562BC"/>
    <w:rsid w:val="0095636F"/>
    <w:rsid w:val="00956831"/>
    <w:rsid w:val="00956C60"/>
    <w:rsid w:val="0095723E"/>
    <w:rsid w:val="00957378"/>
    <w:rsid w:val="009574CA"/>
    <w:rsid w:val="009575F3"/>
    <w:rsid w:val="009576E2"/>
    <w:rsid w:val="0095777F"/>
    <w:rsid w:val="00957B4C"/>
    <w:rsid w:val="00957CF2"/>
    <w:rsid w:val="009600B1"/>
    <w:rsid w:val="0096019F"/>
    <w:rsid w:val="00960824"/>
    <w:rsid w:val="00960881"/>
    <w:rsid w:val="009609AC"/>
    <w:rsid w:val="00960AE7"/>
    <w:rsid w:val="00960F56"/>
    <w:rsid w:val="00960FA2"/>
    <w:rsid w:val="0096124F"/>
    <w:rsid w:val="009613A0"/>
    <w:rsid w:val="00961644"/>
    <w:rsid w:val="0096180A"/>
    <w:rsid w:val="009618DF"/>
    <w:rsid w:val="00961B23"/>
    <w:rsid w:val="00961C09"/>
    <w:rsid w:val="009622D2"/>
    <w:rsid w:val="00962398"/>
    <w:rsid w:val="009632FC"/>
    <w:rsid w:val="00963B84"/>
    <w:rsid w:val="00963B8B"/>
    <w:rsid w:val="00963F03"/>
    <w:rsid w:val="00964568"/>
    <w:rsid w:val="0096489B"/>
    <w:rsid w:val="009648CC"/>
    <w:rsid w:val="00965455"/>
    <w:rsid w:val="00965964"/>
    <w:rsid w:val="00966009"/>
    <w:rsid w:val="00966469"/>
    <w:rsid w:val="009665E5"/>
    <w:rsid w:val="00966A9C"/>
    <w:rsid w:val="00967282"/>
    <w:rsid w:val="009672A7"/>
    <w:rsid w:val="0096791A"/>
    <w:rsid w:val="00967ECE"/>
    <w:rsid w:val="00967F55"/>
    <w:rsid w:val="00970335"/>
    <w:rsid w:val="009706A2"/>
    <w:rsid w:val="00970E87"/>
    <w:rsid w:val="0097100A"/>
    <w:rsid w:val="0097111E"/>
    <w:rsid w:val="00971751"/>
    <w:rsid w:val="0097190C"/>
    <w:rsid w:val="00971968"/>
    <w:rsid w:val="00971BB5"/>
    <w:rsid w:val="00971E03"/>
    <w:rsid w:val="009721E2"/>
    <w:rsid w:val="0097246F"/>
    <w:rsid w:val="00972567"/>
    <w:rsid w:val="00972CBF"/>
    <w:rsid w:val="00972D7E"/>
    <w:rsid w:val="00972EA0"/>
    <w:rsid w:val="00972FC1"/>
    <w:rsid w:val="00973257"/>
    <w:rsid w:val="00973291"/>
    <w:rsid w:val="00973435"/>
    <w:rsid w:val="009734CC"/>
    <w:rsid w:val="0097399A"/>
    <w:rsid w:val="00973A72"/>
    <w:rsid w:val="00973AF3"/>
    <w:rsid w:val="00973FE3"/>
    <w:rsid w:val="0097421B"/>
    <w:rsid w:val="00974408"/>
    <w:rsid w:val="00974AE6"/>
    <w:rsid w:val="00975540"/>
    <w:rsid w:val="00975A07"/>
    <w:rsid w:val="00975EF9"/>
    <w:rsid w:val="0097600E"/>
    <w:rsid w:val="0097613F"/>
    <w:rsid w:val="0097652E"/>
    <w:rsid w:val="009766C5"/>
    <w:rsid w:val="00976885"/>
    <w:rsid w:val="00976E47"/>
    <w:rsid w:val="009772D8"/>
    <w:rsid w:val="00977399"/>
    <w:rsid w:val="00980075"/>
    <w:rsid w:val="009800D3"/>
    <w:rsid w:val="0098032B"/>
    <w:rsid w:val="009806E0"/>
    <w:rsid w:val="009806EF"/>
    <w:rsid w:val="009806F7"/>
    <w:rsid w:val="00980787"/>
    <w:rsid w:val="009808F8"/>
    <w:rsid w:val="009809C0"/>
    <w:rsid w:val="00980B6C"/>
    <w:rsid w:val="00980D11"/>
    <w:rsid w:val="00980FA3"/>
    <w:rsid w:val="009810C4"/>
    <w:rsid w:val="0098144F"/>
    <w:rsid w:val="00981CB4"/>
    <w:rsid w:val="00981E7B"/>
    <w:rsid w:val="00982053"/>
    <w:rsid w:val="00982387"/>
    <w:rsid w:val="00982CD1"/>
    <w:rsid w:val="00983040"/>
    <w:rsid w:val="00983282"/>
    <w:rsid w:val="00983ADB"/>
    <w:rsid w:val="00983CA5"/>
    <w:rsid w:val="00983CF9"/>
    <w:rsid w:val="00983D89"/>
    <w:rsid w:val="00983EE3"/>
    <w:rsid w:val="00983F75"/>
    <w:rsid w:val="0098402A"/>
    <w:rsid w:val="009841A2"/>
    <w:rsid w:val="009842C1"/>
    <w:rsid w:val="00984CD6"/>
    <w:rsid w:val="00984D14"/>
    <w:rsid w:val="00984E7B"/>
    <w:rsid w:val="009850C6"/>
    <w:rsid w:val="00985D02"/>
    <w:rsid w:val="009863F6"/>
    <w:rsid w:val="00986636"/>
    <w:rsid w:val="0098664F"/>
    <w:rsid w:val="0098678E"/>
    <w:rsid w:val="00986921"/>
    <w:rsid w:val="0098785F"/>
    <w:rsid w:val="00990BB2"/>
    <w:rsid w:val="00990E43"/>
    <w:rsid w:val="00991069"/>
    <w:rsid w:val="009913D0"/>
    <w:rsid w:val="00991419"/>
    <w:rsid w:val="00991F10"/>
    <w:rsid w:val="009927BF"/>
    <w:rsid w:val="00992AB8"/>
    <w:rsid w:val="00992CC1"/>
    <w:rsid w:val="00992D1D"/>
    <w:rsid w:val="00992DE5"/>
    <w:rsid w:val="00993170"/>
    <w:rsid w:val="0099378A"/>
    <w:rsid w:val="00993A89"/>
    <w:rsid w:val="00993E11"/>
    <w:rsid w:val="00993E32"/>
    <w:rsid w:val="00993F6E"/>
    <w:rsid w:val="00994012"/>
    <w:rsid w:val="00994101"/>
    <w:rsid w:val="009943EA"/>
    <w:rsid w:val="0099480F"/>
    <w:rsid w:val="0099496B"/>
    <w:rsid w:val="00994D6F"/>
    <w:rsid w:val="00994D9B"/>
    <w:rsid w:val="00995055"/>
    <w:rsid w:val="009952DC"/>
    <w:rsid w:val="00995417"/>
    <w:rsid w:val="00995445"/>
    <w:rsid w:val="00995A9C"/>
    <w:rsid w:val="0099619A"/>
    <w:rsid w:val="0099658D"/>
    <w:rsid w:val="009965A9"/>
    <w:rsid w:val="0099696E"/>
    <w:rsid w:val="00996C66"/>
    <w:rsid w:val="00996CE1"/>
    <w:rsid w:val="009976C8"/>
    <w:rsid w:val="0099794C"/>
    <w:rsid w:val="00997BB7"/>
    <w:rsid w:val="009A02EA"/>
    <w:rsid w:val="009A0C4A"/>
    <w:rsid w:val="009A0CAD"/>
    <w:rsid w:val="009A0E22"/>
    <w:rsid w:val="009A0EC8"/>
    <w:rsid w:val="009A0F24"/>
    <w:rsid w:val="009A1029"/>
    <w:rsid w:val="009A1ABD"/>
    <w:rsid w:val="009A1FBD"/>
    <w:rsid w:val="009A23DD"/>
    <w:rsid w:val="009A2414"/>
    <w:rsid w:val="009A27C0"/>
    <w:rsid w:val="009A28F7"/>
    <w:rsid w:val="009A29ED"/>
    <w:rsid w:val="009A2CC2"/>
    <w:rsid w:val="009A2E01"/>
    <w:rsid w:val="009A33A8"/>
    <w:rsid w:val="009A3512"/>
    <w:rsid w:val="009A357A"/>
    <w:rsid w:val="009A3700"/>
    <w:rsid w:val="009A3AC2"/>
    <w:rsid w:val="009A3BB5"/>
    <w:rsid w:val="009A40E4"/>
    <w:rsid w:val="009A4D21"/>
    <w:rsid w:val="009A5034"/>
    <w:rsid w:val="009A5449"/>
    <w:rsid w:val="009A578C"/>
    <w:rsid w:val="009A6340"/>
    <w:rsid w:val="009A6348"/>
    <w:rsid w:val="009A69A7"/>
    <w:rsid w:val="009A72BF"/>
    <w:rsid w:val="009A74FE"/>
    <w:rsid w:val="009A7B0E"/>
    <w:rsid w:val="009A7CA0"/>
    <w:rsid w:val="009B0045"/>
    <w:rsid w:val="009B0051"/>
    <w:rsid w:val="009B03EE"/>
    <w:rsid w:val="009B0BCA"/>
    <w:rsid w:val="009B1493"/>
    <w:rsid w:val="009B1729"/>
    <w:rsid w:val="009B1A51"/>
    <w:rsid w:val="009B2A2C"/>
    <w:rsid w:val="009B37E3"/>
    <w:rsid w:val="009B3A90"/>
    <w:rsid w:val="009B3AA3"/>
    <w:rsid w:val="009B3DDA"/>
    <w:rsid w:val="009B46DD"/>
    <w:rsid w:val="009B4AAF"/>
    <w:rsid w:val="009B4CDF"/>
    <w:rsid w:val="009B505E"/>
    <w:rsid w:val="009B568D"/>
    <w:rsid w:val="009B57DC"/>
    <w:rsid w:val="009B5E1F"/>
    <w:rsid w:val="009B5FB2"/>
    <w:rsid w:val="009B6068"/>
    <w:rsid w:val="009B613D"/>
    <w:rsid w:val="009B62A9"/>
    <w:rsid w:val="009B6CBC"/>
    <w:rsid w:val="009B72CA"/>
    <w:rsid w:val="009B7787"/>
    <w:rsid w:val="009B77A6"/>
    <w:rsid w:val="009B7873"/>
    <w:rsid w:val="009B78FB"/>
    <w:rsid w:val="009B7CA0"/>
    <w:rsid w:val="009B7D40"/>
    <w:rsid w:val="009B7D7A"/>
    <w:rsid w:val="009B7E2C"/>
    <w:rsid w:val="009B7E65"/>
    <w:rsid w:val="009B7F58"/>
    <w:rsid w:val="009C0133"/>
    <w:rsid w:val="009C03BA"/>
    <w:rsid w:val="009C0A8B"/>
    <w:rsid w:val="009C0BF8"/>
    <w:rsid w:val="009C0D15"/>
    <w:rsid w:val="009C0EB8"/>
    <w:rsid w:val="009C0FEC"/>
    <w:rsid w:val="009C10B1"/>
    <w:rsid w:val="009C205E"/>
    <w:rsid w:val="009C223C"/>
    <w:rsid w:val="009C2A52"/>
    <w:rsid w:val="009C384C"/>
    <w:rsid w:val="009C3AB2"/>
    <w:rsid w:val="009C442E"/>
    <w:rsid w:val="009C492F"/>
    <w:rsid w:val="009C514B"/>
    <w:rsid w:val="009C517E"/>
    <w:rsid w:val="009C5241"/>
    <w:rsid w:val="009C5386"/>
    <w:rsid w:val="009C55A4"/>
    <w:rsid w:val="009C562B"/>
    <w:rsid w:val="009C564D"/>
    <w:rsid w:val="009C58D5"/>
    <w:rsid w:val="009C599F"/>
    <w:rsid w:val="009C5AEF"/>
    <w:rsid w:val="009C5BFB"/>
    <w:rsid w:val="009C5C1E"/>
    <w:rsid w:val="009C66AA"/>
    <w:rsid w:val="009C671E"/>
    <w:rsid w:val="009C677D"/>
    <w:rsid w:val="009C6873"/>
    <w:rsid w:val="009C69A4"/>
    <w:rsid w:val="009C6EE4"/>
    <w:rsid w:val="009C7004"/>
    <w:rsid w:val="009C750A"/>
    <w:rsid w:val="009C7715"/>
    <w:rsid w:val="009C780B"/>
    <w:rsid w:val="009C7FAF"/>
    <w:rsid w:val="009D035A"/>
    <w:rsid w:val="009D0560"/>
    <w:rsid w:val="009D0691"/>
    <w:rsid w:val="009D0C77"/>
    <w:rsid w:val="009D0FB0"/>
    <w:rsid w:val="009D1230"/>
    <w:rsid w:val="009D15B2"/>
    <w:rsid w:val="009D1E72"/>
    <w:rsid w:val="009D2065"/>
    <w:rsid w:val="009D2235"/>
    <w:rsid w:val="009D238E"/>
    <w:rsid w:val="009D23E4"/>
    <w:rsid w:val="009D25BB"/>
    <w:rsid w:val="009D2C75"/>
    <w:rsid w:val="009D2C80"/>
    <w:rsid w:val="009D2E78"/>
    <w:rsid w:val="009D3383"/>
    <w:rsid w:val="009D35A3"/>
    <w:rsid w:val="009D37F9"/>
    <w:rsid w:val="009D3EE7"/>
    <w:rsid w:val="009D4018"/>
    <w:rsid w:val="009D4288"/>
    <w:rsid w:val="009D4400"/>
    <w:rsid w:val="009D44CA"/>
    <w:rsid w:val="009D49B6"/>
    <w:rsid w:val="009D4A63"/>
    <w:rsid w:val="009D4B89"/>
    <w:rsid w:val="009D4D56"/>
    <w:rsid w:val="009D4F2C"/>
    <w:rsid w:val="009D51D5"/>
    <w:rsid w:val="009D52CC"/>
    <w:rsid w:val="009D5497"/>
    <w:rsid w:val="009D565B"/>
    <w:rsid w:val="009D568F"/>
    <w:rsid w:val="009D582B"/>
    <w:rsid w:val="009D5A50"/>
    <w:rsid w:val="009D5CDA"/>
    <w:rsid w:val="009D6207"/>
    <w:rsid w:val="009D6C1B"/>
    <w:rsid w:val="009D6E21"/>
    <w:rsid w:val="009D73D9"/>
    <w:rsid w:val="009D7496"/>
    <w:rsid w:val="009D79BE"/>
    <w:rsid w:val="009D7B5A"/>
    <w:rsid w:val="009D7CD1"/>
    <w:rsid w:val="009E02CC"/>
    <w:rsid w:val="009E07EE"/>
    <w:rsid w:val="009E09F5"/>
    <w:rsid w:val="009E0C1E"/>
    <w:rsid w:val="009E0DA8"/>
    <w:rsid w:val="009E0FE1"/>
    <w:rsid w:val="009E103D"/>
    <w:rsid w:val="009E1087"/>
    <w:rsid w:val="009E11A3"/>
    <w:rsid w:val="009E11F5"/>
    <w:rsid w:val="009E14D8"/>
    <w:rsid w:val="009E1AFC"/>
    <w:rsid w:val="009E21C9"/>
    <w:rsid w:val="009E220A"/>
    <w:rsid w:val="009E26C4"/>
    <w:rsid w:val="009E2E77"/>
    <w:rsid w:val="009E31FB"/>
    <w:rsid w:val="009E3520"/>
    <w:rsid w:val="009E3AFC"/>
    <w:rsid w:val="009E3CF4"/>
    <w:rsid w:val="009E3DB3"/>
    <w:rsid w:val="009E4191"/>
    <w:rsid w:val="009E44C1"/>
    <w:rsid w:val="009E4725"/>
    <w:rsid w:val="009E4918"/>
    <w:rsid w:val="009E4944"/>
    <w:rsid w:val="009E4D97"/>
    <w:rsid w:val="009E50B8"/>
    <w:rsid w:val="009E55EA"/>
    <w:rsid w:val="009E5735"/>
    <w:rsid w:val="009E6126"/>
    <w:rsid w:val="009E619A"/>
    <w:rsid w:val="009E62F9"/>
    <w:rsid w:val="009E63E0"/>
    <w:rsid w:val="009E6478"/>
    <w:rsid w:val="009E68D3"/>
    <w:rsid w:val="009E6A6E"/>
    <w:rsid w:val="009E7530"/>
    <w:rsid w:val="009E7661"/>
    <w:rsid w:val="009F018D"/>
    <w:rsid w:val="009F084B"/>
    <w:rsid w:val="009F0A1A"/>
    <w:rsid w:val="009F0B0B"/>
    <w:rsid w:val="009F0D2D"/>
    <w:rsid w:val="009F0DBC"/>
    <w:rsid w:val="009F1118"/>
    <w:rsid w:val="009F1386"/>
    <w:rsid w:val="009F16EA"/>
    <w:rsid w:val="009F1AD0"/>
    <w:rsid w:val="009F23F9"/>
    <w:rsid w:val="009F2680"/>
    <w:rsid w:val="009F27C3"/>
    <w:rsid w:val="009F297D"/>
    <w:rsid w:val="009F29B9"/>
    <w:rsid w:val="009F2B91"/>
    <w:rsid w:val="009F2F0B"/>
    <w:rsid w:val="009F325A"/>
    <w:rsid w:val="009F32EC"/>
    <w:rsid w:val="009F3592"/>
    <w:rsid w:val="009F3B27"/>
    <w:rsid w:val="009F3F88"/>
    <w:rsid w:val="009F429E"/>
    <w:rsid w:val="009F495E"/>
    <w:rsid w:val="009F50C9"/>
    <w:rsid w:val="009F5383"/>
    <w:rsid w:val="009F56D6"/>
    <w:rsid w:val="009F57BD"/>
    <w:rsid w:val="009F5842"/>
    <w:rsid w:val="009F5A01"/>
    <w:rsid w:val="009F6497"/>
    <w:rsid w:val="009F696E"/>
    <w:rsid w:val="009F6A28"/>
    <w:rsid w:val="009F6A71"/>
    <w:rsid w:val="009F6CD9"/>
    <w:rsid w:val="009F6F13"/>
    <w:rsid w:val="00A00B5A"/>
    <w:rsid w:val="00A01995"/>
    <w:rsid w:val="00A01A4E"/>
    <w:rsid w:val="00A01C1D"/>
    <w:rsid w:val="00A0227F"/>
    <w:rsid w:val="00A02B54"/>
    <w:rsid w:val="00A02E30"/>
    <w:rsid w:val="00A02EE5"/>
    <w:rsid w:val="00A03452"/>
    <w:rsid w:val="00A03795"/>
    <w:rsid w:val="00A037F3"/>
    <w:rsid w:val="00A03A49"/>
    <w:rsid w:val="00A03C82"/>
    <w:rsid w:val="00A03CA8"/>
    <w:rsid w:val="00A03D0F"/>
    <w:rsid w:val="00A042A4"/>
    <w:rsid w:val="00A04830"/>
    <w:rsid w:val="00A04B93"/>
    <w:rsid w:val="00A04BA0"/>
    <w:rsid w:val="00A04F9D"/>
    <w:rsid w:val="00A0507F"/>
    <w:rsid w:val="00A0557A"/>
    <w:rsid w:val="00A057E3"/>
    <w:rsid w:val="00A0597E"/>
    <w:rsid w:val="00A05D0D"/>
    <w:rsid w:val="00A060D5"/>
    <w:rsid w:val="00A061AD"/>
    <w:rsid w:val="00A06234"/>
    <w:rsid w:val="00A0688B"/>
    <w:rsid w:val="00A06C3F"/>
    <w:rsid w:val="00A06D95"/>
    <w:rsid w:val="00A06E21"/>
    <w:rsid w:val="00A06E7A"/>
    <w:rsid w:val="00A06F78"/>
    <w:rsid w:val="00A06FAB"/>
    <w:rsid w:val="00A072F2"/>
    <w:rsid w:val="00A074E1"/>
    <w:rsid w:val="00A07553"/>
    <w:rsid w:val="00A07AAA"/>
    <w:rsid w:val="00A07B2D"/>
    <w:rsid w:val="00A07C72"/>
    <w:rsid w:val="00A100E1"/>
    <w:rsid w:val="00A10257"/>
    <w:rsid w:val="00A1076C"/>
    <w:rsid w:val="00A1085F"/>
    <w:rsid w:val="00A10A62"/>
    <w:rsid w:val="00A10AD6"/>
    <w:rsid w:val="00A10B89"/>
    <w:rsid w:val="00A1114B"/>
    <w:rsid w:val="00A11156"/>
    <w:rsid w:val="00A11544"/>
    <w:rsid w:val="00A119BA"/>
    <w:rsid w:val="00A11F68"/>
    <w:rsid w:val="00A121A7"/>
    <w:rsid w:val="00A122FC"/>
    <w:rsid w:val="00A1277E"/>
    <w:rsid w:val="00A1296C"/>
    <w:rsid w:val="00A12C6C"/>
    <w:rsid w:val="00A131B8"/>
    <w:rsid w:val="00A1342A"/>
    <w:rsid w:val="00A13BA3"/>
    <w:rsid w:val="00A13C30"/>
    <w:rsid w:val="00A13C6C"/>
    <w:rsid w:val="00A13E81"/>
    <w:rsid w:val="00A14155"/>
    <w:rsid w:val="00A14288"/>
    <w:rsid w:val="00A14381"/>
    <w:rsid w:val="00A14905"/>
    <w:rsid w:val="00A14924"/>
    <w:rsid w:val="00A1498D"/>
    <w:rsid w:val="00A15431"/>
    <w:rsid w:val="00A15509"/>
    <w:rsid w:val="00A15E28"/>
    <w:rsid w:val="00A1644F"/>
    <w:rsid w:val="00A168D4"/>
    <w:rsid w:val="00A16A89"/>
    <w:rsid w:val="00A16D86"/>
    <w:rsid w:val="00A16E98"/>
    <w:rsid w:val="00A16F0F"/>
    <w:rsid w:val="00A1710E"/>
    <w:rsid w:val="00A17154"/>
    <w:rsid w:val="00A17219"/>
    <w:rsid w:val="00A17856"/>
    <w:rsid w:val="00A17933"/>
    <w:rsid w:val="00A209E6"/>
    <w:rsid w:val="00A20E6A"/>
    <w:rsid w:val="00A21589"/>
    <w:rsid w:val="00A2172E"/>
    <w:rsid w:val="00A2198E"/>
    <w:rsid w:val="00A219EB"/>
    <w:rsid w:val="00A21AB4"/>
    <w:rsid w:val="00A21CC0"/>
    <w:rsid w:val="00A21E8C"/>
    <w:rsid w:val="00A2213A"/>
    <w:rsid w:val="00A2222E"/>
    <w:rsid w:val="00A22278"/>
    <w:rsid w:val="00A22285"/>
    <w:rsid w:val="00A223FF"/>
    <w:rsid w:val="00A22466"/>
    <w:rsid w:val="00A22595"/>
    <w:rsid w:val="00A2270E"/>
    <w:rsid w:val="00A22C70"/>
    <w:rsid w:val="00A22EAC"/>
    <w:rsid w:val="00A22EF5"/>
    <w:rsid w:val="00A2309E"/>
    <w:rsid w:val="00A230DD"/>
    <w:rsid w:val="00A23A73"/>
    <w:rsid w:val="00A23DBD"/>
    <w:rsid w:val="00A246C2"/>
    <w:rsid w:val="00A2481C"/>
    <w:rsid w:val="00A24EBA"/>
    <w:rsid w:val="00A24F81"/>
    <w:rsid w:val="00A251AB"/>
    <w:rsid w:val="00A25292"/>
    <w:rsid w:val="00A252DA"/>
    <w:rsid w:val="00A256A4"/>
    <w:rsid w:val="00A259C4"/>
    <w:rsid w:val="00A26823"/>
    <w:rsid w:val="00A2721A"/>
    <w:rsid w:val="00A27238"/>
    <w:rsid w:val="00A27367"/>
    <w:rsid w:val="00A27D2D"/>
    <w:rsid w:val="00A27D9F"/>
    <w:rsid w:val="00A30005"/>
    <w:rsid w:val="00A301B2"/>
    <w:rsid w:val="00A302DA"/>
    <w:rsid w:val="00A3076A"/>
    <w:rsid w:val="00A307B3"/>
    <w:rsid w:val="00A30AF5"/>
    <w:rsid w:val="00A30CBA"/>
    <w:rsid w:val="00A30E02"/>
    <w:rsid w:val="00A311B8"/>
    <w:rsid w:val="00A311FF"/>
    <w:rsid w:val="00A31687"/>
    <w:rsid w:val="00A31DA9"/>
    <w:rsid w:val="00A31DE3"/>
    <w:rsid w:val="00A3211A"/>
    <w:rsid w:val="00A32147"/>
    <w:rsid w:val="00A32630"/>
    <w:rsid w:val="00A32786"/>
    <w:rsid w:val="00A32D3C"/>
    <w:rsid w:val="00A335B9"/>
    <w:rsid w:val="00A33858"/>
    <w:rsid w:val="00A33B44"/>
    <w:rsid w:val="00A33C5B"/>
    <w:rsid w:val="00A34D87"/>
    <w:rsid w:val="00A352F4"/>
    <w:rsid w:val="00A36138"/>
    <w:rsid w:val="00A3614B"/>
    <w:rsid w:val="00A366B6"/>
    <w:rsid w:val="00A368EA"/>
    <w:rsid w:val="00A36F76"/>
    <w:rsid w:val="00A36FD0"/>
    <w:rsid w:val="00A371F6"/>
    <w:rsid w:val="00A373E5"/>
    <w:rsid w:val="00A376B0"/>
    <w:rsid w:val="00A37DDD"/>
    <w:rsid w:val="00A405B7"/>
    <w:rsid w:val="00A406D2"/>
    <w:rsid w:val="00A414C5"/>
    <w:rsid w:val="00A4167D"/>
    <w:rsid w:val="00A41CB9"/>
    <w:rsid w:val="00A41E14"/>
    <w:rsid w:val="00A41F0B"/>
    <w:rsid w:val="00A41FE2"/>
    <w:rsid w:val="00A4225A"/>
    <w:rsid w:val="00A42297"/>
    <w:rsid w:val="00A42596"/>
    <w:rsid w:val="00A42868"/>
    <w:rsid w:val="00A43350"/>
    <w:rsid w:val="00A434B6"/>
    <w:rsid w:val="00A43CFE"/>
    <w:rsid w:val="00A43FE5"/>
    <w:rsid w:val="00A4408F"/>
    <w:rsid w:val="00A44564"/>
    <w:rsid w:val="00A44DF1"/>
    <w:rsid w:val="00A45019"/>
    <w:rsid w:val="00A45608"/>
    <w:rsid w:val="00A45C86"/>
    <w:rsid w:val="00A464C3"/>
    <w:rsid w:val="00A46EE7"/>
    <w:rsid w:val="00A47056"/>
    <w:rsid w:val="00A47487"/>
    <w:rsid w:val="00A476A7"/>
    <w:rsid w:val="00A47AB0"/>
    <w:rsid w:val="00A47C3B"/>
    <w:rsid w:val="00A501B2"/>
    <w:rsid w:val="00A506DD"/>
    <w:rsid w:val="00A50AAC"/>
    <w:rsid w:val="00A50D33"/>
    <w:rsid w:val="00A50E19"/>
    <w:rsid w:val="00A51140"/>
    <w:rsid w:val="00A512E0"/>
    <w:rsid w:val="00A51883"/>
    <w:rsid w:val="00A51ABE"/>
    <w:rsid w:val="00A51D7D"/>
    <w:rsid w:val="00A52295"/>
    <w:rsid w:val="00A52B80"/>
    <w:rsid w:val="00A52CCE"/>
    <w:rsid w:val="00A52EAA"/>
    <w:rsid w:val="00A537EF"/>
    <w:rsid w:val="00A53CFD"/>
    <w:rsid w:val="00A53D80"/>
    <w:rsid w:val="00A54482"/>
    <w:rsid w:val="00A54555"/>
    <w:rsid w:val="00A547BC"/>
    <w:rsid w:val="00A54D62"/>
    <w:rsid w:val="00A54F1D"/>
    <w:rsid w:val="00A5517F"/>
    <w:rsid w:val="00A5529C"/>
    <w:rsid w:val="00A5550F"/>
    <w:rsid w:val="00A55B21"/>
    <w:rsid w:val="00A56235"/>
    <w:rsid w:val="00A564C2"/>
    <w:rsid w:val="00A56659"/>
    <w:rsid w:val="00A56683"/>
    <w:rsid w:val="00A568AB"/>
    <w:rsid w:val="00A56A25"/>
    <w:rsid w:val="00A56A61"/>
    <w:rsid w:val="00A56CC0"/>
    <w:rsid w:val="00A57065"/>
    <w:rsid w:val="00A57548"/>
    <w:rsid w:val="00A57865"/>
    <w:rsid w:val="00A57A19"/>
    <w:rsid w:val="00A60749"/>
    <w:rsid w:val="00A60B42"/>
    <w:rsid w:val="00A60B6B"/>
    <w:rsid w:val="00A60C4B"/>
    <w:rsid w:val="00A617B4"/>
    <w:rsid w:val="00A61807"/>
    <w:rsid w:val="00A61B11"/>
    <w:rsid w:val="00A621EB"/>
    <w:rsid w:val="00A62319"/>
    <w:rsid w:val="00A6248D"/>
    <w:rsid w:val="00A6257C"/>
    <w:rsid w:val="00A62724"/>
    <w:rsid w:val="00A62C99"/>
    <w:rsid w:val="00A62F01"/>
    <w:rsid w:val="00A631CA"/>
    <w:rsid w:val="00A63447"/>
    <w:rsid w:val="00A6376A"/>
    <w:rsid w:val="00A637B8"/>
    <w:rsid w:val="00A637FF"/>
    <w:rsid w:val="00A63847"/>
    <w:rsid w:val="00A638AB"/>
    <w:rsid w:val="00A63AFB"/>
    <w:rsid w:val="00A63B77"/>
    <w:rsid w:val="00A63CB3"/>
    <w:rsid w:val="00A63D48"/>
    <w:rsid w:val="00A63E0D"/>
    <w:rsid w:val="00A63E94"/>
    <w:rsid w:val="00A640C6"/>
    <w:rsid w:val="00A6478B"/>
    <w:rsid w:val="00A648CF"/>
    <w:rsid w:val="00A648DC"/>
    <w:rsid w:val="00A648FF"/>
    <w:rsid w:val="00A64AC4"/>
    <w:rsid w:val="00A64C40"/>
    <w:rsid w:val="00A64CE0"/>
    <w:rsid w:val="00A65074"/>
    <w:rsid w:val="00A6507A"/>
    <w:rsid w:val="00A6537D"/>
    <w:rsid w:val="00A66509"/>
    <w:rsid w:val="00A66E4F"/>
    <w:rsid w:val="00A670AF"/>
    <w:rsid w:val="00A672B1"/>
    <w:rsid w:val="00A67915"/>
    <w:rsid w:val="00A67A48"/>
    <w:rsid w:val="00A7030E"/>
    <w:rsid w:val="00A70357"/>
    <w:rsid w:val="00A70EDF"/>
    <w:rsid w:val="00A713F0"/>
    <w:rsid w:val="00A71887"/>
    <w:rsid w:val="00A7198C"/>
    <w:rsid w:val="00A72180"/>
    <w:rsid w:val="00A72193"/>
    <w:rsid w:val="00A72603"/>
    <w:rsid w:val="00A72841"/>
    <w:rsid w:val="00A73018"/>
    <w:rsid w:val="00A73086"/>
    <w:rsid w:val="00A7350A"/>
    <w:rsid w:val="00A73AF6"/>
    <w:rsid w:val="00A73D39"/>
    <w:rsid w:val="00A742C4"/>
    <w:rsid w:val="00A7445A"/>
    <w:rsid w:val="00A7469B"/>
    <w:rsid w:val="00A74E96"/>
    <w:rsid w:val="00A754DD"/>
    <w:rsid w:val="00A761A2"/>
    <w:rsid w:val="00A761B6"/>
    <w:rsid w:val="00A766A2"/>
    <w:rsid w:val="00A76735"/>
    <w:rsid w:val="00A767EE"/>
    <w:rsid w:val="00A76903"/>
    <w:rsid w:val="00A76F42"/>
    <w:rsid w:val="00A779FF"/>
    <w:rsid w:val="00A77AC0"/>
    <w:rsid w:val="00A77C36"/>
    <w:rsid w:val="00A77E4B"/>
    <w:rsid w:val="00A802D5"/>
    <w:rsid w:val="00A802E4"/>
    <w:rsid w:val="00A8072C"/>
    <w:rsid w:val="00A80BDE"/>
    <w:rsid w:val="00A811ED"/>
    <w:rsid w:val="00A815D8"/>
    <w:rsid w:val="00A81E20"/>
    <w:rsid w:val="00A8224A"/>
    <w:rsid w:val="00A82449"/>
    <w:rsid w:val="00A82759"/>
    <w:rsid w:val="00A827E8"/>
    <w:rsid w:val="00A8293C"/>
    <w:rsid w:val="00A82F61"/>
    <w:rsid w:val="00A8382D"/>
    <w:rsid w:val="00A8426E"/>
    <w:rsid w:val="00A8427C"/>
    <w:rsid w:val="00A84E54"/>
    <w:rsid w:val="00A84F5C"/>
    <w:rsid w:val="00A8503C"/>
    <w:rsid w:val="00A855E3"/>
    <w:rsid w:val="00A8579C"/>
    <w:rsid w:val="00A858F4"/>
    <w:rsid w:val="00A85D1D"/>
    <w:rsid w:val="00A85DA1"/>
    <w:rsid w:val="00A85FC3"/>
    <w:rsid w:val="00A86022"/>
    <w:rsid w:val="00A86602"/>
    <w:rsid w:val="00A86C2D"/>
    <w:rsid w:val="00A878C8"/>
    <w:rsid w:val="00A87F77"/>
    <w:rsid w:val="00A87FE0"/>
    <w:rsid w:val="00A90034"/>
    <w:rsid w:val="00A90119"/>
    <w:rsid w:val="00A90405"/>
    <w:rsid w:val="00A90C3E"/>
    <w:rsid w:val="00A9110F"/>
    <w:rsid w:val="00A9138F"/>
    <w:rsid w:val="00A91448"/>
    <w:rsid w:val="00A91C58"/>
    <w:rsid w:val="00A9214A"/>
    <w:rsid w:val="00A923F6"/>
    <w:rsid w:val="00A92703"/>
    <w:rsid w:val="00A92CEC"/>
    <w:rsid w:val="00A9312A"/>
    <w:rsid w:val="00A93165"/>
    <w:rsid w:val="00A93C43"/>
    <w:rsid w:val="00A93C8E"/>
    <w:rsid w:val="00A944DB"/>
    <w:rsid w:val="00A94798"/>
    <w:rsid w:val="00A94E32"/>
    <w:rsid w:val="00A95A2B"/>
    <w:rsid w:val="00A95BBB"/>
    <w:rsid w:val="00A9658D"/>
    <w:rsid w:val="00A96775"/>
    <w:rsid w:val="00A96784"/>
    <w:rsid w:val="00A968A6"/>
    <w:rsid w:val="00A96B11"/>
    <w:rsid w:val="00A973B4"/>
    <w:rsid w:val="00A975A5"/>
    <w:rsid w:val="00A9762A"/>
    <w:rsid w:val="00A97728"/>
    <w:rsid w:val="00A97742"/>
    <w:rsid w:val="00A97785"/>
    <w:rsid w:val="00A9791D"/>
    <w:rsid w:val="00A97E3A"/>
    <w:rsid w:val="00AA020D"/>
    <w:rsid w:val="00AA099E"/>
    <w:rsid w:val="00AA0D36"/>
    <w:rsid w:val="00AA0D6A"/>
    <w:rsid w:val="00AA1206"/>
    <w:rsid w:val="00AA1691"/>
    <w:rsid w:val="00AA16D2"/>
    <w:rsid w:val="00AA1894"/>
    <w:rsid w:val="00AA19EC"/>
    <w:rsid w:val="00AA1BD0"/>
    <w:rsid w:val="00AA1C10"/>
    <w:rsid w:val="00AA2362"/>
    <w:rsid w:val="00AA239E"/>
    <w:rsid w:val="00AA23C2"/>
    <w:rsid w:val="00AA2946"/>
    <w:rsid w:val="00AA2EC5"/>
    <w:rsid w:val="00AA2FEE"/>
    <w:rsid w:val="00AA3759"/>
    <w:rsid w:val="00AA37F8"/>
    <w:rsid w:val="00AA398F"/>
    <w:rsid w:val="00AA3F76"/>
    <w:rsid w:val="00AA414C"/>
    <w:rsid w:val="00AA41AE"/>
    <w:rsid w:val="00AA4277"/>
    <w:rsid w:val="00AA42DA"/>
    <w:rsid w:val="00AA441F"/>
    <w:rsid w:val="00AA4CB3"/>
    <w:rsid w:val="00AA57F9"/>
    <w:rsid w:val="00AA5C1A"/>
    <w:rsid w:val="00AA6207"/>
    <w:rsid w:val="00AA66FC"/>
    <w:rsid w:val="00AA6C01"/>
    <w:rsid w:val="00AA6D8A"/>
    <w:rsid w:val="00AA7500"/>
    <w:rsid w:val="00AA7572"/>
    <w:rsid w:val="00AA761C"/>
    <w:rsid w:val="00AA7856"/>
    <w:rsid w:val="00AA78C0"/>
    <w:rsid w:val="00AA7AC0"/>
    <w:rsid w:val="00AA7AEE"/>
    <w:rsid w:val="00AA7B38"/>
    <w:rsid w:val="00AA7B45"/>
    <w:rsid w:val="00AB0429"/>
    <w:rsid w:val="00AB04FE"/>
    <w:rsid w:val="00AB0A1E"/>
    <w:rsid w:val="00AB132E"/>
    <w:rsid w:val="00AB162A"/>
    <w:rsid w:val="00AB1B71"/>
    <w:rsid w:val="00AB235A"/>
    <w:rsid w:val="00AB2755"/>
    <w:rsid w:val="00AB2828"/>
    <w:rsid w:val="00AB2BA1"/>
    <w:rsid w:val="00AB2D3C"/>
    <w:rsid w:val="00AB31EE"/>
    <w:rsid w:val="00AB321A"/>
    <w:rsid w:val="00AB3251"/>
    <w:rsid w:val="00AB32CB"/>
    <w:rsid w:val="00AB3441"/>
    <w:rsid w:val="00AB34CB"/>
    <w:rsid w:val="00AB352E"/>
    <w:rsid w:val="00AB3971"/>
    <w:rsid w:val="00AB3B92"/>
    <w:rsid w:val="00AB3CAE"/>
    <w:rsid w:val="00AB3D3F"/>
    <w:rsid w:val="00AB3E55"/>
    <w:rsid w:val="00AB40BD"/>
    <w:rsid w:val="00AB4185"/>
    <w:rsid w:val="00AB4AEB"/>
    <w:rsid w:val="00AB4B1C"/>
    <w:rsid w:val="00AB4BC2"/>
    <w:rsid w:val="00AB4CC7"/>
    <w:rsid w:val="00AB4D0F"/>
    <w:rsid w:val="00AB4F39"/>
    <w:rsid w:val="00AB4F81"/>
    <w:rsid w:val="00AB4FF4"/>
    <w:rsid w:val="00AB5081"/>
    <w:rsid w:val="00AB5A4F"/>
    <w:rsid w:val="00AB6234"/>
    <w:rsid w:val="00AB66BC"/>
    <w:rsid w:val="00AB6AFE"/>
    <w:rsid w:val="00AB722A"/>
    <w:rsid w:val="00AB7250"/>
    <w:rsid w:val="00AB780E"/>
    <w:rsid w:val="00AC0069"/>
    <w:rsid w:val="00AC027D"/>
    <w:rsid w:val="00AC0293"/>
    <w:rsid w:val="00AC036F"/>
    <w:rsid w:val="00AC038F"/>
    <w:rsid w:val="00AC0DDD"/>
    <w:rsid w:val="00AC17E8"/>
    <w:rsid w:val="00AC17FF"/>
    <w:rsid w:val="00AC1EF5"/>
    <w:rsid w:val="00AC202C"/>
    <w:rsid w:val="00AC2568"/>
    <w:rsid w:val="00AC25ED"/>
    <w:rsid w:val="00AC2E51"/>
    <w:rsid w:val="00AC32D3"/>
    <w:rsid w:val="00AC33BD"/>
    <w:rsid w:val="00AC37EC"/>
    <w:rsid w:val="00AC3A5F"/>
    <w:rsid w:val="00AC3D99"/>
    <w:rsid w:val="00AC3F72"/>
    <w:rsid w:val="00AC4A61"/>
    <w:rsid w:val="00AC50F8"/>
    <w:rsid w:val="00AC5185"/>
    <w:rsid w:val="00AC5340"/>
    <w:rsid w:val="00AC54EC"/>
    <w:rsid w:val="00AC5680"/>
    <w:rsid w:val="00AC5BFD"/>
    <w:rsid w:val="00AC5C73"/>
    <w:rsid w:val="00AC5E87"/>
    <w:rsid w:val="00AC637C"/>
    <w:rsid w:val="00AC6571"/>
    <w:rsid w:val="00AC6754"/>
    <w:rsid w:val="00AC6C2E"/>
    <w:rsid w:val="00AC6E1D"/>
    <w:rsid w:val="00AC6E9C"/>
    <w:rsid w:val="00AC6EA4"/>
    <w:rsid w:val="00AC72F1"/>
    <w:rsid w:val="00AC7497"/>
    <w:rsid w:val="00AC75AE"/>
    <w:rsid w:val="00AC76CE"/>
    <w:rsid w:val="00AC78AE"/>
    <w:rsid w:val="00AC7B42"/>
    <w:rsid w:val="00AC7B5B"/>
    <w:rsid w:val="00AD023E"/>
    <w:rsid w:val="00AD0414"/>
    <w:rsid w:val="00AD054C"/>
    <w:rsid w:val="00AD07CC"/>
    <w:rsid w:val="00AD0A9D"/>
    <w:rsid w:val="00AD0FB1"/>
    <w:rsid w:val="00AD186A"/>
    <w:rsid w:val="00AD18D1"/>
    <w:rsid w:val="00AD1E91"/>
    <w:rsid w:val="00AD207B"/>
    <w:rsid w:val="00AD269B"/>
    <w:rsid w:val="00AD2719"/>
    <w:rsid w:val="00AD27AE"/>
    <w:rsid w:val="00AD2CA7"/>
    <w:rsid w:val="00AD369B"/>
    <w:rsid w:val="00AD3891"/>
    <w:rsid w:val="00AD398B"/>
    <w:rsid w:val="00AD3EB9"/>
    <w:rsid w:val="00AD417E"/>
    <w:rsid w:val="00AD43F8"/>
    <w:rsid w:val="00AD4565"/>
    <w:rsid w:val="00AD461F"/>
    <w:rsid w:val="00AD467D"/>
    <w:rsid w:val="00AD483E"/>
    <w:rsid w:val="00AD4977"/>
    <w:rsid w:val="00AD4B5D"/>
    <w:rsid w:val="00AD4C8D"/>
    <w:rsid w:val="00AD4F48"/>
    <w:rsid w:val="00AD5530"/>
    <w:rsid w:val="00AD57CA"/>
    <w:rsid w:val="00AD599F"/>
    <w:rsid w:val="00AD5D98"/>
    <w:rsid w:val="00AD5EB0"/>
    <w:rsid w:val="00AD64F2"/>
    <w:rsid w:val="00AD670D"/>
    <w:rsid w:val="00AD6768"/>
    <w:rsid w:val="00AD6AD9"/>
    <w:rsid w:val="00AD6C98"/>
    <w:rsid w:val="00AD6D88"/>
    <w:rsid w:val="00AD6E23"/>
    <w:rsid w:val="00AD7026"/>
    <w:rsid w:val="00AD7572"/>
    <w:rsid w:val="00AD7893"/>
    <w:rsid w:val="00AD7AEF"/>
    <w:rsid w:val="00AE0558"/>
    <w:rsid w:val="00AE0B2B"/>
    <w:rsid w:val="00AE0C7E"/>
    <w:rsid w:val="00AE0CA1"/>
    <w:rsid w:val="00AE0E25"/>
    <w:rsid w:val="00AE0E8A"/>
    <w:rsid w:val="00AE14F4"/>
    <w:rsid w:val="00AE1AB1"/>
    <w:rsid w:val="00AE2422"/>
    <w:rsid w:val="00AE24AF"/>
    <w:rsid w:val="00AE2A81"/>
    <w:rsid w:val="00AE31F4"/>
    <w:rsid w:val="00AE32FB"/>
    <w:rsid w:val="00AE3738"/>
    <w:rsid w:val="00AE37C5"/>
    <w:rsid w:val="00AE38CB"/>
    <w:rsid w:val="00AE3E85"/>
    <w:rsid w:val="00AE403E"/>
    <w:rsid w:val="00AE42C6"/>
    <w:rsid w:val="00AE4A80"/>
    <w:rsid w:val="00AE525B"/>
    <w:rsid w:val="00AE5586"/>
    <w:rsid w:val="00AE57F6"/>
    <w:rsid w:val="00AE591F"/>
    <w:rsid w:val="00AE5B1F"/>
    <w:rsid w:val="00AE5F7C"/>
    <w:rsid w:val="00AE6080"/>
    <w:rsid w:val="00AE60F6"/>
    <w:rsid w:val="00AE63E4"/>
    <w:rsid w:val="00AE6502"/>
    <w:rsid w:val="00AE675F"/>
    <w:rsid w:val="00AE683F"/>
    <w:rsid w:val="00AE6E74"/>
    <w:rsid w:val="00AE7048"/>
    <w:rsid w:val="00AE7407"/>
    <w:rsid w:val="00AE74DF"/>
    <w:rsid w:val="00AE7BD2"/>
    <w:rsid w:val="00AE7C81"/>
    <w:rsid w:val="00AE7F7F"/>
    <w:rsid w:val="00AF017D"/>
    <w:rsid w:val="00AF0A36"/>
    <w:rsid w:val="00AF0A56"/>
    <w:rsid w:val="00AF0E8B"/>
    <w:rsid w:val="00AF1150"/>
    <w:rsid w:val="00AF11CE"/>
    <w:rsid w:val="00AF16AC"/>
    <w:rsid w:val="00AF1880"/>
    <w:rsid w:val="00AF1A07"/>
    <w:rsid w:val="00AF1C43"/>
    <w:rsid w:val="00AF1DA1"/>
    <w:rsid w:val="00AF1E59"/>
    <w:rsid w:val="00AF2022"/>
    <w:rsid w:val="00AF25CB"/>
    <w:rsid w:val="00AF278B"/>
    <w:rsid w:val="00AF278D"/>
    <w:rsid w:val="00AF2C95"/>
    <w:rsid w:val="00AF364B"/>
    <w:rsid w:val="00AF3AAC"/>
    <w:rsid w:val="00AF3AC8"/>
    <w:rsid w:val="00AF3D22"/>
    <w:rsid w:val="00AF400C"/>
    <w:rsid w:val="00AF4947"/>
    <w:rsid w:val="00AF4BE7"/>
    <w:rsid w:val="00AF4D1D"/>
    <w:rsid w:val="00AF5195"/>
    <w:rsid w:val="00AF51B5"/>
    <w:rsid w:val="00AF557D"/>
    <w:rsid w:val="00AF557E"/>
    <w:rsid w:val="00AF5840"/>
    <w:rsid w:val="00AF64BE"/>
    <w:rsid w:val="00AF64FE"/>
    <w:rsid w:val="00AF6BAB"/>
    <w:rsid w:val="00AF7287"/>
    <w:rsid w:val="00AF74C4"/>
    <w:rsid w:val="00AF7786"/>
    <w:rsid w:val="00AF7CA0"/>
    <w:rsid w:val="00AF7CF2"/>
    <w:rsid w:val="00AF7E6B"/>
    <w:rsid w:val="00B00162"/>
    <w:rsid w:val="00B00839"/>
    <w:rsid w:val="00B00AB5"/>
    <w:rsid w:val="00B00BA0"/>
    <w:rsid w:val="00B00D45"/>
    <w:rsid w:val="00B00F47"/>
    <w:rsid w:val="00B01099"/>
    <w:rsid w:val="00B01565"/>
    <w:rsid w:val="00B0198D"/>
    <w:rsid w:val="00B020D3"/>
    <w:rsid w:val="00B024ED"/>
    <w:rsid w:val="00B03F9C"/>
    <w:rsid w:val="00B04071"/>
    <w:rsid w:val="00B042F6"/>
    <w:rsid w:val="00B044B1"/>
    <w:rsid w:val="00B04BA1"/>
    <w:rsid w:val="00B04CE0"/>
    <w:rsid w:val="00B0519D"/>
    <w:rsid w:val="00B0530F"/>
    <w:rsid w:val="00B05397"/>
    <w:rsid w:val="00B05543"/>
    <w:rsid w:val="00B05569"/>
    <w:rsid w:val="00B05975"/>
    <w:rsid w:val="00B05A7B"/>
    <w:rsid w:val="00B05B30"/>
    <w:rsid w:val="00B05B5F"/>
    <w:rsid w:val="00B05BAA"/>
    <w:rsid w:val="00B06198"/>
    <w:rsid w:val="00B0631D"/>
    <w:rsid w:val="00B064A3"/>
    <w:rsid w:val="00B06A35"/>
    <w:rsid w:val="00B072C8"/>
    <w:rsid w:val="00B07496"/>
    <w:rsid w:val="00B07C1A"/>
    <w:rsid w:val="00B07CC7"/>
    <w:rsid w:val="00B07DFB"/>
    <w:rsid w:val="00B07E11"/>
    <w:rsid w:val="00B07F00"/>
    <w:rsid w:val="00B101C6"/>
    <w:rsid w:val="00B10331"/>
    <w:rsid w:val="00B1043D"/>
    <w:rsid w:val="00B10443"/>
    <w:rsid w:val="00B107A3"/>
    <w:rsid w:val="00B109C2"/>
    <w:rsid w:val="00B10CDC"/>
    <w:rsid w:val="00B11217"/>
    <w:rsid w:val="00B112FB"/>
    <w:rsid w:val="00B11311"/>
    <w:rsid w:val="00B11BA8"/>
    <w:rsid w:val="00B11F33"/>
    <w:rsid w:val="00B121F9"/>
    <w:rsid w:val="00B122EC"/>
    <w:rsid w:val="00B12372"/>
    <w:rsid w:val="00B131E7"/>
    <w:rsid w:val="00B13753"/>
    <w:rsid w:val="00B13C8F"/>
    <w:rsid w:val="00B13FD0"/>
    <w:rsid w:val="00B13FEC"/>
    <w:rsid w:val="00B1402F"/>
    <w:rsid w:val="00B140BD"/>
    <w:rsid w:val="00B14142"/>
    <w:rsid w:val="00B145D5"/>
    <w:rsid w:val="00B1490D"/>
    <w:rsid w:val="00B14A7D"/>
    <w:rsid w:val="00B14AF5"/>
    <w:rsid w:val="00B14C67"/>
    <w:rsid w:val="00B14DE8"/>
    <w:rsid w:val="00B153CC"/>
    <w:rsid w:val="00B1540F"/>
    <w:rsid w:val="00B15829"/>
    <w:rsid w:val="00B15B5F"/>
    <w:rsid w:val="00B15D50"/>
    <w:rsid w:val="00B161F7"/>
    <w:rsid w:val="00B163FD"/>
    <w:rsid w:val="00B16902"/>
    <w:rsid w:val="00B16B89"/>
    <w:rsid w:val="00B17228"/>
    <w:rsid w:val="00B17298"/>
    <w:rsid w:val="00B17D54"/>
    <w:rsid w:val="00B17F27"/>
    <w:rsid w:val="00B17FA1"/>
    <w:rsid w:val="00B20783"/>
    <w:rsid w:val="00B20808"/>
    <w:rsid w:val="00B20892"/>
    <w:rsid w:val="00B20E09"/>
    <w:rsid w:val="00B21090"/>
    <w:rsid w:val="00B211C2"/>
    <w:rsid w:val="00B217FA"/>
    <w:rsid w:val="00B21FA8"/>
    <w:rsid w:val="00B2201E"/>
    <w:rsid w:val="00B220EC"/>
    <w:rsid w:val="00B220F2"/>
    <w:rsid w:val="00B22453"/>
    <w:rsid w:val="00B2254C"/>
    <w:rsid w:val="00B22573"/>
    <w:rsid w:val="00B2269C"/>
    <w:rsid w:val="00B22B00"/>
    <w:rsid w:val="00B22CD2"/>
    <w:rsid w:val="00B231FD"/>
    <w:rsid w:val="00B233FB"/>
    <w:rsid w:val="00B23BEB"/>
    <w:rsid w:val="00B23D6C"/>
    <w:rsid w:val="00B24966"/>
    <w:rsid w:val="00B249E2"/>
    <w:rsid w:val="00B24AE1"/>
    <w:rsid w:val="00B24F5E"/>
    <w:rsid w:val="00B25442"/>
    <w:rsid w:val="00B256B0"/>
    <w:rsid w:val="00B2589F"/>
    <w:rsid w:val="00B25ACA"/>
    <w:rsid w:val="00B25E46"/>
    <w:rsid w:val="00B2618A"/>
    <w:rsid w:val="00B266A9"/>
    <w:rsid w:val="00B2683A"/>
    <w:rsid w:val="00B26A9C"/>
    <w:rsid w:val="00B26C41"/>
    <w:rsid w:val="00B26E5F"/>
    <w:rsid w:val="00B27362"/>
    <w:rsid w:val="00B273A7"/>
    <w:rsid w:val="00B27C73"/>
    <w:rsid w:val="00B27EA9"/>
    <w:rsid w:val="00B302C5"/>
    <w:rsid w:val="00B3037C"/>
    <w:rsid w:val="00B3063A"/>
    <w:rsid w:val="00B3074F"/>
    <w:rsid w:val="00B30CC6"/>
    <w:rsid w:val="00B30E65"/>
    <w:rsid w:val="00B311B7"/>
    <w:rsid w:val="00B31355"/>
    <w:rsid w:val="00B314F0"/>
    <w:rsid w:val="00B316D3"/>
    <w:rsid w:val="00B31AE3"/>
    <w:rsid w:val="00B3217D"/>
    <w:rsid w:val="00B321E4"/>
    <w:rsid w:val="00B3259C"/>
    <w:rsid w:val="00B326E6"/>
    <w:rsid w:val="00B32F31"/>
    <w:rsid w:val="00B3305E"/>
    <w:rsid w:val="00B33145"/>
    <w:rsid w:val="00B3337C"/>
    <w:rsid w:val="00B333B6"/>
    <w:rsid w:val="00B33A3B"/>
    <w:rsid w:val="00B33EF9"/>
    <w:rsid w:val="00B34016"/>
    <w:rsid w:val="00B34590"/>
    <w:rsid w:val="00B346D5"/>
    <w:rsid w:val="00B34716"/>
    <w:rsid w:val="00B3514E"/>
    <w:rsid w:val="00B351E5"/>
    <w:rsid w:val="00B35524"/>
    <w:rsid w:val="00B358B8"/>
    <w:rsid w:val="00B358CF"/>
    <w:rsid w:val="00B35A77"/>
    <w:rsid w:val="00B35BFC"/>
    <w:rsid w:val="00B35E6A"/>
    <w:rsid w:val="00B35F31"/>
    <w:rsid w:val="00B36F86"/>
    <w:rsid w:val="00B370AA"/>
    <w:rsid w:val="00B37ED7"/>
    <w:rsid w:val="00B37EFD"/>
    <w:rsid w:val="00B40B17"/>
    <w:rsid w:val="00B40B9E"/>
    <w:rsid w:val="00B41287"/>
    <w:rsid w:val="00B4142B"/>
    <w:rsid w:val="00B41565"/>
    <w:rsid w:val="00B42025"/>
    <w:rsid w:val="00B424E1"/>
    <w:rsid w:val="00B42EEC"/>
    <w:rsid w:val="00B43510"/>
    <w:rsid w:val="00B43716"/>
    <w:rsid w:val="00B43801"/>
    <w:rsid w:val="00B43C35"/>
    <w:rsid w:val="00B445A7"/>
    <w:rsid w:val="00B448ED"/>
    <w:rsid w:val="00B44D73"/>
    <w:rsid w:val="00B45368"/>
    <w:rsid w:val="00B4539D"/>
    <w:rsid w:val="00B45503"/>
    <w:rsid w:val="00B4582D"/>
    <w:rsid w:val="00B45D52"/>
    <w:rsid w:val="00B46880"/>
    <w:rsid w:val="00B468CD"/>
    <w:rsid w:val="00B46917"/>
    <w:rsid w:val="00B46B96"/>
    <w:rsid w:val="00B4774D"/>
    <w:rsid w:val="00B47DB2"/>
    <w:rsid w:val="00B47FA6"/>
    <w:rsid w:val="00B5022D"/>
    <w:rsid w:val="00B50425"/>
    <w:rsid w:val="00B50936"/>
    <w:rsid w:val="00B52382"/>
    <w:rsid w:val="00B52542"/>
    <w:rsid w:val="00B52A60"/>
    <w:rsid w:val="00B53291"/>
    <w:rsid w:val="00B53E7F"/>
    <w:rsid w:val="00B53EBD"/>
    <w:rsid w:val="00B54019"/>
    <w:rsid w:val="00B542F4"/>
    <w:rsid w:val="00B54941"/>
    <w:rsid w:val="00B54BBA"/>
    <w:rsid w:val="00B55BD4"/>
    <w:rsid w:val="00B55D1B"/>
    <w:rsid w:val="00B55ED0"/>
    <w:rsid w:val="00B565E1"/>
    <w:rsid w:val="00B56845"/>
    <w:rsid w:val="00B569D4"/>
    <w:rsid w:val="00B56D0A"/>
    <w:rsid w:val="00B575F4"/>
    <w:rsid w:val="00B57C9C"/>
    <w:rsid w:val="00B57D59"/>
    <w:rsid w:val="00B601B3"/>
    <w:rsid w:val="00B60371"/>
    <w:rsid w:val="00B60A00"/>
    <w:rsid w:val="00B60EE4"/>
    <w:rsid w:val="00B61031"/>
    <w:rsid w:val="00B61338"/>
    <w:rsid w:val="00B61566"/>
    <w:rsid w:val="00B61673"/>
    <w:rsid w:val="00B617A8"/>
    <w:rsid w:val="00B61B0B"/>
    <w:rsid w:val="00B62025"/>
    <w:rsid w:val="00B62680"/>
    <w:rsid w:val="00B62B15"/>
    <w:rsid w:val="00B6305D"/>
    <w:rsid w:val="00B630D4"/>
    <w:rsid w:val="00B6318C"/>
    <w:rsid w:val="00B631F5"/>
    <w:rsid w:val="00B63243"/>
    <w:rsid w:val="00B6353D"/>
    <w:rsid w:val="00B63A1A"/>
    <w:rsid w:val="00B63D9E"/>
    <w:rsid w:val="00B642D4"/>
    <w:rsid w:val="00B658D3"/>
    <w:rsid w:val="00B65AFD"/>
    <w:rsid w:val="00B65DBB"/>
    <w:rsid w:val="00B667CC"/>
    <w:rsid w:val="00B66A88"/>
    <w:rsid w:val="00B66B8F"/>
    <w:rsid w:val="00B66F44"/>
    <w:rsid w:val="00B6719E"/>
    <w:rsid w:val="00B675B5"/>
    <w:rsid w:val="00B70181"/>
    <w:rsid w:val="00B70355"/>
    <w:rsid w:val="00B70D75"/>
    <w:rsid w:val="00B71048"/>
    <w:rsid w:val="00B7109B"/>
    <w:rsid w:val="00B712C7"/>
    <w:rsid w:val="00B71363"/>
    <w:rsid w:val="00B716F2"/>
    <w:rsid w:val="00B71E93"/>
    <w:rsid w:val="00B7217B"/>
    <w:rsid w:val="00B72367"/>
    <w:rsid w:val="00B7239C"/>
    <w:rsid w:val="00B72442"/>
    <w:rsid w:val="00B729D6"/>
    <w:rsid w:val="00B72BFC"/>
    <w:rsid w:val="00B73368"/>
    <w:rsid w:val="00B73D3E"/>
    <w:rsid w:val="00B74387"/>
    <w:rsid w:val="00B743FB"/>
    <w:rsid w:val="00B744FF"/>
    <w:rsid w:val="00B749CC"/>
    <w:rsid w:val="00B74ABE"/>
    <w:rsid w:val="00B74BD5"/>
    <w:rsid w:val="00B74FAD"/>
    <w:rsid w:val="00B753B8"/>
    <w:rsid w:val="00B75544"/>
    <w:rsid w:val="00B75C07"/>
    <w:rsid w:val="00B76173"/>
    <w:rsid w:val="00B76185"/>
    <w:rsid w:val="00B7647E"/>
    <w:rsid w:val="00B76962"/>
    <w:rsid w:val="00B76B07"/>
    <w:rsid w:val="00B76F4A"/>
    <w:rsid w:val="00B77002"/>
    <w:rsid w:val="00B77405"/>
    <w:rsid w:val="00B776A2"/>
    <w:rsid w:val="00B77E23"/>
    <w:rsid w:val="00B78B93"/>
    <w:rsid w:val="00B8039D"/>
    <w:rsid w:val="00B8051D"/>
    <w:rsid w:val="00B80641"/>
    <w:rsid w:val="00B80742"/>
    <w:rsid w:val="00B80D31"/>
    <w:rsid w:val="00B813C9"/>
    <w:rsid w:val="00B818EC"/>
    <w:rsid w:val="00B81BD9"/>
    <w:rsid w:val="00B81CF1"/>
    <w:rsid w:val="00B8213F"/>
    <w:rsid w:val="00B825A6"/>
    <w:rsid w:val="00B828B4"/>
    <w:rsid w:val="00B82AAB"/>
    <w:rsid w:val="00B82AE4"/>
    <w:rsid w:val="00B82E95"/>
    <w:rsid w:val="00B830EC"/>
    <w:rsid w:val="00B83995"/>
    <w:rsid w:val="00B83BE9"/>
    <w:rsid w:val="00B83FF2"/>
    <w:rsid w:val="00B84159"/>
    <w:rsid w:val="00B84180"/>
    <w:rsid w:val="00B845AD"/>
    <w:rsid w:val="00B845F4"/>
    <w:rsid w:val="00B84961"/>
    <w:rsid w:val="00B84975"/>
    <w:rsid w:val="00B84A43"/>
    <w:rsid w:val="00B84B5A"/>
    <w:rsid w:val="00B84DFD"/>
    <w:rsid w:val="00B85479"/>
    <w:rsid w:val="00B8556E"/>
    <w:rsid w:val="00B85E87"/>
    <w:rsid w:val="00B85EA1"/>
    <w:rsid w:val="00B8609C"/>
    <w:rsid w:val="00B86182"/>
    <w:rsid w:val="00B86224"/>
    <w:rsid w:val="00B86812"/>
    <w:rsid w:val="00B868F2"/>
    <w:rsid w:val="00B870BE"/>
    <w:rsid w:val="00B87205"/>
    <w:rsid w:val="00B872D8"/>
    <w:rsid w:val="00B873DC"/>
    <w:rsid w:val="00B87482"/>
    <w:rsid w:val="00B875E2"/>
    <w:rsid w:val="00B8798B"/>
    <w:rsid w:val="00B87E1B"/>
    <w:rsid w:val="00B87F83"/>
    <w:rsid w:val="00B90F4E"/>
    <w:rsid w:val="00B91234"/>
    <w:rsid w:val="00B91265"/>
    <w:rsid w:val="00B91361"/>
    <w:rsid w:val="00B9145B"/>
    <w:rsid w:val="00B9165A"/>
    <w:rsid w:val="00B91942"/>
    <w:rsid w:val="00B91D7A"/>
    <w:rsid w:val="00B91E1F"/>
    <w:rsid w:val="00B91E23"/>
    <w:rsid w:val="00B91F65"/>
    <w:rsid w:val="00B92162"/>
    <w:rsid w:val="00B92230"/>
    <w:rsid w:val="00B9277A"/>
    <w:rsid w:val="00B928D4"/>
    <w:rsid w:val="00B92F94"/>
    <w:rsid w:val="00B93170"/>
    <w:rsid w:val="00B93267"/>
    <w:rsid w:val="00B940C7"/>
    <w:rsid w:val="00B9470A"/>
    <w:rsid w:val="00B950EB"/>
    <w:rsid w:val="00B952FE"/>
    <w:rsid w:val="00B958A0"/>
    <w:rsid w:val="00B9640A"/>
    <w:rsid w:val="00B96487"/>
    <w:rsid w:val="00B964F5"/>
    <w:rsid w:val="00B96660"/>
    <w:rsid w:val="00B96760"/>
    <w:rsid w:val="00B96CE9"/>
    <w:rsid w:val="00B97348"/>
    <w:rsid w:val="00B97422"/>
    <w:rsid w:val="00B97682"/>
    <w:rsid w:val="00B97EFD"/>
    <w:rsid w:val="00BA0201"/>
    <w:rsid w:val="00BA0715"/>
    <w:rsid w:val="00BA0801"/>
    <w:rsid w:val="00BA088F"/>
    <w:rsid w:val="00BA0D91"/>
    <w:rsid w:val="00BA0DA8"/>
    <w:rsid w:val="00BA1460"/>
    <w:rsid w:val="00BA14B3"/>
    <w:rsid w:val="00BA17C2"/>
    <w:rsid w:val="00BA1885"/>
    <w:rsid w:val="00BA196D"/>
    <w:rsid w:val="00BA1991"/>
    <w:rsid w:val="00BA1AE4"/>
    <w:rsid w:val="00BA21F2"/>
    <w:rsid w:val="00BA2253"/>
    <w:rsid w:val="00BA27EB"/>
    <w:rsid w:val="00BA322D"/>
    <w:rsid w:val="00BA368A"/>
    <w:rsid w:val="00BA36E2"/>
    <w:rsid w:val="00BA4227"/>
    <w:rsid w:val="00BA43D3"/>
    <w:rsid w:val="00BA454C"/>
    <w:rsid w:val="00BA4610"/>
    <w:rsid w:val="00BA467F"/>
    <w:rsid w:val="00BA47D0"/>
    <w:rsid w:val="00BA4B80"/>
    <w:rsid w:val="00BA4D60"/>
    <w:rsid w:val="00BA533F"/>
    <w:rsid w:val="00BA5575"/>
    <w:rsid w:val="00BA58EB"/>
    <w:rsid w:val="00BA5D35"/>
    <w:rsid w:val="00BA6C09"/>
    <w:rsid w:val="00BA6EEE"/>
    <w:rsid w:val="00BA7347"/>
    <w:rsid w:val="00BA74B4"/>
    <w:rsid w:val="00BA7738"/>
    <w:rsid w:val="00BB0111"/>
    <w:rsid w:val="00BB0277"/>
    <w:rsid w:val="00BB02AF"/>
    <w:rsid w:val="00BB052D"/>
    <w:rsid w:val="00BB05B5"/>
    <w:rsid w:val="00BB0D68"/>
    <w:rsid w:val="00BB1058"/>
    <w:rsid w:val="00BB1338"/>
    <w:rsid w:val="00BB16A9"/>
    <w:rsid w:val="00BB17F8"/>
    <w:rsid w:val="00BB1904"/>
    <w:rsid w:val="00BB1963"/>
    <w:rsid w:val="00BB21ED"/>
    <w:rsid w:val="00BB268F"/>
    <w:rsid w:val="00BB2A29"/>
    <w:rsid w:val="00BB2FA2"/>
    <w:rsid w:val="00BB31AE"/>
    <w:rsid w:val="00BB31FC"/>
    <w:rsid w:val="00BB348A"/>
    <w:rsid w:val="00BB3877"/>
    <w:rsid w:val="00BB39DA"/>
    <w:rsid w:val="00BB3B51"/>
    <w:rsid w:val="00BB3F74"/>
    <w:rsid w:val="00BB45F3"/>
    <w:rsid w:val="00BB47F6"/>
    <w:rsid w:val="00BB518B"/>
    <w:rsid w:val="00BB547B"/>
    <w:rsid w:val="00BB5767"/>
    <w:rsid w:val="00BB59CE"/>
    <w:rsid w:val="00BB629B"/>
    <w:rsid w:val="00BB62D9"/>
    <w:rsid w:val="00BB63E0"/>
    <w:rsid w:val="00BB645D"/>
    <w:rsid w:val="00BB6680"/>
    <w:rsid w:val="00BB6BA9"/>
    <w:rsid w:val="00BB6E0D"/>
    <w:rsid w:val="00BB703B"/>
    <w:rsid w:val="00BB711F"/>
    <w:rsid w:val="00BB7242"/>
    <w:rsid w:val="00BB72E7"/>
    <w:rsid w:val="00BB741C"/>
    <w:rsid w:val="00BB74F4"/>
    <w:rsid w:val="00BB7821"/>
    <w:rsid w:val="00BB782B"/>
    <w:rsid w:val="00BC023D"/>
    <w:rsid w:val="00BC02FC"/>
    <w:rsid w:val="00BC0604"/>
    <w:rsid w:val="00BC0909"/>
    <w:rsid w:val="00BC09AA"/>
    <w:rsid w:val="00BC0C46"/>
    <w:rsid w:val="00BC0D00"/>
    <w:rsid w:val="00BC0F4E"/>
    <w:rsid w:val="00BC127B"/>
    <w:rsid w:val="00BC13EA"/>
    <w:rsid w:val="00BC16AD"/>
    <w:rsid w:val="00BC16C7"/>
    <w:rsid w:val="00BC1768"/>
    <w:rsid w:val="00BC1F5A"/>
    <w:rsid w:val="00BC20F4"/>
    <w:rsid w:val="00BC27B8"/>
    <w:rsid w:val="00BC284F"/>
    <w:rsid w:val="00BC28F6"/>
    <w:rsid w:val="00BC2FD3"/>
    <w:rsid w:val="00BC30F4"/>
    <w:rsid w:val="00BC35F4"/>
    <w:rsid w:val="00BC3B16"/>
    <w:rsid w:val="00BC3BAD"/>
    <w:rsid w:val="00BC3C39"/>
    <w:rsid w:val="00BC4235"/>
    <w:rsid w:val="00BC454D"/>
    <w:rsid w:val="00BC4856"/>
    <w:rsid w:val="00BC4D12"/>
    <w:rsid w:val="00BC58C8"/>
    <w:rsid w:val="00BC5A86"/>
    <w:rsid w:val="00BC654B"/>
    <w:rsid w:val="00BC65CB"/>
    <w:rsid w:val="00BC6617"/>
    <w:rsid w:val="00BC6B11"/>
    <w:rsid w:val="00BC6E29"/>
    <w:rsid w:val="00BC77C9"/>
    <w:rsid w:val="00BC7A20"/>
    <w:rsid w:val="00BC7B20"/>
    <w:rsid w:val="00BD0196"/>
    <w:rsid w:val="00BD0208"/>
    <w:rsid w:val="00BD04C0"/>
    <w:rsid w:val="00BD0623"/>
    <w:rsid w:val="00BD0C4F"/>
    <w:rsid w:val="00BD0C53"/>
    <w:rsid w:val="00BD0D4C"/>
    <w:rsid w:val="00BD1466"/>
    <w:rsid w:val="00BD15BF"/>
    <w:rsid w:val="00BD24A4"/>
    <w:rsid w:val="00BD2670"/>
    <w:rsid w:val="00BD279C"/>
    <w:rsid w:val="00BD30A2"/>
    <w:rsid w:val="00BD38E0"/>
    <w:rsid w:val="00BD4032"/>
    <w:rsid w:val="00BD4199"/>
    <w:rsid w:val="00BD41B6"/>
    <w:rsid w:val="00BD4F9B"/>
    <w:rsid w:val="00BD4FCE"/>
    <w:rsid w:val="00BD50C9"/>
    <w:rsid w:val="00BD51C0"/>
    <w:rsid w:val="00BD51DD"/>
    <w:rsid w:val="00BD52C4"/>
    <w:rsid w:val="00BD5323"/>
    <w:rsid w:val="00BD56BE"/>
    <w:rsid w:val="00BD58F4"/>
    <w:rsid w:val="00BD5F2A"/>
    <w:rsid w:val="00BD606E"/>
    <w:rsid w:val="00BD625B"/>
    <w:rsid w:val="00BD63D8"/>
    <w:rsid w:val="00BD642E"/>
    <w:rsid w:val="00BD6603"/>
    <w:rsid w:val="00BD6945"/>
    <w:rsid w:val="00BD69D0"/>
    <w:rsid w:val="00BD6FC1"/>
    <w:rsid w:val="00BD7543"/>
    <w:rsid w:val="00BD7639"/>
    <w:rsid w:val="00BE0492"/>
    <w:rsid w:val="00BE0557"/>
    <w:rsid w:val="00BE0F99"/>
    <w:rsid w:val="00BE11C7"/>
    <w:rsid w:val="00BE17F3"/>
    <w:rsid w:val="00BE18B2"/>
    <w:rsid w:val="00BE19FC"/>
    <w:rsid w:val="00BE25E0"/>
    <w:rsid w:val="00BE264D"/>
    <w:rsid w:val="00BE27D2"/>
    <w:rsid w:val="00BE2E9E"/>
    <w:rsid w:val="00BE33E4"/>
    <w:rsid w:val="00BE345D"/>
    <w:rsid w:val="00BE3590"/>
    <w:rsid w:val="00BE3C57"/>
    <w:rsid w:val="00BE4035"/>
    <w:rsid w:val="00BE420D"/>
    <w:rsid w:val="00BE4359"/>
    <w:rsid w:val="00BE439D"/>
    <w:rsid w:val="00BE4776"/>
    <w:rsid w:val="00BE483B"/>
    <w:rsid w:val="00BE4A77"/>
    <w:rsid w:val="00BE4B60"/>
    <w:rsid w:val="00BE4DED"/>
    <w:rsid w:val="00BE4EA0"/>
    <w:rsid w:val="00BE4FCD"/>
    <w:rsid w:val="00BE5332"/>
    <w:rsid w:val="00BE5F74"/>
    <w:rsid w:val="00BE617B"/>
    <w:rsid w:val="00BE619B"/>
    <w:rsid w:val="00BE61A9"/>
    <w:rsid w:val="00BE61AB"/>
    <w:rsid w:val="00BE6D0C"/>
    <w:rsid w:val="00BE6EA6"/>
    <w:rsid w:val="00BE7481"/>
    <w:rsid w:val="00BE74B4"/>
    <w:rsid w:val="00BE765B"/>
    <w:rsid w:val="00BE773F"/>
    <w:rsid w:val="00BE7995"/>
    <w:rsid w:val="00BE7E90"/>
    <w:rsid w:val="00BE7FE1"/>
    <w:rsid w:val="00BF010E"/>
    <w:rsid w:val="00BF021E"/>
    <w:rsid w:val="00BF0729"/>
    <w:rsid w:val="00BF08F3"/>
    <w:rsid w:val="00BF0A93"/>
    <w:rsid w:val="00BF0D3E"/>
    <w:rsid w:val="00BF0DB9"/>
    <w:rsid w:val="00BF10E6"/>
    <w:rsid w:val="00BF1639"/>
    <w:rsid w:val="00BF1CDB"/>
    <w:rsid w:val="00BF1F0F"/>
    <w:rsid w:val="00BF214E"/>
    <w:rsid w:val="00BF24BE"/>
    <w:rsid w:val="00BF26CE"/>
    <w:rsid w:val="00BF2D28"/>
    <w:rsid w:val="00BF2E10"/>
    <w:rsid w:val="00BF3106"/>
    <w:rsid w:val="00BF3115"/>
    <w:rsid w:val="00BF3623"/>
    <w:rsid w:val="00BF3B2D"/>
    <w:rsid w:val="00BF44CD"/>
    <w:rsid w:val="00BF48E1"/>
    <w:rsid w:val="00BF4D11"/>
    <w:rsid w:val="00BF515C"/>
    <w:rsid w:val="00BF51BC"/>
    <w:rsid w:val="00BF5798"/>
    <w:rsid w:val="00BF5C90"/>
    <w:rsid w:val="00BF6165"/>
    <w:rsid w:val="00BF6721"/>
    <w:rsid w:val="00BF698C"/>
    <w:rsid w:val="00BF69DD"/>
    <w:rsid w:val="00BF6CC6"/>
    <w:rsid w:val="00BF70C4"/>
    <w:rsid w:val="00BF7564"/>
    <w:rsid w:val="00BF7897"/>
    <w:rsid w:val="00BF7A7A"/>
    <w:rsid w:val="00BF7BC0"/>
    <w:rsid w:val="00C00E12"/>
    <w:rsid w:val="00C01175"/>
    <w:rsid w:val="00C012F8"/>
    <w:rsid w:val="00C01400"/>
    <w:rsid w:val="00C0140B"/>
    <w:rsid w:val="00C01922"/>
    <w:rsid w:val="00C01F15"/>
    <w:rsid w:val="00C021F1"/>
    <w:rsid w:val="00C024B9"/>
    <w:rsid w:val="00C024F7"/>
    <w:rsid w:val="00C02774"/>
    <w:rsid w:val="00C028C9"/>
    <w:rsid w:val="00C02AE5"/>
    <w:rsid w:val="00C02E88"/>
    <w:rsid w:val="00C0306E"/>
    <w:rsid w:val="00C03122"/>
    <w:rsid w:val="00C03600"/>
    <w:rsid w:val="00C0399C"/>
    <w:rsid w:val="00C03F39"/>
    <w:rsid w:val="00C042EF"/>
    <w:rsid w:val="00C04303"/>
    <w:rsid w:val="00C049F5"/>
    <w:rsid w:val="00C04B13"/>
    <w:rsid w:val="00C04CF4"/>
    <w:rsid w:val="00C04F5D"/>
    <w:rsid w:val="00C050B2"/>
    <w:rsid w:val="00C05114"/>
    <w:rsid w:val="00C05386"/>
    <w:rsid w:val="00C05696"/>
    <w:rsid w:val="00C0587A"/>
    <w:rsid w:val="00C05939"/>
    <w:rsid w:val="00C05B29"/>
    <w:rsid w:val="00C05BDB"/>
    <w:rsid w:val="00C05CE8"/>
    <w:rsid w:val="00C05E44"/>
    <w:rsid w:val="00C06903"/>
    <w:rsid w:val="00C06D24"/>
    <w:rsid w:val="00C06D5C"/>
    <w:rsid w:val="00C071FC"/>
    <w:rsid w:val="00C07555"/>
    <w:rsid w:val="00C0795C"/>
    <w:rsid w:val="00C07E72"/>
    <w:rsid w:val="00C07F7E"/>
    <w:rsid w:val="00C10705"/>
    <w:rsid w:val="00C10790"/>
    <w:rsid w:val="00C10A58"/>
    <w:rsid w:val="00C10F98"/>
    <w:rsid w:val="00C1125C"/>
    <w:rsid w:val="00C116B0"/>
    <w:rsid w:val="00C11879"/>
    <w:rsid w:val="00C11A24"/>
    <w:rsid w:val="00C11A80"/>
    <w:rsid w:val="00C11C8F"/>
    <w:rsid w:val="00C11D5D"/>
    <w:rsid w:val="00C11E4C"/>
    <w:rsid w:val="00C12116"/>
    <w:rsid w:val="00C13A3E"/>
    <w:rsid w:val="00C13B57"/>
    <w:rsid w:val="00C14045"/>
    <w:rsid w:val="00C14626"/>
    <w:rsid w:val="00C149D7"/>
    <w:rsid w:val="00C14B07"/>
    <w:rsid w:val="00C14B54"/>
    <w:rsid w:val="00C14C4C"/>
    <w:rsid w:val="00C15116"/>
    <w:rsid w:val="00C15942"/>
    <w:rsid w:val="00C15DCC"/>
    <w:rsid w:val="00C15E36"/>
    <w:rsid w:val="00C162B9"/>
    <w:rsid w:val="00C163CB"/>
    <w:rsid w:val="00C164A0"/>
    <w:rsid w:val="00C16639"/>
    <w:rsid w:val="00C16B48"/>
    <w:rsid w:val="00C16B67"/>
    <w:rsid w:val="00C16BBE"/>
    <w:rsid w:val="00C16C18"/>
    <w:rsid w:val="00C17419"/>
    <w:rsid w:val="00C1746F"/>
    <w:rsid w:val="00C177DF"/>
    <w:rsid w:val="00C17C4F"/>
    <w:rsid w:val="00C20006"/>
    <w:rsid w:val="00C203DD"/>
    <w:rsid w:val="00C20538"/>
    <w:rsid w:val="00C2070E"/>
    <w:rsid w:val="00C20ACC"/>
    <w:rsid w:val="00C20B20"/>
    <w:rsid w:val="00C20BC0"/>
    <w:rsid w:val="00C20D44"/>
    <w:rsid w:val="00C216B5"/>
    <w:rsid w:val="00C21999"/>
    <w:rsid w:val="00C21C92"/>
    <w:rsid w:val="00C21DA4"/>
    <w:rsid w:val="00C2244D"/>
    <w:rsid w:val="00C22872"/>
    <w:rsid w:val="00C229B9"/>
    <w:rsid w:val="00C229E0"/>
    <w:rsid w:val="00C22E86"/>
    <w:rsid w:val="00C22F2F"/>
    <w:rsid w:val="00C2322F"/>
    <w:rsid w:val="00C23A45"/>
    <w:rsid w:val="00C23A88"/>
    <w:rsid w:val="00C23D95"/>
    <w:rsid w:val="00C23D9A"/>
    <w:rsid w:val="00C23F8B"/>
    <w:rsid w:val="00C2407B"/>
    <w:rsid w:val="00C245BB"/>
    <w:rsid w:val="00C245FC"/>
    <w:rsid w:val="00C246BD"/>
    <w:rsid w:val="00C24718"/>
    <w:rsid w:val="00C248C9"/>
    <w:rsid w:val="00C24C06"/>
    <w:rsid w:val="00C24C11"/>
    <w:rsid w:val="00C24D9B"/>
    <w:rsid w:val="00C24DE8"/>
    <w:rsid w:val="00C24E24"/>
    <w:rsid w:val="00C24E47"/>
    <w:rsid w:val="00C250F7"/>
    <w:rsid w:val="00C25D07"/>
    <w:rsid w:val="00C25FFB"/>
    <w:rsid w:val="00C26088"/>
    <w:rsid w:val="00C2642E"/>
    <w:rsid w:val="00C265EC"/>
    <w:rsid w:val="00C2664C"/>
    <w:rsid w:val="00C271A0"/>
    <w:rsid w:val="00C273C4"/>
    <w:rsid w:val="00C27AA5"/>
    <w:rsid w:val="00C27BA2"/>
    <w:rsid w:val="00C27CBE"/>
    <w:rsid w:val="00C27D43"/>
    <w:rsid w:val="00C27D6E"/>
    <w:rsid w:val="00C27DBF"/>
    <w:rsid w:val="00C27EAB"/>
    <w:rsid w:val="00C30340"/>
    <w:rsid w:val="00C303BF"/>
    <w:rsid w:val="00C30A2A"/>
    <w:rsid w:val="00C30ADE"/>
    <w:rsid w:val="00C30B2C"/>
    <w:rsid w:val="00C30FF5"/>
    <w:rsid w:val="00C31204"/>
    <w:rsid w:val="00C31418"/>
    <w:rsid w:val="00C31D64"/>
    <w:rsid w:val="00C31F4E"/>
    <w:rsid w:val="00C3200D"/>
    <w:rsid w:val="00C32167"/>
    <w:rsid w:val="00C32261"/>
    <w:rsid w:val="00C32430"/>
    <w:rsid w:val="00C32D54"/>
    <w:rsid w:val="00C33057"/>
    <w:rsid w:val="00C33333"/>
    <w:rsid w:val="00C334A6"/>
    <w:rsid w:val="00C3377C"/>
    <w:rsid w:val="00C33DD3"/>
    <w:rsid w:val="00C33E5E"/>
    <w:rsid w:val="00C341DA"/>
    <w:rsid w:val="00C34596"/>
    <w:rsid w:val="00C3475A"/>
    <w:rsid w:val="00C3485D"/>
    <w:rsid w:val="00C34918"/>
    <w:rsid w:val="00C34C5E"/>
    <w:rsid w:val="00C34D71"/>
    <w:rsid w:val="00C35744"/>
    <w:rsid w:val="00C35C45"/>
    <w:rsid w:val="00C35E94"/>
    <w:rsid w:val="00C35FBD"/>
    <w:rsid w:val="00C3609A"/>
    <w:rsid w:val="00C36581"/>
    <w:rsid w:val="00C367DC"/>
    <w:rsid w:val="00C368BF"/>
    <w:rsid w:val="00C369CD"/>
    <w:rsid w:val="00C36BE0"/>
    <w:rsid w:val="00C36C32"/>
    <w:rsid w:val="00C36C47"/>
    <w:rsid w:val="00C36D40"/>
    <w:rsid w:val="00C36FCA"/>
    <w:rsid w:val="00C37162"/>
    <w:rsid w:val="00C37EC5"/>
    <w:rsid w:val="00C401F4"/>
    <w:rsid w:val="00C40203"/>
    <w:rsid w:val="00C4022A"/>
    <w:rsid w:val="00C406C0"/>
    <w:rsid w:val="00C409EC"/>
    <w:rsid w:val="00C40DBB"/>
    <w:rsid w:val="00C412B6"/>
    <w:rsid w:val="00C41469"/>
    <w:rsid w:val="00C41A11"/>
    <w:rsid w:val="00C41CAE"/>
    <w:rsid w:val="00C42282"/>
    <w:rsid w:val="00C422DC"/>
    <w:rsid w:val="00C42667"/>
    <w:rsid w:val="00C4276B"/>
    <w:rsid w:val="00C42C83"/>
    <w:rsid w:val="00C43461"/>
    <w:rsid w:val="00C43D49"/>
    <w:rsid w:val="00C443B9"/>
    <w:rsid w:val="00C446ED"/>
    <w:rsid w:val="00C44825"/>
    <w:rsid w:val="00C449B2"/>
    <w:rsid w:val="00C44C0A"/>
    <w:rsid w:val="00C4538A"/>
    <w:rsid w:val="00C45803"/>
    <w:rsid w:val="00C45989"/>
    <w:rsid w:val="00C45BC3"/>
    <w:rsid w:val="00C45D5D"/>
    <w:rsid w:val="00C4621D"/>
    <w:rsid w:val="00C46748"/>
    <w:rsid w:val="00C4676D"/>
    <w:rsid w:val="00C46A4F"/>
    <w:rsid w:val="00C46B49"/>
    <w:rsid w:val="00C46F0A"/>
    <w:rsid w:val="00C47077"/>
    <w:rsid w:val="00C47626"/>
    <w:rsid w:val="00C47782"/>
    <w:rsid w:val="00C47785"/>
    <w:rsid w:val="00C47E88"/>
    <w:rsid w:val="00C47F69"/>
    <w:rsid w:val="00C506BC"/>
    <w:rsid w:val="00C50B8F"/>
    <w:rsid w:val="00C51003"/>
    <w:rsid w:val="00C51194"/>
    <w:rsid w:val="00C511F6"/>
    <w:rsid w:val="00C511FB"/>
    <w:rsid w:val="00C513D6"/>
    <w:rsid w:val="00C513DC"/>
    <w:rsid w:val="00C514F5"/>
    <w:rsid w:val="00C51B1D"/>
    <w:rsid w:val="00C52590"/>
    <w:rsid w:val="00C52621"/>
    <w:rsid w:val="00C526DB"/>
    <w:rsid w:val="00C52B83"/>
    <w:rsid w:val="00C530F4"/>
    <w:rsid w:val="00C5310F"/>
    <w:rsid w:val="00C53119"/>
    <w:rsid w:val="00C5317D"/>
    <w:rsid w:val="00C5322E"/>
    <w:rsid w:val="00C53350"/>
    <w:rsid w:val="00C5337D"/>
    <w:rsid w:val="00C533B4"/>
    <w:rsid w:val="00C53A35"/>
    <w:rsid w:val="00C54209"/>
    <w:rsid w:val="00C5425C"/>
    <w:rsid w:val="00C544EE"/>
    <w:rsid w:val="00C547D5"/>
    <w:rsid w:val="00C54ACD"/>
    <w:rsid w:val="00C54E4E"/>
    <w:rsid w:val="00C54FA8"/>
    <w:rsid w:val="00C55830"/>
    <w:rsid w:val="00C55A2A"/>
    <w:rsid w:val="00C55EC3"/>
    <w:rsid w:val="00C55F8B"/>
    <w:rsid w:val="00C5657A"/>
    <w:rsid w:val="00C56FD7"/>
    <w:rsid w:val="00C575BA"/>
    <w:rsid w:val="00C576B4"/>
    <w:rsid w:val="00C57D18"/>
    <w:rsid w:val="00C57F0C"/>
    <w:rsid w:val="00C57FF8"/>
    <w:rsid w:val="00C60431"/>
    <w:rsid w:val="00C604BA"/>
    <w:rsid w:val="00C606B4"/>
    <w:rsid w:val="00C60929"/>
    <w:rsid w:val="00C60E28"/>
    <w:rsid w:val="00C61053"/>
    <w:rsid w:val="00C611FB"/>
    <w:rsid w:val="00C61C64"/>
    <w:rsid w:val="00C61CEC"/>
    <w:rsid w:val="00C61FEF"/>
    <w:rsid w:val="00C62236"/>
    <w:rsid w:val="00C623A3"/>
    <w:rsid w:val="00C62418"/>
    <w:rsid w:val="00C624BE"/>
    <w:rsid w:val="00C62AAC"/>
    <w:rsid w:val="00C635BF"/>
    <w:rsid w:val="00C6371B"/>
    <w:rsid w:val="00C63B1E"/>
    <w:rsid w:val="00C63B9F"/>
    <w:rsid w:val="00C641B4"/>
    <w:rsid w:val="00C644E4"/>
    <w:rsid w:val="00C64633"/>
    <w:rsid w:val="00C64664"/>
    <w:rsid w:val="00C64AC8"/>
    <w:rsid w:val="00C64C81"/>
    <w:rsid w:val="00C65059"/>
    <w:rsid w:val="00C65707"/>
    <w:rsid w:val="00C65AA0"/>
    <w:rsid w:val="00C65CBA"/>
    <w:rsid w:val="00C6604C"/>
    <w:rsid w:val="00C66427"/>
    <w:rsid w:val="00C6648D"/>
    <w:rsid w:val="00C667A5"/>
    <w:rsid w:val="00C669B1"/>
    <w:rsid w:val="00C66A46"/>
    <w:rsid w:val="00C67197"/>
    <w:rsid w:val="00C67261"/>
    <w:rsid w:val="00C672EF"/>
    <w:rsid w:val="00C67329"/>
    <w:rsid w:val="00C6733B"/>
    <w:rsid w:val="00C674BA"/>
    <w:rsid w:val="00C678F4"/>
    <w:rsid w:val="00C67B83"/>
    <w:rsid w:val="00C67C43"/>
    <w:rsid w:val="00C7016A"/>
    <w:rsid w:val="00C704CC"/>
    <w:rsid w:val="00C70520"/>
    <w:rsid w:val="00C705F4"/>
    <w:rsid w:val="00C70974"/>
    <w:rsid w:val="00C70C54"/>
    <w:rsid w:val="00C71391"/>
    <w:rsid w:val="00C715CB"/>
    <w:rsid w:val="00C71B91"/>
    <w:rsid w:val="00C722DA"/>
    <w:rsid w:val="00C7236F"/>
    <w:rsid w:val="00C7241F"/>
    <w:rsid w:val="00C729C6"/>
    <w:rsid w:val="00C72AE0"/>
    <w:rsid w:val="00C73042"/>
    <w:rsid w:val="00C7335A"/>
    <w:rsid w:val="00C7363D"/>
    <w:rsid w:val="00C73703"/>
    <w:rsid w:val="00C7374D"/>
    <w:rsid w:val="00C73C60"/>
    <w:rsid w:val="00C73F85"/>
    <w:rsid w:val="00C741A8"/>
    <w:rsid w:val="00C7481B"/>
    <w:rsid w:val="00C749E8"/>
    <w:rsid w:val="00C749FE"/>
    <w:rsid w:val="00C754B5"/>
    <w:rsid w:val="00C754FB"/>
    <w:rsid w:val="00C75692"/>
    <w:rsid w:val="00C757E5"/>
    <w:rsid w:val="00C75D4D"/>
    <w:rsid w:val="00C76230"/>
    <w:rsid w:val="00C7668F"/>
    <w:rsid w:val="00C76725"/>
    <w:rsid w:val="00C76ECD"/>
    <w:rsid w:val="00C807FD"/>
    <w:rsid w:val="00C80A04"/>
    <w:rsid w:val="00C80D1C"/>
    <w:rsid w:val="00C8104E"/>
    <w:rsid w:val="00C8174D"/>
    <w:rsid w:val="00C818F9"/>
    <w:rsid w:val="00C82089"/>
    <w:rsid w:val="00C821FE"/>
    <w:rsid w:val="00C822E7"/>
    <w:rsid w:val="00C82496"/>
    <w:rsid w:val="00C8284C"/>
    <w:rsid w:val="00C828BC"/>
    <w:rsid w:val="00C82F91"/>
    <w:rsid w:val="00C83A45"/>
    <w:rsid w:val="00C83B87"/>
    <w:rsid w:val="00C84101"/>
    <w:rsid w:val="00C8442F"/>
    <w:rsid w:val="00C846A4"/>
    <w:rsid w:val="00C8473D"/>
    <w:rsid w:val="00C84861"/>
    <w:rsid w:val="00C8590A"/>
    <w:rsid w:val="00C86057"/>
    <w:rsid w:val="00C8644F"/>
    <w:rsid w:val="00C86BBB"/>
    <w:rsid w:val="00C86C82"/>
    <w:rsid w:val="00C872E1"/>
    <w:rsid w:val="00C8743D"/>
    <w:rsid w:val="00C87549"/>
    <w:rsid w:val="00C875FA"/>
    <w:rsid w:val="00C87682"/>
    <w:rsid w:val="00C876F1"/>
    <w:rsid w:val="00C8799F"/>
    <w:rsid w:val="00C879D0"/>
    <w:rsid w:val="00C87C76"/>
    <w:rsid w:val="00C87E46"/>
    <w:rsid w:val="00C90546"/>
    <w:rsid w:val="00C9061F"/>
    <w:rsid w:val="00C90939"/>
    <w:rsid w:val="00C90F61"/>
    <w:rsid w:val="00C91373"/>
    <w:rsid w:val="00C91658"/>
    <w:rsid w:val="00C91DD2"/>
    <w:rsid w:val="00C91FA0"/>
    <w:rsid w:val="00C92127"/>
    <w:rsid w:val="00C9252D"/>
    <w:rsid w:val="00C92623"/>
    <w:rsid w:val="00C9267C"/>
    <w:rsid w:val="00C92821"/>
    <w:rsid w:val="00C92908"/>
    <w:rsid w:val="00C92B18"/>
    <w:rsid w:val="00C92C66"/>
    <w:rsid w:val="00C92ED5"/>
    <w:rsid w:val="00C936C3"/>
    <w:rsid w:val="00C939EF"/>
    <w:rsid w:val="00C93CE7"/>
    <w:rsid w:val="00C94056"/>
    <w:rsid w:val="00C944CB"/>
    <w:rsid w:val="00C94DC3"/>
    <w:rsid w:val="00C950D7"/>
    <w:rsid w:val="00C953CA"/>
    <w:rsid w:val="00C954E3"/>
    <w:rsid w:val="00C95A2B"/>
    <w:rsid w:val="00C96373"/>
    <w:rsid w:val="00C96553"/>
    <w:rsid w:val="00C96632"/>
    <w:rsid w:val="00C96693"/>
    <w:rsid w:val="00C96C4C"/>
    <w:rsid w:val="00C96EE0"/>
    <w:rsid w:val="00C96FA4"/>
    <w:rsid w:val="00C97444"/>
    <w:rsid w:val="00C97738"/>
    <w:rsid w:val="00C97906"/>
    <w:rsid w:val="00C97A85"/>
    <w:rsid w:val="00C97C84"/>
    <w:rsid w:val="00CA0532"/>
    <w:rsid w:val="00CA05D2"/>
    <w:rsid w:val="00CA0DEA"/>
    <w:rsid w:val="00CA1569"/>
    <w:rsid w:val="00CA172B"/>
    <w:rsid w:val="00CA18A9"/>
    <w:rsid w:val="00CA232A"/>
    <w:rsid w:val="00CA2561"/>
    <w:rsid w:val="00CA2710"/>
    <w:rsid w:val="00CA2B00"/>
    <w:rsid w:val="00CA2D50"/>
    <w:rsid w:val="00CA314B"/>
    <w:rsid w:val="00CA357C"/>
    <w:rsid w:val="00CA38F2"/>
    <w:rsid w:val="00CA39F8"/>
    <w:rsid w:val="00CA3ACE"/>
    <w:rsid w:val="00CA3B5C"/>
    <w:rsid w:val="00CA3D54"/>
    <w:rsid w:val="00CA3E9E"/>
    <w:rsid w:val="00CA460E"/>
    <w:rsid w:val="00CA49FB"/>
    <w:rsid w:val="00CA4B92"/>
    <w:rsid w:val="00CA4E7F"/>
    <w:rsid w:val="00CA5554"/>
    <w:rsid w:val="00CA56A0"/>
    <w:rsid w:val="00CA5D59"/>
    <w:rsid w:val="00CA5F00"/>
    <w:rsid w:val="00CA608A"/>
    <w:rsid w:val="00CA6466"/>
    <w:rsid w:val="00CA6959"/>
    <w:rsid w:val="00CA7267"/>
    <w:rsid w:val="00CA740F"/>
    <w:rsid w:val="00CA7B1F"/>
    <w:rsid w:val="00CA7B38"/>
    <w:rsid w:val="00CB0A68"/>
    <w:rsid w:val="00CB0D39"/>
    <w:rsid w:val="00CB104D"/>
    <w:rsid w:val="00CB15D8"/>
    <w:rsid w:val="00CB17D0"/>
    <w:rsid w:val="00CB1817"/>
    <w:rsid w:val="00CB1A5F"/>
    <w:rsid w:val="00CB24FE"/>
    <w:rsid w:val="00CB256B"/>
    <w:rsid w:val="00CB28B1"/>
    <w:rsid w:val="00CB2990"/>
    <w:rsid w:val="00CB29FF"/>
    <w:rsid w:val="00CB2BFF"/>
    <w:rsid w:val="00CB34E0"/>
    <w:rsid w:val="00CB34E6"/>
    <w:rsid w:val="00CB38D5"/>
    <w:rsid w:val="00CB3D59"/>
    <w:rsid w:val="00CB400F"/>
    <w:rsid w:val="00CB41DB"/>
    <w:rsid w:val="00CB43F9"/>
    <w:rsid w:val="00CB4508"/>
    <w:rsid w:val="00CB4C8B"/>
    <w:rsid w:val="00CB5276"/>
    <w:rsid w:val="00CB56BD"/>
    <w:rsid w:val="00CB56F2"/>
    <w:rsid w:val="00CB5873"/>
    <w:rsid w:val="00CB5932"/>
    <w:rsid w:val="00CB5D6E"/>
    <w:rsid w:val="00CB668B"/>
    <w:rsid w:val="00CB66A7"/>
    <w:rsid w:val="00CB6DB7"/>
    <w:rsid w:val="00CB6E5A"/>
    <w:rsid w:val="00CB7108"/>
    <w:rsid w:val="00CB7462"/>
    <w:rsid w:val="00CB761A"/>
    <w:rsid w:val="00CB76D7"/>
    <w:rsid w:val="00CB7A95"/>
    <w:rsid w:val="00CB7E03"/>
    <w:rsid w:val="00CB7E42"/>
    <w:rsid w:val="00CC0065"/>
    <w:rsid w:val="00CC0680"/>
    <w:rsid w:val="00CC06C8"/>
    <w:rsid w:val="00CC0747"/>
    <w:rsid w:val="00CC0862"/>
    <w:rsid w:val="00CC093F"/>
    <w:rsid w:val="00CC131A"/>
    <w:rsid w:val="00CC2094"/>
    <w:rsid w:val="00CC275A"/>
    <w:rsid w:val="00CC27BB"/>
    <w:rsid w:val="00CC29EC"/>
    <w:rsid w:val="00CC2A0A"/>
    <w:rsid w:val="00CC3087"/>
    <w:rsid w:val="00CC34F8"/>
    <w:rsid w:val="00CC39B5"/>
    <w:rsid w:val="00CC3A17"/>
    <w:rsid w:val="00CC3A3E"/>
    <w:rsid w:val="00CC4253"/>
    <w:rsid w:val="00CC4259"/>
    <w:rsid w:val="00CC435B"/>
    <w:rsid w:val="00CC4A5C"/>
    <w:rsid w:val="00CC4AD0"/>
    <w:rsid w:val="00CC4FB9"/>
    <w:rsid w:val="00CC50F0"/>
    <w:rsid w:val="00CC53C8"/>
    <w:rsid w:val="00CC5D22"/>
    <w:rsid w:val="00CC5EBF"/>
    <w:rsid w:val="00CC632A"/>
    <w:rsid w:val="00CC68A3"/>
    <w:rsid w:val="00CC6A28"/>
    <w:rsid w:val="00CC6AAF"/>
    <w:rsid w:val="00CC6C06"/>
    <w:rsid w:val="00CC6C81"/>
    <w:rsid w:val="00CC70E1"/>
    <w:rsid w:val="00CC7464"/>
    <w:rsid w:val="00CC75D9"/>
    <w:rsid w:val="00CC78C8"/>
    <w:rsid w:val="00CC7E62"/>
    <w:rsid w:val="00CD0114"/>
    <w:rsid w:val="00CD066A"/>
    <w:rsid w:val="00CD0C83"/>
    <w:rsid w:val="00CD0F10"/>
    <w:rsid w:val="00CD109B"/>
    <w:rsid w:val="00CD112F"/>
    <w:rsid w:val="00CD15F7"/>
    <w:rsid w:val="00CD218C"/>
    <w:rsid w:val="00CD2353"/>
    <w:rsid w:val="00CD2966"/>
    <w:rsid w:val="00CD2CD7"/>
    <w:rsid w:val="00CD2D35"/>
    <w:rsid w:val="00CD2FEF"/>
    <w:rsid w:val="00CD31A8"/>
    <w:rsid w:val="00CD3256"/>
    <w:rsid w:val="00CD385D"/>
    <w:rsid w:val="00CD3AC4"/>
    <w:rsid w:val="00CD3B87"/>
    <w:rsid w:val="00CD3D94"/>
    <w:rsid w:val="00CD3E08"/>
    <w:rsid w:val="00CD3F83"/>
    <w:rsid w:val="00CD41A7"/>
    <w:rsid w:val="00CD4484"/>
    <w:rsid w:val="00CD465F"/>
    <w:rsid w:val="00CD4ADC"/>
    <w:rsid w:val="00CD4BB9"/>
    <w:rsid w:val="00CD4EA7"/>
    <w:rsid w:val="00CD517B"/>
    <w:rsid w:val="00CD5505"/>
    <w:rsid w:val="00CD5645"/>
    <w:rsid w:val="00CD56D6"/>
    <w:rsid w:val="00CD5892"/>
    <w:rsid w:val="00CD5C22"/>
    <w:rsid w:val="00CD5F14"/>
    <w:rsid w:val="00CD638F"/>
    <w:rsid w:val="00CD6461"/>
    <w:rsid w:val="00CD6908"/>
    <w:rsid w:val="00CD70E2"/>
    <w:rsid w:val="00CD7120"/>
    <w:rsid w:val="00CD7328"/>
    <w:rsid w:val="00CD74FC"/>
    <w:rsid w:val="00CE0DC2"/>
    <w:rsid w:val="00CE1072"/>
    <w:rsid w:val="00CE1393"/>
    <w:rsid w:val="00CE165F"/>
    <w:rsid w:val="00CE1D19"/>
    <w:rsid w:val="00CE1E2B"/>
    <w:rsid w:val="00CE2348"/>
    <w:rsid w:val="00CE2368"/>
    <w:rsid w:val="00CE2402"/>
    <w:rsid w:val="00CE24EB"/>
    <w:rsid w:val="00CE2753"/>
    <w:rsid w:val="00CE2C6D"/>
    <w:rsid w:val="00CE2EC6"/>
    <w:rsid w:val="00CE370C"/>
    <w:rsid w:val="00CE3A25"/>
    <w:rsid w:val="00CE3D34"/>
    <w:rsid w:val="00CE3E4B"/>
    <w:rsid w:val="00CE4A08"/>
    <w:rsid w:val="00CE4B5C"/>
    <w:rsid w:val="00CE559F"/>
    <w:rsid w:val="00CE5E21"/>
    <w:rsid w:val="00CE60FC"/>
    <w:rsid w:val="00CE630F"/>
    <w:rsid w:val="00CE7080"/>
    <w:rsid w:val="00CE73CD"/>
    <w:rsid w:val="00CE7A18"/>
    <w:rsid w:val="00CE7E48"/>
    <w:rsid w:val="00CF02AB"/>
    <w:rsid w:val="00CF06A7"/>
    <w:rsid w:val="00CF06CF"/>
    <w:rsid w:val="00CF0811"/>
    <w:rsid w:val="00CF0B4F"/>
    <w:rsid w:val="00CF0C86"/>
    <w:rsid w:val="00CF13C8"/>
    <w:rsid w:val="00CF17B3"/>
    <w:rsid w:val="00CF1EA3"/>
    <w:rsid w:val="00CF2302"/>
    <w:rsid w:val="00CF2604"/>
    <w:rsid w:val="00CF29DC"/>
    <w:rsid w:val="00CF2A26"/>
    <w:rsid w:val="00CF3572"/>
    <w:rsid w:val="00CF3791"/>
    <w:rsid w:val="00CF37DA"/>
    <w:rsid w:val="00CF3C05"/>
    <w:rsid w:val="00CF410C"/>
    <w:rsid w:val="00CF4902"/>
    <w:rsid w:val="00CF49DD"/>
    <w:rsid w:val="00CF49DE"/>
    <w:rsid w:val="00CF4A79"/>
    <w:rsid w:val="00CF4BB9"/>
    <w:rsid w:val="00CF4E67"/>
    <w:rsid w:val="00CF4FAF"/>
    <w:rsid w:val="00CF52CA"/>
    <w:rsid w:val="00CF5A1A"/>
    <w:rsid w:val="00CF5C18"/>
    <w:rsid w:val="00CF5E98"/>
    <w:rsid w:val="00CF5EB7"/>
    <w:rsid w:val="00CF6270"/>
    <w:rsid w:val="00CF7019"/>
    <w:rsid w:val="00CF70CD"/>
    <w:rsid w:val="00CF7339"/>
    <w:rsid w:val="00CF74CE"/>
    <w:rsid w:val="00CF77A3"/>
    <w:rsid w:val="00CF784E"/>
    <w:rsid w:val="00CF78C8"/>
    <w:rsid w:val="00CF79F8"/>
    <w:rsid w:val="00CF7F91"/>
    <w:rsid w:val="00D001CA"/>
    <w:rsid w:val="00D001E5"/>
    <w:rsid w:val="00D00556"/>
    <w:rsid w:val="00D005A2"/>
    <w:rsid w:val="00D0153B"/>
    <w:rsid w:val="00D0183E"/>
    <w:rsid w:val="00D01FDE"/>
    <w:rsid w:val="00D02365"/>
    <w:rsid w:val="00D02419"/>
    <w:rsid w:val="00D027AC"/>
    <w:rsid w:val="00D0292E"/>
    <w:rsid w:val="00D0334E"/>
    <w:rsid w:val="00D035B8"/>
    <w:rsid w:val="00D037C1"/>
    <w:rsid w:val="00D03F48"/>
    <w:rsid w:val="00D04092"/>
    <w:rsid w:val="00D04357"/>
    <w:rsid w:val="00D04662"/>
    <w:rsid w:val="00D04692"/>
    <w:rsid w:val="00D04957"/>
    <w:rsid w:val="00D04AC1"/>
    <w:rsid w:val="00D04ACB"/>
    <w:rsid w:val="00D04D77"/>
    <w:rsid w:val="00D04E9F"/>
    <w:rsid w:val="00D05C05"/>
    <w:rsid w:val="00D06E03"/>
    <w:rsid w:val="00D07096"/>
    <w:rsid w:val="00D0717D"/>
    <w:rsid w:val="00D07215"/>
    <w:rsid w:val="00D0736D"/>
    <w:rsid w:val="00D078DE"/>
    <w:rsid w:val="00D07B63"/>
    <w:rsid w:val="00D07BF6"/>
    <w:rsid w:val="00D07DBC"/>
    <w:rsid w:val="00D10082"/>
    <w:rsid w:val="00D104D6"/>
    <w:rsid w:val="00D105A1"/>
    <w:rsid w:val="00D10D74"/>
    <w:rsid w:val="00D10F91"/>
    <w:rsid w:val="00D110DE"/>
    <w:rsid w:val="00D11BB9"/>
    <w:rsid w:val="00D11DA3"/>
    <w:rsid w:val="00D11F14"/>
    <w:rsid w:val="00D11FB7"/>
    <w:rsid w:val="00D1208C"/>
    <w:rsid w:val="00D121EF"/>
    <w:rsid w:val="00D1259D"/>
    <w:rsid w:val="00D125EB"/>
    <w:rsid w:val="00D12ED4"/>
    <w:rsid w:val="00D1330C"/>
    <w:rsid w:val="00D13691"/>
    <w:rsid w:val="00D13835"/>
    <w:rsid w:val="00D13AB5"/>
    <w:rsid w:val="00D13CDC"/>
    <w:rsid w:val="00D14004"/>
    <w:rsid w:val="00D1432E"/>
    <w:rsid w:val="00D14C84"/>
    <w:rsid w:val="00D14FB2"/>
    <w:rsid w:val="00D15316"/>
    <w:rsid w:val="00D1554C"/>
    <w:rsid w:val="00D1598E"/>
    <w:rsid w:val="00D15C24"/>
    <w:rsid w:val="00D15CDA"/>
    <w:rsid w:val="00D15DFA"/>
    <w:rsid w:val="00D16BAF"/>
    <w:rsid w:val="00D16D36"/>
    <w:rsid w:val="00D16DFB"/>
    <w:rsid w:val="00D16ECC"/>
    <w:rsid w:val="00D16F05"/>
    <w:rsid w:val="00D1703E"/>
    <w:rsid w:val="00D1714B"/>
    <w:rsid w:val="00D17837"/>
    <w:rsid w:val="00D17E2B"/>
    <w:rsid w:val="00D17F45"/>
    <w:rsid w:val="00D201BE"/>
    <w:rsid w:val="00D205A3"/>
    <w:rsid w:val="00D20E8D"/>
    <w:rsid w:val="00D20EC0"/>
    <w:rsid w:val="00D20F34"/>
    <w:rsid w:val="00D2193A"/>
    <w:rsid w:val="00D22572"/>
    <w:rsid w:val="00D225B4"/>
    <w:rsid w:val="00D22679"/>
    <w:rsid w:val="00D2269E"/>
    <w:rsid w:val="00D22A44"/>
    <w:rsid w:val="00D22BB4"/>
    <w:rsid w:val="00D22F91"/>
    <w:rsid w:val="00D230B1"/>
    <w:rsid w:val="00D230D7"/>
    <w:rsid w:val="00D23162"/>
    <w:rsid w:val="00D23A53"/>
    <w:rsid w:val="00D24327"/>
    <w:rsid w:val="00D24537"/>
    <w:rsid w:val="00D24574"/>
    <w:rsid w:val="00D248E4"/>
    <w:rsid w:val="00D24EC4"/>
    <w:rsid w:val="00D2627B"/>
    <w:rsid w:val="00D26455"/>
    <w:rsid w:val="00D26595"/>
    <w:rsid w:val="00D26B19"/>
    <w:rsid w:val="00D273B7"/>
    <w:rsid w:val="00D2744A"/>
    <w:rsid w:val="00D277DA"/>
    <w:rsid w:val="00D277DF"/>
    <w:rsid w:val="00D27A41"/>
    <w:rsid w:val="00D27ABF"/>
    <w:rsid w:val="00D27B17"/>
    <w:rsid w:val="00D27D01"/>
    <w:rsid w:val="00D27E70"/>
    <w:rsid w:val="00D30329"/>
    <w:rsid w:val="00D3066F"/>
    <w:rsid w:val="00D30674"/>
    <w:rsid w:val="00D3070D"/>
    <w:rsid w:val="00D30AEC"/>
    <w:rsid w:val="00D30B3E"/>
    <w:rsid w:val="00D30F25"/>
    <w:rsid w:val="00D311B6"/>
    <w:rsid w:val="00D31260"/>
    <w:rsid w:val="00D312DF"/>
    <w:rsid w:val="00D31A7B"/>
    <w:rsid w:val="00D31B0E"/>
    <w:rsid w:val="00D31EB2"/>
    <w:rsid w:val="00D321F1"/>
    <w:rsid w:val="00D32484"/>
    <w:rsid w:val="00D3256A"/>
    <w:rsid w:val="00D32718"/>
    <w:rsid w:val="00D32E1A"/>
    <w:rsid w:val="00D3325E"/>
    <w:rsid w:val="00D33B4A"/>
    <w:rsid w:val="00D33C92"/>
    <w:rsid w:val="00D3536A"/>
    <w:rsid w:val="00D354CC"/>
    <w:rsid w:val="00D35ED6"/>
    <w:rsid w:val="00D35F39"/>
    <w:rsid w:val="00D35F3A"/>
    <w:rsid w:val="00D3634A"/>
    <w:rsid w:val="00D36473"/>
    <w:rsid w:val="00D3656F"/>
    <w:rsid w:val="00D3659D"/>
    <w:rsid w:val="00D3682F"/>
    <w:rsid w:val="00D369EC"/>
    <w:rsid w:val="00D36E22"/>
    <w:rsid w:val="00D36FCA"/>
    <w:rsid w:val="00D37844"/>
    <w:rsid w:val="00D379FA"/>
    <w:rsid w:val="00D400AD"/>
    <w:rsid w:val="00D40DB6"/>
    <w:rsid w:val="00D41339"/>
    <w:rsid w:val="00D4135D"/>
    <w:rsid w:val="00D4151E"/>
    <w:rsid w:val="00D41836"/>
    <w:rsid w:val="00D41B92"/>
    <w:rsid w:val="00D41F2A"/>
    <w:rsid w:val="00D41FF5"/>
    <w:rsid w:val="00D42599"/>
    <w:rsid w:val="00D4263D"/>
    <w:rsid w:val="00D4279F"/>
    <w:rsid w:val="00D4285F"/>
    <w:rsid w:val="00D42AAB"/>
    <w:rsid w:val="00D43332"/>
    <w:rsid w:val="00D43344"/>
    <w:rsid w:val="00D43572"/>
    <w:rsid w:val="00D43755"/>
    <w:rsid w:val="00D439D1"/>
    <w:rsid w:val="00D43BAE"/>
    <w:rsid w:val="00D43D9E"/>
    <w:rsid w:val="00D4409F"/>
    <w:rsid w:val="00D446BA"/>
    <w:rsid w:val="00D44B5E"/>
    <w:rsid w:val="00D45083"/>
    <w:rsid w:val="00D453ED"/>
    <w:rsid w:val="00D45432"/>
    <w:rsid w:val="00D45526"/>
    <w:rsid w:val="00D458DA"/>
    <w:rsid w:val="00D46363"/>
    <w:rsid w:val="00D46800"/>
    <w:rsid w:val="00D4688A"/>
    <w:rsid w:val="00D47257"/>
    <w:rsid w:val="00D4762F"/>
    <w:rsid w:val="00D47845"/>
    <w:rsid w:val="00D4795E"/>
    <w:rsid w:val="00D47CBB"/>
    <w:rsid w:val="00D47E7D"/>
    <w:rsid w:val="00D502B6"/>
    <w:rsid w:val="00D502DC"/>
    <w:rsid w:val="00D5044A"/>
    <w:rsid w:val="00D50DEC"/>
    <w:rsid w:val="00D50F0A"/>
    <w:rsid w:val="00D5133A"/>
    <w:rsid w:val="00D5164F"/>
    <w:rsid w:val="00D517FB"/>
    <w:rsid w:val="00D518BE"/>
    <w:rsid w:val="00D52161"/>
    <w:rsid w:val="00D52215"/>
    <w:rsid w:val="00D527E5"/>
    <w:rsid w:val="00D52B5D"/>
    <w:rsid w:val="00D52CBC"/>
    <w:rsid w:val="00D52E15"/>
    <w:rsid w:val="00D52E9C"/>
    <w:rsid w:val="00D53307"/>
    <w:rsid w:val="00D53796"/>
    <w:rsid w:val="00D53886"/>
    <w:rsid w:val="00D538D0"/>
    <w:rsid w:val="00D53B5C"/>
    <w:rsid w:val="00D54731"/>
    <w:rsid w:val="00D54846"/>
    <w:rsid w:val="00D54AFD"/>
    <w:rsid w:val="00D54C38"/>
    <w:rsid w:val="00D55111"/>
    <w:rsid w:val="00D555F4"/>
    <w:rsid w:val="00D55695"/>
    <w:rsid w:val="00D55736"/>
    <w:rsid w:val="00D55A24"/>
    <w:rsid w:val="00D56257"/>
    <w:rsid w:val="00D56373"/>
    <w:rsid w:val="00D5647D"/>
    <w:rsid w:val="00D565CC"/>
    <w:rsid w:val="00D56A99"/>
    <w:rsid w:val="00D56ABE"/>
    <w:rsid w:val="00D56E7D"/>
    <w:rsid w:val="00D57263"/>
    <w:rsid w:val="00D574BC"/>
    <w:rsid w:val="00D578B9"/>
    <w:rsid w:val="00D60319"/>
    <w:rsid w:val="00D60341"/>
    <w:rsid w:val="00D60525"/>
    <w:rsid w:val="00D607DC"/>
    <w:rsid w:val="00D60A51"/>
    <w:rsid w:val="00D60B8B"/>
    <w:rsid w:val="00D60FC8"/>
    <w:rsid w:val="00D61173"/>
    <w:rsid w:val="00D612FC"/>
    <w:rsid w:val="00D61486"/>
    <w:rsid w:val="00D61674"/>
    <w:rsid w:val="00D618B1"/>
    <w:rsid w:val="00D61913"/>
    <w:rsid w:val="00D61AF0"/>
    <w:rsid w:val="00D61B01"/>
    <w:rsid w:val="00D62155"/>
    <w:rsid w:val="00D62205"/>
    <w:rsid w:val="00D62210"/>
    <w:rsid w:val="00D623D9"/>
    <w:rsid w:val="00D62BB1"/>
    <w:rsid w:val="00D62BB3"/>
    <w:rsid w:val="00D637D1"/>
    <w:rsid w:val="00D6386D"/>
    <w:rsid w:val="00D63A95"/>
    <w:rsid w:val="00D63D7F"/>
    <w:rsid w:val="00D646F2"/>
    <w:rsid w:val="00D6470D"/>
    <w:rsid w:val="00D64896"/>
    <w:rsid w:val="00D6490C"/>
    <w:rsid w:val="00D64B9E"/>
    <w:rsid w:val="00D64EB6"/>
    <w:rsid w:val="00D64F91"/>
    <w:rsid w:val="00D6553C"/>
    <w:rsid w:val="00D657B8"/>
    <w:rsid w:val="00D657F9"/>
    <w:rsid w:val="00D657FD"/>
    <w:rsid w:val="00D65CB8"/>
    <w:rsid w:val="00D65DE6"/>
    <w:rsid w:val="00D65DFB"/>
    <w:rsid w:val="00D662CB"/>
    <w:rsid w:val="00D666E6"/>
    <w:rsid w:val="00D6756B"/>
    <w:rsid w:val="00D675D9"/>
    <w:rsid w:val="00D676AE"/>
    <w:rsid w:val="00D678A8"/>
    <w:rsid w:val="00D67BA3"/>
    <w:rsid w:val="00D67CC0"/>
    <w:rsid w:val="00D700AA"/>
    <w:rsid w:val="00D70934"/>
    <w:rsid w:val="00D70C60"/>
    <w:rsid w:val="00D70FBB"/>
    <w:rsid w:val="00D71017"/>
    <w:rsid w:val="00D71106"/>
    <w:rsid w:val="00D7166C"/>
    <w:rsid w:val="00D717A0"/>
    <w:rsid w:val="00D7192C"/>
    <w:rsid w:val="00D72008"/>
    <w:rsid w:val="00D72046"/>
    <w:rsid w:val="00D72544"/>
    <w:rsid w:val="00D72679"/>
    <w:rsid w:val="00D729CB"/>
    <w:rsid w:val="00D72B6E"/>
    <w:rsid w:val="00D72CA8"/>
    <w:rsid w:val="00D7324A"/>
    <w:rsid w:val="00D73597"/>
    <w:rsid w:val="00D73D1C"/>
    <w:rsid w:val="00D74073"/>
    <w:rsid w:val="00D7415F"/>
    <w:rsid w:val="00D7440C"/>
    <w:rsid w:val="00D745E6"/>
    <w:rsid w:val="00D74732"/>
    <w:rsid w:val="00D74EB7"/>
    <w:rsid w:val="00D75562"/>
    <w:rsid w:val="00D7560D"/>
    <w:rsid w:val="00D75868"/>
    <w:rsid w:val="00D75CAC"/>
    <w:rsid w:val="00D75E36"/>
    <w:rsid w:val="00D76790"/>
    <w:rsid w:val="00D76D1A"/>
    <w:rsid w:val="00D76EA3"/>
    <w:rsid w:val="00D76F02"/>
    <w:rsid w:val="00D7758A"/>
    <w:rsid w:val="00D77F1D"/>
    <w:rsid w:val="00D77FC6"/>
    <w:rsid w:val="00D801C2"/>
    <w:rsid w:val="00D80373"/>
    <w:rsid w:val="00D805F0"/>
    <w:rsid w:val="00D80BE5"/>
    <w:rsid w:val="00D80E63"/>
    <w:rsid w:val="00D80FD3"/>
    <w:rsid w:val="00D8160A"/>
    <w:rsid w:val="00D82021"/>
    <w:rsid w:val="00D8289C"/>
    <w:rsid w:val="00D82922"/>
    <w:rsid w:val="00D8332B"/>
    <w:rsid w:val="00D83545"/>
    <w:rsid w:val="00D8370A"/>
    <w:rsid w:val="00D837CA"/>
    <w:rsid w:val="00D83ADD"/>
    <w:rsid w:val="00D846B0"/>
    <w:rsid w:val="00D8486E"/>
    <w:rsid w:val="00D84D40"/>
    <w:rsid w:val="00D84F2C"/>
    <w:rsid w:val="00D858EB"/>
    <w:rsid w:val="00D859DD"/>
    <w:rsid w:val="00D861E7"/>
    <w:rsid w:val="00D861F0"/>
    <w:rsid w:val="00D86C6F"/>
    <w:rsid w:val="00D86DD5"/>
    <w:rsid w:val="00D870B1"/>
    <w:rsid w:val="00D87F50"/>
    <w:rsid w:val="00D90168"/>
    <w:rsid w:val="00D907C0"/>
    <w:rsid w:val="00D90851"/>
    <w:rsid w:val="00D909C3"/>
    <w:rsid w:val="00D90D7B"/>
    <w:rsid w:val="00D90E66"/>
    <w:rsid w:val="00D91135"/>
    <w:rsid w:val="00D91288"/>
    <w:rsid w:val="00D915E4"/>
    <w:rsid w:val="00D91ADE"/>
    <w:rsid w:val="00D91B5F"/>
    <w:rsid w:val="00D91CD5"/>
    <w:rsid w:val="00D9216D"/>
    <w:rsid w:val="00D92312"/>
    <w:rsid w:val="00D9271C"/>
    <w:rsid w:val="00D927D1"/>
    <w:rsid w:val="00D92A32"/>
    <w:rsid w:val="00D92ECD"/>
    <w:rsid w:val="00D92FCF"/>
    <w:rsid w:val="00D93733"/>
    <w:rsid w:val="00D93990"/>
    <w:rsid w:val="00D939DB"/>
    <w:rsid w:val="00D93F81"/>
    <w:rsid w:val="00D94662"/>
    <w:rsid w:val="00D949BE"/>
    <w:rsid w:val="00D94F51"/>
    <w:rsid w:val="00D950EC"/>
    <w:rsid w:val="00D9518C"/>
    <w:rsid w:val="00D95BD2"/>
    <w:rsid w:val="00D95D73"/>
    <w:rsid w:val="00D95F82"/>
    <w:rsid w:val="00D96062"/>
    <w:rsid w:val="00D960F7"/>
    <w:rsid w:val="00D962FD"/>
    <w:rsid w:val="00D9636B"/>
    <w:rsid w:val="00D9650D"/>
    <w:rsid w:val="00D96669"/>
    <w:rsid w:val="00D966AD"/>
    <w:rsid w:val="00D966BF"/>
    <w:rsid w:val="00D9674A"/>
    <w:rsid w:val="00D96994"/>
    <w:rsid w:val="00D96AC1"/>
    <w:rsid w:val="00D96B7F"/>
    <w:rsid w:val="00D96FD2"/>
    <w:rsid w:val="00D97646"/>
    <w:rsid w:val="00D97719"/>
    <w:rsid w:val="00D97745"/>
    <w:rsid w:val="00D978D5"/>
    <w:rsid w:val="00D97A88"/>
    <w:rsid w:val="00D97CEC"/>
    <w:rsid w:val="00D97E13"/>
    <w:rsid w:val="00D97EFC"/>
    <w:rsid w:val="00DA0233"/>
    <w:rsid w:val="00DA050F"/>
    <w:rsid w:val="00DA06F8"/>
    <w:rsid w:val="00DA1308"/>
    <w:rsid w:val="00DA189E"/>
    <w:rsid w:val="00DA19A7"/>
    <w:rsid w:val="00DA1B27"/>
    <w:rsid w:val="00DA1CD5"/>
    <w:rsid w:val="00DA1E14"/>
    <w:rsid w:val="00DA23F6"/>
    <w:rsid w:val="00DA24F9"/>
    <w:rsid w:val="00DA26C7"/>
    <w:rsid w:val="00DA26CF"/>
    <w:rsid w:val="00DA2D41"/>
    <w:rsid w:val="00DA3371"/>
    <w:rsid w:val="00DA39F2"/>
    <w:rsid w:val="00DA3E2E"/>
    <w:rsid w:val="00DA421E"/>
    <w:rsid w:val="00DA44C0"/>
    <w:rsid w:val="00DA47C5"/>
    <w:rsid w:val="00DA491A"/>
    <w:rsid w:val="00DA4923"/>
    <w:rsid w:val="00DA4B59"/>
    <w:rsid w:val="00DA4B84"/>
    <w:rsid w:val="00DA50B9"/>
    <w:rsid w:val="00DA55BD"/>
    <w:rsid w:val="00DA59C8"/>
    <w:rsid w:val="00DA5AE0"/>
    <w:rsid w:val="00DA5D78"/>
    <w:rsid w:val="00DA5F5C"/>
    <w:rsid w:val="00DA6152"/>
    <w:rsid w:val="00DA6513"/>
    <w:rsid w:val="00DA65B2"/>
    <w:rsid w:val="00DA65E3"/>
    <w:rsid w:val="00DA6650"/>
    <w:rsid w:val="00DA6ABE"/>
    <w:rsid w:val="00DA71A3"/>
    <w:rsid w:val="00DA765B"/>
    <w:rsid w:val="00DA76B6"/>
    <w:rsid w:val="00DB0170"/>
    <w:rsid w:val="00DB029F"/>
    <w:rsid w:val="00DB09FC"/>
    <w:rsid w:val="00DB0BD9"/>
    <w:rsid w:val="00DB0DB0"/>
    <w:rsid w:val="00DB1492"/>
    <w:rsid w:val="00DB19D0"/>
    <w:rsid w:val="00DB1EF1"/>
    <w:rsid w:val="00DB2C57"/>
    <w:rsid w:val="00DB30C0"/>
    <w:rsid w:val="00DB314E"/>
    <w:rsid w:val="00DB31DE"/>
    <w:rsid w:val="00DB3729"/>
    <w:rsid w:val="00DB37FA"/>
    <w:rsid w:val="00DB3B62"/>
    <w:rsid w:val="00DB3C9B"/>
    <w:rsid w:val="00DB3D27"/>
    <w:rsid w:val="00DB3E7A"/>
    <w:rsid w:val="00DB445F"/>
    <w:rsid w:val="00DB452B"/>
    <w:rsid w:val="00DB4681"/>
    <w:rsid w:val="00DB50D3"/>
    <w:rsid w:val="00DB5210"/>
    <w:rsid w:val="00DB539B"/>
    <w:rsid w:val="00DB56F5"/>
    <w:rsid w:val="00DB5B8F"/>
    <w:rsid w:val="00DB5C31"/>
    <w:rsid w:val="00DB63C3"/>
    <w:rsid w:val="00DB63FF"/>
    <w:rsid w:val="00DB646E"/>
    <w:rsid w:val="00DB66F2"/>
    <w:rsid w:val="00DB6865"/>
    <w:rsid w:val="00DB6A4D"/>
    <w:rsid w:val="00DB7B5F"/>
    <w:rsid w:val="00DB7D1C"/>
    <w:rsid w:val="00DC01D0"/>
    <w:rsid w:val="00DC0901"/>
    <w:rsid w:val="00DC0B9F"/>
    <w:rsid w:val="00DC0C4C"/>
    <w:rsid w:val="00DC1495"/>
    <w:rsid w:val="00DC1EA1"/>
    <w:rsid w:val="00DC25E2"/>
    <w:rsid w:val="00DC2796"/>
    <w:rsid w:val="00DC2DF7"/>
    <w:rsid w:val="00DC2E44"/>
    <w:rsid w:val="00DC3020"/>
    <w:rsid w:val="00DC3118"/>
    <w:rsid w:val="00DC311E"/>
    <w:rsid w:val="00DC379B"/>
    <w:rsid w:val="00DC3A3B"/>
    <w:rsid w:val="00DC3D41"/>
    <w:rsid w:val="00DC40D4"/>
    <w:rsid w:val="00DC4B0F"/>
    <w:rsid w:val="00DC525F"/>
    <w:rsid w:val="00DC54DF"/>
    <w:rsid w:val="00DC559F"/>
    <w:rsid w:val="00DC5871"/>
    <w:rsid w:val="00DC5E93"/>
    <w:rsid w:val="00DC5ECF"/>
    <w:rsid w:val="00DC63D3"/>
    <w:rsid w:val="00DC6469"/>
    <w:rsid w:val="00DC668D"/>
    <w:rsid w:val="00DC6815"/>
    <w:rsid w:val="00DC6861"/>
    <w:rsid w:val="00DC6B75"/>
    <w:rsid w:val="00DC6FE2"/>
    <w:rsid w:val="00DC7EC4"/>
    <w:rsid w:val="00DD017D"/>
    <w:rsid w:val="00DD06C9"/>
    <w:rsid w:val="00DD06CD"/>
    <w:rsid w:val="00DD0726"/>
    <w:rsid w:val="00DD09B2"/>
    <w:rsid w:val="00DD15AA"/>
    <w:rsid w:val="00DD167E"/>
    <w:rsid w:val="00DD1724"/>
    <w:rsid w:val="00DD1B97"/>
    <w:rsid w:val="00DD1D5C"/>
    <w:rsid w:val="00DD2783"/>
    <w:rsid w:val="00DD281F"/>
    <w:rsid w:val="00DD2CC7"/>
    <w:rsid w:val="00DD3001"/>
    <w:rsid w:val="00DD3428"/>
    <w:rsid w:val="00DD3C5E"/>
    <w:rsid w:val="00DD3CE5"/>
    <w:rsid w:val="00DD3D1A"/>
    <w:rsid w:val="00DD3EB5"/>
    <w:rsid w:val="00DD3F1A"/>
    <w:rsid w:val="00DD42D7"/>
    <w:rsid w:val="00DD4A08"/>
    <w:rsid w:val="00DD4FEF"/>
    <w:rsid w:val="00DD5573"/>
    <w:rsid w:val="00DD5C85"/>
    <w:rsid w:val="00DD6015"/>
    <w:rsid w:val="00DD613D"/>
    <w:rsid w:val="00DD62AA"/>
    <w:rsid w:val="00DD67A0"/>
    <w:rsid w:val="00DD68F0"/>
    <w:rsid w:val="00DD7287"/>
    <w:rsid w:val="00DD7A41"/>
    <w:rsid w:val="00DD7A70"/>
    <w:rsid w:val="00DD7DF4"/>
    <w:rsid w:val="00DE016C"/>
    <w:rsid w:val="00DE035E"/>
    <w:rsid w:val="00DE075F"/>
    <w:rsid w:val="00DE0C15"/>
    <w:rsid w:val="00DE113B"/>
    <w:rsid w:val="00DE1603"/>
    <w:rsid w:val="00DE1747"/>
    <w:rsid w:val="00DE190B"/>
    <w:rsid w:val="00DE1A68"/>
    <w:rsid w:val="00DE1C9B"/>
    <w:rsid w:val="00DE1CD9"/>
    <w:rsid w:val="00DE2195"/>
    <w:rsid w:val="00DE2766"/>
    <w:rsid w:val="00DE2806"/>
    <w:rsid w:val="00DE28F9"/>
    <w:rsid w:val="00DE29B9"/>
    <w:rsid w:val="00DE3137"/>
    <w:rsid w:val="00DE36C6"/>
    <w:rsid w:val="00DE381C"/>
    <w:rsid w:val="00DE3900"/>
    <w:rsid w:val="00DE39E7"/>
    <w:rsid w:val="00DE3BBC"/>
    <w:rsid w:val="00DE3C89"/>
    <w:rsid w:val="00DE3CA2"/>
    <w:rsid w:val="00DE3FA0"/>
    <w:rsid w:val="00DE41D4"/>
    <w:rsid w:val="00DE423A"/>
    <w:rsid w:val="00DE4494"/>
    <w:rsid w:val="00DE4539"/>
    <w:rsid w:val="00DE4829"/>
    <w:rsid w:val="00DE48F3"/>
    <w:rsid w:val="00DE4B69"/>
    <w:rsid w:val="00DE513B"/>
    <w:rsid w:val="00DE5724"/>
    <w:rsid w:val="00DE5921"/>
    <w:rsid w:val="00DE5D6A"/>
    <w:rsid w:val="00DE6147"/>
    <w:rsid w:val="00DE6661"/>
    <w:rsid w:val="00DE66E7"/>
    <w:rsid w:val="00DE6B65"/>
    <w:rsid w:val="00DE7000"/>
    <w:rsid w:val="00DE7411"/>
    <w:rsid w:val="00DE7423"/>
    <w:rsid w:val="00DE7535"/>
    <w:rsid w:val="00DE7554"/>
    <w:rsid w:val="00DE76FD"/>
    <w:rsid w:val="00DE783F"/>
    <w:rsid w:val="00DE7BFD"/>
    <w:rsid w:val="00DF021F"/>
    <w:rsid w:val="00DF0376"/>
    <w:rsid w:val="00DF04DE"/>
    <w:rsid w:val="00DF0826"/>
    <w:rsid w:val="00DF0932"/>
    <w:rsid w:val="00DF0B93"/>
    <w:rsid w:val="00DF0F01"/>
    <w:rsid w:val="00DF0FC0"/>
    <w:rsid w:val="00DF10D4"/>
    <w:rsid w:val="00DF12BB"/>
    <w:rsid w:val="00DF1702"/>
    <w:rsid w:val="00DF19E2"/>
    <w:rsid w:val="00DF1C37"/>
    <w:rsid w:val="00DF245D"/>
    <w:rsid w:val="00DF2FD9"/>
    <w:rsid w:val="00DF34CB"/>
    <w:rsid w:val="00DF3F4A"/>
    <w:rsid w:val="00DF412C"/>
    <w:rsid w:val="00DF4139"/>
    <w:rsid w:val="00DF4158"/>
    <w:rsid w:val="00DF4292"/>
    <w:rsid w:val="00DF5432"/>
    <w:rsid w:val="00DF55FA"/>
    <w:rsid w:val="00DF58F0"/>
    <w:rsid w:val="00DF5A70"/>
    <w:rsid w:val="00DF5A7D"/>
    <w:rsid w:val="00DF5D14"/>
    <w:rsid w:val="00DF5E01"/>
    <w:rsid w:val="00DF632E"/>
    <w:rsid w:val="00DF6353"/>
    <w:rsid w:val="00DF655A"/>
    <w:rsid w:val="00DF6AED"/>
    <w:rsid w:val="00DF700D"/>
    <w:rsid w:val="00DF73B1"/>
    <w:rsid w:val="00DF76DD"/>
    <w:rsid w:val="00DF76F6"/>
    <w:rsid w:val="00DF7998"/>
    <w:rsid w:val="00DF7AA4"/>
    <w:rsid w:val="00DF7E6F"/>
    <w:rsid w:val="00DF7F6F"/>
    <w:rsid w:val="00E001A0"/>
    <w:rsid w:val="00E00855"/>
    <w:rsid w:val="00E00BFD"/>
    <w:rsid w:val="00E00C41"/>
    <w:rsid w:val="00E01625"/>
    <w:rsid w:val="00E0162F"/>
    <w:rsid w:val="00E0176A"/>
    <w:rsid w:val="00E01AF0"/>
    <w:rsid w:val="00E0227E"/>
    <w:rsid w:val="00E023B2"/>
    <w:rsid w:val="00E02614"/>
    <w:rsid w:val="00E02B64"/>
    <w:rsid w:val="00E02BCB"/>
    <w:rsid w:val="00E02BED"/>
    <w:rsid w:val="00E02BFB"/>
    <w:rsid w:val="00E02CED"/>
    <w:rsid w:val="00E02EEF"/>
    <w:rsid w:val="00E0303B"/>
    <w:rsid w:val="00E03092"/>
    <w:rsid w:val="00E03095"/>
    <w:rsid w:val="00E03B4E"/>
    <w:rsid w:val="00E03BFD"/>
    <w:rsid w:val="00E03C5E"/>
    <w:rsid w:val="00E03F44"/>
    <w:rsid w:val="00E0404C"/>
    <w:rsid w:val="00E0481E"/>
    <w:rsid w:val="00E04868"/>
    <w:rsid w:val="00E04920"/>
    <w:rsid w:val="00E0495F"/>
    <w:rsid w:val="00E04BEA"/>
    <w:rsid w:val="00E04BF3"/>
    <w:rsid w:val="00E05BD0"/>
    <w:rsid w:val="00E05D4A"/>
    <w:rsid w:val="00E06213"/>
    <w:rsid w:val="00E064E5"/>
    <w:rsid w:val="00E06B86"/>
    <w:rsid w:val="00E06C24"/>
    <w:rsid w:val="00E0762A"/>
    <w:rsid w:val="00E07682"/>
    <w:rsid w:val="00E10453"/>
    <w:rsid w:val="00E10564"/>
    <w:rsid w:val="00E10665"/>
    <w:rsid w:val="00E10EE5"/>
    <w:rsid w:val="00E1180A"/>
    <w:rsid w:val="00E11897"/>
    <w:rsid w:val="00E11ACB"/>
    <w:rsid w:val="00E11E02"/>
    <w:rsid w:val="00E12303"/>
    <w:rsid w:val="00E12B5D"/>
    <w:rsid w:val="00E12FF5"/>
    <w:rsid w:val="00E1306A"/>
    <w:rsid w:val="00E13E1F"/>
    <w:rsid w:val="00E1419C"/>
    <w:rsid w:val="00E14270"/>
    <w:rsid w:val="00E1442B"/>
    <w:rsid w:val="00E1453F"/>
    <w:rsid w:val="00E146C3"/>
    <w:rsid w:val="00E14806"/>
    <w:rsid w:val="00E1487E"/>
    <w:rsid w:val="00E14CEF"/>
    <w:rsid w:val="00E14F72"/>
    <w:rsid w:val="00E156ED"/>
    <w:rsid w:val="00E15C1B"/>
    <w:rsid w:val="00E15DA7"/>
    <w:rsid w:val="00E16314"/>
    <w:rsid w:val="00E1642C"/>
    <w:rsid w:val="00E16472"/>
    <w:rsid w:val="00E1696B"/>
    <w:rsid w:val="00E16D83"/>
    <w:rsid w:val="00E16E7D"/>
    <w:rsid w:val="00E17551"/>
    <w:rsid w:val="00E17B82"/>
    <w:rsid w:val="00E17C0D"/>
    <w:rsid w:val="00E17D34"/>
    <w:rsid w:val="00E205A7"/>
    <w:rsid w:val="00E214DE"/>
    <w:rsid w:val="00E214F3"/>
    <w:rsid w:val="00E2151D"/>
    <w:rsid w:val="00E2166C"/>
    <w:rsid w:val="00E217F8"/>
    <w:rsid w:val="00E2188F"/>
    <w:rsid w:val="00E21996"/>
    <w:rsid w:val="00E21A9B"/>
    <w:rsid w:val="00E21D75"/>
    <w:rsid w:val="00E2207F"/>
    <w:rsid w:val="00E23035"/>
    <w:rsid w:val="00E23151"/>
    <w:rsid w:val="00E23279"/>
    <w:rsid w:val="00E2344E"/>
    <w:rsid w:val="00E2349D"/>
    <w:rsid w:val="00E236D2"/>
    <w:rsid w:val="00E236F5"/>
    <w:rsid w:val="00E23754"/>
    <w:rsid w:val="00E24336"/>
    <w:rsid w:val="00E245DE"/>
    <w:rsid w:val="00E248F9"/>
    <w:rsid w:val="00E24BAF"/>
    <w:rsid w:val="00E24E3F"/>
    <w:rsid w:val="00E24E44"/>
    <w:rsid w:val="00E25125"/>
    <w:rsid w:val="00E25221"/>
    <w:rsid w:val="00E253DD"/>
    <w:rsid w:val="00E25704"/>
    <w:rsid w:val="00E258B1"/>
    <w:rsid w:val="00E25D67"/>
    <w:rsid w:val="00E27440"/>
    <w:rsid w:val="00E278D8"/>
    <w:rsid w:val="00E278EA"/>
    <w:rsid w:val="00E27AAF"/>
    <w:rsid w:val="00E27B07"/>
    <w:rsid w:val="00E3009C"/>
    <w:rsid w:val="00E301BD"/>
    <w:rsid w:val="00E308A0"/>
    <w:rsid w:val="00E30DBC"/>
    <w:rsid w:val="00E30E79"/>
    <w:rsid w:val="00E30F2A"/>
    <w:rsid w:val="00E31005"/>
    <w:rsid w:val="00E311D4"/>
    <w:rsid w:val="00E3163D"/>
    <w:rsid w:val="00E3178A"/>
    <w:rsid w:val="00E31BAC"/>
    <w:rsid w:val="00E32046"/>
    <w:rsid w:val="00E32389"/>
    <w:rsid w:val="00E323D4"/>
    <w:rsid w:val="00E32921"/>
    <w:rsid w:val="00E332C8"/>
    <w:rsid w:val="00E33425"/>
    <w:rsid w:val="00E33649"/>
    <w:rsid w:val="00E3388F"/>
    <w:rsid w:val="00E33A95"/>
    <w:rsid w:val="00E3445A"/>
    <w:rsid w:val="00E345D0"/>
    <w:rsid w:val="00E349E3"/>
    <w:rsid w:val="00E34EB6"/>
    <w:rsid w:val="00E35013"/>
    <w:rsid w:val="00E351F4"/>
    <w:rsid w:val="00E35245"/>
    <w:rsid w:val="00E352CC"/>
    <w:rsid w:val="00E35882"/>
    <w:rsid w:val="00E35A02"/>
    <w:rsid w:val="00E35D83"/>
    <w:rsid w:val="00E35E35"/>
    <w:rsid w:val="00E360DD"/>
    <w:rsid w:val="00E367E0"/>
    <w:rsid w:val="00E37255"/>
    <w:rsid w:val="00E401D6"/>
    <w:rsid w:val="00E40D96"/>
    <w:rsid w:val="00E40DBF"/>
    <w:rsid w:val="00E40E56"/>
    <w:rsid w:val="00E410DB"/>
    <w:rsid w:val="00E41321"/>
    <w:rsid w:val="00E41590"/>
    <w:rsid w:val="00E41C67"/>
    <w:rsid w:val="00E425CF"/>
    <w:rsid w:val="00E426BB"/>
    <w:rsid w:val="00E427BE"/>
    <w:rsid w:val="00E42870"/>
    <w:rsid w:val="00E42A54"/>
    <w:rsid w:val="00E42AB8"/>
    <w:rsid w:val="00E42F2C"/>
    <w:rsid w:val="00E42F87"/>
    <w:rsid w:val="00E4301F"/>
    <w:rsid w:val="00E43097"/>
    <w:rsid w:val="00E439A7"/>
    <w:rsid w:val="00E43A64"/>
    <w:rsid w:val="00E43A97"/>
    <w:rsid w:val="00E43C78"/>
    <w:rsid w:val="00E43DBF"/>
    <w:rsid w:val="00E43E0E"/>
    <w:rsid w:val="00E440DD"/>
    <w:rsid w:val="00E44588"/>
    <w:rsid w:val="00E44FAB"/>
    <w:rsid w:val="00E45006"/>
    <w:rsid w:val="00E45424"/>
    <w:rsid w:val="00E45432"/>
    <w:rsid w:val="00E458B7"/>
    <w:rsid w:val="00E459D4"/>
    <w:rsid w:val="00E45D66"/>
    <w:rsid w:val="00E46193"/>
    <w:rsid w:val="00E461FE"/>
    <w:rsid w:val="00E46754"/>
    <w:rsid w:val="00E46E41"/>
    <w:rsid w:val="00E473DB"/>
    <w:rsid w:val="00E479C6"/>
    <w:rsid w:val="00E47F33"/>
    <w:rsid w:val="00E50139"/>
    <w:rsid w:val="00E50236"/>
    <w:rsid w:val="00E5066A"/>
    <w:rsid w:val="00E507AC"/>
    <w:rsid w:val="00E507C6"/>
    <w:rsid w:val="00E50C3A"/>
    <w:rsid w:val="00E50E5C"/>
    <w:rsid w:val="00E50F86"/>
    <w:rsid w:val="00E51184"/>
    <w:rsid w:val="00E5119E"/>
    <w:rsid w:val="00E51B4F"/>
    <w:rsid w:val="00E51C75"/>
    <w:rsid w:val="00E5264E"/>
    <w:rsid w:val="00E52C09"/>
    <w:rsid w:val="00E52D4E"/>
    <w:rsid w:val="00E53023"/>
    <w:rsid w:val="00E53854"/>
    <w:rsid w:val="00E538DC"/>
    <w:rsid w:val="00E539B7"/>
    <w:rsid w:val="00E539F3"/>
    <w:rsid w:val="00E53AE4"/>
    <w:rsid w:val="00E53D8B"/>
    <w:rsid w:val="00E53F8B"/>
    <w:rsid w:val="00E5424B"/>
    <w:rsid w:val="00E548A2"/>
    <w:rsid w:val="00E54A33"/>
    <w:rsid w:val="00E54B49"/>
    <w:rsid w:val="00E54D71"/>
    <w:rsid w:val="00E54FEF"/>
    <w:rsid w:val="00E55B59"/>
    <w:rsid w:val="00E55FB8"/>
    <w:rsid w:val="00E56B4E"/>
    <w:rsid w:val="00E56C3E"/>
    <w:rsid w:val="00E57049"/>
    <w:rsid w:val="00E57361"/>
    <w:rsid w:val="00E5777C"/>
    <w:rsid w:val="00E57E4D"/>
    <w:rsid w:val="00E57F81"/>
    <w:rsid w:val="00E6072E"/>
    <w:rsid w:val="00E60CD4"/>
    <w:rsid w:val="00E610C7"/>
    <w:rsid w:val="00E61273"/>
    <w:rsid w:val="00E614D6"/>
    <w:rsid w:val="00E61990"/>
    <w:rsid w:val="00E620F4"/>
    <w:rsid w:val="00E62369"/>
    <w:rsid w:val="00E62379"/>
    <w:rsid w:val="00E62534"/>
    <w:rsid w:val="00E625F3"/>
    <w:rsid w:val="00E62673"/>
    <w:rsid w:val="00E62713"/>
    <w:rsid w:val="00E62733"/>
    <w:rsid w:val="00E62805"/>
    <w:rsid w:val="00E62806"/>
    <w:rsid w:val="00E63A7E"/>
    <w:rsid w:val="00E64C41"/>
    <w:rsid w:val="00E65278"/>
    <w:rsid w:val="00E65B92"/>
    <w:rsid w:val="00E65D1B"/>
    <w:rsid w:val="00E65DA4"/>
    <w:rsid w:val="00E65DC2"/>
    <w:rsid w:val="00E65EC4"/>
    <w:rsid w:val="00E6673A"/>
    <w:rsid w:val="00E66D6F"/>
    <w:rsid w:val="00E66E1A"/>
    <w:rsid w:val="00E673A7"/>
    <w:rsid w:val="00E673F5"/>
    <w:rsid w:val="00E6758B"/>
    <w:rsid w:val="00E6784F"/>
    <w:rsid w:val="00E6799D"/>
    <w:rsid w:val="00E70388"/>
    <w:rsid w:val="00E70631"/>
    <w:rsid w:val="00E70FC4"/>
    <w:rsid w:val="00E71803"/>
    <w:rsid w:val="00E71E3E"/>
    <w:rsid w:val="00E71ED8"/>
    <w:rsid w:val="00E71F94"/>
    <w:rsid w:val="00E71FC9"/>
    <w:rsid w:val="00E722F8"/>
    <w:rsid w:val="00E7232C"/>
    <w:rsid w:val="00E72B99"/>
    <w:rsid w:val="00E72DA3"/>
    <w:rsid w:val="00E733BC"/>
    <w:rsid w:val="00E733F2"/>
    <w:rsid w:val="00E73E29"/>
    <w:rsid w:val="00E73F45"/>
    <w:rsid w:val="00E74237"/>
    <w:rsid w:val="00E7423D"/>
    <w:rsid w:val="00E74801"/>
    <w:rsid w:val="00E74C02"/>
    <w:rsid w:val="00E74C0D"/>
    <w:rsid w:val="00E74D17"/>
    <w:rsid w:val="00E74E29"/>
    <w:rsid w:val="00E74F29"/>
    <w:rsid w:val="00E7556E"/>
    <w:rsid w:val="00E75697"/>
    <w:rsid w:val="00E75B12"/>
    <w:rsid w:val="00E75E2B"/>
    <w:rsid w:val="00E7629A"/>
    <w:rsid w:val="00E766ED"/>
    <w:rsid w:val="00E76D57"/>
    <w:rsid w:val="00E7723C"/>
    <w:rsid w:val="00E77A00"/>
    <w:rsid w:val="00E77BE3"/>
    <w:rsid w:val="00E80106"/>
    <w:rsid w:val="00E80A0A"/>
    <w:rsid w:val="00E80E01"/>
    <w:rsid w:val="00E80F09"/>
    <w:rsid w:val="00E81609"/>
    <w:rsid w:val="00E818DD"/>
    <w:rsid w:val="00E819C2"/>
    <w:rsid w:val="00E81B44"/>
    <w:rsid w:val="00E81B74"/>
    <w:rsid w:val="00E81BAC"/>
    <w:rsid w:val="00E81FE6"/>
    <w:rsid w:val="00E820D4"/>
    <w:rsid w:val="00E82293"/>
    <w:rsid w:val="00E822A4"/>
    <w:rsid w:val="00E8237D"/>
    <w:rsid w:val="00E8241E"/>
    <w:rsid w:val="00E8283B"/>
    <w:rsid w:val="00E82BFB"/>
    <w:rsid w:val="00E82C05"/>
    <w:rsid w:val="00E83122"/>
    <w:rsid w:val="00E8338E"/>
    <w:rsid w:val="00E834D6"/>
    <w:rsid w:val="00E83542"/>
    <w:rsid w:val="00E835F8"/>
    <w:rsid w:val="00E83731"/>
    <w:rsid w:val="00E842F5"/>
    <w:rsid w:val="00E84765"/>
    <w:rsid w:val="00E84BEF"/>
    <w:rsid w:val="00E84C49"/>
    <w:rsid w:val="00E84EB6"/>
    <w:rsid w:val="00E85006"/>
    <w:rsid w:val="00E853AB"/>
    <w:rsid w:val="00E853F1"/>
    <w:rsid w:val="00E85639"/>
    <w:rsid w:val="00E85B8A"/>
    <w:rsid w:val="00E86523"/>
    <w:rsid w:val="00E865E1"/>
    <w:rsid w:val="00E86627"/>
    <w:rsid w:val="00E86894"/>
    <w:rsid w:val="00E87039"/>
    <w:rsid w:val="00E8707F"/>
    <w:rsid w:val="00E87311"/>
    <w:rsid w:val="00E873CF"/>
    <w:rsid w:val="00E904F8"/>
    <w:rsid w:val="00E90BB5"/>
    <w:rsid w:val="00E90D32"/>
    <w:rsid w:val="00E90E22"/>
    <w:rsid w:val="00E914D0"/>
    <w:rsid w:val="00E91B30"/>
    <w:rsid w:val="00E91B42"/>
    <w:rsid w:val="00E91C61"/>
    <w:rsid w:val="00E91EAB"/>
    <w:rsid w:val="00E91EF0"/>
    <w:rsid w:val="00E92530"/>
    <w:rsid w:val="00E9265A"/>
    <w:rsid w:val="00E92ADB"/>
    <w:rsid w:val="00E92CD1"/>
    <w:rsid w:val="00E92F5A"/>
    <w:rsid w:val="00E93081"/>
    <w:rsid w:val="00E93EE0"/>
    <w:rsid w:val="00E93FE9"/>
    <w:rsid w:val="00E94348"/>
    <w:rsid w:val="00E94E97"/>
    <w:rsid w:val="00E95706"/>
    <w:rsid w:val="00E959A9"/>
    <w:rsid w:val="00E95C8D"/>
    <w:rsid w:val="00E96462"/>
    <w:rsid w:val="00E96538"/>
    <w:rsid w:val="00E96540"/>
    <w:rsid w:val="00E96C99"/>
    <w:rsid w:val="00E970A6"/>
    <w:rsid w:val="00EA006F"/>
    <w:rsid w:val="00EA0252"/>
    <w:rsid w:val="00EA0813"/>
    <w:rsid w:val="00EA0962"/>
    <w:rsid w:val="00EA0CCC"/>
    <w:rsid w:val="00EA0E7E"/>
    <w:rsid w:val="00EA14C7"/>
    <w:rsid w:val="00EA18DF"/>
    <w:rsid w:val="00EA1E94"/>
    <w:rsid w:val="00EA1EC0"/>
    <w:rsid w:val="00EA1EC2"/>
    <w:rsid w:val="00EA21A2"/>
    <w:rsid w:val="00EA222F"/>
    <w:rsid w:val="00EA24E3"/>
    <w:rsid w:val="00EA2867"/>
    <w:rsid w:val="00EA2E09"/>
    <w:rsid w:val="00EA2EAE"/>
    <w:rsid w:val="00EA363B"/>
    <w:rsid w:val="00EA3CC8"/>
    <w:rsid w:val="00EA3E11"/>
    <w:rsid w:val="00EA3F68"/>
    <w:rsid w:val="00EA3F6F"/>
    <w:rsid w:val="00EA4359"/>
    <w:rsid w:val="00EA4575"/>
    <w:rsid w:val="00EA488E"/>
    <w:rsid w:val="00EA493F"/>
    <w:rsid w:val="00EA4CFF"/>
    <w:rsid w:val="00EA4F70"/>
    <w:rsid w:val="00EA597B"/>
    <w:rsid w:val="00EA5C30"/>
    <w:rsid w:val="00EA61A5"/>
    <w:rsid w:val="00EA6794"/>
    <w:rsid w:val="00EA7168"/>
    <w:rsid w:val="00EA7399"/>
    <w:rsid w:val="00EA76C0"/>
    <w:rsid w:val="00EA7849"/>
    <w:rsid w:val="00EA7982"/>
    <w:rsid w:val="00EA79E7"/>
    <w:rsid w:val="00EB01BF"/>
    <w:rsid w:val="00EB069A"/>
    <w:rsid w:val="00EB0978"/>
    <w:rsid w:val="00EB0CFC"/>
    <w:rsid w:val="00EB102B"/>
    <w:rsid w:val="00EB1277"/>
    <w:rsid w:val="00EB2C96"/>
    <w:rsid w:val="00EB300C"/>
    <w:rsid w:val="00EB36E5"/>
    <w:rsid w:val="00EB52AE"/>
    <w:rsid w:val="00EB5458"/>
    <w:rsid w:val="00EB5538"/>
    <w:rsid w:val="00EB558E"/>
    <w:rsid w:val="00EB564F"/>
    <w:rsid w:val="00EB56A7"/>
    <w:rsid w:val="00EB5E2B"/>
    <w:rsid w:val="00EB5E54"/>
    <w:rsid w:val="00EB5F0C"/>
    <w:rsid w:val="00EB6667"/>
    <w:rsid w:val="00EB6EC4"/>
    <w:rsid w:val="00EB7CA4"/>
    <w:rsid w:val="00EB7DCE"/>
    <w:rsid w:val="00EB7F46"/>
    <w:rsid w:val="00EC05FC"/>
    <w:rsid w:val="00EC08DA"/>
    <w:rsid w:val="00EC101F"/>
    <w:rsid w:val="00EC16AD"/>
    <w:rsid w:val="00EC1A5F"/>
    <w:rsid w:val="00EC1C95"/>
    <w:rsid w:val="00EC1E01"/>
    <w:rsid w:val="00EC1F32"/>
    <w:rsid w:val="00EC2019"/>
    <w:rsid w:val="00EC2200"/>
    <w:rsid w:val="00EC2210"/>
    <w:rsid w:val="00EC2332"/>
    <w:rsid w:val="00EC2AA6"/>
    <w:rsid w:val="00EC2D67"/>
    <w:rsid w:val="00EC2F34"/>
    <w:rsid w:val="00EC2FFA"/>
    <w:rsid w:val="00EC31AE"/>
    <w:rsid w:val="00EC3972"/>
    <w:rsid w:val="00EC3B77"/>
    <w:rsid w:val="00EC3BC4"/>
    <w:rsid w:val="00EC42DD"/>
    <w:rsid w:val="00EC4955"/>
    <w:rsid w:val="00EC4C72"/>
    <w:rsid w:val="00EC4E7D"/>
    <w:rsid w:val="00EC4F59"/>
    <w:rsid w:val="00EC56BA"/>
    <w:rsid w:val="00EC598E"/>
    <w:rsid w:val="00EC5B3C"/>
    <w:rsid w:val="00EC5CC3"/>
    <w:rsid w:val="00EC5CF1"/>
    <w:rsid w:val="00EC601E"/>
    <w:rsid w:val="00EC60B2"/>
    <w:rsid w:val="00EC6193"/>
    <w:rsid w:val="00EC6499"/>
    <w:rsid w:val="00EC66AA"/>
    <w:rsid w:val="00EC6C4D"/>
    <w:rsid w:val="00EC7ADE"/>
    <w:rsid w:val="00ED01A0"/>
    <w:rsid w:val="00ED025D"/>
    <w:rsid w:val="00ED056E"/>
    <w:rsid w:val="00ED08A0"/>
    <w:rsid w:val="00ED15E8"/>
    <w:rsid w:val="00ED1925"/>
    <w:rsid w:val="00ED1A69"/>
    <w:rsid w:val="00ED1E56"/>
    <w:rsid w:val="00ED1F46"/>
    <w:rsid w:val="00ED29C4"/>
    <w:rsid w:val="00ED3234"/>
    <w:rsid w:val="00ED32DA"/>
    <w:rsid w:val="00ED33CF"/>
    <w:rsid w:val="00ED33F2"/>
    <w:rsid w:val="00ED3875"/>
    <w:rsid w:val="00ED4838"/>
    <w:rsid w:val="00ED4AA3"/>
    <w:rsid w:val="00ED4C0F"/>
    <w:rsid w:val="00ED4E1A"/>
    <w:rsid w:val="00ED5108"/>
    <w:rsid w:val="00ED542F"/>
    <w:rsid w:val="00ED5897"/>
    <w:rsid w:val="00ED5BF1"/>
    <w:rsid w:val="00ED6061"/>
    <w:rsid w:val="00ED732C"/>
    <w:rsid w:val="00ED7371"/>
    <w:rsid w:val="00ED74AD"/>
    <w:rsid w:val="00ED74C7"/>
    <w:rsid w:val="00ED75E9"/>
    <w:rsid w:val="00ED7B15"/>
    <w:rsid w:val="00ED7D12"/>
    <w:rsid w:val="00ED7EEA"/>
    <w:rsid w:val="00EE04C6"/>
    <w:rsid w:val="00EE0E1B"/>
    <w:rsid w:val="00EE0F8B"/>
    <w:rsid w:val="00EE11ED"/>
    <w:rsid w:val="00EE1244"/>
    <w:rsid w:val="00EE158B"/>
    <w:rsid w:val="00EE15CA"/>
    <w:rsid w:val="00EE1843"/>
    <w:rsid w:val="00EE1F08"/>
    <w:rsid w:val="00EE2B4C"/>
    <w:rsid w:val="00EE2B57"/>
    <w:rsid w:val="00EE31EB"/>
    <w:rsid w:val="00EE32ED"/>
    <w:rsid w:val="00EE3343"/>
    <w:rsid w:val="00EE3992"/>
    <w:rsid w:val="00EE3B2E"/>
    <w:rsid w:val="00EE43CA"/>
    <w:rsid w:val="00EE4561"/>
    <w:rsid w:val="00EE4571"/>
    <w:rsid w:val="00EE4746"/>
    <w:rsid w:val="00EE4CD0"/>
    <w:rsid w:val="00EE5161"/>
    <w:rsid w:val="00EE51B8"/>
    <w:rsid w:val="00EE523F"/>
    <w:rsid w:val="00EE5919"/>
    <w:rsid w:val="00EE5CEA"/>
    <w:rsid w:val="00EE5D16"/>
    <w:rsid w:val="00EE5D2B"/>
    <w:rsid w:val="00EE6866"/>
    <w:rsid w:val="00EE6F9D"/>
    <w:rsid w:val="00EE708B"/>
    <w:rsid w:val="00EE717F"/>
    <w:rsid w:val="00EE72BA"/>
    <w:rsid w:val="00EE7B68"/>
    <w:rsid w:val="00EE7C02"/>
    <w:rsid w:val="00EF001D"/>
    <w:rsid w:val="00EF090E"/>
    <w:rsid w:val="00EF09A0"/>
    <w:rsid w:val="00EF0C03"/>
    <w:rsid w:val="00EF0E94"/>
    <w:rsid w:val="00EF0FC9"/>
    <w:rsid w:val="00EF1820"/>
    <w:rsid w:val="00EF1AC4"/>
    <w:rsid w:val="00EF1E35"/>
    <w:rsid w:val="00EF20AB"/>
    <w:rsid w:val="00EF224F"/>
    <w:rsid w:val="00EF23A1"/>
    <w:rsid w:val="00EF2911"/>
    <w:rsid w:val="00EF2949"/>
    <w:rsid w:val="00EF2A8E"/>
    <w:rsid w:val="00EF2D98"/>
    <w:rsid w:val="00EF2DDD"/>
    <w:rsid w:val="00EF2FEA"/>
    <w:rsid w:val="00EF31A6"/>
    <w:rsid w:val="00EF35EC"/>
    <w:rsid w:val="00EF3D1F"/>
    <w:rsid w:val="00EF3D3B"/>
    <w:rsid w:val="00EF3FA1"/>
    <w:rsid w:val="00EF402E"/>
    <w:rsid w:val="00EF469C"/>
    <w:rsid w:val="00EF485F"/>
    <w:rsid w:val="00EF4CA0"/>
    <w:rsid w:val="00EF4E58"/>
    <w:rsid w:val="00EF4F66"/>
    <w:rsid w:val="00EF5397"/>
    <w:rsid w:val="00EF56E6"/>
    <w:rsid w:val="00EF5F7E"/>
    <w:rsid w:val="00EF6257"/>
    <w:rsid w:val="00EF64C2"/>
    <w:rsid w:val="00EF64EF"/>
    <w:rsid w:val="00EF65DD"/>
    <w:rsid w:val="00EF68F8"/>
    <w:rsid w:val="00EF6A7D"/>
    <w:rsid w:val="00EF6ACE"/>
    <w:rsid w:val="00EF7221"/>
    <w:rsid w:val="00EF759F"/>
    <w:rsid w:val="00EF760F"/>
    <w:rsid w:val="00EF767D"/>
    <w:rsid w:val="00EF76A1"/>
    <w:rsid w:val="00EF76D5"/>
    <w:rsid w:val="00EF7789"/>
    <w:rsid w:val="00F001E1"/>
    <w:rsid w:val="00F00A05"/>
    <w:rsid w:val="00F00C15"/>
    <w:rsid w:val="00F00CE9"/>
    <w:rsid w:val="00F0171D"/>
    <w:rsid w:val="00F017A8"/>
    <w:rsid w:val="00F01838"/>
    <w:rsid w:val="00F01993"/>
    <w:rsid w:val="00F01C55"/>
    <w:rsid w:val="00F024FA"/>
    <w:rsid w:val="00F025D7"/>
    <w:rsid w:val="00F02701"/>
    <w:rsid w:val="00F027EA"/>
    <w:rsid w:val="00F02818"/>
    <w:rsid w:val="00F03023"/>
    <w:rsid w:val="00F03317"/>
    <w:rsid w:val="00F038F1"/>
    <w:rsid w:val="00F03B55"/>
    <w:rsid w:val="00F03DE9"/>
    <w:rsid w:val="00F03E28"/>
    <w:rsid w:val="00F03EE6"/>
    <w:rsid w:val="00F03F5E"/>
    <w:rsid w:val="00F045FF"/>
    <w:rsid w:val="00F048A6"/>
    <w:rsid w:val="00F0495D"/>
    <w:rsid w:val="00F04A43"/>
    <w:rsid w:val="00F04BBB"/>
    <w:rsid w:val="00F04D82"/>
    <w:rsid w:val="00F04F10"/>
    <w:rsid w:val="00F04F73"/>
    <w:rsid w:val="00F05074"/>
    <w:rsid w:val="00F0511C"/>
    <w:rsid w:val="00F051EE"/>
    <w:rsid w:val="00F05336"/>
    <w:rsid w:val="00F054F3"/>
    <w:rsid w:val="00F05644"/>
    <w:rsid w:val="00F058D2"/>
    <w:rsid w:val="00F05CBB"/>
    <w:rsid w:val="00F05D8E"/>
    <w:rsid w:val="00F060A6"/>
    <w:rsid w:val="00F0621F"/>
    <w:rsid w:val="00F066F4"/>
    <w:rsid w:val="00F06931"/>
    <w:rsid w:val="00F06998"/>
    <w:rsid w:val="00F069DF"/>
    <w:rsid w:val="00F07985"/>
    <w:rsid w:val="00F07FF9"/>
    <w:rsid w:val="00F100E9"/>
    <w:rsid w:val="00F103FF"/>
    <w:rsid w:val="00F10521"/>
    <w:rsid w:val="00F106B9"/>
    <w:rsid w:val="00F109FE"/>
    <w:rsid w:val="00F10E04"/>
    <w:rsid w:val="00F11253"/>
    <w:rsid w:val="00F1156A"/>
    <w:rsid w:val="00F1179D"/>
    <w:rsid w:val="00F11803"/>
    <w:rsid w:val="00F1181F"/>
    <w:rsid w:val="00F11A13"/>
    <w:rsid w:val="00F11F90"/>
    <w:rsid w:val="00F1205D"/>
    <w:rsid w:val="00F122F7"/>
    <w:rsid w:val="00F12A69"/>
    <w:rsid w:val="00F12BE4"/>
    <w:rsid w:val="00F12DFB"/>
    <w:rsid w:val="00F12EA8"/>
    <w:rsid w:val="00F13017"/>
    <w:rsid w:val="00F130F4"/>
    <w:rsid w:val="00F1335D"/>
    <w:rsid w:val="00F13905"/>
    <w:rsid w:val="00F13D09"/>
    <w:rsid w:val="00F13FD3"/>
    <w:rsid w:val="00F1400C"/>
    <w:rsid w:val="00F14052"/>
    <w:rsid w:val="00F144E3"/>
    <w:rsid w:val="00F14E72"/>
    <w:rsid w:val="00F1565B"/>
    <w:rsid w:val="00F158E1"/>
    <w:rsid w:val="00F15E22"/>
    <w:rsid w:val="00F166D4"/>
    <w:rsid w:val="00F166DF"/>
    <w:rsid w:val="00F16805"/>
    <w:rsid w:val="00F175D1"/>
    <w:rsid w:val="00F17679"/>
    <w:rsid w:val="00F17CEB"/>
    <w:rsid w:val="00F17F65"/>
    <w:rsid w:val="00F202D2"/>
    <w:rsid w:val="00F2102F"/>
    <w:rsid w:val="00F21719"/>
    <w:rsid w:val="00F21AD2"/>
    <w:rsid w:val="00F21E0B"/>
    <w:rsid w:val="00F22060"/>
    <w:rsid w:val="00F22158"/>
    <w:rsid w:val="00F22448"/>
    <w:rsid w:val="00F22D31"/>
    <w:rsid w:val="00F2385C"/>
    <w:rsid w:val="00F23DAE"/>
    <w:rsid w:val="00F23F6E"/>
    <w:rsid w:val="00F247FE"/>
    <w:rsid w:val="00F2482E"/>
    <w:rsid w:val="00F24EC4"/>
    <w:rsid w:val="00F25366"/>
    <w:rsid w:val="00F25416"/>
    <w:rsid w:val="00F25568"/>
    <w:rsid w:val="00F2626B"/>
    <w:rsid w:val="00F26BDB"/>
    <w:rsid w:val="00F26F61"/>
    <w:rsid w:val="00F27593"/>
    <w:rsid w:val="00F276AF"/>
    <w:rsid w:val="00F276D8"/>
    <w:rsid w:val="00F27734"/>
    <w:rsid w:val="00F27928"/>
    <w:rsid w:val="00F27E8F"/>
    <w:rsid w:val="00F27F79"/>
    <w:rsid w:val="00F303D8"/>
    <w:rsid w:val="00F30447"/>
    <w:rsid w:val="00F305ED"/>
    <w:rsid w:val="00F30798"/>
    <w:rsid w:val="00F307F0"/>
    <w:rsid w:val="00F30879"/>
    <w:rsid w:val="00F30A54"/>
    <w:rsid w:val="00F30BAC"/>
    <w:rsid w:val="00F31379"/>
    <w:rsid w:val="00F3156D"/>
    <w:rsid w:val="00F31708"/>
    <w:rsid w:val="00F32107"/>
    <w:rsid w:val="00F3228E"/>
    <w:rsid w:val="00F32330"/>
    <w:rsid w:val="00F3272C"/>
    <w:rsid w:val="00F329C2"/>
    <w:rsid w:val="00F32A2F"/>
    <w:rsid w:val="00F32ACB"/>
    <w:rsid w:val="00F33590"/>
    <w:rsid w:val="00F3371A"/>
    <w:rsid w:val="00F33BA1"/>
    <w:rsid w:val="00F3409B"/>
    <w:rsid w:val="00F342C1"/>
    <w:rsid w:val="00F34671"/>
    <w:rsid w:val="00F34B39"/>
    <w:rsid w:val="00F35040"/>
    <w:rsid w:val="00F35172"/>
    <w:rsid w:val="00F3528F"/>
    <w:rsid w:val="00F35E9C"/>
    <w:rsid w:val="00F36091"/>
    <w:rsid w:val="00F360FA"/>
    <w:rsid w:val="00F36727"/>
    <w:rsid w:val="00F36863"/>
    <w:rsid w:val="00F36A25"/>
    <w:rsid w:val="00F36C8A"/>
    <w:rsid w:val="00F36F75"/>
    <w:rsid w:val="00F37C04"/>
    <w:rsid w:val="00F37FCB"/>
    <w:rsid w:val="00F4002B"/>
    <w:rsid w:val="00F400B4"/>
    <w:rsid w:val="00F401BD"/>
    <w:rsid w:val="00F405CC"/>
    <w:rsid w:val="00F40919"/>
    <w:rsid w:val="00F40E18"/>
    <w:rsid w:val="00F4116C"/>
    <w:rsid w:val="00F4125E"/>
    <w:rsid w:val="00F41573"/>
    <w:rsid w:val="00F41653"/>
    <w:rsid w:val="00F418D0"/>
    <w:rsid w:val="00F41D54"/>
    <w:rsid w:val="00F41F6B"/>
    <w:rsid w:val="00F420D7"/>
    <w:rsid w:val="00F421FF"/>
    <w:rsid w:val="00F42293"/>
    <w:rsid w:val="00F423C3"/>
    <w:rsid w:val="00F423F1"/>
    <w:rsid w:val="00F42A61"/>
    <w:rsid w:val="00F42D54"/>
    <w:rsid w:val="00F436A6"/>
    <w:rsid w:val="00F436D4"/>
    <w:rsid w:val="00F436D5"/>
    <w:rsid w:val="00F438F8"/>
    <w:rsid w:val="00F43936"/>
    <w:rsid w:val="00F43CF2"/>
    <w:rsid w:val="00F43E38"/>
    <w:rsid w:val="00F445BC"/>
    <w:rsid w:val="00F44DDE"/>
    <w:rsid w:val="00F4542A"/>
    <w:rsid w:val="00F455C7"/>
    <w:rsid w:val="00F45A0A"/>
    <w:rsid w:val="00F45ACC"/>
    <w:rsid w:val="00F45C7D"/>
    <w:rsid w:val="00F461ED"/>
    <w:rsid w:val="00F46434"/>
    <w:rsid w:val="00F468E2"/>
    <w:rsid w:val="00F46A2A"/>
    <w:rsid w:val="00F46C7A"/>
    <w:rsid w:val="00F46FF0"/>
    <w:rsid w:val="00F4708B"/>
    <w:rsid w:val="00F47656"/>
    <w:rsid w:val="00F4795D"/>
    <w:rsid w:val="00F47AE2"/>
    <w:rsid w:val="00F47EE5"/>
    <w:rsid w:val="00F47F3F"/>
    <w:rsid w:val="00F50128"/>
    <w:rsid w:val="00F506C7"/>
    <w:rsid w:val="00F5099B"/>
    <w:rsid w:val="00F50B0A"/>
    <w:rsid w:val="00F5100C"/>
    <w:rsid w:val="00F514C0"/>
    <w:rsid w:val="00F5194C"/>
    <w:rsid w:val="00F51BF2"/>
    <w:rsid w:val="00F52203"/>
    <w:rsid w:val="00F5227D"/>
    <w:rsid w:val="00F52390"/>
    <w:rsid w:val="00F523EA"/>
    <w:rsid w:val="00F52805"/>
    <w:rsid w:val="00F533D8"/>
    <w:rsid w:val="00F5417F"/>
    <w:rsid w:val="00F54449"/>
    <w:rsid w:val="00F54878"/>
    <w:rsid w:val="00F54A62"/>
    <w:rsid w:val="00F54F27"/>
    <w:rsid w:val="00F5523E"/>
    <w:rsid w:val="00F552BC"/>
    <w:rsid w:val="00F5555F"/>
    <w:rsid w:val="00F557A9"/>
    <w:rsid w:val="00F55D18"/>
    <w:rsid w:val="00F55E98"/>
    <w:rsid w:val="00F56091"/>
    <w:rsid w:val="00F561FF"/>
    <w:rsid w:val="00F56388"/>
    <w:rsid w:val="00F56602"/>
    <w:rsid w:val="00F566AE"/>
    <w:rsid w:val="00F567B1"/>
    <w:rsid w:val="00F569D7"/>
    <w:rsid w:val="00F56F63"/>
    <w:rsid w:val="00F56FFB"/>
    <w:rsid w:val="00F5719B"/>
    <w:rsid w:val="00F57387"/>
    <w:rsid w:val="00F57692"/>
    <w:rsid w:val="00F601A5"/>
    <w:rsid w:val="00F60273"/>
    <w:rsid w:val="00F6098F"/>
    <w:rsid w:val="00F60A91"/>
    <w:rsid w:val="00F60F5E"/>
    <w:rsid w:val="00F610BB"/>
    <w:rsid w:val="00F612DD"/>
    <w:rsid w:val="00F61E89"/>
    <w:rsid w:val="00F61FAE"/>
    <w:rsid w:val="00F620CF"/>
    <w:rsid w:val="00F621EE"/>
    <w:rsid w:val="00F6274F"/>
    <w:rsid w:val="00F62C1A"/>
    <w:rsid w:val="00F63472"/>
    <w:rsid w:val="00F6387A"/>
    <w:rsid w:val="00F63CBC"/>
    <w:rsid w:val="00F63D0D"/>
    <w:rsid w:val="00F64959"/>
    <w:rsid w:val="00F64DFD"/>
    <w:rsid w:val="00F65283"/>
    <w:rsid w:val="00F65B35"/>
    <w:rsid w:val="00F65B88"/>
    <w:rsid w:val="00F65C0C"/>
    <w:rsid w:val="00F65F03"/>
    <w:rsid w:val="00F66477"/>
    <w:rsid w:val="00F664C8"/>
    <w:rsid w:val="00F66E45"/>
    <w:rsid w:val="00F6709B"/>
    <w:rsid w:val="00F67128"/>
    <w:rsid w:val="00F67BB5"/>
    <w:rsid w:val="00F67E9C"/>
    <w:rsid w:val="00F6CC1F"/>
    <w:rsid w:val="00F709C2"/>
    <w:rsid w:val="00F70DBF"/>
    <w:rsid w:val="00F7146D"/>
    <w:rsid w:val="00F71711"/>
    <w:rsid w:val="00F71712"/>
    <w:rsid w:val="00F71A4F"/>
    <w:rsid w:val="00F71A93"/>
    <w:rsid w:val="00F71CBD"/>
    <w:rsid w:val="00F7240F"/>
    <w:rsid w:val="00F72503"/>
    <w:rsid w:val="00F72C60"/>
    <w:rsid w:val="00F72D6D"/>
    <w:rsid w:val="00F72FB9"/>
    <w:rsid w:val="00F72FBC"/>
    <w:rsid w:val="00F736A0"/>
    <w:rsid w:val="00F739C2"/>
    <w:rsid w:val="00F73B25"/>
    <w:rsid w:val="00F74303"/>
    <w:rsid w:val="00F74307"/>
    <w:rsid w:val="00F74860"/>
    <w:rsid w:val="00F74A97"/>
    <w:rsid w:val="00F75485"/>
    <w:rsid w:val="00F755E4"/>
    <w:rsid w:val="00F757B0"/>
    <w:rsid w:val="00F75C63"/>
    <w:rsid w:val="00F75C6D"/>
    <w:rsid w:val="00F75C8A"/>
    <w:rsid w:val="00F75C9A"/>
    <w:rsid w:val="00F766F3"/>
    <w:rsid w:val="00F76780"/>
    <w:rsid w:val="00F77434"/>
    <w:rsid w:val="00F8010E"/>
    <w:rsid w:val="00F802B1"/>
    <w:rsid w:val="00F8032E"/>
    <w:rsid w:val="00F80728"/>
    <w:rsid w:val="00F80791"/>
    <w:rsid w:val="00F80E11"/>
    <w:rsid w:val="00F81838"/>
    <w:rsid w:val="00F82071"/>
    <w:rsid w:val="00F822C6"/>
    <w:rsid w:val="00F82967"/>
    <w:rsid w:val="00F82E32"/>
    <w:rsid w:val="00F83D02"/>
    <w:rsid w:val="00F83E4B"/>
    <w:rsid w:val="00F83EDC"/>
    <w:rsid w:val="00F8482C"/>
    <w:rsid w:val="00F8529E"/>
    <w:rsid w:val="00F854F8"/>
    <w:rsid w:val="00F85687"/>
    <w:rsid w:val="00F856D4"/>
    <w:rsid w:val="00F85796"/>
    <w:rsid w:val="00F86035"/>
    <w:rsid w:val="00F8651D"/>
    <w:rsid w:val="00F8668F"/>
    <w:rsid w:val="00F86E44"/>
    <w:rsid w:val="00F86F96"/>
    <w:rsid w:val="00F8714D"/>
    <w:rsid w:val="00F87363"/>
    <w:rsid w:val="00F87522"/>
    <w:rsid w:val="00F87857"/>
    <w:rsid w:val="00F87AAF"/>
    <w:rsid w:val="00F87D12"/>
    <w:rsid w:val="00F87FE0"/>
    <w:rsid w:val="00F88AFF"/>
    <w:rsid w:val="00F90135"/>
    <w:rsid w:val="00F902B6"/>
    <w:rsid w:val="00F90475"/>
    <w:rsid w:val="00F90629"/>
    <w:rsid w:val="00F9075B"/>
    <w:rsid w:val="00F90891"/>
    <w:rsid w:val="00F90ADB"/>
    <w:rsid w:val="00F90D12"/>
    <w:rsid w:val="00F90E97"/>
    <w:rsid w:val="00F912FC"/>
    <w:rsid w:val="00F91AE2"/>
    <w:rsid w:val="00F91B37"/>
    <w:rsid w:val="00F91FE0"/>
    <w:rsid w:val="00F92499"/>
    <w:rsid w:val="00F927A2"/>
    <w:rsid w:val="00F92B13"/>
    <w:rsid w:val="00F92C55"/>
    <w:rsid w:val="00F93683"/>
    <w:rsid w:val="00F93BF8"/>
    <w:rsid w:val="00F93CD0"/>
    <w:rsid w:val="00F93EEA"/>
    <w:rsid w:val="00F94766"/>
    <w:rsid w:val="00F94C31"/>
    <w:rsid w:val="00F951B2"/>
    <w:rsid w:val="00F956C6"/>
    <w:rsid w:val="00F956D3"/>
    <w:rsid w:val="00F9574F"/>
    <w:rsid w:val="00F95762"/>
    <w:rsid w:val="00F9576F"/>
    <w:rsid w:val="00F9598B"/>
    <w:rsid w:val="00F95A9C"/>
    <w:rsid w:val="00F95C8E"/>
    <w:rsid w:val="00F95D03"/>
    <w:rsid w:val="00F95FC0"/>
    <w:rsid w:val="00F96041"/>
    <w:rsid w:val="00F9608F"/>
    <w:rsid w:val="00F9614A"/>
    <w:rsid w:val="00F9626A"/>
    <w:rsid w:val="00F966A8"/>
    <w:rsid w:val="00F96AB7"/>
    <w:rsid w:val="00F96AEF"/>
    <w:rsid w:val="00F96C43"/>
    <w:rsid w:val="00F96E56"/>
    <w:rsid w:val="00F97448"/>
    <w:rsid w:val="00F975FC"/>
    <w:rsid w:val="00F976FD"/>
    <w:rsid w:val="00F97BCB"/>
    <w:rsid w:val="00F97C91"/>
    <w:rsid w:val="00FA03E4"/>
    <w:rsid w:val="00FA0A58"/>
    <w:rsid w:val="00FA0C97"/>
    <w:rsid w:val="00FA1330"/>
    <w:rsid w:val="00FA1389"/>
    <w:rsid w:val="00FA160D"/>
    <w:rsid w:val="00FA170E"/>
    <w:rsid w:val="00FA197D"/>
    <w:rsid w:val="00FA1EAB"/>
    <w:rsid w:val="00FA2564"/>
    <w:rsid w:val="00FA267B"/>
    <w:rsid w:val="00FA2876"/>
    <w:rsid w:val="00FA2B97"/>
    <w:rsid w:val="00FA2CFA"/>
    <w:rsid w:val="00FA3366"/>
    <w:rsid w:val="00FA3394"/>
    <w:rsid w:val="00FA3439"/>
    <w:rsid w:val="00FA3460"/>
    <w:rsid w:val="00FA352B"/>
    <w:rsid w:val="00FA36FF"/>
    <w:rsid w:val="00FA378F"/>
    <w:rsid w:val="00FA37E1"/>
    <w:rsid w:val="00FA3A23"/>
    <w:rsid w:val="00FA3B99"/>
    <w:rsid w:val="00FA3CDC"/>
    <w:rsid w:val="00FA3EBA"/>
    <w:rsid w:val="00FA410E"/>
    <w:rsid w:val="00FA42C9"/>
    <w:rsid w:val="00FA480C"/>
    <w:rsid w:val="00FA4866"/>
    <w:rsid w:val="00FA490B"/>
    <w:rsid w:val="00FA5B29"/>
    <w:rsid w:val="00FA5C33"/>
    <w:rsid w:val="00FA6124"/>
    <w:rsid w:val="00FA61F9"/>
    <w:rsid w:val="00FA631D"/>
    <w:rsid w:val="00FA6419"/>
    <w:rsid w:val="00FA64A2"/>
    <w:rsid w:val="00FA651D"/>
    <w:rsid w:val="00FA6AF9"/>
    <w:rsid w:val="00FA6EBF"/>
    <w:rsid w:val="00FA6EF5"/>
    <w:rsid w:val="00FA7303"/>
    <w:rsid w:val="00FA73E3"/>
    <w:rsid w:val="00FA744A"/>
    <w:rsid w:val="00FA76ED"/>
    <w:rsid w:val="00FA7914"/>
    <w:rsid w:val="00FA7FBA"/>
    <w:rsid w:val="00FB00D8"/>
    <w:rsid w:val="00FB0471"/>
    <w:rsid w:val="00FB07A2"/>
    <w:rsid w:val="00FB094C"/>
    <w:rsid w:val="00FB0AB1"/>
    <w:rsid w:val="00FB0E4F"/>
    <w:rsid w:val="00FB16F7"/>
    <w:rsid w:val="00FB1875"/>
    <w:rsid w:val="00FB1F11"/>
    <w:rsid w:val="00FB2056"/>
    <w:rsid w:val="00FB225F"/>
    <w:rsid w:val="00FB2DC1"/>
    <w:rsid w:val="00FB3295"/>
    <w:rsid w:val="00FB3F76"/>
    <w:rsid w:val="00FB41C4"/>
    <w:rsid w:val="00FB483F"/>
    <w:rsid w:val="00FB5357"/>
    <w:rsid w:val="00FB55D1"/>
    <w:rsid w:val="00FB57B1"/>
    <w:rsid w:val="00FB5BA1"/>
    <w:rsid w:val="00FB5F5B"/>
    <w:rsid w:val="00FB62BA"/>
    <w:rsid w:val="00FB62C2"/>
    <w:rsid w:val="00FB6943"/>
    <w:rsid w:val="00FB6CA9"/>
    <w:rsid w:val="00FB72AB"/>
    <w:rsid w:val="00FC001D"/>
    <w:rsid w:val="00FC0687"/>
    <w:rsid w:val="00FC0C73"/>
    <w:rsid w:val="00FC0CA9"/>
    <w:rsid w:val="00FC0EDD"/>
    <w:rsid w:val="00FC1481"/>
    <w:rsid w:val="00FC14BB"/>
    <w:rsid w:val="00FC1DE0"/>
    <w:rsid w:val="00FC1E43"/>
    <w:rsid w:val="00FC1E57"/>
    <w:rsid w:val="00FC1F6A"/>
    <w:rsid w:val="00FC205D"/>
    <w:rsid w:val="00FC2075"/>
    <w:rsid w:val="00FC20CF"/>
    <w:rsid w:val="00FC22CC"/>
    <w:rsid w:val="00FC24D2"/>
    <w:rsid w:val="00FC28EB"/>
    <w:rsid w:val="00FC2AFC"/>
    <w:rsid w:val="00FC3D29"/>
    <w:rsid w:val="00FC3D7B"/>
    <w:rsid w:val="00FC3E84"/>
    <w:rsid w:val="00FC40C4"/>
    <w:rsid w:val="00FC4195"/>
    <w:rsid w:val="00FC438A"/>
    <w:rsid w:val="00FC4772"/>
    <w:rsid w:val="00FC479C"/>
    <w:rsid w:val="00FC4A30"/>
    <w:rsid w:val="00FC4BCA"/>
    <w:rsid w:val="00FC4CD4"/>
    <w:rsid w:val="00FC5277"/>
    <w:rsid w:val="00FC5470"/>
    <w:rsid w:val="00FC56E5"/>
    <w:rsid w:val="00FC621C"/>
    <w:rsid w:val="00FC6892"/>
    <w:rsid w:val="00FC68CF"/>
    <w:rsid w:val="00FC6A0D"/>
    <w:rsid w:val="00FC6A14"/>
    <w:rsid w:val="00FC6BA5"/>
    <w:rsid w:val="00FC6BEF"/>
    <w:rsid w:val="00FC7113"/>
    <w:rsid w:val="00FC713D"/>
    <w:rsid w:val="00FC74D0"/>
    <w:rsid w:val="00FC7691"/>
    <w:rsid w:val="00FC7858"/>
    <w:rsid w:val="00FC7C8B"/>
    <w:rsid w:val="00FC7CA5"/>
    <w:rsid w:val="00FC7D52"/>
    <w:rsid w:val="00FC7E04"/>
    <w:rsid w:val="00FD0B38"/>
    <w:rsid w:val="00FD0CF4"/>
    <w:rsid w:val="00FD0DBE"/>
    <w:rsid w:val="00FD1142"/>
    <w:rsid w:val="00FD129D"/>
    <w:rsid w:val="00FD12CE"/>
    <w:rsid w:val="00FD1AE1"/>
    <w:rsid w:val="00FD1BC3"/>
    <w:rsid w:val="00FD1C91"/>
    <w:rsid w:val="00FD2122"/>
    <w:rsid w:val="00FD2153"/>
    <w:rsid w:val="00FD259A"/>
    <w:rsid w:val="00FD27CF"/>
    <w:rsid w:val="00FD280B"/>
    <w:rsid w:val="00FD2B07"/>
    <w:rsid w:val="00FD2B30"/>
    <w:rsid w:val="00FD2E57"/>
    <w:rsid w:val="00FD3505"/>
    <w:rsid w:val="00FD37DE"/>
    <w:rsid w:val="00FD38CF"/>
    <w:rsid w:val="00FD40A6"/>
    <w:rsid w:val="00FD4369"/>
    <w:rsid w:val="00FD47DC"/>
    <w:rsid w:val="00FD4886"/>
    <w:rsid w:val="00FD5178"/>
    <w:rsid w:val="00FD5673"/>
    <w:rsid w:val="00FD6A25"/>
    <w:rsid w:val="00FD6A35"/>
    <w:rsid w:val="00FD7134"/>
    <w:rsid w:val="00FD7250"/>
    <w:rsid w:val="00FD73C4"/>
    <w:rsid w:val="00FD7902"/>
    <w:rsid w:val="00FD7A00"/>
    <w:rsid w:val="00FD7F85"/>
    <w:rsid w:val="00FDD732"/>
    <w:rsid w:val="00FE0716"/>
    <w:rsid w:val="00FE0E06"/>
    <w:rsid w:val="00FE112B"/>
    <w:rsid w:val="00FE125E"/>
    <w:rsid w:val="00FE1B52"/>
    <w:rsid w:val="00FE1C38"/>
    <w:rsid w:val="00FE20AE"/>
    <w:rsid w:val="00FE2390"/>
    <w:rsid w:val="00FE247A"/>
    <w:rsid w:val="00FE2518"/>
    <w:rsid w:val="00FE2A17"/>
    <w:rsid w:val="00FE2CE1"/>
    <w:rsid w:val="00FE2F1C"/>
    <w:rsid w:val="00FE351B"/>
    <w:rsid w:val="00FE36C9"/>
    <w:rsid w:val="00FE3FD1"/>
    <w:rsid w:val="00FE3FDF"/>
    <w:rsid w:val="00FE41AB"/>
    <w:rsid w:val="00FE480E"/>
    <w:rsid w:val="00FE5000"/>
    <w:rsid w:val="00FE5337"/>
    <w:rsid w:val="00FE538F"/>
    <w:rsid w:val="00FE5419"/>
    <w:rsid w:val="00FE54B2"/>
    <w:rsid w:val="00FE5599"/>
    <w:rsid w:val="00FE5600"/>
    <w:rsid w:val="00FE5617"/>
    <w:rsid w:val="00FE63C5"/>
    <w:rsid w:val="00FE6560"/>
    <w:rsid w:val="00FE66DD"/>
    <w:rsid w:val="00FE6C8A"/>
    <w:rsid w:val="00FE6D6F"/>
    <w:rsid w:val="00FE7511"/>
    <w:rsid w:val="00FE7D7F"/>
    <w:rsid w:val="00FF05FD"/>
    <w:rsid w:val="00FF0BCF"/>
    <w:rsid w:val="00FF0C63"/>
    <w:rsid w:val="00FF13BB"/>
    <w:rsid w:val="00FF16A3"/>
    <w:rsid w:val="00FF197E"/>
    <w:rsid w:val="00FF1A8C"/>
    <w:rsid w:val="00FF1DF4"/>
    <w:rsid w:val="00FF2E18"/>
    <w:rsid w:val="00FF3367"/>
    <w:rsid w:val="00FF39FD"/>
    <w:rsid w:val="00FF3DFD"/>
    <w:rsid w:val="00FF3EA5"/>
    <w:rsid w:val="00FF3F66"/>
    <w:rsid w:val="00FF4064"/>
    <w:rsid w:val="00FF48CF"/>
    <w:rsid w:val="00FF4A7C"/>
    <w:rsid w:val="00FF509D"/>
    <w:rsid w:val="00FF52D4"/>
    <w:rsid w:val="00FF54E8"/>
    <w:rsid w:val="00FF5651"/>
    <w:rsid w:val="00FF5A25"/>
    <w:rsid w:val="00FF5EAC"/>
    <w:rsid w:val="00FF6448"/>
    <w:rsid w:val="00FF6495"/>
    <w:rsid w:val="00FF667E"/>
    <w:rsid w:val="00FF6935"/>
    <w:rsid w:val="00FF6D54"/>
    <w:rsid w:val="00FF6DD7"/>
    <w:rsid w:val="00FF6EE9"/>
    <w:rsid w:val="00FF7050"/>
    <w:rsid w:val="00FF727C"/>
    <w:rsid w:val="00FF7312"/>
    <w:rsid w:val="00FF7470"/>
    <w:rsid w:val="00FF7A69"/>
    <w:rsid w:val="00FF7B7A"/>
    <w:rsid w:val="00FF7D48"/>
    <w:rsid w:val="00FF7D92"/>
    <w:rsid w:val="01044180"/>
    <w:rsid w:val="01054C81"/>
    <w:rsid w:val="010EB326"/>
    <w:rsid w:val="0110E8DF"/>
    <w:rsid w:val="01172AE6"/>
    <w:rsid w:val="011C296A"/>
    <w:rsid w:val="013F0BD0"/>
    <w:rsid w:val="0155FBCB"/>
    <w:rsid w:val="0179B871"/>
    <w:rsid w:val="017AADB5"/>
    <w:rsid w:val="017F8326"/>
    <w:rsid w:val="019010F7"/>
    <w:rsid w:val="01942B09"/>
    <w:rsid w:val="01972040"/>
    <w:rsid w:val="019DC286"/>
    <w:rsid w:val="01A10325"/>
    <w:rsid w:val="01B416E2"/>
    <w:rsid w:val="01B426CD"/>
    <w:rsid w:val="01C0E10B"/>
    <w:rsid w:val="01D885EB"/>
    <w:rsid w:val="01E27A3B"/>
    <w:rsid w:val="01E693E2"/>
    <w:rsid w:val="01FABD90"/>
    <w:rsid w:val="0200C317"/>
    <w:rsid w:val="0202B5D0"/>
    <w:rsid w:val="021665FC"/>
    <w:rsid w:val="02171D7B"/>
    <w:rsid w:val="02193DAE"/>
    <w:rsid w:val="021EA9EE"/>
    <w:rsid w:val="02209E58"/>
    <w:rsid w:val="022AEDC6"/>
    <w:rsid w:val="0231B554"/>
    <w:rsid w:val="023A8F97"/>
    <w:rsid w:val="0249F9B4"/>
    <w:rsid w:val="024E60DD"/>
    <w:rsid w:val="02505E44"/>
    <w:rsid w:val="025888E7"/>
    <w:rsid w:val="02592096"/>
    <w:rsid w:val="025C85B6"/>
    <w:rsid w:val="026A3AC3"/>
    <w:rsid w:val="0274AB84"/>
    <w:rsid w:val="0284E807"/>
    <w:rsid w:val="0286F70D"/>
    <w:rsid w:val="02AAE29A"/>
    <w:rsid w:val="02C676D1"/>
    <w:rsid w:val="02D136FC"/>
    <w:rsid w:val="02EE2D0C"/>
    <w:rsid w:val="02EF9762"/>
    <w:rsid w:val="030E19CC"/>
    <w:rsid w:val="030F919A"/>
    <w:rsid w:val="031BA221"/>
    <w:rsid w:val="03280790"/>
    <w:rsid w:val="03393E25"/>
    <w:rsid w:val="033B2351"/>
    <w:rsid w:val="03423002"/>
    <w:rsid w:val="0355CEF3"/>
    <w:rsid w:val="0369DD65"/>
    <w:rsid w:val="036E9574"/>
    <w:rsid w:val="0375DFE2"/>
    <w:rsid w:val="03828298"/>
    <w:rsid w:val="0386D9F5"/>
    <w:rsid w:val="03AB7B26"/>
    <w:rsid w:val="03B6ADD7"/>
    <w:rsid w:val="03C1DF41"/>
    <w:rsid w:val="03C6DA68"/>
    <w:rsid w:val="03CE2EDF"/>
    <w:rsid w:val="03D0AD42"/>
    <w:rsid w:val="03D48FEC"/>
    <w:rsid w:val="03E56B3E"/>
    <w:rsid w:val="03E6B23A"/>
    <w:rsid w:val="03ECC197"/>
    <w:rsid w:val="0403D77C"/>
    <w:rsid w:val="040842F6"/>
    <w:rsid w:val="040C9EC9"/>
    <w:rsid w:val="0413552A"/>
    <w:rsid w:val="0436EC1C"/>
    <w:rsid w:val="0437B597"/>
    <w:rsid w:val="043FC64E"/>
    <w:rsid w:val="044579AC"/>
    <w:rsid w:val="04509362"/>
    <w:rsid w:val="0455D23C"/>
    <w:rsid w:val="046956C3"/>
    <w:rsid w:val="048558A8"/>
    <w:rsid w:val="04862E10"/>
    <w:rsid w:val="04B770A1"/>
    <w:rsid w:val="04E0E9A6"/>
    <w:rsid w:val="04E5CCC4"/>
    <w:rsid w:val="04F9B096"/>
    <w:rsid w:val="050FFDC4"/>
    <w:rsid w:val="05128C87"/>
    <w:rsid w:val="051F4856"/>
    <w:rsid w:val="05614A1D"/>
    <w:rsid w:val="0571BF23"/>
    <w:rsid w:val="05766D78"/>
    <w:rsid w:val="05798B22"/>
    <w:rsid w:val="0584474D"/>
    <w:rsid w:val="058613B1"/>
    <w:rsid w:val="0589BD15"/>
    <w:rsid w:val="058EBE3C"/>
    <w:rsid w:val="05939D62"/>
    <w:rsid w:val="059F8784"/>
    <w:rsid w:val="05AEAFF9"/>
    <w:rsid w:val="05B44B08"/>
    <w:rsid w:val="05D62ACA"/>
    <w:rsid w:val="05DF9B5E"/>
    <w:rsid w:val="05F851B9"/>
    <w:rsid w:val="06085328"/>
    <w:rsid w:val="060B8307"/>
    <w:rsid w:val="061C9E91"/>
    <w:rsid w:val="062C310B"/>
    <w:rsid w:val="062FB7D2"/>
    <w:rsid w:val="0634BA35"/>
    <w:rsid w:val="06369477"/>
    <w:rsid w:val="063DBABD"/>
    <w:rsid w:val="063FEFFD"/>
    <w:rsid w:val="064236FC"/>
    <w:rsid w:val="0643FB10"/>
    <w:rsid w:val="06525304"/>
    <w:rsid w:val="066F8614"/>
    <w:rsid w:val="06885F88"/>
    <w:rsid w:val="068D280F"/>
    <w:rsid w:val="06A7034E"/>
    <w:rsid w:val="06B7274B"/>
    <w:rsid w:val="06BE4EC1"/>
    <w:rsid w:val="06C09874"/>
    <w:rsid w:val="06C20037"/>
    <w:rsid w:val="06DFB708"/>
    <w:rsid w:val="06E06C8B"/>
    <w:rsid w:val="06E6FEB4"/>
    <w:rsid w:val="06EE8BDC"/>
    <w:rsid w:val="06EFB666"/>
    <w:rsid w:val="06F3D08B"/>
    <w:rsid w:val="06F4B5F8"/>
    <w:rsid w:val="06FDAF36"/>
    <w:rsid w:val="07190F03"/>
    <w:rsid w:val="071F5C43"/>
    <w:rsid w:val="072AB0F1"/>
    <w:rsid w:val="073F1485"/>
    <w:rsid w:val="0740E361"/>
    <w:rsid w:val="07672CDE"/>
    <w:rsid w:val="07778039"/>
    <w:rsid w:val="078635CF"/>
    <w:rsid w:val="079E7436"/>
    <w:rsid w:val="07B3F383"/>
    <w:rsid w:val="07B79551"/>
    <w:rsid w:val="07EE28DD"/>
    <w:rsid w:val="07F63F67"/>
    <w:rsid w:val="07FBA358"/>
    <w:rsid w:val="0806BF1D"/>
    <w:rsid w:val="0809C247"/>
    <w:rsid w:val="0812DAC1"/>
    <w:rsid w:val="08135CFD"/>
    <w:rsid w:val="08174119"/>
    <w:rsid w:val="0819C314"/>
    <w:rsid w:val="081CD42C"/>
    <w:rsid w:val="0822B6F8"/>
    <w:rsid w:val="0836CEDE"/>
    <w:rsid w:val="08566D5B"/>
    <w:rsid w:val="086137ED"/>
    <w:rsid w:val="0863F35C"/>
    <w:rsid w:val="0873205A"/>
    <w:rsid w:val="087B0CBF"/>
    <w:rsid w:val="08818C4E"/>
    <w:rsid w:val="08A4BAF7"/>
    <w:rsid w:val="08A62390"/>
    <w:rsid w:val="08B74B07"/>
    <w:rsid w:val="08C25469"/>
    <w:rsid w:val="08C75E8B"/>
    <w:rsid w:val="08E8BEAE"/>
    <w:rsid w:val="08FD42AF"/>
    <w:rsid w:val="091BD5E0"/>
    <w:rsid w:val="09220596"/>
    <w:rsid w:val="09230019"/>
    <w:rsid w:val="092CF122"/>
    <w:rsid w:val="092E9F40"/>
    <w:rsid w:val="09391354"/>
    <w:rsid w:val="093C1E29"/>
    <w:rsid w:val="0945C67F"/>
    <w:rsid w:val="09570E15"/>
    <w:rsid w:val="095824CF"/>
    <w:rsid w:val="096084F3"/>
    <w:rsid w:val="0969372B"/>
    <w:rsid w:val="09696C2D"/>
    <w:rsid w:val="0973A2FC"/>
    <w:rsid w:val="09822708"/>
    <w:rsid w:val="09849F8C"/>
    <w:rsid w:val="0998036F"/>
    <w:rsid w:val="09A148C8"/>
    <w:rsid w:val="09A3CB6B"/>
    <w:rsid w:val="09AA8F6E"/>
    <w:rsid w:val="09AC4FAE"/>
    <w:rsid w:val="09B63E03"/>
    <w:rsid w:val="09BBD4CF"/>
    <w:rsid w:val="09C06C86"/>
    <w:rsid w:val="09C07BA0"/>
    <w:rsid w:val="09C67499"/>
    <w:rsid w:val="09D795B0"/>
    <w:rsid w:val="09E4EF30"/>
    <w:rsid w:val="09E7F372"/>
    <w:rsid w:val="09F83F24"/>
    <w:rsid w:val="0A06288D"/>
    <w:rsid w:val="0A0E643B"/>
    <w:rsid w:val="0A185072"/>
    <w:rsid w:val="0A25CE9C"/>
    <w:rsid w:val="0A3494F0"/>
    <w:rsid w:val="0A34E4F5"/>
    <w:rsid w:val="0A4C2E7B"/>
    <w:rsid w:val="0A4D4049"/>
    <w:rsid w:val="0A51F298"/>
    <w:rsid w:val="0A6B2426"/>
    <w:rsid w:val="0A6F3B75"/>
    <w:rsid w:val="0A824F7F"/>
    <w:rsid w:val="0A87C58D"/>
    <w:rsid w:val="0A965E2E"/>
    <w:rsid w:val="0AAC557E"/>
    <w:rsid w:val="0AC481DD"/>
    <w:rsid w:val="0ACB2BC0"/>
    <w:rsid w:val="0ACD201A"/>
    <w:rsid w:val="0AD84CE1"/>
    <w:rsid w:val="0AEF117E"/>
    <w:rsid w:val="0AF53466"/>
    <w:rsid w:val="0B14F94F"/>
    <w:rsid w:val="0B1CA505"/>
    <w:rsid w:val="0B2B9460"/>
    <w:rsid w:val="0B452C3B"/>
    <w:rsid w:val="0B61043A"/>
    <w:rsid w:val="0B63BA10"/>
    <w:rsid w:val="0B84950B"/>
    <w:rsid w:val="0B8B619F"/>
    <w:rsid w:val="0B9932A9"/>
    <w:rsid w:val="0B9A5A86"/>
    <w:rsid w:val="0BA3E08B"/>
    <w:rsid w:val="0BB0E8DA"/>
    <w:rsid w:val="0BB4985D"/>
    <w:rsid w:val="0BC598AC"/>
    <w:rsid w:val="0BD52798"/>
    <w:rsid w:val="0BD66331"/>
    <w:rsid w:val="0BE5CFF6"/>
    <w:rsid w:val="0C194B54"/>
    <w:rsid w:val="0C1FFE2B"/>
    <w:rsid w:val="0C21D4CF"/>
    <w:rsid w:val="0C3D1488"/>
    <w:rsid w:val="0C417ADF"/>
    <w:rsid w:val="0C4AE128"/>
    <w:rsid w:val="0C4DBB62"/>
    <w:rsid w:val="0C4E237D"/>
    <w:rsid w:val="0C530994"/>
    <w:rsid w:val="0C574875"/>
    <w:rsid w:val="0C5D442F"/>
    <w:rsid w:val="0C6F92E4"/>
    <w:rsid w:val="0C72C154"/>
    <w:rsid w:val="0C8A5584"/>
    <w:rsid w:val="0C8DAC9B"/>
    <w:rsid w:val="0C8EAED7"/>
    <w:rsid w:val="0C8FD9CD"/>
    <w:rsid w:val="0CA05C21"/>
    <w:rsid w:val="0CA9F26C"/>
    <w:rsid w:val="0CB29A86"/>
    <w:rsid w:val="0CB3B478"/>
    <w:rsid w:val="0CB60358"/>
    <w:rsid w:val="0CD1B84F"/>
    <w:rsid w:val="0CF07DD2"/>
    <w:rsid w:val="0D02D7DA"/>
    <w:rsid w:val="0D072C60"/>
    <w:rsid w:val="0D1755BC"/>
    <w:rsid w:val="0D1C620A"/>
    <w:rsid w:val="0D254F93"/>
    <w:rsid w:val="0D2643BD"/>
    <w:rsid w:val="0D2726E9"/>
    <w:rsid w:val="0D3EA9CB"/>
    <w:rsid w:val="0D3EB769"/>
    <w:rsid w:val="0D453364"/>
    <w:rsid w:val="0D57976D"/>
    <w:rsid w:val="0D59144E"/>
    <w:rsid w:val="0D65B203"/>
    <w:rsid w:val="0D68D370"/>
    <w:rsid w:val="0D79C471"/>
    <w:rsid w:val="0D7A1F9D"/>
    <w:rsid w:val="0D7F7984"/>
    <w:rsid w:val="0DA00110"/>
    <w:rsid w:val="0DAE31E2"/>
    <w:rsid w:val="0DC0DDD1"/>
    <w:rsid w:val="0DCA68DA"/>
    <w:rsid w:val="0DD47530"/>
    <w:rsid w:val="0DDB1F21"/>
    <w:rsid w:val="0E0100EE"/>
    <w:rsid w:val="0E1560DB"/>
    <w:rsid w:val="0E1ADBF8"/>
    <w:rsid w:val="0E57C933"/>
    <w:rsid w:val="0E5BD7FA"/>
    <w:rsid w:val="0E6210D6"/>
    <w:rsid w:val="0E6E8F75"/>
    <w:rsid w:val="0E7160D3"/>
    <w:rsid w:val="0E722F71"/>
    <w:rsid w:val="0E78F856"/>
    <w:rsid w:val="0E79B8C5"/>
    <w:rsid w:val="0E84FCDA"/>
    <w:rsid w:val="0E893551"/>
    <w:rsid w:val="0E8D7580"/>
    <w:rsid w:val="0E909418"/>
    <w:rsid w:val="0E94373A"/>
    <w:rsid w:val="0E95961F"/>
    <w:rsid w:val="0EA172FF"/>
    <w:rsid w:val="0EA73101"/>
    <w:rsid w:val="0EB6D7DB"/>
    <w:rsid w:val="0EC151CF"/>
    <w:rsid w:val="0ED0FD7A"/>
    <w:rsid w:val="0EE2E8B9"/>
    <w:rsid w:val="0EF06B12"/>
    <w:rsid w:val="0EF7ACC1"/>
    <w:rsid w:val="0EFA426F"/>
    <w:rsid w:val="0EFF89F8"/>
    <w:rsid w:val="0EFF95BA"/>
    <w:rsid w:val="0F085162"/>
    <w:rsid w:val="0F0B4529"/>
    <w:rsid w:val="0F10973A"/>
    <w:rsid w:val="0F127DE9"/>
    <w:rsid w:val="0F2F46D0"/>
    <w:rsid w:val="0F35A614"/>
    <w:rsid w:val="0F3807D0"/>
    <w:rsid w:val="0F39FBD9"/>
    <w:rsid w:val="0F3BF8A7"/>
    <w:rsid w:val="0F3C2FCC"/>
    <w:rsid w:val="0F3CC24D"/>
    <w:rsid w:val="0F40027C"/>
    <w:rsid w:val="0F40D553"/>
    <w:rsid w:val="0F466CC0"/>
    <w:rsid w:val="0F467AE8"/>
    <w:rsid w:val="0F4CEE4A"/>
    <w:rsid w:val="0F54DEAA"/>
    <w:rsid w:val="0F56BC66"/>
    <w:rsid w:val="0F57ACA2"/>
    <w:rsid w:val="0F5ACDD3"/>
    <w:rsid w:val="0F5C6C98"/>
    <w:rsid w:val="0F75BB70"/>
    <w:rsid w:val="0F82BEDA"/>
    <w:rsid w:val="0F8D71F6"/>
    <w:rsid w:val="0F93B727"/>
    <w:rsid w:val="0F964EB0"/>
    <w:rsid w:val="0FA1DB4C"/>
    <w:rsid w:val="0FA5FA7C"/>
    <w:rsid w:val="0FAF7CA0"/>
    <w:rsid w:val="0FB07287"/>
    <w:rsid w:val="0FB3E9D7"/>
    <w:rsid w:val="0FEDF52C"/>
    <w:rsid w:val="0FEFC518"/>
    <w:rsid w:val="1025E492"/>
    <w:rsid w:val="10328D6E"/>
    <w:rsid w:val="1044B3AC"/>
    <w:rsid w:val="104F2FDB"/>
    <w:rsid w:val="1074103E"/>
    <w:rsid w:val="10849B80"/>
    <w:rsid w:val="1086380E"/>
    <w:rsid w:val="1086C6A3"/>
    <w:rsid w:val="10A18188"/>
    <w:rsid w:val="10A855D3"/>
    <w:rsid w:val="10B141FF"/>
    <w:rsid w:val="10B6D23B"/>
    <w:rsid w:val="10CDE689"/>
    <w:rsid w:val="10F4FF76"/>
    <w:rsid w:val="10F5632A"/>
    <w:rsid w:val="10F951BE"/>
    <w:rsid w:val="10FD20C2"/>
    <w:rsid w:val="110400A2"/>
    <w:rsid w:val="11084240"/>
    <w:rsid w:val="111CC756"/>
    <w:rsid w:val="11216B94"/>
    <w:rsid w:val="112ADBD6"/>
    <w:rsid w:val="1157E106"/>
    <w:rsid w:val="11643870"/>
    <w:rsid w:val="116F98E3"/>
    <w:rsid w:val="117AAC25"/>
    <w:rsid w:val="117AB396"/>
    <w:rsid w:val="1182F6B9"/>
    <w:rsid w:val="118583D4"/>
    <w:rsid w:val="118AABF4"/>
    <w:rsid w:val="1199AAAC"/>
    <w:rsid w:val="11B54DD4"/>
    <w:rsid w:val="11DBC482"/>
    <w:rsid w:val="11E35FDB"/>
    <w:rsid w:val="11E725F0"/>
    <w:rsid w:val="11F23990"/>
    <w:rsid w:val="11F45E5E"/>
    <w:rsid w:val="12069D13"/>
    <w:rsid w:val="121304C9"/>
    <w:rsid w:val="12178D2E"/>
    <w:rsid w:val="1222A8A0"/>
    <w:rsid w:val="122F99DE"/>
    <w:rsid w:val="1230B7AE"/>
    <w:rsid w:val="1240792A"/>
    <w:rsid w:val="12442D2B"/>
    <w:rsid w:val="1244EBE8"/>
    <w:rsid w:val="1254CD81"/>
    <w:rsid w:val="125E8BED"/>
    <w:rsid w:val="12616946"/>
    <w:rsid w:val="1261ADFE"/>
    <w:rsid w:val="126D90CA"/>
    <w:rsid w:val="12789FD9"/>
    <w:rsid w:val="12794CAE"/>
    <w:rsid w:val="1285A2F8"/>
    <w:rsid w:val="129E6EED"/>
    <w:rsid w:val="12AAAD9D"/>
    <w:rsid w:val="12B28E7C"/>
    <w:rsid w:val="12BB6E6D"/>
    <w:rsid w:val="12C26040"/>
    <w:rsid w:val="12C7C32D"/>
    <w:rsid w:val="12D1FD11"/>
    <w:rsid w:val="12EB4F74"/>
    <w:rsid w:val="12EC405A"/>
    <w:rsid w:val="12FC755D"/>
    <w:rsid w:val="130088C8"/>
    <w:rsid w:val="13017B85"/>
    <w:rsid w:val="1303FFB6"/>
    <w:rsid w:val="13082B99"/>
    <w:rsid w:val="131C57D2"/>
    <w:rsid w:val="1332C09C"/>
    <w:rsid w:val="1334E06D"/>
    <w:rsid w:val="133A6E6F"/>
    <w:rsid w:val="1341F92D"/>
    <w:rsid w:val="13497AC3"/>
    <w:rsid w:val="134A1D54"/>
    <w:rsid w:val="134CEE65"/>
    <w:rsid w:val="135543C2"/>
    <w:rsid w:val="1364200E"/>
    <w:rsid w:val="136DB0BF"/>
    <w:rsid w:val="1374C62F"/>
    <w:rsid w:val="138909A7"/>
    <w:rsid w:val="138FEDB8"/>
    <w:rsid w:val="13935867"/>
    <w:rsid w:val="1395CC38"/>
    <w:rsid w:val="13A2F8B9"/>
    <w:rsid w:val="13A44AA8"/>
    <w:rsid w:val="13B12B66"/>
    <w:rsid w:val="13B86CA5"/>
    <w:rsid w:val="13C5447E"/>
    <w:rsid w:val="13CF16DB"/>
    <w:rsid w:val="13DFF10D"/>
    <w:rsid w:val="13EB8AB4"/>
    <w:rsid w:val="13F2A129"/>
    <w:rsid w:val="13F35DF1"/>
    <w:rsid w:val="13F5B57A"/>
    <w:rsid w:val="13F66063"/>
    <w:rsid w:val="13F7FC23"/>
    <w:rsid w:val="13FECB0D"/>
    <w:rsid w:val="14013C8A"/>
    <w:rsid w:val="1411B04D"/>
    <w:rsid w:val="14186AD7"/>
    <w:rsid w:val="141DB45C"/>
    <w:rsid w:val="141EEB3C"/>
    <w:rsid w:val="1424392C"/>
    <w:rsid w:val="143CDAE4"/>
    <w:rsid w:val="144F7208"/>
    <w:rsid w:val="1460D415"/>
    <w:rsid w:val="147BFA91"/>
    <w:rsid w:val="147C3D1E"/>
    <w:rsid w:val="148E84FE"/>
    <w:rsid w:val="14A1676C"/>
    <w:rsid w:val="14B57909"/>
    <w:rsid w:val="14C0E71A"/>
    <w:rsid w:val="14C2E515"/>
    <w:rsid w:val="14C4C0DF"/>
    <w:rsid w:val="14C9ABF7"/>
    <w:rsid w:val="14D06489"/>
    <w:rsid w:val="14DF9782"/>
    <w:rsid w:val="14EA6430"/>
    <w:rsid w:val="14F992FA"/>
    <w:rsid w:val="1507F9FF"/>
    <w:rsid w:val="151057D9"/>
    <w:rsid w:val="151DB304"/>
    <w:rsid w:val="15206E06"/>
    <w:rsid w:val="15280AAF"/>
    <w:rsid w:val="152ECFD7"/>
    <w:rsid w:val="15318F72"/>
    <w:rsid w:val="15530046"/>
    <w:rsid w:val="156B682E"/>
    <w:rsid w:val="157EC0C7"/>
    <w:rsid w:val="15BD6752"/>
    <w:rsid w:val="15C4AC32"/>
    <w:rsid w:val="15DF23A8"/>
    <w:rsid w:val="15E026BD"/>
    <w:rsid w:val="15E0ABC6"/>
    <w:rsid w:val="15F20050"/>
    <w:rsid w:val="1617B4FB"/>
    <w:rsid w:val="161BF362"/>
    <w:rsid w:val="161D72C8"/>
    <w:rsid w:val="1624DE53"/>
    <w:rsid w:val="1627D836"/>
    <w:rsid w:val="162CA827"/>
    <w:rsid w:val="1636DD96"/>
    <w:rsid w:val="163B63EF"/>
    <w:rsid w:val="1648C4D2"/>
    <w:rsid w:val="164C0E1E"/>
    <w:rsid w:val="16508915"/>
    <w:rsid w:val="16724254"/>
    <w:rsid w:val="167B8CF5"/>
    <w:rsid w:val="16865850"/>
    <w:rsid w:val="1686F6D2"/>
    <w:rsid w:val="168A14C6"/>
    <w:rsid w:val="1695635B"/>
    <w:rsid w:val="16AB157E"/>
    <w:rsid w:val="16AF2356"/>
    <w:rsid w:val="16AF2DCF"/>
    <w:rsid w:val="16B26474"/>
    <w:rsid w:val="16B54B8F"/>
    <w:rsid w:val="16B7DF76"/>
    <w:rsid w:val="16B8B99B"/>
    <w:rsid w:val="16D76FDA"/>
    <w:rsid w:val="16DE9A94"/>
    <w:rsid w:val="16EE0243"/>
    <w:rsid w:val="16F24E8B"/>
    <w:rsid w:val="1702DECA"/>
    <w:rsid w:val="17032CB2"/>
    <w:rsid w:val="1705B77B"/>
    <w:rsid w:val="17152B42"/>
    <w:rsid w:val="17251EF3"/>
    <w:rsid w:val="172796DC"/>
    <w:rsid w:val="17388196"/>
    <w:rsid w:val="173B35E8"/>
    <w:rsid w:val="17535D1C"/>
    <w:rsid w:val="175B1A68"/>
    <w:rsid w:val="177D84CB"/>
    <w:rsid w:val="1787DF70"/>
    <w:rsid w:val="178F1BA1"/>
    <w:rsid w:val="179AFF89"/>
    <w:rsid w:val="17A8E8DE"/>
    <w:rsid w:val="17AFB016"/>
    <w:rsid w:val="17D06409"/>
    <w:rsid w:val="17D73230"/>
    <w:rsid w:val="17D9DBD3"/>
    <w:rsid w:val="17E9F88E"/>
    <w:rsid w:val="17FC546B"/>
    <w:rsid w:val="17FD817C"/>
    <w:rsid w:val="18059411"/>
    <w:rsid w:val="1816CF1C"/>
    <w:rsid w:val="181AD3C4"/>
    <w:rsid w:val="182180A6"/>
    <w:rsid w:val="18352F1D"/>
    <w:rsid w:val="18442271"/>
    <w:rsid w:val="184660B2"/>
    <w:rsid w:val="18467AC3"/>
    <w:rsid w:val="1848B2A2"/>
    <w:rsid w:val="184A530E"/>
    <w:rsid w:val="186C36BB"/>
    <w:rsid w:val="187B9C35"/>
    <w:rsid w:val="188011FB"/>
    <w:rsid w:val="18857BDA"/>
    <w:rsid w:val="18A3F7AE"/>
    <w:rsid w:val="18ADE691"/>
    <w:rsid w:val="18B6D20D"/>
    <w:rsid w:val="18CBCA02"/>
    <w:rsid w:val="18D55F69"/>
    <w:rsid w:val="18F1C777"/>
    <w:rsid w:val="18F2B155"/>
    <w:rsid w:val="1900B9B3"/>
    <w:rsid w:val="1901396D"/>
    <w:rsid w:val="192E78FA"/>
    <w:rsid w:val="1934C91E"/>
    <w:rsid w:val="19371115"/>
    <w:rsid w:val="193BE3D0"/>
    <w:rsid w:val="193DEF06"/>
    <w:rsid w:val="1949C936"/>
    <w:rsid w:val="1964ABE7"/>
    <w:rsid w:val="1966206C"/>
    <w:rsid w:val="1972D45E"/>
    <w:rsid w:val="19767384"/>
    <w:rsid w:val="198AB149"/>
    <w:rsid w:val="198DFF86"/>
    <w:rsid w:val="19948C01"/>
    <w:rsid w:val="19A14039"/>
    <w:rsid w:val="19B2E28E"/>
    <w:rsid w:val="19BBE992"/>
    <w:rsid w:val="19CCFE30"/>
    <w:rsid w:val="19CF2B76"/>
    <w:rsid w:val="19DE1E52"/>
    <w:rsid w:val="19E65118"/>
    <w:rsid w:val="1A01BFBE"/>
    <w:rsid w:val="1A0B6F05"/>
    <w:rsid w:val="1A0B76D7"/>
    <w:rsid w:val="1A0C975E"/>
    <w:rsid w:val="1A18D6DD"/>
    <w:rsid w:val="1A2AD408"/>
    <w:rsid w:val="1A2C5B60"/>
    <w:rsid w:val="1A2D326D"/>
    <w:rsid w:val="1A3A5B73"/>
    <w:rsid w:val="1A42C0D6"/>
    <w:rsid w:val="1A535EDA"/>
    <w:rsid w:val="1A61F50B"/>
    <w:rsid w:val="1A814892"/>
    <w:rsid w:val="1A81555C"/>
    <w:rsid w:val="1A8475D8"/>
    <w:rsid w:val="1A863E26"/>
    <w:rsid w:val="1A91C159"/>
    <w:rsid w:val="1A9FDD2C"/>
    <w:rsid w:val="1AACAEBB"/>
    <w:rsid w:val="1AAD062C"/>
    <w:rsid w:val="1AB40B68"/>
    <w:rsid w:val="1ACB15F1"/>
    <w:rsid w:val="1ACC18CD"/>
    <w:rsid w:val="1ACC7E88"/>
    <w:rsid w:val="1ADF300B"/>
    <w:rsid w:val="1AEBE755"/>
    <w:rsid w:val="1AF1F7AB"/>
    <w:rsid w:val="1AF26D50"/>
    <w:rsid w:val="1AF30751"/>
    <w:rsid w:val="1AFC3657"/>
    <w:rsid w:val="1B0AD802"/>
    <w:rsid w:val="1B20E908"/>
    <w:rsid w:val="1B40BF1A"/>
    <w:rsid w:val="1B561DE6"/>
    <w:rsid w:val="1B65101C"/>
    <w:rsid w:val="1B6FAEDA"/>
    <w:rsid w:val="1B7ABCDC"/>
    <w:rsid w:val="1B7E17AD"/>
    <w:rsid w:val="1B811E74"/>
    <w:rsid w:val="1BA2814E"/>
    <w:rsid w:val="1BABB4DA"/>
    <w:rsid w:val="1BB7BB01"/>
    <w:rsid w:val="1BBC7055"/>
    <w:rsid w:val="1BBC957E"/>
    <w:rsid w:val="1BC4F0BD"/>
    <w:rsid w:val="1BC629F1"/>
    <w:rsid w:val="1BDB31AE"/>
    <w:rsid w:val="1BE8B4EA"/>
    <w:rsid w:val="1BEFC632"/>
    <w:rsid w:val="1BEFFF31"/>
    <w:rsid w:val="1BF8F428"/>
    <w:rsid w:val="1BFCDC42"/>
    <w:rsid w:val="1C1CB2F7"/>
    <w:rsid w:val="1C21BEE8"/>
    <w:rsid w:val="1C2C75B5"/>
    <w:rsid w:val="1C2DE536"/>
    <w:rsid w:val="1C3A2C71"/>
    <w:rsid w:val="1C3BAD8D"/>
    <w:rsid w:val="1C62956D"/>
    <w:rsid w:val="1C733075"/>
    <w:rsid w:val="1C8513DF"/>
    <w:rsid w:val="1C8E3D44"/>
    <w:rsid w:val="1C8FC58C"/>
    <w:rsid w:val="1C9C39D1"/>
    <w:rsid w:val="1C9F98A6"/>
    <w:rsid w:val="1CA221A4"/>
    <w:rsid w:val="1CAB7E51"/>
    <w:rsid w:val="1CAD0076"/>
    <w:rsid w:val="1CB36D18"/>
    <w:rsid w:val="1CBF6660"/>
    <w:rsid w:val="1CC2C52C"/>
    <w:rsid w:val="1CC46467"/>
    <w:rsid w:val="1CD29FA3"/>
    <w:rsid w:val="1CD5E22E"/>
    <w:rsid w:val="1CDAF713"/>
    <w:rsid w:val="1CDF229A"/>
    <w:rsid w:val="1CE83211"/>
    <w:rsid w:val="1CE8A524"/>
    <w:rsid w:val="1CEA5AC7"/>
    <w:rsid w:val="1CF8684C"/>
    <w:rsid w:val="1D08AB9C"/>
    <w:rsid w:val="1D0B920F"/>
    <w:rsid w:val="1D0EB95D"/>
    <w:rsid w:val="1D0F4D5E"/>
    <w:rsid w:val="1D13A510"/>
    <w:rsid w:val="1D1A29F4"/>
    <w:rsid w:val="1D1C9C0C"/>
    <w:rsid w:val="1D1D01E8"/>
    <w:rsid w:val="1D1E42B9"/>
    <w:rsid w:val="1D1E677F"/>
    <w:rsid w:val="1D36D1CC"/>
    <w:rsid w:val="1D3B4501"/>
    <w:rsid w:val="1D4322F3"/>
    <w:rsid w:val="1D46CBA5"/>
    <w:rsid w:val="1D5D87F2"/>
    <w:rsid w:val="1D63B17B"/>
    <w:rsid w:val="1D679436"/>
    <w:rsid w:val="1D6A4EDA"/>
    <w:rsid w:val="1D6B2CB5"/>
    <w:rsid w:val="1D7403F5"/>
    <w:rsid w:val="1D75F0CB"/>
    <w:rsid w:val="1D7DEC92"/>
    <w:rsid w:val="1D7FC882"/>
    <w:rsid w:val="1D8E9C33"/>
    <w:rsid w:val="1D970FD2"/>
    <w:rsid w:val="1D9B7776"/>
    <w:rsid w:val="1DA262FA"/>
    <w:rsid w:val="1DB124E2"/>
    <w:rsid w:val="1DBDFE9B"/>
    <w:rsid w:val="1DBF5AC5"/>
    <w:rsid w:val="1DD57A7D"/>
    <w:rsid w:val="1DDC1C47"/>
    <w:rsid w:val="1E0487BA"/>
    <w:rsid w:val="1E29C178"/>
    <w:rsid w:val="1E335F6C"/>
    <w:rsid w:val="1E3626D4"/>
    <w:rsid w:val="1E38C277"/>
    <w:rsid w:val="1E420234"/>
    <w:rsid w:val="1E4B122F"/>
    <w:rsid w:val="1E5B3104"/>
    <w:rsid w:val="1E5C4048"/>
    <w:rsid w:val="1E634BC6"/>
    <w:rsid w:val="1E6D1378"/>
    <w:rsid w:val="1E7253FC"/>
    <w:rsid w:val="1E728C3F"/>
    <w:rsid w:val="1E7C7AAB"/>
    <w:rsid w:val="1E8FB049"/>
    <w:rsid w:val="1E8FDC8F"/>
    <w:rsid w:val="1E9CDF3B"/>
    <w:rsid w:val="1E9DD971"/>
    <w:rsid w:val="1EAABE7A"/>
    <w:rsid w:val="1EAACE12"/>
    <w:rsid w:val="1EABAEEC"/>
    <w:rsid w:val="1ED0B92B"/>
    <w:rsid w:val="1ED7DEB6"/>
    <w:rsid w:val="1EDBBBD7"/>
    <w:rsid w:val="1EE2E727"/>
    <w:rsid w:val="1EEA52C5"/>
    <w:rsid w:val="1EEB68A1"/>
    <w:rsid w:val="1EECD407"/>
    <w:rsid w:val="1EFA8705"/>
    <w:rsid w:val="1F08CD3D"/>
    <w:rsid w:val="1F20EB64"/>
    <w:rsid w:val="1F377E69"/>
    <w:rsid w:val="1F4D0F70"/>
    <w:rsid w:val="1F568966"/>
    <w:rsid w:val="1F586B06"/>
    <w:rsid w:val="1F5F19A7"/>
    <w:rsid w:val="1F692C2E"/>
    <w:rsid w:val="1F7407FA"/>
    <w:rsid w:val="1F7878EC"/>
    <w:rsid w:val="1F85D29C"/>
    <w:rsid w:val="1F946131"/>
    <w:rsid w:val="1F95AAF0"/>
    <w:rsid w:val="1FA9D2EA"/>
    <w:rsid w:val="1FC501F3"/>
    <w:rsid w:val="1FCD8E41"/>
    <w:rsid w:val="1FD29AC0"/>
    <w:rsid w:val="1FD6F145"/>
    <w:rsid w:val="1FF4F0F4"/>
    <w:rsid w:val="1FF63A1C"/>
    <w:rsid w:val="2000ABBE"/>
    <w:rsid w:val="2014FB55"/>
    <w:rsid w:val="204065E9"/>
    <w:rsid w:val="20460A92"/>
    <w:rsid w:val="204C529D"/>
    <w:rsid w:val="205137D9"/>
    <w:rsid w:val="205586CD"/>
    <w:rsid w:val="205FBE02"/>
    <w:rsid w:val="2064CFD7"/>
    <w:rsid w:val="2067D764"/>
    <w:rsid w:val="20750100"/>
    <w:rsid w:val="20800DA0"/>
    <w:rsid w:val="2082F583"/>
    <w:rsid w:val="208DA5F9"/>
    <w:rsid w:val="20B8C3BF"/>
    <w:rsid w:val="20C26535"/>
    <w:rsid w:val="20D7E392"/>
    <w:rsid w:val="20E947F8"/>
    <w:rsid w:val="20EEBDDF"/>
    <w:rsid w:val="20EEF814"/>
    <w:rsid w:val="20F08DE0"/>
    <w:rsid w:val="20FA998A"/>
    <w:rsid w:val="21085916"/>
    <w:rsid w:val="210E94FC"/>
    <w:rsid w:val="21151D09"/>
    <w:rsid w:val="21210A6E"/>
    <w:rsid w:val="212D5651"/>
    <w:rsid w:val="213DAC43"/>
    <w:rsid w:val="21420FDA"/>
    <w:rsid w:val="21569B7D"/>
    <w:rsid w:val="215757D0"/>
    <w:rsid w:val="216FA90D"/>
    <w:rsid w:val="2170DBA1"/>
    <w:rsid w:val="2178DEE4"/>
    <w:rsid w:val="217AB84A"/>
    <w:rsid w:val="218418F4"/>
    <w:rsid w:val="21A8E3A8"/>
    <w:rsid w:val="21B3FD8A"/>
    <w:rsid w:val="21B4F783"/>
    <w:rsid w:val="21CE3C18"/>
    <w:rsid w:val="21CF0B6C"/>
    <w:rsid w:val="21D94F16"/>
    <w:rsid w:val="21F1281B"/>
    <w:rsid w:val="21F28B14"/>
    <w:rsid w:val="21FA2BE0"/>
    <w:rsid w:val="22050D53"/>
    <w:rsid w:val="22054827"/>
    <w:rsid w:val="2208EE59"/>
    <w:rsid w:val="221CE837"/>
    <w:rsid w:val="22283901"/>
    <w:rsid w:val="222F3B87"/>
    <w:rsid w:val="223F8407"/>
    <w:rsid w:val="22486AF2"/>
    <w:rsid w:val="2265904B"/>
    <w:rsid w:val="226AA530"/>
    <w:rsid w:val="227191DA"/>
    <w:rsid w:val="2274E649"/>
    <w:rsid w:val="2274E794"/>
    <w:rsid w:val="2280C526"/>
    <w:rsid w:val="22A55653"/>
    <w:rsid w:val="22A564F7"/>
    <w:rsid w:val="22AB2691"/>
    <w:rsid w:val="22B29B4E"/>
    <w:rsid w:val="22B75EE5"/>
    <w:rsid w:val="22BAEE11"/>
    <w:rsid w:val="22BEC84B"/>
    <w:rsid w:val="22C7588F"/>
    <w:rsid w:val="22CE2CE3"/>
    <w:rsid w:val="22D2C5BE"/>
    <w:rsid w:val="22D7E109"/>
    <w:rsid w:val="22D9D7C2"/>
    <w:rsid w:val="22E10C92"/>
    <w:rsid w:val="22E1D7D0"/>
    <w:rsid w:val="22E92C6B"/>
    <w:rsid w:val="22EAD2A9"/>
    <w:rsid w:val="22F1D310"/>
    <w:rsid w:val="22F2B6DF"/>
    <w:rsid w:val="22FF95D2"/>
    <w:rsid w:val="2302D586"/>
    <w:rsid w:val="230F8A19"/>
    <w:rsid w:val="231C9586"/>
    <w:rsid w:val="2321D852"/>
    <w:rsid w:val="233EFD23"/>
    <w:rsid w:val="2354AA38"/>
    <w:rsid w:val="2363302F"/>
    <w:rsid w:val="23642F44"/>
    <w:rsid w:val="236E0127"/>
    <w:rsid w:val="2396EEC6"/>
    <w:rsid w:val="23987830"/>
    <w:rsid w:val="239B26F3"/>
    <w:rsid w:val="239E40B2"/>
    <w:rsid w:val="23AA986C"/>
    <w:rsid w:val="23DA0F91"/>
    <w:rsid w:val="23DBA9B0"/>
    <w:rsid w:val="23DD3480"/>
    <w:rsid w:val="23E868B3"/>
    <w:rsid w:val="23EE26F1"/>
    <w:rsid w:val="23FB1320"/>
    <w:rsid w:val="2407D718"/>
    <w:rsid w:val="240AB8FA"/>
    <w:rsid w:val="240B7B43"/>
    <w:rsid w:val="240DFC2A"/>
    <w:rsid w:val="2414F02F"/>
    <w:rsid w:val="2417A86B"/>
    <w:rsid w:val="2419EFAA"/>
    <w:rsid w:val="241A4B42"/>
    <w:rsid w:val="241DCF41"/>
    <w:rsid w:val="242D9715"/>
    <w:rsid w:val="243D21DD"/>
    <w:rsid w:val="243ECF7A"/>
    <w:rsid w:val="24424F5B"/>
    <w:rsid w:val="2460A796"/>
    <w:rsid w:val="2468A097"/>
    <w:rsid w:val="2480A165"/>
    <w:rsid w:val="248AC0FB"/>
    <w:rsid w:val="248ADC44"/>
    <w:rsid w:val="2490E84D"/>
    <w:rsid w:val="24A39C6B"/>
    <w:rsid w:val="24A5DEEE"/>
    <w:rsid w:val="24EB9EE9"/>
    <w:rsid w:val="24EFEAB2"/>
    <w:rsid w:val="24F4CDA4"/>
    <w:rsid w:val="2506151C"/>
    <w:rsid w:val="250A28EF"/>
    <w:rsid w:val="250B2D78"/>
    <w:rsid w:val="25231A5A"/>
    <w:rsid w:val="2523E489"/>
    <w:rsid w:val="253A5DAA"/>
    <w:rsid w:val="25569806"/>
    <w:rsid w:val="255AE23F"/>
    <w:rsid w:val="256E63F0"/>
    <w:rsid w:val="257469C5"/>
    <w:rsid w:val="25766FDD"/>
    <w:rsid w:val="2585AC4B"/>
    <w:rsid w:val="258DCDB9"/>
    <w:rsid w:val="2596681F"/>
    <w:rsid w:val="2597A252"/>
    <w:rsid w:val="259A13D1"/>
    <w:rsid w:val="25A39B58"/>
    <w:rsid w:val="25DBC17F"/>
    <w:rsid w:val="25E0BF43"/>
    <w:rsid w:val="25EB9E3F"/>
    <w:rsid w:val="2634EF63"/>
    <w:rsid w:val="2647ED57"/>
    <w:rsid w:val="2650E699"/>
    <w:rsid w:val="26777403"/>
    <w:rsid w:val="267FA3D0"/>
    <w:rsid w:val="26812127"/>
    <w:rsid w:val="2684AACE"/>
    <w:rsid w:val="268AABCE"/>
    <w:rsid w:val="268F8A0C"/>
    <w:rsid w:val="269487A9"/>
    <w:rsid w:val="2698EA64"/>
    <w:rsid w:val="269F89C8"/>
    <w:rsid w:val="26BA6986"/>
    <w:rsid w:val="26D973EE"/>
    <w:rsid w:val="26E0CA18"/>
    <w:rsid w:val="26E29202"/>
    <w:rsid w:val="26F16D1B"/>
    <w:rsid w:val="26F9A634"/>
    <w:rsid w:val="2700ED13"/>
    <w:rsid w:val="27012C5F"/>
    <w:rsid w:val="2713D734"/>
    <w:rsid w:val="27183426"/>
    <w:rsid w:val="272E5518"/>
    <w:rsid w:val="27335CAB"/>
    <w:rsid w:val="2733D7E6"/>
    <w:rsid w:val="273954C3"/>
    <w:rsid w:val="273C099E"/>
    <w:rsid w:val="27472CB0"/>
    <w:rsid w:val="2748BFC4"/>
    <w:rsid w:val="276FADC1"/>
    <w:rsid w:val="277FA23A"/>
    <w:rsid w:val="27815231"/>
    <w:rsid w:val="2799D2D0"/>
    <w:rsid w:val="27AB2F14"/>
    <w:rsid w:val="27ACABF1"/>
    <w:rsid w:val="27ACC362"/>
    <w:rsid w:val="27B5F666"/>
    <w:rsid w:val="27D75594"/>
    <w:rsid w:val="27DA395E"/>
    <w:rsid w:val="27E10C8E"/>
    <w:rsid w:val="27E3F40A"/>
    <w:rsid w:val="27F7A760"/>
    <w:rsid w:val="27F9CEC8"/>
    <w:rsid w:val="2804948E"/>
    <w:rsid w:val="282231CC"/>
    <w:rsid w:val="2825D2BD"/>
    <w:rsid w:val="283079E1"/>
    <w:rsid w:val="28317FBA"/>
    <w:rsid w:val="28358170"/>
    <w:rsid w:val="283802F5"/>
    <w:rsid w:val="2843603C"/>
    <w:rsid w:val="284ED7D7"/>
    <w:rsid w:val="2850FE4A"/>
    <w:rsid w:val="286E1927"/>
    <w:rsid w:val="286EE097"/>
    <w:rsid w:val="28746003"/>
    <w:rsid w:val="2895B12A"/>
    <w:rsid w:val="289BB129"/>
    <w:rsid w:val="28A3FA2C"/>
    <w:rsid w:val="28AD0181"/>
    <w:rsid w:val="28D8BB33"/>
    <w:rsid w:val="28E483CD"/>
    <w:rsid w:val="28EA130F"/>
    <w:rsid w:val="28EC8600"/>
    <w:rsid w:val="28F384B3"/>
    <w:rsid w:val="28F8E8DC"/>
    <w:rsid w:val="2903F0CA"/>
    <w:rsid w:val="290BAAB4"/>
    <w:rsid w:val="292D774D"/>
    <w:rsid w:val="2938DD88"/>
    <w:rsid w:val="293B23D0"/>
    <w:rsid w:val="294234D6"/>
    <w:rsid w:val="2950FCAB"/>
    <w:rsid w:val="297A1394"/>
    <w:rsid w:val="2986116F"/>
    <w:rsid w:val="2990706D"/>
    <w:rsid w:val="2992D8F1"/>
    <w:rsid w:val="2995DA79"/>
    <w:rsid w:val="2997B93F"/>
    <w:rsid w:val="29A1ED99"/>
    <w:rsid w:val="29AEA8A8"/>
    <w:rsid w:val="29B09168"/>
    <w:rsid w:val="29C23EB7"/>
    <w:rsid w:val="29CDEECF"/>
    <w:rsid w:val="29CFBC85"/>
    <w:rsid w:val="29E9F724"/>
    <w:rsid w:val="2A0F6A9E"/>
    <w:rsid w:val="2A114924"/>
    <w:rsid w:val="2A216AE9"/>
    <w:rsid w:val="2A255D72"/>
    <w:rsid w:val="2A2FEB93"/>
    <w:rsid w:val="2A311969"/>
    <w:rsid w:val="2A3F3A36"/>
    <w:rsid w:val="2A418F13"/>
    <w:rsid w:val="2A4EC3D0"/>
    <w:rsid w:val="2A56C38C"/>
    <w:rsid w:val="2A56E586"/>
    <w:rsid w:val="2A5A65FC"/>
    <w:rsid w:val="2A5FAFD1"/>
    <w:rsid w:val="2A60F003"/>
    <w:rsid w:val="2A638009"/>
    <w:rsid w:val="2A6850D2"/>
    <w:rsid w:val="2A6D3D5C"/>
    <w:rsid w:val="2A71140C"/>
    <w:rsid w:val="2A8036E2"/>
    <w:rsid w:val="2A807F80"/>
    <w:rsid w:val="2A815815"/>
    <w:rsid w:val="2A823948"/>
    <w:rsid w:val="2A881FC1"/>
    <w:rsid w:val="2A896CFB"/>
    <w:rsid w:val="2A944A3D"/>
    <w:rsid w:val="2A9F0275"/>
    <w:rsid w:val="2AB47121"/>
    <w:rsid w:val="2ADCA999"/>
    <w:rsid w:val="2AE9EB68"/>
    <w:rsid w:val="2AEC442B"/>
    <w:rsid w:val="2AF968EE"/>
    <w:rsid w:val="2B122BEE"/>
    <w:rsid w:val="2B171554"/>
    <w:rsid w:val="2B2B6D82"/>
    <w:rsid w:val="2B3D2FCC"/>
    <w:rsid w:val="2B3F75A4"/>
    <w:rsid w:val="2B40EA03"/>
    <w:rsid w:val="2B4B0DFA"/>
    <w:rsid w:val="2B7018E3"/>
    <w:rsid w:val="2B7894B3"/>
    <w:rsid w:val="2B7B0A59"/>
    <w:rsid w:val="2B7E0EBF"/>
    <w:rsid w:val="2B84FC30"/>
    <w:rsid w:val="2B9C338F"/>
    <w:rsid w:val="2BAE8C1C"/>
    <w:rsid w:val="2BD3E942"/>
    <w:rsid w:val="2BDD479D"/>
    <w:rsid w:val="2BE1C90B"/>
    <w:rsid w:val="2BE24984"/>
    <w:rsid w:val="2BE4A243"/>
    <w:rsid w:val="2BEAF97E"/>
    <w:rsid w:val="2BFAC859"/>
    <w:rsid w:val="2C00E049"/>
    <w:rsid w:val="2C0F17F2"/>
    <w:rsid w:val="2C11AF8A"/>
    <w:rsid w:val="2C1CB10C"/>
    <w:rsid w:val="2C30899E"/>
    <w:rsid w:val="2C35C9CE"/>
    <w:rsid w:val="2C4824B1"/>
    <w:rsid w:val="2C48829B"/>
    <w:rsid w:val="2C4AE05B"/>
    <w:rsid w:val="2C4D1A31"/>
    <w:rsid w:val="2C50EA17"/>
    <w:rsid w:val="2C57D254"/>
    <w:rsid w:val="2C604690"/>
    <w:rsid w:val="2C631019"/>
    <w:rsid w:val="2C6906D7"/>
    <w:rsid w:val="2C6B0578"/>
    <w:rsid w:val="2C73177D"/>
    <w:rsid w:val="2C9B887E"/>
    <w:rsid w:val="2CA25111"/>
    <w:rsid w:val="2CA61676"/>
    <w:rsid w:val="2CAB4AF3"/>
    <w:rsid w:val="2CAC9E0B"/>
    <w:rsid w:val="2CAD5B8F"/>
    <w:rsid w:val="2CB7941E"/>
    <w:rsid w:val="2CDD1976"/>
    <w:rsid w:val="2CF648C9"/>
    <w:rsid w:val="2CFEFD87"/>
    <w:rsid w:val="2D040461"/>
    <w:rsid w:val="2D163A76"/>
    <w:rsid w:val="2D19FE83"/>
    <w:rsid w:val="2D1CD3BE"/>
    <w:rsid w:val="2D30AFC1"/>
    <w:rsid w:val="2D37CB18"/>
    <w:rsid w:val="2D39A7C5"/>
    <w:rsid w:val="2D3DD389"/>
    <w:rsid w:val="2D44E0DB"/>
    <w:rsid w:val="2D4C8127"/>
    <w:rsid w:val="2D4F9CB1"/>
    <w:rsid w:val="2D6B846B"/>
    <w:rsid w:val="2D7EA043"/>
    <w:rsid w:val="2D7F6EC2"/>
    <w:rsid w:val="2D8072A4"/>
    <w:rsid w:val="2D812E10"/>
    <w:rsid w:val="2D81F12B"/>
    <w:rsid w:val="2D840B89"/>
    <w:rsid w:val="2D8C3B99"/>
    <w:rsid w:val="2D8F2EB0"/>
    <w:rsid w:val="2DA4198A"/>
    <w:rsid w:val="2DA6E0E4"/>
    <w:rsid w:val="2DAB6C78"/>
    <w:rsid w:val="2DACEDDB"/>
    <w:rsid w:val="2DB87352"/>
    <w:rsid w:val="2DC6DFB7"/>
    <w:rsid w:val="2DCC5516"/>
    <w:rsid w:val="2DD5222B"/>
    <w:rsid w:val="2DE8A61D"/>
    <w:rsid w:val="2E0156DF"/>
    <w:rsid w:val="2E0C9AB0"/>
    <w:rsid w:val="2E26BA33"/>
    <w:rsid w:val="2E28B954"/>
    <w:rsid w:val="2E303731"/>
    <w:rsid w:val="2E4364FD"/>
    <w:rsid w:val="2E4BCEB5"/>
    <w:rsid w:val="2E5C6D1B"/>
    <w:rsid w:val="2E6496AA"/>
    <w:rsid w:val="2E6BF7A7"/>
    <w:rsid w:val="2E70CCFC"/>
    <w:rsid w:val="2E72DD6D"/>
    <w:rsid w:val="2E8B021F"/>
    <w:rsid w:val="2E963CD1"/>
    <w:rsid w:val="2E98A111"/>
    <w:rsid w:val="2E98B9B5"/>
    <w:rsid w:val="2E9D9602"/>
    <w:rsid w:val="2EA47209"/>
    <w:rsid w:val="2EB3DF10"/>
    <w:rsid w:val="2EB7CD0D"/>
    <w:rsid w:val="2EBCC1FA"/>
    <w:rsid w:val="2EBCF845"/>
    <w:rsid w:val="2EC6699D"/>
    <w:rsid w:val="2EDE9A6E"/>
    <w:rsid w:val="2F0F24C0"/>
    <w:rsid w:val="2F146DF7"/>
    <w:rsid w:val="2F242F33"/>
    <w:rsid w:val="2F2FC5FE"/>
    <w:rsid w:val="2F3120E5"/>
    <w:rsid w:val="2F351271"/>
    <w:rsid w:val="2F3C039A"/>
    <w:rsid w:val="2F4A7546"/>
    <w:rsid w:val="2F4E9841"/>
    <w:rsid w:val="2F77CA90"/>
    <w:rsid w:val="2F86F78E"/>
    <w:rsid w:val="2F91A71C"/>
    <w:rsid w:val="2FA6AD92"/>
    <w:rsid w:val="2FABC14F"/>
    <w:rsid w:val="2FB90B79"/>
    <w:rsid w:val="2FDAD9A2"/>
    <w:rsid w:val="2FDF8DF0"/>
    <w:rsid w:val="2FE5854D"/>
    <w:rsid w:val="2FEA963E"/>
    <w:rsid w:val="2FF3CDCD"/>
    <w:rsid w:val="2FFB1DB2"/>
    <w:rsid w:val="2FFE0613"/>
    <w:rsid w:val="300A5C6E"/>
    <w:rsid w:val="300B3664"/>
    <w:rsid w:val="3017927C"/>
    <w:rsid w:val="30312356"/>
    <w:rsid w:val="3051F1DF"/>
    <w:rsid w:val="3053E4C2"/>
    <w:rsid w:val="305EA59D"/>
    <w:rsid w:val="305F81BE"/>
    <w:rsid w:val="3063B7B3"/>
    <w:rsid w:val="3072CA18"/>
    <w:rsid w:val="30873613"/>
    <w:rsid w:val="308805F3"/>
    <w:rsid w:val="308A1783"/>
    <w:rsid w:val="30907A2B"/>
    <w:rsid w:val="3098E993"/>
    <w:rsid w:val="30A354C2"/>
    <w:rsid w:val="30B0865A"/>
    <w:rsid w:val="30B22374"/>
    <w:rsid w:val="30B30181"/>
    <w:rsid w:val="30B3D6D9"/>
    <w:rsid w:val="30B4A4A8"/>
    <w:rsid w:val="30BEF8AD"/>
    <w:rsid w:val="30C1E4BB"/>
    <w:rsid w:val="30CD67CC"/>
    <w:rsid w:val="30D3C729"/>
    <w:rsid w:val="30EC81AC"/>
    <w:rsid w:val="30F1CDD9"/>
    <w:rsid w:val="30F286F1"/>
    <w:rsid w:val="30F2BE60"/>
    <w:rsid w:val="30F3BBDE"/>
    <w:rsid w:val="31111233"/>
    <w:rsid w:val="3118C6FA"/>
    <w:rsid w:val="3118F104"/>
    <w:rsid w:val="311CF900"/>
    <w:rsid w:val="31242228"/>
    <w:rsid w:val="3124E1FA"/>
    <w:rsid w:val="31292600"/>
    <w:rsid w:val="31314906"/>
    <w:rsid w:val="313A2CE3"/>
    <w:rsid w:val="31407BA4"/>
    <w:rsid w:val="3141AC0B"/>
    <w:rsid w:val="315A4781"/>
    <w:rsid w:val="316813C6"/>
    <w:rsid w:val="316B986C"/>
    <w:rsid w:val="316D7028"/>
    <w:rsid w:val="3175DC81"/>
    <w:rsid w:val="3181037E"/>
    <w:rsid w:val="318F1480"/>
    <w:rsid w:val="318F5AAB"/>
    <w:rsid w:val="318FC055"/>
    <w:rsid w:val="318FFF41"/>
    <w:rsid w:val="319AB274"/>
    <w:rsid w:val="31B19456"/>
    <w:rsid w:val="31B247F4"/>
    <w:rsid w:val="31C0ADF5"/>
    <w:rsid w:val="31DA441B"/>
    <w:rsid w:val="31E6DDA7"/>
    <w:rsid w:val="31F08D80"/>
    <w:rsid w:val="3208ACB4"/>
    <w:rsid w:val="320C24C1"/>
    <w:rsid w:val="320EABAC"/>
    <w:rsid w:val="3210733C"/>
    <w:rsid w:val="321E0DB5"/>
    <w:rsid w:val="321F6665"/>
    <w:rsid w:val="3228725A"/>
    <w:rsid w:val="322ADB7C"/>
    <w:rsid w:val="322E64EC"/>
    <w:rsid w:val="322F0234"/>
    <w:rsid w:val="323EDC60"/>
    <w:rsid w:val="323EEF29"/>
    <w:rsid w:val="32471D5A"/>
    <w:rsid w:val="32477965"/>
    <w:rsid w:val="325BEF46"/>
    <w:rsid w:val="325D390F"/>
    <w:rsid w:val="32601974"/>
    <w:rsid w:val="3265E377"/>
    <w:rsid w:val="3274777C"/>
    <w:rsid w:val="3277925F"/>
    <w:rsid w:val="327B848E"/>
    <w:rsid w:val="32861D0D"/>
    <w:rsid w:val="328BF290"/>
    <w:rsid w:val="32940C5B"/>
    <w:rsid w:val="32941ECE"/>
    <w:rsid w:val="329A0892"/>
    <w:rsid w:val="32B187A1"/>
    <w:rsid w:val="32C6AC66"/>
    <w:rsid w:val="32CE5D8E"/>
    <w:rsid w:val="32E14F7B"/>
    <w:rsid w:val="32E8EDBD"/>
    <w:rsid w:val="32F5A921"/>
    <w:rsid w:val="32FF2DA0"/>
    <w:rsid w:val="33020B10"/>
    <w:rsid w:val="33171A40"/>
    <w:rsid w:val="332C226E"/>
    <w:rsid w:val="3332468E"/>
    <w:rsid w:val="333441AE"/>
    <w:rsid w:val="3354E977"/>
    <w:rsid w:val="33560ADB"/>
    <w:rsid w:val="336A191F"/>
    <w:rsid w:val="336B8E71"/>
    <w:rsid w:val="33891C98"/>
    <w:rsid w:val="338F47A7"/>
    <w:rsid w:val="33961164"/>
    <w:rsid w:val="33B17661"/>
    <w:rsid w:val="33C1E685"/>
    <w:rsid w:val="33CCB559"/>
    <w:rsid w:val="33D3B8CC"/>
    <w:rsid w:val="3422876D"/>
    <w:rsid w:val="34241474"/>
    <w:rsid w:val="342D4EE4"/>
    <w:rsid w:val="342E3FBB"/>
    <w:rsid w:val="345A8394"/>
    <w:rsid w:val="345F1BF4"/>
    <w:rsid w:val="34700A8A"/>
    <w:rsid w:val="3471DDC5"/>
    <w:rsid w:val="347A1597"/>
    <w:rsid w:val="3480500B"/>
    <w:rsid w:val="34885F80"/>
    <w:rsid w:val="348B0613"/>
    <w:rsid w:val="349076EE"/>
    <w:rsid w:val="34912750"/>
    <w:rsid w:val="3498751F"/>
    <w:rsid w:val="34B10FE2"/>
    <w:rsid w:val="34B4C06D"/>
    <w:rsid w:val="34B6A0AC"/>
    <w:rsid w:val="34C5B0AA"/>
    <w:rsid w:val="34C795A2"/>
    <w:rsid w:val="34CC1051"/>
    <w:rsid w:val="34E263DC"/>
    <w:rsid w:val="34FB0257"/>
    <w:rsid w:val="34FE9CD5"/>
    <w:rsid w:val="3500C2D6"/>
    <w:rsid w:val="3502E807"/>
    <w:rsid w:val="350CB31A"/>
    <w:rsid w:val="35141E80"/>
    <w:rsid w:val="3520F7B3"/>
    <w:rsid w:val="35261574"/>
    <w:rsid w:val="352B687D"/>
    <w:rsid w:val="3547CDBF"/>
    <w:rsid w:val="3548A75C"/>
    <w:rsid w:val="355CA911"/>
    <w:rsid w:val="3567690C"/>
    <w:rsid w:val="35761725"/>
    <w:rsid w:val="357CA001"/>
    <w:rsid w:val="357D4A87"/>
    <w:rsid w:val="3598838A"/>
    <w:rsid w:val="35AE39E3"/>
    <w:rsid w:val="35C2A8B3"/>
    <w:rsid w:val="35E58A2F"/>
    <w:rsid w:val="35E778C6"/>
    <w:rsid w:val="35FCBA2B"/>
    <w:rsid w:val="35FDE2A6"/>
    <w:rsid w:val="35FF1F0C"/>
    <w:rsid w:val="3602AD72"/>
    <w:rsid w:val="360641C3"/>
    <w:rsid w:val="360863C3"/>
    <w:rsid w:val="361A409B"/>
    <w:rsid w:val="361AC74A"/>
    <w:rsid w:val="364B5A51"/>
    <w:rsid w:val="36637330"/>
    <w:rsid w:val="36642456"/>
    <w:rsid w:val="3673EE30"/>
    <w:rsid w:val="367BB488"/>
    <w:rsid w:val="36867C86"/>
    <w:rsid w:val="368766D8"/>
    <w:rsid w:val="36877E07"/>
    <w:rsid w:val="368BBADA"/>
    <w:rsid w:val="3691193E"/>
    <w:rsid w:val="36B331FA"/>
    <w:rsid w:val="36B63A8B"/>
    <w:rsid w:val="36C60402"/>
    <w:rsid w:val="36C9A650"/>
    <w:rsid w:val="36D4C28E"/>
    <w:rsid w:val="36ECC539"/>
    <w:rsid w:val="36F959A9"/>
    <w:rsid w:val="37062D92"/>
    <w:rsid w:val="3718F58B"/>
    <w:rsid w:val="3718FA05"/>
    <w:rsid w:val="371A8668"/>
    <w:rsid w:val="3725B4BE"/>
    <w:rsid w:val="37290B45"/>
    <w:rsid w:val="372B8F12"/>
    <w:rsid w:val="373CC989"/>
    <w:rsid w:val="373CE169"/>
    <w:rsid w:val="3751BAB5"/>
    <w:rsid w:val="3753245E"/>
    <w:rsid w:val="3756BFAD"/>
    <w:rsid w:val="375902C0"/>
    <w:rsid w:val="3762FC22"/>
    <w:rsid w:val="377860B6"/>
    <w:rsid w:val="378DE27B"/>
    <w:rsid w:val="37929FF7"/>
    <w:rsid w:val="379B4F40"/>
    <w:rsid w:val="37A01BEB"/>
    <w:rsid w:val="37A7CE20"/>
    <w:rsid w:val="37AA36C1"/>
    <w:rsid w:val="37AF66FB"/>
    <w:rsid w:val="37C9ADAF"/>
    <w:rsid w:val="37CB1FC9"/>
    <w:rsid w:val="37CCF74A"/>
    <w:rsid w:val="37FBC935"/>
    <w:rsid w:val="3815BAC1"/>
    <w:rsid w:val="3822FF12"/>
    <w:rsid w:val="382A91E7"/>
    <w:rsid w:val="3830363A"/>
    <w:rsid w:val="383191FA"/>
    <w:rsid w:val="383A9590"/>
    <w:rsid w:val="383ED643"/>
    <w:rsid w:val="38407AF6"/>
    <w:rsid w:val="384534AF"/>
    <w:rsid w:val="386E0609"/>
    <w:rsid w:val="387CAA00"/>
    <w:rsid w:val="387E3259"/>
    <w:rsid w:val="387F6879"/>
    <w:rsid w:val="38831566"/>
    <w:rsid w:val="38834B56"/>
    <w:rsid w:val="388BF832"/>
    <w:rsid w:val="388FB35A"/>
    <w:rsid w:val="38945413"/>
    <w:rsid w:val="3896EEA5"/>
    <w:rsid w:val="389ACFCB"/>
    <w:rsid w:val="38B0639B"/>
    <w:rsid w:val="38B24BAE"/>
    <w:rsid w:val="38B57765"/>
    <w:rsid w:val="38CB8FF6"/>
    <w:rsid w:val="38DE0C3C"/>
    <w:rsid w:val="38F400B6"/>
    <w:rsid w:val="390597B5"/>
    <w:rsid w:val="391D3FF1"/>
    <w:rsid w:val="392D6C38"/>
    <w:rsid w:val="39343412"/>
    <w:rsid w:val="394453E2"/>
    <w:rsid w:val="39558EBC"/>
    <w:rsid w:val="3960866F"/>
    <w:rsid w:val="39634781"/>
    <w:rsid w:val="39638919"/>
    <w:rsid w:val="3969CFD0"/>
    <w:rsid w:val="396D2708"/>
    <w:rsid w:val="397AB3AD"/>
    <w:rsid w:val="397BCB1A"/>
    <w:rsid w:val="397E72F5"/>
    <w:rsid w:val="3986A463"/>
    <w:rsid w:val="3997B81C"/>
    <w:rsid w:val="39A4E31E"/>
    <w:rsid w:val="39AFF002"/>
    <w:rsid w:val="39B5B543"/>
    <w:rsid w:val="39B6DEE3"/>
    <w:rsid w:val="39CB151B"/>
    <w:rsid w:val="39E5D0AE"/>
    <w:rsid w:val="39EC5CCA"/>
    <w:rsid w:val="39FAB3DF"/>
    <w:rsid w:val="3A198930"/>
    <w:rsid w:val="3A20B6B5"/>
    <w:rsid w:val="3A3D4570"/>
    <w:rsid w:val="3A63C102"/>
    <w:rsid w:val="3A6BA032"/>
    <w:rsid w:val="3A885CCE"/>
    <w:rsid w:val="3A936D92"/>
    <w:rsid w:val="3A980BCE"/>
    <w:rsid w:val="3A9B1EA6"/>
    <w:rsid w:val="3AB40AFD"/>
    <w:rsid w:val="3AB82514"/>
    <w:rsid w:val="3ABC1B0E"/>
    <w:rsid w:val="3AC8AA6B"/>
    <w:rsid w:val="3ADA6E4F"/>
    <w:rsid w:val="3AF29C9C"/>
    <w:rsid w:val="3AF8B056"/>
    <w:rsid w:val="3B07812D"/>
    <w:rsid w:val="3B100DF2"/>
    <w:rsid w:val="3B20B066"/>
    <w:rsid w:val="3B229BA1"/>
    <w:rsid w:val="3B275359"/>
    <w:rsid w:val="3B28B810"/>
    <w:rsid w:val="3B37CE9F"/>
    <w:rsid w:val="3B473E61"/>
    <w:rsid w:val="3B52DA32"/>
    <w:rsid w:val="3B604371"/>
    <w:rsid w:val="3B60A304"/>
    <w:rsid w:val="3B650FDF"/>
    <w:rsid w:val="3B807CF1"/>
    <w:rsid w:val="3BA08B29"/>
    <w:rsid w:val="3BAB08A6"/>
    <w:rsid w:val="3BB03B29"/>
    <w:rsid w:val="3BB2C238"/>
    <w:rsid w:val="3BB9F80C"/>
    <w:rsid w:val="3BC6F791"/>
    <w:rsid w:val="3BCF4DE4"/>
    <w:rsid w:val="3BD29644"/>
    <w:rsid w:val="3BD85251"/>
    <w:rsid w:val="3BEB280E"/>
    <w:rsid w:val="3BF403CE"/>
    <w:rsid w:val="3C1102F0"/>
    <w:rsid w:val="3C189CEE"/>
    <w:rsid w:val="3C227E95"/>
    <w:rsid w:val="3C41A171"/>
    <w:rsid w:val="3C4CC414"/>
    <w:rsid w:val="3C4F2338"/>
    <w:rsid w:val="3C69A7CD"/>
    <w:rsid w:val="3C794E67"/>
    <w:rsid w:val="3C984AA0"/>
    <w:rsid w:val="3CDA5FF8"/>
    <w:rsid w:val="3CDD9C93"/>
    <w:rsid w:val="3CDF230B"/>
    <w:rsid w:val="3CF031AC"/>
    <w:rsid w:val="3CF64918"/>
    <w:rsid w:val="3CFEBBA2"/>
    <w:rsid w:val="3D0E48DF"/>
    <w:rsid w:val="3D114510"/>
    <w:rsid w:val="3D126B79"/>
    <w:rsid w:val="3D134C2E"/>
    <w:rsid w:val="3D155EE7"/>
    <w:rsid w:val="3D2744FC"/>
    <w:rsid w:val="3D2BB2ED"/>
    <w:rsid w:val="3D2CDE87"/>
    <w:rsid w:val="3D2D92DA"/>
    <w:rsid w:val="3D3003AD"/>
    <w:rsid w:val="3D333C3C"/>
    <w:rsid w:val="3D3496D0"/>
    <w:rsid w:val="3D43E904"/>
    <w:rsid w:val="3D495288"/>
    <w:rsid w:val="3D51B704"/>
    <w:rsid w:val="3D520A60"/>
    <w:rsid w:val="3D53EBF2"/>
    <w:rsid w:val="3D58D4B1"/>
    <w:rsid w:val="3D760904"/>
    <w:rsid w:val="3D7A7CD7"/>
    <w:rsid w:val="3D7BA743"/>
    <w:rsid w:val="3D7F7479"/>
    <w:rsid w:val="3D7FC2A0"/>
    <w:rsid w:val="3D8049F6"/>
    <w:rsid w:val="3D80ED6A"/>
    <w:rsid w:val="3D829475"/>
    <w:rsid w:val="3DA7AFEF"/>
    <w:rsid w:val="3DD4231F"/>
    <w:rsid w:val="3DD6A2D0"/>
    <w:rsid w:val="3DF038A2"/>
    <w:rsid w:val="3DF59F6E"/>
    <w:rsid w:val="3E194BAE"/>
    <w:rsid w:val="3E1D1F26"/>
    <w:rsid w:val="3E271411"/>
    <w:rsid w:val="3E2AF132"/>
    <w:rsid w:val="3E2D13EE"/>
    <w:rsid w:val="3E3A071F"/>
    <w:rsid w:val="3E404691"/>
    <w:rsid w:val="3E43A5AE"/>
    <w:rsid w:val="3E444EB0"/>
    <w:rsid w:val="3E541869"/>
    <w:rsid w:val="3E648AE4"/>
    <w:rsid w:val="3E687F3A"/>
    <w:rsid w:val="3E76287F"/>
    <w:rsid w:val="3E8FB49C"/>
    <w:rsid w:val="3E96E024"/>
    <w:rsid w:val="3E9F883C"/>
    <w:rsid w:val="3EACDB5B"/>
    <w:rsid w:val="3EADE467"/>
    <w:rsid w:val="3EAEC4DB"/>
    <w:rsid w:val="3EB1738D"/>
    <w:rsid w:val="3EC2682A"/>
    <w:rsid w:val="3ECD1DF7"/>
    <w:rsid w:val="3ED5B8D3"/>
    <w:rsid w:val="3ED6F963"/>
    <w:rsid w:val="3EDA7AB2"/>
    <w:rsid w:val="3EDDB60D"/>
    <w:rsid w:val="3EE7094A"/>
    <w:rsid w:val="3EE7F66B"/>
    <w:rsid w:val="3EEF419A"/>
    <w:rsid w:val="3EFF8643"/>
    <w:rsid w:val="3F0AFBDE"/>
    <w:rsid w:val="3F21A042"/>
    <w:rsid w:val="3F2F05DD"/>
    <w:rsid w:val="3F3524FA"/>
    <w:rsid w:val="3F38A2BC"/>
    <w:rsid w:val="3F43339C"/>
    <w:rsid w:val="3F51EF9B"/>
    <w:rsid w:val="3F5411E8"/>
    <w:rsid w:val="3F5A6B24"/>
    <w:rsid w:val="3F632E57"/>
    <w:rsid w:val="3F7E9811"/>
    <w:rsid w:val="3F807963"/>
    <w:rsid w:val="3F8503D9"/>
    <w:rsid w:val="3F854EBD"/>
    <w:rsid w:val="3F8F0DB8"/>
    <w:rsid w:val="3F90D759"/>
    <w:rsid w:val="3FA0A47D"/>
    <w:rsid w:val="3FA36CC8"/>
    <w:rsid w:val="3FAB9599"/>
    <w:rsid w:val="3FAD8B5C"/>
    <w:rsid w:val="3FAE3D97"/>
    <w:rsid w:val="3FC83887"/>
    <w:rsid w:val="3FCC6AEE"/>
    <w:rsid w:val="3FCE80DB"/>
    <w:rsid w:val="3FEBBA66"/>
    <w:rsid w:val="3FF534BF"/>
    <w:rsid w:val="4005AAE2"/>
    <w:rsid w:val="4018D56C"/>
    <w:rsid w:val="401B458E"/>
    <w:rsid w:val="4026D4DC"/>
    <w:rsid w:val="404332C9"/>
    <w:rsid w:val="404B5501"/>
    <w:rsid w:val="404B9E4E"/>
    <w:rsid w:val="404E34A5"/>
    <w:rsid w:val="4052C7BA"/>
    <w:rsid w:val="4063508A"/>
    <w:rsid w:val="406DA2C6"/>
    <w:rsid w:val="40724081"/>
    <w:rsid w:val="40836CB0"/>
    <w:rsid w:val="4089C0D0"/>
    <w:rsid w:val="409300FF"/>
    <w:rsid w:val="4095D0E2"/>
    <w:rsid w:val="40A04B72"/>
    <w:rsid w:val="40C1F00E"/>
    <w:rsid w:val="40C40F1D"/>
    <w:rsid w:val="40D21AB6"/>
    <w:rsid w:val="40D931C7"/>
    <w:rsid w:val="40E0268A"/>
    <w:rsid w:val="40E8B3CC"/>
    <w:rsid w:val="40EF5CBF"/>
    <w:rsid w:val="40F67A6F"/>
    <w:rsid w:val="40F93752"/>
    <w:rsid w:val="40FA5B08"/>
    <w:rsid w:val="41099A21"/>
    <w:rsid w:val="411BFB4D"/>
    <w:rsid w:val="411FAD00"/>
    <w:rsid w:val="4132E6CB"/>
    <w:rsid w:val="413D08D4"/>
    <w:rsid w:val="41435FEA"/>
    <w:rsid w:val="4145B933"/>
    <w:rsid w:val="4146DFCC"/>
    <w:rsid w:val="4157559B"/>
    <w:rsid w:val="4163628E"/>
    <w:rsid w:val="41794591"/>
    <w:rsid w:val="41933E0B"/>
    <w:rsid w:val="419BC622"/>
    <w:rsid w:val="419BCCBA"/>
    <w:rsid w:val="419D2D5B"/>
    <w:rsid w:val="41B1889B"/>
    <w:rsid w:val="41B5E4E3"/>
    <w:rsid w:val="41D6EC23"/>
    <w:rsid w:val="41EC39CA"/>
    <w:rsid w:val="41F266D0"/>
    <w:rsid w:val="420344E7"/>
    <w:rsid w:val="420B24E3"/>
    <w:rsid w:val="4216791F"/>
    <w:rsid w:val="42273098"/>
    <w:rsid w:val="4227D59D"/>
    <w:rsid w:val="4231A543"/>
    <w:rsid w:val="424241D9"/>
    <w:rsid w:val="426B7C6D"/>
    <w:rsid w:val="4273B0B2"/>
    <w:rsid w:val="4276016F"/>
    <w:rsid w:val="427DF7F9"/>
    <w:rsid w:val="427F1D61"/>
    <w:rsid w:val="4291942D"/>
    <w:rsid w:val="4297E71A"/>
    <w:rsid w:val="42A39321"/>
    <w:rsid w:val="42A9B459"/>
    <w:rsid w:val="42AA60CE"/>
    <w:rsid w:val="42AC9FD3"/>
    <w:rsid w:val="42D2FACF"/>
    <w:rsid w:val="42E38774"/>
    <w:rsid w:val="42F0FA44"/>
    <w:rsid w:val="42F814DE"/>
    <w:rsid w:val="42FFAF8F"/>
    <w:rsid w:val="4304BBE1"/>
    <w:rsid w:val="4327E052"/>
    <w:rsid w:val="4342795A"/>
    <w:rsid w:val="4345029F"/>
    <w:rsid w:val="435E5BE6"/>
    <w:rsid w:val="435EEF3C"/>
    <w:rsid w:val="43782D6B"/>
    <w:rsid w:val="438F91EF"/>
    <w:rsid w:val="4394C021"/>
    <w:rsid w:val="439BFCA7"/>
    <w:rsid w:val="43AA6035"/>
    <w:rsid w:val="43AF99BE"/>
    <w:rsid w:val="43B2C837"/>
    <w:rsid w:val="43CC4829"/>
    <w:rsid w:val="43CDC41F"/>
    <w:rsid w:val="43CEDD1E"/>
    <w:rsid w:val="43CEF8E3"/>
    <w:rsid w:val="43E12E34"/>
    <w:rsid w:val="43F0A2FE"/>
    <w:rsid w:val="44080226"/>
    <w:rsid w:val="44087439"/>
    <w:rsid w:val="441BF3EE"/>
    <w:rsid w:val="441F3D75"/>
    <w:rsid w:val="44233877"/>
    <w:rsid w:val="4426A7AC"/>
    <w:rsid w:val="443CFA22"/>
    <w:rsid w:val="44558993"/>
    <w:rsid w:val="44575C17"/>
    <w:rsid w:val="446137B5"/>
    <w:rsid w:val="44752D4A"/>
    <w:rsid w:val="44780046"/>
    <w:rsid w:val="448507C4"/>
    <w:rsid w:val="44873257"/>
    <w:rsid w:val="44A93F2A"/>
    <w:rsid w:val="44B42EE4"/>
    <w:rsid w:val="44BE3A10"/>
    <w:rsid w:val="44C183C2"/>
    <w:rsid w:val="44CBB354"/>
    <w:rsid w:val="44D9563D"/>
    <w:rsid w:val="44F49BDA"/>
    <w:rsid w:val="4514415A"/>
    <w:rsid w:val="45148183"/>
    <w:rsid w:val="4514FF05"/>
    <w:rsid w:val="4515F3E7"/>
    <w:rsid w:val="45207316"/>
    <w:rsid w:val="45249047"/>
    <w:rsid w:val="453202FF"/>
    <w:rsid w:val="4536CBF2"/>
    <w:rsid w:val="45394CF1"/>
    <w:rsid w:val="45416BED"/>
    <w:rsid w:val="454377E3"/>
    <w:rsid w:val="4543BBC3"/>
    <w:rsid w:val="454B492B"/>
    <w:rsid w:val="4556AE1D"/>
    <w:rsid w:val="455D7989"/>
    <w:rsid w:val="455EBDAF"/>
    <w:rsid w:val="45626EEF"/>
    <w:rsid w:val="45637A65"/>
    <w:rsid w:val="45678B18"/>
    <w:rsid w:val="456F9A3F"/>
    <w:rsid w:val="45A7DE12"/>
    <w:rsid w:val="45A7E8FD"/>
    <w:rsid w:val="45AD6E7E"/>
    <w:rsid w:val="45AE34F0"/>
    <w:rsid w:val="45B619D1"/>
    <w:rsid w:val="45B7D57F"/>
    <w:rsid w:val="45B8B12D"/>
    <w:rsid w:val="45CA6BBC"/>
    <w:rsid w:val="45E669FF"/>
    <w:rsid w:val="45ED5DD8"/>
    <w:rsid w:val="45F17334"/>
    <w:rsid w:val="460639E4"/>
    <w:rsid w:val="460C4801"/>
    <w:rsid w:val="460DAEA7"/>
    <w:rsid w:val="460E6D07"/>
    <w:rsid w:val="461792DB"/>
    <w:rsid w:val="4617D677"/>
    <w:rsid w:val="461E8674"/>
    <w:rsid w:val="46285CE1"/>
    <w:rsid w:val="463AE17F"/>
    <w:rsid w:val="463FB968"/>
    <w:rsid w:val="464D7A3C"/>
    <w:rsid w:val="4655E70E"/>
    <w:rsid w:val="46629148"/>
    <w:rsid w:val="4670D240"/>
    <w:rsid w:val="467F65E4"/>
    <w:rsid w:val="4690CED0"/>
    <w:rsid w:val="46954FA6"/>
    <w:rsid w:val="4697B5DC"/>
    <w:rsid w:val="469B702E"/>
    <w:rsid w:val="46A0FF58"/>
    <w:rsid w:val="46A5B17E"/>
    <w:rsid w:val="46A9E0C4"/>
    <w:rsid w:val="46AB5954"/>
    <w:rsid w:val="46B835D0"/>
    <w:rsid w:val="46BDE966"/>
    <w:rsid w:val="46CA3189"/>
    <w:rsid w:val="46D6B60A"/>
    <w:rsid w:val="46DADE99"/>
    <w:rsid w:val="46F0B1CF"/>
    <w:rsid w:val="46F159D0"/>
    <w:rsid w:val="4700B116"/>
    <w:rsid w:val="4701B87A"/>
    <w:rsid w:val="4704F196"/>
    <w:rsid w:val="470B3B70"/>
    <w:rsid w:val="4711E261"/>
    <w:rsid w:val="47161748"/>
    <w:rsid w:val="471B64A9"/>
    <w:rsid w:val="47247B1E"/>
    <w:rsid w:val="4735403B"/>
    <w:rsid w:val="476229BA"/>
    <w:rsid w:val="47707568"/>
    <w:rsid w:val="477273CF"/>
    <w:rsid w:val="479B1C06"/>
    <w:rsid w:val="47B99570"/>
    <w:rsid w:val="47CA2233"/>
    <w:rsid w:val="47CCAC46"/>
    <w:rsid w:val="47CCCB17"/>
    <w:rsid w:val="47D4E518"/>
    <w:rsid w:val="47E0202C"/>
    <w:rsid w:val="47F523E9"/>
    <w:rsid w:val="47F77FC2"/>
    <w:rsid w:val="48094451"/>
    <w:rsid w:val="480C5A14"/>
    <w:rsid w:val="48192A5F"/>
    <w:rsid w:val="4819C5FD"/>
    <w:rsid w:val="4821554F"/>
    <w:rsid w:val="482E4878"/>
    <w:rsid w:val="48623DCA"/>
    <w:rsid w:val="4866AB14"/>
    <w:rsid w:val="4873E126"/>
    <w:rsid w:val="4875FD10"/>
    <w:rsid w:val="487914E7"/>
    <w:rsid w:val="487BF057"/>
    <w:rsid w:val="48867312"/>
    <w:rsid w:val="488E061E"/>
    <w:rsid w:val="4890D210"/>
    <w:rsid w:val="489CF897"/>
    <w:rsid w:val="489D8476"/>
    <w:rsid w:val="48A82846"/>
    <w:rsid w:val="48AE5842"/>
    <w:rsid w:val="48D095A2"/>
    <w:rsid w:val="48EF834A"/>
    <w:rsid w:val="48F0F8AA"/>
    <w:rsid w:val="48F7F94A"/>
    <w:rsid w:val="48FC2548"/>
    <w:rsid w:val="4902161E"/>
    <w:rsid w:val="4905595F"/>
    <w:rsid w:val="490B8E53"/>
    <w:rsid w:val="491118F5"/>
    <w:rsid w:val="49188CBB"/>
    <w:rsid w:val="491C6C33"/>
    <w:rsid w:val="49246197"/>
    <w:rsid w:val="492933D2"/>
    <w:rsid w:val="4931EF81"/>
    <w:rsid w:val="4933C001"/>
    <w:rsid w:val="493FA034"/>
    <w:rsid w:val="494AB8D3"/>
    <w:rsid w:val="495179BB"/>
    <w:rsid w:val="49518CEE"/>
    <w:rsid w:val="49533868"/>
    <w:rsid w:val="496E84A8"/>
    <w:rsid w:val="496FDFC2"/>
    <w:rsid w:val="497D0680"/>
    <w:rsid w:val="49856031"/>
    <w:rsid w:val="4987ED31"/>
    <w:rsid w:val="498F49DF"/>
    <w:rsid w:val="4991B0CE"/>
    <w:rsid w:val="4998AD85"/>
    <w:rsid w:val="499E64C2"/>
    <w:rsid w:val="49A9D3F4"/>
    <w:rsid w:val="49AE4D47"/>
    <w:rsid w:val="49B4792F"/>
    <w:rsid w:val="49B4DCBB"/>
    <w:rsid w:val="49C3187B"/>
    <w:rsid w:val="49DABC5F"/>
    <w:rsid w:val="49DC9628"/>
    <w:rsid w:val="49E54C9F"/>
    <w:rsid w:val="49EDD95C"/>
    <w:rsid w:val="49F43C9C"/>
    <w:rsid w:val="4A0D2DF6"/>
    <w:rsid w:val="4A108665"/>
    <w:rsid w:val="4A2103D1"/>
    <w:rsid w:val="4A2423A5"/>
    <w:rsid w:val="4A3AA962"/>
    <w:rsid w:val="4A3F08B0"/>
    <w:rsid w:val="4A50004E"/>
    <w:rsid w:val="4A563CFE"/>
    <w:rsid w:val="4A68ED4D"/>
    <w:rsid w:val="4A70DDA0"/>
    <w:rsid w:val="4A7FF2E4"/>
    <w:rsid w:val="4A8AA4C8"/>
    <w:rsid w:val="4A9DB424"/>
    <w:rsid w:val="4AAFC5FA"/>
    <w:rsid w:val="4AC697BD"/>
    <w:rsid w:val="4ADC90CF"/>
    <w:rsid w:val="4AE81C7A"/>
    <w:rsid w:val="4AF2FC5D"/>
    <w:rsid w:val="4AFCE8BD"/>
    <w:rsid w:val="4B010231"/>
    <w:rsid w:val="4B027EF4"/>
    <w:rsid w:val="4B0CA73D"/>
    <w:rsid w:val="4B26A762"/>
    <w:rsid w:val="4B354012"/>
    <w:rsid w:val="4B38FCBE"/>
    <w:rsid w:val="4B427C4A"/>
    <w:rsid w:val="4B451090"/>
    <w:rsid w:val="4B52E0CF"/>
    <w:rsid w:val="4B597510"/>
    <w:rsid w:val="4B668A58"/>
    <w:rsid w:val="4B70E119"/>
    <w:rsid w:val="4B7363D1"/>
    <w:rsid w:val="4B88FB93"/>
    <w:rsid w:val="4B92AFF2"/>
    <w:rsid w:val="4B949CD0"/>
    <w:rsid w:val="4B9B0978"/>
    <w:rsid w:val="4BA11F4F"/>
    <w:rsid w:val="4BA6905C"/>
    <w:rsid w:val="4BB246B0"/>
    <w:rsid w:val="4BBA23BA"/>
    <w:rsid w:val="4BC60C90"/>
    <w:rsid w:val="4BF1D692"/>
    <w:rsid w:val="4BF8A464"/>
    <w:rsid w:val="4BFB182C"/>
    <w:rsid w:val="4C0107CF"/>
    <w:rsid w:val="4C057A91"/>
    <w:rsid w:val="4C0A21E1"/>
    <w:rsid w:val="4C25D65C"/>
    <w:rsid w:val="4C42C230"/>
    <w:rsid w:val="4C4E2133"/>
    <w:rsid w:val="4C63BB83"/>
    <w:rsid w:val="4C67128A"/>
    <w:rsid w:val="4C829BD9"/>
    <w:rsid w:val="4CA217A0"/>
    <w:rsid w:val="4CA4C844"/>
    <w:rsid w:val="4CA73771"/>
    <w:rsid w:val="4CA763C7"/>
    <w:rsid w:val="4CAF60B3"/>
    <w:rsid w:val="4CAFF80D"/>
    <w:rsid w:val="4CBBD36F"/>
    <w:rsid w:val="4CC263DD"/>
    <w:rsid w:val="4CC84C59"/>
    <w:rsid w:val="4CDD6248"/>
    <w:rsid w:val="4CE6E8BB"/>
    <w:rsid w:val="4CF341FA"/>
    <w:rsid w:val="4D0A0C7E"/>
    <w:rsid w:val="4D398913"/>
    <w:rsid w:val="4D3FCCCC"/>
    <w:rsid w:val="4D3FFF8C"/>
    <w:rsid w:val="4D49C48A"/>
    <w:rsid w:val="4D5C9707"/>
    <w:rsid w:val="4D5DE972"/>
    <w:rsid w:val="4D6CF802"/>
    <w:rsid w:val="4D70B33B"/>
    <w:rsid w:val="4D792D05"/>
    <w:rsid w:val="4D7C3825"/>
    <w:rsid w:val="4D91BBE2"/>
    <w:rsid w:val="4D9802A6"/>
    <w:rsid w:val="4DA225E9"/>
    <w:rsid w:val="4DC4AAD5"/>
    <w:rsid w:val="4DD6EF56"/>
    <w:rsid w:val="4DD88E36"/>
    <w:rsid w:val="4DD8DD21"/>
    <w:rsid w:val="4DDB279D"/>
    <w:rsid w:val="4DFD1B99"/>
    <w:rsid w:val="4E07102F"/>
    <w:rsid w:val="4E073F88"/>
    <w:rsid w:val="4E091B59"/>
    <w:rsid w:val="4E155BB2"/>
    <w:rsid w:val="4E1DC505"/>
    <w:rsid w:val="4E1DFF47"/>
    <w:rsid w:val="4E22F461"/>
    <w:rsid w:val="4E2866E0"/>
    <w:rsid w:val="4E28BD86"/>
    <w:rsid w:val="4E44EA7D"/>
    <w:rsid w:val="4E47AEBC"/>
    <w:rsid w:val="4E55511B"/>
    <w:rsid w:val="4E566FDB"/>
    <w:rsid w:val="4E5D69D9"/>
    <w:rsid w:val="4E6E8DF1"/>
    <w:rsid w:val="4E824521"/>
    <w:rsid w:val="4EA62DDA"/>
    <w:rsid w:val="4EB10323"/>
    <w:rsid w:val="4EBCA259"/>
    <w:rsid w:val="4EBD3BB0"/>
    <w:rsid w:val="4ED0892B"/>
    <w:rsid w:val="4ED0C77E"/>
    <w:rsid w:val="4ED3D331"/>
    <w:rsid w:val="4EEC4308"/>
    <w:rsid w:val="4EEF8847"/>
    <w:rsid w:val="4EFB474E"/>
    <w:rsid w:val="4F1FC09A"/>
    <w:rsid w:val="4F331369"/>
    <w:rsid w:val="4F444D4F"/>
    <w:rsid w:val="4F4A27B2"/>
    <w:rsid w:val="4F50011B"/>
    <w:rsid w:val="4F6CBB63"/>
    <w:rsid w:val="4F7984B1"/>
    <w:rsid w:val="4F8BA96C"/>
    <w:rsid w:val="4F8C748D"/>
    <w:rsid w:val="4F8E62E4"/>
    <w:rsid w:val="4F9849F7"/>
    <w:rsid w:val="4F9940D1"/>
    <w:rsid w:val="4FB3983D"/>
    <w:rsid w:val="4FB4564A"/>
    <w:rsid w:val="4FBE5566"/>
    <w:rsid w:val="4FC19118"/>
    <w:rsid w:val="4FC7D4AE"/>
    <w:rsid w:val="4FDC01F2"/>
    <w:rsid w:val="4FE0AC53"/>
    <w:rsid w:val="4FE70E59"/>
    <w:rsid w:val="4FE7D23E"/>
    <w:rsid w:val="4FEC2C44"/>
    <w:rsid w:val="4FEFF31A"/>
    <w:rsid w:val="500F6225"/>
    <w:rsid w:val="50123E95"/>
    <w:rsid w:val="503EDDC9"/>
    <w:rsid w:val="504C1EB7"/>
    <w:rsid w:val="505B1BE7"/>
    <w:rsid w:val="505B33F8"/>
    <w:rsid w:val="506B80AF"/>
    <w:rsid w:val="50791E73"/>
    <w:rsid w:val="507F196C"/>
    <w:rsid w:val="508B06A8"/>
    <w:rsid w:val="5094255E"/>
    <w:rsid w:val="50A4BF9E"/>
    <w:rsid w:val="50B7F707"/>
    <w:rsid w:val="50BF2AA8"/>
    <w:rsid w:val="50C1604F"/>
    <w:rsid w:val="50E6E017"/>
    <w:rsid w:val="50F95F39"/>
    <w:rsid w:val="51022FC0"/>
    <w:rsid w:val="51117EFD"/>
    <w:rsid w:val="5129EAA4"/>
    <w:rsid w:val="513F4A78"/>
    <w:rsid w:val="513FC3EF"/>
    <w:rsid w:val="514E91BF"/>
    <w:rsid w:val="51537A97"/>
    <w:rsid w:val="5162EAA7"/>
    <w:rsid w:val="51B88C85"/>
    <w:rsid w:val="51BAF913"/>
    <w:rsid w:val="51BC73A6"/>
    <w:rsid w:val="51C4FAE5"/>
    <w:rsid w:val="51D0BCDC"/>
    <w:rsid w:val="51DD859C"/>
    <w:rsid w:val="51FFCF17"/>
    <w:rsid w:val="5215C4BD"/>
    <w:rsid w:val="52309602"/>
    <w:rsid w:val="5232BA2D"/>
    <w:rsid w:val="52483C40"/>
    <w:rsid w:val="525578FC"/>
    <w:rsid w:val="52767E7C"/>
    <w:rsid w:val="5298CF89"/>
    <w:rsid w:val="529B016E"/>
    <w:rsid w:val="52ABCBD6"/>
    <w:rsid w:val="52AEAF5B"/>
    <w:rsid w:val="52B48047"/>
    <w:rsid w:val="52D27A07"/>
    <w:rsid w:val="52E04BF8"/>
    <w:rsid w:val="52E93CDC"/>
    <w:rsid w:val="52EA73E8"/>
    <w:rsid w:val="52EEF8B8"/>
    <w:rsid w:val="52FCA589"/>
    <w:rsid w:val="53044DE8"/>
    <w:rsid w:val="530BBCC5"/>
    <w:rsid w:val="532123D5"/>
    <w:rsid w:val="5337AC21"/>
    <w:rsid w:val="5339B07C"/>
    <w:rsid w:val="53517F5F"/>
    <w:rsid w:val="5359D7C3"/>
    <w:rsid w:val="535D557F"/>
    <w:rsid w:val="53654302"/>
    <w:rsid w:val="53687186"/>
    <w:rsid w:val="537AAD5D"/>
    <w:rsid w:val="53A4BF3F"/>
    <w:rsid w:val="53A6BEE8"/>
    <w:rsid w:val="53AC5168"/>
    <w:rsid w:val="53B94B37"/>
    <w:rsid w:val="53BD641F"/>
    <w:rsid w:val="53DB6745"/>
    <w:rsid w:val="53DBDAD3"/>
    <w:rsid w:val="53DF0B39"/>
    <w:rsid w:val="53E37BFD"/>
    <w:rsid w:val="53EA4B58"/>
    <w:rsid w:val="53F263A5"/>
    <w:rsid w:val="53F45B8D"/>
    <w:rsid w:val="53FEDE5C"/>
    <w:rsid w:val="540DB7B8"/>
    <w:rsid w:val="542A55C7"/>
    <w:rsid w:val="542DD095"/>
    <w:rsid w:val="544D5068"/>
    <w:rsid w:val="5463A741"/>
    <w:rsid w:val="5466A6AA"/>
    <w:rsid w:val="546B3494"/>
    <w:rsid w:val="54831E29"/>
    <w:rsid w:val="5485BD3C"/>
    <w:rsid w:val="549858F2"/>
    <w:rsid w:val="549CD70E"/>
    <w:rsid w:val="54A51760"/>
    <w:rsid w:val="54A77FF8"/>
    <w:rsid w:val="54A7A837"/>
    <w:rsid w:val="54AFEA2B"/>
    <w:rsid w:val="54B29C7D"/>
    <w:rsid w:val="54C098B6"/>
    <w:rsid w:val="54FBA503"/>
    <w:rsid w:val="54FECEB8"/>
    <w:rsid w:val="55240357"/>
    <w:rsid w:val="552B9D34"/>
    <w:rsid w:val="55389D97"/>
    <w:rsid w:val="55426E03"/>
    <w:rsid w:val="554386E2"/>
    <w:rsid w:val="554EBF25"/>
    <w:rsid w:val="5561B5E6"/>
    <w:rsid w:val="556F62BD"/>
    <w:rsid w:val="5582D036"/>
    <w:rsid w:val="558A55DC"/>
    <w:rsid w:val="558CBC5F"/>
    <w:rsid w:val="558D7354"/>
    <w:rsid w:val="55AAB290"/>
    <w:rsid w:val="55B370E5"/>
    <w:rsid w:val="55C0FD37"/>
    <w:rsid w:val="55CA0116"/>
    <w:rsid w:val="55F7462D"/>
    <w:rsid w:val="55F9F055"/>
    <w:rsid w:val="55F9FD18"/>
    <w:rsid w:val="56059F8D"/>
    <w:rsid w:val="561FBCB2"/>
    <w:rsid w:val="562D67F3"/>
    <w:rsid w:val="56396461"/>
    <w:rsid w:val="563B71F5"/>
    <w:rsid w:val="5643B6E4"/>
    <w:rsid w:val="564F49CD"/>
    <w:rsid w:val="564F5BBA"/>
    <w:rsid w:val="56536F97"/>
    <w:rsid w:val="565A9A4B"/>
    <w:rsid w:val="565CBE97"/>
    <w:rsid w:val="56674382"/>
    <w:rsid w:val="568304CD"/>
    <w:rsid w:val="568F17B9"/>
    <w:rsid w:val="569F47EE"/>
    <w:rsid w:val="56A1BBC7"/>
    <w:rsid w:val="56B8A960"/>
    <w:rsid w:val="56C2C875"/>
    <w:rsid w:val="56C2EA03"/>
    <w:rsid w:val="56C51C40"/>
    <w:rsid w:val="56CC550F"/>
    <w:rsid w:val="56DF92C6"/>
    <w:rsid w:val="56E7C017"/>
    <w:rsid w:val="56ECE2AA"/>
    <w:rsid w:val="56FD256C"/>
    <w:rsid w:val="570EF993"/>
    <w:rsid w:val="570F44D4"/>
    <w:rsid w:val="570FA40F"/>
    <w:rsid w:val="57162B01"/>
    <w:rsid w:val="571926B9"/>
    <w:rsid w:val="57321FF7"/>
    <w:rsid w:val="57373A2B"/>
    <w:rsid w:val="573E4415"/>
    <w:rsid w:val="574523D3"/>
    <w:rsid w:val="574C96A4"/>
    <w:rsid w:val="575649D8"/>
    <w:rsid w:val="5759C40F"/>
    <w:rsid w:val="575F5505"/>
    <w:rsid w:val="576F150B"/>
    <w:rsid w:val="578B984C"/>
    <w:rsid w:val="579DD4D1"/>
    <w:rsid w:val="579F8906"/>
    <w:rsid w:val="57A424E2"/>
    <w:rsid w:val="57AE0979"/>
    <w:rsid w:val="57AE4250"/>
    <w:rsid w:val="57B459B3"/>
    <w:rsid w:val="57C4D147"/>
    <w:rsid w:val="57D91362"/>
    <w:rsid w:val="57DDBD19"/>
    <w:rsid w:val="57F8A893"/>
    <w:rsid w:val="58047314"/>
    <w:rsid w:val="5807ACB1"/>
    <w:rsid w:val="5809F81E"/>
    <w:rsid w:val="580FFFEB"/>
    <w:rsid w:val="581BBD1F"/>
    <w:rsid w:val="58261C7E"/>
    <w:rsid w:val="58269F1D"/>
    <w:rsid w:val="582E2B0A"/>
    <w:rsid w:val="58474BAE"/>
    <w:rsid w:val="584BC7A1"/>
    <w:rsid w:val="584EEFF2"/>
    <w:rsid w:val="5850F614"/>
    <w:rsid w:val="5855AF35"/>
    <w:rsid w:val="585EBDF0"/>
    <w:rsid w:val="58615943"/>
    <w:rsid w:val="586F2971"/>
    <w:rsid w:val="58736C44"/>
    <w:rsid w:val="587C6BE0"/>
    <w:rsid w:val="5880BCE9"/>
    <w:rsid w:val="58884BA9"/>
    <w:rsid w:val="588DA358"/>
    <w:rsid w:val="5890A55A"/>
    <w:rsid w:val="58940289"/>
    <w:rsid w:val="5896D276"/>
    <w:rsid w:val="589FB3FB"/>
    <w:rsid w:val="58A78CB4"/>
    <w:rsid w:val="58BB973D"/>
    <w:rsid w:val="58C5A327"/>
    <w:rsid w:val="58C94C3F"/>
    <w:rsid w:val="58CA79F6"/>
    <w:rsid w:val="58D0A7BC"/>
    <w:rsid w:val="58DCF518"/>
    <w:rsid w:val="58EB8DC7"/>
    <w:rsid w:val="58F65530"/>
    <w:rsid w:val="591342DA"/>
    <w:rsid w:val="5916BB61"/>
    <w:rsid w:val="5918D1E1"/>
    <w:rsid w:val="591CF5F9"/>
    <w:rsid w:val="592C0FD2"/>
    <w:rsid w:val="5947D4C4"/>
    <w:rsid w:val="59501C0A"/>
    <w:rsid w:val="595322A3"/>
    <w:rsid w:val="59686592"/>
    <w:rsid w:val="596E39C4"/>
    <w:rsid w:val="597237F1"/>
    <w:rsid w:val="5987DF36"/>
    <w:rsid w:val="599ED229"/>
    <w:rsid w:val="59B0EFE8"/>
    <w:rsid w:val="59B64F63"/>
    <w:rsid w:val="59B839CA"/>
    <w:rsid w:val="59BAD4F9"/>
    <w:rsid w:val="59DE33B2"/>
    <w:rsid w:val="59E374E7"/>
    <w:rsid w:val="59EF160A"/>
    <w:rsid w:val="59EFBCA7"/>
    <w:rsid w:val="5A0FA727"/>
    <w:rsid w:val="5A10CA23"/>
    <w:rsid w:val="5A115AEF"/>
    <w:rsid w:val="5A17B002"/>
    <w:rsid w:val="5A24DDC2"/>
    <w:rsid w:val="5A39BF09"/>
    <w:rsid w:val="5A3F3CFB"/>
    <w:rsid w:val="5A4DCBC3"/>
    <w:rsid w:val="5A5C6E5E"/>
    <w:rsid w:val="5A7EFAE5"/>
    <w:rsid w:val="5A820F73"/>
    <w:rsid w:val="5A83EE9A"/>
    <w:rsid w:val="5A98C092"/>
    <w:rsid w:val="5AA14B33"/>
    <w:rsid w:val="5AADC06C"/>
    <w:rsid w:val="5AB1DDD1"/>
    <w:rsid w:val="5AB5AC60"/>
    <w:rsid w:val="5AD862B5"/>
    <w:rsid w:val="5AD9AB37"/>
    <w:rsid w:val="5ADFFB65"/>
    <w:rsid w:val="5AECCEB0"/>
    <w:rsid w:val="5B0B7EEB"/>
    <w:rsid w:val="5B0CD584"/>
    <w:rsid w:val="5B1AAE61"/>
    <w:rsid w:val="5B1CE68D"/>
    <w:rsid w:val="5B1FD076"/>
    <w:rsid w:val="5B28BEDE"/>
    <w:rsid w:val="5B331C7D"/>
    <w:rsid w:val="5B450D16"/>
    <w:rsid w:val="5B55041D"/>
    <w:rsid w:val="5B556FF5"/>
    <w:rsid w:val="5B5B5E9B"/>
    <w:rsid w:val="5B62FE26"/>
    <w:rsid w:val="5B70EBA7"/>
    <w:rsid w:val="5B7C836F"/>
    <w:rsid w:val="5B7E0165"/>
    <w:rsid w:val="5BAACEBA"/>
    <w:rsid w:val="5BB606C8"/>
    <w:rsid w:val="5BCC8139"/>
    <w:rsid w:val="5BD7037A"/>
    <w:rsid w:val="5BE036D3"/>
    <w:rsid w:val="5BF6528F"/>
    <w:rsid w:val="5C03E9BE"/>
    <w:rsid w:val="5C2A7C1D"/>
    <w:rsid w:val="5C2BAB0D"/>
    <w:rsid w:val="5C31EA3E"/>
    <w:rsid w:val="5C4772FF"/>
    <w:rsid w:val="5C4EF90C"/>
    <w:rsid w:val="5C58B1B7"/>
    <w:rsid w:val="5C603073"/>
    <w:rsid w:val="5C90C18D"/>
    <w:rsid w:val="5CA1C312"/>
    <w:rsid w:val="5CE41435"/>
    <w:rsid w:val="5CF4D33D"/>
    <w:rsid w:val="5CF56115"/>
    <w:rsid w:val="5CF5B52E"/>
    <w:rsid w:val="5D032889"/>
    <w:rsid w:val="5D0B4935"/>
    <w:rsid w:val="5D1745BA"/>
    <w:rsid w:val="5D186F23"/>
    <w:rsid w:val="5D2097AC"/>
    <w:rsid w:val="5D4C5D19"/>
    <w:rsid w:val="5D664532"/>
    <w:rsid w:val="5D6BDF7D"/>
    <w:rsid w:val="5D6FC9A2"/>
    <w:rsid w:val="5D78EFCF"/>
    <w:rsid w:val="5D7A9091"/>
    <w:rsid w:val="5D8022BA"/>
    <w:rsid w:val="5D817D5A"/>
    <w:rsid w:val="5D86E103"/>
    <w:rsid w:val="5D8AAF9E"/>
    <w:rsid w:val="5D8DB9A4"/>
    <w:rsid w:val="5DAF7357"/>
    <w:rsid w:val="5DB56E27"/>
    <w:rsid w:val="5DC3C3D5"/>
    <w:rsid w:val="5DC47506"/>
    <w:rsid w:val="5DCF935C"/>
    <w:rsid w:val="5DDE73C3"/>
    <w:rsid w:val="5DF10004"/>
    <w:rsid w:val="5DF50D79"/>
    <w:rsid w:val="5DFE174A"/>
    <w:rsid w:val="5E00A789"/>
    <w:rsid w:val="5E0A7001"/>
    <w:rsid w:val="5E16868F"/>
    <w:rsid w:val="5E219BFD"/>
    <w:rsid w:val="5E30FB75"/>
    <w:rsid w:val="5E37BC39"/>
    <w:rsid w:val="5E4090DD"/>
    <w:rsid w:val="5E58A103"/>
    <w:rsid w:val="5E70C9D3"/>
    <w:rsid w:val="5E7BF2D4"/>
    <w:rsid w:val="5E86D760"/>
    <w:rsid w:val="5E8C3DC1"/>
    <w:rsid w:val="5E913176"/>
    <w:rsid w:val="5EA9D80B"/>
    <w:rsid w:val="5EAB242D"/>
    <w:rsid w:val="5ECBD664"/>
    <w:rsid w:val="5ECF8898"/>
    <w:rsid w:val="5ECFACDA"/>
    <w:rsid w:val="5ED67682"/>
    <w:rsid w:val="5EE799B5"/>
    <w:rsid w:val="5EF1E680"/>
    <w:rsid w:val="5EFEC21E"/>
    <w:rsid w:val="5F116120"/>
    <w:rsid w:val="5F148691"/>
    <w:rsid w:val="5F223903"/>
    <w:rsid w:val="5F29886D"/>
    <w:rsid w:val="5F3F81F0"/>
    <w:rsid w:val="5F40BF94"/>
    <w:rsid w:val="5F464513"/>
    <w:rsid w:val="5F526212"/>
    <w:rsid w:val="5F5B4B66"/>
    <w:rsid w:val="5F6CBB81"/>
    <w:rsid w:val="5F6D8AD3"/>
    <w:rsid w:val="5F7DB93C"/>
    <w:rsid w:val="5F7ED647"/>
    <w:rsid w:val="5FB6B76D"/>
    <w:rsid w:val="5FBDBEAF"/>
    <w:rsid w:val="5FBE2F81"/>
    <w:rsid w:val="5FBEF814"/>
    <w:rsid w:val="5FC775BE"/>
    <w:rsid w:val="5FC7AAE4"/>
    <w:rsid w:val="5FD4B58D"/>
    <w:rsid w:val="5FDB2AA8"/>
    <w:rsid w:val="5FDB9FD1"/>
    <w:rsid w:val="5FE2AB59"/>
    <w:rsid w:val="5FE83F8A"/>
    <w:rsid w:val="5FF37B4F"/>
    <w:rsid w:val="60024E25"/>
    <w:rsid w:val="60166F1A"/>
    <w:rsid w:val="601B2E01"/>
    <w:rsid w:val="60201D1B"/>
    <w:rsid w:val="6034211E"/>
    <w:rsid w:val="60366404"/>
    <w:rsid w:val="603C91D2"/>
    <w:rsid w:val="603E84FF"/>
    <w:rsid w:val="60458B4E"/>
    <w:rsid w:val="60489E0D"/>
    <w:rsid w:val="604D96E6"/>
    <w:rsid w:val="6051AAB3"/>
    <w:rsid w:val="605FA783"/>
    <w:rsid w:val="60686932"/>
    <w:rsid w:val="606AAC63"/>
    <w:rsid w:val="607061E4"/>
    <w:rsid w:val="6077486C"/>
    <w:rsid w:val="60967C4B"/>
    <w:rsid w:val="60A2A50D"/>
    <w:rsid w:val="60A35E8C"/>
    <w:rsid w:val="60AEFEF5"/>
    <w:rsid w:val="60C65CF7"/>
    <w:rsid w:val="60C6851E"/>
    <w:rsid w:val="60CAAC56"/>
    <w:rsid w:val="60D92AEF"/>
    <w:rsid w:val="60E2F939"/>
    <w:rsid w:val="60F33C2C"/>
    <w:rsid w:val="60F8B578"/>
    <w:rsid w:val="610694E4"/>
    <w:rsid w:val="6108855E"/>
    <w:rsid w:val="6109983C"/>
    <w:rsid w:val="6109CAFC"/>
    <w:rsid w:val="610D52BD"/>
    <w:rsid w:val="6119348C"/>
    <w:rsid w:val="613F87B2"/>
    <w:rsid w:val="614102B8"/>
    <w:rsid w:val="61520CE5"/>
    <w:rsid w:val="61589480"/>
    <w:rsid w:val="61605434"/>
    <w:rsid w:val="6176CB4C"/>
    <w:rsid w:val="61811479"/>
    <w:rsid w:val="61873C22"/>
    <w:rsid w:val="619F4083"/>
    <w:rsid w:val="61A2FAD6"/>
    <w:rsid w:val="61BED46C"/>
    <w:rsid w:val="61C35635"/>
    <w:rsid w:val="61CB470C"/>
    <w:rsid w:val="61D554B7"/>
    <w:rsid w:val="61DAB4B0"/>
    <w:rsid w:val="61E1E019"/>
    <w:rsid w:val="61E77D76"/>
    <w:rsid w:val="61ED794E"/>
    <w:rsid w:val="61F7450F"/>
    <w:rsid w:val="620159AB"/>
    <w:rsid w:val="620237C9"/>
    <w:rsid w:val="62029CD8"/>
    <w:rsid w:val="6203A012"/>
    <w:rsid w:val="620A2B58"/>
    <w:rsid w:val="621F6F47"/>
    <w:rsid w:val="6258AB0F"/>
    <w:rsid w:val="62591123"/>
    <w:rsid w:val="626FCA7B"/>
    <w:rsid w:val="627157D6"/>
    <w:rsid w:val="62857823"/>
    <w:rsid w:val="62B1A84C"/>
    <w:rsid w:val="62B4E6D2"/>
    <w:rsid w:val="62BAABC6"/>
    <w:rsid w:val="62F39719"/>
    <w:rsid w:val="63055366"/>
    <w:rsid w:val="63128FE3"/>
    <w:rsid w:val="631A15BD"/>
    <w:rsid w:val="6322C666"/>
    <w:rsid w:val="6332B01F"/>
    <w:rsid w:val="6333415A"/>
    <w:rsid w:val="63376378"/>
    <w:rsid w:val="63393357"/>
    <w:rsid w:val="633EB398"/>
    <w:rsid w:val="6343A3C1"/>
    <w:rsid w:val="63476EC3"/>
    <w:rsid w:val="6349B208"/>
    <w:rsid w:val="63638FB0"/>
    <w:rsid w:val="63689A67"/>
    <w:rsid w:val="6368B6DE"/>
    <w:rsid w:val="636AF785"/>
    <w:rsid w:val="636EB520"/>
    <w:rsid w:val="638164FE"/>
    <w:rsid w:val="6390FEE8"/>
    <w:rsid w:val="63910D95"/>
    <w:rsid w:val="6396C53D"/>
    <w:rsid w:val="639B5A41"/>
    <w:rsid w:val="63ADA959"/>
    <w:rsid w:val="63B306B6"/>
    <w:rsid w:val="63B81C26"/>
    <w:rsid w:val="63C76DC8"/>
    <w:rsid w:val="63CBA8E2"/>
    <w:rsid w:val="63CE70D2"/>
    <w:rsid w:val="63D77029"/>
    <w:rsid w:val="63E040BB"/>
    <w:rsid w:val="63E90F77"/>
    <w:rsid w:val="63EBAB0E"/>
    <w:rsid w:val="63EC9C62"/>
    <w:rsid w:val="63F45761"/>
    <w:rsid w:val="63F5D2C8"/>
    <w:rsid w:val="640B2B88"/>
    <w:rsid w:val="640BA419"/>
    <w:rsid w:val="6415F940"/>
    <w:rsid w:val="64186E32"/>
    <w:rsid w:val="645670F7"/>
    <w:rsid w:val="645AE713"/>
    <w:rsid w:val="64615FB6"/>
    <w:rsid w:val="649CAF2D"/>
    <w:rsid w:val="64B080CC"/>
    <w:rsid w:val="64D76BE5"/>
    <w:rsid w:val="64D9A56D"/>
    <w:rsid w:val="64DA032C"/>
    <w:rsid w:val="64DCFDDC"/>
    <w:rsid w:val="64DF3482"/>
    <w:rsid w:val="64E5B0D7"/>
    <w:rsid w:val="6506DF23"/>
    <w:rsid w:val="651AEE8F"/>
    <w:rsid w:val="6520F47A"/>
    <w:rsid w:val="65338888"/>
    <w:rsid w:val="6533EBAB"/>
    <w:rsid w:val="653E620E"/>
    <w:rsid w:val="653F3B9B"/>
    <w:rsid w:val="6541CF74"/>
    <w:rsid w:val="6547739A"/>
    <w:rsid w:val="654FD0BC"/>
    <w:rsid w:val="6551EE59"/>
    <w:rsid w:val="65784EEF"/>
    <w:rsid w:val="657AB64C"/>
    <w:rsid w:val="65853C00"/>
    <w:rsid w:val="6592FD7B"/>
    <w:rsid w:val="65955069"/>
    <w:rsid w:val="65A98752"/>
    <w:rsid w:val="65BBC72F"/>
    <w:rsid w:val="65C5FA52"/>
    <w:rsid w:val="65D9D28E"/>
    <w:rsid w:val="65DF63A2"/>
    <w:rsid w:val="65F3586A"/>
    <w:rsid w:val="65F5561F"/>
    <w:rsid w:val="65FF223C"/>
    <w:rsid w:val="660E28A4"/>
    <w:rsid w:val="6613103C"/>
    <w:rsid w:val="661F300F"/>
    <w:rsid w:val="66206AD4"/>
    <w:rsid w:val="6627A5D9"/>
    <w:rsid w:val="66319A62"/>
    <w:rsid w:val="6637029B"/>
    <w:rsid w:val="6644A215"/>
    <w:rsid w:val="665A6534"/>
    <w:rsid w:val="665C8843"/>
    <w:rsid w:val="6675A01F"/>
    <w:rsid w:val="667BC06D"/>
    <w:rsid w:val="667D4C4E"/>
    <w:rsid w:val="668DFAE4"/>
    <w:rsid w:val="669C13C1"/>
    <w:rsid w:val="669D73DF"/>
    <w:rsid w:val="66A1C74B"/>
    <w:rsid w:val="66A499E0"/>
    <w:rsid w:val="66C0E5CD"/>
    <w:rsid w:val="66C15833"/>
    <w:rsid w:val="66D4355F"/>
    <w:rsid w:val="66E07C5D"/>
    <w:rsid w:val="66E95D58"/>
    <w:rsid w:val="66F1085E"/>
    <w:rsid w:val="66FD392C"/>
    <w:rsid w:val="6706D1D0"/>
    <w:rsid w:val="670E3269"/>
    <w:rsid w:val="6711A58F"/>
    <w:rsid w:val="6711B6A8"/>
    <w:rsid w:val="671AAC51"/>
    <w:rsid w:val="671BAA0B"/>
    <w:rsid w:val="672906EA"/>
    <w:rsid w:val="6739E507"/>
    <w:rsid w:val="674BD32F"/>
    <w:rsid w:val="674D317C"/>
    <w:rsid w:val="675986F1"/>
    <w:rsid w:val="675A1254"/>
    <w:rsid w:val="67683B8C"/>
    <w:rsid w:val="676C9BC0"/>
    <w:rsid w:val="67756BD9"/>
    <w:rsid w:val="6775D508"/>
    <w:rsid w:val="678915BC"/>
    <w:rsid w:val="67929F1D"/>
    <w:rsid w:val="67957D8A"/>
    <w:rsid w:val="67A3A15D"/>
    <w:rsid w:val="67A784F1"/>
    <w:rsid w:val="67AFED05"/>
    <w:rsid w:val="67C7F9B1"/>
    <w:rsid w:val="67D91CF2"/>
    <w:rsid w:val="67D9F4D4"/>
    <w:rsid w:val="67DAA7FC"/>
    <w:rsid w:val="67DBAC79"/>
    <w:rsid w:val="67E94055"/>
    <w:rsid w:val="68033171"/>
    <w:rsid w:val="6809159A"/>
    <w:rsid w:val="680F0BAA"/>
    <w:rsid w:val="6826E91E"/>
    <w:rsid w:val="682E3C60"/>
    <w:rsid w:val="68371A60"/>
    <w:rsid w:val="684D0AB9"/>
    <w:rsid w:val="68657157"/>
    <w:rsid w:val="68695DFA"/>
    <w:rsid w:val="687233F1"/>
    <w:rsid w:val="6874DF15"/>
    <w:rsid w:val="6876D296"/>
    <w:rsid w:val="6880311F"/>
    <w:rsid w:val="68890373"/>
    <w:rsid w:val="688B0B0D"/>
    <w:rsid w:val="6892997A"/>
    <w:rsid w:val="6893761D"/>
    <w:rsid w:val="68ABA36E"/>
    <w:rsid w:val="68C17B3B"/>
    <w:rsid w:val="68D0F521"/>
    <w:rsid w:val="68D22FDF"/>
    <w:rsid w:val="68DA2627"/>
    <w:rsid w:val="68E50898"/>
    <w:rsid w:val="68EE3070"/>
    <w:rsid w:val="68F2D043"/>
    <w:rsid w:val="6901F0EB"/>
    <w:rsid w:val="6906A601"/>
    <w:rsid w:val="6913D29C"/>
    <w:rsid w:val="69249520"/>
    <w:rsid w:val="6932D1A2"/>
    <w:rsid w:val="6939BB9C"/>
    <w:rsid w:val="6957DFAF"/>
    <w:rsid w:val="695D2661"/>
    <w:rsid w:val="695DA7AF"/>
    <w:rsid w:val="69615621"/>
    <w:rsid w:val="6961D15A"/>
    <w:rsid w:val="69757856"/>
    <w:rsid w:val="697851C2"/>
    <w:rsid w:val="697A65BC"/>
    <w:rsid w:val="697D37F9"/>
    <w:rsid w:val="698BEE68"/>
    <w:rsid w:val="699B3A90"/>
    <w:rsid w:val="69A9134A"/>
    <w:rsid w:val="69C15853"/>
    <w:rsid w:val="69D6F181"/>
    <w:rsid w:val="69E342DC"/>
    <w:rsid w:val="69ED3109"/>
    <w:rsid w:val="6A007E3A"/>
    <w:rsid w:val="6A04C918"/>
    <w:rsid w:val="6A131700"/>
    <w:rsid w:val="6A260E2D"/>
    <w:rsid w:val="6A2F9975"/>
    <w:rsid w:val="6A39E012"/>
    <w:rsid w:val="6A5D0174"/>
    <w:rsid w:val="6A6C21CD"/>
    <w:rsid w:val="6A856869"/>
    <w:rsid w:val="6A898760"/>
    <w:rsid w:val="6A9289B3"/>
    <w:rsid w:val="6A9CC656"/>
    <w:rsid w:val="6AA39756"/>
    <w:rsid w:val="6AB19DCD"/>
    <w:rsid w:val="6ACE9BBF"/>
    <w:rsid w:val="6AD84AFF"/>
    <w:rsid w:val="6AE40D05"/>
    <w:rsid w:val="6AF0C084"/>
    <w:rsid w:val="6AF432F8"/>
    <w:rsid w:val="6AF545D0"/>
    <w:rsid w:val="6AF557F1"/>
    <w:rsid w:val="6B08ACB0"/>
    <w:rsid w:val="6B26D20B"/>
    <w:rsid w:val="6B2D2924"/>
    <w:rsid w:val="6B3ACCAA"/>
    <w:rsid w:val="6B3FA730"/>
    <w:rsid w:val="6B4EB901"/>
    <w:rsid w:val="6B54C8E5"/>
    <w:rsid w:val="6B723285"/>
    <w:rsid w:val="6B9EA303"/>
    <w:rsid w:val="6BA09135"/>
    <w:rsid w:val="6BB11D01"/>
    <w:rsid w:val="6BC4E438"/>
    <w:rsid w:val="6BC5B8E7"/>
    <w:rsid w:val="6BF34558"/>
    <w:rsid w:val="6BFC808A"/>
    <w:rsid w:val="6C08D9DA"/>
    <w:rsid w:val="6C25AC05"/>
    <w:rsid w:val="6C328660"/>
    <w:rsid w:val="6C3A887F"/>
    <w:rsid w:val="6C4455E8"/>
    <w:rsid w:val="6C49F829"/>
    <w:rsid w:val="6C6F8A1B"/>
    <w:rsid w:val="6C7B1155"/>
    <w:rsid w:val="6C8A36DB"/>
    <w:rsid w:val="6C8B3A09"/>
    <w:rsid w:val="6C90227A"/>
    <w:rsid w:val="6CA1F5CB"/>
    <w:rsid w:val="6CA7CE3D"/>
    <w:rsid w:val="6CAB3A6B"/>
    <w:rsid w:val="6CB29B1D"/>
    <w:rsid w:val="6CB7AD9D"/>
    <w:rsid w:val="6CC6B735"/>
    <w:rsid w:val="6CCB4EDE"/>
    <w:rsid w:val="6CD597B8"/>
    <w:rsid w:val="6CE79479"/>
    <w:rsid w:val="6CEF602A"/>
    <w:rsid w:val="6CEFF29A"/>
    <w:rsid w:val="6CF13985"/>
    <w:rsid w:val="6CF9F62D"/>
    <w:rsid w:val="6D0A5070"/>
    <w:rsid w:val="6D0BC375"/>
    <w:rsid w:val="6D1B2340"/>
    <w:rsid w:val="6D20BA39"/>
    <w:rsid w:val="6D2237E4"/>
    <w:rsid w:val="6D31AFDE"/>
    <w:rsid w:val="6D33526D"/>
    <w:rsid w:val="6D435B62"/>
    <w:rsid w:val="6D5C1CC9"/>
    <w:rsid w:val="6D618948"/>
    <w:rsid w:val="6D62C8FA"/>
    <w:rsid w:val="6D68AFB5"/>
    <w:rsid w:val="6D79EDD5"/>
    <w:rsid w:val="6D7C9A7D"/>
    <w:rsid w:val="6D7D7F2B"/>
    <w:rsid w:val="6D97135B"/>
    <w:rsid w:val="6D97FABC"/>
    <w:rsid w:val="6D994C4E"/>
    <w:rsid w:val="6DAC1AAC"/>
    <w:rsid w:val="6DAE5CB6"/>
    <w:rsid w:val="6DC86068"/>
    <w:rsid w:val="6DD4995F"/>
    <w:rsid w:val="6DE9A11C"/>
    <w:rsid w:val="6DEB7400"/>
    <w:rsid w:val="6DEE7466"/>
    <w:rsid w:val="6DEF2393"/>
    <w:rsid w:val="6DF33107"/>
    <w:rsid w:val="6DFA58EF"/>
    <w:rsid w:val="6E326A13"/>
    <w:rsid w:val="6E45952F"/>
    <w:rsid w:val="6E4A0943"/>
    <w:rsid w:val="6E59BFA8"/>
    <w:rsid w:val="6E5E5F28"/>
    <w:rsid w:val="6E82E23C"/>
    <w:rsid w:val="6E8F64F0"/>
    <w:rsid w:val="6EA1AC97"/>
    <w:rsid w:val="6EAEA713"/>
    <w:rsid w:val="6EC0F00C"/>
    <w:rsid w:val="6EC6CD16"/>
    <w:rsid w:val="6ECA85BB"/>
    <w:rsid w:val="6EDE799C"/>
    <w:rsid w:val="6EE0DAF5"/>
    <w:rsid w:val="6EE31D15"/>
    <w:rsid w:val="6EE52D6B"/>
    <w:rsid w:val="6EF41E20"/>
    <w:rsid w:val="6F2BAB81"/>
    <w:rsid w:val="6F2CCC73"/>
    <w:rsid w:val="6F4A3D23"/>
    <w:rsid w:val="6F4E5D03"/>
    <w:rsid w:val="6F4FA095"/>
    <w:rsid w:val="6F63A9D1"/>
    <w:rsid w:val="6F6A76BA"/>
    <w:rsid w:val="6F714A22"/>
    <w:rsid w:val="6F73E4D7"/>
    <w:rsid w:val="6F7D9DF9"/>
    <w:rsid w:val="6F896771"/>
    <w:rsid w:val="6F89ABC7"/>
    <w:rsid w:val="6F8D4544"/>
    <w:rsid w:val="6F967367"/>
    <w:rsid w:val="6F9AA2C0"/>
    <w:rsid w:val="6FAADC96"/>
    <w:rsid w:val="6FAC740B"/>
    <w:rsid w:val="6FB351D4"/>
    <w:rsid w:val="6FE9941E"/>
    <w:rsid w:val="6FF26ED6"/>
    <w:rsid w:val="6FF3E1DE"/>
    <w:rsid w:val="6FF59B71"/>
    <w:rsid w:val="701B90F9"/>
    <w:rsid w:val="701E0C6B"/>
    <w:rsid w:val="703C95BD"/>
    <w:rsid w:val="703E1E81"/>
    <w:rsid w:val="70438E2A"/>
    <w:rsid w:val="704D35CF"/>
    <w:rsid w:val="704D71B1"/>
    <w:rsid w:val="705CDD5C"/>
    <w:rsid w:val="7067A70B"/>
    <w:rsid w:val="706E7943"/>
    <w:rsid w:val="7075F8D2"/>
    <w:rsid w:val="707A58E9"/>
    <w:rsid w:val="709E7610"/>
    <w:rsid w:val="70A62142"/>
    <w:rsid w:val="70B72944"/>
    <w:rsid w:val="70BAC0A9"/>
    <w:rsid w:val="70BE6CB2"/>
    <w:rsid w:val="70CBAE0E"/>
    <w:rsid w:val="70D072BB"/>
    <w:rsid w:val="70D86120"/>
    <w:rsid w:val="70E60D84"/>
    <w:rsid w:val="70F719E7"/>
    <w:rsid w:val="70F88393"/>
    <w:rsid w:val="7102D94D"/>
    <w:rsid w:val="71042650"/>
    <w:rsid w:val="71053781"/>
    <w:rsid w:val="71145C34"/>
    <w:rsid w:val="71287350"/>
    <w:rsid w:val="71293571"/>
    <w:rsid w:val="712DD9F0"/>
    <w:rsid w:val="7144DB9B"/>
    <w:rsid w:val="7148668F"/>
    <w:rsid w:val="714D99A3"/>
    <w:rsid w:val="715CF34F"/>
    <w:rsid w:val="716C853A"/>
    <w:rsid w:val="717D2593"/>
    <w:rsid w:val="718D3DB9"/>
    <w:rsid w:val="7191FE78"/>
    <w:rsid w:val="71A22846"/>
    <w:rsid w:val="71A33AC9"/>
    <w:rsid w:val="71A8029C"/>
    <w:rsid w:val="71AFBC02"/>
    <w:rsid w:val="71B5E323"/>
    <w:rsid w:val="71BBE509"/>
    <w:rsid w:val="71BE7694"/>
    <w:rsid w:val="71C0EDA7"/>
    <w:rsid w:val="71C2F63D"/>
    <w:rsid w:val="71D178DC"/>
    <w:rsid w:val="71FC858D"/>
    <w:rsid w:val="71FFFA30"/>
    <w:rsid w:val="720366CF"/>
    <w:rsid w:val="7206BA17"/>
    <w:rsid w:val="720C5BE7"/>
    <w:rsid w:val="721157E5"/>
    <w:rsid w:val="7213EBAE"/>
    <w:rsid w:val="722B5374"/>
    <w:rsid w:val="722E1D3C"/>
    <w:rsid w:val="72323DC8"/>
    <w:rsid w:val="7234E380"/>
    <w:rsid w:val="7245C8D2"/>
    <w:rsid w:val="725575A8"/>
    <w:rsid w:val="7262111F"/>
    <w:rsid w:val="72626134"/>
    <w:rsid w:val="726F1B8B"/>
    <w:rsid w:val="7280D1AD"/>
    <w:rsid w:val="728CC642"/>
    <w:rsid w:val="72A5FBA7"/>
    <w:rsid w:val="72ACFF72"/>
    <w:rsid w:val="72AF2A3D"/>
    <w:rsid w:val="72B3E519"/>
    <w:rsid w:val="72B59731"/>
    <w:rsid w:val="72C17DC4"/>
    <w:rsid w:val="72C3AA15"/>
    <w:rsid w:val="72C57917"/>
    <w:rsid w:val="72C6EF45"/>
    <w:rsid w:val="72EE64B7"/>
    <w:rsid w:val="72F0F265"/>
    <w:rsid w:val="72F18CE4"/>
    <w:rsid w:val="72F4C97C"/>
    <w:rsid w:val="72FF1A2A"/>
    <w:rsid w:val="7303198F"/>
    <w:rsid w:val="73171054"/>
    <w:rsid w:val="733E1E1D"/>
    <w:rsid w:val="733FE6CF"/>
    <w:rsid w:val="734D7F6A"/>
    <w:rsid w:val="73558759"/>
    <w:rsid w:val="736499EF"/>
    <w:rsid w:val="736D88EB"/>
    <w:rsid w:val="736EC8B4"/>
    <w:rsid w:val="73721002"/>
    <w:rsid w:val="7376EA8F"/>
    <w:rsid w:val="7387E053"/>
    <w:rsid w:val="738B90E6"/>
    <w:rsid w:val="739F87E3"/>
    <w:rsid w:val="73A5B3DD"/>
    <w:rsid w:val="73B1CB1A"/>
    <w:rsid w:val="73C4BD5B"/>
    <w:rsid w:val="73CCE615"/>
    <w:rsid w:val="73D41B86"/>
    <w:rsid w:val="73EC6BDA"/>
    <w:rsid w:val="73FB8E8F"/>
    <w:rsid w:val="73FC0512"/>
    <w:rsid w:val="73FE1F01"/>
    <w:rsid w:val="73FF0455"/>
    <w:rsid w:val="74024D5D"/>
    <w:rsid w:val="741DAE46"/>
    <w:rsid w:val="742F20BC"/>
    <w:rsid w:val="7441C004"/>
    <w:rsid w:val="74462947"/>
    <w:rsid w:val="744ADD92"/>
    <w:rsid w:val="745946E4"/>
    <w:rsid w:val="746A636F"/>
    <w:rsid w:val="746F4933"/>
    <w:rsid w:val="747ED74B"/>
    <w:rsid w:val="7495C84C"/>
    <w:rsid w:val="749BAE31"/>
    <w:rsid w:val="74B1194C"/>
    <w:rsid w:val="74B27DF1"/>
    <w:rsid w:val="74B717CF"/>
    <w:rsid w:val="74CCDD08"/>
    <w:rsid w:val="75107E82"/>
    <w:rsid w:val="751665D3"/>
    <w:rsid w:val="751BB249"/>
    <w:rsid w:val="7528E32F"/>
    <w:rsid w:val="752CF822"/>
    <w:rsid w:val="753DC3F9"/>
    <w:rsid w:val="75654F27"/>
    <w:rsid w:val="756B61B6"/>
    <w:rsid w:val="756E7A97"/>
    <w:rsid w:val="757292E0"/>
    <w:rsid w:val="759B2FE8"/>
    <w:rsid w:val="759C1137"/>
    <w:rsid w:val="75A9A35D"/>
    <w:rsid w:val="75B5C46C"/>
    <w:rsid w:val="75C1A0F2"/>
    <w:rsid w:val="75CB6CDE"/>
    <w:rsid w:val="75D00F0E"/>
    <w:rsid w:val="75D5071B"/>
    <w:rsid w:val="75F73CA9"/>
    <w:rsid w:val="75F8EC1D"/>
    <w:rsid w:val="75FE9EBB"/>
    <w:rsid w:val="76033DF2"/>
    <w:rsid w:val="761AC2B6"/>
    <w:rsid w:val="762407E9"/>
    <w:rsid w:val="762AA04D"/>
    <w:rsid w:val="762AE60B"/>
    <w:rsid w:val="7635CCD3"/>
    <w:rsid w:val="763A9CFA"/>
    <w:rsid w:val="763B991D"/>
    <w:rsid w:val="7642CB1F"/>
    <w:rsid w:val="7643B903"/>
    <w:rsid w:val="764607DE"/>
    <w:rsid w:val="76476E74"/>
    <w:rsid w:val="7650D467"/>
    <w:rsid w:val="76557041"/>
    <w:rsid w:val="7659B836"/>
    <w:rsid w:val="76642294"/>
    <w:rsid w:val="7694D4EC"/>
    <w:rsid w:val="76A2D910"/>
    <w:rsid w:val="76A76512"/>
    <w:rsid w:val="76CC283F"/>
    <w:rsid w:val="76D71038"/>
    <w:rsid w:val="76D957AF"/>
    <w:rsid w:val="76E24194"/>
    <w:rsid w:val="76EF4B99"/>
    <w:rsid w:val="76F8FD26"/>
    <w:rsid w:val="77091B41"/>
    <w:rsid w:val="771B9A76"/>
    <w:rsid w:val="773A6826"/>
    <w:rsid w:val="773D922C"/>
    <w:rsid w:val="7741ED33"/>
    <w:rsid w:val="774D2D0C"/>
    <w:rsid w:val="7750A327"/>
    <w:rsid w:val="7753F2F1"/>
    <w:rsid w:val="77979955"/>
    <w:rsid w:val="77982CDE"/>
    <w:rsid w:val="77A02B2E"/>
    <w:rsid w:val="77AC7E51"/>
    <w:rsid w:val="77AD36F9"/>
    <w:rsid w:val="77AE50BB"/>
    <w:rsid w:val="77B17234"/>
    <w:rsid w:val="77C2F8A7"/>
    <w:rsid w:val="77C4C67A"/>
    <w:rsid w:val="77C9D94B"/>
    <w:rsid w:val="77CBFB60"/>
    <w:rsid w:val="77E5018F"/>
    <w:rsid w:val="77F383B0"/>
    <w:rsid w:val="77F61281"/>
    <w:rsid w:val="7809EECF"/>
    <w:rsid w:val="782FBD86"/>
    <w:rsid w:val="783E54C4"/>
    <w:rsid w:val="7857EA9A"/>
    <w:rsid w:val="7865730A"/>
    <w:rsid w:val="78666E40"/>
    <w:rsid w:val="786FF885"/>
    <w:rsid w:val="78797414"/>
    <w:rsid w:val="789A1B1E"/>
    <w:rsid w:val="789CB417"/>
    <w:rsid w:val="789EC114"/>
    <w:rsid w:val="78A9A57A"/>
    <w:rsid w:val="78AEADF4"/>
    <w:rsid w:val="78B9BD86"/>
    <w:rsid w:val="78BEB40C"/>
    <w:rsid w:val="78C174BB"/>
    <w:rsid w:val="78C99C53"/>
    <w:rsid w:val="78DBF35D"/>
    <w:rsid w:val="78DD9610"/>
    <w:rsid w:val="78E5A311"/>
    <w:rsid w:val="78EF4350"/>
    <w:rsid w:val="78FFA750"/>
    <w:rsid w:val="79068217"/>
    <w:rsid w:val="790F6785"/>
    <w:rsid w:val="792A7C79"/>
    <w:rsid w:val="79300056"/>
    <w:rsid w:val="7946347D"/>
    <w:rsid w:val="795D8032"/>
    <w:rsid w:val="79691F97"/>
    <w:rsid w:val="7971E9FD"/>
    <w:rsid w:val="797B735F"/>
    <w:rsid w:val="797D5B44"/>
    <w:rsid w:val="7996A10E"/>
    <w:rsid w:val="7997C065"/>
    <w:rsid w:val="799C6A33"/>
    <w:rsid w:val="79A55670"/>
    <w:rsid w:val="79A92D95"/>
    <w:rsid w:val="79C88A87"/>
    <w:rsid w:val="79D3C7F4"/>
    <w:rsid w:val="7A13C178"/>
    <w:rsid w:val="7A153681"/>
    <w:rsid w:val="7A174FD2"/>
    <w:rsid w:val="7A1C3DD5"/>
    <w:rsid w:val="7A256D6F"/>
    <w:rsid w:val="7A26EBD6"/>
    <w:rsid w:val="7A28D71B"/>
    <w:rsid w:val="7A2DDEED"/>
    <w:rsid w:val="7A32757A"/>
    <w:rsid w:val="7A364C17"/>
    <w:rsid w:val="7A3D5A77"/>
    <w:rsid w:val="7A3EFA2F"/>
    <w:rsid w:val="7A4F5C29"/>
    <w:rsid w:val="7A50B96D"/>
    <w:rsid w:val="7A52AF24"/>
    <w:rsid w:val="7A6B2EA7"/>
    <w:rsid w:val="7A716402"/>
    <w:rsid w:val="7A8C39A9"/>
    <w:rsid w:val="7A8EB6E4"/>
    <w:rsid w:val="7A986EB2"/>
    <w:rsid w:val="7A9DCC44"/>
    <w:rsid w:val="7AB78421"/>
    <w:rsid w:val="7AB79463"/>
    <w:rsid w:val="7ABB85AF"/>
    <w:rsid w:val="7ACEED18"/>
    <w:rsid w:val="7AD15130"/>
    <w:rsid w:val="7AD8A07A"/>
    <w:rsid w:val="7AF31CCE"/>
    <w:rsid w:val="7AF72D75"/>
    <w:rsid w:val="7B0B1BDF"/>
    <w:rsid w:val="7B0E22E0"/>
    <w:rsid w:val="7B130B60"/>
    <w:rsid w:val="7B173DF3"/>
    <w:rsid w:val="7B27E55F"/>
    <w:rsid w:val="7B2BF52C"/>
    <w:rsid w:val="7B30C162"/>
    <w:rsid w:val="7B347D86"/>
    <w:rsid w:val="7B430B6D"/>
    <w:rsid w:val="7B542D2C"/>
    <w:rsid w:val="7B5694D5"/>
    <w:rsid w:val="7B8C3A61"/>
    <w:rsid w:val="7B94B9B3"/>
    <w:rsid w:val="7B9F3029"/>
    <w:rsid w:val="7BA0D5FC"/>
    <w:rsid w:val="7BAADBE3"/>
    <w:rsid w:val="7BBE72D4"/>
    <w:rsid w:val="7BC33AA0"/>
    <w:rsid w:val="7BD1408F"/>
    <w:rsid w:val="7BE6CE5A"/>
    <w:rsid w:val="7BF046FD"/>
    <w:rsid w:val="7C1442F5"/>
    <w:rsid w:val="7C192971"/>
    <w:rsid w:val="7C207A7F"/>
    <w:rsid w:val="7C260A7B"/>
    <w:rsid w:val="7C2AA666"/>
    <w:rsid w:val="7C2E9012"/>
    <w:rsid w:val="7C37A8B9"/>
    <w:rsid w:val="7C52C184"/>
    <w:rsid w:val="7C5AC526"/>
    <w:rsid w:val="7C60B20B"/>
    <w:rsid w:val="7C6F06F5"/>
    <w:rsid w:val="7C7936B1"/>
    <w:rsid w:val="7C7A6491"/>
    <w:rsid w:val="7C89FCAF"/>
    <w:rsid w:val="7C90B08B"/>
    <w:rsid w:val="7C941F30"/>
    <w:rsid w:val="7C975A9D"/>
    <w:rsid w:val="7CAEFB5A"/>
    <w:rsid w:val="7CC28514"/>
    <w:rsid w:val="7CC8E7F4"/>
    <w:rsid w:val="7CDD5FE9"/>
    <w:rsid w:val="7CE0E0C4"/>
    <w:rsid w:val="7CF5F3E6"/>
    <w:rsid w:val="7D10B4F9"/>
    <w:rsid w:val="7D317F9F"/>
    <w:rsid w:val="7D32EC9A"/>
    <w:rsid w:val="7D380AE5"/>
    <w:rsid w:val="7D3BF458"/>
    <w:rsid w:val="7D49E9E8"/>
    <w:rsid w:val="7D5603F5"/>
    <w:rsid w:val="7D57BB58"/>
    <w:rsid w:val="7D6B3B59"/>
    <w:rsid w:val="7D79FA2B"/>
    <w:rsid w:val="7D7C3410"/>
    <w:rsid w:val="7D7D3D1E"/>
    <w:rsid w:val="7D9462E7"/>
    <w:rsid w:val="7D96D19F"/>
    <w:rsid w:val="7DA32626"/>
    <w:rsid w:val="7DA9E9A3"/>
    <w:rsid w:val="7DB62986"/>
    <w:rsid w:val="7DBB0BEE"/>
    <w:rsid w:val="7DC279AB"/>
    <w:rsid w:val="7DC7914E"/>
    <w:rsid w:val="7DD754CF"/>
    <w:rsid w:val="7DE19C6F"/>
    <w:rsid w:val="7DF8AC1B"/>
    <w:rsid w:val="7E09ABD4"/>
    <w:rsid w:val="7E0F6B55"/>
    <w:rsid w:val="7E11188B"/>
    <w:rsid w:val="7E2364F0"/>
    <w:rsid w:val="7E280940"/>
    <w:rsid w:val="7E3FD137"/>
    <w:rsid w:val="7E43708E"/>
    <w:rsid w:val="7E4E1E8E"/>
    <w:rsid w:val="7E613876"/>
    <w:rsid w:val="7E624A03"/>
    <w:rsid w:val="7E6A60D1"/>
    <w:rsid w:val="7E73344A"/>
    <w:rsid w:val="7E82B6FC"/>
    <w:rsid w:val="7E8306FD"/>
    <w:rsid w:val="7EA02F57"/>
    <w:rsid w:val="7EAA6D17"/>
    <w:rsid w:val="7ECA36C6"/>
    <w:rsid w:val="7EE4D738"/>
    <w:rsid w:val="7EF32435"/>
    <w:rsid w:val="7EF331D9"/>
    <w:rsid w:val="7EFB0FE4"/>
    <w:rsid w:val="7F098B6F"/>
    <w:rsid w:val="7F2B6A21"/>
    <w:rsid w:val="7F304FFD"/>
    <w:rsid w:val="7F414A5D"/>
    <w:rsid w:val="7F41AC9C"/>
    <w:rsid w:val="7F49836C"/>
    <w:rsid w:val="7F5357EB"/>
    <w:rsid w:val="7F6425AF"/>
    <w:rsid w:val="7F6CF5A4"/>
    <w:rsid w:val="7F6D2EE3"/>
    <w:rsid w:val="7F74B3C5"/>
    <w:rsid w:val="7F7627C0"/>
    <w:rsid w:val="7F7D73EF"/>
    <w:rsid w:val="7F875C89"/>
    <w:rsid w:val="7F8E2429"/>
    <w:rsid w:val="7F9223CC"/>
    <w:rsid w:val="7F999702"/>
    <w:rsid w:val="7FA00961"/>
    <w:rsid w:val="7FA44A31"/>
    <w:rsid w:val="7FB4404E"/>
    <w:rsid w:val="7FBD64E1"/>
    <w:rsid w:val="7FC64165"/>
    <w:rsid w:val="7FDE000A"/>
    <w:rsid w:val="7FEC0F45"/>
    <w:rsid w:val="7FEE5880"/>
    <w:rsid w:val="7FF11099"/>
    <w:rsid w:val="7FFA36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BB70DA"/>
  <w15:docId w15:val="{3A9C9000-3C1C-4E6B-BA52-1F5604F9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134"/>
    <w:pPr>
      <w:spacing w:before="240" w:after="120" w:line="276" w:lineRule="auto"/>
    </w:pPr>
    <w:rPr>
      <w:sz w:val="24"/>
      <w:szCs w:val="22"/>
      <w:lang w:eastAsia="en-US"/>
    </w:rPr>
  </w:style>
  <w:style w:type="paragraph" w:styleId="Heading1">
    <w:name w:val="heading 1"/>
    <w:basedOn w:val="Normal"/>
    <w:next w:val="Normal"/>
    <w:link w:val="Heading1Char"/>
    <w:qFormat/>
    <w:rsid w:val="006A0B36"/>
    <w:pPr>
      <w:keepNext/>
      <w:keepLines/>
      <w:spacing w:before="480"/>
      <w:outlineLvl w:val="0"/>
    </w:pPr>
    <w:rPr>
      <w:rFonts w:eastAsia="Times New Roman"/>
      <w:b/>
      <w:bCs/>
      <w:color w:val="008938"/>
      <w:sz w:val="44"/>
      <w:szCs w:val="28"/>
    </w:rPr>
  </w:style>
  <w:style w:type="paragraph" w:styleId="Heading2">
    <w:name w:val="heading 2"/>
    <w:next w:val="Normal"/>
    <w:link w:val="Heading2Char"/>
    <w:autoRedefine/>
    <w:qFormat/>
    <w:rsid w:val="005C7165"/>
    <w:pPr>
      <w:keepNext/>
      <w:spacing w:before="240" w:after="120"/>
      <w:outlineLvl w:val="1"/>
    </w:pPr>
    <w:rPr>
      <w:rFonts w:eastAsia="Times New Roman"/>
      <w:b/>
      <w:bCs/>
      <w:iCs/>
      <w:color w:val="008938"/>
      <w:sz w:val="36"/>
      <w:szCs w:val="28"/>
      <w:lang w:eastAsia="en-US"/>
    </w:rPr>
  </w:style>
  <w:style w:type="paragraph" w:styleId="Heading3">
    <w:name w:val="heading 3"/>
    <w:basedOn w:val="Normal"/>
    <w:next w:val="Normal"/>
    <w:link w:val="Heading3Char"/>
    <w:qFormat/>
    <w:rsid w:val="006A0B36"/>
    <w:pPr>
      <w:keepNext/>
      <w:keepLines/>
      <w:spacing w:before="360" w:after="0"/>
      <w:outlineLvl w:val="2"/>
    </w:pPr>
    <w:rPr>
      <w:rFonts w:eastAsia="Times New Roman"/>
      <w:b/>
      <w:bCs/>
      <w:sz w:val="28"/>
    </w:rPr>
  </w:style>
  <w:style w:type="paragraph" w:styleId="Heading4">
    <w:name w:val="heading 4"/>
    <w:basedOn w:val="Normal"/>
    <w:next w:val="Normal"/>
    <w:link w:val="Heading4Char"/>
    <w:qFormat/>
    <w:rsid w:val="00057683"/>
    <w:pPr>
      <w:keepNext/>
      <w:keepLines/>
      <w:spacing w:before="200"/>
      <w:outlineLvl w:val="3"/>
    </w:pPr>
    <w:rPr>
      <w:rFonts w:eastAsia="Times New Roman"/>
      <w:b/>
      <w:bCs/>
      <w:iCs/>
    </w:rPr>
  </w:style>
  <w:style w:type="paragraph" w:styleId="Heading5">
    <w:name w:val="heading 5"/>
    <w:basedOn w:val="Normal"/>
    <w:next w:val="Normal"/>
    <w:link w:val="Heading5Char"/>
    <w:rsid w:val="00AE2422"/>
    <w:pPr>
      <w:keepNext/>
      <w:keepLines/>
      <w:spacing w:before="200"/>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2996"/>
    <w:rPr>
      <w:rFonts w:eastAsia="Times New Roman"/>
      <w:b/>
      <w:bCs/>
      <w:iCs/>
      <w:color w:val="008938"/>
      <w:sz w:val="36"/>
      <w:szCs w:val="28"/>
      <w:lang w:eastAsia="en-US"/>
    </w:rPr>
  </w:style>
  <w:style w:type="paragraph" w:customStyle="1" w:styleId="Thirdheading">
    <w:name w:val="Third heading"/>
    <w:autoRedefine/>
    <w:rsid w:val="006A3777"/>
    <w:pPr>
      <w:spacing w:before="120" w:after="40"/>
      <w:outlineLvl w:val="3"/>
    </w:pPr>
    <w:rPr>
      <w:b/>
      <w:sz w:val="26"/>
      <w:szCs w:val="22"/>
      <w:lang w:eastAsia="en-US"/>
    </w:rPr>
  </w:style>
  <w:style w:type="paragraph" w:customStyle="1" w:styleId="Reportsubtitle">
    <w:name w:val="Report subtitle"/>
    <w:uiPriority w:val="1"/>
    <w:qFormat/>
    <w:rsid w:val="00646B20"/>
    <w:pPr>
      <w:spacing w:after="200"/>
    </w:pPr>
    <w:rPr>
      <w:color w:val="008938"/>
      <w:sz w:val="40"/>
      <w:szCs w:val="28"/>
      <w:lang w:eastAsia="en-US"/>
    </w:rPr>
  </w:style>
  <w:style w:type="paragraph" w:customStyle="1" w:styleId="Numberedthirdheading">
    <w:name w:val="Numbered third heading"/>
    <w:autoRedefine/>
    <w:rsid w:val="006A3777"/>
    <w:pPr>
      <w:numPr>
        <w:ilvl w:val="2"/>
        <w:numId w:val="7"/>
      </w:numPr>
      <w:spacing w:before="120" w:after="40"/>
      <w:outlineLvl w:val="3"/>
    </w:pPr>
    <w:rPr>
      <w:b/>
      <w:color w:val="008631"/>
      <w:sz w:val="26"/>
      <w:szCs w:val="22"/>
      <w:lang w:eastAsia="en-US"/>
    </w:rPr>
  </w:style>
  <w:style w:type="paragraph" w:customStyle="1" w:styleId="Pullquotegreen">
    <w:name w:val="Pullquote green"/>
    <w:autoRedefine/>
    <w:rsid w:val="00742965"/>
    <w:pPr>
      <w:spacing w:before="240" w:after="360"/>
      <w:ind w:left="1701" w:right="1701"/>
    </w:pPr>
    <w:rPr>
      <w:rFonts w:ascii="Times New Roman" w:hAnsi="Times New Roman"/>
      <w:color w:val="008631"/>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113634"/>
    <w:pPr>
      <w:jc w:val="right"/>
    </w:pPr>
  </w:style>
  <w:style w:type="character" w:customStyle="1" w:styleId="HeaderChar">
    <w:name w:val="Header Char"/>
    <w:basedOn w:val="DefaultParagraphFont"/>
    <w:link w:val="Header"/>
    <w:uiPriority w:val="99"/>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green">
    <w:name w:val="Pullquote mid green"/>
    <w:autoRedefine/>
    <w:rsid w:val="00C55A2A"/>
    <w:pPr>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qFormat/>
    <w:rsid w:val="00A14155"/>
    <w:pPr>
      <w:spacing w:after="280"/>
    </w:pPr>
    <w:rPr>
      <w:color w:val="008938"/>
      <w:sz w:val="56"/>
      <w:szCs w:val="22"/>
      <w:lang w:eastAsia="en-US"/>
    </w:rPr>
  </w:style>
  <w:style w:type="paragraph" w:customStyle="1" w:styleId="Reporttitlemidgreen">
    <w:name w:val="Report title mid green"/>
    <w:basedOn w:val="Mainheading"/>
    <w:next w:val="Heading1"/>
    <w:autoRedefine/>
    <w:rsid w:val="00E42F2C"/>
    <w:pPr>
      <w:spacing w:before="360" w:after="520"/>
      <w:outlineLvl w:val="0"/>
    </w:pPr>
  </w:style>
  <w:style w:type="paragraph" w:customStyle="1" w:styleId="Introductiontextgreen">
    <w:name w:val="Introduction text green"/>
    <w:autoRedefine/>
    <w:rsid w:val="00C55A2A"/>
    <w:pPr>
      <w:spacing w:after="120"/>
    </w:pPr>
    <w:rPr>
      <w:rFonts w:eastAsia="Times New Roman" w:cs="Arial"/>
      <w:color w:val="008631"/>
      <w:sz w:val="28"/>
      <w:szCs w:val="28"/>
    </w:rPr>
  </w:style>
  <w:style w:type="paragraph" w:customStyle="1" w:styleId="Introductiontext">
    <w:name w:val="Introduction text"/>
    <w:rsid w:val="00845AB8"/>
    <w:pPr>
      <w:spacing w:after="120"/>
    </w:pPr>
    <w:rPr>
      <w:rFonts w:eastAsia="Times New Roman" w:cs="Arial"/>
      <w:sz w:val="28"/>
      <w:szCs w:val="28"/>
    </w:rPr>
  </w:style>
  <w:style w:type="table" w:styleId="TableGrid">
    <w:name w:val="Table Grid"/>
    <w:basedOn w:val="TableNormal"/>
    <w:uiPriority w:val="5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B97348"/>
    <w:rPr>
      <w:color w:val="1D70B8"/>
      <w:u w:val="single"/>
    </w:rPr>
  </w:style>
  <w:style w:type="paragraph" w:customStyle="1" w:styleId="Maintextblue">
    <w:name w:val="Main text blue"/>
    <w:basedOn w:val="Normal"/>
    <w:uiPriority w:val="5"/>
    <w:rsid w:val="00121659"/>
    <w:rPr>
      <w:color w:val="455A21"/>
    </w:rPr>
  </w:style>
  <w:style w:type="paragraph" w:customStyle="1" w:styleId="Maintextblack">
    <w:name w:val="Main text black"/>
    <w:basedOn w:val="Normal"/>
    <w:rsid w:val="00995445"/>
  </w:style>
  <w:style w:type="paragraph" w:customStyle="1" w:styleId="Mainheading">
    <w:name w:val="Main heading"/>
    <w:autoRedefine/>
    <w:rsid w:val="00DF0FC0"/>
    <w:pPr>
      <w:spacing w:before="120" w:after="240"/>
      <w:outlineLvl w:val="1"/>
    </w:pPr>
    <w:rPr>
      <w:b/>
      <w:color w:val="008631"/>
      <w:sz w:val="48"/>
      <w:szCs w:val="22"/>
      <w:lang w:eastAsia="en-US"/>
    </w:rPr>
  </w:style>
  <w:style w:type="paragraph" w:customStyle="1" w:styleId="Numberedheading">
    <w:name w:val="Numbered heading"/>
    <w:autoRedefine/>
    <w:rsid w:val="006A3777"/>
    <w:pPr>
      <w:numPr>
        <w:numId w:val="7"/>
      </w:numPr>
      <w:spacing w:before="120" w:after="240"/>
      <w:outlineLvl w:val="1"/>
    </w:pPr>
    <w:rPr>
      <w:b/>
      <w:color w:val="008631"/>
      <w:sz w:val="48"/>
      <w:szCs w:val="22"/>
      <w:lang w:eastAsia="en-US"/>
    </w:rPr>
  </w:style>
  <w:style w:type="character" w:customStyle="1" w:styleId="Boldtextgreen">
    <w:name w:val="Bold text green"/>
    <w:basedOn w:val="DefaultParagraphFont"/>
    <w:uiPriority w:val="1"/>
    <w:rsid w:val="00F11803"/>
    <w:rPr>
      <w:rFonts w:ascii="Arial" w:hAnsi="Arial"/>
      <w:b/>
      <w:color w:val="008631"/>
    </w:rPr>
  </w:style>
  <w:style w:type="paragraph" w:customStyle="1" w:styleId="Secondheading">
    <w:name w:val="Second heading"/>
    <w:autoRedefine/>
    <w:rsid w:val="006A3777"/>
    <w:pPr>
      <w:spacing w:before="240" w:after="40"/>
      <w:outlineLvl w:val="2"/>
    </w:pPr>
    <w:rPr>
      <w:b/>
      <w:color w:val="008631"/>
      <w:sz w:val="32"/>
      <w:szCs w:val="22"/>
      <w:lang w:eastAsia="en-US"/>
    </w:rPr>
  </w:style>
  <w:style w:type="paragraph" w:customStyle="1" w:styleId="Numberedsecondheading">
    <w:name w:val="Numbered second heading"/>
    <w:rsid w:val="006A3777"/>
    <w:pPr>
      <w:numPr>
        <w:ilvl w:val="1"/>
        <w:numId w:val="7"/>
      </w:numPr>
      <w:spacing w:before="240" w:after="40"/>
      <w:outlineLvl w:val="2"/>
    </w:pPr>
    <w:rPr>
      <w:b/>
      <w:color w:val="008631"/>
      <w:sz w:val="32"/>
      <w:szCs w:val="22"/>
      <w:lang w:eastAsia="en-US"/>
    </w:rPr>
  </w:style>
  <w:style w:type="character" w:customStyle="1" w:styleId="Italic">
    <w:name w:val="Italic"/>
    <w:basedOn w:val="DefaultParagraphFont"/>
    <w:uiPriority w:val="1"/>
    <w:rsid w:val="00017A20"/>
    <w:rPr>
      <w:i/>
    </w:rPr>
  </w:style>
  <w:style w:type="character" w:customStyle="1" w:styleId="Italicgreen">
    <w:name w:val="Italic green"/>
    <w:basedOn w:val="DefaultParagraphFont"/>
    <w:uiPriority w:val="1"/>
    <w:rsid w:val="00742965"/>
    <w:rPr>
      <w:i/>
      <w:color w:val="008631"/>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rsid w:val="00D22F91"/>
    <w:pPr>
      <w:numPr>
        <w:numId w:val="1"/>
      </w:numPr>
      <w:spacing w:after="120"/>
      <w:ind w:left="340" w:hanging="340"/>
    </w:pPr>
    <w:rPr>
      <w:sz w:val="24"/>
      <w:szCs w:val="22"/>
      <w:lang w:eastAsia="en-US"/>
    </w:rPr>
  </w:style>
  <w:style w:type="paragraph" w:customStyle="1" w:styleId="Roundbulletgreen">
    <w:name w:val="Round bullet green"/>
    <w:autoRedefine/>
    <w:rsid w:val="00742965"/>
    <w:pPr>
      <w:numPr>
        <w:numId w:val="2"/>
      </w:numPr>
      <w:spacing w:after="80"/>
    </w:pPr>
    <w:rPr>
      <w:color w:val="008631"/>
      <w:sz w:val="22"/>
      <w:szCs w:val="22"/>
      <w:lang w:eastAsia="en-US"/>
    </w:rPr>
  </w:style>
  <w:style w:type="paragraph" w:customStyle="1" w:styleId="Numberedbullet">
    <w:name w:val="Numbered bullet"/>
    <w:basedOn w:val="Maintextblack"/>
    <w:rsid w:val="00031742"/>
    <w:pPr>
      <w:numPr>
        <w:numId w:val="3"/>
      </w:numPr>
      <w:spacing w:after="80"/>
      <w:ind w:left="340" w:hanging="340"/>
    </w:pPr>
  </w:style>
  <w:style w:type="character" w:customStyle="1" w:styleId="Subscript">
    <w:name w:val="Subscript"/>
    <w:basedOn w:val="DefaultParagraphFont"/>
    <w:uiPriority w:val="1"/>
    <w:rsid w:val="00B00BA0"/>
    <w:rPr>
      <w:vertAlign w:val="subscript"/>
    </w:rPr>
  </w:style>
  <w:style w:type="character" w:customStyle="1" w:styleId="Superscript">
    <w:name w:val="Superscript"/>
    <w:basedOn w:val="DefaultParagraphFont"/>
    <w:uiPriority w:val="1"/>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green">
    <w:name w:val="Numbered bullet green"/>
    <w:basedOn w:val="Maintextblue"/>
    <w:autoRedefine/>
    <w:rsid w:val="00742965"/>
    <w:pPr>
      <w:numPr>
        <w:numId w:val="4"/>
      </w:numPr>
      <w:spacing w:after="80"/>
    </w:pPr>
    <w:rPr>
      <w:color w:val="008631"/>
    </w:rPr>
  </w:style>
  <w:style w:type="character" w:customStyle="1" w:styleId="Heading1Char">
    <w:name w:val="Heading 1 Char"/>
    <w:basedOn w:val="DefaultParagraphFont"/>
    <w:link w:val="Heading1"/>
    <w:rsid w:val="006A0B36"/>
    <w:rPr>
      <w:rFonts w:eastAsia="Times New Roman"/>
      <w:b/>
      <w:bCs/>
      <w:color w:val="008938"/>
      <w:sz w:val="44"/>
      <w:szCs w:val="28"/>
      <w:lang w:eastAsia="en-US"/>
    </w:rPr>
  </w:style>
  <w:style w:type="paragraph" w:customStyle="1" w:styleId="Dashedbullet">
    <w:name w:val="Dashed bullet"/>
    <w:basedOn w:val="Maintextblack"/>
    <w:uiPriority w:val="5"/>
    <w:rsid w:val="00635AFC"/>
    <w:pPr>
      <w:numPr>
        <w:numId w:val="5"/>
      </w:numPr>
      <w:spacing w:after="80"/>
      <w:ind w:left="340" w:hanging="340"/>
    </w:pPr>
  </w:style>
  <w:style w:type="paragraph" w:customStyle="1" w:styleId="Dashedbulletgreen">
    <w:name w:val="Dashed bullet green"/>
    <w:basedOn w:val="Maintextblue"/>
    <w:autoRedefine/>
    <w:uiPriority w:val="4"/>
    <w:rsid w:val="00742965"/>
    <w:pPr>
      <w:numPr>
        <w:numId w:val="6"/>
      </w:numPr>
      <w:spacing w:after="80"/>
    </w:pPr>
    <w:rPr>
      <w:color w:val="008631"/>
    </w:rPr>
  </w:style>
  <w:style w:type="character" w:customStyle="1" w:styleId="Heading3Char">
    <w:name w:val="Heading 3 Char"/>
    <w:basedOn w:val="DefaultParagraphFont"/>
    <w:link w:val="Heading3"/>
    <w:rsid w:val="006A0B36"/>
    <w:rPr>
      <w:rFonts w:eastAsia="Times New Roman"/>
      <w:b/>
      <w:bCs/>
      <w:sz w:val="28"/>
      <w:szCs w:val="22"/>
      <w:lang w:eastAsia="en-US"/>
    </w:rPr>
  </w:style>
  <w:style w:type="paragraph" w:styleId="TOC1">
    <w:name w:val="toc 1"/>
    <w:basedOn w:val="Normal"/>
    <w:next w:val="Normal"/>
    <w:autoRedefine/>
    <w:uiPriority w:val="39"/>
    <w:rsid w:val="00CF37DA"/>
    <w:pPr>
      <w:tabs>
        <w:tab w:val="right" w:leader="dot" w:pos="9621"/>
      </w:tabs>
      <w:spacing w:after="100"/>
    </w:p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28699A"/>
    <w:pPr>
      <w:spacing w:after="100"/>
      <w:ind w:left="440"/>
    </w:pPr>
    <w:rPr>
      <w:sz w:val="18"/>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rsid w:val="00D8289C"/>
    <w:pPr>
      <w:spacing w:after="100"/>
      <w:ind w:left="220"/>
    </w:pPr>
  </w:style>
  <w:style w:type="character" w:customStyle="1" w:styleId="Heading4Char">
    <w:name w:val="Heading 4 Char"/>
    <w:basedOn w:val="DefaultParagraphFont"/>
    <w:link w:val="Heading4"/>
    <w:rsid w:val="00057683"/>
    <w:rPr>
      <w:rFonts w:eastAsia="Times New Roman"/>
      <w:b/>
      <w:bCs/>
      <w:iCs/>
      <w:sz w:val="24"/>
      <w:szCs w:val="22"/>
      <w:lang w:eastAsia="en-US"/>
    </w:rPr>
  </w:style>
  <w:style w:type="character" w:customStyle="1" w:styleId="Heading5Char">
    <w:name w:val="Heading 5 Char"/>
    <w:basedOn w:val="DefaultParagraphFont"/>
    <w:link w:val="Heading5"/>
    <w:rsid w:val="00AE2422"/>
    <w:rPr>
      <w:rFonts w:eastAsia="Times New Roman"/>
      <w:i/>
      <w:sz w:val="24"/>
      <w:szCs w:val="22"/>
      <w:lang w:eastAsia="en-US"/>
    </w:rPr>
  </w:style>
  <w:style w:type="paragraph" w:customStyle="1" w:styleId="Figureorimagetitle">
    <w:name w:val="Figure or image title"/>
    <w:uiPriority w:val="3"/>
    <w:rsid w:val="000C46CD"/>
    <w:pPr>
      <w:spacing w:before="120" w:after="120"/>
    </w:pPr>
    <w:rPr>
      <w:b/>
      <w:sz w:val="22"/>
      <w:szCs w:val="22"/>
      <w:lang w:eastAsia="en-US"/>
    </w:rPr>
  </w:style>
  <w:style w:type="paragraph" w:styleId="TOCHeading">
    <w:name w:val="TOC Heading"/>
    <w:basedOn w:val="Heading1"/>
    <w:next w:val="Normal"/>
    <w:uiPriority w:val="39"/>
    <w:unhideWhenUsed/>
    <w:rsid w:val="00056EB2"/>
    <w:pPr>
      <w:spacing w:before="240" w:after="0" w:line="259" w:lineRule="auto"/>
      <w:outlineLvl w:val="9"/>
    </w:pPr>
    <w:rPr>
      <w:rFonts w:asciiTheme="majorHAnsi" w:eastAsiaTheme="majorEastAsia" w:hAnsiTheme="majorHAnsi" w:cstheme="majorBidi"/>
      <w:b w:val="0"/>
      <w:bCs w:val="0"/>
      <w:color w:val="008330" w:themeColor="accent1" w:themeShade="BF"/>
      <w:sz w:val="32"/>
      <w:szCs w:val="32"/>
      <w:lang w:val="en-US"/>
    </w:r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rsid w:val="006D681F"/>
    <w:pPr>
      <w:tabs>
        <w:tab w:val="decimal" w:pos="360"/>
      </w:tabs>
      <w:spacing w:after="200"/>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iPriority w:val="99"/>
    <w:semiHidden/>
    <w:unhideWhenUsed/>
    <w:rsid w:val="00582C4F"/>
    <w:rPr>
      <w:sz w:val="16"/>
      <w:szCs w:val="16"/>
    </w:rPr>
  </w:style>
  <w:style w:type="paragraph" w:styleId="CommentText">
    <w:name w:val="annotation text"/>
    <w:basedOn w:val="Normal"/>
    <w:link w:val="CommentTextChar"/>
    <w:uiPriority w:val="99"/>
    <w:unhideWhenUsed/>
    <w:rsid w:val="00582C4F"/>
    <w:rPr>
      <w:sz w:val="20"/>
      <w:szCs w:val="20"/>
    </w:rPr>
  </w:style>
  <w:style w:type="character" w:customStyle="1" w:styleId="CommentTextChar">
    <w:name w:val="Comment Text Char"/>
    <w:basedOn w:val="DefaultParagraphFont"/>
    <w:link w:val="CommentText"/>
    <w:uiPriority w:val="99"/>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BlankTableStyle"/>
    <w:uiPriority w:val="99"/>
    <w:qFormat/>
    <w:rsid w:val="00066C0C"/>
    <w:pPr>
      <w:ind w:left="85" w:right="85"/>
    </w:pPr>
    <w:tblPr>
      <w:tblBorders>
        <w:top w:val="single" w:sz="8" w:space="0" w:color="008938"/>
        <w:left w:val="single" w:sz="8" w:space="0" w:color="008938"/>
        <w:bottom w:val="single" w:sz="8" w:space="0" w:color="008938"/>
        <w:right w:val="single" w:sz="8" w:space="0" w:color="008938"/>
        <w:insideH w:val="single" w:sz="8" w:space="0" w:color="008938"/>
        <w:insideV w:val="single" w:sz="8" w:space="0" w:color="008938"/>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008938"/>
      </w:tcPr>
    </w:tblStylePr>
    <w:tblStylePr w:type="firstCol">
      <w:rPr>
        <w:b/>
      </w:rPr>
    </w:tblStylePr>
  </w:style>
  <w:style w:type="table" w:customStyle="1" w:styleId="TableStyle4Green">
    <w:name w:val="Table Style 4 (Green)"/>
    <w:basedOn w:val="TableStyle4"/>
    <w:uiPriority w:val="99"/>
    <w:qFormat/>
    <w:rsid w:val="009E3DB3"/>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rsid w:val="0022795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rsid w:val="00227951"/>
    <w:rPr>
      <w:b/>
      <w:bCs/>
    </w:rPr>
  </w:style>
  <w:style w:type="character" w:customStyle="1" w:styleId="Normalbold">
    <w:name w:val="Normal bold"/>
    <w:basedOn w:val="DefaultParagraphFont"/>
    <w:uiPriority w:val="1"/>
    <w:rsid w:val="009554C2"/>
    <w:rPr>
      <w:rFonts w:asciiTheme="minorHAnsi" w:hAnsiTheme="minorHAnsi" w:cs="Calibri"/>
      <w:b/>
      <w:color w:val="000000" w:themeColor="text1"/>
      <w:sz w:val="24"/>
      <w:szCs w:val="22"/>
    </w:rPr>
  </w:style>
  <w:style w:type="character" w:styleId="IntenseEmphasis">
    <w:name w:val="Intense Emphasis"/>
    <w:basedOn w:val="DefaultParagraphFont"/>
    <w:uiPriority w:val="21"/>
    <w:rsid w:val="00742965"/>
    <w:rPr>
      <w:i/>
      <w:iCs/>
      <w:color w:val="008631"/>
    </w:rPr>
  </w:style>
  <w:style w:type="paragraph" w:styleId="IntenseQuote">
    <w:name w:val="Intense Quote"/>
    <w:basedOn w:val="Normal"/>
    <w:next w:val="Normal"/>
    <w:link w:val="IntenseQuoteChar"/>
    <w:uiPriority w:val="30"/>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rsid w:val="00742965"/>
    <w:rPr>
      <w:b/>
      <w:bCs/>
      <w:smallCaps/>
      <w:color w:val="008631"/>
      <w:spacing w:val="5"/>
    </w:rPr>
  </w:style>
  <w:style w:type="character" w:styleId="FollowedHyperlink">
    <w:name w:val="FollowedHyperlink"/>
    <w:basedOn w:val="DefaultParagraphFont"/>
    <w:uiPriority w:val="99"/>
    <w:semiHidden/>
    <w:unhideWhenUsed/>
    <w:rsid w:val="0095191D"/>
    <w:rPr>
      <w:color w:val="B2C326" w:themeColor="followedHyperlink"/>
      <w:u w:val="single"/>
    </w:rPr>
  </w:style>
  <w:style w:type="character" w:customStyle="1" w:styleId="c-timestamplabel">
    <w:name w:val="c-timestamp__label"/>
    <w:basedOn w:val="DefaultParagraphFont"/>
    <w:uiPriority w:val="2"/>
    <w:rsid w:val="00302574"/>
  </w:style>
  <w:style w:type="paragraph" w:styleId="Caption">
    <w:name w:val="caption"/>
    <w:basedOn w:val="Normal"/>
    <w:next w:val="Normal"/>
    <w:uiPriority w:val="35"/>
    <w:qFormat/>
    <w:rsid w:val="00E10564"/>
    <w:pPr>
      <w:spacing w:before="360" w:after="0"/>
    </w:pPr>
    <w:rPr>
      <w:b/>
      <w:iCs/>
      <w:szCs w:val="20"/>
    </w:rPr>
  </w:style>
  <w:style w:type="paragraph" w:customStyle="1" w:styleId="Contents">
    <w:name w:val="Contents"/>
    <w:basedOn w:val="Normal"/>
    <w:next w:val="Normal"/>
    <w:uiPriority w:val="2"/>
    <w:qFormat/>
    <w:rsid w:val="00482975"/>
    <w:rPr>
      <w:b/>
      <w:color w:val="008938"/>
      <w:sz w:val="28"/>
      <w:lang w:eastAsia="en-GB"/>
    </w:rPr>
  </w:style>
  <w:style w:type="paragraph" w:styleId="ListParagraph">
    <w:name w:val="List Paragraph"/>
    <w:aliases w:val="Dot pt,No Spacing1,List Paragraph Char Char Char,Indicator Text,Numbered Para 1,Bullet 1,List Paragraph1,Bullet Points,MAIN CONTENT"/>
    <w:basedOn w:val="Normal"/>
    <w:link w:val="ListParagraphChar"/>
    <w:uiPriority w:val="34"/>
    <w:qFormat/>
    <w:rsid w:val="00174DA4"/>
    <w:pPr>
      <w:ind w:left="720"/>
      <w:contextualSpacing/>
    </w:pPr>
  </w:style>
  <w:style w:type="table" w:customStyle="1" w:styleId="DefraGreen">
    <w:name w:val="Defra Green"/>
    <w:basedOn w:val="TableNormal"/>
    <w:uiPriority w:val="99"/>
    <w:qFormat/>
    <w:rsid w:val="00E84765"/>
    <w:pPr>
      <w:spacing w:before="60" w:after="80"/>
    </w:pPr>
    <w:rPr>
      <w:rFonts w:eastAsia="Calibri"/>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paragraph" w:customStyle="1" w:styleId="Dateandversion">
    <w:name w:val="Date and version"/>
    <w:basedOn w:val="Normal"/>
    <w:uiPriority w:val="2"/>
    <w:qFormat/>
    <w:rsid w:val="00646B20"/>
    <w:rPr>
      <w:sz w:val="28"/>
    </w:rPr>
  </w:style>
  <w:style w:type="paragraph" w:styleId="NormalWeb">
    <w:name w:val="Normal (Web)"/>
    <w:basedOn w:val="Normal"/>
    <w:uiPriority w:val="99"/>
    <w:unhideWhenUsed/>
    <w:rsid w:val="00706BBA"/>
    <w:pPr>
      <w:spacing w:before="0" w:after="360" w:line="240" w:lineRule="auto"/>
    </w:pPr>
    <w:rPr>
      <w:rFonts w:ascii="Times New Roman" w:eastAsia="Times New Roman" w:hAnsi="Times New Roman"/>
      <w:szCs w:val="24"/>
      <w:lang w:eastAsia="en-GB"/>
    </w:rPr>
  </w:style>
  <w:style w:type="paragraph" w:customStyle="1" w:styleId="AnnexH1">
    <w:name w:val="Annex H1"/>
    <w:basedOn w:val="Normal"/>
    <w:next w:val="Normal"/>
    <w:qFormat/>
    <w:rsid w:val="002D678B"/>
    <w:pPr>
      <w:numPr>
        <w:numId w:val="9"/>
      </w:numPr>
      <w:spacing w:after="1500" w:line="259" w:lineRule="auto"/>
    </w:pPr>
    <w:rPr>
      <w:rFonts w:eastAsiaTheme="minorHAnsi" w:cstheme="minorBidi"/>
      <w:color w:val="211973"/>
      <w:sz w:val="48"/>
    </w:rPr>
  </w:style>
  <w:style w:type="character" w:customStyle="1" w:styleId="ListParagraphChar">
    <w:name w:val="List Paragraph Char"/>
    <w:aliases w:val="Dot pt Char,No Spacing1 Char,List Paragraph Char Char Char Char,Indicator Text Char,Numbered Para 1 Char,Bullet 1 Char,List Paragraph1 Char,Bullet Points Char,MAIN CONTENT Char"/>
    <w:basedOn w:val="DefaultParagraphFont"/>
    <w:link w:val="ListParagraph"/>
    <w:uiPriority w:val="34"/>
    <w:qFormat/>
    <w:rsid w:val="00D91CD5"/>
    <w:rPr>
      <w:sz w:val="24"/>
      <w:szCs w:val="22"/>
      <w:lang w:eastAsia="en-US"/>
    </w:rPr>
  </w:style>
  <w:style w:type="paragraph" w:customStyle="1" w:styleId="TableParagraph">
    <w:name w:val="Table Paragraph"/>
    <w:basedOn w:val="Normal"/>
    <w:uiPriority w:val="1"/>
    <w:qFormat/>
    <w:rsid w:val="00676764"/>
    <w:pPr>
      <w:widowControl w:val="0"/>
      <w:spacing w:before="0" w:after="0" w:line="240" w:lineRule="auto"/>
    </w:pPr>
    <w:rPr>
      <w:rFonts w:ascii="Calibri" w:eastAsia="Calibri" w:hAnsi="Calibri"/>
      <w:sz w:val="22"/>
      <w:lang w:val="en-US"/>
    </w:rPr>
  </w:style>
  <w:style w:type="paragraph" w:styleId="Revision">
    <w:name w:val="Revision"/>
    <w:hidden/>
    <w:uiPriority w:val="99"/>
    <w:semiHidden/>
    <w:rsid w:val="00404B6F"/>
    <w:rPr>
      <w:sz w:val="24"/>
      <w:szCs w:val="22"/>
      <w:lang w:eastAsia="en-US"/>
    </w:rPr>
  </w:style>
  <w:style w:type="paragraph" w:customStyle="1" w:styleId="paragraph">
    <w:name w:val="paragraph"/>
    <w:basedOn w:val="Normal"/>
    <w:rsid w:val="00B53E7F"/>
    <w:pPr>
      <w:spacing w:before="100" w:beforeAutospacing="1" w:after="100" w:afterAutospacing="1" w:line="240" w:lineRule="auto"/>
    </w:pPr>
    <w:rPr>
      <w:rFonts w:ascii="Times New Roman" w:eastAsia="Times New Roman" w:hAnsi="Times New Roman"/>
      <w:szCs w:val="24"/>
      <w:lang w:eastAsia="en-GB"/>
    </w:rPr>
  </w:style>
  <w:style w:type="character" w:customStyle="1" w:styleId="normaltextrun">
    <w:name w:val="normaltextrun"/>
    <w:basedOn w:val="DefaultParagraphFont"/>
    <w:rsid w:val="00B53E7F"/>
  </w:style>
  <w:style w:type="character" w:customStyle="1" w:styleId="eop">
    <w:name w:val="eop"/>
    <w:basedOn w:val="DefaultParagraphFont"/>
    <w:rsid w:val="00B53E7F"/>
  </w:style>
  <w:style w:type="table" w:styleId="GridTable1Light">
    <w:name w:val="Grid Table 1 Light"/>
    <w:basedOn w:val="TableNormal"/>
    <w:uiPriority w:val="46"/>
    <w:rsid w:val="00B53E7F"/>
    <w:rPr>
      <w:rFonts w:ascii="Helvetica" w:eastAsia="Calibri" w:hAnsi="Helvetic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0C7193"/>
    <w:rPr>
      <w:color w:val="605E5C"/>
      <w:shd w:val="clear" w:color="auto" w:fill="E1DFDD"/>
    </w:rPr>
  </w:style>
  <w:style w:type="character" w:customStyle="1" w:styleId="UnresolvedMention2">
    <w:name w:val="Unresolved Mention2"/>
    <w:basedOn w:val="DefaultParagraphFont"/>
    <w:uiPriority w:val="99"/>
    <w:semiHidden/>
    <w:unhideWhenUsed/>
    <w:rsid w:val="00974408"/>
    <w:rPr>
      <w:color w:val="605E5C"/>
      <w:shd w:val="clear" w:color="auto" w:fill="E1DFDD"/>
    </w:rPr>
  </w:style>
  <w:style w:type="character" w:customStyle="1" w:styleId="UnresolvedMention3">
    <w:name w:val="Unresolved Mention3"/>
    <w:basedOn w:val="DefaultParagraphFont"/>
    <w:uiPriority w:val="99"/>
    <w:semiHidden/>
    <w:unhideWhenUsed/>
    <w:rsid w:val="00B17D54"/>
    <w:rPr>
      <w:color w:val="605E5C"/>
      <w:shd w:val="clear" w:color="auto" w:fill="E1DFDD"/>
    </w:rPr>
  </w:style>
  <w:style w:type="table" w:customStyle="1" w:styleId="DefraGreen1">
    <w:name w:val="Defra Green1"/>
    <w:basedOn w:val="TableNormal"/>
    <w:uiPriority w:val="99"/>
    <w:qFormat/>
    <w:rsid w:val="003C30B9"/>
    <w:pPr>
      <w:spacing w:before="60" w:after="80"/>
    </w:pPr>
    <w:rPr>
      <w:rFonts w:eastAsia="Calibri"/>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table" w:customStyle="1" w:styleId="DefraGreen2">
    <w:name w:val="Defra Green2"/>
    <w:basedOn w:val="TableNormal"/>
    <w:uiPriority w:val="99"/>
    <w:qFormat/>
    <w:rsid w:val="003C30B9"/>
    <w:pPr>
      <w:spacing w:before="60" w:after="80"/>
    </w:pPr>
    <w:rPr>
      <w:rFonts w:eastAsia="Calibri"/>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table" w:customStyle="1" w:styleId="DefraGreen3">
    <w:name w:val="Defra Green3"/>
    <w:basedOn w:val="TableNormal"/>
    <w:uiPriority w:val="99"/>
    <w:qFormat/>
    <w:rsid w:val="003C30B9"/>
    <w:pPr>
      <w:spacing w:before="60" w:after="80"/>
    </w:pPr>
    <w:rPr>
      <w:rFonts w:eastAsia="Calibri"/>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character" w:customStyle="1" w:styleId="UnresolvedMention4">
    <w:name w:val="Unresolved Mention4"/>
    <w:basedOn w:val="DefaultParagraphFont"/>
    <w:uiPriority w:val="99"/>
    <w:semiHidden/>
    <w:unhideWhenUsed/>
    <w:rsid w:val="000B031E"/>
    <w:rPr>
      <w:color w:val="605E5C"/>
      <w:shd w:val="clear" w:color="auto" w:fill="E1DFDD"/>
    </w:rPr>
  </w:style>
  <w:style w:type="character" w:customStyle="1" w:styleId="UnresolvedMention5">
    <w:name w:val="Unresolved Mention5"/>
    <w:basedOn w:val="DefaultParagraphFont"/>
    <w:uiPriority w:val="99"/>
    <w:semiHidden/>
    <w:unhideWhenUsed/>
    <w:rsid w:val="001F7EDA"/>
    <w:rPr>
      <w:color w:val="605E5C"/>
      <w:shd w:val="clear" w:color="auto" w:fill="E1DFDD"/>
    </w:rPr>
  </w:style>
  <w:style w:type="character" w:styleId="FootnoteReference">
    <w:name w:val="footnote reference"/>
    <w:basedOn w:val="DefaultParagraphFont"/>
    <w:uiPriority w:val="99"/>
    <w:semiHidden/>
    <w:unhideWhenUsed/>
    <w:rsid w:val="0079253E"/>
    <w:rPr>
      <w:vertAlign w:val="superscript"/>
    </w:rPr>
  </w:style>
  <w:style w:type="character" w:customStyle="1" w:styleId="UnresolvedMention6">
    <w:name w:val="Unresolved Mention6"/>
    <w:basedOn w:val="DefaultParagraphFont"/>
    <w:uiPriority w:val="99"/>
    <w:semiHidden/>
    <w:unhideWhenUsed/>
    <w:rsid w:val="007C7EEA"/>
    <w:rPr>
      <w:color w:val="605E5C"/>
      <w:shd w:val="clear" w:color="auto" w:fill="E1DFDD"/>
    </w:rPr>
  </w:style>
  <w:style w:type="character" w:customStyle="1" w:styleId="UnresolvedMention7">
    <w:name w:val="Unresolved Mention7"/>
    <w:basedOn w:val="DefaultParagraphFont"/>
    <w:uiPriority w:val="99"/>
    <w:semiHidden/>
    <w:unhideWhenUsed/>
    <w:rsid w:val="0007750A"/>
    <w:rPr>
      <w:color w:val="605E5C"/>
      <w:shd w:val="clear" w:color="auto" w:fill="E1DFDD"/>
    </w:rPr>
  </w:style>
  <w:style w:type="character" w:customStyle="1" w:styleId="UnresolvedMention8">
    <w:name w:val="Unresolved Mention8"/>
    <w:basedOn w:val="DefaultParagraphFont"/>
    <w:uiPriority w:val="99"/>
    <w:semiHidden/>
    <w:unhideWhenUsed/>
    <w:rsid w:val="002275B2"/>
    <w:rPr>
      <w:color w:val="605E5C"/>
      <w:shd w:val="clear" w:color="auto" w:fill="E1DFDD"/>
    </w:rPr>
  </w:style>
  <w:style w:type="character" w:customStyle="1" w:styleId="UnresolvedMention9">
    <w:name w:val="Unresolved Mention9"/>
    <w:basedOn w:val="DefaultParagraphFont"/>
    <w:uiPriority w:val="99"/>
    <w:semiHidden/>
    <w:unhideWhenUsed/>
    <w:rsid w:val="00907D27"/>
    <w:rPr>
      <w:color w:val="605E5C"/>
      <w:shd w:val="clear" w:color="auto" w:fill="E1DFDD"/>
    </w:rPr>
  </w:style>
  <w:style w:type="character" w:styleId="UnresolvedMention">
    <w:name w:val="Unresolved Mention"/>
    <w:basedOn w:val="DefaultParagraphFont"/>
    <w:uiPriority w:val="99"/>
    <w:semiHidden/>
    <w:unhideWhenUsed/>
    <w:rsid w:val="00D03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24">
      <w:bodyDiv w:val="1"/>
      <w:marLeft w:val="0"/>
      <w:marRight w:val="0"/>
      <w:marTop w:val="0"/>
      <w:marBottom w:val="0"/>
      <w:divBdr>
        <w:top w:val="none" w:sz="0" w:space="0" w:color="auto"/>
        <w:left w:val="none" w:sz="0" w:space="0" w:color="auto"/>
        <w:bottom w:val="none" w:sz="0" w:space="0" w:color="auto"/>
        <w:right w:val="none" w:sz="0" w:space="0" w:color="auto"/>
      </w:divBdr>
    </w:div>
    <w:div w:id="110517057">
      <w:bodyDiv w:val="1"/>
      <w:marLeft w:val="0"/>
      <w:marRight w:val="0"/>
      <w:marTop w:val="0"/>
      <w:marBottom w:val="0"/>
      <w:divBdr>
        <w:top w:val="none" w:sz="0" w:space="0" w:color="auto"/>
        <w:left w:val="none" w:sz="0" w:space="0" w:color="auto"/>
        <w:bottom w:val="none" w:sz="0" w:space="0" w:color="auto"/>
        <w:right w:val="none" w:sz="0" w:space="0" w:color="auto"/>
      </w:divBdr>
    </w:div>
    <w:div w:id="346951209">
      <w:bodyDiv w:val="1"/>
      <w:marLeft w:val="0"/>
      <w:marRight w:val="0"/>
      <w:marTop w:val="0"/>
      <w:marBottom w:val="0"/>
      <w:divBdr>
        <w:top w:val="none" w:sz="0" w:space="0" w:color="auto"/>
        <w:left w:val="none" w:sz="0" w:space="0" w:color="auto"/>
        <w:bottom w:val="none" w:sz="0" w:space="0" w:color="auto"/>
        <w:right w:val="none" w:sz="0" w:space="0" w:color="auto"/>
      </w:divBdr>
    </w:div>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391971719">
      <w:bodyDiv w:val="1"/>
      <w:marLeft w:val="0"/>
      <w:marRight w:val="0"/>
      <w:marTop w:val="0"/>
      <w:marBottom w:val="0"/>
      <w:divBdr>
        <w:top w:val="none" w:sz="0" w:space="0" w:color="auto"/>
        <w:left w:val="none" w:sz="0" w:space="0" w:color="auto"/>
        <w:bottom w:val="none" w:sz="0" w:space="0" w:color="auto"/>
        <w:right w:val="none" w:sz="0" w:space="0" w:color="auto"/>
      </w:divBdr>
      <w:divsChild>
        <w:div w:id="2016223258">
          <w:marLeft w:val="446"/>
          <w:marRight w:val="0"/>
          <w:marTop w:val="0"/>
          <w:marBottom w:val="120"/>
          <w:divBdr>
            <w:top w:val="none" w:sz="0" w:space="0" w:color="auto"/>
            <w:left w:val="none" w:sz="0" w:space="0" w:color="auto"/>
            <w:bottom w:val="none" w:sz="0" w:space="0" w:color="auto"/>
            <w:right w:val="none" w:sz="0" w:space="0" w:color="auto"/>
          </w:divBdr>
        </w:div>
      </w:divsChild>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669869150">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807016319">
      <w:bodyDiv w:val="1"/>
      <w:marLeft w:val="0"/>
      <w:marRight w:val="0"/>
      <w:marTop w:val="0"/>
      <w:marBottom w:val="0"/>
      <w:divBdr>
        <w:top w:val="none" w:sz="0" w:space="0" w:color="auto"/>
        <w:left w:val="none" w:sz="0" w:space="0" w:color="auto"/>
        <w:bottom w:val="none" w:sz="0" w:space="0" w:color="auto"/>
        <w:right w:val="none" w:sz="0" w:space="0" w:color="auto"/>
      </w:divBdr>
    </w:div>
    <w:div w:id="914629510">
      <w:bodyDiv w:val="1"/>
      <w:marLeft w:val="0"/>
      <w:marRight w:val="0"/>
      <w:marTop w:val="0"/>
      <w:marBottom w:val="0"/>
      <w:divBdr>
        <w:top w:val="none" w:sz="0" w:space="0" w:color="auto"/>
        <w:left w:val="none" w:sz="0" w:space="0" w:color="auto"/>
        <w:bottom w:val="none" w:sz="0" w:space="0" w:color="auto"/>
        <w:right w:val="none" w:sz="0" w:space="0" w:color="auto"/>
      </w:divBdr>
    </w:div>
    <w:div w:id="1091270697">
      <w:bodyDiv w:val="1"/>
      <w:marLeft w:val="0"/>
      <w:marRight w:val="0"/>
      <w:marTop w:val="0"/>
      <w:marBottom w:val="0"/>
      <w:divBdr>
        <w:top w:val="none" w:sz="0" w:space="0" w:color="auto"/>
        <w:left w:val="none" w:sz="0" w:space="0" w:color="auto"/>
        <w:bottom w:val="none" w:sz="0" w:space="0" w:color="auto"/>
        <w:right w:val="none" w:sz="0" w:space="0" w:color="auto"/>
      </w:divBdr>
      <w:divsChild>
        <w:div w:id="1107383656">
          <w:marLeft w:val="446"/>
          <w:marRight w:val="0"/>
          <w:marTop w:val="0"/>
          <w:marBottom w:val="120"/>
          <w:divBdr>
            <w:top w:val="none" w:sz="0" w:space="0" w:color="auto"/>
            <w:left w:val="none" w:sz="0" w:space="0" w:color="auto"/>
            <w:bottom w:val="none" w:sz="0" w:space="0" w:color="auto"/>
            <w:right w:val="none" w:sz="0" w:space="0" w:color="auto"/>
          </w:divBdr>
        </w:div>
        <w:div w:id="1606843399">
          <w:marLeft w:val="446"/>
          <w:marRight w:val="0"/>
          <w:marTop w:val="0"/>
          <w:marBottom w:val="120"/>
          <w:divBdr>
            <w:top w:val="none" w:sz="0" w:space="0" w:color="auto"/>
            <w:left w:val="none" w:sz="0" w:space="0" w:color="auto"/>
            <w:bottom w:val="none" w:sz="0" w:space="0" w:color="auto"/>
            <w:right w:val="none" w:sz="0" w:space="0" w:color="auto"/>
          </w:divBdr>
        </w:div>
      </w:divsChild>
    </w:div>
    <w:div w:id="1106847123">
      <w:bodyDiv w:val="1"/>
      <w:marLeft w:val="0"/>
      <w:marRight w:val="0"/>
      <w:marTop w:val="0"/>
      <w:marBottom w:val="0"/>
      <w:divBdr>
        <w:top w:val="none" w:sz="0" w:space="0" w:color="auto"/>
        <w:left w:val="none" w:sz="0" w:space="0" w:color="auto"/>
        <w:bottom w:val="none" w:sz="0" w:space="0" w:color="auto"/>
        <w:right w:val="none" w:sz="0" w:space="0" w:color="auto"/>
      </w:divBdr>
      <w:divsChild>
        <w:div w:id="87698570">
          <w:marLeft w:val="446"/>
          <w:marRight w:val="0"/>
          <w:marTop w:val="0"/>
          <w:marBottom w:val="120"/>
          <w:divBdr>
            <w:top w:val="none" w:sz="0" w:space="0" w:color="auto"/>
            <w:left w:val="none" w:sz="0" w:space="0" w:color="auto"/>
            <w:bottom w:val="none" w:sz="0" w:space="0" w:color="auto"/>
            <w:right w:val="none" w:sz="0" w:space="0" w:color="auto"/>
          </w:divBdr>
        </w:div>
        <w:div w:id="1549141684">
          <w:marLeft w:val="446"/>
          <w:marRight w:val="0"/>
          <w:marTop w:val="0"/>
          <w:marBottom w:val="120"/>
          <w:divBdr>
            <w:top w:val="none" w:sz="0" w:space="0" w:color="auto"/>
            <w:left w:val="none" w:sz="0" w:space="0" w:color="auto"/>
            <w:bottom w:val="none" w:sz="0" w:space="0" w:color="auto"/>
            <w:right w:val="none" w:sz="0" w:space="0" w:color="auto"/>
          </w:divBdr>
        </w:div>
        <w:div w:id="2118210861">
          <w:marLeft w:val="446"/>
          <w:marRight w:val="0"/>
          <w:marTop w:val="0"/>
          <w:marBottom w:val="120"/>
          <w:divBdr>
            <w:top w:val="none" w:sz="0" w:space="0" w:color="auto"/>
            <w:left w:val="none" w:sz="0" w:space="0" w:color="auto"/>
            <w:bottom w:val="none" w:sz="0" w:space="0" w:color="auto"/>
            <w:right w:val="none" w:sz="0" w:space="0" w:color="auto"/>
          </w:divBdr>
        </w:div>
      </w:divsChild>
    </w:div>
    <w:div w:id="1131022024">
      <w:bodyDiv w:val="1"/>
      <w:marLeft w:val="0"/>
      <w:marRight w:val="0"/>
      <w:marTop w:val="0"/>
      <w:marBottom w:val="0"/>
      <w:divBdr>
        <w:top w:val="none" w:sz="0" w:space="0" w:color="auto"/>
        <w:left w:val="none" w:sz="0" w:space="0" w:color="auto"/>
        <w:bottom w:val="none" w:sz="0" w:space="0" w:color="auto"/>
        <w:right w:val="none" w:sz="0" w:space="0" w:color="auto"/>
      </w:divBdr>
      <w:divsChild>
        <w:div w:id="391512292">
          <w:marLeft w:val="446"/>
          <w:marRight w:val="0"/>
          <w:marTop w:val="0"/>
          <w:marBottom w:val="0"/>
          <w:divBdr>
            <w:top w:val="none" w:sz="0" w:space="0" w:color="auto"/>
            <w:left w:val="none" w:sz="0" w:space="0" w:color="auto"/>
            <w:bottom w:val="none" w:sz="0" w:space="0" w:color="auto"/>
            <w:right w:val="none" w:sz="0" w:space="0" w:color="auto"/>
          </w:divBdr>
        </w:div>
      </w:divsChild>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464468839">
      <w:bodyDiv w:val="1"/>
      <w:marLeft w:val="0"/>
      <w:marRight w:val="0"/>
      <w:marTop w:val="0"/>
      <w:marBottom w:val="0"/>
      <w:divBdr>
        <w:top w:val="none" w:sz="0" w:space="0" w:color="auto"/>
        <w:left w:val="none" w:sz="0" w:space="0" w:color="auto"/>
        <w:bottom w:val="none" w:sz="0" w:space="0" w:color="auto"/>
        <w:right w:val="none" w:sz="0" w:space="0" w:color="auto"/>
      </w:divBdr>
    </w:div>
    <w:div w:id="1497191279">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 w:id="1543518007">
      <w:bodyDiv w:val="1"/>
      <w:marLeft w:val="0"/>
      <w:marRight w:val="0"/>
      <w:marTop w:val="0"/>
      <w:marBottom w:val="0"/>
      <w:divBdr>
        <w:top w:val="none" w:sz="0" w:space="0" w:color="auto"/>
        <w:left w:val="none" w:sz="0" w:space="0" w:color="auto"/>
        <w:bottom w:val="none" w:sz="0" w:space="0" w:color="auto"/>
        <w:right w:val="none" w:sz="0" w:space="0" w:color="auto"/>
      </w:divBdr>
    </w:div>
    <w:div w:id="1544708288">
      <w:bodyDiv w:val="1"/>
      <w:marLeft w:val="0"/>
      <w:marRight w:val="0"/>
      <w:marTop w:val="0"/>
      <w:marBottom w:val="0"/>
      <w:divBdr>
        <w:top w:val="none" w:sz="0" w:space="0" w:color="auto"/>
        <w:left w:val="none" w:sz="0" w:space="0" w:color="auto"/>
        <w:bottom w:val="none" w:sz="0" w:space="0" w:color="auto"/>
        <w:right w:val="none" w:sz="0" w:space="0" w:color="auto"/>
      </w:divBdr>
      <w:divsChild>
        <w:div w:id="393433533">
          <w:marLeft w:val="0"/>
          <w:marRight w:val="0"/>
          <w:marTop w:val="0"/>
          <w:marBottom w:val="0"/>
          <w:divBdr>
            <w:top w:val="none" w:sz="0" w:space="0" w:color="auto"/>
            <w:left w:val="none" w:sz="0" w:space="0" w:color="auto"/>
            <w:bottom w:val="none" w:sz="0" w:space="0" w:color="auto"/>
            <w:right w:val="none" w:sz="0" w:space="0" w:color="auto"/>
          </w:divBdr>
          <w:divsChild>
            <w:div w:id="383987973">
              <w:marLeft w:val="0"/>
              <w:marRight w:val="0"/>
              <w:marTop w:val="0"/>
              <w:marBottom w:val="0"/>
              <w:divBdr>
                <w:top w:val="none" w:sz="0" w:space="0" w:color="auto"/>
                <w:left w:val="none" w:sz="0" w:space="0" w:color="auto"/>
                <w:bottom w:val="none" w:sz="0" w:space="0" w:color="auto"/>
                <w:right w:val="none" w:sz="0" w:space="0" w:color="auto"/>
              </w:divBdr>
              <w:divsChild>
                <w:div w:id="267781665">
                  <w:marLeft w:val="0"/>
                  <w:marRight w:val="0"/>
                  <w:marTop w:val="0"/>
                  <w:marBottom w:val="0"/>
                  <w:divBdr>
                    <w:top w:val="none" w:sz="0" w:space="0" w:color="auto"/>
                    <w:left w:val="none" w:sz="0" w:space="0" w:color="auto"/>
                    <w:bottom w:val="none" w:sz="0" w:space="0" w:color="auto"/>
                    <w:right w:val="none" w:sz="0" w:space="0" w:color="auto"/>
                  </w:divBdr>
                  <w:divsChild>
                    <w:div w:id="2081167892">
                      <w:marLeft w:val="0"/>
                      <w:marRight w:val="0"/>
                      <w:marTop w:val="0"/>
                      <w:marBottom w:val="0"/>
                      <w:divBdr>
                        <w:top w:val="none" w:sz="0" w:space="0" w:color="auto"/>
                        <w:left w:val="none" w:sz="0" w:space="0" w:color="auto"/>
                        <w:bottom w:val="none" w:sz="0" w:space="0" w:color="auto"/>
                        <w:right w:val="none" w:sz="0" w:space="0" w:color="auto"/>
                      </w:divBdr>
                      <w:divsChild>
                        <w:div w:id="2069380143">
                          <w:marLeft w:val="0"/>
                          <w:marRight w:val="0"/>
                          <w:marTop w:val="0"/>
                          <w:marBottom w:val="0"/>
                          <w:divBdr>
                            <w:top w:val="none" w:sz="0" w:space="0" w:color="auto"/>
                            <w:left w:val="none" w:sz="0" w:space="0" w:color="auto"/>
                            <w:bottom w:val="none" w:sz="0" w:space="0" w:color="auto"/>
                            <w:right w:val="none" w:sz="0" w:space="0" w:color="auto"/>
                          </w:divBdr>
                          <w:divsChild>
                            <w:div w:id="437917067">
                              <w:marLeft w:val="0"/>
                              <w:marRight w:val="120"/>
                              <w:marTop w:val="0"/>
                              <w:marBottom w:val="0"/>
                              <w:divBdr>
                                <w:top w:val="none" w:sz="0" w:space="0" w:color="auto"/>
                                <w:left w:val="none" w:sz="0" w:space="0" w:color="auto"/>
                                <w:bottom w:val="none" w:sz="0" w:space="0" w:color="auto"/>
                                <w:right w:val="none" w:sz="0" w:space="0" w:color="auto"/>
                              </w:divBdr>
                              <w:divsChild>
                                <w:div w:id="1125194538">
                                  <w:marLeft w:val="-300"/>
                                  <w:marRight w:val="0"/>
                                  <w:marTop w:val="0"/>
                                  <w:marBottom w:val="0"/>
                                  <w:divBdr>
                                    <w:top w:val="none" w:sz="0" w:space="0" w:color="auto"/>
                                    <w:left w:val="none" w:sz="0" w:space="0" w:color="auto"/>
                                    <w:bottom w:val="none" w:sz="0" w:space="0" w:color="auto"/>
                                    <w:right w:val="none" w:sz="0" w:space="0" w:color="auto"/>
                                  </w:divBdr>
                                </w:div>
                              </w:divsChild>
                            </w:div>
                            <w:div w:id="1739400835">
                              <w:marLeft w:val="-240"/>
                              <w:marRight w:val="-120"/>
                              <w:marTop w:val="0"/>
                              <w:marBottom w:val="0"/>
                              <w:divBdr>
                                <w:top w:val="none" w:sz="0" w:space="0" w:color="auto"/>
                                <w:left w:val="none" w:sz="0" w:space="0" w:color="auto"/>
                                <w:bottom w:val="none" w:sz="0" w:space="0" w:color="auto"/>
                                <w:right w:val="none" w:sz="0" w:space="0" w:color="auto"/>
                              </w:divBdr>
                              <w:divsChild>
                                <w:div w:id="967854134">
                                  <w:marLeft w:val="0"/>
                                  <w:marRight w:val="0"/>
                                  <w:marTop w:val="0"/>
                                  <w:marBottom w:val="60"/>
                                  <w:divBdr>
                                    <w:top w:val="none" w:sz="0" w:space="0" w:color="auto"/>
                                    <w:left w:val="none" w:sz="0" w:space="0" w:color="auto"/>
                                    <w:bottom w:val="none" w:sz="0" w:space="0" w:color="auto"/>
                                    <w:right w:val="none" w:sz="0" w:space="0" w:color="auto"/>
                                  </w:divBdr>
                                  <w:divsChild>
                                    <w:div w:id="755827540">
                                      <w:marLeft w:val="0"/>
                                      <w:marRight w:val="0"/>
                                      <w:marTop w:val="0"/>
                                      <w:marBottom w:val="0"/>
                                      <w:divBdr>
                                        <w:top w:val="none" w:sz="0" w:space="0" w:color="auto"/>
                                        <w:left w:val="none" w:sz="0" w:space="0" w:color="auto"/>
                                        <w:bottom w:val="none" w:sz="0" w:space="0" w:color="auto"/>
                                        <w:right w:val="none" w:sz="0" w:space="0" w:color="auto"/>
                                      </w:divBdr>
                                      <w:divsChild>
                                        <w:div w:id="771166911">
                                          <w:marLeft w:val="0"/>
                                          <w:marRight w:val="0"/>
                                          <w:marTop w:val="0"/>
                                          <w:marBottom w:val="0"/>
                                          <w:divBdr>
                                            <w:top w:val="none" w:sz="0" w:space="0" w:color="auto"/>
                                            <w:left w:val="none" w:sz="0" w:space="0" w:color="auto"/>
                                            <w:bottom w:val="none" w:sz="0" w:space="0" w:color="auto"/>
                                            <w:right w:val="none" w:sz="0" w:space="0" w:color="auto"/>
                                          </w:divBdr>
                                          <w:divsChild>
                                            <w:div w:id="707221528">
                                              <w:marLeft w:val="0"/>
                                              <w:marRight w:val="0"/>
                                              <w:marTop w:val="0"/>
                                              <w:marBottom w:val="0"/>
                                              <w:divBdr>
                                                <w:top w:val="none" w:sz="0" w:space="0" w:color="auto"/>
                                                <w:left w:val="none" w:sz="0" w:space="0" w:color="auto"/>
                                                <w:bottom w:val="none" w:sz="0" w:space="0" w:color="auto"/>
                                                <w:right w:val="none" w:sz="0" w:space="0" w:color="auto"/>
                                              </w:divBdr>
                                              <w:divsChild>
                                                <w:div w:id="20829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027523">
          <w:marLeft w:val="0"/>
          <w:marRight w:val="0"/>
          <w:marTop w:val="0"/>
          <w:marBottom w:val="0"/>
          <w:divBdr>
            <w:top w:val="none" w:sz="0" w:space="0" w:color="auto"/>
            <w:left w:val="none" w:sz="0" w:space="0" w:color="auto"/>
            <w:bottom w:val="none" w:sz="0" w:space="0" w:color="auto"/>
            <w:right w:val="none" w:sz="0" w:space="0" w:color="auto"/>
          </w:divBdr>
          <w:divsChild>
            <w:div w:id="1155956507">
              <w:marLeft w:val="0"/>
              <w:marRight w:val="0"/>
              <w:marTop w:val="0"/>
              <w:marBottom w:val="0"/>
              <w:divBdr>
                <w:top w:val="none" w:sz="0" w:space="0" w:color="auto"/>
                <w:left w:val="none" w:sz="0" w:space="0" w:color="auto"/>
                <w:bottom w:val="none" w:sz="0" w:space="0" w:color="auto"/>
                <w:right w:val="none" w:sz="0" w:space="0" w:color="auto"/>
              </w:divBdr>
              <w:divsChild>
                <w:div w:id="1226255118">
                  <w:marLeft w:val="0"/>
                  <w:marRight w:val="0"/>
                  <w:marTop w:val="0"/>
                  <w:marBottom w:val="0"/>
                  <w:divBdr>
                    <w:top w:val="none" w:sz="0" w:space="0" w:color="auto"/>
                    <w:left w:val="none" w:sz="0" w:space="0" w:color="auto"/>
                    <w:bottom w:val="none" w:sz="0" w:space="0" w:color="auto"/>
                    <w:right w:val="none" w:sz="0" w:space="0" w:color="auto"/>
                  </w:divBdr>
                  <w:divsChild>
                    <w:div w:id="1454903342">
                      <w:marLeft w:val="0"/>
                      <w:marRight w:val="0"/>
                      <w:marTop w:val="0"/>
                      <w:marBottom w:val="0"/>
                      <w:divBdr>
                        <w:top w:val="none" w:sz="0" w:space="0" w:color="auto"/>
                        <w:left w:val="none" w:sz="0" w:space="0" w:color="auto"/>
                        <w:bottom w:val="none" w:sz="0" w:space="0" w:color="auto"/>
                        <w:right w:val="none" w:sz="0" w:space="0" w:color="auto"/>
                      </w:divBdr>
                      <w:divsChild>
                        <w:div w:id="1193959793">
                          <w:marLeft w:val="0"/>
                          <w:marRight w:val="0"/>
                          <w:marTop w:val="0"/>
                          <w:marBottom w:val="0"/>
                          <w:divBdr>
                            <w:top w:val="none" w:sz="0" w:space="0" w:color="auto"/>
                            <w:left w:val="none" w:sz="0" w:space="0" w:color="auto"/>
                            <w:bottom w:val="none" w:sz="0" w:space="0" w:color="auto"/>
                            <w:right w:val="none" w:sz="0" w:space="0" w:color="auto"/>
                          </w:divBdr>
                          <w:divsChild>
                            <w:div w:id="1491602211">
                              <w:marLeft w:val="-240"/>
                              <w:marRight w:val="-120"/>
                              <w:marTop w:val="0"/>
                              <w:marBottom w:val="0"/>
                              <w:divBdr>
                                <w:top w:val="none" w:sz="0" w:space="0" w:color="auto"/>
                                <w:left w:val="none" w:sz="0" w:space="0" w:color="auto"/>
                                <w:bottom w:val="none" w:sz="0" w:space="0" w:color="auto"/>
                                <w:right w:val="none" w:sz="0" w:space="0" w:color="auto"/>
                              </w:divBdr>
                              <w:divsChild>
                                <w:div w:id="222564045">
                                  <w:marLeft w:val="0"/>
                                  <w:marRight w:val="0"/>
                                  <w:marTop w:val="0"/>
                                  <w:marBottom w:val="60"/>
                                  <w:divBdr>
                                    <w:top w:val="none" w:sz="0" w:space="0" w:color="auto"/>
                                    <w:left w:val="none" w:sz="0" w:space="0" w:color="auto"/>
                                    <w:bottom w:val="none" w:sz="0" w:space="0" w:color="auto"/>
                                    <w:right w:val="none" w:sz="0" w:space="0" w:color="auto"/>
                                  </w:divBdr>
                                  <w:divsChild>
                                    <w:div w:id="1203253772">
                                      <w:marLeft w:val="0"/>
                                      <w:marRight w:val="0"/>
                                      <w:marTop w:val="0"/>
                                      <w:marBottom w:val="0"/>
                                      <w:divBdr>
                                        <w:top w:val="none" w:sz="0" w:space="0" w:color="auto"/>
                                        <w:left w:val="none" w:sz="0" w:space="0" w:color="auto"/>
                                        <w:bottom w:val="none" w:sz="0" w:space="0" w:color="auto"/>
                                        <w:right w:val="none" w:sz="0" w:space="0" w:color="auto"/>
                                      </w:divBdr>
                                      <w:divsChild>
                                        <w:div w:id="961232545">
                                          <w:marLeft w:val="0"/>
                                          <w:marRight w:val="0"/>
                                          <w:marTop w:val="0"/>
                                          <w:marBottom w:val="0"/>
                                          <w:divBdr>
                                            <w:top w:val="none" w:sz="0" w:space="0" w:color="auto"/>
                                            <w:left w:val="none" w:sz="0" w:space="0" w:color="auto"/>
                                            <w:bottom w:val="none" w:sz="0" w:space="0" w:color="auto"/>
                                            <w:right w:val="none" w:sz="0" w:space="0" w:color="auto"/>
                                          </w:divBdr>
                                          <w:divsChild>
                                            <w:div w:id="61760374">
                                              <w:marLeft w:val="0"/>
                                              <w:marRight w:val="0"/>
                                              <w:marTop w:val="0"/>
                                              <w:marBottom w:val="0"/>
                                              <w:divBdr>
                                                <w:top w:val="none" w:sz="0" w:space="0" w:color="auto"/>
                                                <w:left w:val="none" w:sz="0" w:space="0" w:color="auto"/>
                                                <w:bottom w:val="none" w:sz="0" w:space="0" w:color="auto"/>
                                                <w:right w:val="none" w:sz="0" w:space="0" w:color="auto"/>
                                              </w:divBdr>
                                              <w:divsChild>
                                                <w:div w:id="2028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494990">
      <w:bodyDiv w:val="1"/>
      <w:marLeft w:val="0"/>
      <w:marRight w:val="0"/>
      <w:marTop w:val="0"/>
      <w:marBottom w:val="0"/>
      <w:divBdr>
        <w:top w:val="none" w:sz="0" w:space="0" w:color="auto"/>
        <w:left w:val="none" w:sz="0" w:space="0" w:color="auto"/>
        <w:bottom w:val="none" w:sz="0" w:space="0" w:color="auto"/>
        <w:right w:val="none" w:sz="0" w:space="0" w:color="auto"/>
      </w:divBdr>
      <w:divsChild>
        <w:div w:id="586308690">
          <w:marLeft w:val="446"/>
          <w:marRight w:val="0"/>
          <w:marTop w:val="0"/>
          <w:marBottom w:val="120"/>
          <w:divBdr>
            <w:top w:val="none" w:sz="0" w:space="0" w:color="auto"/>
            <w:left w:val="none" w:sz="0" w:space="0" w:color="auto"/>
            <w:bottom w:val="none" w:sz="0" w:space="0" w:color="auto"/>
            <w:right w:val="none" w:sz="0" w:space="0" w:color="auto"/>
          </w:divBdr>
        </w:div>
        <w:div w:id="1059472168">
          <w:marLeft w:val="446"/>
          <w:marRight w:val="0"/>
          <w:marTop w:val="0"/>
          <w:marBottom w:val="120"/>
          <w:divBdr>
            <w:top w:val="none" w:sz="0" w:space="0" w:color="auto"/>
            <w:left w:val="none" w:sz="0" w:space="0" w:color="auto"/>
            <w:bottom w:val="none" w:sz="0" w:space="0" w:color="auto"/>
            <w:right w:val="none" w:sz="0" w:space="0" w:color="auto"/>
          </w:divBdr>
        </w:div>
      </w:divsChild>
    </w:div>
    <w:div w:id="1858158434">
      <w:bodyDiv w:val="1"/>
      <w:marLeft w:val="0"/>
      <w:marRight w:val="0"/>
      <w:marTop w:val="0"/>
      <w:marBottom w:val="0"/>
      <w:divBdr>
        <w:top w:val="none" w:sz="0" w:space="0" w:color="auto"/>
        <w:left w:val="none" w:sz="0" w:space="0" w:color="auto"/>
        <w:bottom w:val="none" w:sz="0" w:space="0" w:color="auto"/>
        <w:right w:val="none" w:sz="0" w:space="0" w:color="auto"/>
      </w:divBdr>
    </w:div>
    <w:div w:id="1947957482">
      <w:bodyDiv w:val="1"/>
      <w:marLeft w:val="0"/>
      <w:marRight w:val="0"/>
      <w:marTop w:val="0"/>
      <w:marBottom w:val="0"/>
      <w:divBdr>
        <w:top w:val="none" w:sz="0" w:space="0" w:color="auto"/>
        <w:left w:val="none" w:sz="0" w:space="0" w:color="auto"/>
        <w:bottom w:val="none" w:sz="0" w:space="0" w:color="auto"/>
        <w:right w:val="none" w:sz="0" w:space="0" w:color="auto"/>
      </w:divBdr>
    </w:div>
    <w:div w:id="1970087320">
      <w:bodyDiv w:val="1"/>
      <w:marLeft w:val="0"/>
      <w:marRight w:val="0"/>
      <w:marTop w:val="0"/>
      <w:marBottom w:val="0"/>
      <w:divBdr>
        <w:top w:val="none" w:sz="0" w:space="0" w:color="auto"/>
        <w:left w:val="none" w:sz="0" w:space="0" w:color="auto"/>
        <w:bottom w:val="none" w:sz="0" w:space="0" w:color="auto"/>
        <w:right w:val="none" w:sz="0" w:space="0" w:color="auto"/>
      </w:divBdr>
    </w:div>
    <w:div w:id="2009402601">
      <w:bodyDiv w:val="1"/>
      <w:marLeft w:val="0"/>
      <w:marRight w:val="0"/>
      <w:marTop w:val="0"/>
      <w:marBottom w:val="0"/>
      <w:divBdr>
        <w:top w:val="none" w:sz="0" w:space="0" w:color="auto"/>
        <w:left w:val="none" w:sz="0" w:space="0" w:color="auto"/>
        <w:bottom w:val="none" w:sz="0" w:space="0" w:color="auto"/>
        <w:right w:val="none" w:sz="0" w:space="0" w:color="auto"/>
      </w:divBdr>
    </w:div>
    <w:div w:id="212071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legislation.gov.uk/ukpga/2009/23/section/58" TargetMode="External"/><Relationship Id="rId26" Type="http://schemas.openxmlformats.org/officeDocument/2006/relationships/hyperlink" Target="https://www.gov.uk/government/collections/north-east-marine-plan" TargetMode="External"/><Relationship Id="rId39" Type="http://schemas.openxmlformats.org/officeDocument/2006/relationships/hyperlink" Target="https://www.legislation.gov.uk/uksi/2010/1627/contents" TargetMode="External"/><Relationship Id="rId21" Type="http://schemas.openxmlformats.org/officeDocument/2006/relationships/footer" Target="footer3.xml"/><Relationship Id="rId34" Type="http://schemas.openxmlformats.org/officeDocument/2006/relationships/hyperlink" Target="https://www.gov.uk/guidance/explore-marine-plans" TargetMode="External"/><Relationship Id="rId42"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marine.planning@defra.gov.uk" TargetMode="External"/><Relationship Id="rId20" Type="http://schemas.openxmlformats.org/officeDocument/2006/relationships/footer" Target="footer2.xml"/><Relationship Id="rId29" Type="http://schemas.openxmlformats.org/officeDocument/2006/relationships/hyperlink" Target="https://www.gov.uk/government/collections/south-west-marine-plan" TargetMode="Externa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ssets.publishing.service.gov.uk/government/uploads/system/uploads/attachment_data/file/725896/06_Approach_to_Monitoring.pdf" TargetMode="External"/><Relationship Id="rId32" Type="http://schemas.openxmlformats.org/officeDocument/2006/relationships/hyperlink" Target="https://www.gov.uk/government/publications/clean-air-strategy-2019" TargetMode="External"/><Relationship Id="rId37" Type="http://schemas.openxmlformats.org/officeDocument/2006/relationships/chart" Target="charts/chart2.xml"/><Relationship Id="rId40"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gov.uk/government/publications" TargetMode="External"/><Relationship Id="rId23" Type="http://schemas.openxmlformats.org/officeDocument/2006/relationships/hyperlink" Target="https://assets.publishing.service.gov.uk/government/uploads/system/uploads/attachment_data/file/725896/06_Approach_to_Monitoring.pdf" TargetMode="External"/><Relationship Id="rId28" Type="http://schemas.openxmlformats.org/officeDocument/2006/relationships/hyperlink" Target="https://www.gov.uk/government/collections/south-east-marine-plan" TargetMode="External"/><Relationship Id="rId36" Type="http://schemas.openxmlformats.org/officeDocument/2006/relationships/chart" Target="charts/chart1.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https://www.gov.uk/government/consultations/biodiversity-net-gain-updating-planning-requirement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tionalarchives.gov.uk/doc/open-government-licence/" TargetMode="External"/><Relationship Id="rId22" Type="http://schemas.openxmlformats.org/officeDocument/2006/relationships/image" Target="media/image3.png"/><Relationship Id="rId27" Type="http://schemas.openxmlformats.org/officeDocument/2006/relationships/hyperlink" Target="https://www.gov.uk/government/collections/north-west-marine-plan" TargetMode="External"/><Relationship Id="rId30" Type="http://schemas.openxmlformats.org/officeDocument/2006/relationships/hyperlink" Target="https://aquindconsultation.co.uk/" TargetMode="External"/><Relationship Id="rId35" Type="http://schemas.openxmlformats.org/officeDocument/2006/relationships/hyperlink" Target="https://www.gov.uk/government/publications/the-south-marine-plans-documents"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www.gov.uk/defra" TargetMode="External"/><Relationship Id="rId25" Type="http://schemas.openxmlformats.org/officeDocument/2006/relationships/hyperlink" Target="https://www.gov.uk/government/publications/marine-strategy-part-one-uk-updated-assessment-and-good-environmental-status" TargetMode="External"/><Relationship Id="rId33" Type="http://schemas.openxmlformats.org/officeDocument/2006/relationships/hyperlink" Target="https://www.gov.uk/guidance/explore-marine-plans" TargetMode="External"/><Relationship Id="rId38" Type="http://schemas.openxmlformats.org/officeDocument/2006/relationships/hyperlink" Target="https://www.gov.uk/government/publications/seascape-assessment-for-the-south-marine-plan-areas-mmo-103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61586\Desktop\Branding\Document-templates\corporate-document-template-defra.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x944034\Desktop\south%20report%20figures\S_ProcessedData_SubNationalReview_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X950467\AppData\Local\Microsoft\Windows\Temporary%20Internet%20Files\Content.Outlook\RX65MWVV\S_DataProcessing_Output_Final_2018-202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0932406992223686E-2"/>
          <c:y val="5.0925925925925923E-2"/>
          <c:w val="0.89655396221938022"/>
          <c:h val="0.61974366165088168"/>
        </c:manualLayout>
      </c:layout>
      <c:barChart>
        <c:barDir val="col"/>
        <c:grouping val="stacked"/>
        <c:varyColors val="0"/>
        <c:ser>
          <c:idx val="0"/>
          <c:order val="0"/>
          <c:tx>
            <c:v>no. citing South Marine Plan</c:v>
          </c:tx>
          <c:spPr>
            <a:solidFill>
              <a:srgbClr val="007CBA"/>
            </a:solidFill>
            <a:ln>
              <a:solidFill>
                <a:schemeClr val="tx1"/>
              </a:solidFill>
            </a:ln>
            <a:effectLst/>
          </c:spPr>
          <c:invertIfNegative val="0"/>
          <c:cat>
            <c:strRef>
              <c:f>graph!$A$3:$A$9</c:f>
              <c:strCache>
                <c:ptCount val="7"/>
                <c:pt idx="0">
                  <c:v>area of outstanding natural beauty management plan</c:v>
                </c:pt>
                <c:pt idx="1">
                  <c:v>core strategy</c:v>
                </c:pt>
                <c:pt idx="2">
                  <c:v>local enterprise partnership plan</c:v>
                </c:pt>
                <c:pt idx="3">
                  <c:v>local plan</c:v>
                </c:pt>
                <c:pt idx="4">
                  <c:v>mineral and waste plan</c:v>
                </c:pt>
                <c:pt idx="5">
                  <c:v>river basin management plan</c:v>
                </c:pt>
                <c:pt idx="6">
                  <c:v>world heritage site plan</c:v>
                </c:pt>
              </c:strCache>
            </c:strRef>
          </c:cat>
          <c:val>
            <c:numRef>
              <c:f>graph!$E$3:$E$9</c:f>
              <c:numCache>
                <c:formatCode>General</c:formatCode>
                <c:ptCount val="7"/>
                <c:pt idx="0">
                  <c:v>3</c:v>
                </c:pt>
                <c:pt idx="1">
                  <c:v>1</c:v>
                </c:pt>
                <c:pt idx="2">
                  <c:v>0</c:v>
                </c:pt>
                <c:pt idx="3">
                  <c:v>10</c:v>
                </c:pt>
                <c:pt idx="4">
                  <c:v>1</c:v>
                </c:pt>
                <c:pt idx="5">
                  <c:v>0</c:v>
                </c:pt>
                <c:pt idx="6">
                  <c:v>0</c:v>
                </c:pt>
              </c:numCache>
            </c:numRef>
          </c:val>
          <c:extLst>
            <c:ext xmlns:c16="http://schemas.microsoft.com/office/drawing/2014/chart" uri="{C3380CC4-5D6E-409C-BE32-E72D297353CC}">
              <c16:uniqueId val="{00000000-9E2A-4078-B12E-1B80B3B20630}"/>
            </c:ext>
          </c:extLst>
        </c:ser>
        <c:ser>
          <c:idx val="1"/>
          <c:order val="1"/>
          <c:tx>
            <c:v>no. not citing South Marine Plan</c:v>
          </c:tx>
          <c:spPr>
            <a:solidFill>
              <a:srgbClr val="FFCC00"/>
            </a:solidFill>
            <a:ln>
              <a:solidFill>
                <a:schemeClr val="tx1"/>
              </a:solidFill>
            </a:ln>
            <a:effectLst/>
          </c:spPr>
          <c:invertIfNegative val="0"/>
          <c:cat>
            <c:strRef>
              <c:f>graph!$A$3:$A$9</c:f>
              <c:strCache>
                <c:ptCount val="7"/>
                <c:pt idx="0">
                  <c:v>area of outstanding natural beauty management plan</c:v>
                </c:pt>
                <c:pt idx="1">
                  <c:v>core strategy</c:v>
                </c:pt>
                <c:pt idx="2">
                  <c:v>local enterprise partnership plan</c:v>
                </c:pt>
                <c:pt idx="3">
                  <c:v>local plan</c:v>
                </c:pt>
                <c:pt idx="4">
                  <c:v>mineral and waste plan</c:v>
                </c:pt>
                <c:pt idx="5">
                  <c:v>river basin management plan</c:v>
                </c:pt>
                <c:pt idx="6">
                  <c:v>world heritage site plan</c:v>
                </c:pt>
              </c:strCache>
            </c:strRef>
          </c:cat>
          <c:val>
            <c:numRef>
              <c:f>graph!$H$3:$H$9</c:f>
              <c:numCache>
                <c:formatCode>General</c:formatCode>
                <c:ptCount val="7"/>
                <c:pt idx="0">
                  <c:v>4</c:v>
                </c:pt>
                <c:pt idx="1">
                  <c:v>7</c:v>
                </c:pt>
                <c:pt idx="2">
                  <c:v>9</c:v>
                </c:pt>
                <c:pt idx="3">
                  <c:v>16</c:v>
                </c:pt>
                <c:pt idx="4">
                  <c:v>8</c:v>
                </c:pt>
                <c:pt idx="5">
                  <c:v>2</c:v>
                </c:pt>
                <c:pt idx="6">
                  <c:v>1</c:v>
                </c:pt>
              </c:numCache>
            </c:numRef>
          </c:val>
          <c:extLst>
            <c:ext xmlns:c16="http://schemas.microsoft.com/office/drawing/2014/chart" uri="{C3380CC4-5D6E-409C-BE32-E72D297353CC}">
              <c16:uniqueId val="{00000001-9E2A-4078-B12E-1B80B3B20630}"/>
            </c:ext>
          </c:extLst>
        </c:ser>
        <c:dLbls>
          <c:showLegendKey val="0"/>
          <c:showVal val="0"/>
          <c:showCatName val="0"/>
          <c:showSerName val="0"/>
          <c:showPercent val="0"/>
          <c:showBubbleSize val="0"/>
        </c:dLbls>
        <c:gapWidth val="300"/>
        <c:overlap val="100"/>
        <c:axId val="495414264"/>
        <c:axId val="495414656"/>
      </c:barChart>
      <c:catAx>
        <c:axId val="495414264"/>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b="1">
                    <a:solidFill>
                      <a:sysClr val="windowText" lastClr="000000"/>
                    </a:solidFill>
                    <a:latin typeface="Arial" panose="020B0604020202020204" pitchFamily="34" charset="0"/>
                    <a:cs typeface="Arial" panose="020B0604020202020204" pitchFamily="34" charset="0"/>
                  </a:rPr>
                  <a:t>Sub-national policy document</a:t>
                </a:r>
              </a:p>
            </c:rich>
          </c:tx>
          <c:layout>
            <c:manualLayout>
              <c:xMode val="edge"/>
              <c:yMode val="edge"/>
              <c:x val="0.37301670938374004"/>
              <c:y val="0.92856937186649136"/>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95414656"/>
        <c:crosses val="autoZero"/>
        <c:auto val="1"/>
        <c:lblAlgn val="ctr"/>
        <c:lblOffset val="100"/>
        <c:noMultiLvlLbl val="0"/>
      </c:catAx>
      <c:valAx>
        <c:axId val="495414656"/>
        <c:scaling>
          <c:orientation val="minMax"/>
          <c:max val="3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solidFill>
                      <a:sysClr val="windowText" lastClr="000000"/>
                    </a:solidFill>
                    <a:latin typeface="Arial" panose="020B0604020202020204" pitchFamily="34" charset="0"/>
                    <a:cs typeface="Arial" panose="020B0604020202020204" pitchFamily="34" charset="0"/>
                  </a:rPr>
                  <a:t>Number</a:t>
                </a:r>
              </a:p>
            </c:rich>
          </c:tx>
          <c:layout>
            <c:manualLayout>
              <c:xMode val="edge"/>
              <c:yMode val="edge"/>
              <c:x val="6.5776732484110193E-5"/>
              <c:y val="0.2688027920560563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out"/>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95414264"/>
        <c:crosses val="autoZero"/>
        <c:crossBetween val="between"/>
        <c:majorUnit val="10"/>
        <c:minorUnit val="5"/>
      </c:valAx>
      <c:spPr>
        <a:noFill/>
        <a:ln>
          <a:solidFill>
            <a:schemeClr val="tx1"/>
          </a:solidFill>
        </a:ln>
        <a:effectLst/>
      </c:spPr>
    </c:plotArea>
    <c:legend>
      <c:legendPos val="l"/>
      <c:layout>
        <c:manualLayout>
          <c:xMode val="edge"/>
          <c:yMode val="edge"/>
          <c:x val="0.66463776561499488"/>
          <c:y val="7.0227117410243373E-2"/>
          <c:w val="0.30959310897128328"/>
          <c:h val="0.1070707933660191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62937680432747"/>
          <c:y val="3.5555551030869194E-2"/>
          <c:w val="0.87897970254586655"/>
          <c:h val="0.54685799006137448"/>
        </c:manualLayout>
      </c:layout>
      <c:barChart>
        <c:barDir val="col"/>
        <c:grouping val="stacked"/>
        <c:varyColors val="0"/>
        <c:ser>
          <c:idx val="0"/>
          <c:order val="0"/>
          <c:tx>
            <c:strRef>
              <c:f>CS_figure!$B$1</c:f>
              <c:strCache>
                <c:ptCount val="1"/>
                <c:pt idx="0">
                  <c:v>Compliant</c:v>
                </c:pt>
              </c:strCache>
            </c:strRef>
          </c:tx>
          <c:spPr>
            <a:solidFill>
              <a:srgbClr val="00AF41"/>
            </a:solidFill>
            <a:ln>
              <a:solidFill>
                <a:schemeClr val="tx1"/>
              </a:solidFill>
            </a:ln>
            <a:effectLst/>
          </c:spPr>
          <c:invertIfNegative val="0"/>
          <c:cat>
            <c:strRef>
              <c:f>CS_figure!$A$2:$A$16</c:f>
              <c:strCache>
                <c:ptCount val="15"/>
                <c:pt idx="0">
                  <c:v>S-AGG-4</c:v>
                </c:pt>
                <c:pt idx="1">
                  <c:v>S-CAB-1</c:v>
                </c:pt>
                <c:pt idx="2">
                  <c:v>S-CC-1</c:v>
                </c:pt>
                <c:pt idx="3">
                  <c:v>S-CC-3</c:v>
                </c:pt>
                <c:pt idx="4">
                  <c:v>S-DD-2</c:v>
                </c:pt>
                <c:pt idx="5">
                  <c:v>S-DIST-1</c:v>
                </c:pt>
                <c:pt idx="6">
                  <c:v>S-FISH-1</c:v>
                </c:pt>
                <c:pt idx="7">
                  <c:v>S-FISH-3</c:v>
                </c:pt>
                <c:pt idx="8">
                  <c:v>S-INF-1</c:v>
                </c:pt>
                <c:pt idx="9">
                  <c:v>S-ML-1</c:v>
                </c:pt>
                <c:pt idx="10">
                  <c:v>S-ML-2</c:v>
                </c:pt>
                <c:pt idx="11">
                  <c:v>S-MPA-3</c:v>
                </c:pt>
                <c:pt idx="12">
                  <c:v>S-NIS-1</c:v>
                </c:pt>
                <c:pt idx="13">
                  <c:v>S-REN-1</c:v>
                </c:pt>
                <c:pt idx="14">
                  <c:v>S-UWN-2</c:v>
                </c:pt>
              </c:strCache>
            </c:strRef>
          </c:cat>
          <c:val>
            <c:numRef>
              <c:f>CS_figure!$B$2:$B$16</c:f>
              <c:numCache>
                <c:formatCode>0.0</c:formatCode>
                <c:ptCount val="15"/>
                <c:pt idx="0">
                  <c:v>12.195121951219512</c:v>
                </c:pt>
                <c:pt idx="1">
                  <c:v>8.536585365853659</c:v>
                </c:pt>
                <c:pt idx="2">
                  <c:v>53.658536585365859</c:v>
                </c:pt>
                <c:pt idx="3">
                  <c:v>40.243902439024396</c:v>
                </c:pt>
                <c:pt idx="4">
                  <c:v>19.512195121951219</c:v>
                </c:pt>
                <c:pt idx="5">
                  <c:v>34.146341463414636</c:v>
                </c:pt>
                <c:pt idx="6">
                  <c:v>8.536585365853659</c:v>
                </c:pt>
                <c:pt idx="7">
                  <c:v>12.195121951219512</c:v>
                </c:pt>
                <c:pt idx="8">
                  <c:v>41.463414634146339</c:v>
                </c:pt>
                <c:pt idx="9">
                  <c:v>9.7560975609756095</c:v>
                </c:pt>
                <c:pt idx="10">
                  <c:v>41.463414634146339</c:v>
                </c:pt>
                <c:pt idx="11">
                  <c:v>9.7560975609756095</c:v>
                </c:pt>
                <c:pt idx="12">
                  <c:v>41.463414634146339</c:v>
                </c:pt>
                <c:pt idx="13">
                  <c:v>14.634146341463413</c:v>
                </c:pt>
                <c:pt idx="14">
                  <c:v>39.024390243902438</c:v>
                </c:pt>
              </c:numCache>
            </c:numRef>
          </c:val>
          <c:extLst>
            <c:ext xmlns:c16="http://schemas.microsoft.com/office/drawing/2014/chart" uri="{C3380CC4-5D6E-409C-BE32-E72D297353CC}">
              <c16:uniqueId val="{00000000-1AF0-4483-AE26-6FDCAB101E56}"/>
            </c:ext>
          </c:extLst>
        </c:ser>
        <c:ser>
          <c:idx val="1"/>
          <c:order val="1"/>
          <c:tx>
            <c:strRef>
              <c:f>CS_figure!$C$1</c:f>
              <c:strCache>
                <c:ptCount val="1"/>
                <c:pt idx="0">
                  <c:v>Compliant, after further information provided</c:v>
                </c:pt>
              </c:strCache>
            </c:strRef>
          </c:tx>
          <c:spPr>
            <a:solidFill>
              <a:srgbClr val="FFCC00"/>
            </a:solidFill>
            <a:ln>
              <a:solidFill>
                <a:schemeClr val="tx1"/>
              </a:solidFill>
            </a:ln>
            <a:effectLst/>
          </c:spPr>
          <c:invertIfNegative val="0"/>
          <c:cat>
            <c:strRef>
              <c:f>CS_figure!$A$2:$A$16</c:f>
              <c:strCache>
                <c:ptCount val="15"/>
                <c:pt idx="0">
                  <c:v>S-AGG-4</c:v>
                </c:pt>
                <c:pt idx="1">
                  <c:v>S-CAB-1</c:v>
                </c:pt>
                <c:pt idx="2">
                  <c:v>S-CC-1</c:v>
                </c:pt>
                <c:pt idx="3">
                  <c:v>S-CC-3</c:v>
                </c:pt>
                <c:pt idx="4">
                  <c:v>S-DD-2</c:v>
                </c:pt>
                <c:pt idx="5">
                  <c:v>S-DIST-1</c:v>
                </c:pt>
                <c:pt idx="6">
                  <c:v>S-FISH-1</c:v>
                </c:pt>
                <c:pt idx="7">
                  <c:v>S-FISH-3</c:v>
                </c:pt>
                <c:pt idx="8">
                  <c:v>S-INF-1</c:v>
                </c:pt>
                <c:pt idx="9">
                  <c:v>S-ML-1</c:v>
                </c:pt>
                <c:pt idx="10">
                  <c:v>S-ML-2</c:v>
                </c:pt>
                <c:pt idx="11">
                  <c:v>S-MPA-3</c:v>
                </c:pt>
                <c:pt idx="12">
                  <c:v>S-NIS-1</c:v>
                </c:pt>
                <c:pt idx="13">
                  <c:v>S-REN-1</c:v>
                </c:pt>
                <c:pt idx="14">
                  <c:v>S-UWN-2</c:v>
                </c:pt>
              </c:strCache>
            </c:strRef>
          </c:cat>
          <c:val>
            <c:numRef>
              <c:f>CS_figure!$C$2:$C$16</c:f>
              <c:numCache>
                <c:formatCode>0.0</c:formatCode>
                <c:ptCount val="15"/>
                <c:pt idx="0">
                  <c:v>2.4390243902439024</c:v>
                </c:pt>
                <c:pt idx="1">
                  <c:v>0</c:v>
                </c:pt>
                <c:pt idx="2">
                  <c:v>8.536585365853659</c:v>
                </c:pt>
                <c:pt idx="3">
                  <c:v>7.3170731707317067</c:v>
                </c:pt>
                <c:pt idx="4">
                  <c:v>2.4390243902439024</c:v>
                </c:pt>
                <c:pt idx="5">
                  <c:v>19.512195121951219</c:v>
                </c:pt>
                <c:pt idx="6">
                  <c:v>3.6585365853658534</c:v>
                </c:pt>
                <c:pt idx="7">
                  <c:v>3.6585365853658534</c:v>
                </c:pt>
                <c:pt idx="8">
                  <c:v>3.6585365853658534</c:v>
                </c:pt>
                <c:pt idx="9">
                  <c:v>1.2195121951219512</c:v>
                </c:pt>
                <c:pt idx="10">
                  <c:v>3.6585365853658534</c:v>
                </c:pt>
                <c:pt idx="11">
                  <c:v>20.73170731707317</c:v>
                </c:pt>
                <c:pt idx="12">
                  <c:v>14.634146341463413</c:v>
                </c:pt>
                <c:pt idx="13">
                  <c:v>2.4390243902439024</c:v>
                </c:pt>
                <c:pt idx="14">
                  <c:v>14.634146341463413</c:v>
                </c:pt>
              </c:numCache>
            </c:numRef>
          </c:val>
          <c:extLst>
            <c:ext xmlns:c16="http://schemas.microsoft.com/office/drawing/2014/chart" uri="{C3380CC4-5D6E-409C-BE32-E72D297353CC}">
              <c16:uniqueId val="{00000001-1AF0-4483-AE26-6FDCAB101E56}"/>
            </c:ext>
          </c:extLst>
        </c:ser>
        <c:ser>
          <c:idx val="2"/>
          <c:order val="2"/>
          <c:tx>
            <c:strRef>
              <c:f>CS_figure!$D$1</c:f>
              <c:strCache>
                <c:ptCount val="1"/>
                <c:pt idx="0">
                  <c:v>Not applicable</c:v>
                </c:pt>
              </c:strCache>
            </c:strRef>
          </c:tx>
          <c:spPr>
            <a:solidFill>
              <a:srgbClr val="007CBA"/>
            </a:solidFill>
            <a:ln>
              <a:solidFill>
                <a:schemeClr val="tx1"/>
              </a:solidFill>
            </a:ln>
            <a:effectLst/>
          </c:spPr>
          <c:invertIfNegative val="0"/>
          <c:cat>
            <c:strRef>
              <c:f>CS_figure!$A$2:$A$16</c:f>
              <c:strCache>
                <c:ptCount val="15"/>
                <c:pt idx="0">
                  <c:v>S-AGG-4</c:v>
                </c:pt>
                <c:pt idx="1">
                  <c:v>S-CAB-1</c:v>
                </c:pt>
                <c:pt idx="2">
                  <c:v>S-CC-1</c:v>
                </c:pt>
                <c:pt idx="3">
                  <c:v>S-CC-3</c:v>
                </c:pt>
                <c:pt idx="4">
                  <c:v>S-DD-2</c:v>
                </c:pt>
                <c:pt idx="5">
                  <c:v>S-DIST-1</c:v>
                </c:pt>
                <c:pt idx="6">
                  <c:v>S-FISH-1</c:v>
                </c:pt>
                <c:pt idx="7">
                  <c:v>S-FISH-3</c:v>
                </c:pt>
                <c:pt idx="8">
                  <c:v>S-INF-1</c:v>
                </c:pt>
                <c:pt idx="9">
                  <c:v>S-ML-1</c:v>
                </c:pt>
                <c:pt idx="10">
                  <c:v>S-ML-2</c:v>
                </c:pt>
                <c:pt idx="11">
                  <c:v>S-MPA-3</c:v>
                </c:pt>
                <c:pt idx="12">
                  <c:v>S-NIS-1</c:v>
                </c:pt>
                <c:pt idx="13">
                  <c:v>S-REN-1</c:v>
                </c:pt>
                <c:pt idx="14">
                  <c:v>S-UWN-2</c:v>
                </c:pt>
              </c:strCache>
            </c:strRef>
          </c:cat>
          <c:val>
            <c:numRef>
              <c:f>CS_figure!$D$2:$D$16</c:f>
              <c:numCache>
                <c:formatCode>0.0</c:formatCode>
                <c:ptCount val="15"/>
                <c:pt idx="0">
                  <c:v>82.926829268292678</c:v>
                </c:pt>
                <c:pt idx="1">
                  <c:v>90.243902439024396</c:v>
                </c:pt>
                <c:pt idx="2">
                  <c:v>35.365853658536587</c:v>
                </c:pt>
                <c:pt idx="3">
                  <c:v>50</c:v>
                </c:pt>
                <c:pt idx="4">
                  <c:v>78.048780487804876</c:v>
                </c:pt>
                <c:pt idx="5">
                  <c:v>35.365853658536587</c:v>
                </c:pt>
                <c:pt idx="6">
                  <c:v>84.146341463414629</c:v>
                </c:pt>
                <c:pt idx="7">
                  <c:v>80.487804878048792</c:v>
                </c:pt>
                <c:pt idx="8">
                  <c:v>53.658536585365859</c:v>
                </c:pt>
                <c:pt idx="9">
                  <c:v>87.804878048780495</c:v>
                </c:pt>
                <c:pt idx="10">
                  <c:v>51.219512195121951</c:v>
                </c:pt>
                <c:pt idx="11">
                  <c:v>63.414634146341463</c:v>
                </c:pt>
                <c:pt idx="12">
                  <c:v>36.585365853658537</c:v>
                </c:pt>
                <c:pt idx="13">
                  <c:v>81.707317073170728</c:v>
                </c:pt>
                <c:pt idx="14">
                  <c:v>42.68292682926829</c:v>
                </c:pt>
              </c:numCache>
            </c:numRef>
          </c:val>
          <c:extLst>
            <c:ext xmlns:c16="http://schemas.microsoft.com/office/drawing/2014/chart" uri="{C3380CC4-5D6E-409C-BE32-E72D297353CC}">
              <c16:uniqueId val="{00000002-1AF0-4483-AE26-6FDCAB101E56}"/>
            </c:ext>
          </c:extLst>
        </c:ser>
        <c:ser>
          <c:idx val="3"/>
          <c:order val="3"/>
          <c:tx>
            <c:strRef>
              <c:f>CS_figure!$E$1</c:f>
              <c:strCache>
                <c:ptCount val="1"/>
                <c:pt idx="0">
                  <c:v>Screened in, but not assessed</c:v>
                </c:pt>
              </c:strCache>
            </c:strRef>
          </c:tx>
          <c:spPr>
            <a:solidFill>
              <a:srgbClr val="FF9E16"/>
            </a:solidFill>
            <a:ln>
              <a:solidFill>
                <a:schemeClr val="tx1"/>
              </a:solidFill>
            </a:ln>
            <a:effectLst/>
          </c:spPr>
          <c:invertIfNegative val="0"/>
          <c:cat>
            <c:strRef>
              <c:f>CS_figure!$A$2:$A$16</c:f>
              <c:strCache>
                <c:ptCount val="15"/>
                <c:pt idx="0">
                  <c:v>S-AGG-4</c:v>
                </c:pt>
                <c:pt idx="1">
                  <c:v>S-CAB-1</c:v>
                </c:pt>
                <c:pt idx="2">
                  <c:v>S-CC-1</c:v>
                </c:pt>
                <c:pt idx="3">
                  <c:v>S-CC-3</c:v>
                </c:pt>
                <c:pt idx="4">
                  <c:v>S-DD-2</c:v>
                </c:pt>
                <c:pt idx="5">
                  <c:v>S-DIST-1</c:v>
                </c:pt>
                <c:pt idx="6">
                  <c:v>S-FISH-1</c:v>
                </c:pt>
                <c:pt idx="7">
                  <c:v>S-FISH-3</c:v>
                </c:pt>
                <c:pt idx="8">
                  <c:v>S-INF-1</c:v>
                </c:pt>
                <c:pt idx="9">
                  <c:v>S-ML-1</c:v>
                </c:pt>
                <c:pt idx="10">
                  <c:v>S-ML-2</c:v>
                </c:pt>
                <c:pt idx="11">
                  <c:v>S-MPA-3</c:v>
                </c:pt>
                <c:pt idx="12">
                  <c:v>S-NIS-1</c:v>
                </c:pt>
                <c:pt idx="13">
                  <c:v>S-REN-1</c:v>
                </c:pt>
                <c:pt idx="14">
                  <c:v>S-UWN-2</c:v>
                </c:pt>
              </c:strCache>
            </c:strRef>
          </c:cat>
          <c:val>
            <c:numRef>
              <c:f>CS_figure!$E$2:$E$16</c:f>
              <c:numCache>
                <c:formatCode>0.0</c:formatCode>
                <c:ptCount val="15"/>
                <c:pt idx="0">
                  <c:v>2.4390243902439024</c:v>
                </c:pt>
                <c:pt idx="1">
                  <c:v>1.2195121951219512</c:v>
                </c:pt>
                <c:pt idx="2">
                  <c:v>2.4390243902439024</c:v>
                </c:pt>
                <c:pt idx="3">
                  <c:v>0</c:v>
                </c:pt>
                <c:pt idx="4">
                  <c:v>0</c:v>
                </c:pt>
                <c:pt idx="5">
                  <c:v>1.2195121951219512</c:v>
                </c:pt>
                <c:pt idx="6">
                  <c:v>1.2195121951219512</c:v>
                </c:pt>
                <c:pt idx="7">
                  <c:v>1.2195121951219512</c:v>
                </c:pt>
                <c:pt idx="8">
                  <c:v>1.2195121951219512</c:v>
                </c:pt>
                <c:pt idx="9">
                  <c:v>1.2195121951219512</c:v>
                </c:pt>
                <c:pt idx="10">
                  <c:v>1.2195121951219512</c:v>
                </c:pt>
                <c:pt idx="11">
                  <c:v>1.2195121951219512</c:v>
                </c:pt>
                <c:pt idx="12">
                  <c:v>0</c:v>
                </c:pt>
                <c:pt idx="13">
                  <c:v>1.2195121951219512</c:v>
                </c:pt>
                <c:pt idx="14">
                  <c:v>1.2195121951219512</c:v>
                </c:pt>
              </c:numCache>
            </c:numRef>
          </c:val>
          <c:extLst>
            <c:ext xmlns:c16="http://schemas.microsoft.com/office/drawing/2014/chart" uri="{C3380CC4-5D6E-409C-BE32-E72D297353CC}">
              <c16:uniqueId val="{00000003-1AF0-4483-AE26-6FDCAB101E56}"/>
            </c:ext>
          </c:extLst>
        </c:ser>
        <c:ser>
          <c:idx val="4"/>
          <c:order val="4"/>
          <c:tx>
            <c:strRef>
              <c:f>CS_figure!$F$1</c:f>
              <c:strCache>
                <c:ptCount val="1"/>
                <c:pt idx="0">
                  <c:v>Further information requested, outcome uncertain</c:v>
                </c:pt>
              </c:strCache>
            </c:strRef>
          </c:tx>
          <c:spPr>
            <a:solidFill>
              <a:srgbClr val="6D3075"/>
            </a:solidFill>
            <a:ln>
              <a:solidFill>
                <a:schemeClr val="tx1"/>
              </a:solidFill>
            </a:ln>
            <a:effectLst/>
          </c:spPr>
          <c:invertIfNegative val="0"/>
          <c:cat>
            <c:strRef>
              <c:f>CS_figure!$A$2:$A$16</c:f>
              <c:strCache>
                <c:ptCount val="15"/>
                <c:pt idx="0">
                  <c:v>S-AGG-4</c:v>
                </c:pt>
                <c:pt idx="1">
                  <c:v>S-CAB-1</c:v>
                </c:pt>
                <c:pt idx="2">
                  <c:v>S-CC-1</c:v>
                </c:pt>
                <c:pt idx="3">
                  <c:v>S-CC-3</c:v>
                </c:pt>
                <c:pt idx="4">
                  <c:v>S-DD-2</c:v>
                </c:pt>
                <c:pt idx="5">
                  <c:v>S-DIST-1</c:v>
                </c:pt>
                <c:pt idx="6">
                  <c:v>S-FISH-1</c:v>
                </c:pt>
                <c:pt idx="7">
                  <c:v>S-FISH-3</c:v>
                </c:pt>
                <c:pt idx="8">
                  <c:v>S-INF-1</c:v>
                </c:pt>
                <c:pt idx="9">
                  <c:v>S-ML-1</c:v>
                </c:pt>
                <c:pt idx="10">
                  <c:v>S-ML-2</c:v>
                </c:pt>
                <c:pt idx="11">
                  <c:v>S-MPA-3</c:v>
                </c:pt>
                <c:pt idx="12">
                  <c:v>S-NIS-1</c:v>
                </c:pt>
                <c:pt idx="13">
                  <c:v>S-REN-1</c:v>
                </c:pt>
                <c:pt idx="14">
                  <c:v>S-UWN-2</c:v>
                </c:pt>
              </c:strCache>
            </c:strRef>
          </c:cat>
          <c:val>
            <c:numRef>
              <c:f>CS_figure!$F$2:$F$16</c:f>
              <c:numCache>
                <c:formatCode>0.0</c:formatCode>
                <c:ptCount val="15"/>
                <c:pt idx="0">
                  <c:v>0</c:v>
                </c:pt>
                <c:pt idx="1">
                  <c:v>0</c:v>
                </c:pt>
                <c:pt idx="2">
                  <c:v>0</c:v>
                </c:pt>
                <c:pt idx="3">
                  <c:v>2.4390243902439024</c:v>
                </c:pt>
                <c:pt idx="4">
                  <c:v>0</c:v>
                </c:pt>
                <c:pt idx="5">
                  <c:v>9.7560975609756095</c:v>
                </c:pt>
                <c:pt idx="6">
                  <c:v>1.2195121951219512</c:v>
                </c:pt>
                <c:pt idx="7">
                  <c:v>1.2195121951219512</c:v>
                </c:pt>
                <c:pt idx="8">
                  <c:v>0</c:v>
                </c:pt>
                <c:pt idx="9">
                  <c:v>0</c:v>
                </c:pt>
                <c:pt idx="10">
                  <c:v>1.2195121951219512</c:v>
                </c:pt>
                <c:pt idx="11">
                  <c:v>4.8780487804878048</c:v>
                </c:pt>
                <c:pt idx="12">
                  <c:v>7.3170731707317067</c:v>
                </c:pt>
                <c:pt idx="13">
                  <c:v>0</c:v>
                </c:pt>
                <c:pt idx="14">
                  <c:v>2.4390243902439024</c:v>
                </c:pt>
              </c:numCache>
            </c:numRef>
          </c:val>
          <c:extLst>
            <c:ext xmlns:c16="http://schemas.microsoft.com/office/drawing/2014/chart" uri="{C3380CC4-5D6E-409C-BE32-E72D297353CC}">
              <c16:uniqueId val="{00000004-1AF0-4483-AE26-6FDCAB101E56}"/>
            </c:ext>
          </c:extLst>
        </c:ser>
        <c:ser>
          <c:idx val="5"/>
          <c:order val="5"/>
          <c:tx>
            <c:strRef>
              <c:f>CS_figure!$G$1</c:f>
              <c:strCache>
                <c:ptCount val="1"/>
                <c:pt idx="0">
                  <c:v>Not compliant </c:v>
                </c:pt>
              </c:strCache>
            </c:strRef>
          </c:tx>
          <c:spPr>
            <a:solidFill>
              <a:srgbClr val="D9262E"/>
            </a:solidFill>
            <a:ln>
              <a:solidFill>
                <a:schemeClr val="tx1"/>
              </a:solidFill>
            </a:ln>
            <a:effectLst/>
          </c:spPr>
          <c:invertIfNegative val="0"/>
          <c:cat>
            <c:strRef>
              <c:f>CS_figure!$A$2:$A$16</c:f>
              <c:strCache>
                <c:ptCount val="15"/>
                <c:pt idx="0">
                  <c:v>S-AGG-4</c:v>
                </c:pt>
                <c:pt idx="1">
                  <c:v>S-CAB-1</c:v>
                </c:pt>
                <c:pt idx="2">
                  <c:v>S-CC-1</c:v>
                </c:pt>
                <c:pt idx="3">
                  <c:v>S-CC-3</c:v>
                </c:pt>
                <c:pt idx="4">
                  <c:v>S-DD-2</c:v>
                </c:pt>
                <c:pt idx="5">
                  <c:v>S-DIST-1</c:v>
                </c:pt>
                <c:pt idx="6">
                  <c:v>S-FISH-1</c:v>
                </c:pt>
                <c:pt idx="7">
                  <c:v>S-FISH-3</c:v>
                </c:pt>
                <c:pt idx="8">
                  <c:v>S-INF-1</c:v>
                </c:pt>
                <c:pt idx="9">
                  <c:v>S-ML-1</c:v>
                </c:pt>
                <c:pt idx="10">
                  <c:v>S-ML-2</c:v>
                </c:pt>
                <c:pt idx="11">
                  <c:v>S-MPA-3</c:v>
                </c:pt>
                <c:pt idx="12">
                  <c:v>S-NIS-1</c:v>
                </c:pt>
                <c:pt idx="13">
                  <c:v>S-REN-1</c:v>
                </c:pt>
                <c:pt idx="14">
                  <c:v>S-UWN-2</c:v>
                </c:pt>
              </c:strCache>
            </c:strRef>
          </c:cat>
          <c:val>
            <c:numRef>
              <c:f>CS_figure!$G$2:$G$16</c:f>
              <c:numCache>
                <c:formatCode>0.0</c:formatCode>
                <c:ptCount val="15"/>
                <c:pt idx="0">
                  <c:v>0</c:v>
                </c:pt>
                <c:pt idx="1">
                  <c:v>0</c:v>
                </c:pt>
                <c:pt idx="2">
                  <c:v>0</c:v>
                </c:pt>
                <c:pt idx="3">
                  <c:v>0</c:v>
                </c:pt>
                <c:pt idx="4">
                  <c:v>0</c:v>
                </c:pt>
                <c:pt idx="5">
                  <c:v>0</c:v>
                </c:pt>
                <c:pt idx="6">
                  <c:v>1.2195121951219512</c:v>
                </c:pt>
                <c:pt idx="7">
                  <c:v>1.2195121951219512</c:v>
                </c:pt>
                <c:pt idx="8">
                  <c:v>0</c:v>
                </c:pt>
                <c:pt idx="9">
                  <c:v>0</c:v>
                </c:pt>
                <c:pt idx="10">
                  <c:v>1.2195121951219512</c:v>
                </c:pt>
                <c:pt idx="11">
                  <c:v>0</c:v>
                </c:pt>
                <c:pt idx="12">
                  <c:v>0</c:v>
                </c:pt>
                <c:pt idx="13">
                  <c:v>0</c:v>
                </c:pt>
                <c:pt idx="14">
                  <c:v>0</c:v>
                </c:pt>
              </c:numCache>
            </c:numRef>
          </c:val>
          <c:extLst>
            <c:ext xmlns:c16="http://schemas.microsoft.com/office/drawing/2014/chart" uri="{C3380CC4-5D6E-409C-BE32-E72D297353CC}">
              <c16:uniqueId val="{00000005-1AF0-4483-AE26-6FDCAB101E56}"/>
            </c:ext>
          </c:extLst>
        </c:ser>
        <c:dLbls>
          <c:showLegendKey val="0"/>
          <c:showVal val="0"/>
          <c:showCatName val="0"/>
          <c:showSerName val="0"/>
          <c:showPercent val="0"/>
          <c:showBubbleSize val="0"/>
        </c:dLbls>
        <c:gapWidth val="150"/>
        <c:overlap val="100"/>
        <c:axId val="495415832"/>
        <c:axId val="10660032"/>
      </c:barChart>
      <c:catAx>
        <c:axId val="49541583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b="1">
                    <a:solidFill>
                      <a:sysClr val="windowText" lastClr="000000"/>
                    </a:solidFill>
                    <a:latin typeface="Arial" panose="020B0604020202020204" pitchFamily="34" charset="0"/>
                    <a:cs typeface="Arial" panose="020B0604020202020204" pitchFamily="34" charset="0"/>
                  </a:rPr>
                  <a:t>Marine plan policy</a:t>
                </a:r>
              </a:p>
            </c:rich>
          </c:tx>
          <c:layout>
            <c:manualLayout>
              <c:xMode val="edge"/>
              <c:yMode val="edge"/>
              <c:x val="0.44387970408601563"/>
              <c:y val="0.7210007361926508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0660032"/>
        <c:crosses val="autoZero"/>
        <c:auto val="1"/>
        <c:lblAlgn val="ctr"/>
        <c:lblOffset val="100"/>
        <c:noMultiLvlLbl val="0"/>
      </c:catAx>
      <c:valAx>
        <c:axId val="10660032"/>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solidFill>
                      <a:sysClr val="windowText" lastClr="000000"/>
                    </a:solidFill>
                    <a:latin typeface="Arial" panose="020B0604020202020204" pitchFamily="34" charset="0"/>
                    <a:cs typeface="Arial" panose="020B0604020202020204" pitchFamily="34" charset="0"/>
                  </a:rPr>
                  <a:t>Proportion (%)</a:t>
                </a:r>
              </a:p>
            </c:rich>
          </c:tx>
          <c:layout>
            <c:manualLayout>
              <c:xMode val="edge"/>
              <c:yMode val="edge"/>
              <c:x val="1.3709038450678435E-2"/>
              <c:y val="0.1852167078480191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95415832"/>
        <c:crosses val="autoZero"/>
        <c:crossBetween val="between"/>
        <c:majorUnit val="10"/>
      </c:valAx>
      <c:spPr>
        <a:noFill/>
        <a:ln>
          <a:solidFill>
            <a:schemeClr val="tx1"/>
          </a:solidFill>
        </a:ln>
        <a:effectLst/>
      </c:spPr>
    </c:plotArea>
    <c:legend>
      <c:legendPos val="b"/>
      <c:layout>
        <c:manualLayout>
          <c:xMode val="edge"/>
          <c:yMode val="edge"/>
          <c:x val="9.0458605069828654E-2"/>
          <c:y val="0.77320127955514528"/>
          <c:w val="0.55332218721710458"/>
          <c:h val="0.1921383630471419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6">
          <a:lumMod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0E419D08D283444C82596AF0EDBE39DA" ma:contentTypeVersion="8" ma:contentTypeDescription="Create a new document." ma:contentTypeScope="" ma:versionID="2f8ebdea63be121734d87bc2632f74a4">
  <xsd:schema xmlns:xsd="http://www.w3.org/2001/XMLSchema" xmlns:xs="http://www.w3.org/2001/XMLSchema" xmlns:p="http://schemas.microsoft.com/office/2006/metadata/properties" xmlns:ns2="662745e8-e224-48e8-a2e3-254862b8c2f5" xmlns:ns3="edd4e90d-bdd4-4d6f-93f7-be7548e50dab" targetNamespace="http://schemas.microsoft.com/office/2006/metadata/properties" ma:root="true" ma:fieldsID="0f46cb70f2d24c5641afed17e02a844d" ns2:_="" ns3:_="">
    <xsd:import namespace="662745e8-e224-48e8-a2e3-254862b8c2f5"/>
    <xsd:import namespace="edd4e90d-bdd4-4d6f-93f7-be7548e50dab"/>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31a5ba4-a46e-4767-a091-d80d7db3f7fe}" ma:internalName="TaxCatchAll" ma:showField="CatchAllData" ma:web="c59dce7b-1d4e-47a0-87dc-aabd2e35def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31a5ba4-a46e-4767-a091-d80d7db3f7fe}" ma:internalName="TaxCatchAllLabel" ma:readOnly="true" ma:showField="CatchAllDataLabel" ma:web="c59dce7b-1d4e-47a0-87dc-aabd2e35def8">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Work Delivery|388f4f80-46e6-4bcd-8bd1-cea0059da8bd"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MMO Marine Planning" ma:internalName="Team">
      <xsd:simpleType>
        <xsd:restriction base="dms:Text"/>
      </xsd:simpleType>
    </xsd:element>
    <xsd:element name="Topic" ma:index="20" nillable="true" ma:displayName="Topic" ma:default="South"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Government|2a8adc03-0681-4b04-8a8d-f2ceaece18ea"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MMO|3dd1941a-77ab-4417-a830-fb2a710a0fe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d4e90d-bdd4-4d6f-93f7-be7548e50dab"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6</Value>
      <Value>12</Value>
      <Value>11</Value>
      <Value>13</Value>
      <Value>7</Value>
    </TaxCatchAll>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Artwork</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Digital Products and Design Artwork</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3.xml><?xml version="1.0" encoding="utf-8"?>
<?mso-contentType ?>
<SharedContentType xmlns="Microsoft.SharePoint.Taxonomy.ContentTypeSync" SourceId="d1117845-93f6-4da3-abaa-fcb4fa669c78" ContentTypeId="0x010100A5BF1C78D9F64B679A5EBDE1C6598EB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B3F12-51A2-4F86-A122-BC884E869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edd4e90d-bdd4-4d6f-93f7-be7548e50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1279B-FA34-41F3-A0AF-02939304D409}">
  <ds:schemaRefs>
    <ds:schemaRef ds:uri="http://purl.org/dc/terms/"/>
    <ds:schemaRef ds:uri="http://schemas.microsoft.com/office/infopath/2007/PartnerControl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edd4e90d-bdd4-4d6f-93f7-be7548e50dab"/>
    <ds:schemaRef ds:uri="662745e8-e224-48e8-a2e3-254862b8c2f5"/>
  </ds:schemaRefs>
</ds:datastoreItem>
</file>

<file path=customXml/itemProps3.xml><?xml version="1.0" encoding="utf-8"?>
<ds:datastoreItem xmlns:ds="http://schemas.openxmlformats.org/officeDocument/2006/customXml" ds:itemID="{5F2FEA52-075B-4251-B369-1B410E06DA89}">
  <ds:schemaRefs>
    <ds:schemaRef ds:uri="Microsoft.SharePoint.Taxonomy.ContentTypeSync"/>
  </ds:schemaRefs>
</ds:datastoreItem>
</file>

<file path=customXml/itemProps4.xml><?xml version="1.0" encoding="utf-8"?>
<ds:datastoreItem xmlns:ds="http://schemas.openxmlformats.org/officeDocument/2006/customXml" ds:itemID="{21DF3824-870E-4C07-86C0-C09809ED4C55}">
  <ds:schemaRefs>
    <ds:schemaRef ds:uri="http://schemas.microsoft.com/sharepoint/v3/contenttype/forms"/>
  </ds:schemaRefs>
</ds:datastoreItem>
</file>

<file path=customXml/itemProps5.xml><?xml version="1.0" encoding="utf-8"?>
<ds:datastoreItem xmlns:ds="http://schemas.openxmlformats.org/officeDocument/2006/customXml" ds:itemID="{5B663017-4CB2-43E3-A99C-F344C6867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corporate-document-template-defra</Template>
  <TotalTime>2</TotalTime>
  <Pages>62</Pages>
  <Words>18898</Words>
  <Characters>107534</Characters>
  <Application>Microsoft Office Word</Application>
  <DocSecurity>0</DocSecurity>
  <Lines>2560</Lines>
  <Paragraphs>815</Paragraphs>
  <ScaleCrop>false</ScaleCrop>
  <HeadingPairs>
    <vt:vector size="2" baseType="variant">
      <vt:variant>
        <vt:lpstr>Title</vt:lpstr>
      </vt:variant>
      <vt:variant>
        <vt:i4>1</vt:i4>
      </vt:variant>
    </vt:vector>
  </HeadingPairs>
  <TitlesOfParts>
    <vt:vector size="1" baseType="lpstr">
      <vt:lpstr/>
    </vt:vector>
  </TitlesOfParts>
  <Manager/>
  <Company>Environment Agency</Company>
  <LinksUpToDate>false</LinksUpToDate>
  <CharactersWithSpaces>125617</CharactersWithSpaces>
  <SharedDoc>false</SharedDoc>
  <HyperlinkBase/>
  <HLinks>
    <vt:vector size="750" baseType="variant">
      <vt:variant>
        <vt:i4>4718654</vt:i4>
      </vt:variant>
      <vt:variant>
        <vt:i4>469</vt:i4>
      </vt:variant>
      <vt:variant>
        <vt:i4>0</vt:i4>
      </vt:variant>
      <vt:variant>
        <vt:i4>5</vt:i4>
      </vt:variant>
      <vt:variant>
        <vt:lpwstr/>
      </vt:variant>
      <vt:variant>
        <vt:lpwstr>_Annex_A:_High</vt:lpwstr>
      </vt:variant>
      <vt:variant>
        <vt:i4>3473486</vt:i4>
      </vt:variant>
      <vt:variant>
        <vt:i4>466</vt:i4>
      </vt:variant>
      <vt:variant>
        <vt:i4>0</vt:i4>
      </vt:variant>
      <vt:variant>
        <vt:i4>5</vt:i4>
      </vt:variant>
      <vt:variant>
        <vt:lpwstr/>
      </vt:variant>
      <vt:variant>
        <vt:lpwstr>_Annex_B:_Policy</vt:lpwstr>
      </vt:variant>
      <vt:variant>
        <vt:i4>4718654</vt:i4>
      </vt:variant>
      <vt:variant>
        <vt:i4>463</vt:i4>
      </vt:variant>
      <vt:variant>
        <vt:i4>0</vt:i4>
      </vt:variant>
      <vt:variant>
        <vt:i4>5</vt:i4>
      </vt:variant>
      <vt:variant>
        <vt:lpwstr/>
      </vt:variant>
      <vt:variant>
        <vt:lpwstr>_Annex_A:_High</vt:lpwstr>
      </vt:variant>
      <vt:variant>
        <vt:i4>8192010</vt:i4>
      </vt:variant>
      <vt:variant>
        <vt:i4>460</vt:i4>
      </vt:variant>
      <vt:variant>
        <vt:i4>0</vt:i4>
      </vt:variant>
      <vt:variant>
        <vt:i4>5</vt:i4>
      </vt:variant>
      <vt:variant>
        <vt:lpwstr/>
      </vt:variant>
      <vt:variant>
        <vt:lpwstr>_5.2_Outcome_monitoring</vt:lpwstr>
      </vt:variant>
      <vt:variant>
        <vt:i4>3473486</vt:i4>
      </vt:variant>
      <vt:variant>
        <vt:i4>457</vt:i4>
      </vt:variant>
      <vt:variant>
        <vt:i4>0</vt:i4>
      </vt:variant>
      <vt:variant>
        <vt:i4>5</vt:i4>
      </vt:variant>
      <vt:variant>
        <vt:lpwstr/>
      </vt:variant>
      <vt:variant>
        <vt:lpwstr>_Annex_B:_Policy</vt:lpwstr>
      </vt:variant>
      <vt:variant>
        <vt:i4>4718654</vt:i4>
      </vt:variant>
      <vt:variant>
        <vt:i4>454</vt:i4>
      </vt:variant>
      <vt:variant>
        <vt:i4>0</vt:i4>
      </vt:variant>
      <vt:variant>
        <vt:i4>5</vt:i4>
      </vt:variant>
      <vt:variant>
        <vt:lpwstr/>
      </vt:variant>
      <vt:variant>
        <vt:lpwstr>_Annex_A:_High</vt:lpwstr>
      </vt:variant>
      <vt:variant>
        <vt:i4>3473486</vt:i4>
      </vt:variant>
      <vt:variant>
        <vt:i4>451</vt:i4>
      </vt:variant>
      <vt:variant>
        <vt:i4>0</vt:i4>
      </vt:variant>
      <vt:variant>
        <vt:i4>5</vt:i4>
      </vt:variant>
      <vt:variant>
        <vt:lpwstr/>
      </vt:variant>
      <vt:variant>
        <vt:lpwstr>_Annex_B:_Policy</vt:lpwstr>
      </vt:variant>
      <vt:variant>
        <vt:i4>3407910</vt:i4>
      </vt:variant>
      <vt:variant>
        <vt:i4>448</vt:i4>
      </vt:variant>
      <vt:variant>
        <vt:i4>0</vt:i4>
      </vt:variant>
      <vt:variant>
        <vt:i4>5</vt:i4>
      </vt:variant>
      <vt:variant>
        <vt:lpwstr>https://www.legislation.gov.uk/uksi/2010/1627/contents</vt:lpwstr>
      </vt:variant>
      <vt:variant>
        <vt:lpwstr/>
      </vt:variant>
      <vt:variant>
        <vt:i4>1507410</vt:i4>
      </vt:variant>
      <vt:variant>
        <vt:i4>445</vt:i4>
      </vt:variant>
      <vt:variant>
        <vt:i4>0</vt:i4>
      </vt:variant>
      <vt:variant>
        <vt:i4>5</vt:i4>
      </vt:variant>
      <vt:variant>
        <vt:lpwstr>https://mnr.jncc.gov.uk/</vt:lpwstr>
      </vt:variant>
      <vt:variant>
        <vt:lpwstr/>
      </vt:variant>
      <vt:variant>
        <vt:i4>7733266</vt:i4>
      </vt:variant>
      <vt:variant>
        <vt:i4>442</vt:i4>
      </vt:variant>
      <vt:variant>
        <vt:i4>0</vt:i4>
      </vt:variant>
      <vt:variant>
        <vt:i4>5</vt:i4>
      </vt:variant>
      <vt:variant>
        <vt:lpwstr/>
      </vt:variant>
      <vt:variant>
        <vt:lpwstr>_3.2_Context_monitoring</vt:lpwstr>
      </vt:variant>
      <vt:variant>
        <vt:i4>3473486</vt:i4>
      </vt:variant>
      <vt:variant>
        <vt:i4>439</vt:i4>
      </vt:variant>
      <vt:variant>
        <vt:i4>0</vt:i4>
      </vt:variant>
      <vt:variant>
        <vt:i4>5</vt:i4>
      </vt:variant>
      <vt:variant>
        <vt:lpwstr/>
      </vt:variant>
      <vt:variant>
        <vt:lpwstr>_Annex_B:_Policy</vt:lpwstr>
      </vt:variant>
      <vt:variant>
        <vt:i4>4718654</vt:i4>
      </vt:variant>
      <vt:variant>
        <vt:i4>436</vt:i4>
      </vt:variant>
      <vt:variant>
        <vt:i4>0</vt:i4>
      </vt:variant>
      <vt:variant>
        <vt:i4>5</vt:i4>
      </vt:variant>
      <vt:variant>
        <vt:lpwstr/>
      </vt:variant>
      <vt:variant>
        <vt:lpwstr>_Annex_A:_High</vt:lpwstr>
      </vt:variant>
      <vt:variant>
        <vt:i4>6553619</vt:i4>
      </vt:variant>
      <vt:variant>
        <vt:i4>433</vt:i4>
      </vt:variant>
      <vt:variant>
        <vt:i4>0</vt:i4>
      </vt:variant>
      <vt:variant>
        <vt:i4>5</vt:i4>
      </vt:variant>
      <vt:variant>
        <vt:lpwstr/>
      </vt:variant>
      <vt:variant>
        <vt:lpwstr>_4.2_Process_monitoring</vt:lpwstr>
      </vt:variant>
      <vt:variant>
        <vt:i4>8192010</vt:i4>
      </vt:variant>
      <vt:variant>
        <vt:i4>430</vt:i4>
      </vt:variant>
      <vt:variant>
        <vt:i4>0</vt:i4>
      </vt:variant>
      <vt:variant>
        <vt:i4>5</vt:i4>
      </vt:variant>
      <vt:variant>
        <vt:lpwstr/>
      </vt:variant>
      <vt:variant>
        <vt:lpwstr>_5.2_Outcome_monitoring</vt:lpwstr>
      </vt:variant>
      <vt:variant>
        <vt:i4>3473486</vt:i4>
      </vt:variant>
      <vt:variant>
        <vt:i4>427</vt:i4>
      </vt:variant>
      <vt:variant>
        <vt:i4>0</vt:i4>
      </vt:variant>
      <vt:variant>
        <vt:i4>5</vt:i4>
      </vt:variant>
      <vt:variant>
        <vt:lpwstr/>
      </vt:variant>
      <vt:variant>
        <vt:lpwstr>_Annex_B:_Policy</vt:lpwstr>
      </vt:variant>
      <vt:variant>
        <vt:i4>4718654</vt:i4>
      </vt:variant>
      <vt:variant>
        <vt:i4>424</vt:i4>
      </vt:variant>
      <vt:variant>
        <vt:i4>0</vt:i4>
      </vt:variant>
      <vt:variant>
        <vt:i4>5</vt:i4>
      </vt:variant>
      <vt:variant>
        <vt:lpwstr/>
      </vt:variant>
      <vt:variant>
        <vt:lpwstr>_Annex_A:_High</vt:lpwstr>
      </vt:variant>
      <vt:variant>
        <vt:i4>2424895</vt:i4>
      </vt:variant>
      <vt:variant>
        <vt:i4>421</vt:i4>
      </vt:variant>
      <vt:variant>
        <vt:i4>0</vt:i4>
      </vt:variant>
      <vt:variant>
        <vt:i4>5</vt:i4>
      </vt:variant>
      <vt:variant>
        <vt:lpwstr>https://www.gov.uk/government/publications/seascape-assessment-for-the-south-marine-plan-areas-mmo-1037</vt:lpwstr>
      </vt:variant>
      <vt:variant>
        <vt:lpwstr/>
      </vt:variant>
      <vt:variant>
        <vt:i4>3473486</vt:i4>
      </vt:variant>
      <vt:variant>
        <vt:i4>418</vt:i4>
      </vt:variant>
      <vt:variant>
        <vt:i4>0</vt:i4>
      </vt:variant>
      <vt:variant>
        <vt:i4>5</vt:i4>
      </vt:variant>
      <vt:variant>
        <vt:lpwstr/>
      </vt:variant>
      <vt:variant>
        <vt:lpwstr>_Annex_B:_Policy</vt:lpwstr>
      </vt:variant>
      <vt:variant>
        <vt:i4>4718654</vt:i4>
      </vt:variant>
      <vt:variant>
        <vt:i4>415</vt:i4>
      </vt:variant>
      <vt:variant>
        <vt:i4>0</vt:i4>
      </vt:variant>
      <vt:variant>
        <vt:i4>5</vt:i4>
      </vt:variant>
      <vt:variant>
        <vt:lpwstr/>
      </vt:variant>
      <vt:variant>
        <vt:lpwstr>_Annex_A:_High</vt:lpwstr>
      </vt:variant>
      <vt:variant>
        <vt:i4>3473486</vt:i4>
      </vt:variant>
      <vt:variant>
        <vt:i4>412</vt:i4>
      </vt:variant>
      <vt:variant>
        <vt:i4>0</vt:i4>
      </vt:variant>
      <vt:variant>
        <vt:i4>5</vt:i4>
      </vt:variant>
      <vt:variant>
        <vt:lpwstr/>
      </vt:variant>
      <vt:variant>
        <vt:lpwstr>_Annex_B:_Policy</vt:lpwstr>
      </vt:variant>
      <vt:variant>
        <vt:i4>7667761</vt:i4>
      </vt:variant>
      <vt:variant>
        <vt:i4>409</vt:i4>
      </vt:variant>
      <vt:variant>
        <vt:i4>0</vt:i4>
      </vt:variant>
      <vt:variant>
        <vt:i4>5</vt:i4>
      </vt:variant>
      <vt:variant>
        <vt:lpwstr>https://historicengland.org.uk/advice/heritage-at-risk/</vt:lpwstr>
      </vt:variant>
      <vt:variant>
        <vt:lpwstr/>
      </vt:variant>
      <vt:variant>
        <vt:i4>3473486</vt:i4>
      </vt:variant>
      <vt:variant>
        <vt:i4>406</vt:i4>
      </vt:variant>
      <vt:variant>
        <vt:i4>0</vt:i4>
      </vt:variant>
      <vt:variant>
        <vt:i4>5</vt:i4>
      </vt:variant>
      <vt:variant>
        <vt:lpwstr/>
      </vt:variant>
      <vt:variant>
        <vt:lpwstr>_Annex_B:_Policy</vt:lpwstr>
      </vt:variant>
      <vt:variant>
        <vt:i4>4718654</vt:i4>
      </vt:variant>
      <vt:variant>
        <vt:i4>403</vt:i4>
      </vt:variant>
      <vt:variant>
        <vt:i4>0</vt:i4>
      </vt:variant>
      <vt:variant>
        <vt:i4>5</vt:i4>
      </vt:variant>
      <vt:variant>
        <vt:lpwstr/>
      </vt:variant>
      <vt:variant>
        <vt:lpwstr>_Annex_A:_High</vt:lpwstr>
      </vt:variant>
      <vt:variant>
        <vt:i4>4390988</vt:i4>
      </vt:variant>
      <vt:variant>
        <vt:i4>400</vt:i4>
      </vt:variant>
      <vt:variant>
        <vt:i4>0</vt:i4>
      </vt:variant>
      <vt:variant>
        <vt:i4>5</vt:i4>
      </vt:variant>
      <vt:variant>
        <vt:lpwstr>http://www.legislation.gov.uk/ukpga/2006/16/contents</vt:lpwstr>
      </vt:variant>
      <vt:variant>
        <vt:lpwstr/>
      </vt:variant>
      <vt:variant>
        <vt:i4>3473486</vt:i4>
      </vt:variant>
      <vt:variant>
        <vt:i4>397</vt:i4>
      </vt:variant>
      <vt:variant>
        <vt:i4>0</vt:i4>
      </vt:variant>
      <vt:variant>
        <vt:i4>5</vt:i4>
      </vt:variant>
      <vt:variant>
        <vt:lpwstr/>
      </vt:variant>
      <vt:variant>
        <vt:lpwstr>_Annex_B:_Policy</vt:lpwstr>
      </vt:variant>
      <vt:variant>
        <vt:i4>4718654</vt:i4>
      </vt:variant>
      <vt:variant>
        <vt:i4>394</vt:i4>
      </vt:variant>
      <vt:variant>
        <vt:i4>0</vt:i4>
      </vt:variant>
      <vt:variant>
        <vt:i4>5</vt:i4>
      </vt:variant>
      <vt:variant>
        <vt:lpwstr/>
      </vt:variant>
      <vt:variant>
        <vt:lpwstr>_Annex_A:_High</vt:lpwstr>
      </vt:variant>
      <vt:variant>
        <vt:i4>3473486</vt:i4>
      </vt:variant>
      <vt:variant>
        <vt:i4>391</vt:i4>
      </vt:variant>
      <vt:variant>
        <vt:i4>0</vt:i4>
      </vt:variant>
      <vt:variant>
        <vt:i4>5</vt:i4>
      </vt:variant>
      <vt:variant>
        <vt:lpwstr/>
      </vt:variant>
      <vt:variant>
        <vt:lpwstr>_Annex_B:_Policy</vt:lpwstr>
      </vt:variant>
      <vt:variant>
        <vt:i4>4718654</vt:i4>
      </vt:variant>
      <vt:variant>
        <vt:i4>388</vt:i4>
      </vt:variant>
      <vt:variant>
        <vt:i4>0</vt:i4>
      </vt:variant>
      <vt:variant>
        <vt:i4>5</vt:i4>
      </vt:variant>
      <vt:variant>
        <vt:lpwstr/>
      </vt:variant>
      <vt:variant>
        <vt:lpwstr>_Annex_A:_High</vt:lpwstr>
      </vt:variant>
      <vt:variant>
        <vt:i4>3473486</vt:i4>
      </vt:variant>
      <vt:variant>
        <vt:i4>385</vt:i4>
      </vt:variant>
      <vt:variant>
        <vt:i4>0</vt:i4>
      </vt:variant>
      <vt:variant>
        <vt:i4>5</vt:i4>
      </vt:variant>
      <vt:variant>
        <vt:lpwstr/>
      </vt:variant>
      <vt:variant>
        <vt:lpwstr>_Annex_B:_Policy</vt:lpwstr>
      </vt:variant>
      <vt:variant>
        <vt:i4>4718654</vt:i4>
      </vt:variant>
      <vt:variant>
        <vt:i4>382</vt:i4>
      </vt:variant>
      <vt:variant>
        <vt:i4>0</vt:i4>
      </vt:variant>
      <vt:variant>
        <vt:i4>5</vt:i4>
      </vt:variant>
      <vt:variant>
        <vt:lpwstr/>
      </vt:variant>
      <vt:variant>
        <vt:lpwstr>_Annex_A:_High</vt:lpwstr>
      </vt:variant>
      <vt:variant>
        <vt:i4>3473486</vt:i4>
      </vt:variant>
      <vt:variant>
        <vt:i4>379</vt:i4>
      </vt:variant>
      <vt:variant>
        <vt:i4>0</vt:i4>
      </vt:variant>
      <vt:variant>
        <vt:i4>5</vt:i4>
      </vt:variant>
      <vt:variant>
        <vt:lpwstr/>
      </vt:variant>
      <vt:variant>
        <vt:lpwstr>_Annex_B:_Policy</vt:lpwstr>
      </vt:variant>
      <vt:variant>
        <vt:i4>4718654</vt:i4>
      </vt:variant>
      <vt:variant>
        <vt:i4>376</vt:i4>
      </vt:variant>
      <vt:variant>
        <vt:i4>0</vt:i4>
      </vt:variant>
      <vt:variant>
        <vt:i4>5</vt:i4>
      </vt:variant>
      <vt:variant>
        <vt:lpwstr/>
      </vt:variant>
      <vt:variant>
        <vt:lpwstr>_Annex_A:_High</vt:lpwstr>
      </vt:variant>
      <vt:variant>
        <vt:i4>8192010</vt:i4>
      </vt:variant>
      <vt:variant>
        <vt:i4>373</vt:i4>
      </vt:variant>
      <vt:variant>
        <vt:i4>0</vt:i4>
      </vt:variant>
      <vt:variant>
        <vt:i4>5</vt:i4>
      </vt:variant>
      <vt:variant>
        <vt:lpwstr/>
      </vt:variant>
      <vt:variant>
        <vt:lpwstr>_5.2_Outcome_monitoring</vt:lpwstr>
      </vt:variant>
      <vt:variant>
        <vt:i4>3473486</vt:i4>
      </vt:variant>
      <vt:variant>
        <vt:i4>370</vt:i4>
      </vt:variant>
      <vt:variant>
        <vt:i4>0</vt:i4>
      </vt:variant>
      <vt:variant>
        <vt:i4>5</vt:i4>
      </vt:variant>
      <vt:variant>
        <vt:lpwstr/>
      </vt:variant>
      <vt:variant>
        <vt:lpwstr>_Annex_B:_Policy</vt:lpwstr>
      </vt:variant>
      <vt:variant>
        <vt:i4>4718654</vt:i4>
      </vt:variant>
      <vt:variant>
        <vt:i4>367</vt:i4>
      </vt:variant>
      <vt:variant>
        <vt:i4>0</vt:i4>
      </vt:variant>
      <vt:variant>
        <vt:i4>5</vt:i4>
      </vt:variant>
      <vt:variant>
        <vt:lpwstr/>
      </vt:variant>
      <vt:variant>
        <vt:lpwstr>_Annex_A:_High</vt:lpwstr>
      </vt:variant>
      <vt:variant>
        <vt:i4>8192010</vt:i4>
      </vt:variant>
      <vt:variant>
        <vt:i4>364</vt:i4>
      </vt:variant>
      <vt:variant>
        <vt:i4>0</vt:i4>
      </vt:variant>
      <vt:variant>
        <vt:i4>5</vt:i4>
      </vt:variant>
      <vt:variant>
        <vt:lpwstr/>
      </vt:variant>
      <vt:variant>
        <vt:lpwstr>_5.2_Outcome_monitoring</vt:lpwstr>
      </vt:variant>
      <vt:variant>
        <vt:i4>3473486</vt:i4>
      </vt:variant>
      <vt:variant>
        <vt:i4>361</vt:i4>
      </vt:variant>
      <vt:variant>
        <vt:i4>0</vt:i4>
      </vt:variant>
      <vt:variant>
        <vt:i4>5</vt:i4>
      </vt:variant>
      <vt:variant>
        <vt:lpwstr/>
      </vt:variant>
      <vt:variant>
        <vt:lpwstr>_Annex_B:_Policy</vt:lpwstr>
      </vt:variant>
      <vt:variant>
        <vt:i4>4718654</vt:i4>
      </vt:variant>
      <vt:variant>
        <vt:i4>358</vt:i4>
      </vt:variant>
      <vt:variant>
        <vt:i4>0</vt:i4>
      </vt:variant>
      <vt:variant>
        <vt:i4>5</vt:i4>
      </vt:variant>
      <vt:variant>
        <vt:lpwstr/>
      </vt:variant>
      <vt:variant>
        <vt:lpwstr>_Annex_A:_High</vt:lpwstr>
      </vt:variant>
      <vt:variant>
        <vt:i4>3473486</vt:i4>
      </vt:variant>
      <vt:variant>
        <vt:i4>355</vt:i4>
      </vt:variant>
      <vt:variant>
        <vt:i4>0</vt:i4>
      </vt:variant>
      <vt:variant>
        <vt:i4>5</vt:i4>
      </vt:variant>
      <vt:variant>
        <vt:lpwstr/>
      </vt:variant>
      <vt:variant>
        <vt:lpwstr>_Annex_B:_Policy</vt:lpwstr>
      </vt:variant>
      <vt:variant>
        <vt:i4>4718654</vt:i4>
      </vt:variant>
      <vt:variant>
        <vt:i4>352</vt:i4>
      </vt:variant>
      <vt:variant>
        <vt:i4>0</vt:i4>
      </vt:variant>
      <vt:variant>
        <vt:i4>5</vt:i4>
      </vt:variant>
      <vt:variant>
        <vt:lpwstr/>
      </vt:variant>
      <vt:variant>
        <vt:lpwstr>_Annex_A:_High</vt:lpwstr>
      </vt:variant>
      <vt:variant>
        <vt:i4>589835</vt:i4>
      </vt:variant>
      <vt:variant>
        <vt:i4>349</vt:i4>
      </vt:variant>
      <vt:variant>
        <vt:i4>0</vt:i4>
      </vt:variant>
      <vt:variant>
        <vt:i4>5</vt:i4>
      </vt:variant>
      <vt:variant>
        <vt:lpwstr/>
      </vt:variant>
      <vt:variant>
        <vt:lpwstr>_4._Process</vt:lpwstr>
      </vt:variant>
      <vt:variant>
        <vt:i4>3473486</vt:i4>
      </vt:variant>
      <vt:variant>
        <vt:i4>346</vt:i4>
      </vt:variant>
      <vt:variant>
        <vt:i4>0</vt:i4>
      </vt:variant>
      <vt:variant>
        <vt:i4>5</vt:i4>
      </vt:variant>
      <vt:variant>
        <vt:lpwstr/>
      </vt:variant>
      <vt:variant>
        <vt:lpwstr>_Annex_B:_Policy</vt:lpwstr>
      </vt:variant>
      <vt:variant>
        <vt:i4>3473486</vt:i4>
      </vt:variant>
      <vt:variant>
        <vt:i4>343</vt:i4>
      </vt:variant>
      <vt:variant>
        <vt:i4>0</vt:i4>
      </vt:variant>
      <vt:variant>
        <vt:i4>5</vt:i4>
      </vt:variant>
      <vt:variant>
        <vt:lpwstr/>
      </vt:variant>
      <vt:variant>
        <vt:lpwstr>_Annex_B:_Policy</vt:lpwstr>
      </vt:variant>
      <vt:variant>
        <vt:i4>3473486</vt:i4>
      </vt:variant>
      <vt:variant>
        <vt:i4>340</vt:i4>
      </vt:variant>
      <vt:variant>
        <vt:i4>0</vt:i4>
      </vt:variant>
      <vt:variant>
        <vt:i4>5</vt:i4>
      </vt:variant>
      <vt:variant>
        <vt:lpwstr/>
      </vt:variant>
      <vt:variant>
        <vt:lpwstr>_Annex_B:_Policy</vt:lpwstr>
      </vt:variant>
      <vt:variant>
        <vt:i4>393222</vt:i4>
      </vt:variant>
      <vt:variant>
        <vt:i4>337</vt:i4>
      </vt:variant>
      <vt:variant>
        <vt:i4>0</vt:i4>
      </vt:variant>
      <vt:variant>
        <vt:i4>5</vt:i4>
      </vt:variant>
      <vt:variant>
        <vt:lpwstr>https://www.gov.uk/topic/planning-development/marine-planning</vt:lpwstr>
      </vt:variant>
      <vt:variant>
        <vt:lpwstr/>
      </vt:variant>
      <vt:variant>
        <vt:i4>8192114</vt:i4>
      </vt:variant>
      <vt:variant>
        <vt:i4>334</vt:i4>
      </vt:variant>
      <vt:variant>
        <vt:i4>0</vt:i4>
      </vt:variant>
      <vt:variant>
        <vt:i4>5</vt:i4>
      </vt:variant>
      <vt:variant>
        <vt:lpwstr>https://www.gov.uk/government/organisations/government-digital-service</vt:lpwstr>
      </vt:variant>
      <vt:variant>
        <vt:lpwstr/>
      </vt:variant>
      <vt:variant>
        <vt:i4>3670068</vt:i4>
      </vt:variant>
      <vt:variant>
        <vt:i4>331</vt:i4>
      </vt:variant>
      <vt:variant>
        <vt:i4>0</vt:i4>
      </vt:variant>
      <vt:variant>
        <vt:i4>5</vt:i4>
      </vt:variant>
      <vt:variant>
        <vt:lpwstr>https://www.gov.uk/government/publications/the-south-marine-plans-documents</vt:lpwstr>
      </vt:variant>
      <vt:variant>
        <vt:lpwstr/>
      </vt:variant>
      <vt:variant>
        <vt:i4>327760</vt:i4>
      </vt:variant>
      <vt:variant>
        <vt:i4>328</vt:i4>
      </vt:variant>
      <vt:variant>
        <vt:i4>0</vt:i4>
      </vt:variant>
      <vt:variant>
        <vt:i4>5</vt:i4>
      </vt:variant>
      <vt:variant>
        <vt:lpwstr>https://www.gov.uk/guidance/explore-marine-plans</vt:lpwstr>
      </vt:variant>
      <vt:variant>
        <vt:lpwstr/>
      </vt:variant>
      <vt:variant>
        <vt:i4>327760</vt:i4>
      </vt:variant>
      <vt:variant>
        <vt:i4>325</vt:i4>
      </vt:variant>
      <vt:variant>
        <vt:i4>0</vt:i4>
      </vt:variant>
      <vt:variant>
        <vt:i4>5</vt:i4>
      </vt:variant>
      <vt:variant>
        <vt:lpwstr>https://www.gov.uk/guidance/explore-marine-plans</vt:lpwstr>
      </vt:variant>
      <vt:variant>
        <vt:lpwstr/>
      </vt:variant>
      <vt:variant>
        <vt:i4>327691</vt:i4>
      </vt:variant>
      <vt:variant>
        <vt:i4>312</vt:i4>
      </vt:variant>
      <vt:variant>
        <vt:i4>0</vt:i4>
      </vt:variant>
      <vt:variant>
        <vt:i4>5</vt:i4>
      </vt:variant>
      <vt:variant>
        <vt:lpwstr>https://www.dorsetcouncil.gov.uk/your-council/about-your-council/dorset-council-plan/dorset-council-plan.aspx</vt:lpwstr>
      </vt:variant>
      <vt:variant>
        <vt:lpwstr/>
      </vt:variant>
      <vt:variant>
        <vt:i4>1048606</vt:i4>
      </vt:variant>
      <vt:variant>
        <vt:i4>309</vt:i4>
      </vt:variant>
      <vt:variant>
        <vt:i4>0</vt:i4>
      </vt:variant>
      <vt:variant>
        <vt:i4>5</vt:i4>
      </vt:variant>
      <vt:variant>
        <vt:lpwstr>https://www.seafish.org/about-us/working-locally-in-the-uk/working-with-the-seafood-industry-in-england/seafood-2040/english-aquaculture-strategy-from-seafood-2040/</vt:lpwstr>
      </vt:variant>
      <vt:variant>
        <vt:lpwstr/>
      </vt:variant>
      <vt:variant>
        <vt:i4>3211372</vt:i4>
      </vt:variant>
      <vt:variant>
        <vt:i4>306</vt:i4>
      </vt:variant>
      <vt:variant>
        <vt:i4>0</vt:i4>
      </vt:variant>
      <vt:variant>
        <vt:i4>5</vt:i4>
      </vt:variant>
      <vt:variant>
        <vt:lpwstr>https://www.gov.uk/government/publications/shoreline-management-plans-smps</vt:lpwstr>
      </vt:variant>
      <vt:variant>
        <vt:lpwstr/>
      </vt:variant>
      <vt:variant>
        <vt:i4>458845</vt:i4>
      </vt:variant>
      <vt:variant>
        <vt:i4>303</vt:i4>
      </vt:variant>
      <vt:variant>
        <vt:i4>0</vt:i4>
      </vt:variant>
      <vt:variant>
        <vt:i4>5</vt:i4>
      </vt:variant>
      <vt:variant>
        <vt:lpwstr>https://www.gov.uk/government/publications/national-flood-and-coastal-erosion-risk-management-strategy-for-england--2</vt:lpwstr>
      </vt:variant>
      <vt:variant>
        <vt:lpwstr/>
      </vt:variant>
      <vt:variant>
        <vt:i4>4259932</vt:i4>
      </vt:variant>
      <vt:variant>
        <vt:i4>300</vt:i4>
      </vt:variant>
      <vt:variant>
        <vt:i4>0</vt:i4>
      </vt:variant>
      <vt:variant>
        <vt:i4>5</vt:i4>
      </vt:variant>
      <vt:variant>
        <vt:lpwstr>https://www.gov.uk/government/news/uk-enshrines-new-target-in-law-to-slash-emissions-by-78-by-2035</vt:lpwstr>
      </vt:variant>
      <vt:variant>
        <vt:lpwstr>:~:text=The%20UK%20government%20will%20set,today%20(Tuesday%2020%20April).</vt:lpwstr>
      </vt:variant>
      <vt:variant>
        <vt:i4>5898307</vt:i4>
      </vt:variant>
      <vt:variant>
        <vt:i4>297</vt:i4>
      </vt:variant>
      <vt:variant>
        <vt:i4>0</vt:i4>
      </vt:variant>
      <vt:variant>
        <vt:i4>5</vt:i4>
      </vt:variant>
      <vt:variant>
        <vt:lpwstr>https://unfccc.int/process-and-meetings/the-paris-agreement/nationally-determined-contributions-ndcs/nationally-determined-contributions-ndcs</vt:lpwstr>
      </vt:variant>
      <vt:variant>
        <vt:lpwstr>:~:text=Nationally%20determined%20contributions%20(NDCs)%20are,the%20impacts%20of%20climate%20change.</vt:lpwstr>
      </vt:variant>
      <vt:variant>
        <vt:i4>2687008</vt:i4>
      </vt:variant>
      <vt:variant>
        <vt:i4>294</vt:i4>
      </vt:variant>
      <vt:variant>
        <vt:i4>0</vt:i4>
      </vt:variant>
      <vt:variant>
        <vt:i4>5</vt:i4>
      </vt:variant>
      <vt:variant>
        <vt:lpwstr>https://www.gov.uk/government/publications/the-ten-point-plan-for-a-green-industrial-revolution</vt:lpwstr>
      </vt:variant>
      <vt:variant>
        <vt:lpwstr/>
      </vt:variant>
      <vt:variant>
        <vt:i4>5570646</vt:i4>
      </vt:variant>
      <vt:variant>
        <vt:i4>291</vt:i4>
      </vt:variant>
      <vt:variant>
        <vt:i4>0</vt:i4>
      </vt:variant>
      <vt:variant>
        <vt:i4>5</vt:i4>
      </vt:variant>
      <vt:variant>
        <vt:lpwstr>https://www.legislation.gov.uk/ukpga/2008/27/contents</vt:lpwstr>
      </vt:variant>
      <vt:variant>
        <vt:lpwstr/>
      </vt:variant>
      <vt:variant>
        <vt:i4>7864377</vt:i4>
      </vt:variant>
      <vt:variant>
        <vt:i4>288</vt:i4>
      </vt:variant>
      <vt:variant>
        <vt:i4>0</vt:i4>
      </vt:variant>
      <vt:variant>
        <vt:i4>5</vt:i4>
      </vt:variant>
      <vt:variant>
        <vt:lpwstr>https://www.gov.uk/government/publications/climate-change-second-national-adaptation-programme-2018-to-2023</vt:lpwstr>
      </vt:variant>
      <vt:variant>
        <vt:lpwstr/>
      </vt:variant>
      <vt:variant>
        <vt:i4>3211361</vt:i4>
      </vt:variant>
      <vt:variant>
        <vt:i4>285</vt:i4>
      </vt:variant>
      <vt:variant>
        <vt:i4>0</vt:i4>
      </vt:variant>
      <vt:variant>
        <vt:i4>5</vt:i4>
      </vt:variant>
      <vt:variant>
        <vt:lpwstr>https://www.metoffice.gov.uk/research/approach/collaboration/ukcp/index</vt:lpwstr>
      </vt:variant>
      <vt:variant>
        <vt:lpwstr/>
      </vt:variant>
      <vt:variant>
        <vt:i4>3407979</vt:i4>
      </vt:variant>
      <vt:variant>
        <vt:i4>282</vt:i4>
      </vt:variant>
      <vt:variant>
        <vt:i4>0</vt:i4>
      </vt:variant>
      <vt:variant>
        <vt:i4>5</vt:i4>
      </vt:variant>
      <vt:variant>
        <vt:lpwstr>https://www.gov.uk/government/publications/clean-maritime-plan-maritime-2050-environment-route-map</vt:lpwstr>
      </vt:variant>
      <vt:variant>
        <vt:lpwstr/>
      </vt:variant>
      <vt:variant>
        <vt:i4>7471138</vt:i4>
      </vt:variant>
      <vt:variant>
        <vt:i4>279</vt:i4>
      </vt:variant>
      <vt:variant>
        <vt:i4>0</vt:i4>
      </vt:variant>
      <vt:variant>
        <vt:i4>5</vt:i4>
      </vt:variant>
      <vt:variant>
        <vt:lpwstr>https://www.gov.uk/government/publications/clean-air-strategy-2019</vt:lpwstr>
      </vt:variant>
      <vt:variant>
        <vt:lpwstr/>
      </vt:variant>
      <vt:variant>
        <vt:i4>6094926</vt:i4>
      </vt:variant>
      <vt:variant>
        <vt:i4>273</vt:i4>
      </vt:variant>
      <vt:variant>
        <vt:i4>0</vt:i4>
      </vt:variant>
      <vt:variant>
        <vt:i4>5</vt:i4>
      </vt:variant>
      <vt:variant>
        <vt:lpwstr>https://www.gov.uk/government/publications/national-planning-policy-framework--2</vt:lpwstr>
      </vt:variant>
      <vt:variant>
        <vt:lpwstr/>
      </vt:variant>
      <vt:variant>
        <vt:i4>327746</vt:i4>
      </vt:variant>
      <vt:variant>
        <vt:i4>270</vt:i4>
      </vt:variant>
      <vt:variant>
        <vt:i4>0</vt:i4>
      </vt:variant>
      <vt:variant>
        <vt:i4>5</vt:i4>
      </vt:variant>
      <vt:variant>
        <vt:lpwstr>https://www.gov.uk/government/consultations/biodiversity-net-gain-updating-planning-requirements</vt:lpwstr>
      </vt:variant>
      <vt:variant>
        <vt:lpwstr/>
      </vt:variant>
      <vt:variant>
        <vt:i4>7798806</vt:i4>
      </vt:variant>
      <vt:variant>
        <vt:i4>267</vt:i4>
      </vt:variant>
      <vt:variant>
        <vt:i4>0</vt:i4>
      </vt:variant>
      <vt:variant>
        <vt:i4>5</vt:i4>
      </vt:variant>
      <vt:variant>
        <vt:lpwstr>https://publications.parliament.uk/pa/bills/cbill/2019-2019/0003/cbill_2019-20200003_en_1.htm</vt:lpwstr>
      </vt:variant>
      <vt:variant>
        <vt:lpwstr/>
      </vt:variant>
      <vt:variant>
        <vt:i4>4325389</vt:i4>
      </vt:variant>
      <vt:variant>
        <vt:i4>264</vt:i4>
      </vt:variant>
      <vt:variant>
        <vt:i4>0</vt:i4>
      </vt:variant>
      <vt:variant>
        <vt:i4>5</vt:i4>
      </vt:variant>
      <vt:variant>
        <vt:lpwstr>http://www.legislation.gov.uk/uksi/2019/893/made</vt:lpwstr>
      </vt:variant>
      <vt:variant>
        <vt:lpwstr/>
      </vt:variant>
      <vt:variant>
        <vt:i4>1638411</vt:i4>
      </vt:variant>
      <vt:variant>
        <vt:i4>261</vt:i4>
      </vt:variant>
      <vt:variant>
        <vt:i4>0</vt:i4>
      </vt:variant>
      <vt:variant>
        <vt:i4>5</vt:i4>
      </vt:variant>
      <vt:variant>
        <vt:lpwstr>https://www.legislation.gov.uk/uksi/2017/1013</vt:lpwstr>
      </vt:variant>
      <vt:variant>
        <vt:lpwstr/>
      </vt:variant>
      <vt:variant>
        <vt:i4>3145765</vt:i4>
      </vt:variant>
      <vt:variant>
        <vt:i4>258</vt:i4>
      </vt:variant>
      <vt:variant>
        <vt:i4>0</vt:i4>
      </vt:variant>
      <vt:variant>
        <vt:i4>5</vt:i4>
      </vt:variant>
      <vt:variant>
        <vt:lpwstr>https://www.legislation.gov.uk/uksi/2017/1012/contents</vt:lpwstr>
      </vt:variant>
      <vt:variant>
        <vt:lpwstr/>
      </vt:variant>
      <vt:variant>
        <vt:i4>1376349</vt:i4>
      </vt:variant>
      <vt:variant>
        <vt:i4>255</vt:i4>
      </vt:variant>
      <vt:variant>
        <vt:i4>0</vt:i4>
      </vt:variant>
      <vt:variant>
        <vt:i4>5</vt:i4>
      </vt:variant>
      <vt:variant>
        <vt:lpwstr>https://www.legislation.gov.uk/ukpga/2020/22/contents/enacted</vt:lpwstr>
      </vt:variant>
      <vt:variant>
        <vt:lpwstr/>
      </vt:variant>
      <vt:variant>
        <vt:i4>3670118</vt:i4>
      </vt:variant>
      <vt:variant>
        <vt:i4>249</vt:i4>
      </vt:variant>
      <vt:variant>
        <vt:i4>0</vt:i4>
      </vt:variant>
      <vt:variant>
        <vt:i4>5</vt:i4>
      </vt:variant>
      <vt:variant>
        <vt:lpwstr>https://www.gov.uk/government/publications/25-year-environment-plan</vt:lpwstr>
      </vt:variant>
      <vt:variant>
        <vt:lpwstr/>
      </vt:variant>
      <vt:variant>
        <vt:i4>4259932</vt:i4>
      </vt:variant>
      <vt:variant>
        <vt:i4>246</vt:i4>
      </vt:variant>
      <vt:variant>
        <vt:i4>0</vt:i4>
      </vt:variant>
      <vt:variant>
        <vt:i4>5</vt:i4>
      </vt:variant>
      <vt:variant>
        <vt:lpwstr>https://www.legislation.gov.uk/ukpga/2020/1/contents/enacted</vt:lpwstr>
      </vt:variant>
      <vt:variant>
        <vt:lpwstr/>
      </vt:variant>
      <vt:variant>
        <vt:i4>5243001</vt:i4>
      </vt:variant>
      <vt:variant>
        <vt:i4>243</vt:i4>
      </vt:variant>
      <vt:variant>
        <vt:i4>0</vt:i4>
      </vt:variant>
      <vt:variant>
        <vt:i4>5</vt:i4>
      </vt:variant>
      <vt:variant>
        <vt:lpwstr>https://ec.europa.eu/info/research-and-innovation/research-area/environment/oceans-and-seas/integrated-maritime-policy_en</vt:lpwstr>
      </vt:variant>
      <vt:variant>
        <vt:lpwstr/>
      </vt:variant>
      <vt:variant>
        <vt:i4>3538961</vt:i4>
      </vt:variant>
      <vt:variant>
        <vt:i4>240</vt:i4>
      </vt:variant>
      <vt:variant>
        <vt:i4>0</vt:i4>
      </vt:variant>
      <vt:variant>
        <vt:i4>5</vt:i4>
      </vt:variant>
      <vt:variant>
        <vt:lpwstr>https://ec.europa.eu/maritimeaffairs/policy/maritime_spatial_planning_en</vt:lpwstr>
      </vt:variant>
      <vt:variant>
        <vt:lpwstr/>
      </vt:variant>
      <vt:variant>
        <vt:i4>7667832</vt:i4>
      </vt:variant>
      <vt:variant>
        <vt:i4>237</vt:i4>
      </vt:variant>
      <vt:variant>
        <vt:i4>0</vt:i4>
      </vt:variant>
      <vt:variant>
        <vt:i4>5</vt:i4>
      </vt:variant>
      <vt:variant>
        <vt:lpwstr>https://www.gov.uk/government/publications/highly-protected-marine-areas-hpmas-review-2019</vt:lpwstr>
      </vt:variant>
      <vt:variant>
        <vt:lpwstr/>
      </vt:variant>
      <vt:variant>
        <vt:i4>7012472</vt:i4>
      </vt:variant>
      <vt:variant>
        <vt:i4>234</vt:i4>
      </vt:variant>
      <vt:variant>
        <vt:i4>0</vt:i4>
      </vt:variant>
      <vt:variant>
        <vt:i4>5</vt:i4>
      </vt:variant>
      <vt:variant>
        <vt:lpwstr>https://www.gov.uk/government/consultations/solent-and-dorset-coast-potential-special-protection-area-comment-on-proposals</vt:lpwstr>
      </vt:variant>
      <vt:variant>
        <vt:lpwstr/>
      </vt:variant>
      <vt:variant>
        <vt:i4>6815864</vt:i4>
      </vt:variant>
      <vt:variant>
        <vt:i4>231</vt:i4>
      </vt:variant>
      <vt:variant>
        <vt:i4>0</vt:i4>
      </vt:variant>
      <vt:variant>
        <vt:i4>5</vt:i4>
      </vt:variant>
      <vt:variant>
        <vt:lpwstr>https://www.gov.uk/government/consultations/marine-conservation-zones-third-tranche-of-designations</vt:lpwstr>
      </vt:variant>
      <vt:variant>
        <vt:lpwstr/>
      </vt:variant>
      <vt:variant>
        <vt:i4>2949227</vt:i4>
      </vt:variant>
      <vt:variant>
        <vt:i4>228</vt:i4>
      </vt:variant>
      <vt:variant>
        <vt:i4>0</vt:i4>
      </vt:variant>
      <vt:variant>
        <vt:i4>5</vt:i4>
      </vt:variant>
      <vt:variant>
        <vt:lpwstr>https://ifa1interconnector.com/</vt:lpwstr>
      </vt:variant>
      <vt:variant>
        <vt:lpwstr/>
      </vt:variant>
      <vt:variant>
        <vt:i4>5177436</vt:i4>
      </vt:variant>
      <vt:variant>
        <vt:i4>225</vt:i4>
      </vt:variant>
      <vt:variant>
        <vt:i4>0</vt:i4>
      </vt:variant>
      <vt:variant>
        <vt:i4>5</vt:i4>
      </vt:variant>
      <vt:variant>
        <vt:lpwstr>https://www.fablink.net/</vt:lpwstr>
      </vt:variant>
      <vt:variant>
        <vt:lpwstr/>
      </vt:variant>
      <vt:variant>
        <vt:i4>1245186</vt:i4>
      </vt:variant>
      <vt:variant>
        <vt:i4>222</vt:i4>
      </vt:variant>
      <vt:variant>
        <vt:i4>0</vt:i4>
      </vt:variant>
      <vt:variant>
        <vt:i4>5</vt:i4>
      </vt:variant>
      <vt:variant>
        <vt:lpwstr>https://www.gov.uk/topic/planning-development/marine-licences</vt:lpwstr>
      </vt:variant>
      <vt:variant>
        <vt:lpwstr/>
      </vt:variant>
      <vt:variant>
        <vt:i4>1835079</vt:i4>
      </vt:variant>
      <vt:variant>
        <vt:i4>219</vt:i4>
      </vt:variant>
      <vt:variant>
        <vt:i4>0</vt:i4>
      </vt:variant>
      <vt:variant>
        <vt:i4>5</vt:i4>
      </vt:variant>
      <vt:variant>
        <vt:lpwstr>https://www.gov.uk/government/collections/south-west-marine-plan</vt:lpwstr>
      </vt:variant>
      <vt:variant>
        <vt:lpwstr/>
      </vt:variant>
      <vt:variant>
        <vt:i4>1572949</vt:i4>
      </vt:variant>
      <vt:variant>
        <vt:i4>216</vt:i4>
      </vt:variant>
      <vt:variant>
        <vt:i4>0</vt:i4>
      </vt:variant>
      <vt:variant>
        <vt:i4>5</vt:i4>
      </vt:variant>
      <vt:variant>
        <vt:lpwstr>https://www.gov.uk/government/collections/south-east-marine-plan</vt:lpwstr>
      </vt:variant>
      <vt:variant>
        <vt:lpwstr/>
      </vt:variant>
      <vt:variant>
        <vt:i4>1835101</vt:i4>
      </vt:variant>
      <vt:variant>
        <vt:i4>213</vt:i4>
      </vt:variant>
      <vt:variant>
        <vt:i4>0</vt:i4>
      </vt:variant>
      <vt:variant>
        <vt:i4>5</vt:i4>
      </vt:variant>
      <vt:variant>
        <vt:lpwstr>https://www.gov.uk/government/collections/north-west-marine-plan</vt:lpwstr>
      </vt:variant>
      <vt:variant>
        <vt:lpwstr/>
      </vt:variant>
      <vt:variant>
        <vt:i4>1572943</vt:i4>
      </vt:variant>
      <vt:variant>
        <vt:i4>210</vt:i4>
      </vt:variant>
      <vt:variant>
        <vt:i4>0</vt:i4>
      </vt:variant>
      <vt:variant>
        <vt:i4>5</vt:i4>
      </vt:variant>
      <vt:variant>
        <vt:lpwstr>https://www.gov.uk/government/collections/north-east-marine-plan</vt:lpwstr>
      </vt:variant>
      <vt:variant>
        <vt:lpwstr/>
      </vt:variant>
      <vt:variant>
        <vt:i4>8257651</vt:i4>
      </vt:variant>
      <vt:variant>
        <vt:i4>207</vt:i4>
      </vt:variant>
      <vt:variant>
        <vt:i4>0</vt:i4>
      </vt:variant>
      <vt:variant>
        <vt:i4>5</vt:i4>
      </vt:variant>
      <vt:variant>
        <vt:lpwstr>https://www.gov.uk/government/publications/marine-strategy-part-one-uk-updated-assessment-and-good-environmental-status</vt:lpwstr>
      </vt:variant>
      <vt:variant>
        <vt:lpwstr/>
      </vt:variant>
      <vt:variant>
        <vt:i4>8257653</vt:i4>
      </vt:variant>
      <vt:variant>
        <vt:i4>204</vt:i4>
      </vt:variant>
      <vt:variant>
        <vt:i4>0</vt:i4>
      </vt:variant>
      <vt:variant>
        <vt:i4>5</vt:i4>
      </vt:variant>
      <vt:variant>
        <vt:lpwstr>https://www.gov.uk/government/publications/marine-planning-east-marine-plans-three-year-progress-report</vt:lpwstr>
      </vt:variant>
      <vt:variant>
        <vt:lpwstr/>
      </vt:variant>
      <vt:variant>
        <vt:i4>2490427</vt:i4>
      </vt:variant>
      <vt:variant>
        <vt:i4>201</vt:i4>
      </vt:variant>
      <vt:variant>
        <vt:i4>0</vt:i4>
      </vt:variant>
      <vt:variant>
        <vt:i4>5</vt:i4>
      </vt:variant>
      <vt:variant>
        <vt:lpwstr>https://www.gov.uk/government/publications/the-magenta-book</vt:lpwstr>
      </vt:variant>
      <vt:variant>
        <vt:lpwstr/>
      </vt:variant>
      <vt:variant>
        <vt:i4>3670068</vt:i4>
      </vt:variant>
      <vt:variant>
        <vt:i4>198</vt:i4>
      </vt:variant>
      <vt:variant>
        <vt:i4>0</vt:i4>
      </vt:variant>
      <vt:variant>
        <vt:i4>5</vt:i4>
      </vt:variant>
      <vt:variant>
        <vt:lpwstr>https://www.gov.uk/government/publications/the-south-marine-plans-documents</vt:lpwstr>
      </vt:variant>
      <vt:variant>
        <vt:lpwstr/>
      </vt:variant>
      <vt:variant>
        <vt:i4>2097271</vt:i4>
      </vt:variant>
      <vt:variant>
        <vt:i4>192</vt:i4>
      </vt:variant>
      <vt:variant>
        <vt:i4>0</vt:i4>
      </vt:variant>
      <vt:variant>
        <vt:i4>5</vt:i4>
      </vt:variant>
      <vt:variant>
        <vt:lpwstr>http://www.legislation.gov.uk/ukpga/2009/23/section/58</vt:lpwstr>
      </vt:variant>
      <vt:variant>
        <vt:lpwstr/>
      </vt:variant>
      <vt:variant>
        <vt:i4>3670068</vt:i4>
      </vt:variant>
      <vt:variant>
        <vt:i4>189</vt:i4>
      </vt:variant>
      <vt:variant>
        <vt:i4>0</vt:i4>
      </vt:variant>
      <vt:variant>
        <vt:i4>5</vt:i4>
      </vt:variant>
      <vt:variant>
        <vt:lpwstr>https://www.gov.uk/government/publications/the-south-marine-plans-documents</vt:lpwstr>
      </vt:variant>
      <vt:variant>
        <vt:lpwstr/>
      </vt:variant>
      <vt:variant>
        <vt:i4>4718654</vt:i4>
      </vt:variant>
      <vt:variant>
        <vt:i4>186</vt:i4>
      </vt:variant>
      <vt:variant>
        <vt:i4>0</vt:i4>
      </vt:variant>
      <vt:variant>
        <vt:i4>5</vt:i4>
      </vt:variant>
      <vt:variant>
        <vt:lpwstr/>
      </vt:variant>
      <vt:variant>
        <vt:lpwstr>_Annex_A:_High</vt:lpwstr>
      </vt:variant>
      <vt:variant>
        <vt:i4>6422624</vt:i4>
      </vt:variant>
      <vt:variant>
        <vt:i4>183</vt:i4>
      </vt:variant>
      <vt:variant>
        <vt:i4>0</vt:i4>
      </vt:variant>
      <vt:variant>
        <vt:i4>5</vt:i4>
      </vt:variant>
      <vt:variant>
        <vt:lpwstr/>
      </vt:variant>
      <vt:variant>
        <vt:lpwstr>_5._Outcomes</vt:lpwstr>
      </vt:variant>
      <vt:variant>
        <vt:i4>4718654</vt:i4>
      </vt:variant>
      <vt:variant>
        <vt:i4>180</vt:i4>
      </vt:variant>
      <vt:variant>
        <vt:i4>0</vt:i4>
      </vt:variant>
      <vt:variant>
        <vt:i4>5</vt:i4>
      </vt:variant>
      <vt:variant>
        <vt:lpwstr/>
      </vt:variant>
      <vt:variant>
        <vt:lpwstr>_Annex_A:_High</vt:lpwstr>
      </vt:variant>
      <vt:variant>
        <vt:i4>5963798</vt:i4>
      </vt:variant>
      <vt:variant>
        <vt:i4>177</vt:i4>
      </vt:variant>
      <vt:variant>
        <vt:i4>0</vt:i4>
      </vt:variant>
      <vt:variant>
        <vt:i4>5</vt:i4>
      </vt:variant>
      <vt:variant>
        <vt:lpwstr>https://www.gov.uk/government/publications/uk-marine-policy-statement</vt:lpwstr>
      </vt:variant>
      <vt:variant>
        <vt:lpwstr/>
      </vt:variant>
      <vt:variant>
        <vt:i4>3670068</vt:i4>
      </vt:variant>
      <vt:variant>
        <vt:i4>171</vt:i4>
      </vt:variant>
      <vt:variant>
        <vt:i4>0</vt:i4>
      </vt:variant>
      <vt:variant>
        <vt:i4>5</vt:i4>
      </vt:variant>
      <vt:variant>
        <vt:lpwstr>https://www.gov.uk/government/publications/the-south-marine-plans-documents</vt:lpwstr>
      </vt:variant>
      <vt:variant>
        <vt:lpwstr/>
      </vt:variant>
      <vt:variant>
        <vt:i4>1376306</vt:i4>
      </vt:variant>
      <vt:variant>
        <vt:i4>164</vt:i4>
      </vt:variant>
      <vt:variant>
        <vt:i4>0</vt:i4>
      </vt:variant>
      <vt:variant>
        <vt:i4>5</vt:i4>
      </vt:variant>
      <vt:variant>
        <vt:lpwstr/>
      </vt:variant>
      <vt:variant>
        <vt:lpwstr>_Toc74577273</vt:lpwstr>
      </vt:variant>
      <vt:variant>
        <vt:i4>1310770</vt:i4>
      </vt:variant>
      <vt:variant>
        <vt:i4>158</vt:i4>
      </vt:variant>
      <vt:variant>
        <vt:i4>0</vt:i4>
      </vt:variant>
      <vt:variant>
        <vt:i4>5</vt:i4>
      </vt:variant>
      <vt:variant>
        <vt:lpwstr/>
      </vt:variant>
      <vt:variant>
        <vt:lpwstr>_Toc74577272</vt:lpwstr>
      </vt:variant>
      <vt:variant>
        <vt:i4>1507378</vt:i4>
      </vt:variant>
      <vt:variant>
        <vt:i4>152</vt:i4>
      </vt:variant>
      <vt:variant>
        <vt:i4>0</vt:i4>
      </vt:variant>
      <vt:variant>
        <vt:i4>5</vt:i4>
      </vt:variant>
      <vt:variant>
        <vt:lpwstr/>
      </vt:variant>
      <vt:variant>
        <vt:lpwstr>_Toc74577271</vt:lpwstr>
      </vt:variant>
      <vt:variant>
        <vt:i4>1441842</vt:i4>
      </vt:variant>
      <vt:variant>
        <vt:i4>146</vt:i4>
      </vt:variant>
      <vt:variant>
        <vt:i4>0</vt:i4>
      </vt:variant>
      <vt:variant>
        <vt:i4>5</vt:i4>
      </vt:variant>
      <vt:variant>
        <vt:lpwstr/>
      </vt:variant>
      <vt:variant>
        <vt:lpwstr>_Toc74577270</vt:lpwstr>
      </vt:variant>
      <vt:variant>
        <vt:i4>2031667</vt:i4>
      </vt:variant>
      <vt:variant>
        <vt:i4>140</vt:i4>
      </vt:variant>
      <vt:variant>
        <vt:i4>0</vt:i4>
      </vt:variant>
      <vt:variant>
        <vt:i4>5</vt:i4>
      </vt:variant>
      <vt:variant>
        <vt:lpwstr/>
      </vt:variant>
      <vt:variant>
        <vt:lpwstr>_Toc74577269</vt:lpwstr>
      </vt:variant>
      <vt:variant>
        <vt:i4>1966131</vt:i4>
      </vt:variant>
      <vt:variant>
        <vt:i4>134</vt:i4>
      </vt:variant>
      <vt:variant>
        <vt:i4>0</vt:i4>
      </vt:variant>
      <vt:variant>
        <vt:i4>5</vt:i4>
      </vt:variant>
      <vt:variant>
        <vt:lpwstr/>
      </vt:variant>
      <vt:variant>
        <vt:lpwstr>_Toc74577268</vt:lpwstr>
      </vt:variant>
      <vt:variant>
        <vt:i4>1114163</vt:i4>
      </vt:variant>
      <vt:variant>
        <vt:i4>128</vt:i4>
      </vt:variant>
      <vt:variant>
        <vt:i4>0</vt:i4>
      </vt:variant>
      <vt:variant>
        <vt:i4>5</vt:i4>
      </vt:variant>
      <vt:variant>
        <vt:lpwstr/>
      </vt:variant>
      <vt:variant>
        <vt:lpwstr>_Toc74577267</vt:lpwstr>
      </vt:variant>
      <vt:variant>
        <vt:i4>1048627</vt:i4>
      </vt:variant>
      <vt:variant>
        <vt:i4>122</vt:i4>
      </vt:variant>
      <vt:variant>
        <vt:i4>0</vt:i4>
      </vt:variant>
      <vt:variant>
        <vt:i4>5</vt:i4>
      </vt:variant>
      <vt:variant>
        <vt:lpwstr/>
      </vt:variant>
      <vt:variant>
        <vt:lpwstr>_Toc74577266</vt:lpwstr>
      </vt:variant>
      <vt:variant>
        <vt:i4>1245235</vt:i4>
      </vt:variant>
      <vt:variant>
        <vt:i4>116</vt:i4>
      </vt:variant>
      <vt:variant>
        <vt:i4>0</vt:i4>
      </vt:variant>
      <vt:variant>
        <vt:i4>5</vt:i4>
      </vt:variant>
      <vt:variant>
        <vt:lpwstr/>
      </vt:variant>
      <vt:variant>
        <vt:lpwstr>_Toc74577265</vt:lpwstr>
      </vt:variant>
      <vt:variant>
        <vt:i4>1179699</vt:i4>
      </vt:variant>
      <vt:variant>
        <vt:i4>110</vt:i4>
      </vt:variant>
      <vt:variant>
        <vt:i4>0</vt:i4>
      </vt:variant>
      <vt:variant>
        <vt:i4>5</vt:i4>
      </vt:variant>
      <vt:variant>
        <vt:lpwstr/>
      </vt:variant>
      <vt:variant>
        <vt:lpwstr>_Toc74577264</vt:lpwstr>
      </vt:variant>
      <vt:variant>
        <vt:i4>1376307</vt:i4>
      </vt:variant>
      <vt:variant>
        <vt:i4>104</vt:i4>
      </vt:variant>
      <vt:variant>
        <vt:i4>0</vt:i4>
      </vt:variant>
      <vt:variant>
        <vt:i4>5</vt:i4>
      </vt:variant>
      <vt:variant>
        <vt:lpwstr/>
      </vt:variant>
      <vt:variant>
        <vt:lpwstr>_Toc74577263</vt:lpwstr>
      </vt:variant>
      <vt:variant>
        <vt:i4>1310771</vt:i4>
      </vt:variant>
      <vt:variant>
        <vt:i4>98</vt:i4>
      </vt:variant>
      <vt:variant>
        <vt:i4>0</vt:i4>
      </vt:variant>
      <vt:variant>
        <vt:i4>5</vt:i4>
      </vt:variant>
      <vt:variant>
        <vt:lpwstr/>
      </vt:variant>
      <vt:variant>
        <vt:lpwstr>_Toc74577262</vt:lpwstr>
      </vt:variant>
      <vt:variant>
        <vt:i4>1507379</vt:i4>
      </vt:variant>
      <vt:variant>
        <vt:i4>92</vt:i4>
      </vt:variant>
      <vt:variant>
        <vt:i4>0</vt:i4>
      </vt:variant>
      <vt:variant>
        <vt:i4>5</vt:i4>
      </vt:variant>
      <vt:variant>
        <vt:lpwstr/>
      </vt:variant>
      <vt:variant>
        <vt:lpwstr>_Toc74577261</vt:lpwstr>
      </vt:variant>
      <vt:variant>
        <vt:i4>1441843</vt:i4>
      </vt:variant>
      <vt:variant>
        <vt:i4>86</vt:i4>
      </vt:variant>
      <vt:variant>
        <vt:i4>0</vt:i4>
      </vt:variant>
      <vt:variant>
        <vt:i4>5</vt:i4>
      </vt:variant>
      <vt:variant>
        <vt:lpwstr/>
      </vt:variant>
      <vt:variant>
        <vt:lpwstr>_Toc74577260</vt:lpwstr>
      </vt:variant>
      <vt:variant>
        <vt:i4>2031664</vt:i4>
      </vt:variant>
      <vt:variant>
        <vt:i4>80</vt:i4>
      </vt:variant>
      <vt:variant>
        <vt:i4>0</vt:i4>
      </vt:variant>
      <vt:variant>
        <vt:i4>5</vt:i4>
      </vt:variant>
      <vt:variant>
        <vt:lpwstr/>
      </vt:variant>
      <vt:variant>
        <vt:lpwstr>_Toc74577259</vt:lpwstr>
      </vt:variant>
      <vt:variant>
        <vt:i4>1966128</vt:i4>
      </vt:variant>
      <vt:variant>
        <vt:i4>74</vt:i4>
      </vt:variant>
      <vt:variant>
        <vt:i4>0</vt:i4>
      </vt:variant>
      <vt:variant>
        <vt:i4>5</vt:i4>
      </vt:variant>
      <vt:variant>
        <vt:lpwstr/>
      </vt:variant>
      <vt:variant>
        <vt:lpwstr>_Toc74577258</vt:lpwstr>
      </vt:variant>
      <vt:variant>
        <vt:i4>1114160</vt:i4>
      </vt:variant>
      <vt:variant>
        <vt:i4>68</vt:i4>
      </vt:variant>
      <vt:variant>
        <vt:i4>0</vt:i4>
      </vt:variant>
      <vt:variant>
        <vt:i4>5</vt:i4>
      </vt:variant>
      <vt:variant>
        <vt:lpwstr/>
      </vt:variant>
      <vt:variant>
        <vt:lpwstr>_Toc74577257</vt:lpwstr>
      </vt:variant>
      <vt:variant>
        <vt:i4>1048624</vt:i4>
      </vt:variant>
      <vt:variant>
        <vt:i4>62</vt:i4>
      </vt:variant>
      <vt:variant>
        <vt:i4>0</vt:i4>
      </vt:variant>
      <vt:variant>
        <vt:i4>5</vt:i4>
      </vt:variant>
      <vt:variant>
        <vt:lpwstr/>
      </vt:variant>
      <vt:variant>
        <vt:lpwstr>_Toc74577256</vt:lpwstr>
      </vt:variant>
      <vt:variant>
        <vt:i4>1245232</vt:i4>
      </vt:variant>
      <vt:variant>
        <vt:i4>56</vt:i4>
      </vt:variant>
      <vt:variant>
        <vt:i4>0</vt:i4>
      </vt:variant>
      <vt:variant>
        <vt:i4>5</vt:i4>
      </vt:variant>
      <vt:variant>
        <vt:lpwstr/>
      </vt:variant>
      <vt:variant>
        <vt:lpwstr>_Toc74577255</vt:lpwstr>
      </vt:variant>
      <vt:variant>
        <vt:i4>1179696</vt:i4>
      </vt:variant>
      <vt:variant>
        <vt:i4>50</vt:i4>
      </vt:variant>
      <vt:variant>
        <vt:i4>0</vt:i4>
      </vt:variant>
      <vt:variant>
        <vt:i4>5</vt:i4>
      </vt:variant>
      <vt:variant>
        <vt:lpwstr/>
      </vt:variant>
      <vt:variant>
        <vt:lpwstr>_Toc74577254</vt:lpwstr>
      </vt:variant>
      <vt:variant>
        <vt:i4>1376304</vt:i4>
      </vt:variant>
      <vt:variant>
        <vt:i4>44</vt:i4>
      </vt:variant>
      <vt:variant>
        <vt:i4>0</vt:i4>
      </vt:variant>
      <vt:variant>
        <vt:i4>5</vt:i4>
      </vt:variant>
      <vt:variant>
        <vt:lpwstr/>
      </vt:variant>
      <vt:variant>
        <vt:lpwstr>_Toc74577253</vt:lpwstr>
      </vt:variant>
      <vt:variant>
        <vt:i4>1310768</vt:i4>
      </vt:variant>
      <vt:variant>
        <vt:i4>38</vt:i4>
      </vt:variant>
      <vt:variant>
        <vt:i4>0</vt:i4>
      </vt:variant>
      <vt:variant>
        <vt:i4>5</vt:i4>
      </vt:variant>
      <vt:variant>
        <vt:lpwstr/>
      </vt:variant>
      <vt:variant>
        <vt:lpwstr>_Toc74577252</vt:lpwstr>
      </vt:variant>
      <vt:variant>
        <vt:i4>1507376</vt:i4>
      </vt:variant>
      <vt:variant>
        <vt:i4>32</vt:i4>
      </vt:variant>
      <vt:variant>
        <vt:i4>0</vt:i4>
      </vt:variant>
      <vt:variant>
        <vt:i4>5</vt:i4>
      </vt:variant>
      <vt:variant>
        <vt:lpwstr/>
      </vt:variant>
      <vt:variant>
        <vt:lpwstr>_Toc74577251</vt:lpwstr>
      </vt:variant>
      <vt:variant>
        <vt:i4>1441840</vt:i4>
      </vt:variant>
      <vt:variant>
        <vt:i4>26</vt:i4>
      </vt:variant>
      <vt:variant>
        <vt:i4>0</vt:i4>
      </vt:variant>
      <vt:variant>
        <vt:i4>5</vt:i4>
      </vt:variant>
      <vt:variant>
        <vt:lpwstr/>
      </vt:variant>
      <vt:variant>
        <vt:lpwstr>_Toc74577250</vt:lpwstr>
      </vt:variant>
      <vt:variant>
        <vt:i4>2031665</vt:i4>
      </vt:variant>
      <vt:variant>
        <vt:i4>20</vt:i4>
      </vt:variant>
      <vt:variant>
        <vt:i4>0</vt:i4>
      </vt:variant>
      <vt:variant>
        <vt:i4>5</vt:i4>
      </vt:variant>
      <vt:variant>
        <vt:lpwstr/>
      </vt:variant>
      <vt:variant>
        <vt:lpwstr>_Toc74577249</vt:lpwstr>
      </vt:variant>
      <vt:variant>
        <vt:i4>1966129</vt:i4>
      </vt:variant>
      <vt:variant>
        <vt:i4>14</vt:i4>
      </vt:variant>
      <vt:variant>
        <vt:i4>0</vt:i4>
      </vt:variant>
      <vt:variant>
        <vt:i4>5</vt:i4>
      </vt:variant>
      <vt:variant>
        <vt:lpwstr/>
      </vt:variant>
      <vt:variant>
        <vt:lpwstr>_Toc74577248</vt:lpwstr>
      </vt:variant>
      <vt:variant>
        <vt:i4>7798904</vt:i4>
      </vt:variant>
      <vt:variant>
        <vt:i4>9</vt:i4>
      </vt:variant>
      <vt:variant>
        <vt:i4>0</vt:i4>
      </vt:variant>
      <vt:variant>
        <vt:i4>5</vt:i4>
      </vt:variant>
      <vt:variant>
        <vt:lpwstr>http://www.gov.uk/defra</vt:lpwstr>
      </vt:variant>
      <vt:variant>
        <vt:lpwstr/>
      </vt:variant>
      <vt:variant>
        <vt:i4>3538958</vt:i4>
      </vt:variant>
      <vt:variant>
        <vt:i4>6</vt:i4>
      </vt:variant>
      <vt:variant>
        <vt:i4>0</vt:i4>
      </vt:variant>
      <vt:variant>
        <vt:i4>5</vt:i4>
      </vt:variant>
      <vt:variant>
        <vt:lpwstr>mailto:marine.planning@defra.gov.uk</vt:lpwstr>
      </vt:variant>
      <vt:variant>
        <vt:lpwstr/>
      </vt:variant>
      <vt:variant>
        <vt:i4>524372</vt:i4>
      </vt:variant>
      <vt:variant>
        <vt:i4>3</vt:i4>
      </vt:variant>
      <vt:variant>
        <vt:i4>0</vt:i4>
      </vt:variant>
      <vt:variant>
        <vt:i4>5</vt:i4>
      </vt:variant>
      <vt:variant>
        <vt:lpwstr>http://www.gov.uk/government/publications</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ariant>
        <vt:i4>7536744</vt:i4>
      </vt:variant>
      <vt:variant>
        <vt:i4>3</vt:i4>
      </vt:variant>
      <vt:variant>
        <vt:i4>0</vt:i4>
      </vt:variant>
      <vt:variant>
        <vt:i4>5</vt:i4>
      </vt:variant>
      <vt:variant>
        <vt:lpwstr>https://eur03.safelinks.protection.outlook.com/?url=https%3A%2F%2Fmoat.cefas.co.uk%2Fsummary-of-progress-towards-good-environmental-status%2F&amp;data=04%7C01%7CDavid.Hutchinson%40marinemanagement.org.uk%7Ce572c204e5444826ae0308d93007b80f%7C770a245002274c6290c74e38537f1102%7C1%7C0%7C637593631975781540%7CUnknown%7CTWFpbGZsb3d8eyJWIjoiMC4wLjAwMDAiLCJQIjoiV2luMzIiLCJBTiI6Ik1haWwiLCJXVCI6Mn0%3D%7C1000&amp;sdata=5IyR%2FDfreU7IUpT6tqdzSxI7H1SYqUHu6lzRoBv6Tps%3D&amp;reserved=0</vt:lpwstr>
      </vt:variant>
      <vt:variant>
        <vt:lpwstr/>
      </vt:variant>
      <vt:variant>
        <vt:i4>3473486</vt:i4>
      </vt:variant>
      <vt:variant>
        <vt:i4>0</vt:i4>
      </vt:variant>
      <vt:variant>
        <vt:i4>0</vt:i4>
      </vt:variant>
      <vt:variant>
        <vt:i4>5</vt:i4>
      </vt:variant>
      <vt:variant>
        <vt:lpwstr/>
      </vt:variant>
      <vt:variant>
        <vt:lpwstr>_Annex_B:_Policy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year technical report on the South Inshore and South Offshore Marine Plan</dc:title>
  <dc:subject/>
  <dc:creator>Hutchinson, David;Marine Management Agency;Defra</dc:creator>
  <cp:keywords/>
  <cp:lastModifiedBy>Jackson-Kirby, Andrew</cp:lastModifiedBy>
  <cp:revision>2</cp:revision>
  <cp:lastPrinted>2021-07-14T08:32:00Z</cp:lastPrinted>
  <dcterms:created xsi:type="dcterms:W3CDTF">2021-07-14T12:40:00Z</dcterms:created>
  <dcterms:modified xsi:type="dcterms:W3CDTF">2021-07-14T12:40:00Z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0x010100A5BF1C78D9F64B679A5EBDE1C6598EBC01000E419D08D283444C82596AF0EDBE39DA</vt:lpwstr>
  </property>
  <property fmtid="{D5CDD505-2E9C-101B-9397-08002B2CF9AE}" pid="3" name="_dlc_DocIdItemGuid">
    <vt:lpwstr>cc6bd349-ec97-4195-9e8c-32019af31b77</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12;#Internal Core Defra|836ac8df-3ab9-4c95-a1f0-07f825804935</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HOSiteType">
    <vt:lpwstr>11;#Team|ff0485df-0575-416f-802f-e999165821b7</vt:lpwstr>
  </property>
  <property fmtid="{D5CDD505-2E9C-101B-9397-08002B2CF9AE}" pid="11" name="OrganisationalUnit">
    <vt:lpwstr>13;#Core Defra|026223dd-2e56-4615-868d-7c5bfd566810</vt:lpwstr>
  </property>
  <property fmtid="{D5CDD505-2E9C-101B-9397-08002B2CF9AE}" pid="12" name="Directorate">
    <vt:lpwstr/>
  </property>
  <property fmtid="{D5CDD505-2E9C-101B-9397-08002B2CF9AE}" pid="13" name="SecurityClassification">
    <vt:lpwstr/>
  </property>
</Properties>
</file>