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9AA4" w14:textId="77777777" w:rsidR="000B0589" w:rsidRDefault="000B0589" w:rsidP="00BC2702">
      <w:pPr>
        <w:pStyle w:val="Conditions1"/>
        <w:numPr>
          <w:ilvl w:val="0"/>
          <w:numId w:val="0"/>
        </w:numPr>
      </w:pPr>
      <w:r>
        <w:rPr>
          <w:noProof/>
        </w:rPr>
        <w:drawing>
          <wp:inline distT="0" distB="0" distL="0" distR="0" wp14:anchorId="62FF3770" wp14:editId="01F8FCEF">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194839C" w14:textId="77777777" w:rsidR="000B0589" w:rsidRDefault="000B0589" w:rsidP="00A5760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757D668" w14:textId="77777777" w:rsidTr="00F86618">
        <w:trPr>
          <w:cantSplit/>
          <w:trHeight w:val="23"/>
        </w:trPr>
        <w:tc>
          <w:tcPr>
            <w:tcW w:w="9356" w:type="dxa"/>
            <w:shd w:val="clear" w:color="auto" w:fill="auto"/>
          </w:tcPr>
          <w:p w14:paraId="2479FFD2" w14:textId="6621C97D" w:rsidR="000B0589" w:rsidRPr="00F86618" w:rsidRDefault="00F86618" w:rsidP="002E2646">
            <w:pPr>
              <w:spacing w:before="120"/>
              <w:ind w:left="-108" w:right="34"/>
              <w:rPr>
                <w:b/>
                <w:color w:val="000000"/>
                <w:sz w:val="40"/>
                <w:szCs w:val="40"/>
              </w:rPr>
            </w:pPr>
            <w:bookmarkStart w:id="0" w:name="bmkTable00"/>
            <w:bookmarkEnd w:id="0"/>
            <w:r>
              <w:rPr>
                <w:b/>
                <w:color w:val="000000"/>
                <w:sz w:val="40"/>
                <w:szCs w:val="40"/>
              </w:rPr>
              <w:t>Costs Decision</w:t>
            </w:r>
          </w:p>
        </w:tc>
      </w:tr>
      <w:tr w:rsidR="000B0589" w:rsidRPr="000C3F13" w14:paraId="30615A30" w14:textId="77777777" w:rsidTr="00F86618">
        <w:trPr>
          <w:cantSplit/>
          <w:trHeight w:val="23"/>
        </w:trPr>
        <w:tc>
          <w:tcPr>
            <w:tcW w:w="9356" w:type="dxa"/>
            <w:shd w:val="clear" w:color="auto" w:fill="auto"/>
            <w:vAlign w:val="center"/>
          </w:tcPr>
          <w:p w14:paraId="65B6C99C" w14:textId="68AEEDEF" w:rsidR="000B0589" w:rsidRPr="00F86618" w:rsidRDefault="00F86618" w:rsidP="00052B85">
            <w:pPr>
              <w:spacing w:before="60"/>
              <w:ind w:left="-108" w:right="34"/>
              <w:rPr>
                <w:color w:val="000000"/>
                <w:szCs w:val="22"/>
              </w:rPr>
            </w:pPr>
            <w:r>
              <w:rPr>
                <w:color w:val="000000"/>
                <w:szCs w:val="22"/>
              </w:rPr>
              <w:t xml:space="preserve">Inquiry </w:t>
            </w:r>
            <w:r w:rsidR="00052B85">
              <w:rPr>
                <w:color w:val="000000"/>
                <w:szCs w:val="22"/>
              </w:rPr>
              <w:t>op</w:t>
            </w:r>
            <w:r>
              <w:rPr>
                <w:color w:val="000000"/>
                <w:szCs w:val="22"/>
              </w:rPr>
              <w:t>e</w:t>
            </w:r>
            <w:r w:rsidR="00052B85">
              <w:rPr>
                <w:color w:val="000000"/>
                <w:szCs w:val="22"/>
              </w:rPr>
              <w:t>ne</w:t>
            </w:r>
            <w:r>
              <w:rPr>
                <w:color w:val="000000"/>
                <w:szCs w:val="22"/>
              </w:rPr>
              <w:t>d on</w:t>
            </w:r>
            <w:r w:rsidR="00052B85">
              <w:rPr>
                <w:color w:val="000000"/>
                <w:szCs w:val="22"/>
              </w:rPr>
              <w:t xml:space="preserve"> 1</w:t>
            </w:r>
            <w:r w:rsidR="00E149F1">
              <w:rPr>
                <w:color w:val="000000"/>
                <w:szCs w:val="22"/>
              </w:rPr>
              <w:t xml:space="preserve">4 December </w:t>
            </w:r>
            <w:r w:rsidR="00052B85">
              <w:rPr>
                <w:color w:val="000000"/>
                <w:szCs w:val="22"/>
              </w:rPr>
              <w:t>20</w:t>
            </w:r>
            <w:r w:rsidR="00E149F1">
              <w:rPr>
                <w:color w:val="000000"/>
                <w:szCs w:val="22"/>
              </w:rPr>
              <w:t>2</w:t>
            </w:r>
            <w:r w:rsidR="00EA7D05">
              <w:rPr>
                <w:color w:val="000000"/>
                <w:szCs w:val="22"/>
              </w:rPr>
              <w:t>0</w:t>
            </w:r>
          </w:p>
        </w:tc>
      </w:tr>
      <w:tr w:rsidR="000B0589" w:rsidRPr="00361890" w14:paraId="69BB62CE" w14:textId="77777777" w:rsidTr="00F86618">
        <w:trPr>
          <w:cantSplit/>
          <w:trHeight w:val="23"/>
        </w:trPr>
        <w:tc>
          <w:tcPr>
            <w:tcW w:w="9356" w:type="dxa"/>
            <w:shd w:val="clear" w:color="auto" w:fill="auto"/>
          </w:tcPr>
          <w:p w14:paraId="21CDA839" w14:textId="77777777" w:rsidR="000B0589" w:rsidRPr="00F86618" w:rsidRDefault="00F86618" w:rsidP="00F86618">
            <w:pPr>
              <w:spacing w:before="180"/>
              <w:ind w:left="-108" w:right="34"/>
              <w:rPr>
                <w:b/>
                <w:color w:val="000000"/>
                <w:sz w:val="16"/>
                <w:szCs w:val="22"/>
              </w:rPr>
            </w:pPr>
            <w:r>
              <w:rPr>
                <w:b/>
                <w:color w:val="000000"/>
                <w:szCs w:val="22"/>
              </w:rPr>
              <w:t>by Heidi Cruickshank  BSc, MSc (Hons), MIPROW</w:t>
            </w:r>
          </w:p>
        </w:tc>
      </w:tr>
      <w:tr w:rsidR="000B0589" w:rsidRPr="00361890" w14:paraId="71D25D02" w14:textId="77777777" w:rsidTr="00F86618">
        <w:trPr>
          <w:cantSplit/>
          <w:trHeight w:val="23"/>
        </w:trPr>
        <w:tc>
          <w:tcPr>
            <w:tcW w:w="9356" w:type="dxa"/>
            <w:shd w:val="clear" w:color="auto" w:fill="auto"/>
          </w:tcPr>
          <w:p w14:paraId="54CA5958" w14:textId="77777777" w:rsidR="000B0589" w:rsidRPr="00F86618" w:rsidRDefault="00F86618"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74D6E32C" w14:textId="77777777" w:rsidTr="00F86618">
        <w:trPr>
          <w:cantSplit/>
          <w:trHeight w:val="23"/>
        </w:trPr>
        <w:tc>
          <w:tcPr>
            <w:tcW w:w="9356" w:type="dxa"/>
            <w:shd w:val="clear" w:color="auto" w:fill="auto"/>
          </w:tcPr>
          <w:p w14:paraId="2E46FFFA" w14:textId="25E1C33E"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480A85">
              <w:rPr>
                <w:b/>
                <w:color w:val="000000"/>
                <w:sz w:val="16"/>
                <w:szCs w:val="16"/>
              </w:rPr>
              <w:t xml:space="preserve"> 27 May 2021</w:t>
            </w:r>
          </w:p>
        </w:tc>
      </w:tr>
    </w:tbl>
    <w:p w14:paraId="72D60884" w14:textId="77777777" w:rsidR="00F86618" w:rsidRDefault="00F86618" w:rsidP="000B0589"/>
    <w:tbl>
      <w:tblPr>
        <w:tblW w:w="0" w:type="auto"/>
        <w:tblLayout w:type="fixed"/>
        <w:tblLook w:val="0000" w:firstRow="0" w:lastRow="0" w:firstColumn="0" w:lastColumn="0" w:noHBand="0" w:noVBand="0"/>
      </w:tblPr>
      <w:tblGrid>
        <w:gridCol w:w="9520"/>
      </w:tblGrid>
      <w:tr w:rsidR="00F86618" w14:paraId="4BD0D925" w14:textId="77777777" w:rsidTr="00F86618">
        <w:tc>
          <w:tcPr>
            <w:tcW w:w="9520" w:type="dxa"/>
            <w:shd w:val="clear" w:color="auto" w:fill="auto"/>
          </w:tcPr>
          <w:p w14:paraId="7777D91B" w14:textId="30E97C50" w:rsidR="00F86618" w:rsidRPr="00F86618" w:rsidRDefault="00F86618" w:rsidP="00CA220F">
            <w:pPr>
              <w:rPr>
                <w:b/>
                <w:color w:val="000000"/>
              </w:rPr>
            </w:pPr>
            <w:r>
              <w:rPr>
                <w:b/>
                <w:color w:val="000000"/>
              </w:rPr>
              <w:t xml:space="preserve">Costs application in relation to </w:t>
            </w:r>
            <w:r w:rsidR="00052B85">
              <w:rPr>
                <w:b/>
                <w:color w:val="000000"/>
              </w:rPr>
              <w:t>Order</w:t>
            </w:r>
            <w:r>
              <w:rPr>
                <w:b/>
                <w:color w:val="000000"/>
              </w:rPr>
              <w:t xml:space="preserve"> Ref: </w:t>
            </w:r>
            <w:r w:rsidR="00CA220F">
              <w:rPr>
                <w:b/>
                <w:color w:val="000000"/>
              </w:rPr>
              <w:t>ROW</w:t>
            </w:r>
            <w:r>
              <w:rPr>
                <w:b/>
                <w:color w:val="000000"/>
              </w:rPr>
              <w:t>/</w:t>
            </w:r>
            <w:r w:rsidR="00CA220F">
              <w:rPr>
                <w:b/>
                <w:color w:val="000000"/>
              </w:rPr>
              <w:t>3</w:t>
            </w:r>
            <w:r w:rsidR="00E149F1">
              <w:rPr>
                <w:b/>
                <w:color w:val="000000"/>
              </w:rPr>
              <w:t>22537</w:t>
            </w:r>
            <w:r w:rsidR="00CA220F">
              <w:rPr>
                <w:b/>
                <w:color w:val="000000"/>
              </w:rPr>
              <w:t>1</w:t>
            </w:r>
          </w:p>
        </w:tc>
      </w:tr>
      <w:tr w:rsidR="00F86618" w14:paraId="4855C073" w14:textId="77777777" w:rsidTr="00F86618">
        <w:tc>
          <w:tcPr>
            <w:tcW w:w="9520" w:type="dxa"/>
            <w:shd w:val="clear" w:color="auto" w:fill="auto"/>
          </w:tcPr>
          <w:p w14:paraId="26272F7E" w14:textId="6B4C9097" w:rsidR="00F86618" w:rsidRPr="00324979" w:rsidRDefault="00FE3F95" w:rsidP="00176D1E">
            <w:pPr>
              <w:pStyle w:val="TBullet"/>
              <w:spacing w:before="180"/>
              <w:ind w:left="357" w:hanging="357"/>
              <w:rPr>
                <w:color w:val="auto"/>
              </w:rPr>
            </w:pPr>
            <w:r w:rsidRPr="00324979">
              <w:rPr>
                <w:color w:val="auto"/>
              </w:rPr>
              <w:t>The application is made under the Wildlife and Countryside Act 1981, Schedule 15 (as amended) and the Local Government Act 1972, section 250 (5).</w:t>
            </w:r>
          </w:p>
        </w:tc>
      </w:tr>
      <w:tr w:rsidR="003D15CB" w:rsidRPr="003D15CB" w14:paraId="48E481CF" w14:textId="77777777" w:rsidTr="00F86618">
        <w:tc>
          <w:tcPr>
            <w:tcW w:w="9520" w:type="dxa"/>
            <w:shd w:val="clear" w:color="auto" w:fill="auto"/>
          </w:tcPr>
          <w:p w14:paraId="1CC4E727" w14:textId="3B554D26" w:rsidR="00F86618" w:rsidRPr="00324979" w:rsidRDefault="00F86618" w:rsidP="008C3846">
            <w:pPr>
              <w:pStyle w:val="TBullet"/>
              <w:spacing w:before="120"/>
              <w:ind w:left="357" w:hanging="357"/>
              <w:rPr>
                <w:color w:val="auto"/>
              </w:rPr>
            </w:pPr>
            <w:r w:rsidRPr="003D15CB">
              <w:rPr>
                <w:color w:val="auto"/>
              </w:rPr>
              <w:t xml:space="preserve">The application is made by </w:t>
            </w:r>
            <w:r w:rsidR="00A61A18">
              <w:rPr>
                <w:color w:val="auto"/>
              </w:rPr>
              <w:t>Oxted Re</w:t>
            </w:r>
            <w:r w:rsidR="00BA5540" w:rsidRPr="003D15CB">
              <w:rPr>
                <w:color w:val="auto"/>
              </w:rPr>
              <w:t>s</w:t>
            </w:r>
            <w:r w:rsidR="00A61A18">
              <w:rPr>
                <w:color w:val="auto"/>
              </w:rPr>
              <w:t>idential Limited</w:t>
            </w:r>
            <w:r w:rsidRPr="003D15CB">
              <w:rPr>
                <w:color w:val="auto"/>
              </w:rPr>
              <w:t xml:space="preserve"> for a ful</w:t>
            </w:r>
            <w:r w:rsidR="00BA5540" w:rsidRPr="003D15CB">
              <w:rPr>
                <w:color w:val="auto"/>
              </w:rPr>
              <w:t xml:space="preserve">l </w:t>
            </w:r>
            <w:r w:rsidRPr="003D15CB">
              <w:rPr>
                <w:color w:val="auto"/>
              </w:rPr>
              <w:t xml:space="preserve">award of costs against </w:t>
            </w:r>
            <w:r w:rsidR="00BA5540" w:rsidRPr="003D15CB">
              <w:rPr>
                <w:color w:val="auto"/>
              </w:rPr>
              <w:t>Su</w:t>
            </w:r>
            <w:r w:rsidR="00A61A18">
              <w:rPr>
                <w:color w:val="auto"/>
              </w:rPr>
              <w:t>rrey C</w:t>
            </w:r>
            <w:r w:rsidR="00BA5540" w:rsidRPr="003D15CB">
              <w:rPr>
                <w:color w:val="auto"/>
              </w:rPr>
              <w:t>o</w:t>
            </w:r>
            <w:r w:rsidR="00A61A18">
              <w:rPr>
                <w:color w:val="auto"/>
              </w:rPr>
              <w:t>u</w:t>
            </w:r>
            <w:r w:rsidR="00BA5540" w:rsidRPr="003D15CB">
              <w:rPr>
                <w:color w:val="auto"/>
              </w:rPr>
              <w:t>nt</w:t>
            </w:r>
            <w:r w:rsidR="00F106A6">
              <w:rPr>
                <w:color w:val="auto"/>
              </w:rPr>
              <w:t>y C</w:t>
            </w:r>
            <w:r w:rsidR="00BA5540" w:rsidRPr="003D15CB">
              <w:rPr>
                <w:color w:val="auto"/>
              </w:rPr>
              <w:t>o</w:t>
            </w:r>
            <w:r w:rsidR="00F106A6">
              <w:rPr>
                <w:color w:val="auto"/>
              </w:rPr>
              <w:t>u</w:t>
            </w:r>
            <w:r w:rsidR="00BA5540" w:rsidRPr="003D15CB">
              <w:rPr>
                <w:color w:val="auto"/>
              </w:rPr>
              <w:t>n</w:t>
            </w:r>
            <w:r w:rsidR="00F106A6">
              <w:rPr>
                <w:color w:val="auto"/>
              </w:rPr>
              <w:t>ci</w:t>
            </w:r>
            <w:r w:rsidR="00BA5540" w:rsidRPr="003D15CB">
              <w:rPr>
                <w:color w:val="auto"/>
              </w:rPr>
              <w:t>l</w:t>
            </w:r>
            <w:r w:rsidRPr="003D15CB">
              <w:rPr>
                <w:color w:val="auto"/>
              </w:rPr>
              <w:t>.</w:t>
            </w:r>
            <w:r w:rsidR="00453786">
              <w:rPr>
                <w:color w:val="auto"/>
              </w:rPr>
              <w:t xml:space="preserve">  In the alternative an application is made for a partial award of costs against Surrey County Council.</w:t>
            </w:r>
          </w:p>
        </w:tc>
      </w:tr>
      <w:tr w:rsidR="003D15CB" w:rsidRPr="003D15CB" w14:paraId="29E42723" w14:textId="77777777" w:rsidTr="00F86618">
        <w:tc>
          <w:tcPr>
            <w:tcW w:w="9520" w:type="dxa"/>
            <w:shd w:val="clear" w:color="auto" w:fill="auto"/>
          </w:tcPr>
          <w:p w14:paraId="0154B659" w14:textId="775AB733" w:rsidR="00F86618" w:rsidRPr="00324979" w:rsidRDefault="00B766F7" w:rsidP="008C3846">
            <w:pPr>
              <w:pStyle w:val="TBullet"/>
              <w:spacing w:before="120"/>
              <w:ind w:left="357" w:hanging="357"/>
              <w:rPr>
                <w:color w:val="auto"/>
              </w:rPr>
            </w:pPr>
            <w:r w:rsidRPr="00324979">
              <w:rPr>
                <w:color w:val="auto"/>
              </w:rPr>
              <w:t xml:space="preserve">The Inquiry was held in connection with </w:t>
            </w:r>
            <w:r w:rsidR="00324979" w:rsidRPr="00E27E0F">
              <w:rPr>
                <w:color w:val="auto"/>
              </w:rPr>
              <w:t xml:space="preserve">The Surrey County Council Footpath No. 612 (Oxted), 613 (Oxted &amp; </w:t>
            </w:r>
            <w:proofErr w:type="spellStart"/>
            <w:r w:rsidR="00324979" w:rsidRPr="00E27E0F">
              <w:rPr>
                <w:color w:val="auto"/>
              </w:rPr>
              <w:t>Limpsfield</w:t>
            </w:r>
            <w:proofErr w:type="spellEnd"/>
            <w:r w:rsidR="00324979" w:rsidRPr="00E27E0F">
              <w:rPr>
                <w:color w:val="auto"/>
              </w:rPr>
              <w:t>) and 614 (Oxted) Definitive Map Modification Order 2018</w:t>
            </w:r>
            <w:r w:rsidRPr="00324979">
              <w:rPr>
                <w:color w:val="auto"/>
              </w:rPr>
              <w:t>.</w:t>
            </w:r>
          </w:p>
        </w:tc>
      </w:tr>
      <w:tr w:rsidR="003D15CB" w:rsidRPr="003D15CB" w14:paraId="0952F3E4" w14:textId="77777777" w:rsidTr="00F86618">
        <w:tc>
          <w:tcPr>
            <w:tcW w:w="9520" w:type="dxa"/>
            <w:tcBorders>
              <w:bottom w:val="single" w:sz="6" w:space="0" w:color="000000"/>
            </w:tcBorders>
            <w:shd w:val="clear" w:color="auto" w:fill="auto"/>
          </w:tcPr>
          <w:p w14:paraId="30BE230A" w14:textId="77777777" w:rsidR="00F86618" w:rsidRPr="003D15CB" w:rsidRDefault="00F86618" w:rsidP="00F86618">
            <w:pPr>
              <w:rPr>
                <w:b/>
                <w:color w:val="7030A0"/>
                <w:sz w:val="4"/>
              </w:rPr>
            </w:pPr>
          </w:p>
        </w:tc>
      </w:tr>
    </w:tbl>
    <w:p w14:paraId="4C208FD4" w14:textId="70C02FA3" w:rsidR="00F86618" w:rsidRPr="00BA7349" w:rsidRDefault="00F86618" w:rsidP="00F86618">
      <w:pPr>
        <w:pStyle w:val="Heading6blackfont"/>
        <w:rPr>
          <w:color w:val="auto"/>
        </w:rPr>
      </w:pPr>
      <w:r w:rsidRPr="00BA7349">
        <w:rPr>
          <w:color w:val="auto"/>
        </w:rPr>
        <w:t>Decision</w:t>
      </w:r>
    </w:p>
    <w:p w14:paraId="11F3F8D2" w14:textId="6C43F0EA" w:rsidR="002D4258" w:rsidRPr="00BA7349" w:rsidRDefault="002D4258" w:rsidP="002D4258">
      <w:pPr>
        <w:pStyle w:val="Style1"/>
        <w:numPr>
          <w:ilvl w:val="0"/>
          <w:numId w:val="6"/>
        </w:numPr>
        <w:spacing w:before="140"/>
        <w:ind w:left="431" w:hanging="431"/>
        <w:rPr>
          <w:color w:val="auto"/>
        </w:rPr>
      </w:pPr>
      <w:r w:rsidRPr="00BA7349">
        <w:rPr>
          <w:color w:val="auto"/>
        </w:rPr>
        <w:t>The costs application</w:t>
      </w:r>
      <w:r w:rsidR="00BA7349">
        <w:rPr>
          <w:color w:val="auto"/>
        </w:rPr>
        <w:t xml:space="preserve"> </w:t>
      </w:r>
      <w:r w:rsidR="00EF6BFA">
        <w:rPr>
          <w:color w:val="auto"/>
        </w:rPr>
        <w:t>fails,</w:t>
      </w:r>
      <w:r w:rsidR="00BA7349">
        <w:rPr>
          <w:color w:val="auto"/>
        </w:rPr>
        <w:t xml:space="preserve"> </w:t>
      </w:r>
      <w:r w:rsidR="00C7431A" w:rsidRPr="00BA7349">
        <w:rPr>
          <w:color w:val="auto"/>
        </w:rPr>
        <w:t>an</w:t>
      </w:r>
      <w:r w:rsidRPr="00BA7349">
        <w:rPr>
          <w:color w:val="auto"/>
        </w:rPr>
        <w:t xml:space="preserve">d </w:t>
      </w:r>
      <w:r w:rsidR="00BA7349">
        <w:rPr>
          <w:color w:val="auto"/>
        </w:rPr>
        <w:t>no</w:t>
      </w:r>
      <w:r w:rsidRPr="00BA7349">
        <w:rPr>
          <w:color w:val="auto"/>
        </w:rPr>
        <w:t xml:space="preserve"> award of costs is made.</w:t>
      </w:r>
    </w:p>
    <w:p w14:paraId="47B4A2EA" w14:textId="15781EBB" w:rsidR="00653491" w:rsidRPr="007D0DFE" w:rsidRDefault="00653491" w:rsidP="00653491">
      <w:pPr>
        <w:pStyle w:val="Heading6blackfont"/>
        <w:spacing w:before="120"/>
        <w:rPr>
          <w:color w:val="auto"/>
        </w:rPr>
      </w:pPr>
      <w:r w:rsidRPr="00BA7349">
        <w:rPr>
          <w:color w:val="auto"/>
        </w:rPr>
        <w:t xml:space="preserve">The submissions </w:t>
      </w:r>
      <w:r w:rsidR="007D0DFE">
        <w:rPr>
          <w:color w:val="auto"/>
        </w:rPr>
        <w:t xml:space="preserve">on </w:t>
      </w:r>
      <w:r w:rsidRPr="007D0DFE">
        <w:rPr>
          <w:color w:val="auto"/>
        </w:rPr>
        <w:t>b</w:t>
      </w:r>
      <w:r w:rsidR="007D0DFE">
        <w:rPr>
          <w:color w:val="auto"/>
        </w:rPr>
        <w:t>ehalf of Oxted Re</w:t>
      </w:r>
      <w:r w:rsidRPr="007D0DFE">
        <w:rPr>
          <w:color w:val="auto"/>
        </w:rPr>
        <w:t>s</w:t>
      </w:r>
      <w:r w:rsidR="007D0DFE">
        <w:rPr>
          <w:color w:val="auto"/>
        </w:rPr>
        <w:t>idential Limited</w:t>
      </w:r>
    </w:p>
    <w:p w14:paraId="3BBBDC6E" w14:textId="5FCE43D8" w:rsidR="008C1237" w:rsidRPr="006733C4" w:rsidRDefault="006733C4" w:rsidP="008C1237">
      <w:pPr>
        <w:pStyle w:val="Style1"/>
        <w:numPr>
          <w:ilvl w:val="0"/>
          <w:numId w:val="6"/>
        </w:numPr>
        <w:spacing w:before="140"/>
        <w:ind w:left="431" w:hanging="431"/>
        <w:rPr>
          <w:color w:val="auto"/>
        </w:rPr>
      </w:pPr>
      <w:r>
        <w:rPr>
          <w:color w:val="auto"/>
        </w:rPr>
        <w:t>The</w:t>
      </w:r>
      <w:r w:rsidR="008C1237" w:rsidRPr="006733C4">
        <w:rPr>
          <w:color w:val="auto"/>
        </w:rPr>
        <w:t xml:space="preserve"> application was </w:t>
      </w:r>
      <w:r>
        <w:rPr>
          <w:color w:val="auto"/>
        </w:rPr>
        <w:t>sub</w:t>
      </w:r>
      <w:r w:rsidR="008C1237" w:rsidRPr="006733C4">
        <w:rPr>
          <w:color w:val="auto"/>
        </w:rPr>
        <w:t>m</w:t>
      </w:r>
      <w:r>
        <w:rPr>
          <w:color w:val="auto"/>
        </w:rPr>
        <w:t>itte</w:t>
      </w:r>
      <w:r w:rsidR="008C1237" w:rsidRPr="006733C4">
        <w:rPr>
          <w:color w:val="auto"/>
        </w:rPr>
        <w:t xml:space="preserve">d by email </w:t>
      </w:r>
      <w:r>
        <w:rPr>
          <w:color w:val="auto"/>
        </w:rPr>
        <w:t xml:space="preserve">on </w:t>
      </w:r>
      <w:r w:rsidR="002E49AE">
        <w:rPr>
          <w:color w:val="auto"/>
        </w:rPr>
        <w:t xml:space="preserve">11 March </w:t>
      </w:r>
      <w:r w:rsidR="008C1237" w:rsidRPr="006733C4">
        <w:rPr>
          <w:color w:val="auto"/>
        </w:rPr>
        <w:t>20</w:t>
      </w:r>
      <w:r w:rsidR="002E49AE">
        <w:rPr>
          <w:color w:val="auto"/>
        </w:rPr>
        <w:t>2</w:t>
      </w:r>
      <w:r w:rsidR="008C1237" w:rsidRPr="006733C4">
        <w:rPr>
          <w:color w:val="auto"/>
        </w:rPr>
        <w:t>1</w:t>
      </w:r>
      <w:r w:rsidR="009569A0" w:rsidRPr="006733C4">
        <w:rPr>
          <w:rStyle w:val="FootnoteReference"/>
          <w:color w:val="auto"/>
        </w:rPr>
        <w:footnoteReference w:id="1"/>
      </w:r>
      <w:r w:rsidR="002E49AE">
        <w:rPr>
          <w:color w:val="auto"/>
        </w:rPr>
        <w:t xml:space="preserve"> </w:t>
      </w:r>
      <w:r w:rsidR="00DA6D4D">
        <w:rPr>
          <w:color w:val="auto"/>
        </w:rPr>
        <w:t xml:space="preserve">with </w:t>
      </w:r>
      <w:r w:rsidR="008C1237" w:rsidRPr="006733C4">
        <w:rPr>
          <w:color w:val="auto"/>
        </w:rPr>
        <w:t>the</w:t>
      </w:r>
      <w:r w:rsidR="00DA6D4D">
        <w:rPr>
          <w:color w:val="auto"/>
        </w:rPr>
        <w:t xml:space="preserve"> </w:t>
      </w:r>
      <w:r w:rsidR="008C1237" w:rsidRPr="006733C4">
        <w:rPr>
          <w:color w:val="auto"/>
        </w:rPr>
        <w:t xml:space="preserve">formal application made orally at the close of the Inquiry, on </w:t>
      </w:r>
      <w:r w:rsidR="004D1B81">
        <w:rPr>
          <w:color w:val="auto"/>
        </w:rPr>
        <w:t xml:space="preserve">12 March </w:t>
      </w:r>
      <w:r w:rsidR="008C1237" w:rsidRPr="006733C4">
        <w:rPr>
          <w:color w:val="auto"/>
        </w:rPr>
        <w:t>20</w:t>
      </w:r>
      <w:r w:rsidR="004D1B81">
        <w:rPr>
          <w:color w:val="auto"/>
        </w:rPr>
        <w:t>2</w:t>
      </w:r>
      <w:r w:rsidR="008C1237" w:rsidRPr="006733C4">
        <w:rPr>
          <w:color w:val="auto"/>
        </w:rPr>
        <w:t>1.</w:t>
      </w:r>
    </w:p>
    <w:p w14:paraId="2C098F4E" w14:textId="1F85E47D" w:rsidR="00136C8D" w:rsidRDefault="00425F80" w:rsidP="0083431C">
      <w:pPr>
        <w:pStyle w:val="Style1"/>
        <w:numPr>
          <w:ilvl w:val="0"/>
          <w:numId w:val="6"/>
        </w:numPr>
        <w:spacing w:before="140"/>
        <w:ind w:left="431" w:hanging="431"/>
        <w:rPr>
          <w:color w:val="auto"/>
        </w:rPr>
      </w:pPr>
      <w:r w:rsidRPr="008A68FE">
        <w:rPr>
          <w:color w:val="auto"/>
        </w:rPr>
        <w:t>T</w:t>
      </w:r>
      <w:r w:rsidR="008F67B5" w:rsidRPr="008A68FE">
        <w:rPr>
          <w:color w:val="auto"/>
        </w:rPr>
        <w:t xml:space="preserve">he application </w:t>
      </w:r>
      <w:r w:rsidR="0088752F" w:rsidRPr="008A68FE">
        <w:rPr>
          <w:color w:val="auto"/>
        </w:rPr>
        <w:t>related to t</w:t>
      </w:r>
      <w:r w:rsidR="008F67B5" w:rsidRPr="008A68FE">
        <w:rPr>
          <w:color w:val="auto"/>
        </w:rPr>
        <w:t>w</w:t>
      </w:r>
      <w:r w:rsidR="0088752F" w:rsidRPr="008A68FE">
        <w:rPr>
          <w:color w:val="auto"/>
        </w:rPr>
        <w:t xml:space="preserve">o </w:t>
      </w:r>
      <w:r w:rsidR="008F67B5" w:rsidRPr="008A68FE">
        <w:rPr>
          <w:color w:val="auto"/>
        </w:rPr>
        <w:t>as</w:t>
      </w:r>
      <w:r w:rsidR="0088752F" w:rsidRPr="008A68FE">
        <w:rPr>
          <w:color w:val="auto"/>
        </w:rPr>
        <w:t>pe</w:t>
      </w:r>
      <w:r w:rsidR="008F67B5" w:rsidRPr="008A68FE">
        <w:rPr>
          <w:color w:val="auto"/>
        </w:rPr>
        <w:t>c</w:t>
      </w:r>
      <w:r w:rsidR="0088752F" w:rsidRPr="008A68FE">
        <w:rPr>
          <w:color w:val="auto"/>
        </w:rPr>
        <w:t xml:space="preserve">ts, </w:t>
      </w:r>
      <w:r w:rsidR="008F67B5" w:rsidRPr="008A68FE">
        <w:rPr>
          <w:color w:val="auto"/>
        </w:rPr>
        <w:t>fir</w:t>
      </w:r>
      <w:r w:rsidR="0088752F" w:rsidRPr="008A68FE">
        <w:rPr>
          <w:color w:val="auto"/>
        </w:rPr>
        <w:t>stly f</w:t>
      </w:r>
      <w:r w:rsidR="008F67B5" w:rsidRPr="008A68FE">
        <w:rPr>
          <w:color w:val="auto"/>
        </w:rPr>
        <w:t>or a full award of costs in relation to the</w:t>
      </w:r>
      <w:r w:rsidR="00EE75A6" w:rsidRPr="008A68FE">
        <w:rPr>
          <w:color w:val="auto"/>
        </w:rPr>
        <w:t xml:space="preserve"> resistance to confirmation of the Order</w:t>
      </w:r>
      <w:r w:rsidR="008A68FE" w:rsidRPr="008A68FE">
        <w:rPr>
          <w:color w:val="auto"/>
        </w:rPr>
        <w:t xml:space="preserve"> as a whole</w:t>
      </w:r>
      <w:r w:rsidR="00EE75A6" w:rsidRPr="008A68FE">
        <w:rPr>
          <w:color w:val="auto"/>
        </w:rPr>
        <w:t>.</w:t>
      </w:r>
      <w:r w:rsidR="008A68FE" w:rsidRPr="008A68FE">
        <w:rPr>
          <w:color w:val="auto"/>
        </w:rPr>
        <w:t xml:space="preserve">  In the alternative, a partial award of costs was sought </w:t>
      </w:r>
      <w:r w:rsidR="00175EDA">
        <w:rPr>
          <w:color w:val="auto"/>
        </w:rPr>
        <w:t>in relation t</w:t>
      </w:r>
      <w:r w:rsidR="008A68FE" w:rsidRPr="008A68FE">
        <w:rPr>
          <w:color w:val="auto"/>
        </w:rPr>
        <w:t xml:space="preserve">o the </w:t>
      </w:r>
      <w:r w:rsidR="00175EDA" w:rsidRPr="008A68FE">
        <w:rPr>
          <w:color w:val="auto"/>
        </w:rPr>
        <w:t>adjourn</w:t>
      </w:r>
      <w:r w:rsidR="00175EDA">
        <w:rPr>
          <w:color w:val="auto"/>
        </w:rPr>
        <w:t>m</w:t>
      </w:r>
      <w:r w:rsidR="00175EDA" w:rsidRPr="008A68FE">
        <w:rPr>
          <w:color w:val="auto"/>
        </w:rPr>
        <w:t>e</w:t>
      </w:r>
      <w:r w:rsidR="00175EDA">
        <w:rPr>
          <w:color w:val="auto"/>
        </w:rPr>
        <w:t>n</w:t>
      </w:r>
      <w:r w:rsidR="00175EDA" w:rsidRPr="008A68FE">
        <w:rPr>
          <w:color w:val="auto"/>
        </w:rPr>
        <w:t>t</w:t>
      </w:r>
      <w:r w:rsidR="00175EDA">
        <w:rPr>
          <w:color w:val="auto"/>
        </w:rPr>
        <w:t xml:space="preserve"> </w:t>
      </w:r>
      <w:r w:rsidR="00175EDA" w:rsidRPr="008A68FE">
        <w:rPr>
          <w:color w:val="auto"/>
        </w:rPr>
        <w:t>o</w:t>
      </w:r>
      <w:r w:rsidR="00175EDA">
        <w:rPr>
          <w:color w:val="auto"/>
        </w:rPr>
        <w:t>f</w:t>
      </w:r>
      <w:r w:rsidR="00175EDA" w:rsidRPr="008A68FE">
        <w:rPr>
          <w:color w:val="auto"/>
        </w:rPr>
        <w:t xml:space="preserve"> </w:t>
      </w:r>
      <w:r w:rsidR="00F85C12" w:rsidRPr="008A68FE">
        <w:rPr>
          <w:color w:val="auto"/>
        </w:rPr>
        <w:t>the Inquiry in</w:t>
      </w:r>
      <w:r w:rsidR="00EA7D05">
        <w:rPr>
          <w:color w:val="auto"/>
        </w:rPr>
        <w:t xml:space="preserve"> </w:t>
      </w:r>
      <w:r w:rsidR="00F85C12" w:rsidRPr="008A68FE">
        <w:rPr>
          <w:color w:val="auto"/>
        </w:rPr>
        <w:t>D</w:t>
      </w:r>
      <w:r w:rsidR="00E90EF2">
        <w:rPr>
          <w:color w:val="auto"/>
        </w:rPr>
        <w:t>ecember 2020.</w:t>
      </w:r>
    </w:p>
    <w:p w14:paraId="25A6DD87" w14:textId="763A4E77" w:rsidR="005D1CB2" w:rsidRPr="002C6C06" w:rsidRDefault="002C6C06" w:rsidP="005D1CB2">
      <w:pPr>
        <w:pStyle w:val="Heading6blackfont"/>
        <w:spacing w:before="120"/>
        <w:rPr>
          <w:i/>
          <w:iCs/>
          <w:color w:val="auto"/>
        </w:rPr>
      </w:pPr>
      <w:r>
        <w:rPr>
          <w:i/>
          <w:iCs/>
          <w:color w:val="auto"/>
        </w:rPr>
        <w:t>F</w:t>
      </w:r>
      <w:r w:rsidR="005D1CB2" w:rsidRPr="002C6C06">
        <w:rPr>
          <w:i/>
          <w:iCs/>
          <w:color w:val="auto"/>
        </w:rPr>
        <w:t>u</w:t>
      </w:r>
      <w:r>
        <w:rPr>
          <w:i/>
          <w:iCs/>
          <w:color w:val="auto"/>
        </w:rPr>
        <w:t xml:space="preserve">ll </w:t>
      </w:r>
      <w:r w:rsidR="009339A3">
        <w:rPr>
          <w:i/>
          <w:iCs/>
          <w:color w:val="auto"/>
        </w:rPr>
        <w:t xml:space="preserve">Award </w:t>
      </w:r>
    </w:p>
    <w:p w14:paraId="6D3CF5F5" w14:textId="54795381" w:rsidR="00453786" w:rsidRPr="00C96858" w:rsidRDefault="0035511E" w:rsidP="000224A4">
      <w:pPr>
        <w:pStyle w:val="Style1"/>
        <w:numPr>
          <w:ilvl w:val="0"/>
          <w:numId w:val="6"/>
        </w:numPr>
        <w:spacing w:before="140"/>
        <w:ind w:left="431" w:hanging="431"/>
        <w:rPr>
          <w:color w:val="auto"/>
        </w:rPr>
      </w:pPr>
      <w:r w:rsidRPr="00C96858">
        <w:rPr>
          <w:color w:val="auto"/>
        </w:rPr>
        <w:t xml:space="preserve">Surrey </w:t>
      </w:r>
      <w:r w:rsidR="00453786" w:rsidRPr="00C96858">
        <w:rPr>
          <w:color w:val="auto"/>
        </w:rPr>
        <w:t xml:space="preserve">County Council </w:t>
      </w:r>
      <w:r w:rsidRPr="00C96858">
        <w:rPr>
          <w:color w:val="auto"/>
        </w:rPr>
        <w:t xml:space="preserve">(“SCC”) </w:t>
      </w:r>
      <w:r w:rsidR="00453786" w:rsidRPr="00C96858">
        <w:rPr>
          <w:color w:val="auto"/>
        </w:rPr>
        <w:t>acted on the basis that the nine-month break in the user of</w:t>
      </w:r>
      <w:r w:rsidR="00C02A51" w:rsidRPr="00C96858">
        <w:rPr>
          <w:color w:val="auto"/>
        </w:rPr>
        <w:t xml:space="preserve"> </w:t>
      </w:r>
      <w:r w:rsidR="00453786" w:rsidRPr="00C96858">
        <w:rPr>
          <w:color w:val="auto"/>
        </w:rPr>
        <w:t>route</w:t>
      </w:r>
      <w:r w:rsidR="00B4298C">
        <w:rPr>
          <w:color w:val="auto"/>
        </w:rPr>
        <w:t>s</w:t>
      </w:r>
      <w:r w:rsidR="00453786" w:rsidRPr="00C96858">
        <w:rPr>
          <w:color w:val="auto"/>
        </w:rPr>
        <w:t xml:space="preserve"> </w:t>
      </w:r>
      <w:r w:rsidR="00B4298C">
        <w:rPr>
          <w:color w:val="auto"/>
        </w:rPr>
        <w:t>FP</w:t>
      </w:r>
      <w:r w:rsidR="00453786" w:rsidRPr="00C96858">
        <w:rPr>
          <w:color w:val="auto"/>
        </w:rPr>
        <w:t xml:space="preserve">613 and </w:t>
      </w:r>
      <w:r w:rsidR="00B4298C">
        <w:rPr>
          <w:color w:val="auto"/>
        </w:rPr>
        <w:t>FP</w:t>
      </w:r>
      <w:r w:rsidR="00453786" w:rsidRPr="00C96858">
        <w:rPr>
          <w:color w:val="auto"/>
        </w:rPr>
        <w:t xml:space="preserve">614 in 2004 did not bring the use into question because it was not an action of the landowner. </w:t>
      </w:r>
      <w:r w:rsidR="00C96858" w:rsidRPr="00C96858">
        <w:rPr>
          <w:color w:val="auto"/>
        </w:rPr>
        <w:t xml:space="preserve"> </w:t>
      </w:r>
      <w:r w:rsidR="00453786" w:rsidRPr="00C96858">
        <w:rPr>
          <w:color w:val="auto"/>
        </w:rPr>
        <w:t xml:space="preserve">That was contrary to well established case law. </w:t>
      </w:r>
      <w:r w:rsidR="00C96858" w:rsidRPr="00C96858">
        <w:rPr>
          <w:color w:val="auto"/>
        </w:rPr>
        <w:t xml:space="preserve"> </w:t>
      </w:r>
      <w:r w:rsidR="00453786" w:rsidRPr="00C96858">
        <w:rPr>
          <w:color w:val="auto"/>
        </w:rPr>
        <w:t xml:space="preserve">It is well established that the act bringing the user into question is not required to be by or on behalf of the landowner, see: </w:t>
      </w:r>
      <w:r w:rsidR="00453786" w:rsidRPr="00167B1E">
        <w:rPr>
          <w:i/>
          <w:iCs/>
          <w:color w:val="auto"/>
        </w:rPr>
        <w:t>R(</w:t>
      </w:r>
      <w:proofErr w:type="spellStart"/>
      <w:r w:rsidR="00453786" w:rsidRPr="00167B1E">
        <w:rPr>
          <w:i/>
          <w:iCs/>
          <w:color w:val="auto"/>
        </w:rPr>
        <w:t>Godmanchester</w:t>
      </w:r>
      <w:proofErr w:type="spellEnd"/>
      <w:r w:rsidR="00453786" w:rsidRPr="00167B1E">
        <w:rPr>
          <w:i/>
          <w:iCs/>
          <w:color w:val="auto"/>
        </w:rPr>
        <w:t xml:space="preserve"> Town Council) v Secretary of State for the Environment, Food &amp; Rural Affairs [2008] 1 AC 221</w:t>
      </w:r>
      <w:r w:rsidR="00453786" w:rsidRPr="00C96858">
        <w:rPr>
          <w:color w:val="auto"/>
        </w:rPr>
        <w:t xml:space="preserve"> per Lord Scott at [70]. See also: PINS Consistency Guidelines (2016) para.5.6. </w:t>
      </w:r>
    </w:p>
    <w:p w14:paraId="6A2BE7B1" w14:textId="7EA83EFB" w:rsidR="00453786" w:rsidRPr="00453786" w:rsidRDefault="000729FE" w:rsidP="00453786">
      <w:pPr>
        <w:pStyle w:val="Style1"/>
        <w:numPr>
          <w:ilvl w:val="0"/>
          <w:numId w:val="6"/>
        </w:numPr>
        <w:spacing w:before="140"/>
        <w:ind w:left="431" w:hanging="431"/>
        <w:rPr>
          <w:color w:val="auto"/>
        </w:rPr>
      </w:pPr>
      <w:r>
        <w:rPr>
          <w:color w:val="auto"/>
        </w:rPr>
        <w:t>S</w:t>
      </w:r>
      <w:r w:rsidR="00453786" w:rsidRPr="00453786">
        <w:rPr>
          <w:color w:val="auto"/>
        </w:rPr>
        <w:t xml:space="preserve">CC also relied on the PINS Advice Note 15 </w:t>
      </w:r>
      <w:r w:rsidR="00145AFE">
        <w:rPr>
          <w:color w:val="auto"/>
        </w:rPr>
        <w:t xml:space="preserve">(“AN15”) </w:t>
      </w:r>
      <w:r w:rsidR="00453786" w:rsidRPr="00453786">
        <w:rPr>
          <w:color w:val="auto"/>
        </w:rPr>
        <w:t>(para.8)</w:t>
      </w:r>
      <w:r w:rsidR="00EA2307">
        <w:rPr>
          <w:color w:val="auto"/>
        </w:rPr>
        <w:t xml:space="preserve">, </w:t>
      </w:r>
      <w:r w:rsidR="00453786" w:rsidRPr="00453786">
        <w:rPr>
          <w:color w:val="auto"/>
        </w:rPr>
        <w:t>however</w:t>
      </w:r>
      <w:r w:rsidR="00EA2307">
        <w:rPr>
          <w:color w:val="auto"/>
        </w:rPr>
        <w:t>,</w:t>
      </w:r>
      <w:r w:rsidR="00453786" w:rsidRPr="00453786">
        <w:rPr>
          <w:color w:val="auto"/>
        </w:rPr>
        <w:t xml:space="preserve"> that has been held not to be an accurate statement of the law in </w:t>
      </w:r>
      <w:r w:rsidR="00453786" w:rsidRPr="00857412">
        <w:rPr>
          <w:i/>
          <w:iCs/>
          <w:color w:val="auto"/>
        </w:rPr>
        <w:t>R</w:t>
      </w:r>
      <w:r w:rsidR="00453786" w:rsidRPr="000729FE">
        <w:rPr>
          <w:i/>
          <w:iCs/>
          <w:color w:val="auto"/>
        </w:rPr>
        <w:t>(</w:t>
      </w:r>
      <w:proofErr w:type="spellStart"/>
      <w:r w:rsidR="00453786" w:rsidRPr="000729FE">
        <w:rPr>
          <w:i/>
          <w:iCs/>
          <w:color w:val="auto"/>
        </w:rPr>
        <w:t>Roxlena</w:t>
      </w:r>
      <w:proofErr w:type="spellEnd"/>
      <w:r w:rsidR="00453786" w:rsidRPr="000729FE">
        <w:rPr>
          <w:i/>
          <w:iCs/>
          <w:color w:val="auto"/>
        </w:rPr>
        <w:t xml:space="preserve"> Limited) v Cumbria County Council [2017] EWHC 2651 (Admin)</w:t>
      </w:r>
      <w:r w:rsidR="00453786" w:rsidRPr="00453786">
        <w:rPr>
          <w:color w:val="auto"/>
        </w:rPr>
        <w:t xml:space="preserve"> </w:t>
      </w:r>
      <w:r w:rsidR="00EA2307">
        <w:rPr>
          <w:color w:val="auto"/>
        </w:rPr>
        <w:t>(“</w:t>
      </w:r>
      <w:proofErr w:type="spellStart"/>
      <w:r w:rsidR="00EA2307" w:rsidRPr="00EA2307">
        <w:rPr>
          <w:i/>
          <w:iCs/>
          <w:color w:val="auto"/>
        </w:rPr>
        <w:t>Roxlena</w:t>
      </w:r>
      <w:proofErr w:type="spellEnd"/>
      <w:r w:rsidR="00EA2307">
        <w:rPr>
          <w:color w:val="auto"/>
        </w:rPr>
        <w:t>”)</w:t>
      </w:r>
      <w:r w:rsidR="007910E1">
        <w:rPr>
          <w:rStyle w:val="FootnoteReference"/>
          <w:i/>
          <w:szCs w:val="22"/>
        </w:rPr>
        <w:footnoteReference w:id="2"/>
      </w:r>
      <w:r w:rsidR="00EA2307">
        <w:rPr>
          <w:color w:val="auto"/>
        </w:rPr>
        <w:t xml:space="preserve"> </w:t>
      </w:r>
      <w:r w:rsidR="00453786" w:rsidRPr="00453786">
        <w:rPr>
          <w:color w:val="auto"/>
        </w:rPr>
        <w:t xml:space="preserve">Kerr J at [73]. </w:t>
      </w:r>
    </w:p>
    <w:p w14:paraId="1A82A5F3" w14:textId="4208B0AD" w:rsidR="00453786" w:rsidRPr="00756903" w:rsidRDefault="000729FE" w:rsidP="003C1C06">
      <w:pPr>
        <w:pStyle w:val="Style1"/>
        <w:numPr>
          <w:ilvl w:val="0"/>
          <w:numId w:val="6"/>
        </w:numPr>
        <w:spacing w:before="140"/>
        <w:ind w:left="431" w:hanging="431"/>
        <w:rPr>
          <w:color w:val="auto"/>
        </w:rPr>
      </w:pPr>
      <w:r w:rsidRPr="00756903">
        <w:rPr>
          <w:color w:val="auto"/>
        </w:rPr>
        <w:t>S</w:t>
      </w:r>
      <w:r w:rsidR="00453786" w:rsidRPr="00756903">
        <w:rPr>
          <w:color w:val="auto"/>
        </w:rPr>
        <w:t>CC proceeded on the basis that deriving access through gaps beside locked gates did not amount to a contrary indication of dedication or render the use contentious.</w:t>
      </w:r>
      <w:r w:rsidR="00756903" w:rsidRPr="00756903">
        <w:rPr>
          <w:color w:val="auto"/>
        </w:rPr>
        <w:t xml:space="preserve">  </w:t>
      </w:r>
      <w:r w:rsidR="00453786" w:rsidRPr="00756903">
        <w:rPr>
          <w:color w:val="auto"/>
        </w:rPr>
        <w:t>That is again contrary to well established case law, see</w:t>
      </w:r>
      <w:r w:rsidR="00453786" w:rsidRPr="00756903">
        <w:rPr>
          <w:i/>
          <w:iCs/>
          <w:color w:val="auto"/>
        </w:rPr>
        <w:t xml:space="preserve">: R v </w:t>
      </w:r>
      <w:r w:rsidR="00453786" w:rsidRPr="00756903">
        <w:rPr>
          <w:i/>
          <w:iCs/>
          <w:color w:val="auto"/>
        </w:rPr>
        <w:lastRenderedPageBreak/>
        <w:t>Secretary of State for the Environment, Ex p. Blake [1984]</w:t>
      </w:r>
      <w:r w:rsidR="00347396" w:rsidRPr="00347396">
        <w:rPr>
          <w:i/>
          <w:szCs w:val="22"/>
        </w:rPr>
        <w:t xml:space="preserve"> </w:t>
      </w:r>
      <w:r w:rsidR="00347396">
        <w:rPr>
          <w:rStyle w:val="FootnoteReference"/>
          <w:i/>
          <w:szCs w:val="22"/>
        </w:rPr>
        <w:footnoteReference w:id="3"/>
      </w:r>
      <w:r w:rsidR="00347396">
        <w:rPr>
          <w:i/>
          <w:szCs w:val="22"/>
        </w:rPr>
        <w:t xml:space="preserve"> </w:t>
      </w:r>
      <w:r w:rsidR="00347396">
        <w:rPr>
          <w:iCs/>
          <w:szCs w:val="22"/>
        </w:rPr>
        <w:t>(</w:t>
      </w:r>
      <w:r w:rsidR="00A25EE8">
        <w:rPr>
          <w:i/>
          <w:szCs w:val="22"/>
        </w:rPr>
        <w:t>Blake</w:t>
      </w:r>
      <w:r w:rsidR="00A25EE8">
        <w:rPr>
          <w:iCs/>
          <w:szCs w:val="22"/>
        </w:rPr>
        <w:t>)</w:t>
      </w:r>
      <w:r w:rsidR="00453786" w:rsidRPr="00756903">
        <w:rPr>
          <w:color w:val="auto"/>
        </w:rPr>
        <w:t>, where Walton J held that there was not “</w:t>
      </w:r>
      <w:r w:rsidR="00453786" w:rsidRPr="00756903">
        <w:rPr>
          <w:i/>
          <w:iCs/>
          <w:color w:val="auto"/>
        </w:rPr>
        <w:t>a more eloquent statement of intention not to dedicate</w:t>
      </w:r>
      <w:r w:rsidR="00453786" w:rsidRPr="00756903">
        <w:rPr>
          <w:color w:val="auto"/>
        </w:rPr>
        <w:t xml:space="preserve">” than erecting locked gates (p.104). </w:t>
      </w:r>
    </w:p>
    <w:p w14:paraId="277FBF18" w14:textId="200FE2AB" w:rsidR="00453786" w:rsidRPr="00453786" w:rsidRDefault="00453786" w:rsidP="00453786">
      <w:pPr>
        <w:pStyle w:val="Style1"/>
        <w:numPr>
          <w:ilvl w:val="0"/>
          <w:numId w:val="6"/>
        </w:numPr>
        <w:spacing w:before="140"/>
        <w:ind w:left="431" w:hanging="431"/>
        <w:rPr>
          <w:color w:val="auto"/>
        </w:rPr>
      </w:pPr>
      <w:r w:rsidRPr="00453786">
        <w:rPr>
          <w:color w:val="auto"/>
        </w:rPr>
        <w:t xml:space="preserve">Even taking the supporters’ evidence at its highest, </w:t>
      </w:r>
      <w:r w:rsidR="00756903">
        <w:rPr>
          <w:color w:val="auto"/>
        </w:rPr>
        <w:t>S</w:t>
      </w:r>
      <w:r w:rsidRPr="00453786">
        <w:rPr>
          <w:color w:val="auto"/>
        </w:rPr>
        <w:t>C</w:t>
      </w:r>
      <w:r w:rsidR="00756903">
        <w:rPr>
          <w:color w:val="auto"/>
        </w:rPr>
        <w:t>C</w:t>
      </w:r>
      <w:r w:rsidRPr="00453786">
        <w:rPr>
          <w:color w:val="auto"/>
        </w:rPr>
        <w:t xml:space="preserve"> therefore acted unreasonably by making the Order contrary to well established case law. </w:t>
      </w:r>
      <w:r w:rsidR="00B3512D">
        <w:rPr>
          <w:color w:val="auto"/>
        </w:rPr>
        <w:t xml:space="preserve"> </w:t>
      </w:r>
      <w:r w:rsidRPr="00453786">
        <w:rPr>
          <w:color w:val="auto"/>
        </w:rPr>
        <w:t xml:space="preserve">Had </w:t>
      </w:r>
      <w:r w:rsidR="00756903">
        <w:rPr>
          <w:color w:val="auto"/>
        </w:rPr>
        <w:t>S</w:t>
      </w:r>
      <w:r w:rsidRPr="00453786">
        <w:rPr>
          <w:color w:val="auto"/>
        </w:rPr>
        <w:t xml:space="preserve">CC understood those legal propositions, it would never have made the Order. </w:t>
      </w:r>
    </w:p>
    <w:p w14:paraId="34326DD0" w14:textId="506FA9AD" w:rsidR="00453786" w:rsidRPr="00453786" w:rsidRDefault="00453786" w:rsidP="00453786">
      <w:pPr>
        <w:pStyle w:val="Style1"/>
        <w:numPr>
          <w:ilvl w:val="0"/>
          <w:numId w:val="6"/>
        </w:numPr>
        <w:spacing w:before="140"/>
        <w:ind w:left="431" w:hanging="431"/>
        <w:rPr>
          <w:color w:val="auto"/>
        </w:rPr>
      </w:pPr>
      <w:r w:rsidRPr="00453786">
        <w:rPr>
          <w:color w:val="auto"/>
        </w:rPr>
        <w:t xml:space="preserve">All those errors were pointed out to </w:t>
      </w:r>
      <w:r w:rsidR="00756903">
        <w:rPr>
          <w:color w:val="auto"/>
        </w:rPr>
        <w:t>S</w:t>
      </w:r>
      <w:r w:rsidRPr="00453786">
        <w:rPr>
          <w:color w:val="auto"/>
        </w:rPr>
        <w:t>CC by Oxted Residential</w:t>
      </w:r>
      <w:r w:rsidR="00A5531A">
        <w:rPr>
          <w:color w:val="auto"/>
        </w:rPr>
        <w:t xml:space="preserve"> Limited</w:t>
      </w:r>
      <w:r w:rsidR="00B763C6">
        <w:rPr>
          <w:color w:val="auto"/>
        </w:rPr>
        <w:t xml:space="preserve"> (“ORL”)</w:t>
      </w:r>
      <w:r w:rsidRPr="00453786">
        <w:rPr>
          <w:color w:val="auto"/>
        </w:rPr>
        <w:t xml:space="preserve"> within its Statement of Case. </w:t>
      </w:r>
      <w:r w:rsidR="00BC4D17">
        <w:rPr>
          <w:color w:val="auto"/>
        </w:rPr>
        <w:t xml:space="preserve"> S</w:t>
      </w:r>
      <w:r w:rsidRPr="00453786">
        <w:rPr>
          <w:color w:val="auto"/>
        </w:rPr>
        <w:t xml:space="preserve">CC also acted unreasonably by continuing its support for the confirmation of the Order and, specifically, filing a proof of evidence which re-asserted the incorrect legal propositions. </w:t>
      </w:r>
    </w:p>
    <w:p w14:paraId="0B982AB7" w14:textId="6436DB34" w:rsidR="00453786" w:rsidRPr="00453786" w:rsidRDefault="00453786" w:rsidP="00453786">
      <w:pPr>
        <w:pStyle w:val="Style1"/>
        <w:numPr>
          <w:ilvl w:val="0"/>
          <w:numId w:val="6"/>
        </w:numPr>
        <w:spacing w:before="140"/>
        <w:ind w:left="431" w:hanging="431"/>
        <w:rPr>
          <w:color w:val="auto"/>
        </w:rPr>
      </w:pPr>
      <w:r w:rsidRPr="00453786">
        <w:rPr>
          <w:color w:val="auto"/>
        </w:rPr>
        <w:t xml:space="preserve">Finally, </w:t>
      </w:r>
      <w:r w:rsidR="00BC4D17">
        <w:rPr>
          <w:color w:val="auto"/>
        </w:rPr>
        <w:t>SC</w:t>
      </w:r>
      <w:r w:rsidRPr="00453786">
        <w:rPr>
          <w:color w:val="auto"/>
        </w:rPr>
        <w:t xml:space="preserve">C’s assessment of the evidence itself was partial. </w:t>
      </w:r>
      <w:r w:rsidR="00BC4D17">
        <w:rPr>
          <w:color w:val="auto"/>
        </w:rPr>
        <w:t xml:space="preserve"> </w:t>
      </w:r>
      <w:r w:rsidRPr="00453786">
        <w:rPr>
          <w:color w:val="auto"/>
        </w:rPr>
        <w:t xml:space="preserve">It failed to interview those on behalf of the landowner. </w:t>
      </w:r>
      <w:r w:rsidR="00BC4D17">
        <w:rPr>
          <w:color w:val="auto"/>
        </w:rPr>
        <w:t xml:space="preserve"> </w:t>
      </w:r>
      <w:r w:rsidRPr="00453786">
        <w:rPr>
          <w:color w:val="auto"/>
        </w:rPr>
        <w:t xml:space="preserve">Had </w:t>
      </w:r>
      <w:r w:rsidR="00BC4D17">
        <w:rPr>
          <w:color w:val="auto"/>
        </w:rPr>
        <w:t>SC</w:t>
      </w:r>
      <w:r w:rsidRPr="00453786">
        <w:rPr>
          <w:color w:val="auto"/>
        </w:rPr>
        <w:t>C done so, it would have appreciated the pattern of contentious use and would not have made the Order</w:t>
      </w:r>
      <w:r w:rsidR="00BC4D17">
        <w:rPr>
          <w:color w:val="auto"/>
        </w:rPr>
        <w:t>, t</w:t>
      </w:r>
      <w:r w:rsidRPr="00453786">
        <w:rPr>
          <w:color w:val="auto"/>
        </w:rPr>
        <w:t xml:space="preserve">herefore avoiding the need for an inquiry. </w:t>
      </w:r>
    </w:p>
    <w:p w14:paraId="4C9759C7" w14:textId="411F23AF" w:rsidR="001E5CDD" w:rsidRPr="002C6C06" w:rsidRDefault="001E5CDD" w:rsidP="001E5CDD">
      <w:pPr>
        <w:pStyle w:val="Heading6blackfont"/>
        <w:spacing w:before="120"/>
        <w:rPr>
          <w:i/>
          <w:iCs/>
          <w:color w:val="auto"/>
        </w:rPr>
      </w:pPr>
      <w:r>
        <w:rPr>
          <w:i/>
          <w:iCs/>
          <w:color w:val="auto"/>
        </w:rPr>
        <w:t xml:space="preserve">Partial Award </w:t>
      </w:r>
    </w:p>
    <w:p w14:paraId="041A6491" w14:textId="129850BE" w:rsidR="00042807" w:rsidRDefault="00042807" w:rsidP="0006536B">
      <w:pPr>
        <w:pStyle w:val="Style1"/>
        <w:numPr>
          <w:ilvl w:val="0"/>
          <w:numId w:val="6"/>
        </w:numPr>
        <w:spacing w:before="140"/>
        <w:ind w:left="431" w:hanging="431"/>
        <w:rPr>
          <w:color w:val="auto"/>
        </w:rPr>
      </w:pPr>
      <w:r w:rsidRPr="00042807">
        <w:rPr>
          <w:color w:val="auto"/>
        </w:rPr>
        <w:t>By r.16(3)</w:t>
      </w:r>
      <w:r w:rsidR="00CB7489">
        <w:rPr>
          <w:color w:val="auto"/>
        </w:rPr>
        <w:t xml:space="preserve"> of</w:t>
      </w:r>
      <w:r w:rsidRPr="00042807">
        <w:rPr>
          <w:color w:val="auto"/>
        </w:rPr>
        <w:t xml:space="preserve"> The Rights of Way (Hearings and Inquiries Procedure) (England) Rules 2007</w:t>
      </w:r>
      <w:r w:rsidR="00114239">
        <w:rPr>
          <w:color w:val="auto"/>
        </w:rPr>
        <w:t xml:space="preserve"> (“the 2007 Regulations”)</w:t>
      </w:r>
      <w:r w:rsidRPr="00042807">
        <w:rPr>
          <w:color w:val="auto"/>
        </w:rPr>
        <w:t>, SCC was obliged to have advertised the Inquiry by way of site notices not less than four weeks prior to the opening of the Inquiry.  Contrary to that express obligation,</w:t>
      </w:r>
      <w:r>
        <w:rPr>
          <w:color w:val="auto"/>
        </w:rPr>
        <w:t xml:space="preserve"> S</w:t>
      </w:r>
      <w:r w:rsidRPr="00042807">
        <w:rPr>
          <w:color w:val="auto"/>
        </w:rPr>
        <w:t xml:space="preserve">CC failed to advertise the </w:t>
      </w:r>
      <w:r>
        <w:rPr>
          <w:color w:val="auto"/>
        </w:rPr>
        <w:t>I</w:t>
      </w:r>
      <w:r w:rsidRPr="00042807">
        <w:rPr>
          <w:color w:val="auto"/>
        </w:rPr>
        <w:t xml:space="preserve">nquiry in accordance with r.16. </w:t>
      </w:r>
      <w:r>
        <w:rPr>
          <w:color w:val="auto"/>
        </w:rPr>
        <w:t xml:space="preserve"> </w:t>
      </w:r>
      <w:r w:rsidRPr="00042807">
        <w:rPr>
          <w:color w:val="auto"/>
        </w:rPr>
        <w:t xml:space="preserve">Given that failure, the Inspector was compelled to adjourn the </w:t>
      </w:r>
      <w:r>
        <w:rPr>
          <w:color w:val="auto"/>
        </w:rPr>
        <w:t>I</w:t>
      </w:r>
      <w:r w:rsidRPr="00042807">
        <w:rPr>
          <w:color w:val="auto"/>
        </w:rPr>
        <w:t xml:space="preserve">nquiry on 14 December 2020. </w:t>
      </w:r>
    </w:p>
    <w:p w14:paraId="54810D5A" w14:textId="77777777" w:rsidR="00233EBF" w:rsidRPr="00233EBF" w:rsidRDefault="00042807" w:rsidP="00F44304">
      <w:pPr>
        <w:pStyle w:val="Style1"/>
        <w:numPr>
          <w:ilvl w:val="0"/>
          <w:numId w:val="6"/>
        </w:numPr>
        <w:spacing w:before="140"/>
        <w:ind w:left="431" w:hanging="431"/>
        <w:rPr>
          <w:color w:val="auto"/>
        </w:rPr>
      </w:pPr>
      <w:r w:rsidRPr="00F44304">
        <w:t>This caused OR</w:t>
      </w:r>
      <w:r w:rsidR="00F44304">
        <w:t xml:space="preserve">L </w:t>
      </w:r>
      <w:r w:rsidRPr="00F44304">
        <w:t>to incur wasted cost, including (a) additional legal fees and (b) lost accommodation fees for counsel.</w:t>
      </w:r>
    </w:p>
    <w:p w14:paraId="5DF0137A" w14:textId="77777777" w:rsidR="008D32C9" w:rsidRPr="008D32C9" w:rsidRDefault="00233EBF" w:rsidP="00F44304">
      <w:pPr>
        <w:pStyle w:val="Style1"/>
        <w:numPr>
          <w:ilvl w:val="0"/>
          <w:numId w:val="6"/>
        </w:numPr>
        <w:spacing w:before="140"/>
        <w:ind w:left="431" w:hanging="431"/>
        <w:rPr>
          <w:color w:val="auto"/>
        </w:rPr>
      </w:pPr>
      <w:r>
        <w:t xml:space="preserve">The legal fees arise from attendance on the first day </w:t>
      </w:r>
      <w:r w:rsidR="005C3F57">
        <w:t>of the Inquiry</w:t>
      </w:r>
      <w:r w:rsidR="0034387C">
        <w:t>.  A</w:t>
      </w:r>
      <w:r w:rsidR="005C3F57">
        <w:t xml:space="preserve">t </w:t>
      </w:r>
      <w:r w:rsidR="0034387C">
        <w:t>t</w:t>
      </w:r>
      <w:r w:rsidR="005C3F57">
        <w:t>hi</w:t>
      </w:r>
      <w:r w:rsidR="0034387C">
        <w:t>s</w:t>
      </w:r>
      <w:r w:rsidR="005C3F57">
        <w:t xml:space="preserve"> time accommodation was booked for Counsel and clients to be together</w:t>
      </w:r>
      <w:r w:rsidR="0034387C">
        <w:t xml:space="preserve"> during the course of the Inquiry and this was not refundable.</w:t>
      </w:r>
    </w:p>
    <w:p w14:paraId="0E716C9A" w14:textId="76B005A6" w:rsidR="00042807" w:rsidRPr="00F44304" w:rsidRDefault="0006470B" w:rsidP="00F44304">
      <w:pPr>
        <w:pStyle w:val="Style1"/>
        <w:numPr>
          <w:ilvl w:val="0"/>
          <w:numId w:val="6"/>
        </w:numPr>
        <w:spacing w:before="140"/>
        <w:ind w:left="431" w:hanging="431"/>
        <w:rPr>
          <w:color w:val="auto"/>
        </w:rPr>
      </w:pPr>
      <w:r>
        <w:t>T</w:t>
      </w:r>
      <w:r w:rsidR="008D32C9">
        <w:t xml:space="preserve">he Government has amended certain </w:t>
      </w:r>
      <w:r w:rsidR="00FF2656">
        <w:t>matters in response to the</w:t>
      </w:r>
      <w:r w:rsidR="001561AE">
        <w:t xml:space="preserve"> continuation of events under the</w:t>
      </w:r>
      <w:r w:rsidR="00FF2656">
        <w:t xml:space="preserve"> Covid-19</w:t>
      </w:r>
      <w:r w:rsidR="005C0376">
        <w:t xml:space="preserve"> restrictions.</w:t>
      </w:r>
      <w:r w:rsidR="00FF2656">
        <w:t xml:space="preserve"> </w:t>
      </w:r>
      <w:r w:rsidR="005C0376">
        <w:t xml:space="preserve"> </w:t>
      </w:r>
      <w:r>
        <w:t>However, t</w:t>
      </w:r>
      <w:r w:rsidR="008D32C9">
        <w:t>he</w:t>
      </w:r>
      <w:r w:rsidR="00114239">
        <w:t xml:space="preserve"> 2007 R</w:t>
      </w:r>
      <w:r w:rsidR="008D32C9">
        <w:t>egulations</w:t>
      </w:r>
      <w:r>
        <w:t xml:space="preserve"> were</w:t>
      </w:r>
      <w:r w:rsidR="00114239">
        <w:t xml:space="preserve"> </w:t>
      </w:r>
      <w:r w:rsidR="00F25494">
        <w:t>not amended and, therefore, needed to be followed.</w:t>
      </w:r>
      <w:r w:rsidR="005C3F57">
        <w:t xml:space="preserve"> </w:t>
      </w:r>
      <w:r w:rsidR="00042807" w:rsidRPr="00F44304">
        <w:t xml:space="preserve"> </w:t>
      </w:r>
    </w:p>
    <w:p w14:paraId="1F7D856A" w14:textId="771389AF" w:rsidR="00653491" w:rsidRPr="007867EC" w:rsidRDefault="00653491" w:rsidP="00653491">
      <w:pPr>
        <w:pStyle w:val="Heading6blackfont"/>
        <w:spacing w:before="120"/>
        <w:rPr>
          <w:color w:val="auto"/>
        </w:rPr>
      </w:pPr>
      <w:r w:rsidRPr="007867EC">
        <w:rPr>
          <w:color w:val="auto"/>
        </w:rPr>
        <w:t>The submissions by Mr W</w:t>
      </w:r>
      <w:r w:rsidR="007867EC">
        <w:rPr>
          <w:color w:val="auto"/>
        </w:rPr>
        <w:t xml:space="preserve">ard </w:t>
      </w:r>
      <w:r w:rsidR="008C1237" w:rsidRPr="007867EC">
        <w:rPr>
          <w:color w:val="auto"/>
        </w:rPr>
        <w:t>for Su</w:t>
      </w:r>
      <w:r w:rsidR="007867EC">
        <w:rPr>
          <w:color w:val="auto"/>
        </w:rPr>
        <w:t>rrey C</w:t>
      </w:r>
      <w:r w:rsidR="008C1237" w:rsidRPr="007867EC">
        <w:rPr>
          <w:color w:val="auto"/>
        </w:rPr>
        <w:t>o</w:t>
      </w:r>
      <w:r w:rsidR="007867EC">
        <w:rPr>
          <w:color w:val="auto"/>
        </w:rPr>
        <w:t>u</w:t>
      </w:r>
      <w:r w:rsidR="008C1237" w:rsidRPr="007867EC">
        <w:rPr>
          <w:color w:val="auto"/>
        </w:rPr>
        <w:t>n</w:t>
      </w:r>
      <w:r w:rsidR="007867EC">
        <w:rPr>
          <w:color w:val="auto"/>
        </w:rPr>
        <w:t>ty C</w:t>
      </w:r>
      <w:r w:rsidR="008C1237" w:rsidRPr="007867EC">
        <w:rPr>
          <w:color w:val="auto"/>
        </w:rPr>
        <w:t>o</w:t>
      </w:r>
      <w:r w:rsidR="007867EC">
        <w:rPr>
          <w:color w:val="auto"/>
        </w:rPr>
        <w:t>u</w:t>
      </w:r>
      <w:r w:rsidR="008C1237" w:rsidRPr="007867EC">
        <w:rPr>
          <w:color w:val="auto"/>
        </w:rPr>
        <w:t>n</w:t>
      </w:r>
      <w:r w:rsidR="007867EC">
        <w:rPr>
          <w:color w:val="auto"/>
        </w:rPr>
        <w:t>ci</w:t>
      </w:r>
      <w:r w:rsidR="008C1237" w:rsidRPr="007867EC">
        <w:rPr>
          <w:color w:val="auto"/>
        </w:rPr>
        <w:t>l</w:t>
      </w:r>
    </w:p>
    <w:p w14:paraId="636F05F2" w14:textId="77777777" w:rsidR="005F05D0" w:rsidRPr="005F05D0" w:rsidRDefault="005F05D0" w:rsidP="005F05D0">
      <w:pPr>
        <w:pStyle w:val="Heading6blackfont"/>
        <w:spacing w:before="120"/>
        <w:rPr>
          <w:i/>
          <w:iCs/>
          <w:color w:val="auto"/>
        </w:rPr>
      </w:pPr>
      <w:r w:rsidRPr="005F05D0">
        <w:rPr>
          <w:i/>
          <w:iCs/>
          <w:color w:val="auto"/>
        </w:rPr>
        <w:t xml:space="preserve">Full Award </w:t>
      </w:r>
    </w:p>
    <w:p w14:paraId="43062E2F" w14:textId="5F40096E" w:rsidR="00DE7CF6" w:rsidRDefault="000A6EFC" w:rsidP="0099712C">
      <w:pPr>
        <w:pStyle w:val="Style1"/>
        <w:numPr>
          <w:ilvl w:val="0"/>
          <w:numId w:val="6"/>
        </w:numPr>
        <w:spacing w:before="140"/>
        <w:ind w:left="431" w:hanging="431"/>
        <w:rPr>
          <w:color w:val="auto"/>
        </w:rPr>
      </w:pPr>
      <w:r>
        <w:rPr>
          <w:color w:val="auto"/>
        </w:rPr>
        <w:t xml:space="preserve">The </w:t>
      </w:r>
      <w:r w:rsidR="0005182D" w:rsidRPr="000A6EFC">
        <w:rPr>
          <w:color w:val="auto"/>
        </w:rPr>
        <w:t>a</w:t>
      </w:r>
      <w:r>
        <w:rPr>
          <w:color w:val="auto"/>
        </w:rPr>
        <w:t>pplican</w:t>
      </w:r>
      <w:r w:rsidR="0005182D" w:rsidRPr="000A6EFC">
        <w:rPr>
          <w:color w:val="auto"/>
        </w:rPr>
        <w:t>t</w:t>
      </w:r>
      <w:r>
        <w:rPr>
          <w:color w:val="auto"/>
        </w:rPr>
        <w:t>s are suggest</w:t>
      </w:r>
      <w:r w:rsidR="0005182D" w:rsidRPr="000A6EFC">
        <w:rPr>
          <w:color w:val="auto"/>
        </w:rPr>
        <w:t>in</w:t>
      </w:r>
      <w:r>
        <w:rPr>
          <w:color w:val="auto"/>
        </w:rPr>
        <w:t>g</w:t>
      </w:r>
      <w:r w:rsidR="0005182D" w:rsidRPr="000A6EFC">
        <w:rPr>
          <w:color w:val="auto"/>
        </w:rPr>
        <w:t xml:space="preserve"> t</w:t>
      </w:r>
      <w:r>
        <w:rPr>
          <w:color w:val="auto"/>
        </w:rPr>
        <w:t>hat none of th</w:t>
      </w:r>
      <w:r w:rsidR="0099712C" w:rsidRPr="000A6EFC">
        <w:rPr>
          <w:color w:val="auto"/>
        </w:rPr>
        <w:t>e</w:t>
      </w:r>
      <w:r>
        <w:rPr>
          <w:color w:val="auto"/>
        </w:rPr>
        <w:t xml:space="preserve"> </w:t>
      </w:r>
      <w:r w:rsidR="00EB0F9E">
        <w:rPr>
          <w:color w:val="auto"/>
        </w:rPr>
        <w:t>routes s</w:t>
      </w:r>
      <w:r w:rsidR="0099712C" w:rsidRPr="000A6EFC">
        <w:rPr>
          <w:color w:val="auto"/>
        </w:rPr>
        <w:t>h</w:t>
      </w:r>
      <w:r w:rsidR="00EB0F9E">
        <w:rPr>
          <w:color w:val="auto"/>
        </w:rPr>
        <w:t>o</w:t>
      </w:r>
      <w:r w:rsidR="0099712C" w:rsidRPr="000A6EFC">
        <w:rPr>
          <w:color w:val="auto"/>
        </w:rPr>
        <w:t>ul</w:t>
      </w:r>
      <w:r w:rsidR="00EB0F9E">
        <w:rPr>
          <w:color w:val="auto"/>
        </w:rPr>
        <w:t>d b</w:t>
      </w:r>
      <w:r w:rsidR="0099712C" w:rsidRPr="000A6EFC">
        <w:rPr>
          <w:color w:val="auto"/>
        </w:rPr>
        <w:t>e</w:t>
      </w:r>
      <w:r w:rsidR="00EB0F9E">
        <w:rPr>
          <w:color w:val="auto"/>
        </w:rPr>
        <w:t xml:space="preserve"> claimed and</w:t>
      </w:r>
      <w:r w:rsidR="0099712C" w:rsidRPr="000A6EFC">
        <w:rPr>
          <w:color w:val="auto"/>
        </w:rPr>
        <w:t xml:space="preserve"> </w:t>
      </w:r>
      <w:r w:rsidR="0005182D" w:rsidRPr="000A6EFC">
        <w:rPr>
          <w:color w:val="auto"/>
        </w:rPr>
        <w:t>the</w:t>
      </w:r>
      <w:r w:rsidR="0099712C" w:rsidRPr="000A6EFC">
        <w:rPr>
          <w:color w:val="auto"/>
        </w:rPr>
        <w:t xml:space="preserve"> </w:t>
      </w:r>
      <w:r w:rsidR="00EB0F9E">
        <w:rPr>
          <w:color w:val="auto"/>
        </w:rPr>
        <w:t>O</w:t>
      </w:r>
      <w:r w:rsidR="0099712C" w:rsidRPr="000A6EFC">
        <w:rPr>
          <w:color w:val="auto"/>
        </w:rPr>
        <w:t>r</w:t>
      </w:r>
      <w:r w:rsidR="00EB0F9E">
        <w:rPr>
          <w:color w:val="auto"/>
        </w:rPr>
        <w:t>d</w:t>
      </w:r>
      <w:r w:rsidR="0099712C" w:rsidRPr="000A6EFC">
        <w:rPr>
          <w:color w:val="auto"/>
        </w:rPr>
        <w:t>e</w:t>
      </w:r>
      <w:r w:rsidR="00EB0F9E">
        <w:rPr>
          <w:color w:val="auto"/>
        </w:rPr>
        <w:t>r should no</w:t>
      </w:r>
      <w:r w:rsidR="0099712C" w:rsidRPr="000A6EFC">
        <w:rPr>
          <w:color w:val="auto"/>
        </w:rPr>
        <w:t>t</w:t>
      </w:r>
      <w:r w:rsidR="00EB0F9E">
        <w:rPr>
          <w:color w:val="auto"/>
        </w:rPr>
        <w:t xml:space="preserve"> hav</w:t>
      </w:r>
      <w:r w:rsidR="0099712C" w:rsidRPr="000A6EFC">
        <w:rPr>
          <w:color w:val="auto"/>
        </w:rPr>
        <w:t>e</w:t>
      </w:r>
      <w:r w:rsidR="00EB0F9E">
        <w:rPr>
          <w:color w:val="auto"/>
        </w:rPr>
        <w:t xml:space="preserve"> bee</w:t>
      </w:r>
      <w:r w:rsidR="0099712C" w:rsidRPr="000A6EFC">
        <w:rPr>
          <w:color w:val="auto"/>
        </w:rPr>
        <w:t>n</w:t>
      </w:r>
      <w:r w:rsidR="00EB0F9E">
        <w:rPr>
          <w:color w:val="auto"/>
        </w:rPr>
        <w:t xml:space="preserve"> made.  </w:t>
      </w:r>
      <w:r w:rsidR="00470822">
        <w:rPr>
          <w:color w:val="auto"/>
        </w:rPr>
        <w:t xml:space="preserve">At </w:t>
      </w:r>
      <w:r w:rsidR="0099712C" w:rsidRPr="000A6EFC">
        <w:rPr>
          <w:color w:val="auto"/>
        </w:rPr>
        <w:t>t</w:t>
      </w:r>
      <w:r w:rsidR="00470822">
        <w:rPr>
          <w:color w:val="auto"/>
        </w:rPr>
        <w:t>he t</w:t>
      </w:r>
      <w:r w:rsidR="0099712C" w:rsidRPr="000A6EFC">
        <w:rPr>
          <w:color w:val="auto"/>
        </w:rPr>
        <w:t>i</w:t>
      </w:r>
      <w:r w:rsidR="00470822">
        <w:rPr>
          <w:color w:val="auto"/>
        </w:rPr>
        <w:t xml:space="preserve">me </w:t>
      </w:r>
      <w:r w:rsidR="0099712C" w:rsidRPr="000A6EFC">
        <w:rPr>
          <w:color w:val="auto"/>
        </w:rPr>
        <w:t>o</w:t>
      </w:r>
      <w:r w:rsidR="0005182D" w:rsidRPr="000A6EFC">
        <w:rPr>
          <w:color w:val="auto"/>
        </w:rPr>
        <w:t>f</w:t>
      </w:r>
      <w:r w:rsidR="0099712C" w:rsidRPr="000A6EFC">
        <w:rPr>
          <w:color w:val="auto"/>
        </w:rPr>
        <w:t xml:space="preserve"> </w:t>
      </w:r>
      <w:r w:rsidR="00470822">
        <w:rPr>
          <w:color w:val="auto"/>
        </w:rPr>
        <w:t>th</w:t>
      </w:r>
      <w:r w:rsidR="0099712C" w:rsidRPr="000A6EFC">
        <w:rPr>
          <w:color w:val="auto"/>
        </w:rPr>
        <w:t>e</w:t>
      </w:r>
      <w:r w:rsidR="00470822">
        <w:rPr>
          <w:color w:val="auto"/>
        </w:rPr>
        <w:t xml:space="preserve"> making of the O</w:t>
      </w:r>
      <w:r w:rsidR="0099712C" w:rsidRPr="000A6EFC">
        <w:rPr>
          <w:color w:val="auto"/>
        </w:rPr>
        <w:t>rd</w:t>
      </w:r>
      <w:r w:rsidR="00470822">
        <w:rPr>
          <w:color w:val="auto"/>
        </w:rPr>
        <w:t>er the te</w:t>
      </w:r>
      <w:r w:rsidR="0099712C" w:rsidRPr="000A6EFC">
        <w:rPr>
          <w:color w:val="auto"/>
        </w:rPr>
        <w:t>s</w:t>
      </w:r>
      <w:r w:rsidR="00470822">
        <w:rPr>
          <w:color w:val="auto"/>
        </w:rPr>
        <w:t>t to be applied w</w:t>
      </w:r>
      <w:r w:rsidR="0099712C" w:rsidRPr="000A6EFC">
        <w:rPr>
          <w:color w:val="auto"/>
        </w:rPr>
        <w:t xml:space="preserve">as </w:t>
      </w:r>
      <w:r w:rsidR="00414C6F">
        <w:rPr>
          <w:color w:val="auto"/>
        </w:rPr>
        <w:t>that of whether the r</w:t>
      </w:r>
      <w:r w:rsidR="0099712C" w:rsidRPr="000A6EFC">
        <w:rPr>
          <w:color w:val="auto"/>
        </w:rPr>
        <w:t>o</w:t>
      </w:r>
      <w:r w:rsidR="00414C6F">
        <w:rPr>
          <w:color w:val="auto"/>
        </w:rPr>
        <w:t>u</w:t>
      </w:r>
      <w:r w:rsidR="0099712C" w:rsidRPr="000A6EFC">
        <w:rPr>
          <w:color w:val="auto"/>
        </w:rPr>
        <w:t>t</w:t>
      </w:r>
      <w:r w:rsidR="00414C6F">
        <w:rPr>
          <w:color w:val="auto"/>
        </w:rPr>
        <w:t xml:space="preserve">es </w:t>
      </w:r>
      <w:r w:rsidR="0099712C" w:rsidRPr="000A6EFC">
        <w:rPr>
          <w:color w:val="auto"/>
        </w:rPr>
        <w:t>c</w:t>
      </w:r>
      <w:r w:rsidR="00414C6F">
        <w:rPr>
          <w:color w:val="auto"/>
        </w:rPr>
        <w:t>o</w:t>
      </w:r>
      <w:r w:rsidR="0099712C" w:rsidRPr="000A6EFC">
        <w:rPr>
          <w:color w:val="auto"/>
        </w:rPr>
        <w:t>u</w:t>
      </w:r>
      <w:r w:rsidR="00414C6F">
        <w:rPr>
          <w:color w:val="auto"/>
        </w:rPr>
        <w:t>l</w:t>
      </w:r>
      <w:r w:rsidR="0099712C" w:rsidRPr="000A6EFC">
        <w:rPr>
          <w:color w:val="auto"/>
        </w:rPr>
        <w:t xml:space="preserve">d </w:t>
      </w:r>
      <w:r w:rsidR="00414C6F">
        <w:rPr>
          <w:color w:val="auto"/>
        </w:rPr>
        <w:t>be re</w:t>
      </w:r>
      <w:r w:rsidR="0099712C" w:rsidRPr="000A6EFC">
        <w:rPr>
          <w:color w:val="auto"/>
        </w:rPr>
        <w:t>a</w:t>
      </w:r>
      <w:r w:rsidR="00414C6F">
        <w:rPr>
          <w:color w:val="auto"/>
        </w:rPr>
        <w:t>sonably allege</w:t>
      </w:r>
      <w:r w:rsidR="0099712C" w:rsidRPr="000A6EFC">
        <w:rPr>
          <w:color w:val="auto"/>
        </w:rPr>
        <w:t>d</w:t>
      </w:r>
      <w:r w:rsidR="00414C6F">
        <w:rPr>
          <w:color w:val="auto"/>
        </w:rPr>
        <w:t xml:space="preserve"> </w:t>
      </w:r>
      <w:r w:rsidR="0099712C" w:rsidRPr="000A6EFC">
        <w:rPr>
          <w:color w:val="auto"/>
        </w:rPr>
        <w:t>to</w:t>
      </w:r>
      <w:r w:rsidR="00414C6F">
        <w:rPr>
          <w:color w:val="auto"/>
        </w:rPr>
        <w:t xml:space="preserve"> subsist, </w:t>
      </w:r>
      <w:r w:rsidR="0099712C" w:rsidRPr="000A6EFC">
        <w:rPr>
          <w:color w:val="auto"/>
        </w:rPr>
        <w:t>a</w:t>
      </w:r>
      <w:r w:rsidR="00414C6F">
        <w:rPr>
          <w:color w:val="auto"/>
        </w:rPr>
        <w:t xml:space="preserve"> much lower sta</w:t>
      </w:r>
      <w:r w:rsidR="0099712C" w:rsidRPr="000A6EFC">
        <w:rPr>
          <w:color w:val="auto"/>
        </w:rPr>
        <w:t>n</w:t>
      </w:r>
      <w:r w:rsidR="00414C6F">
        <w:rPr>
          <w:color w:val="auto"/>
        </w:rPr>
        <w:t>da</w:t>
      </w:r>
      <w:r w:rsidR="0099712C" w:rsidRPr="000A6EFC">
        <w:rPr>
          <w:color w:val="auto"/>
        </w:rPr>
        <w:t>r</w:t>
      </w:r>
      <w:r w:rsidR="00414C6F">
        <w:rPr>
          <w:color w:val="auto"/>
        </w:rPr>
        <w:t>d</w:t>
      </w:r>
      <w:r w:rsidR="0099712C" w:rsidRPr="000A6EFC">
        <w:rPr>
          <w:color w:val="auto"/>
        </w:rPr>
        <w:t xml:space="preserve">.  </w:t>
      </w:r>
      <w:r w:rsidR="0080131E">
        <w:rPr>
          <w:color w:val="auto"/>
        </w:rPr>
        <w:t>If t</w:t>
      </w:r>
      <w:r w:rsidR="0099712C" w:rsidRPr="000A6EFC">
        <w:rPr>
          <w:color w:val="auto"/>
        </w:rPr>
        <w:t>he</w:t>
      </w:r>
      <w:r w:rsidR="0080131E">
        <w:rPr>
          <w:color w:val="auto"/>
        </w:rPr>
        <w:t xml:space="preserve"> Inspector is min</w:t>
      </w:r>
      <w:r w:rsidR="0099712C" w:rsidRPr="000A6EFC">
        <w:rPr>
          <w:color w:val="auto"/>
        </w:rPr>
        <w:t>d</w:t>
      </w:r>
      <w:r w:rsidR="0080131E">
        <w:rPr>
          <w:color w:val="auto"/>
        </w:rPr>
        <w:t xml:space="preserve">ed </w:t>
      </w:r>
      <w:proofErr w:type="gramStart"/>
      <w:r w:rsidR="0099712C" w:rsidRPr="000A6EFC">
        <w:rPr>
          <w:color w:val="auto"/>
        </w:rPr>
        <w:t>to</w:t>
      </w:r>
      <w:r w:rsidR="00F55EF4">
        <w:rPr>
          <w:color w:val="auto"/>
        </w:rPr>
        <w:t xml:space="preserve"> </w:t>
      </w:r>
      <w:r w:rsidR="0080131E">
        <w:rPr>
          <w:color w:val="auto"/>
        </w:rPr>
        <w:t>co</w:t>
      </w:r>
      <w:r w:rsidR="0099712C" w:rsidRPr="000A6EFC">
        <w:rPr>
          <w:color w:val="auto"/>
        </w:rPr>
        <w:t>nfir</w:t>
      </w:r>
      <w:r w:rsidR="0080131E">
        <w:rPr>
          <w:color w:val="auto"/>
        </w:rPr>
        <w:t>m</w:t>
      </w:r>
      <w:proofErr w:type="gramEnd"/>
      <w:r w:rsidR="0080131E">
        <w:rPr>
          <w:color w:val="auto"/>
        </w:rPr>
        <w:t xml:space="preserve"> </w:t>
      </w:r>
      <w:r w:rsidR="0099712C" w:rsidRPr="000A6EFC">
        <w:rPr>
          <w:color w:val="auto"/>
        </w:rPr>
        <w:t>t</w:t>
      </w:r>
      <w:r w:rsidR="0080131E">
        <w:rPr>
          <w:color w:val="auto"/>
        </w:rPr>
        <w:t>he Or</w:t>
      </w:r>
      <w:r w:rsidR="0099712C" w:rsidRPr="000A6EFC">
        <w:rPr>
          <w:color w:val="auto"/>
        </w:rPr>
        <w:t>d</w:t>
      </w:r>
      <w:r w:rsidR="0080131E">
        <w:rPr>
          <w:color w:val="auto"/>
        </w:rPr>
        <w:t xml:space="preserve">er, even with modifications, </w:t>
      </w:r>
      <w:r w:rsidR="0099712C" w:rsidRPr="000A6EFC">
        <w:rPr>
          <w:color w:val="auto"/>
        </w:rPr>
        <w:t>it was n</w:t>
      </w:r>
      <w:r w:rsidR="002559BF">
        <w:rPr>
          <w:color w:val="auto"/>
        </w:rPr>
        <w:t>o</w:t>
      </w:r>
      <w:r w:rsidR="0099712C" w:rsidRPr="000A6EFC">
        <w:rPr>
          <w:color w:val="auto"/>
        </w:rPr>
        <w:t>t</w:t>
      </w:r>
      <w:r w:rsidR="002559BF">
        <w:rPr>
          <w:color w:val="auto"/>
        </w:rPr>
        <w:t xml:space="preserve"> unr</w:t>
      </w:r>
      <w:r w:rsidR="0099712C" w:rsidRPr="000A6EFC">
        <w:rPr>
          <w:color w:val="auto"/>
        </w:rPr>
        <w:t>eas</w:t>
      </w:r>
      <w:r w:rsidR="002559BF">
        <w:rPr>
          <w:color w:val="auto"/>
        </w:rPr>
        <w:t>onabl</w:t>
      </w:r>
      <w:r w:rsidR="0099712C" w:rsidRPr="000A6EFC">
        <w:rPr>
          <w:color w:val="auto"/>
        </w:rPr>
        <w:t>e</w:t>
      </w:r>
      <w:r w:rsidR="002559BF">
        <w:rPr>
          <w:color w:val="auto"/>
        </w:rPr>
        <w:t xml:space="preserve"> for SCC to have ma</w:t>
      </w:r>
      <w:r w:rsidR="0099712C" w:rsidRPr="000A6EFC">
        <w:rPr>
          <w:color w:val="auto"/>
        </w:rPr>
        <w:t>d</w:t>
      </w:r>
      <w:r w:rsidR="002559BF">
        <w:rPr>
          <w:color w:val="auto"/>
        </w:rPr>
        <w:t xml:space="preserve">e </w:t>
      </w:r>
      <w:r w:rsidR="009046B2">
        <w:rPr>
          <w:color w:val="auto"/>
        </w:rPr>
        <w:t>i</w:t>
      </w:r>
      <w:r w:rsidR="002559BF">
        <w:rPr>
          <w:color w:val="auto"/>
        </w:rPr>
        <w:t>t</w:t>
      </w:r>
      <w:r w:rsidR="009046B2">
        <w:rPr>
          <w:color w:val="auto"/>
        </w:rPr>
        <w:t>; i</w:t>
      </w:r>
      <w:r w:rsidR="00525074">
        <w:rPr>
          <w:color w:val="auto"/>
        </w:rPr>
        <w:t>f confirmed at all t</w:t>
      </w:r>
      <w:r w:rsidR="0005182D" w:rsidRPr="000A6EFC">
        <w:rPr>
          <w:color w:val="auto"/>
        </w:rPr>
        <w:t>h</w:t>
      </w:r>
      <w:r w:rsidR="00525074">
        <w:rPr>
          <w:color w:val="auto"/>
        </w:rPr>
        <w:t xml:space="preserve">e claim for a full </w:t>
      </w:r>
      <w:r w:rsidR="0005182D" w:rsidRPr="000A6EFC">
        <w:rPr>
          <w:color w:val="auto"/>
        </w:rPr>
        <w:t>a</w:t>
      </w:r>
      <w:r w:rsidR="00525074">
        <w:rPr>
          <w:color w:val="auto"/>
        </w:rPr>
        <w:t>war</w:t>
      </w:r>
      <w:r w:rsidR="0005182D" w:rsidRPr="000A6EFC">
        <w:rPr>
          <w:color w:val="auto"/>
        </w:rPr>
        <w:t>d</w:t>
      </w:r>
      <w:r w:rsidR="0099712C" w:rsidRPr="000A6EFC">
        <w:rPr>
          <w:color w:val="auto"/>
        </w:rPr>
        <w:t xml:space="preserve"> o</w:t>
      </w:r>
      <w:r w:rsidR="00525074">
        <w:rPr>
          <w:color w:val="auto"/>
        </w:rPr>
        <w:t>f cos</w:t>
      </w:r>
      <w:r w:rsidR="0099712C" w:rsidRPr="000A6EFC">
        <w:rPr>
          <w:color w:val="auto"/>
        </w:rPr>
        <w:t>t</w:t>
      </w:r>
      <w:r w:rsidR="00525074">
        <w:rPr>
          <w:color w:val="auto"/>
        </w:rPr>
        <w:t>s must fail.</w:t>
      </w:r>
    </w:p>
    <w:p w14:paraId="0D7F4A99" w14:textId="5BEF6F48" w:rsidR="00286FE2" w:rsidRDefault="00DE7CF6" w:rsidP="0099712C">
      <w:pPr>
        <w:pStyle w:val="Style1"/>
        <w:numPr>
          <w:ilvl w:val="0"/>
          <w:numId w:val="6"/>
        </w:numPr>
        <w:spacing w:before="140"/>
        <w:ind w:left="431" w:hanging="431"/>
        <w:rPr>
          <w:color w:val="auto"/>
        </w:rPr>
      </w:pPr>
      <w:r>
        <w:rPr>
          <w:color w:val="auto"/>
        </w:rPr>
        <w:t>I</w:t>
      </w:r>
      <w:r w:rsidR="0005182D" w:rsidRPr="000A6EFC">
        <w:rPr>
          <w:color w:val="auto"/>
        </w:rPr>
        <w:t>n</w:t>
      </w:r>
      <w:r w:rsidR="0099712C" w:rsidRPr="000A6EFC">
        <w:rPr>
          <w:color w:val="auto"/>
        </w:rPr>
        <w:t xml:space="preserve"> </w:t>
      </w:r>
      <w:r>
        <w:rPr>
          <w:color w:val="auto"/>
        </w:rPr>
        <w:t>r</w:t>
      </w:r>
      <w:r w:rsidR="0080131E">
        <w:rPr>
          <w:color w:val="auto"/>
        </w:rPr>
        <w:t>e</w:t>
      </w:r>
      <w:r>
        <w:rPr>
          <w:color w:val="auto"/>
        </w:rPr>
        <w:t>lation t</w:t>
      </w:r>
      <w:r w:rsidR="0099712C" w:rsidRPr="000A6EFC">
        <w:rPr>
          <w:color w:val="auto"/>
        </w:rPr>
        <w:t>o</w:t>
      </w:r>
      <w:r>
        <w:rPr>
          <w:color w:val="auto"/>
        </w:rPr>
        <w:t xml:space="preserve"> </w:t>
      </w:r>
      <w:r w:rsidR="0099712C" w:rsidRPr="000A6EFC">
        <w:rPr>
          <w:color w:val="auto"/>
        </w:rPr>
        <w:t>t</w:t>
      </w:r>
      <w:r>
        <w:rPr>
          <w:color w:val="auto"/>
        </w:rPr>
        <w:t>h</w:t>
      </w:r>
      <w:r w:rsidR="0099712C" w:rsidRPr="000A6EFC">
        <w:rPr>
          <w:color w:val="auto"/>
        </w:rPr>
        <w:t>e</w:t>
      </w:r>
      <w:r>
        <w:rPr>
          <w:color w:val="auto"/>
        </w:rPr>
        <w:t xml:space="preserve"> matter </w:t>
      </w:r>
      <w:r w:rsidR="0099712C" w:rsidRPr="000A6EFC">
        <w:rPr>
          <w:color w:val="auto"/>
        </w:rPr>
        <w:t>o</w:t>
      </w:r>
      <w:r>
        <w:rPr>
          <w:color w:val="auto"/>
        </w:rPr>
        <w:t xml:space="preserve">f bringing into question </w:t>
      </w:r>
      <w:r w:rsidR="007A7460">
        <w:rPr>
          <w:color w:val="auto"/>
        </w:rPr>
        <w:t>r</w:t>
      </w:r>
      <w:r w:rsidR="0099712C" w:rsidRPr="000A6EFC">
        <w:rPr>
          <w:color w:val="auto"/>
        </w:rPr>
        <w:t>e</w:t>
      </w:r>
      <w:r w:rsidR="007A7460">
        <w:rPr>
          <w:color w:val="auto"/>
        </w:rPr>
        <w:t xml:space="preserve">garding the school works </w:t>
      </w:r>
      <w:r w:rsidR="00B4581D">
        <w:rPr>
          <w:color w:val="auto"/>
        </w:rPr>
        <w:t>SCC</w:t>
      </w:r>
      <w:r w:rsidR="007A7460">
        <w:rPr>
          <w:color w:val="auto"/>
        </w:rPr>
        <w:t xml:space="preserve"> say that the </w:t>
      </w:r>
      <w:r w:rsidR="007A7460" w:rsidRPr="00F44460">
        <w:rPr>
          <w:color w:val="auto"/>
        </w:rPr>
        <w:t xml:space="preserve">question of interruption </w:t>
      </w:r>
      <w:r w:rsidR="00B328D7" w:rsidRPr="00F44460">
        <w:rPr>
          <w:color w:val="auto"/>
        </w:rPr>
        <w:t>and subjective intention i</w:t>
      </w:r>
      <w:r w:rsidR="0005182D" w:rsidRPr="00F44460">
        <w:rPr>
          <w:color w:val="auto"/>
        </w:rPr>
        <w:t xml:space="preserve">s </w:t>
      </w:r>
      <w:r w:rsidR="00B328D7" w:rsidRPr="00F44460">
        <w:rPr>
          <w:color w:val="auto"/>
        </w:rPr>
        <w:t>a liv</w:t>
      </w:r>
      <w:r w:rsidR="0099712C" w:rsidRPr="00F44460">
        <w:rPr>
          <w:color w:val="auto"/>
        </w:rPr>
        <w:t>e</w:t>
      </w:r>
      <w:r w:rsidR="00B328D7" w:rsidRPr="00F44460">
        <w:rPr>
          <w:color w:val="auto"/>
        </w:rPr>
        <w:t xml:space="preserve"> issu</w:t>
      </w:r>
      <w:r w:rsidR="0005182D" w:rsidRPr="00F44460">
        <w:rPr>
          <w:color w:val="auto"/>
        </w:rPr>
        <w:t>e</w:t>
      </w:r>
      <w:r w:rsidR="00B328D7" w:rsidRPr="00F44460">
        <w:rPr>
          <w:color w:val="auto"/>
        </w:rPr>
        <w:t xml:space="preserve"> with </w:t>
      </w:r>
      <w:r w:rsidR="00F44460" w:rsidRPr="00F44460">
        <w:rPr>
          <w:i/>
          <w:iCs/>
          <w:color w:val="auto"/>
          <w:szCs w:val="22"/>
        </w:rPr>
        <w:t>Lewis v Thomas (1950)</w:t>
      </w:r>
      <w:r w:rsidR="00F44460" w:rsidRPr="00F44460">
        <w:rPr>
          <w:rStyle w:val="FootnoteReference"/>
          <w:i/>
          <w:iCs/>
          <w:color w:val="auto"/>
          <w:szCs w:val="22"/>
        </w:rPr>
        <w:footnoteReference w:id="4"/>
      </w:r>
      <w:r w:rsidR="00F44460" w:rsidRPr="00F44460">
        <w:rPr>
          <w:i/>
          <w:iCs/>
          <w:color w:val="auto"/>
          <w:szCs w:val="22"/>
        </w:rPr>
        <w:t xml:space="preserve"> </w:t>
      </w:r>
      <w:r w:rsidR="00B328D7" w:rsidRPr="00F44460">
        <w:rPr>
          <w:color w:val="auto"/>
        </w:rPr>
        <w:t xml:space="preserve">and </w:t>
      </w:r>
      <w:proofErr w:type="spellStart"/>
      <w:r w:rsidR="001F3C30" w:rsidRPr="00551BFB">
        <w:rPr>
          <w:i/>
          <w:iCs/>
          <w:color w:val="auto"/>
          <w:szCs w:val="22"/>
        </w:rPr>
        <w:t>Fernlee</w:t>
      </w:r>
      <w:proofErr w:type="spellEnd"/>
      <w:r w:rsidR="001F3C30" w:rsidRPr="00551BFB">
        <w:rPr>
          <w:i/>
          <w:iCs/>
          <w:color w:val="auto"/>
          <w:szCs w:val="22"/>
        </w:rPr>
        <w:t xml:space="preserve"> Estates Ltd v City &amp; County of Swansea and the National Assembly for Wales (2001)</w:t>
      </w:r>
      <w:r w:rsidR="001F3C30">
        <w:rPr>
          <w:rStyle w:val="FootnoteReference"/>
          <w:i/>
          <w:iCs/>
          <w:color w:val="auto"/>
          <w:szCs w:val="22"/>
        </w:rPr>
        <w:footnoteReference w:id="5"/>
      </w:r>
      <w:r w:rsidR="001F3C30" w:rsidRPr="00551BFB">
        <w:rPr>
          <w:i/>
          <w:iCs/>
          <w:color w:val="auto"/>
          <w:szCs w:val="22"/>
        </w:rPr>
        <w:t xml:space="preserve"> </w:t>
      </w:r>
      <w:r w:rsidR="00B328D7" w:rsidRPr="00F44460">
        <w:rPr>
          <w:color w:val="auto"/>
        </w:rPr>
        <w:t>remaining</w:t>
      </w:r>
      <w:r w:rsidR="00B328D7">
        <w:rPr>
          <w:color w:val="auto"/>
        </w:rPr>
        <w:t xml:space="preserve"> good law.  </w:t>
      </w:r>
      <w:r w:rsidR="007750F0">
        <w:rPr>
          <w:color w:val="auto"/>
        </w:rPr>
        <w:t>In any eve</w:t>
      </w:r>
      <w:r w:rsidR="00A06E8A">
        <w:rPr>
          <w:color w:val="auto"/>
        </w:rPr>
        <w:t>n</w:t>
      </w:r>
      <w:r w:rsidR="007750F0">
        <w:rPr>
          <w:color w:val="auto"/>
        </w:rPr>
        <w:t>t there is a question of commo</w:t>
      </w:r>
      <w:r w:rsidR="0099712C" w:rsidRPr="000A6EFC">
        <w:rPr>
          <w:color w:val="auto"/>
        </w:rPr>
        <w:t>n</w:t>
      </w:r>
      <w:r w:rsidR="007750F0">
        <w:rPr>
          <w:color w:val="auto"/>
        </w:rPr>
        <w:t xml:space="preserve"> la</w:t>
      </w:r>
      <w:r w:rsidR="0099712C" w:rsidRPr="000A6EFC">
        <w:rPr>
          <w:color w:val="auto"/>
        </w:rPr>
        <w:t>w</w:t>
      </w:r>
      <w:r w:rsidR="007750F0">
        <w:rPr>
          <w:color w:val="auto"/>
        </w:rPr>
        <w:t xml:space="preserve"> dedic</w:t>
      </w:r>
      <w:r w:rsidR="0099712C" w:rsidRPr="000A6EFC">
        <w:rPr>
          <w:color w:val="auto"/>
        </w:rPr>
        <w:t>a</w:t>
      </w:r>
      <w:r w:rsidR="007750F0">
        <w:rPr>
          <w:color w:val="auto"/>
        </w:rPr>
        <w:t xml:space="preserve">tion on </w:t>
      </w:r>
      <w:r w:rsidR="00B650AF" w:rsidRPr="000A6EFC">
        <w:rPr>
          <w:color w:val="auto"/>
        </w:rPr>
        <w:t>e</w:t>
      </w:r>
      <w:r w:rsidR="007750F0">
        <w:rPr>
          <w:color w:val="auto"/>
        </w:rPr>
        <w:t>i</w:t>
      </w:r>
      <w:r w:rsidR="0099712C" w:rsidRPr="000A6EFC">
        <w:rPr>
          <w:color w:val="auto"/>
        </w:rPr>
        <w:t xml:space="preserve">ther </w:t>
      </w:r>
      <w:r w:rsidR="0005182D" w:rsidRPr="000A6EFC">
        <w:rPr>
          <w:color w:val="auto"/>
        </w:rPr>
        <w:t>s</w:t>
      </w:r>
      <w:r w:rsidR="007750F0">
        <w:rPr>
          <w:color w:val="auto"/>
        </w:rPr>
        <w:t>ide of the</w:t>
      </w:r>
      <w:r w:rsidR="005A4EF3">
        <w:rPr>
          <w:color w:val="auto"/>
        </w:rPr>
        <w:t xml:space="preserve"> </w:t>
      </w:r>
      <w:proofErr w:type="gramStart"/>
      <w:r w:rsidR="004C4E6C">
        <w:rPr>
          <w:color w:val="auto"/>
        </w:rPr>
        <w:lastRenderedPageBreak/>
        <w:t>interruption</w:t>
      </w:r>
      <w:r w:rsidR="0071717D">
        <w:rPr>
          <w:color w:val="auto"/>
        </w:rPr>
        <w:t>,</w:t>
      </w:r>
      <w:r w:rsidR="004C4E6C">
        <w:rPr>
          <w:color w:val="auto"/>
        </w:rPr>
        <w:t xml:space="preserve"> if</w:t>
      </w:r>
      <w:proofErr w:type="gramEnd"/>
      <w:r w:rsidR="005A4EF3">
        <w:rPr>
          <w:color w:val="auto"/>
        </w:rPr>
        <w:t xml:space="preserve"> it was effective.  </w:t>
      </w:r>
      <w:r w:rsidR="0099712C" w:rsidRPr="000A6EFC">
        <w:rPr>
          <w:color w:val="auto"/>
        </w:rPr>
        <w:t>A</w:t>
      </w:r>
      <w:r w:rsidR="00BD46E9">
        <w:rPr>
          <w:color w:val="auto"/>
        </w:rPr>
        <w:t>N</w:t>
      </w:r>
      <w:r w:rsidR="00145AFE">
        <w:rPr>
          <w:color w:val="auto"/>
        </w:rPr>
        <w:t>15</w:t>
      </w:r>
      <w:r w:rsidR="00BD46E9">
        <w:rPr>
          <w:color w:val="auto"/>
        </w:rPr>
        <w:t xml:space="preserve"> and </w:t>
      </w:r>
      <w:proofErr w:type="spellStart"/>
      <w:r w:rsidR="00F038F3" w:rsidRPr="00F038F3">
        <w:rPr>
          <w:i/>
          <w:szCs w:val="22"/>
        </w:rPr>
        <w:t>Roxlena</w:t>
      </w:r>
      <w:proofErr w:type="spellEnd"/>
      <w:r w:rsidR="00F038F3" w:rsidRPr="00F038F3">
        <w:rPr>
          <w:i/>
          <w:szCs w:val="22"/>
        </w:rPr>
        <w:t xml:space="preserve"> </w:t>
      </w:r>
      <w:r w:rsidR="00286FE2">
        <w:rPr>
          <w:color w:val="auto"/>
        </w:rPr>
        <w:t>illustrate ex</w:t>
      </w:r>
      <w:r w:rsidR="0005182D" w:rsidRPr="000A6EFC">
        <w:rPr>
          <w:color w:val="auto"/>
        </w:rPr>
        <w:t>a</w:t>
      </w:r>
      <w:r w:rsidR="00286FE2">
        <w:rPr>
          <w:color w:val="auto"/>
        </w:rPr>
        <w:t>mple</w:t>
      </w:r>
      <w:r w:rsidR="00525074">
        <w:rPr>
          <w:color w:val="auto"/>
        </w:rPr>
        <w:t>s</w:t>
      </w:r>
      <w:r w:rsidR="00286FE2">
        <w:rPr>
          <w:color w:val="auto"/>
        </w:rPr>
        <w:t xml:space="preserve"> where the fa</w:t>
      </w:r>
      <w:r w:rsidR="0099712C" w:rsidRPr="000A6EFC">
        <w:rPr>
          <w:color w:val="auto"/>
        </w:rPr>
        <w:t>c</w:t>
      </w:r>
      <w:r w:rsidR="00286FE2">
        <w:rPr>
          <w:color w:val="auto"/>
        </w:rPr>
        <w:t xml:space="preserve">ts </w:t>
      </w:r>
      <w:r w:rsidR="0005182D" w:rsidRPr="000A6EFC">
        <w:rPr>
          <w:color w:val="auto"/>
        </w:rPr>
        <w:t xml:space="preserve">of </w:t>
      </w:r>
      <w:r w:rsidR="00286FE2">
        <w:rPr>
          <w:color w:val="auto"/>
        </w:rPr>
        <w:t>in</w:t>
      </w:r>
      <w:r w:rsidR="0005182D" w:rsidRPr="000A6EFC">
        <w:rPr>
          <w:color w:val="auto"/>
        </w:rPr>
        <w:t>te</w:t>
      </w:r>
      <w:r w:rsidR="0099712C" w:rsidRPr="000A6EFC">
        <w:rPr>
          <w:color w:val="auto"/>
        </w:rPr>
        <w:t>r</w:t>
      </w:r>
      <w:r w:rsidR="00286FE2">
        <w:rPr>
          <w:color w:val="auto"/>
        </w:rPr>
        <w:t>rup</w:t>
      </w:r>
      <w:r w:rsidR="0099712C" w:rsidRPr="000A6EFC">
        <w:rPr>
          <w:color w:val="auto"/>
        </w:rPr>
        <w:t>t</w:t>
      </w:r>
      <w:r w:rsidR="00286FE2">
        <w:rPr>
          <w:color w:val="auto"/>
        </w:rPr>
        <w:t>i</w:t>
      </w:r>
      <w:r w:rsidR="0099712C" w:rsidRPr="000A6EFC">
        <w:rPr>
          <w:color w:val="auto"/>
        </w:rPr>
        <w:t>on</w:t>
      </w:r>
      <w:r w:rsidR="00286FE2">
        <w:rPr>
          <w:color w:val="auto"/>
        </w:rPr>
        <w:t xml:space="preserve"> </w:t>
      </w:r>
      <w:r w:rsidR="0099712C" w:rsidRPr="000A6EFC">
        <w:rPr>
          <w:color w:val="auto"/>
        </w:rPr>
        <w:t>m</w:t>
      </w:r>
      <w:r w:rsidR="00286FE2">
        <w:rPr>
          <w:color w:val="auto"/>
        </w:rPr>
        <w:t>ay b</w:t>
      </w:r>
      <w:r w:rsidR="0099712C" w:rsidRPr="000A6EFC">
        <w:rPr>
          <w:color w:val="auto"/>
        </w:rPr>
        <w:t>e</w:t>
      </w:r>
      <w:r w:rsidR="00286FE2">
        <w:rPr>
          <w:color w:val="auto"/>
        </w:rPr>
        <w:t xml:space="preserve"> </w:t>
      </w:r>
      <w:r w:rsidR="0005182D" w:rsidRPr="000A6EFC">
        <w:rPr>
          <w:color w:val="auto"/>
        </w:rPr>
        <w:t>re</w:t>
      </w:r>
      <w:r w:rsidR="00286FE2">
        <w:rPr>
          <w:color w:val="auto"/>
        </w:rPr>
        <w:t>lev</w:t>
      </w:r>
      <w:r w:rsidR="0005182D" w:rsidRPr="000A6EFC">
        <w:rPr>
          <w:color w:val="auto"/>
        </w:rPr>
        <w:t>ant</w:t>
      </w:r>
      <w:r w:rsidR="00286FE2">
        <w:rPr>
          <w:color w:val="auto"/>
        </w:rPr>
        <w:t>.</w:t>
      </w:r>
    </w:p>
    <w:p w14:paraId="75A12CF0" w14:textId="1879F021" w:rsidR="00C548EE" w:rsidRDefault="00FD5E7A" w:rsidP="0099712C">
      <w:pPr>
        <w:pStyle w:val="Style1"/>
        <w:numPr>
          <w:ilvl w:val="0"/>
          <w:numId w:val="6"/>
        </w:numPr>
        <w:spacing w:before="140"/>
        <w:ind w:left="431" w:hanging="431"/>
        <w:rPr>
          <w:color w:val="auto"/>
        </w:rPr>
      </w:pPr>
      <w:r>
        <w:rPr>
          <w:color w:val="auto"/>
        </w:rPr>
        <w:t xml:space="preserve">With regard to </w:t>
      </w:r>
      <w:r w:rsidR="005379A1" w:rsidRPr="00E56EF9">
        <w:rPr>
          <w:i/>
          <w:szCs w:val="22"/>
        </w:rPr>
        <w:t>Blake</w:t>
      </w:r>
      <w:r w:rsidR="00A25EE8">
        <w:rPr>
          <w:i/>
          <w:szCs w:val="22"/>
        </w:rPr>
        <w:t>,</w:t>
      </w:r>
      <w:r>
        <w:rPr>
          <w:color w:val="auto"/>
        </w:rPr>
        <w:t xml:space="preserve"> </w:t>
      </w:r>
      <w:r w:rsidR="00271E89">
        <w:rPr>
          <w:color w:val="auto"/>
        </w:rPr>
        <w:t>SCC</w:t>
      </w:r>
      <w:r w:rsidR="0099712C" w:rsidRPr="000A6EFC">
        <w:rPr>
          <w:color w:val="auto"/>
        </w:rPr>
        <w:t xml:space="preserve"> have </w:t>
      </w:r>
      <w:r>
        <w:rPr>
          <w:color w:val="auto"/>
        </w:rPr>
        <w:t>made s</w:t>
      </w:r>
      <w:r w:rsidR="0099712C" w:rsidRPr="000A6EFC">
        <w:rPr>
          <w:color w:val="auto"/>
        </w:rPr>
        <w:t>u</w:t>
      </w:r>
      <w:r>
        <w:rPr>
          <w:color w:val="auto"/>
        </w:rPr>
        <w:t xml:space="preserve">bmissions </w:t>
      </w:r>
      <w:r w:rsidR="00D7737B">
        <w:rPr>
          <w:color w:val="auto"/>
        </w:rPr>
        <w:t>an</w:t>
      </w:r>
      <w:r w:rsidR="0099712C" w:rsidRPr="000A6EFC">
        <w:rPr>
          <w:color w:val="auto"/>
        </w:rPr>
        <w:t>d s</w:t>
      </w:r>
      <w:r w:rsidR="00D7737B">
        <w:rPr>
          <w:color w:val="auto"/>
        </w:rPr>
        <w:t xml:space="preserve">ay the interpretation </w:t>
      </w:r>
      <w:r w:rsidR="004C5BEE">
        <w:rPr>
          <w:color w:val="auto"/>
        </w:rPr>
        <w:t>differ</w:t>
      </w:r>
      <w:r w:rsidR="0099712C" w:rsidRPr="000A6EFC">
        <w:rPr>
          <w:color w:val="auto"/>
        </w:rPr>
        <w:t>s</w:t>
      </w:r>
      <w:r w:rsidR="0005182D" w:rsidRPr="000A6EFC">
        <w:rPr>
          <w:color w:val="auto"/>
        </w:rPr>
        <w:t xml:space="preserve">.  </w:t>
      </w:r>
      <w:r w:rsidR="00336485">
        <w:rPr>
          <w:color w:val="auto"/>
        </w:rPr>
        <w:t xml:space="preserve">Even if found against </w:t>
      </w:r>
      <w:r w:rsidR="00C46139">
        <w:rPr>
          <w:color w:val="auto"/>
        </w:rPr>
        <w:t xml:space="preserve">SCC, </w:t>
      </w:r>
      <w:r w:rsidR="00336485">
        <w:rPr>
          <w:color w:val="auto"/>
        </w:rPr>
        <w:t>this was not an unreasonable st</w:t>
      </w:r>
      <w:r w:rsidR="00C548EE">
        <w:rPr>
          <w:color w:val="auto"/>
        </w:rPr>
        <w:t>a</w:t>
      </w:r>
      <w:r w:rsidR="00336485">
        <w:rPr>
          <w:color w:val="auto"/>
        </w:rPr>
        <w:t>n</w:t>
      </w:r>
      <w:r w:rsidR="00C548EE">
        <w:rPr>
          <w:color w:val="auto"/>
        </w:rPr>
        <w:t>ce</w:t>
      </w:r>
      <w:r w:rsidR="00336485">
        <w:rPr>
          <w:color w:val="auto"/>
        </w:rPr>
        <w:t>.</w:t>
      </w:r>
    </w:p>
    <w:p w14:paraId="65DFADA0" w14:textId="37ACEEB9" w:rsidR="0099712C" w:rsidRDefault="00C548EE" w:rsidP="0099712C">
      <w:pPr>
        <w:pStyle w:val="Style1"/>
        <w:numPr>
          <w:ilvl w:val="0"/>
          <w:numId w:val="6"/>
        </w:numPr>
        <w:spacing w:before="140"/>
        <w:ind w:left="431" w:hanging="431"/>
        <w:rPr>
          <w:color w:val="auto"/>
        </w:rPr>
      </w:pPr>
      <w:r>
        <w:rPr>
          <w:color w:val="auto"/>
        </w:rPr>
        <w:t xml:space="preserve">In </w:t>
      </w:r>
      <w:r w:rsidR="0099712C" w:rsidRPr="000A6EFC">
        <w:rPr>
          <w:color w:val="auto"/>
        </w:rPr>
        <w:t>re</w:t>
      </w:r>
      <w:r>
        <w:rPr>
          <w:color w:val="auto"/>
        </w:rPr>
        <w:t>lation to inte</w:t>
      </w:r>
      <w:r w:rsidR="0099712C" w:rsidRPr="000A6EFC">
        <w:rPr>
          <w:color w:val="auto"/>
        </w:rPr>
        <w:t>r</w:t>
      </w:r>
      <w:r>
        <w:rPr>
          <w:color w:val="auto"/>
        </w:rPr>
        <w:t>vie</w:t>
      </w:r>
      <w:r w:rsidR="0005182D" w:rsidRPr="000A6EFC">
        <w:rPr>
          <w:color w:val="auto"/>
        </w:rPr>
        <w:t>w</w:t>
      </w:r>
      <w:r w:rsidR="0099712C" w:rsidRPr="000A6EFC">
        <w:rPr>
          <w:color w:val="auto"/>
        </w:rPr>
        <w:t>i</w:t>
      </w:r>
      <w:r>
        <w:rPr>
          <w:color w:val="auto"/>
        </w:rPr>
        <w:t>ng the landowners</w:t>
      </w:r>
      <w:r w:rsidR="001C3537">
        <w:rPr>
          <w:color w:val="auto"/>
        </w:rPr>
        <w:t>,</w:t>
      </w:r>
      <w:r w:rsidR="00A36316">
        <w:rPr>
          <w:color w:val="auto"/>
        </w:rPr>
        <w:t xml:space="preserve"> SCC mad</w:t>
      </w:r>
      <w:r w:rsidR="0005182D" w:rsidRPr="000A6EFC">
        <w:rPr>
          <w:color w:val="auto"/>
        </w:rPr>
        <w:t xml:space="preserve">e </w:t>
      </w:r>
      <w:r w:rsidR="0099712C" w:rsidRPr="000A6EFC">
        <w:rPr>
          <w:color w:val="auto"/>
        </w:rPr>
        <w:t>r</w:t>
      </w:r>
      <w:r w:rsidR="00A36316">
        <w:rPr>
          <w:color w:val="auto"/>
        </w:rPr>
        <w:t>epeate</w:t>
      </w:r>
      <w:r w:rsidR="0099712C" w:rsidRPr="000A6EFC">
        <w:rPr>
          <w:color w:val="auto"/>
        </w:rPr>
        <w:t xml:space="preserve">d </w:t>
      </w:r>
      <w:r w:rsidR="00A36316">
        <w:rPr>
          <w:color w:val="auto"/>
        </w:rPr>
        <w:t>a</w:t>
      </w:r>
      <w:r w:rsidR="0005182D" w:rsidRPr="000A6EFC">
        <w:rPr>
          <w:color w:val="auto"/>
        </w:rPr>
        <w:t>t</w:t>
      </w:r>
      <w:r w:rsidR="00A36316">
        <w:rPr>
          <w:color w:val="auto"/>
        </w:rPr>
        <w:t>t</w:t>
      </w:r>
      <w:r w:rsidR="0005182D" w:rsidRPr="000A6EFC">
        <w:rPr>
          <w:color w:val="auto"/>
        </w:rPr>
        <w:t>e</w:t>
      </w:r>
      <w:r w:rsidR="00A36316">
        <w:rPr>
          <w:color w:val="auto"/>
        </w:rPr>
        <w:t>mpt</w:t>
      </w:r>
      <w:r w:rsidR="0005182D" w:rsidRPr="000A6EFC">
        <w:rPr>
          <w:color w:val="auto"/>
        </w:rPr>
        <w:t xml:space="preserve">s </w:t>
      </w:r>
      <w:r w:rsidR="00A36316">
        <w:rPr>
          <w:color w:val="auto"/>
        </w:rPr>
        <w:t>t</w:t>
      </w:r>
      <w:r w:rsidR="0099712C" w:rsidRPr="000A6EFC">
        <w:rPr>
          <w:color w:val="auto"/>
        </w:rPr>
        <w:t>o</w:t>
      </w:r>
      <w:r w:rsidR="00A36316">
        <w:rPr>
          <w:color w:val="auto"/>
        </w:rPr>
        <w:t xml:space="preserve"> speak </w:t>
      </w:r>
      <w:r w:rsidR="0099712C" w:rsidRPr="000A6EFC">
        <w:rPr>
          <w:color w:val="auto"/>
        </w:rPr>
        <w:t>to</w:t>
      </w:r>
      <w:r w:rsidR="00A36316">
        <w:rPr>
          <w:color w:val="auto"/>
        </w:rPr>
        <w:t xml:space="preserve"> them f</w:t>
      </w:r>
      <w:r w:rsidR="0099712C" w:rsidRPr="000A6EFC">
        <w:rPr>
          <w:color w:val="auto"/>
        </w:rPr>
        <w:t>r</w:t>
      </w:r>
      <w:r w:rsidR="00A36316">
        <w:rPr>
          <w:color w:val="auto"/>
        </w:rPr>
        <w:t>om 2013</w:t>
      </w:r>
      <w:r w:rsidR="008A71A6">
        <w:rPr>
          <w:color w:val="auto"/>
        </w:rPr>
        <w:t xml:space="preserve"> but only received information in 2018, </w:t>
      </w:r>
      <w:r w:rsidR="0099712C" w:rsidRPr="000A6EFC">
        <w:rPr>
          <w:color w:val="auto"/>
        </w:rPr>
        <w:t>a</w:t>
      </w:r>
      <w:r w:rsidR="008A71A6">
        <w:rPr>
          <w:color w:val="auto"/>
        </w:rPr>
        <w:t>s shown by the chronology</w:t>
      </w:r>
      <w:r w:rsidR="007D258E">
        <w:rPr>
          <w:rStyle w:val="FootnoteReference"/>
          <w:color w:val="auto"/>
        </w:rPr>
        <w:footnoteReference w:id="6"/>
      </w:r>
      <w:r w:rsidR="00061EDC">
        <w:rPr>
          <w:color w:val="auto"/>
        </w:rPr>
        <w:t xml:space="preserve">.  </w:t>
      </w:r>
      <w:r w:rsidR="007D258E">
        <w:rPr>
          <w:color w:val="auto"/>
        </w:rPr>
        <w:t>E</w:t>
      </w:r>
      <w:r w:rsidR="008A71A6">
        <w:rPr>
          <w:color w:val="auto"/>
        </w:rPr>
        <w:t>f</w:t>
      </w:r>
      <w:r w:rsidR="007D258E">
        <w:rPr>
          <w:color w:val="auto"/>
        </w:rPr>
        <w:t>forts w</w:t>
      </w:r>
      <w:r w:rsidR="0099712C" w:rsidRPr="000A6EFC">
        <w:rPr>
          <w:color w:val="auto"/>
        </w:rPr>
        <w:t>e</w:t>
      </w:r>
      <w:r w:rsidR="007D258E">
        <w:rPr>
          <w:color w:val="auto"/>
        </w:rPr>
        <w:t>r</w:t>
      </w:r>
      <w:r w:rsidR="0099712C" w:rsidRPr="000A6EFC">
        <w:rPr>
          <w:color w:val="auto"/>
        </w:rPr>
        <w:t>e</w:t>
      </w:r>
      <w:r w:rsidR="007D258E">
        <w:rPr>
          <w:color w:val="auto"/>
        </w:rPr>
        <w:t xml:space="preserve"> made by SCC to engag</w:t>
      </w:r>
      <w:r w:rsidR="003E09EF" w:rsidRPr="000A6EFC">
        <w:rPr>
          <w:color w:val="auto"/>
        </w:rPr>
        <w:t xml:space="preserve">e </w:t>
      </w:r>
      <w:r w:rsidR="0099712C" w:rsidRPr="000A6EFC">
        <w:rPr>
          <w:color w:val="auto"/>
        </w:rPr>
        <w:t>t</w:t>
      </w:r>
      <w:r w:rsidR="007D258E">
        <w:rPr>
          <w:color w:val="auto"/>
        </w:rPr>
        <w:t>h</w:t>
      </w:r>
      <w:r w:rsidR="0099712C" w:rsidRPr="000A6EFC">
        <w:rPr>
          <w:color w:val="auto"/>
        </w:rPr>
        <w:t>e</w:t>
      </w:r>
      <w:r w:rsidR="007D258E">
        <w:rPr>
          <w:color w:val="auto"/>
        </w:rPr>
        <w:t xml:space="preserve"> </w:t>
      </w:r>
      <w:r w:rsidR="0099712C" w:rsidRPr="000A6EFC">
        <w:rPr>
          <w:color w:val="auto"/>
        </w:rPr>
        <w:t>o</w:t>
      </w:r>
      <w:r w:rsidR="007D258E">
        <w:rPr>
          <w:color w:val="auto"/>
        </w:rPr>
        <w:t xml:space="preserve">bjectors </w:t>
      </w:r>
      <w:r w:rsidR="001C3537">
        <w:rPr>
          <w:color w:val="auto"/>
        </w:rPr>
        <w:t>and they spoke at the Committee b</w:t>
      </w:r>
      <w:r w:rsidR="0099712C" w:rsidRPr="000A6EFC">
        <w:rPr>
          <w:color w:val="auto"/>
        </w:rPr>
        <w:t>e</w:t>
      </w:r>
      <w:r w:rsidR="001C3537">
        <w:rPr>
          <w:color w:val="auto"/>
        </w:rPr>
        <w:t>f</w:t>
      </w:r>
      <w:r w:rsidR="0099712C" w:rsidRPr="000A6EFC">
        <w:rPr>
          <w:color w:val="auto"/>
        </w:rPr>
        <w:t>o</w:t>
      </w:r>
      <w:r w:rsidR="001C3537">
        <w:rPr>
          <w:color w:val="auto"/>
        </w:rPr>
        <w:t xml:space="preserve">re </w:t>
      </w:r>
      <w:r w:rsidR="00D4098A">
        <w:rPr>
          <w:color w:val="auto"/>
        </w:rPr>
        <w:t xml:space="preserve">the </w:t>
      </w:r>
      <w:r w:rsidR="001C3537">
        <w:rPr>
          <w:color w:val="auto"/>
        </w:rPr>
        <w:t>de</w:t>
      </w:r>
      <w:r w:rsidR="0099712C" w:rsidRPr="000A6EFC">
        <w:rPr>
          <w:color w:val="auto"/>
        </w:rPr>
        <w:t>t</w:t>
      </w:r>
      <w:r w:rsidR="001C3537">
        <w:rPr>
          <w:color w:val="auto"/>
        </w:rPr>
        <w:t>ermination t</w:t>
      </w:r>
      <w:r w:rsidR="0099712C" w:rsidRPr="000A6EFC">
        <w:rPr>
          <w:color w:val="auto"/>
        </w:rPr>
        <w:t>o</w:t>
      </w:r>
      <w:r w:rsidR="001C3537">
        <w:rPr>
          <w:color w:val="auto"/>
        </w:rPr>
        <w:t xml:space="preserve"> make</w:t>
      </w:r>
      <w:r w:rsidR="0099712C" w:rsidRPr="000A6EFC">
        <w:rPr>
          <w:color w:val="auto"/>
        </w:rPr>
        <w:t xml:space="preserve"> </w:t>
      </w:r>
      <w:r w:rsidR="001C3537">
        <w:rPr>
          <w:color w:val="auto"/>
        </w:rPr>
        <w:t>the Order</w:t>
      </w:r>
      <w:r w:rsidR="0099712C" w:rsidRPr="000A6EFC">
        <w:rPr>
          <w:color w:val="auto"/>
        </w:rPr>
        <w:t>.</w:t>
      </w:r>
    </w:p>
    <w:p w14:paraId="03B094B7" w14:textId="77777777" w:rsidR="001C3537" w:rsidRPr="002C6C06" w:rsidRDefault="001C3537" w:rsidP="001C3537">
      <w:pPr>
        <w:pStyle w:val="Heading6blackfont"/>
        <w:spacing w:before="120"/>
        <w:rPr>
          <w:i/>
          <w:iCs/>
          <w:color w:val="auto"/>
        </w:rPr>
      </w:pPr>
      <w:r>
        <w:rPr>
          <w:i/>
          <w:iCs/>
          <w:color w:val="auto"/>
        </w:rPr>
        <w:t xml:space="preserve">Partial Award </w:t>
      </w:r>
    </w:p>
    <w:p w14:paraId="61DE0698" w14:textId="1CBAA081" w:rsidR="00087EA8" w:rsidRDefault="009479D0" w:rsidP="0099712C">
      <w:pPr>
        <w:pStyle w:val="Style1"/>
        <w:numPr>
          <w:ilvl w:val="0"/>
          <w:numId w:val="6"/>
        </w:numPr>
        <w:spacing w:before="140"/>
        <w:ind w:left="431" w:hanging="431"/>
        <w:rPr>
          <w:color w:val="auto"/>
        </w:rPr>
      </w:pPr>
      <w:r>
        <w:rPr>
          <w:color w:val="auto"/>
        </w:rPr>
        <w:t>The no</w:t>
      </w:r>
      <w:r w:rsidR="003E09EF" w:rsidRPr="009479D0">
        <w:rPr>
          <w:color w:val="auto"/>
        </w:rPr>
        <w:t>t</w:t>
      </w:r>
      <w:r>
        <w:rPr>
          <w:color w:val="auto"/>
        </w:rPr>
        <w:t>ice matter was unfortunate</w:t>
      </w:r>
      <w:r w:rsidR="00032587">
        <w:rPr>
          <w:color w:val="auto"/>
        </w:rPr>
        <w:t>,</w:t>
      </w:r>
      <w:r>
        <w:rPr>
          <w:color w:val="auto"/>
        </w:rPr>
        <w:t xml:space="preserve"> but parties were made </w:t>
      </w:r>
      <w:r w:rsidR="003E09EF" w:rsidRPr="009479D0">
        <w:rPr>
          <w:color w:val="auto"/>
        </w:rPr>
        <w:t>a</w:t>
      </w:r>
      <w:r>
        <w:rPr>
          <w:color w:val="auto"/>
        </w:rPr>
        <w:t>war</w:t>
      </w:r>
      <w:r w:rsidR="0099712C" w:rsidRPr="009479D0">
        <w:rPr>
          <w:color w:val="auto"/>
        </w:rPr>
        <w:t>e</w:t>
      </w:r>
      <w:r>
        <w:rPr>
          <w:color w:val="auto"/>
        </w:rPr>
        <w:t xml:space="preserve"> of </w:t>
      </w:r>
      <w:r w:rsidR="0099712C" w:rsidRPr="009479D0">
        <w:rPr>
          <w:color w:val="auto"/>
        </w:rPr>
        <w:t>t</w:t>
      </w:r>
      <w:r>
        <w:rPr>
          <w:color w:val="auto"/>
        </w:rPr>
        <w:t>h</w:t>
      </w:r>
      <w:r w:rsidR="003E09EF" w:rsidRPr="009479D0">
        <w:rPr>
          <w:color w:val="auto"/>
        </w:rPr>
        <w:t>e</w:t>
      </w:r>
      <w:r>
        <w:rPr>
          <w:color w:val="auto"/>
        </w:rPr>
        <w:t xml:space="preserve"> issue </w:t>
      </w:r>
      <w:r w:rsidR="00032587">
        <w:rPr>
          <w:color w:val="auto"/>
        </w:rPr>
        <w:t xml:space="preserve">around 5 days in </w:t>
      </w:r>
      <w:r w:rsidR="0099712C" w:rsidRPr="009479D0">
        <w:rPr>
          <w:color w:val="auto"/>
        </w:rPr>
        <w:t>a</w:t>
      </w:r>
      <w:r w:rsidR="00032587">
        <w:rPr>
          <w:color w:val="auto"/>
        </w:rPr>
        <w:t xml:space="preserve">dvance.  </w:t>
      </w:r>
      <w:r w:rsidR="00980912">
        <w:rPr>
          <w:color w:val="auto"/>
        </w:rPr>
        <w:t xml:space="preserve">SCC did not </w:t>
      </w:r>
      <w:r w:rsidR="00A157BF">
        <w:rPr>
          <w:color w:val="auto"/>
        </w:rPr>
        <w:t xml:space="preserve">receive </w:t>
      </w:r>
      <w:r w:rsidR="00410F90">
        <w:rPr>
          <w:color w:val="auto"/>
        </w:rPr>
        <w:t xml:space="preserve">the </w:t>
      </w:r>
      <w:r w:rsidR="00FB005B">
        <w:rPr>
          <w:color w:val="auto"/>
        </w:rPr>
        <w:t xml:space="preserve">site </w:t>
      </w:r>
      <w:r w:rsidR="00410F90">
        <w:rPr>
          <w:color w:val="auto"/>
        </w:rPr>
        <w:t>notice from the Planning Inspect</w:t>
      </w:r>
      <w:r w:rsidR="0099712C" w:rsidRPr="009479D0">
        <w:rPr>
          <w:color w:val="auto"/>
        </w:rPr>
        <w:t>o</w:t>
      </w:r>
      <w:r w:rsidR="00410F90">
        <w:rPr>
          <w:color w:val="auto"/>
        </w:rPr>
        <w:t>rate</w:t>
      </w:r>
      <w:r w:rsidR="00FB005B">
        <w:rPr>
          <w:color w:val="auto"/>
        </w:rPr>
        <w:t xml:space="preserve">, who would normally send it.  In the highly unusual </w:t>
      </w:r>
      <w:r w:rsidR="004C4E6C">
        <w:rPr>
          <w:color w:val="auto"/>
        </w:rPr>
        <w:t>circum</w:t>
      </w:r>
      <w:r w:rsidR="004C4E6C" w:rsidRPr="009479D0">
        <w:rPr>
          <w:color w:val="auto"/>
        </w:rPr>
        <w:t>s</w:t>
      </w:r>
      <w:r w:rsidR="004C4E6C">
        <w:rPr>
          <w:color w:val="auto"/>
        </w:rPr>
        <w:t>ta</w:t>
      </w:r>
      <w:r w:rsidR="004C4E6C" w:rsidRPr="009479D0">
        <w:rPr>
          <w:color w:val="auto"/>
        </w:rPr>
        <w:t>nces,</w:t>
      </w:r>
      <w:r w:rsidR="00ED1361">
        <w:rPr>
          <w:color w:val="auto"/>
        </w:rPr>
        <w:t xml:space="preserve"> i</w:t>
      </w:r>
      <w:r w:rsidR="0099712C" w:rsidRPr="009479D0">
        <w:rPr>
          <w:color w:val="auto"/>
        </w:rPr>
        <w:t>t ne</w:t>
      </w:r>
      <w:r w:rsidR="00ED1361">
        <w:rPr>
          <w:color w:val="auto"/>
        </w:rPr>
        <w:t>ve</w:t>
      </w:r>
      <w:r w:rsidR="0099712C" w:rsidRPr="009479D0">
        <w:rPr>
          <w:color w:val="auto"/>
        </w:rPr>
        <w:t>r</w:t>
      </w:r>
      <w:r w:rsidR="00ED1361">
        <w:rPr>
          <w:color w:val="auto"/>
        </w:rPr>
        <w:t xml:space="preserve"> occurred to </w:t>
      </w:r>
      <w:r w:rsidR="00BC0DC4" w:rsidRPr="009479D0">
        <w:rPr>
          <w:color w:val="auto"/>
        </w:rPr>
        <w:t>the</w:t>
      </w:r>
      <w:r w:rsidR="00A23155">
        <w:rPr>
          <w:color w:val="auto"/>
        </w:rPr>
        <w:t xml:space="preserve"> </w:t>
      </w:r>
      <w:r w:rsidR="00BF6BD7">
        <w:rPr>
          <w:color w:val="auto"/>
        </w:rPr>
        <w:t>Plan</w:t>
      </w:r>
      <w:r w:rsidR="00BC0DC4" w:rsidRPr="009479D0">
        <w:rPr>
          <w:color w:val="auto"/>
        </w:rPr>
        <w:t>n</w:t>
      </w:r>
      <w:r w:rsidR="0099712C" w:rsidRPr="009479D0">
        <w:rPr>
          <w:color w:val="auto"/>
        </w:rPr>
        <w:t>i</w:t>
      </w:r>
      <w:r w:rsidR="00BF6BD7">
        <w:rPr>
          <w:color w:val="auto"/>
        </w:rPr>
        <w:t>n</w:t>
      </w:r>
      <w:r w:rsidR="0099712C" w:rsidRPr="009479D0">
        <w:rPr>
          <w:color w:val="auto"/>
        </w:rPr>
        <w:t>g</w:t>
      </w:r>
      <w:r w:rsidR="00BF6BD7">
        <w:rPr>
          <w:color w:val="auto"/>
        </w:rPr>
        <w:t xml:space="preserve"> Inspec</w:t>
      </w:r>
      <w:r w:rsidR="0099712C" w:rsidRPr="009479D0">
        <w:rPr>
          <w:color w:val="auto"/>
        </w:rPr>
        <w:t>t</w:t>
      </w:r>
      <w:r w:rsidR="00BF6BD7">
        <w:rPr>
          <w:color w:val="auto"/>
        </w:rPr>
        <w:t>orat</w:t>
      </w:r>
      <w:r w:rsidR="00BC0DC4" w:rsidRPr="009479D0">
        <w:rPr>
          <w:color w:val="auto"/>
        </w:rPr>
        <w:t>e</w:t>
      </w:r>
      <w:r w:rsidR="00BF6BD7">
        <w:rPr>
          <w:color w:val="auto"/>
        </w:rPr>
        <w:t xml:space="preserve"> or </w:t>
      </w:r>
      <w:r w:rsidR="00BC0DC4" w:rsidRPr="009479D0">
        <w:rPr>
          <w:color w:val="auto"/>
        </w:rPr>
        <w:t>t</w:t>
      </w:r>
      <w:r w:rsidR="00BF6BD7">
        <w:rPr>
          <w:color w:val="auto"/>
        </w:rPr>
        <w:t xml:space="preserve">o </w:t>
      </w:r>
      <w:r w:rsidR="0030099E">
        <w:rPr>
          <w:color w:val="auto"/>
        </w:rPr>
        <w:t>SCC th</w:t>
      </w:r>
      <w:r w:rsidR="00BC0DC4" w:rsidRPr="009479D0">
        <w:rPr>
          <w:color w:val="auto"/>
        </w:rPr>
        <w:t>a</w:t>
      </w:r>
      <w:r w:rsidR="0030099E">
        <w:rPr>
          <w:color w:val="auto"/>
        </w:rPr>
        <w:t>t no</w:t>
      </w:r>
      <w:r w:rsidR="00BC0DC4" w:rsidRPr="009479D0">
        <w:rPr>
          <w:color w:val="auto"/>
        </w:rPr>
        <w:t>t</w:t>
      </w:r>
      <w:r w:rsidR="0030099E">
        <w:rPr>
          <w:color w:val="auto"/>
        </w:rPr>
        <w:t>ic</w:t>
      </w:r>
      <w:r w:rsidR="00BC0DC4" w:rsidRPr="009479D0">
        <w:rPr>
          <w:color w:val="auto"/>
        </w:rPr>
        <w:t xml:space="preserve">e </w:t>
      </w:r>
      <w:r w:rsidR="0099712C" w:rsidRPr="009479D0">
        <w:rPr>
          <w:color w:val="auto"/>
        </w:rPr>
        <w:t>w</w:t>
      </w:r>
      <w:r w:rsidR="0030099E">
        <w:rPr>
          <w:color w:val="auto"/>
        </w:rPr>
        <w:t xml:space="preserve">as </w:t>
      </w:r>
      <w:r w:rsidR="0099712C" w:rsidRPr="009479D0">
        <w:rPr>
          <w:color w:val="auto"/>
        </w:rPr>
        <w:t>n</w:t>
      </w:r>
      <w:r w:rsidR="0030099E">
        <w:rPr>
          <w:color w:val="auto"/>
        </w:rPr>
        <w:t>eeded</w:t>
      </w:r>
      <w:r w:rsidR="0099712C" w:rsidRPr="009479D0">
        <w:rPr>
          <w:color w:val="auto"/>
        </w:rPr>
        <w:t>.</w:t>
      </w:r>
      <w:r w:rsidR="0030099E">
        <w:rPr>
          <w:color w:val="auto"/>
        </w:rPr>
        <w:t xml:space="preserve">  </w:t>
      </w:r>
      <w:r w:rsidR="00BC0DC4" w:rsidRPr="009479D0">
        <w:rPr>
          <w:color w:val="auto"/>
        </w:rPr>
        <w:t>T</w:t>
      </w:r>
      <w:r w:rsidR="0099712C" w:rsidRPr="009479D0">
        <w:rPr>
          <w:color w:val="auto"/>
        </w:rPr>
        <w:t>he l</w:t>
      </w:r>
      <w:r w:rsidR="0030099E">
        <w:rPr>
          <w:color w:val="auto"/>
        </w:rPr>
        <w:t>a</w:t>
      </w:r>
      <w:r w:rsidR="0099712C" w:rsidRPr="009479D0">
        <w:rPr>
          <w:color w:val="auto"/>
        </w:rPr>
        <w:t>n</w:t>
      </w:r>
      <w:r w:rsidR="0030099E">
        <w:rPr>
          <w:color w:val="auto"/>
        </w:rPr>
        <w:t xml:space="preserve">downer </w:t>
      </w:r>
      <w:r w:rsidR="00884D5B">
        <w:rPr>
          <w:color w:val="auto"/>
        </w:rPr>
        <w:t>n</w:t>
      </w:r>
      <w:r w:rsidR="0099712C" w:rsidRPr="009479D0">
        <w:rPr>
          <w:color w:val="auto"/>
        </w:rPr>
        <w:t>e</w:t>
      </w:r>
      <w:r w:rsidR="00884D5B">
        <w:rPr>
          <w:color w:val="auto"/>
        </w:rPr>
        <w:t>ve</w:t>
      </w:r>
      <w:r w:rsidR="0099712C" w:rsidRPr="009479D0">
        <w:rPr>
          <w:color w:val="auto"/>
        </w:rPr>
        <w:t>r</w:t>
      </w:r>
      <w:r w:rsidR="00884D5B">
        <w:rPr>
          <w:color w:val="auto"/>
        </w:rPr>
        <w:t xml:space="preserve"> qu</w:t>
      </w:r>
      <w:r w:rsidR="0099712C" w:rsidRPr="009479D0">
        <w:rPr>
          <w:color w:val="auto"/>
        </w:rPr>
        <w:t>e</w:t>
      </w:r>
      <w:r w:rsidR="00884D5B">
        <w:rPr>
          <w:color w:val="auto"/>
        </w:rPr>
        <w:t xml:space="preserve">ried </w:t>
      </w:r>
      <w:r w:rsidR="0099712C" w:rsidRPr="009479D0">
        <w:rPr>
          <w:color w:val="auto"/>
        </w:rPr>
        <w:t>t</w:t>
      </w:r>
      <w:r w:rsidR="00884D5B">
        <w:rPr>
          <w:color w:val="auto"/>
        </w:rPr>
        <w:t>h</w:t>
      </w:r>
      <w:r w:rsidR="0099712C" w:rsidRPr="009479D0">
        <w:rPr>
          <w:color w:val="auto"/>
        </w:rPr>
        <w:t>e</w:t>
      </w:r>
      <w:r w:rsidR="00884D5B">
        <w:rPr>
          <w:color w:val="auto"/>
        </w:rPr>
        <w:t xml:space="preserve"> m</w:t>
      </w:r>
      <w:r w:rsidR="0099712C" w:rsidRPr="009479D0">
        <w:rPr>
          <w:color w:val="auto"/>
        </w:rPr>
        <w:t>at</w:t>
      </w:r>
      <w:r w:rsidR="00884D5B">
        <w:rPr>
          <w:color w:val="auto"/>
        </w:rPr>
        <w:t xml:space="preserve">ter </w:t>
      </w:r>
      <w:r w:rsidR="0099712C" w:rsidRPr="009479D0">
        <w:rPr>
          <w:color w:val="auto"/>
        </w:rPr>
        <w:t>a</w:t>
      </w:r>
      <w:r w:rsidR="00E06A8F">
        <w:rPr>
          <w:color w:val="auto"/>
        </w:rPr>
        <w:t xml:space="preserve">nd </w:t>
      </w:r>
      <w:r w:rsidR="0099712C" w:rsidRPr="009479D0">
        <w:rPr>
          <w:color w:val="auto"/>
        </w:rPr>
        <w:t>s</w:t>
      </w:r>
      <w:r w:rsidR="00E06A8F">
        <w:rPr>
          <w:color w:val="auto"/>
        </w:rPr>
        <w:t xml:space="preserve">o </w:t>
      </w:r>
      <w:r w:rsidR="00087EA8">
        <w:rPr>
          <w:color w:val="auto"/>
        </w:rPr>
        <w:t xml:space="preserve">it cannot have been unreasonable.  </w:t>
      </w:r>
      <w:r w:rsidR="00C46139">
        <w:rPr>
          <w:color w:val="auto"/>
        </w:rPr>
        <w:t>SCC</w:t>
      </w:r>
      <w:r w:rsidR="00087EA8">
        <w:rPr>
          <w:color w:val="auto"/>
        </w:rPr>
        <w:t xml:space="preserve"> say this is unfortunate but cannot be held against </w:t>
      </w:r>
      <w:r w:rsidR="00FD685A">
        <w:rPr>
          <w:color w:val="auto"/>
        </w:rPr>
        <w:t>them.</w:t>
      </w:r>
    </w:p>
    <w:p w14:paraId="4086A81B" w14:textId="2F129A7C" w:rsidR="00A74140" w:rsidRDefault="00F33C20" w:rsidP="0099712C">
      <w:pPr>
        <w:pStyle w:val="Style1"/>
        <w:numPr>
          <w:ilvl w:val="0"/>
          <w:numId w:val="6"/>
        </w:numPr>
        <w:spacing w:before="140"/>
        <w:ind w:left="431" w:hanging="431"/>
        <w:rPr>
          <w:color w:val="auto"/>
        </w:rPr>
      </w:pPr>
      <w:r>
        <w:rPr>
          <w:color w:val="auto"/>
        </w:rPr>
        <w:t>In relation to unnecessary c</w:t>
      </w:r>
      <w:r w:rsidR="00551C65">
        <w:rPr>
          <w:color w:val="auto"/>
        </w:rPr>
        <w:t>o</w:t>
      </w:r>
      <w:r>
        <w:rPr>
          <w:color w:val="auto"/>
        </w:rPr>
        <w:t>s</w:t>
      </w:r>
      <w:r w:rsidR="00104144" w:rsidRPr="009479D0">
        <w:rPr>
          <w:color w:val="auto"/>
        </w:rPr>
        <w:t>t</w:t>
      </w:r>
      <w:r>
        <w:rPr>
          <w:color w:val="auto"/>
        </w:rPr>
        <w:t>s t</w:t>
      </w:r>
      <w:r w:rsidR="00104144" w:rsidRPr="009479D0">
        <w:rPr>
          <w:color w:val="auto"/>
        </w:rPr>
        <w:t>h</w:t>
      </w:r>
      <w:r>
        <w:rPr>
          <w:color w:val="auto"/>
        </w:rPr>
        <w:t xml:space="preserve">is was </w:t>
      </w:r>
      <w:r w:rsidR="00ED733C">
        <w:rPr>
          <w:color w:val="auto"/>
        </w:rPr>
        <w:t xml:space="preserve">a virtual </w:t>
      </w:r>
      <w:r w:rsidR="00104144" w:rsidRPr="009479D0">
        <w:rPr>
          <w:color w:val="auto"/>
        </w:rPr>
        <w:t>e</w:t>
      </w:r>
      <w:r w:rsidR="00ED733C">
        <w:rPr>
          <w:color w:val="auto"/>
        </w:rPr>
        <w:t>vent and so there was no</w:t>
      </w:r>
      <w:r w:rsidR="009C0888">
        <w:rPr>
          <w:color w:val="auto"/>
        </w:rPr>
        <w:t xml:space="preserve"> need to</w:t>
      </w:r>
      <w:r w:rsidR="00ED733C">
        <w:rPr>
          <w:color w:val="auto"/>
        </w:rPr>
        <w:t xml:space="preserve"> travel.  Accommodation </w:t>
      </w:r>
      <w:r w:rsidR="0099712C" w:rsidRPr="009479D0">
        <w:rPr>
          <w:color w:val="auto"/>
        </w:rPr>
        <w:t>m</w:t>
      </w:r>
      <w:r w:rsidR="00ED733C">
        <w:rPr>
          <w:color w:val="auto"/>
        </w:rPr>
        <w:t>a</w:t>
      </w:r>
      <w:r w:rsidR="0099712C" w:rsidRPr="009479D0">
        <w:rPr>
          <w:color w:val="auto"/>
        </w:rPr>
        <w:t xml:space="preserve">y </w:t>
      </w:r>
      <w:r w:rsidR="00ED733C">
        <w:rPr>
          <w:color w:val="auto"/>
        </w:rPr>
        <w:t>h</w:t>
      </w:r>
      <w:r w:rsidR="0099712C" w:rsidRPr="009479D0">
        <w:rPr>
          <w:color w:val="auto"/>
        </w:rPr>
        <w:t>a</w:t>
      </w:r>
      <w:r w:rsidR="00ED733C">
        <w:rPr>
          <w:color w:val="auto"/>
        </w:rPr>
        <w:t>v</w:t>
      </w:r>
      <w:r w:rsidR="0099712C" w:rsidRPr="009479D0">
        <w:rPr>
          <w:color w:val="auto"/>
        </w:rPr>
        <w:t>e</w:t>
      </w:r>
      <w:r w:rsidR="00ED733C">
        <w:rPr>
          <w:color w:val="auto"/>
        </w:rPr>
        <w:t xml:space="preserve"> be</w:t>
      </w:r>
      <w:r w:rsidR="0099712C" w:rsidRPr="009479D0">
        <w:rPr>
          <w:color w:val="auto"/>
        </w:rPr>
        <w:t>en</w:t>
      </w:r>
      <w:r w:rsidR="00ED733C">
        <w:rPr>
          <w:color w:val="auto"/>
        </w:rPr>
        <w:t xml:space="preserve"> an issue bu</w:t>
      </w:r>
      <w:r w:rsidR="0099712C" w:rsidRPr="009479D0">
        <w:rPr>
          <w:color w:val="auto"/>
        </w:rPr>
        <w:t>t</w:t>
      </w:r>
      <w:r w:rsidR="00ED733C">
        <w:rPr>
          <w:color w:val="auto"/>
        </w:rPr>
        <w:t xml:space="preserve"> it seems </w:t>
      </w:r>
      <w:r w:rsidR="000C433B">
        <w:rPr>
          <w:color w:val="auto"/>
        </w:rPr>
        <w:t>that C</w:t>
      </w:r>
      <w:r w:rsidR="0099712C" w:rsidRPr="009479D0">
        <w:rPr>
          <w:color w:val="auto"/>
        </w:rPr>
        <w:t>o</w:t>
      </w:r>
      <w:r w:rsidR="000C433B">
        <w:rPr>
          <w:color w:val="auto"/>
        </w:rPr>
        <w:t xml:space="preserve">unsel is working </w:t>
      </w:r>
      <w:r w:rsidR="0099712C" w:rsidRPr="009479D0">
        <w:rPr>
          <w:color w:val="auto"/>
        </w:rPr>
        <w:t>f</w:t>
      </w:r>
      <w:r w:rsidR="000C433B">
        <w:rPr>
          <w:color w:val="auto"/>
        </w:rPr>
        <w:t xml:space="preserve">rom home and so it is hard to </w:t>
      </w:r>
      <w:r w:rsidR="0099712C" w:rsidRPr="009479D0">
        <w:rPr>
          <w:color w:val="auto"/>
        </w:rPr>
        <w:t>se</w:t>
      </w:r>
      <w:r w:rsidR="000C433B">
        <w:rPr>
          <w:color w:val="auto"/>
        </w:rPr>
        <w:t>e wh</w:t>
      </w:r>
      <w:r w:rsidR="0099712C" w:rsidRPr="009479D0">
        <w:rPr>
          <w:color w:val="auto"/>
        </w:rPr>
        <w:t>a</w:t>
      </w:r>
      <w:r w:rsidR="000C433B">
        <w:rPr>
          <w:color w:val="auto"/>
        </w:rPr>
        <w:t>t waste</w:t>
      </w:r>
      <w:r w:rsidR="0099712C" w:rsidRPr="009479D0">
        <w:rPr>
          <w:color w:val="auto"/>
        </w:rPr>
        <w:t>d</w:t>
      </w:r>
      <w:r w:rsidR="000C433B">
        <w:rPr>
          <w:color w:val="auto"/>
        </w:rPr>
        <w:t xml:space="preserve"> costs </w:t>
      </w:r>
      <w:r w:rsidR="004B5CF4">
        <w:rPr>
          <w:color w:val="auto"/>
        </w:rPr>
        <w:t xml:space="preserve">could arise.  The preparation was needed to </w:t>
      </w:r>
      <w:r w:rsidR="0099712C" w:rsidRPr="009479D0">
        <w:rPr>
          <w:color w:val="auto"/>
        </w:rPr>
        <w:t>a</w:t>
      </w:r>
      <w:r w:rsidR="004B5CF4">
        <w:rPr>
          <w:color w:val="auto"/>
        </w:rPr>
        <w:t>tt</w:t>
      </w:r>
      <w:r w:rsidR="0099712C" w:rsidRPr="009479D0">
        <w:rPr>
          <w:color w:val="auto"/>
        </w:rPr>
        <w:t>e</w:t>
      </w:r>
      <w:r w:rsidR="004B5CF4">
        <w:rPr>
          <w:color w:val="auto"/>
        </w:rPr>
        <w:t>n</w:t>
      </w:r>
      <w:r w:rsidR="0099712C" w:rsidRPr="009479D0">
        <w:rPr>
          <w:color w:val="auto"/>
        </w:rPr>
        <w:t xml:space="preserve">d </w:t>
      </w:r>
      <w:r w:rsidR="004B5CF4">
        <w:rPr>
          <w:color w:val="auto"/>
        </w:rPr>
        <w:t>this week in any case.  Bar</w:t>
      </w:r>
      <w:r w:rsidR="0099712C" w:rsidRPr="009479D0">
        <w:rPr>
          <w:color w:val="auto"/>
        </w:rPr>
        <w:t>r</w:t>
      </w:r>
      <w:r w:rsidR="004B5CF4">
        <w:rPr>
          <w:color w:val="auto"/>
        </w:rPr>
        <w:t xml:space="preserve">ing seven minutes </w:t>
      </w:r>
      <w:r w:rsidR="0099712C" w:rsidRPr="009479D0">
        <w:rPr>
          <w:color w:val="auto"/>
        </w:rPr>
        <w:t>on o</w:t>
      </w:r>
      <w:r w:rsidR="00A74140">
        <w:rPr>
          <w:color w:val="auto"/>
        </w:rPr>
        <w:t>pen</w:t>
      </w:r>
      <w:r w:rsidR="0099712C" w:rsidRPr="009479D0">
        <w:rPr>
          <w:color w:val="auto"/>
        </w:rPr>
        <w:t xml:space="preserve">ing </w:t>
      </w:r>
      <w:r w:rsidR="00A74140">
        <w:rPr>
          <w:color w:val="auto"/>
        </w:rPr>
        <w:t xml:space="preserve">there </w:t>
      </w:r>
      <w:r w:rsidR="00BC0DC4" w:rsidRPr="009479D0">
        <w:rPr>
          <w:color w:val="auto"/>
        </w:rPr>
        <w:t>s</w:t>
      </w:r>
      <w:r w:rsidR="00A74140">
        <w:rPr>
          <w:color w:val="auto"/>
        </w:rPr>
        <w:t>houl</w:t>
      </w:r>
      <w:r w:rsidR="006A6E56" w:rsidRPr="009479D0">
        <w:rPr>
          <w:color w:val="auto"/>
        </w:rPr>
        <w:t xml:space="preserve">d </w:t>
      </w:r>
      <w:r w:rsidR="00A74140">
        <w:rPr>
          <w:color w:val="auto"/>
        </w:rPr>
        <w:t xml:space="preserve">be </w:t>
      </w:r>
      <w:r w:rsidR="0099712C" w:rsidRPr="009479D0">
        <w:rPr>
          <w:color w:val="auto"/>
        </w:rPr>
        <w:t>n</w:t>
      </w:r>
      <w:r w:rsidR="00A74140">
        <w:rPr>
          <w:color w:val="auto"/>
        </w:rPr>
        <w:t>o addi</w:t>
      </w:r>
      <w:r w:rsidR="0099712C" w:rsidRPr="009479D0">
        <w:rPr>
          <w:color w:val="auto"/>
        </w:rPr>
        <w:t>ti</w:t>
      </w:r>
      <w:r w:rsidR="00A74140">
        <w:rPr>
          <w:color w:val="auto"/>
        </w:rPr>
        <w:t>ona</w:t>
      </w:r>
      <w:r w:rsidR="0099712C" w:rsidRPr="009479D0">
        <w:rPr>
          <w:color w:val="auto"/>
        </w:rPr>
        <w:t xml:space="preserve">l </w:t>
      </w:r>
      <w:r w:rsidR="00A74140">
        <w:rPr>
          <w:color w:val="auto"/>
        </w:rPr>
        <w:t>expe</w:t>
      </w:r>
      <w:r w:rsidR="0099712C" w:rsidRPr="009479D0">
        <w:rPr>
          <w:color w:val="auto"/>
        </w:rPr>
        <w:t>n</w:t>
      </w:r>
      <w:r w:rsidR="00A74140">
        <w:rPr>
          <w:color w:val="auto"/>
        </w:rPr>
        <w:t>ses</w:t>
      </w:r>
      <w:r w:rsidR="0099712C" w:rsidRPr="009479D0">
        <w:rPr>
          <w:color w:val="auto"/>
        </w:rPr>
        <w:t>.</w:t>
      </w:r>
    </w:p>
    <w:p w14:paraId="65A3D678" w14:textId="0F2C2A74" w:rsidR="002D4258" w:rsidRDefault="002D4258" w:rsidP="00653491">
      <w:pPr>
        <w:pStyle w:val="Heading6blackfont"/>
        <w:spacing w:before="120"/>
        <w:rPr>
          <w:color w:val="auto"/>
        </w:rPr>
      </w:pPr>
      <w:r w:rsidRPr="0042442C">
        <w:rPr>
          <w:color w:val="auto"/>
        </w:rPr>
        <w:t>Reasons</w:t>
      </w:r>
    </w:p>
    <w:p w14:paraId="45B70764" w14:textId="77777777" w:rsidR="0042442C" w:rsidRPr="005F05D0" w:rsidRDefault="0042442C" w:rsidP="0042442C">
      <w:pPr>
        <w:pStyle w:val="Heading6blackfont"/>
        <w:spacing w:before="120"/>
        <w:rPr>
          <w:i/>
          <w:iCs/>
          <w:color w:val="auto"/>
        </w:rPr>
      </w:pPr>
      <w:r w:rsidRPr="005F05D0">
        <w:rPr>
          <w:i/>
          <w:iCs/>
          <w:color w:val="auto"/>
        </w:rPr>
        <w:t xml:space="preserve">Full Award </w:t>
      </w:r>
    </w:p>
    <w:p w14:paraId="30CDB417" w14:textId="77777777" w:rsidR="00B46BF3" w:rsidRDefault="00F7708C" w:rsidP="0042442C">
      <w:pPr>
        <w:pStyle w:val="Style1"/>
        <w:numPr>
          <w:ilvl w:val="0"/>
          <w:numId w:val="6"/>
        </w:numPr>
        <w:spacing w:before="140"/>
        <w:ind w:left="431" w:hanging="431"/>
        <w:rPr>
          <w:color w:val="auto"/>
        </w:rPr>
      </w:pPr>
      <w:r>
        <w:rPr>
          <w:color w:val="auto"/>
        </w:rPr>
        <w:t>As will b</w:t>
      </w:r>
      <w:r w:rsidR="0042442C">
        <w:rPr>
          <w:color w:val="auto"/>
        </w:rPr>
        <w:t>e</w:t>
      </w:r>
      <w:r>
        <w:rPr>
          <w:color w:val="auto"/>
        </w:rPr>
        <w:t xml:space="preserve"> seen from the Order decision </w:t>
      </w:r>
      <w:r w:rsidR="00A95F02">
        <w:rPr>
          <w:color w:val="auto"/>
        </w:rPr>
        <w:t xml:space="preserve">(“the OD”) </w:t>
      </w:r>
      <w:r w:rsidR="00B16337">
        <w:rPr>
          <w:color w:val="auto"/>
        </w:rPr>
        <w:t>the Order h</w:t>
      </w:r>
      <w:r w:rsidR="0042442C" w:rsidRPr="000A6EFC">
        <w:rPr>
          <w:color w:val="auto"/>
        </w:rPr>
        <w:t>a</w:t>
      </w:r>
      <w:r w:rsidR="0042442C">
        <w:rPr>
          <w:color w:val="auto"/>
        </w:rPr>
        <w:t>s</w:t>
      </w:r>
      <w:r w:rsidR="00B16337">
        <w:rPr>
          <w:color w:val="auto"/>
        </w:rPr>
        <w:t xml:space="preserve"> not been confi</w:t>
      </w:r>
      <w:r w:rsidR="0042442C">
        <w:rPr>
          <w:color w:val="auto"/>
        </w:rPr>
        <w:t>r</w:t>
      </w:r>
      <w:r w:rsidR="00B16337">
        <w:rPr>
          <w:color w:val="auto"/>
        </w:rPr>
        <w:t>m</w:t>
      </w:r>
      <w:r w:rsidR="0042442C">
        <w:rPr>
          <w:color w:val="auto"/>
        </w:rPr>
        <w:t>e</w:t>
      </w:r>
      <w:r w:rsidR="00B16337">
        <w:rPr>
          <w:color w:val="auto"/>
        </w:rPr>
        <w:t xml:space="preserve">d.  Whilst </w:t>
      </w:r>
      <w:r w:rsidR="0086537A">
        <w:rPr>
          <w:color w:val="auto"/>
        </w:rPr>
        <w:t xml:space="preserve">I agree with the SCC that had any part of the Order been confirmed </w:t>
      </w:r>
      <w:r w:rsidR="00B16337">
        <w:rPr>
          <w:color w:val="auto"/>
        </w:rPr>
        <w:t>th</w:t>
      </w:r>
      <w:r w:rsidR="0086537A">
        <w:rPr>
          <w:color w:val="auto"/>
        </w:rPr>
        <w:t xml:space="preserve">is </w:t>
      </w:r>
      <w:r w:rsidR="00B16337">
        <w:rPr>
          <w:color w:val="auto"/>
        </w:rPr>
        <w:t>e</w:t>
      </w:r>
      <w:r w:rsidR="0086537A">
        <w:rPr>
          <w:color w:val="auto"/>
        </w:rPr>
        <w:t xml:space="preserve">lement of the costs claim would fail, I do not find non-confirmation to </w:t>
      </w:r>
      <w:r w:rsidR="004B092E">
        <w:rPr>
          <w:color w:val="auto"/>
        </w:rPr>
        <w:t xml:space="preserve">mean that the </w:t>
      </w:r>
      <w:r w:rsidR="0086537A">
        <w:rPr>
          <w:color w:val="auto"/>
        </w:rPr>
        <w:t>applicat</w:t>
      </w:r>
      <w:r w:rsidR="004B092E">
        <w:rPr>
          <w:color w:val="auto"/>
        </w:rPr>
        <w:t xml:space="preserve">ion should automatically succeed.  </w:t>
      </w:r>
    </w:p>
    <w:p w14:paraId="060D9AF2" w14:textId="4C1CE39C" w:rsidR="00DF41BA" w:rsidRPr="00E43437" w:rsidRDefault="00B46BF3" w:rsidP="00460958">
      <w:pPr>
        <w:pStyle w:val="Style1"/>
        <w:numPr>
          <w:ilvl w:val="0"/>
          <w:numId w:val="6"/>
        </w:numPr>
        <w:spacing w:before="140"/>
      </w:pPr>
      <w:r>
        <w:rPr>
          <w:color w:val="auto"/>
        </w:rPr>
        <w:t xml:space="preserve">The Order is made </w:t>
      </w:r>
      <w:r w:rsidR="00D37FCF">
        <w:rPr>
          <w:color w:val="auto"/>
        </w:rPr>
        <w:t xml:space="preserve">due to </w:t>
      </w:r>
      <w:r w:rsidR="00870A1A">
        <w:rPr>
          <w:color w:val="auto"/>
        </w:rPr>
        <w:t>occurrence of a</w:t>
      </w:r>
      <w:r>
        <w:rPr>
          <w:color w:val="auto"/>
        </w:rPr>
        <w:t>n</w:t>
      </w:r>
      <w:r w:rsidR="00870A1A">
        <w:rPr>
          <w:color w:val="auto"/>
        </w:rPr>
        <w:t xml:space="preserve"> </w:t>
      </w:r>
      <w:r>
        <w:rPr>
          <w:color w:val="auto"/>
        </w:rPr>
        <w:t>e</w:t>
      </w:r>
      <w:r w:rsidR="00870A1A">
        <w:rPr>
          <w:color w:val="auto"/>
        </w:rPr>
        <w:t xml:space="preserve">vent specified in </w:t>
      </w:r>
      <w:r w:rsidR="0086537A">
        <w:rPr>
          <w:color w:val="auto"/>
        </w:rPr>
        <w:t>s</w:t>
      </w:r>
      <w:r>
        <w:rPr>
          <w:color w:val="auto"/>
        </w:rPr>
        <w:t>ec</w:t>
      </w:r>
      <w:r w:rsidR="0086537A">
        <w:rPr>
          <w:color w:val="auto"/>
        </w:rPr>
        <w:t>t</w:t>
      </w:r>
      <w:r>
        <w:rPr>
          <w:color w:val="auto"/>
        </w:rPr>
        <w:t>ion</w:t>
      </w:r>
      <w:r w:rsidR="00870A1A">
        <w:rPr>
          <w:color w:val="auto"/>
        </w:rPr>
        <w:t xml:space="preserve"> 53(3)(c)(</w:t>
      </w:r>
      <w:proofErr w:type="spellStart"/>
      <w:r w:rsidR="00870A1A">
        <w:rPr>
          <w:color w:val="auto"/>
        </w:rPr>
        <w:t>i</w:t>
      </w:r>
      <w:proofErr w:type="spellEnd"/>
      <w:r w:rsidR="00870A1A">
        <w:rPr>
          <w:color w:val="auto"/>
        </w:rPr>
        <w:t>)</w:t>
      </w:r>
      <w:r w:rsidR="00D37FCF">
        <w:rPr>
          <w:color w:val="auto"/>
        </w:rPr>
        <w:t xml:space="preserve"> of the Wildlife and Countryside Act 1981</w:t>
      </w:r>
      <w:r w:rsidR="00362EA8">
        <w:rPr>
          <w:color w:val="auto"/>
        </w:rPr>
        <w:t xml:space="preserve">, which </w:t>
      </w:r>
      <w:r w:rsidR="0086537A">
        <w:rPr>
          <w:color w:val="auto"/>
        </w:rPr>
        <w:t>s</w:t>
      </w:r>
      <w:r w:rsidR="0042442C">
        <w:rPr>
          <w:color w:val="auto"/>
        </w:rPr>
        <w:t>et</w:t>
      </w:r>
      <w:r w:rsidR="0086537A">
        <w:rPr>
          <w:color w:val="auto"/>
        </w:rPr>
        <w:t xml:space="preserve">s </w:t>
      </w:r>
      <w:r w:rsidR="00362EA8">
        <w:rPr>
          <w:color w:val="auto"/>
        </w:rPr>
        <w:t>ou</w:t>
      </w:r>
      <w:r w:rsidR="0042442C" w:rsidRPr="000A6EFC">
        <w:rPr>
          <w:color w:val="auto"/>
        </w:rPr>
        <w:t>t</w:t>
      </w:r>
      <w:r w:rsidR="00362EA8">
        <w:rPr>
          <w:color w:val="auto"/>
        </w:rPr>
        <w:t xml:space="preserve"> t</w:t>
      </w:r>
      <w:r w:rsidR="0042442C">
        <w:rPr>
          <w:color w:val="auto"/>
        </w:rPr>
        <w:t xml:space="preserve">hat </w:t>
      </w:r>
      <w:r w:rsidR="00D37FCF">
        <w:rPr>
          <w:color w:val="auto"/>
        </w:rPr>
        <w:t>w</w:t>
      </w:r>
      <w:r w:rsidR="00CD38AC">
        <w:rPr>
          <w:color w:val="auto"/>
        </w:rPr>
        <w:t>h</w:t>
      </w:r>
      <w:r w:rsidR="0042442C">
        <w:rPr>
          <w:color w:val="auto"/>
        </w:rPr>
        <w:t>e</w:t>
      </w:r>
      <w:r w:rsidR="00CD38AC">
        <w:rPr>
          <w:color w:val="auto"/>
        </w:rPr>
        <w:t>re</w:t>
      </w:r>
      <w:r w:rsidR="0042442C">
        <w:rPr>
          <w:color w:val="auto"/>
        </w:rPr>
        <w:t xml:space="preserve"> h</w:t>
      </w:r>
      <w:r w:rsidR="00CD38AC">
        <w:rPr>
          <w:color w:val="auto"/>
        </w:rPr>
        <w:t>as b</w:t>
      </w:r>
      <w:r w:rsidR="0042442C" w:rsidRPr="000A6EFC">
        <w:rPr>
          <w:color w:val="auto"/>
        </w:rPr>
        <w:t>e</w:t>
      </w:r>
      <w:r w:rsidR="0042442C">
        <w:rPr>
          <w:color w:val="auto"/>
        </w:rPr>
        <w:t>e</w:t>
      </w:r>
      <w:r w:rsidR="00CD38AC">
        <w:rPr>
          <w:color w:val="auto"/>
        </w:rPr>
        <w:t xml:space="preserve">n a </w:t>
      </w:r>
      <w:r w:rsidR="000E0C3C">
        <w:rPr>
          <w:color w:val="auto"/>
        </w:rPr>
        <w:t>“…</w:t>
      </w:r>
      <w:r w:rsidR="00CD38AC" w:rsidRPr="00E43437">
        <w:rPr>
          <w:i/>
          <w:iCs/>
          <w:color w:val="auto"/>
        </w:rPr>
        <w:t>di</w:t>
      </w:r>
      <w:r w:rsidR="0042442C" w:rsidRPr="00E43437">
        <w:rPr>
          <w:i/>
          <w:iCs/>
          <w:color w:val="auto"/>
        </w:rPr>
        <w:t>s</w:t>
      </w:r>
      <w:r w:rsidR="00CD38AC" w:rsidRPr="00E43437">
        <w:rPr>
          <w:i/>
          <w:iCs/>
          <w:color w:val="auto"/>
        </w:rPr>
        <w:t>covery</w:t>
      </w:r>
      <w:r w:rsidR="000E0C3C" w:rsidRPr="00E43437">
        <w:rPr>
          <w:i/>
          <w:iCs/>
          <w:color w:val="auto"/>
        </w:rPr>
        <w:t xml:space="preserve"> by the authority</w:t>
      </w:r>
      <w:r w:rsidR="00CD38AC" w:rsidRPr="00E43437">
        <w:rPr>
          <w:i/>
          <w:iCs/>
          <w:color w:val="auto"/>
        </w:rPr>
        <w:t xml:space="preserve"> of evidence </w:t>
      </w:r>
      <w:r w:rsidR="00326BE0" w:rsidRPr="00E43437">
        <w:rPr>
          <w:i/>
          <w:iCs/>
          <w:color w:val="auto"/>
        </w:rPr>
        <w:t>which (when considered with all other relevant evidence</w:t>
      </w:r>
      <w:r w:rsidR="000E0C3C" w:rsidRPr="00E43437">
        <w:rPr>
          <w:i/>
          <w:iCs/>
          <w:color w:val="auto"/>
        </w:rPr>
        <w:t xml:space="preserve"> to them</w:t>
      </w:r>
      <w:r w:rsidR="00326BE0" w:rsidRPr="00E43437">
        <w:rPr>
          <w:i/>
          <w:iCs/>
          <w:color w:val="auto"/>
        </w:rPr>
        <w:t>)</w:t>
      </w:r>
      <w:r w:rsidR="00333555" w:rsidRPr="00E43437">
        <w:rPr>
          <w:i/>
          <w:iCs/>
          <w:color w:val="auto"/>
        </w:rPr>
        <w:t xml:space="preserve"> shows…that a right of w</w:t>
      </w:r>
      <w:r w:rsidR="0042442C" w:rsidRPr="00E43437">
        <w:rPr>
          <w:i/>
          <w:iCs/>
          <w:color w:val="auto"/>
        </w:rPr>
        <w:t>a</w:t>
      </w:r>
      <w:r w:rsidR="00333555" w:rsidRPr="00E43437">
        <w:rPr>
          <w:i/>
          <w:iCs/>
          <w:color w:val="auto"/>
        </w:rPr>
        <w:t>y…subsists or is reaso</w:t>
      </w:r>
      <w:r w:rsidR="0042442C" w:rsidRPr="00E43437">
        <w:rPr>
          <w:i/>
          <w:iCs/>
          <w:color w:val="auto"/>
        </w:rPr>
        <w:t>n</w:t>
      </w:r>
      <w:r w:rsidR="00333555" w:rsidRPr="00E43437">
        <w:rPr>
          <w:i/>
          <w:iCs/>
          <w:color w:val="auto"/>
        </w:rPr>
        <w:t xml:space="preserve">ably alleged </w:t>
      </w:r>
      <w:r w:rsidR="0042442C" w:rsidRPr="00E43437">
        <w:rPr>
          <w:i/>
          <w:iCs/>
          <w:color w:val="auto"/>
        </w:rPr>
        <w:t>t</w:t>
      </w:r>
      <w:r w:rsidR="00333555" w:rsidRPr="00E43437">
        <w:rPr>
          <w:i/>
          <w:iCs/>
          <w:color w:val="auto"/>
        </w:rPr>
        <w:t xml:space="preserve">o subsist </w:t>
      </w:r>
      <w:r w:rsidR="00960EAD" w:rsidRPr="00E43437">
        <w:rPr>
          <w:i/>
          <w:iCs/>
          <w:color w:val="auto"/>
        </w:rPr>
        <w:t>over land</w:t>
      </w:r>
      <w:r w:rsidR="00960EAD">
        <w:rPr>
          <w:color w:val="auto"/>
        </w:rPr>
        <w:t xml:space="preserve">…”.  My confirmation must relate to the higher test of whether, on the balance of probabilities, a right of way subsists.  However, </w:t>
      </w:r>
      <w:r w:rsidR="00963E17">
        <w:rPr>
          <w:color w:val="auto"/>
        </w:rPr>
        <w:t xml:space="preserve">I do not consider that SCC </w:t>
      </w:r>
      <w:r w:rsidR="007B36FD">
        <w:rPr>
          <w:color w:val="auto"/>
        </w:rPr>
        <w:t xml:space="preserve">acted </w:t>
      </w:r>
      <w:r w:rsidR="00963E17">
        <w:rPr>
          <w:color w:val="auto"/>
        </w:rPr>
        <w:t>unreasonabl</w:t>
      </w:r>
      <w:r w:rsidR="007B36FD">
        <w:rPr>
          <w:color w:val="auto"/>
        </w:rPr>
        <w:t>y</w:t>
      </w:r>
      <w:r w:rsidR="00963E17">
        <w:rPr>
          <w:color w:val="auto"/>
        </w:rPr>
        <w:t xml:space="preserve"> in finding that the rights</w:t>
      </w:r>
      <w:r w:rsidR="00621586">
        <w:rPr>
          <w:color w:val="auto"/>
        </w:rPr>
        <w:t xml:space="preserve"> were reasonably alleged to subsist.  </w:t>
      </w:r>
      <w:r w:rsidR="008E0F9E">
        <w:rPr>
          <w:color w:val="auto"/>
        </w:rPr>
        <w:t>There was conflicting evidence</w:t>
      </w:r>
      <w:r w:rsidR="00B40F4A">
        <w:rPr>
          <w:color w:val="auto"/>
        </w:rPr>
        <w:t xml:space="preserve">, which I consider benefitted from </w:t>
      </w:r>
      <w:r w:rsidR="00015584">
        <w:rPr>
          <w:color w:val="auto"/>
        </w:rPr>
        <w:t>being heard to clarify matters</w:t>
      </w:r>
      <w:r w:rsidR="008E0F9E">
        <w:rPr>
          <w:color w:val="auto"/>
        </w:rPr>
        <w:t xml:space="preserve"> </w:t>
      </w:r>
      <w:r w:rsidR="00015584">
        <w:rPr>
          <w:color w:val="auto"/>
        </w:rPr>
        <w:t>relevant to confirmation, or otherwise, of the Order.</w:t>
      </w:r>
    </w:p>
    <w:p w14:paraId="0F88E6FE" w14:textId="3D286C4C" w:rsidR="00FE0817" w:rsidRPr="00495C84" w:rsidRDefault="00DF0295" w:rsidP="00FE0817">
      <w:pPr>
        <w:pStyle w:val="Style1"/>
        <w:numPr>
          <w:ilvl w:val="0"/>
          <w:numId w:val="6"/>
        </w:numPr>
        <w:spacing w:before="140"/>
      </w:pPr>
      <w:r w:rsidRPr="00495C84">
        <w:rPr>
          <w:color w:val="auto"/>
        </w:rPr>
        <w:t xml:space="preserve">With regard to </w:t>
      </w:r>
      <w:r w:rsidR="006B240D" w:rsidRPr="00495C84">
        <w:rPr>
          <w:color w:val="auto"/>
        </w:rPr>
        <w:t xml:space="preserve">the claim that SCC </w:t>
      </w:r>
      <w:r w:rsidR="00CF5A0A" w:rsidRPr="00495C84">
        <w:rPr>
          <w:color w:val="auto"/>
        </w:rPr>
        <w:t>fail</w:t>
      </w:r>
      <w:r w:rsidR="006B240D" w:rsidRPr="00495C84">
        <w:rPr>
          <w:color w:val="auto"/>
        </w:rPr>
        <w:t>e</w:t>
      </w:r>
      <w:r w:rsidR="00CF5A0A" w:rsidRPr="00495C84">
        <w:rPr>
          <w:color w:val="auto"/>
        </w:rPr>
        <w:t>d to inte</w:t>
      </w:r>
      <w:r w:rsidR="006B240D" w:rsidRPr="00495C84">
        <w:rPr>
          <w:color w:val="auto"/>
        </w:rPr>
        <w:t>r</w:t>
      </w:r>
      <w:r w:rsidR="00CF5A0A" w:rsidRPr="00495C84">
        <w:rPr>
          <w:color w:val="auto"/>
        </w:rPr>
        <w:t>vi</w:t>
      </w:r>
      <w:r w:rsidR="006B240D" w:rsidRPr="00495C84">
        <w:rPr>
          <w:color w:val="auto"/>
        </w:rPr>
        <w:t>e</w:t>
      </w:r>
      <w:r w:rsidR="00CF5A0A" w:rsidRPr="00495C84">
        <w:rPr>
          <w:color w:val="auto"/>
        </w:rPr>
        <w:t>w and take account of the landowners evidence</w:t>
      </w:r>
      <w:r w:rsidR="00926127">
        <w:rPr>
          <w:color w:val="auto"/>
        </w:rPr>
        <w:t>,</w:t>
      </w:r>
      <w:r w:rsidR="00CF5A0A" w:rsidRPr="00495C84">
        <w:rPr>
          <w:color w:val="auto"/>
        </w:rPr>
        <w:t xml:space="preserve"> </w:t>
      </w:r>
      <w:r w:rsidR="00260B7B" w:rsidRPr="00495C84">
        <w:rPr>
          <w:color w:val="auto"/>
        </w:rPr>
        <w:t xml:space="preserve">it is clear that the SCC Officer </w:t>
      </w:r>
      <w:r w:rsidR="00B404A1" w:rsidRPr="00495C84">
        <w:rPr>
          <w:color w:val="auto"/>
        </w:rPr>
        <w:t>m</w:t>
      </w:r>
      <w:r w:rsidR="00260B7B" w:rsidRPr="00495C84">
        <w:rPr>
          <w:color w:val="auto"/>
        </w:rPr>
        <w:t xml:space="preserve">et with the owners of the land affected by </w:t>
      </w:r>
      <w:r w:rsidR="00B404A1" w:rsidRPr="00495C84">
        <w:rPr>
          <w:color w:val="auto"/>
        </w:rPr>
        <w:t xml:space="preserve">the claimed route L – M – N </w:t>
      </w:r>
      <w:r w:rsidR="00405645" w:rsidRPr="00495C84">
        <w:rPr>
          <w:color w:val="auto"/>
        </w:rPr>
        <w:t>–</w:t>
      </w:r>
      <w:r w:rsidR="00B404A1" w:rsidRPr="00495C84">
        <w:rPr>
          <w:color w:val="auto"/>
        </w:rPr>
        <w:t xml:space="preserve"> K</w:t>
      </w:r>
      <w:r w:rsidR="00AE4AB9">
        <w:rPr>
          <w:rStyle w:val="FootnoteReference"/>
          <w:color w:val="auto"/>
          <w:szCs w:val="22"/>
        </w:rPr>
        <w:footnoteReference w:id="7"/>
      </w:r>
      <w:r w:rsidR="00405645" w:rsidRPr="00495C84">
        <w:rPr>
          <w:color w:val="auto"/>
        </w:rPr>
        <w:t xml:space="preserve"> in November 2017 to discuss their knowledge of the routes.  </w:t>
      </w:r>
      <w:r w:rsidR="0028002D" w:rsidRPr="00495C84">
        <w:rPr>
          <w:color w:val="auto"/>
        </w:rPr>
        <w:t xml:space="preserve">It </w:t>
      </w:r>
      <w:r w:rsidR="009A2D32">
        <w:rPr>
          <w:color w:val="auto"/>
        </w:rPr>
        <w:t>i</w:t>
      </w:r>
      <w:r w:rsidR="0028002D" w:rsidRPr="00495C84">
        <w:rPr>
          <w:color w:val="auto"/>
        </w:rPr>
        <w:t xml:space="preserve">s also clear that SCC sought rebuttal evidence </w:t>
      </w:r>
      <w:r w:rsidR="003948D8">
        <w:rPr>
          <w:color w:val="auto"/>
        </w:rPr>
        <w:t>f</w:t>
      </w:r>
      <w:r w:rsidR="00511286">
        <w:rPr>
          <w:color w:val="auto"/>
        </w:rPr>
        <w:t xml:space="preserve">rom the applicants for costs </w:t>
      </w:r>
      <w:r w:rsidR="0028002D" w:rsidRPr="00495C84">
        <w:rPr>
          <w:color w:val="auto"/>
        </w:rPr>
        <w:t>on a number of occasion</w:t>
      </w:r>
      <w:r w:rsidR="00A17713" w:rsidRPr="00495C84">
        <w:rPr>
          <w:color w:val="auto"/>
        </w:rPr>
        <w:t>s</w:t>
      </w:r>
      <w:r w:rsidR="0028002D" w:rsidRPr="00495C84">
        <w:rPr>
          <w:color w:val="auto"/>
        </w:rPr>
        <w:t xml:space="preserve"> from </w:t>
      </w:r>
      <w:r w:rsidR="00A17713" w:rsidRPr="00495C84">
        <w:rPr>
          <w:color w:val="auto"/>
        </w:rPr>
        <w:t>December 2013.</w:t>
      </w:r>
      <w:r w:rsidR="001612A0" w:rsidRPr="00495C84">
        <w:rPr>
          <w:color w:val="auto"/>
        </w:rPr>
        <w:t xml:space="preserve">  When some evidence</w:t>
      </w:r>
      <w:r w:rsidR="00C10E21">
        <w:rPr>
          <w:color w:val="auto"/>
        </w:rPr>
        <w:t>,</w:t>
      </w:r>
      <w:r w:rsidR="001612A0" w:rsidRPr="00495C84">
        <w:rPr>
          <w:color w:val="auto"/>
        </w:rPr>
        <w:t xml:space="preserve"> and Counsel’s opinion</w:t>
      </w:r>
      <w:r w:rsidR="00C10E21">
        <w:rPr>
          <w:color w:val="auto"/>
        </w:rPr>
        <w:t>,</w:t>
      </w:r>
      <w:r w:rsidR="001612A0" w:rsidRPr="00495C84">
        <w:rPr>
          <w:color w:val="auto"/>
        </w:rPr>
        <w:t xml:space="preserve"> was sent through in January 2018 the SCC Officer fairly asked for de</w:t>
      </w:r>
      <w:r w:rsidR="003D2FD9" w:rsidRPr="00495C84">
        <w:rPr>
          <w:color w:val="auto"/>
        </w:rPr>
        <w:t xml:space="preserve">ferment </w:t>
      </w:r>
      <w:r w:rsidR="001612A0" w:rsidRPr="00495C84">
        <w:rPr>
          <w:color w:val="auto"/>
        </w:rPr>
        <w:t xml:space="preserve">of the </w:t>
      </w:r>
      <w:r w:rsidR="003D2FD9" w:rsidRPr="00495C84">
        <w:rPr>
          <w:color w:val="auto"/>
        </w:rPr>
        <w:t>Committee report to take account of that evidence.</w:t>
      </w:r>
      <w:r w:rsidR="00495C84">
        <w:rPr>
          <w:color w:val="auto"/>
        </w:rPr>
        <w:t xml:space="preserve">  </w:t>
      </w:r>
      <w:r w:rsidR="003D2FD9" w:rsidRPr="00495C84">
        <w:rPr>
          <w:color w:val="auto"/>
        </w:rPr>
        <w:t>T</w:t>
      </w:r>
      <w:r w:rsidR="0042442C" w:rsidRPr="00495C84">
        <w:rPr>
          <w:color w:val="auto"/>
        </w:rPr>
        <w:t xml:space="preserve">he </w:t>
      </w:r>
      <w:r w:rsidR="003D2FD9" w:rsidRPr="00495C84">
        <w:rPr>
          <w:color w:val="auto"/>
        </w:rPr>
        <w:t>landowners</w:t>
      </w:r>
      <w:r w:rsidR="00197A06" w:rsidRPr="00495C84">
        <w:rPr>
          <w:color w:val="auto"/>
        </w:rPr>
        <w:t xml:space="preserve">, including </w:t>
      </w:r>
      <w:r w:rsidR="00B8551F">
        <w:rPr>
          <w:color w:val="auto"/>
        </w:rPr>
        <w:lastRenderedPageBreak/>
        <w:t xml:space="preserve">representatives of </w:t>
      </w:r>
      <w:r w:rsidR="00197A06" w:rsidRPr="00495C84">
        <w:rPr>
          <w:color w:val="auto"/>
        </w:rPr>
        <w:t>the applicants fo</w:t>
      </w:r>
      <w:r w:rsidR="0042442C" w:rsidRPr="00495C84">
        <w:rPr>
          <w:color w:val="auto"/>
        </w:rPr>
        <w:t>r</w:t>
      </w:r>
      <w:r w:rsidR="00197A06" w:rsidRPr="00495C84">
        <w:rPr>
          <w:color w:val="auto"/>
        </w:rPr>
        <w:t xml:space="preserve"> costs, </w:t>
      </w:r>
      <w:r w:rsidR="00E10E55" w:rsidRPr="00495C84">
        <w:rPr>
          <w:color w:val="auto"/>
        </w:rPr>
        <w:t>attende</w:t>
      </w:r>
      <w:r w:rsidR="0042442C" w:rsidRPr="00495C84">
        <w:rPr>
          <w:color w:val="auto"/>
        </w:rPr>
        <w:t>d</w:t>
      </w:r>
      <w:r w:rsidR="00E10E55" w:rsidRPr="00495C84">
        <w:rPr>
          <w:color w:val="auto"/>
        </w:rPr>
        <w:t xml:space="preserve"> and spoke at th</w:t>
      </w:r>
      <w:r w:rsidR="0042442C" w:rsidRPr="00495C84">
        <w:rPr>
          <w:color w:val="auto"/>
        </w:rPr>
        <w:t>e</w:t>
      </w:r>
      <w:r w:rsidR="00E10E55" w:rsidRPr="00495C84">
        <w:rPr>
          <w:color w:val="auto"/>
        </w:rPr>
        <w:t xml:space="preserve"> Committee meeting</w:t>
      </w:r>
      <w:r w:rsidR="00BE0CE1">
        <w:rPr>
          <w:color w:val="auto"/>
        </w:rPr>
        <w:t xml:space="preserve"> on 22 June 2018</w:t>
      </w:r>
      <w:r w:rsidR="00E10E55" w:rsidRPr="00495C84">
        <w:rPr>
          <w:color w:val="auto"/>
        </w:rPr>
        <w:t xml:space="preserve">.  </w:t>
      </w:r>
    </w:p>
    <w:p w14:paraId="13382552" w14:textId="30862754" w:rsidR="00B8551F" w:rsidRPr="00B8551F" w:rsidRDefault="001E31C3" w:rsidP="00B8551F">
      <w:pPr>
        <w:pStyle w:val="Style1"/>
        <w:numPr>
          <w:ilvl w:val="0"/>
          <w:numId w:val="6"/>
        </w:numPr>
        <w:spacing w:before="140"/>
      </w:pPr>
      <w:r>
        <w:rPr>
          <w:color w:val="auto"/>
        </w:rPr>
        <w:t xml:space="preserve">In relation to section </w:t>
      </w:r>
      <w:r w:rsidR="00B8551F" w:rsidRPr="00B8551F">
        <w:rPr>
          <w:color w:val="auto"/>
        </w:rPr>
        <w:t>G</w:t>
      </w:r>
      <w:r>
        <w:rPr>
          <w:color w:val="auto"/>
        </w:rPr>
        <w:t xml:space="preserve"> </w:t>
      </w:r>
      <w:r w:rsidR="009C000A">
        <w:rPr>
          <w:color w:val="auto"/>
        </w:rPr>
        <w:t>–</w:t>
      </w:r>
      <w:r>
        <w:rPr>
          <w:color w:val="auto"/>
        </w:rPr>
        <w:t xml:space="preserve"> H</w:t>
      </w:r>
      <w:r w:rsidR="009C000A">
        <w:rPr>
          <w:color w:val="auto"/>
        </w:rPr>
        <w:t xml:space="preserve">, which is FP613 and links to FP614, </w:t>
      </w:r>
      <w:r w:rsidR="00415FAA">
        <w:rPr>
          <w:color w:val="auto"/>
        </w:rPr>
        <w:t xml:space="preserve">it will be seen from the OD that I did not agree with SCC’s argument on this matter.  </w:t>
      </w:r>
      <w:r w:rsidR="00811CB5">
        <w:rPr>
          <w:color w:val="auto"/>
        </w:rPr>
        <w:t>Nonetheless, I do not consider the</w:t>
      </w:r>
      <w:r w:rsidR="001059D1">
        <w:rPr>
          <w:color w:val="auto"/>
        </w:rPr>
        <w:t>ir</w:t>
      </w:r>
      <w:r w:rsidR="00811CB5">
        <w:rPr>
          <w:color w:val="auto"/>
        </w:rPr>
        <w:t xml:space="preserve"> argument </w:t>
      </w:r>
      <w:r w:rsidR="001059D1">
        <w:rPr>
          <w:color w:val="auto"/>
        </w:rPr>
        <w:t xml:space="preserve">was </w:t>
      </w:r>
      <w:r w:rsidR="00811CB5">
        <w:rPr>
          <w:color w:val="auto"/>
        </w:rPr>
        <w:t>entirely unreasonable</w:t>
      </w:r>
      <w:r w:rsidR="001059D1">
        <w:rPr>
          <w:color w:val="auto"/>
        </w:rPr>
        <w:t xml:space="preserve">.  Nor do I consider it took significant time to be dealt with as part of the Inquiry processes.  The removal of that point or argument would not, in my view, have shortened the number of </w:t>
      </w:r>
      <w:r w:rsidR="00E628D7">
        <w:rPr>
          <w:color w:val="auto"/>
        </w:rPr>
        <w:t xml:space="preserve">sitting </w:t>
      </w:r>
      <w:r w:rsidR="001059D1">
        <w:rPr>
          <w:color w:val="auto"/>
        </w:rPr>
        <w:t xml:space="preserve">days </w:t>
      </w:r>
      <w:r w:rsidR="00E628D7">
        <w:rPr>
          <w:color w:val="auto"/>
        </w:rPr>
        <w:t>n</w:t>
      </w:r>
      <w:r w:rsidR="00411F97">
        <w:rPr>
          <w:color w:val="auto"/>
        </w:rPr>
        <w:t>o</w:t>
      </w:r>
      <w:r w:rsidR="00E628D7">
        <w:rPr>
          <w:color w:val="auto"/>
        </w:rPr>
        <w:t xml:space="preserve">r </w:t>
      </w:r>
      <w:r w:rsidR="008A2E7F">
        <w:rPr>
          <w:color w:val="auto"/>
        </w:rPr>
        <w:t xml:space="preserve">entirely </w:t>
      </w:r>
      <w:r w:rsidR="00E628D7">
        <w:rPr>
          <w:color w:val="auto"/>
        </w:rPr>
        <w:t xml:space="preserve">avoided an </w:t>
      </w:r>
      <w:r w:rsidR="001059D1">
        <w:rPr>
          <w:color w:val="auto"/>
        </w:rPr>
        <w:t>Inquiry</w:t>
      </w:r>
      <w:r w:rsidR="00E628D7">
        <w:rPr>
          <w:color w:val="auto"/>
        </w:rPr>
        <w:t xml:space="preserve"> </w:t>
      </w:r>
      <w:r w:rsidR="008A2E7F">
        <w:rPr>
          <w:color w:val="auto"/>
        </w:rPr>
        <w:t>occurring</w:t>
      </w:r>
      <w:r w:rsidR="001059D1">
        <w:rPr>
          <w:color w:val="auto"/>
        </w:rPr>
        <w:t>.</w:t>
      </w:r>
    </w:p>
    <w:p w14:paraId="2B998FB6" w14:textId="74A2EFA5" w:rsidR="00495C84" w:rsidRPr="00A50911" w:rsidRDefault="00BC0255" w:rsidP="00495C84">
      <w:pPr>
        <w:pStyle w:val="Style1"/>
        <w:numPr>
          <w:ilvl w:val="0"/>
          <w:numId w:val="6"/>
        </w:numPr>
        <w:spacing w:before="140"/>
      </w:pPr>
      <w:r>
        <w:rPr>
          <w:color w:val="auto"/>
        </w:rPr>
        <w:t xml:space="preserve">Taking account of these points I am satisfied that no prejudice arose from the </w:t>
      </w:r>
      <w:r w:rsidR="00F565DF">
        <w:rPr>
          <w:color w:val="auto"/>
        </w:rPr>
        <w:t xml:space="preserve">way in which SCC carried out its investigation into the application and reached a decision to make the Order.  </w:t>
      </w:r>
      <w:r w:rsidR="000A2686">
        <w:rPr>
          <w:color w:val="auto"/>
        </w:rPr>
        <w:t>I am also satisfied that it was not unreasonable for them to support the confirmation of the Order</w:t>
      </w:r>
      <w:r w:rsidR="001F5C73">
        <w:rPr>
          <w:color w:val="auto"/>
        </w:rPr>
        <w:t xml:space="preserve"> </w:t>
      </w:r>
      <w:r w:rsidR="000A2686">
        <w:rPr>
          <w:color w:val="auto"/>
        </w:rPr>
        <w:t xml:space="preserve">at the Inquiry.  </w:t>
      </w:r>
      <w:r w:rsidR="00F565DF">
        <w:rPr>
          <w:color w:val="auto"/>
        </w:rPr>
        <w:t xml:space="preserve">I </w:t>
      </w:r>
      <w:r w:rsidR="001F5C73">
        <w:rPr>
          <w:color w:val="auto"/>
        </w:rPr>
        <w:t xml:space="preserve">consider </w:t>
      </w:r>
      <w:r w:rsidR="00F565DF">
        <w:rPr>
          <w:color w:val="auto"/>
        </w:rPr>
        <w:t>that it was reasonable to allege that the public rights subsisted</w:t>
      </w:r>
      <w:r w:rsidR="00492620">
        <w:rPr>
          <w:color w:val="auto"/>
        </w:rPr>
        <w:t xml:space="preserve"> and for the evidence to be tested</w:t>
      </w:r>
      <w:r w:rsidR="00F565DF">
        <w:rPr>
          <w:color w:val="auto"/>
        </w:rPr>
        <w:t>.</w:t>
      </w:r>
      <w:r w:rsidR="00492620">
        <w:rPr>
          <w:color w:val="auto"/>
        </w:rPr>
        <w:t xml:space="preserve"> </w:t>
      </w:r>
      <w:r w:rsidR="00BB5D28">
        <w:rPr>
          <w:color w:val="auto"/>
        </w:rPr>
        <w:t xml:space="preserve"> As a result, the claim for a full award of costs fails.</w:t>
      </w:r>
    </w:p>
    <w:p w14:paraId="760CDFE7" w14:textId="77777777" w:rsidR="002A5BD7" w:rsidRPr="002C6C06" w:rsidRDefault="002A5BD7" w:rsidP="002A5BD7">
      <w:pPr>
        <w:pStyle w:val="Heading6blackfont"/>
        <w:spacing w:before="120"/>
        <w:rPr>
          <w:i/>
          <w:iCs/>
          <w:color w:val="auto"/>
        </w:rPr>
      </w:pPr>
      <w:r>
        <w:rPr>
          <w:i/>
          <w:iCs/>
          <w:color w:val="auto"/>
        </w:rPr>
        <w:t xml:space="preserve">Partial Award </w:t>
      </w:r>
    </w:p>
    <w:p w14:paraId="04637BFC" w14:textId="0A0EB324" w:rsidR="00CE1587" w:rsidRDefault="00E92E52" w:rsidP="00590048">
      <w:pPr>
        <w:pStyle w:val="Style1"/>
        <w:numPr>
          <w:ilvl w:val="0"/>
          <w:numId w:val="6"/>
        </w:numPr>
        <w:spacing w:before="140"/>
      </w:pPr>
      <w:r>
        <w:rPr>
          <w:color w:val="auto"/>
        </w:rPr>
        <w:t xml:space="preserve">As noted at paragraph 1 of the OD I </w:t>
      </w:r>
      <w:r w:rsidR="00EC3C53">
        <w:rPr>
          <w:color w:val="auto"/>
        </w:rPr>
        <w:t>w</w:t>
      </w:r>
      <w:r>
        <w:rPr>
          <w:color w:val="auto"/>
        </w:rPr>
        <w:t>as</w:t>
      </w:r>
      <w:r w:rsidR="00EC3C53">
        <w:rPr>
          <w:color w:val="auto"/>
        </w:rPr>
        <w:t xml:space="preserve"> m</w:t>
      </w:r>
      <w:r>
        <w:rPr>
          <w:color w:val="auto"/>
        </w:rPr>
        <w:t>a</w:t>
      </w:r>
      <w:r w:rsidR="00EC3C53">
        <w:rPr>
          <w:color w:val="auto"/>
        </w:rPr>
        <w:t>de aware o</w:t>
      </w:r>
      <w:r>
        <w:rPr>
          <w:color w:val="auto"/>
        </w:rPr>
        <w:t>f</w:t>
      </w:r>
      <w:r w:rsidR="00EC3C53">
        <w:rPr>
          <w:color w:val="auto"/>
        </w:rPr>
        <w:t xml:space="preserve"> th</w:t>
      </w:r>
      <w:r>
        <w:rPr>
          <w:color w:val="auto"/>
        </w:rPr>
        <w:t>e</w:t>
      </w:r>
      <w:r w:rsidR="00EC3C53">
        <w:rPr>
          <w:color w:val="auto"/>
        </w:rPr>
        <w:t xml:space="preserve"> issue regarding failure to place notices on site jus</w:t>
      </w:r>
      <w:r>
        <w:rPr>
          <w:color w:val="auto"/>
        </w:rPr>
        <w:t>t</w:t>
      </w:r>
      <w:r w:rsidR="00EC3C53">
        <w:rPr>
          <w:color w:val="auto"/>
        </w:rPr>
        <w:t xml:space="preserve"> </w:t>
      </w:r>
      <w:r>
        <w:rPr>
          <w:color w:val="auto"/>
        </w:rPr>
        <w:t>prior</w:t>
      </w:r>
      <w:r w:rsidR="00EC3C53">
        <w:rPr>
          <w:color w:val="auto"/>
        </w:rPr>
        <w:t xml:space="preserve"> t</w:t>
      </w:r>
      <w:r>
        <w:rPr>
          <w:color w:val="auto"/>
        </w:rPr>
        <w:t>o</w:t>
      </w:r>
      <w:r w:rsidR="00EC3C53">
        <w:rPr>
          <w:color w:val="auto"/>
        </w:rPr>
        <w:t xml:space="preserve"> </w:t>
      </w:r>
      <w:r>
        <w:rPr>
          <w:color w:val="auto"/>
        </w:rPr>
        <w:t xml:space="preserve">the </w:t>
      </w:r>
      <w:r w:rsidR="00EC3C53">
        <w:rPr>
          <w:color w:val="auto"/>
        </w:rPr>
        <w:t>opening of the Inquir</w:t>
      </w:r>
      <w:r>
        <w:rPr>
          <w:color w:val="auto"/>
        </w:rPr>
        <w:t xml:space="preserve">y </w:t>
      </w:r>
      <w:r w:rsidR="00EC3C53">
        <w:rPr>
          <w:color w:val="auto"/>
        </w:rPr>
        <w:t>o</w:t>
      </w:r>
      <w:r>
        <w:rPr>
          <w:color w:val="auto"/>
        </w:rPr>
        <w:t>n</w:t>
      </w:r>
      <w:r w:rsidR="00EC3C53">
        <w:rPr>
          <w:color w:val="auto"/>
        </w:rPr>
        <w:t xml:space="preserve"> 14 December 2020.  </w:t>
      </w:r>
      <w:r>
        <w:rPr>
          <w:color w:val="auto"/>
        </w:rPr>
        <w:t>SCC co</w:t>
      </w:r>
      <w:r w:rsidR="00EC3C53">
        <w:rPr>
          <w:color w:val="auto"/>
        </w:rPr>
        <w:t>n</w:t>
      </w:r>
      <w:r>
        <w:rPr>
          <w:color w:val="auto"/>
        </w:rPr>
        <w:t>t</w:t>
      </w:r>
      <w:r w:rsidR="00EC3C53">
        <w:rPr>
          <w:color w:val="auto"/>
        </w:rPr>
        <w:t>ac</w:t>
      </w:r>
      <w:r>
        <w:rPr>
          <w:color w:val="auto"/>
        </w:rPr>
        <w:t>t</w:t>
      </w:r>
      <w:r w:rsidR="00EC3C53">
        <w:rPr>
          <w:color w:val="auto"/>
        </w:rPr>
        <w:t xml:space="preserve">ed </w:t>
      </w:r>
      <w:r w:rsidR="007374E0">
        <w:rPr>
          <w:color w:val="auto"/>
        </w:rPr>
        <w:t>the Planning In</w:t>
      </w:r>
      <w:r>
        <w:rPr>
          <w:color w:val="auto"/>
        </w:rPr>
        <w:t>s</w:t>
      </w:r>
      <w:r w:rsidR="007374E0">
        <w:rPr>
          <w:color w:val="auto"/>
        </w:rPr>
        <w:t xml:space="preserve">pectorate on 9 December to ask whether </w:t>
      </w:r>
      <w:r>
        <w:rPr>
          <w:color w:val="auto"/>
        </w:rPr>
        <w:t>notic</w:t>
      </w:r>
      <w:r w:rsidR="007374E0">
        <w:rPr>
          <w:color w:val="auto"/>
        </w:rPr>
        <w:t>e</w:t>
      </w:r>
      <w:r w:rsidR="00A25249">
        <w:rPr>
          <w:color w:val="auto"/>
        </w:rPr>
        <w:t>s</w:t>
      </w:r>
      <w:r w:rsidR="007374E0">
        <w:rPr>
          <w:color w:val="auto"/>
        </w:rPr>
        <w:t xml:space="preserve"> sh</w:t>
      </w:r>
      <w:r>
        <w:rPr>
          <w:color w:val="auto"/>
        </w:rPr>
        <w:t>o</w:t>
      </w:r>
      <w:r w:rsidR="007374E0">
        <w:rPr>
          <w:color w:val="auto"/>
        </w:rPr>
        <w:t>ul</w:t>
      </w:r>
      <w:r>
        <w:rPr>
          <w:color w:val="auto"/>
        </w:rPr>
        <w:t>d h</w:t>
      </w:r>
      <w:r w:rsidR="007374E0">
        <w:rPr>
          <w:color w:val="auto"/>
        </w:rPr>
        <w:t>av</w:t>
      </w:r>
      <w:r>
        <w:rPr>
          <w:color w:val="auto"/>
        </w:rPr>
        <w:t>e</w:t>
      </w:r>
      <w:r w:rsidR="007374E0">
        <w:rPr>
          <w:color w:val="auto"/>
        </w:rPr>
        <w:t xml:space="preserve"> been put </w:t>
      </w:r>
      <w:r w:rsidR="00A25249">
        <w:rPr>
          <w:color w:val="auto"/>
        </w:rPr>
        <w:t xml:space="preserve">up </w:t>
      </w:r>
      <w:r w:rsidR="007374E0">
        <w:rPr>
          <w:color w:val="auto"/>
        </w:rPr>
        <w:t>o</w:t>
      </w:r>
      <w:r w:rsidR="00A25249">
        <w:rPr>
          <w:color w:val="auto"/>
        </w:rPr>
        <w:t xml:space="preserve">n site or in the local newspaper </w:t>
      </w:r>
      <w:r w:rsidR="00745B06">
        <w:rPr>
          <w:color w:val="auto"/>
        </w:rPr>
        <w:t xml:space="preserve">advertising the Public Inquiry, given that the event was being held virtually.  As a result, the Planning Inspectorate wrote to all parties on that </w:t>
      </w:r>
      <w:r>
        <w:rPr>
          <w:color w:val="auto"/>
        </w:rPr>
        <w:t>d</w:t>
      </w:r>
      <w:r w:rsidR="00745B06">
        <w:rPr>
          <w:color w:val="auto"/>
        </w:rPr>
        <w:t xml:space="preserve">ate to confirm </w:t>
      </w:r>
      <w:r w:rsidR="00311879">
        <w:t>t</w:t>
      </w:r>
      <w:r w:rsidR="00EE4AD6">
        <w:t>hat the Inquiry c</w:t>
      </w:r>
      <w:r w:rsidR="00311879">
        <w:t xml:space="preserve">ould </w:t>
      </w:r>
      <w:r w:rsidR="00EE4AD6">
        <w:t>not proceed as intended</w:t>
      </w:r>
      <w:r w:rsidR="00311879">
        <w:t xml:space="preserve"> bu</w:t>
      </w:r>
      <w:r w:rsidR="00EE4AD6">
        <w:t>t w</w:t>
      </w:r>
      <w:r w:rsidR="00311879">
        <w:t>ould o</w:t>
      </w:r>
      <w:r w:rsidR="00EE4AD6">
        <w:t>pe</w:t>
      </w:r>
      <w:r w:rsidR="00311879">
        <w:t xml:space="preserve">n </w:t>
      </w:r>
      <w:r w:rsidR="00EE4AD6">
        <w:t>to</w:t>
      </w:r>
      <w:r w:rsidR="00311879">
        <w:t xml:space="preserve"> </w:t>
      </w:r>
      <w:r w:rsidR="00EE4AD6">
        <w:t>investigate resum</w:t>
      </w:r>
      <w:r w:rsidR="0039073F">
        <w:t>p</w:t>
      </w:r>
      <w:r w:rsidR="00EE4AD6">
        <w:t>t</w:t>
      </w:r>
      <w:r w:rsidR="0039073F">
        <w:t>ion dates</w:t>
      </w:r>
      <w:r w:rsidR="00EE4AD6">
        <w:t>.</w:t>
      </w:r>
      <w:r w:rsidR="0039073F">
        <w:t xml:space="preserve">  That process took no more than </w:t>
      </w:r>
      <w:r w:rsidR="00CE1587">
        <w:t>7 minutes with adjournment to 8</w:t>
      </w:r>
      <w:r w:rsidR="00EE4AD6">
        <w:t xml:space="preserve"> March 2021</w:t>
      </w:r>
      <w:r w:rsidR="00CE1587">
        <w:t>.</w:t>
      </w:r>
    </w:p>
    <w:p w14:paraId="362F9B36" w14:textId="712ECE86" w:rsidR="00EE4AD6" w:rsidRDefault="001E205A" w:rsidP="00590048">
      <w:pPr>
        <w:pStyle w:val="Style1"/>
        <w:numPr>
          <w:ilvl w:val="0"/>
          <w:numId w:val="6"/>
        </w:numPr>
        <w:spacing w:before="140"/>
      </w:pPr>
      <w:bookmarkStart w:id="1" w:name="_Ref70695592"/>
      <w:r>
        <w:t>A</w:t>
      </w:r>
      <w:r w:rsidR="00EE4AD6">
        <w:t>s</w:t>
      </w:r>
      <w:r>
        <w:t xml:space="preserve"> </w:t>
      </w:r>
      <w:r w:rsidR="00EE4AD6">
        <w:t>no</w:t>
      </w:r>
      <w:r>
        <w:t>te</w:t>
      </w:r>
      <w:r w:rsidR="00EE4AD6">
        <w:t>d</w:t>
      </w:r>
      <w:r>
        <w:t xml:space="preserve"> </w:t>
      </w:r>
      <w:r w:rsidR="00EE4AD6">
        <w:t>i</w:t>
      </w:r>
      <w:r>
        <w:t>n the OD, the Inquiry wa</w:t>
      </w:r>
      <w:r w:rsidR="00EE4AD6">
        <w:t xml:space="preserve">s </w:t>
      </w:r>
      <w:r>
        <w:t>due t</w:t>
      </w:r>
      <w:r w:rsidR="00EE4AD6">
        <w:t>o</w:t>
      </w:r>
      <w:r>
        <w:t xml:space="preserve"> ope</w:t>
      </w:r>
      <w:r w:rsidR="00EE4AD6">
        <w:t>n</w:t>
      </w:r>
      <w:r>
        <w:t xml:space="preserve"> </w:t>
      </w:r>
      <w:r w:rsidR="00926C6E">
        <w:t>on 1 April 2020.  A letter was sent to SCC by the Planning Insp</w:t>
      </w:r>
      <w:r w:rsidR="00F34A26">
        <w:t>e</w:t>
      </w:r>
      <w:r w:rsidR="00926C6E">
        <w:t>cto</w:t>
      </w:r>
      <w:r w:rsidR="00F34A26">
        <w:t>r</w:t>
      </w:r>
      <w:r w:rsidR="00926C6E">
        <w:t xml:space="preserve">ate </w:t>
      </w:r>
      <w:r w:rsidR="00F34A26">
        <w:t xml:space="preserve">on 24 September 2019 </w:t>
      </w:r>
      <w:r w:rsidR="00C5771F">
        <w:t xml:space="preserve">providing relevant information </w:t>
      </w:r>
      <w:r w:rsidR="00195298">
        <w:t xml:space="preserve">which </w:t>
      </w:r>
      <w:r w:rsidR="00F51143">
        <w:t>st</w:t>
      </w:r>
      <w:r w:rsidR="00195298">
        <w:t>a</w:t>
      </w:r>
      <w:r w:rsidR="00F51143">
        <w:t>t</w:t>
      </w:r>
      <w:r w:rsidR="00195298">
        <w:t>ed</w:t>
      </w:r>
      <w:r w:rsidR="00F51143">
        <w:t>:</w:t>
      </w:r>
      <w:bookmarkEnd w:id="1"/>
      <w:r w:rsidR="00F51143">
        <w:t xml:space="preserve"> </w:t>
      </w:r>
    </w:p>
    <w:p w14:paraId="29B04569" w14:textId="77777777" w:rsidR="00F51143" w:rsidRDefault="00F51143" w:rsidP="00F51143">
      <w:pPr>
        <w:pStyle w:val="ListParagraph"/>
      </w:pPr>
    </w:p>
    <w:p w14:paraId="23B70218" w14:textId="574D9013" w:rsidR="00447C83" w:rsidRPr="00195298" w:rsidRDefault="00F51143" w:rsidP="00F51143">
      <w:pPr>
        <w:autoSpaceDE w:val="0"/>
        <w:autoSpaceDN w:val="0"/>
        <w:adjustRightInd w:val="0"/>
        <w:ind w:left="720"/>
        <w:rPr>
          <w:rFonts w:cs="Verdana"/>
          <w:i/>
          <w:iCs/>
          <w:szCs w:val="22"/>
        </w:rPr>
      </w:pPr>
      <w:r>
        <w:rPr>
          <w:rFonts w:cs="Verdana"/>
          <w:szCs w:val="22"/>
        </w:rPr>
        <w:t>“</w:t>
      </w:r>
      <w:r w:rsidR="00447C83" w:rsidRPr="00195298">
        <w:rPr>
          <w:rFonts w:cs="Verdana"/>
          <w:i/>
          <w:iCs/>
          <w:szCs w:val="22"/>
        </w:rPr>
        <w:t xml:space="preserve">I also enclose a copy of a site notice for the inquiry and a copy of the order map. </w:t>
      </w:r>
      <w:r w:rsidR="00447C83" w:rsidRPr="00195298">
        <w:rPr>
          <w:rFonts w:cs="Verdana"/>
          <w:b/>
          <w:bCs/>
          <w:i/>
          <w:iCs/>
          <w:szCs w:val="22"/>
        </w:rPr>
        <w:t>Not less</w:t>
      </w:r>
      <w:r w:rsidRPr="00195298">
        <w:rPr>
          <w:rFonts w:cs="Verdana"/>
          <w:b/>
          <w:bCs/>
          <w:i/>
          <w:iCs/>
          <w:szCs w:val="22"/>
        </w:rPr>
        <w:t xml:space="preserve"> </w:t>
      </w:r>
      <w:r w:rsidR="00447C83" w:rsidRPr="00195298">
        <w:rPr>
          <w:rFonts w:cs="Verdana"/>
          <w:b/>
          <w:bCs/>
          <w:i/>
          <w:iCs/>
          <w:szCs w:val="22"/>
        </w:rPr>
        <w:t xml:space="preserve">than 4 weeks </w:t>
      </w:r>
      <w:r w:rsidR="00447C83" w:rsidRPr="00195298">
        <w:rPr>
          <w:rFonts w:cs="Verdana"/>
          <w:i/>
          <w:iCs/>
          <w:szCs w:val="22"/>
        </w:rPr>
        <w:t>before the date fixed for the inquiry, copies of the site notice will need to</w:t>
      </w:r>
      <w:r w:rsidRPr="00195298">
        <w:rPr>
          <w:rFonts w:cs="Verdana"/>
          <w:i/>
          <w:iCs/>
          <w:szCs w:val="22"/>
        </w:rPr>
        <w:t xml:space="preserve"> </w:t>
      </w:r>
      <w:r w:rsidR="00447C83" w:rsidRPr="00195298">
        <w:rPr>
          <w:rFonts w:cs="Verdana"/>
          <w:i/>
          <w:iCs/>
          <w:szCs w:val="22"/>
        </w:rPr>
        <w:t>be:</w:t>
      </w:r>
    </w:p>
    <w:p w14:paraId="559D153F" w14:textId="77777777" w:rsidR="00F51143" w:rsidRPr="00195298" w:rsidRDefault="00F51143" w:rsidP="00F51143">
      <w:pPr>
        <w:autoSpaceDE w:val="0"/>
        <w:autoSpaceDN w:val="0"/>
        <w:adjustRightInd w:val="0"/>
        <w:ind w:left="720"/>
        <w:rPr>
          <w:rFonts w:cs="Verdana"/>
          <w:i/>
          <w:iCs/>
          <w:szCs w:val="22"/>
        </w:rPr>
      </w:pPr>
    </w:p>
    <w:p w14:paraId="43DA9A92" w14:textId="3468B1E6" w:rsidR="00195298" w:rsidRPr="00195298" w:rsidRDefault="00447C83" w:rsidP="00195298">
      <w:pPr>
        <w:pStyle w:val="ListParagraph"/>
        <w:numPr>
          <w:ilvl w:val="0"/>
          <w:numId w:val="36"/>
        </w:numPr>
        <w:autoSpaceDE w:val="0"/>
        <w:autoSpaceDN w:val="0"/>
        <w:adjustRightInd w:val="0"/>
        <w:rPr>
          <w:rFonts w:cs="Verdana"/>
          <w:i/>
          <w:iCs/>
          <w:szCs w:val="22"/>
        </w:rPr>
      </w:pPr>
      <w:r w:rsidRPr="00195298">
        <w:rPr>
          <w:rFonts w:cs="Verdana"/>
          <w:i/>
          <w:iCs/>
          <w:szCs w:val="22"/>
        </w:rPr>
        <w:t>displayed in a prominent position at each end of the way(s) affected by the Order(s)</w:t>
      </w:r>
      <w:r w:rsidR="00195298" w:rsidRPr="00195298">
        <w:rPr>
          <w:rFonts w:cs="Verdana"/>
          <w:i/>
          <w:iCs/>
          <w:szCs w:val="22"/>
        </w:rPr>
        <w:t xml:space="preserve"> </w:t>
      </w:r>
      <w:r w:rsidRPr="00195298">
        <w:rPr>
          <w:rFonts w:cs="Verdana"/>
          <w:i/>
          <w:iCs/>
          <w:szCs w:val="22"/>
        </w:rPr>
        <w:t xml:space="preserve">along with a copy of the </w:t>
      </w:r>
      <w:proofErr w:type="gramStart"/>
      <w:r w:rsidRPr="00195298">
        <w:rPr>
          <w:rFonts w:cs="Verdana"/>
          <w:i/>
          <w:iCs/>
          <w:szCs w:val="22"/>
        </w:rPr>
        <w:t>map;</w:t>
      </w:r>
      <w:proofErr w:type="gramEnd"/>
    </w:p>
    <w:p w14:paraId="2F7D9CBF" w14:textId="77777777" w:rsidR="00195298" w:rsidRPr="00195298" w:rsidRDefault="00195298" w:rsidP="00195298">
      <w:pPr>
        <w:pStyle w:val="ListParagraph"/>
        <w:autoSpaceDE w:val="0"/>
        <w:autoSpaceDN w:val="0"/>
        <w:adjustRightInd w:val="0"/>
        <w:ind w:left="1440"/>
        <w:rPr>
          <w:rFonts w:cs="Verdana"/>
          <w:i/>
          <w:iCs/>
          <w:szCs w:val="22"/>
        </w:rPr>
      </w:pPr>
    </w:p>
    <w:p w14:paraId="2958A622" w14:textId="77777777" w:rsidR="00195298" w:rsidRPr="00195298" w:rsidRDefault="00447C83" w:rsidP="00195298">
      <w:pPr>
        <w:pStyle w:val="ListParagraph"/>
        <w:numPr>
          <w:ilvl w:val="0"/>
          <w:numId w:val="36"/>
        </w:numPr>
        <w:autoSpaceDE w:val="0"/>
        <w:autoSpaceDN w:val="0"/>
        <w:adjustRightInd w:val="0"/>
        <w:rPr>
          <w:rFonts w:cs="Verdana"/>
          <w:i/>
          <w:iCs/>
          <w:szCs w:val="22"/>
        </w:rPr>
      </w:pPr>
      <w:r w:rsidRPr="00195298">
        <w:rPr>
          <w:rFonts w:cs="Verdana"/>
          <w:i/>
          <w:iCs/>
          <w:szCs w:val="22"/>
        </w:rPr>
        <w:t>displayed in such other places within the locality as you consider appropriate along</w:t>
      </w:r>
      <w:r w:rsidR="00195298" w:rsidRPr="00195298">
        <w:rPr>
          <w:rFonts w:cs="Verdana"/>
          <w:i/>
          <w:iCs/>
          <w:szCs w:val="22"/>
        </w:rPr>
        <w:t xml:space="preserve"> </w:t>
      </w:r>
      <w:r w:rsidRPr="00195298">
        <w:rPr>
          <w:rFonts w:cs="Verdana"/>
          <w:i/>
          <w:iCs/>
          <w:szCs w:val="22"/>
        </w:rPr>
        <w:t xml:space="preserve">with a copy of the </w:t>
      </w:r>
      <w:proofErr w:type="gramStart"/>
      <w:r w:rsidRPr="00195298">
        <w:rPr>
          <w:rFonts w:cs="Verdana"/>
          <w:i/>
          <w:iCs/>
          <w:szCs w:val="22"/>
        </w:rPr>
        <w:t>map;</w:t>
      </w:r>
      <w:proofErr w:type="gramEnd"/>
    </w:p>
    <w:p w14:paraId="48EA1F5F" w14:textId="77777777" w:rsidR="00195298" w:rsidRPr="00195298" w:rsidRDefault="00195298" w:rsidP="00195298">
      <w:pPr>
        <w:pStyle w:val="ListParagraph"/>
        <w:rPr>
          <w:rFonts w:cs="Verdana"/>
          <w:i/>
          <w:iCs/>
          <w:szCs w:val="22"/>
        </w:rPr>
      </w:pPr>
    </w:p>
    <w:p w14:paraId="511C0290" w14:textId="77777777" w:rsidR="00195298" w:rsidRPr="00195298" w:rsidRDefault="00447C83" w:rsidP="00DC1420">
      <w:pPr>
        <w:pStyle w:val="ListParagraph"/>
        <w:numPr>
          <w:ilvl w:val="0"/>
          <w:numId w:val="36"/>
        </w:numPr>
        <w:autoSpaceDE w:val="0"/>
        <w:autoSpaceDN w:val="0"/>
        <w:adjustRightInd w:val="0"/>
        <w:rPr>
          <w:rFonts w:cs="Verdana"/>
          <w:i/>
          <w:iCs/>
          <w:szCs w:val="22"/>
        </w:rPr>
      </w:pPr>
      <w:r w:rsidRPr="00195298">
        <w:rPr>
          <w:rFonts w:cs="Verdana"/>
          <w:i/>
          <w:iCs/>
          <w:szCs w:val="22"/>
        </w:rPr>
        <w:t>published in one or more newspapers circulating in the locality where the land to</w:t>
      </w:r>
      <w:r w:rsidR="00F51143" w:rsidRPr="00195298">
        <w:rPr>
          <w:rFonts w:cs="Verdana"/>
          <w:i/>
          <w:iCs/>
          <w:szCs w:val="22"/>
        </w:rPr>
        <w:t xml:space="preserve"> which the Order relates is situated; and</w:t>
      </w:r>
    </w:p>
    <w:p w14:paraId="3A9B296D" w14:textId="77777777" w:rsidR="00195298" w:rsidRPr="00195298" w:rsidRDefault="00195298" w:rsidP="00195298">
      <w:pPr>
        <w:pStyle w:val="ListParagraph"/>
        <w:rPr>
          <w:rFonts w:cs="Verdana"/>
          <w:i/>
          <w:iCs/>
          <w:szCs w:val="22"/>
        </w:rPr>
      </w:pPr>
    </w:p>
    <w:p w14:paraId="7B147D56" w14:textId="7E473871" w:rsidR="00EE4AD6" w:rsidRPr="00195298" w:rsidRDefault="00F51143" w:rsidP="00195298">
      <w:pPr>
        <w:pStyle w:val="ListParagraph"/>
        <w:numPr>
          <w:ilvl w:val="0"/>
          <w:numId w:val="36"/>
        </w:numPr>
        <w:autoSpaceDE w:val="0"/>
        <w:autoSpaceDN w:val="0"/>
        <w:adjustRightInd w:val="0"/>
        <w:rPr>
          <w:rFonts w:cs="Verdana"/>
          <w:szCs w:val="22"/>
        </w:rPr>
      </w:pPr>
      <w:r w:rsidRPr="00195298">
        <w:rPr>
          <w:rFonts w:cs="Verdana"/>
          <w:i/>
          <w:iCs/>
          <w:szCs w:val="22"/>
        </w:rPr>
        <w:t>publicised by any other means you consider appropriate</w:t>
      </w:r>
      <w:r w:rsidRPr="00195298">
        <w:rPr>
          <w:rFonts w:cs="Verdana"/>
          <w:szCs w:val="22"/>
        </w:rPr>
        <w:t>.</w:t>
      </w:r>
      <w:r w:rsidR="00195298">
        <w:rPr>
          <w:rFonts w:cs="Verdana"/>
          <w:szCs w:val="22"/>
        </w:rPr>
        <w:t>”</w:t>
      </w:r>
    </w:p>
    <w:p w14:paraId="2BB5251F" w14:textId="07635504" w:rsidR="006E2B6E" w:rsidRPr="00656F74" w:rsidRDefault="003D400D" w:rsidP="00590048">
      <w:pPr>
        <w:pStyle w:val="Style1"/>
        <w:numPr>
          <w:ilvl w:val="0"/>
          <w:numId w:val="6"/>
        </w:numPr>
        <w:spacing w:before="140"/>
        <w:rPr>
          <w:color w:val="auto"/>
        </w:rPr>
      </w:pPr>
      <w:r>
        <w:rPr>
          <w:color w:val="auto"/>
        </w:rPr>
        <w:t xml:space="preserve">On reorganisation of the Inquiry </w:t>
      </w:r>
      <w:r w:rsidR="00E92E52">
        <w:rPr>
          <w:color w:val="auto"/>
        </w:rPr>
        <w:t>d</w:t>
      </w:r>
      <w:r>
        <w:rPr>
          <w:color w:val="auto"/>
        </w:rPr>
        <w:t>at</w:t>
      </w:r>
      <w:r w:rsidR="00E92E52">
        <w:rPr>
          <w:color w:val="auto"/>
        </w:rPr>
        <w:t>e</w:t>
      </w:r>
      <w:r>
        <w:rPr>
          <w:color w:val="auto"/>
        </w:rPr>
        <w:t xml:space="preserve"> </w:t>
      </w:r>
      <w:r w:rsidR="00E92E52">
        <w:rPr>
          <w:color w:val="auto"/>
        </w:rPr>
        <w:t>i</w:t>
      </w:r>
      <w:r>
        <w:rPr>
          <w:color w:val="auto"/>
        </w:rPr>
        <w:t>t i</w:t>
      </w:r>
      <w:r w:rsidR="00E92E52">
        <w:rPr>
          <w:color w:val="auto"/>
        </w:rPr>
        <w:t>s</w:t>
      </w:r>
      <w:r>
        <w:rPr>
          <w:color w:val="auto"/>
        </w:rPr>
        <w:t xml:space="preserve"> clear n</w:t>
      </w:r>
      <w:r w:rsidR="00E92E52">
        <w:rPr>
          <w:color w:val="auto"/>
        </w:rPr>
        <w:t>o</w:t>
      </w:r>
      <w:r>
        <w:rPr>
          <w:color w:val="auto"/>
        </w:rPr>
        <w:t xml:space="preserve"> revised </w:t>
      </w:r>
      <w:r w:rsidR="00E92E52">
        <w:rPr>
          <w:color w:val="auto"/>
        </w:rPr>
        <w:t>n</w:t>
      </w:r>
      <w:r>
        <w:rPr>
          <w:color w:val="auto"/>
        </w:rPr>
        <w:t>o</w:t>
      </w:r>
      <w:r w:rsidR="00E92E52">
        <w:rPr>
          <w:color w:val="auto"/>
        </w:rPr>
        <w:t>t</w:t>
      </w:r>
      <w:r>
        <w:rPr>
          <w:color w:val="auto"/>
        </w:rPr>
        <w:t>ice was sent t</w:t>
      </w:r>
      <w:r w:rsidR="00E92E52">
        <w:rPr>
          <w:color w:val="auto"/>
        </w:rPr>
        <w:t>o</w:t>
      </w:r>
      <w:r>
        <w:rPr>
          <w:color w:val="auto"/>
        </w:rPr>
        <w:t xml:space="preserve"> SCC</w:t>
      </w:r>
      <w:r w:rsidR="006E2B6E">
        <w:rPr>
          <w:color w:val="auto"/>
        </w:rPr>
        <w:t xml:space="preserve"> with similar instructions to t</w:t>
      </w:r>
      <w:r w:rsidR="00E92E52">
        <w:rPr>
          <w:color w:val="auto"/>
        </w:rPr>
        <w:t>h</w:t>
      </w:r>
      <w:r w:rsidR="006E2B6E">
        <w:rPr>
          <w:color w:val="auto"/>
        </w:rPr>
        <w:t>os</w:t>
      </w:r>
      <w:r w:rsidR="00E92E52">
        <w:rPr>
          <w:color w:val="auto"/>
        </w:rPr>
        <w:t xml:space="preserve">e </w:t>
      </w:r>
      <w:r w:rsidR="006E2B6E">
        <w:rPr>
          <w:color w:val="auto"/>
        </w:rPr>
        <w:t>abov</w:t>
      </w:r>
      <w:r w:rsidR="00E92E52">
        <w:rPr>
          <w:color w:val="auto"/>
        </w:rPr>
        <w:t>e.</w:t>
      </w:r>
      <w:r w:rsidR="00903B89">
        <w:rPr>
          <w:color w:val="auto"/>
        </w:rPr>
        <w:t xml:space="preserve">  </w:t>
      </w:r>
      <w:r w:rsidR="00E92E52">
        <w:rPr>
          <w:color w:val="auto"/>
        </w:rPr>
        <w:t xml:space="preserve">  </w:t>
      </w:r>
    </w:p>
    <w:p w14:paraId="77529C9D" w14:textId="40A285E6" w:rsidR="00124B58" w:rsidRPr="004E0E71" w:rsidRDefault="00656F74" w:rsidP="00590048">
      <w:pPr>
        <w:pStyle w:val="Style1"/>
        <w:numPr>
          <w:ilvl w:val="0"/>
          <w:numId w:val="6"/>
        </w:numPr>
        <w:spacing w:before="140"/>
        <w:rPr>
          <w:color w:val="auto"/>
        </w:rPr>
      </w:pPr>
      <w:r w:rsidRPr="00656F74">
        <w:rPr>
          <w:color w:val="auto"/>
        </w:rPr>
        <w:t xml:space="preserve">The requirement for notice of the Inquiry arises from </w:t>
      </w:r>
      <w:r>
        <w:rPr>
          <w:color w:val="auto"/>
        </w:rPr>
        <w:t xml:space="preserve">section 16 of </w:t>
      </w:r>
      <w:r w:rsidR="006C7A00">
        <w:rPr>
          <w:color w:val="auto"/>
        </w:rPr>
        <w:t>the 2007 Regulations</w:t>
      </w:r>
      <w:r>
        <w:rPr>
          <w:color w:val="auto"/>
        </w:rPr>
        <w:t>.</w:t>
      </w:r>
      <w:r w:rsidR="00124B58">
        <w:rPr>
          <w:color w:val="auto"/>
        </w:rPr>
        <w:t xml:space="preserve">  Th</w:t>
      </w:r>
      <w:r w:rsidR="006C7A00">
        <w:rPr>
          <w:color w:val="auto"/>
        </w:rPr>
        <w:t>e</w:t>
      </w:r>
      <w:r w:rsidR="00124B58">
        <w:rPr>
          <w:color w:val="auto"/>
        </w:rPr>
        <w:t>s</w:t>
      </w:r>
      <w:r w:rsidR="006C7A00">
        <w:rPr>
          <w:color w:val="auto"/>
        </w:rPr>
        <w:t>e</w:t>
      </w:r>
      <w:r w:rsidR="00124B58">
        <w:rPr>
          <w:color w:val="auto"/>
        </w:rPr>
        <w:t xml:space="preserve"> set out at sub-section 3 that “</w:t>
      </w:r>
      <w:r w:rsidR="00124B58" w:rsidRPr="00590048">
        <w:rPr>
          <w:i/>
          <w:iCs/>
          <w:color w:val="auto"/>
        </w:rPr>
        <w:t>Not less than four weeks before the date fixed for the inquiry, the authority—</w:t>
      </w:r>
    </w:p>
    <w:p w14:paraId="374F2441" w14:textId="17318663" w:rsidR="00124B58" w:rsidRDefault="00124B58" w:rsidP="006C2AB3">
      <w:pPr>
        <w:pStyle w:val="ListParagraph"/>
        <w:numPr>
          <w:ilvl w:val="0"/>
          <w:numId w:val="38"/>
        </w:numPr>
        <w:autoSpaceDE w:val="0"/>
        <w:autoSpaceDN w:val="0"/>
        <w:adjustRightInd w:val="0"/>
        <w:spacing w:before="160"/>
        <w:rPr>
          <w:rFonts w:cs="Verdana"/>
          <w:i/>
          <w:iCs/>
          <w:szCs w:val="22"/>
        </w:rPr>
      </w:pPr>
      <w:r w:rsidRPr="00C3600A">
        <w:rPr>
          <w:rFonts w:cs="Verdana"/>
          <w:i/>
          <w:iCs/>
          <w:szCs w:val="22"/>
        </w:rPr>
        <w:t xml:space="preserve">shall cause a notice of the inquiry to be displayed in a prominent position at each end of so much of any way or proposed way as is </w:t>
      </w:r>
      <w:r w:rsidRPr="00C3600A">
        <w:rPr>
          <w:rFonts w:cs="Verdana"/>
          <w:i/>
          <w:iCs/>
          <w:szCs w:val="22"/>
        </w:rPr>
        <w:lastRenderedPageBreak/>
        <w:t xml:space="preserve">affected by the order and in such other places in the locality as the authority may consider </w:t>
      </w:r>
      <w:proofErr w:type="gramStart"/>
      <w:r w:rsidRPr="00C3600A">
        <w:rPr>
          <w:rFonts w:cs="Verdana"/>
          <w:i/>
          <w:iCs/>
          <w:szCs w:val="22"/>
        </w:rPr>
        <w:t>appropriate;</w:t>
      </w:r>
      <w:proofErr w:type="gramEnd"/>
    </w:p>
    <w:p w14:paraId="61FD4FB7" w14:textId="77777777" w:rsidR="00C3600A" w:rsidRPr="00C3600A" w:rsidRDefault="00C3600A" w:rsidP="00C3600A">
      <w:pPr>
        <w:pStyle w:val="ListParagraph"/>
        <w:autoSpaceDE w:val="0"/>
        <w:autoSpaceDN w:val="0"/>
        <w:adjustRightInd w:val="0"/>
        <w:ind w:left="1440"/>
        <w:rPr>
          <w:rFonts w:cs="Verdana"/>
          <w:i/>
          <w:iCs/>
          <w:szCs w:val="22"/>
        </w:rPr>
      </w:pPr>
    </w:p>
    <w:p w14:paraId="722E96C5" w14:textId="1A917454" w:rsidR="00124B58" w:rsidRDefault="00C3600A" w:rsidP="00124B58">
      <w:pPr>
        <w:pStyle w:val="ListParagraph"/>
        <w:numPr>
          <w:ilvl w:val="0"/>
          <w:numId w:val="38"/>
        </w:numPr>
        <w:autoSpaceDE w:val="0"/>
        <w:autoSpaceDN w:val="0"/>
        <w:adjustRightInd w:val="0"/>
        <w:rPr>
          <w:rFonts w:cs="Verdana"/>
          <w:i/>
          <w:iCs/>
          <w:szCs w:val="22"/>
        </w:rPr>
      </w:pPr>
      <w:r>
        <w:rPr>
          <w:rFonts w:cs="Verdana"/>
          <w:i/>
          <w:iCs/>
          <w:szCs w:val="22"/>
        </w:rPr>
        <w:t>s</w:t>
      </w:r>
      <w:r w:rsidR="00124B58" w:rsidRPr="00124B58">
        <w:rPr>
          <w:rFonts w:cs="Verdana"/>
          <w:i/>
          <w:iCs/>
          <w:szCs w:val="22"/>
        </w:rPr>
        <w:t>hall publish a notice of the inquiry in one or more newspapers circulating in the locality in which the land to which the order relates is situated; and</w:t>
      </w:r>
    </w:p>
    <w:p w14:paraId="7FEDD0FC" w14:textId="77777777" w:rsidR="00C3600A" w:rsidRPr="00C3600A" w:rsidRDefault="00C3600A" w:rsidP="00C3600A">
      <w:pPr>
        <w:pStyle w:val="ListParagraph"/>
        <w:rPr>
          <w:rFonts w:cs="Verdana"/>
          <w:i/>
          <w:iCs/>
          <w:szCs w:val="22"/>
        </w:rPr>
      </w:pPr>
    </w:p>
    <w:p w14:paraId="005AF683" w14:textId="06241356" w:rsidR="00124B58" w:rsidRPr="00124B58" w:rsidRDefault="00124B58" w:rsidP="00124B58">
      <w:pPr>
        <w:pStyle w:val="ListParagraph"/>
        <w:numPr>
          <w:ilvl w:val="0"/>
          <w:numId w:val="38"/>
        </w:numPr>
        <w:autoSpaceDE w:val="0"/>
        <w:autoSpaceDN w:val="0"/>
        <w:adjustRightInd w:val="0"/>
        <w:rPr>
          <w:rFonts w:cs="Verdana"/>
          <w:i/>
          <w:iCs/>
          <w:szCs w:val="22"/>
        </w:rPr>
      </w:pPr>
      <w:r w:rsidRPr="00124B58">
        <w:rPr>
          <w:rFonts w:cs="Verdana"/>
          <w:i/>
          <w:iCs/>
          <w:szCs w:val="22"/>
        </w:rPr>
        <w:t>may publish notice of the inquiry by any additional means they consider appropriate.</w:t>
      </w:r>
    </w:p>
    <w:p w14:paraId="3A438E07" w14:textId="77F476E7" w:rsidR="00656F74" w:rsidRDefault="00C3600A" w:rsidP="00656F74">
      <w:pPr>
        <w:pStyle w:val="Style1"/>
        <w:numPr>
          <w:ilvl w:val="0"/>
          <w:numId w:val="6"/>
        </w:numPr>
        <w:spacing w:before="140"/>
        <w:rPr>
          <w:color w:val="auto"/>
        </w:rPr>
      </w:pPr>
      <w:r>
        <w:rPr>
          <w:color w:val="auto"/>
        </w:rPr>
        <w:t xml:space="preserve">Whilst the requirement is for the authority, in this case SCC, to </w:t>
      </w:r>
      <w:r w:rsidR="00BF4EB4">
        <w:rPr>
          <w:color w:val="auto"/>
        </w:rPr>
        <w:t xml:space="preserve">cause the notice to be displayed there is nothing in </w:t>
      </w:r>
      <w:r w:rsidR="006C7A00">
        <w:rPr>
          <w:color w:val="auto"/>
        </w:rPr>
        <w:t xml:space="preserve">the 2007 Regulations </w:t>
      </w:r>
      <w:r w:rsidR="00BF4EB4">
        <w:rPr>
          <w:color w:val="auto"/>
        </w:rPr>
        <w:t xml:space="preserve">to say that they should produce that notice.  As is clear from paragraph </w:t>
      </w:r>
      <w:r w:rsidR="00BF4EB4">
        <w:rPr>
          <w:color w:val="auto"/>
        </w:rPr>
        <w:fldChar w:fldCharType="begin"/>
      </w:r>
      <w:r w:rsidR="00BF4EB4">
        <w:rPr>
          <w:color w:val="auto"/>
        </w:rPr>
        <w:instrText xml:space="preserve"> REF _Ref70695592 \r \p \h </w:instrText>
      </w:r>
      <w:r w:rsidR="00BF4EB4">
        <w:rPr>
          <w:color w:val="auto"/>
        </w:rPr>
      </w:r>
      <w:r w:rsidR="00BF4EB4">
        <w:rPr>
          <w:color w:val="auto"/>
        </w:rPr>
        <w:fldChar w:fldCharType="separate"/>
      </w:r>
      <w:r w:rsidR="009D4B6B">
        <w:rPr>
          <w:color w:val="auto"/>
        </w:rPr>
        <w:t>26 above</w:t>
      </w:r>
      <w:r w:rsidR="00BF4EB4">
        <w:rPr>
          <w:color w:val="auto"/>
        </w:rPr>
        <w:fldChar w:fldCharType="end"/>
      </w:r>
      <w:r w:rsidR="00BF4EB4">
        <w:rPr>
          <w:color w:val="auto"/>
        </w:rPr>
        <w:t xml:space="preserve"> it has been custom and practice for the Planning Inspectorate to supply the notice, that not being set out as a requirement in </w:t>
      </w:r>
      <w:r w:rsidR="006C7A00">
        <w:rPr>
          <w:color w:val="auto"/>
        </w:rPr>
        <w:t>the 2007 Regulations</w:t>
      </w:r>
      <w:r w:rsidR="00BF4EB4">
        <w:rPr>
          <w:color w:val="auto"/>
        </w:rPr>
        <w:t>.</w:t>
      </w:r>
      <w:r w:rsidR="00F64A2D">
        <w:rPr>
          <w:color w:val="auto"/>
        </w:rPr>
        <w:t xml:space="preserve">  </w:t>
      </w:r>
      <w:r w:rsidR="00656F74">
        <w:rPr>
          <w:color w:val="auto"/>
        </w:rPr>
        <w:t xml:space="preserve">  </w:t>
      </w:r>
    </w:p>
    <w:p w14:paraId="6173891E" w14:textId="7998EC38" w:rsidR="00C3600A" w:rsidRPr="00656F74" w:rsidRDefault="00F64A2D" w:rsidP="00656F74">
      <w:pPr>
        <w:pStyle w:val="Style1"/>
        <w:numPr>
          <w:ilvl w:val="0"/>
          <w:numId w:val="6"/>
        </w:numPr>
        <w:spacing w:before="140"/>
        <w:rPr>
          <w:color w:val="auto"/>
        </w:rPr>
      </w:pPr>
      <w:r>
        <w:rPr>
          <w:color w:val="auto"/>
        </w:rPr>
        <w:t xml:space="preserve">As such I do not consider that SCC behaved unreasonably by not placing a notice on site or in a local newspaper as required by </w:t>
      </w:r>
      <w:r w:rsidR="006C7A00">
        <w:rPr>
          <w:color w:val="auto"/>
        </w:rPr>
        <w:t>the 2007 Regulations</w:t>
      </w:r>
      <w:r>
        <w:rPr>
          <w:color w:val="auto"/>
        </w:rPr>
        <w:t>.</w:t>
      </w:r>
      <w:r w:rsidR="006C7A00">
        <w:rPr>
          <w:color w:val="auto"/>
        </w:rPr>
        <w:t xml:space="preserve">  They had not been supplied with an appropriate notice for this purpose</w:t>
      </w:r>
      <w:r w:rsidR="00F51411">
        <w:rPr>
          <w:color w:val="auto"/>
        </w:rPr>
        <w:t xml:space="preserve"> as would normally be the case</w:t>
      </w:r>
      <w:r w:rsidR="006C7A00">
        <w:rPr>
          <w:color w:val="auto"/>
        </w:rPr>
        <w:t>.</w:t>
      </w:r>
      <w:r>
        <w:rPr>
          <w:color w:val="auto"/>
        </w:rPr>
        <w:t xml:space="preserve"> </w:t>
      </w:r>
    </w:p>
    <w:p w14:paraId="2F754247" w14:textId="2D85B5C8" w:rsidR="006E2B6E" w:rsidRDefault="00196353" w:rsidP="00E92E52">
      <w:pPr>
        <w:pStyle w:val="Style1"/>
        <w:numPr>
          <w:ilvl w:val="0"/>
          <w:numId w:val="6"/>
        </w:numPr>
        <w:spacing w:before="140"/>
        <w:rPr>
          <w:color w:val="auto"/>
        </w:rPr>
      </w:pPr>
      <w:r>
        <w:rPr>
          <w:color w:val="auto"/>
        </w:rPr>
        <w:t xml:space="preserve">Whilst the applicant for costs may have incurred unnecessary expense in relation to the planned sitting days of 14 </w:t>
      </w:r>
      <w:r w:rsidR="00F01535">
        <w:rPr>
          <w:color w:val="auto"/>
        </w:rPr>
        <w:t>–</w:t>
      </w:r>
      <w:r>
        <w:rPr>
          <w:color w:val="auto"/>
        </w:rPr>
        <w:t xml:space="preserve"> </w:t>
      </w:r>
      <w:r w:rsidR="00F01535">
        <w:rPr>
          <w:color w:val="auto"/>
        </w:rPr>
        <w:t>18 December 2020</w:t>
      </w:r>
      <w:r w:rsidR="00EC652D">
        <w:rPr>
          <w:color w:val="auto"/>
        </w:rPr>
        <w:t xml:space="preserve"> the Inquiry was planned to run as a virtual event.  When t</w:t>
      </w:r>
      <w:r w:rsidR="00A23685">
        <w:rPr>
          <w:color w:val="auto"/>
        </w:rPr>
        <w:t xml:space="preserve">he Inquiry subsequently </w:t>
      </w:r>
      <w:r w:rsidR="009339BF">
        <w:rPr>
          <w:color w:val="auto"/>
        </w:rPr>
        <w:t>r</w:t>
      </w:r>
      <w:r w:rsidR="00B74B62">
        <w:rPr>
          <w:color w:val="auto"/>
        </w:rPr>
        <w:t>e</w:t>
      </w:r>
      <w:r w:rsidR="00692815">
        <w:rPr>
          <w:color w:val="auto"/>
        </w:rPr>
        <w:t>su</w:t>
      </w:r>
      <w:r w:rsidR="00B74B62">
        <w:rPr>
          <w:color w:val="auto"/>
        </w:rPr>
        <w:t>m</w:t>
      </w:r>
      <w:r w:rsidR="00692815">
        <w:rPr>
          <w:color w:val="auto"/>
        </w:rPr>
        <w:t>e</w:t>
      </w:r>
      <w:r w:rsidR="00B74B62">
        <w:rPr>
          <w:color w:val="auto"/>
        </w:rPr>
        <w:t>d</w:t>
      </w:r>
      <w:r w:rsidR="00692815">
        <w:rPr>
          <w:color w:val="auto"/>
        </w:rPr>
        <w:t xml:space="preserve"> </w:t>
      </w:r>
      <w:r w:rsidR="009339BF">
        <w:rPr>
          <w:color w:val="auto"/>
        </w:rPr>
        <w:t xml:space="preserve">the applicants were not working </w:t>
      </w:r>
      <w:r w:rsidR="009441EB">
        <w:rPr>
          <w:color w:val="auto"/>
        </w:rPr>
        <w:t xml:space="preserve">from a single venue.  I consider it their choice to have </w:t>
      </w:r>
      <w:r w:rsidR="00330AA8">
        <w:rPr>
          <w:color w:val="auto"/>
        </w:rPr>
        <w:t xml:space="preserve">attempted to work in that way </w:t>
      </w:r>
      <w:r w:rsidR="00B74B62">
        <w:rPr>
          <w:color w:val="auto"/>
        </w:rPr>
        <w:t xml:space="preserve">initially </w:t>
      </w:r>
      <w:r w:rsidR="00330AA8">
        <w:rPr>
          <w:color w:val="auto"/>
        </w:rPr>
        <w:t>and, as a result, booked non-refundable accommodation at a time when the Covid-19 restrictions remained fluid and subject to change.</w:t>
      </w:r>
    </w:p>
    <w:p w14:paraId="1D57935B" w14:textId="7D9B9032" w:rsidR="00F02E84" w:rsidRDefault="00F02E84" w:rsidP="00E92E52">
      <w:pPr>
        <w:pStyle w:val="Style1"/>
        <w:numPr>
          <w:ilvl w:val="0"/>
          <w:numId w:val="6"/>
        </w:numPr>
        <w:spacing w:before="140"/>
        <w:rPr>
          <w:color w:val="auto"/>
        </w:rPr>
      </w:pPr>
      <w:r>
        <w:rPr>
          <w:color w:val="auto"/>
        </w:rPr>
        <w:t xml:space="preserve">Nonetheless, I accept that </w:t>
      </w:r>
      <w:r w:rsidR="002C6272">
        <w:rPr>
          <w:color w:val="auto"/>
        </w:rPr>
        <w:t>there would have been some unnecessary expense</w:t>
      </w:r>
      <w:r w:rsidR="0093652B">
        <w:rPr>
          <w:color w:val="auto"/>
        </w:rPr>
        <w:t xml:space="preserve"> in relation to the t</w:t>
      </w:r>
      <w:r w:rsidR="002C6272">
        <w:rPr>
          <w:color w:val="auto"/>
        </w:rPr>
        <w:t>i</w:t>
      </w:r>
      <w:r w:rsidR="0093652B">
        <w:rPr>
          <w:color w:val="auto"/>
        </w:rPr>
        <w:t>me</w:t>
      </w:r>
      <w:r w:rsidR="002C6272">
        <w:rPr>
          <w:color w:val="auto"/>
        </w:rPr>
        <w:t xml:space="preserve"> attending the opening of the Inquiry, even if it were for such a short period</w:t>
      </w:r>
      <w:r w:rsidR="00A6159E">
        <w:rPr>
          <w:color w:val="auto"/>
        </w:rPr>
        <w:t>.  Whils</w:t>
      </w:r>
      <w:r w:rsidR="002C6272">
        <w:rPr>
          <w:color w:val="auto"/>
        </w:rPr>
        <w:t>t</w:t>
      </w:r>
      <w:r w:rsidR="00A6159E">
        <w:rPr>
          <w:color w:val="auto"/>
        </w:rPr>
        <w:t xml:space="preserve"> t</w:t>
      </w:r>
      <w:r w:rsidR="002C6272">
        <w:rPr>
          <w:color w:val="auto"/>
        </w:rPr>
        <w:t>h</w:t>
      </w:r>
      <w:r w:rsidR="00A6159E">
        <w:rPr>
          <w:color w:val="auto"/>
        </w:rPr>
        <w:t>e Inquiry itself was adjourned at 10.07</w:t>
      </w:r>
      <w:r w:rsidR="00CF391E">
        <w:rPr>
          <w:color w:val="auto"/>
        </w:rPr>
        <w:t xml:space="preserve">, time </w:t>
      </w:r>
      <w:r w:rsidR="00366897">
        <w:rPr>
          <w:color w:val="auto"/>
        </w:rPr>
        <w:t>would have spent</w:t>
      </w:r>
      <w:r w:rsidR="00D07082">
        <w:rPr>
          <w:color w:val="auto"/>
        </w:rPr>
        <w:t>, for example</w:t>
      </w:r>
      <w:r w:rsidR="001C211E">
        <w:rPr>
          <w:color w:val="auto"/>
        </w:rPr>
        <w:t>,</w:t>
      </w:r>
      <w:r w:rsidR="00D07082">
        <w:rPr>
          <w:color w:val="auto"/>
        </w:rPr>
        <w:t xml:space="preserve"> </w:t>
      </w:r>
      <w:r w:rsidR="00366897">
        <w:rPr>
          <w:color w:val="auto"/>
        </w:rPr>
        <w:t>i</w:t>
      </w:r>
      <w:r w:rsidR="00D07082">
        <w:rPr>
          <w:color w:val="auto"/>
        </w:rPr>
        <w:t>n</w:t>
      </w:r>
      <w:r w:rsidR="00366897">
        <w:rPr>
          <w:color w:val="auto"/>
        </w:rPr>
        <w:t xml:space="preserve"> organising and</w:t>
      </w:r>
      <w:r w:rsidR="00C50893">
        <w:rPr>
          <w:color w:val="auto"/>
        </w:rPr>
        <w:t xml:space="preserve"> ide</w:t>
      </w:r>
      <w:r w:rsidR="00366897">
        <w:rPr>
          <w:color w:val="auto"/>
        </w:rPr>
        <w:t>n</w:t>
      </w:r>
      <w:r w:rsidR="00C50893">
        <w:rPr>
          <w:color w:val="auto"/>
        </w:rPr>
        <w:t>tifying alt</w:t>
      </w:r>
      <w:r w:rsidR="00366897">
        <w:rPr>
          <w:color w:val="auto"/>
        </w:rPr>
        <w:t>e</w:t>
      </w:r>
      <w:r w:rsidR="00C50893">
        <w:rPr>
          <w:color w:val="auto"/>
        </w:rPr>
        <w:t>rnative dates</w:t>
      </w:r>
      <w:r w:rsidR="00366897">
        <w:rPr>
          <w:color w:val="auto"/>
        </w:rPr>
        <w:t xml:space="preserve">. </w:t>
      </w:r>
      <w:r w:rsidR="002C6272">
        <w:rPr>
          <w:color w:val="auto"/>
        </w:rPr>
        <w:t xml:space="preserve"> </w:t>
      </w:r>
    </w:p>
    <w:p w14:paraId="2F083A8A" w14:textId="2525FFBC" w:rsidR="00BA7349" w:rsidRDefault="00BA7349" w:rsidP="00E92E52">
      <w:pPr>
        <w:pStyle w:val="Style1"/>
        <w:numPr>
          <w:ilvl w:val="0"/>
          <w:numId w:val="6"/>
        </w:numPr>
        <w:spacing w:before="140"/>
        <w:rPr>
          <w:color w:val="auto"/>
        </w:rPr>
      </w:pPr>
      <w:r>
        <w:rPr>
          <w:color w:val="auto"/>
        </w:rPr>
        <w:t>Taking account of all the above matters</w:t>
      </w:r>
      <w:r w:rsidR="009F1566">
        <w:rPr>
          <w:color w:val="auto"/>
        </w:rPr>
        <w:t>,</w:t>
      </w:r>
      <w:r>
        <w:rPr>
          <w:color w:val="auto"/>
        </w:rPr>
        <w:t xml:space="preserve"> I </w:t>
      </w:r>
      <w:r w:rsidR="00D07C0A">
        <w:rPr>
          <w:color w:val="auto"/>
        </w:rPr>
        <w:t xml:space="preserve">accept that some unnecessary expense </w:t>
      </w:r>
      <w:r w:rsidR="00AF02D8" w:rsidRPr="00BA7349">
        <w:rPr>
          <w:color w:val="auto"/>
        </w:rPr>
        <w:t>for the applicant</w:t>
      </w:r>
      <w:r w:rsidR="00AF02D8">
        <w:rPr>
          <w:color w:val="auto"/>
        </w:rPr>
        <w:t xml:space="preserve"> </w:t>
      </w:r>
      <w:r w:rsidR="00D07C0A">
        <w:rPr>
          <w:color w:val="auto"/>
        </w:rPr>
        <w:t>ar</w:t>
      </w:r>
      <w:r w:rsidR="009F1566">
        <w:rPr>
          <w:color w:val="auto"/>
        </w:rPr>
        <w:t>o</w:t>
      </w:r>
      <w:r w:rsidR="00D07C0A">
        <w:rPr>
          <w:color w:val="auto"/>
        </w:rPr>
        <w:t>se</w:t>
      </w:r>
      <w:r w:rsidR="009F1566">
        <w:rPr>
          <w:color w:val="auto"/>
        </w:rPr>
        <w:t xml:space="preserve"> in relation to the </w:t>
      </w:r>
      <w:r w:rsidR="00AF02D8">
        <w:rPr>
          <w:color w:val="auto"/>
        </w:rPr>
        <w:t>need to adjourn the Inquiry</w:t>
      </w:r>
      <w:r w:rsidR="004343C7">
        <w:rPr>
          <w:color w:val="auto"/>
        </w:rPr>
        <w:t xml:space="preserve"> initially</w:t>
      </w:r>
      <w:r w:rsidR="00AF02D8">
        <w:rPr>
          <w:color w:val="auto"/>
        </w:rPr>
        <w:t xml:space="preserve">.  However, </w:t>
      </w:r>
      <w:r w:rsidR="004343C7">
        <w:rPr>
          <w:color w:val="auto"/>
        </w:rPr>
        <w:t xml:space="preserve">for the reasons set out above, </w:t>
      </w:r>
      <w:r w:rsidR="00AF02D8">
        <w:rPr>
          <w:color w:val="auto"/>
        </w:rPr>
        <w:t>I</w:t>
      </w:r>
      <w:r w:rsidR="00D07C0A">
        <w:rPr>
          <w:color w:val="auto"/>
        </w:rPr>
        <w:t xml:space="preserve"> </w:t>
      </w:r>
      <w:r>
        <w:rPr>
          <w:color w:val="auto"/>
        </w:rPr>
        <w:t xml:space="preserve">am not satisfied that there was </w:t>
      </w:r>
      <w:r w:rsidRPr="00BA7349">
        <w:rPr>
          <w:color w:val="auto"/>
        </w:rPr>
        <w:t>unreasonable behaviour by SCC</w:t>
      </w:r>
      <w:r w:rsidR="00AF02D8">
        <w:rPr>
          <w:color w:val="auto"/>
        </w:rPr>
        <w:t xml:space="preserve">, which </w:t>
      </w:r>
      <w:r w:rsidR="004343C7">
        <w:rPr>
          <w:color w:val="auto"/>
        </w:rPr>
        <w:t xml:space="preserve">gave rise </w:t>
      </w:r>
      <w:r w:rsidRPr="00BA7349">
        <w:rPr>
          <w:color w:val="auto"/>
        </w:rPr>
        <w:t xml:space="preserve">to </w:t>
      </w:r>
      <w:r w:rsidR="004343C7">
        <w:rPr>
          <w:color w:val="auto"/>
        </w:rPr>
        <w:t>s</w:t>
      </w:r>
      <w:r w:rsidRPr="00BA7349">
        <w:rPr>
          <w:color w:val="auto"/>
        </w:rPr>
        <w:t>uc</w:t>
      </w:r>
      <w:r w:rsidR="004343C7">
        <w:rPr>
          <w:color w:val="auto"/>
        </w:rPr>
        <w:t>h</w:t>
      </w:r>
      <w:r w:rsidRPr="00BA7349">
        <w:rPr>
          <w:color w:val="auto"/>
        </w:rPr>
        <w:t xml:space="preserve"> expense.  </w:t>
      </w:r>
      <w:r w:rsidR="00EF6BFA">
        <w:rPr>
          <w:color w:val="auto"/>
        </w:rPr>
        <w:t>As a result, t</w:t>
      </w:r>
      <w:r w:rsidRPr="00BA7349">
        <w:rPr>
          <w:color w:val="auto"/>
        </w:rPr>
        <w:t xml:space="preserve">he application for </w:t>
      </w:r>
      <w:r w:rsidR="00C50893">
        <w:rPr>
          <w:color w:val="auto"/>
        </w:rPr>
        <w:t xml:space="preserve">a partial award of </w:t>
      </w:r>
      <w:r w:rsidRPr="00BA7349">
        <w:rPr>
          <w:color w:val="auto"/>
        </w:rPr>
        <w:t>costs fails</w:t>
      </w:r>
      <w:r w:rsidR="001C7D8F">
        <w:rPr>
          <w:color w:val="auto"/>
        </w:rPr>
        <w:t>.</w:t>
      </w:r>
    </w:p>
    <w:p w14:paraId="78AAE7CB" w14:textId="0EB00FA2" w:rsidR="001C7D8F" w:rsidRPr="002C6C06" w:rsidRDefault="001C7D8F" w:rsidP="001C7D8F">
      <w:pPr>
        <w:pStyle w:val="Heading6blackfont"/>
        <w:spacing w:before="120"/>
        <w:rPr>
          <w:i/>
          <w:iCs/>
          <w:color w:val="auto"/>
        </w:rPr>
      </w:pPr>
      <w:r>
        <w:rPr>
          <w:i/>
          <w:iCs/>
          <w:color w:val="auto"/>
        </w:rPr>
        <w:t xml:space="preserve">Conclusions </w:t>
      </w:r>
    </w:p>
    <w:p w14:paraId="445FA2A1" w14:textId="77994F92" w:rsidR="001C7D8F" w:rsidRDefault="001C7D8F" w:rsidP="001C7D8F">
      <w:pPr>
        <w:pStyle w:val="Style1"/>
        <w:numPr>
          <w:ilvl w:val="0"/>
          <w:numId w:val="6"/>
        </w:numPr>
        <w:spacing w:before="140"/>
        <w:rPr>
          <w:color w:val="auto"/>
        </w:rPr>
      </w:pPr>
      <w:r>
        <w:rPr>
          <w:color w:val="auto"/>
        </w:rPr>
        <w:t xml:space="preserve">With the above matters in mind, I </w:t>
      </w:r>
      <w:r w:rsidR="007C2018">
        <w:rPr>
          <w:color w:val="auto"/>
        </w:rPr>
        <w:t xml:space="preserve">do </w:t>
      </w:r>
      <w:r>
        <w:rPr>
          <w:color w:val="auto"/>
        </w:rPr>
        <w:t xml:space="preserve">not </w:t>
      </w:r>
      <w:r w:rsidR="007C2018">
        <w:rPr>
          <w:color w:val="auto"/>
        </w:rPr>
        <w:t>con</w:t>
      </w:r>
      <w:r>
        <w:rPr>
          <w:color w:val="auto"/>
        </w:rPr>
        <w:t>sid</w:t>
      </w:r>
      <w:r w:rsidR="007C2018">
        <w:rPr>
          <w:color w:val="auto"/>
        </w:rPr>
        <w:t>er</w:t>
      </w:r>
      <w:r>
        <w:rPr>
          <w:color w:val="auto"/>
        </w:rPr>
        <w:t xml:space="preserve"> that </w:t>
      </w:r>
      <w:r w:rsidR="00CD38CB">
        <w:rPr>
          <w:color w:val="auto"/>
        </w:rPr>
        <w:t xml:space="preserve">any </w:t>
      </w:r>
      <w:r>
        <w:rPr>
          <w:color w:val="auto"/>
        </w:rPr>
        <w:t xml:space="preserve">unnecessary expense </w:t>
      </w:r>
      <w:r w:rsidRPr="00BA7349">
        <w:rPr>
          <w:color w:val="auto"/>
        </w:rPr>
        <w:t>that</w:t>
      </w:r>
      <w:r>
        <w:rPr>
          <w:color w:val="auto"/>
        </w:rPr>
        <w:t xml:space="preserve"> </w:t>
      </w:r>
      <w:r w:rsidR="00CD38CB">
        <w:rPr>
          <w:color w:val="auto"/>
        </w:rPr>
        <w:t>m</w:t>
      </w:r>
      <w:r>
        <w:rPr>
          <w:color w:val="auto"/>
        </w:rPr>
        <w:t>a</w:t>
      </w:r>
      <w:r w:rsidR="00CD38CB">
        <w:rPr>
          <w:color w:val="auto"/>
        </w:rPr>
        <w:t>y have a</w:t>
      </w:r>
      <w:r>
        <w:rPr>
          <w:color w:val="auto"/>
        </w:rPr>
        <w:t>r</w:t>
      </w:r>
      <w:r w:rsidR="00CD38CB">
        <w:rPr>
          <w:color w:val="auto"/>
        </w:rPr>
        <w:t>i</w:t>
      </w:r>
      <w:r>
        <w:rPr>
          <w:color w:val="auto"/>
        </w:rPr>
        <w:t>sen</w:t>
      </w:r>
      <w:r w:rsidR="00CD38CB">
        <w:rPr>
          <w:color w:val="auto"/>
        </w:rPr>
        <w:t xml:space="preserve"> was due to </w:t>
      </w:r>
      <w:r w:rsidRPr="00BA7349">
        <w:rPr>
          <w:color w:val="auto"/>
        </w:rPr>
        <w:t>unreasonable behaviour</w:t>
      </w:r>
      <w:r w:rsidR="007C2018">
        <w:rPr>
          <w:color w:val="auto"/>
        </w:rPr>
        <w:t xml:space="preserve"> on the part of </w:t>
      </w:r>
      <w:r w:rsidRPr="00BA7349">
        <w:rPr>
          <w:color w:val="auto"/>
        </w:rPr>
        <w:t xml:space="preserve">SCC.  </w:t>
      </w:r>
      <w:r w:rsidR="00CD38CB">
        <w:rPr>
          <w:color w:val="auto"/>
        </w:rPr>
        <w:t>T</w:t>
      </w:r>
      <w:r w:rsidRPr="00BA7349">
        <w:rPr>
          <w:color w:val="auto"/>
        </w:rPr>
        <w:t xml:space="preserve">he application for </w:t>
      </w:r>
      <w:r w:rsidR="00CD38CB">
        <w:rPr>
          <w:color w:val="auto"/>
        </w:rPr>
        <w:t xml:space="preserve">either </w:t>
      </w:r>
      <w:r>
        <w:rPr>
          <w:color w:val="auto"/>
        </w:rPr>
        <w:t>a</w:t>
      </w:r>
      <w:r w:rsidR="00CD38CB">
        <w:rPr>
          <w:color w:val="auto"/>
        </w:rPr>
        <w:t xml:space="preserve"> full or </w:t>
      </w:r>
      <w:r>
        <w:rPr>
          <w:color w:val="auto"/>
        </w:rPr>
        <w:t xml:space="preserve">partial award of </w:t>
      </w:r>
      <w:r w:rsidRPr="00BA7349">
        <w:rPr>
          <w:color w:val="auto"/>
        </w:rPr>
        <w:t xml:space="preserve">costs </w:t>
      </w:r>
      <w:r w:rsidR="00CD38CB" w:rsidRPr="00BA7349">
        <w:rPr>
          <w:color w:val="auto"/>
        </w:rPr>
        <w:t>fails,</w:t>
      </w:r>
      <w:r w:rsidR="00CD38CB">
        <w:rPr>
          <w:color w:val="auto"/>
        </w:rPr>
        <w:t xml:space="preserve"> and no award is made</w:t>
      </w:r>
      <w:r>
        <w:rPr>
          <w:color w:val="auto"/>
        </w:rPr>
        <w:t>.</w:t>
      </w:r>
    </w:p>
    <w:p w14:paraId="36DFBA6C" w14:textId="77777777" w:rsidR="002D4258" w:rsidRPr="00BA7349" w:rsidRDefault="002D4258" w:rsidP="002D4258">
      <w:pPr>
        <w:pStyle w:val="Style1"/>
        <w:numPr>
          <w:ilvl w:val="0"/>
          <w:numId w:val="0"/>
        </w:numPr>
        <w:jc w:val="both"/>
        <w:rPr>
          <w:rFonts w:ascii="Monotype Corsiva" w:hAnsi="Monotype Corsiva"/>
          <w:color w:val="auto"/>
          <w:sz w:val="36"/>
          <w:szCs w:val="36"/>
        </w:rPr>
      </w:pPr>
      <w:r w:rsidRPr="00BA7349">
        <w:rPr>
          <w:rFonts w:ascii="Monotype Corsiva" w:hAnsi="Monotype Corsiva"/>
          <w:color w:val="auto"/>
          <w:sz w:val="36"/>
          <w:szCs w:val="36"/>
        </w:rPr>
        <w:t>Heidi Cruickshank</w:t>
      </w:r>
    </w:p>
    <w:p w14:paraId="090A71E6" w14:textId="629C46B6" w:rsidR="00052B85" w:rsidRPr="00BA7349" w:rsidRDefault="002D4258" w:rsidP="00C13EE1">
      <w:pPr>
        <w:pStyle w:val="Style1"/>
        <w:numPr>
          <w:ilvl w:val="0"/>
          <w:numId w:val="0"/>
        </w:numPr>
        <w:spacing w:before="120"/>
        <w:jc w:val="both"/>
        <w:rPr>
          <w:color w:val="auto"/>
        </w:rPr>
      </w:pPr>
      <w:r w:rsidRPr="00BA7349">
        <w:rPr>
          <w:b/>
          <w:color w:val="auto"/>
        </w:rPr>
        <w:t>Inspector</w:t>
      </w:r>
    </w:p>
    <w:sectPr w:rsidR="00052B85" w:rsidRPr="00BA7349" w:rsidSect="00E674DD">
      <w:headerReference w:type="even" r:id="rId10"/>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D6E0A" w14:textId="77777777" w:rsidR="00534784" w:rsidRDefault="00534784" w:rsidP="00F62916">
      <w:r>
        <w:separator/>
      </w:r>
    </w:p>
  </w:endnote>
  <w:endnote w:type="continuationSeparator" w:id="0">
    <w:p w14:paraId="1CD6B0FA" w14:textId="77777777" w:rsidR="00534784" w:rsidRDefault="0053478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C296A"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D9C1A"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FC6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7216" behindDoc="0" locked="0" layoutInCell="1" allowOverlap="1" wp14:anchorId="70A9CF6F" wp14:editId="114A721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F96F" id="Line 17"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A3BFC24" w14:textId="77777777" w:rsidR="00366F95" w:rsidRPr="00E45340" w:rsidRDefault="0053478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01FB" w14:textId="77777777" w:rsidR="00366F95" w:rsidRDefault="00366F95" w:rsidP="00F86618">
    <w:pPr>
      <w:pStyle w:val="Footer"/>
      <w:pBdr>
        <w:bottom w:val="none" w:sz="0" w:space="0" w:color="000000"/>
      </w:pBdr>
      <w:ind w:right="-52"/>
    </w:pPr>
    <w:r>
      <w:rPr>
        <w:noProof/>
      </w:rPr>
      <mc:AlternateContent>
        <mc:Choice Requires="wps">
          <w:drawing>
            <wp:anchor distT="0" distB="0" distL="114300" distR="114300" simplePos="0" relativeHeight="251656192" behindDoc="0" locked="0" layoutInCell="1" allowOverlap="1" wp14:anchorId="1FF7A3B4" wp14:editId="70089AC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427E9" id="Line 1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6D6CFC0" w14:textId="77777777" w:rsidR="00366F95" w:rsidRPr="00451EE4" w:rsidRDefault="0053478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B4CD" w14:textId="77777777" w:rsidR="00534784" w:rsidRDefault="00534784" w:rsidP="00F62916">
      <w:r>
        <w:separator/>
      </w:r>
    </w:p>
  </w:footnote>
  <w:footnote w:type="continuationSeparator" w:id="0">
    <w:p w14:paraId="3953967E" w14:textId="77777777" w:rsidR="00534784" w:rsidRDefault="00534784" w:rsidP="00F62916">
      <w:r>
        <w:continuationSeparator/>
      </w:r>
    </w:p>
  </w:footnote>
  <w:footnote w:id="1">
    <w:p w14:paraId="02D5DA48" w14:textId="7F43D8E6" w:rsidR="009569A0" w:rsidRDefault="009569A0">
      <w:pPr>
        <w:pStyle w:val="FootnoteText"/>
      </w:pPr>
      <w:r>
        <w:rPr>
          <w:rStyle w:val="FootnoteReference"/>
        </w:rPr>
        <w:footnoteRef/>
      </w:r>
      <w:r>
        <w:t xml:space="preserve"> Inquiry document </w:t>
      </w:r>
      <w:r w:rsidR="00DA6D4D">
        <w:t>11</w:t>
      </w:r>
    </w:p>
  </w:footnote>
  <w:footnote w:id="2">
    <w:p w14:paraId="02DFEA0D" w14:textId="77777777" w:rsidR="007910E1" w:rsidRDefault="007910E1" w:rsidP="007910E1">
      <w:pPr>
        <w:pStyle w:val="FootnoteText"/>
      </w:pPr>
      <w:r>
        <w:rPr>
          <w:rStyle w:val="FootnoteReference"/>
        </w:rPr>
        <w:footnoteRef/>
      </w:r>
      <w:r>
        <w:t xml:space="preserve"> </w:t>
      </w:r>
      <w:r w:rsidRPr="00F038F3">
        <w:rPr>
          <w:szCs w:val="22"/>
        </w:rPr>
        <w:t>[2017] EWHC 2651 (Admin)</w:t>
      </w:r>
    </w:p>
  </w:footnote>
  <w:footnote w:id="3">
    <w:p w14:paraId="09239253" w14:textId="77777777" w:rsidR="00347396" w:rsidRDefault="00347396" w:rsidP="00347396">
      <w:pPr>
        <w:pStyle w:val="FootnoteText"/>
      </w:pPr>
      <w:r>
        <w:rPr>
          <w:rStyle w:val="FootnoteReference"/>
        </w:rPr>
        <w:footnoteRef/>
      </w:r>
      <w:r>
        <w:t xml:space="preserve"> [1984] JPL 101</w:t>
      </w:r>
    </w:p>
  </w:footnote>
  <w:footnote w:id="4">
    <w:p w14:paraId="197A7E16" w14:textId="77777777" w:rsidR="00F44460" w:rsidRDefault="00F44460" w:rsidP="00F44460">
      <w:pPr>
        <w:pStyle w:val="FootnoteText"/>
      </w:pPr>
      <w:r>
        <w:rPr>
          <w:rStyle w:val="FootnoteReference"/>
        </w:rPr>
        <w:footnoteRef/>
      </w:r>
      <w:r>
        <w:t xml:space="preserve"> [1950] 1 KB 438</w:t>
      </w:r>
    </w:p>
  </w:footnote>
  <w:footnote w:id="5">
    <w:p w14:paraId="18B76228" w14:textId="77777777" w:rsidR="001F3C30" w:rsidRDefault="001F3C30" w:rsidP="001F3C30">
      <w:pPr>
        <w:pStyle w:val="FootnoteText"/>
      </w:pPr>
      <w:r>
        <w:rPr>
          <w:rStyle w:val="FootnoteReference"/>
        </w:rPr>
        <w:footnoteRef/>
      </w:r>
      <w:r>
        <w:t xml:space="preserve"> [2001] EWHC Admin 360</w:t>
      </w:r>
    </w:p>
  </w:footnote>
  <w:footnote w:id="6">
    <w:p w14:paraId="6A6B5243" w14:textId="64AC7551" w:rsidR="007D258E" w:rsidRDefault="007D258E">
      <w:pPr>
        <w:pStyle w:val="FootnoteText"/>
      </w:pPr>
      <w:r>
        <w:rPr>
          <w:rStyle w:val="FootnoteReference"/>
        </w:rPr>
        <w:footnoteRef/>
      </w:r>
      <w:r>
        <w:t xml:space="preserve"> Inquiry document 12</w:t>
      </w:r>
    </w:p>
  </w:footnote>
  <w:footnote w:id="7">
    <w:p w14:paraId="06958C88" w14:textId="77777777" w:rsidR="00AE4AB9" w:rsidRDefault="00AE4AB9" w:rsidP="00AE4AB9">
      <w:pPr>
        <w:pStyle w:val="FootnoteText"/>
      </w:pPr>
      <w:r>
        <w:rPr>
          <w:rStyle w:val="FootnoteReference"/>
        </w:rPr>
        <w:footnoteRef/>
      </w:r>
      <w:r>
        <w:t xml:space="preserve"> Letters A – N and A1 &amp; I1 refer to letters as used in the Order map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DFD1" w14:textId="77777777" w:rsidR="00411964" w:rsidRDefault="00411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6F86F60C" w14:textId="77777777">
      <w:tc>
        <w:tcPr>
          <w:tcW w:w="9520" w:type="dxa"/>
        </w:tcPr>
        <w:p w14:paraId="64ECE7D6" w14:textId="117CBC83" w:rsidR="00366F95" w:rsidRDefault="00F86618">
          <w:pPr>
            <w:pStyle w:val="Footer"/>
          </w:pPr>
          <w:r>
            <w:t>Costs Decisions</w:t>
          </w:r>
          <w:r w:rsidR="00CA220F">
            <w:t>:</w:t>
          </w:r>
          <w:r>
            <w:t xml:space="preserve"> </w:t>
          </w:r>
          <w:r w:rsidR="00CA220F">
            <w:t>ROW</w:t>
          </w:r>
          <w:r>
            <w:t>/</w:t>
          </w:r>
          <w:r w:rsidR="00CA220F">
            <w:t>3</w:t>
          </w:r>
          <w:r w:rsidR="00B04B01">
            <w:t>22537</w:t>
          </w:r>
          <w:r w:rsidR="00CA220F">
            <w:t>1</w:t>
          </w:r>
        </w:p>
      </w:tc>
    </w:tr>
  </w:tbl>
  <w:p w14:paraId="279A2D7C" w14:textId="6E66CABF" w:rsidR="00366F95" w:rsidRDefault="00366F95" w:rsidP="00087477">
    <w:pPr>
      <w:pStyle w:val="Footer"/>
      <w:spacing w:after="180"/>
    </w:pPr>
    <w:r>
      <w:rPr>
        <w:noProof/>
      </w:rPr>
      <mc:AlternateContent>
        <mc:Choice Requires="wps">
          <w:drawing>
            <wp:anchor distT="0" distB="0" distL="114300" distR="114300" simplePos="0" relativeHeight="251658240" behindDoc="0" locked="0" layoutInCell="1" allowOverlap="1" wp14:anchorId="71D77847" wp14:editId="480C0C8E">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4F0C1" id="Line 1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6505" w14:textId="6B6494B0"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ED11590"/>
    <w:multiLevelType w:val="hybridMultilevel"/>
    <w:tmpl w:val="F20A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9AC2FE1"/>
    <w:multiLevelType w:val="hybridMultilevel"/>
    <w:tmpl w:val="613805D8"/>
    <w:lvl w:ilvl="0" w:tplc="295038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0A509CF"/>
    <w:multiLevelType w:val="hybridMultilevel"/>
    <w:tmpl w:val="2DD81C8A"/>
    <w:lvl w:ilvl="0" w:tplc="652A9D40">
      <w:start w:val="1"/>
      <w:numFmt w:val="lowerLetter"/>
      <w:lvlText w:val="(%1)"/>
      <w:lvlJc w:val="left"/>
      <w:pPr>
        <w:ind w:left="1440" w:hanging="720"/>
      </w:pPr>
      <w:rPr>
        <w:rFonts w:ascii="Verdana" w:eastAsia="Times New Roman" w:hAnsi="Verdana" w:cs="Verdan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469C4718"/>
    <w:lvl w:ilvl="0">
      <w:start w:val="1"/>
      <w:numFmt w:val="decimal"/>
      <w:lvlText w:val="%1."/>
      <w:lvlJc w:val="left"/>
      <w:pPr>
        <w:tabs>
          <w:tab w:val="num" w:pos="720"/>
        </w:tabs>
        <w:ind w:left="432" w:hanging="432"/>
      </w:pPr>
      <w:rPr>
        <w:rFonts w:ascii="Verdana" w:hAnsi="Verdana" w:hint="default"/>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2"/>
  </w:num>
  <w:num w:numId="4">
    <w:abstractNumId w:val="0"/>
  </w:num>
  <w:num w:numId="5">
    <w:abstractNumId w:val="10"/>
  </w:num>
  <w:num w:numId="6">
    <w:abstractNumId w:val="19"/>
  </w:num>
  <w:num w:numId="7">
    <w:abstractNumId w:val="23"/>
  </w:num>
  <w:num w:numId="8">
    <w:abstractNumId w:val="18"/>
  </w:num>
  <w:num w:numId="9">
    <w:abstractNumId w:val="4"/>
  </w:num>
  <w:num w:numId="10">
    <w:abstractNumId w:val="5"/>
  </w:num>
  <w:num w:numId="11">
    <w:abstractNumId w:val="13"/>
  </w:num>
  <w:num w:numId="12">
    <w:abstractNumId w:val="14"/>
  </w:num>
  <w:num w:numId="13">
    <w:abstractNumId w:val="8"/>
  </w:num>
  <w:num w:numId="14">
    <w:abstractNumId w:val="12"/>
  </w:num>
  <w:num w:numId="15">
    <w:abstractNumId w:val="16"/>
  </w:num>
  <w:num w:numId="16">
    <w:abstractNumId w:val="1"/>
  </w:num>
  <w:num w:numId="17">
    <w:abstractNumId w:val="17"/>
  </w:num>
  <w:num w:numId="18">
    <w:abstractNumId w:val="6"/>
  </w:num>
  <w:num w:numId="19">
    <w:abstractNumId w:val="3"/>
  </w:num>
  <w:num w:numId="20">
    <w:abstractNumId w:val="7"/>
  </w:num>
  <w:num w:numId="21">
    <w:abstractNumId w:val="11"/>
  </w:num>
  <w:num w:numId="22">
    <w:abstractNumId w:val="11"/>
  </w:num>
  <w:num w:numId="23">
    <w:abstractNumId w:val="21"/>
  </w:num>
  <w:num w:numId="24">
    <w:abstractNumId w:val="22"/>
  </w:num>
  <w:num w:numId="25">
    <w:abstractNumId w:val="11"/>
  </w:num>
  <w:num w:numId="26">
    <w:abstractNumId w:val="11"/>
  </w:num>
  <w:num w:numId="27">
    <w:abstractNumId w:val="11"/>
  </w:num>
  <w:num w:numId="28">
    <w:abstractNumId w:val="11"/>
  </w:num>
  <w:num w:numId="29">
    <w:abstractNumId w:val="2"/>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9"/>
  </w:num>
  <w:num w:numId="37">
    <w:abstractNumId w:val="11"/>
  </w:num>
  <w:num w:numId="38">
    <w:abstractNumId w:val="15"/>
  </w:num>
  <w:num w:numId="39">
    <w:abstractNumId w:val="11"/>
  </w:num>
  <w:num w:numId="40">
    <w:abstractNumId w:val="11"/>
  </w:num>
  <w:num w:numId="41">
    <w:abstractNumId w:val="11"/>
  </w:num>
  <w:num w:numId="42">
    <w:abstractNumId w:val="11"/>
  </w:num>
  <w:num w:numId="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86618"/>
    <w:rsid w:val="0000335F"/>
    <w:rsid w:val="00015584"/>
    <w:rsid w:val="00024500"/>
    <w:rsid w:val="000247B2"/>
    <w:rsid w:val="00032587"/>
    <w:rsid w:val="0004113D"/>
    <w:rsid w:val="00041A8D"/>
    <w:rsid w:val="00042807"/>
    <w:rsid w:val="00046145"/>
    <w:rsid w:val="0004625F"/>
    <w:rsid w:val="00047F0D"/>
    <w:rsid w:val="0005182D"/>
    <w:rsid w:val="00052B85"/>
    <w:rsid w:val="00053135"/>
    <w:rsid w:val="00061AA8"/>
    <w:rsid w:val="00061EDC"/>
    <w:rsid w:val="0006470B"/>
    <w:rsid w:val="0006757E"/>
    <w:rsid w:val="000729FE"/>
    <w:rsid w:val="0007390E"/>
    <w:rsid w:val="00077358"/>
    <w:rsid w:val="00087477"/>
    <w:rsid w:val="00087DEC"/>
    <w:rsid w:val="00087EA8"/>
    <w:rsid w:val="0009036E"/>
    <w:rsid w:val="00094A44"/>
    <w:rsid w:val="000A2686"/>
    <w:rsid w:val="000A4AEB"/>
    <w:rsid w:val="000A5F34"/>
    <w:rsid w:val="000A64AE"/>
    <w:rsid w:val="000A6EFC"/>
    <w:rsid w:val="000B02BC"/>
    <w:rsid w:val="000B0589"/>
    <w:rsid w:val="000B1C1D"/>
    <w:rsid w:val="000C0515"/>
    <w:rsid w:val="000C3F13"/>
    <w:rsid w:val="000C433B"/>
    <w:rsid w:val="000C5098"/>
    <w:rsid w:val="000C698E"/>
    <w:rsid w:val="000D0673"/>
    <w:rsid w:val="000D0994"/>
    <w:rsid w:val="000E0C3C"/>
    <w:rsid w:val="000E57C1"/>
    <w:rsid w:val="000F16F4"/>
    <w:rsid w:val="000F6EC2"/>
    <w:rsid w:val="001000CB"/>
    <w:rsid w:val="00104144"/>
    <w:rsid w:val="00104D93"/>
    <w:rsid w:val="001059D1"/>
    <w:rsid w:val="00114239"/>
    <w:rsid w:val="00124B58"/>
    <w:rsid w:val="00136C8D"/>
    <w:rsid w:val="001440C3"/>
    <w:rsid w:val="00145AFE"/>
    <w:rsid w:val="00152C92"/>
    <w:rsid w:val="001561AE"/>
    <w:rsid w:val="001612A0"/>
    <w:rsid w:val="00161553"/>
    <w:rsid w:val="00161B5C"/>
    <w:rsid w:val="00164906"/>
    <w:rsid w:val="00167B1E"/>
    <w:rsid w:val="0017077B"/>
    <w:rsid w:val="00170D8F"/>
    <w:rsid w:val="00171B15"/>
    <w:rsid w:val="00174AD4"/>
    <w:rsid w:val="00175EDA"/>
    <w:rsid w:val="00176D1E"/>
    <w:rsid w:val="0017718B"/>
    <w:rsid w:val="00195298"/>
    <w:rsid w:val="00196353"/>
    <w:rsid w:val="00197A06"/>
    <w:rsid w:val="00197B5B"/>
    <w:rsid w:val="001A134F"/>
    <w:rsid w:val="001B37BF"/>
    <w:rsid w:val="001B547C"/>
    <w:rsid w:val="001C2079"/>
    <w:rsid w:val="001C211E"/>
    <w:rsid w:val="001C3537"/>
    <w:rsid w:val="001C6836"/>
    <w:rsid w:val="001C767E"/>
    <w:rsid w:val="001C7D8F"/>
    <w:rsid w:val="001E205A"/>
    <w:rsid w:val="001E31C3"/>
    <w:rsid w:val="001E5CDD"/>
    <w:rsid w:val="001E67A6"/>
    <w:rsid w:val="001F3C30"/>
    <w:rsid w:val="001F5990"/>
    <w:rsid w:val="001F5C73"/>
    <w:rsid w:val="00202C0D"/>
    <w:rsid w:val="00204B1F"/>
    <w:rsid w:val="00207816"/>
    <w:rsid w:val="00212C8F"/>
    <w:rsid w:val="00224562"/>
    <w:rsid w:val="002252EA"/>
    <w:rsid w:val="00225544"/>
    <w:rsid w:val="00233EBF"/>
    <w:rsid w:val="0024295A"/>
    <w:rsid w:val="00242A5E"/>
    <w:rsid w:val="00243CA6"/>
    <w:rsid w:val="002559BF"/>
    <w:rsid w:val="00260B7B"/>
    <w:rsid w:val="00271E89"/>
    <w:rsid w:val="00274B12"/>
    <w:rsid w:val="00276A05"/>
    <w:rsid w:val="0028002D"/>
    <w:rsid w:val="002805D8"/>
    <w:rsid w:val="002819AB"/>
    <w:rsid w:val="002821A4"/>
    <w:rsid w:val="0028234F"/>
    <w:rsid w:val="00286FE2"/>
    <w:rsid w:val="002958D9"/>
    <w:rsid w:val="002A5BD7"/>
    <w:rsid w:val="002B5A3A"/>
    <w:rsid w:val="002C068A"/>
    <w:rsid w:val="002C1AD8"/>
    <w:rsid w:val="002C2524"/>
    <w:rsid w:val="002C6272"/>
    <w:rsid w:val="002C6C06"/>
    <w:rsid w:val="002D0120"/>
    <w:rsid w:val="002D4258"/>
    <w:rsid w:val="002D5A7C"/>
    <w:rsid w:val="002E49AE"/>
    <w:rsid w:val="002F0708"/>
    <w:rsid w:val="002F1C8C"/>
    <w:rsid w:val="00300291"/>
    <w:rsid w:val="0030099E"/>
    <w:rsid w:val="00301CB6"/>
    <w:rsid w:val="00303CA5"/>
    <w:rsid w:val="0030500E"/>
    <w:rsid w:val="00306301"/>
    <w:rsid w:val="00311879"/>
    <w:rsid w:val="00316EAF"/>
    <w:rsid w:val="003206FD"/>
    <w:rsid w:val="00324979"/>
    <w:rsid w:val="00326BE0"/>
    <w:rsid w:val="00330AA8"/>
    <w:rsid w:val="00330B88"/>
    <w:rsid w:val="00331978"/>
    <w:rsid w:val="00333555"/>
    <w:rsid w:val="00336485"/>
    <w:rsid w:val="0033771B"/>
    <w:rsid w:val="0034387C"/>
    <w:rsid w:val="00343A1F"/>
    <w:rsid w:val="00344294"/>
    <w:rsid w:val="00344CD1"/>
    <w:rsid w:val="00347396"/>
    <w:rsid w:val="0035511E"/>
    <w:rsid w:val="00355FCC"/>
    <w:rsid w:val="00360664"/>
    <w:rsid w:val="00361890"/>
    <w:rsid w:val="003623C2"/>
    <w:rsid w:val="00362EA8"/>
    <w:rsid w:val="00364E17"/>
    <w:rsid w:val="00366897"/>
    <w:rsid w:val="00366F95"/>
    <w:rsid w:val="003751B1"/>
    <w:rsid w:val="003753FE"/>
    <w:rsid w:val="00376995"/>
    <w:rsid w:val="003866CB"/>
    <w:rsid w:val="0039073F"/>
    <w:rsid w:val="003941CF"/>
    <w:rsid w:val="003948D8"/>
    <w:rsid w:val="003A2CED"/>
    <w:rsid w:val="003B2561"/>
    <w:rsid w:val="003B2FE6"/>
    <w:rsid w:val="003B4CBE"/>
    <w:rsid w:val="003B6216"/>
    <w:rsid w:val="003C1BCC"/>
    <w:rsid w:val="003C71A5"/>
    <w:rsid w:val="003C7F80"/>
    <w:rsid w:val="003D15CB"/>
    <w:rsid w:val="003D1D4A"/>
    <w:rsid w:val="003D2FD9"/>
    <w:rsid w:val="003D3715"/>
    <w:rsid w:val="003D400D"/>
    <w:rsid w:val="003E09EF"/>
    <w:rsid w:val="003E54CC"/>
    <w:rsid w:val="003F3533"/>
    <w:rsid w:val="003F7DFB"/>
    <w:rsid w:val="004029F3"/>
    <w:rsid w:val="00405645"/>
    <w:rsid w:val="00410F90"/>
    <w:rsid w:val="00411964"/>
    <w:rsid w:val="00411CA9"/>
    <w:rsid w:val="00411F97"/>
    <w:rsid w:val="00412A35"/>
    <w:rsid w:val="00414130"/>
    <w:rsid w:val="00414C6F"/>
    <w:rsid w:val="004156F0"/>
    <w:rsid w:val="00415FAA"/>
    <w:rsid w:val="00416EE7"/>
    <w:rsid w:val="004220D1"/>
    <w:rsid w:val="00422112"/>
    <w:rsid w:val="004231E7"/>
    <w:rsid w:val="0042442C"/>
    <w:rsid w:val="00425567"/>
    <w:rsid w:val="00425F80"/>
    <w:rsid w:val="004343C7"/>
    <w:rsid w:val="00434739"/>
    <w:rsid w:val="004474DE"/>
    <w:rsid w:val="00447C83"/>
    <w:rsid w:val="00451EE4"/>
    <w:rsid w:val="004522C1"/>
    <w:rsid w:val="00453786"/>
    <w:rsid w:val="00453E15"/>
    <w:rsid w:val="00455FE5"/>
    <w:rsid w:val="0047032D"/>
    <w:rsid w:val="00470822"/>
    <w:rsid w:val="00474F38"/>
    <w:rsid w:val="0047718B"/>
    <w:rsid w:val="0048041A"/>
    <w:rsid w:val="00480A85"/>
    <w:rsid w:val="00483D15"/>
    <w:rsid w:val="00491A90"/>
    <w:rsid w:val="00492620"/>
    <w:rsid w:val="00495C84"/>
    <w:rsid w:val="004976CF"/>
    <w:rsid w:val="004A2EB8"/>
    <w:rsid w:val="004B092E"/>
    <w:rsid w:val="004B2BF8"/>
    <w:rsid w:val="004B5CF4"/>
    <w:rsid w:val="004C07CB"/>
    <w:rsid w:val="004C4E6C"/>
    <w:rsid w:val="004C5BEE"/>
    <w:rsid w:val="004C75B4"/>
    <w:rsid w:val="004D1B81"/>
    <w:rsid w:val="004D2638"/>
    <w:rsid w:val="004E04E0"/>
    <w:rsid w:val="004E0E71"/>
    <w:rsid w:val="004E17CB"/>
    <w:rsid w:val="004E48EA"/>
    <w:rsid w:val="004E6091"/>
    <w:rsid w:val="004F274A"/>
    <w:rsid w:val="004F3717"/>
    <w:rsid w:val="004F61B7"/>
    <w:rsid w:val="00506851"/>
    <w:rsid w:val="00511286"/>
    <w:rsid w:val="0052347F"/>
    <w:rsid w:val="00523706"/>
    <w:rsid w:val="00525074"/>
    <w:rsid w:val="00534784"/>
    <w:rsid w:val="005379A1"/>
    <w:rsid w:val="00541734"/>
    <w:rsid w:val="00542B4C"/>
    <w:rsid w:val="0054571D"/>
    <w:rsid w:val="005462F0"/>
    <w:rsid w:val="00551C65"/>
    <w:rsid w:val="00561E69"/>
    <w:rsid w:val="00562291"/>
    <w:rsid w:val="0056634F"/>
    <w:rsid w:val="0057098A"/>
    <w:rsid w:val="005718AF"/>
    <w:rsid w:val="00571FD4"/>
    <w:rsid w:val="00572879"/>
    <w:rsid w:val="0057471E"/>
    <w:rsid w:val="0057782A"/>
    <w:rsid w:val="0058688E"/>
    <w:rsid w:val="00590048"/>
    <w:rsid w:val="00591235"/>
    <w:rsid w:val="005A0799"/>
    <w:rsid w:val="005A181C"/>
    <w:rsid w:val="005A3317"/>
    <w:rsid w:val="005A3A64"/>
    <w:rsid w:val="005A48C7"/>
    <w:rsid w:val="005A4CF6"/>
    <w:rsid w:val="005A4EF3"/>
    <w:rsid w:val="005A5379"/>
    <w:rsid w:val="005A74C6"/>
    <w:rsid w:val="005B7D2D"/>
    <w:rsid w:val="005C0376"/>
    <w:rsid w:val="005C0554"/>
    <w:rsid w:val="005C05E6"/>
    <w:rsid w:val="005C3F57"/>
    <w:rsid w:val="005C4C40"/>
    <w:rsid w:val="005D1CB2"/>
    <w:rsid w:val="005D739E"/>
    <w:rsid w:val="005E34E1"/>
    <w:rsid w:val="005E34FF"/>
    <w:rsid w:val="005E3542"/>
    <w:rsid w:val="005E4A73"/>
    <w:rsid w:val="005E52F9"/>
    <w:rsid w:val="005F05D0"/>
    <w:rsid w:val="005F1261"/>
    <w:rsid w:val="00602315"/>
    <w:rsid w:val="006052EF"/>
    <w:rsid w:val="00611A24"/>
    <w:rsid w:val="00612518"/>
    <w:rsid w:val="006127F0"/>
    <w:rsid w:val="00614E46"/>
    <w:rsid w:val="00615462"/>
    <w:rsid w:val="0061654B"/>
    <w:rsid w:val="00621586"/>
    <w:rsid w:val="006319E6"/>
    <w:rsid w:val="0063373D"/>
    <w:rsid w:val="00636E04"/>
    <w:rsid w:val="00640B13"/>
    <w:rsid w:val="00641566"/>
    <w:rsid w:val="0064573E"/>
    <w:rsid w:val="006479C6"/>
    <w:rsid w:val="006533F6"/>
    <w:rsid w:val="00653491"/>
    <w:rsid w:val="00656F74"/>
    <w:rsid w:val="0065719B"/>
    <w:rsid w:val="0066322F"/>
    <w:rsid w:val="006733C4"/>
    <w:rsid w:val="00681108"/>
    <w:rsid w:val="00683417"/>
    <w:rsid w:val="00685A46"/>
    <w:rsid w:val="006906DE"/>
    <w:rsid w:val="00692815"/>
    <w:rsid w:val="0069559D"/>
    <w:rsid w:val="00696368"/>
    <w:rsid w:val="006A5BB3"/>
    <w:rsid w:val="006A6324"/>
    <w:rsid w:val="006A6E56"/>
    <w:rsid w:val="006A6E9E"/>
    <w:rsid w:val="006A7B8B"/>
    <w:rsid w:val="006B240D"/>
    <w:rsid w:val="006C0FD4"/>
    <w:rsid w:val="006C2AB3"/>
    <w:rsid w:val="006C4C25"/>
    <w:rsid w:val="006C6D1A"/>
    <w:rsid w:val="006C7A00"/>
    <w:rsid w:val="006D1D3E"/>
    <w:rsid w:val="006D2842"/>
    <w:rsid w:val="006D5133"/>
    <w:rsid w:val="006D5AA0"/>
    <w:rsid w:val="006E0BC4"/>
    <w:rsid w:val="006E2B6E"/>
    <w:rsid w:val="006F16D9"/>
    <w:rsid w:val="006F6496"/>
    <w:rsid w:val="00701F68"/>
    <w:rsid w:val="00704126"/>
    <w:rsid w:val="00706511"/>
    <w:rsid w:val="0071545E"/>
    <w:rsid w:val="0071604A"/>
    <w:rsid w:val="0071717D"/>
    <w:rsid w:val="00724DBE"/>
    <w:rsid w:val="00732C5B"/>
    <w:rsid w:val="0073558A"/>
    <w:rsid w:val="007374E0"/>
    <w:rsid w:val="00743F16"/>
    <w:rsid w:val="007459E3"/>
    <w:rsid w:val="00745B06"/>
    <w:rsid w:val="00753E78"/>
    <w:rsid w:val="00755EFD"/>
    <w:rsid w:val="00756903"/>
    <w:rsid w:val="007750F0"/>
    <w:rsid w:val="00785862"/>
    <w:rsid w:val="007867EC"/>
    <w:rsid w:val="007910E1"/>
    <w:rsid w:val="007A023B"/>
    <w:rsid w:val="007A0537"/>
    <w:rsid w:val="007A06BE"/>
    <w:rsid w:val="007A7460"/>
    <w:rsid w:val="007B36FD"/>
    <w:rsid w:val="007B4C9B"/>
    <w:rsid w:val="007C1DBC"/>
    <w:rsid w:val="007C2018"/>
    <w:rsid w:val="007D0DFE"/>
    <w:rsid w:val="007D10D0"/>
    <w:rsid w:val="007D258E"/>
    <w:rsid w:val="007D65B4"/>
    <w:rsid w:val="007E0D39"/>
    <w:rsid w:val="007E628D"/>
    <w:rsid w:val="007F1352"/>
    <w:rsid w:val="007F3F10"/>
    <w:rsid w:val="007F59EB"/>
    <w:rsid w:val="007F7CC5"/>
    <w:rsid w:val="0080131E"/>
    <w:rsid w:val="00806F2A"/>
    <w:rsid w:val="00811CB5"/>
    <w:rsid w:val="008174F9"/>
    <w:rsid w:val="00823ADC"/>
    <w:rsid w:val="00827937"/>
    <w:rsid w:val="00831DA5"/>
    <w:rsid w:val="00834368"/>
    <w:rsid w:val="00836136"/>
    <w:rsid w:val="0084099B"/>
    <w:rsid w:val="008411A4"/>
    <w:rsid w:val="00844E00"/>
    <w:rsid w:val="008475C4"/>
    <w:rsid w:val="00857412"/>
    <w:rsid w:val="00864D06"/>
    <w:rsid w:val="0086537A"/>
    <w:rsid w:val="00865E3C"/>
    <w:rsid w:val="00866397"/>
    <w:rsid w:val="00870A1A"/>
    <w:rsid w:val="00872E40"/>
    <w:rsid w:val="00876449"/>
    <w:rsid w:val="008805DE"/>
    <w:rsid w:val="00882B66"/>
    <w:rsid w:val="00884D5B"/>
    <w:rsid w:val="00886AD8"/>
    <w:rsid w:val="0088752F"/>
    <w:rsid w:val="00895C9A"/>
    <w:rsid w:val="00897E2D"/>
    <w:rsid w:val="008A03E3"/>
    <w:rsid w:val="008A2E7F"/>
    <w:rsid w:val="008A517D"/>
    <w:rsid w:val="008A68FE"/>
    <w:rsid w:val="008A71A6"/>
    <w:rsid w:val="008B2EED"/>
    <w:rsid w:val="008C1237"/>
    <w:rsid w:val="008C3846"/>
    <w:rsid w:val="008C6FA3"/>
    <w:rsid w:val="008D32C9"/>
    <w:rsid w:val="008D447B"/>
    <w:rsid w:val="008E0F9E"/>
    <w:rsid w:val="008E359C"/>
    <w:rsid w:val="008F13BD"/>
    <w:rsid w:val="008F5E20"/>
    <w:rsid w:val="008F67B5"/>
    <w:rsid w:val="00901334"/>
    <w:rsid w:val="00903B89"/>
    <w:rsid w:val="009046B2"/>
    <w:rsid w:val="00905B21"/>
    <w:rsid w:val="009124CE"/>
    <w:rsid w:val="00912954"/>
    <w:rsid w:val="00921F34"/>
    <w:rsid w:val="0092304C"/>
    <w:rsid w:val="00923F06"/>
    <w:rsid w:val="0092562E"/>
    <w:rsid w:val="00925E8B"/>
    <w:rsid w:val="00926127"/>
    <w:rsid w:val="00926C6E"/>
    <w:rsid w:val="009339A3"/>
    <w:rsid w:val="009339BF"/>
    <w:rsid w:val="0093652B"/>
    <w:rsid w:val="009403B4"/>
    <w:rsid w:val="009441EB"/>
    <w:rsid w:val="009445F0"/>
    <w:rsid w:val="009479D0"/>
    <w:rsid w:val="00954FAF"/>
    <w:rsid w:val="009569A0"/>
    <w:rsid w:val="00960B10"/>
    <w:rsid w:val="00960EAD"/>
    <w:rsid w:val="00963E17"/>
    <w:rsid w:val="009768DA"/>
    <w:rsid w:val="00980912"/>
    <w:rsid w:val="009841DA"/>
    <w:rsid w:val="00986627"/>
    <w:rsid w:val="00994A8E"/>
    <w:rsid w:val="00996946"/>
    <w:rsid w:val="0099712C"/>
    <w:rsid w:val="009A188A"/>
    <w:rsid w:val="009A2D32"/>
    <w:rsid w:val="009A2D38"/>
    <w:rsid w:val="009A5009"/>
    <w:rsid w:val="009A5060"/>
    <w:rsid w:val="009A5968"/>
    <w:rsid w:val="009B3075"/>
    <w:rsid w:val="009B6732"/>
    <w:rsid w:val="009B72ED"/>
    <w:rsid w:val="009B7BD4"/>
    <w:rsid w:val="009B7F3F"/>
    <w:rsid w:val="009C000A"/>
    <w:rsid w:val="009C00BB"/>
    <w:rsid w:val="009C0888"/>
    <w:rsid w:val="009C1BA7"/>
    <w:rsid w:val="009D4B6B"/>
    <w:rsid w:val="009E1447"/>
    <w:rsid w:val="009E179D"/>
    <w:rsid w:val="009E3C69"/>
    <w:rsid w:val="009E4076"/>
    <w:rsid w:val="009E5DFA"/>
    <w:rsid w:val="009E6FB7"/>
    <w:rsid w:val="009F0B74"/>
    <w:rsid w:val="009F1566"/>
    <w:rsid w:val="009F3335"/>
    <w:rsid w:val="00A00D4D"/>
    <w:rsid w:val="00A00FCD"/>
    <w:rsid w:val="00A01B26"/>
    <w:rsid w:val="00A06E8A"/>
    <w:rsid w:val="00A101CD"/>
    <w:rsid w:val="00A13A81"/>
    <w:rsid w:val="00A157BF"/>
    <w:rsid w:val="00A17713"/>
    <w:rsid w:val="00A20985"/>
    <w:rsid w:val="00A20D8F"/>
    <w:rsid w:val="00A23155"/>
    <w:rsid w:val="00A23685"/>
    <w:rsid w:val="00A23FC7"/>
    <w:rsid w:val="00A25249"/>
    <w:rsid w:val="00A25EE8"/>
    <w:rsid w:val="00A33F54"/>
    <w:rsid w:val="00A36316"/>
    <w:rsid w:val="00A379FC"/>
    <w:rsid w:val="00A37DFB"/>
    <w:rsid w:val="00A418A7"/>
    <w:rsid w:val="00A50911"/>
    <w:rsid w:val="00A5531A"/>
    <w:rsid w:val="00A5760C"/>
    <w:rsid w:val="00A60DB3"/>
    <w:rsid w:val="00A6159E"/>
    <w:rsid w:val="00A61A18"/>
    <w:rsid w:val="00A64336"/>
    <w:rsid w:val="00A6540F"/>
    <w:rsid w:val="00A65F85"/>
    <w:rsid w:val="00A74140"/>
    <w:rsid w:val="00A853E4"/>
    <w:rsid w:val="00A86700"/>
    <w:rsid w:val="00A909F4"/>
    <w:rsid w:val="00A95F02"/>
    <w:rsid w:val="00AC31B1"/>
    <w:rsid w:val="00AC3422"/>
    <w:rsid w:val="00AD0E39"/>
    <w:rsid w:val="00AD2F56"/>
    <w:rsid w:val="00AE2FAA"/>
    <w:rsid w:val="00AE4AB9"/>
    <w:rsid w:val="00AF02D8"/>
    <w:rsid w:val="00AF4AE7"/>
    <w:rsid w:val="00B01FBC"/>
    <w:rsid w:val="00B03AF7"/>
    <w:rsid w:val="00B049F2"/>
    <w:rsid w:val="00B04A07"/>
    <w:rsid w:val="00B04B01"/>
    <w:rsid w:val="00B06476"/>
    <w:rsid w:val="00B076E1"/>
    <w:rsid w:val="00B16337"/>
    <w:rsid w:val="00B2343F"/>
    <w:rsid w:val="00B32324"/>
    <w:rsid w:val="00B328D7"/>
    <w:rsid w:val="00B345C9"/>
    <w:rsid w:val="00B3512D"/>
    <w:rsid w:val="00B404A1"/>
    <w:rsid w:val="00B40953"/>
    <w:rsid w:val="00B40F4A"/>
    <w:rsid w:val="00B41D48"/>
    <w:rsid w:val="00B4298C"/>
    <w:rsid w:val="00B4581D"/>
    <w:rsid w:val="00B46BF3"/>
    <w:rsid w:val="00B51D9F"/>
    <w:rsid w:val="00B5238A"/>
    <w:rsid w:val="00B56990"/>
    <w:rsid w:val="00B61A59"/>
    <w:rsid w:val="00B6298B"/>
    <w:rsid w:val="00B650AF"/>
    <w:rsid w:val="00B650E2"/>
    <w:rsid w:val="00B7142C"/>
    <w:rsid w:val="00B74923"/>
    <w:rsid w:val="00B74B62"/>
    <w:rsid w:val="00B763C6"/>
    <w:rsid w:val="00B766F7"/>
    <w:rsid w:val="00B813AF"/>
    <w:rsid w:val="00B8551F"/>
    <w:rsid w:val="00B958F8"/>
    <w:rsid w:val="00BA0648"/>
    <w:rsid w:val="00BA4C77"/>
    <w:rsid w:val="00BA5540"/>
    <w:rsid w:val="00BA7349"/>
    <w:rsid w:val="00BA75BC"/>
    <w:rsid w:val="00BB07CD"/>
    <w:rsid w:val="00BB5D28"/>
    <w:rsid w:val="00BC0255"/>
    <w:rsid w:val="00BC0524"/>
    <w:rsid w:val="00BC0DC4"/>
    <w:rsid w:val="00BC2702"/>
    <w:rsid w:val="00BC4D17"/>
    <w:rsid w:val="00BD09CD"/>
    <w:rsid w:val="00BD46E9"/>
    <w:rsid w:val="00BE0CE1"/>
    <w:rsid w:val="00BE6377"/>
    <w:rsid w:val="00BF34D7"/>
    <w:rsid w:val="00BF4EB4"/>
    <w:rsid w:val="00BF6BD7"/>
    <w:rsid w:val="00C00E8A"/>
    <w:rsid w:val="00C00FCB"/>
    <w:rsid w:val="00C02A51"/>
    <w:rsid w:val="00C10E21"/>
    <w:rsid w:val="00C11BD0"/>
    <w:rsid w:val="00C13EE1"/>
    <w:rsid w:val="00C2467D"/>
    <w:rsid w:val="00C274BD"/>
    <w:rsid w:val="00C3097A"/>
    <w:rsid w:val="00C3600A"/>
    <w:rsid w:val="00C36797"/>
    <w:rsid w:val="00C40EA6"/>
    <w:rsid w:val="00C43901"/>
    <w:rsid w:val="00C44604"/>
    <w:rsid w:val="00C46139"/>
    <w:rsid w:val="00C50893"/>
    <w:rsid w:val="00C5285D"/>
    <w:rsid w:val="00C548EE"/>
    <w:rsid w:val="00C54B23"/>
    <w:rsid w:val="00C5771F"/>
    <w:rsid w:val="00C57B84"/>
    <w:rsid w:val="00C627F1"/>
    <w:rsid w:val="00C66CFD"/>
    <w:rsid w:val="00C7431A"/>
    <w:rsid w:val="00C74873"/>
    <w:rsid w:val="00C8343C"/>
    <w:rsid w:val="00C857CB"/>
    <w:rsid w:val="00C8740F"/>
    <w:rsid w:val="00C915A8"/>
    <w:rsid w:val="00C926A6"/>
    <w:rsid w:val="00C96858"/>
    <w:rsid w:val="00CA220F"/>
    <w:rsid w:val="00CB0121"/>
    <w:rsid w:val="00CB7489"/>
    <w:rsid w:val="00CC1133"/>
    <w:rsid w:val="00CC50AC"/>
    <w:rsid w:val="00CC7AF4"/>
    <w:rsid w:val="00CD38AC"/>
    <w:rsid w:val="00CD38CB"/>
    <w:rsid w:val="00CE1587"/>
    <w:rsid w:val="00CE20B6"/>
    <w:rsid w:val="00CE21C0"/>
    <w:rsid w:val="00CF1C8E"/>
    <w:rsid w:val="00CF391E"/>
    <w:rsid w:val="00CF5A0A"/>
    <w:rsid w:val="00CF73E8"/>
    <w:rsid w:val="00CF7F56"/>
    <w:rsid w:val="00D00173"/>
    <w:rsid w:val="00D02B48"/>
    <w:rsid w:val="00D07082"/>
    <w:rsid w:val="00D07C0A"/>
    <w:rsid w:val="00D1120A"/>
    <w:rsid w:val="00D125BE"/>
    <w:rsid w:val="00D1410D"/>
    <w:rsid w:val="00D15416"/>
    <w:rsid w:val="00D15BEA"/>
    <w:rsid w:val="00D2355B"/>
    <w:rsid w:val="00D354A3"/>
    <w:rsid w:val="00D37FCF"/>
    <w:rsid w:val="00D4098A"/>
    <w:rsid w:val="00D423EB"/>
    <w:rsid w:val="00D42F1C"/>
    <w:rsid w:val="00D555DA"/>
    <w:rsid w:val="00D5606E"/>
    <w:rsid w:val="00D6087C"/>
    <w:rsid w:val="00D70FB9"/>
    <w:rsid w:val="00D76948"/>
    <w:rsid w:val="00D7737B"/>
    <w:rsid w:val="00D92FD8"/>
    <w:rsid w:val="00DA6D4D"/>
    <w:rsid w:val="00DB1128"/>
    <w:rsid w:val="00DB1BC1"/>
    <w:rsid w:val="00DB405F"/>
    <w:rsid w:val="00DB7937"/>
    <w:rsid w:val="00DC0A1D"/>
    <w:rsid w:val="00DD0F21"/>
    <w:rsid w:val="00DE082E"/>
    <w:rsid w:val="00DE265F"/>
    <w:rsid w:val="00DE7CF6"/>
    <w:rsid w:val="00DF0295"/>
    <w:rsid w:val="00DF1E85"/>
    <w:rsid w:val="00DF41BA"/>
    <w:rsid w:val="00DF583D"/>
    <w:rsid w:val="00E06A8F"/>
    <w:rsid w:val="00E10E55"/>
    <w:rsid w:val="00E11244"/>
    <w:rsid w:val="00E1312A"/>
    <w:rsid w:val="00E149F1"/>
    <w:rsid w:val="00E15353"/>
    <w:rsid w:val="00E16CAE"/>
    <w:rsid w:val="00E307ED"/>
    <w:rsid w:val="00E369F0"/>
    <w:rsid w:val="00E42F47"/>
    <w:rsid w:val="00E43437"/>
    <w:rsid w:val="00E45340"/>
    <w:rsid w:val="00E515DB"/>
    <w:rsid w:val="00E54F7C"/>
    <w:rsid w:val="00E628D7"/>
    <w:rsid w:val="00E674DD"/>
    <w:rsid w:val="00E67B22"/>
    <w:rsid w:val="00E81323"/>
    <w:rsid w:val="00E85E3D"/>
    <w:rsid w:val="00E90EF2"/>
    <w:rsid w:val="00E92E52"/>
    <w:rsid w:val="00E974ED"/>
    <w:rsid w:val="00EA2307"/>
    <w:rsid w:val="00EA406E"/>
    <w:rsid w:val="00EA43AC"/>
    <w:rsid w:val="00EA52D3"/>
    <w:rsid w:val="00EA73CE"/>
    <w:rsid w:val="00EA7D05"/>
    <w:rsid w:val="00EB055F"/>
    <w:rsid w:val="00EB0A6C"/>
    <w:rsid w:val="00EB0F9E"/>
    <w:rsid w:val="00EB2329"/>
    <w:rsid w:val="00EC1940"/>
    <w:rsid w:val="00EC3C53"/>
    <w:rsid w:val="00EC5BCA"/>
    <w:rsid w:val="00EC652D"/>
    <w:rsid w:val="00ED043A"/>
    <w:rsid w:val="00ED1361"/>
    <w:rsid w:val="00ED3727"/>
    <w:rsid w:val="00ED3DDF"/>
    <w:rsid w:val="00ED3FF4"/>
    <w:rsid w:val="00ED50F4"/>
    <w:rsid w:val="00ED733C"/>
    <w:rsid w:val="00ED7EF9"/>
    <w:rsid w:val="00EE1C1A"/>
    <w:rsid w:val="00EE2613"/>
    <w:rsid w:val="00EE4AD6"/>
    <w:rsid w:val="00EE550A"/>
    <w:rsid w:val="00EE5A74"/>
    <w:rsid w:val="00EE75A6"/>
    <w:rsid w:val="00EF1E98"/>
    <w:rsid w:val="00EF31A8"/>
    <w:rsid w:val="00EF5820"/>
    <w:rsid w:val="00EF6BFA"/>
    <w:rsid w:val="00F01535"/>
    <w:rsid w:val="00F01B7B"/>
    <w:rsid w:val="00F02E84"/>
    <w:rsid w:val="00F038F3"/>
    <w:rsid w:val="00F04C72"/>
    <w:rsid w:val="00F1025A"/>
    <w:rsid w:val="00F106A6"/>
    <w:rsid w:val="00F1598F"/>
    <w:rsid w:val="00F16706"/>
    <w:rsid w:val="00F202ED"/>
    <w:rsid w:val="00F2297F"/>
    <w:rsid w:val="00F25494"/>
    <w:rsid w:val="00F33C20"/>
    <w:rsid w:val="00F34A26"/>
    <w:rsid w:val="00F35EDC"/>
    <w:rsid w:val="00F3646F"/>
    <w:rsid w:val="00F374BB"/>
    <w:rsid w:val="00F43364"/>
    <w:rsid w:val="00F44304"/>
    <w:rsid w:val="00F44460"/>
    <w:rsid w:val="00F464CB"/>
    <w:rsid w:val="00F51143"/>
    <w:rsid w:val="00F51411"/>
    <w:rsid w:val="00F55EF4"/>
    <w:rsid w:val="00F565DF"/>
    <w:rsid w:val="00F62916"/>
    <w:rsid w:val="00F63D9A"/>
    <w:rsid w:val="00F64A2D"/>
    <w:rsid w:val="00F659A3"/>
    <w:rsid w:val="00F7417F"/>
    <w:rsid w:val="00F7708C"/>
    <w:rsid w:val="00F775EC"/>
    <w:rsid w:val="00F85C12"/>
    <w:rsid w:val="00F86618"/>
    <w:rsid w:val="00F9237D"/>
    <w:rsid w:val="00FA02D2"/>
    <w:rsid w:val="00FA0703"/>
    <w:rsid w:val="00FB005B"/>
    <w:rsid w:val="00FB21E7"/>
    <w:rsid w:val="00FB743C"/>
    <w:rsid w:val="00FC526E"/>
    <w:rsid w:val="00FC6E8D"/>
    <w:rsid w:val="00FD21FE"/>
    <w:rsid w:val="00FD307B"/>
    <w:rsid w:val="00FD5E7A"/>
    <w:rsid w:val="00FD685A"/>
    <w:rsid w:val="00FE0817"/>
    <w:rsid w:val="00FE3F95"/>
    <w:rsid w:val="00FE5027"/>
    <w:rsid w:val="00FE68E4"/>
    <w:rsid w:val="00FF20BA"/>
    <w:rsid w:val="00FF2656"/>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1B8F1"/>
  <w15:docId w15:val="{D5ECBE20-2B3D-4BF1-BCD9-F4488610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rsid w:val="002D4258"/>
    <w:rPr>
      <w:rFonts w:ascii="Verdana" w:hAnsi="Verdana"/>
      <w:color w:val="000000"/>
      <w:kern w:val="28"/>
      <w:sz w:val="22"/>
    </w:rPr>
  </w:style>
  <w:style w:type="paragraph" w:customStyle="1" w:styleId="Default">
    <w:name w:val="Default"/>
    <w:rsid w:val="00CE20B6"/>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F4AE7"/>
    <w:pPr>
      <w:ind w:left="720"/>
      <w:contextualSpacing/>
    </w:pPr>
  </w:style>
  <w:style w:type="character" w:styleId="FootnoteReference">
    <w:name w:val="footnote reference"/>
    <w:basedOn w:val="DefaultParagraphFont"/>
    <w:semiHidden/>
    <w:unhideWhenUsed/>
    <w:rsid w:val="009B6732"/>
    <w:rPr>
      <w:vertAlign w:val="superscript"/>
    </w:rPr>
  </w:style>
  <w:style w:type="character" w:customStyle="1" w:styleId="FootnoteTextChar">
    <w:name w:val="Footnote Text Char"/>
    <w:basedOn w:val="DefaultParagraphFont"/>
    <w:link w:val="FootnoteText"/>
    <w:semiHidden/>
    <w:rsid w:val="00F44460"/>
    <w:rPr>
      <w:rFonts w:ascii="Verdana" w:hAnsi="Verdana"/>
      <w:sz w:val="16"/>
    </w:rPr>
  </w:style>
  <w:style w:type="paragraph" w:customStyle="1" w:styleId="legp2paratext">
    <w:name w:val="legp2paratext"/>
    <w:basedOn w:val="Normal"/>
    <w:rsid w:val="00124B58"/>
    <w:pPr>
      <w:spacing w:before="100" w:beforeAutospacing="1" w:after="100" w:afterAutospacing="1"/>
    </w:pPr>
    <w:rPr>
      <w:rFonts w:ascii="Times New Roman" w:hAnsi="Times New Roman"/>
      <w:sz w:val="24"/>
      <w:szCs w:val="24"/>
    </w:rPr>
  </w:style>
  <w:style w:type="paragraph" w:customStyle="1" w:styleId="legclearfix">
    <w:name w:val="legclearfix"/>
    <w:basedOn w:val="Normal"/>
    <w:rsid w:val="00124B58"/>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12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81262">
      <w:bodyDiv w:val="1"/>
      <w:marLeft w:val="0"/>
      <w:marRight w:val="0"/>
      <w:marTop w:val="0"/>
      <w:marBottom w:val="0"/>
      <w:divBdr>
        <w:top w:val="none" w:sz="0" w:space="0" w:color="auto"/>
        <w:left w:val="none" w:sz="0" w:space="0" w:color="auto"/>
        <w:bottom w:val="none" w:sz="0" w:space="0" w:color="auto"/>
        <w:right w:val="none" w:sz="0" w:space="0" w:color="auto"/>
      </w:divBdr>
    </w:div>
    <w:div w:id="1071850480">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948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D582E660-D402-454A-A488-49E046D74EDC\0F98B914-D66D-42C8-9FCC-4F327F168F6C\root\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0987D-048F-4D2F-ADE9-051A1C70E544}">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72E4896-66D3-45A5-BDE4-CBC41B1AA899}"/>
</file>

<file path=customXml/itemProps4.xml><?xml version="1.0" encoding="utf-8"?>
<ds:datastoreItem xmlns:ds="http://schemas.openxmlformats.org/officeDocument/2006/customXml" ds:itemID="{1C2CF7E5-1634-43A3-8C7C-1630FAE61099}"/>
</file>

<file path=customXml/itemProps5.xml><?xml version="1.0" encoding="utf-8"?>
<ds:datastoreItem xmlns:ds="http://schemas.openxmlformats.org/officeDocument/2006/customXml" ds:itemID="{DECE2088-64A3-4C31-B1AF-4B85983058A4}"/>
</file>

<file path=docProps/app.xml><?xml version="1.0" encoding="utf-8"?>
<Properties xmlns="http://schemas.openxmlformats.org/officeDocument/2006/extended-properties" xmlns:vt="http://schemas.openxmlformats.org/officeDocument/2006/docPropsVTypes">
  <Template>Decisions.dotm</Template>
  <TotalTime>2</TotalTime>
  <Pages>5</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Oxted &amp; Limpsfield costs</dc:title>
  <dc:creator>Cruickshank, Heidi</dc:creator>
  <cp:lastModifiedBy>Parsons, Jacky</cp:lastModifiedBy>
  <cp:revision>4</cp:revision>
  <cp:lastPrinted>2021-05-27T11:19:00Z</cp:lastPrinted>
  <dcterms:created xsi:type="dcterms:W3CDTF">2021-05-27T11:18:00Z</dcterms:created>
  <dcterms:modified xsi:type="dcterms:W3CDTF">2021-05-27T13:34:00Z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Costs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