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36" w:type="pct"/>
        <w:tblInd w:w="113" w:type="dxa"/>
        <w:tblLayout w:type="fixed"/>
        <w:tblCellMar>
          <w:left w:w="10" w:type="dxa"/>
          <w:right w:w="10" w:type="dxa"/>
        </w:tblCellMar>
        <w:tblLook w:val="0000" w:firstRow="0" w:lastRow="0" w:firstColumn="0" w:lastColumn="0" w:noHBand="0" w:noVBand="0"/>
      </w:tblPr>
      <w:tblGrid>
        <w:gridCol w:w="9516"/>
      </w:tblGrid>
      <w:tr w:rsidR="006A3227" w14:paraId="3F90B2FF" w14:textId="77777777" w:rsidTr="00C55714">
        <w:trPr>
          <w:trHeight w:val="582"/>
        </w:trPr>
        <w:tc>
          <w:tcPr>
            <w:tcW w:w="9516" w:type="dxa"/>
            <w:shd w:val="clear" w:color="auto" w:fill="auto"/>
            <w:tcMar>
              <w:top w:w="11" w:type="dxa"/>
              <w:left w:w="113" w:type="dxa"/>
              <w:bottom w:w="11" w:type="dxa"/>
              <w:right w:w="0" w:type="dxa"/>
            </w:tcMar>
          </w:tcPr>
          <w:p w14:paraId="701CDC3F" w14:textId="4324B2E4" w:rsidR="006A3227" w:rsidRPr="00292275" w:rsidRDefault="00B77CFA" w:rsidP="000D3887">
            <w:pPr>
              <w:pStyle w:val="BodyText"/>
              <w:ind w:left="-86"/>
              <w:rPr>
                <w:rFonts w:ascii="Helvetica" w:hAnsi="Helvetica" w:cs="Helvetica"/>
                <w:color w:val="00958F"/>
                <w:sz w:val="36"/>
                <w:szCs w:val="36"/>
              </w:rPr>
            </w:pPr>
            <w:r w:rsidRPr="00292275">
              <w:rPr>
                <w:rFonts w:ascii="Helvetica" w:hAnsi="Helvetica" w:cs="Helvetica"/>
                <w:color w:val="00958F"/>
                <w:sz w:val="36"/>
                <w:szCs w:val="36"/>
              </w:rPr>
              <w:t xml:space="preserve">Official </w:t>
            </w:r>
            <w:r w:rsidR="006A3227" w:rsidRPr="00292275">
              <w:rPr>
                <w:rFonts w:ascii="Helvetica" w:hAnsi="Helvetica" w:cs="Helvetica"/>
                <w:color w:val="00958F"/>
                <w:sz w:val="36"/>
                <w:szCs w:val="36"/>
              </w:rPr>
              <w:t>Statistic</w:t>
            </w:r>
            <w:r w:rsidRPr="00292275">
              <w:rPr>
                <w:rFonts w:ascii="Helvetica" w:hAnsi="Helvetica" w:cs="Helvetica"/>
                <w:color w:val="00958F"/>
                <w:sz w:val="36"/>
                <w:szCs w:val="36"/>
              </w:rPr>
              <w:t>s</w:t>
            </w:r>
          </w:p>
          <w:p w14:paraId="1E3A59B8" w14:textId="263DF6A1" w:rsidR="006A3227" w:rsidRDefault="00292275" w:rsidP="000D3887">
            <w:pPr>
              <w:pStyle w:val="BodyText"/>
              <w:ind w:left="-86"/>
            </w:pPr>
            <w:r w:rsidRPr="00292275">
              <w:rPr>
                <w:rFonts w:ascii="Helvetica" w:hAnsi="Helvetica" w:cs="Helvetica"/>
                <w:color w:val="00958F"/>
                <w:sz w:val="36"/>
                <w:szCs w:val="36"/>
              </w:rPr>
              <w:t>2</w:t>
            </w:r>
            <w:r w:rsidR="002A431C">
              <w:rPr>
                <w:rFonts w:ascii="Helvetica" w:hAnsi="Helvetica" w:cs="Helvetica"/>
                <w:color w:val="00958F"/>
                <w:sz w:val="36"/>
                <w:szCs w:val="36"/>
              </w:rPr>
              <w:t>4 June</w:t>
            </w:r>
            <w:r w:rsidR="00693103" w:rsidRPr="00292275">
              <w:rPr>
                <w:rFonts w:ascii="Helvetica" w:hAnsi="Helvetica" w:cs="Helvetica"/>
                <w:color w:val="00958F"/>
                <w:sz w:val="36"/>
                <w:szCs w:val="36"/>
              </w:rPr>
              <w:t xml:space="preserve"> 2021</w:t>
            </w:r>
          </w:p>
        </w:tc>
      </w:tr>
    </w:tbl>
    <w:p w14:paraId="2D2FC198" w14:textId="77777777" w:rsidR="006A3227" w:rsidRDefault="006A3227" w:rsidP="006A3227">
      <w:pPr>
        <w:rPr>
          <w:rFonts w:ascii="Helvetica" w:hAnsi="Helvetica" w:cs="Helvetica"/>
          <w:b/>
        </w:rPr>
      </w:pPr>
    </w:p>
    <w:tbl>
      <w:tblPr>
        <w:tblW w:w="9629" w:type="dxa"/>
        <w:tblCellMar>
          <w:left w:w="10" w:type="dxa"/>
          <w:right w:w="10" w:type="dxa"/>
        </w:tblCellMar>
        <w:tblLook w:val="0000" w:firstRow="0" w:lastRow="0" w:firstColumn="0" w:lastColumn="0" w:noHBand="0" w:noVBand="0"/>
      </w:tblPr>
      <w:tblGrid>
        <w:gridCol w:w="9629"/>
      </w:tblGrid>
      <w:tr w:rsidR="006A3227" w14:paraId="7C215446" w14:textId="77777777" w:rsidTr="000D3887">
        <w:trPr>
          <w:trHeight w:val="403"/>
        </w:trPr>
        <w:tc>
          <w:tcPr>
            <w:tcW w:w="9629" w:type="dxa"/>
            <w:shd w:val="clear" w:color="auto" w:fill="00958F"/>
            <w:tcMar>
              <w:top w:w="0" w:type="dxa"/>
              <w:left w:w="108" w:type="dxa"/>
              <w:bottom w:w="0" w:type="dxa"/>
              <w:right w:w="108" w:type="dxa"/>
            </w:tcMar>
          </w:tcPr>
          <w:p w14:paraId="1C22BFB5" w14:textId="77777777" w:rsidR="006A3227" w:rsidRDefault="006A3227" w:rsidP="000D3887">
            <w:r>
              <w:rPr>
                <w:rFonts w:ascii="Helvetica" w:hAnsi="Helvetica" w:cs="Helvetica"/>
                <w:b/>
                <w:color w:val="FFFFFF"/>
                <w:sz w:val="28"/>
                <w:szCs w:val="28"/>
              </w:rPr>
              <w:t>Introduction</w:t>
            </w:r>
          </w:p>
        </w:tc>
      </w:tr>
    </w:tbl>
    <w:p w14:paraId="2A428E6E" w14:textId="7C3C6E56" w:rsidR="006A3227" w:rsidRPr="008B07AB" w:rsidRDefault="006A3227" w:rsidP="008B3514">
      <w:pPr>
        <w:spacing w:before="120"/>
        <w:jc w:val="both"/>
        <w:rPr>
          <w:rFonts w:ascii="Helvetica" w:hAnsi="Helvetica" w:cs="Helvetica"/>
        </w:rPr>
      </w:pPr>
      <w:r w:rsidRPr="008B07AB">
        <w:rPr>
          <w:rFonts w:ascii="Helvetica" w:hAnsi="Helvetica" w:cs="Helvetica"/>
        </w:rPr>
        <w:t xml:space="preserve">This statistical release provides summary information on appeals, which represent the highest volume </w:t>
      </w:r>
      <w:r w:rsidR="00873666" w:rsidRPr="008B07AB">
        <w:rPr>
          <w:rFonts w:ascii="Helvetica" w:hAnsi="Helvetica" w:cs="Helvetica"/>
        </w:rPr>
        <w:t xml:space="preserve">(in terms of number of cases) </w:t>
      </w:r>
      <w:r w:rsidRPr="008B07AB">
        <w:rPr>
          <w:rFonts w:ascii="Helvetica" w:hAnsi="Helvetica" w:cs="Helvetica"/>
        </w:rPr>
        <w:t>of the work of the Planning Inspectorate.</w:t>
      </w:r>
    </w:p>
    <w:p w14:paraId="565EE3EE" w14:textId="77777777" w:rsidR="006A3227" w:rsidRPr="008B07AB" w:rsidRDefault="006A3227" w:rsidP="006A3227">
      <w:pPr>
        <w:jc w:val="both"/>
        <w:rPr>
          <w:rFonts w:ascii="Helvetica" w:hAnsi="Helvetica" w:cs="Helvetica"/>
          <w:sz w:val="20"/>
          <w:szCs w:val="20"/>
        </w:rPr>
      </w:pPr>
    </w:p>
    <w:p w14:paraId="115B16BA" w14:textId="1BA3743B" w:rsidR="006A3227" w:rsidRPr="008B07AB" w:rsidRDefault="006A3227" w:rsidP="006A3227">
      <w:pPr>
        <w:jc w:val="both"/>
        <w:rPr>
          <w:rFonts w:ascii="Helvetica" w:hAnsi="Helvetica" w:cs="Helvetica"/>
        </w:rPr>
      </w:pPr>
      <w:r w:rsidRPr="008B07AB">
        <w:rPr>
          <w:rFonts w:ascii="Helvetica" w:hAnsi="Helvetica" w:cs="Helvetica"/>
        </w:rPr>
        <w:t xml:space="preserve">These statistics </w:t>
      </w:r>
      <w:r w:rsidR="00BA0253" w:rsidRPr="008B07AB">
        <w:rPr>
          <w:rFonts w:ascii="Helvetica" w:hAnsi="Helvetica" w:cs="Helvetica"/>
        </w:rPr>
        <w:t xml:space="preserve">are </w:t>
      </w:r>
      <w:r w:rsidRPr="008B07AB">
        <w:rPr>
          <w:rFonts w:ascii="Helvetica" w:hAnsi="Helvetica" w:cs="Helvetica"/>
        </w:rPr>
        <w:t xml:space="preserve">produced each month </w:t>
      </w:r>
      <w:r w:rsidR="00BA0253" w:rsidRPr="008B07AB">
        <w:rPr>
          <w:rFonts w:ascii="Helvetica" w:hAnsi="Helvetica" w:cs="Helvetica"/>
        </w:rPr>
        <w:t xml:space="preserve">and </w:t>
      </w:r>
      <w:r w:rsidR="004C6172" w:rsidRPr="008B07AB">
        <w:rPr>
          <w:rFonts w:ascii="Helvetica" w:hAnsi="Helvetica" w:cs="Helvetica"/>
        </w:rPr>
        <w:t xml:space="preserve">the </w:t>
      </w:r>
      <w:r w:rsidRPr="008B07AB">
        <w:rPr>
          <w:rFonts w:ascii="Helvetica" w:hAnsi="Helvetica" w:cs="Helvetica"/>
        </w:rPr>
        <w:t>focus is on timeliness</w:t>
      </w:r>
      <w:r w:rsidR="004C6172" w:rsidRPr="008B07AB">
        <w:rPr>
          <w:rFonts w:ascii="Helvetica" w:hAnsi="Helvetica" w:cs="Helvetica"/>
        </w:rPr>
        <w:t>,</w:t>
      </w:r>
      <w:r w:rsidRPr="008B07AB">
        <w:rPr>
          <w:rFonts w:ascii="Helvetica" w:hAnsi="Helvetica" w:cs="Helvetica"/>
        </w:rPr>
        <w:t xml:space="preserve"> as that is an area in which stakeholders have an interest. </w:t>
      </w:r>
      <w:r w:rsidR="00113049" w:rsidRPr="008B07AB">
        <w:rPr>
          <w:rFonts w:ascii="Helvetica" w:hAnsi="Helvetica" w:cs="Helvetica"/>
        </w:rPr>
        <w:t>I</w:t>
      </w:r>
      <w:r w:rsidRPr="008B07AB">
        <w:rPr>
          <w:rFonts w:ascii="Helvetica" w:hAnsi="Helvetica" w:cs="Helvetica"/>
        </w:rPr>
        <w:t>nformation on the decisions that we have made</w:t>
      </w:r>
      <w:r w:rsidR="00113049" w:rsidRPr="008B07AB">
        <w:rPr>
          <w:rFonts w:ascii="Helvetica" w:hAnsi="Helvetica" w:cs="Helvetica"/>
        </w:rPr>
        <w:t xml:space="preserve"> is also included</w:t>
      </w:r>
      <w:r w:rsidRPr="008B07AB">
        <w:rPr>
          <w:rFonts w:ascii="Helvetica" w:hAnsi="Helvetica" w:cs="Helvetica"/>
        </w:rPr>
        <w:t xml:space="preserve">; and on the number of Inspectors available to make those decisions. </w:t>
      </w:r>
    </w:p>
    <w:p w14:paraId="68AEB20E" w14:textId="77777777" w:rsidR="006D77FE" w:rsidRPr="008B07AB" w:rsidRDefault="006D77FE" w:rsidP="006A3227">
      <w:pPr>
        <w:jc w:val="both"/>
        <w:rPr>
          <w:rFonts w:ascii="Helvetica" w:hAnsi="Helvetica" w:cs="Helvetica"/>
          <w:sz w:val="20"/>
          <w:szCs w:val="20"/>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646"/>
      </w:tblGrid>
      <w:tr w:rsidR="006650BC" w14:paraId="7C98A20A" w14:textId="77777777" w:rsidTr="00372A82">
        <w:tc>
          <w:tcPr>
            <w:tcW w:w="8646" w:type="dxa"/>
            <w:shd w:val="clear" w:color="auto" w:fill="FFE599" w:themeFill="accent4" w:themeFillTint="66"/>
            <w:vAlign w:val="center"/>
          </w:tcPr>
          <w:p w14:paraId="30D114FB" w14:textId="77777777" w:rsidR="007B419C" w:rsidRDefault="007B419C" w:rsidP="006650BC">
            <w:pPr>
              <w:jc w:val="both"/>
              <w:rPr>
                <w:rFonts w:ascii="Helvetica" w:hAnsi="Helvetica" w:cs="Helvetica"/>
              </w:rPr>
            </w:pPr>
          </w:p>
          <w:p w14:paraId="2DED22D8" w14:textId="2130DCEF" w:rsidR="006650BC" w:rsidRPr="008B07AB" w:rsidRDefault="006650BC" w:rsidP="006650BC">
            <w:pPr>
              <w:jc w:val="both"/>
              <w:rPr>
                <w:rFonts w:ascii="Helvetica" w:hAnsi="Helvetica" w:cs="Helvetica"/>
              </w:rPr>
            </w:pPr>
            <w:r w:rsidRPr="007B419C">
              <w:rPr>
                <w:rFonts w:ascii="Helvetica" w:hAnsi="Helvetica" w:cs="Helvetica"/>
              </w:rPr>
              <w:t>We are seeking feedback!</w:t>
            </w:r>
            <w:r w:rsidR="0094328A" w:rsidRPr="007B419C">
              <w:rPr>
                <w:rFonts w:ascii="Helvetica" w:hAnsi="Helvetica" w:cs="Helvetica"/>
              </w:rPr>
              <w:t xml:space="preserve">  If you have any thoughts </w:t>
            </w:r>
            <w:r w:rsidRPr="007B419C">
              <w:rPr>
                <w:rFonts w:ascii="Helvetica" w:hAnsi="Helvetica" w:cs="Helvetica"/>
              </w:rPr>
              <w:t>on how</w:t>
            </w:r>
            <w:r w:rsidR="007B419C" w:rsidRPr="007B419C">
              <w:rPr>
                <w:rFonts w:ascii="Helvetica" w:hAnsi="Helvetica" w:cs="Helvetica"/>
              </w:rPr>
              <w:t xml:space="preserve"> we can </w:t>
            </w:r>
            <w:r w:rsidRPr="007B419C">
              <w:rPr>
                <w:rFonts w:ascii="Helvetica" w:hAnsi="Helvetica" w:cs="Helvetica"/>
              </w:rPr>
              <w:t>develop these statistics</w:t>
            </w:r>
            <w:r w:rsidR="007B419C">
              <w:rPr>
                <w:rFonts w:ascii="Helvetica" w:hAnsi="Helvetica" w:cs="Helvetica"/>
              </w:rPr>
              <w:t xml:space="preserve"> </w:t>
            </w:r>
            <w:r w:rsidR="00256D61">
              <w:rPr>
                <w:rFonts w:ascii="Helvetica" w:hAnsi="Helvetica" w:cs="Helvetica"/>
              </w:rPr>
              <w:t>– including</w:t>
            </w:r>
            <w:r w:rsidR="00B9599B">
              <w:rPr>
                <w:rFonts w:ascii="Helvetica" w:hAnsi="Helvetica" w:cs="Helvetica"/>
              </w:rPr>
              <w:t xml:space="preserve"> on </w:t>
            </w:r>
            <w:r w:rsidR="00BB2315">
              <w:rPr>
                <w:rFonts w:ascii="Helvetica" w:hAnsi="Helvetica" w:cs="Helvetica"/>
              </w:rPr>
              <w:t>the addition</w:t>
            </w:r>
            <w:r w:rsidR="00414C18">
              <w:rPr>
                <w:rFonts w:ascii="Helvetica" w:hAnsi="Helvetica" w:cs="Helvetica"/>
              </w:rPr>
              <w:t>al quarterly and annual</w:t>
            </w:r>
            <w:r w:rsidR="00C45ADC">
              <w:rPr>
                <w:rFonts w:ascii="Helvetica" w:hAnsi="Helvetica" w:cs="Helvetica"/>
              </w:rPr>
              <w:t xml:space="preserve"> figures - </w:t>
            </w:r>
            <w:r w:rsidR="007B419C">
              <w:rPr>
                <w:rFonts w:ascii="Helvetica" w:hAnsi="Helvetica" w:cs="Helvetica"/>
              </w:rPr>
              <w:t xml:space="preserve">please let us know at </w:t>
            </w:r>
            <w:hyperlink r:id="rId11">
              <w:r w:rsidR="007B419C" w:rsidRPr="545BAC2B">
                <w:rPr>
                  <w:rStyle w:val="Hyperlink"/>
                  <w:rFonts w:ascii="Helvetica" w:hAnsi="Helvetica" w:cs="Helvetica"/>
                </w:rPr>
                <w:t>statistics@planninginspectorate.gov.uk</w:t>
              </w:r>
            </w:hyperlink>
          </w:p>
          <w:p w14:paraId="460D057F" w14:textId="77777777" w:rsidR="006650BC" w:rsidRDefault="006650BC" w:rsidP="006A3227">
            <w:pPr>
              <w:jc w:val="both"/>
              <w:rPr>
                <w:rFonts w:ascii="Helvetica" w:hAnsi="Helvetica" w:cs="Helvetica"/>
                <w:highlight w:val="yellow"/>
              </w:rPr>
            </w:pPr>
          </w:p>
        </w:tc>
      </w:tr>
    </w:tbl>
    <w:p w14:paraId="1F542F6C" w14:textId="77777777" w:rsidR="006D77FE" w:rsidRPr="008B07AB" w:rsidRDefault="006D77FE" w:rsidP="006A3227">
      <w:pPr>
        <w:jc w:val="both"/>
        <w:rPr>
          <w:rFonts w:ascii="Helvetica" w:hAnsi="Helvetica" w:cs="Helvetica"/>
          <w:sz w:val="20"/>
          <w:szCs w:val="20"/>
        </w:rPr>
      </w:pPr>
    </w:p>
    <w:p w14:paraId="49EA1950" w14:textId="1494FC1D" w:rsidR="006A3227" w:rsidRPr="008B07AB" w:rsidRDefault="006A3227" w:rsidP="006A3227">
      <w:pPr>
        <w:jc w:val="both"/>
      </w:pPr>
      <w:r w:rsidRPr="008B07AB">
        <w:rPr>
          <w:rFonts w:ascii="Helvetica" w:hAnsi="Helvetica" w:cs="Helvetica"/>
        </w:rPr>
        <w:t xml:space="preserve">These statistics have been published to ensure </w:t>
      </w:r>
      <w:r w:rsidR="005162A7" w:rsidRPr="008B07AB">
        <w:rPr>
          <w:rFonts w:ascii="Helvetica" w:hAnsi="Helvetica" w:cs="Helvetica"/>
        </w:rPr>
        <w:t>everyone</w:t>
      </w:r>
      <w:r w:rsidRPr="008B07AB">
        <w:rPr>
          <w:rFonts w:ascii="Helvetica" w:hAnsi="Helvetica" w:cs="Helvetica"/>
        </w:rPr>
        <w:t xml:space="preserve"> has equal access to the information and </w:t>
      </w:r>
      <w:r w:rsidR="00F65652" w:rsidRPr="008B07AB">
        <w:rPr>
          <w:rFonts w:ascii="Helvetica" w:hAnsi="Helvetica" w:cs="Helvetica"/>
        </w:rPr>
        <w:t xml:space="preserve">to </w:t>
      </w:r>
      <w:r w:rsidRPr="008B07AB">
        <w:rPr>
          <w:rFonts w:ascii="Helvetica" w:hAnsi="Helvetica" w:cs="Helvetica"/>
        </w:rPr>
        <w:t>support the Planning Inspectorate’s commitment to release information where possible.</w:t>
      </w:r>
    </w:p>
    <w:p w14:paraId="34D9F664" w14:textId="77777777" w:rsidR="006A3227" w:rsidRPr="008B07AB" w:rsidRDefault="006A3227" w:rsidP="006A3227">
      <w:pPr>
        <w:rPr>
          <w:rFonts w:ascii="Helvetica" w:hAnsi="Helvetica" w:cs="Helvetica"/>
          <w:sz w:val="20"/>
          <w:szCs w:val="20"/>
        </w:rPr>
      </w:pPr>
    </w:p>
    <w:p w14:paraId="28CE3C7C" w14:textId="54199F7B" w:rsidR="006A3227" w:rsidRPr="008B07AB" w:rsidRDefault="006A3227" w:rsidP="006A3227">
      <w:pPr>
        <w:jc w:val="both"/>
        <w:rPr>
          <w:rFonts w:ascii="Helvetica" w:hAnsi="Helvetica" w:cs="Helvetica"/>
        </w:rPr>
      </w:pPr>
      <w:r w:rsidRPr="008B07AB">
        <w:rPr>
          <w:rFonts w:ascii="Helvetica" w:hAnsi="Helvetica" w:cs="Helvetica"/>
        </w:rPr>
        <w:t>This statistical bulletin provides</w:t>
      </w:r>
      <w:r w:rsidRPr="008B07AB" w:rsidDel="000219AD">
        <w:rPr>
          <w:rStyle w:val="FootnoteReference"/>
          <w:rFonts w:ascii="Helvetica" w:hAnsi="Helvetica" w:cs="Helvetica"/>
        </w:rPr>
        <w:footnoteReference w:id="2"/>
      </w:r>
      <w:r w:rsidR="000219AD" w:rsidRPr="008B07AB">
        <w:rPr>
          <w:rFonts w:ascii="Helvetica" w:hAnsi="Helvetica" w:cs="Helvetica"/>
        </w:rPr>
        <w:t>:</w:t>
      </w:r>
    </w:p>
    <w:p w14:paraId="0AF338F1" w14:textId="1302B199" w:rsidR="006A3227" w:rsidRPr="008B07AB" w:rsidRDefault="006A3227" w:rsidP="006A3227">
      <w:pPr>
        <w:pStyle w:val="ListParagraph"/>
        <w:numPr>
          <w:ilvl w:val="0"/>
          <w:numId w:val="1"/>
        </w:numPr>
        <w:jc w:val="both"/>
      </w:pPr>
      <w:r w:rsidRPr="008B07AB">
        <w:rPr>
          <w:rFonts w:ascii="Helvetica" w:hAnsi="Helvetica" w:cs="Helvetica"/>
        </w:rPr>
        <w:t xml:space="preserve">Appeals decisions </w:t>
      </w:r>
      <w:r w:rsidR="000343DA" w:rsidRPr="008B07AB">
        <w:rPr>
          <w:rFonts w:ascii="Helvetica" w:hAnsi="Helvetica" w:cs="Helvetica"/>
        </w:rPr>
        <w:t xml:space="preserve">and events held </w:t>
      </w:r>
      <w:r w:rsidRPr="008B07AB">
        <w:rPr>
          <w:rFonts w:ascii="Helvetica" w:hAnsi="Helvetica" w:cs="Helvetica"/>
        </w:rPr>
        <w:t xml:space="preserve">from </w:t>
      </w:r>
      <w:r w:rsidR="002A431C">
        <w:rPr>
          <w:rFonts w:ascii="Helvetica" w:hAnsi="Helvetica" w:cs="Helvetica"/>
        </w:rPr>
        <w:t>June</w:t>
      </w:r>
      <w:r w:rsidR="00884039" w:rsidRPr="008B07AB">
        <w:rPr>
          <w:rFonts w:ascii="Helvetica" w:hAnsi="Helvetica" w:cs="Helvetica"/>
        </w:rPr>
        <w:t xml:space="preserve"> 2020</w:t>
      </w:r>
      <w:r w:rsidRPr="008B07AB">
        <w:rPr>
          <w:rFonts w:ascii="Helvetica" w:hAnsi="Helvetica" w:cs="Helvetica"/>
        </w:rPr>
        <w:t xml:space="preserve"> to </w:t>
      </w:r>
      <w:r w:rsidR="002A431C">
        <w:rPr>
          <w:rFonts w:ascii="Helvetica" w:hAnsi="Helvetica" w:cs="Helvetica"/>
        </w:rPr>
        <w:t>May</w:t>
      </w:r>
      <w:r w:rsidR="005A7F36" w:rsidRPr="008B07AB">
        <w:rPr>
          <w:rFonts w:ascii="Helvetica" w:hAnsi="Helvetica" w:cs="Helvetica"/>
        </w:rPr>
        <w:t xml:space="preserve"> </w:t>
      </w:r>
      <w:r w:rsidR="00E45DD8" w:rsidRPr="008B07AB">
        <w:rPr>
          <w:rFonts w:ascii="Helvetica" w:hAnsi="Helvetica" w:cs="Helvetica"/>
        </w:rPr>
        <w:t>2021</w:t>
      </w:r>
    </w:p>
    <w:p w14:paraId="2FDC2B80" w14:textId="77777777" w:rsidR="006A3227" w:rsidRPr="008B07AB" w:rsidRDefault="006A3227" w:rsidP="006A3227">
      <w:pPr>
        <w:pStyle w:val="ListParagraph"/>
        <w:numPr>
          <w:ilvl w:val="0"/>
          <w:numId w:val="1"/>
        </w:numPr>
        <w:jc w:val="both"/>
      </w:pPr>
      <w:r w:rsidRPr="008B07AB">
        <w:rPr>
          <w:rFonts w:ascii="Helvetica" w:hAnsi="Helvetica" w:cs="Helvetica"/>
        </w:rPr>
        <w:t>The time taken to reach those decisions</w:t>
      </w:r>
    </w:p>
    <w:p w14:paraId="2C7D9EF3" w14:textId="77777777" w:rsidR="006A3227" w:rsidRPr="008B07AB" w:rsidRDefault="006A3227" w:rsidP="006A3227">
      <w:pPr>
        <w:pStyle w:val="ListParagraph"/>
        <w:numPr>
          <w:ilvl w:val="0"/>
          <w:numId w:val="1"/>
        </w:numPr>
        <w:jc w:val="both"/>
      </w:pPr>
      <w:r w:rsidRPr="008B07AB">
        <w:rPr>
          <w:rFonts w:ascii="Helvetica" w:hAnsi="Helvetica" w:cs="Helvetica"/>
        </w:rPr>
        <w:t>Number of open cases</w:t>
      </w:r>
    </w:p>
    <w:p w14:paraId="6A4794C2" w14:textId="77777777" w:rsidR="006A3227" w:rsidRPr="008B07AB" w:rsidRDefault="006A3227" w:rsidP="006A3227">
      <w:pPr>
        <w:pStyle w:val="ListParagraph"/>
        <w:numPr>
          <w:ilvl w:val="0"/>
          <w:numId w:val="1"/>
        </w:numPr>
        <w:jc w:val="both"/>
      </w:pPr>
      <w:r w:rsidRPr="008B07AB">
        <w:rPr>
          <w:rFonts w:ascii="Helvetica" w:hAnsi="Helvetica" w:cs="Helvetica"/>
        </w:rPr>
        <w:t>Number of Inspectors</w:t>
      </w:r>
    </w:p>
    <w:p w14:paraId="5722D76D" w14:textId="22801848" w:rsidR="006A3227" w:rsidRPr="008B07AB" w:rsidRDefault="006A3227" w:rsidP="006A3227">
      <w:pPr>
        <w:pStyle w:val="ListParagraph"/>
        <w:numPr>
          <w:ilvl w:val="0"/>
          <w:numId w:val="1"/>
        </w:numPr>
        <w:jc w:val="both"/>
      </w:pPr>
      <w:r w:rsidRPr="008B07AB">
        <w:rPr>
          <w:rFonts w:ascii="Helvetica" w:hAnsi="Helvetica" w:cs="Helvetica"/>
        </w:rPr>
        <w:t>Number of virtual events</w:t>
      </w:r>
    </w:p>
    <w:p w14:paraId="593FB465" w14:textId="77777777" w:rsidR="006A3227" w:rsidRPr="008B07AB" w:rsidRDefault="006A3227" w:rsidP="00AE5610">
      <w:pPr>
        <w:spacing w:before="120"/>
        <w:jc w:val="both"/>
        <w:rPr>
          <w:rFonts w:ascii="Helvetica" w:hAnsi="Helvetica" w:cs="Helvetica"/>
        </w:rPr>
      </w:pPr>
      <w:r w:rsidRPr="008B07AB">
        <w:rPr>
          <w:rFonts w:ascii="Helvetica" w:hAnsi="Helvetica" w:cs="Helvetica"/>
        </w:rPr>
        <w:t>The data in this release is only applicable to England.</w:t>
      </w:r>
    </w:p>
    <w:p w14:paraId="7BF87F19" w14:textId="77777777" w:rsidR="006A3227" w:rsidRPr="008B07AB" w:rsidRDefault="006A3227" w:rsidP="006A3227">
      <w:pPr>
        <w:jc w:val="both"/>
        <w:rPr>
          <w:rFonts w:ascii="Helvetica" w:hAnsi="Helvetica" w:cs="Helvetica"/>
          <w:sz w:val="20"/>
          <w:szCs w:val="20"/>
        </w:rPr>
      </w:pPr>
    </w:p>
    <w:p w14:paraId="0730DE51" w14:textId="77777777" w:rsidR="006A3227" w:rsidRPr="008B07AB" w:rsidRDefault="006A3227" w:rsidP="008B3514">
      <w:pPr>
        <w:spacing w:after="120"/>
        <w:rPr>
          <w:rFonts w:ascii="Helvetica" w:eastAsia="Verdana" w:hAnsi="Helvetica" w:cs="Helvetica"/>
          <w:b/>
          <w:bCs/>
        </w:rPr>
      </w:pPr>
      <w:r w:rsidRPr="008B07AB">
        <w:rPr>
          <w:rFonts w:ascii="Helvetica" w:eastAsia="Verdana" w:hAnsi="Helvetica" w:cs="Helvetica"/>
          <w:b/>
          <w:bCs/>
        </w:rPr>
        <w:t>The Planning Inspectorate</w:t>
      </w:r>
    </w:p>
    <w:p w14:paraId="7F2EF0B9" w14:textId="10482857" w:rsidR="006A3227" w:rsidRPr="008B07AB" w:rsidRDefault="006A3227" w:rsidP="006A3227">
      <w:pPr>
        <w:jc w:val="both"/>
        <w:rPr>
          <w:rFonts w:ascii="Helvetica" w:eastAsia="Verdana" w:hAnsi="Helvetica" w:cs="Helvetica"/>
        </w:rPr>
      </w:pPr>
      <w:r w:rsidRPr="008B07AB">
        <w:rPr>
          <w:rFonts w:ascii="Helvetica" w:eastAsia="Verdana" w:hAnsi="Helvetica" w:cs="Helvetica"/>
        </w:rPr>
        <w:t>The Planning Inspectorate make</w:t>
      </w:r>
      <w:r w:rsidR="00F33946" w:rsidRPr="008B07AB">
        <w:rPr>
          <w:rFonts w:ascii="Helvetica" w:eastAsia="Verdana" w:hAnsi="Helvetica" w:cs="Helvetica"/>
        </w:rPr>
        <w:t>s</w:t>
      </w:r>
      <w:r w:rsidRPr="008B07AB">
        <w:rPr>
          <w:rFonts w:ascii="Helvetica" w:eastAsia="Verdana" w:hAnsi="Helvetica" w:cs="Helvetica"/>
        </w:rPr>
        <w:t xml:space="preserve"> decision and provide</w:t>
      </w:r>
      <w:r w:rsidR="00F33946" w:rsidRPr="008B07AB">
        <w:rPr>
          <w:rFonts w:ascii="Helvetica" w:eastAsia="Verdana" w:hAnsi="Helvetica" w:cs="Helvetica"/>
        </w:rPr>
        <w:t>s</w:t>
      </w:r>
      <w:r w:rsidRPr="008B07AB">
        <w:rPr>
          <w:rFonts w:ascii="Helvetica" w:eastAsia="Verdana" w:hAnsi="Helvetica" w:cs="Helvetica"/>
        </w:rPr>
        <w:t xml:space="preserve"> recommendations and advice on a range of land use planning-related issues across England and Wales. We do this in a fair, </w:t>
      </w:r>
      <w:proofErr w:type="gramStart"/>
      <w:r w:rsidRPr="008B07AB">
        <w:rPr>
          <w:rFonts w:ascii="Helvetica" w:eastAsia="Verdana" w:hAnsi="Helvetica" w:cs="Helvetica"/>
        </w:rPr>
        <w:t>open</w:t>
      </w:r>
      <w:proofErr w:type="gramEnd"/>
      <w:r w:rsidRPr="008B07AB">
        <w:rPr>
          <w:rFonts w:ascii="Helvetica" w:eastAsia="Verdana" w:hAnsi="Helvetica" w:cs="Helvetica"/>
        </w:rPr>
        <w:t xml:space="preserve"> and timely way. </w:t>
      </w:r>
    </w:p>
    <w:p w14:paraId="46D5E836" w14:textId="77777777" w:rsidR="006A3227" w:rsidRPr="008B07AB" w:rsidRDefault="006A3227" w:rsidP="006A3227">
      <w:pPr>
        <w:jc w:val="both"/>
        <w:rPr>
          <w:rFonts w:ascii="Helvetica" w:eastAsia="Verdana" w:hAnsi="Helvetica" w:cs="Helvetica"/>
          <w:sz w:val="20"/>
          <w:szCs w:val="20"/>
        </w:rPr>
      </w:pPr>
    </w:p>
    <w:p w14:paraId="5DC1394C" w14:textId="349D4FD9" w:rsidR="006A3227" w:rsidRDefault="006A3227" w:rsidP="006A3227">
      <w:pPr>
        <w:jc w:val="both"/>
      </w:pPr>
      <w:r w:rsidRPr="008B07AB">
        <w:rPr>
          <w:rFonts w:ascii="Helvetica" w:eastAsia="Verdana" w:hAnsi="Helvetica" w:cs="Helvetica"/>
        </w:rPr>
        <w:t>The Planning Inspectorate deals with planning appeals, national infrastructure planning applications, examinations of local plans and other planning-related and specialist casework in England and Wales.</w:t>
      </w:r>
      <w:r w:rsidR="00195C7F">
        <w:rPr>
          <w:rFonts w:ascii="Helvetica" w:eastAsia="Verdana" w:hAnsi="Helvetica" w:cs="Helvetica"/>
        </w:rPr>
        <w:t xml:space="preserve">  </w:t>
      </w:r>
      <w:r w:rsidRPr="008B07AB">
        <w:rPr>
          <w:rFonts w:ascii="Helvetica" w:eastAsia="Verdana" w:hAnsi="Helvetica" w:cs="Helvetica"/>
        </w:rPr>
        <w:t xml:space="preserve">The Planning Inspectorate is an executive agency, sponsored by the Ministry of Housing, Communities &amp; Local </w:t>
      </w:r>
      <w:proofErr w:type="gramStart"/>
      <w:r w:rsidRPr="008B07AB">
        <w:rPr>
          <w:rFonts w:ascii="Helvetica" w:eastAsia="Verdana" w:hAnsi="Helvetica" w:cs="Helvetica"/>
        </w:rPr>
        <w:t>Government</w:t>
      </w:r>
      <w:proofErr w:type="gramEnd"/>
      <w:r w:rsidRPr="008B07AB">
        <w:rPr>
          <w:rFonts w:ascii="Helvetica" w:eastAsia="Verdana" w:hAnsi="Helvetica" w:cs="Helvetica"/>
        </w:rPr>
        <w:t xml:space="preserve"> and the Welsh Government.</w:t>
      </w:r>
      <w:r>
        <w:rPr>
          <w:rFonts w:ascii="Helvetica" w:eastAsia="Verdana" w:hAnsi="Helvetica" w:cs="Helvetica"/>
        </w:rPr>
        <w:t xml:space="preserve"> </w:t>
      </w:r>
    </w:p>
    <w:p w14:paraId="08D201D7" w14:textId="4CC89ED1" w:rsidR="00B736E8" w:rsidRDefault="00803D47" w:rsidP="0063367F">
      <w:pPr>
        <w:suppressAutoHyphens w:val="0"/>
        <w:autoSpaceDN/>
        <w:spacing w:after="160" w:line="259" w:lineRule="auto"/>
        <w:textAlignment w:val="auto"/>
        <w:rPr>
          <w:rFonts w:ascii="Helvetica" w:eastAsia="Verdana" w:hAnsi="Helvetica" w:cs="Helvetica"/>
          <w:b/>
          <w:bCs/>
          <w:sz w:val="28"/>
          <w:szCs w:val="28"/>
        </w:rPr>
      </w:pPr>
      <w:r>
        <w:rPr>
          <w:rFonts w:ascii="Helvetica" w:eastAsia="Verdana" w:hAnsi="Helvetica" w:cs="Helvetica"/>
          <w:b/>
          <w:bCs/>
          <w:sz w:val="28"/>
          <w:szCs w:val="28"/>
        </w:rPr>
        <w:br w:type="page"/>
      </w:r>
      <w:r w:rsidR="00B736E8">
        <w:rPr>
          <w:rFonts w:ascii="Helvetica" w:eastAsia="Verdana" w:hAnsi="Helvetica" w:cs="Helvetica"/>
          <w:b/>
          <w:bCs/>
          <w:sz w:val="28"/>
          <w:szCs w:val="28"/>
        </w:rPr>
        <w:lastRenderedPageBreak/>
        <w:t>Summary</w:t>
      </w:r>
    </w:p>
    <w:p w14:paraId="139AA71C" w14:textId="5ED40F66" w:rsidR="00DE3152" w:rsidRDefault="00DE3152" w:rsidP="00296414">
      <w:pPr>
        <w:rPr>
          <w:rFonts w:ascii="Helvetica" w:hAnsi="Helvetica" w:cs="Helvetica"/>
          <w:b/>
        </w:rPr>
      </w:pPr>
      <w:r>
        <w:rPr>
          <w:rFonts w:ascii="Helvetica" w:hAnsi="Helvetica" w:cs="Helvetica"/>
          <w:b/>
        </w:rPr>
        <w:t>Impact of Covid-19 pandemic</w:t>
      </w:r>
    </w:p>
    <w:p w14:paraId="085F9C6B" w14:textId="323B24A7" w:rsidR="00DE3152" w:rsidRPr="00DE3152" w:rsidRDefault="00B36C07" w:rsidP="00296414">
      <w:pPr>
        <w:rPr>
          <w:rFonts w:ascii="Helvetica" w:hAnsi="Helvetica" w:cs="Helvetica"/>
          <w:bCs/>
        </w:rPr>
      </w:pPr>
      <w:r w:rsidRPr="002A7395">
        <w:rPr>
          <w:rFonts w:ascii="Helvetica" w:hAnsi="Helvetica" w:cs="Helvetica"/>
          <w:bCs/>
        </w:rPr>
        <w:t xml:space="preserve">This statistical release reflects that, </w:t>
      </w:r>
      <w:r w:rsidRPr="002A7395">
        <w:rPr>
          <w:rFonts w:ascii="Helvetica" w:eastAsia="Verdana" w:hAnsi="Helvetica" w:cs="Helvetica"/>
        </w:rPr>
        <w:t>as with everyone else, the Inspectorate has now been operating for over 12 months with the impact of the Covid-19 pandemic.</w:t>
      </w:r>
      <w:r w:rsidR="002A7395">
        <w:rPr>
          <w:rFonts w:ascii="Helvetica" w:eastAsia="Verdana" w:hAnsi="Helvetica" w:cs="Helvetica"/>
        </w:rPr>
        <w:t xml:space="preserve">  </w:t>
      </w:r>
      <w:r w:rsidR="00DE3152" w:rsidRPr="002A7395">
        <w:rPr>
          <w:rFonts w:ascii="Helvetica" w:hAnsi="Helvetica" w:cs="Helvetica"/>
          <w:bCs/>
        </w:rPr>
        <w:t xml:space="preserve">Previous statistical releases have </w:t>
      </w:r>
      <w:r w:rsidR="00604125" w:rsidRPr="002A7395">
        <w:rPr>
          <w:rFonts w:ascii="Helvetica" w:hAnsi="Helvetica" w:cs="Helvetica"/>
        </w:rPr>
        <w:t xml:space="preserve">outlined the impact of the pandemic on the Inspectorate in three ways; events were suspended during the first </w:t>
      </w:r>
      <w:r w:rsidR="0008183D">
        <w:rPr>
          <w:rFonts w:ascii="Helvetica" w:hAnsi="Helvetica" w:cs="Helvetica"/>
        </w:rPr>
        <w:t xml:space="preserve">national </w:t>
      </w:r>
      <w:r w:rsidR="00604125" w:rsidRPr="002A7395">
        <w:rPr>
          <w:rFonts w:ascii="Helvetica" w:hAnsi="Helvetica" w:cs="Helvetica"/>
        </w:rPr>
        <w:t>lockdown in Spring 2020, timeliness measures increased, and the number of open cases also increased.</w:t>
      </w:r>
    </w:p>
    <w:p w14:paraId="1FD92121" w14:textId="77777777" w:rsidR="00DE3152" w:rsidRDefault="00DE3152" w:rsidP="00296414">
      <w:pPr>
        <w:rPr>
          <w:rFonts w:ascii="Helvetica" w:hAnsi="Helvetica" w:cs="Helvetica"/>
          <w:b/>
        </w:rPr>
      </w:pPr>
    </w:p>
    <w:p w14:paraId="25831260" w14:textId="03641D9C" w:rsidR="007D530E" w:rsidRPr="00D708EC" w:rsidRDefault="000F4929" w:rsidP="00296414">
      <w:pPr>
        <w:rPr>
          <w:rFonts w:ascii="Helvetica" w:hAnsi="Helvetica" w:cs="Helvetica"/>
        </w:rPr>
      </w:pPr>
      <w:r w:rsidRPr="00D708EC">
        <w:rPr>
          <w:rFonts w:ascii="Helvetica" w:hAnsi="Helvetica" w:cs="Helvetica"/>
          <w:b/>
        </w:rPr>
        <w:t>Performance</w:t>
      </w:r>
      <w:r w:rsidRPr="00D708EC">
        <w:rPr>
          <w:rFonts w:ascii="Helvetica" w:hAnsi="Helvetica" w:cs="Helvetica"/>
          <w:b/>
        </w:rPr>
        <w:br/>
      </w:r>
      <w:r w:rsidRPr="00D708EC">
        <w:rPr>
          <w:rFonts w:ascii="Helvetica" w:hAnsi="Helvetica" w:cs="Helvetica"/>
        </w:rPr>
        <w:t xml:space="preserve">The mean average time to </w:t>
      </w:r>
      <w:proofErr w:type="gramStart"/>
      <w:r w:rsidRPr="00D708EC">
        <w:rPr>
          <w:rFonts w:ascii="Helvetica" w:hAnsi="Helvetica" w:cs="Helvetica"/>
        </w:rPr>
        <w:t>make a decision</w:t>
      </w:r>
      <w:proofErr w:type="gramEnd"/>
      <w:r w:rsidRPr="00D708EC">
        <w:rPr>
          <w:rFonts w:ascii="Helvetica" w:hAnsi="Helvetica" w:cs="Helvetica"/>
        </w:rPr>
        <w:t>, across all cases in the last 12 months (</w:t>
      </w:r>
      <w:r w:rsidR="0008183D" w:rsidRPr="00D708EC">
        <w:rPr>
          <w:rFonts w:ascii="Helvetica" w:hAnsi="Helvetica" w:cs="Helvetica"/>
        </w:rPr>
        <w:t>Jun</w:t>
      </w:r>
      <w:r w:rsidRPr="00D708EC">
        <w:rPr>
          <w:rFonts w:ascii="Helvetica" w:hAnsi="Helvetica" w:cs="Helvetica"/>
        </w:rPr>
        <w:t xml:space="preserve"> 20 to </w:t>
      </w:r>
      <w:r w:rsidR="0008183D" w:rsidRPr="00D708EC">
        <w:rPr>
          <w:rFonts w:ascii="Helvetica" w:hAnsi="Helvetica" w:cs="Helvetica"/>
        </w:rPr>
        <w:t>May</w:t>
      </w:r>
      <w:r w:rsidRPr="00D708EC">
        <w:rPr>
          <w:rFonts w:ascii="Helvetica" w:hAnsi="Helvetica" w:cs="Helvetica"/>
        </w:rPr>
        <w:t xml:space="preserve"> 21), was 27 weeks. The median time is 23 weeks. </w:t>
      </w:r>
      <w:r w:rsidR="00296414" w:rsidRPr="00D708EC">
        <w:rPr>
          <w:rFonts w:ascii="Helvetica" w:hAnsi="Helvetica" w:cs="Helvetica"/>
        </w:rPr>
        <w:br/>
      </w:r>
    </w:p>
    <w:p w14:paraId="7F507D2E" w14:textId="44F05A8D" w:rsidR="000F4929" w:rsidRPr="00D708EC" w:rsidRDefault="000F4929" w:rsidP="00296414">
      <w:pPr>
        <w:rPr>
          <w:rFonts w:ascii="Helvetica" w:eastAsia="Verdana" w:hAnsi="Helvetica" w:cs="Helvetica"/>
        </w:rPr>
      </w:pPr>
      <w:r w:rsidRPr="00D708EC">
        <w:rPr>
          <w:rFonts w:ascii="Helvetica" w:hAnsi="Helvetica" w:cs="Helvetica"/>
        </w:rPr>
        <w:t xml:space="preserve">The median timeliness for </w:t>
      </w:r>
      <w:r w:rsidR="00FA768F" w:rsidRPr="00D708EC">
        <w:rPr>
          <w:rFonts w:ascii="Helvetica" w:hAnsi="Helvetica" w:cs="Helvetica"/>
        </w:rPr>
        <w:t>May</w:t>
      </w:r>
      <w:r w:rsidRPr="00D708EC">
        <w:rPr>
          <w:rFonts w:ascii="Helvetica" w:hAnsi="Helvetica" w:cs="Helvetica"/>
        </w:rPr>
        <w:t xml:space="preserve"> 21 was </w:t>
      </w:r>
      <w:r w:rsidR="00336DE2" w:rsidRPr="00D708EC">
        <w:rPr>
          <w:rFonts w:ascii="Helvetica" w:hAnsi="Helvetica" w:cs="Helvetica"/>
        </w:rPr>
        <w:t>2</w:t>
      </w:r>
      <w:r w:rsidR="00FA768F" w:rsidRPr="00D708EC">
        <w:rPr>
          <w:rFonts w:ascii="Helvetica" w:hAnsi="Helvetica" w:cs="Helvetica"/>
        </w:rPr>
        <w:t>2.1</w:t>
      </w:r>
      <w:r w:rsidRPr="00D708EC">
        <w:rPr>
          <w:rFonts w:ascii="Helvetica" w:hAnsi="Helvetica" w:cs="Helvetica"/>
        </w:rPr>
        <w:t xml:space="preserve"> weeks</w:t>
      </w:r>
      <w:r w:rsidR="00336DE2" w:rsidRPr="00D708EC">
        <w:rPr>
          <w:rFonts w:ascii="Helvetica" w:hAnsi="Helvetica" w:cs="Helvetica"/>
        </w:rPr>
        <w:t xml:space="preserve"> – this was a</w:t>
      </w:r>
      <w:r w:rsidR="00FA768F" w:rsidRPr="00D708EC">
        <w:rPr>
          <w:rFonts w:ascii="Helvetica" w:hAnsi="Helvetica" w:cs="Helvetica"/>
        </w:rPr>
        <w:t xml:space="preserve"> marginal </w:t>
      </w:r>
      <w:r w:rsidR="00336DE2" w:rsidRPr="00D708EC">
        <w:rPr>
          <w:rFonts w:ascii="Helvetica" w:hAnsi="Helvetica" w:cs="Helvetica"/>
        </w:rPr>
        <w:t xml:space="preserve">increase of </w:t>
      </w:r>
      <w:r w:rsidR="00FA768F" w:rsidRPr="00D708EC">
        <w:rPr>
          <w:rFonts w:ascii="Helvetica" w:hAnsi="Helvetica" w:cs="Helvetica"/>
        </w:rPr>
        <w:t xml:space="preserve">0.2 </w:t>
      </w:r>
      <w:r w:rsidR="00336DE2" w:rsidRPr="00D708EC">
        <w:rPr>
          <w:rFonts w:ascii="Helvetica" w:hAnsi="Helvetica" w:cs="Helvetica"/>
        </w:rPr>
        <w:t xml:space="preserve">weeks from </w:t>
      </w:r>
      <w:r w:rsidR="00FA768F" w:rsidRPr="00D708EC">
        <w:rPr>
          <w:rFonts w:ascii="Helvetica" w:hAnsi="Helvetica" w:cs="Helvetica"/>
        </w:rPr>
        <w:t>April</w:t>
      </w:r>
      <w:r w:rsidR="00336DE2" w:rsidRPr="00D708EC">
        <w:rPr>
          <w:rFonts w:ascii="Helvetica" w:hAnsi="Helvetica" w:cs="Helvetica"/>
        </w:rPr>
        <w:t xml:space="preserve"> 21</w:t>
      </w:r>
      <w:r w:rsidRPr="00D708EC">
        <w:rPr>
          <w:rFonts w:ascii="Helvetica" w:hAnsi="Helvetica" w:cs="Helvetica"/>
        </w:rPr>
        <w:t>.</w:t>
      </w:r>
    </w:p>
    <w:p w14:paraId="0D3FD7FE" w14:textId="3F435081" w:rsidR="000F4929" w:rsidRPr="00D708EC" w:rsidRDefault="007D530E" w:rsidP="00230FC6">
      <w:pPr>
        <w:jc w:val="both"/>
        <w:rPr>
          <w:rFonts w:ascii="Helvetica" w:eastAsia="Verdana" w:hAnsi="Helvetica" w:cs="Helvetica"/>
        </w:rPr>
      </w:pPr>
      <w:r w:rsidRPr="00D708EC">
        <w:rPr>
          <w:rFonts w:ascii="Helvetica" w:eastAsia="Verdana" w:hAnsi="Helvetica" w:cs="Helvetica"/>
        </w:rPr>
        <w:br/>
        <w:t>Median timeliness by procedure type is</w:t>
      </w:r>
      <w:r w:rsidR="00D07210" w:rsidRPr="00D708EC">
        <w:rPr>
          <w:rFonts w:ascii="Helvetica" w:eastAsia="Verdana" w:hAnsi="Helvetica" w:cs="Helvetica"/>
        </w:rPr>
        <w:t xml:space="preserve"> shown in the summary table below</w:t>
      </w:r>
      <w:r w:rsidR="00760977" w:rsidRPr="00D708EC">
        <w:rPr>
          <w:rFonts w:ascii="Helvetica" w:eastAsia="Verdana" w:hAnsi="Helvetica" w:cs="Helvetica"/>
        </w:rPr>
        <w:t>.</w:t>
      </w:r>
    </w:p>
    <w:p w14:paraId="14742E39" w14:textId="77777777" w:rsidR="0069114E" w:rsidRPr="00D708EC" w:rsidRDefault="0069114E" w:rsidP="00947A8B">
      <w:pPr>
        <w:jc w:val="both"/>
        <w:rPr>
          <w:rFonts w:ascii="Helvetica" w:eastAsia="Verdan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081"/>
        <w:gridCol w:w="2081"/>
      </w:tblGrid>
      <w:tr w:rsidR="005F3FE5" w:rsidRPr="00D708EC" w14:paraId="6FFC1FF2" w14:textId="77777777" w:rsidTr="00760977">
        <w:tc>
          <w:tcPr>
            <w:tcW w:w="3209" w:type="dxa"/>
            <w:tcBorders>
              <w:bottom w:val="single" w:sz="4" w:space="0" w:color="auto"/>
            </w:tcBorders>
          </w:tcPr>
          <w:p w14:paraId="420E6682" w14:textId="36BB5551" w:rsidR="005F3FE5" w:rsidRPr="00D708EC" w:rsidRDefault="0069114E" w:rsidP="006B3CB5">
            <w:pPr>
              <w:spacing w:after="120"/>
              <w:jc w:val="both"/>
              <w:rPr>
                <w:rFonts w:ascii="Helvetica" w:eastAsia="Verdana" w:hAnsi="Helvetica" w:cs="Helvetica"/>
              </w:rPr>
            </w:pPr>
            <w:r w:rsidRPr="00D708EC">
              <w:rPr>
                <w:rFonts w:ascii="Helvetica" w:eastAsia="Verdana" w:hAnsi="Helvetica" w:cs="Helvetica"/>
              </w:rPr>
              <w:t>Procedure type</w:t>
            </w:r>
          </w:p>
        </w:tc>
        <w:tc>
          <w:tcPr>
            <w:tcW w:w="2081" w:type="dxa"/>
            <w:tcBorders>
              <w:bottom w:val="single" w:sz="4" w:space="0" w:color="auto"/>
            </w:tcBorders>
          </w:tcPr>
          <w:p w14:paraId="3D7F52CE" w14:textId="12081ABE" w:rsidR="005F3FE5" w:rsidRPr="00D708EC" w:rsidRDefault="00547767" w:rsidP="00760977">
            <w:pPr>
              <w:spacing w:after="120"/>
              <w:jc w:val="right"/>
              <w:rPr>
                <w:rFonts w:ascii="Helvetica" w:eastAsia="Verdana" w:hAnsi="Helvetica" w:cs="Helvetica"/>
              </w:rPr>
            </w:pPr>
            <w:r w:rsidRPr="00D708EC">
              <w:rPr>
                <w:rFonts w:ascii="Helvetica" w:eastAsia="Verdana" w:hAnsi="Helvetica" w:cs="Helvetica"/>
              </w:rPr>
              <w:t>Last 12 months</w:t>
            </w:r>
          </w:p>
        </w:tc>
        <w:tc>
          <w:tcPr>
            <w:tcW w:w="2081" w:type="dxa"/>
            <w:tcBorders>
              <w:bottom w:val="single" w:sz="4" w:space="0" w:color="auto"/>
            </w:tcBorders>
          </w:tcPr>
          <w:p w14:paraId="589890E9" w14:textId="1A59C90B" w:rsidR="005F3FE5" w:rsidRPr="00D708EC" w:rsidRDefault="00381B90" w:rsidP="00760977">
            <w:pPr>
              <w:spacing w:after="120"/>
              <w:jc w:val="right"/>
              <w:rPr>
                <w:rFonts w:ascii="Helvetica" w:eastAsia="Verdana" w:hAnsi="Helvetica" w:cs="Helvetica"/>
              </w:rPr>
            </w:pPr>
            <w:r w:rsidRPr="00D708EC">
              <w:rPr>
                <w:rFonts w:ascii="Helvetica" w:eastAsia="Verdana" w:hAnsi="Helvetica" w:cs="Helvetica"/>
              </w:rPr>
              <w:t>May</w:t>
            </w:r>
            <w:r w:rsidR="00547767" w:rsidRPr="00D708EC">
              <w:rPr>
                <w:rFonts w:ascii="Helvetica" w:eastAsia="Verdana" w:hAnsi="Helvetica" w:cs="Helvetica"/>
              </w:rPr>
              <w:t xml:space="preserve"> 21</w:t>
            </w:r>
          </w:p>
        </w:tc>
      </w:tr>
      <w:tr w:rsidR="005F3FE5" w:rsidRPr="00D708EC" w14:paraId="4B460D6E" w14:textId="77777777" w:rsidTr="00760977">
        <w:tc>
          <w:tcPr>
            <w:tcW w:w="3209" w:type="dxa"/>
            <w:tcBorders>
              <w:top w:val="single" w:sz="4" w:space="0" w:color="auto"/>
            </w:tcBorders>
          </w:tcPr>
          <w:p w14:paraId="366276EF" w14:textId="2C939D50" w:rsidR="005F3FE5" w:rsidRPr="00D708EC" w:rsidRDefault="005F3FE5" w:rsidP="006B3CB5">
            <w:pPr>
              <w:spacing w:after="120"/>
              <w:jc w:val="both"/>
              <w:rPr>
                <w:rFonts w:ascii="Helvetica" w:eastAsia="Verdana" w:hAnsi="Helvetica" w:cs="Helvetica"/>
              </w:rPr>
            </w:pPr>
            <w:r w:rsidRPr="00D708EC">
              <w:rPr>
                <w:rFonts w:ascii="Helvetica" w:eastAsia="Verdana" w:hAnsi="Helvetica" w:cs="Helvetica"/>
              </w:rPr>
              <w:t>Written Representations</w:t>
            </w:r>
          </w:p>
        </w:tc>
        <w:tc>
          <w:tcPr>
            <w:tcW w:w="2081" w:type="dxa"/>
            <w:tcBorders>
              <w:top w:val="single" w:sz="4" w:space="0" w:color="auto"/>
            </w:tcBorders>
          </w:tcPr>
          <w:p w14:paraId="7A797794" w14:textId="6EF9825D" w:rsidR="005F3FE5" w:rsidRPr="00D708EC" w:rsidRDefault="0021065F" w:rsidP="00760977">
            <w:pPr>
              <w:spacing w:after="120"/>
              <w:jc w:val="right"/>
              <w:rPr>
                <w:rFonts w:ascii="Helvetica" w:eastAsia="Verdana" w:hAnsi="Helvetica" w:cs="Helvetica"/>
              </w:rPr>
            </w:pPr>
            <w:r w:rsidRPr="00D708EC">
              <w:rPr>
                <w:rFonts w:ascii="Helvetica" w:eastAsia="Verdana" w:hAnsi="Helvetica" w:cs="Helvetica"/>
              </w:rPr>
              <w:t>23 weeks</w:t>
            </w:r>
          </w:p>
        </w:tc>
        <w:tc>
          <w:tcPr>
            <w:tcW w:w="2081" w:type="dxa"/>
            <w:tcBorders>
              <w:top w:val="single" w:sz="4" w:space="0" w:color="auto"/>
            </w:tcBorders>
          </w:tcPr>
          <w:p w14:paraId="20ED50EB" w14:textId="5E58C257" w:rsidR="005F3FE5" w:rsidRPr="00D708EC" w:rsidRDefault="008F0F72" w:rsidP="00760977">
            <w:pPr>
              <w:spacing w:after="120"/>
              <w:jc w:val="right"/>
              <w:rPr>
                <w:rFonts w:ascii="Helvetica" w:eastAsia="Verdana" w:hAnsi="Helvetica" w:cs="Helvetica"/>
              </w:rPr>
            </w:pPr>
            <w:r w:rsidRPr="00D708EC">
              <w:rPr>
                <w:rFonts w:ascii="Helvetica" w:eastAsia="Verdana" w:hAnsi="Helvetica" w:cs="Helvetica"/>
              </w:rPr>
              <w:t>21 weeks</w:t>
            </w:r>
          </w:p>
        </w:tc>
      </w:tr>
      <w:tr w:rsidR="005F3FE5" w:rsidRPr="00D708EC" w14:paraId="47D40C5E" w14:textId="77777777" w:rsidTr="00760977">
        <w:tc>
          <w:tcPr>
            <w:tcW w:w="3209" w:type="dxa"/>
          </w:tcPr>
          <w:p w14:paraId="597E086E" w14:textId="294C8049" w:rsidR="005F3FE5" w:rsidRPr="00D708EC" w:rsidRDefault="005F3FE5" w:rsidP="006B3CB5">
            <w:pPr>
              <w:spacing w:after="120"/>
              <w:jc w:val="both"/>
              <w:rPr>
                <w:rFonts w:ascii="Helvetica" w:eastAsia="Verdana" w:hAnsi="Helvetica" w:cs="Helvetica"/>
              </w:rPr>
            </w:pPr>
            <w:r w:rsidRPr="00D708EC">
              <w:rPr>
                <w:rFonts w:ascii="Helvetica" w:eastAsia="Verdana" w:hAnsi="Helvetica" w:cs="Helvetica"/>
              </w:rPr>
              <w:t>Hearings</w:t>
            </w:r>
          </w:p>
        </w:tc>
        <w:tc>
          <w:tcPr>
            <w:tcW w:w="2081" w:type="dxa"/>
          </w:tcPr>
          <w:p w14:paraId="53164B23" w14:textId="6A513AD9" w:rsidR="005F3FE5" w:rsidRPr="00D708EC" w:rsidRDefault="008F0F72" w:rsidP="00760977">
            <w:pPr>
              <w:spacing w:after="120"/>
              <w:jc w:val="right"/>
              <w:rPr>
                <w:rFonts w:ascii="Helvetica" w:eastAsia="Verdana" w:hAnsi="Helvetica" w:cs="Helvetica"/>
              </w:rPr>
            </w:pPr>
            <w:r w:rsidRPr="00D708EC">
              <w:rPr>
                <w:rFonts w:ascii="Helvetica" w:eastAsia="Verdana" w:hAnsi="Helvetica" w:cs="Helvetica"/>
              </w:rPr>
              <w:t>47 weeks</w:t>
            </w:r>
          </w:p>
        </w:tc>
        <w:tc>
          <w:tcPr>
            <w:tcW w:w="2081" w:type="dxa"/>
          </w:tcPr>
          <w:p w14:paraId="194D5C21" w14:textId="35946F6A" w:rsidR="005F3FE5" w:rsidRPr="00D708EC" w:rsidRDefault="00381B90" w:rsidP="00760977">
            <w:pPr>
              <w:spacing w:after="120"/>
              <w:jc w:val="right"/>
              <w:rPr>
                <w:rFonts w:ascii="Helvetica" w:eastAsia="Verdana" w:hAnsi="Helvetica" w:cs="Helvetica"/>
              </w:rPr>
            </w:pPr>
            <w:r w:rsidRPr="00D708EC">
              <w:rPr>
                <w:rFonts w:ascii="Helvetica" w:eastAsia="Verdana" w:hAnsi="Helvetica" w:cs="Helvetica"/>
              </w:rPr>
              <w:t>40</w:t>
            </w:r>
            <w:r w:rsidR="008F0F72" w:rsidRPr="00D708EC">
              <w:rPr>
                <w:rFonts w:ascii="Helvetica" w:eastAsia="Verdana" w:hAnsi="Helvetica" w:cs="Helvetica"/>
              </w:rPr>
              <w:t xml:space="preserve"> weeks</w:t>
            </w:r>
          </w:p>
        </w:tc>
      </w:tr>
      <w:tr w:rsidR="005F3FE5" w:rsidRPr="00196847" w14:paraId="67243CC2" w14:textId="77777777" w:rsidTr="00760977">
        <w:tc>
          <w:tcPr>
            <w:tcW w:w="3209" w:type="dxa"/>
          </w:tcPr>
          <w:p w14:paraId="2CEB5CB3" w14:textId="40AE7468" w:rsidR="005F3FE5" w:rsidRPr="00D708EC" w:rsidRDefault="005F3FE5" w:rsidP="006B3CB5">
            <w:pPr>
              <w:spacing w:after="120"/>
              <w:jc w:val="both"/>
              <w:rPr>
                <w:rFonts w:ascii="Helvetica" w:eastAsia="Verdana" w:hAnsi="Helvetica" w:cs="Helvetica"/>
              </w:rPr>
            </w:pPr>
            <w:r w:rsidRPr="00D708EC">
              <w:rPr>
                <w:rFonts w:ascii="Helvetica" w:eastAsia="Verdana" w:hAnsi="Helvetica" w:cs="Helvetica"/>
              </w:rPr>
              <w:t>Inquiries</w:t>
            </w:r>
          </w:p>
        </w:tc>
        <w:tc>
          <w:tcPr>
            <w:tcW w:w="2081" w:type="dxa"/>
          </w:tcPr>
          <w:p w14:paraId="5C4FFDBE" w14:textId="01131DC5" w:rsidR="005F3FE5" w:rsidRPr="00D708EC" w:rsidRDefault="008F0F72" w:rsidP="00760977">
            <w:pPr>
              <w:spacing w:after="120"/>
              <w:jc w:val="right"/>
              <w:rPr>
                <w:rFonts w:ascii="Helvetica" w:eastAsia="Verdana" w:hAnsi="Helvetica" w:cs="Helvetica"/>
              </w:rPr>
            </w:pPr>
            <w:r w:rsidRPr="00D708EC">
              <w:rPr>
                <w:rFonts w:ascii="Helvetica" w:eastAsia="Verdana" w:hAnsi="Helvetica" w:cs="Helvetica"/>
              </w:rPr>
              <w:t>5</w:t>
            </w:r>
            <w:r w:rsidR="00381B90" w:rsidRPr="00D708EC">
              <w:rPr>
                <w:rFonts w:ascii="Helvetica" w:eastAsia="Verdana" w:hAnsi="Helvetica" w:cs="Helvetica"/>
              </w:rPr>
              <w:t>8</w:t>
            </w:r>
            <w:r w:rsidRPr="00D708EC">
              <w:rPr>
                <w:rFonts w:ascii="Helvetica" w:eastAsia="Verdana" w:hAnsi="Helvetica" w:cs="Helvetica"/>
              </w:rPr>
              <w:t xml:space="preserve"> weeks</w:t>
            </w:r>
          </w:p>
        </w:tc>
        <w:tc>
          <w:tcPr>
            <w:tcW w:w="2081" w:type="dxa"/>
          </w:tcPr>
          <w:p w14:paraId="03C63D24" w14:textId="2B0517F8" w:rsidR="005F3FE5" w:rsidRPr="00D708EC" w:rsidRDefault="00760977" w:rsidP="00760977">
            <w:pPr>
              <w:spacing w:after="120"/>
              <w:jc w:val="right"/>
              <w:rPr>
                <w:rFonts w:ascii="Helvetica" w:eastAsia="Verdana" w:hAnsi="Helvetica" w:cs="Helvetica"/>
              </w:rPr>
            </w:pPr>
            <w:r w:rsidRPr="00D708EC">
              <w:rPr>
                <w:rFonts w:ascii="Helvetica" w:eastAsia="Verdana" w:hAnsi="Helvetica" w:cs="Helvetica"/>
              </w:rPr>
              <w:t>6</w:t>
            </w:r>
            <w:r w:rsidR="009F5353" w:rsidRPr="00D708EC">
              <w:rPr>
                <w:rFonts w:ascii="Helvetica" w:eastAsia="Verdana" w:hAnsi="Helvetica" w:cs="Helvetica"/>
              </w:rPr>
              <w:t>6</w:t>
            </w:r>
            <w:r w:rsidRPr="00D708EC">
              <w:rPr>
                <w:rFonts w:ascii="Helvetica" w:eastAsia="Verdana" w:hAnsi="Helvetica" w:cs="Helvetica"/>
              </w:rPr>
              <w:t xml:space="preserve"> weeks</w:t>
            </w:r>
          </w:p>
        </w:tc>
      </w:tr>
    </w:tbl>
    <w:p w14:paraId="434330EF" w14:textId="02D4449F" w:rsidR="007D530E" w:rsidRPr="00196847" w:rsidRDefault="007D530E" w:rsidP="00BF58F7">
      <w:pPr>
        <w:jc w:val="both"/>
        <w:rPr>
          <w:rFonts w:ascii="Helvetica" w:eastAsia="Verdana" w:hAnsi="Helvetica" w:cs="Helvetica"/>
          <w:sz w:val="12"/>
          <w:szCs w:val="12"/>
          <w:highlight w:val="yellow"/>
        </w:rPr>
      </w:pPr>
    </w:p>
    <w:p w14:paraId="42D2D2DE" w14:textId="56987ED8" w:rsidR="00AA24CF" w:rsidRDefault="00935E43" w:rsidP="00294F49">
      <w:pPr>
        <w:jc w:val="both"/>
        <w:rPr>
          <w:rFonts w:ascii="Helvetica" w:hAnsi="Helvetica" w:cs="Helvetica"/>
        </w:rPr>
      </w:pPr>
      <w:r w:rsidRPr="006A4A90">
        <w:rPr>
          <w:rFonts w:ascii="Helvetica" w:hAnsi="Helvetica" w:cs="Helvetica"/>
        </w:rPr>
        <w:t xml:space="preserve">The median time to decision for planning cases (there are many more of these decisions than in the other categories) is lower than for other casework categories, apart from in </w:t>
      </w:r>
      <w:r>
        <w:rPr>
          <w:rFonts w:ascii="Helvetica" w:hAnsi="Helvetica" w:cs="Helvetica"/>
        </w:rPr>
        <w:t>March 21 and May 21</w:t>
      </w:r>
      <w:r w:rsidRPr="006A4A90">
        <w:rPr>
          <w:rFonts w:ascii="Helvetica" w:hAnsi="Helvetica" w:cs="Helvetica"/>
        </w:rPr>
        <w:t>. Across the whole year, the median time to decision is 2</w:t>
      </w:r>
      <w:r>
        <w:rPr>
          <w:rFonts w:ascii="Helvetica" w:hAnsi="Helvetica" w:cs="Helvetica"/>
        </w:rPr>
        <w:t>2</w:t>
      </w:r>
      <w:r w:rsidRPr="006A4A90">
        <w:rPr>
          <w:rFonts w:ascii="Helvetica" w:hAnsi="Helvetica" w:cs="Helvetica"/>
        </w:rPr>
        <w:t xml:space="preserve"> weeks.</w:t>
      </w:r>
      <w:r w:rsidR="00294F49">
        <w:rPr>
          <w:rFonts w:ascii="Helvetica" w:hAnsi="Helvetica" w:cs="Helvetica"/>
        </w:rPr>
        <w:t xml:space="preserve">  </w:t>
      </w:r>
      <w:r w:rsidR="00AA24CF">
        <w:rPr>
          <w:rFonts w:ascii="Helvetica" w:hAnsi="Helvetica" w:cs="Helvetica"/>
        </w:rPr>
        <w:t>E</w:t>
      </w:r>
      <w:r w:rsidR="00AA24CF" w:rsidRPr="00E77E2D">
        <w:rPr>
          <w:rFonts w:ascii="Helvetica" w:hAnsi="Helvetica" w:cs="Helvetica"/>
        </w:rPr>
        <w:t xml:space="preserve">nforcement decisions made in the last 12 months had a median decision time of 34 weeks. </w:t>
      </w:r>
      <w:r w:rsidR="00294F49">
        <w:rPr>
          <w:rFonts w:ascii="Helvetica" w:hAnsi="Helvetica" w:cs="Helvetica"/>
        </w:rPr>
        <w:t xml:space="preserve">  </w:t>
      </w:r>
      <w:r w:rsidR="00AA24CF" w:rsidRPr="29855FF2">
        <w:rPr>
          <w:rFonts w:ascii="Helvetica" w:hAnsi="Helvetica" w:cs="Helvetica"/>
        </w:rPr>
        <w:t xml:space="preserve">Looking at the annual totals, the median and mean time to decision for specialist decisions </w:t>
      </w:r>
      <w:r w:rsidR="00AA24CF">
        <w:rPr>
          <w:rFonts w:ascii="Helvetica" w:hAnsi="Helvetica" w:cs="Helvetica"/>
        </w:rPr>
        <w:t xml:space="preserve">have been </w:t>
      </w:r>
      <w:r w:rsidR="00AA24CF" w:rsidRPr="29855FF2">
        <w:rPr>
          <w:rFonts w:ascii="Helvetica" w:hAnsi="Helvetica" w:cs="Helvetica"/>
        </w:rPr>
        <w:t>broadly the same as for enforcement decisions, and longer than the median for planning decisions.</w:t>
      </w:r>
      <w:r w:rsidR="00AA24CF">
        <w:rPr>
          <w:rFonts w:ascii="Helvetica" w:hAnsi="Helvetica" w:cs="Helvetica"/>
        </w:rPr>
        <w:t xml:space="preserve">  Since February 21 there has been a change in this trend, with Specialist cases being quicker than Enforcement.  </w:t>
      </w:r>
    </w:p>
    <w:p w14:paraId="66B99027" w14:textId="77777777" w:rsidR="00935E43" w:rsidRPr="00196847" w:rsidRDefault="00935E43" w:rsidP="00E85845">
      <w:pPr>
        <w:jc w:val="both"/>
        <w:rPr>
          <w:rFonts w:ascii="Helvetica" w:hAnsi="Helvetica" w:cs="Helvetica"/>
          <w:highlight w:val="yellow"/>
        </w:rPr>
      </w:pPr>
    </w:p>
    <w:p w14:paraId="21B983DE" w14:textId="1B0FF6FE" w:rsidR="00E85845" w:rsidRPr="009C698E" w:rsidRDefault="00E85845" w:rsidP="00E85845">
      <w:pPr>
        <w:jc w:val="both"/>
        <w:rPr>
          <w:rFonts w:ascii="Helvetica" w:hAnsi="Helvetica" w:cs="Helvetica"/>
        </w:rPr>
      </w:pPr>
      <w:r w:rsidRPr="009C698E">
        <w:rPr>
          <w:rFonts w:ascii="Helvetica" w:hAnsi="Helvetica" w:cs="Helvetica"/>
        </w:rPr>
        <w:t xml:space="preserve">The median time for inquiries under the Rosewell Process over the 12 months to </w:t>
      </w:r>
      <w:r w:rsidR="009C698E" w:rsidRPr="009C698E">
        <w:rPr>
          <w:rFonts w:ascii="Helvetica" w:hAnsi="Helvetica" w:cs="Helvetica"/>
        </w:rPr>
        <w:t>May</w:t>
      </w:r>
      <w:r w:rsidRPr="009C698E">
        <w:rPr>
          <w:rFonts w:ascii="Helvetica" w:hAnsi="Helvetica" w:cs="Helvetica"/>
        </w:rPr>
        <w:t xml:space="preserve"> 21 is </w:t>
      </w:r>
      <w:r w:rsidR="009C698E" w:rsidRPr="009C698E">
        <w:rPr>
          <w:rFonts w:ascii="Helvetica" w:hAnsi="Helvetica" w:cs="Helvetica"/>
        </w:rPr>
        <w:t>39</w:t>
      </w:r>
      <w:r w:rsidRPr="009C698E">
        <w:rPr>
          <w:rFonts w:ascii="Helvetica" w:hAnsi="Helvetica" w:cs="Helvetica"/>
        </w:rPr>
        <w:t xml:space="preserve"> weeks.  </w:t>
      </w:r>
    </w:p>
    <w:p w14:paraId="70DE07EA" w14:textId="77777777" w:rsidR="00E00AAB" w:rsidRPr="00196847" w:rsidRDefault="00E00AAB" w:rsidP="00E63ED8">
      <w:pPr>
        <w:jc w:val="both"/>
        <w:rPr>
          <w:rFonts w:ascii="Helvetica" w:eastAsia="Verdana" w:hAnsi="Helvetica" w:cs="Helvetica"/>
          <w:highlight w:val="yellow"/>
        </w:rPr>
      </w:pPr>
    </w:p>
    <w:p w14:paraId="1D525D34" w14:textId="4AFDEC6F" w:rsidR="00E1317B" w:rsidRDefault="00B47072" w:rsidP="00E63ED8">
      <w:pPr>
        <w:jc w:val="both"/>
        <w:rPr>
          <w:rFonts w:ascii="Helvetica" w:hAnsi="Helvetica" w:cs="Helvetica"/>
        </w:rPr>
      </w:pPr>
      <w:r w:rsidRPr="00602DD9">
        <w:rPr>
          <w:rFonts w:ascii="Helvetica" w:hAnsi="Helvetica" w:cs="Helvetica"/>
          <w:b/>
          <w:bCs/>
        </w:rPr>
        <w:t>Decisions</w:t>
      </w:r>
      <w:r w:rsidR="007323B8" w:rsidRPr="00602DD9">
        <w:rPr>
          <w:rFonts w:ascii="Helvetica" w:hAnsi="Helvetica" w:cs="Helvetica"/>
          <w:b/>
          <w:bCs/>
        </w:rPr>
        <w:br/>
      </w:r>
      <w:r w:rsidR="00E1317B" w:rsidRPr="00B97C63">
        <w:rPr>
          <w:rFonts w:ascii="Helvetica" w:hAnsi="Helvetica" w:cs="Helvetica"/>
        </w:rPr>
        <w:t>The Planning Inspectorate has made 1</w:t>
      </w:r>
      <w:r w:rsidR="00E1317B">
        <w:rPr>
          <w:rFonts w:ascii="Helvetica" w:hAnsi="Helvetica" w:cs="Helvetica"/>
        </w:rPr>
        <w:t>7,892</w:t>
      </w:r>
      <w:r w:rsidR="00E1317B" w:rsidRPr="00B97C63">
        <w:rPr>
          <w:rFonts w:ascii="Helvetica" w:hAnsi="Helvetica" w:cs="Helvetica"/>
        </w:rPr>
        <w:t xml:space="preserve"> appeal decisions</w:t>
      </w:r>
      <w:r w:rsidR="00E1317B" w:rsidRPr="00B97C63">
        <w:rPr>
          <w:rStyle w:val="FootnoteReference"/>
          <w:rFonts w:ascii="Helvetica" w:hAnsi="Helvetica" w:cs="Helvetica"/>
        </w:rPr>
        <w:footnoteReference w:id="3"/>
      </w:r>
      <w:r w:rsidR="00E1317B" w:rsidRPr="00B97C63">
        <w:rPr>
          <w:rFonts w:ascii="Helvetica" w:hAnsi="Helvetica" w:cs="Helvetica"/>
        </w:rPr>
        <w:t xml:space="preserve"> in the last 12 months, an average of just over 1,</w:t>
      </w:r>
      <w:r w:rsidR="00E1317B">
        <w:rPr>
          <w:rFonts w:ascii="Helvetica" w:hAnsi="Helvetica" w:cs="Helvetica"/>
        </w:rPr>
        <w:t>5</w:t>
      </w:r>
      <w:r w:rsidR="00E1317B" w:rsidRPr="00B97C63">
        <w:rPr>
          <w:rFonts w:ascii="Helvetica" w:hAnsi="Helvetica" w:cs="Helvetica"/>
        </w:rPr>
        <w:t xml:space="preserve">00 per month. </w:t>
      </w:r>
      <w:r w:rsidR="008535BC">
        <w:rPr>
          <w:rFonts w:ascii="Helvetica" w:hAnsi="Helvetica" w:cs="Helvetica"/>
        </w:rPr>
        <w:t>T</w:t>
      </w:r>
      <w:r w:rsidR="00E1317B" w:rsidRPr="00B97C63">
        <w:rPr>
          <w:rFonts w:ascii="Helvetica" w:hAnsi="Helvetica" w:cs="Helvetica"/>
        </w:rPr>
        <w:t xml:space="preserve">he monthly breakdown </w:t>
      </w:r>
      <w:r w:rsidR="008535BC">
        <w:rPr>
          <w:rFonts w:ascii="Helvetica" w:hAnsi="Helvetica" w:cs="Helvetica"/>
        </w:rPr>
        <w:t xml:space="preserve">shows </w:t>
      </w:r>
      <w:r w:rsidR="00E1317B" w:rsidRPr="00B97C63">
        <w:rPr>
          <w:rFonts w:ascii="Helvetica" w:hAnsi="Helvetica" w:cs="Helvetica"/>
        </w:rPr>
        <w:t xml:space="preserve">fewer decisions from </w:t>
      </w:r>
      <w:r w:rsidR="00E1317B">
        <w:rPr>
          <w:rFonts w:ascii="Helvetica" w:hAnsi="Helvetica" w:cs="Helvetica"/>
        </w:rPr>
        <w:t>June</w:t>
      </w:r>
      <w:r w:rsidR="00E1317B" w:rsidRPr="00B97C63">
        <w:rPr>
          <w:rFonts w:ascii="Helvetica" w:hAnsi="Helvetica" w:cs="Helvetica"/>
        </w:rPr>
        <w:t xml:space="preserve"> to August 2020, and for the months of January and </w:t>
      </w:r>
      <w:r w:rsidR="00E1317B">
        <w:rPr>
          <w:rFonts w:ascii="Helvetica" w:hAnsi="Helvetica" w:cs="Helvetica"/>
        </w:rPr>
        <w:t>April</w:t>
      </w:r>
      <w:r w:rsidR="00E1317B" w:rsidRPr="00B97C63">
        <w:rPr>
          <w:rFonts w:ascii="Helvetica" w:hAnsi="Helvetica" w:cs="Helvetica"/>
        </w:rPr>
        <w:t xml:space="preserve"> 2021, than would have been expected</w:t>
      </w:r>
      <w:r w:rsidR="0034786B">
        <w:rPr>
          <w:rFonts w:ascii="Helvetica" w:hAnsi="Helvetica" w:cs="Helvetica"/>
        </w:rPr>
        <w:t xml:space="preserve">. This is thought to be </w:t>
      </w:r>
      <w:r w:rsidR="00E1317B" w:rsidRPr="00CB0A44">
        <w:rPr>
          <w:rFonts w:ascii="Helvetica" w:hAnsi="Helvetica" w:cs="Helvetica"/>
        </w:rPr>
        <w:t>due to the impact of national lockdowns</w:t>
      </w:r>
      <w:r w:rsidR="00D7314B" w:rsidRPr="00CB0A44">
        <w:rPr>
          <w:rFonts w:ascii="Helvetica" w:hAnsi="Helvetica" w:cs="Helvetica"/>
        </w:rPr>
        <w:t xml:space="preserve">, and of staff taking </w:t>
      </w:r>
      <w:r w:rsidR="0034786B" w:rsidRPr="00CB0A44">
        <w:rPr>
          <w:rFonts w:ascii="Helvetica" w:hAnsi="Helvetica" w:cs="Helvetica"/>
        </w:rPr>
        <w:t xml:space="preserve">more </w:t>
      </w:r>
      <w:r w:rsidR="00D7314B" w:rsidRPr="00CB0A44">
        <w:rPr>
          <w:rFonts w:ascii="Helvetica" w:hAnsi="Helvetica" w:cs="Helvetica"/>
        </w:rPr>
        <w:t>annual leave</w:t>
      </w:r>
      <w:r w:rsidR="0034786B" w:rsidRPr="00CB0A44">
        <w:rPr>
          <w:rFonts w:ascii="Helvetica" w:hAnsi="Helvetica" w:cs="Helvetica"/>
        </w:rPr>
        <w:t xml:space="preserve"> in 2021</w:t>
      </w:r>
      <w:r w:rsidR="007208B5" w:rsidRPr="00CB0A44">
        <w:rPr>
          <w:rFonts w:ascii="Helvetica" w:hAnsi="Helvetica" w:cs="Helvetica"/>
        </w:rPr>
        <w:t xml:space="preserve"> than in 2020</w:t>
      </w:r>
      <w:r w:rsidR="00E1317B" w:rsidRPr="00B97C63">
        <w:rPr>
          <w:rFonts w:ascii="Helvetica" w:hAnsi="Helvetica" w:cs="Helvetica"/>
        </w:rPr>
        <w:t xml:space="preserve">. </w:t>
      </w:r>
    </w:p>
    <w:p w14:paraId="45CD97C2" w14:textId="299F8BF9" w:rsidR="00C60735" w:rsidRDefault="00C60735" w:rsidP="00C60735">
      <w:pPr>
        <w:jc w:val="both"/>
        <w:rPr>
          <w:rFonts w:ascii="Helvetica" w:hAnsi="Helvetica" w:cs="Helvetica"/>
          <w:highlight w:val="yellow"/>
        </w:rPr>
      </w:pPr>
    </w:p>
    <w:p w14:paraId="1A20496A" w14:textId="3805B84D" w:rsidR="007208D7" w:rsidRDefault="003E19B8" w:rsidP="007208D7">
      <w:pPr>
        <w:jc w:val="both"/>
        <w:rPr>
          <w:rFonts w:ascii="Helvetica" w:hAnsi="Helvetica" w:cs="Helvetica"/>
        </w:rPr>
      </w:pPr>
      <w:r w:rsidRPr="003B5153">
        <w:rPr>
          <w:rFonts w:ascii="Helvetica" w:hAnsi="Helvetica" w:cs="Helvetica"/>
        </w:rPr>
        <w:t xml:space="preserve">Written representations decisions </w:t>
      </w:r>
      <w:r w:rsidR="007208D7" w:rsidRPr="003B5153">
        <w:rPr>
          <w:rFonts w:ascii="Helvetica" w:hAnsi="Helvetica" w:cs="Helvetica"/>
        </w:rPr>
        <w:t>had recovered to pre-pandemic levels between</w:t>
      </w:r>
      <w:r w:rsidR="007208D7" w:rsidRPr="0045307C">
        <w:rPr>
          <w:rFonts w:ascii="Helvetica" w:hAnsi="Helvetica" w:cs="Helvetica"/>
        </w:rPr>
        <w:t xml:space="preserve"> September and December 20</w:t>
      </w:r>
      <w:r w:rsidR="007208D7">
        <w:rPr>
          <w:rFonts w:ascii="Helvetica" w:hAnsi="Helvetica" w:cs="Helvetica"/>
        </w:rPr>
        <w:t xml:space="preserve"> (pre-pandemic being between approximately 1,600 and 2,000 decisions per month).  </w:t>
      </w:r>
      <w:r w:rsidR="00B81BC6">
        <w:rPr>
          <w:rFonts w:ascii="Helvetica" w:hAnsi="Helvetica" w:cs="Helvetica"/>
        </w:rPr>
        <w:t>Written representation d</w:t>
      </w:r>
      <w:r w:rsidR="007208D7">
        <w:rPr>
          <w:rFonts w:ascii="Helvetica" w:hAnsi="Helvetica" w:cs="Helvetica"/>
        </w:rPr>
        <w:t xml:space="preserve">ecisions </w:t>
      </w:r>
      <w:r w:rsidR="00A742EF">
        <w:rPr>
          <w:rFonts w:ascii="Helvetica" w:hAnsi="Helvetica" w:cs="Helvetica"/>
        </w:rPr>
        <w:t xml:space="preserve">during 2021 </w:t>
      </w:r>
      <w:r w:rsidR="007208D7">
        <w:rPr>
          <w:rFonts w:ascii="Helvetica" w:hAnsi="Helvetica" w:cs="Helvetica"/>
        </w:rPr>
        <w:t xml:space="preserve">have ranged between a low of 994 (April 21) and a high of 1,526 (March 21). </w:t>
      </w:r>
    </w:p>
    <w:p w14:paraId="63AD3056" w14:textId="77777777" w:rsidR="007208D7" w:rsidRDefault="007208D7" w:rsidP="007208D7">
      <w:pPr>
        <w:jc w:val="both"/>
        <w:rPr>
          <w:rFonts w:ascii="Helvetica" w:hAnsi="Helvetica" w:cs="Helvetica"/>
        </w:rPr>
      </w:pPr>
    </w:p>
    <w:p w14:paraId="3F4CEC50" w14:textId="0CD81EB5" w:rsidR="007208D7" w:rsidRDefault="007208D7" w:rsidP="007208D7">
      <w:pPr>
        <w:jc w:val="both"/>
        <w:rPr>
          <w:rFonts w:ascii="Helvetica" w:hAnsi="Helvetica" w:cs="Helvetica"/>
        </w:rPr>
      </w:pPr>
      <w:r w:rsidRPr="4721EDED">
        <w:rPr>
          <w:rFonts w:ascii="Helvetica" w:hAnsi="Helvetica" w:cs="Helvetica"/>
        </w:rPr>
        <w:lastRenderedPageBreak/>
        <w:t>The number of hearings decided in May 21 (6</w:t>
      </w:r>
      <w:r w:rsidR="70A6D387" w:rsidRPr="4721EDED">
        <w:rPr>
          <w:rFonts w:ascii="Helvetica" w:hAnsi="Helvetica" w:cs="Helvetica"/>
        </w:rPr>
        <w:t>5</w:t>
      </w:r>
      <w:r w:rsidRPr="4721EDED">
        <w:rPr>
          <w:rFonts w:ascii="Helvetica" w:hAnsi="Helvetica" w:cs="Helvetica"/>
        </w:rPr>
        <w:t xml:space="preserve">) was the highest in the last 12 months. Decisions for hearings since December 20 have ranged between approximately 40 and 65 per month.  The number of inquiries decided in May 21 (53) was the highest in the last 12 months.  </w:t>
      </w:r>
    </w:p>
    <w:p w14:paraId="68C9A087" w14:textId="77777777" w:rsidR="007208D7" w:rsidRPr="00196847" w:rsidRDefault="007208D7" w:rsidP="00C60735">
      <w:pPr>
        <w:jc w:val="both"/>
        <w:rPr>
          <w:rFonts w:ascii="Helvetica" w:hAnsi="Helvetica" w:cs="Helvetica"/>
          <w:highlight w:val="yellow"/>
        </w:rPr>
      </w:pPr>
    </w:p>
    <w:p w14:paraId="27881896" w14:textId="3058AC6E" w:rsidR="009812DB" w:rsidRPr="00D47636" w:rsidRDefault="007323B8" w:rsidP="00C41717">
      <w:pPr>
        <w:jc w:val="both"/>
        <w:rPr>
          <w:rFonts w:ascii="Helvetica" w:eastAsia="Verdana" w:hAnsi="Helvetica" w:cs="Helvetica"/>
          <w:b/>
          <w:sz w:val="20"/>
          <w:szCs w:val="20"/>
        </w:rPr>
      </w:pPr>
      <w:r w:rsidRPr="00D47636">
        <w:rPr>
          <w:rFonts w:ascii="Helvetica" w:hAnsi="Helvetica" w:cs="Helvetica"/>
          <w:b/>
        </w:rPr>
        <w:t>Open Cases</w:t>
      </w:r>
    </w:p>
    <w:p w14:paraId="0C2AF927" w14:textId="051BFCF3" w:rsidR="00817276" w:rsidRPr="00A01010" w:rsidRDefault="00921232" w:rsidP="00817276">
      <w:pPr>
        <w:tabs>
          <w:tab w:val="left" w:pos="6319"/>
        </w:tabs>
        <w:spacing w:line="256" w:lineRule="auto"/>
        <w:jc w:val="both"/>
        <w:rPr>
          <w:rFonts w:ascii="Helvetica" w:eastAsia="Calibri" w:hAnsi="Helvetica" w:cs="Helvetica"/>
        </w:rPr>
      </w:pPr>
      <w:r w:rsidRPr="002939D9">
        <w:rPr>
          <w:rFonts w:ascii="Helvetica" w:eastAsia="Calibri" w:hAnsi="Helvetica" w:cs="Helvetica"/>
        </w:rPr>
        <w:t>At the end of May 21, the Planning Inspectorate had over eleven thousand seven hundred cases open</w:t>
      </w:r>
      <w:r w:rsidRPr="002939D9">
        <w:rPr>
          <w:rStyle w:val="FootnoteReference"/>
          <w:rFonts w:ascii="Helvetica" w:eastAsia="Calibri" w:hAnsi="Helvetica" w:cs="Helvetica"/>
        </w:rPr>
        <w:footnoteReference w:id="4"/>
      </w:r>
      <w:r w:rsidRPr="002939D9">
        <w:rPr>
          <w:rFonts w:ascii="Helvetica" w:eastAsia="Calibri" w:hAnsi="Helvetica" w:cs="Helvetica"/>
        </w:rPr>
        <w:t xml:space="preserve"> (11,725).  This is almost the same as the previous month.</w:t>
      </w:r>
    </w:p>
    <w:p w14:paraId="7AE3B1DA" w14:textId="77777777" w:rsidR="00817276" w:rsidRPr="00196847" w:rsidRDefault="00817276" w:rsidP="00EC7AC5">
      <w:pPr>
        <w:tabs>
          <w:tab w:val="left" w:pos="6319"/>
        </w:tabs>
        <w:spacing w:line="256" w:lineRule="auto"/>
        <w:jc w:val="both"/>
        <w:rPr>
          <w:rFonts w:ascii="Helvetica" w:eastAsia="Calibri" w:hAnsi="Helvetica" w:cs="Helvetica"/>
          <w:highlight w:val="yellow"/>
        </w:rPr>
      </w:pPr>
    </w:p>
    <w:p w14:paraId="1F96E2C0" w14:textId="05397BFC" w:rsidR="00136637" w:rsidRPr="00FF2463" w:rsidRDefault="002377C4" w:rsidP="00C41717">
      <w:pPr>
        <w:jc w:val="both"/>
        <w:rPr>
          <w:rFonts w:ascii="Helvetica" w:eastAsia="Calibri" w:hAnsi="Helvetica" w:cs="Helvetica"/>
          <w:b/>
          <w:sz w:val="20"/>
          <w:szCs w:val="20"/>
        </w:rPr>
      </w:pPr>
      <w:r w:rsidRPr="00FF2463">
        <w:rPr>
          <w:rFonts w:ascii="Helvetica" w:eastAsia="Calibri" w:hAnsi="Helvetica" w:cs="Helvetica"/>
          <w:b/>
        </w:rPr>
        <w:t>Planning Inspectors</w:t>
      </w:r>
    </w:p>
    <w:p w14:paraId="2F9003F9" w14:textId="5A171CA2" w:rsidR="00D47636" w:rsidRPr="003755FE" w:rsidRDefault="00D47636" w:rsidP="00D47636">
      <w:pPr>
        <w:jc w:val="both"/>
        <w:rPr>
          <w:rFonts w:ascii="Helvetica" w:eastAsia="Calibri" w:hAnsi="Helvetica" w:cs="Helvetica"/>
        </w:rPr>
      </w:pPr>
      <w:r w:rsidRPr="003755FE">
        <w:rPr>
          <w:rFonts w:ascii="Helvetica" w:eastAsia="Calibri" w:hAnsi="Helvetica" w:cs="Helvetica"/>
        </w:rPr>
        <w:t>There were 3</w:t>
      </w:r>
      <w:r>
        <w:rPr>
          <w:rFonts w:ascii="Helvetica" w:eastAsia="Calibri" w:hAnsi="Helvetica" w:cs="Helvetica"/>
        </w:rPr>
        <w:t>53</w:t>
      </w:r>
      <w:r w:rsidRPr="003755FE">
        <w:rPr>
          <w:rFonts w:ascii="Helvetica" w:eastAsia="Calibri" w:hAnsi="Helvetica" w:cs="Helvetica"/>
        </w:rPr>
        <w:t xml:space="preserve"> Planning Inspectors employed by the Inspectorate in </w:t>
      </w:r>
      <w:r>
        <w:rPr>
          <w:rFonts w:ascii="Helvetica" w:eastAsia="Calibri" w:hAnsi="Helvetica" w:cs="Helvetica"/>
        </w:rPr>
        <w:t>May</w:t>
      </w:r>
      <w:r w:rsidRPr="003755FE">
        <w:rPr>
          <w:rFonts w:ascii="Helvetica" w:eastAsia="Calibri" w:hAnsi="Helvetica" w:cs="Helvetica"/>
        </w:rPr>
        <w:t xml:space="preserve"> 21 – with a full-time equivalent of </w:t>
      </w:r>
      <w:r>
        <w:rPr>
          <w:rFonts w:ascii="Helvetica" w:eastAsia="Calibri" w:hAnsi="Helvetica" w:cs="Helvetica"/>
        </w:rPr>
        <w:t>314.4</w:t>
      </w:r>
      <w:r w:rsidRPr="003755FE">
        <w:rPr>
          <w:rFonts w:ascii="Helvetica" w:eastAsia="Calibri" w:hAnsi="Helvetica" w:cs="Helvetica"/>
        </w:rPr>
        <w:t>.</w:t>
      </w:r>
      <w:r>
        <w:rPr>
          <w:rFonts w:ascii="Helvetica" w:eastAsia="Calibri" w:hAnsi="Helvetica" w:cs="Helvetica"/>
        </w:rPr>
        <w:t xml:space="preserve">  </w:t>
      </w:r>
    </w:p>
    <w:p w14:paraId="586ED937" w14:textId="77777777" w:rsidR="00D47636" w:rsidRPr="00196847" w:rsidRDefault="00D47636" w:rsidP="00EC7AC5">
      <w:pPr>
        <w:jc w:val="both"/>
        <w:rPr>
          <w:rFonts w:ascii="Helvetica" w:eastAsia="Calibri" w:hAnsi="Helvetica" w:cs="Helvetica"/>
          <w:highlight w:val="yellow"/>
        </w:rPr>
      </w:pPr>
    </w:p>
    <w:p w14:paraId="564E0BC9" w14:textId="7245533A" w:rsidR="000B3DDA" w:rsidRPr="00FF2463" w:rsidRDefault="002377C4" w:rsidP="002377C4">
      <w:pPr>
        <w:jc w:val="both"/>
        <w:rPr>
          <w:rFonts w:ascii="Helvetica" w:eastAsia="Verdana" w:hAnsi="Helvetica" w:cs="Helvetica"/>
          <w:b/>
          <w:color w:val="FF0000"/>
          <w:sz w:val="20"/>
          <w:szCs w:val="20"/>
        </w:rPr>
      </w:pPr>
      <w:r w:rsidRPr="00FF2463">
        <w:rPr>
          <w:rFonts w:ascii="Helvetica" w:eastAsia="Calibri" w:hAnsi="Helvetica" w:cs="Helvetica"/>
          <w:b/>
        </w:rPr>
        <w:t>Virtual Events</w:t>
      </w:r>
    </w:p>
    <w:p w14:paraId="7AFD247A" w14:textId="2C32CCEB" w:rsidR="00FF2463" w:rsidRDefault="0041439F" w:rsidP="00FF2463">
      <w:pPr>
        <w:jc w:val="both"/>
        <w:rPr>
          <w:rFonts w:ascii="Helvetica" w:eastAsia="Calibri" w:hAnsi="Helvetica" w:cs="Helvetica"/>
        </w:rPr>
      </w:pPr>
      <w:r w:rsidRPr="00FF2463">
        <w:rPr>
          <w:rFonts w:ascii="Helvetica" w:hAnsi="Helvetica" w:cs="Helvetica"/>
        </w:rPr>
        <w:t>The Inspectorate are continuing to carr</w:t>
      </w:r>
      <w:r w:rsidR="0025722C" w:rsidRPr="00FF2463">
        <w:rPr>
          <w:rFonts w:ascii="Helvetica" w:hAnsi="Helvetica" w:cs="Helvetica"/>
        </w:rPr>
        <w:t>y out events</w:t>
      </w:r>
      <w:r w:rsidRPr="00FF2463">
        <w:rPr>
          <w:rFonts w:ascii="Helvetica" w:hAnsi="Helvetica" w:cs="Helvetica"/>
        </w:rPr>
        <w:t xml:space="preserve"> ‘virtually’.  </w:t>
      </w:r>
      <w:r w:rsidR="00FF2463" w:rsidRPr="00FF2463">
        <w:rPr>
          <w:rFonts w:ascii="Helvetica" w:eastAsia="Calibri" w:hAnsi="Helvetica" w:cs="Helvetica"/>
        </w:rPr>
        <w:t>There were 86 cases involving</w:t>
      </w:r>
      <w:r w:rsidR="00FF2463" w:rsidRPr="00D2139B">
        <w:rPr>
          <w:rFonts w:ascii="Helvetica" w:eastAsia="Calibri" w:hAnsi="Helvetica" w:cs="Helvetica"/>
        </w:rPr>
        <w:t xml:space="preserve"> Virtual Events during </w:t>
      </w:r>
      <w:r w:rsidR="00FF2463">
        <w:rPr>
          <w:rFonts w:ascii="Helvetica" w:eastAsia="Calibri" w:hAnsi="Helvetica" w:cs="Helvetica"/>
        </w:rPr>
        <w:t>May</w:t>
      </w:r>
      <w:r w:rsidR="00FF2463" w:rsidRPr="00D2139B">
        <w:rPr>
          <w:rFonts w:ascii="Helvetica" w:eastAsia="Calibri" w:hAnsi="Helvetica" w:cs="Helvetica"/>
        </w:rPr>
        <w:t xml:space="preserve"> 21.</w:t>
      </w:r>
      <w:r w:rsidR="00FF2463">
        <w:rPr>
          <w:rFonts w:ascii="Helvetica" w:eastAsia="Calibri" w:hAnsi="Helvetica" w:cs="Helvetica"/>
        </w:rPr>
        <w:t xml:space="preserve">  </w:t>
      </w:r>
      <w:r w:rsidR="00FF2463" w:rsidRPr="002939D9">
        <w:rPr>
          <w:rFonts w:ascii="Helvetica" w:eastAsia="Calibri" w:hAnsi="Helvetica" w:cs="Helvetica"/>
        </w:rPr>
        <w:t xml:space="preserve">There continue to be concerns about the quality of the data </w:t>
      </w:r>
      <w:r w:rsidR="002336ED" w:rsidRPr="002939D9">
        <w:rPr>
          <w:rFonts w:ascii="Helvetica" w:eastAsia="Calibri" w:hAnsi="Helvetica" w:cs="Helvetica"/>
        </w:rPr>
        <w:t>on</w:t>
      </w:r>
      <w:r w:rsidR="00FF2463" w:rsidRPr="002939D9">
        <w:rPr>
          <w:rFonts w:ascii="Helvetica" w:eastAsia="Calibri" w:hAnsi="Helvetica" w:cs="Helvetica"/>
        </w:rPr>
        <w:t xml:space="preserve"> virtual events</w:t>
      </w:r>
      <w:r w:rsidR="0007491B" w:rsidRPr="002939D9">
        <w:rPr>
          <w:rFonts w:ascii="Helvetica" w:eastAsia="Calibri" w:hAnsi="Helvetica" w:cs="Helvetica"/>
        </w:rPr>
        <w:t xml:space="preserve">: there appears to be under-recording </w:t>
      </w:r>
      <w:r w:rsidR="00A249F1" w:rsidRPr="002939D9">
        <w:rPr>
          <w:rFonts w:ascii="Helvetica" w:eastAsia="Calibri" w:hAnsi="Helvetica" w:cs="Helvetica"/>
        </w:rPr>
        <w:t xml:space="preserve">despite </w:t>
      </w:r>
      <w:r w:rsidR="005E48C2" w:rsidRPr="002939D9">
        <w:rPr>
          <w:rFonts w:ascii="Helvetica" w:eastAsia="Calibri" w:hAnsi="Helvetica" w:cs="Helvetica"/>
        </w:rPr>
        <w:t>the introduction of system changes aimed at improving the quality of data</w:t>
      </w:r>
      <w:r w:rsidR="00FF2463" w:rsidRPr="002939D9">
        <w:rPr>
          <w:rFonts w:ascii="Helvetica" w:eastAsia="Calibri" w:hAnsi="Helvetica" w:cs="Helvetica"/>
        </w:rPr>
        <w:t>.</w:t>
      </w:r>
    </w:p>
    <w:p w14:paraId="4ACB2C6C" w14:textId="5C6D4A17" w:rsidR="00EC7AC5" w:rsidRPr="00196847" w:rsidRDefault="00EC7AC5" w:rsidP="008066FD">
      <w:pPr>
        <w:jc w:val="both"/>
        <w:rPr>
          <w:rFonts w:ascii="Helvetica" w:eastAsia="Calibri" w:hAnsi="Helvetica" w:cs="Helvetica"/>
          <w:highlight w:val="yellow"/>
        </w:rPr>
      </w:pPr>
    </w:p>
    <w:p w14:paraId="696A8FCA" w14:textId="381B37FD" w:rsidR="008A5B38" w:rsidRPr="00196847" w:rsidRDefault="008A5B38" w:rsidP="008066FD">
      <w:pPr>
        <w:jc w:val="both"/>
        <w:rPr>
          <w:rFonts w:ascii="Helvetica" w:eastAsia="Calibri" w:hAnsi="Helvetica" w:cs="Helvetica"/>
          <w:highlight w:val="yellow"/>
        </w:rPr>
      </w:pPr>
    </w:p>
    <w:p w14:paraId="4A069324" w14:textId="6E55F457" w:rsidR="006F00BD" w:rsidRPr="006F00BD" w:rsidRDefault="006F00BD" w:rsidP="006F00BD">
      <w:pPr>
        <w:jc w:val="both"/>
        <w:rPr>
          <w:rFonts w:ascii="Helvetica" w:eastAsia="Calibri" w:hAnsi="Helvetica" w:cs="Helvetica"/>
        </w:rPr>
      </w:pPr>
    </w:p>
    <w:p w14:paraId="5173EBE0" w14:textId="672CE1AA" w:rsidR="00481DD5" w:rsidRPr="00E96FBB" w:rsidRDefault="00481DD5" w:rsidP="008066FD">
      <w:pPr>
        <w:jc w:val="both"/>
        <w:rPr>
          <w:rFonts w:ascii="Helvetica" w:eastAsia="Calibri" w:hAnsi="Helvetica" w:cs="Helvetica"/>
        </w:rPr>
      </w:pPr>
    </w:p>
    <w:p w14:paraId="1CAC1CC9" w14:textId="77777777" w:rsidR="00481DD5" w:rsidRPr="00E96FBB" w:rsidRDefault="00481DD5" w:rsidP="008066FD">
      <w:pPr>
        <w:jc w:val="both"/>
        <w:rPr>
          <w:rFonts w:ascii="Helvetica" w:eastAsia="Calibri" w:hAnsi="Helvetica" w:cs="Helvetica"/>
        </w:rPr>
      </w:pPr>
    </w:p>
    <w:p w14:paraId="05025D04" w14:textId="77777777" w:rsidR="00985F05" w:rsidRDefault="00985F05" w:rsidP="008066FD">
      <w:pPr>
        <w:jc w:val="both"/>
        <w:rPr>
          <w:rFonts w:ascii="Helvetica" w:eastAsia="Calibri" w:hAnsi="Helvetica" w:cs="Helvetica"/>
        </w:rPr>
      </w:pPr>
    </w:p>
    <w:p w14:paraId="5324B453" w14:textId="4226BC61" w:rsidR="008A5B38" w:rsidRDefault="008A5B38" w:rsidP="008066FD">
      <w:pPr>
        <w:jc w:val="both"/>
        <w:rPr>
          <w:rFonts w:ascii="Helvetica" w:eastAsia="Calibri" w:hAnsi="Helvetica" w:cs="Helvetica"/>
        </w:rPr>
      </w:pPr>
    </w:p>
    <w:p w14:paraId="6315A21D" w14:textId="4FF91A4F" w:rsidR="008A5B38" w:rsidRDefault="008A5B38" w:rsidP="008066FD">
      <w:pPr>
        <w:jc w:val="both"/>
        <w:rPr>
          <w:rFonts w:ascii="Helvetica" w:eastAsia="Calibri" w:hAnsi="Helvetica" w:cs="Helvetica"/>
        </w:rPr>
      </w:pPr>
    </w:p>
    <w:p w14:paraId="2273387F" w14:textId="394B13EA" w:rsidR="008A5B38" w:rsidRDefault="008A5B38" w:rsidP="008066FD">
      <w:pPr>
        <w:jc w:val="both"/>
        <w:rPr>
          <w:rFonts w:ascii="Helvetica" w:eastAsia="Calibri" w:hAnsi="Helvetica" w:cs="Helvetica"/>
        </w:rPr>
      </w:pPr>
    </w:p>
    <w:p w14:paraId="1047BF31" w14:textId="2B7E83B5" w:rsidR="008A5B38" w:rsidRDefault="008A5B38" w:rsidP="008066FD">
      <w:pPr>
        <w:jc w:val="both"/>
        <w:rPr>
          <w:rFonts w:ascii="Helvetica" w:eastAsia="Calibri" w:hAnsi="Helvetica" w:cs="Helvetica"/>
        </w:rPr>
      </w:pPr>
    </w:p>
    <w:p w14:paraId="2F8F867B" w14:textId="77777777" w:rsidR="008A5B38" w:rsidRPr="00CB45D1" w:rsidRDefault="008A5B38" w:rsidP="008066FD">
      <w:pPr>
        <w:jc w:val="both"/>
        <w:rPr>
          <w:rFonts w:ascii="Helvetica" w:hAnsi="Helvetica" w:cs="Helvetica"/>
        </w:rPr>
      </w:pPr>
    </w:p>
    <w:p w14:paraId="5724F702" w14:textId="0CEC62B2" w:rsidR="00BB17C8" w:rsidRDefault="0079247B">
      <w:pPr>
        <w:suppressAutoHyphens w:val="0"/>
        <w:autoSpaceDN/>
        <w:spacing w:after="160" w:line="259" w:lineRule="auto"/>
        <w:textAlignment w:val="auto"/>
        <w:rPr>
          <w:rFonts w:ascii="Helvetica" w:eastAsia="Verdana" w:hAnsi="Helvetica" w:cs="Helvetica"/>
          <w:b/>
          <w:bCs/>
          <w:sz w:val="28"/>
          <w:szCs w:val="28"/>
        </w:rPr>
      </w:pPr>
      <w:r>
        <w:rPr>
          <w:rFonts w:ascii="Helvetica" w:eastAsia="Verdana" w:hAnsi="Helvetica" w:cs="Helvetica"/>
          <w:b/>
          <w:bCs/>
          <w:sz w:val="28"/>
          <w:szCs w:val="28"/>
        </w:rPr>
        <w:br w:type="page"/>
      </w:r>
    </w:p>
    <w:tbl>
      <w:tblPr>
        <w:tblW w:w="9629" w:type="dxa"/>
        <w:tblCellMar>
          <w:left w:w="10" w:type="dxa"/>
          <w:right w:w="10" w:type="dxa"/>
        </w:tblCellMar>
        <w:tblLook w:val="0000" w:firstRow="0" w:lastRow="0" w:firstColumn="0" w:lastColumn="0" w:noHBand="0" w:noVBand="0"/>
      </w:tblPr>
      <w:tblGrid>
        <w:gridCol w:w="9629"/>
      </w:tblGrid>
      <w:tr w:rsidR="0031273B" w14:paraId="683490BB" w14:textId="77777777" w:rsidTr="000B0D03">
        <w:trPr>
          <w:trHeight w:val="403"/>
        </w:trPr>
        <w:tc>
          <w:tcPr>
            <w:tcW w:w="9629" w:type="dxa"/>
            <w:shd w:val="clear" w:color="auto" w:fill="00958F"/>
            <w:tcMar>
              <w:top w:w="0" w:type="dxa"/>
              <w:left w:w="108" w:type="dxa"/>
              <w:bottom w:w="0" w:type="dxa"/>
              <w:right w:w="108" w:type="dxa"/>
            </w:tcMar>
          </w:tcPr>
          <w:p w14:paraId="3A5EF6F3" w14:textId="1C4598C0" w:rsidR="0031273B" w:rsidRDefault="000207D8" w:rsidP="000B0D03">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lastRenderedPageBreak/>
              <w:t>Decisions</w:t>
            </w:r>
            <w:r w:rsidR="00973F71">
              <w:rPr>
                <w:rFonts w:ascii="Helvetica" w:eastAsia="Verdana" w:hAnsi="Helvetica" w:cs="Helvetica"/>
                <w:b/>
                <w:bCs/>
                <w:color w:val="FFFFFF"/>
                <w:sz w:val="28"/>
                <w:szCs w:val="28"/>
              </w:rPr>
              <w:t>, Events</w:t>
            </w:r>
            <w:r>
              <w:rPr>
                <w:rFonts w:ascii="Helvetica" w:eastAsia="Verdana" w:hAnsi="Helvetica" w:cs="Helvetica"/>
                <w:b/>
                <w:bCs/>
                <w:color w:val="FFFFFF"/>
                <w:sz w:val="28"/>
                <w:szCs w:val="28"/>
              </w:rPr>
              <w:t xml:space="preserve"> &amp; Open Cases</w:t>
            </w:r>
          </w:p>
        </w:tc>
      </w:tr>
    </w:tbl>
    <w:p w14:paraId="1B75274F" w14:textId="2CEAAF09" w:rsidR="0068570D" w:rsidRDefault="00524A18" w:rsidP="00246264">
      <w:pPr>
        <w:spacing w:after="120"/>
        <w:jc w:val="both"/>
        <w:rPr>
          <w:rFonts w:ascii="Helvetica" w:eastAsia="Verdana" w:hAnsi="Helvetica" w:cs="Helvetica"/>
        </w:rPr>
      </w:pPr>
      <w:r>
        <w:rPr>
          <w:rFonts w:ascii="Helvetica" w:eastAsia="Verdana" w:hAnsi="Helvetica" w:cs="Helvetica"/>
        </w:rPr>
        <w:t xml:space="preserve">The number of decisions issued in </w:t>
      </w:r>
      <w:r w:rsidR="00540403">
        <w:rPr>
          <w:rFonts w:ascii="Helvetica" w:eastAsia="Verdana" w:hAnsi="Helvetica" w:cs="Helvetica"/>
        </w:rPr>
        <w:t>May</w:t>
      </w:r>
      <w:r>
        <w:rPr>
          <w:rFonts w:ascii="Helvetica" w:eastAsia="Verdana" w:hAnsi="Helvetica" w:cs="Helvetica"/>
        </w:rPr>
        <w:t xml:space="preserve"> 21 </w:t>
      </w:r>
      <w:r w:rsidR="007406E5">
        <w:rPr>
          <w:rFonts w:ascii="Helvetica" w:eastAsia="Verdana" w:hAnsi="Helvetica" w:cs="Helvetica"/>
        </w:rPr>
        <w:t xml:space="preserve">was </w:t>
      </w:r>
      <w:r w:rsidR="00D86DB0">
        <w:rPr>
          <w:rFonts w:ascii="Helvetica" w:eastAsia="Verdana" w:hAnsi="Helvetica" w:cs="Helvetica"/>
        </w:rPr>
        <w:t xml:space="preserve">1,511.  This was </w:t>
      </w:r>
      <w:r w:rsidR="007406E5">
        <w:rPr>
          <w:rFonts w:ascii="Helvetica" w:eastAsia="Verdana" w:hAnsi="Helvetica" w:cs="Helvetica"/>
        </w:rPr>
        <w:t xml:space="preserve">40% </w:t>
      </w:r>
      <w:r w:rsidR="00996894">
        <w:rPr>
          <w:rFonts w:ascii="Helvetica" w:eastAsia="Verdana" w:hAnsi="Helvetica" w:cs="Helvetica"/>
        </w:rPr>
        <w:t>higher</w:t>
      </w:r>
      <w:r w:rsidR="00A155F1">
        <w:rPr>
          <w:rFonts w:ascii="Helvetica" w:eastAsia="Verdana" w:hAnsi="Helvetica" w:cs="Helvetica"/>
        </w:rPr>
        <w:t xml:space="preserve"> than </w:t>
      </w:r>
      <w:r w:rsidR="0033464C">
        <w:rPr>
          <w:rFonts w:ascii="Helvetica" w:eastAsia="Verdana" w:hAnsi="Helvetica" w:cs="Helvetica"/>
        </w:rPr>
        <w:t>the number of decisions issued in April 21</w:t>
      </w:r>
      <w:r w:rsidR="00A12811">
        <w:rPr>
          <w:rFonts w:ascii="Helvetica" w:eastAsia="Verdana" w:hAnsi="Helvetica" w:cs="Helvetica"/>
        </w:rPr>
        <w:t xml:space="preserve">, and </w:t>
      </w:r>
      <w:r w:rsidR="00540403">
        <w:rPr>
          <w:rFonts w:ascii="Helvetica" w:eastAsia="Verdana" w:hAnsi="Helvetica" w:cs="Helvetica"/>
        </w:rPr>
        <w:t>broad</w:t>
      </w:r>
      <w:r w:rsidR="00B549E4">
        <w:rPr>
          <w:rFonts w:ascii="Helvetica" w:eastAsia="Verdana" w:hAnsi="Helvetica" w:cs="Helvetica"/>
        </w:rPr>
        <w:t>ly in line with previous months</w:t>
      </w:r>
      <w:r w:rsidR="000A2B76">
        <w:rPr>
          <w:rFonts w:ascii="Helvetica" w:eastAsia="Verdana" w:hAnsi="Helvetica" w:cs="Helvetica"/>
        </w:rPr>
        <w:t xml:space="preserve"> of 2021</w:t>
      </w:r>
      <w:r w:rsidR="00A12811">
        <w:rPr>
          <w:rFonts w:ascii="Helvetica" w:eastAsia="Verdana" w:hAnsi="Helvetica" w:cs="Helvetica"/>
        </w:rPr>
        <w:t xml:space="preserve">.  The clear exception in the last </w:t>
      </w:r>
      <w:r w:rsidR="00FC445E">
        <w:rPr>
          <w:rFonts w:ascii="Helvetica" w:eastAsia="Verdana" w:hAnsi="Helvetica" w:cs="Helvetica"/>
        </w:rPr>
        <w:t xml:space="preserve">12 months was April 21.  Decisions were low for June </w:t>
      </w:r>
      <w:r w:rsidR="00A50F7D">
        <w:rPr>
          <w:rFonts w:ascii="Helvetica" w:eastAsia="Verdana" w:hAnsi="Helvetica" w:cs="Helvetica"/>
        </w:rPr>
        <w:t>20,</w:t>
      </w:r>
      <w:r w:rsidR="00FC445E">
        <w:rPr>
          <w:rFonts w:ascii="Helvetica" w:eastAsia="Verdana" w:hAnsi="Helvetica" w:cs="Helvetica"/>
        </w:rPr>
        <w:t xml:space="preserve"> but this was </w:t>
      </w:r>
      <w:r w:rsidR="0068570D">
        <w:rPr>
          <w:rFonts w:ascii="Helvetica" w:eastAsia="Verdana" w:hAnsi="Helvetica" w:cs="Helvetica"/>
        </w:rPr>
        <w:t xml:space="preserve">associated with the effects of the </w:t>
      </w:r>
      <w:r w:rsidR="00FC445E">
        <w:rPr>
          <w:rFonts w:ascii="Helvetica" w:eastAsia="Verdana" w:hAnsi="Helvetica" w:cs="Helvetica"/>
        </w:rPr>
        <w:t xml:space="preserve">first </w:t>
      </w:r>
      <w:r w:rsidR="00A50F7D">
        <w:rPr>
          <w:rFonts w:ascii="Helvetica" w:eastAsia="Verdana" w:hAnsi="Helvetica" w:cs="Helvetica"/>
        </w:rPr>
        <w:t xml:space="preserve">national </w:t>
      </w:r>
      <w:r w:rsidR="00FC445E">
        <w:rPr>
          <w:rFonts w:ascii="Helvetica" w:eastAsia="Verdana" w:hAnsi="Helvetica" w:cs="Helvetica"/>
        </w:rPr>
        <w:t>lockdown</w:t>
      </w:r>
      <w:r w:rsidR="0068570D">
        <w:rPr>
          <w:rFonts w:ascii="Helvetica" w:eastAsia="Verdana" w:hAnsi="Helvetica" w:cs="Helvetica"/>
        </w:rPr>
        <w:t>.</w:t>
      </w:r>
    </w:p>
    <w:p w14:paraId="2D4BAA5E" w14:textId="5A1DAE4E" w:rsidR="00877250" w:rsidRDefault="00A66051" w:rsidP="00246264">
      <w:pPr>
        <w:spacing w:after="120"/>
        <w:jc w:val="both"/>
        <w:rPr>
          <w:rFonts w:ascii="Helvetica" w:eastAsia="Verdana" w:hAnsi="Helvetica" w:cs="Helvetica"/>
        </w:rPr>
      </w:pPr>
      <w:r>
        <w:rPr>
          <w:rFonts w:ascii="Helvetica" w:eastAsia="Verdana" w:hAnsi="Helvetica" w:cs="Helvetica"/>
        </w:rPr>
        <w:t xml:space="preserve">The number of events </w:t>
      </w:r>
      <w:r w:rsidR="00BF635D">
        <w:rPr>
          <w:rFonts w:ascii="Helvetica" w:eastAsia="Verdana" w:hAnsi="Helvetica" w:cs="Helvetica"/>
        </w:rPr>
        <w:t>held in May 21 was the highest since November 20.</w:t>
      </w:r>
      <w:r w:rsidR="009E53AC">
        <w:rPr>
          <w:rFonts w:ascii="Helvetica" w:eastAsia="Verdana" w:hAnsi="Helvetica" w:cs="Helvetica"/>
        </w:rPr>
        <w:t xml:space="preserve"> For the months of December</w:t>
      </w:r>
      <w:r w:rsidR="002622B8">
        <w:rPr>
          <w:rFonts w:ascii="Helvetica" w:eastAsia="Verdana" w:hAnsi="Helvetica" w:cs="Helvetica"/>
        </w:rPr>
        <w:t xml:space="preserve"> 20 </w:t>
      </w:r>
      <w:r w:rsidR="009E53AC">
        <w:rPr>
          <w:rFonts w:ascii="Helvetica" w:eastAsia="Verdana" w:hAnsi="Helvetica" w:cs="Helvetica"/>
        </w:rPr>
        <w:t>to</w:t>
      </w:r>
      <w:r w:rsidR="002622B8">
        <w:rPr>
          <w:rFonts w:ascii="Helvetica" w:eastAsia="Verdana" w:hAnsi="Helvetica" w:cs="Helvetica"/>
        </w:rPr>
        <w:t xml:space="preserve"> </w:t>
      </w:r>
      <w:r w:rsidR="00B73A33">
        <w:rPr>
          <w:rFonts w:ascii="Helvetica" w:eastAsia="Verdana" w:hAnsi="Helvetica" w:cs="Helvetica"/>
        </w:rPr>
        <w:t>May</w:t>
      </w:r>
      <w:r w:rsidR="002622B8">
        <w:rPr>
          <w:rFonts w:ascii="Helvetica" w:eastAsia="Verdana" w:hAnsi="Helvetica" w:cs="Helvetica"/>
        </w:rPr>
        <w:t xml:space="preserve"> 21</w:t>
      </w:r>
      <w:r w:rsidR="009E53AC">
        <w:rPr>
          <w:rFonts w:ascii="Helvetica" w:eastAsia="Verdana" w:hAnsi="Helvetica" w:cs="Helvetica"/>
        </w:rPr>
        <w:t xml:space="preserve"> events average at </w:t>
      </w:r>
      <w:r w:rsidR="002622B8">
        <w:rPr>
          <w:rFonts w:ascii="Helvetica" w:eastAsia="Verdana" w:hAnsi="Helvetica" w:cs="Helvetica"/>
        </w:rPr>
        <w:t>around 1,400 per month.</w:t>
      </w:r>
      <w:r w:rsidR="00A36928">
        <w:rPr>
          <w:rFonts w:ascii="Helvetica" w:eastAsia="Verdana" w:hAnsi="Helvetica" w:cs="Helvetica"/>
        </w:rPr>
        <w:t xml:space="preserve"> </w:t>
      </w:r>
      <w:r w:rsidR="00294C09">
        <w:rPr>
          <w:rFonts w:ascii="Helvetica" w:eastAsia="Verdana" w:hAnsi="Helvetica" w:cs="Helvetica"/>
        </w:rPr>
        <w:t xml:space="preserve">In the last 12 months the </w:t>
      </w:r>
      <w:r w:rsidR="00CC3A88">
        <w:rPr>
          <w:rFonts w:ascii="Helvetica" w:eastAsia="Verdana" w:hAnsi="Helvetica" w:cs="Helvetica"/>
        </w:rPr>
        <w:t>highest number of events held was September 20</w:t>
      </w:r>
      <w:r w:rsidR="001113F3">
        <w:rPr>
          <w:rFonts w:ascii="Helvetica" w:eastAsia="Verdana" w:hAnsi="Helvetica" w:cs="Helvetica"/>
        </w:rPr>
        <w:t>, whe</w:t>
      </w:r>
      <w:r w:rsidR="009D11D3">
        <w:rPr>
          <w:rFonts w:ascii="Helvetica" w:eastAsia="Verdana" w:hAnsi="Helvetica" w:cs="Helvetica"/>
        </w:rPr>
        <w:t>n</w:t>
      </w:r>
      <w:r w:rsidR="001113F3">
        <w:rPr>
          <w:rFonts w:ascii="Helvetica" w:eastAsia="Verdana" w:hAnsi="Helvetica" w:cs="Helvetica"/>
        </w:rPr>
        <w:t xml:space="preserve"> almost 2,100 events were held.</w:t>
      </w:r>
    </w:p>
    <w:p w14:paraId="1682526B" w14:textId="69232B5F" w:rsidR="0078740A" w:rsidRDefault="00C9525F" w:rsidP="000C453D">
      <w:pPr>
        <w:spacing w:after="120"/>
        <w:jc w:val="both"/>
        <w:rPr>
          <w:rFonts w:ascii="Helvetica" w:eastAsia="Verdana" w:hAnsi="Helvetica" w:cs="Helvetica"/>
        </w:rPr>
      </w:pPr>
      <w:r>
        <w:rPr>
          <w:rFonts w:ascii="Helvetica" w:eastAsia="Verdana" w:hAnsi="Helvetica" w:cs="Helvetica"/>
        </w:rPr>
        <w:t>The median</w:t>
      </w:r>
      <w:r w:rsidR="00BE0B34">
        <w:rPr>
          <w:rStyle w:val="FootnoteReference"/>
          <w:rFonts w:ascii="Helvetica" w:eastAsia="Verdana" w:hAnsi="Helvetica" w:cs="Helvetica"/>
        </w:rPr>
        <w:footnoteReference w:id="5"/>
      </w:r>
      <w:r>
        <w:rPr>
          <w:rFonts w:ascii="Helvetica" w:eastAsia="Verdana" w:hAnsi="Helvetica" w:cs="Helvetica"/>
        </w:rPr>
        <w:t xml:space="preserve"> </w:t>
      </w:r>
      <w:r w:rsidR="00FD1024">
        <w:rPr>
          <w:rFonts w:ascii="Helvetica" w:eastAsia="Verdana" w:hAnsi="Helvetica" w:cs="Helvetica"/>
        </w:rPr>
        <w:t xml:space="preserve">time to decide a case </w:t>
      </w:r>
      <w:r w:rsidR="00A9539B">
        <w:rPr>
          <w:rFonts w:ascii="Helvetica" w:eastAsia="Verdana" w:hAnsi="Helvetica" w:cs="Helvetica"/>
        </w:rPr>
        <w:t xml:space="preserve">marginally increased by 0.2 weeks </w:t>
      </w:r>
      <w:r w:rsidR="001C2B54">
        <w:rPr>
          <w:rFonts w:ascii="Helvetica" w:eastAsia="Verdana" w:hAnsi="Helvetica" w:cs="Helvetica"/>
        </w:rPr>
        <w:t xml:space="preserve">between </w:t>
      </w:r>
      <w:r w:rsidR="00A9539B">
        <w:rPr>
          <w:rFonts w:ascii="Helvetica" w:eastAsia="Verdana" w:hAnsi="Helvetica" w:cs="Helvetica"/>
        </w:rPr>
        <w:t>April</w:t>
      </w:r>
      <w:r w:rsidR="001C2B54">
        <w:rPr>
          <w:rFonts w:ascii="Helvetica" w:eastAsia="Verdana" w:hAnsi="Helvetica" w:cs="Helvetica"/>
        </w:rPr>
        <w:t xml:space="preserve"> </w:t>
      </w:r>
      <w:r w:rsidR="006C1A22">
        <w:rPr>
          <w:rFonts w:ascii="Helvetica" w:eastAsia="Verdana" w:hAnsi="Helvetica" w:cs="Helvetica"/>
        </w:rPr>
        <w:t>and</w:t>
      </w:r>
      <w:r w:rsidR="000F7488">
        <w:rPr>
          <w:rFonts w:ascii="Helvetica" w:eastAsia="Verdana" w:hAnsi="Helvetica" w:cs="Helvetica"/>
        </w:rPr>
        <w:t xml:space="preserve"> </w:t>
      </w:r>
      <w:r w:rsidR="00A9539B">
        <w:rPr>
          <w:rFonts w:ascii="Helvetica" w:eastAsia="Verdana" w:hAnsi="Helvetica" w:cs="Helvetica"/>
        </w:rPr>
        <w:t>May</w:t>
      </w:r>
      <w:r w:rsidR="000F7488">
        <w:rPr>
          <w:rFonts w:ascii="Helvetica" w:eastAsia="Verdana" w:hAnsi="Helvetica" w:cs="Helvetica"/>
        </w:rPr>
        <w:t xml:space="preserve"> 21, </w:t>
      </w:r>
      <w:r w:rsidR="006C1A22">
        <w:rPr>
          <w:rFonts w:ascii="Helvetica" w:eastAsia="Verdana" w:hAnsi="Helvetica" w:cs="Helvetica"/>
        </w:rPr>
        <w:t xml:space="preserve">with the median </w:t>
      </w:r>
      <w:r w:rsidR="0015013F">
        <w:rPr>
          <w:rFonts w:ascii="Helvetica" w:eastAsia="Verdana" w:hAnsi="Helvetica" w:cs="Helvetica"/>
        </w:rPr>
        <w:t xml:space="preserve">in April 21 being just </w:t>
      </w:r>
      <w:r w:rsidR="00A9539B">
        <w:rPr>
          <w:rFonts w:ascii="Helvetica" w:eastAsia="Verdana" w:hAnsi="Helvetica" w:cs="Helvetica"/>
        </w:rPr>
        <w:t>over</w:t>
      </w:r>
      <w:r w:rsidR="0015013F">
        <w:rPr>
          <w:rFonts w:ascii="Helvetica" w:eastAsia="Verdana" w:hAnsi="Helvetica" w:cs="Helvetica"/>
        </w:rPr>
        <w:t xml:space="preserve"> 22 weeks.  </w:t>
      </w:r>
      <w:r w:rsidR="002A7B37">
        <w:rPr>
          <w:rFonts w:ascii="Helvetica" w:eastAsia="Verdana" w:hAnsi="Helvetica" w:cs="Helvetica"/>
        </w:rPr>
        <w:t xml:space="preserve">Performance </w:t>
      </w:r>
      <w:r w:rsidR="00A35C3D">
        <w:rPr>
          <w:rFonts w:ascii="Helvetica" w:eastAsia="Verdana" w:hAnsi="Helvetica" w:cs="Helvetica"/>
        </w:rPr>
        <w:t xml:space="preserve">had been </w:t>
      </w:r>
      <w:r w:rsidR="00455B06">
        <w:rPr>
          <w:rFonts w:ascii="Helvetica" w:eastAsia="Verdana" w:hAnsi="Helvetica" w:cs="Helvetica"/>
        </w:rPr>
        <w:t>improving from</w:t>
      </w:r>
      <w:r w:rsidR="00DF5160">
        <w:rPr>
          <w:rFonts w:ascii="Helvetica" w:eastAsia="Verdana" w:hAnsi="Helvetica" w:cs="Helvetica"/>
        </w:rPr>
        <w:t xml:space="preserve"> </w:t>
      </w:r>
      <w:r w:rsidR="007C0B8A">
        <w:rPr>
          <w:rFonts w:ascii="Helvetica" w:eastAsia="Verdana" w:hAnsi="Helvetica" w:cs="Helvetica"/>
        </w:rPr>
        <w:t>November 20 to March 21</w:t>
      </w:r>
      <w:r w:rsidR="0078740A">
        <w:rPr>
          <w:rFonts w:ascii="Helvetica" w:eastAsia="Verdana" w:hAnsi="Helvetica" w:cs="Helvetica"/>
        </w:rPr>
        <w:t>.</w:t>
      </w:r>
    </w:p>
    <w:p w14:paraId="2FC0FA6B" w14:textId="6F85973B" w:rsidR="006A5B65" w:rsidRDefault="006A5B65" w:rsidP="006A5B65">
      <w:pPr>
        <w:spacing w:after="120"/>
        <w:rPr>
          <w:rFonts w:ascii="Helvetica" w:hAnsi="Helvetica" w:cs="Helvetica"/>
        </w:rPr>
      </w:pPr>
      <w:r w:rsidRPr="00602DD9">
        <w:rPr>
          <w:rFonts w:ascii="Helvetica" w:hAnsi="Helvetica" w:cs="Helvetica"/>
        </w:rPr>
        <w:t xml:space="preserve">Figure 1: Number of events held, decisions issued and median time between valid date &amp; decision date; </w:t>
      </w:r>
      <w:r w:rsidR="002F51EC" w:rsidRPr="00602DD9">
        <w:rPr>
          <w:rFonts w:ascii="Helvetica" w:hAnsi="Helvetica" w:cs="Helvetica"/>
        </w:rPr>
        <w:t>Jun 20 to May 21</w:t>
      </w:r>
    </w:p>
    <w:p w14:paraId="05D430BE" w14:textId="60A7650D" w:rsidR="006A5B65" w:rsidRDefault="18892E05" w:rsidP="00246264">
      <w:pPr>
        <w:spacing w:after="120"/>
        <w:jc w:val="both"/>
        <w:rPr>
          <w:rFonts w:ascii="Helvetica" w:eastAsia="Verdana" w:hAnsi="Helvetica" w:cs="Helvetica"/>
        </w:rPr>
      </w:pPr>
      <w:r>
        <w:rPr>
          <w:noProof/>
        </w:rPr>
        <w:drawing>
          <wp:inline distT="0" distB="0" distL="0" distR="0" wp14:anchorId="799C16EF" wp14:editId="3CAE8894">
            <wp:extent cx="5976619" cy="3634347"/>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6619" cy="3634347"/>
                    </a:xfrm>
                    <a:prstGeom prst="rect">
                      <a:avLst/>
                    </a:prstGeom>
                  </pic:spPr>
                </pic:pic>
              </a:graphicData>
            </a:graphic>
          </wp:inline>
        </w:drawing>
      </w:r>
    </w:p>
    <w:p w14:paraId="14C26F37" w14:textId="77777777" w:rsidR="00DE2A11" w:rsidRDefault="00DE2A11" w:rsidP="00DE2A11">
      <w:pPr>
        <w:rPr>
          <w:rFonts w:ascii="Helvetica" w:eastAsia="Calibri" w:hAnsi="Helvetica" w:cs="Helvetica"/>
          <w:sz w:val="18"/>
          <w:szCs w:val="18"/>
        </w:rPr>
      </w:pPr>
      <w:r w:rsidRPr="00961834">
        <w:rPr>
          <w:rFonts w:ascii="Helvetica" w:eastAsia="Calibri" w:hAnsi="Helvetica" w:cs="Helvetica"/>
          <w:sz w:val="18"/>
          <w:szCs w:val="18"/>
        </w:rPr>
        <w:t xml:space="preserve">Source: Horizon, </w:t>
      </w:r>
      <w:proofErr w:type="spellStart"/>
      <w:r w:rsidRPr="00961834">
        <w:rPr>
          <w:rFonts w:ascii="Helvetica" w:eastAsia="Calibri" w:hAnsi="Helvetica" w:cs="Helvetica"/>
          <w:sz w:val="18"/>
          <w:szCs w:val="18"/>
        </w:rPr>
        <w:t>Picaso</w:t>
      </w:r>
      <w:proofErr w:type="spellEnd"/>
      <w:r w:rsidRPr="00961834">
        <w:rPr>
          <w:rFonts w:ascii="Helvetica" w:eastAsia="Calibri" w:hAnsi="Helvetica" w:cs="Helvetica"/>
          <w:sz w:val="18"/>
          <w:szCs w:val="18"/>
        </w:rPr>
        <w:t>, Inspector Scheduling System</w:t>
      </w:r>
    </w:p>
    <w:p w14:paraId="0231468F" w14:textId="77777777" w:rsidR="00DE2A11" w:rsidRPr="00961834" w:rsidRDefault="00DE2A11" w:rsidP="00DE2A11">
      <w:pPr>
        <w:rPr>
          <w:rFonts w:ascii="Helvetica" w:eastAsia="Calibri" w:hAnsi="Helvetica" w:cs="Helvetica"/>
          <w:sz w:val="18"/>
          <w:szCs w:val="18"/>
        </w:rPr>
      </w:pPr>
      <w:r>
        <w:rPr>
          <w:rFonts w:ascii="Helvetica" w:eastAsia="Calibri" w:hAnsi="Helvetica" w:cs="Helvetica"/>
          <w:sz w:val="18"/>
          <w:szCs w:val="18"/>
        </w:rPr>
        <w:t>Note – Red arrows indicate periods when national lockdowns were in effect</w:t>
      </w:r>
    </w:p>
    <w:p w14:paraId="0408A7A7" w14:textId="331AE5FC" w:rsidR="007D20F8" w:rsidRDefault="007D20F8" w:rsidP="007D20F8">
      <w:pPr>
        <w:spacing w:before="120"/>
        <w:jc w:val="both"/>
        <w:rPr>
          <w:rFonts w:ascii="Helvetica" w:eastAsia="Verdana" w:hAnsi="Helvetica" w:cs="Helvetica"/>
        </w:rPr>
      </w:pPr>
      <w:r w:rsidRPr="00602DD9">
        <w:rPr>
          <w:rFonts w:ascii="Helvetica" w:eastAsia="Verdana" w:hAnsi="Helvetica" w:cs="Helvetica"/>
        </w:rPr>
        <w:t xml:space="preserve">Table 1: </w:t>
      </w:r>
      <w:r w:rsidRPr="00602DD9">
        <w:rPr>
          <w:rFonts w:ascii="Helvetica" w:hAnsi="Helvetica" w:cs="Helvetica"/>
        </w:rPr>
        <w:t xml:space="preserve">Number of events held, decisions issued and median time between valid date &amp; decision date; </w:t>
      </w:r>
      <w:r w:rsidR="002F51EC" w:rsidRPr="00602DD9">
        <w:rPr>
          <w:rFonts w:ascii="Helvetica" w:hAnsi="Helvetica" w:cs="Helvetica"/>
        </w:rPr>
        <w:t>Jun</w:t>
      </w:r>
      <w:r w:rsidRPr="00602DD9">
        <w:rPr>
          <w:rFonts w:ascii="Helvetica" w:hAnsi="Helvetica" w:cs="Helvetica"/>
        </w:rPr>
        <w:t xml:space="preserve"> 20 to </w:t>
      </w:r>
      <w:r w:rsidR="002F51EC" w:rsidRPr="00602DD9">
        <w:rPr>
          <w:rFonts w:ascii="Helvetica" w:hAnsi="Helvetica" w:cs="Helvetica"/>
        </w:rPr>
        <w:t>May</w:t>
      </w:r>
      <w:r w:rsidRPr="00602DD9">
        <w:rPr>
          <w:rFonts w:ascii="Helvetica" w:hAnsi="Helvetica" w:cs="Helvetica"/>
        </w:rPr>
        <w:t xml:space="preserve"> 21</w:t>
      </w:r>
    </w:p>
    <w:tbl>
      <w:tblPr>
        <w:tblW w:w="949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46"/>
        <w:gridCol w:w="637"/>
        <w:gridCol w:w="638"/>
        <w:gridCol w:w="638"/>
        <w:gridCol w:w="638"/>
        <w:gridCol w:w="638"/>
        <w:gridCol w:w="638"/>
        <w:gridCol w:w="637"/>
        <w:gridCol w:w="638"/>
        <w:gridCol w:w="638"/>
        <w:gridCol w:w="638"/>
        <w:gridCol w:w="638"/>
        <w:gridCol w:w="638"/>
        <w:gridCol w:w="142"/>
        <w:gridCol w:w="851"/>
      </w:tblGrid>
      <w:tr w:rsidR="00091254" w:rsidRPr="00040639" w14:paraId="1431A5D1" w14:textId="77777777" w:rsidTr="00B54837">
        <w:trPr>
          <w:trHeight w:val="374"/>
        </w:trPr>
        <w:tc>
          <w:tcPr>
            <w:tcW w:w="846" w:type="dxa"/>
            <w:tcBorders>
              <w:top w:val="single" w:sz="4" w:space="0" w:color="auto"/>
              <w:bottom w:val="single" w:sz="4" w:space="0" w:color="auto"/>
              <w:right w:val="single" w:sz="4" w:space="0" w:color="auto"/>
            </w:tcBorders>
            <w:vAlign w:val="center"/>
          </w:tcPr>
          <w:p w14:paraId="5B145F4C" w14:textId="77777777" w:rsidR="00091254" w:rsidRPr="00040639" w:rsidRDefault="00091254" w:rsidP="00091254">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Month</w:t>
            </w:r>
          </w:p>
        </w:tc>
        <w:tc>
          <w:tcPr>
            <w:tcW w:w="637" w:type="dxa"/>
            <w:tcBorders>
              <w:top w:val="single" w:sz="4" w:space="0" w:color="auto"/>
              <w:left w:val="nil"/>
              <w:bottom w:val="single" w:sz="4" w:space="0" w:color="auto"/>
              <w:right w:val="nil"/>
            </w:tcBorders>
            <w:shd w:val="clear" w:color="auto" w:fill="auto"/>
            <w:vAlign w:val="center"/>
          </w:tcPr>
          <w:p w14:paraId="3798D834" w14:textId="3805AD12"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Jun 20</w:t>
            </w:r>
          </w:p>
        </w:tc>
        <w:tc>
          <w:tcPr>
            <w:tcW w:w="638" w:type="dxa"/>
            <w:tcBorders>
              <w:top w:val="single" w:sz="4" w:space="0" w:color="auto"/>
              <w:left w:val="nil"/>
              <w:bottom w:val="single" w:sz="4" w:space="0" w:color="auto"/>
              <w:right w:val="nil"/>
            </w:tcBorders>
            <w:shd w:val="clear" w:color="auto" w:fill="auto"/>
            <w:vAlign w:val="center"/>
          </w:tcPr>
          <w:p w14:paraId="7DAB0473" w14:textId="7DABCEF0"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Jul 20</w:t>
            </w:r>
          </w:p>
        </w:tc>
        <w:tc>
          <w:tcPr>
            <w:tcW w:w="638" w:type="dxa"/>
            <w:tcBorders>
              <w:top w:val="single" w:sz="4" w:space="0" w:color="auto"/>
              <w:left w:val="nil"/>
              <w:bottom w:val="single" w:sz="4" w:space="0" w:color="auto"/>
              <w:right w:val="nil"/>
            </w:tcBorders>
            <w:shd w:val="clear" w:color="auto" w:fill="auto"/>
            <w:vAlign w:val="center"/>
          </w:tcPr>
          <w:p w14:paraId="24D6AD82" w14:textId="740ED825"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Aug 20</w:t>
            </w:r>
          </w:p>
        </w:tc>
        <w:tc>
          <w:tcPr>
            <w:tcW w:w="638" w:type="dxa"/>
            <w:tcBorders>
              <w:top w:val="single" w:sz="4" w:space="0" w:color="auto"/>
              <w:left w:val="nil"/>
              <w:bottom w:val="single" w:sz="4" w:space="0" w:color="auto"/>
              <w:right w:val="nil"/>
            </w:tcBorders>
            <w:shd w:val="clear" w:color="auto" w:fill="auto"/>
            <w:vAlign w:val="center"/>
          </w:tcPr>
          <w:p w14:paraId="5ACB2646" w14:textId="6AE66DD4"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Sep 20</w:t>
            </w:r>
          </w:p>
        </w:tc>
        <w:tc>
          <w:tcPr>
            <w:tcW w:w="638" w:type="dxa"/>
            <w:tcBorders>
              <w:top w:val="single" w:sz="4" w:space="0" w:color="auto"/>
              <w:left w:val="nil"/>
              <w:bottom w:val="single" w:sz="4" w:space="0" w:color="auto"/>
              <w:right w:val="nil"/>
            </w:tcBorders>
            <w:shd w:val="clear" w:color="auto" w:fill="auto"/>
            <w:vAlign w:val="center"/>
          </w:tcPr>
          <w:p w14:paraId="3E88214C" w14:textId="7AF39606"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Oct 20</w:t>
            </w:r>
          </w:p>
        </w:tc>
        <w:tc>
          <w:tcPr>
            <w:tcW w:w="638" w:type="dxa"/>
            <w:tcBorders>
              <w:top w:val="single" w:sz="4" w:space="0" w:color="auto"/>
              <w:left w:val="nil"/>
              <w:bottom w:val="single" w:sz="4" w:space="0" w:color="auto"/>
              <w:right w:val="nil"/>
            </w:tcBorders>
            <w:shd w:val="clear" w:color="auto" w:fill="auto"/>
            <w:vAlign w:val="center"/>
          </w:tcPr>
          <w:p w14:paraId="07724099" w14:textId="49FCE1E5"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Nov 20</w:t>
            </w:r>
          </w:p>
        </w:tc>
        <w:tc>
          <w:tcPr>
            <w:tcW w:w="637" w:type="dxa"/>
            <w:tcBorders>
              <w:top w:val="single" w:sz="4" w:space="0" w:color="auto"/>
              <w:left w:val="nil"/>
              <w:bottom w:val="single" w:sz="4" w:space="0" w:color="auto"/>
              <w:right w:val="nil"/>
            </w:tcBorders>
            <w:shd w:val="clear" w:color="auto" w:fill="auto"/>
            <w:vAlign w:val="center"/>
          </w:tcPr>
          <w:p w14:paraId="4524D4D8" w14:textId="24FFC3C9"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Dec 20</w:t>
            </w:r>
          </w:p>
        </w:tc>
        <w:tc>
          <w:tcPr>
            <w:tcW w:w="638" w:type="dxa"/>
            <w:tcBorders>
              <w:top w:val="single" w:sz="4" w:space="0" w:color="auto"/>
              <w:left w:val="nil"/>
              <w:bottom w:val="single" w:sz="4" w:space="0" w:color="auto"/>
              <w:right w:val="nil"/>
            </w:tcBorders>
            <w:shd w:val="clear" w:color="auto" w:fill="auto"/>
            <w:vAlign w:val="center"/>
          </w:tcPr>
          <w:p w14:paraId="31064334" w14:textId="358F518C"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Jan 21</w:t>
            </w:r>
          </w:p>
        </w:tc>
        <w:tc>
          <w:tcPr>
            <w:tcW w:w="638" w:type="dxa"/>
            <w:tcBorders>
              <w:top w:val="single" w:sz="4" w:space="0" w:color="auto"/>
              <w:left w:val="nil"/>
              <w:bottom w:val="single" w:sz="4" w:space="0" w:color="auto"/>
              <w:right w:val="nil"/>
            </w:tcBorders>
            <w:shd w:val="clear" w:color="auto" w:fill="auto"/>
            <w:vAlign w:val="center"/>
          </w:tcPr>
          <w:p w14:paraId="584CE879" w14:textId="43BC810D"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38" w:type="dxa"/>
            <w:tcBorders>
              <w:top w:val="single" w:sz="4" w:space="0" w:color="auto"/>
              <w:left w:val="nil"/>
              <w:bottom w:val="single" w:sz="4" w:space="0" w:color="auto"/>
              <w:right w:val="nil"/>
            </w:tcBorders>
            <w:shd w:val="clear" w:color="auto" w:fill="auto"/>
            <w:vAlign w:val="center"/>
          </w:tcPr>
          <w:p w14:paraId="197F47D8" w14:textId="3C929944"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38" w:type="dxa"/>
            <w:tcBorders>
              <w:top w:val="single" w:sz="4" w:space="0" w:color="auto"/>
              <w:left w:val="nil"/>
              <w:bottom w:val="single" w:sz="4" w:space="0" w:color="auto"/>
              <w:right w:val="nil"/>
            </w:tcBorders>
            <w:shd w:val="clear" w:color="auto" w:fill="auto"/>
            <w:vAlign w:val="center"/>
          </w:tcPr>
          <w:p w14:paraId="42F3F3CC" w14:textId="509AF731"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Apr</w:t>
            </w:r>
            <w:r w:rsidRPr="00761EA3">
              <w:rPr>
                <w:rFonts w:ascii="Calibri" w:hAnsi="Calibri" w:cs="Calibri"/>
                <w:color w:val="000000"/>
                <w:sz w:val="14"/>
                <w:szCs w:val="14"/>
              </w:rPr>
              <w:t xml:space="preserve"> 21</w:t>
            </w:r>
          </w:p>
        </w:tc>
        <w:tc>
          <w:tcPr>
            <w:tcW w:w="638" w:type="dxa"/>
            <w:tcBorders>
              <w:top w:val="single" w:sz="4" w:space="0" w:color="auto"/>
              <w:left w:val="nil"/>
              <w:bottom w:val="single" w:sz="4" w:space="0" w:color="auto"/>
              <w:right w:val="nil"/>
            </w:tcBorders>
            <w:shd w:val="clear" w:color="auto" w:fill="auto"/>
            <w:vAlign w:val="center"/>
          </w:tcPr>
          <w:p w14:paraId="23DCBA25" w14:textId="0C817BE0" w:rsidR="00091254" w:rsidRPr="00761EA3" w:rsidRDefault="00091254" w:rsidP="00091254">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May</w:t>
            </w:r>
            <w:r w:rsidRPr="00761EA3">
              <w:rPr>
                <w:rFonts w:ascii="Calibri" w:hAnsi="Calibri" w:cs="Calibri"/>
                <w:color w:val="000000"/>
                <w:sz w:val="14"/>
                <w:szCs w:val="14"/>
              </w:rPr>
              <w:t xml:space="preserve"> 21</w:t>
            </w:r>
          </w:p>
        </w:tc>
        <w:tc>
          <w:tcPr>
            <w:tcW w:w="142" w:type="dxa"/>
            <w:tcBorders>
              <w:top w:val="single" w:sz="4" w:space="0" w:color="auto"/>
              <w:left w:val="nil"/>
              <w:bottom w:val="single" w:sz="4" w:space="0" w:color="auto"/>
              <w:right w:val="single" w:sz="4" w:space="0" w:color="auto"/>
            </w:tcBorders>
          </w:tcPr>
          <w:p w14:paraId="65DDD988" w14:textId="77777777" w:rsidR="00091254" w:rsidRPr="00040639" w:rsidRDefault="00091254" w:rsidP="00091254">
            <w:pPr>
              <w:suppressAutoHyphens w:val="0"/>
              <w:autoSpaceDE w:val="0"/>
              <w:adjustRightInd w:val="0"/>
              <w:jc w:val="right"/>
              <w:textAlignment w:val="auto"/>
              <w:rPr>
                <w:rFonts w:ascii="Calibri" w:eastAsiaTheme="minorHAnsi" w:hAnsi="Calibri" w:cs="Calibri"/>
                <w:color w:val="000000"/>
                <w:sz w:val="16"/>
                <w:szCs w:val="16"/>
                <w:lang w:eastAsia="en-US"/>
              </w:rPr>
            </w:pPr>
          </w:p>
        </w:tc>
        <w:tc>
          <w:tcPr>
            <w:tcW w:w="851" w:type="dxa"/>
            <w:tcBorders>
              <w:top w:val="single" w:sz="4" w:space="0" w:color="auto"/>
              <w:left w:val="single" w:sz="4" w:space="0" w:color="auto"/>
              <w:bottom w:val="single" w:sz="4" w:space="0" w:color="auto"/>
            </w:tcBorders>
            <w:vAlign w:val="center"/>
          </w:tcPr>
          <w:p w14:paraId="0AEF2A2D" w14:textId="77777777" w:rsidR="00091254" w:rsidRPr="00040639" w:rsidRDefault="00091254" w:rsidP="00091254">
            <w:pPr>
              <w:suppressAutoHyphens w:val="0"/>
              <w:autoSpaceDE w:val="0"/>
              <w:adjustRightInd w:val="0"/>
              <w:jc w:val="right"/>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Total</w:t>
            </w:r>
          </w:p>
        </w:tc>
      </w:tr>
      <w:tr w:rsidR="00882D22" w:rsidRPr="00040639" w14:paraId="6646D4BD" w14:textId="77777777" w:rsidTr="00882D22">
        <w:trPr>
          <w:trHeight w:val="365"/>
        </w:trPr>
        <w:tc>
          <w:tcPr>
            <w:tcW w:w="846" w:type="dxa"/>
            <w:tcBorders>
              <w:top w:val="single" w:sz="4" w:space="0" w:color="auto"/>
              <w:right w:val="single" w:sz="4" w:space="0" w:color="auto"/>
            </w:tcBorders>
            <w:vAlign w:val="center"/>
          </w:tcPr>
          <w:p w14:paraId="4FB2EF82" w14:textId="77777777" w:rsidR="00882D22" w:rsidRPr="00040639" w:rsidRDefault="00882D22" w:rsidP="00882D22">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Events Held</w:t>
            </w:r>
          </w:p>
        </w:tc>
        <w:tc>
          <w:tcPr>
            <w:tcW w:w="637" w:type="dxa"/>
            <w:tcBorders>
              <w:top w:val="nil"/>
              <w:left w:val="nil"/>
              <w:bottom w:val="nil"/>
              <w:right w:val="nil"/>
            </w:tcBorders>
            <w:shd w:val="clear" w:color="auto" w:fill="auto"/>
            <w:vAlign w:val="center"/>
          </w:tcPr>
          <w:p w14:paraId="1E9B2AFD" w14:textId="1E7DD632"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1,529</w:t>
            </w:r>
          </w:p>
        </w:tc>
        <w:tc>
          <w:tcPr>
            <w:tcW w:w="638" w:type="dxa"/>
            <w:tcBorders>
              <w:top w:val="nil"/>
              <w:left w:val="nil"/>
              <w:bottom w:val="nil"/>
              <w:right w:val="nil"/>
            </w:tcBorders>
            <w:shd w:val="clear" w:color="auto" w:fill="auto"/>
            <w:vAlign w:val="center"/>
          </w:tcPr>
          <w:p w14:paraId="41CD00CE" w14:textId="7269B9CD"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1,555</w:t>
            </w:r>
          </w:p>
        </w:tc>
        <w:tc>
          <w:tcPr>
            <w:tcW w:w="638" w:type="dxa"/>
            <w:tcBorders>
              <w:top w:val="nil"/>
              <w:left w:val="nil"/>
              <w:bottom w:val="nil"/>
              <w:right w:val="nil"/>
            </w:tcBorders>
            <w:shd w:val="clear" w:color="auto" w:fill="auto"/>
            <w:vAlign w:val="center"/>
          </w:tcPr>
          <w:p w14:paraId="70A4B0F4" w14:textId="5CC84772"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1,469</w:t>
            </w:r>
          </w:p>
        </w:tc>
        <w:tc>
          <w:tcPr>
            <w:tcW w:w="638" w:type="dxa"/>
            <w:tcBorders>
              <w:top w:val="nil"/>
              <w:left w:val="nil"/>
              <w:bottom w:val="nil"/>
              <w:right w:val="nil"/>
            </w:tcBorders>
            <w:shd w:val="clear" w:color="auto" w:fill="auto"/>
            <w:vAlign w:val="center"/>
          </w:tcPr>
          <w:p w14:paraId="792583D6" w14:textId="149F86D9"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2,098</w:t>
            </w:r>
          </w:p>
        </w:tc>
        <w:tc>
          <w:tcPr>
            <w:tcW w:w="638" w:type="dxa"/>
            <w:tcBorders>
              <w:top w:val="nil"/>
              <w:left w:val="nil"/>
              <w:bottom w:val="nil"/>
              <w:right w:val="nil"/>
            </w:tcBorders>
            <w:shd w:val="clear" w:color="auto" w:fill="auto"/>
            <w:vAlign w:val="center"/>
          </w:tcPr>
          <w:p w14:paraId="2F3FAB0B" w14:textId="25822E27"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1,919</w:t>
            </w:r>
          </w:p>
        </w:tc>
        <w:tc>
          <w:tcPr>
            <w:tcW w:w="638" w:type="dxa"/>
            <w:tcBorders>
              <w:top w:val="nil"/>
              <w:left w:val="nil"/>
              <w:bottom w:val="nil"/>
              <w:right w:val="nil"/>
            </w:tcBorders>
            <w:shd w:val="clear" w:color="auto" w:fill="auto"/>
            <w:vAlign w:val="center"/>
          </w:tcPr>
          <w:p w14:paraId="38919A0A" w14:textId="1605E235"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1,688</w:t>
            </w:r>
          </w:p>
        </w:tc>
        <w:tc>
          <w:tcPr>
            <w:tcW w:w="637" w:type="dxa"/>
            <w:tcBorders>
              <w:top w:val="nil"/>
              <w:left w:val="nil"/>
              <w:bottom w:val="nil"/>
              <w:right w:val="nil"/>
            </w:tcBorders>
            <w:shd w:val="clear" w:color="auto" w:fill="auto"/>
            <w:vAlign w:val="center"/>
          </w:tcPr>
          <w:p w14:paraId="44CF51B1" w14:textId="7F715E01"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1,388</w:t>
            </w:r>
            <w:r w:rsidR="00DD4ADF">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607DC7E5" w14:textId="2EF765D8"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1,362</w:t>
            </w:r>
          </w:p>
        </w:tc>
        <w:tc>
          <w:tcPr>
            <w:tcW w:w="638" w:type="dxa"/>
            <w:tcBorders>
              <w:top w:val="nil"/>
              <w:left w:val="nil"/>
              <w:bottom w:val="nil"/>
              <w:right w:val="nil"/>
            </w:tcBorders>
            <w:shd w:val="clear" w:color="auto" w:fill="auto"/>
            <w:vAlign w:val="center"/>
          </w:tcPr>
          <w:p w14:paraId="546A78CD" w14:textId="3B3045AC"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1,383</w:t>
            </w:r>
            <w:r w:rsidR="00DD4ADF">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13A93DCC" w14:textId="0862D659"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1,410</w:t>
            </w:r>
          </w:p>
        </w:tc>
        <w:tc>
          <w:tcPr>
            <w:tcW w:w="638" w:type="dxa"/>
            <w:tcBorders>
              <w:top w:val="nil"/>
              <w:left w:val="nil"/>
              <w:bottom w:val="nil"/>
              <w:right w:val="nil"/>
            </w:tcBorders>
            <w:shd w:val="clear" w:color="auto" w:fill="auto"/>
            <w:vAlign w:val="center"/>
          </w:tcPr>
          <w:p w14:paraId="5EB46F1C" w14:textId="45EDB452"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1,361</w:t>
            </w:r>
            <w:r w:rsidR="00DD4ADF">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4B176142" w14:textId="16C1E5BF"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1,597</w:t>
            </w:r>
          </w:p>
        </w:tc>
        <w:tc>
          <w:tcPr>
            <w:tcW w:w="142" w:type="dxa"/>
            <w:tcBorders>
              <w:top w:val="single" w:sz="4" w:space="0" w:color="auto"/>
              <w:left w:val="nil"/>
              <w:bottom w:val="nil"/>
              <w:right w:val="single" w:sz="4" w:space="0" w:color="auto"/>
            </w:tcBorders>
            <w:vAlign w:val="center"/>
          </w:tcPr>
          <w:p w14:paraId="5AFB03E1" w14:textId="77777777" w:rsidR="00882D22" w:rsidRPr="00040639" w:rsidRDefault="00882D22" w:rsidP="00882D22">
            <w:pPr>
              <w:suppressAutoHyphens w:val="0"/>
              <w:autoSpaceDE w:val="0"/>
              <w:adjustRightInd w:val="0"/>
              <w:jc w:val="center"/>
              <w:textAlignment w:val="auto"/>
              <w:rPr>
                <w:rFonts w:ascii="Calibri" w:eastAsiaTheme="minorHAnsi" w:hAnsi="Calibri" w:cs="Calibri"/>
                <w:color w:val="000000"/>
                <w:sz w:val="16"/>
                <w:szCs w:val="16"/>
                <w:lang w:eastAsia="en-US"/>
              </w:rPr>
            </w:pPr>
          </w:p>
        </w:tc>
        <w:tc>
          <w:tcPr>
            <w:tcW w:w="851" w:type="dxa"/>
            <w:tcBorders>
              <w:top w:val="nil"/>
              <w:left w:val="nil"/>
              <w:bottom w:val="nil"/>
              <w:right w:val="single" w:sz="4" w:space="0" w:color="auto"/>
            </w:tcBorders>
            <w:shd w:val="clear" w:color="auto" w:fill="auto"/>
            <w:vAlign w:val="center"/>
          </w:tcPr>
          <w:p w14:paraId="6AD0C5F2" w14:textId="3C4A19B2"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18,759</w:t>
            </w:r>
          </w:p>
        </w:tc>
      </w:tr>
      <w:tr w:rsidR="00882D22" w:rsidRPr="00040639" w14:paraId="4ABC7EE4" w14:textId="77777777" w:rsidTr="00882D22">
        <w:trPr>
          <w:trHeight w:val="365"/>
        </w:trPr>
        <w:tc>
          <w:tcPr>
            <w:tcW w:w="846" w:type="dxa"/>
            <w:tcBorders>
              <w:right w:val="single" w:sz="4" w:space="0" w:color="auto"/>
            </w:tcBorders>
            <w:vAlign w:val="center"/>
          </w:tcPr>
          <w:p w14:paraId="465C525E" w14:textId="77777777" w:rsidR="00882D22" w:rsidRPr="00040639" w:rsidRDefault="00882D22" w:rsidP="00882D22">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Decisions</w:t>
            </w:r>
          </w:p>
        </w:tc>
        <w:tc>
          <w:tcPr>
            <w:tcW w:w="637" w:type="dxa"/>
            <w:tcBorders>
              <w:top w:val="nil"/>
              <w:left w:val="nil"/>
              <w:bottom w:val="nil"/>
              <w:right w:val="nil"/>
            </w:tcBorders>
            <w:shd w:val="clear" w:color="auto" w:fill="auto"/>
            <w:vAlign w:val="center"/>
          </w:tcPr>
          <w:p w14:paraId="5ED0B5B7" w14:textId="79FB2ED8"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1,180</w:t>
            </w:r>
          </w:p>
        </w:tc>
        <w:tc>
          <w:tcPr>
            <w:tcW w:w="638" w:type="dxa"/>
            <w:tcBorders>
              <w:top w:val="nil"/>
              <w:left w:val="nil"/>
              <w:bottom w:val="nil"/>
              <w:right w:val="nil"/>
            </w:tcBorders>
            <w:shd w:val="clear" w:color="auto" w:fill="auto"/>
            <w:vAlign w:val="center"/>
          </w:tcPr>
          <w:p w14:paraId="07D817F5" w14:textId="3D1F5A8C"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1,431</w:t>
            </w:r>
          </w:p>
        </w:tc>
        <w:tc>
          <w:tcPr>
            <w:tcW w:w="638" w:type="dxa"/>
            <w:tcBorders>
              <w:top w:val="nil"/>
              <w:left w:val="nil"/>
              <w:bottom w:val="nil"/>
              <w:right w:val="nil"/>
            </w:tcBorders>
            <w:shd w:val="clear" w:color="auto" w:fill="auto"/>
            <w:vAlign w:val="center"/>
          </w:tcPr>
          <w:p w14:paraId="081BC9C1" w14:textId="464F634F"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1,254</w:t>
            </w:r>
          </w:p>
        </w:tc>
        <w:tc>
          <w:tcPr>
            <w:tcW w:w="638" w:type="dxa"/>
            <w:tcBorders>
              <w:top w:val="nil"/>
              <w:left w:val="nil"/>
              <w:bottom w:val="nil"/>
              <w:right w:val="nil"/>
            </w:tcBorders>
            <w:shd w:val="clear" w:color="auto" w:fill="auto"/>
            <w:vAlign w:val="center"/>
          </w:tcPr>
          <w:p w14:paraId="2D17A9FC" w14:textId="4BD5DD19"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1,571</w:t>
            </w:r>
          </w:p>
        </w:tc>
        <w:tc>
          <w:tcPr>
            <w:tcW w:w="638" w:type="dxa"/>
            <w:tcBorders>
              <w:top w:val="nil"/>
              <w:left w:val="nil"/>
              <w:bottom w:val="nil"/>
              <w:right w:val="nil"/>
            </w:tcBorders>
            <w:shd w:val="clear" w:color="auto" w:fill="auto"/>
            <w:vAlign w:val="center"/>
          </w:tcPr>
          <w:p w14:paraId="7FE0FD36" w14:textId="369086CA"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1,971</w:t>
            </w:r>
          </w:p>
        </w:tc>
        <w:tc>
          <w:tcPr>
            <w:tcW w:w="638" w:type="dxa"/>
            <w:tcBorders>
              <w:top w:val="nil"/>
              <w:left w:val="nil"/>
              <w:bottom w:val="nil"/>
              <w:right w:val="nil"/>
            </w:tcBorders>
            <w:shd w:val="clear" w:color="auto" w:fill="auto"/>
            <w:vAlign w:val="center"/>
          </w:tcPr>
          <w:p w14:paraId="755F0A8F" w14:textId="64311BD8"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1,725</w:t>
            </w:r>
          </w:p>
        </w:tc>
        <w:tc>
          <w:tcPr>
            <w:tcW w:w="637" w:type="dxa"/>
            <w:tcBorders>
              <w:top w:val="nil"/>
              <w:left w:val="nil"/>
              <w:bottom w:val="nil"/>
              <w:right w:val="nil"/>
            </w:tcBorders>
            <w:shd w:val="clear" w:color="auto" w:fill="auto"/>
            <w:vAlign w:val="center"/>
          </w:tcPr>
          <w:p w14:paraId="5A24F939" w14:textId="43641B93"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1,698</w:t>
            </w:r>
          </w:p>
        </w:tc>
        <w:tc>
          <w:tcPr>
            <w:tcW w:w="638" w:type="dxa"/>
            <w:tcBorders>
              <w:top w:val="nil"/>
              <w:left w:val="nil"/>
              <w:bottom w:val="nil"/>
              <w:right w:val="nil"/>
            </w:tcBorders>
            <w:shd w:val="clear" w:color="auto" w:fill="auto"/>
            <w:vAlign w:val="center"/>
          </w:tcPr>
          <w:p w14:paraId="5779E17D" w14:textId="1BF7BD74"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1,411</w:t>
            </w:r>
          </w:p>
        </w:tc>
        <w:tc>
          <w:tcPr>
            <w:tcW w:w="638" w:type="dxa"/>
            <w:tcBorders>
              <w:top w:val="nil"/>
              <w:left w:val="nil"/>
              <w:bottom w:val="nil"/>
              <w:right w:val="nil"/>
            </w:tcBorders>
            <w:shd w:val="clear" w:color="auto" w:fill="auto"/>
            <w:vAlign w:val="center"/>
          </w:tcPr>
          <w:p w14:paraId="79CC53D2" w14:textId="4F80D3ED"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1,447</w:t>
            </w:r>
          </w:p>
        </w:tc>
        <w:tc>
          <w:tcPr>
            <w:tcW w:w="638" w:type="dxa"/>
            <w:tcBorders>
              <w:top w:val="nil"/>
              <w:left w:val="nil"/>
              <w:bottom w:val="nil"/>
              <w:right w:val="nil"/>
            </w:tcBorders>
            <w:shd w:val="clear" w:color="auto" w:fill="auto"/>
            <w:vAlign w:val="center"/>
          </w:tcPr>
          <w:p w14:paraId="2EB89035" w14:textId="1F7471BD"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1,612</w:t>
            </w:r>
          </w:p>
        </w:tc>
        <w:tc>
          <w:tcPr>
            <w:tcW w:w="638" w:type="dxa"/>
            <w:tcBorders>
              <w:top w:val="nil"/>
              <w:left w:val="nil"/>
              <w:bottom w:val="nil"/>
              <w:right w:val="nil"/>
            </w:tcBorders>
            <w:shd w:val="clear" w:color="auto" w:fill="auto"/>
            <w:vAlign w:val="center"/>
          </w:tcPr>
          <w:p w14:paraId="798110E6" w14:textId="0D06C5BB"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1,081</w:t>
            </w:r>
          </w:p>
        </w:tc>
        <w:tc>
          <w:tcPr>
            <w:tcW w:w="638" w:type="dxa"/>
            <w:tcBorders>
              <w:top w:val="nil"/>
              <w:left w:val="nil"/>
              <w:bottom w:val="nil"/>
              <w:right w:val="nil"/>
            </w:tcBorders>
            <w:shd w:val="clear" w:color="auto" w:fill="auto"/>
            <w:vAlign w:val="center"/>
          </w:tcPr>
          <w:p w14:paraId="67724AFA" w14:textId="379E4126"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1,511</w:t>
            </w:r>
          </w:p>
        </w:tc>
        <w:tc>
          <w:tcPr>
            <w:tcW w:w="142" w:type="dxa"/>
            <w:tcBorders>
              <w:top w:val="nil"/>
              <w:left w:val="nil"/>
              <w:bottom w:val="nil"/>
              <w:right w:val="single" w:sz="4" w:space="0" w:color="auto"/>
            </w:tcBorders>
          </w:tcPr>
          <w:p w14:paraId="26B349BD" w14:textId="77777777" w:rsidR="00882D22" w:rsidRPr="00040639"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p>
        </w:tc>
        <w:tc>
          <w:tcPr>
            <w:tcW w:w="851" w:type="dxa"/>
            <w:tcBorders>
              <w:top w:val="nil"/>
              <w:left w:val="nil"/>
              <w:bottom w:val="nil"/>
              <w:right w:val="single" w:sz="4" w:space="0" w:color="auto"/>
            </w:tcBorders>
            <w:shd w:val="clear" w:color="auto" w:fill="auto"/>
            <w:vAlign w:val="center"/>
          </w:tcPr>
          <w:p w14:paraId="4720A73C" w14:textId="07A9598C"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17,892</w:t>
            </w:r>
          </w:p>
        </w:tc>
      </w:tr>
      <w:tr w:rsidR="00882D22" w:rsidRPr="00040639" w14:paraId="002C00D1" w14:textId="77777777" w:rsidTr="00882D22">
        <w:trPr>
          <w:trHeight w:val="365"/>
        </w:trPr>
        <w:tc>
          <w:tcPr>
            <w:tcW w:w="846" w:type="dxa"/>
            <w:tcBorders>
              <w:bottom w:val="single" w:sz="4" w:space="0" w:color="auto"/>
              <w:right w:val="single" w:sz="4" w:space="0" w:color="auto"/>
            </w:tcBorders>
            <w:vAlign w:val="center"/>
          </w:tcPr>
          <w:p w14:paraId="3C5CBF5B" w14:textId="77777777" w:rsidR="00882D22" w:rsidRPr="00040639" w:rsidRDefault="00882D22" w:rsidP="00882D22">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Median</w:t>
            </w:r>
          </w:p>
        </w:tc>
        <w:tc>
          <w:tcPr>
            <w:tcW w:w="637" w:type="dxa"/>
            <w:tcBorders>
              <w:top w:val="nil"/>
              <w:left w:val="nil"/>
              <w:bottom w:val="single" w:sz="4" w:space="0" w:color="auto"/>
              <w:right w:val="nil"/>
            </w:tcBorders>
            <w:shd w:val="clear" w:color="auto" w:fill="auto"/>
            <w:vAlign w:val="center"/>
          </w:tcPr>
          <w:p w14:paraId="4D25C752" w14:textId="2E35BC7B"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22.1</w:t>
            </w:r>
          </w:p>
        </w:tc>
        <w:tc>
          <w:tcPr>
            <w:tcW w:w="638" w:type="dxa"/>
            <w:tcBorders>
              <w:top w:val="nil"/>
              <w:left w:val="nil"/>
              <w:bottom w:val="single" w:sz="4" w:space="0" w:color="auto"/>
              <w:right w:val="nil"/>
            </w:tcBorders>
            <w:shd w:val="clear" w:color="auto" w:fill="auto"/>
            <w:vAlign w:val="center"/>
          </w:tcPr>
          <w:p w14:paraId="3D5C76A5" w14:textId="51C8EEBF"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23.3</w:t>
            </w:r>
          </w:p>
        </w:tc>
        <w:tc>
          <w:tcPr>
            <w:tcW w:w="638" w:type="dxa"/>
            <w:tcBorders>
              <w:top w:val="nil"/>
              <w:left w:val="nil"/>
              <w:bottom w:val="single" w:sz="4" w:space="0" w:color="auto"/>
              <w:right w:val="nil"/>
            </w:tcBorders>
            <w:shd w:val="clear" w:color="auto" w:fill="auto"/>
            <w:vAlign w:val="center"/>
          </w:tcPr>
          <w:p w14:paraId="1F407A53" w14:textId="45442B53"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23.3</w:t>
            </w:r>
          </w:p>
        </w:tc>
        <w:tc>
          <w:tcPr>
            <w:tcW w:w="638" w:type="dxa"/>
            <w:tcBorders>
              <w:top w:val="nil"/>
              <w:left w:val="nil"/>
              <w:bottom w:val="single" w:sz="4" w:space="0" w:color="auto"/>
              <w:right w:val="nil"/>
            </w:tcBorders>
            <w:shd w:val="clear" w:color="auto" w:fill="auto"/>
            <w:vAlign w:val="center"/>
          </w:tcPr>
          <w:p w14:paraId="07A18897" w14:textId="7E12FA3D"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24.0</w:t>
            </w:r>
          </w:p>
        </w:tc>
        <w:tc>
          <w:tcPr>
            <w:tcW w:w="638" w:type="dxa"/>
            <w:tcBorders>
              <w:top w:val="nil"/>
              <w:left w:val="nil"/>
              <w:bottom w:val="single" w:sz="4" w:space="0" w:color="auto"/>
              <w:right w:val="nil"/>
            </w:tcBorders>
            <w:shd w:val="clear" w:color="auto" w:fill="auto"/>
            <w:vAlign w:val="center"/>
          </w:tcPr>
          <w:p w14:paraId="5B01B270" w14:textId="3E38BF16"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25.6</w:t>
            </w:r>
          </w:p>
        </w:tc>
        <w:tc>
          <w:tcPr>
            <w:tcW w:w="638" w:type="dxa"/>
            <w:tcBorders>
              <w:top w:val="nil"/>
              <w:left w:val="nil"/>
              <w:bottom w:val="single" w:sz="4" w:space="0" w:color="auto"/>
              <w:right w:val="nil"/>
            </w:tcBorders>
            <w:shd w:val="clear" w:color="auto" w:fill="auto"/>
            <w:vAlign w:val="center"/>
          </w:tcPr>
          <w:p w14:paraId="6B276B9F" w14:textId="1849ABD6"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26.9</w:t>
            </w:r>
          </w:p>
        </w:tc>
        <w:tc>
          <w:tcPr>
            <w:tcW w:w="637" w:type="dxa"/>
            <w:tcBorders>
              <w:top w:val="nil"/>
              <w:left w:val="nil"/>
              <w:bottom w:val="single" w:sz="4" w:space="0" w:color="auto"/>
              <w:right w:val="nil"/>
            </w:tcBorders>
            <w:shd w:val="clear" w:color="auto" w:fill="auto"/>
            <w:vAlign w:val="center"/>
          </w:tcPr>
          <w:p w14:paraId="6258930B" w14:textId="29E9674D"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23.9</w:t>
            </w:r>
          </w:p>
        </w:tc>
        <w:tc>
          <w:tcPr>
            <w:tcW w:w="638" w:type="dxa"/>
            <w:tcBorders>
              <w:top w:val="nil"/>
              <w:left w:val="nil"/>
              <w:bottom w:val="single" w:sz="4" w:space="0" w:color="auto"/>
              <w:right w:val="nil"/>
            </w:tcBorders>
            <w:shd w:val="clear" w:color="auto" w:fill="auto"/>
            <w:vAlign w:val="center"/>
          </w:tcPr>
          <w:p w14:paraId="7B0DF691" w14:textId="227D04F4"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22.0</w:t>
            </w:r>
          </w:p>
        </w:tc>
        <w:tc>
          <w:tcPr>
            <w:tcW w:w="638" w:type="dxa"/>
            <w:tcBorders>
              <w:top w:val="nil"/>
              <w:left w:val="nil"/>
              <w:bottom w:val="single" w:sz="4" w:space="0" w:color="auto"/>
              <w:right w:val="nil"/>
            </w:tcBorders>
            <w:shd w:val="clear" w:color="auto" w:fill="auto"/>
            <w:vAlign w:val="center"/>
          </w:tcPr>
          <w:p w14:paraId="61B91641" w14:textId="2C3BB9C1"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20.9</w:t>
            </w:r>
          </w:p>
        </w:tc>
        <w:tc>
          <w:tcPr>
            <w:tcW w:w="638" w:type="dxa"/>
            <w:tcBorders>
              <w:top w:val="nil"/>
              <w:left w:val="nil"/>
              <w:bottom w:val="single" w:sz="4" w:space="0" w:color="auto"/>
              <w:right w:val="nil"/>
            </w:tcBorders>
            <w:shd w:val="clear" w:color="auto" w:fill="auto"/>
            <w:vAlign w:val="center"/>
          </w:tcPr>
          <w:p w14:paraId="1497A5F1" w14:textId="06AAAD97"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18.9</w:t>
            </w:r>
          </w:p>
        </w:tc>
        <w:tc>
          <w:tcPr>
            <w:tcW w:w="638" w:type="dxa"/>
            <w:tcBorders>
              <w:top w:val="nil"/>
              <w:left w:val="nil"/>
              <w:bottom w:val="single" w:sz="4" w:space="0" w:color="auto"/>
              <w:right w:val="nil"/>
            </w:tcBorders>
            <w:shd w:val="clear" w:color="auto" w:fill="auto"/>
            <w:vAlign w:val="center"/>
          </w:tcPr>
          <w:p w14:paraId="18C5B85D" w14:textId="08720CEA"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21.9</w:t>
            </w:r>
          </w:p>
        </w:tc>
        <w:tc>
          <w:tcPr>
            <w:tcW w:w="638" w:type="dxa"/>
            <w:tcBorders>
              <w:top w:val="nil"/>
              <w:left w:val="nil"/>
              <w:bottom w:val="single" w:sz="4" w:space="0" w:color="auto"/>
              <w:right w:val="nil"/>
            </w:tcBorders>
            <w:shd w:val="clear" w:color="auto" w:fill="auto"/>
            <w:vAlign w:val="center"/>
          </w:tcPr>
          <w:p w14:paraId="743E88E5" w14:textId="5A2A1007"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22.1</w:t>
            </w:r>
          </w:p>
        </w:tc>
        <w:tc>
          <w:tcPr>
            <w:tcW w:w="142" w:type="dxa"/>
            <w:tcBorders>
              <w:top w:val="nil"/>
              <w:left w:val="nil"/>
              <w:bottom w:val="single" w:sz="4" w:space="0" w:color="auto"/>
              <w:right w:val="single" w:sz="4" w:space="0" w:color="auto"/>
            </w:tcBorders>
            <w:shd w:val="clear" w:color="auto" w:fill="auto"/>
            <w:vAlign w:val="center"/>
          </w:tcPr>
          <w:p w14:paraId="1E16B37A" w14:textId="77777777" w:rsidR="00882D22" w:rsidRPr="00040639"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0E2B0C">
              <w:rPr>
                <w:rFonts w:ascii="Calibri" w:hAnsi="Calibri" w:cs="Calibri"/>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14:paraId="67F01394" w14:textId="69AA6DD3" w:rsidR="00882D22" w:rsidRPr="00882D22" w:rsidRDefault="00882D22" w:rsidP="00882D22">
            <w:pPr>
              <w:suppressAutoHyphens w:val="0"/>
              <w:autoSpaceDE w:val="0"/>
              <w:adjustRightInd w:val="0"/>
              <w:jc w:val="right"/>
              <w:textAlignment w:val="auto"/>
              <w:rPr>
                <w:rFonts w:ascii="Calibri" w:eastAsiaTheme="minorHAnsi" w:hAnsi="Calibri" w:cs="Calibri"/>
                <w:color w:val="000000"/>
                <w:sz w:val="16"/>
                <w:szCs w:val="16"/>
                <w:lang w:eastAsia="en-US"/>
              </w:rPr>
            </w:pPr>
            <w:r w:rsidRPr="00882D22">
              <w:rPr>
                <w:rFonts w:ascii="Calibri" w:hAnsi="Calibri" w:cs="Calibri"/>
                <w:color w:val="000000"/>
                <w:sz w:val="16"/>
                <w:szCs w:val="16"/>
              </w:rPr>
              <w:t>23.0</w:t>
            </w:r>
          </w:p>
        </w:tc>
      </w:tr>
    </w:tbl>
    <w:p w14:paraId="3328028E" w14:textId="77777777" w:rsidR="007D20F8" w:rsidRPr="00055E4D" w:rsidRDefault="007D20F8" w:rsidP="007D20F8">
      <w:pPr>
        <w:rPr>
          <w:rFonts w:ascii="Helvetica" w:eastAsia="Verdana" w:hAnsi="Helvetica" w:cs="Helvetica"/>
          <w:sz w:val="18"/>
          <w:szCs w:val="18"/>
        </w:rPr>
      </w:pPr>
      <w:r w:rsidRPr="00961834">
        <w:rPr>
          <w:rFonts w:ascii="Helvetica" w:eastAsia="Calibri" w:hAnsi="Helvetica" w:cs="Helvetica"/>
          <w:sz w:val="18"/>
          <w:szCs w:val="18"/>
        </w:rPr>
        <w:t xml:space="preserve">Source: Horizon, </w:t>
      </w:r>
      <w:proofErr w:type="spellStart"/>
      <w:r w:rsidRPr="00961834">
        <w:rPr>
          <w:rFonts w:ascii="Helvetica" w:eastAsia="Calibri" w:hAnsi="Helvetica" w:cs="Helvetica"/>
          <w:sz w:val="18"/>
          <w:szCs w:val="18"/>
        </w:rPr>
        <w:t>Picaso</w:t>
      </w:r>
      <w:proofErr w:type="spellEnd"/>
      <w:r w:rsidRPr="00961834">
        <w:rPr>
          <w:rFonts w:ascii="Helvetica" w:eastAsia="Calibri" w:hAnsi="Helvetica" w:cs="Helvetica"/>
          <w:sz w:val="18"/>
          <w:szCs w:val="18"/>
        </w:rPr>
        <w:t>, Inspector Scheduling System</w:t>
      </w:r>
      <w:r w:rsidRPr="00380B4E">
        <w:rPr>
          <w:rFonts w:ascii="Helvetica" w:eastAsia="Calibri" w:hAnsi="Helvetica" w:cs="Helvetica"/>
          <w:sz w:val="18"/>
          <w:szCs w:val="18"/>
        </w:rPr>
        <w:t xml:space="preserve">. </w:t>
      </w:r>
      <w:r w:rsidRPr="008B0AAB">
        <w:rPr>
          <w:rFonts w:ascii="Helvetica" w:eastAsia="Verdana" w:hAnsi="Helvetica" w:cs="Helvetica"/>
          <w:sz w:val="18"/>
          <w:szCs w:val="18"/>
        </w:rPr>
        <w:t>r denotes revision – a change of more than 5 cases since last month (see Background Quality Report for more information)</w:t>
      </w:r>
      <w:r>
        <w:rPr>
          <w:rFonts w:ascii="Helvetica" w:eastAsia="Verdana" w:hAnsi="Helvetica" w:cs="Helvetica"/>
          <w:sz w:val="18"/>
          <w:szCs w:val="18"/>
        </w:rPr>
        <w:t xml:space="preserve"> </w:t>
      </w:r>
    </w:p>
    <w:p w14:paraId="32F35007" w14:textId="5789420F" w:rsidR="00877250" w:rsidRDefault="00877250" w:rsidP="00246264">
      <w:pPr>
        <w:spacing w:after="120"/>
        <w:jc w:val="both"/>
        <w:rPr>
          <w:rFonts w:ascii="Helvetica" w:eastAsia="Verdana" w:hAnsi="Helvetica" w:cs="Helvetica"/>
        </w:rPr>
      </w:pPr>
    </w:p>
    <w:p w14:paraId="686E8FF0" w14:textId="77777777" w:rsidR="002E2122" w:rsidRDefault="002E2122" w:rsidP="00246264">
      <w:pPr>
        <w:spacing w:after="120"/>
        <w:jc w:val="both"/>
        <w:rPr>
          <w:rFonts w:ascii="Helvetica" w:eastAsia="Verdana" w:hAnsi="Helvetica" w:cs="Helvetica"/>
        </w:rPr>
      </w:pPr>
    </w:p>
    <w:p w14:paraId="191DA0D9" w14:textId="037A3A64" w:rsidR="00B85F5A" w:rsidRDefault="003B76BB" w:rsidP="003B76BB">
      <w:pPr>
        <w:jc w:val="both"/>
        <w:rPr>
          <w:rFonts w:ascii="Helvetica" w:eastAsia="Verdana" w:hAnsi="Helvetica" w:cs="Helvetica"/>
        </w:rPr>
      </w:pPr>
      <w:r w:rsidRPr="002939D9">
        <w:rPr>
          <w:rFonts w:ascii="Helvetica" w:eastAsia="Verdana" w:hAnsi="Helvetica" w:cs="Helvetica"/>
        </w:rPr>
        <w:lastRenderedPageBreak/>
        <w:t xml:space="preserve">The </w:t>
      </w:r>
      <w:r w:rsidR="006A7AE4" w:rsidRPr="002939D9">
        <w:rPr>
          <w:rFonts w:ascii="Helvetica" w:eastAsia="Verdana" w:hAnsi="Helvetica" w:cs="Helvetica"/>
        </w:rPr>
        <w:t xml:space="preserve">pace of increase in the </w:t>
      </w:r>
      <w:r w:rsidRPr="002939D9">
        <w:rPr>
          <w:rFonts w:ascii="Helvetica" w:eastAsia="Verdana" w:hAnsi="Helvetica" w:cs="Helvetica"/>
        </w:rPr>
        <w:t xml:space="preserve">number of open cases has </w:t>
      </w:r>
      <w:r w:rsidR="006A7AE4" w:rsidRPr="002939D9">
        <w:rPr>
          <w:rFonts w:ascii="Helvetica" w:eastAsia="Verdana" w:hAnsi="Helvetica" w:cs="Helvetica"/>
        </w:rPr>
        <w:t>slowed</w:t>
      </w:r>
      <w:r w:rsidR="00F55E32" w:rsidRPr="002939D9">
        <w:rPr>
          <w:rFonts w:ascii="Helvetica" w:eastAsia="Verdana" w:hAnsi="Helvetica" w:cs="Helvetica"/>
        </w:rPr>
        <w:t>, based on the number of open cases at the end of May 21.</w:t>
      </w:r>
      <w:r w:rsidR="00AC48CD" w:rsidRPr="002939D9">
        <w:rPr>
          <w:rFonts w:ascii="Helvetica" w:eastAsia="Verdana" w:hAnsi="Helvetica" w:cs="Helvetica"/>
        </w:rPr>
        <w:t xml:space="preserve">  Increases since December 20 show the impact of the third national lockdown</w:t>
      </w:r>
      <w:r w:rsidR="00A87D27" w:rsidRPr="002939D9">
        <w:rPr>
          <w:rFonts w:ascii="Helvetica" w:eastAsia="Verdana" w:hAnsi="Helvetica" w:cs="Helvetica"/>
        </w:rPr>
        <w:t xml:space="preserve">, and </w:t>
      </w:r>
      <w:r w:rsidR="00212EF4" w:rsidRPr="002939D9">
        <w:rPr>
          <w:rFonts w:ascii="Helvetica" w:eastAsia="Verdana" w:hAnsi="Helvetica" w:cs="Helvetica"/>
        </w:rPr>
        <w:t>increased levels of staff leave</w:t>
      </w:r>
      <w:r w:rsidR="00AC48CD" w:rsidRPr="002939D9">
        <w:rPr>
          <w:rFonts w:ascii="Helvetica" w:eastAsia="Verdana" w:hAnsi="Helvetica" w:cs="Helvetica"/>
        </w:rPr>
        <w:t xml:space="preserve">.  </w:t>
      </w:r>
      <w:r w:rsidRPr="002939D9">
        <w:rPr>
          <w:rFonts w:ascii="Helvetica" w:eastAsia="Verdana" w:hAnsi="Helvetica" w:cs="Helvetica"/>
        </w:rPr>
        <w:t>This contrasts with the period September to December 20, where once schools re-opened and full Inspectorate capacity had returned, the number of cases being closed noticeably exceeded the number received.</w:t>
      </w:r>
      <w:r w:rsidRPr="00676CCC">
        <w:rPr>
          <w:rFonts w:ascii="Helvetica" w:eastAsia="Verdana" w:hAnsi="Helvetica" w:cs="Helvetica"/>
        </w:rPr>
        <w:t xml:space="preserve">  </w:t>
      </w:r>
    </w:p>
    <w:p w14:paraId="2A4C6873" w14:textId="77777777" w:rsidR="00B85F5A" w:rsidRDefault="00B85F5A" w:rsidP="003B76BB">
      <w:pPr>
        <w:jc w:val="both"/>
        <w:rPr>
          <w:rFonts w:ascii="Helvetica" w:eastAsia="Verdana" w:hAnsi="Helvetica" w:cs="Helvetica"/>
        </w:rPr>
      </w:pPr>
    </w:p>
    <w:p w14:paraId="08D4A55F" w14:textId="7FDAD2D1" w:rsidR="00E56CDB" w:rsidRDefault="003B76BB" w:rsidP="00672E77">
      <w:pPr>
        <w:jc w:val="both"/>
        <w:rPr>
          <w:rFonts w:ascii="Helvetica" w:eastAsia="Verdana" w:hAnsi="Helvetica" w:cs="Helvetica"/>
        </w:rPr>
      </w:pPr>
      <w:r w:rsidRPr="00E62772">
        <w:rPr>
          <w:rFonts w:ascii="Helvetica" w:eastAsia="Verdana" w:hAnsi="Helvetica" w:cs="Helvetica"/>
        </w:rPr>
        <w:t xml:space="preserve">The number of </w:t>
      </w:r>
      <w:r w:rsidR="00E61662" w:rsidRPr="00E62772">
        <w:rPr>
          <w:rFonts w:ascii="Helvetica" w:eastAsia="Verdana" w:hAnsi="Helvetica" w:cs="Helvetica"/>
        </w:rPr>
        <w:t xml:space="preserve">open </w:t>
      </w:r>
      <w:r w:rsidRPr="00E62772">
        <w:rPr>
          <w:rFonts w:ascii="Helvetica" w:eastAsia="Verdana" w:hAnsi="Helvetica" w:cs="Helvetica"/>
        </w:rPr>
        <w:t>cases</w:t>
      </w:r>
      <w:r w:rsidR="00E61662" w:rsidRPr="00E62772">
        <w:rPr>
          <w:rFonts w:ascii="Helvetica" w:eastAsia="Verdana" w:hAnsi="Helvetica" w:cs="Helvetica"/>
        </w:rPr>
        <w:t xml:space="preserve"> is influenced both by capacity to carry out casework</w:t>
      </w:r>
      <w:r w:rsidR="000C67B4" w:rsidRPr="00E62772">
        <w:rPr>
          <w:rFonts w:ascii="Helvetica" w:eastAsia="Verdana" w:hAnsi="Helvetica" w:cs="Helvetica"/>
        </w:rPr>
        <w:t xml:space="preserve"> </w:t>
      </w:r>
      <w:r w:rsidR="00DD3C42" w:rsidRPr="00E62772">
        <w:rPr>
          <w:rFonts w:ascii="Helvetica" w:eastAsia="Verdana" w:hAnsi="Helvetica" w:cs="Helvetica"/>
        </w:rPr>
        <w:t xml:space="preserve">(resulting in </w:t>
      </w:r>
      <w:r w:rsidR="000C67B4" w:rsidRPr="00E62772">
        <w:rPr>
          <w:rFonts w:ascii="Helvetica" w:eastAsia="Verdana" w:hAnsi="Helvetica" w:cs="Helvetica"/>
        </w:rPr>
        <w:t>decisions issued / cases closed</w:t>
      </w:r>
      <w:r w:rsidR="00DD3C42" w:rsidRPr="00E62772">
        <w:rPr>
          <w:rFonts w:ascii="Helvetica" w:eastAsia="Verdana" w:hAnsi="Helvetica" w:cs="Helvetica"/>
        </w:rPr>
        <w:t>) and incoming demand (cases received)</w:t>
      </w:r>
      <w:r w:rsidR="000C67B4" w:rsidRPr="00E62772">
        <w:rPr>
          <w:rFonts w:ascii="Helvetica" w:eastAsia="Verdana" w:hAnsi="Helvetica" w:cs="Helvetica"/>
        </w:rPr>
        <w:t xml:space="preserve">.  </w:t>
      </w:r>
      <w:r w:rsidR="000C67B4" w:rsidRPr="007553A4">
        <w:rPr>
          <w:rFonts w:ascii="Helvetica" w:eastAsia="Verdana" w:hAnsi="Helvetica" w:cs="Helvetica"/>
        </w:rPr>
        <w:t xml:space="preserve">As mentioned above, </w:t>
      </w:r>
      <w:r w:rsidR="00DD3C42" w:rsidRPr="007553A4">
        <w:rPr>
          <w:rFonts w:ascii="Helvetica" w:eastAsia="Verdana" w:hAnsi="Helvetica" w:cs="Helvetica"/>
        </w:rPr>
        <w:t>decisions for April 21 were low.</w:t>
      </w:r>
      <w:r w:rsidR="00E56CDB" w:rsidRPr="007553A4">
        <w:rPr>
          <w:rFonts w:ascii="Helvetica" w:eastAsia="Verdana" w:hAnsi="Helvetica" w:cs="Helvetica"/>
        </w:rPr>
        <w:t xml:space="preserve">  The number received in </w:t>
      </w:r>
      <w:r w:rsidR="00AC5D52" w:rsidRPr="007553A4">
        <w:rPr>
          <w:rFonts w:ascii="Helvetica" w:eastAsia="Verdana" w:hAnsi="Helvetica" w:cs="Helvetica"/>
        </w:rPr>
        <w:t>May</w:t>
      </w:r>
      <w:r w:rsidR="00E56CDB" w:rsidRPr="007553A4">
        <w:rPr>
          <w:rFonts w:ascii="Helvetica" w:eastAsia="Verdana" w:hAnsi="Helvetica" w:cs="Helvetica"/>
        </w:rPr>
        <w:t xml:space="preserve"> 21 was</w:t>
      </w:r>
      <w:r w:rsidR="00AC5D52" w:rsidRPr="007553A4">
        <w:rPr>
          <w:rFonts w:ascii="Helvetica" w:eastAsia="Verdana" w:hAnsi="Helvetica" w:cs="Helvetica"/>
        </w:rPr>
        <w:t xml:space="preserve"> 1,</w:t>
      </w:r>
      <w:r w:rsidR="002C385A">
        <w:rPr>
          <w:rFonts w:ascii="Helvetica" w:eastAsia="Verdana" w:hAnsi="Helvetica" w:cs="Helvetica"/>
        </w:rPr>
        <w:t>627</w:t>
      </w:r>
      <w:r w:rsidR="00AC5D52" w:rsidRPr="007553A4">
        <w:rPr>
          <w:rFonts w:ascii="Helvetica" w:eastAsia="Verdana" w:hAnsi="Helvetica" w:cs="Helvetica"/>
        </w:rPr>
        <w:t xml:space="preserve">, </w:t>
      </w:r>
      <w:r w:rsidR="002C385A">
        <w:rPr>
          <w:rFonts w:ascii="Helvetica" w:eastAsia="Verdana" w:hAnsi="Helvetica" w:cs="Helvetica"/>
        </w:rPr>
        <w:t>as</w:t>
      </w:r>
      <w:r w:rsidR="00AC5D52" w:rsidRPr="007553A4">
        <w:rPr>
          <w:rFonts w:ascii="Helvetica" w:eastAsia="Verdana" w:hAnsi="Helvetica" w:cs="Helvetica"/>
        </w:rPr>
        <w:t xml:space="preserve"> low </w:t>
      </w:r>
      <w:r w:rsidR="002C385A">
        <w:rPr>
          <w:rFonts w:ascii="Helvetica" w:eastAsia="Verdana" w:hAnsi="Helvetica" w:cs="Helvetica"/>
        </w:rPr>
        <w:t>as it has been</w:t>
      </w:r>
      <w:r w:rsidR="00AC5D52" w:rsidRPr="007553A4">
        <w:rPr>
          <w:rFonts w:ascii="Helvetica" w:eastAsia="Verdana" w:hAnsi="Helvetica" w:cs="Helvetica"/>
        </w:rPr>
        <w:t xml:space="preserve"> in the last </w:t>
      </w:r>
      <w:r w:rsidR="003C1BE1" w:rsidRPr="007553A4">
        <w:rPr>
          <w:rFonts w:ascii="Helvetica" w:eastAsia="Verdana" w:hAnsi="Helvetica" w:cs="Helvetica"/>
        </w:rPr>
        <w:t xml:space="preserve">12 months.  </w:t>
      </w:r>
      <w:r w:rsidR="00E56CDB" w:rsidRPr="007553A4">
        <w:rPr>
          <w:rFonts w:ascii="Helvetica" w:eastAsia="Verdana" w:hAnsi="Helvetica" w:cs="Helvetica"/>
        </w:rPr>
        <w:t>Over the last 12 months around 1,700 cases have been received each month.</w:t>
      </w:r>
    </w:p>
    <w:p w14:paraId="66F227AF" w14:textId="60D8DB97" w:rsidR="00DD3C42" w:rsidRDefault="00DD3C42" w:rsidP="003B76BB">
      <w:pPr>
        <w:jc w:val="both"/>
        <w:rPr>
          <w:rFonts w:ascii="Helvetica" w:eastAsia="Verdana" w:hAnsi="Helvetica" w:cs="Helvetica"/>
        </w:rPr>
      </w:pPr>
    </w:p>
    <w:p w14:paraId="169E4DAF" w14:textId="6D01C380" w:rsidR="001F6ADA" w:rsidRPr="00676CCC" w:rsidRDefault="005F7D2D" w:rsidP="001F6ADA">
      <w:pPr>
        <w:rPr>
          <w:rFonts w:ascii="Helvetica" w:hAnsi="Helvetica" w:cs="Helvetica"/>
        </w:rPr>
      </w:pPr>
      <w:r>
        <w:rPr>
          <w:rFonts w:ascii="Helvetica" w:hAnsi="Helvetica" w:cs="Helvetica"/>
        </w:rPr>
        <w:t xml:space="preserve">Note – The </w:t>
      </w:r>
      <w:r w:rsidR="001F6ADA" w:rsidRPr="00676CCC">
        <w:rPr>
          <w:rFonts w:ascii="Helvetica" w:hAnsi="Helvetica" w:cs="Helvetica"/>
        </w:rPr>
        <w:t>number of cases closed is higher than the number of decisions, as it includes cases where an appeal is withdrawn, notice is withdrawn, or the appeal is turned away.</w:t>
      </w:r>
    </w:p>
    <w:p w14:paraId="45994665" w14:textId="77777777" w:rsidR="003B76BB" w:rsidRDefault="003B76BB" w:rsidP="00246264">
      <w:pPr>
        <w:spacing w:after="120"/>
        <w:jc w:val="both"/>
        <w:rPr>
          <w:rFonts w:ascii="Helvetica" w:eastAsia="Verdana" w:hAnsi="Helvetica" w:cs="Helvetica"/>
        </w:rPr>
      </w:pPr>
    </w:p>
    <w:p w14:paraId="39ABA2FF" w14:textId="56B8E738" w:rsidR="00987AE2" w:rsidRDefault="0097324A" w:rsidP="0097324A">
      <w:pPr>
        <w:spacing w:after="120"/>
        <w:rPr>
          <w:rFonts w:ascii="Helvetica" w:eastAsia="Verdana" w:hAnsi="Helvetica" w:cs="Helvetica"/>
        </w:rPr>
      </w:pPr>
      <w:r w:rsidRPr="4721EDED">
        <w:rPr>
          <w:rFonts w:ascii="Helvetica" w:hAnsi="Helvetica" w:cs="Helvetica"/>
        </w:rPr>
        <w:t xml:space="preserve">Figure 2: Number of cases received, closed and open; </w:t>
      </w:r>
      <w:r w:rsidR="009D69BA" w:rsidRPr="4721EDED">
        <w:rPr>
          <w:rFonts w:ascii="Helvetica" w:hAnsi="Helvetica" w:cs="Helvetica"/>
        </w:rPr>
        <w:t>Jun 20 to May 21</w:t>
      </w:r>
      <w:r>
        <w:br/>
      </w:r>
      <w:r w:rsidR="2A417F27">
        <w:rPr>
          <w:noProof/>
        </w:rPr>
        <w:drawing>
          <wp:inline distT="0" distB="0" distL="0" distR="0" wp14:anchorId="64A76CC3" wp14:editId="3CAEFCE1">
            <wp:extent cx="6096181" cy="3163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6096181" cy="3163570"/>
                    </a:xfrm>
                    <a:prstGeom prst="rect">
                      <a:avLst/>
                    </a:prstGeom>
                  </pic:spPr>
                </pic:pic>
              </a:graphicData>
            </a:graphic>
          </wp:inline>
        </w:drawing>
      </w:r>
    </w:p>
    <w:p w14:paraId="63376481" w14:textId="77777777" w:rsidR="00803FE6" w:rsidRDefault="001B0AA4" w:rsidP="00F02E70">
      <w:pPr>
        <w:tabs>
          <w:tab w:val="left" w:pos="6319"/>
        </w:tabs>
        <w:spacing w:line="256" w:lineRule="auto"/>
        <w:jc w:val="both"/>
        <w:rPr>
          <w:rFonts w:ascii="Helvetica" w:eastAsia="Calibri" w:hAnsi="Helvetica" w:cs="Helvetica"/>
          <w:sz w:val="18"/>
          <w:szCs w:val="18"/>
        </w:rPr>
      </w:pPr>
      <w:r w:rsidRPr="4117AA6F">
        <w:rPr>
          <w:rFonts w:ascii="Helvetica" w:eastAsia="Calibri" w:hAnsi="Helvetica" w:cs="Helvetica"/>
          <w:sz w:val="18"/>
          <w:szCs w:val="18"/>
        </w:rPr>
        <w:t xml:space="preserve">Source: Horizon and </w:t>
      </w:r>
      <w:proofErr w:type="spellStart"/>
      <w:r w:rsidRPr="4117AA6F">
        <w:rPr>
          <w:rFonts w:ascii="Helvetica" w:eastAsia="Calibri" w:hAnsi="Helvetica" w:cs="Helvetica"/>
          <w:sz w:val="18"/>
          <w:szCs w:val="18"/>
        </w:rPr>
        <w:t>Picaso</w:t>
      </w:r>
      <w:proofErr w:type="spellEnd"/>
    </w:p>
    <w:p w14:paraId="36FDC8EE" w14:textId="5F84A1D2" w:rsidR="00F02E70" w:rsidRPr="00803FE6" w:rsidRDefault="001B0AA4" w:rsidP="00F02E70">
      <w:pPr>
        <w:tabs>
          <w:tab w:val="left" w:pos="6319"/>
        </w:tabs>
        <w:spacing w:line="256" w:lineRule="auto"/>
        <w:jc w:val="both"/>
        <w:rPr>
          <w:rFonts w:ascii="Helvetica" w:eastAsia="Calibri" w:hAnsi="Helvetica" w:cs="Helvetica"/>
          <w:sz w:val="18"/>
          <w:szCs w:val="18"/>
        </w:rPr>
      </w:pPr>
      <w:r>
        <w:rPr>
          <w:rFonts w:ascii="Helvetica" w:eastAsia="Calibri" w:hAnsi="Helvetica" w:cs="Helvetica"/>
          <w:sz w:val="18"/>
          <w:szCs w:val="18"/>
        </w:rPr>
        <w:br/>
      </w:r>
      <w:r w:rsidR="00F02E70" w:rsidRPr="002939D9">
        <w:rPr>
          <w:rFonts w:ascii="Helvetica" w:eastAsia="Calibri" w:hAnsi="Helvetica" w:cs="Helvetica"/>
          <w:sz w:val="18"/>
          <w:szCs w:val="18"/>
        </w:rPr>
        <w:t>Note - the count of open cases from December 2020 onwards has been revised to include some specialist casework types that were previously excluded:</w:t>
      </w:r>
      <w:r w:rsidR="00CA77E9" w:rsidRPr="002939D9">
        <w:rPr>
          <w:rFonts w:ascii="Helvetica" w:eastAsia="Calibri" w:hAnsi="Helvetica" w:cs="Helvetica"/>
          <w:sz w:val="18"/>
          <w:szCs w:val="18"/>
        </w:rPr>
        <w:t xml:space="preserve"> </w:t>
      </w:r>
      <w:r w:rsidR="00B353FC" w:rsidRPr="002939D9">
        <w:rPr>
          <w:rFonts w:ascii="Helvetica" w:eastAsia="Calibri" w:hAnsi="Helvetica" w:cs="Helvetica"/>
          <w:sz w:val="18"/>
          <w:szCs w:val="18"/>
        </w:rPr>
        <w:t>H</w:t>
      </w:r>
      <w:r w:rsidR="00CA77E9" w:rsidRPr="002939D9">
        <w:rPr>
          <w:rFonts w:ascii="Helvetica" w:eastAsia="Calibri" w:hAnsi="Helvetica" w:cs="Helvetica"/>
          <w:sz w:val="18"/>
          <w:szCs w:val="18"/>
        </w:rPr>
        <w:t>igh Hedge (HH)</w:t>
      </w:r>
      <w:r w:rsidR="00B353FC" w:rsidRPr="002939D9">
        <w:rPr>
          <w:rFonts w:ascii="Helvetica" w:eastAsia="Calibri" w:hAnsi="Helvetica" w:cs="Helvetica"/>
          <w:sz w:val="18"/>
          <w:szCs w:val="18"/>
        </w:rPr>
        <w:t xml:space="preserve">, Hedgerow </w:t>
      </w:r>
      <w:r w:rsidR="00055712" w:rsidRPr="002939D9">
        <w:rPr>
          <w:rFonts w:ascii="Helvetica" w:eastAsia="Calibri" w:hAnsi="Helvetica" w:cs="Helvetica"/>
          <w:sz w:val="18"/>
          <w:szCs w:val="18"/>
        </w:rPr>
        <w:t xml:space="preserve">(HGW) </w:t>
      </w:r>
      <w:r w:rsidR="00B353FC" w:rsidRPr="002939D9">
        <w:rPr>
          <w:rFonts w:ascii="Helvetica" w:eastAsia="Calibri" w:hAnsi="Helvetica" w:cs="Helvetica"/>
          <w:sz w:val="18"/>
          <w:szCs w:val="18"/>
        </w:rPr>
        <w:t xml:space="preserve">and </w:t>
      </w:r>
      <w:r w:rsidR="00C93A83" w:rsidRPr="002939D9">
        <w:rPr>
          <w:rFonts w:ascii="Helvetica" w:eastAsia="Calibri" w:hAnsi="Helvetica" w:cs="Helvetica"/>
          <w:sz w:val="18"/>
          <w:szCs w:val="18"/>
        </w:rPr>
        <w:t xml:space="preserve">Tree </w:t>
      </w:r>
      <w:r w:rsidR="00244CB1" w:rsidRPr="002939D9">
        <w:rPr>
          <w:rFonts w:ascii="Helvetica" w:eastAsia="Calibri" w:hAnsi="Helvetica" w:cs="Helvetica"/>
          <w:sz w:val="18"/>
          <w:szCs w:val="18"/>
        </w:rPr>
        <w:t>P</w:t>
      </w:r>
      <w:r w:rsidR="00C93A83" w:rsidRPr="002939D9">
        <w:rPr>
          <w:rFonts w:ascii="Helvetica" w:eastAsia="Calibri" w:hAnsi="Helvetica" w:cs="Helvetica"/>
          <w:sz w:val="18"/>
          <w:szCs w:val="18"/>
        </w:rPr>
        <w:t>rese</w:t>
      </w:r>
      <w:r w:rsidR="00244CB1" w:rsidRPr="002939D9">
        <w:rPr>
          <w:rFonts w:ascii="Helvetica" w:eastAsia="Calibri" w:hAnsi="Helvetica" w:cs="Helvetica"/>
          <w:sz w:val="18"/>
          <w:szCs w:val="18"/>
        </w:rPr>
        <w:t>rv</w:t>
      </w:r>
      <w:r w:rsidR="00C93A83" w:rsidRPr="002939D9">
        <w:rPr>
          <w:rFonts w:ascii="Helvetica" w:eastAsia="Calibri" w:hAnsi="Helvetica" w:cs="Helvetica"/>
          <w:sz w:val="18"/>
          <w:szCs w:val="18"/>
        </w:rPr>
        <w:t>ation Order (TPO)</w:t>
      </w:r>
      <w:r w:rsidR="00F02E70" w:rsidRPr="002939D9">
        <w:rPr>
          <w:rFonts w:ascii="Helvetica" w:eastAsia="Calibri" w:hAnsi="Helvetica" w:cs="Helvetica"/>
          <w:sz w:val="18"/>
          <w:szCs w:val="18"/>
        </w:rPr>
        <w:t>. Please see the Background Quality Report for more details.</w:t>
      </w:r>
      <w:r w:rsidR="00B46516">
        <w:rPr>
          <w:rFonts w:ascii="Helvetica" w:eastAsia="Calibri" w:hAnsi="Helvetica" w:cs="Helvetica"/>
          <w:sz w:val="18"/>
          <w:szCs w:val="18"/>
        </w:rPr>
        <w:t xml:space="preserve"> </w:t>
      </w:r>
      <w:r w:rsidR="00B46516" w:rsidRPr="002939D9">
        <w:rPr>
          <w:rFonts w:ascii="Helvetica" w:eastAsia="Calibri" w:hAnsi="Helvetica" w:cs="Helvetica"/>
          <w:sz w:val="18"/>
          <w:szCs w:val="18"/>
        </w:rPr>
        <w:t xml:space="preserve">Despite this change there is an anomaly </w:t>
      </w:r>
      <w:r w:rsidR="00B629D2" w:rsidRPr="002939D9">
        <w:rPr>
          <w:rFonts w:ascii="Helvetica" w:eastAsia="Calibri" w:hAnsi="Helvetica" w:cs="Helvetica"/>
          <w:sz w:val="18"/>
          <w:szCs w:val="18"/>
        </w:rPr>
        <w:t>in that</w:t>
      </w:r>
      <w:r w:rsidR="00A26784" w:rsidRPr="002939D9">
        <w:rPr>
          <w:rFonts w:ascii="Helvetica" w:eastAsia="Calibri" w:hAnsi="Helvetica" w:cs="Helvetica"/>
          <w:sz w:val="18"/>
          <w:szCs w:val="18"/>
        </w:rPr>
        <w:t xml:space="preserve"> </w:t>
      </w:r>
      <w:r w:rsidR="00B629D2" w:rsidRPr="002939D9">
        <w:rPr>
          <w:rFonts w:ascii="Helvetica" w:eastAsia="Calibri" w:hAnsi="Helvetica" w:cs="Helvetica"/>
          <w:sz w:val="18"/>
          <w:szCs w:val="18"/>
        </w:rPr>
        <w:t xml:space="preserve">the number of open cases has not reduced </w:t>
      </w:r>
      <w:r w:rsidR="005F2EF6" w:rsidRPr="002939D9">
        <w:rPr>
          <w:rFonts w:ascii="Helvetica" w:eastAsia="Calibri" w:hAnsi="Helvetica" w:cs="Helvetica"/>
          <w:sz w:val="18"/>
          <w:szCs w:val="18"/>
        </w:rPr>
        <w:t xml:space="preserve">in the way it should where more cases are closed than </w:t>
      </w:r>
      <w:r w:rsidR="00FD7DB8" w:rsidRPr="002939D9">
        <w:rPr>
          <w:rFonts w:ascii="Helvetica" w:eastAsia="Calibri" w:hAnsi="Helvetica" w:cs="Helvetica"/>
          <w:sz w:val="18"/>
          <w:szCs w:val="18"/>
        </w:rPr>
        <w:t>received.</w:t>
      </w:r>
    </w:p>
    <w:p w14:paraId="7BFA44F6" w14:textId="411223AF" w:rsidR="001B0AA4" w:rsidRPr="00961834" w:rsidRDefault="001B0AA4" w:rsidP="001B0AA4">
      <w:pPr>
        <w:rPr>
          <w:rFonts w:ascii="Helvetica" w:eastAsia="Calibri" w:hAnsi="Helvetica" w:cs="Helvetica"/>
          <w:sz w:val="18"/>
          <w:szCs w:val="18"/>
        </w:rPr>
      </w:pPr>
      <w:r>
        <w:rPr>
          <w:rFonts w:ascii="Helvetica" w:eastAsia="Calibri" w:hAnsi="Helvetica" w:cs="Helvetica"/>
          <w:sz w:val="18"/>
          <w:szCs w:val="18"/>
        </w:rPr>
        <w:t xml:space="preserve">Note – Red arrows indicate periods when national lockdowns were in effect </w:t>
      </w:r>
    </w:p>
    <w:p w14:paraId="6E5C70FF" w14:textId="77AEC8DE" w:rsidR="00987AE2" w:rsidRDefault="00987AE2" w:rsidP="00246264">
      <w:pPr>
        <w:spacing w:after="120"/>
        <w:jc w:val="both"/>
        <w:rPr>
          <w:rFonts w:ascii="Helvetica" w:eastAsia="Verdana" w:hAnsi="Helvetica" w:cs="Helvetica"/>
        </w:rPr>
      </w:pPr>
    </w:p>
    <w:p w14:paraId="145D18CE" w14:textId="00C2CEF1" w:rsidR="00202242" w:rsidRDefault="00202242" w:rsidP="0091271C">
      <w:pPr>
        <w:suppressAutoHyphens w:val="0"/>
        <w:autoSpaceDN/>
        <w:spacing w:line="259" w:lineRule="auto"/>
        <w:textAlignment w:val="auto"/>
        <w:rPr>
          <w:rFonts w:ascii="Helvetica" w:eastAsia="Verdana" w:hAnsi="Helvetica" w:cs="Helvetica"/>
        </w:rPr>
      </w:pPr>
      <w:r w:rsidRPr="00DE1FB6">
        <w:rPr>
          <w:rFonts w:ascii="Helvetica" w:eastAsia="Verdana" w:hAnsi="Helvetica" w:cs="Helvetica"/>
        </w:rPr>
        <w:t>Table 2:</w:t>
      </w:r>
      <w:r w:rsidRPr="00DE1FB6">
        <w:rPr>
          <w:rFonts w:ascii="Helvetica" w:hAnsi="Helvetica" w:cs="Helvetica"/>
        </w:rPr>
        <w:t xml:space="preserve"> Number of cases received, closed and open; </w:t>
      </w:r>
      <w:r w:rsidR="008550FD" w:rsidRPr="00DE1FB6">
        <w:rPr>
          <w:rFonts w:ascii="Helvetica" w:hAnsi="Helvetica" w:cs="Helvetica"/>
        </w:rPr>
        <w:t>Jun</w:t>
      </w:r>
      <w:r w:rsidRPr="00DE1FB6">
        <w:rPr>
          <w:rFonts w:ascii="Helvetica" w:hAnsi="Helvetica" w:cs="Helvetica"/>
        </w:rPr>
        <w:t xml:space="preserve"> 20 to </w:t>
      </w:r>
      <w:r w:rsidR="008550FD" w:rsidRPr="00DE1FB6">
        <w:rPr>
          <w:rFonts w:ascii="Helvetica" w:hAnsi="Helvetica" w:cs="Helvetica"/>
        </w:rPr>
        <w:t>May</w:t>
      </w:r>
      <w:r w:rsidRPr="00DE1FB6">
        <w:rPr>
          <w:rFonts w:ascii="Helvetica" w:hAnsi="Helvetica" w:cs="Helvetica"/>
        </w:rPr>
        <w:t xml:space="preserve"> 21</w:t>
      </w: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
        <w:gridCol w:w="661"/>
        <w:gridCol w:w="661"/>
        <w:gridCol w:w="661"/>
        <w:gridCol w:w="661"/>
        <w:gridCol w:w="661"/>
        <w:gridCol w:w="661"/>
        <w:gridCol w:w="661"/>
        <w:gridCol w:w="661"/>
        <w:gridCol w:w="661"/>
        <w:gridCol w:w="661"/>
        <w:gridCol w:w="675"/>
        <w:gridCol w:w="648"/>
        <w:gridCol w:w="709"/>
      </w:tblGrid>
      <w:tr w:rsidR="006A3F48" w14:paraId="48D20BBD" w14:textId="77777777" w:rsidTr="0C8A326C">
        <w:trPr>
          <w:trHeight w:val="374"/>
        </w:trPr>
        <w:tc>
          <w:tcPr>
            <w:tcW w:w="1140" w:type="dxa"/>
            <w:tcBorders>
              <w:top w:val="single" w:sz="4" w:space="0" w:color="auto"/>
              <w:bottom w:val="single" w:sz="4" w:space="0" w:color="auto"/>
              <w:right w:val="single" w:sz="4" w:space="0" w:color="auto"/>
            </w:tcBorders>
          </w:tcPr>
          <w:p w14:paraId="528D655C" w14:textId="2F51C138" w:rsidR="006A3F48" w:rsidRPr="006A3F48" w:rsidRDefault="006A3F48" w:rsidP="006A3F4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6A3F48">
              <w:rPr>
                <w:rFonts w:asciiTheme="minorHAnsi" w:hAnsiTheme="minorHAnsi" w:cstheme="minorHAnsi"/>
                <w:sz w:val="16"/>
                <w:szCs w:val="16"/>
              </w:rPr>
              <w:t>Month</w:t>
            </w:r>
          </w:p>
        </w:tc>
        <w:tc>
          <w:tcPr>
            <w:tcW w:w="661" w:type="dxa"/>
            <w:tcBorders>
              <w:top w:val="single" w:sz="4" w:space="0" w:color="auto"/>
              <w:left w:val="single" w:sz="4" w:space="0" w:color="auto"/>
              <w:bottom w:val="single" w:sz="4" w:space="0" w:color="auto"/>
            </w:tcBorders>
          </w:tcPr>
          <w:p w14:paraId="1576620D" w14:textId="6E6E47C6"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Jun-20</w:t>
            </w:r>
          </w:p>
        </w:tc>
        <w:tc>
          <w:tcPr>
            <w:tcW w:w="661" w:type="dxa"/>
            <w:tcBorders>
              <w:top w:val="single" w:sz="4" w:space="0" w:color="auto"/>
              <w:bottom w:val="single" w:sz="4" w:space="0" w:color="auto"/>
            </w:tcBorders>
          </w:tcPr>
          <w:p w14:paraId="799C4836" w14:textId="17C46D3F"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Jul-20</w:t>
            </w:r>
          </w:p>
        </w:tc>
        <w:tc>
          <w:tcPr>
            <w:tcW w:w="661" w:type="dxa"/>
            <w:tcBorders>
              <w:top w:val="single" w:sz="4" w:space="0" w:color="auto"/>
              <w:bottom w:val="single" w:sz="4" w:space="0" w:color="auto"/>
            </w:tcBorders>
          </w:tcPr>
          <w:p w14:paraId="7B8B485C" w14:textId="659FB62B"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Aug-20</w:t>
            </w:r>
          </w:p>
        </w:tc>
        <w:tc>
          <w:tcPr>
            <w:tcW w:w="661" w:type="dxa"/>
            <w:tcBorders>
              <w:top w:val="single" w:sz="4" w:space="0" w:color="auto"/>
              <w:bottom w:val="single" w:sz="4" w:space="0" w:color="auto"/>
            </w:tcBorders>
          </w:tcPr>
          <w:p w14:paraId="2963DE4B" w14:textId="3B1C76DF"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Sep-20</w:t>
            </w:r>
          </w:p>
        </w:tc>
        <w:tc>
          <w:tcPr>
            <w:tcW w:w="661" w:type="dxa"/>
            <w:tcBorders>
              <w:top w:val="single" w:sz="4" w:space="0" w:color="auto"/>
              <w:bottom w:val="single" w:sz="4" w:space="0" w:color="auto"/>
            </w:tcBorders>
          </w:tcPr>
          <w:p w14:paraId="7753BA3C" w14:textId="4E092E64"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Oct-20</w:t>
            </w:r>
          </w:p>
        </w:tc>
        <w:tc>
          <w:tcPr>
            <w:tcW w:w="661" w:type="dxa"/>
            <w:tcBorders>
              <w:top w:val="single" w:sz="4" w:space="0" w:color="auto"/>
              <w:bottom w:val="single" w:sz="4" w:space="0" w:color="auto"/>
            </w:tcBorders>
          </w:tcPr>
          <w:p w14:paraId="621C8B94" w14:textId="514582F3"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Nov-20</w:t>
            </w:r>
          </w:p>
        </w:tc>
        <w:tc>
          <w:tcPr>
            <w:tcW w:w="661" w:type="dxa"/>
            <w:tcBorders>
              <w:top w:val="single" w:sz="4" w:space="0" w:color="auto"/>
              <w:bottom w:val="single" w:sz="4" w:space="0" w:color="auto"/>
            </w:tcBorders>
          </w:tcPr>
          <w:p w14:paraId="7C23894C" w14:textId="72BD8F32"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Dec-20</w:t>
            </w:r>
          </w:p>
        </w:tc>
        <w:tc>
          <w:tcPr>
            <w:tcW w:w="661" w:type="dxa"/>
            <w:tcBorders>
              <w:top w:val="single" w:sz="4" w:space="0" w:color="auto"/>
              <w:bottom w:val="single" w:sz="4" w:space="0" w:color="auto"/>
            </w:tcBorders>
          </w:tcPr>
          <w:p w14:paraId="7A573552" w14:textId="6D2B7915"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Jan-21</w:t>
            </w:r>
          </w:p>
        </w:tc>
        <w:tc>
          <w:tcPr>
            <w:tcW w:w="661" w:type="dxa"/>
            <w:tcBorders>
              <w:top w:val="single" w:sz="4" w:space="0" w:color="auto"/>
              <w:bottom w:val="single" w:sz="4" w:space="0" w:color="auto"/>
            </w:tcBorders>
          </w:tcPr>
          <w:p w14:paraId="7EA58FC9" w14:textId="37D107A7"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Feb-21</w:t>
            </w:r>
          </w:p>
        </w:tc>
        <w:tc>
          <w:tcPr>
            <w:tcW w:w="661" w:type="dxa"/>
            <w:tcBorders>
              <w:top w:val="single" w:sz="4" w:space="0" w:color="auto"/>
              <w:bottom w:val="single" w:sz="4" w:space="0" w:color="auto"/>
            </w:tcBorders>
          </w:tcPr>
          <w:p w14:paraId="3089FBBF" w14:textId="691F503B"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Mar-21</w:t>
            </w:r>
          </w:p>
        </w:tc>
        <w:tc>
          <w:tcPr>
            <w:tcW w:w="675" w:type="dxa"/>
            <w:tcBorders>
              <w:top w:val="single" w:sz="4" w:space="0" w:color="auto"/>
              <w:bottom w:val="single" w:sz="4" w:space="0" w:color="auto"/>
            </w:tcBorders>
          </w:tcPr>
          <w:p w14:paraId="388B8D41" w14:textId="7155DAF8"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Apr-21</w:t>
            </w:r>
          </w:p>
        </w:tc>
        <w:tc>
          <w:tcPr>
            <w:tcW w:w="648" w:type="dxa"/>
            <w:tcBorders>
              <w:top w:val="single" w:sz="4" w:space="0" w:color="auto"/>
              <w:bottom w:val="single" w:sz="4" w:space="0" w:color="auto"/>
              <w:right w:val="single" w:sz="4" w:space="0" w:color="auto"/>
            </w:tcBorders>
          </w:tcPr>
          <w:p w14:paraId="5CB6B94C" w14:textId="05BE5FBF" w:rsidR="006A3F48" w:rsidRPr="00294970" w:rsidRDefault="006A3F48" w:rsidP="00E514DF">
            <w:pPr>
              <w:suppressAutoHyphens w:val="0"/>
              <w:autoSpaceDE w:val="0"/>
              <w:adjustRightInd w:val="0"/>
              <w:jc w:val="center"/>
              <w:textAlignment w:val="auto"/>
              <w:rPr>
                <w:rFonts w:asciiTheme="minorHAnsi" w:eastAsiaTheme="minorHAnsi" w:hAnsiTheme="minorHAnsi" w:cstheme="minorHAnsi"/>
                <w:color w:val="000000"/>
                <w:sz w:val="14"/>
                <w:szCs w:val="14"/>
                <w:lang w:eastAsia="en-US"/>
              </w:rPr>
            </w:pPr>
            <w:r w:rsidRPr="00294970">
              <w:rPr>
                <w:rFonts w:asciiTheme="minorHAnsi" w:hAnsiTheme="minorHAnsi" w:cstheme="minorHAnsi"/>
                <w:sz w:val="14"/>
                <w:szCs w:val="14"/>
              </w:rPr>
              <w:t>May-21</w:t>
            </w:r>
          </w:p>
        </w:tc>
        <w:tc>
          <w:tcPr>
            <w:tcW w:w="709" w:type="dxa"/>
            <w:tcBorders>
              <w:top w:val="single" w:sz="4" w:space="0" w:color="auto"/>
              <w:left w:val="single" w:sz="4" w:space="0" w:color="auto"/>
              <w:bottom w:val="single" w:sz="4" w:space="0" w:color="auto"/>
              <w:right w:val="single" w:sz="4" w:space="0" w:color="auto"/>
            </w:tcBorders>
          </w:tcPr>
          <w:p w14:paraId="68EF8BC6" w14:textId="736BDB68"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6A3F48">
              <w:rPr>
                <w:rFonts w:asciiTheme="minorHAnsi" w:hAnsiTheme="minorHAnsi" w:cstheme="minorHAnsi"/>
                <w:sz w:val="16"/>
                <w:szCs w:val="16"/>
              </w:rPr>
              <w:t>Total</w:t>
            </w:r>
          </w:p>
        </w:tc>
      </w:tr>
      <w:tr w:rsidR="006A3F48" w14:paraId="1EF7B726" w14:textId="77777777" w:rsidTr="0C8A326C">
        <w:trPr>
          <w:trHeight w:val="434"/>
        </w:trPr>
        <w:tc>
          <w:tcPr>
            <w:tcW w:w="1140" w:type="dxa"/>
            <w:tcBorders>
              <w:top w:val="single" w:sz="4" w:space="0" w:color="auto"/>
              <w:right w:val="single" w:sz="4" w:space="0" w:color="auto"/>
            </w:tcBorders>
          </w:tcPr>
          <w:p w14:paraId="3D191F36" w14:textId="0BCD0764" w:rsidR="006A3F48" w:rsidRPr="006A3F48" w:rsidRDefault="006A3F48" w:rsidP="006A3F4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6A3F48">
              <w:rPr>
                <w:rFonts w:asciiTheme="minorHAnsi" w:hAnsiTheme="minorHAnsi" w:cstheme="minorHAnsi"/>
                <w:sz w:val="16"/>
                <w:szCs w:val="16"/>
              </w:rPr>
              <w:t>Received</w:t>
            </w:r>
          </w:p>
        </w:tc>
        <w:tc>
          <w:tcPr>
            <w:tcW w:w="661" w:type="dxa"/>
            <w:tcBorders>
              <w:top w:val="nil"/>
              <w:left w:val="nil"/>
              <w:bottom w:val="nil"/>
              <w:right w:val="nil"/>
            </w:tcBorders>
            <w:shd w:val="clear" w:color="auto" w:fill="auto"/>
          </w:tcPr>
          <w:p w14:paraId="07CF3463" w14:textId="53A13C4D"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1,620</w:t>
            </w:r>
          </w:p>
        </w:tc>
        <w:tc>
          <w:tcPr>
            <w:tcW w:w="661" w:type="dxa"/>
            <w:tcBorders>
              <w:top w:val="nil"/>
              <w:left w:val="nil"/>
              <w:bottom w:val="nil"/>
              <w:right w:val="nil"/>
            </w:tcBorders>
            <w:shd w:val="clear" w:color="auto" w:fill="auto"/>
          </w:tcPr>
          <w:p w14:paraId="33195E4E" w14:textId="6B933FEB"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1,686</w:t>
            </w:r>
          </w:p>
        </w:tc>
        <w:tc>
          <w:tcPr>
            <w:tcW w:w="661" w:type="dxa"/>
            <w:tcBorders>
              <w:top w:val="nil"/>
              <w:left w:val="nil"/>
              <w:bottom w:val="nil"/>
              <w:right w:val="nil"/>
            </w:tcBorders>
            <w:shd w:val="clear" w:color="auto" w:fill="auto"/>
          </w:tcPr>
          <w:p w14:paraId="6F43B3D8" w14:textId="0B08146F"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1,498</w:t>
            </w:r>
          </w:p>
        </w:tc>
        <w:tc>
          <w:tcPr>
            <w:tcW w:w="661" w:type="dxa"/>
            <w:tcBorders>
              <w:top w:val="nil"/>
              <w:left w:val="nil"/>
              <w:bottom w:val="nil"/>
              <w:right w:val="nil"/>
            </w:tcBorders>
            <w:shd w:val="clear" w:color="auto" w:fill="auto"/>
          </w:tcPr>
          <w:p w14:paraId="135759B0" w14:textId="500495C1"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1,643</w:t>
            </w:r>
          </w:p>
        </w:tc>
        <w:tc>
          <w:tcPr>
            <w:tcW w:w="661" w:type="dxa"/>
            <w:tcBorders>
              <w:top w:val="nil"/>
              <w:left w:val="nil"/>
              <w:bottom w:val="nil"/>
              <w:right w:val="nil"/>
            </w:tcBorders>
            <w:shd w:val="clear" w:color="auto" w:fill="auto"/>
          </w:tcPr>
          <w:p w14:paraId="19185DED" w14:textId="5AF1E620"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1,806</w:t>
            </w:r>
          </w:p>
        </w:tc>
        <w:tc>
          <w:tcPr>
            <w:tcW w:w="661" w:type="dxa"/>
            <w:tcBorders>
              <w:top w:val="nil"/>
              <w:left w:val="nil"/>
              <w:bottom w:val="nil"/>
              <w:right w:val="nil"/>
            </w:tcBorders>
            <w:shd w:val="clear" w:color="auto" w:fill="auto"/>
          </w:tcPr>
          <w:p w14:paraId="56D80E49" w14:textId="0D1651BD"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1,696</w:t>
            </w:r>
          </w:p>
        </w:tc>
        <w:tc>
          <w:tcPr>
            <w:tcW w:w="661" w:type="dxa"/>
            <w:tcBorders>
              <w:top w:val="nil"/>
              <w:left w:val="nil"/>
              <w:bottom w:val="nil"/>
              <w:right w:val="nil"/>
            </w:tcBorders>
            <w:shd w:val="clear" w:color="auto" w:fill="auto"/>
          </w:tcPr>
          <w:p w14:paraId="39A8E169" w14:textId="2C4A79A8"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1,775</w:t>
            </w:r>
          </w:p>
        </w:tc>
        <w:tc>
          <w:tcPr>
            <w:tcW w:w="661" w:type="dxa"/>
            <w:tcBorders>
              <w:top w:val="nil"/>
              <w:left w:val="nil"/>
              <w:bottom w:val="nil"/>
              <w:right w:val="nil"/>
            </w:tcBorders>
            <w:shd w:val="clear" w:color="auto" w:fill="auto"/>
          </w:tcPr>
          <w:p w14:paraId="1EDC3949" w14:textId="4029EC23"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1,632</w:t>
            </w:r>
          </w:p>
        </w:tc>
        <w:tc>
          <w:tcPr>
            <w:tcW w:w="661" w:type="dxa"/>
            <w:tcBorders>
              <w:top w:val="nil"/>
              <w:left w:val="nil"/>
              <w:bottom w:val="nil"/>
              <w:right w:val="nil"/>
            </w:tcBorders>
            <w:shd w:val="clear" w:color="auto" w:fill="auto"/>
          </w:tcPr>
          <w:p w14:paraId="018E6B95" w14:textId="2354C6D8"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1,759</w:t>
            </w:r>
          </w:p>
        </w:tc>
        <w:tc>
          <w:tcPr>
            <w:tcW w:w="661" w:type="dxa"/>
            <w:tcBorders>
              <w:top w:val="nil"/>
              <w:left w:val="nil"/>
              <w:bottom w:val="nil"/>
              <w:right w:val="nil"/>
            </w:tcBorders>
            <w:shd w:val="clear" w:color="auto" w:fill="auto"/>
          </w:tcPr>
          <w:p w14:paraId="4FC1E03C" w14:textId="50524EFB"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1,922</w:t>
            </w:r>
            <w:r w:rsidR="000E44EA">
              <w:rPr>
                <w:rFonts w:asciiTheme="minorHAnsi" w:hAnsiTheme="minorHAnsi" w:cstheme="minorHAnsi"/>
                <w:sz w:val="14"/>
                <w:szCs w:val="14"/>
              </w:rPr>
              <w:t>r</w:t>
            </w:r>
          </w:p>
        </w:tc>
        <w:tc>
          <w:tcPr>
            <w:tcW w:w="675" w:type="dxa"/>
            <w:tcBorders>
              <w:top w:val="nil"/>
              <w:left w:val="nil"/>
              <w:bottom w:val="nil"/>
              <w:right w:val="nil"/>
            </w:tcBorders>
            <w:shd w:val="clear" w:color="auto" w:fill="auto"/>
          </w:tcPr>
          <w:p w14:paraId="5BC444F9" w14:textId="25784271"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w:t>
            </w:r>
            <w:r w:rsidR="00940FAB" w:rsidRPr="006A3F48">
              <w:rPr>
                <w:rFonts w:asciiTheme="minorHAnsi" w:hAnsiTheme="minorHAnsi" w:cstheme="minorHAnsi"/>
                <w:sz w:val="14"/>
                <w:szCs w:val="14"/>
              </w:rPr>
              <w:t>659</w:t>
            </w:r>
            <w:r w:rsidR="000B5088">
              <w:rPr>
                <w:rFonts w:asciiTheme="minorHAnsi" w:hAnsiTheme="minorHAnsi" w:cstheme="minorHAnsi"/>
                <w:sz w:val="14"/>
                <w:szCs w:val="14"/>
              </w:rPr>
              <w:t>r</w:t>
            </w:r>
          </w:p>
        </w:tc>
        <w:tc>
          <w:tcPr>
            <w:tcW w:w="648" w:type="dxa"/>
            <w:tcBorders>
              <w:top w:val="nil"/>
              <w:left w:val="nil"/>
              <w:bottom w:val="nil"/>
              <w:right w:val="single" w:sz="4" w:space="0" w:color="auto"/>
            </w:tcBorders>
            <w:shd w:val="clear" w:color="auto" w:fill="auto"/>
          </w:tcPr>
          <w:p w14:paraId="1396EE55" w14:textId="4A60FD44"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1,627</w:t>
            </w:r>
          </w:p>
        </w:tc>
        <w:tc>
          <w:tcPr>
            <w:tcW w:w="709" w:type="dxa"/>
            <w:tcBorders>
              <w:top w:val="nil"/>
              <w:left w:val="single" w:sz="4" w:space="0" w:color="auto"/>
              <w:bottom w:val="nil"/>
              <w:right w:val="single" w:sz="4" w:space="0" w:color="auto"/>
            </w:tcBorders>
            <w:shd w:val="clear" w:color="auto" w:fill="auto"/>
          </w:tcPr>
          <w:p w14:paraId="2041FF9C" w14:textId="05E1041B" w:rsidR="006A3F48" w:rsidRPr="00010C49"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010C49">
              <w:rPr>
                <w:rFonts w:asciiTheme="minorHAnsi" w:hAnsiTheme="minorHAnsi" w:cstheme="minorHAnsi"/>
                <w:sz w:val="14"/>
                <w:szCs w:val="14"/>
              </w:rPr>
              <w:t>20,178</w:t>
            </w:r>
          </w:p>
        </w:tc>
      </w:tr>
      <w:tr w:rsidR="006A3F48" w14:paraId="5478C2C7" w14:textId="77777777" w:rsidTr="0C8A326C">
        <w:trPr>
          <w:trHeight w:val="222"/>
        </w:trPr>
        <w:tc>
          <w:tcPr>
            <w:tcW w:w="1140" w:type="dxa"/>
            <w:tcBorders>
              <w:right w:val="single" w:sz="4" w:space="0" w:color="auto"/>
            </w:tcBorders>
          </w:tcPr>
          <w:p w14:paraId="2039FE7B" w14:textId="24673097" w:rsidR="006A3F48" w:rsidRPr="006A3F48" w:rsidRDefault="006A3F48" w:rsidP="006A3F4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6A3F48">
              <w:rPr>
                <w:rFonts w:asciiTheme="minorHAnsi" w:hAnsiTheme="minorHAnsi" w:cstheme="minorHAnsi"/>
                <w:sz w:val="16"/>
                <w:szCs w:val="16"/>
              </w:rPr>
              <w:t>Closed</w:t>
            </w:r>
          </w:p>
        </w:tc>
        <w:tc>
          <w:tcPr>
            <w:tcW w:w="661" w:type="dxa"/>
            <w:tcBorders>
              <w:top w:val="nil"/>
              <w:left w:val="nil"/>
              <w:bottom w:val="nil"/>
              <w:right w:val="nil"/>
            </w:tcBorders>
            <w:shd w:val="clear" w:color="auto" w:fill="auto"/>
          </w:tcPr>
          <w:p w14:paraId="6BE467B5" w14:textId="25BFCDD9"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1,337</w:t>
            </w:r>
          </w:p>
        </w:tc>
        <w:tc>
          <w:tcPr>
            <w:tcW w:w="661" w:type="dxa"/>
            <w:tcBorders>
              <w:top w:val="nil"/>
              <w:left w:val="nil"/>
              <w:bottom w:val="nil"/>
              <w:right w:val="nil"/>
            </w:tcBorders>
            <w:shd w:val="clear" w:color="auto" w:fill="auto"/>
          </w:tcPr>
          <w:p w14:paraId="346B7F58" w14:textId="4A48D220"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1,604</w:t>
            </w:r>
          </w:p>
        </w:tc>
        <w:tc>
          <w:tcPr>
            <w:tcW w:w="661" w:type="dxa"/>
            <w:tcBorders>
              <w:top w:val="nil"/>
              <w:left w:val="nil"/>
              <w:bottom w:val="nil"/>
              <w:right w:val="nil"/>
            </w:tcBorders>
            <w:shd w:val="clear" w:color="auto" w:fill="auto"/>
          </w:tcPr>
          <w:p w14:paraId="1B011EB9" w14:textId="66B1FCB9"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1,371</w:t>
            </w:r>
          </w:p>
        </w:tc>
        <w:tc>
          <w:tcPr>
            <w:tcW w:w="661" w:type="dxa"/>
            <w:tcBorders>
              <w:top w:val="nil"/>
              <w:left w:val="nil"/>
              <w:bottom w:val="nil"/>
              <w:right w:val="nil"/>
            </w:tcBorders>
            <w:shd w:val="clear" w:color="auto" w:fill="auto"/>
          </w:tcPr>
          <w:p w14:paraId="15046B30" w14:textId="55394303"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1,713</w:t>
            </w:r>
          </w:p>
        </w:tc>
        <w:tc>
          <w:tcPr>
            <w:tcW w:w="661" w:type="dxa"/>
            <w:tcBorders>
              <w:top w:val="nil"/>
              <w:left w:val="nil"/>
              <w:bottom w:val="nil"/>
              <w:right w:val="nil"/>
            </w:tcBorders>
            <w:shd w:val="clear" w:color="auto" w:fill="auto"/>
          </w:tcPr>
          <w:p w14:paraId="6590CAF4" w14:textId="10CCA2F5"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2,149</w:t>
            </w:r>
          </w:p>
        </w:tc>
        <w:tc>
          <w:tcPr>
            <w:tcW w:w="661" w:type="dxa"/>
            <w:tcBorders>
              <w:top w:val="nil"/>
              <w:left w:val="nil"/>
              <w:bottom w:val="nil"/>
              <w:right w:val="nil"/>
            </w:tcBorders>
            <w:shd w:val="clear" w:color="auto" w:fill="auto"/>
          </w:tcPr>
          <w:p w14:paraId="7EC6ED85" w14:textId="159454D1"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1,886</w:t>
            </w:r>
          </w:p>
        </w:tc>
        <w:tc>
          <w:tcPr>
            <w:tcW w:w="661" w:type="dxa"/>
            <w:tcBorders>
              <w:top w:val="nil"/>
              <w:left w:val="nil"/>
              <w:bottom w:val="nil"/>
              <w:right w:val="nil"/>
            </w:tcBorders>
            <w:shd w:val="clear" w:color="auto" w:fill="auto"/>
          </w:tcPr>
          <w:p w14:paraId="30930353" w14:textId="76869829"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1,869</w:t>
            </w:r>
          </w:p>
        </w:tc>
        <w:tc>
          <w:tcPr>
            <w:tcW w:w="661" w:type="dxa"/>
            <w:tcBorders>
              <w:top w:val="nil"/>
              <w:left w:val="nil"/>
              <w:bottom w:val="nil"/>
              <w:right w:val="nil"/>
            </w:tcBorders>
            <w:shd w:val="clear" w:color="auto" w:fill="auto"/>
          </w:tcPr>
          <w:p w14:paraId="12F3524F" w14:textId="24884C9D"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1,578</w:t>
            </w:r>
          </w:p>
        </w:tc>
        <w:tc>
          <w:tcPr>
            <w:tcW w:w="661" w:type="dxa"/>
            <w:tcBorders>
              <w:top w:val="nil"/>
              <w:left w:val="nil"/>
              <w:bottom w:val="nil"/>
              <w:right w:val="nil"/>
            </w:tcBorders>
            <w:shd w:val="clear" w:color="auto" w:fill="auto"/>
          </w:tcPr>
          <w:p w14:paraId="1BA95B4C" w14:textId="11999DF4"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w:t>
            </w:r>
            <w:r w:rsidR="00940FAB" w:rsidRPr="006A3F48">
              <w:rPr>
                <w:rFonts w:asciiTheme="minorHAnsi" w:hAnsiTheme="minorHAnsi" w:cstheme="minorHAnsi"/>
                <w:sz w:val="14"/>
                <w:szCs w:val="14"/>
              </w:rPr>
              <w:t>631</w:t>
            </w:r>
            <w:r w:rsidR="000B5088">
              <w:rPr>
                <w:rFonts w:asciiTheme="minorHAnsi" w:hAnsiTheme="minorHAnsi" w:cstheme="minorHAnsi"/>
                <w:sz w:val="14"/>
                <w:szCs w:val="14"/>
              </w:rPr>
              <w:t>r</w:t>
            </w:r>
          </w:p>
        </w:tc>
        <w:tc>
          <w:tcPr>
            <w:tcW w:w="661" w:type="dxa"/>
            <w:tcBorders>
              <w:top w:val="nil"/>
              <w:left w:val="nil"/>
              <w:bottom w:val="nil"/>
              <w:right w:val="nil"/>
            </w:tcBorders>
            <w:shd w:val="clear" w:color="auto" w:fill="auto"/>
          </w:tcPr>
          <w:p w14:paraId="4B2027BC" w14:textId="5FC7FA6D"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1,835</w:t>
            </w:r>
          </w:p>
        </w:tc>
        <w:tc>
          <w:tcPr>
            <w:tcW w:w="675" w:type="dxa"/>
            <w:tcBorders>
              <w:top w:val="nil"/>
              <w:left w:val="nil"/>
              <w:bottom w:val="nil"/>
              <w:right w:val="nil"/>
            </w:tcBorders>
            <w:shd w:val="clear" w:color="auto" w:fill="auto"/>
          </w:tcPr>
          <w:p w14:paraId="2BA128D2" w14:textId="4D4D5642"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w:t>
            </w:r>
            <w:r w:rsidR="00940FAB" w:rsidRPr="006A3F48">
              <w:rPr>
                <w:rFonts w:asciiTheme="minorHAnsi" w:hAnsiTheme="minorHAnsi" w:cstheme="minorHAnsi"/>
                <w:sz w:val="14"/>
                <w:szCs w:val="14"/>
              </w:rPr>
              <w:t>248</w:t>
            </w:r>
            <w:r w:rsidR="000B5088">
              <w:rPr>
                <w:rFonts w:asciiTheme="minorHAnsi" w:hAnsiTheme="minorHAnsi" w:cstheme="minorHAnsi"/>
                <w:sz w:val="14"/>
                <w:szCs w:val="14"/>
              </w:rPr>
              <w:t>r</w:t>
            </w:r>
          </w:p>
        </w:tc>
        <w:tc>
          <w:tcPr>
            <w:tcW w:w="648" w:type="dxa"/>
            <w:tcBorders>
              <w:top w:val="nil"/>
              <w:left w:val="nil"/>
              <w:bottom w:val="nil"/>
              <w:right w:val="single" w:sz="4" w:space="0" w:color="auto"/>
            </w:tcBorders>
            <w:shd w:val="clear" w:color="auto" w:fill="auto"/>
          </w:tcPr>
          <w:p w14:paraId="60A7CBBD" w14:textId="29D09A22"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6A3F48">
              <w:rPr>
                <w:rFonts w:asciiTheme="minorHAnsi" w:hAnsiTheme="minorHAnsi" w:cstheme="minorHAnsi"/>
                <w:sz w:val="14"/>
                <w:szCs w:val="14"/>
              </w:rPr>
              <w:t>1,676</w:t>
            </w:r>
          </w:p>
        </w:tc>
        <w:tc>
          <w:tcPr>
            <w:tcW w:w="709" w:type="dxa"/>
            <w:tcBorders>
              <w:top w:val="nil"/>
              <w:left w:val="single" w:sz="4" w:space="0" w:color="auto"/>
              <w:bottom w:val="nil"/>
              <w:right w:val="single" w:sz="4" w:space="0" w:color="auto"/>
            </w:tcBorders>
            <w:shd w:val="clear" w:color="auto" w:fill="auto"/>
          </w:tcPr>
          <w:p w14:paraId="20400E7E" w14:textId="42B5D91A" w:rsidR="006A3F48" w:rsidRPr="00010C49"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lang w:eastAsia="en-US"/>
              </w:rPr>
            </w:pPr>
            <w:r w:rsidRPr="00010C49">
              <w:rPr>
                <w:rFonts w:asciiTheme="minorHAnsi" w:hAnsiTheme="minorHAnsi" w:cstheme="minorHAnsi"/>
                <w:sz w:val="14"/>
                <w:szCs w:val="14"/>
              </w:rPr>
              <w:t>19,897</w:t>
            </w:r>
          </w:p>
        </w:tc>
      </w:tr>
      <w:tr w:rsidR="006A3F48" w14:paraId="4ADF340C" w14:textId="77777777" w:rsidTr="0C8A326C">
        <w:trPr>
          <w:trHeight w:val="434"/>
        </w:trPr>
        <w:tc>
          <w:tcPr>
            <w:tcW w:w="1140" w:type="dxa"/>
            <w:tcBorders>
              <w:right w:val="single" w:sz="4" w:space="0" w:color="auto"/>
            </w:tcBorders>
          </w:tcPr>
          <w:p w14:paraId="37D51F50" w14:textId="499C0C47" w:rsidR="006A3F48" w:rsidRPr="006A3F48" w:rsidRDefault="006A3F48" w:rsidP="006A3F48">
            <w:pPr>
              <w:suppressAutoHyphens w:val="0"/>
              <w:autoSpaceDE w:val="0"/>
              <w:adjustRightInd w:val="0"/>
              <w:textAlignment w:val="auto"/>
              <w:rPr>
                <w:rFonts w:asciiTheme="minorHAnsi" w:eastAsiaTheme="minorHAnsi" w:hAnsiTheme="minorHAnsi" w:cstheme="minorHAnsi"/>
                <w:color w:val="000000"/>
                <w:sz w:val="16"/>
                <w:szCs w:val="16"/>
                <w:highlight w:val="yellow"/>
                <w:lang w:eastAsia="en-US"/>
              </w:rPr>
            </w:pPr>
            <w:r w:rsidRPr="006A3F48">
              <w:rPr>
                <w:rFonts w:asciiTheme="minorHAnsi" w:hAnsiTheme="minorHAnsi" w:cstheme="minorHAnsi"/>
                <w:sz w:val="16"/>
                <w:szCs w:val="16"/>
              </w:rPr>
              <w:t>Open (excl</w:t>
            </w:r>
            <w:r w:rsidR="00294970">
              <w:rPr>
                <w:rFonts w:asciiTheme="minorHAnsi" w:hAnsiTheme="minorHAnsi" w:cstheme="minorHAnsi"/>
                <w:sz w:val="16"/>
                <w:szCs w:val="16"/>
              </w:rPr>
              <w:t>.</w:t>
            </w:r>
            <w:r w:rsidRPr="006A3F48">
              <w:rPr>
                <w:rFonts w:asciiTheme="minorHAnsi" w:hAnsiTheme="minorHAnsi" w:cstheme="minorHAnsi"/>
                <w:sz w:val="16"/>
                <w:szCs w:val="16"/>
              </w:rPr>
              <w:t xml:space="preserve"> HH, HGW, TPO)</w:t>
            </w:r>
          </w:p>
        </w:tc>
        <w:tc>
          <w:tcPr>
            <w:tcW w:w="661" w:type="dxa"/>
            <w:tcBorders>
              <w:top w:val="nil"/>
              <w:left w:val="nil"/>
              <w:bottom w:val="nil"/>
              <w:right w:val="nil"/>
            </w:tcBorders>
            <w:shd w:val="clear" w:color="auto" w:fill="auto"/>
            <w:vAlign w:val="center"/>
          </w:tcPr>
          <w:p w14:paraId="061F23CC" w14:textId="74F6AC87"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10,987</w:t>
            </w:r>
          </w:p>
        </w:tc>
        <w:tc>
          <w:tcPr>
            <w:tcW w:w="661" w:type="dxa"/>
            <w:tcBorders>
              <w:top w:val="nil"/>
              <w:left w:val="nil"/>
              <w:bottom w:val="nil"/>
              <w:right w:val="nil"/>
            </w:tcBorders>
            <w:shd w:val="clear" w:color="auto" w:fill="auto"/>
            <w:vAlign w:val="center"/>
          </w:tcPr>
          <w:p w14:paraId="73ACF384" w14:textId="36459A8C"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11,023</w:t>
            </w:r>
          </w:p>
        </w:tc>
        <w:tc>
          <w:tcPr>
            <w:tcW w:w="661" w:type="dxa"/>
            <w:tcBorders>
              <w:top w:val="nil"/>
              <w:left w:val="nil"/>
              <w:bottom w:val="nil"/>
              <w:right w:val="nil"/>
            </w:tcBorders>
            <w:shd w:val="clear" w:color="auto" w:fill="auto"/>
            <w:vAlign w:val="center"/>
          </w:tcPr>
          <w:p w14:paraId="4D0707D0" w14:textId="2746CF18"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11,050</w:t>
            </w:r>
          </w:p>
        </w:tc>
        <w:tc>
          <w:tcPr>
            <w:tcW w:w="661" w:type="dxa"/>
            <w:tcBorders>
              <w:top w:val="nil"/>
              <w:left w:val="nil"/>
              <w:bottom w:val="nil"/>
              <w:right w:val="nil"/>
            </w:tcBorders>
            <w:shd w:val="clear" w:color="auto" w:fill="auto"/>
            <w:vAlign w:val="center"/>
          </w:tcPr>
          <w:p w14:paraId="21C38FF4" w14:textId="62838437"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10,951</w:t>
            </w:r>
          </w:p>
        </w:tc>
        <w:tc>
          <w:tcPr>
            <w:tcW w:w="661" w:type="dxa"/>
            <w:tcBorders>
              <w:top w:val="nil"/>
              <w:left w:val="nil"/>
              <w:bottom w:val="nil"/>
              <w:right w:val="nil"/>
            </w:tcBorders>
            <w:shd w:val="clear" w:color="auto" w:fill="auto"/>
            <w:vAlign w:val="center"/>
          </w:tcPr>
          <w:p w14:paraId="667651DD" w14:textId="6A740A2B"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10,541</w:t>
            </w:r>
          </w:p>
        </w:tc>
        <w:tc>
          <w:tcPr>
            <w:tcW w:w="661" w:type="dxa"/>
            <w:tcBorders>
              <w:top w:val="nil"/>
              <w:left w:val="nil"/>
              <w:bottom w:val="nil"/>
              <w:right w:val="nil"/>
            </w:tcBorders>
            <w:shd w:val="clear" w:color="auto" w:fill="auto"/>
            <w:vAlign w:val="center"/>
          </w:tcPr>
          <w:p w14:paraId="642F7D66" w14:textId="00B70BCF"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10,350</w:t>
            </w:r>
          </w:p>
        </w:tc>
        <w:tc>
          <w:tcPr>
            <w:tcW w:w="661" w:type="dxa"/>
            <w:tcBorders>
              <w:top w:val="nil"/>
              <w:left w:val="nil"/>
              <w:bottom w:val="nil"/>
              <w:right w:val="nil"/>
            </w:tcBorders>
            <w:shd w:val="clear" w:color="auto" w:fill="auto"/>
            <w:vAlign w:val="center"/>
          </w:tcPr>
          <w:p w14:paraId="0CEAA466" w14:textId="094CC52A"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10,217</w:t>
            </w:r>
          </w:p>
        </w:tc>
        <w:tc>
          <w:tcPr>
            <w:tcW w:w="661" w:type="dxa"/>
            <w:tcBorders>
              <w:top w:val="nil"/>
              <w:left w:val="nil"/>
              <w:bottom w:val="nil"/>
              <w:right w:val="nil"/>
            </w:tcBorders>
            <w:shd w:val="clear" w:color="auto" w:fill="auto"/>
            <w:vAlign w:val="center"/>
          </w:tcPr>
          <w:p w14:paraId="20B19793" w14:textId="6134A23E"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10,298</w:t>
            </w:r>
          </w:p>
        </w:tc>
        <w:tc>
          <w:tcPr>
            <w:tcW w:w="661" w:type="dxa"/>
            <w:tcBorders>
              <w:top w:val="nil"/>
              <w:left w:val="nil"/>
              <w:bottom w:val="nil"/>
              <w:right w:val="nil"/>
            </w:tcBorders>
            <w:shd w:val="clear" w:color="auto" w:fill="auto"/>
            <w:vAlign w:val="center"/>
          </w:tcPr>
          <w:p w14:paraId="5810B6EC" w14:textId="3B40FC87"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10,439</w:t>
            </w:r>
          </w:p>
        </w:tc>
        <w:tc>
          <w:tcPr>
            <w:tcW w:w="661" w:type="dxa"/>
            <w:tcBorders>
              <w:top w:val="nil"/>
              <w:left w:val="nil"/>
              <w:bottom w:val="nil"/>
              <w:right w:val="nil"/>
            </w:tcBorders>
            <w:shd w:val="clear" w:color="auto" w:fill="auto"/>
            <w:vAlign w:val="center"/>
          </w:tcPr>
          <w:p w14:paraId="14465161" w14:textId="47249AAA"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10,712</w:t>
            </w:r>
          </w:p>
        </w:tc>
        <w:tc>
          <w:tcPr>
            <w:tcW w:w="675" w:type="dxa"/>
            <w:tcBorders>
              <w:top w:val="nil"/>
              <w:left w:val="nil"/>
              <w:bottom w:val="nil"/>
              <w:right w:val="nil"/>
            </w:tcBorders>
            <w:shd w:val="clear" w:color="auto" w:fill="auto"/>
            <w:vAlign w:val="center"/>
          </w:tcPr>
          <w:p w14:paraId="68ACC150" w14:textId="4CBECB97" w:rsidR="006A3F48" w:rsidRPr="006A3F48" w:rsidRDefault="006A3F48" w:rsidP="006A3F48">
            <w:pPr>
              <w:suppressAutoHyphens w:val="0"/>
              <w:autoSpaceDE w:val="0"/>
              <w:adjustRightInd w:val="0"/>
              <w:jc w:val="right"/>
              <w:textAlignment w:val="auto"/>
              <w:rPr>
                <w:rFonts w:asciiTheme="minorHAnsi" w:eastAsiaTheme="minorHAnsi" w:hAnsiTheme="minorHAnsi" w:cstheme="minorBidi"/>
                <w:sz w:val="14"/>
                <w:szCs w:val="14"/>
                <w:lang w:eastAsia="en-US"/>
              </w:rPr>
            </w:pPr>
            <w:r w:rsidRPr="0C8A326C">
              <w:rPr>
                <w:rFonts w:asciiTheme="minorHAnsi" w:hAnsiTheme="minorHAnsi" w:cstheme="minorBidi"/>
                <w:sz w:val="14"/>
                <w:szCs w:val="14"/>
              </w:rPr>
              <w:t>11,178</w:t>
            </w:r>
            <w:r w:rsidR="002B01FC" w:rsidRPr="0C8A326C">
              <w:rPr>
                <w:rFonts w:asciiTheme="minorHAnsi" w:hAnsiTheme="minorHAnsi" w:cstheme="minorBidi"/>
                <w:sz w:val="14"/>
                <w:szCs w:val="14"/>
              </w:rPr>
              <w:t>r</w:t>
            </w:r>
          </w:p>
        </w:tc>
        <w:tc>
          <w:tcPr>
            <w:tcW w:w="648" w:type="dxa"/>
            <w:tcBorders>
              <w:top w:val="nil"/>
              <w:left w:val="nil"/>
              <w:bottom w:val="nil"/>
              <w:right w:val="nil"/>
            </w:tcBorders>
            <w:shd w:val="clear" w:color="auto" w:fill="auto"/>
            <w:vAlign w:val="center"/>
          </w:tcPr>
          <w:p w14:paraId="46811A6A" w14:textId="6E276364" w:rsidR="006A3F48" w:rsidRPr="006A3F48" w:rsidRDefault="006A3F48" w:rsidP="006A3F48">
            <w:pPr>
              <w:suppressAutoHyphens w:val="0"/>
              <w:autoSpaceDE w:val="0"/>
              <w:adjustRightInd w:val="0"/>
              <w:jc w:val="right"/>
              <w:textAlignment w:val="auto"/>
              <w:rPr>
                <w:rFonts w:asciiTheme="minorHAnsi" w:eastAsiaTheme="minorHAnsi" w:hAnsiTheme="minorHAnsi" w:cstheme="minorHAnsi"/>
                <w:color w:val="000000"/>
                <w:sz w:val="14"/>
                <w:szCs w:val="14"/>
                <w:highlight w:val="yellow"/>
                <w:lang w:eastAsia="en-US"/>
              </w:rPr>
            </w:pPr>
            <w:r w:rsidRPr="006A3F48">
              <w:rPr>
                <w:rFonts w:asciiTheme="minorHAnsi" w:hAnsiTheme="minorHAnsi" w:cstheme="minorHAnsi"/>
                <w:sz w:val="14"/>
                <w:szCs w:val="14"/>
              </w:rPr>
              <w:t>11,233</w:t>
            </w:r>
          </w:p>
        </w:tc>
        <w:tc>
          <w:tcPr>
            <w:tcW w:w="709" w:type="dxa"/>
            <w:tcBorders>
              <w:top w:val="nil"/>
              <w:left w:val="single" w:sz="4" w:space="0" w:color="auto"/>
              <w:bottom w:val="nil"/>
              <w:right w:val="single" w:sz="4" w:space="0" w:color="auto"/>
            </w:tcBorders>
            <w:shd w:val="clear" w:color="auto" w:fill="auto"/>
            <w:vAlign w:val="center"/>
          </w:tcPr>
          <w:p w14:paraId="61DF341D" w14:textId="781CEF2E" w:rsidR="006A3F48" w:rsidRPr="006A3F48" w:rsidRDefault="006A3F48" w:rsidP="006A3F48">
            <w:pPr>
              <w:suppressAutoHyphens w:val="0"/>
              <w:autoSpaceDE w:val="0"/>
              <w:adjustRightInd w:val="0"/>
              <w:jc w:val="center"/>
              <w:textAlignment w:val="auto"/>
              <w:rPr>
                <w:rFonts w:asciiTheme="minorHAnsi" w:eastAsiaTheme="minorHAnsi" w:hAnsiTheme="minorHAnsi" w:cstheme="minorHAnsi"/>
                <w:color w:val="000000"/>
                <w:sz w:val="16"/>
                <w:szCs w:val="16"/>
                <w:highlight w:val="yellow"/>
                <w:lang w:eastAsia="en-US"/>
              </w:rPr>
            </w:pPr>
            <w:r w:rsidRPr="006A3F48">
              <w:rPr>
                <w:rFonts w:asciiTheme="minorHAnsi" w:hAnsiTheme="minorHAnsi" w:cstheme="minorHAnsi"/>
                <w:sz w:val="16"/>
                <w:szCs w:val="16"/>
              </w:rPr>
              <w:t>N/A</w:t>
            </w:r>
          </w:p>
        </w:tc>
      </w:tr>
      <w:tr w:rsidR="00DE1FB6" w14:paraId="190C0248" w14:textId="77777777" w:rsidTr="0C8A326C">
        <w:trPr>
          <w:trHeight w:val="255"/>
        </w:trPr>
        <w:tc>
          <w:tcPr>
            <w:tcW w:w="1140" w:type="dxa"/>
            <w:tcBorders>
              <w:bottom w:val="single" w:sz="4" w:space="0" w:color="auto"/>
              <w:right w:val="single" w:sz="4" w:space="0" w:color="auto"/>
            </w:tcBorders>
          </w:tcPr>
          <w:p w14:paraId="221320CF" w14:textId="73CDF14B" w:rsidR="00DE1FB6" w:rsidRPr="006A3F48" w:rsidRDefault="00DE1FB6" w:rsidP="00DE1FB6">
            <w:pPr>
              <w:suppressAutoHyphens w:val="0"/>
              <w:autoSpaceDE w:val="0"/>
              <w:adjustRightInd w:val="0"/>
              <w:textAlignment w:val="auto"/>
              <w:rPr>
                <w:rFonts w:asciiTheme="minorHAnsi" w:hAnsiTheme="minorHAnsi" w:cstheme="minorHAnsi"/>
                <w:sz w:val="16"/>
                <w:szCs w:val="16"/>
              </w:rPr>
            </w:pPr>
            <w:proofErr w:type="gramStart"/>
            <w:r w:rsidRPr="00DE1FB6">
              <w:rPr>
                <w:rFonts w:asciiTheme="minorHAnsi" w:hAnsiTheme="minorHAnsi" w:cstheme="minorHAnsi"/>
                <w:sz w:val="16"/>
                <w:szCs w:val="16"/>
              </w:rPr>
              <w:t>Open</w:t>
            </w:r>
            <w:r w:rsidR="005B65A8">
              <w:rPr>
                <w:rFonts w:asciiTheme="minorHAnsi" w:hAnsiTheme="minorHAnsi" w:cstheme="minorHAnsi"/>
                <w:sz w:val="16"/>
                <w:szCs w:val="16"/>
              </w:rPr>
              <w:t>(</w:t>
            </w:r>
            <w:proofErr w:type="gramEnd"/>
            <w:r w:rsidR="0091271C">
              <w:rPr>
                <w:rFonts w:asciiTheme="minorHAnsi" w:hAnsiTheme="minorHAnsi" w:cstheme="minorHAnsi"/>
                <w:sz w:val="16"/>
                <w:szCs w:val="16"/>
              </w:rPr>
              <w:t>All</w:t>
            </w:r>
            <w:r w:rsidRPr="00DE1FB6">
              <w:rPr>
                <w:rFonts w:asciiTheme="minorHAnsi" w:hAnsiTheme="minorHAnsi" w:cstheme="minorHAnsi"/>
                <w:sz w:val="16"/>
                <w:szCs w:val="16"/>
              </w:rPr>
              <w:t>)</w:t>
            </w:r>
          </w:p>
        </w:tc>
        <w:tc>
          <w:tcPr>
            <w:tcW w:w="661" w:type="dxa"/>
            <w:tcBorders>
              <w:top w:val="nil"/>
              <w:left w:val="nil"/>
              <w:bottom w:val="single" w:sz="4" w:space="0" w:color="auto"/>
              <w:right w:val="nil"/>
            </w:tcBorders>
            <w:shd w:val="clear" w:color="auto" w:fill="auto"/>
          </w:tcPr>
          <w:p w14:paraId="52DE5873" w14:textId="604F15D2"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10,987</w:t>
            </w:r>
          </w:p>
        </w:tc>
        <w:tc>
          <w:tcPr>
            <w:tcW w:w="661" w:type="dxa"/>
            <w:tcBorders>
              <w:top w:val="nil"/>
              <w:left w:val="nil"/>
              <w:bottom w:val="single" w:sz="4" w:space="0" w:color="auto"/>
              <w:right w:val="nil"/>
            </w:tcBorders>
            <w:shd w:val="clear" w:color="auto" w:fill="auto"/>
          </w:tcPr>
          <w:p w14:paraId="36F416E9" w14:textId="55051033"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11,023</w:t>
            </w:r>
          </w:p>
        </w:tc>
        <w:tc>
          <w:tcPr>
            <w:tcW w:w="661" w:type="dxa"/>
            <w:tcBorders>
              <w:top w:val="nil"/>
              <w:left w:val="nil"/>
              <w:bottom w:val="single" w:sz="4" w:space="0" w:color="auto"/>
              <w:right w:val="nil"/>
            </w:tcBorders>
            <w:shd w:val="clear" w:color="auto" w:fill="auto"/>
          </w:tcPr>
          <w:p w14:paraId="4D1FA809" w14:textId="3E4B587B"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11,050</w:t>
            </w:r>
          </w:p>
        </w:tc>
        <w:tc>
          <w:tcPr>
            <w:tcW w:w="661" w:type="dxa"/>
            <w:tcBorders>
              <w:top w:val="nil"/>
              <w:left w:val="nil"/>
              <w:bottom w:val="single" w:sz="4" w:space="0" w:color="auto"/>
              <w:right w:val="nil"/>
            </w:tcBorders>
            <w:shd w:val="clear" w:color="auto" w:fill="auto"/>
          </w:tcPr>
          <w:p w14:paraId="527E2E5F" w14:textId="6B8E4C5C"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10,951</w:t>
            </w:r>
          </w:p>
        </w:tc>
        <w:tc>
          <w:tcPr>
            <w:tcW w:w="661" w:type="dxa"/>
            <w:tcBorders>
              <w:top w:val="nil"/>
              <w:left w:val="nil"/>
              <w:bottom w:val="single" w:sz="4" w:space="0" w:color="auto"/>
              <w:right w:val="nil"/>
            </w:tcBorders>
            <w:shd w:val="clear" w:color="auto" w:fill="auto"/>
          </w:tcPr>
          <w:p w14:paraId="4DC5C8D4" w14:textId="4D1451EB"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10,541</w:t>
            </w:r>
          </w:p>
        </w:tc>
        <w:tc>
          <w:tcPr>
            <w:tcW w:w="661" w:type="dxa"/>
            <w:tcBorders>
              <w:top w:val="nil"/>
              <w:left w:val="nil"/>
              <w:bottom w:val="single" w:sz="4" w:space="0" w:color="auto"/>
              <w:right w:val="nil"/>
            </w:tcBorders>
            <w:shd w:val="clear" w:color="auto" w:fill="auto"/>
          </w:tcPr>
          <w:p w14:paraId="37B65072" w14:textId="1F977ED0"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10,350</w:t>
            </w:r>
          </w:p>
        </w:tc>
        <w:tc>
          <w:tcPr>
            <w:tcW w:w="661" w:type="dxa"/>
            <w:tcBorders>
              <w:top w:val="nil"/>
              <w:left w:val="nil"/>
              <w:bottom w:val="single" w:sz="4" w:space="0" w:color="auto"/>
              <w:right w:val="nil"/>
            </w:tcBorders>
            <w:shd w:val="clear" w:color="auto" w:fill="auto"/>
          </w:tcPr>
          <w:p w14:paraId="683900AD" w14:textId="42AD3D54"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10,822</w:t>
            </w:r>
          </w:p>
        </w:tc>
        <w:tc>
          <w:tcPr>
            <w:tcW w:w="661" w:type="dxa"/>
            <w:tcBorders>
              <w:top w:val="nil"/>
              <w:left w:val="nil"/>
              <w:bottom w:val="single" w:sz="4" w:space="0" w:color="auto"/>
              <w:right w:val="nil"/>
            </w:tcBorders>
            <w:shd w:val="clear" w:color="auto" w:fill="auto"/>
          </w:tcPr>
          <w:p w14:paraId="6DDBCFD3" w14:textId="2671D266"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10,827</w:t>
            </w:r>
          </w:p>
        </w:tc>
        <w:tc>
          <w:tcPr>
            <w:tcW w:w="661" w:type="dxa"/>
            <w:tcBorders>
              <w:top w:val="nil"/>
              <w:left w:val="nil"/>
              <w:bottom w:val="single" w:sz="4" w:space="0" w:color="auto"/>
              <w:right w:val="nil"/>
            </w:tcBorders>
            <w:shd w:val="clear" w:color="auto" w:fill="auto"/>
          </w:tcPr>
          <w:p w14:paraId="24C0CFD5" w14:textId="77A16446"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10,952</w:t>
            </w:r>
          </w:p>
        </w:tc>
        <w:tc>
          <w:tcPr>
            <w:tcW w:w="661" w:type="dxa"/>
            <w:tcBorders>
              <w:top w:val="nil"/>
              <w:left w:val="nil"/>
              <w:bottom w:val="single" w:sz="4" w:space="0" w:color="auto"/>
              <w:right w:val="nil"/>
            </w:tcBorders>
            <w:shd w:val="clear" w:color="auto" w:fill="auto"/>
          </w:tcPr>
          <w:p w14:paraId="13F1F3BA" w14:textId="0590CDBD"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11,245</w:t>
            </w:r>
          </w:p>
        </w:tc>
        <w:tc>
          <w:tcPr>
            <w:tcW w:w="675" w:type="dxa"/>
            <w:tcBorders>
              <w:top w:val="nil"/>
              <w:left w:val="nil"/>
              <w:bottom w:val="single" w:sz="4" w:space="0" w:color="auto"/>
              <w:right w:val="nil"/>
            </w:tcBorders>
            <w:shd w:val="clear" w:color="auto" w:fill="auto"/>
          </w:tcPr>
          <w:p w14:paraId="441FD5C6" w14:textId="1F318C53"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11,729</w:t>
            </w:r>
          </w:p>
        </w:tc>
        <w:tc>
          <w:tcPr>
            <w:tcW w:w="648" w:type="dxa"/>
            <w:tcBorders>
              <w:top w:val="nil"/>
              <w:left w:val="nil"/>
              <w:bottom w:val="single" w:sz="4" w:space="0" w:color="auto"/>
              <w:right w:val="nil"/>
            </w:tcBorders>
            <w:shd w:val="clear" w:color="auto" w:fill="auto"/>
          </w:tcPr>
          <w:p w14:paraId="1458F768" w14:textId="4AE11CA0" w:rsidR="00DE1FB6" w:rsidRPr="00DE1FB6" w:rsidRDefault="00DE1FB6" w:rsidP="00DE1FB6">
            <w:pPr>
              <w:suppressAutoHyphens w:val="0"/>
              <w:autoSpaceDE w:val="0"/>
              <w:adjustRightInd w:val="0"/>
              <w:jc w:val="right"/>
              <w:textAlignment w:val="auto"/>
              <w:rPr>
                <w:rFonts w:asciiTheme="minorHAnsi" w:hAnsiTheme="minorHAnsi" w:cstheme="minorHAnsi"/>
                <w:sz w:val="14"/>
                <w:szCs w:val="14"/>
              </w:rPr>
            </w:pPr>
            <w:r w:rsidRPr="00DE1FB6">
              <w:rPr>
                <w:rFonts w:asciiTheme="minorHAnsi" w:hAnsiTheme="minorHAnsi" w:cstheme="minorHAnsi"/>
                <w:sz w:val="14"/>
                <w:szCs w:val="14"/>
              </w:rPr>
              <w:t>11,725</w:t>
            </w:r>
          </w:p>
        </w:tc>
        <w:tc>
          <w:tcPr>
            <w:tcW w:w="709" w:type="dxa"/>
            <w:tcBorders>
              <w:top w:val="nil"/>
              <w:left w:val="single" w:sz="4" w:space="0" w:color="auto"/>
              <w:bottom w:val="single" w:sz="4" w:space="0" w:color="auto"/>
              <w:right w:val="single" w:sz="4" w:space="0" w:color="auto"/>
            </w:tcBorders>
            <w:shd w:val="clear" w:color="auto" w:fill="auto"/>
          </w:tcPr>
          <w:p w14:paraId="34180887" w14:textId="3914031D" w:rsidR="00DE1FB6" w:rsidRPr="006A3F48" w:rsidRDefault="00DE1FB6" w:rsidP="00DE1FB6">
            <w:pPr>
              <w:suppressAutoHyphens w:val="0"/>
              <w:autoSpaceDE w:val="0"/>
              <w:adjustRightInd w:val="0"/>
              <w:jc w:val="center"/>
              <w:textAlignment w:val="auto"/>
              <w:rPr>
                <w:rFonts w:asciiTheme="minorHAnsi" w:hAnsiTheme="minorHAnsi" w:cstheme="minorHAnsi"/>
                <w:sz w:val="16"/>
                <w:szCs w:val="16"/>
              </w:rPr>
            </w:pPr>
            <w:r w:rsidRPr="00DE1FB6">
              <w:rPr>
                <w:rFonts w:asciiTheme="minorHAnsi" w:hAnsiTheme="minorHAnsi" w:cstheme="minorHAnsi"/>
                <w:sz w:val="16"/>
                <w:szCs w:val="16"/>
              </w:rPr>
              <w:t>N/A</w:t>
            </w:r>
          </w:p>
        </w:tc>
      </w:tr>
    </w:tbl>
    <w:p w14:paraId="6FDC7F55" w14:textId="77777777" w:rsidR="00202242" w:rsidRDefault="00202242" w:rsidP="00202242">
      <w:pPr>
        <w:rPr>
          <w:rFonts w:ascii="Helvetica" w:eastAsia="Calibri" w:hAnsi="Helvetica" w:cs="Helvetica"/>
        </w:rPr>
      </w:pPr>
      <w:r w:rsidRPr="4117AA6F">
        <w:rPr>
          <w:rFonts w:ascii="Helvetica" w:eastAsia="Calibri" w:hAnsi="Helvetica" w:cs="Helvetica"/>
          <w:sz w:val="18"/>
          <w:szCs w:val="18"/>
        </w:rPr>
        <w:t xml:space="preserve">Source: Horizon and </w:t>
      </w:r>
      <w:proofErr w:type="spellStart"/>
      <w:r w:rsidRPr="4117AA6F">
        <w:rPr>
          <w:rFonts w:ascii="Helvetica" w:eastAsia="Calibri" w:hAnsi="Helvetica" w:cs="Helvetica"/>
          <w:sz w:val="18"/>
          <w:szCs w:val="18"/>
        </w:rPr>
        <w:t>Picaso</w:t>
      </w:r>
      <w:proofErr w:type="spellEnd"/>
      <w:r>
        <w:rPr>
          <w:rFonts w:ascii="Helvetica" w:eastAsia="Calibri" w:hAnsi="Helvetica" w:cs="Helvetica"/>
          <w:sz w:val="18"/>
          <w:szCs w:val="18"/>
        </w:rPr>
        <w:t xml:space="preserve">.  </w:t>
      </w:r>
      <w:r w:rsidRPr="008B0AAB">
        <w:rPr>
          <w:rFonts w:ascii="Helvetica" w:eastAsia="Verdana" w:hAnsi="Helvetica" w:cs="Helvetica"/>
          <w:sz w:val="18"/>
          <w:szCs w:val="18"/>
        </w:rPr>
        <w:t>r denotes revision – a change of more than 5 cases since last month (see Background Quality Report for more information)</w:t>
      </w:r>
    </w:p>
    <w:p w14:paraId="7A6DB2B0" w14:textId="11E4A3F2" w:rsidR="00A30BEB" w:rsidRDefault="00A30BEB"/>
    <w:tbl>
      <w:tblPr>
        <w:tblW w:w="9629" w:type="dxa"/>
        <w:tblCellMar>
          <w:left w:w="10" w:type="dxa"/>
          <w:right w:w="10" w:type="dxa"/>
        </w:tblCellMar>
        <w:tblLook w:val="0000" w:firstRow="0" w:lastRow="0" w:firstColumn="0" w:lastColumn="0" w:noHBand="0" w:noVBand="0"/>
      </w:tblPr>
      <w:tblGrid>
        <w:gridCol w:w="9629"/>
      </w:tblGrid>
      <w:tr w:rsidR="006A3227" w14:paraId="6B0363EF" w14:textId="77777777" w:rsidTr="000D3887">
        <w:trPr>
          <w:trHeight w:val="403"/>
        </w:trPr>
        <w:tc>
          <w:tcPr>
            <w:tcW w:w="9629" w:type="dxa"/>
            <w:shd w:val="clear" w:color="auto" w:fill="00958F"/>
            <w:tcMar>
              <w:top w:w="0" w:type="dxa"/>
              <w:left w:w="108" w:type="dxa"/>
              <w:bottom w:w="0" w:type="dxa"/>
              <w:right w:w="108" w:type="dxa"/>
            </w:tcMar>
          </w:tcPr>
          <w:p w14:paraId="5768D014" w14:textId="6680E8BE" w:rsidR="006A3227" w:rsidRDefault="006A3227" w:rsidP="000D3887">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Number of Decisions</w:t>
            </w:r>
          </w:p>
        </w:tc>
      </w:tr>
    </w:tbl>
    <w:p w14:paraId="55EB919D" w14:textId="06180297" w:rsidR="00AE7CA7" w:rsidRDefault="006A3227" w:rsidP="00A337B4">
      <w:pPr>
        <w:spacing w:before="120"/>
        <w:jc w:val="both"/>
        <w:rPr>
          <w:rFonts w:ascii="Helvetica" w:hAnsi="Helvetica" w:cs="Helvetica"/>
        </w:rPr>
      </w:pPr>
      <w:r w:rsidRPr="00B97C63">
        <w:rPr>
          <w:rFonts w:ascii="Helvetica" w:hAnsi="Helvetica" w:cs="Helvetica"/>
        </w:rPr>
        <w:lastRenderedPageBreak/>
        <w:t>The Planning Inspectorate has made 1</w:t>
      </w:r>
      <w:r w:rsidR="001560BE">
        <w:rPr>
          <w:rFonts w:ascii="Helvetica" w:hAnsi="Helvetica" w:cs="Helvetica"/>
        </w:rPr>
        <w:t>7,892</w:t>
      </w:r>
      <w:r w:rsidRPr="00B97C63">
        <w:rPr>
          <w:rFonts w:ascii="Helvetica" w:hAnsi="Helvetica" w:cs="Helvetica"/>
        </w:rPr>
        <w:t xml:space="preserve"> appeal decisions</w:t>
      </w:r>
      <w:r w:rsidRPr="00B97C63">
        <w:rPr>
          <w:rStyle w:val="FootnoteReference"/>
          <w:rFonts w:ascii="Helvetica" w:hAnsi="Helvetica" w:cs="Helvetica"/>
        </w:rPr>
        <w:footnoteReference w:id="6"/>
      </w:r>
      <w:r w:rsidRPr="00B97C63">
        <w:rPr>
          <w:rFonts w:ascii="Helvetica" w:hAnsi="Helvetica" w:cs="Helvetica"/>
        </w:rPr>
        <w:t xml:space="preserve"> in the last 12 months, an average of </w:t>
      </w:r>
      <w:r w:rsidR="009C2059" w:rsidRPr="00B97C63">
        <w:rPr>
          <w:rFonts w:ascii="Helvetica" w:hAnsi="Helvetica" w:cs="Helvetica"/>
        </w:rPr>
        <w:t xml:space="preserve">just over </w:t>
      </w:r>
      <w:r w:rsidRPr="00B97C63">
        <w:rPr>
          <w:rFonts w:ascii="Helvetica" w:hAnsi="Helvetica" w:cs="Helvetica"/>
        </w:rPr>
        <w:t>1,</w:t>
      </w:r>
      <w:r w:rsidR="00015313">
        <w:rPr>
          <w:rFonts w:ascii="Helvetica" w:hAnsi="Helvetica" w:cs="Helvetica"/>
        </w:rPr>
        <w:t>5</w:t>
      </w:r>
      <w:r w:rsidRPr="00B97C63">
        <w:rPr>
          <w:rFonts w:ascii="Helvetica" w:hAnsi="Helvetica" w:cs="Helvetica"/>
        </w:rPr>
        <w:t xml:space="preserve">00 per month. Table </w:t>
      </w:r>
      <w:r w:rsidR="009233FA" w:rsidRPr="00B97C63">
        <w:rPr>
          <w:rFonts w:ascii="Helvetica" w:hAnsi="Helvetica" w:cs="Helvetica"/>
        </w:rPr>
        <w:t>3</w:t>
      </w:r>
      <w:r w:rsidRPr="00B97C63">
        <w:rPr>
          <w:rFonts w:ascii="Helvetica" w:hAnsi="Helvetica" w:cs="Helvetica"/>
        </w:rPr>
        <w:t xml:space="preserve"> below shows the monthly breakdown with fewer decisions from </w:t>
      </w:r>
      <w:r w:rsidR="00DA03C7">
        <w:rPr>
          <w:rFonts w:ascii="Helvetica" w:hAnsi="Helvetica" w:cs="Helvetica"/>
        </w:rPr>
        <w:t>June</w:t>
      </w:r>
      <w:r w:rsidRPr="00B97C63">
        <w:rPr>
          <w:rFonts w:ascii="Helvetica" w:hAnsi="Helvetica" w:cs="Helvetica"/>
        </w:rPr>
        <w:t xml:space="preserve"> to August 2020</w:t>
      </w:r>
      <w:r w:rsidR="006D5061" w:rsidRPr="00B97C63">
        <w:rPr>
          <w:rFonts w:ascii="Helvetica" w:hAnsi="Helvetica" w:cs="Helvetica"/>
        </w:rPr>
        <w:t xml:space="preserve">, and </w:t>
      </w:r>
      <w:r w:rsidR="00FB6B39" w:rsidRPr="00B97C63">
        <w:rPr>
          <w:rFonts w:ascii="Helvetica" w:hAnsi="Helvetica" w:cs="Helvetica"/>
        </w:rPr>
        <w:t xml:space="preserve">for the months of </w:t>
      </w:r>
      <w:r w:rsidR="006D5061" w:rsidRPr="00B97C63">
        <w:rPr>
          <w:rFonts w:ascii="Helvetica" w:hAnsi="Helvetica" w:cs="Helvetica"/>
        </w:rPr>
        <w:t xml:space="preserve">January </w:t>
      </w:r>
      <w:r w:rsidR="00FB6B39" w:rsidRPr="00B97C63">
        <w:rPr>
          <w:rFonts w:ascii="Helvetica" w:hAnsi="Helvetica" w:cs="Helvetica"/>
        </w:rPr>
        <w:t xml:space="preserve">and </w:t>
      </w:r>
      <w:r w:rsidR="00CC445C">
        <w:rPr>
          <w:rFonts w:ascii="Helvetica" w:hAnsi="Helvetica" w:cs="Helvetica"/>
        </w:rPr>
        <w:t>April</w:t>
      </w:r>
      <w:r w:rsidR="00FB6B39" w:rsidRPr="00B97C63">
        <w:rPr>
          <w:rFonts w:ascii="Helvetica" w:hAnsi="Helvetica" w:cs="Helvetica"/>
        </w:rPr>
        <w:t xml:space="preserve"> </w:t>
      </w:r>
      <w:r w:rsidR="006D5061" w:rsidRPr="00B97C63">
        <w:rPr>
          <w:rFonts w:ascii="Helvetica" w:hAnsi="Helvetica" w:cs="Helvetica"/>
        </w:rPr>
        <w:t>2021,</w:t>
      </w:r>
      <w:r w:rsidRPr="00B97C63">
        <w:rPr>
          <w:rFonts w:ascii="Helvetica" w:hAnsi="Helvetica" w:cs="Helvetica"/>
        </w:rPr>
        <w:t xml:space="preserve"> than would have been expected</w:t>
      </w:r>
      <w:r w:rsidR="00CE07DD">
        <w:rPr>
          <w:rFonts w:ascii="Helvetica" w:hAnsi="Helvetica" w:cs="Helvetica"/>
        </w:rPr>
        <w:t>.</w:t>
      </w:r>
      <w:r w:rsidR="00CE07DD" w:rsidRPr="00CE07DD">
        <w:rPr>
          <w:rFonts w:ascii="Helvetica" w:hAnsi="Helvetica" w:cs="Helvetica"/>
        </w:rPr>
        <w:t xml:space="preserve"> </w:t>
      </w:r>
      <w:r w:rsidR="00CE07DD">
        <w:rPr>
          <w:rFonts w:ascii="Helvetica" w:hAnsi="Helvetica" w:cs="Helvetica"/>
        </w:rPr>
        <w:t xml:space="preserve">This is thought to be </w:t>
      </w:r>
      <w:r w:rsidR="00CE07DD" w:rsidRPr="002939D9">
        <w:rPr>
          <w:rFonts w:ascii="Helvetica" w:hAnsi="Helvetica" w:cs="Helvetica"/>
        </w:rPr>
        <w:t>due to the impact of national lockdowns, and of staff taking more annual leave in 2021 than in 2020</w:t>
      </w:r>
      <w:r w:rsidRPr="00B97C63">
        <w:rPr>
          <w:rFonts w:ascii="Helvetica" w:hAnsi="Helvetica" w:cs="Helvetica"/>
        </w:rPr>
        <w:t xml:space="preserve">. </w:t>
      </w:r>
    </w:p>
    <w:p w14:paraId="3B36380B" w14:textId="6740A526" w:rsidR="00212D97" w:rsidRPr="00234035" w:rsidRDefault="006A3227" w:rsidP="00A337B4">
      <w:pPr>
        <w:spacing w:before="120" w:after="120"/>
        <w:rPr>
          <w:rFonts w:ascii="Helvetica" w:hAnsi="Helvetica" w:cs="Helvetica"/>
        </w:rPr>
      </w:pPr>
      <w:r w:rsidRPr="00602DD9">
        <w:rPr>
          <w:rFonts w:ascii="Helvetica" w:hAnsi="Helvetica" w:cs="Helvetica"/>
        </w:rPr>
        <w:t xml:space="preserve">Table </w:t>
      </w:r>
      <w:r w:rsidR="009233FA" w:rsidRPr="00602DD9">
        <w:rPr>
          <w:rFonts w:ascii="Helvetica" w:hAnsi="Helvetica" w:cs="Helvetica"/>
        </w:rPr>
        <w:t>3</w:t>
      </w:r>
      <w:r w:rsidRPr="00602DD9">
        <w:rPr>
          <w:rFonts w:ascii="Helvetica" w:hAnsi="Helvetica" w:cs="Helvetica"/>
        </w:rPr>
        <w:t>: Appeal Decisions</w:t>
      </w:r>
      <w:r w:rsidR="00E204E2" w:rsidRPr="00602DD9">
        <w:rPr>
          <w:rFonts w:ascii="Helvetica" w:hAnsi="Helvetica" w:cs="Helvetica"/>
        </w:rPr>
        <w:t>;</w:t>
      </w:r>
      <w:r w:rsidRPr="00602DD9">
        <w:rPr>
          <w:rFonts w:ascii="Helvetica" w:hAnsi="Helvetica" w:cs="Helvetica"/>
        </w:rPr>
        <w:t xml:space="preserve"> </w:t>
      </w:r>
      <w:r w:rsidR="00E01707" w:rsidRPr="00602DD9">
        <w:rPr>
          <w:rFonts w:ascii="Helvetica" w:hAnsi="Helvetica" w:cs="Helvetica"/>
        </w:rPr>
        <w:t>Jun</w:t>
      </w:r>
      <w:r w:rsidR="00E8053C" w:rsidRPr="00602DD9">
        <w:rPr>
          <w:rFonts w:ascii="Helvetica" w:hAnsi="Helvetica" w:cs="Helvetica"/>
        </w:rPr>
        <w:t xml:space="preserve"> 20 to </w:t>
      </w:r>
      <w:r w:rsidR="00E01707" w:rsidRPr="00602DD9">
        <w:rPr>
          <w:rFonts w:ascii="Helvetica" w:hAnsi="Helvetica" w:cs="Helvetica"/>
        </w:rPr>
        <w:t>May</w:t>
      </w:r>
      <w:r w:rsidR="00E8053C" w:rsidRPr="00602DD9">
        <w:rPr>
          <w:rFonts w:ascii="Helvetica" w:hAnsi="Helvetica" w:cs="Helvetica"/>
        </w:rPr>
        <w:t xml:space="preserve"> 21</w:t>
      </w: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46"/>
        <w:gridCol w:w="806"/>
        <w:gridCol w:w="664"/>
        <w:gridCol w:w="664"/>
        <w:gridCol w:w="665"/>
        <w:gridCol w:w="664"/>
        <w:gridCol w:w="666"/>
        <w:gridCol w:w="664"/>
        <w:gridCol w:w="662"/>
        <w:gridCol w:w="665"/>
        <w:gridCol w:w="664"/>
        <w:gridCol w:w="664"/>
        <w:gridCol w:w="665"/>
        <w:gridCol w:w="670"/>
      </w:tblGrid>
      <w:tr w:rsidR="00E90641" w:rsidRPr="00234035" w14:paraId="20967AB0" w14:textId="77777777" w:rsidTr="00D5593F">
        <w:trPr>
          <w:trHeight w:val="374"/>
        </w:trPr>
        <w:tc>
          <w:tcPr>
            <w:tcW w:w="846" w:type="dxa"/>
            <w:tcBorders>
              <w:left w:val="single" w:sz="4" w:space="0" w:color="auto"/>
              <w:right w:val="single" w:sz="4" w:space="0" w:color="auto"/>
            </w:tcBorders>
            <w:vAlign w:val="center"/>
          </w:tcPr>
          <w:p w14:paraId="3B888410" w14:textId="77777777" w:rsidR="00E90641" w:rsidRPr="00234035" w:rsidRDefault="00E90641" w:rsidP="00E90641">
            <w:pPr>
              <w:rPr>
                <w:rFonts w:ascii="Calibri" w:eastAsiaTheme="minorEastAsia" w:hAnsi="Calibri" w:cs="Calibri"/>
                <w:sz w:val="16"/>
                <w:szCs w:val="16"/>
                <w:lang w:eastAsia="en-US"/>
              </w:rPr>
            </w:pPr>
            <w:r w:rsidRPr="00234035">
              <w:rPr>
                <w:rFonts w:ascii="Calibri" w:eastAsiaTheme="minorEastAsia" w:hAnsi="Calibri" w:cs="Calibri"/>
                <w:sz w:val="16"/>
                <w:szCs w:val="16"/>
                <w:lang w:eastAsia="en-US"/>
              </w:rPr>
              <w:t>Month</w:t>
            </w:r>
          </w:p>
        </w:tc>
        <w:tc>
          <w:tcPr>
            <w:tcW w:w="806" w:type="dxa"/>
            <w:tcBorders>
              <w:left w:val="single" w:sz="4" w:space="0" w:color="auto"/>
            </w:tcBorders>
            <w:vAlign w:val="center"/>
          </w:tcPr>
          <w:p w14:paraId="4E86D161" w14:textId="5F849519" w:rsidR="00E90641" w:rsidRPr="00542D12" w:rsidRDefault="00E90641" w:rsidP="00E90641">
            <w:pPr>
              <w:jc w:val="right"/>
              <w:rPr>
                <w:rFonts w:ascii="Calibri" w:eastAsiaTheme="minorEastAsia" w:hAnsi="Calibri" w:cs="Calibri"/>
                <w:sz w:val="14"/>
                <w:szCs w:val="14"/>
                <w:lang w:eastAsia="en-US"/>
              </w:rPr>
            </w:pPr>
            <w:r w:rsidRPr="00761EA3">
              <w:rPr>
                <w:rFonts w:ascii="Calibri" w:hAnsi="Calibri" w:cs="Calibri"/>
                <w:color w:val="000000"/>
                <w:sz w:val="14"/>
                <w:szCs w:val="14"/>
              </w:rPr>
              <w:t>Jun 20</w:t>
            </w:r>
          </w:p>
        </w:tc>
        <w:tc>
          <w:tcPr>
            <w:tcW w:w="664" w:type="dxa"/>
            <w:vAlign w:val="center"/>
          </w:tcPr>
          <w:p w14:paraId="437F8FD6" w14:textId="77C6AC04" w:rsidR="00E90641" w:rsidRPr="00542D12" w:rsidRDefault="00E90641" w:rsidP="00E90641">
            <w:pPr>
              <w:jc w:val="right"/>
              <w:rPr>
                <w:rFonts w:ascii="Calibri" w:eastAsiaTheme="minorEastAsia" w:hAnsi="Calibri" w:cs="Calibri"/>
                <w:sz w:val="14"/>
                <w:szCs w:val="14"/>
                <w:lang w:eastAsia="en-US"/>
              </w:rPr>
            </w:pPr>
            <w:r w:rsidRPr="00761EA3">
              <w:rPr>
                <w:rFonts w:ascii="Calibri" w:hAnsi="Calibri" w:cs="Calibri"/>
                <w:color w:val="000000"/>
                <w:sz w:val="14"/>
                <w:szCs w:val="14"/>
              </w:rPr>
              <w:t>Jul 20</w:t>
            </w:r>
          </w:p>
        </w:tc>
        <w:tc>
          <w:tcPr>
            <w:tcW w:w="664" w:type="dxa"/>
            <w:vAlign w:val="center"/>
          </w:tcPr>
          <w:p w14:paraId="10973E6E" w14:textId="00AB9570" w:rsidR="00E90641" w:rsidRPr="00542D12" w:rsidRDefault="00E90641" w:rsidP="00E90641">
            <w:pPr>
              <w:jc w:val="right"/>
              <w:rPr>
                <w:rFonts w:ascii="Calibri" w:eastAsiaTheme="minorEastAsia" w:hAnsi="Calibri" w:cs="Calibri"/>
                <w:sz w:val="14"/>
                <w:szCs w:val="14"/>
                <w:lang w:eastAsia="en-US"/>
              </w:rPr>
            </w:pPr>
            <w:r w:rsidRPr="00761EA3">
              <w:rPr>
                <w:rFonts w:ascii="Calibri" w:hAnsi="Calibri" w:cs="Calibri"/>
                <w:color w:val="000000"/>
                <w:sz w:val="14"/>
                <w:szCs w:val="14"/>
              </w:rPr>
              <w:t>Aug 20</w:t>
            </w:r>
          </w:p>
        </w:tc>
        <w:tc>
          <w:tcPr>
            <w:tcW w:w="665" w:type="dxa"/>
            <w:vAlign w:val="center"/>
          </w:tcPr>
          <w:p w14:paraId="0618F7FB" w14:textId="317A61FF" w:rsidR="00E90641" w:rsidRPr="00542D12" w:rsidRDefault="00E90641" w:rsidP="00E90641">
            <w:pPr>
              <w:jc w:val="right"/>
              <w:rPr>
                <w:rFonts w:ascii="Calibri" w:eastAsiaTheme="minorEastAsia" w:hAnsi="Calibri" w:cs="Calibri"/>
                <w:sz w:val="14"/>
                <w:szCs w:val="14"/>
                <w:lang w:eastAsia="en-US"/>
              </w:rPr>
            </w:pPr>
            <w:r w:rsidRPr="00761EA3">
              <w:rPr>
                <w:rFonts w:ascii="Calibri" w:hAnsi="Calibri" w:cs="Calibri"/>
                <w:color w:val="000000"/>
                <w:sz w:val="14"/>
                <w:szCs w:val="14"/>
              </w:rPr>
              <w:t>Sep 20</w:t>
            </w:r>
          </w:p>
        </w:tc>
        <w:tc>
          <w:tcPr>
            <w:tcW w:w="664" w:type="dxa"/>
            <w:vAlign w:val="center"/>
          </w:tcPr>
          <w:p w14:paraId="289CAE6A" w14:textId="206EEDA3" w:rsidR="00E90641" w:rsidRPr="00542D12" w:rsidRDefault="00E90641" w:rsidP="00E90641">
            <w:pPr>
              <w:jc w:val="right"/>
              <w:rPr>
                <w:rFonts w:ascii="Calibri" w:eastAsiaTheme="minorEastAsia" w:hAnsi="Calibri" w:cs="Calibri"/>
                <w:sz w:val="14"/>
                <w:szCs w:val="14"/>
                <w:lang w:eastAsia="en-US"/>
              </w:rPr>
            </w:pPr>
            <w:r w:rsidRPr="00761EA3">
              <w:rPr>
                <w:rFonts w:ascii="Calibri" w:hAnsi="Calibri" w:cs="Calibri"/>
                <w:color w:val="000000"/>
                <w:sz w:val="14"/>
                <w:szCs w:val="14"/>
              </w:rPr>
              <w:t>Oct 20</w:t>
            </w:r>
          </w:p>
        </w:tc>
        <w:tc>
          <w:tcPr>
            <w:tcW w:w="666" w:type="dxa"/>
            <w:vAlign w:val="center"/>
          </w:tcPr>
          <w:p w14:paraId="43ED0FB6" w14:textId="2A218537" w:rsidR="00E90641" w:rsidRPr="00542D12" w:rsidRDefault="00E90641" w:rsidP="00E90641">
            <w:pPr>
              <w:jc w:val="right"/>
              <w:rPr>
                <w:rFonts w:ascii="Calibri" w:eastAsiaTheme="minorEastAsia" w:hAnsi="Calibri" w:cs="Calibri"/>
                <w:sz w:val="14"/>
                <w:szCs w:val="14"/>
                <w:lang w:eastAsia="en-US"/>
              </w:rPr>
            </w:pPr>
            <w:r w:rsidRPr="00761EA3">
              <w:rPr>
                <w:rFonts w:ascii="Calibri" w:hAnsi="Calibri" w:cs="Calibri"/>
                <w:color w:val="000000"/>
                <w:sz w:val="14"/>
                <w:szCs w:val="14"/>
              </w:rPr>
              <w:t>Nov 20</w:t>
            </w:r>
          </w:p>
        </w:tc>
        <w:tc>
          <w:tcPr>
            <w:tcW w:w="664" w:type="dxa"/>
            <w:vAlign w:val="center"/>
          </w:tcPr>
          <w:p w14:paraId="3827ABFF" w14:textId="1F21703A" w:rsidR="00E90641" w:rsidRPr="00542D12" w:rsidRDefault="00E90641" w:rsidP="00E90641">
            <w:pPr>
              <w:jc w:val="right"/>
              <w:rPr>
                <w:rFonts w:ascii="Calibri" w:eastAsiaTheme="minorEastAsia" w:hAnsi="Calibri" w:cs="Calibri"/>
                <w:sz w:val="14"/>
                <w:szCs w:val="14"/>
                <w:lang w:eastAsia="en-US"/>
              </w:rPr>
            </w:pPr>
            <w:r w:rsidRPr="00761EA3">
              <w:rPr>
                <w:rFonts w:ascii="Calibri" w:hAnsi="Calibri" w:cs="Calibri"/>
                <w:color w:val="000000"/>
                <w:sz w:val="14"/>
                <w:szCs w:val="14"/>
              </w:rPr>
              <w:t>Dec 20</w:t>
            </w:r>
          </w:p>
        </w:tc>
        <w:tc>
          <w:tcPr>
            <w:tcW w:w="662" w:type="dxa"/>
            <w:vAlign w:val="center"/>
          </w:tcPr>
          <w:p w14:paraId="4B924FA4" w14:textId="50680841" w:rsidR="00E90641" w:rsidRPr="00542D12" w:rsidRDefault="00E90641" w:rsidP="00E90641">
            <w:pPr>
              <w:jc w:val="right"/>
              <w:rPr>
                <w:rFonts w:ascii="Calibri" w:eastAsiaTheme="minorEastAsia" w:hAnsi="Calibri" w:cs="Calibri"/>
                <w:sz w:val="14"/>
                <w:szCs w:val="14"/>
                <w:lang w:eastAsia="en-US"/>
              </w:rPr>
            </w:pPr>
            <w:r w:rsidRPr="00761EA3">
              <w:rPr>
                <w:rFonts w:ascii="Calibri" w:hAnsi="Calibri" w:cs="Calibri"/>
                <w:color w:val="000000"/>
                <w:sz w:val="14"/>
                <w:szCs w:val="14"/>
              </w:rPr>
              <w:t>Jan 21</w:t>
            </w:r>
          </w:p>
        </w:tc>
        <w:tc>
          <w:tcPr>
            <w:tcW w:w="665" w:type="dxa"/>
            <w:vAlign w:val="center"/>
          </w:tcPr>
          <w:p w14:paraId="0731F9C8" w14:textId="34FA0F50" w:rsidR="00E90641" w:rsidRPr="00542D12" w:rsidRDefault="00E90641" w:rsidP="00E90641">
            <w:pPr>
              <w:jc w:val="right"/>
              <w:rPr>
                <w:rFonts w:ascii="Calibri" w:eastAsiaTheme="minorEastAsia" w:hAnsi="Calibri" w:cs="Calibri"/>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64" w:type="dxa"/>
            <w:vAlign w:val="center"/>
          </w:tcPr>
          <w:p w14:paraId="10C2858C" w14:textId="07FD84A1" w:rsidR="00E90641" w:rsidRPr="00542D12" w:rsidRDefault="00E90641" w:rsidP="00E90641">
            <w:pPr>
              <w:jc w:val="right"/>
              <w:rPr>
                <w:rFonts w:ascii="Calibri" w:eastAsiaTheme="minorEastAsia" w:hAnsi="Calibri" w:cs="Calibri"/>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64" w:type="dxa"/>
            <w:vAlign w:val="center"/>
          </w:tcPr>
          <w:p w14:paraId="4B487F33" w14:textId="5D310BB5" w:rsidR="00E90641" w:rsidRPr="00542D12" w:rsidRDefault="00E90641" w:rsidP="00E90641">
            <w:pPr>
              <w:jc w:val="right"/>
              <w:rPr>
                <w:rFonts w:ascii="Calibri" w:eastAsiaTheme="minorEastAsia" w:hAnsi="Calibri" w:cs="Calibri"/>
                <w:sz w:val="14"/>
                <w:szCs w:val="14"/>
                <w:lang w:eastAsia="en-US"/>
              </w:rPr>
            </w:pPr>
            <w:r>
              <w:rPr>
                <w:rFonts w:ascii="Calibri" w:hAnsi="Calibri" w:cs="Calibri"/>
                <w:color w:val="000000"/>
                <w:sz w:val="14"/>
                <w:szCs w:val="14"/>
              </w:rPr>
              <w:t>Apr</w:t>
            </w:r>
            <w:r w:rsidRPr="00761EA3">
              <w:rPr>
                <w:rFonts w:ascii="Calibri" w:hAnsi="Calibri" w:cs="Calibri"/>
                <w:color w:val="000000"/>
                <w:sz w:val="14"/>
                <w:szCs w:val="14"/>
              </w:rPr>
              <w:t xml:space="preserve"> 21</w:t>
            </w:r>
          </w:p>
        </w:tc>
        <w:tc>
          <w:tcPr>
            <w:tcW w:w="665" w:type="dxa"/>
            <w:tcBorders>
              <w:right w:val="single" w:sz="4" w:space="0" w:color="auto"/>
            </w:tcBorders>
            <w:vAlign w:val="center"/>
          </w:tcPr>
          <w:p w14:paraId="5C2A87D0" w14:textId="01DA3BDF" w:rsidR="00E90641" w:rsidRPr="00542D12" w:rsidRDefault="00E90641" w:rsidP="00E90641">
            <w:pPr>
              <w:jc w:val="right"/>
              <w:rPr>
                <w:rFonts w:ascii="Calibri" w:eastAsiaTheme="minorEastAsia" w:hAnsi="Calibri" w:cs="Calibri"/>
                <w:sz w:val="14"/>
                <w:szCs w:val="14"/>
                <w:lang w:eastAsia="en-US"/>
              </w:rPr>
            </w:pPr>
            <w:r>
              <w:rPr>
                <w:rFonts w:ascii="Calibri" w:hAnsi="Calibri" w:cs="Calibri"/>
                <w:color w:val="000000"/>
                <w:sz w:val="14"/>
                <w:szCs w:val="14"/>
              </w:rPr>
              <w:t>May</w:t>
            </w:r>
            <w:r w:rsidRPr="00761EA3">
              <w:rPr>
                <w:rFonts w:ascii="Calibri" w:hAnsi="Calibri" w:cs="Calibri"/>
                <w:color w:val="000000"/>
                <w:sz w:val="14"/>
                <w:szCs w:val="14"/>
              </w:rPr>
              <w:t xml:space="preserve"> 21</w:t>
            </w:r>
          </w:p>
        </w:tc>
        <w:tc>
          <w:tcPr>
            <w:tcW w:w="670" w:type="dxa"/>
            <w:tcBorders>
              <w:left w:val="single" w:sz="4" w:space="0" w:color="auto"/>
            </w:tcBorders>
            <w:vAlign w:val="center"/>
          </w:tcPr>
          <w:p w14:paraId="2F4FBDD9" w14:textId="77777777" w:rsidR="00E90641" w:rsidRPr="00234035" w:rsidRDefault="00E90641" w:rsidP="00E90641">
            <w:pPr>
              <w:jc w:val="right"/>
              <w:rPr>
                <w:rFonts w:ascii="Calibri" w:eastAsiaTheme="minorEastAsia" w:hAnsi="Calibri" w:cs="Calibri"/>
                <w:sz w:val="16"/>
                <w:szCs w:val="16"/>
                <w:lang w:eastAsia="en-US"/>
              </w:rPr>
            </w:pPr>
            <w:r w:rsidRPr="00234035">
              <w:rPr>
                <w:rFonts w:ascii="Calibri" w:eastAsiaTheme="minorEastAsia" w:hAnsi="Calibri" w:cs="Calibri"/>
                <w:sz w:val="16"/>
                <w:szCs w:val="16"/>
                <w:lang w:eastAsia="en-US"/>
              </w:rPr>
              <w:t>Total</w:t>
            </w:r>
          </w:p>
        </w:tc>
      </w:tr>
      <w:tr w:rsidR="001D5865" w:rsidRPr="00234035" w14:paraId="65B00275" w14:textId="77777777" w:rsidTr="00E01707">
        <w:trPr>
          <w:trHeight w:val="365"/>
        </w:trPr>
        <w:tc>
          <w:tcPr>
            <w:tcW w:w="846" w:type="dxa"/>
            <w:tcBorders>
              <w:left w:val="single" w:sz="4" w:space="0" w:color="auto"/>
              <w:right w:val="single" w:sz="4" w:space="0" w:color="auto"/>
            </w:tcBorders>
            <w:vAlign w:val="center"/>
          </w:tcPr>
          <w:p w14:paraId="0901B01A" w14:textId="34667CEC" w:rsidR="001D5865" w:rsidRPr="00234035" w:rsidRDefault="001D5865" w:rsidP="001D5865">
            <w:pPr>
              <w:rPr>
                <w:rFonts w:ascii="Calibri" w:eastAsiaTheme="minorEastAsia" w:hAnsi="Calibri" w:cs="Calibri"/>
                <w:sz w:val="16"/>
                <w:szCs w:val="16"/>
                <w:lang w:eastAsia="en-US"/>
              </w:rPr>
            </w:pPr>
            <w:r w:rsidRPr="00234035">
              <w:rPr>
                <w:rFonts w:ascii="Calibri" w:eastAsiaTheme="minorEastAsia" w:hAnsi="Calibri" w:cs="Calibri"/>
                <w:sz w:val="16"/>
                <w:szCs w:val="16"/>
                <w:lang w:eastAsia="en-US"/>
              </w:rPr>
              <w:t>Decisions</w:t>
            </w:r>
          </w:p>
        </w:tc>
        <w:tc>
          <w:tcPr>
            <w:tcW w:w="806" w:type="dxa"/>
            <w:tcBorders>
              <w:top w:val="nil"/>
              <w:left w:val="single" w:sz="4" w:space="0" w:color="auto"/>
              <w:bottom w:val="single" w:sz="4" w:space="0" w:color="auto"/>
              <w:right w:val="nil"/>
            </w:tcBorders>
            <w:shd w:val="clear" w:color="auto" w:fill="auto"/>
            <w:vAlign w:val="center"/>
          </w:tcPr>
          <w:p w14:paraId="5BC74D1A" w14:textId="6BB95396"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1,180 </w:t>
            </w:r>
          </w:p>
        </w:tc>
        <w:tc>
          <w:tcPr>
            <w:tcW w:w="664" w:type="dxa"/>
            <w:tcBorders>
              <w:top w:val="nil"/>
              <w:left w:val="nil"/>
              <w:bottom w:val="single" w:sz="4" w:space="0" w:color="auto"/>
              <w:right w:val="nil"/>
            </w:tcBorders>
            <w:shd w:val="clear" w:color="auto" w:fill="auto"/>
            <w:vAlign w:val="center"/>
          </w:tcPr>
          <w:p w14:paraId="30D13BD3" w14:textId="33236B28"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1,431 </w:t>
            </w:r>
          </w:p>
        </w:tc>
        <w:tc>
          <w:tcPr>
            <w:tcW w:w="664" w:type="dxa"/>
            <w:tcBorders>
              <w:top w:val="nil"/>
              <w:left w:val="nil"/>
              <w:bottom w:val="single" w:sz="4" w:space="0" w:color="auto"/>
              <w:right w:val="nil"/>
            </w:tcBorders>
            <w:shd w:val="clear" w:color="auto" w:fill="auto"/>
            <w:vAlign w:val="center"/>
          </w:tcPr>
          <w:p w14:paraId="78F2ACE0" w14:textId="5C6A64DC"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1,254 </w:t>
            </w:r>
          </w:p>
        </w:tc>
        <w:tc>
          <w:tcPr>
            <w:tcW w:w="665" w:type="dxa"/>
            <w:tcBorders>
              <w:top w:val="nil"/>
              <w:left w:val="nil"/>
              <w:bottom w:val="single" w:sz="4" w:space="0" w:color="auto"/>
              <w:right w:val="nil"/>
            </w:tcBorders>
            <w:shd w:val="clear" w:color="auto" w:fill="auto"/>
            <w:vAlign w:val="center"/>
          </w:tcPr>
          <w:p w14:paraId="48FC3DA4" w14:textId="7D0F3370"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1,571 </w:t>
            </w:r>
          </w:p>
        </w:tc>
        <w:tc>
          <w:tcPr>
            <w:tcW w:w="664" w:type="dxa"/>
            <w:tcBorders>
              <w:top w:val="nil"/>
              <w:left w:val="nil"/>
              <w:bottom w:val="single" w:sz="4" w:space="0" w:color="auto"/>
              <w:right w:val="nil"/>
            </w:tcBorders>
            <w:shd w:val="clear" w:color="auto" w:fill="auto"/>
            <w:vAlign w:val="center"/>
          </w:tcPr>
          <w:p w14:paraId="268CFC22" w14:textId="3E16E5D2"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1,971 </w:t>
            </w:r>
          </w:p>
        </w:tc>
        <w:tc>
          <w:tcPr>
            <w:tcW w:w="666" w:type="dxa"/>
            <w:tcBorders>
              <w:top w:val="nil"/>
              <w:left w:val="nil"/>
              <w:bottom w:val="single" w:sz="4" w:space="0" w:color="auto"/>
              <w:right w:val="nil"/>
            </w:tcBorders>
            <w:shd w:val="clear" w:color="auto" w:fill="auto"/>
            <w:vAlign w:val="center"/>
          </w:tcPr>
          <w:p w14:paraId="3E2B98B6" w14:textId="70CBE112"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1,725 </w:t>
            </w:r>
          </w:p>
        </w:tc>
        <w:tc>
          <w:tcPr>
            <w:tcW w:w="664" w:type="dxa"/>
            <w:tcBorders>
              <w:top w:val="nil"/>
              <w:left w:val="nil"/>
              <w:bottom w:val="single" w:sz="4" w:space="0" w:color="auto"/>
              <w:right w:val="nil"/>
            </w:tcBorders>
            <w:shd w:val="clear" w:color="auto" w:fill="auto"/>
            <w:vAlign w:val="center"/>
          </w:tcPr>
          <w:p w14:paraId="2A535DB9" w14:textId="392AAD24"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1,698 </w:t>
            </w:r>
          </w:p>
        </w:tc>
        <w:tc>
          <w:tcPr>
            <w:tcW w:w="662" w:type="dxa"/>
            <w:tcBorders>
              <w:top w:val="nil"/>
              <w:left w:val="nil"/>
              <w:bottom w:val="single" w:sz="4" w:space="0" w:color="auto"/>
              <w:right w:val="nil"/>
            </w:tcBorders>
            <w:shd w:val="clear" w:color="auto" w:fill="auto"/>
            <w:vAlign w:val="center"/>
          </w:tcPr>
          <w:p w14:paraId="1E6DE239" w14:textId="6EE02E29"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1,411 </w:t>
            </w:r>
          </w:p>
        </w:tc>
        <w:tc>
          <w:tcPr>
            <w:tcW w:w="665" w:type="dxa"/>
            <w:tcBorders>
              <w:top w:val="nil"/>
              <w:left w:val="nil"/>
              <w:bottom w:val="single" w:sz="4" w:space="0" w:color="auto"/>
              <w:right w:val="nil"/>
            </w:tcBorders>
            <w:shd w:val="clear" w:color="auto" w:fill="auto"/>
            <w:vAlign w:val="center"/>
          </w:tcPr>
          <w:p w14:paraId="1B21F5F8" w14:textId="5C2B391B"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1,447 </w:t>
            </w:r>
          </w:p>
        </w:tc>
        <w:tc>
          <w:tcPr>
            <w:tcW w:w="664" w:type="dxa"/>
            <w:tcBorders>
              <w:top w:val="nil"/>
              <w:left w:val="nil"/>
              <w:bottom w:val="single" w:sz="4" w:space="0" w:color="auto"/>
              <w:right w:val="nil"/>
            </w:tcBorders>
            <w:shd w:val="clear" w:color="auto" w:fill="auto"/>
            <w:vAlign w:val="center"/>
          </w:tcPr>
          <w:p w14:paraId="4EDD5E61" w14:textId="449E1E7E"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1,612 </w:t>
            </w:r>
          </w:p>
        </w:tc>
        <w:tc>
          <w:tcPr>
            <w:tcW w:w="664" w:type="dxa"/>
            <w:tcBorders>
              <w:top w:val="nil"/>
              <w:left w:val="nil"/>
              <w:bottom w:val="single" w:sz="4" w:space="0" w:color="auto"/>
              <w:right w:val="nil"/>
            </w:tcBorders>
            <w:shd w:val="clear" w:color="auto" w:fill="auto"/>
            <w:vAlign w:val="center"/>
          </w:tcPr>
          <w:p w14:paraId="188426AB" w14:textId="391C7AC4"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1,081 </w:t>
            </w:r>
          </w:p>
        </w:tc>
        <w:tc>
          <w:tcPr>
            <w:tcW w:w="665" w:type="dxa"/>
            <w:tcBorders>
              <w:top w:val="nil"/>
              <w:left w:val="nil"/>
              <w:bottom w:val="single" w:sz="4" w:space="0" w:color="auto"/>
              <w:right w:val="nil"/>
            </w:tcBorders>
            <w:shd w:val="clear" w:color="auto" w:fill="auto"/>
            <w:vAlign w:val="center"/>
          </w:tcPr>
          <w:p w14:paraId="26DC5AE2" w14:textId="0D8A33DC" w:rsidR="001D5865" w:rsidRPr="001D5865" w:rsidRDefault="001D5865" w:rsidP="001D5865">
            <w:pPr>
              <w:jc w:val="right"/>
              <w:rPr>
                <w:rFonts w:ascii="Calibri" w:eastAsiaTheme="minorEastAsia" w:hAnsi="Calibri" w:cs="Calibri"/>
                <w:sz w:val="16"/>
                <w:szCs w:val="16"/>
                <w:lang w:eastAsia="en-US"/>
              </w:rPr>
            </w:pPr>
            <w:r w:rsidRPr="001D5865">
              <w:rPr>
                <w:rFonts w:ascii="Calibri" w:hAnsi="Calibri" w:cs="Calibri"/>
                <w:color w:val="000000"/>
                <w:sz w:val="16"/>
                <w:szCs w:val="16"/>
              </w:rPr>
              <w:t xml:space="preserve"> 1,511 </w:t>
            </w:r>
          </w:p>
        </w:tc>
        <w:tc>
          <w:tcPr>
            <w:tcW w:w="670" w:type="dxa"/>
            <w:tcBorders>
              <w:top w:val="nil"/>
              <w:left w:val="single" w:sz="4" w:space="0" w:color="auto"/>
              <w:bottom w:val="single" w:sz="4" w:space="0" w:color="auto"/>
              <w:right w:val="single" w:sz="4" w:space="0" w:color="auto"/>
            </w:tcBorders>
            <w:shd w:val="clear" w:color="auto" w:fill="auto"/>
            <w:vAlign w:val="center"/>
          </w:tcPr>
          <w:p w14:paraId="7B954976" w14:textId="2F02545B" w:rsidR="001D5865" w:rsidRPr="001D5865" w:rsidRDefault="003335B6" w:rsidP="001D5865">
            <w:pPr>
              <w:jc w:val="right"/>
              <w:rPr>
                <w:rFonts w:ascii="Calibri" w:eastAsiaTheme="minorEastAsia" w:hAnsi="Calibri" w:cs="Calibri"/>
                <w:sz w:val="16"/>
                <w:szCs w:val="16"/>
                <w:lang w:eastAsia="en-US"/>
              </w:rPr>
            </w:pPr>
            <w:r w:rsidRPr="003335B6">
              <w:rPr>
                <w:rFonts w:ascii="Calibri" w:hAnsi="Calibri" w:cs="Calibri"/>
                <w:color w:val="000000"/>
                <w:sz w:val="16"/>
                <w:szCs w:val="16"/>
              </w:rPr>
              <w:t>17</w:t>
            </w:r>
            <w:r>
              <w:rPr>
                <w:rFonts w:ascii="Calibri" w:hAnsi="Calibri" w:cs="Calibri"/>
                <w:color w:val="000000"/>
                <w:sz w:val="16"/>
                <w:szCs w:val="16"/>
              </w:rPr>
              <w:t>,</w:t>
            </w:r>
            <w:r w:rsidRPr="003335B6">
              <w:rPr>
                <w:rFonts w:ascii="Calibri" w:hAnsi="Calibri" w:cs="Calibri"/>
                <w:color w:val="000000"/>
                <w:sz w:val="16"/>
                <w:szCs w:val="16"/>
              </w:rPr>
              <w:t>892</w:t>
            </w:r>
          </w:p>
        </w:tc>
      </w:tr>
    </w:tbl>
    <w:p w14:paraId="60EA98CB" w14:textId="4716FD21" w:rsidR="006A3227" w:rsidRPr="00234035" w:rsidRDefault="006A3227" w:rsidP="006A3227">
      <w:pPr>
        <w:rPr>
          <w:rFonts w:ascii="Helvetica" w:eastAsia="Calibri" w:hAnsi="Helvetica" w:cs="Helvetica"/>
        </w:rPr>
      </w:pPr>
      <w:r w:rsidRPr="00234035">
        <w:rPr>
          <w:rFonts w:ascii="Helvetica" w:eastAsia="Calibri" w:hAnsi="Helvetica" w:cs="Helvetica"/>
          <w:sz w:val="18"/>
          <w:szCs w:val="18"/>
        </w:rPr>
        <w:t xml:space="preserve">Source: Horizon and </w:t>
      </w:r>
      <w:proofErr w:type="spellStart"/>
      <w:r w:rsidRPr="00234035">
        <w:rPr>
          <w:rFonts w:ascii="Helvetica" w:eastAsia="Calibri" w:hAnsi="Helvetica" w:cs="Helvetica"/>
          <w:sz w:val="18"/>
          <w:szCs w:val="18"/>
        </w:rPr>
        <w:t>Picaso</w:t>
      </w:r>
      <w:proofErr w:type="spellEnd"/>
      <w:r w:rsidR="00DC125E">
        <w:rPr>
          <w:rFonts w:ascii="Helvetica" w:eastAsia="Calibri" w:hAnsi="Helvetica" w:cs="Helvetica"/>
          <w:sz w:val="18"/>
          <w:szCs w:val="18"/>
        </w:rPr>
        <w:t>.</w:t>
      </w:r>
    </w:p>
    <w:p w14:paraId="248938EF" w14:textId="00EAFD63" w:rsidR="00423AD2" w:rsidRDefault="001B76D7" w:rsidP="008B7858">
      <w:pPr>
        <w:keepNext/>
        <w:spacing w:before="120" w:after="120"/>
        <w:rPr>
          <w:rFonts w:ascii="Helvetica" w:hAnsi="Helvetica" w:cs="Helvetica"/>
        </w:rPr>
      </w:pPr>
      <w:r w:rsidRPr="4721EDED">
        <w:rPr>
          <w:rFonts w:ascii="Helvetica" w:hAnsi="Helvetica" w:cs="Helvetica"/>
        </w:rPr>
        <w:t>Figure 3 – Appeal Decisions</w:t>
      </w:r>
      <w:r w:rsidR="0060758C" w:rsidRPr="4721EDED">
        <w:rPr>
          <w:rFonts w:ascii="Helvetica" w:hAnsi="Helvetica" w:cs="Helvetica"/>
        </w:rPr>
        <w:t xml:space="preserve">; </w:t>
      </w:r>
      <w:r w:rsidR="00E01707" w:rsidRPr="4721EDED">
        <w:rPr>
          <w:rFonts w:ascii="Helvetica" w:hAnsi="Helvetica" w:cs="Helvetica"/>
        </w:rPr>
        <w:t>Jun 20 to May 21</w:t>
      </w:r>
      <w:r>
        <w:br/>
      </w:r>
      <w:r w:rsidR="3B5C42F0">
        <w:rPr>
          <w:noProof/>
        </w:rPr>
        <w:drawing>
          <wp:inline distT="0" distB="0" distL="0" distR="0" wp14:anchorId="43C3CE88" wp14:editId="70F862B8">
            <wp:extent cx="6020158" cy="3448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20158" cy="3448050"/>
                    </a:xfrm>
                    <a:prstGeom prst="rect">
                      <a:avLst/>
                    </a:prstGeom>
                  </pic:spPr>
                </pic:pic>
              </a:graphicData>
            </a:graphic>
          </wp:inline>
        </w:drawing>
      </w:r>
    </w:p>
    <w:p w14:paraId="3E499609" w14:textId="6D59C157" w:rsidR="001B76D7" w:rsidRPr="00D5593F" w:rsidRDefault="001B76D7" w:rsidP="008B7858">
      <w:pPr>
        <w:keepNext/>
        <w:spacing w:before="120" w:after="120"/>
        <w:rPr>
          <w:rFonts w:ascii="Helvetica" w:eastAsia="Calibri" w:hAnsi="Helvetica" w:cs="Helvetica"/>
        </w:rPr>
      </w:pPr>
      <w:r w:rsidRPr="00D5593F">
        <w:rPr>
          <w:rFonts w:ascii="Helvetica" w:eastAsia="Calibri" w:hAnsi="Helvetica" w:cs="Helvetica"/>
          <w:sz w:val="18"/>
          <w:szCs w:val="18"/>
        </w:rPr>
        <w:t xml:space="preserve">Source: Horizon and </w:t>
      </w:r>
      <w:proofErr w:type="spellStart"/>
      <w:r w:rsidRPr="00D5593F">
        <w:rPr>
          <w:rFonts w:ascii="Helvetica" w:eastAsia="Calibri" w:hAnsi="Helvetica" w:cs="Helvetica"/>
          <w:sz w:val="18"/>
          <w:szCs w:val="18"/>
        </w:rPr>
        <w:t>Picaso</w:t>
      </w:r>
      <w:proofErr w:type="spellEnd"/>
    </w:p>
    <w:p w14:paraId="7BD9E217" w14:textId="5937853B" w:rsidR="00B11BFA" w:rsidRDefault="004A6CF8" w:rsidP="007C7FB6">
      <w:pPr>
        <w:spacing w:before="120"/>
        <w:jc w:val="both"/>
        <w:rPr>
          <w:rStyle w:val="CommentReference"/>
        </w:rPr>
      </w:pPr>
      <w:r>
        <w:rPr>
          <w:rFonts w:ascii="Helvetica" w:hAnsi="Helvetica" w:cs="Helvetica"/>
        </w:rPr>
        <w:t xml:space="preserve">  </w:t>
      </w:r>
    </w:p>
    <w:p w14:paraId="482C2A8B" w14:textId="1EEB088F" w:rsidR="00634784" w:rsidRDefault="00634784" w:rsidP="00B11BFA">
      <w:pPr>
        <w:jc w:val="both"/>
        <w:rPr>
          <w:rFonts w:ascii="Helvetica" w:hAnsi="Helvetica" w:cs="Helvetica"/>
          <w:b/>
          <w:bCs/>
        </w:rPr>
      </w:pPr>
      <w:r w:rsidRPr="008549F3">
        <w:rPr>
          <w:rFonts w:ascii="Helvetica" w:hAnsi="Helvetica" w:cs="Helvetica"/>
          <w:b/>
          <w:bCs/>
        </w:rPr>
        <w:t xml:space="preserve">Decisions by procedure and </w:t>
      </w:r>
      <w:r w:rsidR="00D77E37" w:rsidRPr="008549F3">
        <w:rPr>
          <w:rFonts w:ascii="Helvetica" w:hAnsi="Helvetica" w:cs="Helvetica"/>
          <w:b/>
          <w:bCs/>
        </w:rPr>
        <w:t>case</w:t>
      </w:r>
      <w:r w:rsidRPr="008549F3">
        <w:rPr>
          <w:rFonts w:ascii="Helvetica" w:hAnsi="Helvetica" w:cs="Helvetica"/>
          <w:b/>
          <w:bCs/>
        </w:rPr>
        <w:t xml:space="preserve"> type</w:t>
      </w:r>
    </w:p>
    <w:p w14:paraId="39B41D0F" w14:textId="77777777" w:rsidR="00795B95" w:rsidRPr="008549F3" w:rsidRDefault="00795B95" w:rsidP="00B11BFA">
      <w:pPr>
        <w:jc w:val="both"/>
        <w:rPr>
          <w:rFonts w:ascii="Helvetica" w:hAnsi="Helvetica" w:cs="Helvetica"/>
          <w:b/>
          <w:bCs/>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8221"/>
      </w:tblGrid>
      <w:tr w:rsidR="000E4545" w14:paraId="015A56B1" w14:textId="77777777" w:rsidTr="00123B6E">
        <w:tc>
          <w:tcPr>
            <w:tcW w:w="8221" w:type="dxa"/>
            <w:shd w:val="clear" w:color="auto" w:fill="F7CAAC" w:themeFill="accent2" w:themeFillTint="66"/>
          </w:tcPr>
          <w:p w14:paraId="17E683C8" w14:textId="0032FA77" w:rsidR="000E4545" w:rsidRDefault="000E4545" w:rsidP="00C41717">
            <w:pPr>
              <w:jc w:val="both"/>
              <w:rPr>
                <w:rFonts w:ascii="Helvetica" w:hAnsi="Helvetica" w:cs="Helvetica"/>
              </w:rPr>
            </w:pPr>
            <w:r w:rsidRPr="008549F3">
              <w:rPr>
                <w:rFonts w:ascii="Helvetica" w:hAnsi="Helvetica" w:cs="Helvetica"/>
              </w:rPr>
              <w:t>Planning Inspectors work on a broader range of work than the appeals featured in this Release. For example, they also work on examining Nationally Significant Infrastructure Project applications, Local Plans</w:t>
            </w:r>
            <w:r w:rsidR="00D27B99">
              <w:rPr>
                <w:rStyle w:val="FootnoteReference"/>
                <w:rFonts w:ascii="Helvetica" w:hAnsi="Helvetica" w:cs="Helvetica"/>
              </w:rPr>
              <w:footnoteReference w:id="7"/>
            </w:r>
            <w:r w:rsidRPr="008549F3">
              <w:rPr>
                <w:rFonts w:ascii="Helvetica" w:hAnsi="Helvetica" w:cs="Helvetica"/>
              </w:rPr>
              <w:t>, Compulsory Purchase Order applications and many other specialist licencing/application types</w:t>
            </w:r>
            <w:r>
              <w:rPr>
                <w:rFonts w:ascii="Helvetica" w:hAnsi="Helvetica" w:cs="Helvetica"/>
              </w:rPr>
              <w:t>.</w:t>
            </w:r>
          </w:p>
        </w:tc>
      </w:tr>
    </w:tbl>
    <w:p w14:paraId="5A1E312A" w14:textId="77777777" w:rsidR="000E4545" w:rsidRDefault="000E4545" w:rsidP="00C41717">
      <w:pPr>
        <w:jc w:val="both"/>
        <w:rPr>
          <w:rFonts w:ascii="Helvetica" w:hAnsi="Helvetica" w:cs="Helvetica"/>
        </w:rPr>
      </w:pPr>
    </w:p>
    <w:p w14:paraId="78A27796" w14:textId="2C2BC270" w:rsidR="006A3227" w:rsidRPr="008549F3" w:rsidRDefault="006A3227" w:rsidP="00C41717">
      <w:pPr>
        <w:jc w:val="both"/>
        <w:rPr>
          <w:rFonts w:ascii="Helvetica" w:hAnsi="Helvetica" w:cs="Helvetica"/>
        </w:rPr>
      </w:pPr>
      <w:r w:rsidRPr="008549F3">
        <w:rPr>
          <w:rFonts w:ascii="Helvetica" w:hAnsi="Helvetica" w:cs="Helvetica"/>
        </w:rPr>
        <w:t xml:space="preserve">Table </w:t>
      </w:r>
      <w:r w:rsidR="009233FA" w:rsidRPr="008549F3">
        <w:rPr>
          <w:rFonts w:ascii="Helvetica" w:hAnsi="Helvetica" w:cs="Helvetica"/>
        </w:rPr>
        <w:t>4</w:t>
      </w:r>
      <w:r w:rsidRPr="008549F3">
        <w:rPr>
          <w:rFonts w:ascii="Helvetica" w:hAnsi="Helvetica" w:cs="Helvetica"/>
        </w:rPr>
        <w:t xml:space="preserve"> below gives the numbers of </w:t>
      </w:r>
      <w:r w:rsidR="004722A8" w:rsidRPr="008549F3">
        <w:rPr>
          <w:rFonts w:ascii="Helvetica" w:hAnsi="Helvetica" w:cs="Helvetica"/>
        </w:rPr>
        <w:t xml:space="preserve">appeal </w:t>
      </w:r>
      <w:r w:rsidRPr="008549F3">
        <w:rPr>
          <w:rFonts w:ascii="Helvetica" w:hAnsi="Helvetica" w:cs="Helvetica"/>
        </w:rPr>
        <w:t>decisions made broken down by whether the case was dealt with by written representations, hearings, or inquiries.</w:t>
      </w:r>
    </w:p>
    <w:p w14:paraId="713EEBA2" w14:textId="2951DA65" w:rsidR="0063787E" w:rsidRDefault="006A3227" w:rsidP="00C41717">
      <w:pPr>
        <w:jc w:val="both"/>
        <w:rPr>
          <w:rFonts w:ascii="Helvetica" w:hAnsi="Helvetica" w:cs="Helvetica"/>
        </w:rPr>
      </w:pPr>
      <w:proofErr w:type="gramStart"/>
      <w:r w:rsidRPr="008549F3">
        <w:rPr>
          <w:rFonts w:ascii="Helvetica" w:hAnsi="Helvetica" w:cs="Helvetica"/>
        </w:rPr>
        <w:t>The large majority of</w:t>
      </w:r>
      <w:proofErr w:type="gramEnd"/>
      <w:r w:rsidRPr="008549F3">
        <w:rPr>
          <w:rFonts w:ascii="Helvetica" w:hAnsi="Helvetica" w:cs="Helvetica"/>
        </w:rPr>
        <w:t xml:space="preserve"> decisions (1</w:t>
      </w:r>
      <w:r w:rsidR="00C657A9">
        <w:rPr>
          <w:rFonts w:ascii="Helvetica" w:hAnsi="Helvetica" w:cs="Helvetica"/>
        </w:rPr>
        <w:t>7,168</w:t>
      </w:r>
      <w:r w:rsidRPr="008549F3">
        <w:rPr>
          <w:rFonts w:ascii="Helvetica" w:hAnsi="Helvetica" w:cs="Helvetica"/>
        </w:rPr>
        <w:t xml:space="preserve">) were made on written representations. This is about ninety </w:t>
      </w:r>
      <w:r w:rsidR="00367BB8">
        <w:rPr>
          <w:rFonts w:ascii="Helvetica" w:hAnsi="Helvetica" w:cs="Helvetica"/>
        </w:rPr>
        <w:t>six</w:t>
      </w:r>
      <w:r w:rsidRPr="008549F3">
        <w:rPr>
          <w:rFonts w:ascii="Helvetica" w:hAnsi="Helvetica" w:cs="Helvetica"/>
        </w:rPr>
        <w:t xml:space="preserve"> percent of all appeal decisions made.</w:t>
      </w:r>
      <w:r w:rsidR="00AA5FF3">
        <w:rPr>
          <w:rFonts w:ascii="Helvetica" w:hAnsi="Helvetica" w:cs="Helvetica"/>
        </w:rPr>
        <w:t xml:space="preserve">  </w:t>
      </w:r>
      <w:r w:rsidR="00AA5FF3" w:rsidRPr="0045307C">
        <w:rPr>
          <w:rFonts w:ascii="Helvetica" w:hAnsi="Helvetica" w:cs="Helvetica"/>
        </w:rPr>
        <w:t>Table 4 shows that written representations decisions had recovered to pre-pandemic levels between September and December 20</w:t>
      </w:r>
      <w:r w:rsidR="00AA5FF3">
        <w:rPr>
          <w:rFonts w:ascii="Helvetica" w:hAnsi="Helvetica" w:cs="Helvetica"/>
        </w:rPr>
        <w:t xml:space="preserve"> (pre-pandemic being between approximately 1,600 and 2,000 decisions per month).  </w:t>
      </w:r>
      <w:r w:rsidR="00ED7084">
        <w:rPr>
          <w:rFonts w:ascii="Helvetica" w:hAnsi="Helvetica" w:cs="Helvetica"/>
        </w:rPr>
        <w:lastRenderedPageBreak/>
        <w:t xml:space="preserve">Decisions </w:t>
      </w:r>
      <w:r w:rsidR="00B1736A">
        <w:rPr>
          <w:rFonts w:ascii="Helvetica" w:hAnsi="Helvetica" w:cs="Helvetica"/>
        </w:rPr>
        <w:t>have ranged between a low of 994 (April 21) and a high of 1,526 (March 21) in 2021</w:t>
      </w:r>
      <w:r w:rsidR="002365EC">
        <w:rPr>
          <w:rFonts w:ascii="Helvetica" w:hAnsi="Helvetica" w:cs="Helvetica"/>
        </w:rPr>
        <w:t>.</w:t>
      </w:r>
      <w:r w:rsidR="00AA5FF3">
        <w:rPr>
          <w:rFonts w:ascii="Helvetica" w:hAnsi="Helvetica" w:cs="Helvetica"/>
        </w:rPr>
        <w:t xml:space="preserve"> </w:t>
      </w:r>
    </w:p>
    <w:p w14:paraId="3248A16C" w14:textId="77777777" w:rsidR="0063787E" w:rsidRDefault="0063787E" w:rsidP="00C41717">
      <w:pPr>
        <w:jc w:val="both"/>
        <w:rPr>
          <w:rFonts w:ascii="Helvetica" w:hAnsi="Helvetica" w:cs="Helvetica"/>
        </w:rPr>
      </w:pPr>
    </w:p>
    <w:p w14:paraId="6BF1B8DF" w14:textId="32598C3B" w:rsidR="004848F2" w:rsidRDefault="006A3227" w:rsidP="00C41717">
      <w:pPr>
        <w:jc w:val="both"/>
        <w:rPr>
          <w:rFonts w:ascii="Helvetica" w:hAnsi="Helvetica" w:cs="Helvetica"/>
        </w:rPr>
      </w:pPr>
      <w:r w:rsidRPr="4721EDED">
        <w:rPr>
          <w:rFonts w:ascii="Helvetica" w:hAnsi="Helvetica" w:cs="Helvetica"/>
        </w:rPr>
        <w:t xml:space="preserve">There were </w:t>
      </w:r>
      <w:r w:rsidR="001B5ABC" w:rsidRPr="4721EDED">
        <w:rPr>
          <w:rFonts w:ascii="Helvetica" w:hAnsi="Helvetica" w:cs="Helvetica"/>
        </w:rPr>
        <w:t>4</w:t>
      </w:r>
      <w:r w:rsidR="00B1736A" w:rsidRPr="4721EDED">
        <w:rPr>
          <w:rFonts w:ascii="Helvetica" w:hAnsi="Helvetica" w:cs="Helvetica"/>
        </w:rPr>
        <w:t>6</w:t>
      </w:r>
      <w:r w:rsidR="005A28A2" w:rsidRPr="4721EDED">
        <w:rPr>
          <w:rFonts w:ascii="Helvetica" w:hAnsi="Helvetica" w:cs="Helvetica"/>
        </w:rPr>
        <w:t>9</w:t>
      </w:r>
      <w:r w:rsidRPr="4721EDED">
        <w:rPr>
          <w:rFonts w:ascii="Helvetica" w:hAnsi="Helvetica" w:cs="Helvetica"/>
        </w:rPr>
        <w:t xml:space="preserve"> decisions made </w:t>
      </w:r>
      <w:r w:rsidR="004722A8" w:rsidRPr="4721EDED">
        <w:rPr>
          <w:rFonts w:ascii="Helvetica" w:hAnsi="Helvetica" w:cs="Helvetica"/>
        </w:rPr>
        <w:t>on</w:t>
      </w:r>
      <w:r w:rsidRPr="4721EDED">
        <w:rPr>
          <w:rFonts w:ascii="Helvetica" w:hAnsi="Helvetica" w:cs="Helvetica"/>
        </w:rPr>
        <w:t xml:space="preserve"> </w:t>
      </w:r>
      <w:r w:rsidR="005D6D39" w:rsidRPr="4721EDED">
        <w:rPr>
          <w:rFonts w:ascii="Helvetica" w:hAnsi="Helvetica" w:cs="Helvetica"/>
        </w:rPr>
        <w:t>hearings</w:t>
      </w:r>
      <w:r w:rsidR="009D5566" w:rsidRPr="4721EDED">
        <w:rPr>
          <w:rFonts w:ascii="Helvetica" w:hAnsi="Helvetica" w:cs="Helvetica"/>
        </w:rPr>
        <w:t xml:space="preserve">. </w:t>
      </w:r>
      <w:r w:rsidR="00864484" w:rsidRPr="4721EDED">
        <w:rPr>
          <w:rFonts w:ascii="Helvetica" w:hAnsi="Helvetica" w:cs="Helvetica"/>
        </w:rPr>
        <w:t xml:space="preserve"> The number of hearings decided in May 21 </w:t>
      </w:r>
      <w:r w:rsidR="00C86633" w:rsidRPr="4721EDED">
        <w:rPr>
          <w:rFonts w:ascii="Helvetica" w:hAnsi="Helvetica" w:cs="Helvetica"/>
        </w:rPr>
        <w:t>(6</w:t>
      </w:r>
      <w:r w:rsidR="73F110DD" w:rsidRPr="4721EDED">
        <w:rPr>
          <w:rFonts w:ascii="Helvetica" w:hAnsi="Helvetica" w:cs="Helvetica"/>
        </w:rPr>
        <w:t>5</w:t>
      </w:r>
      <w:r w:rsidR="00C86633" w:rsidRPr="4721EDED">
        <w:rPr>
          <w:rFonts w:ascii="Helvetica" w:hAnsi="Helvetica" w:cs="Helvetica"/>
        </w:rPr>
        <w:t xml:space="preserve">) </w:t>
      </w:r>
      <w:r w:rsidR="00864484" w:rsidRPr="4721EDED">
        <w:rPr>
          <w:rFonts w:ascii="Helvetica" w:hAnsi="Helvetica" w:cs="Helvetica"/>
        </w:rPr>
        <w:t xml:space="preserve">was the highest in the last 12 months. </w:t>
      </w:r>
      <w:r w:rsidR="009D5566" w:rsidRPr="4721EDED">
        <w:rPr>
          <w:rFonts w:ascii="Helvetica" w:hAnsi="Helvetica" w:cs="Helvetica"/>
        </w:rPr>
        <w:t xml:space="preserve">Decisions for hearings </w:t>
      </w:r>
      <w:r w:rsidR="00F70C5B" w:rsidRPr="4721EDED">
        <w:rPr>
          <w:rFonts w:ascii="Helvetica" w:hAnsi="Helvetica" w:cs="Helvetica"/>
        </w:rPr>
        <w:t>since December 20</w:t>
      </w:r>
      <w:r w:rsidR="009D5566" w:rsidRPr="4721EDED">
        <w:rPr>
          <w:rFonts w:ascii="Helvetica" w:hAnsi="Helvetica" w:cs="Helvetica"/>
        </w:rPr>
        <w:t xml:space="preserve"> have ranged between approximately 40 and 6</w:t>
      </w:r>
      <w:r w:rsidR="00864484" w:rsidRPr="4721EDED">
        <w:rPr>
          <w:rFonts w:ascii="Helvetica" w:hAnsi="Helvetica" w:cs="Helvetica"/>
        </w:rPr>
        <w:t>5</w:t>
      </w:r>
      <w:r w:rsidR="009D5566" w:rsidRPr="4721EDED">
        <w:rPr>
          <w:rFonts w:ascii="Helvetica" w:hAnsi="Helvetica" w:cs="Helvetica"/>
        </w:rPr>
        <w:t xml:space="preserve"> per month.  </w:t>
      </w:r>
    </w:p>
    <w:p w14:paraId="79E3056D" w14:textId="38DAEFA6" w:rsidR="009D5566" w:rsidRDefault="009D5566" w:rsidP="00C41717">
      <w:pPr>
        <w:jc w:val="both"/>
        <w:rPr>
          <w:rFonts w:ascii="Helvetica" w:hAnsi="Helvetica" w:cs="Helvetica"/>
        </w:rPr>
      </w:pPr>
    </w:p>
    <w:p w14:paraId="13DD8B0B" w14:textId="5DB438BC" w:rsidR="009D5566" w:rsidRDefault="009D5566" w:rsidP="00C41717">
      <w:pPr>
        <w:jc w:val="both"/>
        <w:rPr>
          <w:rFonts w:ascii="Helvetica" w:hAnsi="Helvetica" w:cs="Helvetica"/>
        </w:rPr>
      </w:pPr>
      <w:r>
        <w:rPr>
          <w:rFonts w:ascii="Helvetica" w:hAnsi="Helvetica" w:cs="Helvetica"/>
        </w:rPr>
        <w:t xml:space="preserve">There were </w:t>
      </w:r>
      <w:r w:rsidR="005A28A2">
        <w:rPr>
          <w:rFonts w:ascii="Helvetica" w:hAnsi="Helvetica" w:cs="Helvetica"/>
        </w:rPr>
        <w:t>2</w:t>
      </w:r>
      <w:r w:rsidR="00F70C5B">
        <w:rPr>
          <w:rFonts w:ascii="Helvetica" w:hAnsi="Helvetica" w:cs="Helvetica"/>
        </w:rPr>
        <w:t>55</w:t>
      </w:r>
      <w:r w:rsidR="006A3227" w:rsidRPr="008549F3">
        <w:rPr>
          <w:rFonts w:ascii="Helvetica" w:hAnsi="Helvetica" w:cs="Helvetica"/>
        </w:rPr>
        <w:t xml:space="preserve"> </w:t>
      </w:r>
      <w:r>
        <w:rPr>
          <w:rFonts w:ascii="Helvetica" w:hAnsi="Helvetica" w:cs="Helvetica"/>
        </w:rPr>
        <w:t xml:space="preserve">decisions made </w:t>
      </w:r>
      <w:r w:rsidR="004722A8" w:rsidRPr="008549F3">
        <w:rPr>
          <w:rFonts w:ascii="Helvetica" w:hAnsi="Helvetica" w:cs="Helvetica"/>
        </w:rPr>
        <w:t>on</w:t>
      </w:r>
      <w:r w:rsidR="006A3227" w:rsidRPr="008549F3">
        <w:rPr>
          <w:rFonts w:ascii="Helvetica" w:hAnsi="Helvetica" w:cs="Helvetica"/>
        </w:rPr>
        <w:t xml:space="preserve"> inquiries. </w:t>
      </w:r>
      <w:r w:rsidR="00F70C5B">
        <w:rPr>
          <w:rFonts w:ascii="Helvetica" w:hAnsi="Helvetica" w:cs="Helvetica"/>
        </w:rPr>
        <w:t>The number of inquiries decided in M</w:t>
      </w:r>
      <w:r w:rsidR="00575C34">
        <w:rPr>
          <w:rFonts w:ascii="Helvetica" w:hAnsi="Helvetica" w:cs="Helvetica"/>
        </w:rPr>
        <w:t xml:space="preserve">ay 21 </w:t>
      </w:r>
      <w:r w:rsidR="00C86633">
        <w:rPr>
          <w:rFonts w:ascii="Helvetica" w:hAnsi="Helvetica" w:cs="Helvetica"/>
        </w:rPr>
        <w:t xml:space="preserve">(53) </w:t>
      </w:r>
      <w:r w:rsidR="00575C34">
        <w:rPr>
          <w:rFonts w:ascii="Helvetica" w:hAnsi="Helvetica" w:cs="Helvetica"/>
        </w:rPr>
        <w:t xml:space="preserve">was the highest in the last 12 months.  </w:t>
      </w:r>
    </w:p>
    <w:p w14:paraId="6CDD59FB" w14:textId="77777777" w:rsidR="009D5566" w:rsidRDefault="009D5566" w:rsidP="00C41717">
      <w:pPr>
        <w:jc w:val="both"/>
        <w:rPr>
          <w:rFonts w:ascii="Helvetica" w:hAnsi="Helvetica" w:cs="Helvetica"/>
        </w:rPr>
      </w:pPr>
    </w:p>
    <w:p w14:paraId="1CD7C059" w14:textId="05B6E642" w:rsidR="00623606" w:rsidRPr="000A1166" w:rsidRDefault="006A3227" w:rsidP="00623606">
      <w:pPr>
        <w:spacing w:after="120"/>
        <w:rPr>
          <w:rFonts w:ascii="Helvetica" w:hAnsi="Helvetica" w:cs="Helvetica"/>
        </w:rPr>
      </w:pPr>
      <w:r w:rsidRPr="00602DD9">
        <w:rPr>
          <w:rFonts w:ascii="Helvetica" w:hAnsi="Helvetica" w:cs="Helvetica"/>
        </w:rPr>
        <w:t xml:space="preserve">Table </w:t>
      </w:r>
      <w:r w:rsidR="009233FA" w:rsidRPr="00602DD9">
        <w:rPr>
          <w:rFonts w:ascii="Helvetica" w:hAnsi="Helvetica" w:cs="Helvetica"/>
        </w:rPr>
        <w:t>4</w:t>
      </w:r>
      <w:r w:rsidRPr="00602DD9">
        <w:rPr>
          <w:rFonts w:ascii="Helvetica" w:hAnsi="Helvetica" w:cs="Helvetica"/>
        </w:rPr>
        <w:t>: Appeal Decisions by procedure</w:t>
      </w:r>
      <w:r w:rsidR="00281F99" w:rsidRPr="00602DD9">
        <w:rPr>
          <w:rFonts w:ascii="Helvetica" w:hAnsi="Helvetica" w:cs="Helvetica"/>
        </w:rPr>
        <w:t xml:space="preserve"> and </w:t>
      </w:r>
      <w:r w:rsidR="000D3ED8" w:rsidRPr="00602DD9">
        <w:rPr>
          <w:rFonts w:ascii="Helvetica" w:hAnsi="Helvetica" w:cs="Helvetica"/>
        </w:rPr>
        <w:t xml:space="preserve">casework </w:t>
      </w:r>
      <w:r w:rsidR="00281F99" w:rsidRPr="00602DD9">
        <w:rPr>
          <w:rFonts w:ascii="Helvetica" w:hAnsi="Helvetica" w:cs="Helvetica"/>
        </w:rPr>
        <w:t>category</w:t>
      </w:r>
      <w:r w:rsidR="0060758C" w:rsidRPr="00602DD9">
        <w:rPr>
          <w:rFonts w:ascii="Helvetica" w:hAnsi="Helvetica" w:cs="Helvetica"/>
        </w:rPr>
        <w:t xml:space="preserve">; </w:t>
      </w:r>
      <w:r w:rsidR="000A1166" w:rsidRPr="00602DD9">
        <w:rPr>
          <w:rFonts w:ascii="Helvetica" w:hAnsi="Helvetica" w:cs="Helvetica"/>
        </w:rPr>
        <w:t>Jun</w:t>
      </w:r>
      <w:r w:rsidR="00AE6742" w:rsidRPr="00602DD9">
        <w:rPr>
          <w:rFonts w:ascii="Helvetica" w:hAnsi="Helvetica" w:cs="Helvetica"/>
        </w:rPr>
        <w:t xml:space="preserve"> 20 to </w:t>
      </w:r>
      <w:r w:rsidR="000A1166" w:rsidRPr="00602DD9">
        <w:rPr>
          <w:rFonts w:ascii="Helvetica" w:hAnsi="Helvetica" w:cs="Helvetica"/>
        </w:rPr>
        <w:t>May</w:t>
      </w:r>
      <w:r w:rsidR="00AE6742" w:rsidRPr="00602DD9">
        <w:rPr>
          <w:rFonts w:ascii="Helvetica" w:hAnsi="Helvetica" w:cs="Helvetica"/>
        </w:rPr>
        <w:t xml:space="preserve"> 21</w:t>
      </w:r>
    </w:p>
    <w:tbl>
      <w:tblPr>
        <w:tblW w:w="0" w:type="auto"/>
        <w:tblLook w:val="0000" w:firstRow="0" w:lastRow="0" w:firstColumn="0" w:lastColumn="0" w:noHBand="0" w:noVBand="0"/>
      </w:tblPr>
      <w:tblGrid>
        <w:gridCol w:w="1281"/>
        <w:gridCol w:w="640"/>
        <w:gridCol w:w="641"/>
        <w:gridCol w:w="640"/>
        <w:gridCol w:w="641"/>
        <w:gridCol w:w="640"/>
        <w:gridCol w:w="641"/>
        <w:gridCol w:w="640"/>
        <w:gridCol w:w="641"/>
        <w:gridCol w:w="640"/>
        <w:gridCol w:w="641"/>
        <w:gridCol w:w="640"/>
        <w:gridCol w:w="641"/>
        <w:gridCol w:w="662"/>
      </w:tblGrid>
      <w:tr w:rsidR="009D5CAF" w14:paraId="785C55BD" w14:textId="77777777" w:rsidTr="009975B9">
        <w:trPr>
          <w:trHeight w:val="374"/>
        </w:trPr>
        <w:tc>
          <w:tcPr>
            <w:tcW w:w="1281" w:type="dxa"/>
            <w:tcBorders>
              <w:top w:val="single" w:sz="4" w:space="0" w:color="auto"/>
              <w:left w:val="single" w:sz="4" w:space="0" w:color="auto"/>
              <w:bottom w:val="single" w:sz="4" w:space="0" w:color="auto"/>
              <w:right w:val="single" w:sz="4" w:space="0" w:color="auto"/>
            </w:tcBorders>
            <w:vAlign w:val="center"/>
          </w:tcPr>
          <w:p w14:paraId="3D5C3CEA" w14:textId="77777777" w:rsidR="009D5CAF" w:rsidRDefault="009D5CAF" w:rsidP="009D5CAF">
            <w:pPr>
              <w:rPr>
                <w:rFonts w:ascii="Calibri" w:eastAsiaTheme="minorEastAsia" w:hAnsi="Calibri" w:cs="Calibri"/>
                <w:color w:val="000000" w:themeColor="text1"/>
                <w:sz w:val="16"/>
                <w:szCs w:val="16"/>
                <w:lang w:eastAsia="en-US"/>
              </w:rPr>
            </w:pPr>
            <w:r w:rsidRPr="3DBE52B5">
              <w:rPr>
                <w:rFonts w:ascii="Calibri" w:eastAsiaTheme="minorEastAsia" w:hAnsi="Calibri" w:cs="Calibri"/>
                <w:color w:val="000000" w:themeColor="text1"/>
                <w:sz w:val="16"/>
                <w:szCs w:val="16"/>
                <w:lang w:eastAsia="en-US"/>
              </w:rPr>
              <w:t>Month</w:t>
            </w:r>
          </w:p>
        </w:tc>
        <w:tc>
          <w:tcPr>
            <w:tcW w:w="640" w:type="dxa"/>
            <w:tcBorders>
              <w:top w:val="single" w:sz="4" w:space="0" w:color="auto"/>
              <w:left w:val="single" w:sz="4" w:space="0" w:color="auto"/>
              <w:bottom w:val="single" w:sz="4" w:space="0" w:color="auto"/>
              <w:right w:val="nil"/>
            </w:tcBorders>
            <w:vAlign w:val="center"/>
          </w:tcPr>
          <w:p w14:paraId="18C7A496" w14:textId="3271406C"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41" w:type="dxa"/>
            <w:tcBorders>
              <w:top w:val="single" w:sz="4" w:space="0" w:color="auto"/>
              <w:left w:val="nil"/>
              <w:bottom w:val="single" w:sz="4" w:space="0" w:color="auto"/>
              <w:right w:val="nil"/>
            </w:tcBorders>
            <w:vAlign w:val="center"/>
          </w:tcPr>
          <w:p w14:paraId="5690BBB2" w14:textId="3B5C6CBB"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40" w:type="dxa"/>
            <w:tcBorders>
              <w:top w:val="single" w:sz="4" w:space="0" w:color="auto"/>
              <w:left w:val="nil"/>
              <w:bottom w:val="single" w:sz="4" w:space="0" w:color="auto"/>
              <w:right w:val="nil"/>
            </w:tcBorders>
            <w:vAlign w:val="center"/>
          </w:tcPr>
          <w:p w14:paraId="5208D9E0" w14:textId="7342656E"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41" w:type="dxa"/>
            <w:tcBorders>
              <w:top w:val="single" w:sz="4" w:space="0" w:color="auto"/>
              <w:left w:val="nil"/>
              <w:bottom w:val="single" w:sz="4" w:space="0" w:color="auto"/>
              <w:right w:val="nil"/>
            </w:tcBorders>
            <w:vAlign w:val="center"/>
          </w:tcPr>
          <w:p w14:paraId="510897D9" w14:textId="31AA4F9D"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40" w:type="dxa"/>
            <w:tcBorders>
              <w:top w:val="single" w:sz="4" w:space="0" w:color="auto"/>
              <w:left w:val="nil"/>
              <w:bottom w:val="single" w:sz="4" w:space="0" w:color="auto"/>
              <w:right w:val="nil"/>
            </w:tcBorders>
            <w:vAlign w:val="center"/>
          </w:tcPr>
          <w:p w14:paraId="3C3A835F" w14:textId="06774F2B"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41" w:type="dxa"/>
            <w:tcBorders>
              <w:top w:val="single" w:sz="4" w:space="0" w:color="auto"/>
              <w:left w:val="nil"/>
              <w:bottom w:val="single" w:sz="4" w:space="0" w:color="auto"/>
              <w:right w:val="nil"/>
            </w:tcBorders>
            <w:vAlign w:val="center"/>
          </w:tcPr>
          <w:p w14:paraId="1EE7EC87" w14:textId="617A94A6"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40" w:type="dxa"/>
            <w:tcBorders>
              <w:top w:val="single" w:sz="4" w:space="0" w:color="auto"/>
              <w:left w:val="nil"/>
              <w:bottom w:val="single" w:sz="4" w:space="0" w:color="auto"/>
              <w:right w:val="nil"/>
            </w:tcBorders>
            <w:vAlign w:val="center"/>
          </w:tcPr>
          <w:p w14:paraId="7B85481F" w14:textId="0AE72970"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41" w:type="dxa"/>
            <w:tcBorders>
              <w:top w:val="single" w:sz="4" w:space="0" w:color="auto"/>
              <w:left w:val="nil"/>
              <w:bottom w:val="single" w:sz="4" w:space="0" w:color="auto"/>
              <w:right w:val="nil"/>
            </w:tcBorders>
            <w:vAlign w:val="center"/>
          </w:tcPr>
          <w:p w14:paraId="4473EB4D" w14:textId="256854C2"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40" w:type="dxa"/>
            <w:tcBorders>
              <w:top w:val="single" w:sz="4" w:space="0" w:color="auto"/>
              <w:left w:val="nil"/>
              <w:bottom w:val="single" w:sz="4" w:space="0" w:color="auto"/>
              <w:right w:val="nil"/>
            </w:tcBorders>
            <w:vAlign w:val="center"/>
          </w:tcPr>
          <w:p w14:paraId="00FCE892" w14:textId="41837988" w:rsidR="009D5CAF"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41" w:type="dxa"/>
            <w:tcBorders>
              <w:top w:val="single" w:sz="4" w:space="0" w:color="auto"/>
              <w:left w:val="nil"/>
              <w:bottom w:val="single" w:sz="4" w:space="0" w:color="auto"/>
              <w:right w:val="nil"/>
            </w:tcBorders>
            <w:vAlign w:val="center"/>
          </w:tcPr>
          <w:p w14:paraId="4902F640" w14:textId="2C403526" w:rsidR="009D5CAF"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40" w:type="dxa"/>
            <w:tcBorders>
              <w:top w:val="single" w:sz="4" w:space="0" w:color="auto"/>
              <w:left w:val="nil"/>
              <w:bottom w:val="single" w:sz="4" w:space="0" w:color="auto"/>
              <w:right w:val="nil"/>
            </w:tcBorders>
            <w:vAlign w:val="center"/>
          </w:tcPr>
          <w:p w14:paraId="209DD7E4" w14:textId="5D1DE084" w:rsidR="009D5CAF"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Apr</w:t>
            </w:r>
            <w:r w:rsidRPr="00761EA3">
              <w:rPr>
                <w:rFonts w:ascii="Calibri" w:hAnsi="Calibri" w:cs="Calibri"/>
                <w:color w:val="000000"/>
                <w:sz w:val="14"/>
                <w:szCs w:val="14"/>
              </w:rPr>
              <w:t xml:space="preserve"> 21</w:t>
            </w:r>
          </w:p>
        </w:tc>
        <w:tc>
          <w:tcPr>
            <w:tcW w:w="641" w:type="dxa"/>
            <w:tcBorders>
              <w:top w:val="single" w:sz="4" w:space="0" w:color="auto"/>
              <w:left w:val="nil"/>
              <w:bottom w:val="single" w:sz="4" w:space="0" w:color="auto"/>
              <w:right w:val="single" w:sz="4" w:space="0" w:color="auto"/>
            </w:tcBorders>
            <w:vAlign w:val="center"/>
          </w:tcPr>
          <w:p w14:paraId="4398BF10" w14:textId="1A36499C" w:rsidR="009D5CAF"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May</w:t>
            </w:r>
            <w:r w:rsidRPr="00761EA3">
              <w:rPr>
                <w:rFonts w:ascii="Calibri" w:hAnsi="Calibri" w:cs="Calibri"/>
                <w:color w:val="000000"/>
                <w:sz w:val="14"/>
                <w:szCs w:val="14"/>
              </w:rPr>
              <w:t xml:space="preserve"> 21</w:t>
            </w:r>
          </w:p>
        </w:tc>
        <w:tc>
          <w:tcPr>
            <w:tcW w:w="662" w:type="dxa"/>
            <w:tcBorders>
              <w:top w:val="single" w:sz="4" w:space="0" w:color="auto"/>
              <w:left w:val="single" w:sz="4" w:space="0" w:color="auto"/>
              <w:bottom w:val="single" w:sz="4" w:space="0" w:color="auto"/>
              <w:right w:val="single" w:sz="4" w:space="0" w:color="auto"/>
            </w:tcBorders>
            <w:vAlign w:val="center"/>
          </w:tcPr>
          <w:p w14:paraId="428D0F79" w14:textId="77777777" w:rsidR="009D5CAF" w:rsidRDefault="009D5CAF" w:rsidP="009D5CAF">
            <w:pPr>
              <w:jc w:val="right"/>
              <w:rPr>
                <w:rFonts w:ascii="Calibri" w:eastAsiaTheme="minorEastAsia" w:hAnsi="Calibri" w:cs="Calibri"/>
                <w:color w:val="000000" w:themeColor="text1"/>
                <w:sz w:val="16"/>
                <w:szCs w:val="16"/>
                <w:lang w:eastAsia="en-US"/>
              </w:rPr>
            </w:pPr>
            <w:r w:rsidRPr="3DBE52B5">
              <w:rPr>
                <w:rFonts w:ascii="Calibri" w:eastAsiaTheme="minorEastAsia" w:hAnsi="Calibri" w:cs="Calibri"/>
                <w:color w:val="000000" w:themeColor="text1"/>
                <w:sz w:val="16"/>
                <w:szCs w:val="16"/>
                <w:lang w:eastAsia="en-US"/>
              </w:rPr>
              <w:t>Total</w:t>
            </w:r>
          </w:p>
        </w:tc>
      </w:tr>
      <w:tr w:rsidR="00701817" w14:paraId="477036F1" w14:textId="77777777" w:rsidTr="00C75665">
        <w:trPr>
          <w:trHeight w:val="365"/>
        </w:trPr>
        <w:tc>
          <w:tcPr>
            <w:tcW w:w="1281" w:type="dxa"/>
            <w:tcBorders>
              <w:top w:val="single" w:sz="4" w:space="0" w:color="auto"/>
              <w:left w:val="single" w:sz="4" w:space="0" w:color="auto"/>
              <w:bottom w:val="nil"/>
              <w:right w:val="single" w:sz="4" w:space="0" w:color="auto"/>
            </w:tcBorders>
            <w:vAlign w:val="center"/>
          </w:tcPr>
          <w:p w14:paraId="06CD213D" w14:textId="42F02F33" w:rsidR="00701817" w:rsidRDefault="00701817" w:rsidP="00701817">
            <w:pPr>
              <w:rPr>
                <w:rFonts w:ascii="Calibri" w:eastAsiaTheme="minorEastAsia" w:hAnsi="Calibri" w:cs="Calibri"/>
                <w:color w:val="000000" w:themeColor="text1"/>
                <w:sz w:val="16"/>
                <w:szCs w:val="16"/>
                <w:lang w:eastAsia="en-US"/>
              </w:rPr>
            </w:pPr>
            <w:r w:rsidRPr="4AE09DBC">
              <w:rPr>
                <w:rFonts w:ascii="Calibri" w:eastAsiaTheme="minorEastAsia" w:hAnsi="Calibri" w:cs="Calibri"/>
                <w:color w:val="000000" w:themeColor="text1"/>
                <w:sz w:val="16"/>
                <w:szCs w:val="16"/>
                <w:lang w:eastAsia="en-US"/>
              </w:rPr>
              <w:t xml:space="preserve">Written </w:t>
            </w:r>
            <w:r w:rsidRPr="39A53765">
              <w:rPr>
                <w:rFonts w:ascii="Calibri" w:eastAsiaTheme="minorEastAsia" w:hAnsi="Calibri" w:cs="Calibri"/>
                <w:color w:val="000000" w:themeColor="text1"/>
                <w:sz w:val="16"/>
                <w:szCs w:val="16"/>
                <w:lang w:eastAsia="en-US"/>
              </w:rPr>
              <w:t>Representatio</w:t>
            </w:r>
            <w:r>
              <w:rPr>
                <w:rFonts w:ascii="Calibri" w:eastAsiaTheme="minorEastAsia" w:hAnsi="Calibri" w:cs="Calibri"/>
                <w:color w:val="000000" w:themeColor="text1"/>
                <w:sz w:val="16"/>
                <w:szCs w:val="16"/>
                <w:lang w:eastAsia="en-US"/>
              </w:rPr>
              <w:t>n</w:t>
            </w:r>
            <w:r w:rsidRPr="39A53765">
              <w:rPr>
                <w:rFonts w:ascii="Calibri" w:eastAsiaTheme="minorEastAsia" w:hAnsi="Calibri" w:cs="Calibri"/>
                <w:color w:val="000000" w:themeColor="text1"/>
                <w:sz w:val="16"/>
                <w:szCs w:val="16"/>
                <w:lang w:eastAsia="en-US"/>
              </w:rPr>
              <w:t>s</w:t>
            </w:r>
          </w:p>
        </w:tc>
        <w:tc>
          <w:tcPr>
            <w:tcW w:w="640" w:type="dxa"/>
            <w:tcBorders>
              <w:top w:val="nil"/>
              <w:left w:val="nil"/>
              <w:bottom w:val="nil"/>
              <w:right w:val="nil"/>
            </w:tcBorders>
            <w:shd w:val="clear" w:color="auto" w:fill="auto"/>
            <w:vAlign w:val="center"/>
          </w:tcPr>
          <w:p w14:paraId="2666166A" w14:textId="2D9F7D8B"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1,157 </w:t>
            </w:r>
          </w:p>
        </w:tc>
        <w:tc>
          <w:tcPr>
            <w:tcW w:w="641" w:type="dxa"/>
            <w:tcBorders>
              <w:top w:val="nil"/>
              <w:left w:val="nil"/>
              <w:bottom w:val="nil"/>
              <w:right w:val="nil"/>
            </w:tcBorders>
            <w:shd w:val="clear" w:color="auto" w:fill="auto"/>
            <w:vAlign w:val="center"/>
          </w:tcPr>
          <w:p w14:paraId="01D3DC4F" w14:textId="4FD7800B"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1,410 </w:t>
            </w:r>
          </w:p>
        </w:tc>
        <w:tc>
          <w:tcPr>
            <w:tcW w:w="640" w:type="dxa"/>
            <w:tcBorders>
              <w:top w:val="nil"/>
              <w:left w:val="nil"/>
              <w:bottom w:val="nil"/>
              <w:right w:val="nil"/>
            </w:tcBorders>
            <w:shd w:val="clear" w:color="auto" w:fill="auto"/>
            <w:vAlign w:val="center"/>
          </w:tcPr>
          <w:p w14:paraId="5B7C7E7B" w14:textId="0551BFFF"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1,230 </w:t>
            </w:r>
          </w:p>
        </w:tc>
        <w:tc>
          <w:tcPr>
            <w:tcW w:w="641" w:type="dxa"/>
            <w:tcBorders>
              <w:top w:val="nil"/>
              <w:left w:val="nil"/>
              <w:bottom w:val="nil"/>
              <w:right w:val="nil"/>
            </w:tcBorders>
            <w:shd w:val="clear" w:color="auto" w:fill="auto"/>
            <w:vAlign w:val="center"/>
          </w:tcPr>
          <w:p w14:paraId="70334D76" w14:textId="72BB1311"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1,543 </w:t>
            </w:r>
          </w:p>
        </w:tc>
        <w:tc>
          <w:tcPr>
            <w:tcW w:w="640" w:type="dxa"/>
            <w:tcBorders>
              <w:top w:val="nil"/>
              <w:left w:val="nil"/>
              <w:bottom w:val="nil"/>
              <w:right w:val="nil"/>
            </w:tcBorders>
            <w:shd w:val="clear" w:color="auto" w:fill="auto"/>
            <w:vAlign w:val="center"/>
          </w:tcPr>
          <w:p w14:paraId="37F0BE8A" w14:textId="1D4092F7"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1,918 </w:t>
            </w:r>
          </w:p>
        </w:tc>
        <w:tc>
          <w:tcPr>
            <w:tcW w:w="641" w:type="dxa"/>
            <w:tcBorders>
              <w:top w:val="nil"/>
              <w:left w:val="nil"/>
              <w:bottom w:val="nil"/>
              <w:right w:val="nil"/>
            </w:tcBorders>
            <w:shd w:val="clear" w:color="auto" w:fill="auto"/>
            <w:vAlign w:val="center"/>
          </w:tcPr>
          <w:p w14:paraId="069A5A62" w14:textId="755BCDC7"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1,672 </w:t>
            </w:r>
          </w:p>
        </w:tc>
        <w:tc>
          <w:tcPr>
            <w:tcW w:w="640" w:type="dxa"/>
            <w:tcBorders>
              <w:top w:val="nil"/>
              <w:left w:val="nil"/>
              <w:bottom w:val="nil"/>
              <w:right w:val="nil"/>
            </w:tcBorders>
            <w:shd w:val="clear" w:color="auto" w:fill="auto"/>
            <w:vAlign w:val="center"/>
          </w:tcPr>
          <w:p w14:paraId="27C9AF3A" w14:textId="3F938DB6"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1,612 </w:t>
            </w:r>
          </w:p>
        </w:tc>
        <w:tc>
          <w:tcPr>
            <w:tcW w:w="641" w:type="dxa"/>
            <w:tcBorders>
              <w:top w:val="nil"/>
              <w:left w:val="nil"/>
              <w:bottom w:val="nil"/>
              <w:right w:val="nil"/>
            </w:tcBorders>
            <w:shd w:val="clear" w:color="auto" w:fill="auto"/>
            <w:vAlign w:val="center"/>
          </w:tcPr>
          <w:p w14:paraId="6B41D21F" w14:textId="7C04DD76"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1,329 </w:t>
            </w:r>
          </w:p>
        </w:tc>
        <w:tc>
          <w:tcPr>
            <w:tcW w:w="640" w:type="dxa"/>
            <w:tcBorders>
              <w:top w:val="nil"/>
              <w:left w:val="nil"/>
              <w:bottom w:val="nil"/>
              <w:right w:val="nil"/>
            </w:tcBorders>
            <w:shd w:val="clear" w:color="auto" w:fill="auto"/>
            <w:vAlign w:val="center"/>
          </w:tcPr>
          <w:p w14:paraId="4572F45A" w14:textId="69A72DCE"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1,384 </w:t>
            </w:r>
          </w:p>
        </w:tc>
        <w:tc>
          <w:tcPr>
            <w:tcW w:w="641" w:type="dxa"/>
            <w:tcBorders>
              <w:top w:val="nil"/>
              <w:left w:val="nil"/>
              <w:bottom w:val="nil"/>
              <w:right w:val="nil"/>
            </w:tcBorders>
            <w:shd w:val="clear" w:color="auto" w:fill="auto"/>
            <w:vAlign w:val="center"/>
          </w:tcPr>
          <w:p w14:paraId="2EBD4DDD" w14:textId="7E28165E"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1,526 </w:t>
            </w:r>
          </w:p>
        </w:tc>
        <w:tc>
          <w:tcPr>
            <w:tcW w:w="640" w:type="dxa"/>
            <w:tcBorders>
              <w:top w:val="nil"/>
              <w:left w:val="nil"/>
              <w:bottom w:val="nil"/>
              <w:right w:val="nil"/>
            </w:tcBorders>
            <w:shd w:val="clear" w:color="auto" w:fill="auto"/>
            <w:vAlign w:val="center"/>
          </w:tcPr>
          <w:p w14:paraId="5A9B68D3" w14:textId="22844487"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994 </w:t>
            </w:r>
          </w:p>
        </w:tc>
        <w:tc>
          <w:tcPr>
            <w:tcW w:w="641" w:type="dxa"/>
            <w:tcBorders>
              <w:top w:val="nil"/>
              <w:left w:val="nil"/>
              <w:bottom w:val="nil"/>
              <w:right w:val="single" w:sz="4" w:space="0" w:color="auto"/>
            </w:tcBorders>
            <w:shd w:val="clear" w:color="auto" w:fill="auto"/>
            <w:vAlign w:val="center"/>
          </w:tcPr>
          <w:p w14:paraId="4BE412AC" w14:textId="1A5FEAE6"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1,393 </w:t>
            </w:r>
          </w:p>
        </w:tc>
        <w:tc>
          <w:tcPr>
            <w:tcW w:w="662" w:type="dxa"/>
            <w:tcBorders>
              <w:top w:val="nil"/>
              <w:left w:val="single" w:sz="4" w:space="0" w:color="auto"/>
              <w:bottom w:val="nil"/>
              <w:right w:val="single" w:sz="4" w:space="0" w:color="auto"/>
            </w:tcBorders>
            <w:shd w:val="clear" w:color="auto" w:fill="auto"/>
            <w:vAlign w:val="center"/>
          </w:tcPr>
          <w:p w14:paraId="1645E7C8" w14:textId="64D80E97"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17,168 </w:t>
            </w:r>
          </w:p>
        </w:tc>
      </w:tr>
      <w:tr w:rsidR="00701817" w14:paraId="456C83F5" w14:textId="77777777" w:rsidTr="00C75665">
        <w:trPr>
          <w:trHeight w:val="365"/>
        </w:trPr>
        <w:tc>
          <w:tcPr>
            <w:tcW w:w="1281" w:type="dxa"/>
            <w:tcBorders>
              <w:top w:val="nil"/>
              <w:left w:val="single" w:sz="4" w:space="0" w:color="auto"/>
              <w:right w:val="single" w:sz="4" w:space="0" w:color="auto"/>
            </w:tcBorders>
            <w:vAlign w:val="center"/>
          </w:tcPr>
          <w:p w14:paraId="6336A7A2" w14:textId="77C938FE" w:rsidR="00701817" w:rsidRDefault="00701817" w:rsidP="00701817">
            <w:pPr>
              <w:rPr>
                <w:rFonts w:ascii="Calibri" w:eastAsiaTheme="minorEastAsia" w:hAnsi="Calibri" w:cs="Calibri"/>
                <w:color w:val="000000" w:themeColor="text1"/>
                <w:sz w:val="16"/>
                <w:szCs w:val="16"/>
                <w:lang w:eastAsia="en-US"/>
              </w:rPr>
            </w:pPr>
            <w:r w:rsidRPr="6913F2BD">
              <w:rPr>
                <w:rFonts w:ascii="Calibri" w:eastAsiaTheme="minorEastAsia" w:hAnsi="Calibri" w:cs="Calibri"/>
                <w:color w:val="000000" w:themeColor="text1"/>
                <w:sz w:val="16"/>
                <w:szCs w:val="16"/>
                <w:lang w:eastAsia="en-US"/>
              </w:rPr>
              <w:t>Hearings</w:t>
            </w:r>
          </w:p>
        </w:tc>
        <w:tc>
          <w:tcPr>
            <w:tcW w:w="640" w:type="dxa"/>
            <w:tcBorders>
              <w:top w:val="nil"/>
              <w:left w:val="nil"/>
              <w:bottom w:val="nil"/>
              <w:right w:val="nil"/>
            </w:tcBorders>
            <w:shd w:val="clear" w:color="auto" w:fill="auto"/>
            <w:vAlign w:val="center"/>
          </w:tcPr>
          <w:p w14:paraId="2B2710A1" w14:textId="1684FB8E"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13 </w:t>
            </w:r>
          </w:p>
        </w:tc>
        <w:tc>
          <w:tcPr>
            <w:tcW w:w="641" w:type="dxa"/>
            <w:tcBorders>
              <w:top w:val="nil"/>
              <w:left w:val="nil"/>
              <w:bottom w:val="nil"/>
              <w:right w:val="nil"/>
            </w:tcBorders>
            <w:shd w:val="clear" w:color="auto" w:fill="auto"/>
            <w:vAlign w:val="center"/>
          </w:tcPr>
          <w:p w14:paraId="687B8B1A" w14:textId="08EF4785"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16 </w:t>
            </w:r>
          </w:p>
        </w:tc>
        <w:tc>
          <w:tcPr>
            <w:tcW w:w="640" w:type="dxa"/>
            <w:tcBorders>
              <w:top w:val="nil"/>
              <w:left w:val="nil"/>
              <w:bottom w:val="nil"/>
              <w:right w:val="nil"/>
            </w:tcBorders>
            <w:shd w:val="clear" w:color="auto" w:fill="auto"/>
            <w:vAlign w:val="center"/>
          </w:tcPr>
          <w:p w14:paraId="1550AEF2" w14:textId="3B241415"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14 </w:t>
            </w:r>
          </w:p>
        </w:tc>
        <w:tc>
          <w:tcPr>
            <w:tcW w:w="641" w:type="dxa"/>
            <w:tcBorders>
              <w:top w:val="nil"/>
              <w:left w:val="nil"/>
              <w:bottom w:val="nil"/>
              <w:right w:val="nil"/>
            </w:tcBorders>
            <w:shd w:val="clear" w:color="auto" w:fill="auto"/>
            <w:vAlign w:val="center"/>
          </w:tcPr>
          <w:p w14:paraId="0DB3B77C" w14:textId="19036AE1"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21 </w:t>
            </w:r>
          </w:p>
        </w:tc>
        <w:tc>
          <w:tcPr>
            <w:tcW w:w="640" w:type="dxa"/>
            <w:tcBorders>
              <w:top w:val="nil"/>
              <w:left w:val="nil"/>
              <w:bottom w:val="nil"/>
              <w:right w:val="nil"/>
            </w:tcBorders>
            <w:shd w:val="clear" w:color="auto" w:fill="auto"/>
            <w:vAlign w:val="center"/>
          </w:tcPr>
          <w:p w14:paraId="0A6EA258" w14:textId="60C7A928"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40 </w:t>
            </w:r>
          </w:p>
        </w:tc>
        <w:tc>
          <w:tcPr>
            <w:tcW w:w="641" w:type="dxa"/>
            <w:tcBorders>
              <w:top w:val="nil"/>
              <w:left w:val="nil"/>
              <w:bottom w:val="nil"/>
              <w:right w:val="nil"/>
            </w:tcBorders>
            <w:shd w:val="clear" w:color="auto" w:fill="auto"/>
            <w:vAlign w:val="center"/>
          </w:tcPr>
          <w:p w14:paraId="4F56B8E5" w14:textId="1BEE21AA"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33 </w:t>
            </w:r>
          </w:p>
        </w:tc>
        <w:tc>
          <w:tcPr>
            <w:tcW w:w="640" w:type="dxa"/>
            <w:tcBorders>
              <w:top w:val="nil"/>
              <w:left w:val="nil"/>
              <w:bottom w:val="nil"/>
              <w:right w:val="nil"/>
            </w:tcBorders>
            <w:shd w:val="clear" w:color="auto" w:fill="auto"/>
            <w:vAlign w:val="center"/>
          </w:tcPr>
          <w:p w14:paraId="4E844938" w14:textId="2F0563A0"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60 </w:t>
            </w:r>
          </w:p>
        </w:tc>
        <w:tc>
          <w:tcPr>
            <w:tcW w:w="641" w:type="dxa"/>
            <w:tcBorders>
              <w:top w:val="nil"/>
              <w:left w:val="nil"/>
              <w:bottom w:val="nil"/>
              <w:right w:val="nil"/>
            </w:tcBorders>
            <w:shd w:val="clear" w:color="auto" w:fill="auto"/>
            <w:vAlign w:val="center"/>
          </w:tcPr>
          <w:p w14:paraId="2C8421CC" w14:textId="0706E5C6"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58 </w:t>
            </w:r>
          </w:p>
        </w:tc>
        <w:tc>
          <w:tcPr>
            <w:tcW w:w="640" w:type="dxa"/>
            <w:tcBorders>
              <w:top w:val="nil"/>
              <w:left w:val="nil"/>
              <w:bottom w:val="nil"/>
              <w:right w:val="nil"/>
            </w:tcBorders>
            <w:shd w:val="clear" w:color="auto" w:fill="auto"/>
            <w:vAlign w:val="center"/>
          </w:tcPr>
          <w:p w14:paraId="31516BD6" w14:textId="599FE307"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44 </w:t>
            </w:r>
          </w:p>
        </w:tc>
        <w:tc>
          <w:tcPr>
            <w:tcW w:w="641" w:type="dxa"/>
            <w:tcBorders>
              <w:top w:val="nil"/>
              <w:left w:val="nil"/>
              <w:bottom w:val="nil"/>
              <w:right w:val="nil"/>
            </w:tcBorders>
            <w:shd w:val="clear" w:color="auto" w:fill="auto"/>
            <w:vAlign w:val="center"/>
          </w:tcPr>
          <w:p w14:paraId="336F5E33" w14:textId="0EBA6DEE"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53 </w:t>
            </w:r>
          </w:p>
        </w:tc>
        <w:tc>
          <w:tcPr>
            <w:tcW w:w="640" w:type="dxa"/>
            <w:tcBorders>
              <w:top w:val="nil"/>
              <w:left w:val="nil"/>
              <w:bottom w:val="nil"/>
              <w:right w:val="nil"/>
            </w:tcBorders>
            <w:shd w:val="clear" w:color="auto" w:fill="auto"/>
            <w:vAlign w:val="center"/>
          </w:tcPr>
          <w:p w14:paraId="08329863" w14:textId="37E96A9A"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52 </w:t>
            </w:r>
          </w:p>
        </w:tc>
        <w:tc>
          <w:tcPr>
            <w:tcW w:w="641" w:type="dxa"/>
            <w:tcBorders>
              <w:top w:val="nil"/>
              <w:left w:val="nil"/>
              <w:bottom w:val="nil"/>
              <w:right w:val="single" w:sz="4" w:space="0" w:color="auto"/>
            </w:tcBorders>
            <w:shd w:val="clear" w:color="auto" w:fill="auto"/>
            <w:vAlign w:val="center"/>
          </w:tcPr>
          <w:p w14:paraId="65C962F1" w14:textId="43549CA1"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65 </w:t>
            </w:r>
          </w:p>
        </w:tc>
        <w:tc>
          <w:tcPr>
            <w:tcW w:w="662" w:type="dxa"/>
            <w:tcBorders>
              <w:top w:val="nil"/>
              <w:left w:val="single" w:sz="4" w:space="0" w:color="auto"/>
              <w:bottom w:val="nil"/>
              <w:right w:val="single" w:sz="4" w:space="0" w:color="auto"/>
            </w:tcBorders>
            <w:shd w:val="clear" w:color="auto" w:fill="auto"/>
            <w:vAlign w:val="center"/>
          </w:tcPr>
          <w:p w14:paraId="317DF37D" w14:textId="72BE62C3"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469 </w:t>
            </w:r>
          </w:p>
        </w:tc>
      </w:tr>
      <w:tr w:rsidR="00701817" w14:paraId="6D0972CE" w14:textId="77777777" w:rsidTr="00C75665">
        <w:trPr>
          <w:trHeight w:val="365"/>
        </w:trPr>
        <w:tc>
          <w:tcPr>
            <w:tcW w:w="1281" w:type="dxa"/>
            <w:tcBorders>
              <w:top w:val="nil"/>
              <w:left w:val="single" w:sz="4" w:space="0" w:color="auto"/>
              <w:bottom w:val="single" w:sz="4" w:space="0" w:color="auto"/>
              <w:right w:val="single" w:sz="4" w:space="0" w:color="auto"/>
            </w:tcBorders>
            <w:vAlign w:val="center"/>
          </w:tcPr>
          <w:p w14:paraId="2090A8ED" w14:textId="72CA8ED1" w:rsidR="00701817" w:rsidRDefault="00701817" w:rsidP="00701817">
            <w:pPr>
              <w:rPr>
                <w:rFonts w:ascii="Calibri" w:eastAsiaTheme="minorEastAsia" w:hAnsi="Calibri" w:cs="Calibri"/>
                <w:color w:val="000000" w:themeColor="text1"/>
                <w:sz w:val="16"/>
                <w:szCs w:val="16"/>
                <w:lang w:eastAsia="en-US"/>
              </w:rPr>
            </w:pPr>
            <w:r w:rsidRPr="6913F2BD">
              <w:rPr>
                <w:rFonts w:ascii="Calibri" w:eastAsiaTheme="minorEastAsia" w:hAnsi="Calibri" w:cs="Calibri"/>
                <w:color w:val="000000" w:themeColor="text1"/>
                <w:sz w:val="16"/>
                <w:szCs w:val="16"/>
                <w:lang w:eastAsia="en-US"/>
              </w:rPr>
              <w:t>Inquiries</w:t>
            </w:r>
          </w:p>
        </w:tc>
        <w:tc>
          <w:tcPr>
            <w:tcW w:w="640" w:type="dxa"/>
            <w:tcBorders>
              <w:top w:val="nil"/>
              <w:left w:val="nil"/>
              <w:bottom w:val="single" w:sz="4" w:space="0" w:color="auto"/>
              <w:right w:val="nil"/>
            </w:tcBorders>
            <w:shd w:val="clear" w:color="auto" w:fill="auto"/>
            <w:vAlign w:val="center"/>
          </w:tcPr>
          <w:p w14:paraId="4D47355F" w14:textId="4CBCC137"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10 </w:t>
            </w:r>
          </w:p>
        </w:tc>
        <w:tc>
          <w:tcPr>
            <w:tcW w:w="641" w:type="dxa"/>
            <w:tcBorders>
              <w:top w:val="nil"/>
              <w:left w:val="nil"/>
              <w:bottom w:val="single" w:sz="4" w:space="0" w:color="auto"/>
              <w:right w:val="nil"/>
            </w:tcBorders>
            <w:shd w:val="clear" w:color="auto" w:fill="auto"/>
            <w:vAlign w:val="center"/>
          </w:tcPr>
          <w:p w14:paraId="67D1ADB3" w14:textId="6109F72D"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5 </w:t>
            </w:r>
          </w:p>
        </w:tc>
        <w:tc>
          <w:tcPr>
            <w:tcW w:w="640" w:type="dxa"/>
            <w:tcBorders>
              <w:top w:val="nil"/>
              <w:left w:val="nil"/>
              <w:bottom w:val="single" w:sz="4" w:space="0" w:color="auto"/>
              <w:right w:val="nil"/>
            </w:tcBorders>
            <w:shd w:val="clear" w:color="auto" w:fill="auto"/>
            <w:vAlign w:val="center"/>
          </w:tcPr>
          <w:p w14:paraId="4F23D4FC" w14:textId="3592177C"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10 </w:t>
            </w:r>
          </w:p>
        </w:tc>
        <w:tc>
          <w:tcPr>
            <w:tcW w:w="641" w:type="dxa"/>
            <w:tcBorders>
              <w:top w:val="nil"/>
              <w:left w:val="nil"/>
              <w:bottom w:val="single" w:sz="4" w:space="0" w:color="auto"/>
              <w:right w:val="nil"/>
            </w:tcBorders>
            <w:shd w:val="clear" w:color="auto" w:fill="auto"/>
            <w:vAlign w:val="center"/>
          </w:tcPr>
          <w:p w14:paraId="0ED8CA50" w14:textId="78BF24D7"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7 </w:t>
            </w:r>
          </w:p>
        </w:tc>
        <w:tc>
          <w:tcPr>
            <w:tcW w:w="640" w:type="dxa"/>
            <w:tcBorders>
              <w:top w:val="nil"/>
              <w:left w:val="nil"/>
              <w:bottom w:val="single" w:sz="4" w:space="0" w:color="auto"/>
              <w:right w:val="nil"/>
            </w:tcBorders>
            <w:shd w:val="clear" w:color="auto" w:fill="auto"/>
            <w:vAlign w:val="center"/>
          </w:tcPr>
          <w:p w14:paraId="374537A3" w14:textId="0FF5058E"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13 </w:t>
            </w:r>
          </w:p>
        </w:tc>
        <w:tc>
          <w:tcPr>
            <w:tcW w:w="641" w:type="dxa"/>
            <w:tcBorders>
              <w:top w:val="nil"/>
              <w:left w:val="nil"/>
              <w:bottom w:val="single" w:sz="4" w:space="0" w:color="auto"/>
              <w:right w:val="nil"/>
            </w:tcBorders>
            <w:shd w:val="clear" w:color="auto" w:fill="auto"/>
            <w:vAlign w:val="center"/>
          </w:tcPr>
          <w:p w14:paraId="70CCAA7E" w14:textId="47A6AF02"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20 </w:t>
            </w:r>
          </w:p>
        </w:tc>
        <w:tc>
          <w:tcPr>
            <w:tcW w:w="640" w:type="dxa"/>
            <w:tcBorders>
              <w:top w:val="nil"/>
              <w:left w:val="nil"/>
              <w:bottom w:val="single" w:sz="4" w:space="0" w:color="auto"/>
              <w:right w:val="nil"/>
            </w:tcBorders>
            <w:shd w:val="clear" w:color="auto" w:fill="auto"/>
            <w:vAlign w:val="center"/>
          </w:tcPr>
          <w:p w14:paraId="06BADAE5" w14:textId="6DA87F06"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26 </w:t>
            </w:r>
          </w:p>
        </w:tc>
        <w:tc>
          <w:tcPr>
            <w:tcW w:w="641" w:type="dxa"/>
            <w:tcBorders>
              <w:top w:val="nil"/>
              <w:left w:val="nil"/>
              <w:bottom w:val="single" w:sz="4" w:space="0" w:color="auto"/>
              <w:right w:val="nil"/>
            </w:tcBorders>
            <w:shd w:val="clear" w:color="auto" w:fill="auto"/>
            <w:vAlign w:val="center"/>
          </w:tcPr>
          <w:p w14:paraId="00B69048" w14:textId="13A1136C"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24 </w:t>
            </w:r>
          </w:p>
        </w:tc>
        <w:tc>
          <w:tcPr>
            <w:tcW w:w="640" w:type="dxa"/>
            <w:tcBorders>
              <w:top w:val="nil"/>
              <w:left w:val="nil"/>
              <w:bottom w:val="single" w:sz="4" w:space="0" w:color="auto"/>
              <w:right w:val="nil"/>
            </w:tcBorders>
            <w:shd w:val="clear" w:color="auto" w:fill="auto"/>
            <w:vAlign w:val="center"/>
          </w:tcPr>
          <w:p w14:paraId="1D1C6208" w14:textId="3C9D26BC"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19 </w:t>
            </w:r>
          </w:p>
        </w:tc>
        <w:tc>
          <w:tcPr>
            <w:tcW w:w="641" w:type="dxa"/>
            <w:tcBorders>
              <w:top w:val="nil"/>
              <w:left w:val="nil"/>
              <w:bottom w:val="single" w:sz="4" w:space="0" w:color="auto"/>
              <w:right w:val="nil"/>
            </w:tcBorders>
            <w:shd w:val="clear" w:color="auto" w:fill="auto"/>
            <w:vAlign w:val="center"/>
          </w:tcPr>
          <w:p w14:paraId="7FD77B91" w14:textId="73141D55"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33 </w:t>
            </w:r>
          </w:p>
        </w:tc>
        <w:tc>
          <w:tcPr>
            <w:tcW w:w="640" w:type="dxa"/>
            <w:tcBorders>
              <w:top w:val="nil"/>
              <w:left w:val="nil"/>
              <w:bottom w:val="single" w:sz="4" w:space="0" w:color="auto"/>
              <w:right w:val="nil"/>
            </w:tcBorders>
            <w:shd w:val="clear" w:color="auto" w:fill="auto"/>
            <w:vAlign w:val="center"/>
          </w:tcPr>
          <w:p w14:paraId="047DB695" w14:textId="48EE9AD5"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35 </w:t>
            </w:r>
          </w:p>
        </w:tc>
        <w:tc>
          <w:tcPr>
            <w:tcW w:w="641" w:type="dxa"/>
            <w:tcBorders>
              <w:top w:val="nil"/>
              <w:left w:val="nil"/>
              <w:bottom w:val="single" w:sz="4" w:space="0" w:color="auto"/>
              <w:right w:val="single" w:sz="4" w:space="0" w:color="auto"/>
            </w:tcBorders>
            <w:shd w:val="clear" w:color="auto" w:fill="auto"/>
            <w:vAlign w:val="center"/>
          </w:tcPr>
          <w:p w14:paraId="52160F58" w14:textId="5F47B0E4"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53 </w:t>
            </w:r>
          </w:p>
        </w:tc>
        <w:tc>
          <w:tcPr>
            <w:tcW w:w="662" w:type="dxa"/>
            <w:tcBorders>
              <w:top w:val="nil"/>
              <w:left w:val="single" w:sz="4" w:space="0" w:color="auto"/>
              <w:bottom w:val="single" w:sz="4" w:space="0" w:color="auto"/>
              <w:right w:val="single" w:sz="4" w:space="0" w:color="auto"/>
            </w:tcBorders>
            <w:shd w:val="clear" w:color="auto" w:fill="auto"/>
            <w:vAlign w:val="center"/>
          </w:tcPr>
          <w:p w14:paraId="238D2E23" w14:textId="0BCA864A"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255 </w:t>
            </w:r>
          </w:p>
        </w:tc>
      </w:tr>
      <w:tr w:rsidR="00701817" w14:paraId="131098A1" w14:textId="77777777" w:rsidTr="00C75665">
        <w:trPr>
          <w:trHeight w:val="365"/>
        </w:trPr>
        <w:tc>
          <w:tcPr>
            <w:tcW w:w="1281" w:type="dxa"/>
            <w:tcBorders>
              <w:top w:val="single" w:sz="4" w:space="0" w:color="auto"/>
              <w:left w:val="single" w:sz="4" w:space="0" w:color="auto"/>
              <w:right w:val="single" w:sz="4" w:space="0" w:color="auto"/>
            </w:tcBorders>
            <w:vAlign w:val="center"/>
          </w:tcPr>
          <w:p w14:paraId="586F7610" w14:textId="4D980112" w:rsidR="00701817" w:rsidRDefault="00701817" w:rsidP="00701817">
            <w:pPr>
              <w:rPr>
                <w:rFonts w:ascii="Calibri" w:eastAsiaTheme="minorEastAsia" w:hAnsi="Calibri" w:cs="Calibri"/>
                <w:color w:val="000000" w:themeColor="text1"/>
                <w:sz w:val="16"/>
                <w:szCs w:val="16"/>
                <w:lang w:eastAsia="en-US"/>
              </w:rPr>
            </w:pPr>
            <w:r w:rsidRPr="6913F2BD">
              <w:rPr>
                <w:rFonts w:ascii="Calibri" w:eastAsiaTheme="minorEastAsia" w:hAnsi="Calibri" w:cs="Calibri"/>
                <w:color w:val="000000" w:themeColor="text1"/>
                <w:sz w:val="16"/>
                <w:szCs w:val="16"/>
                <w:lang w:eastAsia="en-US"/>
              </w:rPr>
              <w:t>Total</w:t>
            </w:r>
          </w:p>
        </w:tc>
        <w:tc>
          <w:tcPr>
            <w:tcW w:w="640" w:type="dxa"/>
            <w:tcBorders>
              <w:top w:val="nil"/>
              <w:left w:val="nil"/>
              <w:bottom w:val="nil"/>
              <w:right w:val="nil"/>
            </w:tcBorders>
            <w:shd w:val="clear" w:color="auto" w:fill="auto"/>
            <w:vAlign w:val="center"/>
          </w:tcPr>
          <w:p w14:paraId="5D57B69E" w14:textId="2F422231"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1,180 </w:t>
            </w:r>
          </w:p>
        </w:tc>
        <w:tc>
          <w:tcPr>
            <w:tcW w:w="641" w:type="dxa"/>
            <w:tcBorders>
              <w:top w:val="nil"/>
              <w:left w:val="nil"/>
              <w:bottom w:val="nil"/>
              <w:right w:val="nil"/>
            </w:tcBorders>
            <w:shd w:val="clear" w:color="auto" w:fill="auto"/>
            <w:vAlign w:val="center"/>
          </w:tcPr>
          <w:p w14:paraId="5C83F7B6" w14:textId="67EE85E0"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1,431 </w:t>
            </w:r>
          </w:p>
        </w:tc>
        <w:tc>
          <w:tcPr>
            <w:tcW w:w="640" w:type="dxa"/>
            <w:tcBorders>
              <w:top w:val="nil"/>
              <w:left w:val="nil"/>
              <w:bottom w:val="nil"/>
              <w:right w:val="nil"/>
            </w:tcBorders>
            <w:shd w:val="clear" w:color="auto" w:fill="auto"/>
            <w:vAlign w:val="center"/>
          </w:tcPr>
          <w:p w14:paraId="4BAB5AE3" w14:textId="539BBC4E"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1,254 </w:t>
            </w:r>
          </w:p>
        </w:tc>
        <w:tc>
          <w:tcPr>
            <w:tcW w:w="641" w:type="dxa"/>
            <w:tcBorders>
              <w:top w:val="nil"/>
              <w:left w:val="nil"/>
              <w:bottom w:val="nil"/>
              <w:right w:val="nil"/>
            </w:tcBorders>
            <w:shd w:val="clear" w:color="auto" w:fill="auto"/>
            <w:vAlign w:val="center"/>
          </w:tcPr>
          <w:p w14:paraId="4145C143" w14:textId="08E3133C"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1,571 </w:t>
            </w:r>
          </w:p>
        </w:tc>
        <w:tc>
          <w:tcPr>
            <w:tcW w:w="640" w:type="dxa"/>
            <w:tcBorders>
              <w:top w:val="nil"/>
              <w:left w:val="nil"/>
              <w:bottom w:val="nil"/>
              <w:right w:val="nil"/>
            </w:tcBorders>
            <w:shd w:val="clear" w:color="auto" w:fill="auto"/>
            <w:vAlign w:val="center"/>
          </w:tcPr>
          <w:p w14:paraId="3F0E7166" w14:textId="63EFA4A4"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1,971 </w:t>
            </w:r>
          </w:p>
        </w:tc>
        <w:tc>
          <w:tcPr>
            <w:tcW w:w="641" w:type="dxa"/>
            <w:tcBorders>
              <w:top w:val="nil"/>
              <w:left w:val="nil"/>
              <w:bottom w:val="nil"/>
              <w:right w:val="nil"/>
            </w:tcBorders>
            <w:shd w:val="clear" w:color="auto" w:fill="auto"/>
            <w:vAlign w:val="center"/>
          </w:tcPr>
          <w:p w14:paraId="7179F41F" w14:textId="2862CBCB"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1,725 </w:t>
            </w:r>
          </w:p>
        </w:tc>
        <w:tc>
          <w:tcPr>
            <w:tcW w:w="640" w:type="dxa"/>
            <w:tcBorders>
              <w:top w:val="nil"/>
              <w:left w:val="nil"/>
              <w:bottom w:val="nil"/>
              <w:right w:val="nil"/>
            </w:tcBorders>
            <w:shd w:val="clear" w:color="auto" w:fill="auto"/>
            <w:vAlign w:val="center"/>
          </w:tcPr>
          <w:p w14:paraId="67ECE90A" w14:textId="04BC7635"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1,698 </w:t>
            </w:r>
          </w:p>
        </w:tc>
        <w:tc>
          <w:tcPr>
            <w:tcW w:w="641" w:type="dxa"/>
            <w:tcBorders>
              <w:top w:val="nil"/>
              <w:left w:val="nil"/>
              <w:bottom w:val="nil"/>
              <w:right w:val="nil"/>
            </w:tcBorders>
            <w:shd w:val="clear" w:color="auto" w:fill="auto"/>
            <w:vAlign w:val="center"/>
          </w:tcPr>
          <w:p w14:paraId="0D3A6BD3" w14:textId="1AB0A4CB"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1,411 </w:t>
            </w:r>
          </w:p>
        </w:tc>
        <w:tc>
          <w:tcPr>
            <w:tcW w:w="640" w:type="dxa"/>
            <w:tcBorders>
              <w:top w:val="nil"/>
              <w:left w:val="nil"/>
              <w:bottom w:val="nil"/>
              <w:right w:val="nil"/>
            </w:tcBorders>
            <w:shd w:val="clear" w:color="auto" w:fill="auto"/>
            <w:vAlign w:val="center"/>
          </w:tcPr>
          <w:p w14:paraId="66BCAACB" w14:textId="0143F90E"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1,447 </w:t>
            </w:r>
          </w:p>
        </w:tc>
        <w:tc>
          <w:tcPr>
            <w:tcW w:w="641" w:type="dxa"/>
            <w:tcBorders>
              <w:top w:val="nil"/>
              <w:left w:val="nil"/>
              <w:bottom w:val="nil"/>
              <w:right w:val="nil"/>
            </w:tcBorders>
            <w:shd w:val="clear" w:color="auto" w:fill="auto"/>
            <w:vAlign w:val="center"/>
          </w:tcPr>
          <w:p w14:paraId="544224D0" w14:textId="0842627F"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1,612 </w:t>
            </w:r>
          </w:p>
        </w:tc>
        <w:tc>
          <w:tcPr>
            <w:tcW w:w="640" w:type="dxa"/>
            <w:tcBorders>
              <w:top w:val="nil"/>
              <w:left w:val="nil"/>
              <w:bottom w:val="nil"/>
              <w:right w:val="nil"/>
            </w:tcBorders>
            <w:shd w:val="clear" w:color="auto" w:fill="auto"/>
            <w:vAlign w:val="center"/>
          </w:tcPr>
          <w:p w14:paraId="55C50124" w14:textId="1B7CFF24"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1,081 </w:t>
            </w:r>
          </w:p>
        </w:tc>
        <w:tc>
          <w:tcPr>
            <w:tcW w:w="641" w:type="dxa"/>
            <w:tcBorders>
              <w:top w:val="nil"/>
              <w:left w:val="nil"/>
              <w:bottom w:val="nil"/>
              <w:right w:val="single" w:sz="4" w:space="0" w:color="auto"/>
            </w:tcBorders>
            <w:shd w:val="clear" w:color="auto" w:fill="auto"/>
            <w:vAlign w:val="center"/>
          </w:tcPr>
          <w:p w14:paraId="0B4444AC" w14:textId="0C19B47B"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 1,511 </w:t>
            </w:r>
          </w:p>
        </w:tc>
        <w:tc>
          <w:tcPr>
            <w:tcW w:w="662" w:type="dxa"/>
            <w:tcBorders>
              <w:top w:val="nil"/>
              <w:left w:val="single" w:sz="4" w:space="0" w:color="auto"/>
              <w:bottom w:val="nil"/>
              <w:right w:val="single" w:sz="4" w:space="0" w:color="auto"/>
            </w:tcBorders>
            <w:shd w:val="clear" w:color="auto" w:fill="auto"/>
            <w:vAlign w:val="center"/>
          </w:tcPr>
          <w:p w14:paraId="0EDEEB44" w14:textId="0D9FF037" w:rsidR="00701817" w:rsidRPr="00701817" w:rsidRDefault="00701817" w:rsidP="00701817">
            <w:pPr>
              <w:jc w:val="right"/>
              <w:rPr>
                <w:rFonts w:asciiTheme="minorHAnsi" w:eastAsiaTheme="minorEastAsia" w:hAnsiTheme="minorHAnsi" w:cstheme="minorHAnsi"/>
                <w:color w:val="000000" w:themeColor="text1"/>
                <w:sz w:val="16"/>
                <w:szCs w:val="16"/>
                <w:lang w:eastAsia="en-US"/>
              </w:rPr>
            </w:pPr>
            <w:r w:rsidRPr="00701817">
              <w:rPr>
                <w:rFonts w:ascii="Calibri" w:hAnsi="Calibri" w:cs="Calibri"/>
                <w:color w:val="000000"/>
                <w:sz w:val="16"/>
                <w:szCs w:val="16"/>
              </w:rPr>
              <w:t xml:space="preserve">17,892 </w:t>
            </w:r>
          </w:p>
        </w:tc>
      </w:tr>
      <w:tr w:rsidR="006447B3" w14:paraId="135F6874" w14:textId="77777777" w:rsidTr="009975B9">
        <w:trPr>
          <w:trHeight w:val="45"/>
        </w:trPr>
        <w:tc>
          <w:tcPr>
            <w:tcW w:w="1281" w:type="dxa"/>
            <w:tcBorders>
              <w:top w:val="nil"/>
              <w:left w:val="single" w:sz="4" w:space="0" w:color="auto"/>
              <w:bottom w:val="single" w:sz="12" w:space="0" w:color="auto"/>
              <w:right w:val="single" w:sz="4" w:space="0" w:color="auto"/>
            </w:tcBorders>
          </w:tcPr>
          <w:p w14:paraId="0E3BF756" w14:textId="77777777" w:rsidR="006447B3" w:rsidRPr="16514A82" w:rsidRDefault="006447B3" w:rsidP="006447B3">
            <w:pPr>
              <w:rPr>
                <w:rFonts w:ascii="Calibri" w:eastAsiaTheme="minorEastAsia" w:hAnsi="Calibri" w:cs="Calibri"/>
                <w:color w:val="000000" w:themeColor="text1"/>
                <w:sz w:val="16"/>
                <w:szCs w:val="16"/>
                <w:lang w:eastAsia="en-US"/>
              </w:rPr>
            </w:pPr>
          </w:p>
        </w:tc>
        <w:tc>
          <w:tcPr>
            <w:tcW w:w="640" w:type="dxa"/>
            <w:tcBorders>
              <w:top w:val="nil"/>
              <w:left w:val="single" w:sz="4" w:space="0" w:color="auto"/>
              <w:bottom w:val="single" w:sz="12" w:space="0" w:color="auto"/>
              <w:right w:val="nil"/>
            </w:tcBorders>
          </w:tcPr>
          <w:p w14:paraId="2D8C65E0" w14:textId="77777777" w:rsidR="006447B3" w:rsidRPr="16514A82" w:rsidRDefault="006447B3" w:rsidP="001C3ED9">
            <w:pPr>
              <w:jc w:val="center"/>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7E2D0EB9"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219AD2EF"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4B9ADAE3"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0ECC1BEC"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4757DDF6"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10EB0D2C"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24650C8E"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539F6692"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252ED7B7"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111657CF"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single" w:sz="4" w:space="0" w:color="auto"/>
            </w:tcBorders>
          </w:tcPr>
          <w:p w14:paraId="213348E3"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62" w:type="dxa"/>
            <w:tcBorders>
              <w:top w:val="nil"/>
              <w:left w:val="single" w:sz="4" w:space="0" w:color="auto"/>
              <w:bottom w:val="single" w:sz="12" w:space="0" w:color="auto"/>
              <w:right w:val="single" w:sz="4" w:space="0" w:color="auto"/>
            </w:tcBorders>
          </w:tcPr>
          <w:p w14:paraId="477FF824" w14:textId="77777777" w:rsidR="006447B3" w:rsidRPr="16514A82" w:rsidRDefault="006447B3" w:rsidP="006447B3">
            <w:pPr>
              <w:jc w:val="right"/>
              <w:rPr>
                <w:rFonts w:ascii="Calibri" w:eastAsiaTheme="minorEastAsia" w:hAnsi="Calibri" w:cs="Calibri"/>
                <w:color w:val="000000" w:themeColor="text1"/>
                <w:sz w:val="16"/>
                <w:szCs w:val="16"/>
                <w:lang w:eastAsia="en-US"/>
              </w:rPr>
            </w:pPr>
          </w:p>
        </w:tc>
      </w:tr>
      <w:tr w:rsidR="009D5CAF" w14:paraId="1F467891" w14:textId="77777777" w:rsidTr="009975B9">
        <w:trPr>
          <w:trHeight w:val="374"/>
        </w:trPr>
        <w:tc>
          <w:tcPr>
            <w:tcW w:w="1281" w:type="dxa"/>
            <w:tcBorders>
              <w:top w:val="single" w:sz="12" w:space="0" w:color="auto"/>
              <w:left w:val="single" w:sz="4" w:space="0" w:color="auto"/>
              <w:bottom w:val="single" w:sz="4" w:space="0" w:color="auto"/>
              <w:right w:val="single" w:sz="4" w:space="0" w:color="auto"/>
            </w:tcBorders>
            <w:vAlign w:val="center"/>
          </w:tcPr>
          <w:p w14:paraId="52A8F137" w14:textId="77777777" w:rsidR="009D5CAF" w:rsidRDefault="009D5CAF" w:rsidP="009D5CAF">
            <w:pPr>
              <w:rPr>
                <w:rFonts w:ascii="Calibri" w:eastAsiaTheme="minorEastAsia" w:hAnsi="Calibri" w:cs="Calibri"/>
                <w:color w:val="000000" w:themeColor="text1"/>
                <w:sz w:val="16"/>
                <w:szCs w:val="16"/>
                <w:lang w:eastAsia="en-US"/>
              </w:rPr>
            </w:pPr>
            <w:r w:rsidRPr="16514A82">
              <w:rPr>
                <w:rFonts w:ascii="Calibri" w:eastAsiaTheme="minorEastAsia" w:hAnsi="Calibri" w:cs="Calibri"/>
                <w:color w:val="000000" w:themeColor="text1"/>
                <w:sz w:val="16"/>
                <w:szCs w:val="16"/>
                <w:lang w:eastAsia="en-US"/>
              </w:rPr>
              <w:t>Month</w:t>
            </w:r>
          </w:p>
        </w:tc>
        <w:tc>
          <w:tcPr>
            <w:tcW w:w="640" w:type="dxa"/>
            <w:tcBorders>
              <w:top w:val="single" w:sz="12" w:space="0" w:color="auto"/>
              <w:left w:val="single" w:sz="4" w:space="0" w:color="auto"/>
              <w:bottom w:val="single" w:sz="4" w:space="0" w:color="auto"/>
              <w:right w:val="nil"/>
            </w:tcBorders>
            <w:vAlign w:val="center"/>
          </w:tcPr>
          <w:p w14:paraId="30A21CE9" w14:textId="24FCC8EB"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41" w:type="dxa"/>
            <w:tcBorders>
              <w:top w:val="single" w:sz="12" w:space="0" w:color="auto"/>
              <w:left w:val="nil"/>
              <w:bottom w:val="single" w:sz="4" w:space="0" w:color="auto"/>
              <w:right w:val="nil"/>
            </w:tcBorders>
            <w:vAlign w:val="center"/>
          </w:tcPr>
          <w:p w14:paraId="059212A1" w14:textId="7FC4EEB4"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40" w:type="dxa"/>
            <w:tcBorders>
              <w:top w:val="single" w:sz="12" w:space="0" w:color="auto"/>
              <w:left w:val="nil"/>
              <w:bottom w:val="single" w:sz="4" w:space="0" w:color="auto"/>
              <w:right w:val="nil"/>
            </w:tcBorders>
            <w:vAlign w:val="center"/>
          </w:tcPr>
          <w:p w14:paraId="07F7A2E9" w14:textId="2BCDA048"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41" w:type="dxa"/>
            <w:tcBorders>
              <w:top w:val="single" w:sz="12" w:space="0" w:color="auto"/>
              <w:left w:val="nil"/>
              <w:bottom w:val="single" w:sz="4" w:space="0" w:color="auto"/>
              <w:right w:val="nil"/>
            </w:tcBorders>
            <w:vAlign w:val="center"/>
          </w:tcPr>
          <w:p w14:paraId="41D07C6E" w14:textId="050FE788"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40" w:type="dxa"/>
            <w:tcBorders>
              <w:top w:val="single" w:sz="12" w:space="0" w:color="auto"/>
              <w:left w:val="nil"/>
              <w:bottom w:val="single" w:sz="4" w:space="0" w:color="auto"/>
              <w:right w:val="nil"/>
            </w:tcBorders>
            <w:vAlign w:val="center"/>
          </w:tcPr>
          <w:p w14:paraId="062E878D" w14:textId="7179D884"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41" w:type="dxa"/>
            <w:tcBorders>
              <w:top w:val="single" w:sz="12" w:space="0" w:color="auto"/>
              <w:left w:val="nil"/>
              <w:bottom w:val="single" w:sz="4" w:space="0" w:color="auto"/>
              <w:right w:val="nil"/>
            </w:tcBorders>
            <w:vAlign w:val="center"/>
          </w:tcPr>
          <w:p w14:paraId="30FD20D8" w14:textId="09D9642E"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40" w:type="dxa"/>
            <w:tcBorders>
              <w:top w:val="single" w:sz="12" w:space="0" w:color="auto"/>
              <w:left w:val="nil"/>
              <w:bottom w:val="single" w:sz="4" w:space="0" w:color="auto"/>
              <w:right w:val="nil"/>
            </w:tcBorders>
            <w:vAlign w:val="center"/>
          </w:tcPr>
          <w:p w14:paraId="6438CF0F" w14:textId="3042DF3D"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41" w:type="dxa"/>
            <w:tcBorders>
              <w:top w:val="single" w:sz="12" w:space="0" w:color="auto"/>
              <w:left w:val="nil"/>
              <w:bottom w:val="single" w:sz="4" w:space="0" w:color="auto"/>
              <w:right w:val="nil"/>
            </w:tcBorders>
            <w:vAlign w:val="center"/>
          </w:tcPr>
          <w:p w14:paraId="39239C2D" w14:textId="5A71E834" w:rsidR="009D5CAF"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40" w:type="dxa"/>
            <w:tcBorders>
              <w:top w:val="single" w:sz="12" w:space="0" w:color="auto"/>
              <w:left w:val="nil"/>
              <w:bottom w:val="single" w:sz="4" w:space="0" w:color="auto"/>
              <w:right w:val="nil"/>
            </w:tcBorders>
            <w:vAlign w:val="center"/>
          </w:tcPr>
          <w:p w14:paraId="1C02F09A" w14:textId="3943EABD" w:rsidR="009D5CAF"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41" w:type="dxa"/>
            <w:tcBorders>
              <w:top w:val="single" w:sz="12" w:space="0" w:color="auto"/>
              <w:left w:val="nil"/>
              <w:bottom w:val="single" w:sz="4" w:space="0" w:color="auto"/>
              <w:right w:val="nil"/>
            </w:tcBorders>
            <w:vAlign w:val="center"/>
          </w:tcPr>
          <w:p w14:paraId="2712B8FC" w14:textId="45F0F354" w:rsidR="009D5CAF"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40" w:type="dxa"/>
            <w:tcBorders>
              <w:top w:val="single" w:sz="12" w:space="0" w:color="auto"/>
              <w:left w:val="nil"/>
              <w:bottom w:val="single" w:sz="4" w:space="0" w:color="auto"/>
              <w:right w:val="nil"/>
            </w:tcBorders>
            <w:vAlign w:val="center"/>
          </w:tcPr>
          <w:p w14:paraId="541A4F8A" w14:textId="5266088F" w:rsidR="009D5CAF"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Apr</w:t>
            </w:r>
            <w:r w:rsidRPr="00761EA3">
              <w:rPr>
                <w:rFonts w:ascii="Calibri" w:hAnsi="Calibri" w:cs="Calibri"/>
                <w:color w:val="000000"/>
                <w:sz w:val="14"/>
                <w:szCs w:val="14"/>
              </w:rPr>
              <w:t xml:space="preserve"> 21</w:t>
            </w:r>
          </w:p>
        </w:tc>
        <w:tc>
          <w:tcPr>
            <w:tcW w:w="641" w:type="dxa"/>
            <w:tcBorders>
              <w:top w:val="single" w:sz="12" w:space="0" w:color="auto"/>
              <w:left w:val="nil"/>
              <w:bottom w:val="single" w:sz="4" w:space="0" w:color="auto"/>
              <w:right w:val="single" w:sz="4" w:space="0" w:color="auto"/>
            </w:tcBorders>
            <w:vAlign w:val="center"/>
          </w:tcPr>
          <w:p w14:paraId="00A52C1C" w14:textId="0EB3C173" w:rsidR="009D5CAF"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May</w:t>
            </w:r>
            <w:r w:rsidRPr="00761EA3">
              <w:rPr>
                <w:rFonts w:ascii="Calibri" w:hAnsi="Calibri" w:cs="Calibri"/>
                <w:color w:val="000000"/>
                <w:sz w:val="14"/>
                <w:szCs w:val="14"/>
              </w:rPr>
              <w:t xml:space="preserve"> 21</w:t>
            </w:r>
          </w:p>
        </w:tc>
        <w:tc>
          <w:tcPr>
            <w:tcW w:w="662" w:type="dxa"/>
            <w:tcBorders>
              <w:top w:val="single" w:sz="12" w:space="0" w:color="auto"/>
              <w:left w:val="single" w:sz="4" w:space="0" w:color="auto"/>
              <w:bottom w:val="single" w:sz="4" w:space="0" w:color="auto"/>
              <w:right w:val="single" w:sz="4" w:space="0" w:color="auto"/>
            </w:tcBorders>
            <w:vAlign w:val="center"/>
          </w:tcPr>
          <w:p w14:paraId="2ED41074" w14:textId="77777777" w:rsidR="009D5CAF" w:rsidRDefault="009D5CAF" w:rsidP="009D5CAF">
            <w:pPr>
              <w:jc w:val="right"/>
              <w:rPr>
                <w:rFonts w:ascii="Calibri" w:eastAsiaTheme="minorEastAsia" w:hAnsi="Calibri" w:cs="Calibri"/>
                <w:color w:val="000000" w:themeColor="text1"/>
                <w:sz w:val="16"/>
                <w:szCs w:val="16"/>
                <w:lang w:eastAsia="en-US"/>
              </w:rPr>
            </w:pPr>
            <w:r w:rsidRPr="16514A82">
              <w:rPr>
                <w:rFonts w:ascii="Calibri" w:eastAsiaTheme="minorEastAsia" w:hAnsi="Calibri" w:cs="Calibri"/>
                <w:color w:val="000000" w:themeColor="text1"/>
                <w:sz w:val="16"/>
                <w:szCs w:val="16"/>
                <w:lang w:eastAsia="en-US"/>
              </w:rPr>
              <w:t>Total</w:t>
            </w:r>
          </w:p>
        </w:tc>
      </w:tr>
      <w:tr w:rsidR="00C75665" w14:paraId="1EBCE9A2" w14:textId="77777777" w:rsidTr="00C75665">
        <w:trPr>
          <w:trHeight w:val="365"/>
        </w:trPr>
        <w:tc>
          <w:tcPr>
            <w:tcW w:w="1281" w:type="dxa"/>
            <w:tcBorders>
              <w:top w:val="single" w:sz="4" w:space="0" w:color="auto"/>
              <w:left w:val="single" w:sz="4" w:space="0" w:color="auto"/>
              <w:bottom w:val="nil"/>
              <w:right w:val="single" w:sz="4" w:space="0" w:color="auto"/>
            </w:tcBorders>
            <w:vAlign w:val="center"/>
          </w:tcPr>
          <w:p w14:paraId="5119B505" w14:textId="56E57A8C" w:rsidR="00C75665" w:rsidRDefault="00C75665" w:rsidP="00C75665">
            <w:pPr>
              <w:rPr>
                <w:rFonts w:ascii="Calibri" w:eastAsiaTheme="minorEastAsia" w:hAnsi="Calibri" w:cs="Calibri"/>
                <w:color w:val="000000" w:themeColor="text1"/>
                <w:sz w:val="16"/>
                <w:szCs w:val="16"/>
                <w:lang w:eastAsia="en-US"/>
              </w:rPr>
            </w:pPr>
            <w:r w:rsidRPr="422DB03F">
              <w:rPr>
                <w:rFonts w:ascii="Calibri" w:eastAsiaTheme="minorEastAsia" w:hAnsi="Calibri" w:cs="Calibri"/>
                <w:color w:val="000000" w:themeColor="text1"/>
                <w:sz w:val="16"/>
                <w:szCs w:val="16"/>
                <w:lang w:eastAsia="en-US"/>
              </w:rPr>
              <w:t>Planning</w:t>
            </w:r>
          </w:p>
        </w:tc>
        <w:tc>
          <w:tcPr>
            <w:tcW w:w="640" w:type="dxa"/>
            <w:tcBorders>
              <w:top w:val="nil"/>
              <w:left w:val="nil"/>
              <w:bottom w:val="nil"/>
              <w:right w:val="nil"/>
            </w:tcBorders>
            <w:shd w:val="clear" w:color="auto" w:fill="auto"/>
            <w:vAlign w:val="center"/>
          </w:tcPr>
          <w:p w14:paraId="5A8F2F65" w14:textId="03E40DC6"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970 </w:t>
            </w:r>
          </w:p>
        </w:tc>
        <w:tc>
          <w:tcPr>
            <w:tcW w:w="641" w:type="dxa"/>
            <w:tcBorders>
              <w:top w:val="nil"/>
              <w:left w:val="nil"/>
              <w:bottom w:val="nil"/>
              <w:right w:val="nil"/>
            </w:tcBorders>
            <w:shd w:val="clear" w:color="auto" w:fill="auto"/>
            <w:vAlign w:val="center"/>
          </w:tcPr>
          <w:p w14:paraId="67929759" w14:textId="0E38B5A7"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1,149 </w:t>
            </w:r>
          </w:p>
        </w:tc>
        <w:tc>
          <w:tcPr>
            <w:tcW w:w="640" w:type="dxa"/>
            <w:tcBorders>
              <w:top w:val="nil"/>
              <w:left w:val="nil"/>
              <w:bottom w:val="nil"/>
              <w:right w:val="nil"/>
            </w:tcBorders>
            <w:shd w:val="clear" w:color="auto" w:fill="auto"/>
            <w:vAlign w:val="center"/>
          </w:tcPr>
          <w:p w14:paraId="4DF7C6A4" w14:textId="1015A2DE"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991 </w:t>
            </w:r>
          </w:p>
        </w:tc>
        <w:tc>
          <w:tcPr>
            <w:tcW w:w="641" w:type="dxa"/>
            <w:tcBorders>
              <w:top w:val="nil"/>
              <w:left w:val="nil"/>
              <w:bottom w:val="nil"/>
              <w:right w:val="nil"/>
            </w:tcBorders>
            <w:shd w:val="clear" w:color="auto" w:fill="auto"/>
            <w:vAlign w:val="center"/>
          </w:tcPr>
          <w:p w14:paraId="421D7E8B" w14:textId="1C4C6A73"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1,323 </w:t>
            </w:r>
          </w:p>
        </w:tc>
        <w:tc>
          <w:tcPr>
            <w:tcW w:w="640" w:type="dxa"/>
            <w:tcBorders>
              <w:top w:val="nil"/>
              <w:left w:val="nil"/>
              <w:bottom w:val="nil"/>
              <w:right w:val="nil"/>
            </w:tcBorders>
            <w:shd w:val="clear" w:color="auto" w:fill="auto"/>
            <w:vAlign w:val="center"/>
          </w:tcPr>
          <w:p w14:paraId="41038373" w14:textId="3633B836"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1,638 </w:t>
            </w:r>
          </w:p>
        </w:tc>
        <w:tc>
          <w:tcPr>
            <w:tcW w:w="641" w:type="dxa"/>
            <w:tcBorders>
              <w:top w:val="nil"/>
              <w:left w:val="nil"/>
              <w:bottom w:val="nil"/>
              <w:right w:val="nil"/>
            </w:tcBorders>
            <w:shd w:val="clear" w:color="auto" w:fill="auto"/>
            <w:vAlign w:val="center"/>
          </w:tcPr>
          <w:p w14:paraId="4B954A44" w14:textId="41488152"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1,484 </w:t>
            </w:r>
          </w:p>
        </w:tc>
        <w:tc>
          <w:tcPr>
            <w:tcW w:w="640" w:type="dxa"/>
            <w:tcBorders>
              <w:top w:val="nil"/>
              <w:left w:val="nil"/>
              <w:bottom w:val="nil"/>
              <w:right w:val="nil"/>
            </w:tcBorders>
            <w:shd w:val="clear" w:color="auto" w:fill="auto"/>
            <w:vAlign w:val="center"/>
          </w:tcPr>
          <w:p w14:paraId="164144C8" w14:textId="3E028314"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1,463 </w:t>
            </w:r>
          </w:p>
        </w:tc>
        <w:tc>
          <w:tcPr>
            <w:tcW w:w="641" w:type="dxa"/>
            <w:tcBorders>
              <w:top w:val="nil"/>
              <w:left w:val="nil"/>
              <w:bottom w:val="nil"/>
              <w:right w:val="nil"/>
            </w:tcBorders>
            <w:shd w:val="clear" w:color="auto" w:fill="auto"/>
            <w:vAlign w:val="center"/>
          </w:tcPr>
          <w:p w14:paraId="1C5023FB" w14:textId="07252167"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1,185 </w:t>
            </w:r>
          </w:p>
        </w:tc>
        <w:tc>
          <w:tcPr>
            <w:tcW w:w="640" w:type="dxa"/>
            <w:tcBorders>
              <w:top w:val="nil"/>
              <w:left w:val="nil"/>
              <w:bottom w:val="nil"/>
              <w:right w:val="nil"/>
            </w:tcBorders>
            <w:shd w:val="clear" w:color="auto" w:fill="auto"/>
            <w:vAlign w:val="center"/>
          </w:tcPr>
          <w:p w14:paraId="246ED9D5" w14:textId="4111A9D8"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1,244 </w:t>
            </w:r>
          </w:p>
        </w:tc>
        <w:tc>
          <w:tcPr>
            <w:tcW w:w="641" w:type="dxa"/>
            <w:tcBorders>
              <w:top w:val="nil"/>
              <w:left w:val="nil"/>
              <w:bottom w:val="nil"/>
              <w:right w:val="nil"/>
            </w:tcBorders>
            <w:shd w:val="clear" w:color="auto" w:fill="auto"/>
            <w:vAlign w:val="center"/>
          </w:tcPr>
          <w:p w14:paraId="0AE99801" w14:textId="4B8913B9"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1,416 </w:t>
            </w:r>
          </w:p>
        </w:tc>
        <w:tc>
          <w:tcPr>
            <w:tcW w:w="640" w:type="dxa"/>
            <w:tcBorders>
              <w:top w:val="nil"/>
              <w:left w:val="nil"/>
              <w:bottom w:val="nil"/>
              <w:right w:val="nil"/>
            </w:tcBorders>
            <w:shd w:val="clear" w:color="auto" w:fill="auto"/>
            <w:vAlign w:val="center"/>
          </w:tcPr>
          <w:p w14:paraId="40381128" w14:textId="74446D32"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938 </w:t>
            </w:r>
          </w:p>
        </w:tc>
        <w:tc>
          <w:tcPr>
            <w:tcW w:w="641" w:type="dxa"/>
            <w:tcBorders>
              <w:top w:val="nil"/>
              <w:left w:val="nil"/>
              <w:bottom w:val="nil"/>
              <w:right w:val="single" w:sz="4" w:space="0" w:color="auto"/>
            </w:tcBorders>
            <w:shd w:val="clear" w:color="auto" w:fill="auto"/>
            <w:vAlign w:val="center"/>
          </w:tcPr>
          <w:p w14:paraId="45D06E23" w14:textId="0BC6AAE6"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1,292 </w:t>
            </w:r>
          </w:p>
        </w:tc>
        <w:tc>
          <w:tcPr>
            <w:tcW w:w="662" w:type="dxa"/>
            <w:tcBorders>
              <w:top w:val="nil"/>
              <w:left w:val="single" w:sz="4" w:space="0" w:color="auto"/>
              <w:bottom w:val="nil"/>
              <w:right w:val="single" w:sz="4" w:space="0" w:color="auto"/>
            </w:tcBorders>
            <w:shd w:val="clear" w:color="auto" w:fill="auto"/>
            <w:vAlign w:val="center"/>
          </w:tcPr>
          <w:p w14:paraId="5AAF6B00" w14:textId="0024BE32"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15,093 </w:t>
            </w:r>
          </w:p>
        </w:tc>
      </w:tr>
      <w:tr w:rsidR="00C75665" w14:paraId="031B502E" w14:textId="77777777" w:rsidTr="00C75665">
        <w:trPr>
          <w:trHeight w:val="365"/>
        </w:trPr>
        <w:tc>
          <w:tcPr>
            <w:tcW w:w="1281" w:type="dxa"/>
            <w:tcBorders>
              <w:top w:val="nil"/>
              <w:left w:val="single" w:sz="4" w:space="0" w:color="auto"/>
              <w:right w:val="single" w:sz="4" w:space="0" w:color="auto"/>
            </w:tcBorders>
            <w:vAlign w:val="center"/>
          </w:tcPr>
          <w:p w14:paraId="1CE77166" w14:textId="14917AE5" w:rsidR="00C75665" w:rsidRDefault="00C75665" w:rsidP="00C75665">
            <w:pPr>
              <w:rPr>
                <w:rFonts w:ascii="Calibri" w:eastAsiaTheme="minorEastAsia" w:hAnsi="Calibri" w:cs="Calibri"/>
                <w:color w:val="000000" w:themeColor="text1"/>
                <w:sz w:val="16"/>
                <w:szCs w:val="16"/>
                <w:lang w:eastAsia="en-US"/>
              </w:rPr>
            </w:pPr>
            <w:r w:rsidRPr="309D03CD">
              <w:rPr>
                <w:rFonts w:ascii="Calibri" w:eastAsiaTheme="minorEastAsia" w:hAnsi="Calibri" w:cs="Calibri"/>
                <w:color w:val="000000" w:themeColor="text1"/>
                <w:sz w:val="16"/>
                <w:szCs w:val="16"/>
                <w:lang w:eastAsia="en-US"/>
              </w:rPr>
              <w:t>Enforcement</w:t>
            </w:r>
          </w:p>
        </w:tc>
        <w:tc>
          <w:tcPr>
            <w:tcW w:w="640" w:type="dxa"/>
            <w:tcBorders>
              <w:top w:val="nil"/>
              <w:left w:val="nil"/>
              <w:bottom w:val="nil"/>
              <w:right w:val="nil"/>
            </w:tcBorders>
            <w:shd w:val="clear" w:color="auto" w:fill="auto"/>
            <w:vAlign w:val="center"/>
          </w:tcPr>
          <w:p w14:paraId="485CECCD" w14:textId="2207FD88"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178 </w:t>
            </w:r>
          </w:p>
        </w:tc>
        <w:tc>
          <w:tcPr>
            <w:tcW w:w="641" w:type="dxa"/>
            <w:tcBorders>
              <w:top w:val="nil"/>
              <w:left w:val="nil"/>
              <w:bottom w:val="nil"/>
              <w:right w:val="nil"/>
            </w:tcBorders>
            <w:shd w:val="clear" w:color="auto" w:fill="auto"/>
            <w:vAlign w:val="center"/>
          </w:tcPr>
          <w:p w14:paraId="25E7E1D1" w14:textId="1C0DE733"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239 </w:t>
            </w:r>
          </w:p>
        </w:tc>
        <w:tc>
          <w:tcPr>
            <w:tcW w:w="640" w:type="dxa"/>
            <w:tcBorders>
              <w:top w:val="nil"/>
              <w:left w:val="nil"/>
              <w:bottom w:val="nil"/>
              <w:right w:val="nil"/>
            </w:tcBorders>
            <w:shd w:val="clear" w:color="auto" w:fill="auto"/>
            <w:vAlign w:val="center"/>
          </w:tcPr>
          <w:p w14:paraId="3DF69F2D" w14:textId="52B47BF7"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227 </w:t>
            </w:r>
          </w:p>
        </w:tc>
        <w:tc>
          <w:tcPr>
            <w:tcW w:w="641" w:type="dxa"/>
            <w:tcBorders>
              <w:top w:val="nil"/>
              <w:left w:val="nil"/>
              <w:bottom w:val="nil"/>
              <w:right w:val="nil"/>
            </w:tcBorders>
            <w:shd w:val="clear" w:color="auto" w:fill="auto"/>
            <w:vAlign w:val="center"/>
          </w:tcPr>
          <w:p w14:paraId="281E4F3B" w14:textId="7BAAA08A"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215 </w:t>
            </w:r>
          </w:p>
        </w:tc>
        <w:tc>
          <w:tcPr>
            <w:tcW w:w="640" w:type="dxa"/>
            <w:tcBorders>
              <w:top w:val="nil"/>
              <w:left w:val="nil"/>
              <w:bottom w:val="nil"/>
              <w:right w:val="nil"/>
            </w:tcBorders>
            <w:shd w:val="clear" w:color="auto" w:fill="auto"/>
            <w:vAlign w:val="center"/>
          </w:tcPr>
          <w:p w14:paraId="0581933D" w14:textId="23D07E3D"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281 </w:t>
            </w:r>
          </w:p>
        </w:tc>
        <w:tc>
          <w:tcPr>
            <w:tcW w:w="641" w:type="dxa"/>
            <w:tcBorders>
              <w:top w:val="nil"/>
              <w:left w:val="nil"/>
              <w:bottom w:val="nil"/>
              <w:right w:val="nil"/>
            </w:tcBorders>
            <w:shd w:val="clear" w:color="auto" w:fill="auto"/>
            <w:vAlign w:val="center"/>
          </w:tcPr>
          <w:p w14:paraId="3E18020A" w14:textId="4047A668"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195 </w:t>
            </w:r>
          </w:p>
        </w:tc>
        <w:tc>
          <w:tcPr>
            <w:tcW w:w="640" w:type="dxa"/>
            <w:tcBorders>
              <w:top w:val="nil"/>
              <w:left w:val="nil"/>
              <w:bottom w:val="nil"/>
              <w:right w:val="nil"/>
            </w:tcBorders>
            <w:shd w:val="clear" w:color="auto" w:fill="auto"/>
            <w:vAlign w:val="center"/>
          </w:tcPr>
          <w:p w14:paraId="571885A9" w14:textId="2164C051"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186 </w:t>
            </w:r>
          </w:p>
        </w:tc>
        <w:tc>
          <w:tcPr>
            <w:tcW w:w="641" w:type="dxa"/>
            <w:tcBorders>
              <w:top w:val="nil"/>
              <w:left w:val="nil"/>
              <w:bottom w:val="nil"/>
              <w:right w:val="nil"/>
            </w:tcBorders>
            <w:shd w:val="clear" w:color="auto" w:fill="auto"/>
            <w:vAlign w:val="center"/>
          </w:tcPr>
          <w:p w14:paraId="14AD7E75" w14:textId="2FB87742"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165 </w:t>
            </w:r>
          </w:p>
        </w:tc>
        <w:tc>
          <w:tcPr>
            <w:tcW w:w="640" w:type="dxa"/>
            <w:tcBorders>
              <w:top w:val="nil"/>
              <w:left w:val="nil"/>
              <w:bottom w:val="nil"/>
              <w:right w:val="nil"/>
            </w:tcBorders>
            <w:shd w:val="clear" w:color="auto" w:fill="auto"/>
            <w:vAlign w:val="center"/>
          </w:tcPr>
          <w:p w14:paraId="61891CC6" w14:textId="1C8E9ECD"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112 </w:t>
            </w:r>
          </w:p>
        </w:tc>
        <w:tc>
          <w:tcPr>
            <w:tcW w:w="641" w:type="dxa"/>
            <w:tcBorders>
              <w:top w:val="nil"/>
              <w:left w:val="nil"/>
              <w:bottom w:val="nil"/>
              <w:right w:val="nil"/>
            </w:tcBorders>
            <w:shd w:val="clear" w:color="auto" w:fill="auto"/>
            <w:vAlign w:val="center"/>
          </w:tcPr>
          <w:p w14:paraId="564BBD06" w14:textId="22C9A2DB"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150 </w:t>
            </w:r>
          </w:p>
        </w:tc>
        <w:tc>
          <w:tcPr>
            <w:tcW w:w="640" w:type="dxa"/>
            <w:tcBorders>
              <w:top w:val="nil"/>
              <w:left w:val="nil"/>
              <w:bottom w:val="nil"/>
              <w:right w:val="nil"/>
            </w:tcBorders>
            <w:shd w:val="clear" w:color="auto" w:fill="auto"/>
            <w:vAlign w:val="center"/>
          </w:tcPr>
          <w:p w14:paraId="470B2145" w14:textId="201B8EC2"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100 </w:t>
            </w:r>
          </w:p>
        </w:tc>
        <w:tc>
          <w:tcPr>
            <w:tcW w:w="641" w:type="dxa"/>
            <w:tcBorders>
              <w:top w:val="nil"/>
              <w:left w:val="nil"/>
              <w:bottom w:val="nil"/>
              <w:right w:val="single" w:sz="4" w:space="0" w:color="auto"/>
            </w:tcBorders>
            <w:shd w:val="clear" w:color="auto" w:fill="auto"/>
            <w:vAlign w:val="center"/>
          </w:tcPr>
          <w:p w14:paraId="7BB28FF5" w14:textId="4E2F807A"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161 </w:t>
            </w:r>
          </w:p>
        </w:tc>
        <w:tc>
          <w:tcPr>
            <w:tcW w:w="662" w:type="dxa"/>
            <w:tcBorders>
              <w:top w:val="nil"/>
              <w:left w:val="single" w:sz="4" w:space="0" w:color="auto"/>
              <w:bottom w:val="nil"/>
              <w:right w:val="single" w:sz="4" w:space="0" w:color="auto"/>
            </w:tcBorders>
            <w:shd w:val="clear" w:color="auto" w:fill="auto"/>
            <w:vAlign w:val="center"/>
          </w:tcPr>
          <w:p w14:paraId="48BD57C3" w14:textId="7C1E190A"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2,209 </w:t>
            </w:r>
          </w:p>
        </w:tc>
      </w:tr>
      <w:tr w:rsidR="00C75665" w14:paraId="5F3227C9" w14:textId="77777777" w:rsidTr="00C75665">
        <w:trPr>
          <w:trHeight w:val="365"/>
        </w:trPr>
        <w:tc>
          <w:tcPr>
            <w:tcW w:w="1281" w:type="dxa"/>
            <w:tcBorders>
              <w:top w:val="nil"/>
              <w:left w:val="single" w:sz="4" w:space="0" w:color="auto"/>
              <w:bottom w:val="single" w:sz="4" w:space="0" w:color="auto"/>
              <w:right w:val="single" w:sz="4" w:space="0" w:color="auto"/>
            </w:tcBorders>
            <w:vAlign w:val="center"/>
          </w:tcPr>
          <w:p w14:paraId="53E18F50" w14:textId="2F8F881F" w:rsidR="00C75665" w:rsidRDefault="00C75665" w:rsidP="00C75665">
            <w:pPr>
              <w:rPr>
                <w:rFonts w:ascii="Calibri" w:eastAsiaTheme="minorEastAsia" w:hAnsi="Calibri" w:cs="Calibri"/>
                <w:color w:val="000000" w:themeColor="text1"/>
                <w:sz w:val="16"/>
                <w:szCs w:val="16"/>
                <w:lang w:eastAsia="en-US"/>
              </w:rPr>
            </w:pPr>
            <w:r w:rsidRPr="23AE73E3">
              <w:rPr>
                <w:rFonts w:ascii="Calibri" w:eastAsiaTheme="minorEastAsia" w:hAnsi="Calibri" w:cs="Calibri"/>
                <w:color w:val="000000" w:themeColor="text1"/>
                <w:sz w:val="16"/>
                <w:szCs w:val="16"/>
                <w:lang w:eastAsia="en-US"/>
              </w:rPr>
              <w:t>Specialist</w:t>
            </w:r>
          </w:p>
        </w:tc>
        <w:tc>
          <w:tcPr>
            <w:tcW w:w="640" w:type="dxa"/>
            <w:tcBorders>
              <w:top w:val="nil"/>
              <w:left w:val="nil"/>
              <w:bottom w:val="single" w:sz="4" w:space="0" w:color="auto"/>
              <w:right w:val="nil"/>
            </w:tcBorders>
            <w:shd w:val="clear" w:color="auto" w:fill="auto"/>
            <w:vAlign w:val="center"/>
          </w:tcPr>
          <w:p w14:paraId="3A6059C0" w14:textId="3A8667CF"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32 </w:t>
            </w:r>
          </w:p>
        </w:tc>
        <w:tc>
          <w:tcPr>
            <w:tcW w:w="641" w:type="dxa"/>
            <w:tcBorders>
              <w:top w:val="nil"/>
              <w:left w:val="nil"/>
              <w:bottom w:val="single" w:sz="4" w:space="0" w:color="auto"/>
              <w:right w:val="nil"/>
            </w:tcBorders>
            <w:shd w:val="clear" w:color="auto" w:fill="auto"/>
            <w:vAlign w:val="center"/>
          </w:tcPr>
          <w:p w14:paraId="252FC06F" w14:textId="090A437A"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43 </w:t>
            </w:r>
          </w:p>
        </w:tc>
        <w:tc>
          <w:tcPr>
            <w:tcW w:w="640" w:type="dxa"/>
            <w:tcBorders>
              <w:top w:val="nil"/>
              <w:left w:val="nil"/>
              <w:bottom w:val="single" w:sz="4" w:space="0" w:color="auto"/>
              <w:right w:val="nil"/>
            </w:tcBorders>
            <w:shd w:val="clear" w:color="auto" w:fill="auto"/>
            <w:vAlign w:val="center"/>
          </w:tcPr>
          <w:p w14:paraId="1D12B234" w14:textId="77834012"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36 </w:t>
            </w:r>
          </w:p>
        </w:tc>
        <w:tc>
          <w:tcPr>
            <w:tcW w:w="641" w:type="dxa"/>
            <w:tcBorders>
              <w:top w:val="nil"/>
              <w:left w:val="nil"/>
              <w:bottom w:val="single" w:sz="4" w:space="0" w:color="auto"/>
              <w:right w:val="nil"/>
            </w:tcBorders>
            <w:shd w:val="clear" w:color="auto" w:fill="auto"/>
            <w:vAlign w:val="center"/>
          </w:tcPr>
          <w:p w14:paraId="4AE008F0" w14:textId="2866FF09"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33 </w:t>
            </w:r>
          </w:p>
        </w:tc>
        <w:tc>
          <w:tcPr>
            <w:tcW w:w="640" w:type="dxa"/>
            <w:tcBorders>
              <w:top w:val="nil"/>
              <w:left w:val="nil"/>
              <w:bottom w:val="single" w:sz="4" w:space="0" w:color="auto"/>
              <w:right w:val="nil"/>
            </w:tcBorders>
            <w:shd w:val="clear" w:color="auto" w:fill="auto"/>
            <w:vAlign w:val="center"/>
          </w:tcPr>
          <w:p w14:paraId="064103D0" w14:textId="652D36A2"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52 </w:t>
            </w:r>
          </w:p>
        </w:tc>
        <w:tc>
          <w:tcPr>
            <w:tcW w:w="641" w:type="dxa"/>
            <w:tcBorders>
              <w:top w:val="nil"/>
              <w:left w:val="nil"/>
              <w:bottom w:val="single" w:sz="4" w:space="0" w:color="auto"/>
              <w:right w:val="nil"/>
            </w:tcBorders>
            <w:shd w:val="clear" w:color="auto" w:fill="auto"/>
            <w:vAlign w:val="center"/>
          </w:tcPr>
          <w:p w14:paraId="73145F02" w14:textId="29FBCEB7"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46 </w:t>
            </w:r>
          </w:p>
        </w:tc>
        <w:tc>
          <w:tcPr>
            <w:tcW w:w="640" w:type="dxa"/>
            <w:tcBorders>
              <w:top w:val="nil"/>
              <w:left w:val="nil"/>
              <w:bottom w:val="single" w:sz="4" w:space="0" w:color="auto"/>
              <w:right w:val="nil"/>
            </w:tcBorders>
            <w:shd w:val="clear" w:color="auto" w:fill="auto"/>
            <w:vAlign w:val="center"/>
          </w:tcPr>
          <w:p w14:paraId="6CBBF618" w14:textId="2ECDF182"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49 </w:t>
            </w:r>
          </w:p>
        </w:tc>
        <w:tc>
          <w:tcPr>
            <w:tcW w:w="641" w:type="dxa"/>
            <w:tcBorders>
              <w:top w:val="nil"/>
              <w:left w:val="nil"/>
              <w:bottom w:val="single" w:sz="4" w:space="0" w:color="auto"/>
              <w:right w:val="nil"/>
            </w:tcBorders>
            <w:shd w:val="clear" w:color="auto" w:fill="auto"/>
            <w:vAlign w:val="center"/>
          </w:tcPr>
          <w:p w14:paraId="21102DC7" w14:textId="73D30BB7"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61 </w:t>
            </w:r>
          </w:p>
        </w:tc>
        <w:tc>
          <w:tcPr>
            <w:tcW w:w="640" w:type="dxa"/>
            <w:tcBorders>
              <w:top w:val="nil"/>
              <w:left w:val="nil"/>
              <w:bottom w:val="single" w:sz="4" w:space="0" w:color="auto"/>
              <w:right w:val="nil"/>
            </w:tcBorders>
            <w:shd w:val="clear" w:color="auto" w:fill="auto"/>
            <w:vAlign w:val="center"/>
          </w:tcPr>
          <w:p w14:paraId="78BC4F21" w14:textId="7CBFF3AC"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91 </w:t>
            </w:r>
          </w:p>
        </w:tc>
        <w:tc>
          <w:tcPr>
            <w:tcW w:w="641" w:type="dxa"/>
            <w:tcBorders>
              <w:top w:val="nil"/>
              <w:left w:val="nil"/>
              <w:bottom w:val="single" w:sz="4" w:space="0" w:color="auto"/>
              <w:right w:val="nil"/>
            </w:tcBorders>
            <w:shd w:val="clear" w:color="auto" w:fill="auto"/>
            <w:vAlign w:val="center"/>
          </w:tcPr>
          <w:p w14:paraId="6B6A90B4" w14:textId="146546D3"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46 </w:t>
            </w:r>
          </w:p>
        </w:tc>
        <w:tc>
          <w:tcPr>
            <w:tcW w:w="640" w:type="dxa"/>
            <w:tcBorders>
              <w:top w:val="nil"/>
              <w:left w:val="nil"/>
              <w:bottom w:val="single" w:sz="4" w:space="0" w:color="auto"/>
              <w:right w:val="nil"/>
            </w:tcBorders>
            <w:shd w:val="clear" w:color="auto" w:fill="auto"/>
            <w:vAlign w:val="center"/>
          </w:tcPr>
          <w:p w14:paraId="3EA03ACA" w14:textId="6280340F"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43 </w:t>
            </w:r>
          </w:p>
        </w:tc>
        <w:tc>
          <w:tcPr>
            <w:tcW w:w="641" w:type="dxa"/>
            <w:tcBorders>
              <w:top w:val="nil"/>
              <w:left w:val="nil"/>
              <w:bottom w:val="single" w:sz="4" w:space="0" w:color="auto"/>
              <w:right w:val="single" w:sz="4" w:space="0" w:color="auto"/>
            </w:tcBorders>
            <w:shd w:val="clear" w:color="auto" w:fill="auto"/>
            <w:vAlign w:val="center"/>
          </w:tcPr>
          <w:p w14:paraId="1DA1291D" w14:textId="16F2CF31"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58 </w:t>
            </w:r>
          </w:p>
        </w:tc>
        <w:tc>
          <w:tcPr>
            <w:tcW w:w="662" w:type="dxa"/>
            <w:tcBorders>
              <w:top w:val="nil"/>
              <w:left w:val="single" w:sz="4" w:space="0" w:color="auto"/>
              <w:bottom w:val="single" w:sz="4" w:space="0" w:color="auto"/>
              <w:right w:val="single" w:sz="4" w:space="0" w:color="auto"/>
            </w:tcBorders>
            <w:shd w:val="clear" w:color="auto" w:fill="auto"/>
            <w:vAlign w:val="center"/>
          </w:tcPr>
          <w:p w14:paraId="584DC163" w14:textId="7A2413F7"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590 </w:t>
            </w:r>
          </w:p>
        </w:tc>
      </w:tr>
      <w:tr w:rsidR="00C75665" w14:paraId="06F7526E" w14:textId="77777777" w:rsidTr="00C75665">
        <w:trPr>
          <w:trHeight w:val="365"/>
        </w:trPr>
        <w:tc>
          <w:tcPr>
            <w:tcW w:w="1281" w:type="dxa"/>
            <w:tcBorders>
              <w:top w:val="single" w:sz="4" w:space="0" w:color="auto"/>
              <w:left w:val="single" w:sz="4" w:space="0" w:color="auto"/>
              <w:bottom w:val="single" w:sz="4" w:space="0" w:color="auto"/>
              <w:right w:val="single" w:sz="4" w:space="0" w:color="auto"/>
            </w:tcBorders>
            <w:vAlign w:val="center"/>
          </w:tcPr>
          <w:p w14:paraId="7844B67C" w14:textId="4D980112" w:rsidR="00C75665" w:rsidRDefault="00C75665" w:rsidP="00C75665">
            <w:pPr>
              <w:rPr>
                <w:rFonts w:ascii="Calibri" w:eastAsiaTheme="minorEastAsia" w:hAnsi="Calibri" w:cs="Calibri"/>
                <w:color w:val="000000" w:themeColor="text1"/>
                <w:sz w:val="16"/>
                <w:szCs w:val="16"/>
                <w:lang w:eastAsia="en-US"/>
              </w:rPr>
            </w:pPr>
            <w:r w:rsidRPr="16514A82">
              <w:rPr>
                <w:rFonts w:ascii="Calibri" w:eastAsiaTheme="minorEastAsia" w:hAnsi="Calibri" w:cs="Calibri"/>
                <w:color w:val="000000" w:themeColor="text1"/>
                <w:sz w:val="16"/>
                <w:szCs w:val="16"/>
                <w:lang w:eastAsia="en-US"/>
              </w:rPr>
              <w:t>Total</w:t>
            </w:r>
          </w:p>
        </w:tc>
        <w:tc>
          <w:tcPr>
            <w:tcW w:w="640" w:type="dxa"/>
            <w:tcBorders>
              <w:top w:val="nil"/>
              <w:left w:val="nil"/>
              <w:bottom w:val="single" w:sz="4" w:space="0" w:color="auto"/>
              <w:right w:val="nil"/>
            </w:tcBorders>
            <w:shd w:val="clear" w:color="auto" w:fill="auto"/>
            <w:vAlign w:val="center"/>
          </w:tcPr>
          <w:p w14:paraId="06BDC4E3" w14:textId="242DDDA5"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1,180 </w:t>
            </w:r>
          </w:p>
        </w:tc>
        <w:tc>
          <w:tcPr>
            <w:tcW w:w="641" w:type="dxa"/>
            <w:tcBorders>
              <w:top w:val="nil"/>
              <w:left w:val="nil"/>
              <w:bottom w:val="single" w:sz="4" w:space="0" w:color="auto"/>
              <w:right w:val="nil"/>
            </w:tcBorders>
            <w:shd w:val="clear" w:color="auto" w:fill="auto"/>
            <w:vAlign w:val="center"/>
          </w:tcPr>
          <w:p w14:paraId="089479F7" w14:textId="5BA8BB67"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1,431 </w:t>
            </w:r>
          </w:p>
        </w:tc>
        <w:tc>
          <w:tcPr>
            <w:tcW w:w="640" w:type="dxa"/>
            <w:tcBorders>
              <w:top w:val="nil"/>
              <w:left w:val="nil"/>
              <w:bottom w:val="single" w:sz="4" w:space="0" w:color="auto"/>
              <w:right w:val="nil"/>
            </w:tcBorders>
            <w:shd w:val="clear" w:color="auto" w:fill="auto"/>
            <w:vAlign w:val="center"/>
          </w:tcPr>
          <w:p w14:paraId="3BFAC467" w14:textId="3A82213A"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1,254 </w:t>
            </w:r>
          </w:p>
        </w:tc>
        <w:tc>
          <w:tcPr>
            <w:tcW w:w="641" w:type="dxa"/>
            <w:tcBorders>
              <w:top w:val="nil"/>
              <w:left w:val="nil"/>
              <w:bottom w:val="single" w:sz="4" w:space="0" w:color="auto"/>
              <w:right w:val="nil"/>
            </w:tcBorders>
            <w:shd w:val="clear" w:color="auto" w:fill="auto"/>
            <w:vAlign w:val="center"/>
          </w:tcPr>
          <w:p w14:paraId="7CD9F037" w14:textId="1F97936E"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1,571 </w:t>
            </w:r>
          </w:p>
        </w:tc>
        <w:tc>
          <w:tcPr>
            <w:tcW w:w="640" w:type="dxa"/>
            <w:tcBorders>
              <w:top w:val="nil"/>
              <w:left w:val="nil"/>
              <w:bottom w:val="single" w:sz="4" w:space="0" w:color="auto"/>
              <w:right w:val="nil"/>
            </w:tcBorders>
            <w:shd w:val="clear" w:color="auto" w:fill="auto"/>
            <w:vAlign w:val="center"/>
          </w:tcPr>
          <w:p w14:paraId="7C36B46A" w14:textId="4A26B7D3"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1,971 </w:t>
            </w:r>
          </w:p>
        </w:tc>
        <w:tc>
          <w:tcPr>
            <w:tcW w:w="641" w:type="dxa"/>
            <w:tcBorders>
              <w:top w:val="nil"/>
              <w:left w:val="nil"/>
              <w:bottom w:val="single" w:sz="4" w:space="0" w:color="auto"/>
              <w:right w:val="nil"/>
            </w:tcBorders>
            <w:shd w:val="clear" w:color="auto" w:fill="auto"/>
            <w:vAlign w:val="center"/>
          </w:tcPr>
          <w:p w14:paraId="729DC774" w14:textId="30681CC1"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1,725 </w:t>
            </w:r>
          </w:p>
        </w:tc>
        <w:tc>
          <w:tcPr>
            <w:tcW w:w="640" w:type="dxa"/>
            <w:tcBorders>
              <w:top w:val="nil"/>
              <w:left w:val="nil"/>
              <w:bottom w:val="single" w:sz="4" w:space="0" w:color="auto"/>
              <w:right w:val="nil"/>
            </w:tcBorders>
            <w:shd w:val="clear" w:color="auto" w:fill="auto"/>
            <w:vAlign w:val="center"/>
          </w:tcPr>
          <w:p w14:paraId="69AA6BE9" w14:textId="1AC6202B"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1,698 </w:t>
            </w:r>
          </w:p>
        </w:tc>
        <w:tc>
          <w:tcPr>
            <w:tcW w:w="641" w:type="dxa"/>
            <w:tcBorders>
              <w:top w:val="nil"/>
              <w:left w:val="nil"/>
              <w:bottom w:val="single" w:sz="4" w:space="0" w:color="auto"/>
              <w:right w:val="nil"/>
            </w:tcBorders>
            <w:shd w:val="clear" w:color="auto" w:fill="auto"/>
            <w:vAlign w:val="center"/>
          </w:tcPr>
          <w:p w14:paraId="161DAE0C" w14:textId="444AF0F4"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1,411 </w:t>
            </w:r>
          </w:p>
        </w:tc>
        <w:tc>
          <w:tcPr>
            <w:tcW w:w="640" w:type="dxa"/>
            <w:tcBorders>
              <w:top w:val="nil"/>
              <w:left w:val="nil"/>
              <w:bottom w:val="single" w:sz="4" w:space="0" w:color="auto"/>
              <w:right w:val="nil"/>
            </w:tcBorders>
            <w:shd w:val="clear" w:color="auto" w:fill="auto"/>
            <w:vAlign w:val="center"/>
          </w:tcPr>
          <w:p w14:paraId="239F1F90" w14:textId="2ABC837D"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1,447 </w:t>
            </w:r>
          </w:p>
        </w:tc>
        <w:tc>
          <w:tcPr>
            <w:tcW w:w="641" w:type="dxa"/>
            <w:tcBorders>
              <w:top w:val="nil"/>
              <w:left w:val="nil"/>
              <w:bottom w:val="single" w:sz="4" w:space="0" w:color="auto"/>
              <w:right w:val="nil"/>
            </w:tcBorders>
            <w:shd w:val="clear" w:color="auto" w:fill="auto"/>
            <w:vAlign w:val="center"/>
          </w:tcPr>
          <w:p w14:paraId="2C49ECA9" w14:textId="111C2F3B"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1,612 </w:t>
            </w:r>
          </w:p>
        </w:tc>
        <w:tc>
          <w:tcPr>
            <w:tcW w:w="640" w:type="dxa"/>
            <w:tcBorders>
              <w:top w:val="nil"/>
              <w:left w:val="nil"/>
              <w:bottom w:val="single" w:sz="4" w:space="0" w:color="auto"/>
              <w:right w:val="nil"/>
            </w:tcBorders>
            <w:shd w:val="clear" w:color="auto" w:fill="auto"/>
            <w:vAlign w:val="center"/>
          </w:tcPr>
          <w:p w14:paraId="6555D3FE" w14:textId="47053553"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1,081 </w:t>
            </w:r>
          </w:p>
        </w:tc>
        <w:tc>
          <w:tcPr>
            <w:tcW w:w="641" w:type="dxa"/>
            <w:tcBorders>
              <w:top w:val="nil"/>
              <w:left w:val="nil"/>
              <w:bottom w:val="single" w:sz="4" w:space="0" w:color="auto"/>
              <w:right w:val="single" w:sz="4" w:space="0" w:color="auto"/>
            </w:tcBorders>
            <w:shd w:val="clear" w:color="auto" w:fill="auto"/>
            <w:vAlign w:val="center"/>
          </w:tcPr>
          <w:p w14:paraId="71837828" w14:textId="70BBE9CE"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 1,511 </w:t>
            </w:r>
          </w:p>
        </w:tc>
        <w:tc>
          <w:tcPr>
            <w:tcW w:w="662" w:type="dxa"/>
            <w:tcBorders>
              <w:top w:val="nil"/>
              <w:left w:val="single" w:sz="4" w:space="0" w:color="auto"/>
              <w:bottom w:val="single" w:sz="4" w:space="0" w:color="auto"/>
              <w:right w:val="single" w:sz="4" w:space="0" w:color="auto"/>
            </w:tcBorders>
            <w:shd w:val="clear" w:color="auto" w:fill="auto"/>
            <w:vAlign w:val="center"/>
          </w:tcPr>
          <w:p w14:paraId="3792B13C" w14:textId="1DFE38C1" w:rsidR="00C75665" w:rsidRPr="00C75665" w:rsidRDefault="00C75665" w:rsidP="00C75665">
            <w:pPr>
              <w:jc w:val="right"/>
              <w:rPr>
                <w:rFonts w:asciiTheme="minorHAnsi" w:eastAsiaTheme="minorEastAsia" w:hAnsiTheme="minorHAnsi" w:cstheme="minorHAnsi"/>
                <w:color w:val="000000" w:themeColor="text1"/>
                <w:sz w:val="16"/>
                <w:szCs w:val="16"/>
                <w:lang w:eastAsia="en-US"/>
              </w:rPr>
            </w:pPr>
            <w:r w:rsidRPr="00C75665">
              <w:rPr>
                <w:rFonts w:ascii="Calibri" w:hAnsi="Calibri" w:cs="Calibri"/>
                <w:color w:val="000000"/>
                <w:sz w:val="16"/>
                <w:szCs w:val="16"/>
              </w:rPr>
              <w:t xml:space="preserve">17,892 </w:t>
            </w:r>
          </w:p>
        </w:tc>
      </w:tr>
    </w:tbl>
    <w:p w14:paraId="0147A2EA" w14:textId="503830A2" w:rsidR="006A3227" w:rsidRPr="00234035" w:rsidRDefault="006A3227" w:rsidP="006A3227">
      <w:pPr>
        <w:rPr>
          <w:rFonts w:ascii="Helvetica" w:eastAsia="Calibri" w:hAnsi="Helvetica" w:cs="Helvetica"/>
        </w:rPr>
      </w:pPr>
      <w:r w:rsidRPr="00234035">
        <w:rPr>
          <w:rFonts w:ascii="Helvetica" w:eastAsia="Calibri" w:hAnsi="Helvetica" w:cs="Helvetica"/>
          <w:sz w:val="18"/>
          <w:szCs w:val="18"/>
        </w:rPr>
        <w:t xml:space="preserve">Source: Horizon and </w:t>
      </w:r>
      <w:proofErr w:type="spellStart"/>
      <w:r w:rsidRPr="00234035">
        <w:rPr>
          <w:rFonts w:ascii="Helvetica" w:eastAsia="Calibri" w:hAnsi="Helvetica" w:cs="Helvetica"/>
          <w:sz w:val="18"/>
          <w:szCs w:val="18"/>
        </w:rPr>
        <w:t>Picaso</w:t>
      </w:r>
      <w:proofErr w:type="spellEnd"/>
    </w:p>
    <w:p w14:paraId="3441A84D" w14:textId="13B293C1" w:rsidR="006A3227" w:rsidRPr="00234035" w:rsidRDefault="006A3227" w:rsidP="006A3227">
      <w:pPr>
        <w:rPr>
          <w:rFonts w:ascii="Helvetica" w:hAnsi="Helvetica" w:cs="Helvetica"/>
        </w:rPr>
      </w:pPr>
    </w:p>
    <w:p w14:paraId="273E1516" w14:textId="7EEFDAC9" w:rsidR="00A83D01" w:rsidRPr="00A41043" w:rsidRDefault="00A83D01" w:rsidP="00A83D01">
      <w:pPr>
        <w:jc w:val="both"/>
        <w:rPr>
          <w:rFonts w:ascii="Helvetica" w:hAnsi="Helvetica" w:cs="Helvetica"/>
        </w:rPr>
      </w:pPr>
      <w:proofErr w:type="gramStart"/>
      <w:r w:rsidRPr="008549F3">
        <w:rPr>
          <w:rFonts w:ascii="Helvetica" w:hAnsi="Helvetica" w:cs="Helvetica"/>
        </w:rPr>
        <w:t>The large majority of</w:t>
      </w:r>
      <w:proofErr w:type="gramEnd"/>
      <w:r w:rsidRPr="008549F3">
        <w:rPr>
          <w:rFonts w:ascii="Helvetica" w:hAnsi="Helvetica" w:cs="Helvetica"/>
        </w:rPr>
        <w:t xml:space="preserve"> cases were planning (</w:t>
      </w:r>
      <w:r>
        <w:rPr>
          <w:rFonts w:ascii="Helvetica" w:hAnsi="Helvetica" w:cs="Helvetica"/>
        </w:rPr>
        <w:t>1</w:t>
      </w:r>
      <w:r w:rsidR="00C86633">
        <w:rPr>
          <w:rFonts w:ascii="Helvetica" w:hAnsi="Helvetica" w:cs="Helvetica"/>
        </w:rPr>
        <w:t>5,093</w:t>
      </w:r>
      <w:r w:rsidRPr="008549F3">
        <w:rPr>
          <w:rFonts w:ascii="Helvetica" w:hAnsi="Helvetica" w:cs="Helvetica"/>
        </w:rPr>
        <w:t xml:space="preserve">). This is about </w:t>
      </w:r>
      <w:proofErr w:type="gramStart"/>
      <w:r w:rsidRPr="008549F3">
        <w:rPr>
          <w:rFonts w:ascii="Helvetica" w:hAnsi="Helvetica" w:cs="Helvetica"/>
        </w:rPr>
        <w:t>eighty</w:t>
      </w:r>
      <w:r>
        <w:rPr>
          <w:rFonts w:ascii="Helvetica" w:hAnsi="Helvetica" w:cs="Helvetica"/>
        </w:rPr>
        <w:t xml:space="preserve"> </w:t>
      </w:r>
      <w:r w:rsidR="000F0F87">
        <w:rPr>
          <w:rFonts w:ascii="Helvetica" w:hAnsi="Helvetica" w:cs="Helvetica"/>
        </w:rPr>
        <w:t>f</w:t>
      </w:r>
      <w:r w:rsidR="007272AF">
        <w:rPr>
          <w:rFonts w:ascii="Helvetica" w:hAnsi="Helvetica" w:cs="Helvetica"/>
        </w:rPr>
        <w:t>ive</w:t>
      </w:r>
      <w:proofErr w:type="gramEnd"/>
      <w:r w:rsidRPr="008549F3">
        <w:rPr>
          <w:rFonts w:ascii="Helvetica" w:hAnsi="Helvetica" w:cs="Helvetica"/>
        </w:rPr>
        <w:t xml:space="preserve"> per cent of all appeal decisions made. There were 2,</w:t>
      </w:r>
      <w:r w:rsidR="00C86633">
        <w:rPr>
          <w:rFonts w:ascii="Helvetica" w:hAnsi="Helvetica" w:cs="Helvetica"/>
        </w:rPr>
        <w:t>209</w:t>
      </w:r>
      <w:r w:rsidRPr="008549F3">
        <w:rPr>
          <w:rFonts w:ascii="Helvetica" w:hAnsi="Helvetica" w:cs="Helvetica"/>
        </w:rPr>
        <w:t xml:space="preserve"> enforcement decisions and </w:t>
      </w:r>
      <w:r>
        <w:rPr>
          <w:rFonts w:ascii="Helvetica" w:hAnsi="Helvetica" w:cs="Helvetica"/>
        </w:rPr>
        <w:t>5</w:t>
      </w:r>
      <w:r w:rsidR="00C86633">
        <w:rPr>
          <w:rFonts w:ascii="Helvetica" w:hAnsi="Helvetica" w:cs="Helvetica"/>
        </w:rPr>
        <w:t>90</w:t>
      </w:r>
      <w:r w:rsidRPr="008549F3">
        <w:rPr>
          <w:rFonts w:ascii="Helvetica" w:hAnsi="Helvetica" w:cs="Helvetica"/>
        </w:rPr>
        <w:t xml:space="preserve"> specialist decisions. These totals are also shown in </w:t>
      </w:r>
      <w:r>
        <w:rPr>
          <w:rFonts w:ascii="Helvetica" w:hAnsi="Helvetica" w:cs="Helvetica"/>
        </w:rPr>
        <w:t>Table</w:t>
      </w:r>
      <w:r w:rsidRPr="008549F3">
        <w:rPr>
          <w:rFonts w:ascii="Helvetica" w:hAnsi="Helvetica" w:cs="Helvetica"/>
        </w:rPr>
        <w:t xml:space="preserve"> 4 </w:t>
      </w:r>
      <w:r>
        <w:rPr>
          <w:rFonts w:ascii="Helvetica" w:hAnsi="Helvetica" w:cs="Helvetica"/>
        </w:rPr>
        <w:t xml:space="preserve">and Figure 4 </w:t>
      </w:r>
      <w:r w:rsidRPr="008549F3">
        <w:rPr>
          <w:rFonts w:ascii="Helvetica" w:hAnsi="Helvetica" w:cs="Helvetica"/>
        </w:rPr>
        <w:t>below.</w:t>
      </w:r>
    </w:p>
    <w:p w14:paraId="4F6D17FD" w14:textId="77777777" w:rsidR="00A83D01" w:rsidRPr="00D54BB4" w:rsidRDefault="00A83D01" w:rsidP="00C41717">
      <w:pPr>
        <w:jc w:val="both"/>
        <w:rPr>
          <w:rFonts w:ascii="Helvetica" w:hAnsi="Helvetica" w:cs="Helvetica"/>
          <w:highlight w:val="yellow"/>
        </w:rPr>
      </w:pPr>
    </w:p>
    <w:p w14:paraId="18CBCF61" w14:textId="0388DB06" w:rsidR="00EF07C9" w:rsidRDefault="00CC6A7B" w:rsidP="002D2088">
      <w:pPr>
        <w:jc w:val="both"/>
        <w:rPr>
          <w:rFonts w:ascii="Helvetica" w:hAnsi="Helvetica" w:cs="Helvetica"/>
        </w:rPr>
      </w:pPr>
      <w:r w:rsidRPr="4721EDED">
        <w:rPr>
          <w:rFonts w:ascii="Helvetica" w:hAnsi="Helvetica" w:cs="Helvetica"/>
        </w:rPr>
        <w:t xml:space="preserve">Trends for </w:t>
      </w:r>
      <w:r w:rsidR="00740E6E" w:rsidRPr="4721EDED">
        <w:rPr>
          <w:rFonts w:ascii="Helvetica" w:hAnsi="Helvetica" w:cs="Helvetica"/>
        </w:rPr>
        <w:t xml:space="preserve">planning </w:t>
      </w:r>
      <w:r w:rsidRPr="4721EDED">
        <w:rPr>
          <w:rFonts w:ascii="Helvetica" w:hAnsi="Helvetica" w:cs="Helvetica"/>
        </w:rPr>
        <w:t xml:space="preserve">decisions </w:t>
      </w:r>
      <w:r w:rsidR="007409B8" w:rsidRPr="4721EDED">
        <w:rPr>
          <w:rFonts w:ascii="Helvetica" w:hAnsi="Helvetica" w:cs="Helvetica"/>
        </w:rPr>
        <w:t>show similar patterns</w:t>
      </w:r>
      <w:r w:rsidR="009D00B6" w:rsidRPr="4721EDED">
        <w:rPr>
          <w:rFonts w:ascii="Helvetica" w:hAnsi="Helvetica" w:cs="Helvetica"/>
        </w:rPr>
        <w:t xml:space="preserve"> to written representations</w:t>
      </w:r>
      <w:r w:rsidR="007409B8" w:rsidRPr="4721EDED">
        <w:rPr>
          <w:rFonts w:ascii="Helvetica" w:hAnsi="Helvetica" w:cs="Helvetica"/>
        </w:rPr>
        <w:t xml:space="preserve">.  </w:t>
      </w:r>
      <w:r w:rsidR="007F7692" w:rsidRPr="4721EDED">
        <w:rPr>
          <w:rFonts w:ascii="Helvetica" w:hAnsi="Helvetica" w:cs="Helvetica"/>
        </w:rPr>
        <w:t xml:space="preserve">The number of </w:t>
      </w:r>
      <w:r w:rsidR="00CB0210" w:rsidRPr="4721EDED">
        <w:rPr>
          <w:rFonts w:ascii="Helvetica" w:hAnsi="Helvetica" w:cs="Helvetica"/>
        </w:rPr>
        <w:t>e</w:t>
      </w:r>
      <w:r w:rsidR="000B47A8" w:rsidRPr="4721EDED">
        <w:rPr>
          <w:rFonts w:ascii="Helvetica" w:hAnsi="Helvetica" w:cs="Helvetica"/>
        </w:rPr>
        <w:t>nforcement decision</w:t>
      </w:r>
      <w:r w:rsidR="007F7692" w:rsidRPr="4721EDED">
        <w:rPr>
          <w:rFonts w:ascii="Helvetica" w:hAnsi="Helvetica" w:cs="Helvetica"/>
        </w:rPr>
        <w:t>s</w:t>
      </w:r>
      <w:r w:rsidR="000B47A8" w:rsidRPr="4721EDED">
        <w:rPr>
          <w:rFonts w:ascii="Helvetica" w:hAnsi="Helvetica" w:cs="Helvetica"/>
        </w:rPr>
        <w:t xml:space="preserve"> ha</w:t>
      </w:r>
      <w:r w:rsidR="008B6213" w:rsidRPr="4721EDED">
        <w:rPr>
          <w:rFonts w:ascii="Helvetica" w:hAnsi="Helvetica" w:cs="Helvetica"/>
        </w:rPr>
        <w:t>d</w:t>
      </w:r>
      <w:r w:rsidR="000B47A8" w:rsidRPr="4721EDED">
        <w:rPr>
          <w:rFonts w:ascii="Helvetica" w:hAnsi="Helvetica" w:cs="Helvetica"/>
        </w:rPr>
        <w:t xml:space="preserve"> been decreasing</w:t>
      </w:r>
      <w:r w:rsidR="00660CB0" w:rsidRPr="4721EDED">
        <w:rPr>
          <w:rFonts w:ascii="Helvetica" w:hAnsi="Helvetica" w:cs="Helvetica"/>
        </w:rPr>
        <w:t xml:space="preserve"> month on month </w:t>
      </w:r>
      <w:r w:rsidR="002B60A1" w:rsidRPr="4721EDED">
        <w:rPr>
          <w:rFonts w:ascii="Helvetica" w:hAnsi="Helvetica" w:cs="Helvetica"/>
        </w:rPr>
        <w:t xml:space="preserve">between </w:t>
      </w:r>
      <w:r w:rsidR="00660CB0" w:rsidRPr="4721EDED">
        <w:rPr>
          <w:rFonts w:ascii="Helvetica" w:hAnsi="Helvetica" w:cs="Helvetica"/>
        </w:rPr>
        <w:t>Oct</w:t>
      </w:r>
      <w:r w:rsidR="00836894" w:rsidRPr="4721EDED">
        <w:rPr>
          <w:rFonts w:ascii="Helvetica" w:hAnsi="Helvetica" w:cs="Helvetica"/>
        </w:rPr>
        <w:t>ober</w:t>
      </w:r>
      <w:r w:rsidR="00660CB0" w:rsidRPr="4721EDED">
        <w:rPr>
          <w:rFonts w:ascii="Helvetica" w:hAnsi="Helvetica" w:cs="Helvetica"/>
        </w:rPr>
        <w:t xml:space="preserve"> 20</w:t>
      </w:r>
      <w:r w:rsidR="002B60A1" w:rsidRPr="4721EDED">
        <w:rPr>
          <w:rFonts w:ascii="Helvetica" w:hAnsi="Helvetica" w:cs="Helvetica"/>
        </w:rPr>
        <w:t xml:space="preserve"> and </w:t>
      </w:r>
      <w:r w:rsidR="009D36B2" w:rsidRPr="4721EDED">
        <w:rPr>
          <w:rFonts w:ascii="Helvetica" w:hAnsi="Helvetica" w:cs="Helvetica"/>
        </w:rPr>
        <w:t>February 21 and</w:t>
      </w:r>
      <w:r w:rsidR="002C50EE" w:rsidRPr="4721EDED">
        <w:rPr>
          <w:rFonts w:ascii="Helvetica" w:hAnsi="Helvetica" w:cs="Helvetica"/>
        </w:rPr>
        <w:t xml:space="preserve"> has been </w:t>
      </w:r>
      <w:r w:rsidR="2D06080B" w:rsidRPr="4721EDED">
        <w:rPr>
          <w:rFonts w:ascii="Helvetica" w:hAnsi="Helvetica" w:cs="Helvetica"/>
        </w:rPr>
        <w:t>variable</w:t>
      </w:r>
      <w:r w:rsidR="002C50EE" w:rsidRPr="4721EDED">
        <w:rPr>
          <w:rFonts w:ascii="Helvetica" w:hAnsi="Helvetica" w:cs="Helvetica"/>
        </w:rPr>
        <w:t xml:space="preserve"> for </w:t>
      </w:r>
      <w:r w:rsidR="009D36B2" w:rsidRPr="4721EDED">
        <w:rPr>
          <w:rFonts w:ascii="Helvetica" w:hAnsi="Helvetica" w:cs="Helvetica"/>
        </w:rPr>
        <w:t xml:space="preserve">the latest two months; </w:t>
      </w:r>
      <w:r w:rsidR="002C50EE" w:rsidRPr="4721EDED">
        <w:rPr>
          <w:rFonts w:ascii="Helvetica" w:hAnsi="Helvetica" w:cs="Helvetica"/>
        </w:rPr>
        <w:t>April 21 (100</w:t>
      </w:r>
      <w:r w:rsidR="00296C21" w:rsidRPr="4721EDED">
        <w:rPr>
          <w:rFonts w:ascii="Helvetica" w:hAnsi="Helvetica" w:cs="Helvetica"/>
        </w:rPr>
        <w:t xml:space="preserve"> decisions</w:t>
      </w:r>
      <w:r w:rsidR="002C50EE" w:rsidRPr="4721EDED">
        <w:rPr>
          <w:rFonts w:ascii="Helvetica" w:hAnsi="Helvetica" w:cs="Helvetica"/>
        </w:rPr>
        <w:t>) and May 21 (161</w:t>
      </w:r>
      <w:r w:rsidR="00296C21" w:rsidRPr="4721EDED">
        <w:rPr>
          <w:rFonts w:ascii="Helvetica" w:hAnsi="Helvetica" w:cs="Helvetica"/>
        </w:rPr>
        <w:t xml:space="preserve"> decisions</w:t>
      </w:r>
      <w:r w:rsidR="002C50EE" w:rsidRPr="4721EDED">
        <w:rPr>
          <w:rFonts w:ascii="Helvetica" w:hAnsi="Helvetica" w:cs="Helvetica"/>
        </w:rPr>
        <w:t>).</w:t>
      </w:r>
      <w:r w:rsidR="00355AFD" w:rsidRPr="4721EDED">
        <w:rPr>
          <w:rFonts w:ascii="Helvetica" w:hAnsi="Helvetica" w:cs="Helvetica"/>
        </w:rPr>
        <w:t xml:space="preserve">  </w:t>
      </w:r>
      <w:r w:rsidR="00836894" w:rsidRPr="4721EDED">
        <w:rPr>
          <w:rFonts w:ascii="Helvetica" w:hAnsi="Helvetica" w:cs="Helvetica"/>
        </w:rPr>
        <w:t>Specialist casework figures continue to vary each month</w:t>
      </w:r>
      <w:r w:rsidR="005179C5" w:rsidRPr="4721EDED">
        <w:rPr>
          <w:rFonts w:ascii="Helvetica" w:hAnsi="Helvetica" w:cs="Helvetica"/>
        </w:rPr>
        <w:t>, from a low of 32 (June 20) to a high of 91 (February 21)</w:t>
      </w:r>
      <w:r w:rsidR="00836894" w:rsidRPr="4721EDED">
        <w:rPr>
          <w:rFonts w:ascii="Helvetica" w:hAnsi="Helvetica" w:cs="Helvetica"/>
        </w:rPr>
        <w:t>.</w:t>
      </w:r>
    </w:p>
    <w:p w14:paraId="642E2D79" w14:textId="45FECC83" w:rsidR="002D2088" w:rsidRDefault="002D2088" w:rsidP="002D2088">
      <w:pPr>
        <w:jc w:val="both"/>
        <w:rPr>
          <w:rFonts w:ascii="Helvetica" w:hAnsi="Helvetica" w:cs="Helvetica"/>
          <w:highlight w:val="green"/>
        </w:rPr>
      </w:pPr>
    </w:p>
    <w:p w14:paraId="0A96F75B" w14:textId="77777777" w:rsidR="007D4199" w:rsidRDefault="007D4199">
      <w:pPr>
        <w:suppressAutoHyphens w:val="0"/>
        <w:autoSpaceDN/>
        <w:spacing w:after="160" w:line="259" w:lineRule="auto"/>
        <w:textAlignment w:val="auto"/>
        <w:rPr>
          <w:rFonts w:ascii="Helvetica" w:hAnsi="Helvetica" w:cs="Helvetica"/>
        </w:rPr>
      </w:pPr>
      <w:r>
        <w:rPr>
          <w:rFonts w:ascii="Helvetica" w:hAnsi="Helvetica" w:cs="Helvetica"/>
        </w:rPr>
        <w:br w:type="page"/>
      </w:r>
    </w:p>
    <w:p w14:paraId="17DB248B" w14:textId="52867081" w:rsidR="00A0514D" w:rsidRPr="00D5593F" w:rsidRDefault="00A0514D" w:rsidP="002D0CD4">
      <w:pPr>
        <w:keepNext/>
        <w:spacing w:after="120"/>
        <w:rPr>
          <w:rFonts w:ascii="Helvetica" w:hAnsi="Helvetica" w:cs="Helvetica"/>
        </w:rPr>
      </w:pPr>
      <w:r w:rsidRPr="00602DD9">
        <w:rPr>
          <w:rFonts w:ascii="Helvetica" w:hAnsi="Helvetica" w:cs="Helvetica"/>
        </w:rPr>
        <w:lastRenderedPageBreak/>
        <w:t xml:space="preserve">Figure </w:t>
      </w:r>
      <w:r w:rsidR="00BF65C8" w:rsidRPr="00602DD9">
        <w:rPr>
          <w:rFonts w:ascii="Helvetica" w:hAnsi="Helvetica" w:cs="Helvetica"/>
        </w:rPr>
        <w:t>4</w:t>
      </w:r>
      <w:r w:rsidRPr="00602DD9">
        <w:rPr>
          <w:rFonts w:ascii="Helvetica" w:hAnsi="Helvetica" w:cs="Helvetica"/>
        </w:rPr>
        <w:t xml:space="preserve"> – </w:t>
      </w:r>
      <w:r w:rsidR="00D46FB0" w:rsidRPr="00602DD9">
        <w:rPr>
          <w:rFonts w:ascii="Helvetica" w:hAnsi="Helvetica" w:cs="Helvetica"/>
        </w:rPr>
        <w:t>A</w:t>
      </w:r>
      <w:r w:rsidRPr="00602DD9">
        <w:rPr>
          <w:rFonts w:ascii="Helvetica" w:hAnsi="Helvetica" w:cs="Helvetica"/>
        </w:rPr>
        <w:t xml:space="preserve">ppeal </w:t>
      </w:r>
      <w:r w:rsidR="00D46FB0" w:rsidRPr="00602DD9">
        <w:rPr>
          <w:rFonts w:ascii="Helvetica" w:hAnsi="Helvetica" w:cs="Helvetica"/>
        </w:rPr>
        <w:t xml:space="preserve">Decisions </w:t>
      </w:r>
      <w:r w:rsidR="000D3ED8" w:rsidRPr="00602DD9">
        <w:rPr>
          <w:rFonts w:ascii="Helvetica" w:hAnsi="Helvetica" w:cs="Helvetica"/>
        </w:rPr>
        <w:t>by</w:t>
      </w:r>
      <w:r w:rsidR="00910107" w:rsidRPr="00602DD9">
        <w:rPr>
          <w:rFonts w:ascii="Helvetica" w:hAnsi="Helvetica" w:cs="Helvetica"/>
        </w:rPr>
        <w:t xml:space="preserve"> Procedure</w:t>
      </w:r>
      <w:r w:rsidR="006942E0" w:rsidRPr="00602DD9">
        <w:rPr>
          <w:rFonts w:ascii="Helvetica" w:hAnsi="Helvetica" w:cs="Helvetica"/>
        </w:rPr>
        <w:t xml:space="preserve"> and Casework Category</w:t>
      </w:r>
      <w:r w:rsidR="006C6773" w:rsidRPr="00602DD9">
        <w:rPr>
          <w:rFonts w:ascii="Helvetica" w:hAnsi="Helvetica" w:cs="Helvetica"/>
        </w:rPr>
        <w:t>;</w:t>
      </w:r>
      <w:r w:rsidR="00910107" w:rsidRPr="00602DD9">
        <w:rPr>
          <w:rFonts w:ascii="Helvetica" w:hAnsi="Helvetica" w:cs="Helvetica"/>
        </w:rPr>
        <w:t xml:space="preserve"> </w:t>
      </w:r>
      <w:r w:rsidR="004774CD" w:rsidRPr="00602DD9">
        <w:rPr>
          <w:rFonts w:ascii="Helvetica" w:hAnsi="Helvetica" w:cs="Helvetica"/>
        </w:rPr>
        <w:t>Jun 20 to May 21</w:t>
      </w:r>
    </w:p>
    <w:tbl>
      <w:tblPr>
        <w:tblStyle w:val="TableGrid"/>
        <w:tblW w:w="0" w:type="auto"/>
        <w:tblLook w:val="04A0" w:firstRow="1" w:lastRow="0" w:firstColumn="1" w:lastColumn="0" w:noHBand="0" w:noVBand="1"/>
      </w:tblPr>
      <w:tblGrid>
        <w:gridCol w:w="4673"/>
        <w:gridCol w:w="4956"/>
      </w:tblGrid>
      <w:tr w:rsidR="000163D3" w:rsidRPr="00C40F88" w14:paraId="250DCE52" w14:textId="77777777" w:rsidTr="007D4199">
        <w:trPr>
          <w:cantSplit/>
        </w:trPr>
        <w:tc>
          <w:tcPr>
            <w:tcW w:w="4673" w:type="dxa"/>
          </w:tcPr>
          <w:p w14:paraId="769734EA" w14:textId="69A09101" w:rsidR="00EF07C9" w:rsidRPr="00C40F88" w:rsidRDefault="00C40F88" w:rsidP="00C40F88">
            <w:pPr>
              <w:jc w:val="center"/>
              <w:rPr>
                <w:rFonts w:ascii="Helvetica" w:hAnsi="Helvetica" w:cs="Helvetica"/>
                <w:noProof/>
                <w:sz w:val="22"/>
                <w:szCs w:val="22"/>
              </w:rPr>
            </w:pPr>
            <w:r w:rsidRPr="00C40F88">
              <w:rPr>
                <w:rFonts w:ascii="Helvetica" w:hAnsi="Helvetica" w:cs="Helvetica"/>
                <w:noProof/>
                <w:sz w:val="22"/>
                <w:szCs w:val="22"/>
              </w:rPr>
              <w:t>Appeal Decisions by Procedure</w:t>
            </w:r>
          </w:p>
        </w:tc>
        <w:tc>
          <w:tcPr>
            <w:tcW w:w="4956" w:type="dxa"/>
          </w:tcPr>
          <w:p w14:paraId="21D5E062" w14:textId="17DDE003" w:rsidR="00EF07C9" w:rsidRPr="00C40F88" w:rsidRDefault="00C40F88" w:rsidP="00C40F88">
            <w:pPr>
              <w:jc w:val="center"/>
              <w:rPr>
                <w:rFonts w:ascii="Helvetica" w:hAnsi="Helvetica" w:cs="Helvetica"/>
                <w:noProof/>
                <w:sz w:val="22"/>
                <w:szCs w:val="22"/>
              </w:rPr>
            </w:pPr>
            <w:r w:rsidRPr="00C40F88">
              <w:rPr>
                <w:rFonts w:ascii="Helvetica" w:hAnsi="Helvetica" w:cs="Helvetica"/>
                <w:noProof/>
                <w:sz w:val="22"/>
                <w:szCs w:val="22"/>
              </w:rPr>
              <w:t>Appeals Decisions by Casework Category</w:t>
            </w:r>
          </w:p>
        </w:tc>
      </w:tr>
      <w:tr w:rsidR="000163D3" w:rsidRPr="00A41043" w14:paraId="03BFE2EB" w14:textId="77777777" w:rsidTr="4721EDED">
        <w:tc>
          <w:tcPr>
            <w:tcW w:w="4673" w:type="dxa"/>
          </w:tcPr>
          <w:p w14:paraId="6D74B8D4" w14:textId="1046263E" w:rsidR="00982F15" w:rsidRPr="00A41043" w:rsidRDefault="44F498FD" w:rsidP="00D54D6B">
            <w:pPr>
              <w:jc w:val="center"/>
              <w:rPr>
                <w:rFonts w:ascii="Helvetica" w:hAnsi="Helvetica" w:cs="Helvetica"/>
                <w:color w:val="FF0000"/>
              </w:rPr>
            </w:pPr>
            <w:r>
              <w:rPr>
                <w:noProof/>
              </w:rPr>
              <w:drawing>
                <wp:inline distT="0" distB="0" distL="0" distR="0" wp14:anchorId="6E35C63A" wp14:editId="01C0AC68">
                  <wp:extent cx="2683290" cy="2381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3290" cy="2381250"/>
                          </a:xfrm>
                          <a:prstGeom prst="rect">
                            <a:avLst/>
                          </a:prstGeom>
                        </pic:spPr>
                      </pic:pic>
                    </a:graphicData>
                  </a:graphic>
                </wp:inline>
              </w:drawing>
            </w:r>
          </w:p>
        </w:tc>
        <w:tc>
          <w:tcPr>
            <w:tcW w:w="4956" w:type="dxa"/>
          </w:tcPr>
          <w:p w14:paraId="31E39B0C" w14:textId="35330CDB" w:rsidR="00982F15" w:rsidRPr="00A41043" w:rsidRDefault="00605ADB" w:rsidP="007B230B">
            <w:pPr>
              <w:jc w:val="center"/>
              <w:rPr>
                <w:rFonts w:ascii="Helvetica" w:hAnsi="Helvetica" w:cs="Helvetica"/>
                <w:color w:val="FF0000"/>
              </w:rPr>
            </w:pPr>
            <w:r>
              <w:rPr>
                <w:noProof/>
              </w:rPr>
              <w:drawing>
                <wp:inline distT="0" distB="0" distL="0" distR="0" wp14:anchorId="289B6AED" wp14:editId="131FF899">
                  <wp:extent cx="2543739" cy="2414016"/>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rotWithShape="1">
                          <a:blip r:embed="rId16" cstate="print">
                            <a:extLst>
                              <a:ext uri="{28A0092B-C50C-407E-A947-70E740481C1C}">
                                <a14:useLocalDpi xmlns:a14="http://schemas.microsoft.com/office/drawing/2010/main" val="0"/>
                              </a:ext>
                            </a:extLst>
                          </a:blip>
                          <a:srcRect b="2623"/>
                          <a:stretch/>
                        </pic:blipFill>
                        <pic:spPr bwMode="auto">
                          <a:xfrm>
                            <a:off x="0" y="0"/>
                            <a:ext cx="2543810" cy="2414083"/>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4AA540" w14:textId="77777777" w:rsidR="008577D1" w:rsidRPr="00D5593F" w:rsidRDefault="008577D1" w:rsidP="008577D1">
      <w:pPr>
        <w:rPr>
          <w:rFonts w:ascii="Helvetica" w:eastAsia="Calibri" w:hAnsi="Helvetica" w:cs="Helvetica"/>
        </w:rPr>
      </w:pPr>
      <w:r w:rsidRPr="00D5593F">
        <w:rPr>
          <w:rFonts w:ascii="Helvetica" w:eastAsia="Calibri" w:hAnsi="Helvetica" w:cs="Helvetica"/>
          <w:sz w:val="18"/>
          <w:szCs w:val="18"/>
        </w:rPr>
        <w:t xml:space="preserve">Source: Horizon and </w:t>
      </w:r>
      <w:proofErr w:type="spellStart"/>
      <w:r w:rsidRPr="00D5593F">
        <w:rPr>
          <w:rFonts w:ascii="Helvetica" w:eastAsia="Calibri" w:hAnsi="Helvetica" w:cs="Helvetica"/>
          <w:sz w:val="18"/>
          <w:szCs w:val="18"/>
        </w:rPr>
        <w:t>Picaso</w:t>
      </w:r>
      <w:proofErr w:type="spellEnd"/>
    </w:p>
    <w:p w14:paraId="5161ACE8" w14:textId="77777777" w:rsidR="008577D1" w:rsidRPr="00A41043" w:rsidRDefault="008577D1" w:rsidP="006A3227">
      <w:pPr>
        <w:rPr>
          <w:rFonts w:ascii="Helvetica" w:hAnsi="Helvetica" w:cs="Helvetica"/>
          <w:color w:val="FF0000"/>
        </w:rPr>
      </w:pPr>
    </w:p>
    <w:tbl>
      <w:tblPr>
        <w:tblStyle w:val="TableGrid"/>
        <w:tblW w:w="9639" w:type="dxa"/>
        <w:shd w:val="clear" w:color="auto" w:fill="009999"/>
        <w:tblLook w:val="04A0" w:firstRow="1" w:lastRow="0" w:firstColumn="1" w:lastColumn="0" w:noHBand="0" w:noVBand="1"/>
      </w:tblPr>
      <w:tblGrid>
        <w:gridCol w:w="9639"/>
      </w:tblGrid>
      <w:tr w:rsidR="006A3227" w14:paraId="3239DCBA" w14:textId="77777777" w:rsidTr="00A67F6F">
        <w:tc>
          <w:tcPr>
            <w:tcW w:w="9639" w:type="dxa"/>
            <w:tcBorders>
              <w:top w:val="nil"/>
              <w:left w:val="nil"/>
              <w:bottom w:val="nil"/>
              <w:right w:val="nil"/>
            </w:tcBorders>
            <w:shd w:val="clear" w:color="auto" w:fill="009999"/>
          </w:tcPr>
          <w:p w14:paraId="61AFD98D" w14:textId="77777777" w:rsidR="006A3227" w:rsidRDefault="006A3227" w:rsidP="000D3887">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Decision timeliness</w:t>
            </w:r>
          </w:p>
        </w:tc>
      </w:tr>
    </w:tbl>
    <w:p w14:paraId="70D591A0" w14:textId="77777777" w:rsidR="006A3227" w:rsidRDefault="006A3227" w:rsidP="006A3227"/>
    <w:p w14:paraId="342E4FF1" w14:textId="77777777" w:rsidR="00A62E63" w:rsidRPr="00295C96" w:rsidRDefault="006A3227" w:rsidP="00C41717">
      <w:pPr>
        <w:jc w:val="both"/>
        <w:rPr>
          <w:rFonts w:ascii="Helvetica" w:hAnsi="Helvetica" w:cs="Helvetica"/>
        </w:rPr>
      </w:pPr>
      <w:r w:rsidRPr="00295C96">
        <w:rPr>
          <w:rFonts w:ascii="Helvetica" w:hAnsi="Helvetica" w:cs="Helvetica"/>
        </w:rPr>
        <w:t xml:space="preserve">It is important for people to know how long an appeal is going to take, so that they can make plans and decisions based on this information. This section covers the timeliness of decisions (i.e. how long it takes to </w:t>
      </w:r>
      <w:proofErr w:type="gramStart"/>
      <w:r w:rsidRPr="00295C96">
        <w:rPr>
          <w:rFonts w:ascii="Helvetica" w:hAnsi="Helvetica" w:cs="Helvetica"/>
        </w:rPr>
        <w:t>make a decision</w:t>
      </w:r>
      <w:proofErr w:type="gramEnd"/>
      <w:r w:rsidRPr="00295C96">
        <w:rPr>
          <w:rFonts w:ascii="Helvetica" w:hAnsi="Helvetica" w:cs="Helvetica"/>
        </w:rPr>
        <w:t>)</w:t>
      </w:r>
      <w:r w:rsidR="00DC6F2C" w:rsidRPr="00295C96">
        <w:rPr>
          <w:rFonts w:ascii="Helvetica" w:hAnsi="Helvetica" w:cs="Helvetica"/>
        </w:rPr>
        <w:t xml:space="preserve"> across our appeal casework</w:t>
      </w:r>
      <w:r w:rsidRPr="00295C96">
        <w:rPr>
          <w:rFonts w:ascii="Helvetica" w:hAnsi="Helvetica" w:cs="Helvetica"/>
        </w:rPr>
        <w:t xml:space="preserve">. </w:t>
      </w:r>
      <w:r w:rsidR="006D11A3" w:rsidRPr="00295C96">
        <w:rPr>
          <w:rFonts w:ascii="Helvetica" w:hAnsi="Helvetica" w:cs="Helvetica"/>
        </w:rPr>
        <w:t xml:space="preserve">In addition to an overall measure, timeliness is analysed by procedure type and casework category, </w:t>
      </w:r>
      <w:r w:rsidR="00A62E63" w:rsidRPr="00295C96">
        <w:rPr>
          <w:rFonts w:ascii="Helvetica" w:hAnsi="Helvetica" w:cs="Helvetica"/>
        </w:rPr>
        <w:t>as timeliness varies a great deal depending on these characteristics.</w:t>
      </w:r>
    </w:p>
    <w:p w14:paraId="5A69AE0F" w14:textId="77777777" w:rsidR="00A62E63" w:rsidRPr="00295C96" w:rsidRDefault="00A62E63" w:rsidP="00C41717">
      <w:pPr>
        <w:jc w:val="both"/>
        <w:rPr>
          <w:rFonts w:ascii="Helvetica" w:hAnsi="Helvetica" w:cs="Helvetica"/>
        </w:rPr>
      </w:pPr>
    </w:p>
    <w:p w14:paraId="0A32C3B7" w14:textId="74EBE5B9" w:rsidR="00D83BA8" w:rsidRDefault="006A3227" w:rsidP="00D83BA8">
      <w:pPr>
        <w:jc w:val="both"/>
        <w:rPr>
          <w:rFonts w:ascii="Helvetica" w:hAnsi="Helvetica" w:cs="Helvetica"/>
        </w:rPr>
      </w:pPr>
      <w:r w:rsidRPr="00295C96">
        <w:rPr>
          <w:rFonts w:ascii="Helvetica" w:hAnsi="Helvetica" w:cs="Helvetica"/>
        </w:rPr>
        <w:t xml:space="preserve">Table </w:t>
      </w:r>
      <w:r w:rsidR="002D0CD4" w:rsidRPr="00295C96">
        <w:rPr>
          <w:rFonts w:ascii="Helvetica" w:hAnsi="Helvetica" w:cs="Helvetica"/>
        </w:rPr>
        <w:t>5</w:t>
      </w:r>
      <w:r w:rsidRPr="00295C96">
        <w:rPr>
          <w:rFonts w:ascii="Helvetica" w:hAnsi="Helvetica" w:cs="Helvetica"/>
        </w:rPr>
        <w:t xml:space="preserve"> below shows that the mean average time to make a decision</w:t>
      </w:r>
      <w:r w:rsidRPr="00295C96">
        <w:rPr>
          <w:rStyle w:val="FootnoteReference"/>
          <w:rFonts w:ascii="Helvetica" w:hAnsi="Helvetica" w:cs="Helvetica"/>
        </w:rPr>
        <w:footnoteReference w:id="8"/>
      </w:r>
      <w:r w:rsidRPr="00295C96">
        <w:rPr>
          <w:rFonts w:ascii="Helvetica" w:hAnsi="Helvetica" w:cs="Helvetica"/>
        </w:rPr>
        <w:t>, across all cases in the last 12 months</w:t>
      </w:r>
      <w:r w:rsidR="00973274" w:rsidRPr="00295C96">
        <w:rPr>
          <w:rFonts w:ascii="Helvetica" w:hAnsi="Helvetica" w:cs="Helvetica"/>
        </w:rPr>
        <w:t xml:space="preserve"> </w:t>
      </w:r>
      <w:r w:rsidR="00A1015C" w:rsidRPr="00295C96">
        <w:rPr>
          <w:rFonts w:ascii="Helvetica" w:hAnsi="Helvetica" w:cs="Helvetica"/>
        </w:rPr>
        <w:t>(</w:t>
      </w:r>
      <w:r w:rsidR="00D703A2">
        <w:rPr>
          <w:rFonts w:ascii="Helvetica" w:hAnsi="Helvetica" w:cs="Helvetica"/>
        </w:rPr>
        <w:t>June</w:t>
      </w:r>
      <w:r w:rsidR="00BF101D" w:rsidRPr="00295C96">
        <w:rPr>
          <w:rFonts w:ascii="Helvetica" w:hAnsi="Helvetica" w:cs="Helvetica"/>
        </w:rPr>
        <w:t xml:space="preserve"> 20</w:t>
      </w:r>
      <w:r w:rsidR="00973274" w:rsidRPr="00295C96">
        <w:rPr>
          <w:rFonts w:ascii="Helvetica" w:hAnsi="Helvetica" w:cs="Helvetica"/>
        </w:rPr>
        <w:t xml:space="preserve"> to </w:t>
      </w:r>
      <w:r w:rsidR="00D703A2">
        <w:rPr>
          <w:rFonts w:ascii="Helvetica" w:hAnsi="Helvetica" w:cs="Helvetica"/>
        </w:rPr>
        <w:t>May</w:t>
      </w:r>
      <w:r w:rsidR="00CF537C" w:rsidRPr="00295C96">
        <w:rPr>
          <w:rFonts w:ascii="Helvetica" w:hAnsi="Helvetica" w:cs="Helvetica"/>
        </w:rPr>
        <w:t xml:space="preserve"> 21</w:t>
      </w:r>
      <w:r w:rsidR="00A1015C" w:rsidRPr="00295C96">
        <w:rPr>
          <w:rFonts w:ascii="Helvetica" w:hAnsi="Helvetica" w:cs="Helvetica"/>
        </w:rPr>
        <w:t>)</w:t>
      </w:r>
      <w:r w:rsidRPr="00295C96">
        <w:rPr>
          <w:rFonts w:ascii="Helvetica" w:hAnsi="Helvetica" w:cs="Helvetica"/>
        </w:rPr>
        <w:t xml:space="preserve">, was </w:t>
      </w:r>
      <w:r w:rsidR="00AC35C5" w:rsidRPr="00295C96">
        <w:rPr>
          <w:rFonts w:ascii="Helvetica" w:hAnsi="Helvetica" w:cs="Helvetica"/>
        </w:rPr>
        <w:t>27</w:t>
      </w:r>
      <w:r w:rsidRPr="00295C96">
        <w:rPr>
          <w:rFonts w:ascii="Helvetica" w:hAnsi="Helvetica" w:cs="Helvetica"/>
        </w:rPr>
        <w:t xml:space="preserve"> weeks.</w:t>
      </w:r>
      <w:r w:rsidRPr="00295C96">
        <w:rPr>
          <w:rStyle w:val="FootnoteReference"/>
          <w:rFonts w:ascii="Helvetica" w:hAnsi="Helvetica" w:cs="Helvetica"/>
        </w:rPr>
        <w:footnoteReference w:id="9"/>
      </w:r>
      <w:r w:rsidRPr="00295C96">
        <w:rPr>
          <w:rFonts w:ascii="Helvetica" w:hAnsi="Helvetica" w:cs="Helvetica"/>
        </w:rPr>
        <w:t xml:space="preserve"> </w:t>
      </w:r>
      <w:r w:rsidR="00D83BA8">
        <w:rPr>
          <w:rFonts w:ascii="Helvetica" w:hAnsi="Helvetica" w:cs="Helvetica"/>
        </w:rPr>
        <w:t xml:space="preserve">Figure 5 shows </w:t>
      </w:r>
      <w:r w:rsidR="00DA2753">
        <w:rPr>
          <w:rFonts w:ascii="Helvetica" w:hAnsi="Helvetica" w:cs="Helvetica"/>
        </w:rPr>
        <w:t>t</w:t>
      </w:r>
      <w:r w:rsidR="00D83BA8" w:rsidRPr="00ED036C">
        <w:rPr>
          <w:rFonts w:ascii="Helvetica" w:hAnsi="Helvetica" w:cs="Helvetica"/>
        </w:rPr>
        <w:t>he mean has been above 25 weeks</w:t>
      </w:r>
      <w:r w:rsidR="00D83BA8">
        <w:rPr>
          <w:rFonts w:ascii="Helvetica" w:hAnsi="Helvetica" w:cs="Helvetica"/>
        </w:rPr>
        <w:t>, with the exception of March 21, for the last 12 months.</w:t>
      </w:r>
    </w:p>
    <w:p w14:paraId="552E79D4" w14:textId="77777777" w:rsidR="003826EB" w:rsidRDefault="003826EB" w:rsidP="00C41717">
      <w:pPr>
        <w:jc w:val="both"/>
        <w:rPr>
          <w:rFonts w:ascii="Helvetica" w:hAnsi="Helvetica" w:cs="Helvetica"/>
        </w:rPr>
      </w:pPr>
    </w:p>
    <w:p w14:paraId="5286FB1C" w14:textId="733D506F" w:rsidR="0048671D" w:rsidRDefault="00D83BA8" w:rsidP="00C41717">
      <w:pPr>
        <w:jc w:val="both"/>
        <w:rPr>
          <w:rFonts w:ascii="Helvetica" w:hAnsi="Helvetica" w:cs="Helvetica"/>
        </w:rPr>
      </w:pPr>
      <w:r>
        <w:rPr>
          <w:rFonts w:ascii="Helvetica" w:hAnsi="Helvetica" w:cs="Helvetica"/>
        </w:rPr>
        <w:t>Table 5</w:t>
      </w:r>
      <w:r w:rsidR="006A3227" w:rsidRPr="00295C96">
        <w:rPr>
          <w:rFonts w:ascii="Helvetica" w:hAnsi="Helvetica" w:cs="Helvetica"/>
        </w:rPr>
        <w:t xml:space="preserve"> also shows the median time </w:t>
      </w:r>
      <w:r w:rsidR="00D72402" w:rsidRPr="00295C96">
        <w:rPr>
          <w:rFonts w:ascii="Helvetica" w:hAnsi="Helvetica" w:cs="Helvetica"/>
        </w:rPr>
        <w:t xml:space="preserve">is </w:t>
      </w:r>
      <w:r w:rsidR="00AC35C5" w:rsidRPr="00295C96">
        <w:rPr>
          <w:rFonts w:ascii="Helvetica" w:hAnsi="Helvetica" w:cs="Helvetica"/>
        </w:rPr>
        <w:t>23</w:t>
      </w:r>
      <w:r w:rsidR="00D72402" w:rsidRPr="00295C96">
        <w:rPr>
          <w:rFonts w:ascii="Helvetica" w:hAnsi="Helvetica" w:cs="Helvetica"/>
        </w:rPr>
        <w:t xml:space="preserve"> weeks. </w:t>
      </w:r>
      <w:r w:rsidR="00CC1EFB" w:rsidRPr="00295C96">
        <w:rPr>
          <w:rFonts w:ascii="Helvetica" w:hAnsi="Helvetica" w:cs="Helvetica"/>
        </w:rPr>
        <w:t>E</w:t>
      </w:r>
      <w:r w:rsidR="00991FD2" w:rsidRPr="00295C96">
        <w:rPr>
          <w:rFonts w:ascii="Helvetica" w:hAnsi="Helvetica" w:cs="Helvetica"/>
        </w:rPr>
        <w:t>ach month</w:t>
      </w:r>
      <w:r w:rsidR="006A3227" w:rsidRPr="00295C96">
        <w:rPr>
          <w:rFonts w:ascii="Helvetica" w:hAnsi="Helvetica" w:cs="Helvetica"/>
        </w:rPr>
        <w:t xml:space="preserve"> the median is less than the mean</w:t>
      </w:r>
      <w:r w:rsidR="008F6B78" w:rsidRPr="00295C96">
        <w:rPr>
          <w:rFonts w:ascii="Helvetica" w:hAnsi="Helvetica" w:cs="Helvetica"/>
        </w:rPr>
        <w:t>;</w:t>
      </w:r>
      <w:r w:rsidR="006A3227" w:rsidRPr="00295C96">
        <w:rPr>
          <w:rFonts w:ascii="Helvetica" w:hAnsi="Helvetica" w:cs="Helvetica"/>
        </w:rPr>
        <w:t xml:space="preserve"> </w:t>
      </w:r>
      <w:r w:rsidR="008334AE" w:rsidRPr="00295C96">
        <w:rPr>
          <w:rFonts w:ascii="Helvetica" w:hAnsi="Helvetica" w:cs="Helvetica"/>
        </w:rPr>
        <w:t xml:space="preserve">this is </w:t>
      </w:r>
      <w:r w:rsidR="006A3227" w:rsidRPr="00295C96">
        <w:rPr>
          <w:rFonts w:ascii="Helvetica" w:hAnsi="Helvetica" w:cs="Helvetica"/>
        </w:rPr>
        <w:t xml:space="preserve">due to the larger impact on the mean of very long cases. </w:t>
      </w:r>
    </w:p>
    <w:p w14:paraId="00BE36FB" w14:textId="1C4FE718" w:rsidR="00DB52E4" w:rsidRDefault="00DB52E4" w:rsidP="00C41717">
      <w:pPr>
        <w:jc w:val="both"/>
        <w:rPr>
          <w:rFonts w:ascii="Helvetica" w:hAnsi="Helvetica" w:cs="Helvetica"/>
        </w:rPr>
      </w:pPr>
    </w:p>
    <w:p w14:paraId="7356369E" w14:textId="2C741E63" w:rsidR="00E10DB9" w:rsidRDefault="00DB52E4" w:rsidP="00211BE6">
      <w:pPr>
        <w:jc w:val="both"/>
        <w:rPr>
          <w:rFonts w:ascii="Helvetica" w:hAnsi="Helvetica" w:cs="Helvetica"/>
        </w:rPr>
      </w:pPr>
      <w:r w:rsidRPr="00F11FB6">
        <w:rPr>
          <w:rFonts w:ascii="Helvetica" w:hAnsi="Helvetica" w:cs="Helvetica"/>
        </w:rPr>
        <w:t xml:space="preserve">The median timeliness increased between </w:t>
      </w:r>
      <w:r w:rsidR="00C15119">
        <w:rPr>
          <w:rFonts w:ascii="Helvetica" w:hAnsi="Helvetica" w:cs="Helvetica"/>
        </w:rPr>
        <w:t>June</w:t>
      </w:r>
      <w:r w:rsidRPr="00F11FB6">
        <w:rPr>
          <w:rFonts w:ascii="Helvetica" w:hAnsi="Helvetica" w:cs="Helvetica"/>
        </w:rPr>
        <w:t xml:space="preserve"> 20 to Nov 20, peaking at almost 27 weeks.  </w:t>
      </w:r>
      <w:r>
        <w:rPr>
          <w:rFonts w:ascii="Helvetica" w:hAnsi="Helvetica" w:cs="Helvetica"/>
        </w:rPr>
        <w:t xml:space="preserve">Between December </w:t>
      </w:r>
      <w:r w:rsidRPr="00F11FB6">
        <w:rPr>
          <w:rFonts w:ascii="Helvetica" w:hAnsi="Helvetica" w:cs="Helvetica"/>
        </w:rPr>
        <w:t>20 to Mar</w:t>
      </w:r>
      <w:r>
        <w:rPr>
          <w:rFonts w:ascii="Helvetica" w:hAnsi="Helvetica" w:cs="Helvetica"/>
        </w:rPr>
        <w:t>ch</w:t>
      </w:r>
      <w:r w:rsidRPr="00F11FB6">
        <w:rPr>
          <w:rFonts w:ascii="Helvetica" w:hAnsi="Helvetica" w:cs="Helvetica"/>
        </w:rPr>
        <w:t xml:space="preserve"> 21</w:t>
      </w:r>
      <w:r>
        <w:rPr>
          <w:rFonts w:ascii="Helvetica" w:hAnsi="Helvetica" w:cs="Helvetica"/>
        </w:rPr>
        <w:t xml:space="preserve"> there was </w:t>
      </w:r>
      <w:r w:rsidRPr="00F11FB6">
        <w:rPr>
          <w:rFonts w:ascii="Helvetica" w:hAnsi="Helvetica" w:cs="Helvetica"/>
        </w:rPr>
        <w:t>a reduction in the median time to decision</w:t>
      </w:r>
      <w:r w:rsidR="00E10DB9">
        <w:rPr>
          <w:rFonts w:ascii="Helvetica" w:hAnsi="Helvetica" w:cs="Helvetica"/>
        </w:rPr>
        <w:t>,</w:t>
      </w:r>
      <w:r w:rsidR="00C15119">
        <w:rPr>
          <w:rFonts w:ascii="Helvetica" w:hAnsi="Helvetica" w:cs="Helvetica"/>
        </w:rPr>
        <w:t xml:space="preserve"> down to a low in March 21 of 18.9 weeks.</w:t>
      </w:r>
      <w:r w:rsidR="004611DC">
        <w:rPr>
          <w:rFonts w:ascii="Helvetica" w:hAnsi="Helvetica" w:cs="Helvetica"/>
        </w:rPr>
        <w:t xml:space="preserve">  </w:t>
      </w:r>
      <w:r w:rsidR="00CA7072">
        <w:rPr>
          <w:rFonts w:ascii="Helvetica" w:hAnsi="Helvetica" w:cs="Helvetica"/>
        </w:rPr>
        <w:t>The median for May 21 was 22.1 weeks</w:t>
      </w:r>
      <w:r w:rsidR="004611DC">
        <w:rPr>
          <w:rFonts w:ascii="Helvetica" w:hAnsi="Helvetica" w:cs="Helvetica"/>
        </w:rPr>
        <w:t>.</w:t>
      </w:r>
    </w:p>
    <w:p w14:paraId="5D9D81F6" w14:textId="7E8FAAFB" w:rsidR="00755D71" w:rsidRPr="00295C96" w:rsidRDefault="00755D71" w:rsidP="00C41717">
      <w:pPr>
        <w:jc w:val="both"/>
        <w:rPr>
          <w:rFonts w:ascii="Helvetica" w:hAnsi="Helvetica" w:cs="Helvetica"/>
        </w:rPr>
      </w:pPr>
    </w:p>
    <w:p w14:paraId="34D9604D" w14:textId="0BA867E8" w:rsidR="00EC4E23" w:rsidRDefault="00755D71" w:rsidP="00755D71">
      <w:pPr>
        <w:jc w:val="both"/>
        <w:rPr>
          <w:rFonts w:ascii="Helvetica" w:hAnsi="Helvetica" w:cs="Helvetica"/>
        </w:rPr>
      </w:pPr>
      <w:r w:rsidRPr="00295C96">
        <w:rPr>
          <w:rFonts w:ascii="Helvetica" w:hAnsi="Helvetica" w:cs="Helvetica"/>
        </w:rPr>
        <w:t xml:space="preserve">Also included in the table is the </w:t>
      </w:r>
      <w:r w:rsidRPr="00295C96">
        <w:rPr>
          <w:rFonts w:ascii="Helvetica" w:hAnsi="Helvetica" w:cs="Helvetica"/>
          <w:i/>
          <w:iCs/>
        </w:rPr>
        <w:t>standard deviation</w:t>
      </w:r>
      <w:r w:rsidRPr="00295C96">
        <w:rPr>
          <w:rFonts w:ascii="Helvetica" w:hAnsi="Helvetica" w:cs="Helvetica"/>
        </w:rPr>
        <w:t xml:space="preserve"> of decision timeliness. A lower standard deviation would demonstrate greater consistency in the Planning Inspectorate</w:t>
      </w:r>
      <w:r w:rsidR="008F1BE4">
        <w:rPr>
          <w:rFonts w:ascii="Helvetica" w:hAnsi="Helvetica" w:cs="Helvetica"/>
        </w:rPr>
        <w:t>’</w:t>
      </w:r>
      <w:r w:rsidRPr="00295C96">
        <w:rPr>
          <w:rFonts w:ascii="Helvetica" w:hAnsi="Helvetica" w:cs="Helvetica"/>
        </w:rPr>
        <w:t xml:space="preserve">s decision timeliness. The data shows that the variability was getting less towards the end of 2020 – the standard deviation values are 15.6 or lower for June to December.  </w:t>
      </w:r>
      <w:r w:rsidR="007E6FA6" w:rsidRPr="00295C96">
        <w:rPr>
          <w:rFonts w:ascii="Helvetica" w:hAnsi="Helvetica" w:cs="Helvetica"/>
        </w:rPr>
        <w:t xml:space="preserve">Data for </w:t>
      </w:r>
      <w:r w:rsidR="00FE7E6B">
        <w:rPr>
          <w:rFonts w:ascii="Helvetica" w:hAnsi="Helvetica" w:cs="Helvetica"/>
        </w:rPr>
        <w:t xml:space="preserve">the </w:t>
      </w:r>
      <w:r w:rsidR="00B52346">
        <w:rPr>
          <w:rFonts w:ascii="Helvetica" w:hAnsi="Helvetica" w:cs="Helvetica"/>
        </w:rPr>
        <w:t xml:space="preserve">months in 2021 show </w:t>
      </w:r>
      <w:r w:rsidR="009769AE">
        <w:rPr>
          <w:rFonts w:ascii="Helvetica" w:hAnsi="Helvetica" w:cs="Helvetica"/>
        </w:rPr>
        <w:t xml:space="preserve">greater variability, with </w:t>
      </w:r>
      <w:r w:rsidR="00EC4E23">
        <w:rPr>
          <w:rFonts w:ascii="Helvetica" w:hAnsi="Helvetica" w:cs="Helvetica"/>
        </w:rPr>
        <w:t>a low of 1</w:t>
      </w:r>
      <w:r w:rsidR="006F3657">
        <w:rPr>
          <w:rFonts w:ascii="Helvetica" w:hAnsi="Helvetica" w:cs="Helvetica"/>
        </w:rPr>
        <w:t>6</w:t>
      </w:r>
      <w:r w:rsidR="00EC4E23">
        <w:rPr>
          <w:rFonts w:ascii="Helvetica" w:hAnsi="Helvetica" w:cs="Helvetica"/>
        </w:rPr>
        <w:t xml:space="preserve"> weeks and a high of 18.7 weeks.</w:t>
      </w:r>
    </w:p>
    <w:p w14:paraId="29BF7FEE" w14:textId="0E13C0C1" w:rsidR="00683EDF" w:rsidRDefault="00683EDF" w:rsidP="00755D71">
      <w:pPr>
        <w:jc w:val="both"/>
        <w:rPr>
          <w:rFonts w:ascii="Helvetica" w:hAnsi="Helvetica" w:cs="Helvetica"/>
        </w:rPr>
      </w:pPr>
    </w:p>
    <w:p w14:paraId="4E40D0B1" w14:textId="0CA0DF8E" w:rsidR="00F72416" w:rsidRDefault="00F72416">
      <w:pPr>
        <w:suppressAutoHyphens w:val="0"/>
        <w:autoSpaceDN/>
        <w:spacing w:after="160" w:line="259" w:lineRule="auto"/>
        <w:textAlignment w:val="auto"/>
        <w:rPr>
          <w:rFonts w:ascii="Helvetica" w:hAnsi="Helvetica" w:cs="Helvetica"/>
        </w:rPr>
      </w:pPr>
      <w:r>
        <w:rPr>
          <w:rFonts w:ascii="Helvetica" w:hAnsi="Helvetica" w:cs="Helvetica"/>
        </w:rPr>
        <w:br w:type="page"/>
      </w:r>
    </w:p>
    <w:tbl>
      <w:tblPr>
        <w:tblStyle w:val="TableGrid"/>
        <w:tblW w:w="0" w:type="auto"/>
        <w:tblInd w:w="279" w:type="dxa"/>
        <w:shd w:val="clear" w:color="auto" w:fill="E2EFD9" w:themeFill="accent6" w:themeFillTint="33"/>
        <w:tblLook w:val="04A0" w:firstRow="1" w:lastRow="0" w:firstColumn="1" w:lastColumn="0" w:noHBand="0" w:noVBand="1"/>
      </w:tblPr>
      <w:tblGrid>
        <w:gridCol w:w="2126"/>
        <w:gridCol w:w="6804"/>
      </w:tblGrid>
      <w:tr w:rsidR="00077EC0" w:rsidRPr="0010569F" w14:paraId="04DA39FC" w14:textId="77777777" w:rsidTr="00077EC0">
        <w:tc>
          <w:tcPr>
            <w:tcW w:w="8930" w:type="dxa"/>
            <w:gridSpan w:val="2"/>
            <w:shd w:val="clear" w:color="auto" w:fill="E2EFD9" w:themeFill="accent6" w:themeFillTint="33"/>
          </w:tcPr>
          <w:p w14:paraId="510D4343" w14:textId="2907207F" w:rsidR="00077EC0" w:rsidRPr="00077EC0" w:rsidRDefault="00077EC0" w:rsidP="00722AE2">
            <w:pPr>
              <w:rPr>
                <w:rFonts w:ascii="Helvetica" w:hAnsi="Helvetica" w:cs="Helvetica"/>
                <w:b/>
                <w:bCs/>
              </w:rPr>
            </w:pPr>
            <w:r w:rsidRPr="00077EC0">
              <w:rPr>
                <w:rFonts w:ascii="Helvetica" w:hAnsi="Helvetica" w:cs="Helvetica"/>
                <w:b/>
                <w:bCs/>
              </w:rPr>
              <w:lastRenderedPageBreak/>
              <w:t xml:space="preserve">What </w:t>
            </w:r>
            <w:r w:rsidR="00675282">
              <w:rPr>
                <w:rFonts w:ascii="Helvetica" w:hAnsi="Helvetica" w:cs="Helvetica"/>
                <w:b/>
                <w:bCs/>
              </w:rPr>
              <w:t>are</w:t>
            </w:r>
            <w:r w:rsidRPr="00077EC0">
              <w:rPr>
                <w:rFonts w:ascii="Helvetica" w:hAnsi="Helvetica" w:cs="Helvetica"/>
                <w:b/>
                <w:bCs/>
              </w:rPr>
              <w:t xml:space="preserve"> mean, </w:t>
            </w:r>
            <w:r w:rsidR="00315DFE" w:rsidRPr="00077EC0">
              <w:rPr>
                <w:rFonts w:ascii="Helvetica" w:hAnsi="Helvetica" w:cs="Helvetica"/>
                <w:b/>
                <w:bCs/>
              </w:rPr>
              <w:t>median,</w:t>
            </w:r>
            <w:r w:rsidR="00B068ED">
              <w:rPr>
                <w:rFonts w:ascii="Helvetica" w:hAnsi="Helvetica" w:cs="Helvetica"/>
                <w:b/>
                <w:bCs/>
              </w:rPr>
              <w:t xml:space="preserve"> and</w:t>
            </w:r>
            <w:r w:rsidRPr="00077EC0">
              <w:rPr>
                <w:rFonts w:ascii="Helvetica" w:hAnsi="Helvetica" w:cs="Helvetica"/>
                <w:b/>
                <w:bCs/>
              </w:rPr>
              <w:t xml:space="preserve"> standard deviation?</w:t>
            </w:r>
          </w:p>
        </w:tc>
      </w:tr>
      <w:tr w:rsidR="002A3F0C" w:rsidRPr="0010569F" w14:paraId="2C9CD667" w14:textId="77777777" w:rsidTr="00077EC0">
        <w:tc>
          <w:tcPr>
            <w:tcW w:w="2126" w:type="dxa"/>
            <w:shd w:val="clear" w:color="auto" w:fill="E2EFD9" w:themeFill="accent6" w:themeFillTint="33"/>
          </w:tcPr>
          <w:p w14:paraId="0946526E" w14:textId="50052BFD" w:rsidR="002A3F0C" w:rsidRPr="0010569F" w:rsidRDefault="002A3F0C" w:rsidP="002A3F0C">
            <w:pPr>
              <w:rPr>
                <w:rFonts w:ascii="Helvetica" w:hAnsi="Helvetica" w:cs="Helvetica"/>
              </w:rPr>
            </w:pPr>
            <w:r w:rsidRPr="0010569F">
              <w:rPr>
                <w:rFonts w:ascii="Helvetica" w:hAnsi="Helvetica" w:cs="Helvetica"/>
              </w:rPr>
              <w:t>Measure</w:t>
            </w:r>
          </w:p>
        </w:tc>
        <w:tc>
          <w:tcPr>
            <w:tcW w:w="6804" w:type="dxa"/>
            <w:shd w:val="clear" w:color="auto" w:fill="E2EFD9" w:themeFill="accent6" w:themeFillTint="33"/>
          </w:tcPr>
          <w:p w14:paraId="69D507E5" w14:textId="71756E23" w:rsidR="002A3F0C" w:rsidRPr="0010569F" w:rsidRDefault="002A3F0C" w:rsidP="002A3F0C">
            <w:pPr>
              <w:rPr>
                <w:rFonts w:ascii="Helvetica" w:hAnsi="Helvetica" w:cs="Helvetica"/>
              </w:rPr>
            </w:pPr>
            <w:r w:rsidRPr="0010569F">
              <w:rPr>
                <w:rFonts w:ascii="Helvetica" w:hAnsi="Helvetica" w:cs="Helvetica"/>
              </w:rPr>
              <w:t>Definition</w:t>
            </w:r>
          </w:p>
        </w:tc>
      </w:tr>
      <w:tr w:rsidR="002A3F0C" w:rsidRPr="0010569F" w14:paraId="26D15042" w14:textId="77777777" w:rsidTr="00077EC0">
        <w:tc>
          <w:tcPr>
            <w:tcW w:w="2126" w:type="dxa"/>
            <w:shd w:val="clear" w:color="auto" w:fill="E2EFD9" w:themeFill="accent6" w:themeFillTint="33"/>
          </w:tcPr>
          <w:p w14:paraId="42EF2774" w14:textId="77777777" w:rsidR="002A3F0C" w:rsidRPr="0010569F" w:rsidRDefault="002A3F0C" w:rsidP="002A3F0C">
            <w:pPr>
              <w:rPr>
                <w:rFonts w:ascii="Helvetica" w:hAnsi="Helvetica" w:cs="Helvetica"/>
              </w:rPr>
            </w:pPr>
            <w:r w:rsidRPr="0010569F">
              <w:rPr>
                <w:rFonts w:ascii="Helvetica" w:hAnsi="Helvetica" w:cs="Helvetica"/>
              </w:rPr>
              <w:t>Mean</w:t>
            </w:r>
          </w:p>
        </w:tc>
        <w:tc>
          <w:tcPr>
            <w:tcW w:w="6804" w:type="dxa"/>
            <w:shd w:val="clear" w:color="auto" w:fill="E2EFD9" w:themeFill="accent6" w:themeFillTint="33"/>
          </w:tcPr>
          <w:p w14:paraId="6BC95BBD" w14:textId="77777777" w:rsidR="002A3F0C" w:rsidRPr="0010569F" w:rsidRDefault="002A3F0C" w:rsidP="002A3F0C">
            <w:pPr>
              <w:rPr>
                <w:rFonts w:ascii="Helvetica" w:hAnsi="Helvetica" w:cs="Helvetica"/>
              </w:rPr>
            </w:pPr>
            <w:r w:rsidRPr="0010569F">
              <w:rPr>
                <w:rFonts w:ascii="Helvetica" w:hAnsi="Helvetica" w:cs="Helvetica"/>
              </w:rPr>
              <w:t>The total time taken divided by the number of cases. Also referred to as the ‘average’. A measure of how long each case would take, if the total time taken was spread evenly across all cases.</w:t>
            </w:r>
          </w:p>
        </w:tc>
      </w:tr>
      <w:tr w:rsidR="002A3F0C" w:rsidRPr="0010569F" w14:paraId="2AD22D45" w14:textId="77777777" w:rsidTr="00077EC0">
        <w:tc>
          <w:tcPr>
            <w:tcW w:w="2126" w:type="dxa"/>
            <w:shd w:val="clear" w:color="auto" w:fill="E2EFD9" w:themeFill="accent6" w:themeFillTint="33"/>
          </w:tcPr>
          <w:p w14:paraId="4700AB59" w14:textId="77777777" w:rsidR="002A3F0C" w:rsidRPr="0010569F" w:rsidRDefault="002A3F0C" w:rsidP="002A3F0C">
            <w:pPr>
              <w:rPr>
                <w:rFonts w:ascii="Helvetica" w:hAnsi="Helvetica" w:cs="Helvetica"/>
              </w:rPr>
            </w:pPr>
            <w:r w:rsidRPr="0010569F">
              <w:rPr>
                <w:rFonts w:ascii="Helvetica" w:hAnsi="Helvetica" w:cs="Helvetica"/>
              </w:rPr>
              <w:t>Median</w:t>
            </w:r>
          </w:p>
        </w:tc>
        <w:tc>
          <w:tcPr>
            <w:tcW w:w="6804" w:type="dxa"/>
            <w:shd w:val="clear" w:color="auto" w:fill="E2EFD9" w:themeFill="accent6" w:themeFillTint="33"/>
          </w:tcPr>
          <w:p w14:paraId="7FBA5815" w14:textId="77777777" w:rsidR="002A3F0C" w:rsidRPr="0010569F" w:rsidRDefault="002A3F0C" w:rsidP="002A3F0C">
            <w:pPr>
              <w:rPr>
                <w:rFonts w:ascii="Helvetica" w:hAnsi="Helvetica" w:cs="Helvetica"/>
              </w:rPr>
            </w:pPr>
            <w:r w:rsidRPr="0010569F">
              <w:rPr>
                <w:rFonts w:ascii="Helvetica" w:hAnsi="Helvetica" w:cs="Helvetica"/>
              </w:rPr>
              <w:t>This is the time taken by the ‘middle’ case if all cases were sorted from quickest to longest</w:t>
            </w:r>
          </w:p>
        </w:tc>
      </w:tr>
      <w:tr w:rsidR="002A3F0C" w:rsidRPr="0010569F" w14:paraId="7BD42C6B" w14:textId="77777777" w:rsidTr="00077EC0">
        <w:tc>
          <w:tcPr>
            <w:tcW w:w="2126" w:type="dxa"/>
            <w:shd w:val="clear" w:color="auto" w:fill="E2EFD9" w:themeFill="accent6" w:themeFillTint="33"/>
          </w:tcPr>
          <w:p w14:paraId="5C1F6B7C" w14:textId="77777777" w:rsidR="002A3F0C" w:rsidRPr="0010569F" w:rsidRDefault="002A3F0C" w:rsidP="002A3F0C">
            <w:pPr>
              <w:rPr>
                <w:rFonts w:ascii="Helvetica" w:hAnsi="Helvetica" w:cs="Helvetica"/>
              </w:rPr>
            </w:pPr>
            <w:r w:rsidRPr="0010569F">
              <w:rPr>
                <w:rFonts w:ascii="Helvetica" w:hAnsi="Helvetica" w:cs="Helvetica"/>
              </w:rPr>
              <w:t>Standard deviation</w:t>
            </w:r>
          </w:p>
        </w:tc>
        <w:tc>
          <w:tcPr>
            <w:tcW w:w="6804" w:type="dxa"/>
            <w:shd w:val="clear" w:color="auto" w:fill="E2EFD9" w:themeFill="accent6" w:themeFillTint="33"/>
          </w:tcPr>
          <w:p w14:paraId="3C6B4F76" w14:textId="77777777" w:rsidR="002A3F0C" w:rsidRPr="0010569F" w:rsidRDefault="002A3F0C" w:rsidP="002A3F0C">
            <w:pPr>
              <w:rPr>
                <w:rFonts w:ascii="Helvetica" w:hAnsi="Helvetica" w:cs="Helvetica"/>
              </w:rPr>
            </w:pPr>
            <w:r w:rsidRPr="0010569F">
              <w:rPr>
                <w:rFonts w:ascii="Helvetica" w:hAnsi="Helvetica" w:cs="Helvetica"/>
              </w:rPr>
              <w:t>This is a measure of variability or spread. It is calculated by examining how much each value differs from the mean. A higher standard deviation means the individual decision times vary more widely around the mean.</w:t>
            </w:r>
          </w:p>
        </w:tc>
      </w:tr>
    </w:tbl>
    <w:p w14:paraId="11C01BD9" w14:textId="77777777" w:rsidR="00683EDF" w:rsidRPr="00D737BD" w:rsidRDefault="00683EDF" w:rsidP="00755D71">
      <w:pPr>
        <w:jc w:val="both"/>
        <w:rPr>
          <w:rFonts w:ascii="Helvetica" w:hAnsi="Helvetica" w:cs="Helvetica"/>
        </w:rPr>
      </w:pPr>
    </w:p>
    <w:p w14:paraId="2D432C55" w14:textId="320EA077" w:rsidR="005862C4" w:rsidRDefault="005862C4" w:rsidP="005862C4">
      <w:pPr>
        <w:keepNext/>
        <w:spacing w:after="120"/>
        <w:rPr>
          <w:rFonts w:ascii="Helvetica" w:hAnsi="Helvetica" w:cs="Helvetica"/>
        </w:rPr>
      </w:pPr>
      <w:r w:rsidRPr="00602DD9">
        <w:rPr>
          <w:rFonts w:ascii="Helvetica" w:hAnsi="Helvetica" w:cs="Helvetica"/>
        </w:rPr>
        <w:t>Table 5: Mean, Median and Standard Deviation of Time to Decision</w:t>
      </w:r>
      <w:r w:rsidR="00320306" w:rsidRPr="00602DD9">
        <w:rPr>
          <w:rFonts w:ascii="Helvetica" w:hAnsi="Helvetica" w:cs="Helvetica"/>
        </w:rPr>
        <w:t>;</w:t>
      </w:r>
      <w:r w:rsidRPr="00602DD9">
        <w:rPr>
          <w:rFonts w:ascii="Helvetica" w:hAnsi="Helvetica" w:cs="Helvetica"/>
        </w:rPr>
        <w:t xml:space="preserve"> </w:t>
      </w:r>
      <w:r w:rsidR="005C7183" w:rsidRPr="00602DD9">
        <w:rPr>
          <w:rFonts w:ascii="Helvetica" w:hAnsi="Helvetica" w:cs="Helvetica"/>
        </w:rPr>
        <w:t>Jun</w:t>
      </w:r>
      <w:r w:rsidR="0080077B" w:rsidRPr="00602DD9">
        <w:rPr>
          <w:rFonts w:ascii="Helvetica" w:hAnsi="Helvetica" w:cs="Helvetica"/>
        </w:rPr>
        <w:t xml:space="preserve"> 20 to </w:t>
      </w:r>
      <w:r w:rsidR="003432F3" w:rsidRPr="00602DD9">
        <w:rPr>
          <w:rFonts w:ascii="Helvetica" w:hAnsi="Helvetica" w:cs="Helvetica"/>
        </w:rPr>
        <w:t>Ma</w:t>
      </w:r>
      <w:r w:rsidR="005C7183" w:rsidRPr="00602DD9">
        <w:rPr>
          <w:rFonts w:ascii="Helvetica" w:hAnsi="Helvetica" w:cs="Helvetica"/>
        </w:rPr>
        <w:t>y</w:t>
      </w:r>
      <w:r w:rsidR="0080077B" w:rsidRPr="00602DD9">
        <w:rPr>
          <w:rFonts w:ascii="Helvetica" w:hAnsi="Helvetica" w:cs="Helvetica"/>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1"/>
        <w:gridCol w:w="666"/>
        <w:gridCol w:w="664"/>
        <w:gridCol w:w="665"/>
        <w:gridCol w:w="666"/>
        <w:gridCol w:w="665"/>
        <w:gridCol w:w="667"/>
        <w:gridCol w:w="664"/>
        <w:gridCol w:w="663"/>
        <w:gridCol w:w="666"/>
        <w:gridCol w:w="665"/>
        <w:gridCol w:w="665"/>
        <w:gridCol w:w="666"/>
        <w:gridCol w:w="670"/>
      </w:tblGrid>
      <w:tr w:rsidR="009D5CAF" w14:paraId="0C5EAC31" w14:textId="77777777" w:rsidTr="00722AE2">
        <w:trPr>
          <w:cantSplit/>
          <w:trHeight w:val="374"/>
        </w:trPr>
        <w:tc>
          <w:tcPr>
            <w:tcW w:w="851" w:type="dxa"/>
            <w:tcBorders>
              <w:right w:val="single" w:sz="4" w:space="0" w:color="auto"/>
            </w:tcBorders>
            <w:vAlign w:val="center"/>
          </w:tcPr>
          <w:p w14:paraId="05088635" w14:textId="77777777" w:rsidR="009D5CAF" w:rsidRDefault="009D5CAF" w:rsidP="009D5CAF">
            <w:pPr>
              <w:keepNext/>
              <w:rPr>
                <w:rFonts w:ascii="Calibri" w:eastAsiaTheme="minorEastAsia" w:hAnsi="Calibri" w:cs="Calibri"/>
                <w:color w:val="000000" w:themeColor="text1"/>
                <w:sz w:val="16"/>
                <w:szCs w:val="16"/>
                <w:lang w:eastAsia="en-US"/>
              </w:rPr>
            </w:pPr>
            <w:r w:rsidRPr="1669EBDB">
              <w:rPr>
                <w:rFonts w:ascii="Calibri" w:eastAsiaTheme="minorEastAsia" w:hAnsi="Calibri" w:cs="Calibri"/>
                <w:color w:val="000000" w:themeColor="text1"/>
                <w:sz w:val="16"/>
                <w:szCs w:val="16"/>
                <w:lang w:eastAsia="en-US"/>
              </w:rPr>
              <w:t>Month</w:t>
            </w:r>
          </w:p>
        </w:tc>
        <w:tc>
          <w:tcPr>
            <w:tcW w:w="666" w:type="dxa"/>
            <w:tcBorders>
              <w:top w:val="single" w:sz="4" w:space="0" w:color="auto"/>
              <w:left w:val="single" w:sz="4" w:space="0" w:color="auto"/>
              <w:bottom w:val="single" w:sz="4" w:space="0" w:color="auto"/>
              <w:right w:val="nil"/>
            </w:tcBorders>
            <w:vAlign w:val="center"/>
          </w:tcPr>
          <w:p w14:paraId="3311641D" w14:textId="2AC6471B" w:rsidR="009D5CAF" w:rsidRDefault="009D5CAF" w:rsidP="009D5CAF">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64" w:type="dxa"/>
            <w:tcBorders>
              <w:top w:val="single" w:sz="4" w:space="0" w:color="auto"/>
              <w:left w:val="nil"/>
              <w:bottom w:val="single" w:sz="4" w:space="0" w:color="auto"/>
              <w:right w:val="nil"/>
            </w:tcBorders>
            <w:vAlign w:val="center"/>
          </w:tcPr>
          <w:p w14:paraId="3D3A839A" w14:textId="5E777A7E" w:rsidR="009D5CAF" w:rsidRDefault="009D5CAF" w:rsidP="009D5CAF">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65" w:type="dxa"/>
            <w:tcBorders>
              <w:top w:val="single" w:sz="4" w:space="0" w:color="auto"/>
              <w:left w:val="nil"/>
              <w:bottom w:val="single" w:sz="4" w:space="0" w:color="auto"/>
              <w:right w:val="nil"/>
            </w:tcBorders>
            <w:vAlign w:val="center"/>
          </w:tcPr>
          <w:p w14:paraId="08D78756" w14:textId="11E9763D" w:rsidR="009D5CAF" w:rsidRDefault="009D5CAF" w:rsidP="009D5CAF">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66" w:type="dxa"/>
            <w:tcBorders>
              <w:top w:val="single" w:sz="4" w:space="0" w:color="auto"/>
              <w:left w:val="nil"/>
              <w:bottom w:val="single" w:sz="4" w:space="0" w:color="auto"/>
              <w:right w:val="nil"/>
            </w:tcBorders>
            <w:vAlign w:val="center"/>
          </w:tcPr>
          <w:p w14:paraId="4F6FA04B" w14:textId="24F73092" w:rsidR="009D5CAF" w:rsidRDefault="009D5CAF" w:rsidP="009D5CAF">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65" w:type="dxa"/>
            <w:tcBorders>
              <w:top w:val="single" w:sz="4" w:space="0" w:color="auto"/>
              <w:left w:val="nil"/>
              <w:bottom w:val="single" w:sz="4" w:space="0" w:color="auto"/>
              <w:right w:val="nil"/>
            </w:tcBorders>
            <w:vAlign w:val="center"/>
          </w:tcPr>
          <w:p w14:paraId="086543FA" w14:textId="7209B5A0" w:rsidR="009D5CAF" w:rsidRDefault="009D5CAF" w:rsidP="009D5CAF">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67" w:type="dxa"/>
            <w:tcBorders>
              <w:top w:val="single" w:sz="4" w:space="0" w:color="auto"/>
              <w:left w:val="nil"/>
              <w:bottom w:val="single" w:sz="4" w:space="0" w:color="auto"/>
              <w:right w:val="nil"/>
            </w:tcBorders>
            <w:vAlign w:val="center"/>
          </w:tcPr>
          <w:p w14:paraId="2FED826C" w14:textId="30DF1A21" w:rsidR="009D5CAF" w:rsidRDefault="009D5CAF" w:rsidP="009D5CAF">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64" w:type="dxa"/>
            <w:tcBorders>
              <w:top w:val="single" w:sz="4" w:space="0" w:color="auto"/>
              <w:left w:val="nil"/>
              <w:bottom w:val="single" w:sz="4" w:space="0" w:color="auto"/>
              <w:right w:val="nil"/>
            </w:tcBorders>
            <w:vAlign w:val="center"/>
          </w:tcPr>
          <w:p w14:paraId="45B13057" w14:textId="0BD2F15A" w:rsidR="009D5CAF" w:rsidRDefault="009D5CAF" w:rsidP="009D5CAF">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63" w:type="dxa"/>
            <w:tcBorders>
              <w:top w:val="single" w:sz="4" w:space="0" w:color="auto"/>
              <w:left w:val="nil"/>
              <w:bottom w:val="single" w:sz="4" w:space="0" w:color="auto"/>
              <w:right w:val="nil"/>
            </w:tcBorders>
            <w:vAlign w:val="center"/>
          </w:tcPr>
          <w:p w14:paraId="399861E8" w14:textId="2BA7829F" w:rsidR="009D5CAF" w:rsidRDefault="009D5CAF" w:rsidP="009D5CAF">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66" w:type="dxa"/>
            <w:tcBorders>
              <w:top w:val="single" w:sz="4" w:space="0" w:color="auto"/>
              <w:left w:val="nil"/>
              <w:bottom w:val="single" w:sz="4" w:space="0" w:color="auto"/>
              <w:right w:val="nil"/>
            </w:tcBorders>
            <w:vAlign w:val="center"/>
          </w:tcPr>
          <w:p w14:paraId="25F0D521" w14:textId="56BB269A" w:rsidR="009D5CAF" w:rsidRDefault="009D5CAF" w:rsidP="009D5CAF">
            <w:pPr>
              <w:keepNext/>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65" w:type="dxa"/>
            <w:tcBorders>
              <w:top w:val="single" w:sz="4" w:space="0" w:color="auto"/>
              <w:left w:val="nil"/>
              <w:bottom w:val="single" w:sz="4" w:space="0" w:color="auto"/>
              <w:right w:val="nil"/>
            </w:tcBorders>
            <w:vAlign w:val="center"/>
          </w:tcPr>
          <w:p w14:paraId="232D1048" w14:textId="6BD4CF23" w:rsidR="009D5CAF" w:rsidRDefault="009D5CAF" w:rsidP="009D5CAF">
            <w:pPr>
              <w:keepNext/>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65" w:type="dxa"/>
            <w:tcBorders>
              <w:top w:val="single" w:sz="4" w:space="0" w:color="auto"/>
              <w:left w:val="nil"/>
              <w:bottom w:val="single" w:sz="4" w:space="0" w:color="auto"/>
              <w:right w:val="nil"/>
            </w:tcBorders>
            <w:vAlign w:val="center"/>
          </w:tcPr>
          <w:p w14:paraId="12D663F7" w14:textId="598D088E" w:rsidR="009D5CAF" w:rsidRDefault="009D5CAF" w:rsidP="009D5CAF">
            <w:pPr>
              <w:keepNext/>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Apr</w:t>
            </w:r>
            <w:r w:rsidRPr="00761EA3">
              <w:rPr>
                <w:rFonts w:ascii="Calibri" w:hAnsi="Calibri" w:cs="Calibri"/>
                <w:color w:val="000000"/>
                <w:sz w:val="14"/>
                <w:szCs w:val="14"/>
              </w:rPr>
              <w:t xml:space="preserve"> 21</w:t>
            </w:r>
          </w:p>
        </w:tc>
        <w:tc>
          <w:tcPr>
            <w:tcW w:w="666" w:type="dxa"/>
            <w:tcBorders>
              <w:top w:val="single" w:sz="4" w:space="0" w:color="auto"/>
              <w:left w:val="nil"/>
              <w:bottom w:val="single" w:sz="4" w:space="0" w:color="auto"/>
              <w:right w:val="single" w:sz="4" w:space="0" w:color="auto"/>
            </w:tcBorders>
            <w:vAlign w:val="center"/>
          </w:tcPr>
          <w:p w14:paraId="45C5AAFC" w14:textId="6E6B4800" w:rsidR="009D5CAF" w:rsidRDefault="009D5CAF" w:rsidP="009D5CAF">
            <w:pPr>
              <w:keepNext/>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May</w:t>
            </w:r>
            <w:r w:rsidRPr="00761EA3">
              <w:rPr>
                <w:rFonts w:ascii="Calibri" w:hAnsi="Calibri" w:cs="Calibri"/>
                <w:color w:val="000000"/>
                <w:sz w:val="14"/>
                <w:szCs w:val="14"/>
              </w:rPr>
              <w:t xml:space="preserve"> 21</w:t>
            </w:r>
          </w:p>
        </w:tc>
        <w:tc>
          <w:tcPr>
            <w:tcW w:w="670" w:type="dxa"/>
            <w:tcBorders>
              <w:left w:val="single" w:sz="4" w:space="0" w:color="auto"/>
            </w:tcBorders>
            <w:vAlign w:val="center"/>
          </w:tcPr>
          <w:p w14:paraId="4B3D5E7D" w14:textId="77777777" w:rsidR="009D5CAF" w:rsidRDefault="009D5CAF" w:rsidP="009D5CAF">
            <w:pPr>
              <w:keepNext/>
              <w:jc w:val="right"/>
              <w:rPr>
                <w:rFonts w:ascii="Calibri" w:eastAsiaTheme="minorEastAsia" w:hAnsi="Calibri" w:cs="Calibri"/>
                <w:color w:val="000000" w:themeColor="text1"/>
                <w:sz w:val="16"/>
                <w:szCs w:val="16"/>
                <w:lang w:eastAsia="en-US"/>
              </w:rPr>
            </w:pPr>
            <w:r w:rsidRPr="1669EBDB">
              <w:rPr>
                <w:rFonts w:ascii="Calibri" w:eastAsiaTheme="minorEastAsia" w:hAnsi="Calibri" w:cs="Calibri"/>
                <w:color w:val="000000" w:themeColor="text1"/>
                <w:sz w:val="16"/>
                <w:szCs w:val="16"/>
                <w:lang w:eastAsia="en-US"/>
              </w:rPr>
              <w:t>Total</w:t>
            </w:r>
          </w:p>
        </w:tc>
      </w:tr>
      <w:tr w:rsidR="005C7183" w14:paraId="6A5ADF95" w14:textId="77777777" w:rsidTr="005C7183">
        <w:trPr>
          <w:trHeight w:val="365"/>
        </w:trPr>
        <w:tc>
          <w:tcPr>
            <w:tcW w:w="851" w:type="dxa"/>
            <w:tcBorders>
              <w:right w:val="single" w:sz="4" w:space="0" w:color="auto"/>
            </w:tcBorders>
            <w:vAlign w:val="center"/>
          </w:tcPr>
          <w:p w14:paraId="270091EB" w14:textId="77777777" w:rsidR="005C7183" w:rsidRDefault="005C7183" w:rsidP="005C7183">
            <w:pPr>
              <w:keepNext/>
              <w:rPr>
                <w:rFonts w:ascii="Calibri" w:eastAsiaTheme="minorEastAsia" w:hAnsi="Calibri" w:cs="Calibri"/>
                <w:color w:val="000000" w:themeColor="text1"/>
                <w:sz w:val="16"/>
                <w:szCs w:val="16"/>
                <w:lang w:eastAsia="en-US"/>
              </w:rPr>
            </w:pPr>
            <w:r w:rsidRPr="799FDB0D">
              <w:rPr>
                <w:rFonts w:ascii="Calibri" w:eastAsiaTheme="minorEastAsia" w:hAnsi="Calibri" w:cs="Calibri"/>
                <w:color w:val="000000" w:themeColor="text1"/>
                <w:sz w:val="16"/>
                <w:szCs w:val="16"/>
                <w:lang w:eastAsia="en-US"/>
              </w:rPr>
              <w:t xml:space="preserve">Valid to </w:t>
            </w:r>
            <w:r w:rsidRPr="1B4646A3">
              <w:rPr>
                <w:rFonts w:ascii="Calibri" w:eastAsiaTheme="minorEastAsia" w:hAnsi="Calibri" w:cs="Calibri"/>
                <w:color w:val="000000" w:themeColor="text1"/>
                <w:sz w:val="16"/>
                <w:szCs w:val="16"/>
                <w:lang w:eastAsia="en-US"/>
              </w:rPr>
              <w:t>Decision (</w:t>
            </w:r>
            <w:r w:rsidRPr="21F06681">
              <w:rPr>
                <w:rFonts w:ascii="Calibri" w:eastAsiaTheme="minorEastAsia" w:hAnsi="Calibri" w:cs="Calibri"/>
                <w:color w:val="000000" w:themeColor="text1"/>
                <w:sz w:val="16"/>
                <w:szCs w:val="16"/>
                <w:lang w:eastAsia="en-US"/>
              </w:rPr>
              <w:t>mean weeks)</w:t>
            </w:r>
          </w:p>
        </w:tc>
        <w:tc>
          <w:tcPr>
            <w:tcW w:w="666" w:type="dxa"/>
            <w:tcBorders>
              <w:top w:val="nil"/>
              <w:left w:val="nil"/>
              <w:bottom w:val="single" w:sz="4" w:space="0" w:color="auto"/>
              <w:right w:val="nil"/>
            </w:tcBorders>
            <w:shd w:val="clear" w:color="auto" w:fill="auto"/>
            <w:vAlign w:val="center"/>
          </w:tcPr>
          <w:p w14:paraId="5BEAAE19" w14:textId="3A174093"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26.1 </w:t>
            </w:r>
          </w:p>
        </w:tc>
        <w:tc>
          <w:tcPr>
            <w:tcW w:w="664" w:type="dxa"/>
            <w:tcBorders>
              <w:top w:val="nil"/>
              <w:left w:val="nil"/>
              <w:bottom w:val="single" w:sz="4" w:space="0" w:color="auto"/>
              <w:right w:val="nil"/>
            </w:tcBorders>
            <w:shd w:val="clear" w:color="auto" w:fill="auto"/>
            <w:vAlign w:val="center"/>
          </w:tcPr>
          <w:p w14:paraId="5525EB18" w14:textId="021B0271"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26.0 </w:t>
            </w:r>
          </w:p>
        </w:tc>
        <w:tc>
          <w:tcPr>
            <w:tcW w:w="665" w:type="dxa"/>
            <w:tcBorders>
              <w:top w:val="nil"/>
              <w:left w:val="nil"/>
              <w:bottom w:val="single" w:sz="4" w:space="0" w:color="auto"/>
              <w:right w:val="nil"/>
            </w:tcBorders>
            <w:shd w:val="clear" w:color="auto" w:fill="auto"/>
            <w:vAlign w:val="center"/>
          </w:tcPr>
          <w:p w14:paraId="2AB8D4C8" w14:textId="5965E5A2"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25.9 </w:t>
            </w:r>
          </w:p>
        </w:tc>
        <w:tc>
          <w:tcPr>
            <w:tcW w:w="666" w:type="dxa"/>
            <w:tcBorders>
              <w:top w:val="nil"/>
              <w:left w:val="nil"/>
              <w:bottom w:val="single" w:sz="4" w:space="0" w:color="auto"/>
              <w:right w:val="nil"/>
            </w:tcBorders>
            <w:shd w:val="clear" w:color="auto" w:fill="auto"/>
            <w:vAlign w:val="center"/>
          </w:tcPr>
          <w:p w14:paraId="0FC7C710" w14:textId="49DF9A59"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26.1 </w:t>
            </w:r>
          </w:p>
        </w:tc>
        <w:tc>
          <w:tcPr>
            <w:tcW w:w="665" w:type="dxa"/>
            <w:tcBorders>
              <w:top w:val="nil"/>
              <w:left w:val="nil"/>
              <w:bottom w:val="single" w:sz="4" w:space="0" w:color="auto"/>
              <w:right w:val="nil"/>
            </w:tcBorders>
            <w:shd w:val="clear" w:color="auto" w:fill="auto"/>
            <w:vAlign w:val="center"/>
          </w:tcPr>
          <w:p w14:paraId="7E2C7272" w14:textId="76D6EEDF"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28.4 </w:t>
            </w:r>
          </w:p>
        </w:tc>
        <w:tc>
          <w:tcPr>
            <w:tcW w:w="667" w:type="dxa"/>
            <w:tcBorders>
              <w:top w:val="nil"/>
              <w:left w:val="nil"/>
              <w:bottom w:val="single" w:sz="4" w:space="0" w:color="auto"/>
              <w:right w:val="nil"/>
            </w:tcBorders>
            <w:shd w:val="clear" w:color="auto" w:fill="auto"/>
            <w:vAlign w:val="center"/>
          </w:tcPr>
          <w:p w14:paraId="0A2F841E" w14:textId="69DB1624"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28.5 </w:t>
            </w:r>
          </w:p>
        </w:tc>
        <w:tc>
          <w:tcPr>
            <w:tcW w:w="664" w:type="dxa"/>
            <w:tcBorders>
              <w:top w:val="nil"/>
              <w:left w:val="nil"/>
              <w:bottom w:val="single" w:sz="4" w:space="0" w:color="auto"/>
              <w:right w:val="nil"/>
            </w:tcBorders>
            <w:shd w:val="clear" w:color="auto" w:fill="auto"/>
            <w:vAlign w:val="center"/>
          </w:tcPr>
          <w:p w14:paraId="5BEC1A62" w14:textId="1983B675"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27.8 </w:t>
            </w:r>
          </w:p>
        </w:tc>
        <w:tc>
          <w:tcPr>
            <w:tcW w:w="663" w:type="dxa"/>
            <w:tcBorders>
              <w:top w:val="nil"/>
              <w:left w:val="nil"/>
              <w:bottom w:val="single" w:sz="4" w:space="0" w:color="auto"/>
              <w:right w:val="nil"/>
            </w:tcBorders>
            <w:shd w:val="clear" w:color="auto" w:fill="auto"/>
            <w:vAlign w:val="center"/>
          </w:tcPr>
          <w:p w14:paraId="0BBD173E" w14:textId="583D351C"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27.7 </w:t>
            </w:r>
          </w:p>
        </w:tc>
        <w:tc>
          <w:tcPr>
            <w:tcW w:w="666" w:type="dxa"/>
            <w:tcBorders>
              <w:top w:val="nil"/>
              <w:left w:val="nil"/>
              <w:bottom w:val="single" w:sz="4" w:space="0" w:color="auto"/>
              <w:right w:val="nil"/>
            </w:tcBorders>
            <w:shd w:val="clear" w:color="auto" w:fill="auto"/>
            <w:vAlign w:val="center"/>
          </w:tcPr>
          <w:p w14:paraId="70315FBD" w14:textId="4940D5F8"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26.7 </w:t>
            </w:r>
          </w:p>
        </w:tc>
        <w:tc>
          <w:tcPr>
            <w:tcW w:w="665" w:type="dxa"/>
            <w:tcBorders>
              <w:top w:val="nil"/>
              <w:left w:val="nil"/>
              <w:bottom w:val="single" w:sz="4" w:space="0" w:color="auto"/>
              <w:right w:val="nil"/>
            </w:tcBorders>
            <w:shd w:val="clear" w:color="auto" w:fill="auto"/>
            <w:vAlign w:val="center"/>
          </w:tcPr>
          <w:p w14:paraId="3132DB09" w14:textId="612F6025"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23.9 </w:t>
            </w:r>
          </w:p>
        </w:tc>
        <w:tc>
          <w:tcPr>
            <w:tcW w:w="665" w:type="dxa"/>
            <w:tcBorders>
              <w:top w:val="nil"/>
              <w:left w:val="nil"/>
              <w:bottom w:val="single" w:sz="4" w:space="0" w:color="auto"/>
              <w:right w:val="nil"/>
            </w:tcBorders>
            <w:shd w:val="clear" w:color="auto" w:fill="auto"/>
            <w:vAlign w:val="center"/>
          </w:tcPr>
          <w:p w14:paraId="0709A80A" w14:textId="21AC3091"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27.3 </w:t>
            </w:r>
          </w:p>
        </w:tc>
        <w:tc>
          <w:tcPr>
            <w:tcW w:w="666" w:type="dxa"/>
            <w:tcBorders>
              <w:top w:val="nil"/>
              <w:left w:val="nil"/>
              <w:bottom w:val="single" w:sz="4" w:space="0" w:color="auto"/>
              <w:right w:val="single" w:sz="4" w:space="0" w:color="auto"/>
            </w:tcBorders>
            <w:shd w:val="clear" w:color="auto" w:fill="auto"/>
            <w:vAlign w:val="center"/>
          </w:tcPr>
          <w:p w14:paraId="18802ADA" w14:textId="412BC5AA"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26.3 </w:t>
            </w:r>
          </w:p>
        </w:tc>
        <w:tc>
          <w:tcPr>
            <w:tcW w:w="670" w:type="dxa"/>
            <w:tcBorders>
              <w:top w:val="nil"/>
              <w:left w:val="single" w:sz="4" w:space="0" w:color="auto"/>
              <w:bottom w:val="single" w:sz="4" w:space="0" w:color="auto"/>
              <w:right w:val="single" w:sz="4" w:space="0" w:color="auto"/>
            </w:tcBorders>
            <w:shd w:val="clear" w:color="auto" w:fill="auto"/>
            <w:vAlign w:val="center"/>
          </w:tcPr>
          <w:p w14:paraId="07F8AEE9" w14:textId="77DDAED2"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26.9 </w:t>
            </w:r>
          </w:p>
        </w:tc>
      </w:tr>
      <w:tr w:rsidR="005C7183" w14:paraId="769C2EE5" w14:textId="77777777" w:rsidTr="005C7183">
        <w:trPr>
          <w:trHeight w:val="365"/>
        </w:trPr>
        <w:tc>
          <w:tcPr>
            <w:tcW w:w="851" w:type="dxa"/>
            <w:tcBorders>
              <w:right w:val="single" w:sz="4" w:space="0" w:color="auto"/>
            </w:tcBorders>
            <w:vAlign w:val="center"/>
          </w:tcPr>
          <w:p w14:paraId="3B404726" w14:textId="77777777" w:rsidR="005C7183" w:rsidRDefault="005C7183" w:rsidP="005C7183">
            <w:pPr>
              <w:keepNext/>
              <w:rPr>
                <w:rFonts w:ascii="Calibri" w:eastAsiaTheme="minorEastAsia" w:hAnsi="Calibri" w:cs="Calibri"/>
                <w:color w:val="000000" w:themeColor="text1"/>
                <w:sz w:val="16"/>
                <w:szCs w:val="16"/>
                <w:lang w:eastAsia="en-US"/>
              </w:rPr>
            </w:pPr>
            <w:r w:rsidRPr="21F06681">
              <w:rPr>
                <w:rFonts w:ascii="Calibri" w:eastAsiaTheme="minorEastAsia" w:hAnsi="Calibri" w:cs="Calibri"/>
                <w:color w:val="000000" w:themeColor="text1"/>
                <w:sz w:val="16"/>
                <w:szCs w:val="16"/>
                <w:lang w:eastAsia="en-US"/>
              </w:rPr>
              <w:t>Valid to Decision (median weeks)</w:t>
            </w:r>
          </w:p>
        </w:tc>
        <w:tc>
          <w:tcPr>
            <w:tcW w:w="666" w:type="dxa"/>
            <w:tcBorders>
              <w:top w:val="single" w:sz="4" w:space="0" w:color="auto"/>
              <w:left w:val="nil"/>
              <w:bottom w:val="single" w:sz="4" w:space="0" w:color="auto"/>
              <w:right w:val="nil"/>
            </w:tcBorders>
            <w:shd w:val="clear" w:color="auto" w:fill="auto"/>
            <w:vAlign w:val="center"/>
          </w:tcPr>
          <w:p w14:paraId="2BF6457D" w14:textId="2B44D8D6"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22.1 </w:t>
            </w:r>
          </w:p>
        </w:tc>
        <w:tc>
          <w:tcPr>
            <w:tcW w:w="664" w:type="dxa"/>
            <w:tcBorders>
              <w:top w:val="single" w:sz="4" w:space="0" w:color="auto"/>
              <w:left w:val="nil"/>
              <w:bottom w:val="single" w:sz="4" w:space="0" w:color="auto"/>
              <w:right w:val="nil"/>
            </w:tcBorders>
            <w:shd w:val="clear" w:color="auto" w:fill="auto"/>
            <w:vAlign w:val="center"/>
          </w:tcPr>
          <w:p w14:paraId="21D4873B" w14:textId="461B58A8"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23.3 </w:t>
            </w:r>
          </w:p>
        </w:tc>
        <w:tc>
          <w:tcPr>
            <w:tcW w:w="665" w:type="dxa"/>
            <w:tcBorders>
              <w:top w:val="single" w:sz="4" w:space="0" w:color="auto"/>
              <w:left w:val="nil"/>
              <w:bottom w:val="single" w:sz="4" w:space="0" w:color="auto"/>
              <w:right w:val="nil"/>
            </w:tcBorders>
            <w:shd w:val="clear" w:color="auto" w:fill="auto"/>
            <w:vAlign w:val="center"/>
          </w:tcPr>
          <w:p w14:paraId="7154AC76" w14:textId="41B5FDE5"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23.3 </w:t>
            </w:r>
          </w:p>
        </w:tc>
        <w:tc>
          <w:tcPr>
            <w:tcW w:w="666" w:type="dxa"/>
            <w:tcBorders>
              <w:top w:val="single" w:sz="4" w:space="0" w:color="auto"/>
              <w:left w:val="nil"/>
              <w:bottom w:val="single" w:sz="4" w:space="0" w:color="auto"/>
              <w:right w:val="nil"/>
            </w:tcBorders>
            <w:shd w:val="clear" w:color="auto" w:fill="auto"/>
            <w:vAlign w:val="center"/>
          </w:tcPr>
          <w:p w14:paraId="58691663" w14:textId="728C80AC"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24.0 </w:t>
            </w:r>
          </w:p>
        </w:tc>
        <w:tc>
          <w:tcPr>
            <w:tcW w:w="665" w:type="dxa"/>
            <w:tcBorders>
              <w:top w:val="single" w:sz="4" w:space="0" w:color="auto"/>
              <w:left w:val="nil"/>
              <w:bottom w:val="single" w:sz="4" w:space="0" w:color="auto"/>
              <w:right w:val="nil"/>
            </w:tcBorders>
            <w:shd w:val="clear" w:color="auto" w:fill="auto"/>
            <w:vAlign w:val="center"/>
          </w:tcPr>
          <w:p w14:paraId="528CC6FB" w14:textId="50918F6A"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25.6 </w:t>
            </w:r>
          </w:p>
        </w:tc>
        <w:tc>
          <w:tcPr>
            <w:tcW w:w="667" w:type="dxa"/>
            <w:tcBorders>
              <w:top w:val="single" w:sz="4" w:space="0" w:color="auto"/>
              <w:left w:val="nil"/>
              <w:bottom w:val="single" w:sz="4" w:space="0" w:color="auto"/>
              <w:right w:val="nil"/>
            </w:tcBorders>
            <w:shd w:val="clear" w:color="auto" w:fill="auto"/>
            <w:vAlign w:val="center"/>
          </w:tcPr>
          <w:p w14:paraId="7DBA5E0D" w14:textId="5F276EC7"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26.9 </w:t>
            </w:r>
          </w:p>
        </w:tc>
        <w:tc>
          <w:tcPr>
            <w:tcW w:w="664" w:type="dxa"/>
            <w:tcBorders>
              <w:top w:val="single" w:sz="4" w:space="0" w:color="auto"/>
              <w:left w:val="nil"/>
              <w:bottom w:val="single" w:sz="4" w:space="0" w:color="auto"/>
              <w:right w:val="nil"/>
            </w:tcBorders>
            <w:shd w:val="clear" w:color="auto" w:fill="auto"/>
            <w:vAlign w:val="center"/>
          </w:tcPr>
          <w:p w14:paraId="71B714E0" w14:textId="003BE6B2"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23.9 </w:t>
            </w:r>
          </w:p>
        </w:tc>
        <w:tc>
          <w:tcPr>
            <w:tcW w:w="663" w:type="dxa"/>
            <w:tcBorders>
              <w:top w:val="single" w:sz="4" w:space="0" w:color="auto"/>
              <w:left w:val="nil"/>
              <w:bottom w:val="single" w:sz="4" w:space="0" w:color="auto"/>
              <w:right w:val="nil"/>
            </w:tcBorders>
            <w:shd w:val="clear" w:color="auto" w:fill="auto"/>
            <w:vAlign w:val="center"/>
          </w:tcPr>
          <w:p w14:paraId="17A8D4D5" w14:textId="2D097401"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22.0 </w:t>
            </w:r>
          </w:p>
        </w:tc>
        <w:tc>
          <w:tcPr>
            <w:tcW w:w="666" w:type="dxa"/>
            <w:tcBorders>
              <w:top w:val="single" w:sz="4" w:space="0" w:color="auto"/>
              <w:left w:val="nil"/>
              <w:bottom w:val="single" w:sz="4" w:space="0" w:color="auto"/>
              <w:right w:val="nil"/>
            </w:tcBorders>
            <w:shd w:val="clear" w:color="auto" w:fill="auto"/>
            <w:vAlign w:val="center"/>
          </w:tcPr>
          <w:p w14:paraId="42F9A1CE" w14:textId="643D72AA"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20.9 </w:t>
            </w:r>
          </w:p>
        </w:tc>
        <w:tc>
          <w:tcPr>
            <w:tcW w:w="665" w:type="dxa"/>
            <w:tcBorders>
              <w:top w:val="single" w:sz="4" w:space="0" w:color="auto"/>
              <w:left w:val="nil"/>
              <w:bottom w:val="single" w:sz="4" w:space="0" w:color="auto"/>
              <w:right w:val="nil"/>
            </w:tcBorders>
            <w:shd w:val="clear" w:color="auto" w:fill="auto"/>
            <w:vAlign w:val="center"/>
          </w:tcPr>
          <w:p w14:paraId="7DC13F0A" w14:textId="734E3AD0"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18.9 </w:t>
            </w:r>
          </w:p>
        </w:tc>
        <w:tc>
          <w:tcPr>
            <w:tcW w:w="665" w:type="dxa"/>
            <w:tcBorders>
              <w:top w:val="single" w:sz="4" w:space="0" w:color="auto"/>
              <w:left w:val="nil"/>
              <w:bottom w:val="single" w:sz="4" w:space="0" w:color="auto"/>
              <w:right w:val="nil"/>
            </w:tcBorders>
            <w:shd w:val="clear" w:color="auto" w:fill="auto"/>
            <w:vAlign w:val="center"/>
          </w:tcPr>
          <w:p w14:paraId="799C4F5A" w14:textId="1036AD94"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21.9 </w:t>
            </w:r>
          </w:p>
        </w:tc>
        <w:tc>
          <w:tcPr>
            <w:tcW w:w="666" w:type="dxa"/>
            <w:tcBorders>
              <w:top w:val="single" w:sz="4" w:space="0" w:color="auto"/>
              <w:left w:val="nil"/>
              <w:bottom w:val="single" w:sz="4" w:space="0" w:color="auto"/>
              <w:right w:val="single" w:sz="4" w:space="0" w:color="auto"/>
            </w:tcBorders>
            <w:shd w:val="clear" w:color="auto" w:fill="auto"/>
            <w:vAlign w:val="center"/>
          </w:tcPr>
          <w:p w14:paraId="7C9D1F1C" w14:textId="77C0F637"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22.1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2BF7946" w14:textId="06FDFEC2"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23.0 </w:t>
            </w:r>
          </w:p>
        </w:tc>
      </w:tr>
      <w:tr w:rsidR="005C7183" w14:paraId="422ADC58" w14:textId="77777777" w:rsidTr="005C7183">
        <w:trPr>
          <w:trHeight w:val="365"/>
        </w:trPr>
        <w:tc>
          <w:tcPr>
            <w:tcW w:w="851" w:type="dxa"/>
            <w:tcBorders>
              <w:right w:val="single" w:sz="4" w:space="0" w:color="auto"/>
            </w:tcBorders>
            <w:vAlign w:val="center"/>
          </w:tcPr>
          <w:p w14:paraId="60BFF76F" w14:textId="77777777" w:rsidR="005C7183" w:rsidRDefault="005C7183" w:rsidP="005C7183">
            <w:pPr>
              <w:keepNext/>
              <w:rPr>
                <w:rFonts w:ascii="Calibri" w:eastAsiaTheme="minorEastAsia" w:hAnsi="Calibri" w:cs="Calibri"/>
                <w:color w:val="000000" w:themeColor="text1"/>
                <w:sz w:val="16"/>
                <w:szCs w:val="16"/>
                <w:lang w:eastAsia="en-US"/>
              </w:rPr>
            </w:pPr>
            <w:r w:rsidRPr="21F06681">
              <w:rPr>
                <w:rFonts w:ascii="Calibri" w:eastAsiaTheme="minorEastAsia" w:hAnsi="Calibri" w:cs="Calibri"/>
                <w:color w:val="000000" w:themeColor="text1"/>
                <w:sz w:val="16"/>
                <w:szCs w:val="16"/>
                <w:lang w:eastAsia="en-US"/>
              </w:rPr>
              <w:t>Standard Deviation (</w:t>
            </w:r>
            <w:r w:rsidRPr="454BFDA5">
              <w:rPr>
                <w:rFonts w:ascii="Calibri" w:eastAsiaTheme="minorEastAsia" w:hAnsi="Calibri" w:cs="Calibri"/>
                <w:color w:val="000000" w:themeColor="text1"/>
                <w:sz w:val="16"/>
                <w:szCs w:val="16"/>
                <w:lang w:eastAsia="en-US"/>
              </w:rPr>
              <w:t>weeks)</w:t>
            </w:r>
          </w:p>
        </w:tc>
        <w:tc>
          <w:tcPr>
            <w:tcW w:w="666" w:type="dxa"/>
            <w:tcBorders>
              <w:top w:val="single" w:sz="4" w:space="0" w:color="auto"/>
              <w:left w:val="nil"/>
              <w:bottom w:val="single" w:sz="4" w:space="0" w:color="auto"/>
              <w:right w:val="nil"/>
            </w:tcBorders>
            <w:shd w:val="clear" w:color="auto" w:fill="auto"/>
            <w:vAlign w:val="center"/>
          </w:tcPr>
          <w:p w14:paraId="3F843B0F" w14:textId="25F94D9D"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13.9 </w:t>
            </w:r>
          </w:p>
        </w:tc>
        <w:tc>
          <w:tcPr>
            <w:tcW w:w="664" w:type="dxa"/>
            <w:tcBorders>
              <w:top w:val="single" w:sz="4" w:space="0" w:color="auto"/>
              <w:left w:val="nil"/>
              <w:bottom w:val="single" w:sz="4" w:space="0" w:color="auto"/>
              <w:right w:val="nil"/>
            </w:tcBorders>
            <w:shd w:val="clear" w:color="auto" w:fill="auto"/>
            <w:vAlign w:val="center"/>
          </w:tcPr>
          <w:p w14:paraId="4EDA9134" w14:textId="2760BB7A"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14.4 </w:t>
            </w:r>
          </w:p>
        </w:tc>
        <w:tc>
          <w:tcPr>
            <w:tcW w:w="665" w:type="dxa"/>
            <w:tcBorders>
              <w:top w:val="single" w:sz="4" w:space="0" w:color="auto"/>
              <w:left w:val="nil"/>
              <w:bottom w:val="single" w:sz="4" w:space="0" w:color="auto"/>
              <w:right w:val="nil"/>
            </w:tcBorders>
            <w:shd w:val="clear" w:color="auto" w:fill="auto"/>
            <w:vAlign w:val="center"/>
          </w:tcPr>
          <w:p w14:paraId="3201612B" w14:textId="53A7F2AE"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14.1 </w:t>
            </w:r>
          </w:p>
        </w:tc>
        <w:tc>
          <w:tcPr>
            <w:tcW w:w="666" w:type="dxa"/>
            <w:tcBorders>
              <w:top w:val="single" w:sz="4" w:space="0" w:color="auto"/>
              <w:left w:val="nil"/>
              <w:bottom w:val="single" w:sz="4" w:space="0" w:color="auto"/>
              <w:right w:val="nil"/>
            </w:tcBorders>
            <w:shd w:val="clear" w:color="auto" w:fill="auto"/>
            <w:vAlign w:val="center"/>
          </w:tcPr>
          <w:p w14:paraId="79F969F6" w14:textId="6682EA0F"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12.5 </w:t>
            </w:r>
          </w:p>
        </w:tc>
        <w:tc>
          <w:tcPr>
            <w:tcW w:w="665" w:type="dxa"/>
            <w:tcBorders>
              <w:top w:val="single" w:sz="4" w:space="0" w:color="auto"/>
              <w:left w:val="nil"/>
              <w:bottom w:val="single" w:sz="4" w:space="0" w:color="auto"/>
              <w:right w:val="nil"/>
            </w:tcBorders>
            <w:shd w:val="clear" w:color="auto" w:fill="auto"/>
            <w:vAlign w:val="center"/>
          </w:tcPr>
          <w:p w14:paraId="7062FD2C" w14:textId="3340EFAD"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14.9 </w:t>
            </w:r>
          </w:p>
        </w:tc>
        <w:tc>
          <w:tcPr>
            <w:tcW w:w="667" w:type="dxa"/>
            <w:tcBorders>
              <w:top w:val="single" w:sz="4" w:space="0" w:color="auto"/>
              <w:left w:val="nil"/>
              <w:bottom w:val="single" w:sz="4" w:space="0" w:color="auto"/>
              <w:right w:val="nil"/>
            </w:tcBorders>
            <w:shd w:val="clear" w:color="auto" w:fill="auto"/>
            <w:vAlign w:val="center"/>
          </w:tcPr>
          <w:p w14:paraId="20977619" w14:textId="38B6AA9F"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12.9 </w:t>
            </w:r>
          </w:p>
        </w:tc>
        <w:tc>
          <w:tcPr>
            <w:tcW w:w="664" w:type="dxa"/>
            <w:tcBorders>
              <w:top w:val="single" w:sz="4" w:space="0" w:color="auto"/>
              <w:left w:val="nil"/>
              <w:bottom w:val="single" w:sz="4" w:space="0" w:color="auto"/>
              <w:right w:val="nil"/>
            </w:tcBorders>
            <w:shd w:val="clear" w:color="auto" w:fill="auto"/>
            <w:vAlign w:val="center"/>
          </w:tcPr>
          <w:p w14:paraId="6D9A7352" w14:textId="1E2705C1"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15.6 </w:t>
            </w:r>
          </w:p>
        </w:tc>
        <w:tc>
          <w:tcPr>
            <w:tcW w:w="663" w:type="dxa"/>
            <w:tcBorders>
              <w:top w:val="single" w:sz="4" w:space="0" w:color="auto"/>
              <w:left w:val="nil"/>
              <w:bottom w:val="single" w:sz="4" w:space="0" w:color="auto"/>
              <w:right w:val="nil"/>
            </w:tcBorders>
            <w:shd w:val="clear" w:color="auto" w:fill="auto"/>
            <w:vAlign w:val="center"/>
          </w:tcPr>
          <w:p w14:paraId="5947139D" w14:textId="5FF062D7"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18.1 </w:t>
            </w:r>
          </w:p>
        </w:tc>
        <w:tc>
          <w:tcPr>
            <w:tcW w:w="666" w:type="dxa"/>
            <w:tcBorders>
              <w:top w:val="single" w:sz="4" w:space="0" w:color="auto"/>
              <w:left w:val="nil"/>
              <w:bottom w:val="single" w:sz="4" w:space="0" w:color="auto"/>
              <w:right w:val="nil"/>
            </w:tcBorders>
            <w:shd w:val="clear" w:color="auto" w:fill="auto"/>
            <w:vAlign w:val="center"/>
          </w:tcPr>
          <w:p w14:paraId="16C84D92" w14:textId="429F1861"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16.9 </w:t>
            </w:r>
          </w:p>
        </w:tc>
        <w:tc>
          <w:tcPr>
            <w:tcW w:w="665" w:type="dxa"/>
            <w:tcBorders>
              <w:top w:val="single" w:sz="4" w:space="0" w:color="auto"/>
              <w:left w:val="nil"/>
              <w:bottom w:val="single" w:sz="4" w:space="0" w:color="auto"/>
              <w:right w:val="nil"/>
            </w:tcBorders>
            <w:shd w:val="clear" w:color="auto" w:fill="auto"/>
            <w:vAlign w:val="center"/>
          </w:tcPr>
          <w:p w14:paraId="1D54A438" w14:textId="309B9CD6"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16.0 </w:t>
            </w:r>
          </w:p>
        </w:tc>
        <w:tc>
          <w:tcPr>
            <w:tcW w:w="665" w:type="dxa"/>
            <w:tcBorders>
              <w:top w:val="single" w:sz="4" w:space="0" w:color="auto"/>
              <w:left w:val="nil"/>
              <w:bottom w:val="single" w:sz="4" w:space="0" w:color="auto"/>
              <w:right w:val="nil"/>
            </w:tcBorders>
            <w:shd w:val="clear" w:color="auto" w:fill="auto"/>
            <w:vAlign w:val="center"/>
          </w:tcPr>
          <w:p w14:paraId="532CCB70" w14:textId="61977AA9"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18.7 </w:t>
            </w:r>
          </w:p>
        </w:tc>
        <w:tc>
          <w:tcPr>
            <w:tcW w:w="666" w:type="dxa"/>
            <w:tcBorders>
              <w:top w:val="single" w:sz="4" w:space="0" w:color="auto"/>
              <w:left w:val="nil"/>
              <w:bottom w:val="single" w:sz="4" w:space="0" w:color="auto"/>
              <w:right w:val="single" w:sz="4" w:space="0" w:color="auto"/>
            </w:tcBorders>
            <w:shd w:val="clear" w:color="auto" w:fill="auto"/>
            <w:vAlign w:val="center"/>
          </w:tcPr>
          <w:p w14:paraId="78857262" w14:textId="220C9FA5"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16.7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2820C9E" w14:textId="389EB776" w:rsidR="005C7183" w:rsidRPr="005C7183" w:rsidRDefault="005C7183" w:rsidP="005C7183">
            <w:pPr>
              <w:keepNext/>
              <w:jc w:val="right"/>
              <w:rPr>
                <w:rFonts w:asciiTheme="minorHAnsi" w:eastAsiaTheme="minorEastAsia" w:hAnsiTheme="minorHAnsi" w:cstheme="minorHAnsi"/>
                <w:color w:val="000000" w:themeColor="text1"/>
                <w:sz w:val="16"/>
                <w:szCs w:val="16"/>
                <w:lang w:eastAsia="en-US"/>
              </w:rPr>
            </w:pPr>
            <w:r w:rsidRPr="005C7183">
              <w:rPr>
                <w:rFonts w:ascii="Calibri" w:hAnsi="Calibri" w:cs="Calibri"/>
                <w:color w:val="000000"/>
                <w:sz w:val="16"/>
                <w:szCs w:val="16"/>
              </w:rPr>
              <w:t xml:space="preserve">    15.5 </w:t>
            </w:r>
          </w:p>
        </w:tc>
      </w:tr>
    </w:tbl>
    <w:p w14:paraId="0153F8BC" w14:textId="77777777" w:rsidR="005862C4" w:rsidRDefault="005862C4" w:rsidP="005862C4">
      <w:pPr>
        <w:rPr>
          <w:rFonts w:ascii="Helvetica" w:eastAsia="Calibri" w:hAnsi="Helvetica" w:cs="Helvetica"/>
        </w:rPr>
      </w:pPr>
      <w:r w:rsidRPr="4117AA6F">
        <w:rPr>
          <w:rFonts w:ascii="Helvetica" w:eastAsia="Calibri" w:hAnsi="Helvetica" w:cs="Helvetica"/>
          <w:sz w:val="18"/>
          <w:szCs w:val="18"/>
        </w:rPr>
        <w:t xml:space="preserve">Source: Horizon and </w:t>
      </w:r>
      <w:proofErr w:type="spellStart"/>
      <w:r w:rsidRPr="4117AA6F">
        <w:rPr>
          <w:rFonts w:ascii="Helvetica" w:eastAsia="Calibri" w:hAnsi="Helvetica" w:cs="Helvetica"/>
          <w:sz w:val="18"/>
          <w:szCs w:val="18"/>
        </w:rPr>
        <w:t>Picaso</w:t>
      </w:r>
      <w:proofErr w:type="spellEnd"/>
    </w:p>
    <w:p w14:paraId="3859C767" w14:textId="77777777" w:rsidR="00053CC7" w:rsidRPr="00693103" w:rsidRDefault="00053CC7" w:rsidP="00053CC7">
      <w:pPr>
        <w:rPr>
          <w:rFonts w:ascii="Helvetica" w:hAnsi="Helvetica" w:cs="Helvetica"/>
          <w:highlight w:val="yellow"/>
        </w:rPr>
      </w:pPr>
    </w:p>
    <w:p w14:paraId="33321F63" w14:textId="01F9CB3B" w:rsidR="00CC7978" w:rsidRDefault="00CC7978" w:rsidP="00F225F9">
      <w:pPr>
        <w:keepNext/>
        <w:spacing w:after="120"/>
        <w:rPr>
          <w:rFonts w:ascii="Helvetica" w:hAnsi="Helvetica" w:cs="Helvetica"/>
        </w:rPr>
      </w:pPr>
      <w:r w:rsidRPr="4721EDED">
        <w:rPr>
          <w:rFonts w:ascii="Helvetica" w:hAnsi="Helvetica" w:cs="Helvetica"/>
        </w:rPr>
        <w:t xml:space="preserve">Figure </w:t>
      </w:r>
      <w:r w:rsidR="00BE05D7" w:rsidRPr="4721EDED">
        <w:rPr>
          <w:rFonts w:ascii="Helvetica" w:hAnsi="Helvetica" w:cs="Helvetica"/>
        </w:rPr>
        <w:t>5</w:t>
      </w:r>
      <w:r w:rsidR="00ED590B" w:rsidRPr="4721EDED">
        <w:rPr>
          <w:rFonts w:ascii="Helvetica" w:hAnsi="Helvetica" w:cs="Helvetica"/>
        </w:rPr>
        <w:t xml:space="preserve">: </w:t>
      </w:r>
      <w:r w:rsidR="00A57215" w:rsidRPr="4721EDED">
        <w:rPr>
          <w:rFonts w:ascii="Helvetica" w:hAnsi="Helvetica" w:cs="Helvetica"/>
        </w:rPr>
        <w:t>Mean and Median time to decision</w:t>
      </w:r>
      <w:r w:rsidR="008D5A24" w:rsidRPr="4721EDED">
        <w:rPr>
          <w:rFonts w:ascii="Helvetica" w:hAnsi="Helvetica" w:cs="Helvetica"/>
        </w:rPr>
        <w:t xml:space="preserve">; </w:t>
      </w:r>
      <w:r w:rsidR="00CA34FB" w:rsidRPr="4721EDED">
        <w:rPr>
          <w:rFonts w:ascii="Helvetica" w:hAnsi="Helvetica" w:cs="Helvetica"/>
        </w:rPr>
        <w:t>Jun 20 to May 21</w:t>
      </w:r>
      <w:r>
        <w:br/>
      </w:r>
      <w:r w:rsidR="5EE81892">
        <w:rPr>
          <w:noProof/>
        </w:rPr>
        <w:drawing>
          <wp:inline distT="0" distB="0" distL="0" distR="0" wp14:anchorId="7C9A8AC7" wp14:editId="0E03D5BF">
            <wp:extent cx="6027418" cy="361562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7418" cy="3615621"/>
                    </a:xfrm>
                    <a:prstGeom prst="rect">
                      <a:avLst/>
                    </a:prstGeom>
                  </pic:spPr>
                </pic:pic>
              </a:graphicData>
            </a:graphic>
          </wp:inline>
        </w:drawing>
      </w:r>
    </w:p>
    <w:p w14:paraId="70151024" w14:textId="77777777" w:rsidR="00C25920" w:rsidRDefault="00C25920" w:rsidP="00C25920">
      <w:pPr>
        <w:rPr>
          <w:rFonts w:ascii="Helvetica" w:eastAsia="Calibri" w:hAnsi="Helvetica" w:cs="Helvetica"/>
        </w:rPr>
      </w:pPr>
      <w:r w:rsidRPr="4117AA6F">
        <w:rPr>
          <w:rFonts w:ascii="Helvetica" w:eastAsia="Calibri" w:hAnsi="Helvetica" w:cs="Helvetica"/>
          <w:sz w:val="18"/>
          <w:szCs w:val="18"/>
        </w:rPr>
        <w:t xml:space="preserve">Source: Horizon and </w:t>
      </w:r>
      <w:proofErr w:type="spellStart"/>
      <w:r w:rsidRPr="4117AA6F">
        <w:rPr>
          <w:rFonts w:ascii="Helvetica" w:eastAsia="Calibri" w:hAnsi="Helvetica" w:cs="Helvetica"/>
          <w:sz w:val="18"/>
          <w:szCs w:val="18"/>
        </w:rPr>
        <w:t>Picaso</w:t>
      </w:r>
      <w:proofErr w:type="spellEnd"/>
    </w:p>
    <w:p w14:paraId="69F8B026" w14:textId="77777777" w:rsidR="006A3227" w:rsidRDefault="006A3227" w:rsidP="006A3227">
      <w:pPr>
        <w:rPr>
          <w:rFonts w:ascii="Helvetica" w:hAnsi="Helvetica" w:cs="Helvetica"/>
        </w:rPr>
      </w:pPr>
    </w:p>
    <w:p w14:paraId="198CAD3E" w14:textId="77777777" w:rsidR="00CF6B38" w:rsidRDefault="00CF6B38" w:rsidP="006A3227">
      <w:pPr>
        <w:rPr>
          <w:rFonts w:ascii="Helvetica" w:hAnsi="Helvetica" w:cs="Helvetica"/>
          <w:b/>
          <w:bCs/>
        </w:rPr>
      </w:pPr>
    </w:p>
    <w:p w14:paraId="5B153006" w14:textId="047F0FC5" w:rsidR="00CC7978" w:rsidRPr="00DA27D7" w:rsidRDefault="00CC7978" w:rsidP="00F72416">
      <w:pPr>
        <w:keepNext/>
        <w:rPr>
          <w:rFonts w:ascii="Helvetica" w:hAnsi="Helvetica" w:cs="Helvetica"/>
          <w:b/>
          <w:bCs/>
        </w:rPr>
      </w:pPr>
      <w:r w:rsidRPr="00DA27D7">
        <w:rPr>
          <w:rFonts w:ascii="Helvetica" w:hAnsi="Helvetica" w:cs="Helvetica"/>
          <w:b/>
          <w:bCs/>
        </w:rPr>
        <w:t xml:space="preserve">Procedure </w:t>
      </w:r>
      <w:r w:rsidR="00F44FC6" w:rsidRPr="00DA27D7">
        <w:rPr>
          <w:rFonts w:ascii="Helvetica" w:hAnsi="Helvetica" w:cs="Helvetica"/>
          <w:b/>
          <w:bCs/>
        </w:rPr>
        <w:t>T</w:t>
      </w:r>
      <w:r w:rsidRPr="00DA27D7">
        <w:rPr>
          <w:rFonts w:ascii="Helvetica" w:hAnsi="Helvetica" w:cs="Helvetica"/>
          <w:b/>
          <w:bCs/>
        </w:rPr>
        <w:t>ype</w:t>
      </w:r>
    </w:p>
    <w:p w14:paraId="1239DB0A" w14:textId="0FE10D78" w:rsidR="006A3227" w:rsidRPr="00DA27D7" w:rsidRDefault="006A3227" w:rsidP="00C41717">
      <w:pPr>
        <w:jc w:val="both"/>
        <w:rPr>
          <w:rFonts w:ascii="Helvetica" w:hAnsi="Helvetica" w:cs="Helvetica"/>
        </w:rPr>
      </w:pPr>
      <w:r w:rsidRPr="00DA27D7">
        <w:rPr>
          <w:rFonts w:ascii="Helvetica" w:hAnsi="Helvetica" w:cs="Helvetica"/>
        </w:rPr>
        <w:t xml:space="preserve">Table </w:t>
      </w:r>
      <w:r w:rsidR="003E5F59" w:rsidRPr="00DA27D7">
        <w:rPr>
          <w:rFonts w:ascii="Helvetica" w:hAnsi="Helvetica" w:cs="Helvetica"/>
        </w:rPr>
        <w:t>6</w:t>
      </w:r>
      <w:r w:rsidRPr="00DA27D7">
        <w:rPr>
          <w:rFonts w:ascii="Helvetica" w:hAnsi="Helvetica" w:cs="Helvetica"/>
        </w:rPr>
        <w:t xml:space="preserve"> below shows decision timeliness broken down by the procedure type. Hearings and inquires take longer than written representations – with </w:t>
      </w:r>
      <w:r w:rsidR="00264EE5">
        <w:rPr>
          <w:rFonts w:ascii="Helvetica" w:hAnsi="Helvetica" w:cs="Helvetica"/>
        </w:rPr>
        <w:t>i</w:t>
      </w:r>
      <w:r w:rsidR="00B4242C" w:rsidRPr="00DA27D7">
        <w:rPr>
          <w:rFonts w:ascii="Helvetica" w:hAnsi="Helvetica" w:cs="Helvetica"/>
        </w:rPr>
        <w:t>nquiries</w:t>
      </w:r>
      <w:r w:rsidRPr="00DA27D7">
        <w:rPr>
          <w:rFonts w:ascii="Helvetica" w:hAnsi="Helvetica" w:cs="Helvetica"/>
        </w:rPr>
        <w:t xml:space="preserve"> taking more than twice as </w:t>
      </w:r>
      <w:r w:rsidRPr="00DA27D7">
        <w:rPr>
          <w:rFonts w:ascii="Helvetica" w:hAnsi="Helvetica" w:cs="Helvetica"/>
        </w:rPr>
        <w:lastRenderedPageBreak/>
        <w:t xml:space="preserve">long as written representations.  Because 19 of every 20 cases are by written representation, the timeliness measures for written representations is </w:t>
      </w:r>
      <w:proofErr w:type="gramStart"/>
      <w:r w:rsidRPr="00DA27D7">
        <w:rPr>
          <w:rFonts w:ascii="Helvetica" w:hAnsi="Helvetica" w:cs="Helvetica"/>
        </w:rPr>
        <w:t>similar to</w:t>
      </w:r>
      <w:proofErr w:type="gramEnd"/>
      <w:r w:rsidRPr="00DA27D7">
        <w:rPr>
          <w:rFonts w:ascii="Helvetica" w:hAnsi="Helvetica" w:cs="Helvetica"/>
        </w:rPr>
        <w:t xml:space="preserve"> the measure across all cases. </w:t>
      </w:r>
    </w:p>
    <w:p w14:paraId="5094CD1F" w14:textId="77777777" w:rsidR="006A3227" w:rsidRPr="00DA27D7" w:rsidRDefault="006A3227" w:rsidP="00C41717">
      <w:pPr>
        <w:jc w:val="both"/>
        <w:rPr>
          <w:rFonts w:ascii="Helvetica" w:hAnsi="Helvetica" w:cs="Helvetica"/>
          <w:color w:val="FF0000"/>
        </w:rPr>
      </w:pPr>
    </w:p>
    <w:p w14:paraId="778E0AD4" w14:textId="0CC7856A" w:rsidR="006A3227" w:rsidRPr="00DA27D7" w:rsidRDefault="006A3227" w:rsidP="00C41717">
      <w:pPr>
        <w:jc w:val="both"/>
        <w:rPr>
          <w:rFonts w:ascii="Helvetica" w:hAnsi="Helvetica" w:cs="Helvetica"/>
        </w:rPr>
      </w:pPr>
      <w:r w:rsidRPr="00DA27D7">
        <w:rPr>
          <w:rFonts w:ascii="Helvetica" w:hAnsi="Helvetica" w:cs="Helvetica"/>
        </w:rPr>
        <w:t xml:space="preserve">Where a small number of cases has been decided, the average timeliness (whether mean or median) is less meaningful as a measure than where there are many cases. Those areas shaded in the table below should be treated with </w:t>
      </w:r>
      <w:r w:rsidR="00E21E34" w:rsidRPr="00DA27D7">
        <w:rPr>
          <w:rFonts w:ascii="Helvetica" w:hAnsi="Helvetica" w:cs="Helvetica"/>
        </w:rPr>
        <w:t>caution</w:t>
      </w:r>
      <w:r w:rsidRPr="00DA27D7">
        <w:rPr>
          <w:rFonts w:ascii="Helvetica" w:hAnsi="Helvetica" w:cs="Helvetica"/>
        </w:rPr>
        <w:t xml:space="preserve"> as there are fewer than 20 cases decided.</w:t>
      </w:r>
    </w:p>
    <w:p w14:paraId="1F426ECA" w14:textId="5EFF460B" w:rsidR="006A3227" w:rsidRPr="00DA27D7" w:rsidRDefault="006A3227" w:rsidP="00C41717">
      <w:pPr>
        <w:jc w:val="both"/>
        <w:rPr>
          <w:rFonts w:ascii="Helvetica" w:hAnsi="Helvetica" w:cs="Helvetica"/>
        </w:rPr>
      </w:pPr>
    </w:p>
    <w:p w14:paraId="5087EFCF" w14:textId="4DF76982" w:rsidR="00AE60C0" w:rsidRPr="0070096C" w:rsidRDefault="0070096C" w:rsidP="00C41717">
      <w:pPr>
        <w:jc w:val="both"/>
        <w:rPr>
          <w:rFonts w:ascii="Helvetica" w:hAnsi="Helvetica" w:cs="Helvetica"/>
        </w:rPr>
      </w:pPr>
      <w:r w:rsidRPr="00DA27D7">
        <w:rPr>
          <w:rFonts w:ascii="Helvetica" w:hAnsi="Helvetica" w:cs="Helvetica"/>
        </w:rPr>
        <w:t xml:space="preserve">The median time for written representations over the 12 months to </w:t>
      </w:r>
      <w:r w:rsidR="00C50680">
        <w:rPr>
          <w:rFonts w:ascii="Helvetica" w:hAnsi="Helvetica" w:cs="Helvetica"/>
        </w:rPr>
        <w:t>May</w:t>
      </w:r>
      <w:r w:rsidRPr="00DA27D7">
        <w:rPr>
          <w:rFonts w:ascii="Helvetica" w:hAnsi="Helvetica" w:cs="Helvetica"/>
        </w:rPr>
        <w:t xml:space="preserve"> 21 is 2</w:t>
      </w:r>
      <w:r w:rsidR="00C14D08">
        <w:rPr>
          <w:rFonts w:ascii="Helvetica" w:hAnsi="Helvetica" w:cs="Helvetica"/>
        </w:rPr>
        <w:t>3</w:t>
      </w:r>
      <w:r w:rsidRPr="00DA27D7">
        <w:rPr>
          <w:rFonts w:ascii="Helvetica" w:hAnsi="Helvetica" w:cs="Helvetica"/>
        </w:rPr>
        <w:t xml:space="preserve"> weeks.  The median time for inquiries over the 12 months to </w:t>
      </w:r>
      <w:r w:rsidR="00DD5E20">
        <w:rPr>
          <w:rFonts w:ascii="Helvetica" w:hAnsi="Helvetica" w:cs="Helvetica"/>
        </w:rPr>
        <w:t>May</w:t>
      </w:r>
      <w:r w:rsidRPr="00DA27D7">
        <w:rPr>
          <w:rFonts w:ascii="Helvetica" w:hAnsi="Helvetica" w:cs="Helvetica"/>
        </w:rPr>
        <w:t xml:space="preserve"> 21 is over a year - 5</w:t>
      </w:r>
      <w:r w:rsidR="00DD5E20">
        <w:rPr>
          <w:rFonts w:ascii="Helvetica" w:hAnsi="Helvetica" w:cs="Helvetica"/>
        </w:rPr>
        <w:t>8</w:t>
      </w:r>
      <w:r w:rsidRPr="00DA27D7">
        <w:rPr>
          <w:rFonts w:ascii="Helvetica" w:hAnsi="Helvetica" w:cs="Helvetica"/>
        </w:rPr>
        <w:t xml:space="preserve"> weeks. The median time for hearings is slightly less at 4</w:t>
      </w:r>
      <w:r w:rsidR="00AC6C21">
        <w:rPr>
          <w:rFonts w:ascii="Helvetica" w:hAnsi="Helvetica" w:cs="Helvetica"/>
        </w:rPr>
        <w:t>7</w:t>
      </w:r>
      <w:r w:rsidRPr="00DA27D7">
        <w:rPr>
          <w:rFonts w:ascii="Helvetica" w:hAnsi="Helvetica" w:cs="Helvetica"/>
        </w:rPr>
        <w:t xml:space="preserve"> weeks.  </w:t>
      </w:r>
      <w:r w:rsidR="00AE60C0" w:rsidRPr="00DA27D7">
        <w:rPr>
          <w:rFonts w:ascii="Helvetica" w:hAnsi="Helvetica" w:cs="Helvetica"/>
        </w:rPr>
        <w:t xml:space="preserve">For </w:t>
      </w:r>
      <w:r w:rsidR="00F23F37" w:rsidRPr="00DA27D7">
        <w:rPr>
          <w:rFonts w:ascii="Helvetica" w:hAnsi="Helvetica" w:cs="Helvetica"/>
        </w:rPr>
        <w:t>each</w:t>
      </w:r>
      <w:r w:rsidR="00AE60C0" w:rsidRPr="00DA27D7">
        <w:rPr>
          <w:rFonts w:ascii="Helvetica" w:hAnsi="Helvetica" w:cs="Helvetica"/>
        </w:rPr>
        <w:t xml:space="preserve"> of these procedure types, the mean is higher as it is more affected by the longest cases.</w:t>
      </w:r>
    </w:p>
    <w:p w14:paraId="08B9874B" w14:textId="77777777" w:rsidR="00AE60C0" w:rsidRPr="00693103" w:rsidRDefault="00AE60C0" w:rsidP="006A3227">
      <w:pPr>
        <w:rPr>
          <w:rFonts w:ascii="Helvetica" w:hAnsi="Helvetica" w:cs="Helvetica"/>
          <w:highlight w:val="yellow"/>
        </w:rPr>
      </w:pPr>
    </w:p>
    <w:p w14:paraId="1A7C67B9" w14:textId="5BB46713" w:rsidR="006A3227" w:rsidRDefault="006A3227" w:rsidP="58C461D3">
      <w:pPr>
        <w:keepNext/>
        <w:spacing w:after="120"/>
        <w:rPr>
          <w:rFonts w:ascii="Helvetica" w:hAnsi="Helvetica" w:cs="Helvetica"/>
        </w:rPr>
      </w:pPr>
      <w:r w:rsidRPr="00602DD9">
        <w:rPr>
          <w:rFonts w:ascii="Helvetica" w:hAnsi="Helvetica" w:cs="Helvetica"/>
        </w:rPr>
        <w:t xml:space="preserve">Table </w:t>
      </w:r>
      <w:r w:rsidR="006D7239" w:rsidRPr="00602DD9">
        <w:rPr>
          <w:rFonts w:ascii="Helvetica" w:hAnsi="Helvetica" w:cs="Helvetica"/>
        </w:rPr>
        <w:t>6</w:t>
      </w:r>
      <w:r w:rsidRPr="00602DD9">
        <w:rPr>
          <w:rFonts w:ascii="Helvetica" w:hAnsi="Helvetica" w:cs="Helvetica"/>
        </w:rPr>
        <w:t xml:space="preserve">: Mean and Median Time to Decision, with standard deviation, by procedure; </w:t>
      </w:r>
      <w:r w:rsidR="00FD6D6A" w:rsidRPr="00602DD9">
        <w:rPr>
          <w:rFonts w:ascii="Helvetica" w:hAnsi="Helvetica" w:cs="Helvetica"/>
        </w:rPr>
        <w:t>Jun</w:t>
      </w:r>
      <w:r w:rsidR="00A85BE9" w:rsidRPr="00602DD9">
        <w:rPr>
          <w:rFonts w:ascii="Helvetica" w:hAnsi="Helvetica" w:cs="Helvetica"/>
        </w:rPr>
        <w:t xml:space="preserve"> 20 to </w:t>
      </w:r>
      <w:r w:rsidR="00FD6D6A" w:rsidRPr="00602DD9">
        <w:rPr>
          <w:rFonts w:ascii="Helvetica" w:hAnsi="Helvetica" w:cs="Helvetica"/>
        </w:rPr>
        <w:t>May</w:t>
      </w:r>
      <w:r w:rsidR="00A85BE9" w:rsidRPr="00602DD9">
        <w:rPr>
          <w:rFonts w:ascii="Helvetica" w:hAnsi="Helvetica" w:cs="Helvetica"/>
        </w:rPr>
        <w:t xml:space="preserve"> 21</w:t>
      </w:r>
    </w:p>
    <w:tbl>
      <w:tblPr>
        <w:tblW w:w="9628" w:type="dxa"/>
        <w:tblLook w:val="0000" w:firstRow="0" w:lastRow="0" w:firstColumn="0" w:lastColumn="0" w:noHBand="0" w:noVBand="0"/>
      </w:tblPr>
      <w:tblGrid>
        <w:gridCol w:w="876"/>
        <w:gridCol w:w="1280"/>
        <w:gridCol w:w="575"/>
        <w:gridCol w:w="570"/>
        <w:gridCol w:w="573"/>
        <w:gridCol w:w="578"/>
        <w:gridCol w:w="567"/>
        <w:gridCol w:w="575"/>
        <w:gridCol w:w="571"/>
        <w:gridCol w:w="564"/>
        <w:gridCol w:w="576"/>
        <w:gridCol w:w="573"/>
        <w:gridCol w:w="572"/>
        <w:gridCol w:w="577"/>
        <w:gridCol w:w="601"/>
      </w:tblGrid>
      <w:tr w:rsidR="009D5CAF" w14:paraId="18A6355A" w14:textId="77777777" w:rsidTr="00BA11BB">
        <w:trPr>
          <w:trHeight w:val="374"/>
        </w:trPr>
        <w:tc>
          <w:tcPr>
            <w:tcW w:w="876" w:type="dxa"/>
            <w:tcBorders>
              <w:top w:val="single" w:sz="4" w:space="0" w:color="auto"/>
              <w:left w:val="single" w:sz="4" w:space="0" w:color="auto"/>
              <w:bottom w:val="single" w:sz="12" w:space="0" w:color="auto"/>
              <w:right w:val="nil"/>
            </w:tcBorders>
            <w:vAlign w:val="center"/>
          </w:tcPr>
          <w:p w14:paraId="740B8FFB" w14:textId="0FA2B2CD" w:rsidR="009D5CAF" w:rsidRDefault="009D5CAF" w:rsidP="009D5CAF">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Measure</w:t>
            </w:r>
          </w:p>
        </w:tc>
        <w:tc>
          <w:tcPr>
            <w:tcW w:w="1280" w:type="dxa"/>
            <w:tcBorders>
              <w:top w:val="single" w:sz="4" w:space="0" w:color="auto"/>
              <w:left w:val="nil"/>
              <w:bottom w:val="single" w:sz="12" w:space="0" w:color="auto"/>
              <w:right w:val="single" w:sz="4" w:space="0" w:color="auto"/>
            </w:tcBorders>
            <w:vAlign w:val="center"/>
          </w:tcPr>
          <w:p w14:paraId="24FD7342" w14:textId="342DBF1C" w:rsidR="009D5CAF" w:rsidRDefault="009D5CAF" w:rsidP="009D5CAF">
            <w:pPr>
              <w:rPr>
                <w:rFonts w:ascii="Calibri" w:eastAsiaTheme="minorEastAsia" w:hAnsi="Calibri" w:cs="Calibri"/>
                <w:color w:val="000000" w:themeColor="text1"/>
                <w:sz w:val="16"/>
                <w:szCs w:val="16"/>
                <w:lang w:eastAsia="en-US"/>
              </w:rPr>
            </w:pPr>
            <w:r w:rsidRPr="353EF556">
              <w:rPr>
                <w:rFonts w:ascii="Calibri" w:eastAsiaTheme="minorEastAsia" w:hAnsi="Calibri" w:cs="Calibri"/>
                <w:color w:val="000000" w:themeColor="text1"/>
                <w:sz w:val="16"/>
                <w:szCs w:val="16"/>
                <w:lang w:eastAsia="en-US"/>
              </w:rPr>
              <w:t>Procedure</w:t>
            </w:r>
          </w:p>
        </w:tc>
        <w:tc>
          <w:tcPr>
            <w:tcW w:w="575" w:type="dxa"/>
            <w:tcBorders>
              <w:top w:val="single" w:sz="4" w:space="0" w:color="auto"/>
              <w:left w:val="single" w:sz="4" w:space="0" w:color="auto"/>
              <w:bottom w:val="single" w:sz="12" w:space="0" w:color="auto"/>
              <w:right w:val="nil"/>
            </w:tcBorders>
            <w:vAlign w:val="center"/>
          </w:tcPr>
          <w:p w14:paraId="41ABDFB1" w14:textId="286707DE"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Jun 20</w:t>
            </w:r>
          </w:p>
        </w:tc>
        <w:tc>
          <w:tcPr>
            <w:tcW w:w="570" w:type="dxa"/>
            <w:tcBorders>
              <w:top w:val="single" w:sz="4" w:space="0" w:color="auto"/>
              <w:left w:val="nil"/>
              <w:bottom w:val="single" w:sz="12" w:space="0" w:color="auto"/>
              <w:right w:val="nil"/>
            </w:tcBorders>
            <w:vAlign w:val="center"/>
          </w:tcPr>
          <w:p w14:paraId="42FB91E7" w14:textId="52505584"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Jul 20</w:t>
            </w:r>
          </w:p>
        </w:tc>
        <w:tc>
          <w:tcPr>
            <w:tcW w:w="573" w:type="dxa"/>
            <w:tcBorders>
              <w:top w:val="single" w:sz="4" w:space="0" w:color="auto"/>
              <w:left w:val="nil"/>
              <w:bottom w:val="single" w:sz="12" w:space="0" w:color="auto"/>
              <w:right w:val="nil"/>
            </w:tcBorders>
            <w:vAlign w:val="center"/>
          </w:tcPr>
          <w:p w14:paraId="3D95F6D7" w14:textId="2B2C5B7C"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Aug 20</w:t>
            </w:r>
          </w:p>
        </w:tc>
        <w:tc>
          <w:tcPr>
            <w:tcW w:w="578" w:type="dxa"/>
            <w:tcBorders>
              <w:top w:val="single" w:sz="4" w:space="0" w:color="auto"/>
              <w:left w:val="nil"/>
              <w:bottom w:val="single" w:sz="12" w:space="0" w:color="auto"/>
              <w:right w:val="nil"/>
            </w:tcBorders>
            <w:vAlign w:val="center"/>
          </w:tcPr>
          <w:p w14:paraId="62292CAA" w14:textId="28B9CD1B"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Sep 20</w:t>
            </w:r>
          </w:p>
        </w:tc>
        <w:tc>
          <w:tcPr>
            <w:tcW w:w="567" w:type="dxa"/>
            <w:tcBorders>
              <w:top w:val="single" w:sz="4" w:space="0" w:color="auto"/>
              <w:left w:val="nil"/>
              <w:bottom w:val="single" w:sz="12" w:space="0" w:color="auto"/>
              <w:right w:val="nil"/>
            </w:tcBorders>
            <w:vAlign w:val="center"/>
          </w:tcPr>
          <w:p w14:paraId="47878332" w14:textId="09263323"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Oct 20</w:t>
            </w:r>
          </w:p>
        </w:tc>
        <w:tc>
          <w:tcPr>
            <w:tcW w:w="575" w:type="dxa"/>
            <w:tcBorders>
              <w:top w:val="single" w:sz="4" w:space="0" w:color="auto"/>
              <w:left w:val="nil"/>
              <w:bottom w:val="single" w:sz="12" w:space="0" w:color="auto"/>
              <w:right w:val="nil"/>
            </w:tcBorders>
            <w:vAlign w:val="center"/>
          </w:tcPr>
          <w:p w14:paraId="3F14FF5B" w14:textId="0D4EFA44"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Nov 20</w:t>
            </w:r>
          </w:p>
        </w:tc>
        <w:tc>
          <w:tcPr>
            <w:tcW w:w="571" w:type="dxa"/>
            <w:tcBorders>
              <w:top w:val="single" w:sz="4" w:space="0" w:color="auto"/>
              <w:left w:val="nil"/>
              <w:bottom w:val="single" w:sz="12" w:space="0" w:color="auto"/>
              <w:right w:val="nil"/>
            </w:tcBorders>
            <w:vAlign w:val="center"/>
          </w:tcPr>
          <w:p w14:paraId="078DAE59" w14:textId="1F4C9A56"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Dec 20</w:t>
            </w:r>
          </w:p>
        </w:tc>
        <w:tc>
          <w:tcPr>
            <w:tcW w:w="564" w:type="dxa"/>
            <w:tcBorders>
              <w:top w:val="single" w:sz="4" w:space="0" w:color="auto"/>
              <w:left w:val="nil"/>
              <w:bottom w:val="single" w:sz="12" w:space="0" w:color="auto"/>
              <w:right w:val="nil"/>
            </w:tcBorders>
            <w:vAlign w:val="center"/>
          </w:tcPr>
          <w:p w14:paraId="4F2BDF0C" w14:textId="4627512C"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Jan 21</w:t>
            </w:r>
          </w:p>
        </w:tc>
        <w:tc>
          <w:tcPr>
            <w:tcW w:w="576" w:type="dxa"/>
            <w:tcBorders>
              <w:top w:val="single" w:sz="4" w:space="0" w:color="auto"/>
              <w:left w:val="nil"/>
              <w:bottom w:val="single" w:sz="12" w:space="0" w:color="auto"/>
              <w:right w:val="nil"/>
            </w:tcBorders>
            <w:vAlign w:val="center"/>
          </w:tcPr>
          <w:p w14:paraId="248B7187" w14:textId="5DD95FE5"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Feb 21</w:t>
            </w:r>
          </w:p>
        </w:tc>
        <w:tc>
          <w:tcPr>
            <w:tcW w:w="573" w:type="dxa"/>
            <w:tcBorders>
              <w:top w:val="single" w:sz="4" w:space="0" w:color="auto"/>
              <w:left w:val="nil"/>
              <w:bottom w:val="single" w:sz="12" w:space="0" w:color="auto"/>
              <w:right w:val="nil"/>
            </w:tcBorders>
            <w:vAlign w:val="center"/>
          </w:tcPr>
          <w:p w14:paraId="1CFE0B82" w14:textId="07053EB8"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Mar 21</w:t>
            </w:r>
          </w:p>
        </w:tc>
        <w:tc>
          <w:tcPr>
            <w:tcW w:w="572" w:type="dxa"/>
            <w:tcBorders>
              <w:top w:val="single" w:sz="4" w:space="0" w:color="auto"/>
              <w:left w:val="nil"/>
              <w:bottom w:val="single" w:sz="12" w:space="0" w:color="auto"/>
              <w:right w:val="nil"/>
            </w:tcBorders>
            <w:vAlign w:val="center"/>
          </w:tcPr>
          <w:p w14:paraId="2640AA8D" w14:textId="197A9B03"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Apr 21</w:t>
            </w:r>
          </w:p>
        </w:tc>
        <w:tc>
          <w:tcPr>
            <w:tcW w:w="577" w:type="dxa"/>
            <w:tcBorders>
              <w:top w:val="single" w:sz="4" w:space="0" w:color="auto"/>
              <w:left w:val="nil"/>
              <w:bottom w:val="single" w:sz="12" w:space="0" w:color="auto"/>
              <w:right w:val="single" w:sz="4" w:space="0" w:color="auto"/>
            </w:tcBorders>
            <w:vAlign w:val="center"/>
          </w:tcPr>
          <w:p w14:paraId="61746DFB" w14:textId="0F50F58E"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May 21</w:t>
            </w:r>
          </w:p>
        </w:tc>
        <w:tc>
          <w:tcPr>
            <w:tcW w:w="601" w:type="dxa"/>
            <w:tcBorders>
              <w:top w:val="single" w:sz="4" w:space="0" w:color="auto"/>
              <w:left w:val="single" w:sz="4" w:space="0" w:color="auto"/>
              <w:bottom w:val="single" w:sz="12" w:space="0" w:color="auto"/>
              <w:right w:val="single" w:sz="4" w:space="0" w:color="auto"/>
            </w:tcBorders>
            <w:vAlign w:val="center"/>
          </w:tcPr>
          <w:p w14:paraId="0DDF1990" w14:textId="77777777" w:rsidR="009D5CAF" w:rsidRDefault="009D5CAF" w:rsidP="009D5CAF">
            <w:pPr>
              <w:jc w:val="right"/>
              <w:rPr>
                <w:rFonts w:ascii="Calibri" w:eastAsiaTheme="minorEastAsia" w:hAnsi="Calibri" w:cs="Calibri"/>
                <w:color w:val="000000" w:themeColor="text1"/>
                <w:sz w:val="16"/>
                <w:szCs w:val="16"/>
                <w:lang w:eastAsia="en-US"/>
              </w:rPr>
            </w:pPr>
            <w:r w:rsidRPr="3B492722">
              <w:rPr>
                <w:rFonts w:ascii="Calibri" w:eastAsiaTheme="minorEastAsia" w:hAnsi="Calibri" w:cs="Calibri"/>
                <w:color w:val="000000" w:themeColor="text1"/>
                <w:sz w:val="16"/>
                <w:szCs w:val="16"/>
                <w:lang w:eastAsia="en-US"/>
              </w:rPr>
              <w:t>Total</w:t>
            </w:r>
          </w:p>
        </w:tc>
      </w:tr>
      <w:tr w:rsidR="00667885" w14:paraId="722ACDC2" w14:textId="77777777" w:rsidTr="00667885">
        <w:trPr>
          <w:trHeight w:val="365"/>
        </w:trPr>
        <w:tc>
          <w:tcPr>
            <w:tcW w:w="876" w:type="dxa"/>
            <w:vMerge w:val="restart"/>
            <w:tcBorders>
              <w:top w:val="nil"/>
              <w:left w:val="single" w:sz="4" w:space="0" w:color="auto"/>
              <w:right w:val="nil"/>
            </w:tcBorders>
          </w:tcPr>
          <w:p w14:paraId="09FB6412" w14:textId="5C700BBA" w:rsidR="007301D6" w:rsidRDefault="007301D6" w:rsidP="007301D6">
            <w:pPr>
              <w:rPr>
                <w:rFonts w:ascii="Calibri" w:eastAsiaTheme="minorEastAsia" w:hAnsi="Calibri" w:cs="Calibri"/>
                <w:color w:val="000000" w:themeColor="text1"/>
                <w:sz w:val="16"/>
                <w:szCs w:val="16"/>
                <w:lang w:eastAsia="en-US"/>
              </w:rPr>
            </w:pPr>
            <w:r w:rsidRPr="6A335848">
              <w:rPr>
                <w:rFonts w:ascii="Calibri" w:eastAsiaTheme="minorEastAsia" w:hAnsi="Calibri" w:cs="Calibri"/>
                <w:color w:val="000000" w:themeColor="text1"/>
                <w:sz w:val="16"/>
                <w:szCs w:val="16"/>
                <w:lang w:eastAsia="en-US"/>
              </w:rPr>
              <w:t xml:space="preserve">Valid to </w:t>
            </w:r>
            <w:r w:rsidRPr="38D38674">
              <w:rPr>
                <w:rFonts w:ascii="Calibri" w:eastAsiaTheme="minorEastAsia" w:hAnsi="Calibri" w:cs="Calibri"/>
                <w:color w:val="000000" w:themeColor="text1"/>
                <w:sz w:val="16"/>
                <w:szCs w:val="16"/>
                <w:lang w:eastAsia="en-US"/>
              </w:rPr>
              <w:t>Decision</w:t>
            </w:r>
            <w:r w:rsidRPr="6A335848">
              <w:rPr>
                <w:rFonts w:ascii="Calibri" w:eastAsiaTheme="minorEastAsia" w:hAnsi="Calibri" w:cs="Calibri"/>
                <w:color w:val="000000" w:themeColor="text1"/>
                <w:sz w:val="16"/>
                <w:szCs w:val="16"/>
                <w:lang w:eastAsia="en-US"/>
              </w:rPr>
              <w:t xml:space="preserve"> </w:t>
            </w:r>
            <w:r w:rsidRPr="51836F5E">
              <w:rPr>
                <w:rFonts w:ascii="Calibri" w:eastAsiaTheme="minorEastAsia" w:hAnsi="Calibri" w:cs="Calibri"/>
                <w:color w:val="000000" w:themeColor="text1"/>
                <w:sz w:val="16"/>
                <w:szCs w:val="16"/>
                <w:lang w:eastAsia="en-US"/>
              </w:rPr>
              <w:t>(mean weeks)</w:t>
            </w:r>
          </w:p>
        </w:tc>
        <w:tc>
          <w:tcPr>
            <w:tcW w:w="1280" w:type="dxa"/>
            <w:tcBorders>
              <w:top w:val="nil"/>
              <w:left w:val="nil"/>
              <w:bottom w:val="nil"/>
              <w:right w:val="single" w:sz="4" w:space="0" w:color="auto"/>
            </w:tcBorders>
            <w:vAlign w:val="center"/>
          </w:tcPr>
          <w:p w14:paraId="63964560" w14:textId="6016F77D" w:rsidR="007301D6" w:rsidRDefault="007301D6" w:rsidP="007301D6">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Written Representations</w:t>
            </w:r>
          </w:p>
        </w:tc>
        <w:tc>
          <w:tcPr>
            <w:tcW w:w="575" w:type="dxa"/>
            <w:tcBorders>
              <w:top w:val="nil"/>
              <w:left w:val="nil"/>
              <w:bottom w:val="nil"/>
              <w:right w:val="nil"/>
            </w:tcBorders>
            <w:shd w:val="clear" w:color="auto" w:fill="auto"/>
            <w:vAlign w:val="center"/>
          </w:tcPr>
          <w:p w14:paraId="06F7DA69" w14:textId="520370D7"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25.3</w:t>
            </w:r>
          </w:p>
        </w:tc>
        <w:tc>
          <w:tcPr>
            <w:tcW w:w="570" w:type="dxa"/>
            <w:tcBorders>
              <w:top w:val="nil"/>
              <w:left w:val="nil"/>
              <w:bottom w:val="nil"/>
              <w:right w:val="nil"/>
            </w:tcBorders>
            <w:shd w:val="clear" w:color="auto" w:fill="auto"/>
            <w:vAlign w:val="center"/>
          </w:tcPr>
          <w:p w14:paraId="6C9BFFD1" w14:textId="2C421284"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25.6</w:t>
            </w:r>
          </w:p>
        </w:tc>
        <w:tc>
          <w:tcPr>
            <w:tcW w:w="573" w:type="dxa"/>
            <w:tcBorders>
              <w:top w:val="nil"/>
              <w:left w:val="nil"/>
              <w:bottom w:val="nil"/>
              <w:right w:val="nil"/>
            </w:tcBorders>
            <w:shd w:val="clear" w:color="auto" w:fill="auto"/>
            <w:vAlign w:val="center"/>
          </w:tcPr>
          <w:p w14:paraId="1DC4D4D1" w14:textId="3F55C79D"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25.4</w:t>
            </w:r>
          </w:p>
        </w:tc>
        <w:tc>
          <w:tcPr>
            <w:tcW w:w="578" w:type="dxa"/>
            <w:tcBorders>
              <w:top w:val="nil"/>
              <w:left w:val="nil"/>
              <w:bottom w:val="nil"/>
              <w:right w:val="nil"/>
            </w:tcBorders>
            <w:shd w:val="clear" w:color="auto" w:fill="auto"/>
            <w:vAlign w:val="center"/>
          </w:tcPr>
          <w:p w14:paraId="5C778756" w14:textId="64260AD7"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25.6</w:t>
            </w:r>
          </w:p>
        </w:tc>
        <w:tc>
          <w:tcPr>
            <w:tcW w:w="567" w:type="dxa"/>
            <w:tcBorders>
              <w:top w:val="nil"/>
              <w:left w:val="nil"/>
              <w:bottom w:val="nil"/>
              <w:right w:val="nil"/>
            </w:tcBorders>
            <w:shd w:val="clear" w:color="auto" w:fill="auto"/>
            <w:vAlign w:val="center"/>
          </w:tcPr>
          <w:p w14:paraId="0B2A62BD" w14:textId="5A054930"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27.9</w:t>
            </w:r>
          </w:p>
        </w:tc>
        <w:tc>
          <w:tcPr>
            <w:tcW w:w="575" w:type="dxa"/>
            <w:tcBorders>
              <w:top w:val="nil"/>
              <w:left w:val="nil"/>
              <w:bottom w:val="nil"/>
              <w:right w:val="nil"/>
            </w:tcBorders>
            <w:shd w:val="clear" w:color="auto" w:fill="auto"/>
            <w:vAlign w:val="center"/>
          </w:tcPr>
          <w:p w14:paraId="79D71983" w14:textId="7654CDBD"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28</w:t>
            </w:r>
          </w:p>
        </w:tc>
        <w:tc>
          <w:tcPr>
            <w:tcW w:w="571" w:type="dxa"/>
            <w:tcBorders>
              <w:top w:val="nil"/>
              <w:left w:val="nil"/>
              <w:bottom w:val="nil"/>
              <w:right w:val="nil"/>
            </w:tcBorders>
            <w:shd w:val="clear" w:color="auto" w:fill="auto"/>
            <w:vAlign w:val="center"/>
          </w:tcPr>
          <w:p w14:paraId="3EDECFE1" w14:textId="11817817"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26.6</w:t>
            </w:r>
          </w:p>
        </w:tc>
        <w:tc>
          <w:tcPr>
            <w:tcW w:w="564" w:type="dxa"/>
            <w:tcBorders>
              <w:top w:val="nil"/>
              <w:left w:val="nil"/>
              <w:bottom w:val="nil"/>
              <w:right w:val="nil"/>
            </w:tcBorders>
            <w:shd w:val="clear" w:color="auto" w:fill="auto"/>
            <w:vAlign w:val="center"/>
          </w:tcPr>
          <w:p w14:paraId="1622F9CA" w14:textId="2FFE5A9D"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25.8</w:t>
            </w:r>
          </w:p>
        </w:tc>
        <w:tc>
          <w:tcPr>
            <w:tcW w:w="576" w:type="dxa"/>
            <w:tcBorders>
              <w:top w:val="nil"/>
              <w:left w:val="nil"/>
              <w:bottom w:val="nil"/>
              <w:right w:val="nil"/>
            </w:tcBorders>
            <w:shd w:val="clear" w:color="auto" w:fill="auto"/>
            <w:vAlign w:val="center"/>
          </w:tcPr>
          <w:p w14:paraId="0BFD492E" w14:textId="7B308884"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25.3</w:t>
            </w:r>
          </w:p>
        </w:tc>
        <w:tc>
          <w:tcPr>
            <w:tcW w:w="573" w:type="dxa"/>
            <w:tcBorders>
              <w:top w:val="nil"/>
              <w:left w:val="nil"/>
              <w:bottom w:val="nil"/>
              <w:right w:val="nil"/>
            </w:tcBorders>
            <w:shd w:val="clear" w:color="auto" w:fill="auto"/>
            <w:vAlign w:val="center"/>
          </w:tcPr>
          <w:p w14:paraId="20385EE0" w14:textId="5A7E9112"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22.1</w:t>
            </w:r>
          </w:p>
        </w:tc>
        <w:tc>
          <w:tcPr>
            <w:tcW w:w="572" w:type="dxa"/>
            <w:tcBorders>
              <w:top w:val="nil"/>
              <w:left w:val="nil"/>
              <w:bottom w:val="nil"/>
              <w:right w:val="nil"/>
            </w:tcBorders>
            <w:shd w:val="clear" w:color="auto" w:fill="auto"/>
            <w:vAlign w:val="center"/>
          </w:tcPr>
          <w:p w14:paraId="34E849EB" w14:textId="6E60141A"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24.1</w:t>
            </w:r>
          </w:p>
        </w:tc>
        <w:tc>
          <w:tcPr>
            <w:tcW w:w="577" w:type="dxa"/>
            <w:tcBorders>
              <w:top w:val="nil"/>
              <w:left w:val="nil"/>
              <w:bottom w:val="nil"/>
              <w:right w:val="single" w:sz="4" w:space="0" w:color="auto"/>
            </w:tcBorders>
            <w:shd w:val="clear" w:color="auto" w:fill="auto"/>
            <w:vAlign w:val="center"/>
          </w:tcPr>
          <w:p w14:paraId="1E869608" w14:textId="75DC7E16"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24.2</w:t>
            </w:r>
          </w:p>
        </w:tc>
        <w:tc>
          <w:tcPr>
            <w:tcW w:w="601" w:type="dxa"/>
            <w:tcBorders>
              <w:top w:val="nil"/>
              <w:left w:val="single" w:sz="4" w:space="0" w:color="auto"/>
              <w:bottom w:val="nil"/>
              <w:right w:val="single" w:sz="4" w:space="0" w:color="auto"/>
            </w:tcBorders>
            <w:shd w:val="clear" w:color="auto" w:fill="auto"/>
            <w:vAlign w:val="center"/>
          </w:tcPr>
          <w:p w14:paraId="7B153B0F" w14:textId="2FD760A3"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25.7</w:t>
            </w:r>
          </w:p>
        </w:tc>
      </w:tr>
      <w:tr w:rsidR="00371213" w14:paraId="65A48B62" w14:textId="77777777" w:rsidTr="00E15323">
        <w:trPr>
          <w:trHeight w:val="365"/>
        </w:trPr>
        <w:tc>
          <w:tcPr>
            <w:tcW w:w="876" w:type="dxa"/>
            <w:vMerge/>
            <w:tcBorders>
              <w:left w:val="single" w:sz="4" w:space="0" w:color="auto"/>
              <w:right w:val="nil"/>
            </w:tcBorders>
          </w:tcPr>
          <w:p w14:paraId="222A0FAC" w14:textId="5C49F300" w:rsidR="007301D6" w:rsidRDefault="007301D6" w:rsidP="007301D6">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0C865106" w14:textId="49AB06F8" w:rsidR="007301D6" w:rsidRDefault="007301D6" w:rsidP="007301D6">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Hearings</w:t>
            </w:r>
          </w:p>
        </w:tc>
        <w:tc>
          <w:tcPr>
            <w:tcW w:w="575" w:type="dxa"/>
            <w:tcBorders>
              <w:top w:val="nil"/>
              <w:left w:val="nil"/>
              <w:bottom w:val="nil"/>
              <w:right w:val="nil"/>
            </w:tcBorders>
            <w:shd w:val="clear" w:color="auto" w:fill="D9D9D9" w:themeFill="background1" w:themeFillShade="D9"/>
            <w:vAlign w:val="center"/>
          </w:tcPr>
          <w:p w14:paraId="2B34D4B2" w14:textId="30B6C5ED"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63.8</w:t>
            </w:r>
          </w:p>
        </w:tc>
        <w:tc>
          <w:tcPr>
            <w:tcW w:w="570" w:type="dxa"/>
            <w:tcBorders>
              <w:top w:val="nil"/>
              <w:left w:val="nil"/>
              <w:bottom w:val="nil"/>
              <w:right w:val="nil"/>
            </w:tcBorders>
            <w:shd w:val="clear" w:color="auto" w:fill="D9D9D9" w:themeFill="background1" w:themeFillShade="D9"/>
            <w:vAlign w:val="center"/>
          </w:tcPr>
          <w:p w14:paraId="47E468BC" w14:textId="5029A566"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56</w:t>
            </w:r>
          </w:p>
        </w:tc>
        <w:tc>
          <w:tcPr>
            <w:tcW w:w="573" w:type="dxa"/>
            <w:tcBorders>
              <w:top w:val="nil"/>
              <w:left w:val="nil"/>
              <w:bottom w:val="nil"/>
              <w:right w:val="nil"/>
            </w:tcBorders>
            <w:shd w:val="clear" w:color="auto" w:fill="D9D9D9" w:themeFill="background1" w:themeFillShade="D9"/>
            <w:vAlign w:val="center"/>
          </w:tcPr>
          <w:p w14:paraId="25D9529B" w14:textId="2BC73857"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44.5</w:t>
            </w:r>
            <w:r w:rsidR="00053DC0">
              <w:rPr>
                <w:rFonts w:ascii="Calibri" w:hAnsi="Calibri" w:cs="Calibri"/>
                <w:color w:val="000000"/>
                <w:sz w:val="16"/>
                <w:szCs w:val="16"/>
              </w:rPr>
              <w:t>r</w:t>
            </w:r>
          </w:p>
        </w:tc>
        <w:tc>
          <w:tcPr>
            <w:tcW w:w="578" w:type="dxa"/>
            <w:tcBorders>
              <w:top w:val="nil"/>
              <w:left w:val="nil"/>
              <w:bottom w:val="nil"/>
              <w:right w:val="nil"/>
            </w:tcBorders>
            <w:shd w:val="clear" w:color="auto" w:fill="auto"/>
            <w:vAlign w:val="center"/>
          </w:tcPr>
          <w:p w14:paraId="7405E4D0" w14:textId="2B1E8726"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50.5</w:t>
            </w:r>
          </w:p>
        </w:tc>
        <w:tc>
          <w:tcPr>
            <w:tcW w:w="567" w:type="dxa"/>
            <w:tcBorders>
              <w:top w:val="nil"/>
              <w:left w:val="nil"/>
              <w:bottom w:val="nil"/>
              <w:right w:val="nil"/>
            </w:tcBorders>
            <w:shd w:val="clear" w:color="auto" w:fill="auto"/>
            <w:vAlign w:val="center"/>
          </w:tcPr>
          <w:p w14:paraId="775BD2DB" w14:textId="4E18D5C5"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49.8</w:t>
            </w:r>
          </w:p>
        </w:tc>
        <w:tc>
          <w:tcPr>
            <w:tcW w:w="575" w:type="dxa"/>
            <w:tcBorders>
              <w:top w:val="nil"/>
              <w:left w:val="nil"/>
              <w:bottom w:val="nil"/>
              <w:right w:val="nil"/>
            </w:tcBorders>
            <w:shd w:val="clear" w:color="auto" w:fill="auto"/>
            <w:vAlign w:val="center"/>
          </w:tcPr>
          <w:p w14:paraId="5D7E5332" w14:textId="55D9A1C3"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37.3</w:t>
            </w:r>
          </w:p>
        </w:tc>
        <w:tc>
          <w:tcPr>
            <w:tcW w:w="571" w:type="dxa"/>
            <w:tcBorders>
              <w:top w:val="nil"/>
              <w:left w:val="nil"/>
              <w:bottom w:val="nil"/>
              <w:right w:val="nil"/>
            </w:tcBorders>
            <w:shd w:val="clear" w:color="auto" w:fill="auto"/>
            <w:vAlign w:val="center"/>
          </w:tcPr>
          <w:p w14:paraId="703F66C2" w14:textId="6C59068D"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49.6</w:t>
            </w:r>
          </w:p>
        </w:tc>
        <w:tc>
          <w:tcPr>
            <w:tcW w:w="564" w:type="dxa"/>
            <w:tcBorders>
              <w:top w:val="nil"/>
              <w:left w:val="nil"/>
              <w:bottom w:val="nil"/>
              <w:right w:val="nil"/>
            </w:tcBorders>
            <w:shd w:val="clear" w:color="auto" w:fill="auto"/>
            <w:vAlign w:val="center"/>
          </w:tcPr>
          <w:p w14:paraId="17970CE8" w14:textId="4A66F53E"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59.8</w:t>
            </w:r>
          </w:p>
        </w:tc>
        <w:tc>
          <w:tcPr>
            <w:tcW w:w="576" w:type="dxa"/>
            <w:tcBorders>
              <w:top w:val="nil"/>
              <w:left w:val="nil"/>
              <w:bottom w:val="nil"/>
              <w:right w:val="nil"/>
            </w:tcBorders>
            <w:shd w:val="clear" w:color="auto" w:fill="auto"/>
            <w:vAlign w:val="center"/>
          </w:tcPr>
          <w:p w14:paraId="17F08531" w14:textId="77293071"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47.5</w:t>
            </w:r>
          </w:p>
        </w:tc>
        <w:tc>
          <w:tcPr>
            <w:tcW w:w="573" w:type="dxa"/>
            <w:tcBorders>
              <w:top w:val="nil"/>
              <w:left w:val="nil"/>
              <w:bottom w:val="nil"/>
              <w:right w:val="nil"/>
            </w:tcBorders>
            <w:shd w:val="clear" w:color="auto" w:fill="auto"/>
            <w:vAlign w:val="center"/>
          </w:tcPr>
          <w:p w14:paraId="65EAEF59" w14:textId="2CB5E3B1"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56.7</w:t>
            </w:r>
          </w:p>
        </w:tc>
        <w:tc>
          <w:tcPr>
            <w:tcW w:w="572" w:type="dxa"/>
            <w:tcBorders>
              <w:top w:val="nil"/>
              <w:left w:val="nil"/>
              <w:bottom w:val="nil"/>
              <w:right w:val="nil"/>
            </w:tcBorders>
            <w:shd w:val="clear" w:color="auto" w:fill="auto"/>
            <w:vAlign w:val="center"/>
          </w:tcPr>
          <w:p w14:paraId="2B018DB1" w14:textId="16FBBD81"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63.8</w:t>
            </w:r>
            <w:r w:rsidR="004370EA">
              <w:rPr>
                <w:rFonts w:ascii="Calibri" w:hAnsi="Calibri" w:cs="Calibri"/>
                <w:color w:val="000000"/>
                <w:sz w:val="16"/>
                <w:szCs w:val="16"/>
              </w:rPr>
              <w:t>r</w:t>
            </w:r>
          </w:p>
        </w:tc>
        <w:tc>
          <w:tcPr>
            <w:tcW w:w="577" w:type="dxa"/>
            <w:tcBorders>
              <w:top w:val="nil"/>
              <w:left w:val="nil"/>
              <w:bottom w:val="nil"/>
              <w:right w:val="single" w:sz="4" w:space="0" w:color="auto"/>
            </w:tcBorders>
            <w:shd w:val="clear" w:color="auto" w:fill="auto"/>
            <w:vAlign w:val="center"/>
          </w:tcPr>
          <w:p w14:paraId="4EBAD749" w14:textId="7C84AE84"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42.8</w:t>
            </w:r>
          </w:p>
        </w:tc>
        <w:tc>
          <w:tcPr>
            <w:tcW w:w="601" w:type="dxa"/>
            <w:tcBorders>
              <w:top w:val="nil"/>
              <w:left w:val="single" w:sz="4" w:space="0" w:color="auto"/>
              <w:bottom w:val="nil"/>
              <w:right w:val="single" w:sz="4" w:space="0" w:color="auto"/>
            </w:tcBorders>
            <w:shd w:val="clear" w:color="auto" w:fill="auto"/>
            <w:vAlign w:val="center"/>
          </w:tcPr>
          <w:p w14:paraId="4C315F18" w14:textId="5EE38F8D"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51.7</w:t>
            </w:r>
          </w:p>
        </w:tc>
      </w:tr>
      <w:tr w:rsidR="007301D6" w14:paraId="08A3E102" w14:textId="77777777" w:rsidTr="00422522">
        <w:trPr>
          <w:trHeight w:val="365"/>
        </w:trPr>
        <w:tc>
          <w:tcPr>
            <w:tcW w:w="876" w:type="dxa"/>
            <w:vMerge/>
            <w:tcBorders>
              <w:left w:val="single" w:sz="4" w:space="0" w:color="auto"/>
              <w:right w:val="nil"/>
            </w:tcBorders>
          </w:tcPr>
          <w:p w14:paraId="6CC0C418" w14:textId="1BD5EC00" w:rsidR="007301D6" w:rsidRDefault="007301D6" w:rsidP="007301D6">
            <w:pPr>
              <w:rPr>
                <w:rFonts w:ascii="Calibri" w:eastAsiaTheme="minorEastAsia" w:hAnsi="Calibri" w:cs="Calibri"/>
                <w:color w:val="000000" w:themeColor="text1"/>
                <w:sz w:val="16"/>
                <w:szCs w:val="16"/>
                <w:lang w:eastAsia="en-US"/>
              </w:rPr>
            </w:pPr>
          </w:p>
        </w:tc>
        <w:tc>
          <w:tcPr>
            <w:tcW w:w="1280" w:type="dxa"/>
            <w:tcBorders>
              <w:top w:val="nil"/>
              <w:left w:val="nil"/>
              <w:right w:val="single" w:sz="4" w:space="0" w:color="auto"/>
            </w:tcBorders>
            <w:vAlign w:val="center"/>
          </w:tcPr>
          <w:p w14:paraId="4FC4D9AA" w14:textId="76A6AA3F" w:rsidR="007301D6" w:rsidRDefault="007301D6" w:rsidP="007301D6">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Inquiries</w:t>
            </w:r>
          </w:p>
        </w:tc>
        <w:tc>
          <w:tcPr>
            <w:tcW w:w="575" w:type="dxa"/>
            <w:tcBorders>
              <w:top w:val="nil"/>
              <w:left w:val="nil"/>
              <w:bottom w:val="nil"/>
              <w:right w:val="nil"/>
            </w:tcBorders>
            <w:shd w:val="clear" w:color="auto" w:fill="D9D9D9" w:themeFill="background1" w:themeFillShade="D9"/>
            <w:vAlign w:val="center"/>
          </w:tcPr>
          <w:p w14:paraId="02D8DFC6" w14:textId="374326D1"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71.4</w:t>
            </w:r>
          </w:p>
        </w:tc>
        <w:tc>
          <w:tcPr>
            <w:tcW w:w="570" w:type="dxa"/>
            <w:tcBorders>
              <w:top w:val="nil"/>
              <w:left w:val="nil"/>
              <w:bottom w:val="nil"/>
              <w:right w:val="nil"/>
            </w:tcBorders>
            <w:shd w:val="clear" w:color="auto" w:fill="D9D9D9" w:themeFill="background1" w:themeFillShade="D9"/>
            <w:vAlign w:val="center"/>
          </w:tcPr>
          <w:p w14:paraId="6540493D" w14:textId="589E0E8A"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42.3</w:t>
            </w:r>
          </w:p>
        </w:tc>
        <w:tc>
          <w:tcPr>
            <w:tcW w:w="573" w:type="dxa"/>
            <w:tcBorders>
              <w:top w:val="nil"/>
              <w:left w:val="nil"/>
              <w:bottom w:val="nil"/>
              <w:right w:val="nil"/>
            </w:tcBorders>
            <w:shd w:val="clear" w:color="auto" w:fill="D9D9D9" w:themeFill="background1" w:themeFillShade="D9"/>
            <w:vAlign w:val="center"/>
          </w:tcPr>
          <w:p w14:paraId="45CFC200" w14:textId="27EA3ED8"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55.1</w:t>
            </w:r>
          </w:p>
        </w:tc>
        <w:tc>
          <w:tcPr>
            <w:tcW w:w="578" w:type="dxa"/>
            <w:tcBorders>
              <w:top w:val="nil"/>
              <w:left w:val="nil"/>
              <w:bottom w:val="nil"/>
              <w:right w:val="nil"/>
            </w:tcBorders>
            <w:shd w:val="clear" w:color="auto" w:fill="D9D9D9" w:themeFill="background1" w:themeFillShade="D9"/>
            <w:vAlign w:val="center"/>
          </w:tcPr>
          <w:p w14:paraId="0FD53B30" w14:textId="38479CBA"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63.2</w:t>
            </w:r>
          </w:p>
        </w:tc>
        <w:tc>
          <w:tcPr>
            <w:tcW w:w="567" w:type="dxa"/>
            <w:tcBorders>
              <w:top w:val="nil"/>
              <w:left w:val="nil"/>
              <w:bottom w:val="nil"/>
              <w:right w:val="nil"/>
            </w:tcBorders>
            <w:shd w:val="clear" w:color="auto" w:fill="D9D9D9" w:themeFill="background1" w:themeFillShade="D9"/>
            <w:vAlign w:val="center"/>
          </w:tcPr>
          <w:p w14:paraId="2AF56839" w14:textId="7641E4A2"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43.8</w:t>
            </w:r>
          </w:p>
        </w:tc>
        <w:tc>
          <w:tcPr>
            <w:tcW w:w="575" w:type="dxa"/>
            <w:tcBorders>
              <w:top w:val="nil"/>
              <w:left w:val="nil"/>
              <w:bottom w:val="nil"/>
              <w:right w:val="nil"/>
            </w:tcBorders>
            <w:shd w:val="clear" w:color="auto" w:fill="auto"/>
            <w:vAlign w:val="center"/>
          </w:tcPr>
          <w:p w14:paraId="60D32C8D" w14:textId="1A2E2587"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58.5</w:t>
            </w:r>
          </w:p>
        </w:tc>
        <w:tc>
          <w:tcPr>
            <w:tcW w:w="571" w:type="dxa"/>
            <w:tcBorders>
              <w:top w:val="nil"/>
              <w:left w:val="nil"/>
              <w:bottom w:val="nil"/>
              <w:right w:val="nil"/>
            </w:tcBorders>
            <w:shd w:val="clear" w:color="auto" w:fill="auto"/>
            <w:vAlign w:val="center"/>
          </w:tcPr>
          <w:p w14:paraId="5DF6013E" w14:textId="185B306D"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52.8</w:t>
            </w:r>
          </w:p>
        </w:tc>
        <w:tc>
          <w:tcPr>
            <w:tcW w:w="564" w:type="dxa"/>
            <w:tcBorders>
              <w:top w:val="nil"/>
              <w:left w:val="nil"/>
              <w:bottom w:val="nil"/>
              <w:right w:val="nil"/>
            </w:tcBorders>
            <w:shd w:val="clear" w:color="auto" w:fill="auto"/>
            <w:vAlign w:val="center"/>
          </w:tcPr>
          <w:p w14:paraId="327BFAC5" w14:textId="05E9605B"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57</w:t>
            </w:r>
          </w:p>
        </w:tc>
        <w:tc>
          <w:tcPr>
            <w:tcW w:w="576" w:type="dxa"/>
            <w:tcBorders>
              <w:top w:val="nil"/>
              <w:left w:val="nil"/>
              <w:bottom w:val="nil"/>
              <w:right w:val="nil"/>
            </w:tcBorders>
            <w:shd w:val="clear" w:color="auto" w:fill="D9D9D9" w:themeFill="background1" w:themeFillShade="D9"/>
            <w:vAlign w:val="center"/>
          </w:tcPr>
          <w:p w14:paraId="5A15480F" w14:textId="6A768FC1"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76</w:t>
            </w:r>
            <w:r w:rsidRPr="00422522">
              <w:rPr>
                <w:rFonts w:ascii="Calibri" w:hAnsi="Calibri" w:cs="Calibri"/>
                <w:color w:val="000000"/>
                <w:sz w:val="16"/>
                <w:szCs w:val="16"/>
                <w:shd w:val="clear" w:color="auto" w:fill="D9D9D9" w:themeFill="background1" w:themeFillShade="D9"/>
              </w:rPr>
              <w:t>.</w:t>
            </w:r>
            <w:r w:rsidRPr="007301D6">
              <w:rPr>
                <w:rFonts w:ascii="Calibri" w:hAnsi="Calibri" w:cs="Calibri"/>
                <w:color w:val="000000"/>
                <w:sz w:val="16"/>
                <w:szCs w:val="16"/>
              </w:rPr>
              <w:t>3</w:t>
            </w:r>
          </w:p>
        </w:tc>
        <w:tc>
          <w:tcPr>
            <w:tcW w:w="573" w:type="dxa"/>
            <w:tcBorders>
              <w:top w:val="nil"/>
              <w:left w:val="nil"/>
              <w:bottom w:val="nil"/>
              <w:right w:val="nil"/>
            </w:tcBorders>
            <w:shd w:val="clear" w:color="auto" w:fill="auto"/>
            <w:vAlign w:val="center"/>
          </w:tcPr>
          <w:p w14:paraId="6897E279" w14:textId="7D536E27"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57.6</w:t>
            </w:r>
          </w:p>
        </w:tc>
        <w:tc>
          <w:tcPr>
            <w:tcW w:w="572" w:type="dxa"/>
            <w:tcBorders>
              <w:top w:val="nil"/>
              <w:left w:val="nil"/>
              <w:bottom w:val="nil"/>
              <w:right w:val="nil"/>
            </w:tcBorders>
            <w:shd w:val="clear" w:color="auto" w:fill="auto"/>
            <w:vAlign w:val="center"/>
          </w:tcPr>
          <w:p w14:paraId="39614521" w14:textId="52A1AC18"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64.4</w:t>
            </w:r>
            <w:r w:rsidR="004370EA">
              <w:rPr>
                <w:rFonts w:ascii="Calibri" w:hAnsi="Calibri" w:cs="Calibri"/>
                <w:color w:val="000000"/>
                <w:sz w:val="16"/>
                <w:szCs w:val="16"/>
              </w:rPr>
              <w:t>r</w:t>
            </w:r>
          </w:p>
        </w:tc>
        <w:tc>
          <w:tcPr>
            <w:tcW w:w="577" w:type="dxa"/>
            <w:tcBorders>
              <w:top w:val="nil"/>
              <w:left w:val="nil"/>
              <w:bottom w:val="nil"/>
              <w:right w:val="single" w:sz="4" w:space="0" w:color="auto"/>
            </w:tcBorders>
            <w:shd w:val="clear" w:color="auto" w:fill="auto"/>
            <w:vAlign w:val="center"/>
          </w:tcPr>
          <w:p w14:paraId="03C709FC" w14:textId="38D659FE"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61.4</w:t>
            </w:r>
          </w:p>
        </w:tc>
        <w:tc>
          <w:tcPr>
            <w:tcW w:w="601" w:type="dxa"/>
            <w:tcBorders>
              <w:top w:val="nil"/>
              <w:left w:val="single" w:sz="4" w:space="0" w:color="auto"/>
              <w:bottom w:val="nil"/>
              <w:right w:val="single" w:sz="4" w:space="0" w:color="auto"/>
            </w:tcBorders>
            <w:shd w:val="clear" w:color="auto" w:fill="auto"/>
            <w:vAlign w:val="center"/>
          </w:tcPr>
          <w:p w14:paraId="0860E7C3" w14:textId="5110DB6F"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60</w:t>
            </w:r>
          </w:p>
        </w:tc>
      </w:tr>
      <w:tr w:rsidR="00371213" w14:paraId="03A7ADD4" w14:textId="77777777" w:rsidTr="00667885">
        <w:trPr>
          <w:trHeight w:val="365"/>
        </w:trPr>
        <w:tc>
          <w:tcPr>
            <w:tcW w:w="876" w:type="dxa"/>
            <w:tcBorders>
              <w:top w:val="nil"/>
              <w:left w:val="single" w:sz="4" w:space="0" w:color="auto"/>
              <w:bottom w:val="single" w:sz="12" w:space="0" w:color="auto"/>
              <w:right w:val="nil"/>
            </w:tcBorders>
          </w:tcPr>
          <w:p w14:paraId="070D4345" w14:textId="47042087" w:rsidR="007301D6" w:rsidRDefault="007301D6" w:rsidP="007301D6">
            <w:pPr>
              <w:rPr>
                <w:rFonts w:ascii="Calibri" w:eastAsiaTheme="minorEastAsia" w:hAnsi="Calibri" w:cs="Calibri"/>
                <w:color w:val="000000" w:themeColor="text1"/>
                <w:sz w:val="16"/>
                <w:szCs w:val="16"/>
                <w:lang w:eastAsia="en-US"/>
              </w:rPr>
            </w:pPr>
          </w:p>
        </w:tc>
        <w:tc>
          <w:tcPr>
            <w:tcW w:w="1280" w:type="dxa"/>
            <w:tcBorders>
              <w:top w:val="nil"/>
              <w:left w:val="nil"/>
              <w:bottom w:val="single" w:sz="12" w:space="0" w:color="auto"/>
              <w:right w:val="single" w:sz="4" w:space="0" w:color="auto"/>
            </w:tcBorders>
            <w:vAlign w:val="center"/>
          </w:tcPr>
          <w:p w14:paraId="0E6815F0" w14:textId="4F7CD2C6" w:rsidR="007301D6" w:rsidRDefault="007301D6" w:rsidP="007301D6">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All Cases</w:t>
            </w:r>
          </w:p>
        </w:tc>
        <w:tc>
          <w:tcPr>
            <w:tcW w:w="575" w:type="dxa"/>
            <w:tcBorders>
              <w:top w:val="nil"/>
              <w:left w:val="nil"/>
              <w:bottom w:val="single" w:sz="12" w:space="0" w:color="auto"/>
              <w:right w:val="nil"/>
            </w:tcBorders>
            <w:shd w:val="clear" w:color="auto" w:fill="auto"/>
            <w:vAlign w:val="center"/>
          </w:tcPr>
          <w:p w14:paraId="3FC3542A" w14:textId="50FCA8DD"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26.1</w:t>
            </w:r>
          </w:p>
        </w:tc>
        <w:tc>
          <w:tcPr>
            <w:tcW w:w="570" w:type="dxa"/>
            <w:tcBorders>
              <w:top w:val="nil"/>
              <w:left w:val="nil"/>
              <w:bottom w:val="single" w:sz="12" w:space="0" w:color="auto"/>
              <w:right w:val="nil"/>
            </w:tcBorders>
            <w:shd w:val="clear" w:color="auto" w:fill="auto"/>
            <w:vAlign w:val="center"/>
          </w:tcPr>
          <w:p w14:paraId="22F21868" w14:textId="426FEF25"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26</w:t>
            </w:r>
          </w:p>
        </w:tc>
        <w:tc>
          <w:tcPr>
            <w:tcW w:w="573" w:type="dxa"/>
            <w:tcBorders>
              <w:top w:val="nil"/>
              <w:left w:val="nil"/>
              <w:bottom w:val="single" w:sz="12" w:space="0" w:color="auto"/>
              <w:right w:val="nil"/>
            </w:tcBorders>
            <w:shd w:val="clear" w:color="auto" w:fill="auto"/>
            <w:vAlign w:val="center"/>
          </w:tcPr>
          <w:p w14:paraId="6092B1C8" w14:textId="4906003E"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25.9</w:t>
            </w:r>
          </w:p>
        </w:tc>
        <w:tc>
          <w:tcPr>
            <w:tcW w:w="578" w:type="dxa"/>
            <w:tcBorders>
              <w:top w:val="nil"/>
              <w:left w:val="nil"/>
              <w:bottom w:val="single" w:sz="12" w:space="0" w:color="auto"/>
              <w:right w:val="nil"/>
            </w:tcBorders>
            <w:shd w:val="clear" w:color="auto" w:fill="auto"/>
            <w:vAlign w:val="center"/>
          </w:tcPr>
          <w:p w14:paraId="4AC4C6EF" w14:textId="00EE818C"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26.1</w:t>
            </w:r>
          </w:p>
        </w:tc>
        <w:tc>
          <w:tcPr>
            <w:tcW w:w="567" w:type="dxa"/>
            <w:tcBorders>
              <w:top w:val="nil"/>
              <w:left w:val="nil"/>
              <w:bottom w:val="single" w:sz="12" w:space="0" w:color="auto"/>
              <w:right w:val="nil"/>
            </w:tcBorders>
            <w:shd w:val="clear" w:color="auto" w:fill="auto"/>
            <w:vAlign w:val="center"/>
          </w:tcPr>
          <w:p w14:paraId="44869DB2" w14:textId="0279D8A6"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28.4</w:t>
            </w:r>
          </w:p>
        </w:tc>
        <w:tc>
          <w:tcPr>
            <w:tcW w:w="575" w:type="dxa"/>
            <w:tcBorders>
              <w:top w:val="nil"/>
              <w:left w:val="nil"/>
              <w:bottom w:val="single" w:sz="12" w:space="0" w:color="auto"/>
              <w:right w:val="nil"/>
            </w:tcBorders>
            <w:shd w:val="clear" w:color="auto" w:fill="auto"/>
            <w:vAlign w:val="center"/>
          </w:tcPr>
          <w:p w14:paraId="547887DB" w14:textId="1897F6EA"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28.5</w:t>
            </w:r>
          </w:p>
        </w:tc>
        <w:tc>
          <w:tcPr>
            <w:tcW w:w="571" w:type="dxa"/>
            <w:tcBorders>
              <w:top w:val="nil"/>
              <w:left w:val="nil"/>
              <w:bottom w:val="single" w:sz="12" w:space="0" w:color="auto"/>
              <w:right w:val="nil"/>
            </w:tcBorders>
            <w:shd w:val="clear" w:color="auto" w:fill="auto"/>
            <w:vAlign w:val="center"/>
          </w:tcPr>
          <w:p w14:paraId="61C3D6EC" w14:textId="1BBC4984"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27.8</w:t>
            </w:r>
          </w:p>
        </w:tc>
        <w:tc>
          <w:tcPr>
            <w:tcW w:w="564" w:type="dxa"/>
            <w:tcBorders>
              <w:top w:val="nil"/>
              <w:left w:val="nil"/>
              <w:bottom w:val="single" w:sz="12" w:space="0" w:color="auto"/>
              <w:right w:val="nil"/>
            </w:tcBorders>
            <w:shd w:val="clear" w:color="auto" w:fill="auto"/>
            <w:vAlign w:val="center"/>
          </w:tcPr>
          <w:p w14:paraId="50F91E37" w14:textId="09957A3D"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27.7</w:t>
            </w:r>
          </w:p>
        </w:tc>
        <w:tc>
          <w:tcPr>
            <w:tcW w:w="576" w:type="dxa"/>
            <w:tcBorders>
              <w:top w:val="nil"/>
              <w:left w:val="nil"/>
              <w:bottom w:val="single" w:sz="12" w:space="0" w:color="auto"/>
              <w:right w:val="nil"/>
            </w:tcBorders>
            <w:shd w:val="clear" w:color="auto" w:fill="auto"/>
            <w:vAlign w:val="center"/>
          </w:tcPr>
          <w:p w14:paraId="030D8140" w14:textId="16B52C2B"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26.7</w:t>
            </w:r>
          </w:p>
        </w:tc>
        <w:tc>
          <w:tcPr>
            <w:tcW w:w="573" w:type="dxa"/>
            <w:tcBorders>
              <w:top w:val="nil"/>
              <w:left w:val="nil"/>
              <w:bottom w:val="single" w:sz="12" w:space="0" w:color="auto"/>
              <w:right w:val="nil"/>
            </w:tcBorders>
            <w:shd w:val="clear" w:color="auto" w:fill="auto"/>
            <w:vAlign w:val="center"/>
          </w:tcPr>
          <w:p w14:paraId="6CABC7C8" w14:textId="317556CF"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23.9</w:t>
            </w:r>
          </w:p>
        </w:tc>
        <w:tc>
          <w:tcPr>
            <w:tcW w:w="572" w:type="dxa"/>
            <w:tcBorders>
              <w:top w:val="nil"/>
              <w:left w:val="nil"/>
              <w:bottom w:val="single" w:sz="12" w:space="0" w:color="auto"/>
              <w:right w:val="nil"/>
            </w:tcBorders>
            <w:shd w:val="clear" w:color="auto" w:fill="auto"/>
            <w:vAlign w:val="center"/>
          </w:tcPr>
          <w:p w14:paraId="52061702" w14:textId="19E27AE6"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27.3</w:t>
            </w:r>
          </w:p>
        </w:tc>
        <w:tc>
          <w:tcPr>
            <w:tcW w:w="577" w:type="dxa"/>
            <w:tcBorders>
              <w:top w:val="nil"/>
              <w:left w:val="nil"/>
              <w:bottom w:val="single" w:sz="12" w:space="0" w:color="auto"/>
              <w:right w:val="single" w:sz="4" w:space="0" w:color="auto"/>
            </w:tcBorders>
            <w:shd w:val="clear" w:color="auto" w:fill="auto"/>
            <w:vAlign w:val="center"/>
          </w:tcPr>
          <w:p w14:paraId="2BD5BCC6" w14:textId="08D26971"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26.3</w:t>
            </w:r>
          </w:p>
        </w:tc>
        <w:tc>
          <w:tcPr>
            <w:tcW w:w="601" w:type="dxa"/>
            <w:tcBorders>
              <w:top w:val="nil"/>
              <w:left w:val="single" w:sz="4" w:space="0" w:color="auto"/>
              <w:bottom w:val="single" w:sz="12" w:space="0" w:color="auto"/>
              <w:right w:val="single" w:sz="4" w:space="0" w:color="auto"/>
            </w:tcBorders>
            <w:shd w:val="clear" w:color="auto" w:fill="auto"/>
            <w:vAlign w:val="center"/>
          </w:tcPr>
          <w:p w14:paraId="36655474" w14:textId="79D4F33E" w:rsidR="007301D6" w:rsidRPr="007301D6" w:rsidRDefault="007301D6" w:rsidP="007301D6">
            <w:pPr>
              <w:jc w:val="right"/>
              <w:rPr>
                <w:rFonts w:asciiTheme="minorHAnsi" w:eastAsiaTheme="minorEastAsia" w:hAnsiTheme="minorHAnsi" w:cstheme="minorHAnsi"/>
                <w:color w:val="000000" w:themeColor="text1"/>
                <w:sz w:val="16"/>
                <w:szCs w:val="16"/>
                <w:lang w:eastAsia="en-US"/>
              </w:rPr>
            </w:pPr>
            <w:r w:rsidRPr="007301D6">
              <w:rPr>
                <w:rFonts w:ascii="Calibri" w:hAnsi="Calibri" w:cs="Calibri"/>
                <w:color w:val="000000"/>
                <w:sz w:val="16"/>
                <w:szCs w:val="16"/>
              </w:rPr>
              <w:t>26.9</w:t>
            </w:r>
          </w:p>
        </w:tc>
      </w:tr>
      <w:tr w:rsidR="00371213" w14:paraId="09A9BB20" w14:textId="77777777" w:rsidTr="00667885">
        <w:trPr>
          <w:trHeight w:val="365"/>
        </w:trPr>
        <w:tc>
          <w:tcPr>
            <w:tcW w:w="876" w:type="dxa"/>
            <w:vMerge w:val="restart"/>
            <w:tcBorders>
              <w:top w:val="single" w:sz="12" w:space="0" w:color="auto"/>
              <w:left w:val="single" w:sz="4" w:space="0" w:color="auto"/>
              <w:right w:val="nil"/>
            </w:tcBorders>
          </w:tcPr>
          <w:p w14:paraId="2027D6BD" w14:textId="41F0C8CC" w:rsidR="00371213" w:rsidRDefault="00371213" w:rsidP="00371213">
            <w:pPr>
              <w:rPr>
                <w:rFonts w:ascii="Calibri" w:eastAsiaTheme="minorEastAsia" w:hAnsi="Calibri" w:cs="Calibri"/>
                <w:color w:val="000000" w:themeColor="text1"/>
                <w:sz w:val="16"/>
                <w:szCs w:val="16"/>
                <w:lang w:eastAsia="en-US"/>
              </w:rPr>
            </w:pPr>
            <w:r w:rsidRPr="79A16EA4">
              <w:rPr>
                <w:rFonts w:ascii="Calibri" w:eastAsiaTheme="minorEastAsia" w:hAnsi="Calibri" w:cs="Calibri"/>
                <w:color w:val="000000" w:themeColor="text1"/>
                <w:sz w:val="16"/>
                <w:szCs w:val="16"/>
                <w:lang w:eastAsia="en-US"/>
              </w:rPr>
              <w:t xml:space="preserve">Valid to Decision (median </w:t>
            </w:r>
            <w:r w:rsidRPr="59D24942">
              <w:rPr>
                <w:rFonts w:ascii="Calibri" w:eastAsiaTheme="minorEastAsia" w:hAnsi="Calibri" w:cs="Calibri"/>
                <w:color w:val="000000" w:themeColor="text1"/>
                <w:sz w:val="16"/>
                <w:szCs w:val="16"/>
                <w:lang w:eastAsia="en-US"/>
              </w:rPr>
              <w:t>weeks)</w:t>
            </w:r>
          </w:p>
        </w:tc>
        <w:tc>
          <w:tcPr>
            <w:tcW w:w="1280" w:type="dxa"/>
            <w:tcBorders>
              <w:top w:val="single" w:sz="12" w:space="0" w:color="auto"/>
              <w:left w:val="nil"/>
              <w:bottom w:val="nil"/>
              <w:right w:val="single" w:sz="4" w:space="0" w:color="auto"/>
            </w:tcBorders>
            <w:vAlign w:val="center"/>
          </w:tcPr>
          <w:p w14:paraId="3E6887E5" w14:textId="492E8037" w:rsidR="00371213" w:rsidRDefault="00371213" w:rsidP="00371213">
            <w:pPr>
              <w:rPr>
                <w:rFonts w:eastAsiaTheme="minorEastAsia"/>
              </w:rPr>
            </w:pPr>
            <w:r w:rsidRPr="175787B0">
              <w:rPr>
                <w:rFonts w:ascii="Calibri" w:eastAsia="Calibri" w:hAnsi="Calibri" w:cs="Calibri"/>
                <w:color w:val="000000" w:themeColor="text1"/>
                <w:sz w:val="16"/>
                <w:szCs w:val="16"/>
              </w:rPr>
              <w:t>Written Representations</w:t>
            </w:r>
          </w:p>
        </w:tc>
        <w:tc>
          <w:tcPr>
            <w:tcW w:w="575" w:type="dxa"/>
            <w:tcBorders>
              <w:top w:val="single" w:sz="12" w:space="0" w:color="auto"/>
              <w:left w:val="nil"/>
              <w:bottom w:val="nil"/>
              <w:right w:val="nil"/>
            </w:tcBorders>
            <w:shd w:val="clear" w:color="auto" w:fill="auto"/>
            <w:vAlign w:val="center"/>
          </w:tcPr>
          <w:p w14:paraId="7267D2F4" w14:textId="7999724D"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22.0</w:t>
            </w:r>
          </w:p>
        </w:tc>
        <w:tc>
          <w:tcPr>
            <w:tcW w:w="570" w:type="dxa"/>
            <w:tcBorders>
              <w:top w:val="single" w:sz="12" w:space="0" w:color="auto"/>
              <w:left w:val="nil"/>
              <w:bottom w:val="nil"/>
              <w:right w:val="nil"/>
            </w:tcBorders>
            <w:shd w:val="clear" w:color="auto" w:fill="auto"/>
            <w:vAlign w:val="center"/>
          </w:tcPr>
          <w:p w14:paraId="40572CEC" w14:textId="65247670"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23.1</w:t>
            </w:r>
          </w:p>
        </w:tc>
        <w:tc>
          <w:tcPr>
            <w:tcW w:w="573" w:type="dxa"/>
            <w:tcBorders>
              <w:top w:val="single" w:sz="12" w:space="0" w:color="auto"/>
              <w:left w:val="nil"/>
              <w:bottom w:val="nil"/>
              <w:right w:val="nil"/>
            </w:tcBorders>
            <w:shd w:val="clear" w:color="auto" w:fill="auto"/>
            <w:vAlign w:val="center"/>
          </w:tcPr>
          <w:p w14:paraId="2B63469F" w14:textId="3E63F687"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23.0</w:t>
            </w:r>
          </w:p>
        </w:tc>
        <w:tc>
          <w:tcPr>
            <w:tcW w:w="578" w:type="dxa"/>
            <w:tcBorders>
              <w:top w:val="single" w:sz="12" w:space="0" w:color="auto"/>
              <w:left w:val="nil"/>
              <w:bottom w:val="nil"/>
              <w:right w:val="nil"/>
            </w:tcBorders>
            <w:shd w:val="clear" w:color="auto" w:fill="auto"/>
            <w:vAlign w:val="center"/>
          </w:tcPr>
          <w:p w14:paraId="27EBF011" w14:textId="32257B3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23.9</w:t>
            </w:r>
          </w:p>
        </w:tc>
        <w:tc>
          <w:tcPr>
            <w:tcW w:w="567" w:type="dxa"/>
            <w:tcBorders>
              <w:top w:val="single" w:sz="12" w:space="0" w:color="auto"/>
              <w:left w:val="nil"/>
              <w:bottom w:val="nil"/>
              <w:right w:val="nil"/>
            </w:tcBorders>
            <w:shd w:val="clear" w:color="auto" w:fill="auto"/>
            <w:vAlign w:val="center"/>
          </w:tcPr>
          <w:p w14:paraId="5C5518F4" w14:textId="47B797C9"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25.1</w:t>
            </w:r>
          </w:p>
        </w:tc>
        <w:tc>
          <w:tcPr>
            <w:tcW w:w="575" w:type="dxa"/>
            <w:tcBorders>
              <w:top w:val="single" w:sz="12" w:space="0" w:color="auto"/>
              <w:left w:val="nil"/>
              <w:bottom w:val="nil"/>
              <w:right w:val="nil"/>
            </w:tcBorders>
            <w:shd w:val="clear" w:color="auto" w:fill="auto"/>
            <w:vAlign w:val="center"/>
          </w:tcPr>
          <w:p w14:paraId="641D7B2E" w14:textId="5B2C684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26.6</w:t>
            </w:r>
          </w:p>
        </w:tc>
        <w:tc>
          <w:tcPr>
            <w:tcW w:w="571" w:type="dxa"/>
            <w:tcBorders>
              <w:top w:val="single" w:sz="12" w:space="0" w:color="auto"/>
              <w:left w:val="nil"/>
              <w:bottom w:val="nil"/>
              <w:right w:val="nil"/>
            </w:tcBorders>
            <w:shd w:val="clear" w:color="auto" w:fill="auto"/>
            <w:vAlign w:val="center"/>
          </w:tcPr>
          <w:p w14:paraId="46AF6DC5" w14:textId="4CD9E9CA"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23.1</w:t>
            </w:r>
          </w:p>
        </w:tc>
        <w:tc>
          <w:tcPr>
            <w:tcW w:w="564" w:type="dxa"/>
            <w:tcBorders>
              <w:top w:val="single" w:sz="12" w:space="0" w:color="auto"/>
              <w:left w:val="nil"/>
              <w:bottom w:val="nil"/>
              <w:right w:val="nil"/>
            </w:tcBorders>
            <w:shd w:val="clear" w:color="auto" w:fill="auto"/>
            <w:vAlign w:val="center"/>
          </w:tcPr>
          <w:p w14:paraId="22D48256" w14:textId="71F1D3CC"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21.3</w:t>
            </w:r>
          </w:p>
        </w:tc>
        <w:tc>
          <w:tcPr>
            <w:tcW w:w="576" w:type="dxa"/>
            <w:tcBorders>
              <w:top w:val="single" w:sz="12" w:space="0" w:color="auto"/>
              <w:left w:val="nil"/>
              <w:bottom w:val="nil"/>
              <w:right w:val="nil"/>
            </w:tcBorders>
            <w:shd w:val="clear" w:color="auto" w:fill="auto"/>
            <w:vAlign w:val="center"/>
          </w:tcPr>
          <w:p w14:paraId="444AA02A" w14:textId="59EBD5AC"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20.4</w:t>
            </w:r>
          </w:p>
        </w:tc>
        <w:tc>
          <w:tcPr>
            <w:tcW w:w="573" w:type="dxa"/>
            <w:tcBorders>
              <w:top w:val="single" w:sz="12" w:space="0" w:color="auto"/>
              <w:left w:val="nil"/>
              <w:bottom w:val="nil"/>
              <w:right w:val="nil"/>
            </w:tcBorders>
            <w:shd w:val="clear" w:color="auto" w:fill="auto"/>
            <w:vAlign w:val="center"/>
          </w:tcPr>
          <w:p w14:paraId="38372894" w14:textId="59600FE1"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18.4</w:t>
            </w:r>
          </w:p>
        </w:tc>
        <w:tc>
          <w:tcPr>
            <w:tcW w:w="572" w:type="dxa"/>
            <w:tcBorders>
              <w:top w:val="single" w:sz="12" w:space="0" w:color="auto"/>
              <w:left w:val="nil"/>
              <w:bottom w:val="nil"/>
              <w:right w:val="nil"/>
            </w:tcBorders>
            <w:shd w:val="clear" w:color="auto" w:fill="auto"/>
            <w:vAlign w:val="center"/>
          </w:tcPr>
          <w:p w14:paraId="336C35EF" w14:textId="2D09D3D4"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20.9</w:t>
            </w:r>
          </w:p>
        </w:tc>
        <w:tc>
          <w:tcPr>
            <w:tcW w:w="577" w:type="dxa"/>
            <w:tcBorders>
              <w:top w:val="single" w:sz="12" w:space="0" w:color="auto"/>
              <w:left w:val="nil"/>
              <w:bottom w:val="nil"/>
              <w:right w:val="single" w:sz="4" w:space="0" w:color="auto"/>
            </w:tcBorders>
            <w:shd w:val="clear" w:color="auto" w:fill="auto"/>
            <w:vAlign w:val="center"/>
          </w:tcPr>
          <w:p w14:paraId="12211C4E" w14:textId="205E01E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21.1</w:t>
            </w:r>
          </w:p>
        </w:tc>
        <w:tc>
          <w:tcPr>
            <w:tcW w:w="601" w:type="dxa"/>
            <w:tcBorders>
              <w:top w:val="single" w:sz="12" w:space="0" w:color="auto"/>
              <w:left w:val="single" w:sz="4" w:space="0" w:color="auto"/>
              <w:bottom w:val="nil"/>
              <w:right w:val="single" w:sz="4" w:space="0" w:color="auto"/>
            </w:tcBorders>
            <w:shd w:val="clear" w:color="auto" w:fill="auto"/>
            <w:vAlign w:val="center"/>
          </w:tcPr>
          <w:p w14:paraId="7E451BB3" w14:textId="795AF92B"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22.6</w:t>
            </w:r>
          </w:p>
        </w:tc>
      </w:tr>
      <w:tr w:rsidR="00371213" w14:paraId="1795D0C5" w14:textId="77777777" w:rsidTr="004A45BB">
        <w:trPr>
          <w:trHeight w:val="365"/>
        </w:trPr>
        <w:tc>
          <w:tcPr>
            <w:tcW w:w="876" w:type="dxa"/>
            <w:vMerge/>
            <w:tcBorders>
              <w:left w:val="single" w:sz="4" w:space="0" w:color="auto"/>
              <w:right w:val="nil"/>
            </w:tcBorders>
          </w:tcPr>
          <w:p w14:paraId="29EEDC07" w14:textId="1832AC4D" w:rsidR="00371213" w:rsidRDefault="00371213" w:rsidP="00371213">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71CB61A4" w14:textId="5E93C373" w:rsidR="00371213" w:rsidRDefault="00371213" w:rsidP="00371213">
            <w:pPr>
              <w:rPr>
                <w:rFonts w:ascii="Calibri" w:eastAsiaTheme="minorEastAsia" w:hAnsi="Calibri" w:cs="Calibri"/>
                <w:color w:val="000000" w:themeColor="text1"/>
                <w:sz w:val="16"/>
                <w:szCs w:val="16"/>
                <w:lang w:eastAsia="en-US"/>
              </w:rPr>
            </w:pPr>
            <w:r w:rsidRPr="113C4CE3">
              <w:rPr>
                <w:rFonts w:ascii="Calibri" w:eastAsiaTheme="minorEastAsia" w:hAnsi="Calibri" w:cs="Calibri"/>
                <w:color w:val="000000" w:themeColor="text1"/>
                <w:sz w:val="16"/>
                <w:szCs w:val="16"/>
                <w:lang w:eastAsia="en-US"/>
              </w:rPr>
              <w:t>Hearings</w:t>
            </w:r>
          </w:p>
        </w:tc>
        <w:tc>
          <w:tcPr>
            <w:tcW w:w="575" w:type="dxa"/>
            <w:tcBorders>
              <w:top w:val="nil"/>
              <w:left w:val="nil"/>
              <w:bottom w:val="nil"/>
              <w:right w:val="nil"/>
            </w:tcBorders>
            <w:shd w:val="clear" w:color="auto" w:fill="D9D9D9" w:themeFill="background1" w:themeFillShade="D9"/>
            <w:vAlign w:val="center"/>
          </w:tcPr>
          <w:p w14:paraId="57B4F706" w14:textId="0CDD830F"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52.6</w:t>
            </w:r>
          </w:p>
        </w:tc>
        <w:tc>
          <w:tcPr>
            <w:tcW w:w="570" w:type="dxa"/>
            <w:tcBorders>
              <w:top w:val="nil"/>
              <w:left w:val="nil"/>
              <w:bottom w:val="nil"/>
              <w:right w:val="nil"/>
            </w:tcBorders>
            <w:shd w:val="clear" w:color="auto" w:fill="D9D9D9" w:themeFill="background1" w:themeFillShade="D9"/>
            <w:vAlign w:val="center"/>
          </w:tcPr>
          <w:p w14:paraId="7417E4F7" w14:textId="0863B851"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39.6</w:t>
            </w:r>
          </w:p>
        </w:tc>
        <w:tc>
          <w:tcPr>
            <w:tcW w:w="573" w:type="dxa"/>
            <w:tcBorders>
              <w:top w:val="nil"/>
              <w:left w:val="nil"/>
              <w:bottom w:val="nil"/>
              <w:right w:val="nil"/>
            </w:tcBorders>
            <w:shd w:val="clear" w:color="auto" w:fill="D9D9D9" w:themeFill="background1" w:themeFillShade="D9"/>
            <w:vAlign w:val="center"/>
          </w:tcPr>
          <w:p w14:paraId="6D60ACC4" w14:textId="1F53F155"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47.6</w:t>
            </w:r>
            <w:r w:rsidR="004370EA">
              <w:rPr>
                <w:rFonts w:ascii="Calibri" w:hAnsi="Calibri" w:cs="Calibri"/>
                <w:color w:val="000000"/>
                <w:sz w:val="16"/>
                <w:szCs w:val="16"/>
              </w:rPr>
              <w:t>r</w:t>
            </w:r>
          </w:p>
        </w:tc>
        <w:tc>
          <w:tcPr>
            <w:tcW w:w="578" w:type="dxa"/>
            <w:tcBorders>
              <w:top w:val="nil"/>
              <w:left w:val="nil"/>
              <w:bottom w:val="nil"/>
              <w:right w:val="nil"/>
            </w:tcBorders>
            <w:shd w:val="clear" w:color="auto" w:fill="auto"/>
            <w:vAlign w:val="center"/>
          </w:tcPr>
          <w:p w14:paraId="1370B754" w14:textId="595A888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40.3</w:t>
            </w:r>
          </w:p>
        </w:tc>
        <w:tc>
          <w:tcPr>
            <w:tcW w:w="567" w:type="dxa"/>
            <w:tcBorders>
              <w:top w:val="nil"/>
              <w:left w:val="nil"/>
              <w:bottom w:val="nil"/>
              <w:right w:val="nil"/>
            </w:tcBorders>
            <w:shd w:val="clear" w:color="auto" w:fill="auto"/>
            <w:vAlign w:val="center"/>
          </w:tcPr>
          <w:p w14:paraId="7CCBAC35" w14:textId="38EEC697"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40.1</w:t>
            </w:r>
          </w:p>
        </w:tc>
        <w:tc>
          <w:tcPr>
            <w:tcW w:w="575" w:type="dxa"/>
            <w:tcBorders>
              <w:top w:val="nil"/>
              <w:left w:val="nil"/>
              <w:bottom w:val="nil"/>
              <w:right w:val="nil"/>
            </w:tcBorders>
            <w:shd w:val="clear" w:color="auto" w:fill="auto"/>
            <w:vAlign w:val="center"/>
          </w:tcPr>
          <w:p w14:paraId="18EBBB36" w14:textId="6F80E0CD"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37.3</w:t>
            </w:r>
          </w:p>
        </w:tc>
        <w:tc>
          <w:tcPr>
            <w:tcW w:w="571" w:type="dxa"/>
            <w:tcBorders>
              <w:top w:val="nil"/>
              <w:left w:val="nil"/>
              <w:bottom w:val="nil"/>
              <w:right w:val="nil"/>
            </w:tcBorders>
            <w:shd w:val="clear" w:color="auto" w:fill="auto"/>
            <w:vAlign w:val="center"/>
          </w:tcPr>
          <w:p w14:paraId="6869291C" w14:textId="448A48FA"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43.9</w:t>
            </w:r>
          </w:p>
        </w:tc>
        <w:tc>
          <w:tcPr>
            <w:tcW w:w="564" w:type="dxa"/>
            <w:tcBorders>
              <w:top w:val="nil"/>
              <w:left w:val="nil"/>
              <w:bottom w:val="nil"/>
              <w:right w:val="nil"/>
            </w:tcBorders>
            <w:shd w:val="clear" w:color="auto" w:fill="auto"/>
            <w:vAlign w:val="center"/>
          </w:tcPr>
          <w:p w14:paraId="73285BE4" w14:textId="14D3D3E3"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51.5</w:t>
            </w:r>
          </w:p>
        </w:tc>
        <w:tc>
          <w:tcPr>
            <w:tcW w:w="576" w:type="dxa"/>
            <w:tcBorders>
              <w:top w:val="nil"/>
              <w:left w:val="nil"/>
              <w:bottom w:val="nil"/>
              <w:right w:val="nil"/>
            </w:tcBorders>
            <w:shd w:val="clear" w:color="auto" w:fill="auto"/>
            <w:vAlign w:val="center"/>
          </w:tcPr>
          <w:p w14:paraId="459A18FA" w14:textId="167EDD4D"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49.0</w:t>
            </w:r>
          </w:p>
        </w:tc>
        <w:tc>
          <w:tcPr>
            <w:tcW w:w="573" w:type="dxa"/>
            <w:tcBorders>
              <w:top w:val="nil"/>
              <w:left w:val="nil"/>
              <w:bottom w:val="nil"/>
              <w:right w:val="nil"/>
            </w:tcBorders>
            <w:shd w:val="clear" w:color="auto" w:fill="auto"/>
            <w:vAlign w:val="center"/>
          </w:tcPr>
          <w:p w14:paraId="48E0B9D2" w14:textId="426853D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52.4</w:t>
            </w:r>
          </w:p>
        </w:tc>
        <w:tc>
          <w:tcPr>
            <w:tcW w:w="572" w:type="dxa"/>
            <w:tcBorders>
              <w:top w:val="nil"/>
              <w:left w:val="nil"/>
              <w:bottom w:val="nil"/>
              <w:right w:val="nil"/>
            </w:tcBorders>
            <w:shd w:val="clear" w:color="auto" w:fill="auto"/>
            <w:vAlign w:val="center"/>
          </w:tcPr>
          <w:p w14:paraId="3CC41C62" w14:textId="725E10D5"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62.0</w:t>
            </w:r>
            <w:r w:rsidR="004370EA">
              <w:rPr>
                <w:rFonts w:ascii="Calibri" w:hAnsi="Calibri" w:cs="Calibri"/>
                <w:color w:val="000000"/>
                <w:sz w:val="16"/>
                <w:szCs w:val="16"/>
              </w:rPr>
              <w:t>r</w:t>
            </w:r>
          </w:p>
        </w:tc>
        <w:tc>
          <w:tcPr>
            <w:tcW w:w="577" w:type="dxa"/>
            <w:tcBorders>
              <w:top w:val="nil"/>
              <w:left w:val="nil"/>
              <w:bottom w:val="nil"/>
              <w:right w:val="single" w:sz="4" w:space="0" w:color="auto"/>
            </w:tcBorders>
            <w:shd w:val="clear" w:color="auto" w:fill="auto"/>
            <w:vAlign w:val="center"/>
          </w:tcPr>
          <w:p w14:paraId="51FF272D" w14:textId="7D9C4CF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39.6</w:t>
            </w:r>
          </w:p>
        </w:tc>
        <w:tc>
          <w:tcPr>
            <w:tcW w:w="601" w:type="dxa"/>
            <w:tcBorders>
              <w:top w:val="nil"/>
              <w:left w:val="single" w:sz="4" w:space="0" w:color="auto"/>
              <w:bottom w:val="nil"/>
              <w:right w:val="single" w:sz="4" w:space="0" w:color="auto"/>
            </w:tcBorders>
            <w:shd w:val="clear" w:color="auto" w:fill="auto"/>
            <w:vAlign w:val="center"/>
          </w:tcPr>
          <w:p w14:paraId="60C7299A" w14:textId="04418C4E"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46.6</w:t>
            </w:r>
          </w:p>
        </w:tc>
      </w:tr>
      <w:tr w:rsidR="00371213" w14:paraId="09E466B1" w14:textId="77777777" w:rsidTr="004A45BB">
        <w:trPr>
          <w:trHeight w:val="365"/>
        </w:trPr>
        <w:tc>
          <w:tcPr>
            <w:tcW w:w="876" w:type="dxa"/>
            <w:vMerge/>
            <w:tcBorders>
              <w:left w:val="single" w:sz="4" w:space="0" w:color="auto"/>
              <w:right w:val="nil"/>
            </w:tcBorders>
          </w:tcPr>
          <w:p w14:paraId="20DF0653" w14:textId="5443B88B" w:rsidR="00371213" w:rsidRDefault="00371213" w:rsidP="00371213">
            <w:pPr>
              <w:rPr>
                <w:rFonts w:ascii="Calibri" w:eastAsiaTheme="minorEastAsia" w:hAnsi="Calibri" w:cs="Calibri"/>
                <w:color w:val="000000" w:themeColor="text1"/>
                <w:sz w:val="16"/>
                <w:szCs w:val="16"/>
                <w:lang w:eastAsia="en-US"/>
              </w:rPr>
            </w:pPr>
          </w:p>
        </w:tc>
        <w:tc>
          <w:tcPr>
            <w:tcW w:w="1280" w:type="dxa"/>
            <w:tcBorders>
              <w:top w:val="nil"/>
              <w:left w:val="nil"/>
              <w:right w:val="single" w:sz="4" w:space="0" w:color="auto"/>
            </w:tcBorders>
            <w:vAlign w:val="center"/>
          </w:tcPr>
          <w:p w14:paraId="1CDBCD93" w14:textId="041B66C2" w:rsidR="00371213" w:rsidRDefault="00371213" w:rsidP="00371213">
            <w:pPr>
              <w:rPr>
                <w:rFonts w:ascii="Calibri" w:eastAsiaTheme="minorEastAsia" w:hAnsi="Calibri" w:cs="Calibri"/>
                <w:color w:val="000000" w:themeColor="text1"/>
                <w:sz w:val="16"/>
                <w:szCs w:val="16"/>
                <w:lang w:eastAsia="en-US"/>
              </w:rPr>
            </w:pPr>
            <w:r w:rsidRPr="0D7DE66C">
              <w:rPr>
                <w:rFonts w:ascii="Calibri" w:eastAsiaTheme="minorEastAsia" w:hAnsi="Calibri" w:cs="Calibri"/>
                <w:color w:val="000000" w:themeColor="text1"/>
                <w:sz w:val="16"/>
                <w:szCs w:val="16"/>
                <w:lang w:eastAsia="en-US"/>
              </w:rPr>
              <w:t>Inquiries</w:t>
            </w:r>
          </w:p>
        </w:tc>
        <w:tc>
          <w:tcPr>
            <w:tcW w:w="575" w:type="dxa"/>
            <w:tcBorders>
              <w:top w:val="nil"/>
              <w:left w:val="nil"/>
              <w:bottom w:val="nil"/>
              <w:right w:val="nil"/>
            </w:tcBorders>
            <w:shd w:val="clear" w:color="auto" w:fill="D9D9D9" w:themeFill="background1" w:themeFillShade="D9"/>
            <w:vAlign w:val="center"/>
          </w:tcPr>
          <w:p w14:paraId="0BF9C881" w14:textId="441C42C0"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67.7</w:t>
            </w:r>
          </w:p>
        </w:tc>
        <w:tc>
          <w:tcPr>
            <w:tcW w:w="570" w:type="dxa"/>
            <w:tcBorders>
              <w:top w:val="nil"/>
              <w:left w:val="nil"/>
              <w:bottom w:val="nil"/>
              <w:right w:val="nil"/>
            </w:tcBorders>
            <w:shd w:val="clear" w:color="auto" w:fill="D9D9D9" w:themeFill="background1" w:themeFillShade="D9"/>
            <w:vAlign w:val="center"/>
          </w:tcPr>
          <w:p w14:paraId="37497A20" w14:textId="38E068E5"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24.0</w:t>
            </w:r>
          </w:p>
        </w:tc>
        <w:tc>
          <w:tcPr>
            <w:tcW w:w="573" w:type="dxa"/>
            <w:tcBorders>
              <w:top w:val="nil"/>
              <w:left w:val="nil"/>
              <w:bottom w:val="nil"/>
              <w:right w:val="nil"/>
            </w:tcBorders>
            <w:shd w:val="clear" w:color="auto" w:fill="D9D9D9" w:themeFill="background1" w:themeFillShade="D9"/>
            <w:vAlign w:val="center"/>
          </w:tcPr>
          <w:p w14:paraId="37598B4E" w14:textId="66D75F3C"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44.4</w:t>
            </w:r>
          </w:p>
        </w:tc>
        <w:tc>
          <w:tcPr>
            <w:tcW w:w="578" w:type="dxa"/>
            <w:tcBorders>
              <w:top w:val="nil"/>
              <w:left w:val="nil"/>
              <w:bottom w:val="nil"/>
              <w:right w:val="nil"/>
            </w:tcBorders>
            <w:shd w:val="clear" w:color="auto" w:fill="D9D9D9" w:themeFill="background1" w:themeFillShade="D9"/>
            <w:vAlign w:val="center"/>
          </w:tcPr>
          <w:p w14:paraId="5DAA75F0" w14:textId="530C9BEF"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65.0</w:t>
            </w:r>
          </w:p>
        </w:tc>
        <w:tc>
          <w:tcPr>
            <w:tcW w:w="567" w:type="dxa"/>
            <w:tcBorders>
              <w:top w:val="nil"/>
              <w:left w:val="nil"/>
              <w:bottom w:val="nil"/>
              <w:right w:val="nil"/>
            </w:tcBorders>
            <w:shd w:val="clear" w:color="auto" w:fill="D9D9D9" w:themeFill="background1" w:themeFillShade="D9"/>
            <w:vAlign w:val="center"/>
          </w:tcPr>
          <w:p w14:paraId="7E88BBAD" w14:textId="60C319A1"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37.3</w:t>
            </w:r>
          </w:p>
        </w:tc>
        <w:tc>
          <w:tcPr>
            <w:tcW w:w="575" w:type="dxa"/>
            <w:tcBorders>
              <w:top w:val="nil"/>
              <w:left w:val="nil"/>
              <w:bottom w:val="nil"/>
              <w:right w:val="nil"/>
            </w:tcBorders>
            <w:shd w:val="clear" w:color="auto" w:fill="auto"/>
            <w:vAlign w:val="center"/>
          </w:tcPr>
          <w:p w14:paraId="4391312D" w14:textId="22A8E8C1"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55.0</w:t>
            </w:r>
          </w:p>
        </w:tc>
        <w:tc>
          <w:tcPr>
            <w:tcW w:w="571" w:type="dxa"/>
            <w:tcBorders>
              <w:top w:val="nil"/>
              <w:left w:val="nil"/>
              <w:bottom w:val="nil"/>
              <w:right w:val="nil"/>
            </w:tcBorders>
            <w:shd w:val="clear" w:color="auto" w:fill="auto"/>
            <w:vAlign w:val="center"/>
          </w:tcPr>
          <w:p w14:paraId="470AFAD1" w14:textId="294C575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40.1</w:t>
            </w:r>
          </w:p>
        </w:tc>
        <w:tc>
          <w:tcPr>
            <w:tcW w:w="564" w:type="dxa"/>
            <w:tcBorders>
              <w:top w:val="nil"/>
              <w:left w:val="nil"/>
              <w:bottom w:val="nil"/>
              <w:right w:val="nil"/>
            </w:tcBorders>
            <w:shd w:val="clear" w:color="auto" w:fill="auto"/>
            <w:vAlign w:val="center"/>
          </w:tcPr>
          <w:p w14:paraId="08ABA9BC" w14:textId="5FACC348"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52.0</w:t>
            </w:r>
          </w:p>
        </w:tc>
        <w:tc>
          <w:tcPr>
            <w:tcW w:w="576" w:type="dxa"/>
            <w:tcBorders>
              <w:top w:val="nil"/>
              <w:left w:val="nil"/>
              <w:bottom w:val="nil"/>
              <w:right w:val="nil"/>
            </w:tcBorders>
            <w:shd w:val="clear" w:color="auto" w:fill="D9D9D9" w:themeFill="background1" w:themeFillShade="D9"/>
            <w:vAlign w:val="center"/>
          </w:tcPr>
          <w:p w14:paraId="1F63F998" w14:textId="1DE4CB4F"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4A45BB">
              <w:rPr>
                <w:rFonts w:ascii="Calibri" w:hAnsi="Calibri" w:cs="Calibri"/>
                <w:color w:val="000000"/>
                <w:sz w:val="16"/>
                <w:szCs w:val="16"/>
                <w:shd w:val="clear" w:color="auto" w:fill="D9D9D9" w:themeFill="background1" w:themeFillShade="D9"/>
              </w:rPr>
              <w:t>68</w:t>
            </w:r>
            <w:r w:rsidRPr="00371213">
              <w:rPr>
                <w:rFonts w:ascii="Calibri" w:hAnsi="Calibri" w:cs="Calibri"/>
                <w:color w:val="000000"/>
                <w:sz w:val="16"/>
                <w:szCs w:val="16"/>
              </w:rPr>
              <w:t>.1</w:t>
            </w:r>
          </w:p>
        </w:tc>
        <w:tc>
          <w:tcPr>
            <w:tcW w:w="573" w:type="dxa"/>
            <w:tcBorders>
              <w:top w:val="nil"/>
              <w:left w:val="nil"/>
              <w:bottom w:val="nil"/>
              <w:right w:val="nil"/>
            </w:tcBorders>
            <w:shd w:val="clear" w:color="auto" w:fill="auto"/>
            <w:vAlign w:val="center"/>
          </w:tcPr>
          <w:p w14:paraId="0F55E0F5" w14:textId="7204491A"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41.3</w:t>
            </w:r>
          </w:p>
        </w:tc>
        <w:tc>
          <w:tcPr>
            <w:tcW w:w="572" w:type="dxa"/>
            <w:tcBorders>
              <w:top w:val="nil"/>
              <w:left w:val="nil"/>
              <w:bottom w:val="nil"/>
              <w:right w:val="nil"/>
            </w:tcBorders>
            <w:shd w:val="clear" w:color="auto" w:fill="auto"/>
            <w:vAlign w:val="center"/>
          </w:tcPr>
          <w:p w14:paraId="243A640A" w14:textId="1719449C"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62.4</w:t>
            </w:r>
          </w:p>
        </w:tc>
        <w:tc>
          <w:tcPr>
            <w:tcW w:w="577" w:type="dxa"/>
            <w:tcBorders>
              <w:top w:val="nil"/>
              <w:left w:val="nil"/>
              <w:bottom w:val="nil"/>
              <w:right w:val="single" w:sz="4" w:space="0" w:color="auto"/>
            </w:tcBorders>
            <w:shd w:val="clear" w:color="auto" w:fill="auto"/>
            <w:vAlign w:val="center"/>
          </w:tcPr>
          <w:p w14:paraId="7EB98DEB" w14:textId="57BA50C7"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66.0</w:t>
            </w:r>
          </w:p>
        </w:tc>
        <w:tc>
          <w:tcPr>
            <w:tcW w:w="601" w:type="dxa"/>
            <w:tcBorders>
              <w:top w:val="nil"/>
              <w:left w:val="single" w:sz="4" w:space="0" w:color="auto"/>
              <w:bottom w:val="nil"/>
              <w:right w:val="single" w:sz="4" w:space="0" w:color="auto"/>
            </w:tcBorders>
            <w:shd w:val="clear" w:color="auto" w:fill="auto"/>
            <w:vAlign w:val="center"/>
          </w:tcPr>
          <w:p w14:paraId="66E1B5B9" w14:textId="6FB4FC07"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58.0</w:t>
            </w:r>
          </w:p>
        </w:tc>
      </w:tr>
      <w:tr w:rsidR="00371213" w14:paraId="0D994810" w14:textId="77777777" w:rsidTr="00667885">
        <w:trPr>
          <w:trHeight w:val="365"/>
        </w:trPr>
        <w:tc>
          <w:tcPr>
            <w:tcW w:w="876" w:type="dxa"/>
            <w:vMerge/>
            <w:tcBorders>
              <w:left w:val="single" w:sz="4" w:space="0" w:color="auto"/>
              <w:bottom w:val="single" w:sz="12" w:space="0" w:color="auto"/>
              <w:right w:val="nil"/>
            </w:tcBorders>
          </w:tcPr>
          <w:p w14:paraId="569FA187" w14:textId="5AF26604" w:rsidR="00371213" w:rsidRDefault="00371213" w:rsidP="00371213">
            <w:pPr>
              <w:rPr>
                <w:rFonts w:ascii="Calibri" w:eastAsiaTheme="minorEastAsia" w:hAnsi="Calibri" w:cs="Calibri"/>
                <w:color w:val="000000" w:themeColor="text1"/>
                <w:sz w:val="16"/>
                <w:szCs w:val="16"/>
                <w:lang w:eastAsia="en-US"/>
              </w:rPr>
            </w:pPr>
          </w:p>
        </w:tc>
        <w:tc>
          <w:tcPr>
            <w:tcW w:w="1280" w:type="dxa"/>
            <w:tcBorders>
              <w:top w:val="nil"/>
              <w:left w:val="nil"/>
              <w:bottom w:val="single" w:sz="12" w:space="0" w:color="auto"/>
              <w:right w:val="single" w:sz="4" w:space="0" w:color="auto"/>
            </w:tcBorders>
            <w:vAlign w:val="center"/>
          </w:tcPr>
          <w:p w14:paraId="40000C95" w14:textId="001A3C7D" w:rsidR="00371213" w:rsidRDefault="00371213" w:rsidP="00371213">
            <w:pPr>
              <w:rPr>
                <w:rFonts w:ascii="Calibri" w:eastAsiaTheme="minorEastAsia" w:hAnsi="Calibri" w:cs="Calibri"/>
                <w:color w:val="000000" w:themeColor="text1"/>
                <w:sz w:val="16"/>
                <w:szCs w:val="16"/>
                <w:lang w:eastAsia="en-US"/>
              </w:rPr>
            </w:pPr>
            <w:r w:rsidRPr="0D7DE66C">
              <w:rPr>
                <w:rFonts w:ascii="Calibri" w:eastAsiaTheme="minorEastAsia" w:hAnsi="Calibri" w:cs="Calibri"/>
                <w:color w:val="000000" w:themeColor="text1"/>
                <w:sz w:val="16"/>
                <w:szCs w:val="16"/>
                <w:lang w:eastAsia="en-US"/>
              </w:rPr>
              <w:t>All Cases</w:t>
            </w:r>
          </w:p>
        </w:tc>
        <w:tc>
          <w:tcPr>
            <w:tcW w:w="575" w:type="dxa"/>
            <w:tcBorders>
              <w:top w:val="nil"/>
              <w:left w:val="nil"/>
              <w:bottom w:val="single" w:sz="12" w:space="0" w:color="auto"/>
              <w:right w:val="nil"/>
            </w:tcBorders>
            <w:shd w:val="clear" w:color="auto" w:fill="auto"/>
            <w:vAlign w:val="center"/>
          </w:tcPr>
          <w:p w14:paraId="5D2A7280" w14:textId="58B9712B"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22.1</w:t>
            </w:r>
          </w:p>
        </w:tc>
        <w:tc>
          <w:tcPr>
            <w:tcW w:w="570" w:type="dxa"/>
            <w:tcBorders>
              <w:top w:val="nil"/>
              <w:left w:val="nil"/>
              <w:bottom w:val="single" w:sz="12" w:space="0" w:color="auto"/>
              <w:right w:val="nil"/>
            </w:tcBorders>
            <w:shd w:val="clear" w:color="auto" w:fill="auto"/>
            <w:vAlign w:val="center"/>
          </w:tcPr>
          <w:p w14:paraId="730C4119" w14:textId="326B7475"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23.3</w:t>
            </w:r>
          </w:p>
        </w:tc>
        <w:tc>
          <w:tcPr>
            <w:tcW w:w="573" w:type="dxa"/>
            <w:tcBorders>
              <w:top w:val="nil"/>
              <w:left w:val="nil"/>
              <w:bottom w:val="single" w:sz="12" w:space="0" w:color="auto"/>
              <w:right w:val="nil"/>
            </w:tcBorders>
            <w:shd w:val="clear" w:color="auto" w:fill="auto"/>
            <w:vAlign w:val="center"/>
          </w:tcPr>
          <w:p w14:paraId="163E3F21" w14:textId="6ECB8E79"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23.3</w:t>
            </w:r>
          </w:p>
        </w:tc>
        <w:tc>
          <w:tcPr>
            <w:tcW w:w="578" w:type="dxa"/>
            <w:tcBorders>
              <w:top w:val="nil"/>
              <w:left w:val="nil"/>
              <w:bottom w:val="single" w:sz="12" w:space="0" w:color="auto"/>
              <w:right w:val="nil"/>
            </w:tcBorders>
            <w:shd w:val="clear" w:color="auto" w:fill="auto"/>
            <w:vAlign w:val="center"/>
          </w:tcPr>
          <w:p w14:paraId="243E4D3D" w14:textId="4C366D4B"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24.0</w:t>
            </w:r>
          </w:p>
        </w:tc>
        <w:tc>
          <w:tcPr>
            <w:tcW w:w="567" w:type="dxa"/>
            <w:tcBorders>
              <w:top w:val="nil"/>
              <w:left w:val="nil"/>
              <w:bottom w:val="single" w:sz="12" w:space="0" w:color="auto"/>
              <w:right w:val="nil"/>
            </w:tcBorders>
            <w:shd w:val="clear" w:color="auto" w:fill="auto"/>
            <w:vAlign w:val="center"/>
          </w:tcPr>
          <w:p w14:paraId="3B5CD00A" w14:textId="5F692269"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25.6</w:t>
            </w:r>
          </w:p>
        </w:tc>
        <w:tc>
          <w:tcPr>
            <w:tcW w:w="575" w:type="dxa"/>
            <w:tcBorders>
              <w:top w:val="nil"/>
              <w:left w:val="nil"/>
              <w:bottom w:val="single" w:sz="12" w:space="0" w:color="auto"/>
              <w:right w:val="nil"/>
            </w:tcBorders>
            <w:shd w:val="clear" w:color="auto" w:fill="auto"/>
            <w:vAlign w:val="center"/>
          </w:tcPr>
          <w:p w14:paraId="5A1ECD3C" w14:textId="1C0A1DAC"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26.9</w:t>
            </w:r>
          </w:p>
        </w:tc>
        <w:tc>
          <w:tcPr>
            <w:tcW w:w="571" w:type="dxa"/>
            <w:tcBorders>
              <w:top w:val="nil"/>
              <w:left w:val="nil"/>
              <w:bottom w:val="single" w:sz="12" w:space="0" w:color="auto"/>
              <w:right w:val="nil"/>
            </w:tcBorders>
            <w:shd w:val="clear" w:color="auto" w:fill="auto"/>
            <w:vAlign w:val="center"/>
          </w:tcPr>
          <w:p w14:paraId="5A7F37C0" w14:textId="5032DE3B"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23.9</w:t>
            </w:r>
          </w:p>
        </w:tc>
        <w:tc>
          <w:tcPr>
            <w:tcW w:w="564" w:type="dxa"/>
            <w:tcBorders>
              <w:top w:val="nil"/>
              <w:left w:val="nil"/>
              <w:bottom w:val="single" w:sz="12" w:space="0" w:color="auto"/>
              <w:right w:val="nil"/>
            </w:tcBorders>
            <w:shd w:val="clear" w:color="auto" w:fill="auto"/>
            <w:vAlign w:val="center"/>
          </w:tcPr>
          <w:p w14:paraId="3030AFAF" w14:textId="54902D85"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22.0</w:t>
            </w:r>
          </w:p>
        </w:tc>
        <w:tc>
          <w:tcPr>
            <w:tcW w:w="576" w:type="dxa"/>
            <w:tcBorders>
              <w:top w:val="nil"/>
              <w:left w:val="nil"/>
              <w:bottom w:val="single" w:sz="12" w:space="0" w:color="auto"/>
              <w:right w:val="nil"/>
            </w:tcBorders>
            <w:shd w:val="clear" w:color="auto" w:fill="auto"/>
            <w:vAlign w:val="center"/>
          </w:tcPr>
          <w:p w14:paraId="70CE3AE6" w14:textId="3E84DCC7"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20.9</w:t>
            </w:r>
          </w:p>
        </w:tc>
        <w:tc>
          <w:tcPr>
            <w:tcW w:w="573" w:type="dxa"/>
            <w:tcBorders>
              <w:top w:val="nil"/>
              <w:left w:val="nil"/>
              <w:bottom w:val="single" w:sz="12" w:space="0" w:color="auto"/>
              <w:right w:val="nil"/>
            </w:tcBorders>
            <w:shd w:val="clear" w:color="auto" w:fill="auto"/>
            <w:vAlign w:val="center"/>
          </w:tcPr>
          <w:p w14:paraId="40BBA23C" w14:textId="21D3EB23"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18.9</w:t>
            </w:r>
          </w:p>
        </w:tc>
        <w:tc>
          <w:tcPr>
            <w:tcW w:w="572" w:type="dxa"/>
            <w:tcBorders>
              <w:top w:val="nil"/>
              <w:left w:val="nil"/>
              <w:bottom w:val="single" w:sz="12" w:space="0" w:color="auto"/>
              <w:right w:val="nil"/>
            </w:tcBorders>
            <w:shd w:val="clear" w:color="auto" w:fill="auto"/>
            <w:vAlign w:val="center"/>
          </w:tcPr>
          <w:p w14:paraId="1987B501" w14:textId="73423827"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21.9</w:t>
            </w:r>
          </w:p>
        </w:tc>
        <w:tc>
          <w:tcPr>
            <w:tcW w:w="577" w:type="dxa"/>
            <w:tcBorders>
              <w:top w:val="nil"/>
              <w:left w:val="nil"/>
              <w:bottom w:val="single" w:sz="12" w:space="0" w:color="auto"/>
              <w:right w:val="single" w:sz="4" w:space="0" w:color="auto"/>
            </w:tcBorders>
            <w:shd w:val="clear" w:color="auto" w:fill="auto"/>
            <w:vAlign w:val="center"/>
          </w:tcPr>
          <w:p w14:paraId="564AC241" w14:textId="63D006EB"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22.1</w:t>
            </w:r>
          </w:p>
        </w:tc>
        <w:tc>
          <w:tcPr>
            <w:tcW w:w="601" w:type="dxa"/>
            <w:tcBorders>
              <w:top w:val="nil"/>
              <w:left w:val="single" w:sz="4" w:space="0" w:color="auto"/>
              <w:bottom w:val="single" w:sz="12" w:space="0" w:color="auto"/>
              <w:right w:val="single" w:sz="4" w:space="0" w:color="auto"/>
            </w:tcBorders>
            <w:shd w:val="clear" w:color="auto" w:fill="auto"/>
            <w:vAlign w:val="center"/>
          </w:tcPr>
          <w:p w14:paraId="371B84E7" w14:textId="0F93B596"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23.0</w:t>
            </w:r>
          </w:p>
        </w:tc>
      </w:tr>
      <w:tr w:rsidR="00371213" w14:paraId="3243C717" w14:textId="77777777" w:rsidTr="00667885">
        <w:trPr>
          <w:trHeight w:val="365"/>
        </w:trPr>
        <w:tc>
          <w:tcPr>
            <w:tcW w:w="876" w:type="dxa"/>
            <w:vMerge w:val="restart"/>
            <w:tcBorders>
              <w:top w:val="single" w:sz="12" w:space="0" w:color="auto"/>
              <w:left w:val="single" w:sz="4" w:space="0" w:color="auto"/>
              <w:right w:val="nil"/>
            </w:tcBorders>
          </w:tcPr>
          <w:p w14:paraId="0224FE8C" w14:textId="595CE977" w:rsidR="00371213" w:rsidRDefault="00371213" w:rsidP="00371213">
            <w:pPr>
              <w:rPr>
                <w:rFonts w:ascii="Calibri" w:eastAsiaTheme="minorEastAsia" w:hAnsi="Calibri" w:cs="Calibri"/>
                <w:color w:val="000000" w:themeColor="text1"/>
                <w:sz w:val="16"/>
                <w:szCs w:val="16"/>
                <w:lang w:eastAsia="en-US"/>
              </w:rPr>
            </w:pPr>
            <w:r w:rsidRPr="0C82041D">
              <w:rPr>
                <w:rFonts w:ascii="Calibri" w:eastAsiaTheme="minorEastAsia" w:hAnsi="Calibri" w:cs="Calibri"/>
                <w:color w:val="000000" w:themeColor="text1"/>
                <w:sz w:val="16"/>
                <w:szCs w:val="16"/>
                <w:lang w:eastAsia="en-US"/>
              </w:rPr>
              <w:t>Standard Deviation (weeks</w:t>
            </w:r>
            <w:r w:rsidRPr="1BF01A79">
              <w:rPr>
                <w:rFonts w:ascii="Calibri" w:eastAsiaTheme="minorEastAsia" w:hAnsi="Calibri" w:cs="Calibri"/>
                <w:color w:val="000000" w:themeColor="text1"/>
                <w:sz w:val="16"/>
                <w:szCs w:val="16"/>
                <w:lang w:eastAsia="en-US"/>
              </w:rPr>
              <w:t>)</w:t>
            </w:r>
          </w:p>
        </w:tc>
        <w:tc>
          <w:tcPr>
            <w:tcW w:w="1280" w:type="dxa"/>
            <w:tcBorders>
              <w:top w:val="single" w:sz="12" w:space="0" w:color="auto"/>
              <w:left w:val="nil"/>
              <w:bottom w:val="nil"/>
              <w:right w:val="single" w:sz="4" w:space="0" w:color="auto"/>
            </w:tcBorders>
            <w:vAlign w:val="center"/>
          </w:tcPr>
          <w:p w14:paraId="22BCA423" w14:textId="2C9F64D3" w:rsidR="00371213" w:rsidRDefault="00371213" w:rsidP="00371213">
            <w:pPr>
              <w:rPr>
                <w:rFonts w:ascii="Calibri" w:eastAsiaTheme="minorEastAsia" w:hAnsi="Calibri" w:cs="Calibri"/>
                <w:color w:val="000000" w:themeColor="text1"/>
                <w:sz w:val="16"/>
                <w:szCs w:val="16"/>
                <w:lang w:eastAsia="en-US"/>
              </w:rPr>
            </w:pPr>
            <w:r w:rsidRPr="799065A3">
              <w:rPr>
                <w:rFonts w:ascii="Calibri" w:eastAsiaTheme="minorEastAsia" w:hAnsi="Calibri" w:cs="Calibri"/>
                <w:color w:val="000000" w:themeColor="text1"/>
                <w:sz w:val="16"/>
                <w:szCs w:val="16"/>
                <w:lang w:eastAsia="en-US"/>
              </w:rPr>
              <w:t>Written Representations</w:t>
            </w:r>
          </w:p>
        </w:tc>
        <w:tc>
          <w:tcPr>
            <w:tcW w:w="575" w:type="dxa"/>
            <w:tcBorders>
              <w:top w:val="single" w:sz="12" w:space="0" w:color="auto"/>
              <w:left w:val="nil"/>
              <w:bottom w:val="nil"/>
              <w:right w:val="nil"/>
            </w:tcBorders>
            <w:shd w:val="clear" w:color="auto" w:fill="auto"/>
            <w:vAlign w:val="center"/>
          </w:tcPr>
          <w:p w14:paraId="210DE37D" w14:textId="1263970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12.3</w:t>
            </w:r>
          </w:p>
        </w:tc>
        <w:tc>
          <w:tcPr>
            <w:tcW w:w="570" w:type="dxa"/>
            <w:tcBorders>
              <w:top w:val="single" w:sz="12" w:space="0" w:color="auto"/>
              <w:left w:val="nil"/>
              <w:bottom w:val="nil"/>
              <w:right w:val="nil"/>
            </w:tcBorders>
            <w:shd w:val="clear" w:color="auto" w:fill="auto"/>
            <w:vAlign w:val="center"/>
          </w:tcPr>
          <w:p w14:paraId="7AF4B61B" w14:textId="7CF8A5DE"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13.7</w:t>
            </w:r>
          </w:p>
        </w:tc>
        <w:tc>
          <w:tcPr>
            <w:tcW w:w="573" w:type="dxa"/>
            <w:tcBorders>
              <w:top w:val="single" w:sz="12" w:space="0" w:color="auto"/>
              <w:left w:val="nil"/>
              <w:bottom w:val="nil"/>
              <w:right w:val="nil"/>
            </w:tcBorders>
            <w:shd w:val="clear" w:color="auto" w:fill="auto"/>
            <w:vAlign w:val="center"/>
          </w:tcPr>
          <w:p w14:paraId="170C301C" w14:textId="269FEC9D"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13.4</w:t>
            </w:r>
          </w:p>
        </w:tc>
        <w:tc>
          <w:tcPr>
            <w:tcW w:w="578" w:type="dxa"/>
            <w:tcBorders>
              <w:top w:val="single" w:sz="12" w:space="0" w:color="auto"/>
              <w:left w:val="nil"/>
              <w:bottom w:val="nil"/>
              <w:right w:val="nil"/>
            </w:tcBorders>
            <w:shd w:val="clear" w:color="auto" w:fill="auto"/>
            <w:vAlign w:val="center"/>
          </w:tcPr>
          <w:p w14:paraId="43E1601B" w14:textId="5526FDEB"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11.7</w:t>
            </w:r>
          </w:p>
        </w:tc>
        <w:tc>
          <w:tcPr>
            <w:tcW w:w="567" w:type="dxa"/>
            <w:tcBorders>
              <w:top w:val="single" w:sz="12" w:space="0" w:color="auto"/>
              <w:left w:val="nil"/>
              <w:bottom w:val="nil"/>
              <w:right w:val="nil"/>
            </w:tcBorders>
            <w:shd w:val="clear" w:color="auto" w:fill="auto"/>
            <w:vAlign w:val="center"/>
          </w:tcPr>
          <w:p w14:paraId="3AA2500B" w14:textId="076DC4A9"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14.2</w:t>
            </w:r>
          </w:p>
        </w:tc>
        <w:tc>
          <w:tcPr>
            <w:tcW w:w="575" w:type="dxa"/>
            <w:tcBorders>
              <w:top w:val="single" w:sz="12" w:space="0" w:color="auto"/>
              <w:left w:val="nil"/>
              <w:bottom w:val="nil"/>
              <w:right w:val="nil"/>
            </w:tcBorders>
            <w:shd w:val="clear" w:color="auto" w:fill="auto"/>
            <w:vAlign w:val="center"/>
          </w:tcPr>
          <w:p w14:paraId="252701D4" w14:textId="38DC2224"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12.3</w:t>
            </w:r>
          </w:p>
        </w:tc>
        <w:tc>
          <w:tcPr>
            <w:tcW w:w="571" w:type="dxa"/>
            <w:tcBorders>
              <w:top w:val="single" w:sz="12" w:space="0" w:color="auto"/>
              <w:left w:val="nil"/>
              <w:bottom w:val="nil"/>
              <w:right w:val="nil"/>
            </w:tcBorders>
            <w:shd w:val="clear" w:color="auto" w:fill="auto"/>
            <w:vAlign w:val="center"/>
          </w:tcPr>
          <w:p w14:paraId="4A02B182" w14:textId="2B79FDA0"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14.0</w:t>
            </w:r>
          </w:p>
        </w:tc>
        <w:tc>
          <w:tcPr>
            <w:tcW w:w="564" w:type="dxa"/>
            <w:tcBorders>
              <w:top w:val="single" w:sz="12" w:space="0" w:color="auto"/>
              <w:left w:val="nil"/>
              <w:bottom w:val="nil"/>
              <w:right w:val="nil"/>
            </w:tcBorders>
            <w:shd w:val="clear" w:color="auto" w:fill="auto"/>
            <w:vAlign w:val="center"/>
          </w:tcPr>
          <w:p w14:paraId="76366B19" w14:textId="62E8733F"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15.2</w:t>
            </w:r>
          </w:p>
        </w:tc>
        <w:tc>
          <w:tcPr>
            <w:tcW w:w="576" w:type="dxa"/>
            <w:tcBorders>
              <w:top w:val="single" w:sz="12" w:space="0" w:color="auto"/>
              <w:left w:val="nil"/>
              <w:bottom w:val="nil"/>
              <w:right w:val="nil"/>
            </w:tcBorders>
            <w:shd w:val="clear" w:color="auto" w:fill="auto"/>
            <w:vAlign w:val="center"/>
          </w:tcPr>
          <w:p w14:paraId="4D9EBD1E" w14:textId="5852BF7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14.8</w:t>
            </w:r>
          </w:p>
        </w:tc>
        <w:tc>
          <w:tcPr>
            <w:tcW w:w="573" w:type="dxa"/>
            <w:tcBorders>
              <w:top w:val="single" w:sz="12" w:space="0" w:color="auto"/>
              <w:left w:val="nil"/>
              <w:bottom w:val="nil"/>
              <w:right w:val="nil"/>
            </w:tcBorders>
            <w:shd w:val="clear" w:color="auto" w:fill="auto"/>
            <w:vAlign w:val="center"/>
          </w:tcPr>
          <w:p w14:paraId="7FF0EC22" w14:textId="57CA3504"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12.6</w:t>
            </w:r>
          </w:p>
        </w:tc>
        <w:tc>
          <w:tcPr>
            <w:tcW w:w="572" w:type="dxa"/>
            <w:tcBorders>
              <w:top w:val="single" w:sz="12" w:space="0" w:color="auto"/>
              <w:left w:val="nil"/>
              <w:bottom w:val="nil"/>
              <w:right w:val="nil"/>
            </w:tcBorders>
            <w:shd w:val="clear" w:color="auto" w:fill="auto"/>
            <w:vAlign w:val="center"/>
          </w:tcPr>
          <w:p w14:paraId="6E1CD3B8" w14:textId="3280D56F"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13.6</w:t>
            </w:r>
          </w:p>
        </w:tc>
        <w:tc>
          <w:tcPr>
            <w:tcW w:w="577" w:type="dxa"/>
            <w:tcBorders>
              <w:top w:val="single" w:sz="12" w:space="0" w:color="auto"/>
              <w:left w:val="nil"/>
              <w:bottom w:val="nil"/>
              <w:right w:val="single" w:sz="4" w:space="0" w:color="auto"/>
            </w:tcBorders>
            <w:shd w:val="clear" w:color="auto" w:fill="auto"/>
            <w:vAlign w:val="center"/>
          </w:tcPr>
          <w:p w14:paraId="49B9D997" w14:textId="01B3C74D"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14.1</w:t>
            </w:r>
          </w:p>
        </w:tc>
        <w:tc>
          <w:tcPr>
            <w:tcW w:w="601" w:type="dxa"/>
            <w:tcBorders>
              <w:top w:val="single" w:sz="12" w:space="0" w:color="auto"/>
              <w:left w:val="single" w:sz="4" w:space="0" w:color="auto"/>
              <w:bottom w:val="nil"/>
              <w:right w:val="single" w:sz="4" w:space="0" w:color="auto"/>
            </w:tcBorders>
            <w:shd w:val="clear" w:color="auto" w:fill="auto"/>
            <w:vAlign w:val="center"/>
          </w:tcPr>
          <w:p w14:paraId="46766D49" w14:textId="1357891D"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13.7</w:t>
            </w:r>
          </w:p>
        </w:tc>
      </w:tr>
      <w:tr w:rsidR="00371213" w14:paraId="584AC9F2" w14:textId="77777777" w:rsidTr="004A45BB">
        <w:trPr>
          <w:trHeight w:val="365"/>
        </w:trPr>
        <w:tc>
          <w:tcPr>
            <w:tcW w:w="876" w:type="dxa"/>
            <w:vMerge/>
            <w:tcBorders>
              <w:left w:val="single" w:sz="4" w:space="0" w:color="auto"/>
              <w:right w:val="nil"/>
            </w:tcBorders>
          </w:tcPr>
          <w:p w14:paraId="52300A13" w14:textId="0D09C30F" w:rsidR="00371213" w:rsidRDefault="00371213" w:rsidP="00371213">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710FD702" w14:textId="45C3B944" w:rsidR="00371213" w:rsidRDefault="00371213" w:rsidP="00371213">
            <w:pPr>
              <w:rPr>
                <w:rFonts w:ascii="Calibri" w:eastAsiaTheme="minorEastAsia" w:hAnsi="Calibri" w:cs="Calibri"/>
                <w:color w:val="000000" w:themeColor="text1"/>
                <w:sz w:val="16"/>
                <w:szCs w:val="16"/>
                <w:lang w:eastAsia="en-US"/>
              </w:rPr>
            </w:pPr>
            <w:r w:rsidRPr="19F759BC">
              <w:rPr>
                <w:rFonts w:ascii="Calibri" w:eastAsiaTheme="minorEastAsia" w:hAnsi="Calibri" w:cs="Calibri"/>
                <w:color w:val="000000" w:themeColor="text1"/>
                <w:sz w:val="16"/>
                <w:szCs w:val="16"/>
                <w:lang w:eastAsia="en-US"/>
              </w:rPr>
              <w:t>Hearing</w:t>
            </w:r>
            <w:r>
              <w:rPr>
                <w:rFonts w:ascii="Calibri" w:eastAsiaTheme="minorEastAsia" w:hAnsi="Calibri" w:cs="Calibri"/>
                <w:color w:val="000000" w:themeColor="text1"/>
                <w:sz w:val="16"/>
                <w:szCs w:val="16"/>
                <w:lang w:eastAsia="en-US"/>
              </w:rPr>
              <w:t>s</w:t>
            </w:r>
          </w:p>
        </w:tc>
        <w:tc>
          <w:tcPr>
            <w:tcW w:w="575" w:type="dxa"/>
            <w:tcBorders>
              <w:top w:val="nil"/>
              <w:left w:val="nil"/>
              <w:bottom w:val="nil"/>
              <w:right w:val="nil"/>
            </w:tcBorders>
            <w:shd w:val="clear" w:color="auto" w:fill="D9D9D9" w:themeFill="background1" w:themeFillShade="D9"/>
            <w:vAlign w:val="center"/>
          </w:tcPr>
          <w:p w14:paraId="5A4852C0" w14:textId="7E6A975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30.7</w:t>
            </w:r>
          </w:p>
        </w:tc>
        <w:tc>
          <w:tcPr>
            <w:tcW w:w="570" w:type="dxa"/>
            <w:tcBorders>
              <w:top w:val="nil"/>
              <w:left w:val="nil"/>
              <w:bottom w:val="nil"/>
              <w:right w:val="nil"/>
            </w:tcBorders>
            <w:shd w:val="clear" w:color="auto" w:fill="D9D9D9" w:themeFill="background1" w:themeFillShade="D9"/>
            <w:vAlign w:val="center"/>
          </w:tcPr>
          <w:p w14:paraId="2A80772C" w14:textId="4E223017"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31.8</w:t>
            </w:r>
          </w:p>
        </w:tc>
        <w:tc>
          <w:tcPr>
            <w:tcW w:w="573" w:type="dxa"/>
            <w:tcBorders>
              <w:top w:val="nil"/>
              <w:left w:val="nil"/>
              <w:bottom w:val="nil"/>
              <w:right w:val="nil"/>
            </w:tcBorders>
            <w:shd w:val="clear" w:color="auto" w:fill="D9D9D9" w:themeFill="background1" w:themeFillShade="D9"/>
            <w:vAlign w:val="center"/>
          </w:tcPr>
          <w:p w14:paraId="7C11261D" w14:textId="1DB8BC1C"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11.4</w:t>
            </w:r>
            <w:r w:rsidR="004370EA">
              <w:rPr>
                <w:rFonts w:ascii="Calibri" w:hAnsi="Calibri" w:cs="Calibri"/>
                <w:color w:val="000000"/>
                <w:sz w:val="16"/>
                <w:szCs w:val="16"/>
              </w:rPr>
              <w:t>r</w:t>
            </w:r>
          </w:p>
        </w:tc>
        <w:tc>
          <w:tcPr>
            <w:tcW w:w="578" w:type="dxa"/>
            <w:tcBorders>
              <w:top w:val="nil"/>
              <w:left w:val="nil"/>
              <w:bottom w:val="nil"/>
              <w:right w:val="nil"/>
            </w:tcBorders>
            <w:shd w:val="clear" w:color="auto" w:fill="auto"/>
            <w:vAlign w:val="center"/>
          </w:tcPr>
          <w:p w14:paraId="3DE1CAD8" w14:textId="69CFE2B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20.4</w:t>
            </w:r>
          </w:p>
        </w:tc>
        <w:tc>
          <w:tcPr>
            <w:tcW w:w="567" w:type="dxa"/>
            <w:tcBorders>
              <w:top w:val="nil"/>
              <w:left w:val="nil"/>
              <w:bottom w:val="nil"/>
              <w:right w:val="nil"/>
            </w:tcBorders>
            <w:shd w:val="clear" w:color="auto" w:fill="auto"/>
            <w:vAlign w:val="center"/>
          </w:tcPr>
          <w:p w14:paraId="51FFB21C" w14:textId="04245303"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25.5</w:t>
            </w:r>
          </w:p>
        </w:tc>
        <w:tc>
          <w:tcPr>
            <w:tcW w:w="575" w:type="dxa"/>
            <w:tcBorders>
              <w:top w:val="nil"/>
              <w:left w:val="nil"/>
              <w:bottom w:val="nil"/>
              <w:right w:val="nil"/>
            </w:tcBorders>
            <w:shd w:val="clear" w:color="auto" w:fill="auto"/>
            <w:vAlign w:val="center"/>
          </w:tcPr>
          <w:p w14:paraId="4EAD4EE9" w14:textId="600374BC"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14.7</w:t>
            </w:r>
          </w:p>
        </w:tc>
        <w:tc>
          <w:tcPr>
            <w:tcW w:w="571" w:type="dxa"/>
            <w:tcBorders>
              <w:top w:val="nil"/>
              <w:left w:val="nil"/>
              <w:bottom w:val="nil"/>
              <w:right w:val="nil"/>
            </w:tcBorders>
            <w:shd w:val="clear" w:color="auto" w:fill="auto"/>
            <w:vAlign w:val="center"/>
          </w:tcPr>
          <w:p w14:paraId="050A60F2" w14:textId="0FA6CAC5"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20.0</w:t>
            </w:r>
          </w:p>
        </w:tc>
        <w:tc>
          <w:tcPr>
            <w:tcW w:w="564" w:type="dxa"/>
            <w:tcBorders>
              <w:top w:val="nil"/>
              <w:left w:val="nil"/>
              <w:bottom w:val="nil"/>
              <w:right w:val="nil"/>
            </w:tcBorders>
            <w:shd w:val="clear" w:color="auto" w:fill="auto"/>
            <w:vAlign w:val="center"/>
          </w:tcPr>
          <w:p w14:paraId="23C6599C" w14:textId="62F72F63"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29.1</w:t>
            </w:r>
          </w:p>
        </w:tc>
        <w:tc>
          <w:tcPr>
            <w:tcW w:w="576" w:type="dxa"/>
            <w:tcBorders>
              <w:top w:val="nil"/>
              <w:left w:val="nil"/>
              <w:bottom w:val="nil"/>
              <w:right w:val="nil"/>
            </w:tcBorders>
            <w:shd w:val="clear" w:color="auto" w:fill="auto"/>
            <w:vAlign w:val="center"/>
          </w:tcPr>
          <w:p w14:paraId="012EBEC3" w14:textId="56BB3F50"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20.9</w:t>
            </w:r>
          </w:p>
        </w:tc>
        <w:tc>
          <w:tcPr>
            <w:tcW w:w="573" w:type="dxa"/>
            <w:tcBorders>
              <w:top w:val="nil"/>
              <w:left w:val="nil"/>
              <w:bottom w:val="nil"/>
              <w:right w:val="nil"/>
            </w:tcBorders>
            <w:shd w:val="clear" w:color="auto" w:fill="auto"/>
            <w:vAlign w:val="center"/>
          </w:tcPr>
          <w:p w14:paraId="2FB80BC8" w14:textId="7B219D58"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26.3</w:t>
            </w:r>
          </w:p>
        </w:tc>
        <w:tc>
          <w:tcPr>
            <w:tcW w:w="572" w:type="dxa"/>
            <w:tcBorders>
              <w:top w:val="nil"/>
              <w:left w:val="nil"/>
              <w:bottom w:val="nil"/>
              <w:right w:val="nil"/>
            </w:tcBorders>
            <w:shd w:val="clear" w:color="auto" w:fill="auto"/>
            <w:vAlign w:val="center"/>
          </w:tcPr>
          <w:p w14:paraId="2ED483AD" w14:textId="77DBE08A"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26.9</w:t>
            </w:r>
          </w:p>
        </w:tc>
        <w:tc>
          <w:tcPr>
            <w:tcW w:w="577" w:type="dxa"/>
            <w:tcBorders>
              <w:top w:val="nil"/>
              <w:left w:val="nil"/>
              <w:bottom w:val="nil"/>
              <w:right w:val="single" w:sz="4" w:space="0" w:color="auto"/>
            </w:tcBorders>
            <w:shd w:val="clear" w:color="auto" w:fill="auto"/>
            <w:vAlign w:val="center"/>
          </w:tcPr>
          <w:p w14:paraId="4D1F0A6D" w14:textId="044CC084"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18.3</w:t>
            </w:r>
          </w:p>
        </w:tc>
        <w:tc>
          <w:tcPr>
            <w:tcW w:w="601" w:type="dxa"/>
            <w:tcBorders>
              <w:top w:val="nil"/>
              <w:left w:val="single" w:sz="4" w:space="0" w:color="auto"/>
              <w:bottom w:val="nil"/>
              <w:right w:val="single" w:sz="4" w:space="0" w:color="auto"/>
            </w:tcBorders>
            <w:shd w:val="clear" w:color="auto" w:fill="auto"/>
            <w:vAlign w:val="center"/>
          </w:tcPr>
          <w:p w14:paraId="329A0D17" w14:textId="11C4616C"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24.7</w:t>
            </w:r>
          </w:p>
        </w:tc>
      </w:tr>
      <w:tr w:rsidR="00371213" w14:paraId="30AE63D5" w14:textId="77777777" w:rsidTr="004A45BB">
        <w:trPr>
          <w:trHeight w:val="365"/>
        </w:trPr>
        <w:tc>
          <w:tcPr>
            <w:tcW w:w="876" w:type="dxa"/>
            <w:vMerge/>
            <w:tcBorders>
              <w:left w:val="single" w:sz="4" w:space="0" w:color="auto"/>
              <w:right w:val="nil"/>
            </w:tcBorders>
          </w:tcPr>
          <w:p w14:paraId="37999CF3" w14:textId="55851AA5" w:rsidR="00371213" w:rsidRDefault="00371213" w:rsidP="00371213">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4AB04530" w14:textId="24916273" w:rsidR="00371213" w:rsidRDefault="00371213" w:rsidP="00371213">
            <w:pPr>
              <w:rPr>
                <w:rFonts w:ascii="Calibri" w:eastAsiaTheme="minorEastAsia" w:hAnsi="Calibri" w:cs="Calibri"/>
                <w:color w:val="000000" w:themeColor="text1"/>
                <w:sz w:val="16"/>
                <w:szCs w:val="16"/>
                <w:lang w:eastAsia="en-US"/>
              </w:rPr>
            </w:pPr>
            <w:r w:rsidRPr="483093CF">
              <w:rPr>
                <w:rFonts w:ascii="Calibri" w:eastAsiaTheme="minorEastAsia" w:hAnsi="Calibri" w:cs="Calibri"/>
                <w:color w:val="000000" w:themeColor="text1"/>
                <w:sz w:val="16"/>
                <w:szCs w:val="16"/>
                <w:lang w:eastAsia="en-US"/>
              </w:rPr>
              <w:t>Inquiries</w:t>
            </w:r>
          </w:p>
        </w:tc>
        <w:tc>
          <w:tcPr>
            <w:tcW w:w="575" w:type="dxa"/>
            <w:tcBorders>
              <w:top w:val="nil"/>
              <w:left w:val="nil"/>
              <w:bottom w:val="nil"/>
              <w:right w:val="nil"/>
            </w:tcBorders>
            <w:shd w:val="clear" w:color="auto" w:fill="D9D9D9" w:themeFill="background1" w:themeFillShade="D9"/>
            <w:vAlign w:val="center"/>
          </w:tcPr>
          <w:p w14:paraId="5C79A145" w14:textId="0BC8BD40"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13.2</w:t>
            </w:r>
          </w:p>
        </w:tc>
        <w:tc>
          <w:tcPr>
            <w:tcW w:w="570" w:type="dxa"/>
            <w:tcBorders>
              <w:top w:val="nil"/>
              <w:left w:val="nil"/>
              <w:bottom w:val="nil"/>
              <w:right w:val="nil"/>
            </w:tcBorders>
            <w:shd w:val="clear" w:color="auto" w:fill="D9D9D9" w:themeFill="background1" w:themeFillShade="D9"/>
            <w:vAlign w:val="center"/>
          </w:tcPr>
          <w:p w14:paraId="7596B04D" w14:textId="388E164E"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24.0</w:t>
            </w:r>
          </w:p>
        </w:tc>
        <w:tc>
          <w:tcPr>
            <w:tcW w:w="573" w:type="dxa"/>
            <w:tcBorders>
              <w:top w:val="nil"/>
              <w:left w:val="nil"/>
              <w:bottom w:val="nil"/>
              <w:right w:val="nil"/>
            </w:tcBorders>
            <w:shd w:val="clear" w:color="auto" w:fill="D9D9D9" w:themeFill="background1" w:themeFillShade="D9"/>
            <w:vAlign w:val="center"/>
          </w:tcPr>
          <w:p w14:paraId="2569732E" w14:textId="4BB20146"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34.0</w:t>
            </w:r>
          </w:p>
        </w:tc>
        <w:tc>
          <w:tcPr>
            <w:tcW w:w="578" w:type="dxa"/>
            <w:tcBorders>
              <w:top w:val="nil"/>
              <w:left w:val="nil"/>
              <w:bottom w:val="nil"/>
              <w:right w:val="nil"/>
            </w:tcBorders>
            <w:shd w:val="clear" w:color="auto" w:fill="D9D9D9" w:themeFill="background1" w:themeFillShade="D9"/>
            <w:vAlign w:val="center"/>
          </w:tcPr>
          <w:p w14:paraId="50D1E404" w14:textId="03741BCD"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18.5</w:t>
            </w:r>
          </w:p>
        </w:tc>
        <w:tc>
          <w:tcPr>
            <w:tcW w:w="567" w:type="dxa"/>
            <w:tcBorders>
              <w:top w:val="nil"/>
              <w:left w:val="nil"/>
              <w:bottom w:val="nil"/>
              <w:right w:val="nil"/>
            </w:tcBorders>
            <w:shd w:val="clear" w:color="auto" w:fill="D9D9D9" w:themeFill="background1" w:themeFillShade="D9"/>
            <w:vAlign w:val="center"/>
          </w:tcPr>
          <w:p w14:paraId="0826FFC9" w14:textId="7E75B38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17.4</w:t>
            </w:r>
          </w:p>
        </w:tc>
        <w:tc>
          <w:tcPr>
            <w:tcW w:w="575" w:type="dxa"/>
            <w:tcBorders>
              <w:top w:val="nil"/>
              <w:left w:val="nil"/>
              <w:bottom w:val="nil"/>
              <w:right w:val="nil"/>
            </w:tcBorders>
            <w:shd w:val="clear" w:color="auto" w:fill="auto"/>
            <w:vAlign w:val="center"/>
          </w:tcPr>
          <w:p w14:paraId="3F3962C1" w14:textId="027AC1C8"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14.0</w:t>
            </w:r>
          </w:p>
        </w:tc>
        <w:tc>
          <w:tcPr>
            <w:tcW w:w="571" w:type="dxa"/>
            <w:tcBorders>
              <w:top w:val="nil"/>
              <w:left w:val="nil"/>
              <w:bottom w:val="nil"/>
              <w:right w:val="nil"/>
            </w:tcBorders>
            <w:shd w:val="clear" w:color="auto" w:fill="auto"/>
            <w:vAlign w:val="center"/>
          </w:tcPr>
          <w:p w14:paraId="7DCCF30A" w14:textId="60A592C6"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31.0</w:t>
            </w:r>
          </w:p>
        </w:tc>
        <w:tc>
          <w:tcPr>
            <w:tcW w:w="564" w:type="dxa"/>
            <w:tcBorders>
              <w:top w:val="nil"/>
              <w:left w:val="nil"/>
              <w:bottom w:val="nil"/>
              <w:right w:val="nil"/>
            </w:tcBorders>
            <w:shd w:val="clear" w:color="auto" w:fill="auto"/>
            <w:vAlign w:val="center"/>
          </w:tcPr>
          <w:p w14:paraId="2E03E225" w14:textId="5A2F1BAE"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29.8</w:t>
            </w:r>
          </w:p>
        </w:tc>
        <w:tc>
          <w:tcPr>
            <w:tcW w:w="576" w:type="dxa"/>
            <w:tcBorders>
              <w:top w:val="nil"/>
              <w:left w:val="nil"/>
              <w:bottom w:val="nil"/>
              <w:right w:val="nil"/>
            </w:tcBorders>
            <w:shd w:val="clear" w:color="auto" w:fill="D9D9D9" w:themeFill="background1" w:themeFillShade="D9"/>
            <w:vAlign w:val="center"/>
          </w:tcPr>
          <w:p w14:paraId="422EFD00" w14:textId="7C1DBB71"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36.9</w:t>
            </w:r>
          </w:p>
        </w:tc>
        <w:tc>
          <w:tcPr>
            <w:tcW w:w="573" w:type="dxa"/>
            <w:tcBorders>
              <w:top w:val="nil"/>
              <w:left w:val="nil"/>
              <w:bottom w:val="nil"/>
              <w:right w:val="nil"/>
            </w:tcBorders>
            <w:shd w:val="clear" w:color="auto" w:fill="auto"/>
            <w:vAlign w:val="center"/>
          </w:tcPr>
          <w:p w14:paraId="72FD4DCF" w14:textId="4F75D0C7"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31.3</w:t>
            </w:r>
          </w:p>
        </w:tc>
        <w:tc>
          <w:tcPr>
            <w:tcW w:w="572" w:type="dxa"/>
            <w:tcBorders>
              <w:top w:val="nil"/>
              <w:left w:val="nil"/>
              <w:bottom w:val="nil"/>
              <w:right w:val="nil"/>
            </w:tcBorders>
            <w:shd w:val="clear" w:color="auto" w:fill="auto"/>
            <w:vAlign w:val="center"/>
          </w:tcPr>
          <w:p w14:paraId="657AC2AD" w14:textId="5CD759C6"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27.8</w:t>
            </w:r>
          </w:p>
        </w:tc>
        <w:tc>
          <w:tcPr>
            <w:tcW w:w="577" w:type="dxa"/>
            <w:tcBorders>
              <w:top w:val="nil"/>
              <w:left w:val="nil"/>
              <w:bottom w:val="nil"/>
              <w:right w:val="single" w:sz="4" w:space="0" w:color="auto"/>
            </w:tcBorders>
            <w:shd w:val="clear" w:color="auto" w:fill="auto"/>
            <w:vAlign w:val="center"/>
          </w:tcPr>
          <w:p w14:paraId="702EAE30" w14:textId="12BFC24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25.9</w:t>
            </w:r>
          </w:p>
        </w:tc>
        <w:tc>
          <w:tcPr>
            <w:tcW w:w="601" w:type="dxa"/>
            <w:tcBorders>
              <w:top w:val="nil"/>
              <w:left w:val="single" w:sz="4" w:space="0" w:color="auto"/>
              <w:bottom w:val="nil"/>
              <w:right w:val="single" w:sz="4" w:space="0" w:color="auto"/>
            </w:tcBorders>
            <w:shd w:val="clear" w:color="auto" w:fill="auto"/>
            <w:vAlign w:val="center"/>
          </w:tcPr>
          <w:p w14:paraId="7604A8D3" w14:textId="569A5465"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28.5</w:t>
            </w:r>
          </w:p>
        </w:tc>
      </w:tr>
      <w:tr w:rsidR="00371213" w14:paraId="6B14CC2F" w14:textId="77777777" w:rsidTr="00667885">
        <w:trPr>
          <w:trHeight w:val="365"/>
        </w:trPr>
        <w:tc>
          <w:tcPr>
            <w:tcW w:w="876" w:type="dxa"/>
            <w:vMerge/>
            <w:tcBorders>
              <w:left w:val="single" w:sz="4" w:space="0" w:color="auto"/>
              <w:bottom w:val="single" w:sz="12" w:space="0" w:color="auto"/>
              <w:right w:val="nil"/>
            </w:tcBorders>
          </w:tcPr>
          <w:p w14:paraId="20107666" w14:textId="3DE5D5EA" w:rsidR="00371213" w:rsidRDefault="00371213" w:rsidP="00371213">
            <w:pPr>
              <w:rPr>
                <w:rFonts w:ascii="Calibri" w:eastAsiaTheme="minorEastAsia" w:hAnsi="Calibri" w:cs="Calibri"/>
                <w:color w:val="000000" w:themeColor="text1"/>
                <w:sz w:val="16"/>
                <w:szCs w:val="16"/>
                <w:lang w:eastAsia="en-US"/>
              </w:rPr>
            </w:pPr>
          </w:p>
        </w:tc>
        <w:tc>
          <w:tcPr>
            <w:tcW w:w="1280" w:type="dxa"/>
            <w:tcBorders>
              <w:top w:val="nil"/>
              <w:left w:val="nil"/>
              <w:bottom w:val="single" w:sz="12" w:space="0" w:color="auto"/>
              <w:right w:val="single" w:sz="4" w:space="0" w:color="auto"/>
            </w:tcBorders>
            <w:vAlign w:val="center"/>
          </w:tcPr>
          <w:p w14:paraId="73A55BEB" w14:textId="0EFB5053" w:rsidR="00371213" w:rsidRDefault="00371213" w:rsidP="00371213">
            <w:pPr>
              <w:rPr>
                <w:rFonts w:ascii="Calibri" w:eastAsiaTheme="minorEastAsia" w:hAnsi="Calibri" w:cs="Calibri"/>
                <w:color w:val="000000" w:themeColor="text1"/>
                <w:sz w:val="16"/>
                <w:szCs w:val="16"/>
                <w:lang w:eastAsia="en-US"/>
              </w:rPr>
            </w:pPr>
            <w:r w:rsidRPr="483093CF">
              <w:rPr>
                <w:rFonts w:ascii="Calibri" w:eastAsiaTheme="minorEastAsia" w:hAnsi="Calibri" w:cs="Calibri"/>
                <w:color w:val="000000" w:themeColor="text1"/>
                <w:sz w:val="16"/>
                <w:szCs w:val="16"/>
                <w:lang w:eastAsia="en-US"/>
              </w:rPr>
              <w:t>All Cases</w:t>
            </w:r>
          </w:p>
        </w:tc>
        <w:tc>
          <w:tcPr>
            <w:tcW w:w="575" w:type="dxa"/>
            <w:tcBorders>
              <w:top w:val="nil"/>
              <w:left w:val="nil"/>
              <w:bottom w:val="single" w:sz="12" w:space="0" w:color="auto"/>
              <w:right w:val="nil"/>
            </w:tcBorders>
            <w:shd w:val="clear" w:color="auto" w:fill="auto"/>
            <w:vAlign w:val="center"/>
          </w:tcPr>
          <w:p w14:paraId="0825CDA7" w14:textId="3AC64655"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13.9</w:t>
            </w:r>
          </w:p>
        </w:tc>
        <w:tc>
          <w:tcPr>
            <w:tcW w:w="570" w:type="dxa"/>
            <w:tcBorders>
              <w:top w:val="nil"/>
              <w:left w:val="nil"/>
              <w:bottom w:val="single" w:sz="12" w:space="0" w:color="auto"/>
              <w:right w:val="nil"/>
            </w:tcBorders>
            <w:shd w:val="clear" w:color="auto" w:fill="auto"/>
            <w:vAlign w:val="center"/>
          </w:tcPr>
          <w:p w14:paraId="205A3846" w14:textId="000A646B"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14.4</w:t>
            </w:r>
          </w:p>
        </w:tc>
        <w:tc>
          <w:tcPr>
            <w:tcW w:w="573" w:type="dxa"/>
            <w:tcBorders>
              <w:top w:val="nil"/>
              <w:left w:val="nil"/>
              <w:bottom w:val="single" w:sz="12" w:space="0" w:color="auto"/>
              <w:right w:val="nil"/>
            </w:tcBorders>
            <w:shd w:val="clear" w:color="auto" w:fill="auto"/>
            <w:vAlign w:val="center"/>
          </w:tcPr>
          <w:p w14:paraId="237187CB" w14:textId="07B1408B"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14.1</w:t>
            </w:r>
          </w:p>
        </w:tc>
        <w:tc>
          <w:tcPr>
            <w:tcW w:w="578" w:type="dxa"/>
            <w:tcBorders>
              <w:top w:val="nil"/>
              <w:left w:val="nil"/>
              <w:bottom w:val="single" w:sz="12" w:space="0" w:color="auto"/>
              <w:right w:val="nil"/>
            </w:tcBorders>
            <w:shd w:val="clear" w:color="auto" w:fill="auto"/>
            <w:vAlign w:val="center"/>
          </w:tcPr>
          <w:p w14:paraId="54C7EF12" w14:textId="1953906C"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12.5</w:t>
            </w:r>
          </w:p>
        </w:tc>
        <w:tc>
          <w:tcPr>
            <w:tcW w:w="567" w:type="dxa"/>
            <w:tcBorders>
              <w:top w:val="nil"/>
              <w:left w:val="nil"/>
              <w:bottom w:val="single" w:sz="12" w:space="0" w:color="auto"/>
              <w:right w:val="nil"/>
            </w:tcBorders>
            <w:shd w:val="clear" w:color="auto" w:fill="auto"/>
            <w:vAlign w:val="center"/>
          </w:tcPr>
          <w:p w14:paraId="04B9F840" w14:textId="42ED387A"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14.9</w:t>
            </w:r>
          </w:p>
        </w:tc>
        <w:tc>
          <w:tcPr>
            <w:tcW w:w="575" w:type="dxa"/>
            <w:tcBorders>
              <w:top w:val="nil"/>
              <w:left w:val="nil"/>
              <w:bottom w:val="single" w:sz="12" w:space="0" w:color="auto"/>
              <w:right w:val="nil"/>
            </w:tcBorders>
            <w:shd w:val="clear" w:color="auto" w:fill="auto"/>
            <w:vAlign w:val="center"/>
          </w:tcPr>
          <w:p w14:paraId="5AE98E5B" w14:textId="0C7CF7C2"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12.9</w:t>
            </w:r>
          </w:p>
        </w:tc>
        <w:tc>
          <w:tcPr>
            <w:tcW w:w="571" w:type="dxa"/>
            <w:tcBorders>
              <w:top w:val="nil"/>
              <w:left w:val="nil"/>
              <w:bottom w:val="single" w:sz="12" w:space="0" w:color="auto"/>
              <w:right w:val="nil"/>
            </w:tcBorders>
            <w:shd w:val="clear" w:color="auto" w:fill="auto"/>
            <w:vAlign w:val="center"/>
          </w:tcPr>
          <w:p w14:paraId="0211005F" w14:textId="063760C4"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15.6</w:t>
            </w:r>
          </w:p>
        </w:tc>
        <w:tc>
          <w:tcPr>
            <w:tcW w:w="564" w:type="dxa"/>
            <w:tcBorders>
              <w:top w:val="nil"/>
              <w:left w:val="nil"/>
              <w:bottom w:val="single" w:sz="12" w:space="0" w:color="auto"/>
              <w:right w:val="nil"/>
            </w:tcBorders>
            <w:shd w:val="clear" w:color="auto" w:fill="auto"/>
            <w:vAlign w:val="center"/>
          </w:tcPr>
          <w:p w14:paraId="4141FC8F" w14:textId="19BB22CD"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18.1</w:t>
            </w:r>
          </w:p>
        </w:tc>
        <w:tc>
          <w:tcPr>
            <w:tcW w:w="576" w:type="dxa"/>
            <w:tcBorders>
              <w:top w:val="nil"/>
              <w:left w:val="nil"/>
              <w:bottom w:val="single" w:sz="12" w:space="0" w:color="auto"/>
              <w:right w:val="nil"/>
            </w:tcBorders>
            <w:shd w:val="clear" w:color="auto" w:fill="auto"/>
            <w:vAlign w:val="center"/>
          </w:tcPr>
          <w:p w14:paraId="36DF18EE" w14:textId="28EEA9C6"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16.9</w:t>
            </w:r>
          </w:p>
        </w:tc>
        <w:tc>
          <w:tcPr>
            <w:tcW w:w="573" w:type="dxa"/>
            <w:tcBorders>
              <w:top w:val="nil"/>
              <w:left w:val="nil"/>
              <w:bottom w:val="single" w:sz="12" w:space="0" w:color="auto"/>
              <w:right w:val="nil"/>
            </w:tcBorders>
            <w:shd w:val="clear" w:color="auto" w:fill="auto"/>
            <w:vAlign w:val="center"/>
          </w:tcPr>
          <w:p w14:paraId="17D16335" w14:textId="352F2880"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16.0</w:t>
            </w:r>
          </w:p>
        </w:tc>
        <w:tc>
          <w:tcPr>
            <w:tcW w:w="572" w:type="dxa"/>
            <w:tcBorders>
              <w:top w:val="nil"/>
              <w:left w:val="nil"/>
              <w:bottom w:val="single" w:sz="12" w:space="0" w:color="auto"/>
              <w:right w:val="nil"/>
            </w:tcBorders>
            <w:shd w:val="clear" w:color="auto" w:fill="auto"/>
            <w:vAlign w:val="center"/>
          </w:tcPr>
          <w:p w14:paraId="2060F78C" w14:textId="1F8CC186"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18.7</w:t>
            </w:r>
          </w:p>
        </w:tc>
        <w:tc>
          <w:tcPr>
            <w:tcW w:w="577" w:type="dxa"/>
            <w:tcBorders>
              <w:top w:val="nil"/>
              <w:left w:val="nil"/>
              <w:bottom w:val="single" w:sz="12" w:space="0" w:color="auto"/>
              <w:right w:val="single" w:sz="4" w:space="0" w:color="auto"/>
            </w:tcBorders>
            <w:shd w:val="clear" w:color="auto" w:fill="auto"/>
            <w:vAlign w:val="center"/>
          </w:tcPr>
          <w:p w14:paraId="21083445" w14:textId="055DE22B"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16.7</w:t>
            </w:r>
          </w:p>
        </w:tc>
        <w:tc>
          <w:tcPr>
            <w:tcW w:w="601" w:type="dxa"/>
            <w:tcBorders>
              <w:top w:val="nil"/>
              <w:left w:val="single" w:sz="4" w:space="0" w:color="auto"/>
              <w:bottom w:val="single" w:sz="12" w:space="0" w:color="auto"/>
              <w:right w:val="single" w:sz="4" w:space="0" w:color="auto"/>
            </w:tcBorders>
            <w:shd w:val="clear" w:color="auto" w:fill="auto"/>
            <w:vAlign w:val="center"/>
          </w:tcPr>
          <w:p w14:paraId="7B5EE198" w14:textId="6E49E5C9" w:rsidR="00371213" w:rsidRPr="00371213" w:rsidRDefault="00371213" w:rsidP="00371213">
            <w:pPr>
              <w:jc w:val="right"/>
              <w:rPr>
                <w:rFonts w:asciiTheme="minorHAnsi" w:eastAsiaTheme="minorEastAsia" w:hAnsiTheme="minorHAnsi" w:cstheme="minorHAnsi"/>
                <w:color w:val="000000" w:themeColor="text1"/>
                <w:sz w:val="16"/>
                <w:szCs w:val="16"/>
                <w:lang w:eastAsia="en-US"/>
              </w:rPr>
            </w:pPr>
            <w:r w:rsidRPr="00371213">
              <w:rPr>
                <w:rFonts w:ascii="Calibri" w:hAnsi="Calibri" w:cs="Calibri"/>
                <w:color w:val="000000"/>
                <w:sz w:val="16"/>
                <w:szCs w:val="16"/>
              </w:rPr>
              <w:t>15.5</w:t>
            </w:r>
          </w:p>
        </w:tc>
      </w:tr>
    </w:tbl>
    <w:p w14:paraId="2807648C" w14:textId="22E13F12" w:rsidR="00512EDB" w:rsidRPr="00B66AA2" w:rsidRDefault="006A3227" w:rsidP="00F51AB8">
      <w:pPr>
        <w:rPr>
          <w:rFonts w:ascii="Helvetica" w:eastAsia="Verdana" w:hAnsi="Helvetica" w:cs="Helvetica"/>
          <w:i/>
          <w:iCs/>
          <w:sz w:val="18"/>
          <w:szCs w:val="18"/>
        </w:rPr>
      </w:pPr>
      <w:r w:rsidRPr="00D174A0">
        <w:rPr>
          <w:rFonts w:ascii="Helvetica" w:eastAsia="Calibri" w:hAnsi="Helvetica" w:cs="Helvetica"/>
          <w:sz w:val="18"/>
          <w:szCs w:val="18"/>
        </w:rPr>
        <w:t xml:space="preserve">Source: Horizon and </w:t>
      </w:r>
      <w:proofErr w:type="spellStart"/>
      <w:r w:rsidRPr="00D174A0">
        <w:rPr>
          <w:rFonts w:ascii="Helvetica" w:eastAsia="Calibri" w:hAnsi="Helvetica" w:cs="Helvetica"/>
          <w:sz w:val="18"/>
          <w:szCs w:val="18"/>
        </w:rPr>
        <w:t>Picaso</w:t>
      </w:r>
      <w:proofErr w:type="spellEnd"/>
      <w:r w:rsidR="00C75523">
        <w:rPr>
          <w:rFonts w:ascii="Helvetica" w:eastAsia="Calibri" w:hAnsi="Helvetica" w:cs="Helvetica"/>
          <w:sz w:val="18"/>
          <w:szCs w:val="18"/>
        </w:rPr>
        <w:t xml:space="preserve">. </w:t>
      </w:r>
      <w:r w:rsidR="005E1ADF">
        <w:rPr>
          <w:rFonts w:ascii="Helvetica" w:eastAsia="Calibri" w:hAnsi="Helvetica" w:cs="Helvetica"/>
          <w:sz w:val="18"/>
          <w:szCs w:val="18"/>
        </w:rPr>
        <w:t>Cells shaded grey had fewer than 20 decisions</w:t>
      </w:r>
      <w:r w:rsidR="00F51AB8" w:rsidRPr="0044288B">
        <w:rPr>
          <w:rFonts w:ascii="Helvetica" w:eastAsia="Calibri" w:hAnsi="Helvetica" w:cs="Helvetica"/>
          <w:sz w:val="18"/>
          <w:szCs w:val="18"/>
        </w:rPr>
        <w:t xml:space="preserve">. </w:t>
      </w:r>
      <w:r w:rsidR="00FD7156" w:rsidRPr="0044288B">
        <w:rPr>
          <w:rFonts w:ascii="Helvetica" w:eastAsia="Verdana" w:hAnsi="Helvetica" w:cs="Helvetica"/>
          <w:sz w:val="18"/>
          <w:szCs w:val="18"/>
        </w:rPr>
        <w:t>r denotes revision – a change of more than 0.5 weeks since last month</w:t>
      </w:r>
    </w:p>
    <w:p w14:paraId="3D8713B0" w14:textId="77777777" w:rsidR="006A3227" w:rsidRPr="00D174A0" w:rsidRDefault="006A3227" w:rsidP="006A3227">
      <w:pPr>
        <w:rPr>
          <w:rFonts w:ascii="Helvetica" w:hAnsi="Helvetica" w:cs="Helvetica"/>
        </w:rPr>
      </w:pPr>
    </w:p>
    <w:p w14:paraId="196C263D" w14:textId="1FD6D343" w:rsidR="006A3227" w:rsidRPr="00CB4217" w:rsidRDefault="006A3227" w:rsidP="00C41717">
      <w:pPr>
        <w:jc w:val="both"/>
        <w:rPr>
          <w:rFonts w:ascii="Helvetica" w:hAnsi="Helvetica" w:cs="Helvetica"/>
        </w:rPr>
      </w:pPr>
      <w:r w:rsidRPr="00CB4217">
        <w:rPr>
          <w:rFonts w:ascii="Helvetica" w:hAnsi="Helvetica" w:cs="Helvetica"/>
        </w:rPr>
        <w:t xml:space="preserve">The standard deviation information </w:t>
      </w:r>
      <w:r w:rsidR="00DF072C" w:rsidRPr="00CB4217">
        <w:rPr>
          <w:rFonts w:ascii="Helvetica" w:hAnsi="Helvetica" w:cs="Helvetica"/>
        </w:rPr>
        <w:t>indicates</w:t>
      </w:r>
      <w:r w:rsidR="00C3307B" w:rsidRPr="00CB4217">
        <w:rPr>
          <w:rFonts w:ascii="Helvetica" w:hAnsi="Helvetica" w:cs="Helvetica"/>
        </w:rPr>
        <w:t xml:space="preserve"> </w:t>
      </w:r>
      <w:r w:rsidRPr="00CB4217">
        <w:rPr>
          <w:rFonts w:ascii="Helvetica" w:hAnsi="Helvetica" w:cs="Helvetica"/>
        </w:rPr>
        <w:t xml:space="preserve">that </w:t>
      </w:r>
      <w:r w:rsidR="00CD7FF0" w:rsidRPr="00CB4217">
        <w:rPr>
          <w:rFonts w:ascii="Helvetica" w:hAnsi="Helvetica" w:cs="Helvetica"/>
        </w:rPr>
        <w:t xml:space="preserve">for all three procedures, there is considerable variation, meaning times are widely spread about the mean. </w:t>
      </w:r>
      <w:r w:rsidR="00AC71B8" w:rsidRPr="00CB4217">
        <w:rPr>
          <w:rFonts w:ascii="Helvetica" w:hAnsi="Helvetica" w:cs="Helvetica"/>
        </w:rPr>
        <w:t xml:space="preserve">For each type, the amount of variation </w:t>
      </w:r>
      <w:r w:rsidR="00C70446">
        <w:rPr>
          <w:rFonts w:ascii="Helvetica" w:hAnsi="Helvetica" w:cs="Helvetica"/>
        </w:rPr>
        <w:t>does not appear to be either increasing or decreasing</w:t>
      </w:r>
      <w:r w:rsidR="00B434E6" w:rsidRPr="00CB4217">
        <w:rPr>
          <w:rFonts w:ascii="Helvetica" w:hAnsi="Helvetica" w:cs="Helvetica"/>
        </w:rPr>
        <w:t xml:space="preserve"> through the year.</w:t>
      </w:r>
    </w:p>
    <w:p w14:paraId="0C028DA3" w14:textId="77777777" w:rsidR="00A45BE8" w:rsidRPr="00CB4217" w:rsidRDefault="00A45BE8" w:rsidP="00C41717">
      <w:pPr>
        <w:jc w:val="both"/>
        <w:rPr>
          <w:rFonts w:ascii="Helvetica" w:hAnsi="Helvetica" w:cs="Helvetica"/>
        </w:rPr>
      </w:pPr>
    </w:p>
    <w:p w14:paraId="48C9376F" w14:textId="0ABD962E" w:rsidR="00CE54C8" w:rsidRPr="00CB4217" w:rsidRDefault="00CE54C8" w:rsidP="00C41717">
      <w:pPr>
        <w:jc w:val="both"/>
        <w:rPr>
          <w:rFonts w:ascii="Helvetica" w:hAnsi="Helvetica" w:cs="Helvetica"/>
          <w:b/>
          <w:bCs/>
        </w:rPr>
      </w:pPr>
      <w:r w:rsidRPr="00CB4217">
        <w:rPr>
          <w:rFonts w:ascii="Helvetica" w:hAnsi="Helvetica" w:cs="Helvetica"/>
          <w:b/>
          <w:bCs/>
        </w:rPr>
        <w:t xml:space="preserve">Casework </w:t>
      </w:r>
      <w:r w:rsidR="00F44FC6" w:rsidRPr="00CB4217">
        <w:rPr>
          <w:rFonts w:ascii="Helvetica" w:hAnsi="Helvetica" w:cs="Helvetica"/>
          <w:b/>
          <w:bCs/>
        </w:rPr>
        <w:t>Category</w:t>
      </w:r>
    </w:p>
    <w:p w14:paraId="0B0CDEE8" w14:textId="599A4479" w:rsidR="00CB6A2D" w:rsidRPr="00CB4217" w:rsidRDefault="00CB6A2D" w:rsidP="00C41717">
      <w:pPr>
        <w:jc w:val="both"/>
        <w:rPr>
          <w:rFonts w:ascii="Helvetica" w:hAnsi="Helvetica" w:cs="Helvetica"/>
        </w:rPr>
      </w:pPr>
      <w:r w:rsidRPr="00CB4217">
        <w:rPr>
          <w:rFonts w:ascii="Helvetica" w:hAnsi="Helvetica" w:cs="Helvetica"/>
        </w:rPr>
        <w:t xml:space="preserve">The nature of the cases the Planning Inspectorate deal with varies widely and </w:t>
      </w:r>
      <w:r w:rsidR="0070530E" w:rsidRPr="00CB4217">
        <w:rPr>
          <w:rFonts w:ascii="Helvetica" w:hAnsi="Helvetica" w:cs="Helvetica"/>
        </w:rPr>
        <w:t>several</w:t>
      </w:r>
      <w:r w:rsidRPr="00CB4217">
        <w:rPr>
          <w:rFonts w:ascii="Helvetica" w:hAnsi="Helvetica" w:cs="Helvetica"/>
        </w:rPr>
        <w:t xml:space="preserve"> factors play a part in determining how long it takes to </w:t>
      </w:r>
      <w:proofErr w:type="gramStart"/>
      <w:r w:rsidRPr="00CB4217">
        <w:rPr>
          <w:rFonts w:ascii="Helvetica" w:hAnsi="Helvetica" w:cs="Helvetica"/>
        </w:rPr>
        <w:t>make a decision</w:t>
      </w:r>
      <w:proofErr w:type="gramEnd"/>
      <w:r w:rsidRPr="00CB4217">
        <w:rPr>
          <w:rFonts w:ascii="Helvetica" w:hAnsi="Helvetica" w:cs="Helvetica"/>
        </w:rPr>
        <w:t xml:space="preserve">. </w:t>
      </w:r>
      <w:r w:rsidR="000C5527" w:rsidRPr="00CB4217">
        <w:rPr>
          <w:rFonts w:ascii="Helvetica" w:hAnsi="Helvetica" w:cs="Helvetica"/>
        </w:rPr>
        <w:t xml:space="preserve">One such factor is the casework type. </w:t>
      </w:r>
      <w:r w:rsidRPr="00CB4217">
        <w:rPr>
          <w:rFonts w:ascii="Helvetica" w:hAnsi="Helvetica" w:cs="Helvetica"/>
        </w:rPr>
        <w:t xml:space="preserve">Table </w:t>
      </w:r>
      <w:r w:rsidR="00871E89" w:rsidRPr="00CB4217">
        <w:rPr>
          <w:rFonts w:ascii="Helvetica" w:hAnsi="Helvetica" w:cs="Helvetica"/>
        </w:rPr>
        <w:t>7</w:t>
      </w:r>
      <w:r w:rsidRPr="00CB4217">
        <w:rPr>
          <w:rFonts w:ascii="Helvetica" w:hAnsi="Helvetica" w:cs="Helvetica"/>
        </w:rPr>
        <w:t xml:space="preserve"> below shows the time taken to </w:t>
      </w:r>
      <w:r w:rsidR="0070530E" w:rsidRPr="00CB4217">
        <w:rPr>
          <w:rFonts w:ascii="Helvetica" w:hAnsi="Helvetica" w:cs="Helvetica"/>
        </w:rPr>
        <w:t>decide</w:t>
      </w:r>
      <w:r w:rsidRPr="00CB4217">
        <w:rPr>
          <w:rFonts w:ascii="Helvetica" w:hAnsi="Helvetica" w:cs="Helvetica"/>
        </w:rPr>
        <w:t>, in planning cases</w:t>
      </w:r>
      <w:r w:rsidR="00263BC1" w:rsidRPr="00CB4217">
        <w:rPr>
          <w:rFonts w:ascii="Helvetica" w:hAnsi="Helvetica" w:cs="Helvetica"/>
        </w:rPr>
        <w:t>, in enforcement cases,</w:t>
      </w:r>
      <w:r w:rsidRPr="00CB4217">
        <w:rPr>
          <w:rFonts w:ascii="Helvetica" w:hAnsi="Helvetica" w:cs="Helvetica"/>
        </w:rPr>
        <w:t xml:space="preserve"> and in specialist</w:t>
      </w:r>
      <w:r w:rsidRPr="00CB4217">
        <w:rPr>
          <w:rStyle w:val="FootnoteReference"/>
          <w:rFonts w:ascii="Helvetica" w:hAnsi="Helvetica" w:cs="Helvetica"/>
        </w:rPr>
        <w:footnoteReference w:id="10"/>
      </w:r>
      <w:r w:rsidRPr="00CB4217">
        <w:rPr>
          <w:rFonts w:ascii="Helvetica" w:hAnsi="Helvetica" w:cs="Helvetica"/>
        </w:rPr>
        <w:t xml:space="preserve"> </w:t>
      </w:r>
      <w:r w:rsidR="006D08E1" w:rsidRPr="00CB4217">
        <w:rPr>
          <w:rFonts w:ascii="Helvetica" w:hAnsi="Helvetica" w:cs="Helvetica"/>
        </w:rPr>
        <w:t>cases</w:t>
      </w:r>
      <w:r w:rsidR="0070530E" w:rsidRPr="00CB4217">
        <w:rPr>
          <w:rFonts w:ascii="Helvetica" w:hAnsi="Helvetica" w:cs="Helvetica"/>
        </w:rPr>
        <w:t>,</w:t>
      </w:r>
      <w:r w:rsidRPr="00CB4217">
        <w:rPr>
          <w:rFonts w:ascii="Helvetica" w:hAnsi="Helvetica" w:cs="Helvetica"/>
        </w:rPr>
        <w:t xml:space="preserve"> as does Figure </w:t>
      </w:r>
      <w:r w:rsidR="00871E89" w:rsidRPr="00CB4217">
        <w:rPr>
          <w:rFonts w:ascii="Helvetica" w:hAnsi="Helvetica" w:cs="Helvetica"/>
        </w:rPr>
        <w:t>6</w:t>
      </w:r>
      <w:r w:rsidRPr="00CB4217">
        <w:rPr>
          <w:rFonts w:ascii="Helvetica" w:hAnsi="Helvetica" w:cs="Helvetica"/>
        </w:rPr>
        <w:t xml:space="preserve">. </w:t>
      </w:r>
    </w:p>
    <w:p w14:paraId="07D01E36" w14:textId="77777777" w:rsidR="00CB6A2D" w:rsidRPr="00D54BB4" w:rsidRDefault="00CB6A2D" w:rsidP="00C41717">
      <w:pPr>
        <w:jc w:val="both"/>
        <w:rPr>
          <w:rFonts w:ascii="Helvetica" w:hAnsi="Helvetica" w:cs="Helvetica"/>
          <w:highlight w:val="yellow"/>
        </w:rPr>
      </w:pPr>
    </w:p>
    <w:p w14:paraId="351B9197" w14:textId="52371BEB" w:rsidR="00263BC1" w:rsidRPr="006A4A90" w:rsidRDefault="00263BC1" w:rsidP="006A4A90">
      <w:pPr>
        <w:jc w:val="both"/>
        <w:rPr>
          <w:rFonts w:ascii="Helvetica" w:hAnsi="Helvetica" w:cs="Helvetica"/>
        </w:rPr>
      </w:pPr>
      <w:r w:rsidRPr="006A4A90">
        <w:rPr>
          <w:rFonts w:ascii="Helvetica" w:hAnsi="Helvetica" w:cs="Helvetica"/>
        </w:rPr>
        <w:t xml:space="preserve">The median time to decision for planning cases (there are many more of these decisions than in the other categories) is lower than for other casework </w:t>
      </w:r>
      <w:r w:rsidR="0029594D" w:rsidRPr="006A4A90">
        <w:rPr>
          <w:rFonts w:ascii="Helvetica" w:hAnsi="Helvetica" w:cs="Helvetica"/>
        </w:rPr>
        <w:t>categories</w:t>
      </w:r>
      <w:r w:rsidRPr="006A4A90">
        <w:rPr>
          <w:rFonts w:ascii="Helvetica" w:hAnsi="Helvetica" w:cs="Helvetica"/>
        </w:rPr>
        <w:t xml:space="preserve">, apart from in </w:t>
      </w:r>
      <w:r w:rsidR="009E00D1">
        <w:rPr>
          <w:rFonts w:ascii="Helvetica" w:hAnsi="Helvetica" w:cs="Helvetica"/>
        </w:rPr>
        <w:t>March 21 and May 21</w:t>
      </w:r>
      <w:r w:rsidRPr="006A4A90">
        <w:rPr>
          <w:rFonts w:ascii="Helvetica" w:hAnsi="Helvetica" w:cs="Helvetica"/>
        </w:rPr>
        <w:t xml:space="preserve">. Table </w:t>
      </w:r>
      <w:r w:rsidR="00871E89" w:rsidRPr="006A4A90">
        <w:rPr>
          <w:rFonts w:ascii="Helvetica" w:hAnsi="Helvetica" w:cs="Helvetica"/>
        </w:rPr>
        <w:t>7</w:t>
      </w:r>
      <w:r w:rsidRPr="006A4A90">
        <w:rPr>
          <w:rFonts w:ascii="Helvetica" w:hAnsi="Helvetica" w:cs="Helvetica"/>
        </w:rPr>
        <w:t xml:space="preserve"> and Figure </w:t>
      </w:r>
      <w:r w:rsidR="00871E89" w:rsidRPr="006A4A90">
        <w:rPr>
          <w:rFonts w:ascii="Helvetica" w:hAnsi="Helvetica" w:cs="Helvetica"/>
        </w:rPr>
        <w:t>6</w:t>
      </w:r>
      <w:r w:rsidRPr="006A4A90">
        <w:rPr>
          <w:rFonts w:ascii="Helvetica" w:hAnsi="Helvetica" w:cs="Helvetica"/>
        </w:rPr>
        <w:t xml:space="preserve"> show</w:t>
      </w:r>
      <w:r w:rsidR="00BB7244">
        <w:rPr>
          <w:rFonts w:ascii="Helvetica" w:hAnsi="Helvetica" w:cs="Helvetica"/>
        </w:rPr>
        <w:t>s</w:t>
      </w:r>
      <w:r w:rsidRPr="006A4A90">
        <w:rPr>
          <w:rFonts w:ascii="Helvetica" w:hAnsi="Helvetica" w:cs="Helvetica"/>
        </w:rPr>
        <w:t xml:space="preserve"> </w:t>
      </w:r>
      <w:r w:rsidR="008A5FEF" w:rsidRPr="006A4A90">
        <w:rPr>
          <w:rFonts w:ascii="Helvetica" w:hAnsi="Helvetica" w:cs="Helvetica"/>
        </w:rPr>
        <w:t xml:space="preserve">the median </w:t>
      </w:r>
      <w:r w:rsidRPr="006A4A90">
        <w:rPr>
          <w:rFonts w:ascii="Helvetica" w:hAnsi="Helvetica" w:cs="Helvetica"/>
        </w:rPr>
        <w:t xml:space="preserve">time for </w:t>
      </w:r>
      <w:r w:rsidR="0029594D" w:rsidRPr="006A4A90">
        <w:rPr>
          <w:rFonts w:ascii="Helvetica" w:hAnsi="Helvetica" w:cs="Helvetica"/>
        </w:rPr>
        <w:t>planning</w:t>
      </w:r>
      <w:r w:rsidRPr="006A4A90">
        <w:rPr>
          <w:rFonts w:ascii="Helvetica" w:hAnsi="Helvetica" w:cs="Helvetica"/>
        </w:rPr>
        <w:t xml:space="preserve"> cases </w:t>
      </w:r>
      <w:r w:rsidR="006A7644" w:rsidRPr="006A4A90">
        <w:rPr>
          <w:rFonts w:ascii="Helvetica" w:hAnsi="Helvetica" w:cs="Helvetica"/>
        </w:rPr>
        <w:t>was</w:t>
      </w:r>
      <w:r w:rsidR="007D3E34">
        <w:rPr>
          <w:rFonts w:ascii="Helvetica" w:hAnsi="Helvetica" w:cs="Helvetica"/>
        </w:rPr>
        <w:t xml:space="preserve">, </w:t>
      </w:r>
      <w:r w:rsidR="00475EE7">
        <w:rPr>
          <w:rFonts w:ascii="Helvetica" w:hAnsi="Helvetica" w:cs="Helvetica"/>
        </w:rPr>
        <w:t xml:space="preserve">apart </w:t>
      </w:r>
      <w:r w:rsidR="00475EE7">
        <w:rPr>
          <w:rFonts w:ascii="Helvetica" w:hAnsi="Helvetica" w:cs="Helvetica"/>
        </w:rPr>
        <w:lastRenderedPageBreak/>
        <w:t>from February and March 21,</w:t>
      </w:r>
      <w:r w:rsidR="006A7644" w:rsidRPr="006A4A90">
        <w:rPr>
          <w:rFonts w:ascii="Helvetica" w:hAnsi="Helvetica" w:cs="Helvetica"/>
        </w:rPr>
        <w:t xml:space="preserve"> above 20 weeks </w:t>
      </w:r>
      <w:r w:rsidR="00475EE7">
        <w:rPr>
          <w:rFonts w:ascii="Helvetica" w:hAnsi="Helvetica" w:cs="Helvetica"/>
        </w:rPr>
        <w:t xml:space="preserve">for the last 12 months.  </w:t>
      </w:r>
      <w:r w:rsidR="00FD5F96" w:rsidRPr="006A4A90">
        <w:rPr>
          <w:rFonts w:ascii="Helvetica" w:hAnsi="Helvetica" w:cs="Helvetica"/>
        </w:rPr>
        <w:t xml:space="preserve">Across the whole year, the median </w:t>
      </w:r>
      <w:r w:rsidR="002F4D0A" w:rsidRPr="006A4A90">
        <w:rPr>
          <w:rFonts w:ascii="Helvetica" w:hAnsi="Helvetica" w:cs="Helvetica"/>
        </w:rPr>
        <w:t>time to decision is 2</w:t>
      </w:r>
      <w:r w:rsidR="00B055EA">
        <w:rPr>
          <w:rFonts w:ascii="Helvetica" w:hAnsi="Helvetica" w:cs="Helvetica"/>
        </w:rPr>
        <w:t>2</w:t>
      </w:r>
      <w:r w:rsidR="002F4D0A" w:rsidRPr="006A4A90">
        <w:rPr>
          <w:rFonts w:ascii="Helvetica" w:hAnsi="Helvetica" w:cs="Helvetica"/>
        </w:rPr>
        <w:t xml:space="preserve"> weeks.</w:t>
      </w:r>
    </w:p>
    <w:p w14:paraId="26CDF4B7" w14:textId="4631E06E" w:rsidR="00982A7F" w:rsidRPr="006A4A90" w:rsidRDefault="00982A7F" w:rsidP="00C41717">
      <w:pPr>
        <w:jc w:val="both"/>
        <w:rPr>
          <w:rFonts w:ascii="Helvetica" w:hAnsi="Helvetica" w:cs="Helvetica"/>
        </w:rPr>
      </w:pPr>
    </w:p>
    <w:p w14:paraId="5DE377B0" w14:textId="1B1A6E52" w:rsidR="00982A7F" w:rsidRPr="00344C3B" w:rsidRDefault="00982A7F" w:rsidP="00982A7F">
      <w:pPr>
        <w:jc w:val="both"/>
        <w:rPr>
          <w:rFonts w:ascii="Helvetica" w:hAnsi="Helvetica" w:cs="Helvetica"/>
        </w:rPr>
      </w:pPr>
      <w:r w:rsidRPr="006A4A90">
        <w:rPr>
          <w:rFonts w:ascii="Helvetica" w:hAnsi="Helvetica" w:cs="Helvetica"/>
        </w:rPr>
        <w:t xml:space="preserve">Annex B gives information on mean and median time to decision, with standard deviation, for these procedure types, split by planning, </w:t>
      </w:r>
      <w:proofErr w:type="gramStart"/>
      <w:r w:rsidRPr="006A4A90">
        <w:rPr>
          <w:rFonts w:ascii="Helvetica" w:hAnsi="Helvetica" w:cs="Helvetica"/>
        </w:rPr>
        <w:t>enforcement</w:t>
      </w:r>
      <w:proofErr w:type="gramEnd"/>
      <w:r w:rsidRPr="006A4A90">
        <w:rPr>
          <w:rFonts w:ascii="Helvetica" w:hAnsi="Helvetica" w:cs="Helvetica"/>
        </w:rPr>
        <w:t xml:space="preserve"> and specialist casework categories</w:t>
      </w:r>
      <w:r w:rsidR="0006663A">
        <w:rPr>
          <w:rFonts w:ascii="Helvetica" w:hAnsi="Helvetica" w:cs="Helvetica"/>
        </w:rPr>
        <w:t>.</w:t>
      </w:r>
    </w:p>
    <w:p w14:paraId="5B1853DE" w14:textId="77777777" w:rsidR="002A6DE5" w:rsidRPr="00442424" w:rsidRDefault="002A6DE5" w:rsidP="00C41717">
      <w:pPr>
        <w:jc w:val="both"/>
        <w:rPr>
          <w:rFonts w:ascii="Helvetica" w:hAnsi="Helvetica" w:cs="Helvetica"/>
          <w:highlight w:val="yellow"/>
        </w:rPr>
      </w:pPr>
    </w:p>
    <w:p w14:paraId="42A6D583" w14:textId="6390BF06" w:rsidR="00F82F00" w:rsidRDefault="00F82F00" w:rsidP="00F82F00">
      <w:pPr>
        <w:keepNext/>
        <w:spacing w:after="120"/>
        <w:rPr>
          <w:rFonts w:ascii="Helvetica" w:hAnsi="Helvetica" w:cs="Helvetica"/>
        </w:rPr>
      </w:pPr>
      <w:r w:rsidRPr="00602DD9">
        <w:rPr>
          <w:rFonts w:ascii="Helvetica" w:hAnsi="Helvetica" w:cs="Helvetica"/>
        </w:rPr>
        <w:t xml:space="preserve">Table 7: Decisions, Mean, Median and Standard Deviation of Time to Decision – Planning, Enforcement, Specialist Cases; </w:t>
      </w:r>
      <w:r w:rsidR="007828A4" w:rsidRPr="00602DD9">
        <w:rPr>
          <w:rFonts w:ascii="Helvetica" w:hAnsi="Helvetica" w:cs="Helvetica"/>
        </w:rPr>
        <w:t>Jun</w:t>
      </w:r>
      <w:r w:rsidR="00861E81" w:rsidRPr="00602DD9">
        <w:rPr>
          <w:rFonts w:ascii="Helvetica" w:hAnsi="Helvetica" w:cs="Helvetica"/>
        </w:rPr>
        <w:t xml:space="preserve"> 20 to </w:t>
      </w:r>
      <w:r w:rsidR="007828A4" w:rsidRPr="00602DD9">
        <w:rPr>
          <w:rFonts w:ascii="Helvetica" w:hAnsi="Helvetica" w:cs="Helvetica"/>
        </w:rPr>
        <w:t>May</w:t>
      </w:r>
      <w:r w:rsidR="00861E81" w:rsidRPr="00602DD9">
        <w:rPr>
          <w:rFonts w:ascii="Helvetica" w:hAnsi="Helvetica" w:cs="Helvetica"/>
        </w:rPr>
        <w:t xml:space="preserve"> 21</w:t>
      </w: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0"/>
        <w:gridCol w:w="1393"/>
        <w:gridCol w:w="561"/>
        <w:gridCol w:w="561"/>
        <w:gridCol w:w="562"/>
        <w:gridCol w:w="561"/>
        <w:gridCol w:w="562"/>
        <w:gridCol w:w="561"/>
        <w:gridCol w:w="562"/>
        <w:gridCol w:w="561"/>
        <w:gridCol w:w="562"/>
        <w:gridCol w:w="561"/>
        <w:gridCol w:w="563"/>
        <w:gridCol w:w="583"/>
        <w:gridCol w:w="563"/>
      </w:tblGrid>
      <w:tr w:rsidR="009D5CAF" w14:paraId="6703F7B0" w14:textId="77777777" w:rsidTr="00D96EF2">
        <w:trPr>
          <w:trHeight w:val="374"/>
        </w:trPr>
        <w:tc>
          <w:tcPr>
            <w:tcW w:w="1060" w:type="dxa"/>
            <w:tcBorders>
              <w:bottom w:val="single" w:sz="4" w:space="0" w:color="auto"/>
            </w:tcBorders>
          </w:tcPr>
          <w:p w14:paraId="1559DE88" w14:textId="77777777" w:rsidR="009D5CAF" w:rsidRDefault="009D5CAF" w:rsidP="009D5CAF">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Casework Category</w:t>
            </w:r>
          </w:p>
        </w:tc>
        <w:tc>
          <w:tcPr>
            <w:tcW w:w="1393" w:type="dxa"/>
            <w:tcBorders>
              <w:bottom w:val="single" w:sz="4" w:space="0" w:color="auto"/>
              <w:right w:val="single" w:sz="4" w:space="0" w:color="auto"/>
            </w:tcBorders>
            <w:vAlign w:val="center"/>
          </w:tcPr>
          <w:p w14:paraId="33BAB603" w14:textId="77777777" w:rsidR="009D5CAF" w:rsidRDefault="009D5CAF" w:rsidP="009D5CAF">
            <w:pPr>
              <w:jc w:val="right"/>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Measure</w:t>
            </w:r>
          </w:p>
        </w:tc>
        <w:tc>
          <w:tcPr>
            <w:tcW w:w="561" w:type="dxa"/>
            <w:tcBorders>
              <w:top w:val="single" w:sz="4" w:space="0" w:color="auto"/>
              <w:left w:val="single" w:sz="4" w:space="0" w:color="auto"/>
              <w:bottom w:val="single" w:sz="4" w:space="0" w:color="auto"/>
            </w:tcBorders>
            <w:vAlign w:val="center"/>
          </w:tcPr>
          <w:p w14:paraId="1CE56A2F" w14:textId="300D89F6"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Jun 20</w:t>
            </w:r>
          </w:p>
        </w:tc>
        <w:tc>
          <w:tcPr>
            <w:tcW w:w="561" w:type="dxa"/>
            <w:tcBorders>
              <w:bottom w:val="single" w:sz="4" w:space="0" w:color="auto"/>
            </w:tcBorders>
            <w:vAlign w:val="center"/>
          </w:tcPr>
          <w:p w14:paraId="28273F6E" w14:textId="4D364D60"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Jul 20</w:t>
            </w:r>
          </w:p>
        </w:tc>
        <w:tc>
          <w:tcPr>
            <w:tcW w:w="562" w:type="dxa"/>
            <w:tcBorders>
              <w:bottom w:val="single" w:sz="4" w:space="0" w:color="auto"/>
            </w:tcBorders>
            <w:vAlign w:val="center"/>
          </w:tcPr>
          <w:p w14:paraId="04B914D7" w14:textId="26B5D312"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Aug 20</w:t>
            </w:r>
          </w:p>
        </w:tc>
        <w:tc>
          <w:tcPr>
            <w:tcW w:w="561" w:type="dxa"/>
            <w:tcBorders>
              <w:bottom w:val="single" w:sz="4" w:space="0" w:color="auto"/>
            </w:tcBorders>
            <w:vAlign w:val="center"/>
          </w:tcPr>
          <w:p w14:paraId="4B612038" w14:textId="4A6100F3"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Sep 20</w:t>
            </w:r>
          </w:p>
        </w:tc>
        <w:tc>
          <w:tcPr>
            <w:tcW w:w="562" w:type="dxa"/>
            <w:tcBorders>
              <w:bottom w:val="single" w:sz="4" w:space="0" w:color="auto"/>
            </w:tcBorders>
            <w:vAlign w:val="center"/>
          </w:tcPr>
          <w:p w14:paraId="681DF34F" w14:textId="4DE4D3D5"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Oct 20</w:t>
            </w:r>
          </w:p>
        </w:tc>
        <w:tc>
          <w:tcPr>
            <w:tcW w:w="561" w:type="dxa"/>
            <w:tcBorders>
              <w:bottom w:val="single" w:sz="4" w:space="0" w:color="auto"/>
            </w:tcBorders>
            <w:vAlign w:val="center"/>
          </w:tcPr>
          <w:p w14:paraId="600C1E46" w14:textId="23190843"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Nov 20</w:t>
            </w:r>
          </w:p>
        </w:tc>
        <w:tc>
          <w:tcPr>
            <w:tcW w:w="562" w:type="dxa"/>
            <w:tcBorders>
              <w:bottom w:val="single" w:sz="4" w:space="0" w:color="auto"/>
            </w:tcBorders>
            <w:vAlign w:val="center"/>
          </w:tcPr>
          <w:p w14:paraId="4BF257F1" w14:textId="56B835D1"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Dec 20</w:t>
            </w:r>
          </w:p>
        </w:tc>
        <w:tc>
          <w:tcPr>
            <w:tcW w:w="561" w:type="dxa"/>
            <w:tcBorders>
              <w:bottom w:val="single" w:sz="4" w:space="0" w:color="auto"/>
            </w:tcBorders>
            <w:vAlign w:val="center"/>
          </w:tcPr>
          <w:p w14:paraId="2B24A3B3" w14:textId="2BC750F1"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Jan 21</w:t>
            </w:r>
          </w:p>
        </w:tc>
        <w:tc>
          <w:tcPr>
            <w:tcW w:w="562" w:type="dxa"/>
            <w:tcBorders>
              <w:bottom w:val="single" w:sz="4" w:space="0" w:color="auto"/>
            </w:tcBorders>
            <w:vAlign w:val="center"/>
          </w:tcPr>
          <w:p w14:paraId="37A8DA20" w14:textId="74E6E6F7"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Feb 21</w:t>
            </w:r>
          </w:p>
        </w:tc>
        <w:tc>
          <w:tcPr>
            <w:tcW w:w="561" w:type="dxa"/>
            <w:tcBorders>
              <w:bottom w:val="single" w:sz="4" w:space="0" w:color="auto"/>
            </w:tcBorders>
            <w:vAlign w:val="center"/>
          </w:tcPr>
          <w:p w14:paraId="63C4DE21" w14:textId="418AAABB"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Mar 21</w:t>
            </w:r>
          </w:p>
        </w:tc>
        <w:tc>
          <w:tcPr>
            <w:tcW w:w="563" w:type="dxa"/>
            <w:tcBorders>
              <w:bottom w:val="single" w:sz="4" w:space="0" w:color="auto"/>
            </w:tcBorders>
            <w:vAlign w:val="center"/>
          </w:tcPr>
          <w:p w14:paraId="128A9665" w14:textId="33EF6C94"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Apr 21</w:t>
            </w:r>
          </w:p>
        </w:tc>
        <w:tc>
          <w:tcPr>
            <w:tcW w:w="583" w:type="dxa"/>
            <w:tcBorders>
              <w:bottom w:val="single" w:sz="4" w:space="0" w:color="auto"/>
              <w:right w:val="single" w:sz="4" w:space="0" w:color="auto"/>
            </w:tcBorders>
            <w:vAlign w:val="center"/>
          </w:tcPr>
          <w:p w14:paraId="69B86493" w14:textId="472C6827" w:rsidR="009D5CAF" w:rsidRPr="009D5CAF" w:rsidRDefault="009D5CAF" w:rsidP="009D5CAF">
            <w:pPr>
              <w:jc w:val="right"/>
              <w:rPr>
                <w:rFonts w:ascii="Calibri" w:eastAsiaTheme="minorEastAsia" w:hAnsi="Calibri" w:cs="Calibri"/>
                <w:color w:val="000000" w:themeColor="text1"/>
                <w:sz w:val="16"/>
                <w:szCs w:val="16"/>
                <w:lang w:eastAsia="en-US"/>
              </w:rPr>
            </w:pPr>
            <w:r w:rsidRPr="009D5CAF">
              <w:rPr>
                <w:rFonts w:ascii="Calibri" w:hAnsi="Calibri" w:cs="Calibri"/>
                <w:color w:val="000000"/>
                <w:sz w:val="16"/>
                <w:szCs w:val="16"/>
              </w:rPr>
              <w:t>May 21</w:t>
            </w:r>
          </w:p>
        </w:tc>
        <w:tc>
          <w:tcPr>
            <w:tcW w:w="563" w:type="dxa"/>
            <w:tcBorders>
              <w:top w:val="single" w:sz="4" w:space="0" w:color="auto"/>
              <w:left w:val="single" w:sz="4" w:space="0" w:color="auto"/>
              <w:bottom w:val="single" w:sz="4" w:space="0" w:color="auto"/>
            </w:tcBorders>
            <w:vAlign w:val="center"/>
          </w:tcPr>
          <w:p w14:paraId="61F74AF8" w14:textId="77777777" w:rsidR="009D5CAF" w:rsidRPr="51EE4092" w:rsidRDefault="009D5CAF" w:rsidP="009D5CAF">
            <w:pPr>
              <w:jc w:val="right"/>
              <w:rPr>
                <w:rFonts w:ascii="Calibri" w:eastAsiaTheme="minorEastAsia" w:hAnsi="Calibri" w:cs="Calibri"/>
                <w:color w:val="000000" w:themeColor="text1"/>
                <w:sz w:val="16"/>
                <w:szCs w:val="16"/>
                <w:lang w:eastAsia="en-US"/>
              </w:rPr>
            </w:pPr>
            <w:r w:rsidRPr="51EE4092">
              <w:rPr>
                <w:rFonts w:ascii="Calibri" w:eastAsiaTheme="minorEastAsia" w:hAnsi="Calibri" w:cs="Calibri"/>
                <w:color w:val="000000" w:themeColor="text1"/>
                <w:sz w:val="16"/>
                <w:szCs w:val="16"/>
                <w:lang w:eastAsia="en-US"/>
              </w:rPr>
              <w:t>Total</w:t>
            </w:r>
          </w:p>
        </w:tc>
      </w:tr>
      <w:tr w:rsidR="007828A4" w14:paraId="2874620D" w14:textId="77777777" w:rsidTr="007828A4">
        <w:trPr>
          <w:trHeight w:val="365"/>
        </w:trPr>
        <w:tc>
          <w:tcPr>
            <w:tcW w:w="1060" w:type="dxa"/>
            <w:tcBorders>
              <w:top w:val="single" w:sz="4" w:space="0" w:color="auto"/>
              <w:bottom w:val="nil"/>
            </w:tcBorders>
          </w:tcPr>
          <w:p w14:paraId="1E4214D9" w14:textId="77777777" w:rsidR="007828A4" w:rsidRDefault="007828A4" w:rsidP="007828A4">
            <w:pPr>
              <w:rPr>
                <w:rFonts w:ascii="Calibri" w:eastAsiaTheme="minorEastAsia" w:hAnsi="Calibri" w:cs="Calibri"/>
                <w:color w:val="000000" w:themeColor="text1"/>
                <w:sz w:val="16"/>
                <w:szCs w:val="16"/>
                <w:lang w:eastAsia="en-US"/>
              </w:rPr>
            </w:pPr>
            <w:r w:rsidRPr="3C2A110F">
              <w:rPr>
                <w:rFonts w:ascii="Calibri" w:eastAsiaTheme="minorEastAsia" w:hAnsi="Calibri" w:cs="Calibri"/>
                <w:color w:val="000000" w:themeColor="text1"/>
                <w:sz w:val="16"/>
                <w:szCs w:val="16"/>
                <w:lang w:eastAsia="en-US"/>
              </w:rPr>
              <w:t>Planning Cases</w:t>
            </w:r>
          </w:p>
        </w:tc>
        <w:tc>
          <w:tcPr>
            <w:tcW w:w="1393" w:type="dxa"/>
            <w:tcBorders>
              <w:top w:val="single" w:sz="4" w:space="0" w:color="auto"/>
              <w:bottom w:val="nil"/>
              <w:right w:val="single" w:sz="4" w:space="0" w:color="auto"/>
            </w:tcBorders>
            <w:vAlign w:val="center"/>
          </w:tcPr>
          <w:p w14:paraId="6826909C" w14:textId="77777777" w:rsidR="007828A4" w:rsidRDefault="007828A4" w:rsidP="007828A4">
            <w:pPr>
              <w:jc w:val="right"/>
              <w:rPr>
                <w:rFonts w:ascii="Calibri" w:eastAsiaTheme="minorEastAsia" w:hAnsi="Calibri" w:cs="Calibri"/>
                <w:color w:val="000000" w:themeColor="text1"/>
                <w:sz w:val="16"/>
                <w:szCs w:val="16"/>
                <w:lang w:eastAsia="en-US"/>
              </w:rPr>
            </w:pPr>
            <w:r w:rsidRPr="0D49C5AD">
              <w:rPr>
                <w:rFonts w:ascii="Calibri" w:eastAsiaTheme="minorEastAsia" w:hAnsi="Calibri" w:cs="Calibri"/>
                <w:color w:val="000000" w:themeColor="text1"/>
                <w:sz w:val="16"/>
                <w:szCs w:val="16"/>
                <w:lang w:eastAsia="en-US"/>
              </w:rPr>
              <w:t xml:space="preserve">Valid to Decision </w:t>
            </w:r>
            <w:r w:rsidRPr="06E2A385">
              <w:rPr>
                <w:rFonts w:ascii="Calibri" w:eastAsiaTheme="minorEastAsia" w:hAnsi="Calibri" w:cs="Calibri"/>
                <w:color w:val="000000" w:themeColor="text1"/>
                <w:sz w:val="16"/>
                <w:szCs w:val="16"/>
                <w:lang w:eastAsia="en-US"/>
              </w:rPr>
              <w:t xml:space="preserve">(mean </w:t>
            </w:r>
            <w:proofErr w:type="spellStart"/>
            <w:r w:rsidRPr="06E2A385">
              <w:rPr>
                <w:rFonts w:ascii="Calibri" w:eastAsiaTheme="minorEastAsia" w:hAnsi="Calibri" w:cs="Calibri"/>
                <w:color w:val="000000" w:themeColor="text1"/>
                <w:sz w:val="16"/>
                <w:szCs w:val="16"/>
                <w:lang w:eastAsia="en-US"/>
              </w:rPr>
              <w:t>wks</w:t>
            </w:r>
            <w:proofErr w:type="spellEnd"/>
            <w:r w:rsidRPr="06E2A385">
              <w:rPr>
                <w:rFonts w:ascii="Calibri" w:eastAsiaTheme="minorEastAsia" w:hAnsi="Calibri" w:cs="Calibri"/>
                <w:color w:val="000000" w:themeColor="text1"/>
                <w:sz w:val="16"/>
                <w:szCs w:val="16"/>
                <w:lang w:eastAsia="en-US"/>
              </w:rPr>
              <w:t>)</w:t>
            </w:r>
          </w:p>
        </w:tc>
        <w:tc>
          <w:tcPr>
            <w:tcW w:w="561" w:type="dxa"/>
            <w:tcBorders>
              <w:top w:val="single" w:sz="4" w:space="0" w:color="auto"/>
              <w:left w:val="nil"/>
              <w:bottom w:val="nil"/>
              <w:right w:val="nil"/>
            </w:tcBorders>
            <w:shd w:val="clear" w:color="auto" w:fill="auto"/>
            <w:vAlign w:val="center"/>
          </w:tcPr>
          <w:p w14:paraId="2A86B153" w14:textId="1C59B56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23.5</w:t>
            </w:r>
          </w:p>
        </w:tc>
        <w:tc>
          <w:tcPr>
            <w:tcW w:w="561" w:type="dxa"/>
            <w:tcBorders>
              <w:top w:val="single" w:sz="4" w:space="0" w:color="auto"/>
              <w:left w:val="nil"/>
              <w:bottom w:val="nil"/>
              <w:right w:val="nil"/>
            </w:tcBorders>
            <w:shd w:val="clear" w:color="auto" w:fill="auto"/>
            <w:vAlign w:val="center"/>
          </w:tcPr>
          <w:p w14:paraId="0C4D9246" w14:textId="4536FAD1"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22.9</w:t>
            </w:r>
          </w:p>
        </w:tc>
        <w:tc>
          <w:tcPr>
            <w:tcW w:w="562" w:type="dxa"/>
            <w:tcBorders>
              <w:top w:val="single" w:sz="4" w:space="0" w:color="auto"/>
              <w:left w:val="nil"/>
              <w:bottom w:val="nil"/>
              <w:right w:val="nil"/>
            </w:tcBorders>
            <w:shd w:val="clear" w:color="auto" w:fill="auto"/>
            <w:vAlign w:val="center"/>
          </w:tcPr>
          <w:p w14:paraId="16F14818" w14:textId="7D347B4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23.0</w:t>
            </w:r>
          </w:p>
        </w:tc>
        <w:tc>
          <w:tcPr>
            <w:tcW w:w="561" w:type="dxa"/>
            <w:tcBorders>
              <w:top w:val="single" w:sz="4" w:space="0" w:color="auto"/>
              <w:left w:val="nil"/>
              <w:bottom w:val="nil"/>
              <w:right w:val="nil"/>
            </w:tcBorders>
            <w:shd w:val="clear" w:color="auto" w:fill="auto"/>
            <w:vAlign w:val="center"/>
          </w:tcPr>
          <w:p w14:paraId="41679131" w14:textId="5EF7DE59"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23.7</w:t>
            </w:r>
          </w:p>
        </w:tc>
        <w:tc>
          <w:tcPr>
            <w:tcW w:w="562" w:type="dxa"/>
            <w:tcBorders>
              <w:top w:val="single" w:sz="4" w:space="0" w:color="auto"/>
              <w:left w:val="nil"/>
              <w:bottom w:val="nil"/>
              <w:right w:val="nil"/>
            </w:tcBorders>
            <w:shd w:val="clear" w:color="auto" w:fill="auto"/>
            <w:vAlign w:val="center"/>
          </w:tcPr>
          <w:p w14:paraId="3D39E1CA" w14:textId="0842C746"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25.6</w:t>
            </w:r>
          </w:p>
        </w:tc>
        <w:tc>
          <w:tcPr>
            <w:tcW w:w="561" w:type="dxa"/>
            <w:tcBorders>
              <w:top w:val="single" w:sz="4" w:space="0" w:color="auto"/>
              <w:left w:val="nil"/>
              <w:bottom w:val="nil"/>
              <w:right w:val="nil"/>
            </w:tcBorders>
            <w:shd w:val="clear" w:color="auto" w:fill="auto"/>
            <w:vAlign w:val="center"/>
          </w:tcPr>
          <w:p w14:paraId="7097C5D1" w14:textId="2429BB12"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27.0</w:t>
            </w:r>
          </w:p>
        </w:tc>
        <w:tc>
          <w:tcPr>
            <w:tcW w:w="562" w:type="dxa"/>
            <w:tcBorders>
              <w:top w:val="single" w:sz="4" w:space="0" w:color="auto"/>
              <w:left w:val="nil"/>
              <w:bottom w:val="nil"/>
              <w:right w:val="nil"/>
            </w:tcBorders>
            <w:shd w:val="clear" w:color="auto" w:fill="auto"/>
            <w:vAlign w:val="center"/>
          </w:tcPr>
          <w:p w14:paraId="098CCF0D" w14:textId="73AA5475"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25.4</w:t>
            </w:r>
          </w:p>
        </w:tc>
        <w:tc>
          <w:tcPr>
            <w:tcW w:w="561" w:type="dxa"/>
            <w:tcBorders>
              <w:top w:val="single" w:sz="4" w:space="0" w:color="auto"/>
              <w:left w:val="nil"/>
              <w:bottom w:val="nil"/>
              <w:right w:val="nil"/>
            </w:tcBorders>
            <w:shd w:val="clear" w:color="auto" w:fill="auto"/>
            <w:vAlign w:val="center"/>
          </w:tcPr>
          <w:p w14:paraId="79EFDD64" w14:textId="365839B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24.6</w:t>
            </w:r>
          </w:p>
        </w:tc>
        <w:tc>
          <w:tcPr>
            <w:tcW w:w="562" w:type="dxa"/>
            <w:tcBorders>
              <w:top w:val="single" w:sz="4" w:space="0" w:color="auto"/>
              <w:left w:val="nil"/>
              <w:bottom w:val="nil"/>
              <w:right w:val="nil"/>
            </w:tcBorders>
            <w:shd w:val="clear" w:color="auto" w:fill="auto"/>
            <w:vAlign w:val="center"/>
          </w:tcPr>
          <w:p w14:paraId="020D43F6" w14:textId="5DF027A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23.2</w:t>
            </w:r>
          </w:p>
        </w:tc>
        <w:tc>
          <w:tcPr>
            <w:tcW w:w="561" w:type="dxa"/>
            <w:tcBorders>
              <w:top w:val="single" w:sz="4" w:space="0" w:color="auto"/>
              <w:left w:val="nil"/>
              <w:bottom w:val="nil"/>
              <w:right w:val="nil"/>
            </w:tcBorders>
            <w:shd w:val="clear" w:color="auto" w:fill="auto"/>
            <w:vAlign w:val="center"/>
          </w:tcPr>
          <w:p w14:paraId="51F4E6F1" w14:textId="66F3F9C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21.9</w:t>
            </w:r>
          </w:p>
        </w:tc>
        <w:tc>
          <w:tcPr>
            <w:tcW w:w="563" w:type="dxa"/>
            <w:tcBorders>
              <w:top w:val="single" w:sz="4" w:space="0" w:color="auto"/>
              <w:left w:val="nil"/>
              <w:bottom w:val="nil"/>
              <w:right w:val="nil"/>
            </w:tcBorders>
            <w:shd w:val="clear" w:color="auto" w:fill="auto"/>
            <w:vAlign w:val="center"/>
          </w:tcPr>
          <w:p w14:paraId="3B4C9CB2" w14:textId="37901FE9"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24.7</w:t>
            </w:r>
          </w:p>
        </w:tc>
        <w:tc>
          <w:tcPr>
            <w:tcW w:w="583" w:type="dxa"/>
            <w:tcBorders>
              <w:top w:val="single" w:sz="4" w:space="0" w:color="auto"/>
              <w:left w:val="nil"/>
              <w:bottom w:val="nil"/>
              <w:right w:val="single" w:sz="4" w:space="0" w:color="auto"/>
            </w:tcBorders>
            <w:shd w:val="clear" w:color="auto" w:fill="auto"/>
            <w:vAlign w:val="center"/>
          </w:tcPr>
          <w:p w14:paraId="05242DC9" w14:textId="3971FF2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24.5</w:t>
            </w:r>
          </w:p>
        </w:tc>
        <w:tc>
          <w:tcPr>
            <w:tcW w:w="563" w:type="dxa"/>
            <w:tcBorders>
              <w:top w:val="single" w:sz="4" w:space="0" w:color="auto"/>
              <w:left w:val="single" w:sz="4" w:space="0" w:color="auto"/>
              <w:bottom w:val="nil"/>
              <w:right w:val="single" w:sz="4" w:space="0" w:color="auto"/>
            </w:tcBorders>
            <w:shd w:val="clear" w:color="auto" w:fill="auto"/>
            <w:vAlign w:val="center"/>
          </w:tcPr>
          <w:p w14:paraId="57FD38AE" w14:textId="53F2ABEF" w:rsidR="007828A4" w:rsidRPr="007828A4" w:rsidRDefault="007828A4" w:rsidP="007828A4">
            <w:pPr>
              <w:jc w:val="right"/>
              <w:rPr>
                <w:rFonts w:asciiTheme="minorHAnsi" w:hAnsiTheme="minorHAnsi" w:cstheme="minorHAnsi"/>
                <w:sz w:val="16"/>
                <w:szCs w:val="16"/>
              </w:rPr>
            </w:pPr>
            <w:r w:rsidRPr="007828A4">
              <w:rPr>
                <w:rFonts w:ascii="Calibri" w:hAnsi="Calibri" w:cs="Calibri"/>
                <w:color w:val="000000"/>
                <w:sz w:val="16"/>
                <w:szCs w:val="16"/>
              </w:rPr>
              <w:t>24.4</w:t>
            </w:r>
          </w:p>
        </w:tc>
      </w:tr>
      <w:tr w:rsidR="007828A4" w14:paraId="44BEAC36" w14:textId="77777777" w:rsidTr="007828A4">
        <w:trPr>
          <w:trHeight w:val="365"/>
        </w:trPr>
        <w:tc>
          <w:tcPr>
            <w:tcW w:w="1060" w:type="dxa"/>
            <w:tcBorders>
              <w:top w:val="nil"/>
            </w:tcBorders>
          </w:tcPr>
          <w:p w14:paraId="13E24359" w14:textId="77777777" w:rsidR="007828A4" w:rsidRDefault="007828A4" w:rsidP="007828A4">
            <w:pPr>
              <w:rPr>
                <w:rFonts w:ascii="Calibri" w:eastAsiaTheme="minorEastAsia" w:hAnsi="Calibri" w:cs="Calibri"/>
                <w:color w:val="000000" w:themeColor="text1"/>
                <w:sz w:val="16"/>
                <w:szCs w:val="16"/>
                <w:lang w:eastAsia="en-US"/>
              </w:rPr>
            </w:pPr>
          </w:p>
        </w:tc>
        <w:tc>
          <w:tcPr>
            <w:tcW w:w="1393" w:type="dxa"/>
            <w:tcBorders>
              <w:top w:val="nil"/>
              <w:right w:val="single" w:sz="4" w:space="0" w:color="auto"/>
            </w:tcBorders>
            <w:vAlign w:val="center"/>
          </w:tcPr>
          <w:p w14:paraId="6A3E70C4" w14:textId="77777777" w:rsidR="007828A4" w:rsidRDefault="007828A4" w:rsidP="007828A4">
            <w:pPr>
              <w:jc w:val="right"/>
              <w:rPr>
                <w:rFonts w:ascii="Calibri" w:eastAsiaTheme="minorEastAsia" w:hAnsi="Calibri" w:cs="Calibri"/>
                <w:color w:val="000000" w:themeColor="text1"/>
                <w:sz w:val="16"/>
                <w:szCs w:val="16"/>
                <w:lang w:eastAsia="en-US"/>
              </w:rPr>
            </w:pPr>
            <w:r w:rsidRPr="000F4E68">
              <w:rPr>
                <w:rFonts w:ascii="Calibri" w:eastAsiaTheme="minorEastAsia" w:hAnsi="Calibri" w:cs="Calibri"/>
                <w:color w:val="000000" w:themeColor="text1"/>
                <w:sz w:val="16"/>
                <w:szCs w:val="16"/>
                <w:lang w:eastAsia="en-US"/>
              </w:rPr>
              <w:t xml:space="preserve">Valid to </w:t>
            </w:r>
            <w:r w:rsidRPr="27957EF8">
              <w:rPr>
                <w:rFonts w:ascii="Calibri" w:eastAsiaTheme="minorEastAsia" w:hAnsi="Calibri" w:cs="Calibri"/>
                <w:color w:val="000000" w:themeColor="text1"/>
                <w:sz w:val="16"/>
                <w:szCs w:val="16"/>
                <w:lang w:eastAsia="en-US"/>
              </w:rPr>
              <w:t>Decision (</w:t>
            </w:r>
            <w:r w:rsidRPr="55CEB90B">
              <w:rPr>
                <w:rFonts w:ascii="Calibri" w:eastAsiaTheme="minorEastAsia" w:hAnsi="Calibri" w:cs="Calibri"/>
                <w:color w:val="000000" w:themeColor="text1"/>
                <w:sz w:val="16"/>
                <w:szCs w:val="16"/>
                <w:lang w:eastAsia="en-US"/>
              </w:rPr>
              <w:t xml:space="preserve">median </w:t>
            </w:r>
            <w:proofErr w:type="spellStart"/>
            <w:r w:rsidRPr="738CF172">
              <w:rPr>
                <w:rFonts w:ascii="Calibri" w:eastAsiaTheme="minorEastAsia" w:hAnsi="Calibri" w:cs="Calibri"/>
                <w:color w:val="000000" w:themeColor="text1"/>
                <w:sz w:val="16"/>
                <w:szCs w:val="16"/>
                <w:lang w:eastAsia="en-US"/>
              </w:rPr>
              <w:t>wks</w:t>
            </w:r>
            <w:proofErr w:type="spellEnd"/>
            <w:r w:rsidRPr="738CF172">
              <w:rPr>
                <w:rFonts w:ascii="Calibri" w:eastAsiaTheme="minorEastAsia" w:hAnsi="Calibri" w:cs="Calibri"/>
                <w:color w:val="000000" w:themeColor="text1"/>
                <w:sz w:val="16"/>
                <w:szCs w:val="16"/>
                <w:lang w:eastAsia="en-US"/>
              </w:rPr>
              <w:t>)</w:t>
            </w:r>
          </w:p>
        </w:tc>
        <w:tc>
          <w:tcPr>
            <w:tcW w:w="561" w:type="dxa"/>
            <w:tcBorders>
              <w:top w:val="nil"/>
              <w:left w:val="nil"/>
              <w:bottom w:val="nil"/>
              <w:right w:val="nil"/>
            </w:tcBorders>
            <w:shd w:val="clear" w:color="auto" w:fill="auto"/>
            <w:vAlign w:val="center"/>
          </w:tcPr>
          <w:p w14:paraId="7878FB52" w14:textId="5CDFC488"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21.3</w:t>
            </w:r>
          </w:p>
        </w:tc>
        <w:tc>
          <w:tcPr>
            <w:tcW w:w="561" w:type="dxa"/>
            <w:tcBorders>
              <w:top w:val="nil"/>
              <w:left w:val="nil"/>
              <w:bottom w:val="nil"/>
              <w:right w:val="nil"/>
            </w:tcBorders>
            <w:shd w:val="clear" w:color="auto" w:fill="auto"/>
            <w:vAlign w:val="center"/>
          </w:tcPr>
          <w:p w14:paraId="544E7D1D" w14:textId="40EACE93"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22.1</w:t>
            </w:r>
          </w:p>
        </w:tc>
        <w:tc>
          <w:tcPr>
            <w:tcW w:w="562" w:type="dxa"/>
            <w:tcBorders>
              <w:top w:val="nil"/>
              <w:left w:val="nil"/>
              <w:bottom w:val="nil"/>
              <w:right w:val="nil"/>
            </w:tcBorders>
            <w:shd w:val="clear" w:color="auto" w:fill="auto"/>
            <w:vAlign w:val="center"/>
          </w:tcPr>
          <w:p w14:paraId="622292FB" w14:textId="29AD8AC8"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21.9</w:t>
            </w:r>
          </w:p>
        </w:tc>
        <w:tc>
          <w:tcPr>
            <w:tcW w:w="561" w:type="dxa"/>
            <w:tcBorders>
              <w:top w:val="nil"/>
              <w:left w:val="nil"/>
              <w:bottom w:val="nil"/>
              <w:right w:val="nil"/>
            </w:tcBorders>
            <w:shd w:val="clear" w:color="auto" w:fill="auto"/>
            <w:vAlign w:val="center"/>
          </w:tcPr>
          <w:p w14:paraId="636D9208" w14:textId="21205347"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22.6</w:t>
            </w:r>
          </w:p>
        </w:tc>
        <w:tc>
          <w:tcPr>
            <w:tcW w:w="562" w:type="dxa"/>
            <w:tcBorders>
              <w:top w:val="nil"/>
              <w:left w:val="nil"/>
              <w:bottom w:val="nil"/>
              <w:right w:val="nil"/>
            </w:tcBorders>
            <w:shd w:val="clear" w:color="auto" w:fill="auto"/>
            <w:vAlign w:val="center"/>
          </w:tcPr>
          <w:p w14:paraId="7D88177E" w14:textId="3ADB4F6D"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24.1</w:t>
            </w:r>
          </w:p>
        </w:tc>
        <w:tc>
          <w:tcPr>
            <w:tcW w:w="561" w:type="dxa"/>
            <w:tcBorders>
              <w:top w:val="nil"/>
              <w:left w:val="nil"/>
              <w:bottom w:val="nil"/>
              <w:right w:val="nil"/>
            </w:tcBorders>
            <w:shd w:val="clear" w:color="auto" w:fill="auto"/>
            <w:vAlign w:val="center"/>
          </w:tcPr>
          <w:p w14:paraId="68FA2DC3" w14:textId="581F0C6A"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25.6</w:t>
            </w:r>
          </w:p>
        </w:tc>
        <w:tc>
          <w:tcPr>
            <w:tcW w:w="562" w:type="dxa"/>
            <w:tcBorders>
              <w:top w:val="nil"/>
              <w:left w:val="nil"/>
              <w:bottom w:val="nil"/>
              <w:right w:val="nil"/>
            </w:tcBorders>
            <w:shd w:val="clear" w:color="auto" w:fill="auto"/>
            <w:vAlign w:val="center"/>
          </w:tcPr>
          <w:p w14:paraId="60BA8EBE" w14:textId="4880E213"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22.7</w:t>
            </w:r>
          </w:p>
        </w:tc>
        <w:tc>
          <w:tcPr>
            <w:tcW w:w="561" w:type="dxa"/>
            <w:tcBorders>
              <w:top w:val="nil"/>
              <w:left w:val="nil"/>
              <w:bottom w:val="nil"/>
              <w:right w:val="nil"/>
            </w:tcBorders>
            <w:shd w:val="clear" w:color="auto" w:fill="auto"/>
            <w:vAlign w:val="center"/>
          </w:tcPr>
          <w:p w14:paraId="7003075B" w14:textId="74A53A17"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20.9</w:t>
            </w:r>
          </w:p>
        </w:tc>
        <w:tc>
          <w:tcPr>
            <w:tcW w:w="562" w:type="dxa"/>
            <w:tcBorders>
              <w:top w:val="nil"/>
              <w:left w:val="nil"/>
              <w:bottom w:val="nil"/>
              <w:right w:val="nil"/>
            </w:tcBorders>
            <w:shd w:val="clear" w:color="auto" w:fill="auto"/>
            <w:vAlign w:val="center"/>
          </w:tcPr>
          <w:p w14:paraId="3F3E2352" w14:textId="3929ACF9"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19.8</w:t>
            </w:r>
          </w:p>
        </w:tc>
        <w:tc>
          <w:tcPr>
            <w:tcW w:w="561" w:type="dxa"/>
            <w:tcBorders>
              <w:top w:val="nil"/>
              <w:left w:val="nil"/>
              <w:bottom w:val="nil"/>
              <w:right w:val="nil"/>
            </w:tcBorders>
            <w:shd w:val="clear" w:color="auto" w:fill="auto"/>
            <w:vAlign w:val="center"/>
          </w:tcPr>
          <w:p w14:paraId="4DDDE4F8" w14:textId="65DD55D4"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18.3</w:t>
            </w:r>
          </w:p>
        </w:tc>
        <w:tc>
          <w:tcPr>
            <w:tcW w:w="563" w:type="dxa"/>
            <w:tcBorders>
              <w:top w:val="nil"/>
              <w:left w:val="nil"/>
              <w:bottom w:val="nil"/>
              <w:right w:val="nil"/>
            </w:tcBorders>
            <w:shd w:val="clear" w:color="auto" w:fill="auto"/>
            <w:vAlign w:val="center"/>
          </w:tcPr>
          <w:p w14:paraId="54A5D250" w14:textId="6B031C54"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20.9</w:t>
            </w:r>
          </w:p>
        </w:tc>
        <w:tc>
          <w:tcPr>
            <w:tcW w:w="583" w:type="dxa"/>
            <w:tcBorders>
              <w:top w:val="nil"/>
              <w:left w:val="nil"/>
              <w:bottom w:val="nil"/>
              <w:right w:val="single" w:sz="4" w:space="0" w:color="auto"/>
            </w:tcBorders>
            <w:shd w:val="clear" w:color="auto" w:fill="auto"/>
            <w:vAlign w:val="center"/>
          </w:tcPr>
          <w:p w14:paraId="78822731" w14:textId="70291463"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21.6</w:t>
            </w:r>
          </w:p>
        </w:tc>
        <w:tc>
          <w:tcPr>
            <w:tcW w:w="563" w:type="dxa"/>
            <w:tcBorders>
              <w:top w:val="nil"/>
              <w:left w:val="single" w:sz="4" w:space="0" w:color="auto"/>
              <w:bottom w:val="nil"/>
              <w:right w:val="single" w:sz="4" w:space="0" w:color="auto"/>
            </w:tcBorders>
            <w:shd w:val="clear" w:color="auto" w:fill="auto"/>
            <w:vAlign w:val="center"/>
          </w:tcPr>
          <w:p w14:paraId="342684BA" w14:textId="6529BEAD" w:rsidR="007828A4" w:rsidRPr="007828A4" w:rsidRDefault="007828A4" w:rsidP="007828A4">
            <w:pPr>
              <w:jc w:val="right"/>
              <w:rPr>
                <w:rFonts w:asciiTheme="minorHAnsi" w:hAnsiTheme="minorHAnsi" w:cstheme="minorHAnsi"/>
                <w:sz w:val="16"/>
                <w:szCs w:val="16"/>
              </w:rPr>
            </w:pPr>
            <w:r w:rsidRPr="007828A4">
              <w:rPr>
                <w:rFonts w:ascii="Calibri" w:hAnsi="Calibri" w:cs="Calibri"/>
                <w:color w:val="000000"/>
                <w:sz w:val="16"/>
                <w:szCs w:val="16"/>
              </w:rPr>
              <w:t>21.9</w:t>
            </w:r>
          </w:p>
        </w:tc>
      </w:tr>
      <w:tr w:rsidR="007828A4" w14:paraId="64822D72" w14:textId="77777777" w:rsidTr="007828A4">
        <w:trPr>
          <w:trHeight w:val="365"/>
        </w:trPr>
        <w:tc>
          <w:tcPr>
            <w:tcW w:w="1060" w:type="dxa"/>
            <w:tcBorders>
              <w:bottom w:val="single" w:sz="4" w:space="0" w:color="auto"/>
            </w:tcBorders>
          </w:tcPr>
          <w:p w14:paraId="61E168E2" w14:textId="77777777" w:rsidR="007828A4" w:rsidRDefault="007828A4" w:rsidP="007828A4">
            <w:pPr>
              <w:rPr>
                <w:rFonts w:ascii="Calibri" w:eastAsiaTheme="minorEastAsia" w:hAnsi="Calibri" w:cs="Calibri"/>
                <w:color w:val="000000" w:themeColor="text1"/>
                <w:sz w:val="16"/>
                <w:szCs w:val="16"/>
                <w:lang w:eastAsia="en-US"/>
              </w:rPr>
            </w:pPr>
          </w:p>
        </w:tc>
        <w:tc>
          <w:tcPr>
            <w:tcW w:w="1393" w:type="dxa"/>
            <w:tcBorders>
              <w:bottom w:val="single" w:sz="4" w:space="0" w:color="auto"/>
              <w:right w:val="single" w:sz="4" w:space="0" w:color="auto"/>
            </w:tcBorders>
            <w:vAlign w:val="center"/>
          </w:tcPr>
          <w:p w14:paraId="1F819B11" w14:textId="77777777" w:rsidR="007828A4" w:rsidRDefault="007828A4" w:rsidP="007828A4">
            <w:pPr>
              <w:jc w:val="right"/>
              <w:rPr>
                <w:rFonts w:ascii="Calibri" w:eastAsiaTheme="minorEastAsia" w:hAnsi="Calibri" w:cs="Calibri"/>
                <w:color w:val="000000" w:themeColor="text1"/>
                <w:sz w:val="16"/>
                <w:szCs w:val="16"/>
                <w:lang w:eastAsia="en-US"/>
              </w:rPr>
            </w:pPr>
            <w:r w:rsidRPr="49984371">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w:t>
            </w:r>
            <w:r w:rsidRPr="49984371">
              <w:rPr>
                <w:rFonts w:ascii="Calibri" w:eastAsiaTheme="minorEastAsia" w:hAnsi="Calibri" w:cs="Calibri"/>
                <w:color w:val="000000" w:themeColor="text1"/>
                <w:sz w:val="16"/>
                <w:szCs w:val="16"/>
                <w:lang w:eastAsia="en-US"/>
              </w:rPr>
              <w:t xml:space="preserve"> dev</w:t>
            </w:r>
            <w:r>
              <w:rPr>
                <w:rFonts w:ascii="Calibri" w:eastAsiaTheme="minorEastAsia" w:hAnsi="Calibri" w:cs="Calibri"/>
                <w:color w:val="000000" w:themeColor="text1"/>
                <w:sz w:val="16"/>
                <w:szCs w:val="16"/>
                <w:lang w:eastAsia="en-US"/>
              </w:rPr>
              <w:t xml:space="preserve">. </w:t>
            </w:r>
            <w:r w:rsidRPr="2316148C">
              <w:rPr>
                <w:rFonts w:ascii="Calibri" w:eastAsiaTheme="minorEastAsia" w:hAnsi="Calibri" w:cs="Calibri"/>
                <w:color w:val="000000" w:themeColor="text1"/>
                <w:sz w:val="16"/>
                <w:szCs w:val="16"/>
                <w:lang w:eastAsia="en-US"/>
              </w:rPr>
              <w:t>of decision (</w:t>
            </w:r>
            <w:r w:rsidRPr="6A4B1EE4">
              <w:rPr>
                <w:rFonts w:ascii="Calibri" w:eastAsiaTheme="minorEastAsia" w:hAnsi="Calibri" w:cs="Calibri"/>
                <w:color w:val="000000" w:themeColor="text1"/>
                <w:sz w:val="16"/>
                <w:szCs w:val="16"/>
                <w:lang w:eastAsia="en-US"/>
              </w:rPr>
              <w:t>weeks)</w:t>
            </w:r>
          </w:p>
        </w:tc>
        <w:tc>
          <w:tcPr>
            <w:tcW w:w="561" w:type="dxa"/>
            <w:tcBorders>
              <w:top w:val="nil"/>
              <w:left w:val="nil"/>
              <w:bottom w:val="single" w:sz="4" w:space="0" w:color="auto"/>
              <w:right w:val="nil"/>
            </w:tcBorders>
            <w:shd w:val="clear" w:color="auto" w:fill="auto"/>
            <w:vAlign w:val="center"/>
          </w:tcPr>
          <w:p w14:paraId="4A26A368" w14:textId="3FE3119A"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10.0</w:t>
            </w:r>
          </w:p>
        </w:tc>
        <w:tc>
          <w:tcPr>
            <w:tcW w:w="561" w:type="dxa"/>
            <w:tcBorders>
              <w:top w:val="nil"/>
              <w:left w:val="nil"/>
              <w:bottom w:val="single" w:sz="4" w:space="0" w:color="auto"/>
              <w:right w:val="nil"/>
            </w:tcBorders>
            <w:shd w:val="clear" w:color="auto" w:fill="auto"/>
            <w:vAlign w:val="center"/>
          </w:tcPr>
          <w:p w14:paraId="4757AA84" w14:textId="4910191F"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9.6</w:t>
            </w:r>
          </w:p>
        </w:tc>
        <w:tc>
          <w:tcPr>
            <w:tcW w:w="562" w:type="dxa"/>
            <w:tcBorders>
              <w:top w:val="nil"/>
              <w:left w:val="nil"/>
              <w:bottom w:val="single" w:sz="4" w:space="0" w:color="auto"/>
              <w:right w:val="nil"/>
            </w:tcBorders>
            <w:shd w:val="clear" w:color="auto" w:fill="auto"/>
            <w:vAlign w:val="center"/>
          </w:tcPr>
          <w:p w14:paraId="09356CB6" w14:textId="7097F887"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11.4</w:t>
            </w:r>
          </w:p>
        </w:tc>
        <w:tc>
          <w:tcPr>
            <w:tcW w:w="561" w:type="dxa"/>
            <w:tcBorders>
              <w:top w:val="nil"/>
              <w:left w:val="nil"/>
              <w:bottom w:val="single" w:sz="4" w:space="0" w:color="auto"/>
              <w:right w:val="nil"/>
            </w:tcBorders>
            <w:shd w:val="clear" w:color="auto" w:fill="auto"/>
            <w:vAlign w:val="center"/>
          </w:tcPr>
          <w:p w14:paraId="61984507" w14:textId="0568B43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9.8</w:t>
            </w:r>
          </w:p>
        </w:tc>
        <w:tc>
          <w:tcPr>
            <w:tcW w:w="562" w:type="dxa"/>
            <w:tcBorders>
              <w:top w:val="nil"/>
              <w:left w:val="nil"/>
              <w:bottom w:val="single" w:sz="4" w:space="0" w:color="auto"/>
              <w:right w:val="nil"/>
            </w:tcBorders>
            <w:shd w:val="clear" w:color="auto" w:fill="auto"/>
            <w:vAlign w:val="center"/>
          </w:tcPr>
          <w:p w14:paraId="299CFF40" w14:textId="0DB7CD19"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11.3</w:t>
            </w:r>
          </w:p>
        </w:tc>
        <w:tc>
          <w:tcPr>
            <w:tcW w:w="561" w:type="dxa"/>
            <w:tcBorders>
              <w:top w:val="nil"/>
              <w:left w:val="nil"/>
              <w:bottom w:val="single" w:sz="4" w:space="0" w:color="auto"/>
              <w:right w:val="nil"/>
            </w:tcBorders>
            <w:shd w:val="clear" w:color="auto" w:fill="auto"/>
            <w:vAlign w:val="center"/>
          </w:tcPr>
          <w:p w14:paraId="06F90EB3" w14:textId="4CAAB35F"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11.3</w:t>
            </w:r>
          </w:p>
        </w:tc>
        <w:tc>
          <w:tcPr>
            <w:tcW w:w="562" w:type="dxa"/>
            <w:tcBorders>
              <w:top w:val="nil"/>
              <w:left w:val="nil"/>
              <w:bottom w:val="single" w:sz="4" w:space="0" w:color="auto"/>
              <w:right w:val="nil"/>
            </w:tcBorders>
            <w:shd w:val="clear" w:color="auto" w:fill="auto"/>
            <w:vAlign w:val="center"/>
          </w:tcPr>
          <w:p w14:paraId="1BB59157" w14:textId="3C54CF09"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12.3</w:t>
            </w:r>
          </w:p>
        </w:tc>
        <w:tc>
          <w:tcPr>
            <w:tcW w:w="561" w:type="dxa"/>
            <w:tcBorders>
              <w:top w:val="nil"/>
              <w:left w:val="nil"/>
              <w:bottom w:val="single" w:sz="4" w:space="0" w:color="auto"/>
              <w:right w:val="nil"/>
            </w:tcBorders>
            <w:shd w:val="clear" w:color="auto" w:fill="auto"/>
            <w:vAlign w:val="center"/>
          </w:tcPr>
          <w:p w14:paraId="1F9585CF" w14:textId="752CC940"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12.3</w:t>
            </w:r>
          </w:p>
        </w:tc>
        <w:tc>
          <w:tcPr>
            <w:tcW w:w="562" w:type="dxa"/>
            <w:tcBorders>
              <w:top w:val="nil"/>
              <w:left w:val="nil"/>
              <w:bottom w:val="single" w:sz="4" w:space="0" w:color="auto"/>
              <w:right w:val="nil"/>
            </w:tcBorders>
            <w:shd w:val="clear" w:color="auto" w:fill="auto"/>
            <w:vAlign w:val="center"/>
          </w:tcPr>
          <w:p w14:paraId="463B0973" w14:textId="51076572"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11.6</w:t>
            </w:r>
          </w:p>
        </w:tc>
        <w:tc>
          <w:tcPr>
            <w:tcW w:w="561" w:type="dxa"/>
            <w:tcBorders>
              <w:top w:val="nil"/>
              <w:left w:val="nil"/>
              <w:bottom w:val="single" w:sz="4" w:space="0" w:color="auto"/>
              <w:right w:val="nil"/>
            </w:tcBorders>
            <w:shd w:val="clear" w:color="auto" w:fill="auto"/>
            <w:vAlign w:val="center"/>
          </w:tcPr>
          <w:p w14:paraId="61E663E8" w14:textId="573CBEDC"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12.3</w:t>
            </w:r>
          </w:p>
        </w:tc>
        <w:tc>
          <w:tcPr>
            <w:tcW w:w="563" w:type="dxa"/>
            <w:tcBorders>
              <w:top w:val="nil"/>
              <w:left w:val="nil"/>
              <w:bottom w:val="single" w:sz="4" w:space="0" w:color="auto"/>
              <w:right w:val="nil"/>
            </w:tcBorders>
            <w:shd w:val="clear" w:color="auto" w:fill="auto"/>
            <w:vAlign w:val="center"/>
          </w:tcPr>
          <w:p w14:paraId="5E93A108" w14:textId="62C8EE9F"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14.6</w:t>
            </w:r>
          </w:p>
        </w:tc>
        <w:tc>
          <w:tcPr>
            <w:tcW w:w="583" w:type="dxa"/>
            <w:tcBorders>
              <w:top w:val="nil"/>
              <w:left w:val="nil"/>
              <w:bottom w:val="single" w:sz="4" w:space="0" w:color="auto"/>
              <w:right w:val="single" w:sz="4" w:space="0" w:color="auto"/>
            </w:tcBorders>
            <w:shd w:val="clear" w:color="auto" w:fill="auto"/>
            <w:vAlign w:val="center"/>
          </w:tcPr>
          <w:p w14:paraId="6095A35E" w14:textId="62783E4C"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13.2</w:t>
            </w:r>
          </w:p>
        </w:tc>
        <w:tc>
          <w:tcPr>
            <w:tcW w:w="563" w:type="dxa"/>
            <w:tcBorders>
              <w:top w:val="nil"/>
              <w:left w:val="single" w:sz="4" w:space="0" w:color="auto"/>
              <w:bottom w:val="single" w:sz="4" w:space="0" w:color="auto"/>
              <w:right w:val="single" w:sz="4" w:space="0" w:color="auto"/>
            </w:tcBorders>
            <w:shd w:val="clear" w:color="auto" w:fill="auto"/>
            <w:vAlign w:val="center"/>
          </w:tcPr>
          <w:p w14:paraId="67A949D4" w14:textId="665F2AF8" w:rsidR="007828A4" w:rsidRPr="007828A4" w:rsidRDefault="007828A4" w:rsidP="007828A4">
            <w:pPr>
              <w:jc w:val="right"/>
              <w:rPr>
                <w:rFonts w:asciiTheme="minorHAnsi" w:hAnsiTheme="minorHAnsi" w:cstheme="minorHAnsi"/>
                <w:sz w:val="16"/>
                <w:szCs w:val="16"/>
              </w:rPr>
            </w:pPr>
            <w:r w:rsidRPr="007828A4">
              <w:rPr>
                <w:rFonts w:ascii="Calibri" w:hAnsi="Calibri" w:cs="Calibri"/>
                <w:color w:val="000000"/>
                <w:sz w:val="16"/>
                <w:szCs w:val="16"/>
              </w:rPr>
              <w:t>11.9</w:t>
            </w:r>
          </w:p>
        </w:tc>
      </w:tr>
      <w:tr w:rsidR="007828A4" w14:paraId="41EC20FF" w14:textId="77777777" w:rsidTr="007828A4">
        <w:trPr>
          <w:trHeight w:val="365"/>
        </w:trPr>
        <w:tc>
          <w:tcPr>
            <w:tcW w:w="1060" w:type="dxa"/>
            <w:tcBorders>
              <w:top w:val="single" w:sz="4" w:space="0" w:color="auto"/>
              <w:bottom w:val="nil"/>
            </w:tcBorders>
          </w:tcPr>
          <w:p w14:paraId="711649AD" w14:textId="77777777" w:rsidR="007828A4" w:rsidRDefault="007828A4" w:rsidP="007828A4">
            <w:pPr>
              <w:rPr>
                <w:rFonts w:ascii="Calibri" w:eastAsiaTheme="minorEastAsia" w:hAnsi="Calibri" w:cs="Calibri"/>
                <w:color w:val="000000" w:themeColor="text1"/>
                <w:sz w:val="16"/>
                <w:szCs w:val="16"/>
                <w:lang w:eastAsia="en-US"/>
              </w:rPr>
            </w:pPr>
            <w:r w:rsidRPr="23C60F80">
              <w:rPr>
                <w:rFonts w:ascii="Calibri" w:eastAsiaTheme="minorEastAsia" w:hAnsi="Calibri" w:cs="Calibri"/>
                <w:color w:val="000000" w:themeColor="text1"/>
                <w:sz w:val="16"/>
                <w:szCs w:val="16"/>
                <w:lang w:eastAsia="en-US"/>
              </w:rPr>
              <w:t>Enforcement</w:t>
            </w:r>
            <w:r w:rsidRPr="442D0398">
              <w:rPr>
                <w:rFonts w:ascii="Calibri" w:eastAsiaTheme="minorEastAsia" w:hAnsi="Calibri" w:cs="Calibri"/>
                <w:color w:val="000000" w:themeColor="text1"/>
                <w:sz w:val="16"/>
                <w:szCs w:val="16"/>
                <w:lang w:eastAsia="en-US"/>
              </w:rPr>
              <w:t xml:space="preserve"> Cases</w:t>
            </w:r>
          </w:p>
        </w:tc>
        <w:tc>
          <w:tcPr>
            <w:tcW w:w="1393" w:type="dxa"/>
            <w:tcBorders>
              <w:top w:val="single" w:sz="4" w:space="0" w:color="auto"/>
              <w:bottom w:val="nil"/>
              <w:right w:val="single" w:sz="4" w:space="0" w:color="auto"/>
            </w:tcBorders>
            <w:vAlign w:val="center"/>
          </w:tcPr>
          <w:p w14:paraId="7F1554D3" w14:textId="77777777" w:rsidR="007828A4" w:rsidRDefault="007828A4" w:rsidP="007828A4">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 xml:space="preserve">Valid to Decision (mean </w:t>
            </w:r>
            <w:proofErr w:type="spellStart"/>
            <w:r w:rsidRPr="3BD70677">
              <w:rPr>
                <w:rFonts w:ascii="Calibri" w:eastAsiaTheme="minorEastAsia" w:hAnsi="Calibri" w:cs="Calibri"/>
                <w:color w:val="000000" w:themeColor="text1"/>
                <w:sz w:val="16"/>
                <w:szCs w:val="16"/>
                <w:lang w:eastAsia="en-US"/>
              </w:rPr>
              <w:t>wks</w:t>
            </w:r>
            <w:proofErr w:type="spellEnd"/>
            <w:r w:rsidRPr="3BD70677">
              <w:rPr>
                <w:rFonts w:ascii="Calibri" w:eastAsiaTheme="minorEastAsia" w:hAnsi="Calibri" w:cs="Calibri"/>
                <w:color w:val="000000" w:themeColor="text1"/>
                <w:sz w:val="16"/>
                <w:szCs w:val="16"/>
                <w:lang w:eastAsia="en-US"/>
              </w:rPr>
              <w:t>)</w:t>
            </w:r>
          </w:p>
        </w:tc>
        <w:tc>
          <w:tcPr>
            <w:tcW w:w="561" w:type="dxa"/>
            <w:tcBorders>
              <w:top w:val="nil"/>
              <w:left w:val="nil"/>
              <w:bottom w:val="nil"/>
              <w:right w:val="nil"/>
            </w:tcBorders>
            <w:shd w:val="clear" w:color="auto" w:fill="auto"/>
            <w:vAlign w:val="center"/>
          </w:tcPr>
          <w:p w14:paraId="706420E7" w14:textId="66479CCA"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37.5</w:t>
            </w:r>
          </w:p>
        </w:tc>
        <w:tc>
          <w:tcPr>
            <w:tcW w:w="561" w:type="dxa"/>
            <w:tcBorders>
              <w:top w:val="nil"/>
              <w:left w:val="nil"/>
              <w:bottom w:val="nil"/>
              <w:right w:val="nil"/>
            </w:tcBorders>
            <w:shd w:val="clear" w:color="auto" w:fill="auto"/>
            <w:vAlign w:val="center"/>
          </w:tcPr>
          <w:p w14:paraId="4C4F40AB" w14:textId="73E9B6E8"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38.0</w:t>
            </w:r>
          </w:p>
        </w:tc>
        <w:tc>
          <w:tcPr>
            <w:tcW w:w="562" w:type="dxa"/>
            <w:tcBorders>
              <w:top w:val="nil"/>
              <w:left w:val="nil"/>
              <w:bottom w:val="nil"/>
              <w:right w:val="nil"/>
            </w:tcBorders>
            <w:shd w:val="clear" w:color="auto" w:fill="auto"/>
            <w:vAlign w:val="center"/>
          </w:tcPr>
          <w:p w14:paraId="1770B89D" w14:textId="68AF14F7"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36.8</w:t>
            </w:r>
          </w:p>
        </w:tc>
        <w:tc>
          <w:tcPr>
            <w:tcW w:w="561" w:type="dxa"/>
            <w:tcBorders>
              <w:top w:val="nil"/>
              <w:left w:val="nil"/>
              <w:bottom w:val="nil"/>
              <w:right w:val="nil"/>
            </w:tcBorders>
            <w:shd w:val="clear" w:color="auto" w:fill="auto"/>
            <w:vAlign w:val="center"/>
          </w:tcPr>
          <w:p w14:paraId="5A67265E" w14:textId="479E1248"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37.5</w:t>
            </w:r>
          </w:p>
        </w:tc>
        <w:tc>
          <w:tcPr>
            <w:tcW w:w="562" w:type="dxa"/>
            <w:tcBorders>
              <w:top w:val="nil"/>
              <w:left w:val="nil"/>
              <w:bottom w:val="nil"/>
              <w:right w:val="nil"/>
            </w:tcBorders>
            <w:shd w:val="clear" w:color="auto" w:fill="auto"/>
            <w:vAlign w:val="center"/>
          </w:tcPr>
          <w:p w14:paraId="4237BAFE" w14:textId="512AC3C4"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42.8</w:t>
            </w:r>
          </w:p>
        </w:tc>
        <w:tc>
          <w:tcPr>
            <w:tcW w:w="561" w:type="dxa"/>
            <w:tcBorders>
              <w:top w:val="nil"/>
              <w:left w:val="nil"/>
              <w:bottom w:val="nil"/>
              <w:right w:val="nil"/>
            </w:tcBorders>
            <w:shd w:val="clear" w:color="auto" w:fill="auto"/>
            <w:vAlign w:val="center"/>
          </w:tcPr>
          <w:p w14:paraId="6F0D69C1" w14:textId="079065B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37.7</w:t>
            </w:r>
          </w:p>
        </w:tc>
        <w:tc>
          <w:tcPr>
            <w:tcW w:w="562" w:type="dxa"/>
            <w:tcBorders>
              <w:top w:val="nil"/>
              <w:left w:val="nil"/>
              <w:bottom w:val="nil"/>
              <w:right w:val="nil"/>
            </w:tcBorders>
            <w:shd w:val="clear" w:color="auto" w:fill="auto"/>
            <w:vAlign w:val="center"/>
          </w:tcPr>
          <w:p w14:paraId="709EF5E4" w14:textId="6C7BB6BA"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42.1</w:t>
            </w:r>
          </w:p>
        </w:tc>
        <w:tc>
          <w:tcPr>
            <w:tcW w:w="561" w:type="dxa"/>
            <w:tcBorders>
              <w:top w:val="nil"/>
              <w:left w:val="nil"/>
              <w:bottom w:val="nil"/>
              <w:right w:val="nil"/>
            </w:tcBorders>
            <w:shd w:val="clear" w:color="auto" w:fill="auto"/>
            <w:vAlign w:val="center"/>
          </w:tcPr>
          <w:p w14:paraId="1D4C1182" w14:textId="51B81F10"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43.7</w:t>
            </w:r>
          </w:p>
        </w:tc>
        <w:tc>
          <w:tcPr>
            <w:tcW w:w="562" w:type="dxa"/>
            <w:tcBorders>
              <w:top w:val="nil"/>
              <w:left w:val="nil"/>
              <w:bottom w:val="nil"/>
              <w:right w:val="nil"/>
            </w:tcBorders>
            <w:shd w:val="clear" w:color="auto" w:fill="auto"/>
            <w:vAlign w:val="center"/>
          </w:tcPr>
          <w:p w14:paraId="0A486E70" w14:textId="6C85B1F3"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42.7</w:t>
            </w:r>
          </w:p>
        </w:tc>
        <w:tc>
          <w:tcPr>
            <w:tcW w:w="561" w:type="dxa"/>
            <w:tcBorders>
              <w:top w:val="nil"/>
              <w:left w:val="nil"/>
              <w:bottom w:val="nil"/>
              <w:right w:val="nil"/>
            </w:tcBorders>
            <w:shd w:val="clear" w:color="auto" w:fill="auto"/>
            <w:vAlign w:val="center"/>
          </w:tcPr>
          <w:p w14:paraId="17C179BC" w14:textId="47883178"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41.6</w:t>
            </w:r>
          </w:p>
        </w:tc>
        <w:tc>
          <w:tcPr>
            <w:tcW w:w="563" w:type="dxa"/>
            <w:tcBorders>
              <w:top w:val="nil"/>
              <w:left w:val="nil"/>
              <w:bottom w:val="nil"/>
              <w:right w:val="nil"/>
            </w:tcBorders>
            <w:shd w:val="clear" w:color="auto" w:fill="auto"/>
            <w:vAlign w:val="center"/>
          </w:tcPr>
          <w:p w14:paraId="7467D9DD" w14:textId="50185654"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47.6</w:t>
            </w:r>
          </w:p>
        </w:tc>
        <w:tc>
          <w:tcPr>
            <w:tcW w:w="583" w:type="dxa"/>
            <w:tcBorders>
              <w:top w:val="nil"/>
              <w:left w:val="nil"/>
              <w:bottom w:val="nil"/>
              <w:right w:val="single" w:sz="4" w:space="0" w:color="auto"/>
            </w:tcBorders>
            <w:shd w:val="clear" w:color="auto" w:fill="auto"/>
            <w:vAlign w:val="center"/>
          </w:tcPr>
          <w:p w14:paraId="4F1DF8CF" w14:textId="407774E0"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40.6</w:t>
            </w:r>
          </w:p>
        </w:tc>
        <w:tc>
          <w:tcPr>
            <w:tcW w:w="563" w:type="dxa"/>
            <w:tcBorders>
              <w:top w:val="nil"/>
              <w:left w:val="single" w:sz="4" w:space="0" w:color="auto"/>
              <w:bottom w:val="nil"/>
              <w:right w:val="single" w:sz="4" w:space="0" w:color="auto"/>
            </w:tcBorders>
            <w:shd w:val="clear" w:color="auto" w:fill="auto"/>
            <w:vAlign w:val="center"/>
          </w:tcPr>
          <w:p w14:paraId="4BDEEB0D" w14:textId="384DADA5"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39.9</w:t>
            </w:r>
          </w:p>
        </w:tc>
      </w:tr>
      <w:tr w:rsidR="007828A4" w14:paraId="09143CA9" w14:textId="77777777" w:rsidTr="007828A4">
        <w:trPr>
          <w:trHeight w:val="365"/>
        </w:trPr>
        <w:tc>
          <w:tcPr>
            <w:tcW w:w="1060" w:type="dxa"/>
            <w:tcBorders>
              <w:top w:val="nil"/>
            </w:tcBorders>
          </w:tcPr>
          <w:p w14:paraId="1ABAB739" w14:textId="77777777" w:rsidR="007828A4" w:rsidRDefault="007828A4" w:rsidP="007828A4">
            <w:pPr>
              <w:rPr>
                <w:rFonts w:ascii="Calibri" w:eastAsiaTheme="minorEastAsia" w:hAnsi="Calibri" w:cs="Calibri"/>
                <w:color w:val="000000" w:themeColor="text1"/>
                <w:sz w:val="16"/>
                <w:szCs w:val="16"/>
                <w:lang w:eastAsia="en-US"/>
              </w:rPr>
            </w:pPr>
          </w:p>
        </w:tc>
        <w:tc>
          <w:tcPr>
            <w:tcW w:w="1393" w:type="dxa"/>
            <w:tcBorders>
              <w:top w:val="nil"/>
              <w:bottom w:val="nil"/>
              <w:right w:val="single" w:sz="4" w:space="0" w:color="auto"/>
            </w:tcBorders>
            <w:vAlign w:val="center"/>
          </w:tcPr>
          <w:p w14:paraId="0813BE5B" w14:textId="77777777" w:rsidR="007828A4" w:rsidRDefault="007828A4" w:rsidP="007828A4">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 xml:space="preserve">Valid to Decision (median </w:t>
            </w:r>
            <w:proofErr w:type="spellStart"/>
            <w:r w:rsidRPr="3BD70677">
              <w:rPr>
                <w:rFonts w:ascii="Calibri" w:eastAsiaTheme="minorEastAsia" w:hAnsi="Calibri" w:cs="Calibri"/>
                <w:color w:val="000000" w:themeColor="text1"/>
                <w:sz w:val="16"/>
                <w:szCs w:val="16"/>
                <w:lang w:eastAsia="en-US"/>
              </w:rPr>
              <w:t>wks</w:t>
            </w:r>
            <w:proofErr w:type="spellEnd"/>
            <w:r w:rsidRPr="3BD70677">
              <w:rPr>
                <w:rFonts w:ascii="Calibri" w:eastAsiaTheme="minorEastAsia" w:hAnsi="Calibri" w:cs="Calibri"/>
                <w:color w:val="000000" w:themeColor="text1"/>
                <w:sz w:val="16"/>
                <w:szCs w:val="16"/>
                <w:lang w:eastAsia="en-US"/>
              </w:rPr>
              <w:t>)</w:t>
            </w:r>
          </w:p>
        </w:tc>
        <w:tc>
          <w:tcPr>
            <w:tcW w:w="561" w:type="dxa"/>
            <w:tcBorders>
              <w:top w:val="nil"/>
              <w:left w:val="nil"/>
              <w:bottom w:val="nil"/>
              <w:right w:val="nil"/>
            </w:tcBorders>
            <w:shd w:val="clear" w:color="auto" w:fill="auto"/>
            <w:vAlign w:val="center"/>
          </w:tcPr>
          <w:p w14:paraId="787A68D2" w14:textId="2D085E71"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29.0</w:t>
            </w:r>
          </w:p>
        </w:tc>
        <w:tc>
          <w:tcPr>
            <w:tcW w:w="561" w:type="dxa"/>
            <w:tcBorders>
              <w:top w:val="nil"/>
              <w:left w:val="nil"/>
              <w:bottom w:val="nil"/>
              <w:right w:val="nil"/>
            </w:tcBorders>
            <w:shd w:val="clear" w:color="auto" w:fill="auto"/>
            <w:vAlign w:val="center"/>
          </w:tcPr>
          <w:p w14:paraId="0B14303C" w14:textId="0869B7E1"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33.0</w:t>
            </w:r>
          </w:p>
        </w:tc>
        <w:tc>
          <w:tcPr>
            <w:tcW w:w="562" w:type="dxa"/>
            <w:tcBorders>
              <w:top w:val="nil"/>
              <w:left w:val="nil"/>
              <w:bottom w:val="nil"/>
              <w:right w:val="nil"/>
            </w:tcBorders>
            <w:shd w:val="clear" w:color="auto" w:fill="auto"/>
            <w:vAlign w:val="center"/>
          </w:tcPr>
          <w:p w14:paraId="208B2FA9" w14:textId="0F207B75"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33.3</w:t>
            </w:r>
          </w:p>
        </w:tc>
        <w:tc>
          <w:tcPr>
            <w:tcW w:w="561" w:type="dxa"/>
            <w:tcBorders>
              <w:top w:val="nil"/>
              <w:left w:val="nil"/>
              <w:bottom w:val="nil"/>
              <w:right w:val="nil"/>
            </w:tcBorders>
            <w:shd w:val="clear" w:color="auto" w:fill="auto"/>
            <w:vAlign w:val="center"/>
          </w:tcPr>
          <w:p w14:paraId="16B03346" w14:textId="132E0620"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33.6</w:t>
            </w:r>
          </w:p>
        </w:tc>
        <w:tc>
          <w:tcPr>
            <w:tcW w:w="562" w:type="dxa"/>
            <w:tcBorders>
              <w:top w:val="nil"/>
              <w:left w:val="nil"/>
              <w:bottom w:val="nil"/>
              <w:right w:val="nil"/>
            </w:tcBorders>
            <w:shd w:val="clear" w:color="auto" w:fill="auto"/>
            <w:vAlign w:val="center"/>
          </w:tcPr>
          <w:p w14:paraId="00ABC5D9" w14:textId="0D43CB35"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38.4</w:t>
            </w:r>
          </w:p>
        </w:tc>
        <w:tc>
          <w:tcPr>
            <w:tcW w:w="561" w:type="dxa"/>
            <w:tcBorders>
              <w:top w:val="nil"/>
              <w:left w:val="nil"/>
              <w:bottom w:val="nil"/>
              <w:right w:val="nil"/>
            </w:tcBorders>
            <w:shd w:val="clear" w:color="auto" w:fill="auto"/>
            <w:vAlign w:val="center"/>
          </w:tcPr>
          <w:p w14:paraId="58D1B8E6" w14:textId="6D8FD4D0"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34.6</w:t>
            </w:r>
          </w:p>
        </w:tc>
        <w:tc>
          <w:tcPr>
            <w:tcW w:w="562" w:type="dxa"/>
            <w:tcBorders>
              <w:top w:val="nil"/>
              <w:left w:val="nil"/>
              <w:bottom w:val="nil"/>
              <w:right w:val="nil"/>
            </w:tcBorders>
            <w:shd w:val="clear" w:color="auto" w:fill="auto"/>
            <w:vAlign w:val="center"/>
          </w:tcPr>
          <w:p w14:paraId="00AF29B3" w14:textId="6523FC56"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36.9</w:t>
            </w:r>
          </w:p>
        </w:tc>
        <w:tc>
          <w:tcPr>
            <w:tcW w:w="561" w:type="dxa"/>
            <w:tcBorders>
              <w:top w:val="nil"/>
              <w:left w:val="nil"/>
              <w:bottom w:val="nil"/>
              <w:right w:val="nil"/>
            </w:tcBorders>
            <w:shd w:val="clear" w:color="auto" w:fill="auto"/>
            <w:vAlign w:val="center"/>
          </w:tcPr>
          <w:p w14:paraId="5ADF644F" w14:textId="43CD1BEA"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37.6</w:t>
            </w:r>
          </w:p>
        </w:tc>
        <w:tc>
          <w:tcPr>
            <w:tcW w:w="562" w:type="dxa"/>
            <w:tcBorders>
              <w:top w:val="nil"/>
              <w:left w:val="nil"/>
              <w:bottom w:val="nil"/>
              <w:right w:val="nil"/>
            </w:tcBorders>
            <w:shd w:val="clear" w:color="auto" w:fill="auto"/>
            <w:vAlign w:val="center"/>
          </w:tcPr>
          <w:p w14:paraId="471811F4" w14:textId="645F019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34.9</w:t>
            </w:r>
          </w:p>
        </w:tc>
        <w:tc>
          <w:tcPr>
            <w:tcW w:w="561" w:type="dxa"/>
            <w:tcBorders>
              <w:top w:val="nil"/>
              <w:left w:val="nil"/>
              <w:bottom w:val="nil"/>
              <w:right w:val="nil"/>
            </w:tcBorders>
            <w:shd w:val="clear" w:color="auto" w:fill="auto"/>
            <w:vAlign w:val="center"/>
          </w:tcPr>
          <w:p w14:paraId="01758820" w14:textId="16C7D22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30.5</w:t>
            </w:r>
          </w:p>
        </w:tc>
        <w:tc>
          <w:tcPr>
            <w:tcW w:w="563" w:type="dxa"/>
            <w:tcBorders>
              <w:top w:val="nil"/>
              <w:left w:val="nil"/>
              <w:bottom w:val="nil"/>
              <w:right w:val="nil"/>
            </w:tcBorders>
            <w:shd w:val="clear" w:color="auto" w:fill="auto"/>
            <w:vAlign w:val="center"/>
          </w:tcPr>
          <w:p w14:paraId="14F3D5DF" w14:textId="6156ADE5"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35.2</w:t>
            </w:r>
          </w:p>
        </w:tc>
        <w:tc>
          <w:tcPr>
            <w:tcW w:w="583" w:type="dxa"/>
            <w:tcBorders>
              <w:top w:val="nil"/>
              <w:left w:val="nil"/>
              <w:bottom w:val="nil"/>
              <w:right w:val="single" w:sz="4" w:space="0" w:color="auto"/>
            </w:tcBorders>
            <w:shd w:val="clear" w:color="auto" w:fill="auto"/>
            <w:vAlign w:val="center"/>
          </w:tcPr>
          <w:p w14:paraId="69607FDC" w14:textId="7E24E15A"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28.3</w:t>
            </w:r>
          </w:p>
        </w:tc>
        <w:tc>
          <w:tcPr>
            <w:tcW w:w="563" w:type="dxa"/>
            <w:tcBorders>
              <w:top w:val="nil"/>
              <w:left w:val="single" w:sz="4" w:space="0" w:color="auto"/>
              <w:bottom w:val="nil"/>
              <w:right w:val="single" w:sz="4" w:space="0" w:color="auto"/>
            </w:tcBorders>
            <w:shd w:val="clear" w:color="auto" w:fill="auto"/>
            <w:vAlign w:val="center"/>
          </w:tcPr>
          <w:p w14:paraId="36161AF0" w14:textId="06F75657"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33.4</w:t>
            </w:r>
          </w:p>
        </w:tc>
      </w:tr>
      <w:tr w:rsidR="007828A4" w14:paraId="345A68AF" w14:textId="77777777" w:rsidTr="007828A4">
        <w:trPr>
          <w:trHeight w:val="365"/>
        </w:trPr>
        <w:tc>
          <w:tcPr>
            <w:tcW w:w="1060" w:type="dxa"/>
            <w:tcBorders>
              <w:bottom w:val="single" w:sz="4" w:space="0" w:color="auto"/>
            </w:tcBorders>
          </w:tcPr>
          <w:p w14:paraId="6867E035" w14:textId="77777777" w:rsidR="007828A4" w:rsidRDefault="007828A4" w:rsidP="007828A4">
            <w:pPr>
              <w:rPr>
                <w:rFonts w:ascii="Calibri" w:eastAsiaTheme="minorEastAsia" w:hAnsi="Calibri" w:cs="Calibri"/>
                <w:color w:val="000000" w:themeColor="text1"/>
                <w:sz w:val="16"/>
                <w:szCs w:val="16"/>
                <w:lang w:eastAsia="en-US"/>
              </w:rPr>
            </w:pPr>
          </w:p>
        </w:tc>
        <w:tc>
          <w:tcPr>
            <w:tcW w:w="1393" w:type="dxa"/>
            <w:tcBorders>
              <w:top w:val="nil"/>
              <w:bottom w:val="single" w:sz="4" w:space="0" w:color="auto"/>
              <w:right w:val="single" w:sz="4" w:space="0" w:color="auto"/>
            </w:tcBorders>
            <w:vAlign w:val="center"/>
          </w:tcPr>
          <w:p w14:paraId="74112FA9" w14:textId="77777777" w:rsidR="007828A4" w:rsidRDefault="007828A4" w:rsidP="007828A4">
            <w:pPr>
              <w:jc w:val="right"/>
              <w:rPr>
                <w:rFonts w:ascii="Calibri" w:eastAsiaTheme="minorEastAsia" w:hAnsi="Calibri" w:cs="Calibri"/>
                <w:color w:val="000000" w:themeColor="text1"/>
                <w:sz w:val="16"/>
                <w:szCs w:val="16"/>
                <w:lang w:eastAsia="en-US"/>
              </w:rPr>
            </w:pPr>
            <w:r w:rsidRPr="49984371">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w:t>
            </w:r>
            <w:r w:rsidRPr="49984371">
              <w:rPr>
                <w:rFonts w:ascii="Calibri" w:eastAsiaTheme="minorEastAsia" w:hAnsi="Calibri" w:cs="Calibri"/>
                <w:color w:val="000000" w:themeColor="text1"/>
                <w:sz w:val="16"/>
                <w:szCs w:val="16"/>
                <w:lang w:eastAsia="en-US"/>
              </w:rPr>
              <w:t xml:space="preserve"> dev</w:t>
            </w:r>
            <w:r>
              <w:rPr>
                <w:rFonts w:ascii="Calibri" w:eastAsiaTheme="minorEastAsia" w:hAnsi="Calibri" w:cs="Calibri"/>
                <w:color w:val="000000" w:themeColor="text1"/>
                <w:sz w:val="16"/>
                <w:szCs w:val="16"/>
                <w:lang w:eastAsia="en-US"/>
              </w:rPr>
              <w:t xml:space="preserve">. </w:t>
            </w:r>
            <w:r w:rsidRPr="2316148C">
              <w:rPr>
                <w:rFonts w:ascii="Calibri" w:eastAsiaTheme="minorEastAsia" w:hAnsi="Calibri" w:cs="Calibri"/>
                <w:color w:val="000000" w:themeColor="text1"/>
                <w:sz w:val="16"/>
                <w:szCs w:val="16"/>
                <w:lang w:eastAsia="en-US"/>
              </w:rPr>
              <w:t xml:space="preserve">of </w:t>
            </w:r>
            <w:r w:rsidRPr="3BD70677">
              <w:rPr>
                <w:rFonts w:ascii="Calibri" w:eastAsiaTheme="minorEastAsia" w:hAnsi="Calibri" w:cs="Calibri"/>
                <w:color w:val="000000" w:themeColor="text1"/>
                <w:sz w:val="16"/>
                <w:szCs w:val="16"/>
                <w:lang w:eastAsia="en-US"/>
              </w:rPr>
              <w:t>decision (weeks)</w:t>
            </w:r>
          </w:p>
        </w:tc>
        <w:tc>
          <w:tcPr>
            <w:tcW w:w="561" w:type="dxa"/>
            <w:tcBorders>
              <w:top w:val="nil"/>
              <w:left w:val="nil"/>
              <w:bottom w:val="single" w:sz="4" w:space="0" w:color="auto"/>
              <w:right w:val="nil"/>
            </w:tcBorders>
            <w:shd w:val="clear" w:color="auto" w:fill="auto"/>
            <w:vAlign w:val="center"/>
          </w:tcPr>
          <w:p w14:paraId="525E6180" w14:textId="04A92977"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21.3</w:t>
            </w:r>
          </w:p>
        </w:tc>
        <w:tc>
          <w:tcPr>
            <w:tcW w:w="561" w:type="dxa"/>
            <w:tcBorders>
              <w:top w:val="nil"/>
              <w:left w:val="nil"/>
              <w:bottom w:val="single" w:sz="4" w:space="0" w:color="auto"/>
              <w:right w:val="nil"/>
            </w:tcBorders>
            <w:shd w:val="clear" w:color="auto" w:fill="auto"/>
            <w:vAlign w:val="center"/>
          </w:tcPr>
          <w:p w14:paraId="09CF5620" w14:textId="20B6683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22.6</w:t>
            </w:r>
          </w:p>
        </w:tc>
        <w:tc>
          <w:tcPr>
            <w:tcW w:w="562" w:type="dxa"/>
            <w:tcBorders>
              <w:top w:val="nil"/>
              <w:left w:val="nil"/>
              <w:bottom w:val="single" w:sz="4" w:space="0" w:color="auto"/>
              <w:right w:val="nil"/>
            </w:tcBorders>
            <w:shd w:val="clear" w:color="auto" w:fill="auto"/>
            <w:vAlign w:val="center"/>
          </w:tcPr>
          <w:p w14:paraId="7227CF4E" w14:textId="176D1B96"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17.3</w:t>
            </w:r>
          </w:p>
        </w:tc>
        <w:tc>
          <w:tcPr>
            <w:tcW w:w="561" w:type="dxa"/>
            <w:tcBorders>
              <w:top w:val="nil"/>
              <w:left w:val="nil"/>
              <w:bottom w:val="single" w:sz="4" w:space="0" w:color="auto"/>
              <w:right w:val="nil"/>
            </w:tcBorders>
            <w:shd w:val="clear" w:color="auto" w:fill="auto"/>
            <w:vAlign w:val="center"/>
          </w:tcPr>
          <w:p w14:paraId="7C48E0B0" w14:textId="46AAE2F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15.5</w:t>
            </w:r>
          </w:p>
        </w:tc>
        <w:tc>
          <w:tcPr>
            <w:tcW w:w="562" w:type="dxa"/>
            <w:tcBorders>
              <w:top w:val="nil"/>
              <w:left w:val="nil"/>
              <w:bottom w:val="single" w:sz="4" w:space="0" w:color="auto"/>
              <w:right w:val="nil"/>
            </w:tcBorders>
            <w:shd w:val="clear" w:color="auto" w:fill="auto"/>
            <w:vAlign w:val="center"/>
          </w:tcPr>
          <w:p w14:paraId="12E0BBCC" w14:textId="3D2683F2"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20.5</w:t>
            </w:r>
          </w:p>
        </w:tc>
        <w:tc>
          <w:tcPr>
            <w:tcW w:w="561" w:type="dxa"/>
            <w:tcBorders>
              <w:top w:val="nil"/>
              <w:left w:val="nil"/>
              <w:bottom w:val="single" w:sz="4" w:space="0" w:color="auto"/>
              <w:right w:val="nil"/>
            </w:tcBorders>
            <w:shd w:val="clear" w:color="auto" w:fill="auto"/>
            <w:vAlign w:val="center"/>
          </w:tcPr>
          <w:p w14:paraId="52913E53" w14:textId="769EF222"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16.8</w:t>
            </w:r>
          </w:p>
        </w:tc>
        <w:tc>
          <w:tcPr>
            <w:tcW w:w="562" w:type="dxa"/>
            <w:tcBorders>
              <w:top w:val="nil"/>
              <w:left w:val="nil"/>
              <w:bottom w:val="single" w:sz="4" w:space="0" w:color="auto"/>
              <w:right w:val="nil"/>
            </w:tcBorders>
            <w:shd w:val="clear" w:color="auto" w:fill="auto"/>
            <w:vAlign w:val="center"/>
          </w:tcPr>
          <w:p w14:paraId="2910DF5A" w14:textId="29AC740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23.1</w:t>
            </w:r>
          </w:p>
        </w:tc>
        <w:tc>
          <w:tcPr>
            <w:tcW w:w="561" w:type="dxa"/>
            <w:tcBorders>
              <w:top w:val="nil"/>
              <w:left w:val="nil"/>
              <w:bottom w:val="single" w:sz="4" w:space="0" w:color="auto"/>
              <w:right w:val="nil"/>
            </w:tcBorders>
            <w:shd w:val="clear" w:color="auto" w:fill="auto"/>
            <w:vAlign w:val="center"/>
          </w:tcPr>
          <w:p w14:paraId="07555A70" w14:textId="3CF17B24"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28.9</w:t>
            </w:r>
          </w:p>
        </w:tc>
        <w:tc>
          <w:tcPr>
            <w:tcW w:w="562" w:type="dxa"/>
            <w:tcBorders>
              <w:top w:val="nil"/>
              <w:left w:val="nil"/>
              <w:bottom w:val="single" w:sz="4" w:space="0" w:color="auto"/>
              <w:right w:val="nil"/>
            </w:tcBorders>
            <w:shd w:val="clear" w:color="auto" w:fill="auto"/>
            <w:vAlign w:val="center"/>
          </w:tcPr>
          <w:p w14:paraId="707B2CE3" w14:textId="0D10FAAD"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26.7</w:t>
            </w:r>
          </w:p>
        </w:tc>
        <w:tc>
          <w:tcPr>
            <w:tcW w:w="561" w:type="dxa"/>
            <w:tcBorders>
              <w:top w:val="nil"/>
              <w:left w:val="nil"/>
              <w:bottom w:val="single" w:sz="4" w:space="0" w:color="auto"/>
              <w:right w:val="nil"/>
            </w:tcBorders>
            <w:shd w:val="clear" w:color="auto" w:fill="auto"/>
            <w:vAlign w:val="center"/>
          </w:tcPr>
          <w:p w14:paraId="4075F521" w14:textId="040154C0"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26.2</w:t>
            </w:r>
          </w:p>
        </w:tc>
        <w:tc>
          <w:tcPr>
            <w:tcW w:w="563" w:type="dxa"/>
            <w:tcBorders>
              <w:top w:val="nil"/>
              <w:left w:val="nil"/>
              <w:bottom w:val="single" w:sz="4" w:space="0" w:color="auto"/>
              <w:right w:val="nil"/>
            </w:tcBorders>
            <w:shd w:val="clear" w:color="auto" w:fill="auto"/>
            <w:vAlign w:val="center"/>
          </w:tcPr>
          <w:p w14:paraId="0849C5CA" w14:textId="6F78B13A"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29.4</w:t>
            </w:r>
          </w:p>
        </w:tc>
        <w:tc>
          <w:tcPr>
            <w:tcW w:w="583" w:type="dxa"/>
            <w:tcBorders>
              <w:top w:val="nil"/>
              <w:left w:val="nil"/>
              <w:bottom w:val="single" w:sz="4" w:space="0" w:color="auto"/>
              <w:right w:val="single" w:sz="4" w:space="0" w:color="auto"/>
            </w:tcBorders>
            <w:shd w:val="clear" w:color="auto" w:fill="auto"/>
            <w:vAlign w:val="center"/>
          </w:tcPr>
          <w:p w14:paraId="11357ED9" w14:textId="597DB773"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28.9</w:t>
            </w:r>
          </w:p>
        </w:tc>
        <w:tc>
          <w:tcPr>
            <w:tcW w:w="563" w:type="dxa"/>
            <w:tcBorders>
              <w:top w:val="nil"/>
              <w:left w:val="single" w:sz="4" w:space="0" w:color="auto"/>
              <w:bottom w:val="single" w:sz="4" w:space="0" w:color="auto"/>
              <w:right w:val="single" w:sz="4" w:space="0" w:color="auto"/>
            </w:tcBorders>
            <w:shd w:val="clear" w:color="auto" w:fill="auto"/>
            <w:vAlign w:val="center"/>
          </w:tcPr>
          <w:p w14:paraId="4C50019B" w14:textId="0A05634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22.6</w:t>
            </w:r>
          </w:p>
        </w:tc>
      </w:tr>
      <w:tr w:rsidR="007828A4" w14:paraId="30DC1AC9" w14:textId="77777777" w:rsidTr="007828A4">
        <w:trPr>
          <w:trHeight w:val="365"/>
        </w:trPr>
        <w:tc>
          <w:tcPr>
            <w:tcW w:w="1060" w:type="dxa"/>
            <w:tcBorders>
              <w:top w:val="single" w:sz="4" w:space="0" w:color="auto"/>
              <w:bottom w:val="nil"/>
              <w:right w:val="nil"/>
            </w:tcBorders>
          </w:tcPr>
          <w:p w14:paraId="0B6EBF18" w14:textId="77777777" w:rsidR="007828A4" w:rsidRDefault="007828A4" w:rsidP="007828A4">
            <w:pPr>
              <w:rPr>
                <w:rFonts w:ascii="Calibri" w:eastAsiaTheme="minorEastAsia" w:hAnsi="Calibri" w:cs="Calibri"/>
                <w:color w:val="000000" w:themeColor="text1"/>
                <w:sz w:val="16"/>
                <w:szCs w:val="16"/>
                <w:lang w:eastAsia="en-US"/>
              </w:rPr>
            </w:pPr>
            <w:r w:rsidRPr="029E1773">
              <w:rPr>
                <w:rFonts w:ascii="Calibri" w:eastAsiaTheme="minorEastAsia" w:hAnsi="Calibri" w:cs="Calibri"/>
                <w:color w:val="000000" w:themeColor="text1"/>
                <w:sz w:val="16"/>
                <w:szCs w:val="16"/>
                <w:lang w:eastAsia="en-US"/>
              </w:rPr>
              <w:t>Specialist Cases</w:t>
            </w:r>
          </w:p>
        </w:tc>
        <w:tc>
          <w:tcPr>
            <w:tcW w:w="1393" w:type="dxa"/>
            <w:tcBorders>
              <w:top w:val="single" w:sz="4" w:space="0" w:color="auto"/>
              <w:left w:val="nil"/>
              <w:bottom w:val="nil"/>
              <w:right w:val="single" w:sz="4" w:space="0" w:color="auto"/>
            </w:tcBorders>
            <w:vAlign w:val="center"/>
          </w:tcPr>
          <w:p w14:paraId="32A5B411" w14:textId="77777777" w:rsidR="007828A4" w:rsidRDefault="007828A4" w:rsidP="007828A4">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 xml:space="preserve">Valid to Decision (mean </w:t>
            </w:r>
            <w:proofErr w:type="spellStart"/>
            <w:r w:rsidRPr="3BD70677">
              <w:rPr>
                <w:rFonts w:ascii="Calibri" w:eastAsiaTheme="minorEastAsia" w:hAnsi="Calibri" w:cs="Calibri"/>
                <w:color w:val="000000" w:themeColor="text1"/>
                <w:sz w:val="16"/>
                <w:szCs w:val="16"/>
                <w:lang w:eastAsia="en-US"/>
              </w:rPr>
              <w:t>wks</w:t>
            </w:r>
            <w:proofErr w:type="spellEnd"/>
            <w:r w:rsidRPr="3BD70677">
              <w:rPr>
                <w:rFonts w:ascii="Calibri" w:eastAsiaTheme="minorEastAsia" w:hAnsi="Calibri" w:cs="Calibri"/>
                <w:color w:val="000000" w:themeColor="text1"/>
                <w:sz w:val="16"/>
                <w:szCs w:val="16"/>
                <w:lang w:eastAsia="en-US"/>
              </w:rPr>
              <w:t>)</w:t>
            </w:r>
          </w:p>
        </w:tc>
        <w:tc>
          <w:tcPr>
            <w:tcW w:w="561" w:type="dxa"/>
            <w:tcBorders>
              <w:top w:val="nil"/>
              <w:left w:val="nil"/>
              <w:bottom w:val="nil"/>
              <w:right w:val="nil"/>
            </w:tcBorders>
            <w:shd w:val="clear" w:color="auto" w:fill="auto"/>
            <w:vAlign w:val="center"/>
          </w:tcPr>
          <w:p w14:paraId="19F9BA6F" w14:textId="48450123"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40.6</w:t>
            </w:r>
          </w:p>
        </w:tc>
        <w:tc>
          <w:tcPr>
            <w:tcW w:w="561" w:type="dxa"/>
            <w:tcBorders>
              <w:top w:val="nil"/>
              <w:left w:val="nil"/>
              <w:bottom w:val="nil"/>
              <w:right w:val="nil"/>
            </w:tcBorders>
            <w:shd w:val="clear" w:color="auto" w:fill="auto"/>
            <w:vAlign w:val="center"/>
          </w:tcPr>
          <w:p w14:paraId="1C71E807" w14:textId="142279D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42.8</w:t>
            </w:r>
            <w:r w:rsidR="00383096">
              <w:rPr>
                <w:rFonts w:ascii="Calibri" w:hAnsi="Calibri" w:cs="Calibri"/>
                <w:color w:val="000000"/>
                <w:sz w:val="16"/>
                <w:szCs w:val="16"/>
              </w:rPr>
              <w:t>r</w:t>
            </w:r>
          </w:p>
        </w:tc>
        <w:tc>
          <w:tcPr>
            <w:tcW w:w="562" w:type="dxa"/>
            <w:tcBorders>
              <w:top w:val="nil"/>
              <w:left w:val="nil"/>
              <w:bottom w:val="nil"/>
              <w:right w:val="nil"/>
            </w:tcBorders>
            <w:shd w:val="clear" w:color="auto" w:fill="auto"/>
            <w:vAlign w:val="center"/>
          </w:tcPr>
          <w:p w14:paraId="58DF14C1" w14:textId="09A9F2E6"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37.6</w:t>
            </w:r>
            <w:r w:rsidR="00383096">
              <w:rPr>
                <w:rFonts w:ascii="Calibri" w:hAnsi="Calibri" w:cs="Calibri"/>
                <w:color w:val="000000"/>
                <w:sz w:val="16"/>
                <w:szCs w:val="16"/>
              </w:rPr>
              <w:t>r</w:t>
            </w:r>
          </w:p>
        </w:tc>
        <w:tc>
          <w:tcPr>
            <w:tcW w:w="561" w:type="dxa"/>
            <w:tcBorders>
              <w:top w:val="nil"/>
              <w:left w:val="nil"/>
              <w:bottom w:val="nil"/>
              <w:right w:val="nil"/>
            </w:tcBorders>
            <w:shd w:val="clear" w:color="auto" w:fill="auto"/>
            <w:vAlign w:val="center"/>
          </w:tcPr>
          <w:p w14:paraId="012C2382" w14:textId="0B557117"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47.0</w:t>
            </w:r>
          </w:p>
        </w:tc>
        <w:tc>
          <w:tcPr>
            <w:tcW w:w="562" w:type="dxa"/>
            <w:tcBorders>
              <w:top w:val="nil"/>
              <w:left w:val="nil"/>
              <w:bottom w:val="nil"/>
              <w:right w:val="nil"/>
            </w:tcBorders>
            <w:shd w:val="clear" w:color="auto" w:fill="auto"/>
            <w:vAlign w:val="center"/>
          </w:tcPr>
          <w:p w14:paraId="155ADB37" w14:textId="1FFF3C0F"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38.8</w:t>
            </w:r>
          </w:p>
        </w:tc>
        <w:tc>
          <w:tcPr>
            <w:tcW w:w="561" w:type="dxa"/>
            <w:tcBorders>
              <w:top w:val="nil"/>
              <w:left w:val="nil"/>
              <w:bottom w:val="nil"/>
              <w:right w:val="nil"/>
            </w:tcBorders>
            <w:shd w:val="clear" w:color="auto" w:fill="auto"/>
            <w:vAlign w:val="center"/>
          </w:tcPr>
          <w:p w14:paraId="59988E2B" w14:textId="7F2A42F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39.4</w:t>
            </w:r>
          </w:p>
        </w:tc>
        <w:tc>
          <w:tcPr>
            <w:tcW w:w="562" w:type="dxa"/>
            <w:tcBorders>
              <w:top w:val="nil"/>
              <w:left w:val="nil"/>
              <w:bottom w:val="nil"/>
              <w:right w:val="nil"/>
            </w:tcBorders>
            <w:shd w:val="clear" w:color="auto" w:fill="auto"/>
            <w:vAlign w:val="center"/>
          </w:tcPr>
          <w:p w14:paraId="4C92EE03" w14:textId="58F9A73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44.3</w:t>
            </w:r>
          </w:p>
        </w:tc>
        <w:tc>
          <w:tcPr>
            <w:tcW w:w="561" w:type="dxa"/>
            <w:tcBorders>
              <w:top w:val="nil"/>
              <w:left w:val="nil"/>
              <w:bottom w:val="nil"/>
              <w:right w:val="nil"/>
            </w:tcBorders>
            <w:shd w:val="clear" w:color="auto" w:fill="auto"/>
            <w:vAlign w:val="center"/>
          </w:tcPr>
          <w:p w14:paraId="3BC1B7EA" w14:textId="02B87E59"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46.1</w:t>
            </w:r>
          </w:p>
        </w:tc>
        <w:tc>
          <w:tcPr>
            <w:tcW w:w="562" w:type="dxa"/>
            <w:tcBorders>
              <w:top w:val="nil"/>
              <w:left w:val="nil"/>
              <w:bottom w:val="nil"/>
              <w:right w:val="nil"/>
            </w:tcBorders>
            <w:shd w:val="clear" w:color="auto" w:fill="auto"/>
            <w:vAlign w:val="center"/>
          </w:tcPr>
          <w:p w14:paraId="11B96926" w14:textId="28AA62F7"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53.7</w:t>
            </w:r>
          </w:p>
        </w:tc>
        <w:tc>
          <w:tcPr>
            <w:tcW w:w="561" w:type="dxa"/>
            <w:tcBorders>
              <w:top w:val="nil"/>
              <w:left w:val="nil"/>
              <w:bottom w:val="nil"/>
              <w:right w:val="nil"/>
            </w:tcBorders>
            <w:shd w:val="clear" w:color="auto" w:fill="auto"/>
            <w:vAlign w:val="center"/>
          </w:tcPr>
          <w:p w14:paraId="110381D1" w14:textId="26EC056D"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28.6</w:t>
            </w:r>
            <w:r w:rsidR="00B65B8E">
              <w:rPr>
                <w:rFonts w:ascii="Calibri" w:hAnsi="Calibri" w:cs="Calibri"/>
                <w:color w:val="000000"/>
                <w:sz w:val="16"/>
                <w:szCs w:val="16"/>
              </w:rPr>
              <w:t>r</w:t>
            </w:r>
          </w:p>
        </w:tc>
        <w:tc>
          <w:tcPr>
            <w:tcW w:w="563" w:type="dxa"/>
            <w:tcBorders>
              <w:top w:val="nil"/>
              <w:left w:val="nil"/>
              <w:bottom w:val="nil"/>
              <w:right w:val="nil"/>
            </w:tcBorders>
            <w:shd w:val="clear" w:color="auto" w:fill="auto"/>
            <w:vAlign w:val="center"/>
          </w:tcPr>
          <w:p w14:paraId="4E97EC71" w14:textId="4798E636"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36.7</w:t>
            </w:r>
            <w:r w:rsidR="00B65B8E">
              <w:rPr>
                <w:rFonts w:ascii="Calibri" w:hAnsi="Calibri" w:cs="Calibri"/>
                <w:color w:val="000000"/>
                <w:sz w:val="16"/>
                <w:szCs w:val="16"/>
              </w:rPr>
              <w:t>r</w:t>
            </w:r>
          </w:p>
        </w:tc>
        <w:tc>
          <w:tcPr>
            <w:tcW w:w="583" w:type="dxa"/>
            <w:tcBorders>
              <w:top w:val="nil"/>
              <w:left w:val="nil"/>
              <w:bottom w:val="nil"/>
              <w:right w:val="single" w:sz="4" w:space="0" w:color="auto"/>
            </w:tcBorders>
            <w:shd w:val="clear" w:color="auto" w:fill="auto"/>
            <w:vAlign w:val="center"/>
          </w:tcPr>
          <w:p w14:paraId="355689C3" w14:textId="12188E7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24.8</w:t>
            </w:r>
          </w:p>
        </w:tc>
        <w:tc>
          <w:tcPr>
            <w:tcW w:w="563" w:type="dxa"/>
            <w:tcBorders>
              <w:top w:val="nil"/>
              <w:left w:val="single" w:sz="4" w:space="0" w:color="auto"/>
              <w:bottom w:val="nil"/>
              <w:right w:val="single" w:sz="4" w:space="0" w:color="auto"/>
            </w:tcBorders>
            <w:shd w:val="clear" w:color="auto" w:fill="auto"/>
            <w:vAlign w:val="center"/>
          </w:tcPr>
          <w:p w14:paraId="53EFC818" w14:textId="6D5DCCD5"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40.6</w:t>
            </w:r>
          </w:p>
        </w:tc>
      </w:tr>
      <w:tr w:rsidR="007828A4" w14:paraId="230570E8" w14:textId="77777777" w:rsidTr="007828A4">
        <w:trPr>
          <w:trHeight w:val="365"/>
        </w:trPr>
        <w:tc>
          <w:tcPr>
            <w:tcW w:w="1060" w:type="dxa"/>
            <w:tcBorders>
              <w:top w:val="nil"/>
              <w:right w:val="nil"/>
            </w:tcBorders>
          </w:tcPr>
          <w:p w14:paraId="06FC513D" w14:textId="77777777" w:rsidR="007828A4" w:rsidRDefault="007828A4" w:rsidP="007828A4">
            <w:pPr>
              <w:rPr>
                <w:rFonts w:ascii="Calibri" w:eastAsiaTheme="minorEastAsia" w:hAnsi="Calibri" w:cs="Calibri"/>
                <w:color w:val="000000" w:themeColor="text1"/>
                <w:sz w:val="16"/>
                <w:szCs w:val="16"/>
                <w:lang w:eastAsia="en-US"/>
              </w:rPr>
            </w:pPr>
          </w:p>
        </w:tc>
        <w:tc>
          <w:tcPr>
            <w:tcW w:w="1393" w:type="dxa"/>
            <w:tcBorders>
              <w:top w:val="nil"/>
              <w:left w:val="nil"/>
              <w:bottom w:val="nil"/>
              <w:right w:val="single" w:sz="4" w:space="0" w:color="auto"/>
            </w:tcBorders>
            <w:vAlign w:val="center"/>
          </w:tcPr>
          <w:p w14:paraId="18C537D3" w14:textId="77777777" w:rsidR="007828A4" w:rsidRDefault="007828A4" w:rsidP="007828A4">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 xml:space="preserve">Valid to Decision (median </w:t>
            </w:r>
            <w:proofErr w:type="spellStart"/>
            <w:r w:rsidRPr="3BD70677">
              <w:rPr>
                <w:rFonts w:ascii="Calibri" w:eastAsiaTheme="minorEastAsia" w:hAnsi="Calibri" w:cs="Calibri"/>
                <w:color w:val="000000" w:themeColor="text1"/>
                <w:sz w:val="16"/>
                <w:szCs w:val="16"/>
                <w:lang w:eastAsia="en-US"/>
              </w:rPr>
              <w:t>wks</w:t>
            </w:r>
            <w:proofErr w:type="spellEnd"/>
            <w:r w:rsidRPr="3BD70677">
              <w:rPr>
                <w:rFonts w:ascii="Calibri" w:eastAsiaTheme="minorEastAsia" w:hAnsi="Calibri" w:cs="Calibri"/>
                <w:color w:val="000000" w:themeColor="text1"/>
                <w:sz w:val="16"/>
                <w:szCs w:val="16"/>
                <w:lang w:eastAsia="en-US"/>
              </w:rPr>
              <w:t>)</w:t>
            </w:r>
          </w:p>
        </w:tc>
        <w:tc>
          <w:tcPr>
            <w:tcW w:w="561" w:type="dxa"/>
            <w:tcBorders>
              <w:top w:val="nil"/>
              <w:left w:val="nil"/>
              <w:bottom w:val="nil"/>
              <w:right w:val="nil"/>
            </w:tcBorders>
            <w:shd w:val="clear" w:color="auto" w:fill="auto"/>
            <w:vAlign w:val="center"/>
          </w:tcPr>
          <w:p w14:paraId="60FB6900" w14:textId="77FF2C38"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37.1</w:t>
            </w:r>
          </w:p>
        </w:tc>
        <w:tc>
          <w:tcPr>
            <w:tcW w:w="561" w:type="dxa"/>
            <w:tcBorders>
              <w:top w:val="nil"/>
              <w:left w:val="nil"/>
              <w:bottom w:val="nil"/>
              <w:right w:val="nil"/>
            </w:tcBorders>
            <w:shd w:val="clear" w:color="auto" w:fill="auto"/>
            <w:vAlign w:val="center"/>
          </w:tcPr>
          <w:p w14:paraId="27F80C8D" w14:textId="09927AD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41.1</w:t>
            </w:r>
          </w:p>
        </w:tc>
        <w:tc>
          <w:tcPr>
            <w:tcW w:w="562" w:type="dxa"/>
            <w:tcBorders>
              <w:top w:val="nil"/>
              <w:left w:val="nil"/>
              <w:bottom w:val="nil"/>
              <w:right w:val="nil"/>
            </w:tcBorders>
            <w:shd w:val="clear" w:color="auto" w:fill="auto"/>
            <w:vAlign w:val="center"/>
          </w:tcPr>
          <w:p w14:paraId="7206581C" w14:textId="4193CF14"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37.3</w:t>
            </w:r>
            <w:r w:rsidR="00B65B8E">
              <w:rPr>
                <w:rFonts w:ascii="Calibri" w:hAnsi="Calibri" w:cs="Calibri"/>
                <w:color w:val="000000"/>
                <w:sz w:val="16"/>
                <w:szCs w:val="16"/>
              </w:rPr>
              <w:t>r</w:t>
            </w:r>
          </w:p>
        </w:tc>
        <w:tc>
          <w:tcPr>
            <w:tcW w:w="561" w:type="dxa"/>
            <w:tcBorders>
              <w:top w:val="nil"/>
              <w:left w:val="nil"/>
              <w:bottom w:val="nil"/>
              <w:right w:val="nil"/>
            </w:tcBorders>
            <w:shd w:val="clear" w:color="auto" w:fill="auto"/>
            <w:vAlign w:val="center"/>
          </w:tcPr>
          <w:p w14:paraId="786F10AC" w14:textId="077A87C2"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48.7</w:t>
            </w:r>
          </w:p>
        </w:tc>
        <w:tc>
          <w:tcPr>
            <w:tcW w:w="562" w:type="dxa"/>
            <w:tcBorders>
              <w:top w:val="nil"/>
              <w:left w:val="nil"/>
              <w:bottom w:val="nil"/>
              <w:right w:val="nil"/>
            </w:tcBorders>
            <w:shd w:val="clear" w:color="auto" w:fill="auto"/>
            <w:vAlign w:val="center"/>
          </w:tcPr>
          <w:p w14:paraId="57DF82E8" w14:textId="38A38786"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35.5</w:t>
            </w:r>
          </w:p>
        </w:tc>
        <w:tc>
          <w:tcPr>
            <w:tcW w:w="561" w:type="dxa"/>
            <w:tcBorders>
              <w:top w:val="nil"/>
              <w:left w:val="nil"/>
              <w:bottom w:val="nil"/>
              <w:right w:val="nil"/>
            </w:tcBorders>
            <w:shd w:val="clear" w:color="auto" w:fill="auto"/>
            <w:vAlign w:val="center"/>
          </w:tcPr>
          <w:p w14:paraId="34ADD1D4" w14:textId="4336A61D"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41.1</w:t>
            </w:r>
          </w:p>
        </w:tc>
        <w:tc>
          <w:tcPr>
            <w:tcW w:w="562" w:type="dxa"/>
            <w:tcBorders>
              <w:top w:val="nil"/>
              <w:left w:val="nil"/>
              <w:bottom w:val="nil"/>
              <w:right w:val="nil"/>
            </w:tcBorders>
            <w:shd w:val="clear" w:color="auto" w:fill="auto"/>
            <w:vAlign w:val="center"/>
          </w:tcPr>
          <w:p w14:paraId="0B5779CD" w14:textId="78D7968A"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44.0</w:t>
            </w:r>
          </w:p>
        </w:tc>
        <w:tc>
          <w:tcPr>
            <w:tcW w:w="561" w:type="dxa"/>
            <w:tcBorders>
              <w:top w:val="nil"/>
              <w:left w:val="nil"/>
              <w:bottom w:val="nil"/>
              <w:right w:val="nil"/>
            </w:tcBorders>
            <w:shd w:val="clear" w:color="auto" w:fill="auto"/>
            <w:vAlign w:val="center"/>
          </w:tcPr>
          <w:p w14:paraId="35E86166" w14:textId="6B8E6C97"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52.9</w:t>
            </w:r>
          </w:p>
        </w:tc>
        <w:tc>
          <w:tcPr>
            <w:tcW w:w="562" w:type="dxa"/>
            <w:tcBorders>
              <w:top w:val="nil"/>
              <w:left w:val="nil"/>
              <w:bottom w:val="nil"/>
              <w:right w:val="nil"/>
            </w:tcBorders>
            <w:shd w:val="clear" w:color="auto" w:fill="auto"/>
            <w:vAlign w:val="center"/>
          </w:tcPr>
          <w:p w14:paraId="2EED5B2D" w14:textId="6AAF7124"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53.3</w:t>
            </w:r>
          </w:p>
        </w:tc>
        <w:tc>
          <w:tcPr>
            <w:tcW w:w="561" w:type="dxa"/>
            <w:tcBorders>
              <w:top w:val="nil"/>
              <w:left w:val="nil"/>
              <w:bottom w:val="nil"/>
              <w:right w:val="nil"/>
            </w:tcBorders>
            <w:shd w:val="clear" w:color="auto" w:fill="auto"/>
            <w:vAlign w:val="center"/>
          </w:tcPr>
          <w:p w14:paraId="62CF8E02" w14:textId="41E04922"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14.9</w:t>
            </w:r>
          </w:p>
        </w:tc>
        <w:tc>
          <w:tcPr>
            <w:tcW w:w="563" w:type="dxa"/>
            <w:tcBorders>
              <w:top w:val="nil"/>
              <w:left w:val="nil"/>
              <w:bottom w:val="nil"/>
              <w:right w:val="nil"/>
            </w:tcBorders>
            <w:shd w:val="clear" w:color="auto" w:fill="auto"/>
            <w:vAlign w:val="center"/>
          </w:tcPr>
          <w:p w14:paraId="4F87D990" w14:textId="4FC4879F"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22.0</w:t>
            </w:r>
            <w:r w:rsidR="00B65B8E">
              <w:rPr>
                <w:rFonts w:ascii="Calibri" w:hAnsi="Calibri" w:cs="Calibri"/>
                <w:color w:val="000000"/>
                <w:sz w:val="16"/>
                <w:szCs w:val="16"/>
              </w:rPr>
              <w:t>r</w:t>
            </w:r>
          </w:p>
        </w:tc>
        <w:tc>
          <w:tcPr>
            <w:tcW w:w="583" w:type="dxa"/>
            <w:tcBorders>
              <w:top w:val="nil"/>
              <w:left w:val="nil"/>
              <w:bottom w:val="nil"/>
              <w:right w:val="single" w:sz="4" w:space="0" w:color="auto"/>
            </w:tcBorders>
            <w:shd w:val="clear" w:color="auto" w:fill="auto"/>
            <w:vAlign w:val="center"/>
          </w:tcPr>
          <w:p w14:paraId="29B2464D" w14:textId="05994835"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15.9</w:t>
            </w:r>
          </w:p>
        </w:tc>
        <w:tc>
          <w:tcPr>
            <w:tcW w:w="563" w:type="dxa"/>
            <w:tcBorders>
              <w:top w:val="nil"/>
              <w:left w:val="single" w:sz="4" w:space="0" w:color="auto"/>
              <w:bottom w:val="nil"/>
              <w:right w:val="single" w:sz="4" w:space="0" w:color="auto"/>
            </w:tcBorders>
            <w:shd w:val="clear" w:color="auto" w:fill="auto"/>
            <w:vAlign w:val="center"/>
          </w:tcPr>
          <w:p w14:paraId="373FBB69" w14:textId="48AA5D4E"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38.0</w:t>
            </w:r>
          </w:p>
        </w:tc>
      </w:tr>
      <w:tr w:rsidR="007828A4" w14:paraId="333CF5F7" w14:textId="77777777" w:rsidTr="007828A4">
        <w:trPr>
          <w:trHeight w:val="365"/>
        </w:trPr>
        <w:tc>
          <w:tcPr>
            <w:tcW w:w="1060" w:type="dxa"/>
          </w:tcPr>
          <w:p w14:paraId="22C92BE1" w14:textId="77777777" w:rsidR="007828A4" w:rsidRDefault="007828A4" w:rsidP="007828A4">
            <w:pPr>
              <w:rPr>
                <w:rFonts w:ascii="Calibri" w:eastAsiaTheme="minorEastAsia" w:hAnsi="Calibri" w:cs="Calibri"/>
                <w:color w:val="000000" w:themeColor="text1"/>
                <w:sz w:val="16"/>
                <w:szCs w:val="16"/>
                <w:lang w:eastAsia="en-US"/>
              </w:rPr>
            </w:pPr>
          </w:p>
        </w:tc>
        <w:tc>
          <w:tcPr>
            <w:tcW w:w="1393" w:type="dxa"/>
            <w:tcBorders>
              <w:top w:val="nil"/>
              <w:right w:val="single" w:sz="4" w:space="0" w:color="auto"/>
            </w:tcBorders>
            <w:vAlign w:val="center"/>
          </w:tcPr>
          <w:p w14:paraId="1AA5280A" w14:textId="77777777" w:rsidR="007828A4" w:rsidRDefault="007828A4" w:rsidP="007828A4">
            <w:pPr>
              <w:jc w:val="right"/>
              <w:rPr>
                <w:rFonts w:ascii="Calibri" w:eastAsiaTheme="minorEastAsia" w:hAnsi="Calibri" w:cs="Calibri"/>
                <w:color w:val="000000" w:themeColor="text1"/>
                <w:sz w:val="16"/>
                <w:szCs w:val="16"/>
                <w:lang w:eastAsia="en-US"/>
              </w:rPr>
            </w:pPr>
            <w:r w:rsidRPr="49984371">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w:t>
            </w:r>
            <w:r w:rsidRPr="49984371">
              <w:rPr>
                <w:rFonts w:ascii="Calibri" w:eastAsiaTheme="minorEastAsia" w:hAnsi="Calibri" w:cs="Calibri"/>
                <w:color w:val="000000" w:themeColor="text1"/>
                <w:sz w:val="16"/>
                <w:szCs w:val="16"/>
                <w:lang w:eastAsia="en-US"/>
              </w:rPr>
              <w:t xml:space="preserve"> dev</w:t>
            </w:r>
            <w:r>
              <w:rPr>
                <w:rFonts w:ascii="Calibri" w:eastAsiaTheme="minorEastAsia" w:hAnsi="Calibri" w:cs="Calibri"/>
                <w:color w:val="000000" w:themeColor="text1"/>
                <w:sz w:val="16"/>
                <w:szCs w:val="16"/>
                <w:lang w:eastAsia="en-US"/>
              </w:rPr>
              <w:t xml:space="preserve">. </w:t>
            </w:r>
            <w:r w:rsidRPr="2316148C">
              <w:rPr>
                <w:rFonts w:ascii="Calibri" w:eastAsiaTheme="minorEastAsia" w:hAnsi="Calibri" w:cs="Calibri"/>
                <w:color w:val="000000" w:themeColor="text1"/>
                <w:sz w:val="16"/>
                <w:szCs w:val="16"/>
                <w:lang w:eastAsia="en-US"/>
              </w:rPr>
              <w:t xml:space="preserve">of </w:t>
            </w:r>
            <w:r w:rsidRPr="3BD70677">
              <w:rPr>
                <w:rFonts w:ascii="Calibri" w:eastAsiaTheme="minorEastAsia" w:hAnsi="Calibri" w:cs="Calibri"/>
                <w:color w:val="000000" w:themeColor="text1"/>
                <w:sz w:val="16"/>
                <w:szCs w:val="16"/>
                <w:lang w:eastAsia="en-US"/>
              </w:rPr>
              <w:t>decision (weeks)</w:t>
            </w:r>
          </w:p>
        </w:tc>
        <w:tc>
          <w:tcPr>
            <w:tcW w:w="561" w:type="dxa"/>
            <w:tcBorders>
              <w:top w:val="nil"/>
              <w:left w:val="nil"/>
              <w:bottom w:val="single" w:sz="4" w:space="0" w:color="auto"/>
              <w:right w:val="nil"/>
            </w:tcBorders>
            <w:shd w:val="clear" w:color="auto" w:fill="auto"/>
            <w:vAlign w:val="center"/>
          </w:tcPr>
          <w:p w14:paraId="4CFDBE2E" w14:textId="4F27D40B"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23.1</w:t>
            </w:r>
          </w:p>
        </w:tc>
        <w:tc>
          <w:tcPr>
            <w:tcW w:w="561" w:type="dxa"/>
            <w:tcBorders>
              <w:top w:val="nil"/>
              <w:left w:val="nil"/>
              <w:bottom w:val="single" w:sz="4" w:space="0" w:color="auto"/>
              <w:right w:val="nil"/>
            </w:tcBorders>
            <w:shd w:val="clear" w:color="auto" w:fill="auto"/>
            <w:vAlign w:val="center"/>
          </w:tcPr>
          <w:p w14:paraId="3D75CD8B" w14:textId="530E3824"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17.1</w:t>
            </w:r>
          </w:p>
        </w:tc>
        <w:tc>
          <w:tcPr>
            <w:tcW w:w="562" w:type="dxa"/>
            <w:tcBorders>
              <w:top w:val="nil"/>
              <w:left w:val="nil"/>
              <w:bottom w:val="single" w:sz="4" w:space="0" w:color="auto"/>
              <w:right w:val="nil"/>
            </w:tcBorders>
            <w:shd w:val="clear" w:color="auto" w:fill="auto"/>
            <w:vAlign w:val="center"/>
          </w:tcPr>
          <w:p w14:paraId="6B5B1760" w14:textId="26860484"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17.7</w:t>
            </w:r>
          </w:p>
        </w:tc>
        <w:tc>
          <w:tcPr>
            <w:tcW w:w="561" w:type="dxa"/>
            <w:tcBorders>
              <w:top w:val="nil"/>
              <w:left w:val="nil"/>
              <w:bottom w:val="single" w:sz="4" w:space="0" w:color="auto"/>
              <w:right w:val="nil"/>
            </w:tcBorders>
            <w:shd w:val="clear" w:color="auto" w:fill="auto"/>
            <w:vAlign w:val="center"/>
          </w:tcPr>
          <w:p w14:paraId="209C9B76" w14:textId="761C6C53"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24.3</w:t>
            </w:r>
          </w:p>
        </w:tc>
        <w:tc>
          <w:tcPr>
            <w:tcW w:w="562" w:type="dxa"/>
            <w:tcBorders>
              <w:top w:val="nil"/>
              <w:left w:val="nil"/>
              <w:bottom w:val="single" w:sz="4" w:space="0" w:color="auto"/>
              <w:right w:val="nil"/>
            </w:tcBorders>
            <w:shd w:val="clear" w:color="auto" w:fill="auto"/>
            <w:vAlign w:val="center"/>
          </w:tcPr>
          <w:p w14:paraId="3304D2C3" w14:textId="06BCE888"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26.4</w:t>
            </w:r>
          </w:p>
        </w:tc>
        <w:tc>
          <w:tcPr>
            <w:tcW w:w="561" w:type="dxa"/>
            <w:tcBorders>
              <w:top w:val="nil"/>
              <w:left w:val="nil"/>
              <w:bottom w:val="single" w:sz="4" w:space="0" w:color="auto"/>
              <w:right w:val="nil"/>
            </w:tcBorders>
            <w:shd w:val="clear" w:color="auto" w:fill="auto"/>
            <w:vAlign w:val="center"/>
          </w:tcPr>
          <w:p w14:paraId="5B1654F6" w14:textId="3A77283F"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18.3</w:t>
            </w:r>
          </w:p>
        </w:tc>
        <w:tc>
          <w:tcPr>
            <w:tcW w:w="562" w:type="dxa"/>
            <w:tcBorders>
              <w:top w:val="nil"/>
              <w:left w:val="nil"/>
              <w:bottom w:val="single" w:sz="4" w:space="0" w:color="auto"/>
              <w:right w:val="nil"/>
            </w:tcBorders>
            <w:shd w:val="clear" w:color="auto" w:fill="auto"/>
            <w:vAlign w:val="center"/>
          </w:tcPr>
          <w:p w14:paraId="02C63E35" w14:textId="77FDEAA1"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25.4</w:t>
            </w:r>
          </w:p>
        </w:tc>
        <w:tc>
          <w:tcPr>
            <w:tcW w:w="561" w:type="dxa"/>
            <w:tcBorders>
              <w:top w:val="nil"/>
              <w:left w:val="nil"/>
              <w:bottom w:val="single" w:sz="4" w:space="0" w:color="auto"/>
              <w:right w:val="nil"/>
            </w:tcBorders>
            <w:shd w:val="clear" w:color="auto" w:fill="auto"/>
            <w:vAlign w:val="center"/>
          </w:tcPr>
          <w:p w14:paraId="0A4D2CC2" w14:textId="3B326141"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33.7</w:t>
            </w:r>
          </w:p>
        </w:tc>
        <w:tc>
          <w:tcPr>
            <w:tcW w:w="562" w:type="dxa"/>
            <w:tcBorders>
              <w:top w:val="nil"/>
              <w:left w:val="nil"/>
              <w:bottom w:val="single" w:sz="4" w:space="0" w:color="auto"/>
              <w:right w:val="nil"/>
            </w:tcBorders>
            <w:shd w:val="clear" w:color="auto" w:fill="auto"/>
            <w:vAlign w:val="center"/>
          </w:tcPr>
          <w:p w14:paraId="4DBAB61E" w14:textId="57725D1D"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24.8</w:t>
            </w:r>
          </w:p>
        </w:tc>
        <w:tc>
          <w:tcPr>
            <w:tcW w:w="561" w:type="dxa"/>
            <w:tcBorders>
              <w:top w:val="nil"/>
              <w:left w:val="nil"/>
              <w:bottom w:val="single" w:sz="4" w:space="0" w:color="auto"/>
              <w:right w:val="nil"/>
            </w:tcBorders>
            <w:shd w:val="clear" w:color="auto" w:fill="auto"/>
            <w:vAlign w:val="center"/>
          </w:tcPr>
          <w:p w14:paraId="0EE96ABE" w14:textId="5E7C16D1"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29.2</w:t>
            </w:r>
            <w:r w:rsidR="00B65B8E">
              <w:rPr>
                <w:rFonts w:ascii="Calibri" w:hAnsi="Calibri" w:cs="Calibri"/>
                <w:color w:val="000000"/>
                <w:sz w:val="16"/>
                <w:szCs w:val="16"/>
              </w:rPr>
              <w:t>r</w:t>
            </w:r>
          </w:p>
        </w:tc>
        <w:tc>
          <w:tcPr>
            <w:tcW w:w="563" w:type="dxa"/>
            <w:tcBorders>
              <w:top w:val="nil"/>
              <w:left w:val="nil"/>
              <w:bottom w:val="single" w:sz="4" w:space="0" w:color="auto"/>
              <w:right w:val="nil"/>
            </w:tcBorders>
            <w:shd w:val="clear" w:color="auto" w:fill="auto"/>
            <w:vAlign w:val="center"/>
          </w:tcPr>
          <w:p w14:paraId="2BB0BB04" w14:textId="70B21D61"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30.4</w:t>
            </w:r>
          </w:p>
        </w:tc>
        <w:tc>
          <w:tcPr>
            <w:tcW w:w="583" w:type="dxa"/>
            <w:tcBorders>
              <w:top w:val="nil"/>
              <w:left w:val="nil"/>
              <w:bottom w:val="single" w:sz="4" w:space="0" w:color="auto"/>
              <w:right w:val="single" w:sz="4" w:space="0" w:color="auto"/>
            </w:tcBorders>
            <w:shd w:val="clear" w:color="auto" w:fill="auto"/>
            <w:vAlign w:val="center"/>
          </w:tcPr>
          <w:p w14:paraId="36034093" w14:textId="26188902"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22.0</w:t>
            </w:r>
          </w:p>
        </w:tc>
        <w:tc>
          <w:tcPr>
            <w:tcW w:w="563" w:type="dxa"/>
            <w:tcBorders>
              <w:top w:val="nil"/>
              <w:left w:val="single" w:sz="4" w:space="0" w:color="auto"/>
              <w:bottom w:val="single" w:sz="4" w:space="0" w:color="auto"/>
              <w:right w:val="single" w:sz="4" w:space="0" w:color="auto"/>
            </w:tcBorders>
            <w:shd w:val="clear" w:color="auto" w:fill="auto"/>
            <w:vAlign w:val="center"/>
          </w:tcPr>
          <w:p w14:paraId="35D1231E" w14:textId="1C699438" w:rsidR="007828A4" w:rsidRPr="007828A4" w:rsidRDefault="007828A4" w:rsidP="007828A4">
            <w:pPr>
              <w:jc w:val="right"/>
              <w:rPr>
                <w:rFonts w:asciiTheme="minorHAnsi" w:eastAsiaTheme="minorEastAsia" w:hAnsiTheme="minorHAnsi" w:cstheme="minorHAnsi"/>
                <w:color w:val="000000" w:themeColor="text1"/>
                <w:sz w:val="16"/>
                <w:szCs w:val="16"/>
                <w:lang w:eastAsia="en-US"/>
              </w:rPr>
            </w:pPr>
            <w:r w:rsidRPr="007828A4">
              <w:rPr>
                <w:rFonts w:ascii="Calibri" w:hAnsi="Calibri" w:cs="Calibri"/>
                <w:color w:val="000000"/>
                <w:sz w:val="16"/>
                <w:szCs w:val="16"/>
              </w:rPr>
              <w:t>26.5</w:t>
            </w:r>
          </w:p>
        </w:tc>
      </w:tr>
    </w:tbl>
    <w:p w14:paraId="70E56C8A" w14:textId="2727961F" w:rsidR="00F82F00" w:rsidRPr="00E5081C" w:rsidRDefault="00F82F00" w:rsidP="006311EB">
      <w:pPr>
        <w:rPr>
          <w:rFonts w:ascii="Helvetica" w:eastAsia="Verdana" w:hAnsi="Helvetica" w:cs="Helvetica"/>
          <w:sz w:val="18"/>
          <w:szCs w:val="18"/>
        </w:rPr>
      </w:pPr>
      <w:r w:rsidRPr="4117AA6F">
        <w:rPr>
          <w:rFonts w:ascii="Helvetica" w:eastAsia="Calibri" w:hAnsi="Helvetica" w:cs="Helvetica"/>
          <w:sz w:val="18"/>
          <w:szCs w:val="18"/>
        </w:rPr>
        <w:t xml:space="preserve">Source: Horizon and </w:t>
      </w:r>
      <w:proofErr w:type="spellStart"/>
      <w:r w:rsidRPr="4117AA6F">
        <w:rPr>
          <w:rFonts w:ascii="Helvetica" w:eastAsia="Calibri" w:hAnsi="Helvetica" w:cs="Helvetica"/>
          <w:sz w:val="18"/>
          <w:szCs w:val="18"/>
        </w:rPr>
        <w:t>Picaso</w:t>
      </w:r>
      <w:proofErr w:type="spellEnd"/>
      <w:r w:rsidR="006311EB">
        <w:rPr>
          <w:rFonts w:ascii="Helvetica" w:eastAsia="Calibri" w:hAnsi="Helvetica" w:cs="Helvetica"/>
          <w:sz w:val="18"/>
          <w:szCs w:val="18"/>
        </w:rPr>
        <w:t xml:space="preserve">. </w:t>
      </w:r>
      <w:r>
        <w:rPr>
          <w:rFonts w:ascii="Helvetica" w:eastAsia="Calibri" w:hAnsi="Helvetica" w:cs="Helvetica"/>
          <w:sz w:val="18"/>
          <w:szCs w:val="18"/>
        </w:rPr>
        <w:t xml:space="preserve"> </w:t>
      </w:r>
      <w:r w:rsidRPr="0044288B">
        <w:rPr>
          <w:rFonts w:ascii="Helvetica" w:eastAsia="Verdana" w:hAnsi="Helvetica" w:cs="Helvetica"/>
          <w:sz w:val="18"/>
          <w:szCs w:val="18"/>
        </w:rPr>
        <w:t>r denotes revision – a change of more than 0.5 weeks since last month.</w:t>
      </w:r>
      <w:r w:rsidRPr="00165A95">
        <w:rPr>
          <w:rFonts w:ascii="Helvetica" w:eastAsia="Verdana" w:hAnsi="Helvetica" w:cs="Helvetica"/>
          <w:sz w:val="18"/>
          <w:szCs w:val="18"/>
        </w:rPr>
        <w:t xml:space="preserve"> </w:t>
      </w:r>
      <w:r w:rsidR="00795AD9">
        <w:rPr>
          <w:rFonts w:ascii="Helvetica" w:eastAsia="Verdana" w:hAnsi="Helvetica" w:cs="Helvetica"/>
          <w:sz w:val="18"/>
          <w:szCs w:val="18"/>
        </w:rPr>
        <w:t xml:space="preserve">P </w:t>
      </w:r>
      <w:r w:rsidR="00F86F56">
        <w:rPr>
          <w:rFonts w:ascii="Helvetica" w:eastAsia="Verdana" w:hAnsi="Helvetica" w:cs="Helvetica"/>
          <w:sz w:val="18"/>
          <w:szCs w:val="18"/>
        </w:rPr>
        <w:t>means the data is provisional.</w:t>
      </w:r>
    </w:p>
    <w:p w14:paraId="3864BAB3" w14:textId="27B897C1" w:rsidR="00F82F00" w:rsidRPr="00B73F65" w:rsidRDefault="00F82F00" w:rsidP="00F82F00">
      <w:pPr>
        <w:keepNext/>
        <w:spacing w:before="120" w:after="120"/>
        <w:rPr>
          <w:rFonts w:ascii="Helvetica" w:hAnsi="Helvetica" w:cs="Helvetica"/>
        </w:rPr>
      </w:pPr>
      <w:r w:rsidRPr="4721EDED">
        <w:rPr>
          <w:rFonts w:ascii="Helvetica" w:hAnsi="Helvetica" w:cs="Helvetica"/>
        </w:rPr>
        <w:t>Figure 6 – Median time to decision by casework area</w:t>
      </w:r>
      <w:r w:rsidR="005F45D3" w:rsidRPr="4721EDED">
        <w:rPr>
          <w:rFonts w:ascii="Helvetica" w:hAnsi="Helvetica" w:cs="Helvetica"/>
        </w:rPr>
        <w:t xml:space="preserve">; </w:t>
      </w:r>
      <w:r w:rsidR="007828A4" w:rsidRPr="4721EDED">
        <w:rPr>
          <w:rFonts w:ascii="Helvetica" w:hAnsi="Helvetica" w:cs="Helvetica"/>
        </w:rPr>
        <w:t>Jun 20 to May 21</w:t>
      </w:r>
      <w:r>
        <w:br/>
      </w:r>
      <w:r w:rsidR="16D30160">
        <w:rPr>
          <w:noProof/>
        </w:rPr>
        <w:drawing>
          <wp:inline distT="0" distB="0" distL="0" distR="0" wp14:anchorId="549B1FE6" wp14:editId="7B4EA5C5">
            <wp:extent cx="6009012" cy="3543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9012" cy="3543300"/>
                    </a:xfrm>
                    <a:prstGeom prst="rect">
                      <a:avLst/>
                    </a:prstGeom>
                  </pic:spPr>
                </pic:pic>
              </a:graphicData>
            </a:graphic>
          </wp:inline>
        </w:drawing>
      </w:r>
    </w:p>
    <w:p w14:paraId="46064224" w14:textId="77777777" w:rsidR="00F82F00" w:rsidRDefault="00F82F00" w:rsidP="00F82F00">
      <w:pPr>
        <w:rPr>
          <w:rFonts w:ascii="Helvetica" w:eastAsia="Calibri" w:hAnsi="Helvetica" w:cs="Helvetica"/>
        </w:rPr>
      </w:pPr>
      <w:r w:rsidRPr="4117AA6F">
        <w:rPr>
          <w:rFonts w:ascii="Helvetica" w:eastAsia="Calibri" w:hAnsi="Helvetica" w:cs="Helvetica"/>
          <w:sz w:val="18"/>
          <w:szCs w:val="18"/>
        </w:rPr>
        <w:t xml:space="preserve">Source: Horizon and </w:t>
      </w:r>
      <w:proofErr w:type="spellStart"/>
      <w:r w:rsidRPr="4117AA6F">
        <w:rPr>
          <w:rFonts w:ascii="Helvetica" w:eastAsia="Calibri" w:hAnsi="Helvetica" w:cs="Helvetica"/>
          <w:sz w:val="18"/>
          <w:szCs w:val="18"/>
        </w:rPr>
        <w:t>Picaso</w:t>
      </w:r>
      <w:proofErr w:type="spellEnd"/>
    </w:p>
    <w:p w14:paraId="4DC3BB28" w14:textId="5076344A" w:rsidR="005F45D3" w:rsidRPr="00E77E2D" w:rsidRDefault="001B7C25" w:rsidP="005F45D3">
      <w:pPr>
        <w:spacing w:before="120"/>
        <w:jc w:val="both"/>
        <w:rPr>
          <w:rFonts w:ascii="Helvetica" w:hAnsi="Helvetica" w:cs="Helvetica"/>
        </w:rPr>
      </w:pPr>
      <w:r>
        <w:rPr>
          <w:rFonts w:ascii="Helvetica" w:hAnsi="Helvetica" w:cs="Helvetica"/>
        </w:rPr>
        <w:t>E</w:t>
      </w:r>
      <w:r w:rsidR="00CB6A2D" w:rsidRPr="00E77E2D">
        <w:rPr>
          <w:rFonts w:ascii="Helvetica" w:hAnsi="Helvetica" w:cs="Helvetica"/>
        </w:rPr>
        <w:t xml:space="preserve">nforcement decisions made in the last 12 months had a median decision time of </w:t>
      </w:r>
      <w:r w:rsidR="00CE71EF" w:rsidRPr="00E77E2D">
        <w:rPr>
          <w:rFonts w:ascii="Helvetica" w:hAnsi="Helvetica" w:cs="Helvetica"/>
        </w:rPr>
        <w:t>3</w:t>
      </w:r>
      <w:r w:rsidR="00A01BF7" w:rsidRPr="00E77E2D">
        <w:rPr>
          <w:rFonts w:ascii="Helvetica" w:hAnsi="Helvetica" w:cs="Helvetica"/>
        </w:rPr>
        <w:t>4</w:t>
      </w:r>
      <w:r w:rsidR="00CB6A2D" w:rsidRPr="00E77E2D">
        <w:rPr>
          <w:rFonts w:ascii="Helvetica" w:hAnsi="Helvetica" w:cs="Helvetica"/>
        </w:rPr>
        <w:t xml:space="preserve"> weeks</w:t>
      </w:r>
      <w:r w:rsidR="003B3C2D" w:rsidRPr="00E77E2D">
        <w:rPr>
          <w:rFonts w:ascii="Helvetica" w:hAnsi="Helvetica" w:cs="Helvetica"/>
        </w:rPr>
        <w:t>.</w:t>
      </w:r>
      <w:r w:rsidR="00CB6A2D" w:rsidRPr="00E77E2D">
        <w:rPr>
          <w:rFonts w:ascii="Helvetica" w:hAnsi="Helvetica" w:cs="Helvetica"/>
        </w:rPr>
        <w:t xml:space="preserve"> </w:t>
      </w:r>
      <w:r w:rsidR="004579F5">
        <w:rPr>
          <w:rFonts w:ascii="Helvetica" w:hAnsi="Helvetica" w:cs="Helvetica"/>
        </w:rPr>
        <w:t xml:space="preserve">For the last 12 months the </w:t>
      </w:r>
      <w:r w:rsidR="0056736B">
        <w:rPr>
          <w:rFonts w:ascii="Helvetica" w:hAnsi="Helvetica" w:cs="Helvetica"/>
        </w:rPr>
        <w:t>mean</w:t>
      </w:r>
      <w:r w:rsidR="004579F5">
        <w:rPr>
          <w:rFonts w:ascii="Helvetica" w:hAnsi="Helvetica" w:cs="Helvetica"/>
        </w:rPr>
        <w:t xml:space="preserve"> is </w:t>
      </w:r>
      <w:r w:rsidR="0056736B">
        <w:rPr>
          <w:rFonts w:ascii="Helvetica" w:hAnsi="Helvetica" w:cs="Helvetica"/>
        </w:rPr>
        <w:t>40</w:t>
      </w:r>
      <w:r w:rsidR="004579F5">
        <w:rPr>
          <w:rFonts w:ascii="Helvetica" w:hAnsi="Helvetica" w:cs="Helvetica"/>
        </w:rPr>
        <w:t xml:space="preserve"> weeks. </w:t>
      </w:r>
      <w:r w:rsidR="00D64A0E">
        <w:rPr>
          <w:rFonts w:ascii="Helvetica" w:hAnsi="Helvetica" w:cs="Helvetica"/>
        </w:rPr>
        <w:t xml:space="preserve"> </w:t>
      </w:r>
      <w:r w:rsidR="00CB6A2D" w:rsidRPr="00E77E2D">
        <w:rPr>
          <w:rFonts w:ascii="Helvetica" w:hAnsi="Helvetica" w:cs="Helvetica"/>
        </w:rPr>
        <w:t xml:space="preserve">The median </w:t>
      </w:r>
      <w:r w:rsidR="002A67EA" w:rsidRPr="00E77E2D">
        <w:rPr>
          <w:rFonts w:ascii="Helvetica" w:hAnsi="Helvetica" w:cs="Helvetica"/>
        </w:rPr>
        <w:t xml:space="preserve">time </w:t>
      </w:r>
      <w:r w:rsidR="00CB6A2D" w:rsidRPr="00E77E2D">
        <w:rPr>
          <w:rFonts w:ascii="Helvetica" w:hAnsi="Helvetica" w:cs="Helvetica"/>
        </w:rPr>
        <w:t>for enforcement decision</w:t>
      </w:r>
      <w:r w:rsidR="002A67EA" w:rsidRPr="00E77E2D">
        <w:rPr>
          <w:rFonts w:ascii="Helvetica" w:hAnsi="Helvetica" w:cs="Helvetica"/>
        </w:rPr>
        <w:t>s</w:t>
      </w:r>
      <w:r w:rsidR="00CB6A2D" w:rsidRPr="00E77E2D">
        <w:rPr>
          <w:rFonts w:ascii="Helvetica" w:hAnsi="Helvetica" w:cs="Helvetica"/>
        </w:rPr>
        <w:t xml:space="preserve"> is longer than the median decision time for planning cases. </w:t>
      </w:r>
    </w:p>
    <w:p w14:paraId="09CDA249" w14:textId="47C0EA76" w:rsidR="00B23AA6" w:rsidRDefault="00CB6A2D" w:rsidP="005F45D3">
      <w:pPr>
        <w:spacing w:before="120"/>
        <w:jc w:val="both"/>
        <w:rPr>
          <w:rFonts w:ascii="Helvetica" w:hAnsi="Helvetica" w:cs="Helvetica"/>
        </w:rPr>
      </w:pPr>
      <w:r w:rsidRPr="29855FF2">
        <w:rPr>
          <w:rFonts w:ascii="Helvetica" w:hAnsi="Helvetica" w:cs="Helvetica"/>
        </w:rPr>
        <w:t>There are considerably fewer specialist cases which means results</w:t>
      </w:r>
      <w:r w:rsidR="00C53A7E" w:rsidRPr="29855FF2">
        <w:rPr>
          <w:rFonts w:ascii="Helvetica" w:hAnsi="Helvetica" w:cs="Helvetica"/>
        </w:rPr>
        <w:t xml:space="preserve"> are more </w:t>
      </w:r>
      <w:r w:rsidR="00B8493D" w:rsidRPr="29855FF2">
        <w:rPr>
          <w:rFonts w:ascii="Helvetica" w:hAnsi="Helvetica" w:cs="Helvetica"/>
        </w:rPr>
        <w:t xml:space="preserve">liable to </w:t>
      </w:r>
      <w:r w:rsidR="00D53AF9" w:rsidRPr="29855FF2">
        <w:rPr>
          <w:rFonts w:ascii="Helvetica" w:hAnsi="Helvetica" w:cs="Helvetica"/>
        </w:rPr>
        <w:t xml:space="preserve">be </w:t>
      </w:r>
      <w:r w:rsidR="00C53A7E" w:rsidRPr="29855FF2">
        <w:rPr>
          <w:rFonts w:ascii="Helvetica" w:hAnsi="Helvetica" w:cs="Helvetica"/>
        </w:rPr>
        <w:t>dist</w:t>
      </w:r>
      <w:r w:rsidR="00121C9C" w:rsidRPr="29855FF2">
        <w:rPr>
          <w:rFonts w:ascii="Helvetica" w:hAnsi="Helvetica" w:cs="Helvetica"/>
        </w:rPr>
        <w:t xml:space="preserve">orted </w:t>
      </w:r>
      <w:r w:rsidR="00D53AF9" w:rsidRPr="29855FF2">
        <w:rPr>
          <w:rFonts w:ascii="Helvetica" w:hAnsi="Helvetica" w:cs="Helvetica"/>
        </w:rPr>
        <w:t>by extreme values</w:t>
      </w:r>
      <w:r w:rsidR="00D53AF9" w:rsidRPr="29855FF2">
        <w:rPr>
          <w:rFonts w:ascii="Helvetica" w:hAnsi="Helvetica" w:cs="Helvetica"/>
          <w:i/>
          <w:iCs/>
        </w:rPr>
        <w:t>.</w:t>
      </w:r>
      <w:r w:rsidRPr="29855FF2">
        <w:rPr>
          <w:rFonts w:ascii="Helvetica" w:hAnsi="Helvetica" w:cs="Helvetica"/>
        </w:rPr>
        <w:t xml:space="preserve"> </w:t>
      </w:r>
      <w:r w:rsidR="00301A96" w:rsidRPr="29855FF2">
        <w:rPr>
          <w:rFonts w:ascii="Helvetica" w:hAnsi="Helvetica" w:cs="Helvetica"/>
        </w:rPr>
        <w:t>Looking a</w:t>
      </w:r>
      <w:r w:rsidR="0080770C" w:rsidRPr="29855FF2">
        <w:rPr>
          <w:rFonts w:ascii="Helvetica" w:hAnsi="Helvetica" w:cs="Helvetica"/>
        </w:rPr>
        <w:t xml:space="preserve">t the annual totals, the </w:t>
      </w:r>
      <w:r w:rsidR="0097559C" w:rsidRPr="29855FF2">
        <w:rPr>
          <w:rFonts w:ascii="Helvetica" w:hAnsi="Helvetica" w:cs="Helvetica"/>
        </w:rPr>
        <w:t xml:space="preserve">median and mean time to </w:t>
      </w:r>
      <w:r w:rsidR="0097559C" w:rsidRPr="29855FF2">
        <w:rPr>
          <w:rFonts w:ascii="Helvetica" w:hAnsi="Helvetica" w:cs="Helvetica"/>
        </w:rPr>
        <w:lastRenderedPageBreak/>
        <w:t xml:space="preserve">decision for </w:t>
      </w:r>
      <w:r w:rsidR="00A9606D" w:rsidRPr="29855FF2">
        <w:rPr>
          <w:rFonts w:ascii="Helvetica" w:hAnsi="Helvetica" w:cs="Helvetica"/>
        </w:rPr>
        <w:t xml:space="preserve">specialist </w:t>
      </w:r>
      <w:r w:rsidR="00C86CBD" w:rsidRPr="29855FF2">
        <w:rPr>
          <w:rFonts w:ascii="Helvetica" w:hAnsi="Helvetica" w:cs="Helvetica"/>
        </w:rPr>
        <w:t xml:space="preserve">decisions </w:t>
      </w:r>
      <w:r w:rsidR="008772D2">
        <w:rPr>
          <w:rFonts w:ascii="Helvetica" w:hAnsi="Helvetica" w:cs="Helvetica"/>
        </w:rPr>
        <w:t xml:space="preserve">have been </w:t>
      </w:r>
      <w:r w:rsidR="00C86CBD" w:rsidRPr="29855FF2">
        <w:rPr>
          <w:rFonts w:ascii="Helvetica" w:hAnsi="Helvetica" w:cs="Helvetica"/>
        </w:rPr>
        <w:t>broadly the same as for enforcement decisions, and longer</w:t>
      </w:r>
      <w:r w:rsidR="00AC34E9" w:rsidRPr="29855FF2">
        <w:rPr>
          <w:rFonts w:ascii="Helvetica" w:hAnsi="Helvetica" w:cs="Helvetica"/>
        </w:rPr>
        <w:t xml:space="preserve"> th</w:t>
      </w:r>
      <w:r w:rsidR="00B6341B" w:rsidRPr="29855FF2">
        <w:rPr>
          <w:rFonts w:ascii="Helvetica" w:hAnsi="Helvetica" w:cs="Helvetica"/>
        </w:rPr>
        <w:t>an the medi</w:t>
      </w:r>
      <w:r w:rsidR="00170AFE" w:rsidRPr="29855FF2">
        <w:rPr>
          <w:rFonts w:ascii="Helvetica" w:hAnsi="Helvetica" w:cs="Helvetica"/>
        </w:rPr>
        <w:t>an</w:t>
      </w:r>
      <w:r w:rsidR="00AC34E9" w:rsidRPr="29855FF2">
        <w:rPr>
          <w:rFonts w:ascii="Helvetica" w:hAnsi="Helvetica" w:cs="Helvetica"/>
        </w:rPr>
        <w:t xml:space="preserve"> for planning decisions.</w:t>
      </w:r>
      <w:r w:rsidR="008772D2">
        <w:rPr>
          <w:rFonts w:ascii="Helvetica" w:hAnsi="Helvetica" w:cs="Helvetica"/>
        </w:rPr>
        <w:t xml:space="preserve">  Since February 21 there has been a </w:t>
      </w:r>
      <w:r w:rsidR="00FA2E54">
        <w:rPr>
          <w:rFonts w:ascii="Helvetica" w:hAnsi="Helvetica" w:cs="Helvetica"/>
        </w:rPr>
        <w:t>change</w:t>
      </w:r>
      <w:r w:rsidR="008772D2">
        <w:rPr>
          <w:rFonts w:ascii="Helvetica" w:hAnsi="Helvetica" w:cs="Helvetica"/>
        </w:rPr>
        <w:t xml:space="preserve"> in this trend, </w:t>
      </w:r>
      <w:r w:rsidR="00FA2E54">
        <w:rPr>
          <w:rFonts w:ascii="Helvetica" w:hAnsi="Helvetica" w:cs="Helvetica"/>
        </w:rPr>
        <w:t xml:space="preserve">with </w:t>
      </w:r>
      <w:r w:rsidR="00EA0BDD">
        <w:rPr>
          <w:rFonts w:ascii="Helvetica" w:hAnsi="Helvetica" w:cs="Helvetica"/>
        </w:rPr>
        <w:t>Specialist</w:t>
      </w:r>
      <w:r w:rsidR="00FA2E54">
        <w:rPr>
          <w:rFonts w:ascii="Helvetica" w:hAnsi="Helvetica" w:cs="Helvetica"/>
        </w:rPr>
        <w:t xml:space="preserve"> cases being quicker than Enforcement.  </w:t>
      </w:r>
      <w:r w:rsidR="00EA0BDD">
        <w:rPr>
          <w:rFonts w:ascii="Helvetica" w:hAnsi="Helvetica" w:cs="Helvetica"/>
        </w:rPr>
        <w:t>Th</w:t>
      </w:r>
      <w:r w:rsidR="008772D2">
        <w:rPr>
          <w:rFonts w:ascii="Helvetica" w:hAnsi="Helvetica" w:cs="Helvetica"/>
        </w:rPr>
        <w:t xml:space="preserve">e mix of casework being decided under the Specialist group has changed, and there was a concentrated effort to decide a </w:t>
      </w:r>
      <w:r w:rsidR="00B02E16" w:rsidRPr="00027D11">
        <w:rPr>
          <w:rFonts w:ascii="Helvetica" w:hAnsi="Helvetica" w:cs="Helvetica"/>
        </w:rPr>
        <w:t>high number of older Tree Pres</w:t>
      </w:r>
      <w:r w:rsidR="00BD4095" w:rsidRPr="00027D11">
        <w:rPr>
          <w:rFonts w:ascii="Helvetica" w:hAnsi="Helvetica" w:cs="Helvetica"/>
        </w:rPr>
        <w:t xml:space="preserve">ervation Order (TPO) </w:t>
      </w:r>
      <w:r w:rsidR="00B02E16" w:rsidRPr="00027D11">
        <w:rPr>
          <w:rFonts w:ascii="Helvetica" w:hAnsi="Helvetica" w:cs="Helvetica"/>
        </w:rPr>
        <w:t xml:space="preserve">cases </w:t>
      </w:r>
      <w:r w:rsidR="00EA0BDD">
        <w:rPr>
          <w:rFonts w:ascii="Helvetica" w:hAnsi="Helvetica" w:cs="Helvetica"/>
        </w:rPr>
        <w:t>that has influenced performance figures.</w:t>
      </w:r>
    </w:p>
    <w:p w14:paraId="59661F55" w14:textId="3BC26ADA" w:rsidR="006A3227" w:rsidRPr="00FD3CA0" w:rsidRDefault="006A3227" w:rsidP="00086BEB">
      <w:pPr>
        <w:spacing w:before="120"/>
        <w:jc w:val="both"/>
        <w:rPr>
          <w:rFonts w:ascii="Helvetica" w:hAnsi="Helvetica" w:cs="Helvetica"/>
        </w:rPr>
      </w:pPr>
      <w:r w:rsidRPr="00FD3CA0">
        <w:rPr>
          <w:rFonts w:ascii="Helvetica" w:hAnsi="Helvetica" w:cs="Helvetica"/>
        </w:rPr>
        <w:t xml:space="preserve">Note that </w:t>
      </w:r>
      <w:r w:rsidR="00AA14D8" w:rsidRPr="00FD3CA0">
        <w:rPr>
          <w:rFonts w:ascii="Helvetica" w:hAnsi="Helvetica" w:cs="Helvetica"/>
        </w:rPr>
        <w:t>the Inspectorate</w:t>
      </w:r>
      <w:r w:rsidRPr="00FD3CA0">
        <w:rPr>
          <w:rFonts w:ascii="Helvetica" w:hAnsi="Helvetica" w:cs="Helvetica"/>
        </w:rPr>
        <w:t xml:space="preserve"> publish</w:t>
      </w:r>
      <w:r w:rsidR="00AA14D8" w:rsidRPr="00FD3CA0">
        <w:rPr>
          <w:rFonts w:ascii="Helvetica" w:hAnsi="Helvetica" w:cs="Helvetica"/>
        </w:rPr>
        <w:t>es</w:t>
      </w:r>
      <w:r w:rsidRPr="00FD3CA0">
        <w:rPr>
          <w:rFonts w:ascii="Helvetica" w:hAnsi="Helvetica" w:cs="Helvetica"/>
        </w:rPr>
        <w:t xml:space="preserve"> each month, information on the mean and median times from valid to decision, for selected appeal types</w:t>
      </w:r>
      <w:r w:rsidR="00FD3CA0" w:rsidRPr="00FD3CA0">
        <w:rPr>
          <w:rFonts w:ascii="Helvetica" w:hAnsi="Helvetica" w:cs="Helvetica"/>
        </w:rPr>
        <w:t>.</w:t>
      </w:r>
      <w:r w:rsidRPr="00FD3CA0">
        <w:rPr>
          <w:rFonts w:ascii="Helvetica" w:hAnsi="Helvetica" w:cs="Helvetica"/>
        </w:rPr>
        <w:t xml:space="preserve"> </w:t>
      </w:r>
      <w:r w:rsidR="00FD3CA0" w:rsidRPr="0087691A">
        <w:rPr>
          <w:rFonts w:ascii="Helvetica" w:hAnsi="Helvetica" w:cs="Helvetica"/>
        </w:rPr>
        <w:t>The information published also breaks down the time for each stage of the process.</w:t>
      </w:r>
      <w:r w:rsidR="00FD3CA0" w:rsidRPr="00FD3CA0">
        <w:rPr>
          <w:rFonts w:ascii="Helvetica" w:hAnsi="Helvetica" w:cs="Helvetica"/>
        </w:rPr>
        <w:t xml:space="preserve">  See</w:t>
      </w:r>
      <w:r w:rsidRPr="00FD3CA0">
        <w:rPr>
          <w:rFonts w:ascii="Helvetica" w:hAnsi="Helvetica" w:cs="Helvetica"/>
        </w:rPr>
        <w:t xml:space="preserve"> Annex </w:t>
      </w:r>
      <w:r w:rsidR="00E0686A" w:rsidRPr="00FD3CA0">
        <w:rPr>
          <w:rFonts w:ascii="Helvetica" w:hAnsi="Helvetica" w:cs="Helvetica"/>
        </w:rPr>
        <w:t>C</w:t>
      </w:r>
      <w:r w:rsidR="002B336E">
        <w:rPr>
          <w:rStyle w:val="FootnoteReference"/>
          <w:rFonts w:ascii="Helvetica" w:hAnsi="Helvetica" w:cs="Helvetica"/>
        </w:rPr>
        <w:footnoteReference w:id="11"/>
      </w:r>
      <w:r w:rsidR="00FD3CA0" w:rsidRPr="00FD3CA0">
        <w:rPr>
          <w:rFonts w:ascii="Helvetica" w:hAnsi="Helvetica" w:cs="Helvetica"/>
        </w:rPr>
        <w:t xml:space="preserve"> for further details</w:t>
      </w:r>
      <w:r w:rsidRPr="00FD3CA0">
        <w:rPr>
          <w:rFonts w:ascii="Helvetica" w:hAnsi="Helvetica" w:cs="Helvetica"/>
        </w:rPr>
        <w:t xml:space="preserve">. </w:t>
      </w:r>
    </w:p>
    <w:p w14:paraId="3DCCE2DC" w14:textId="77777777" w:rsidR="006A3227" w:rsidRPr="00D54BB4" w:rsidRDefault="006A3227" w:rsidP="00C41717">
      <w:pPr>
        <w:jc w:val="both"/>
        <w:rPr>
          <w:rFonts w:ascii="Helvetica" w:hAnsi="Helvetica" w:cs="Helvetica"/>
          <w:highlight w:val="yellow"/>
        </w:rPr>
      </w:pPr>
      <w:r w:rsidRPr="00D54BB4">
        <w:rPr>
          <w:rFonts w:ascii="Helvetica" w:hAnsi="Helvetica" w:cs="Helvetica"/>
          <w:highlight w:val="yellow"/>
        </w:rPr>
        <w:t xml:space="preserve"> </w:t>
      </w:r>
    </w:p>
    <w:p w14:paraId="7827E9BC" w14:textId="77777777" w:rsidR="006A3227" w:rsidRPr="003B371E" w:rsidRDefault="006A3227" w:rsidP="00C41717">
      <w:pPr>
        <w:jc w:val="both"/>
        <w:rPr>
          <w:rFonts w:ascii="Helvetica" w:hAnsi="Helvetica" w:cs="Helvetica"/>
          <w:b/>
          <w:bCs/>
        </w:rPr>
      </w:pPr>
      <w:r w:rsidRPr="003B371E">
        <w:rPr>
          <w:rFonts w:ascii="Helvetica" w:hAnsi="Helvetica" w:cs="Helvetica"/>
          <w:b/>
          <w:bCs/>
        </w:rPr>
        <w:t>Planning Inquiry Decisions</w:t>
      </w:r>
    </w:p>
    <w:p w14:paraId="2E3ECD01" w14:textId="77777777" w:rsidR="006A3227" w:rsidRPr="003B371E" w:rsidRDefault="006A3227" w:rsidP="00C41717">
      <w:pPr>
        <w:jc w:val="both"/>
        <w:rPr>
          <w:rFonts w:ascii="Helvetica" w:hAnsi="Helvetica" w:cs="Helvetica"/>
        </w:rPr>
      </w:pPr>
      <w:r w:rsidRPr="003B371E">
        <w:rPr>
          <w:rFonts w:ascii="Helvetica" w:hAnsi="Helvetica" w:cs="Helvetica"/>
        </w:rPr>
        <w:t>For planning appeals decided by the inquiry process, The Planning Inspectorate has been implementing recommendations from the Rosewell review.</w:t>
      </w:r>
    </w:p>
    <w:p w14:paraId="3A4B7502" w14:textId="77777777" w:rsidR="006A3227" w:rsidRPr="003B371E" w:rsidRDefault="006A3227" w:rsidP="00C41717">
      <w:pPr>
        <w:jc w:val="both"/>
        <w:rPr>
          <w:rFonts w:ascii="Helvetica" w:hAnsi="Helvetica" w:cs="Helvetica"/>
        </w:rPr>
      </w:pPr>
    </w:p>
    <w:p w14:paraId="4B822D5F" w14:textId="42517C03" w:rsidR="008F1644" w:rsidRDefault="004A1257" w:rsidP="004A1257">
      <w:pPr>
        <w:jc w:val="both"/>
        <w:rPr>
          <w:rFonts w:ascii="Helvetica" w:hAnsi="Helvetica" w:cs="Helvetica"/>
        </w:rPr>
      </w:pPr>
      <w:r w:rsidRPr="003B371E">
        <w:rPr>
          <w:rFonts w:ascii="Helvetica" w:hAnsi="Helvetica" w:cs="Helvetica"/>
        </w:rPr>
        <w:t xml:space="preserve">The median time for inquiries over the 12 months to </w:t>
      </w:r>
      <w:r w:rsidR="00EA0BDD">
        <w:rPr>
          <w:rFonts w:ascii="Helvetica" w:hAnsi="Helvetica" w:cs="Helvetica"/>
        </w:rPr>
        <w:t>May</w:t>
      </w:r>
      <w:r w:rsidR="00163004" w:rsidRPr="003B371E">
        <w:rPr>
          <w:rFonts w:ascii="Helvetica" w:hAnsi="Helvetica" w:cs="Helvetica"/>
        </w:rPr>
        <w:t xml:space="preserve"> 21</w:t>
      </w:r>
      <w:r w:rsidRPr="003B371E">
        <w:rPr>
          <w:rFonts w:ascii="Helvetica" w:hAnsi="Helvetica" w:cs="Helvetica"/>
        </w:rPr>
        <w:t xml:space="preserve"> is </w:t>
      </w:r>
      <w:r w:rsidR="005F1425">
        <w:rPr>
          <w:rFonts w:ascii="Helvetica" w:hAnsi="Helvetica" w:cs="Helvetica"/>
        </w:rPr>
        <w:t>39</w:t>
      </w:r>
      <w:r w:rsidRPr="003B371E">
        <w:rPr>
          <w:rFonts w:ascii="Helvetica" w:hAnsi="Helvetica" w:cs="Helvetica"/>
        </w:rPr>
        <w:t xml:space="preserve"> weeks, with the mean being </w:t>
      </w:r>
      <w:r w:rsidR="00871943">
        <w:rPr>
          <w:rFonts w:ascii="Helvetica" w:hAnsi="Helvetica" w:cs="Helvetica"/>
        </w:rPr>
        <w:t>marginally higher at 4</w:t>
      </w:r>
      <w:r w:rsidR="005F1425">
        <w:rPr>
          <w:rFonts w:ascii="Helvetica" w:hAnsi="Helvetica" w:cs="Helvetica"/>
        </w:rPr>
        <w:t>0</w:t>
      </w:r>
      <w:r w:rsidRPr="003B371E">
        <w:rPr>
          <w:rFonts w:ascii="Helvetica" w:hAnsi="Helvetica" w:cs="Helvetica"/>
        </w:rPr>
        <w:t xml:space="preserve"> weeks.</w:t>
      </w:r>
      <w:r w:rsidR="0080097F" w:rsidRPr="003B371E">
        <w:rPr>
          <w:rFonts w:ascii="Helvetica" w:hAnsi="Helvetica" w:cs="Helvetica"/>
        </w:rPr>
        <w:t xml:space="preserve">  </w:t>
      </w:r>
      <w:proofErr w:type="gramStart"/>
      <w:r w:rsidR="008F1644">
        <w:rPr>
          <w:rFonts w:ascii="Helvetica" w:hAnsi="Helvetica" w:cs="Helvetica"/>
        </w:rPr>
        <w:t>With the exception of</w:t>
      </w:r>
      <w:proofErr w:type="gramEnd"/>
      <w:r w:rsidR="008F1644">
        <w:rPr>
          <w:rFonts w:ascii="Helvetica" w:hAnsi="Helvetica" w:cs="Helvetica"/>
        </w:rPr>
        <w:t xml:space="preserve"> </w:t>
      </w:r>
      <w:r w:rsidR="00904C0D" w:rsidRPr="003B371E">
        <w:rPr>
          <w:rFonts w:ascii="Helvetica" w:hAnsi="Helvetica" w:cs="Helvetica"/>
        </w:rPr>
        <w:t>February 21</w:t>
      </w:r>
      <w:r w:rsidR="008F1644">
        <w:rPr>
          <w:rFonts w:ascii="Helvetica" w:hAnsi="Helvetica" w:cs="Helvetica"/>
        </w:rPr>
        <w:t>, decision volumes have been above ten per month since Dec 20.</w:t>
      </w:r>
    </w:p>
    <w:p w14:paraId="69FC30CC" w14:textId="77777777" w:rsidR="00CC2CA1" w:rsidRDefault="00CC2CA1" w:rsidP="00C41717">
      <w:pPr>
        <w:spacing w:after="120"/>
        <w:rPr>
          <w:rFonts w:ascii="Helvetica" w:hAnsi="Helvetica" w:cs="Helvetica"/>
          <w:highlight w:val="green"/>
        </w:rPr>
      </w:pPr>
    </w:p>
    <w:p w14:paraId="7BD498CD" w14:textId="776CAAFA" w:rsidR="006A3227" w:rsidRDefault="006A3227" w:rsidP="00104CCA">
      <w:pPr>
        <w:keepNext/>
        <w:spacing w:after="120"/>
        <w:rPr>
          <w:rFonts w:ascii="Helvetica" w:hAnsi="Helvetica" w:cs="Helvetica"/>
        </w:rPr>
      </w:pPr>
      <w:r w:rsidRPr="00602DD9">
        <w:rPr>
          <w:rFonts w:ascii="Helvetica" w:hAnsi="Helvetica" w:cs="Helvetica"/>
        </w:rPr>
        <w:t xml:space="preserve">Table </w:t>
      </w:r>
      <w:r w:rsidR="00C9368E" w:rsidRPr="00602DD9">
        <w:rPr>
          <w:rFonts w:ascii="Helvetica" w:hAnsi="Helvetica" w:cs="Helvetica"/>
        </w:rPr>
        <w:t>8</w:t>
      </w:r>
      <w:r w:rsidRPr="00602DD9">
        <w:rPr>
          <w:rFonts w:ascii="Helvetica" w:hAnsi="Helvetica" w:cs="Helvetica"/>
        </w:rPr>
        <w:t xml:space="preserve">: Decisions, Mean and Median Time to Decision, Planning Inquiry cases under Rosewell process; </w:t>
      </w:r>
      <w:r w:rsidR="00997131" w:rsidRPr="00602DD9">
        <w:rPr>
          <w:rFonts w:ascii="Helvetica" w:hAnsi="Helvetica" w:cs="Helvetica"/>
        </w:rPr>
        <w:t>Jun</w:t>
      </w:r>
      <w:r w:rsidR="00BD0D23" w:rsidRPr="00602DD9">
        <w:rPr>
          <w:rFonts w:ascii="Helvetica" w:hAnsi="Helvetica" w:cs="Helvetica"/>
        </w:rPr>
        <w:t xml:space="preserve"> 20 to </w:t>
      </w:r>
      <w:r w:rsidR="00997131" w:rsidRPr="00602DD9">
        <w:rPr>
          <w:rFonts w:ascii="Helvetica" w:hAnsi="Helvetica" w:cs="Helvetica"/>
        </w:rPr>
        <w:t>May</w:t>
      </w:r>
      <w:r w:rsidR="00BD0D23" w:rsidRPr="00602DD9">
        <w:rPr>
          <w:rFonts w:ascii="Helvetica" w:hAnsi="Helvetica" w:cs="Helvetica"/>
        </w:rPr>
        <w:t xml:space="preserve"> 21</w:t>
      </w:r>
    </w:p>
    <w:tbl>
      <w:tblPr>
        <w:tblW w:w="0" w:type="auto"/>
        <w:tblLook w:val="0000" w:firstRow="0" w:lastRow="0" w:firstColumn="0" w:lastColumn="0" w:noHBand="0" w:noVBand="0"/>
      </w:tblPr>
      <w:tblGrid>
        <w:gridCol w:w="988"/>
        <w:gridCol w:w="665"/>
        <w:gridCol w:w="664"/>
        <w:gridCol w:w="665"/>
        <w:gridCol w:w="665"/>
        <w:gridCol w:w="664"/>
        <w:gridCol w:w="666"/>
        <w:gridCol w:w="663"/>
        <w:gridCol w:w="662"/>
        <w:gridCol w:w="665"/>
        <w:gridCol w:w="664"/>
        <w:gridCol w:w="664"/>
        <w:gridCol w:w="665"/>
        <w:gridCol w:w="669"/>
      </w:tblGrid>
      <w:tr w:rsidR="009D5CAF" w14:paraId="63E2340F" w14:textId="77777777" w:rsidTr="00D55E91">
        <w:trPr>
          <w:trHeight w:val="374"/>
        </w:trPr>
        <w:tc>
          <w:tcPr>
            <w:tcW w:w="988" w:type="dxa"/>
            <w:tcBorders>
              <w:top w:val="single" w:sz="4" w:space="0" w:color="auto"/>
              <w:left w:val="single" w:sz="4" w:space="0" w:color="auto"/>
              <w:bottom w:val="single" w:sz="4" w:space="0" w:color="auto"/>
              <w:right w:val="single" w:sz="4" w:space="0" w:color="auto"/>
            </w:tcBorders>
            <w:vAlign w:val="center"/>
          </w:tcPr>
          <w:p w14:paraId="0CC484AF" w14:textId="29CC9C10" w:rsidR="009D5CAF" w:rsidRDefault="009D5CAF" w:rsidP="009D5CAF">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Measure</w:t>
            </w:r>
          </w:p>
        </w:tc>
        <w:tc>
          <w:tcPr>
            <w:tcW w:w="665" w:type="dxa"/>
            <w:tcBorders>
              <w:top w:val="single" w:sz="4" w:space="0" w:color="auto"/>
              <w:left w:val="single" w:sz="4" w:space="0" w:color="auto"/>
              <w:bottom w:val="single" w:sz="4" w:space="0" w:color="auto"/>
            </w:tcBorders>
            <w:vAlign w:val="center"/>
          </w:tcPr>
          <w:p w14:paraId="3C1D54F2" w14:textId="43C7CEB3" w:rsidR="009D5CAF" w:rsidRPr="00E367B2"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64" w:type="dxa"/>
            <w:tcBorders>
              <w:top w:val="single" w:sz="4" w:space="0" w:color="auto"/>
              <w:bottom w:val="single" w:sz="4" w:space="0" w:color="auto"/>
            </w:tcBorders>
            <w:vAlign w:val="center"/>
          </w:tcPr>
          <w:p w14:paraId="593B6619" w14:textId="4AC9CCC4" w:rsidR="009D5CAF" w:rsidRPr="00E367B2"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65" w:type="dxa"/>
            <w:tcBorders>
              <w:top w:val="single" w:sz="4" w:space="0" w:color="auto"/>
              <w:bottom w:val="single" w:sz="4" w:space="0" w:color="auto"/>
            </w:tcBorders>
            <w:vAlign w:val="center"/>
          </w:tcPr>
          <w:p w14:paraId="017B08C3" w14:textId="24C8E59A" w:rsidR="009D5CAF" w:rsidRPr="00E367B2"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65" w:type="dxa"/>
            <w:tcBorders>
              <w:top w:val="single" w:sz="4" w:space="0" w:color="auto"/>
              <w:bottom w:val="single" w:sz="4" w:space="0" w:color="auto"/>
            </w:tcBorders>
            <w:vAlign w:val="center"/>
          </w:tcPr>
          <w:p w14:paraId="77C87D77" w14:textId="58A6288A" w:rsidR="009D5CAF" w:rsidRPr="00E367B2"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64" w:type="dxa"/>
            <w:tcBorders>
              <w:top w:val="single" w:sz="4" w:space="0" w:color="auto"/>
              <w:bottom w:val="single" w:sz="4" w:space="0" w:color="auto"/>
            </w:tcBorders>
            <w:vAlign w:val="center"/>
          </w:tcPr>
          <w:p w14:paraId="19DBB52B" w14:textId="0D53A18C" w:rsidR="009D5CAF" w:rsidRPr="00E367B2"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66" w:type="dxa"/>
            <w:tcBorders>
              <w:top w:val="single" w:sz="4" w:space="0" w:color="auto"/>
              <w:bottom w:val="single" w:sz="4" w:space="0" w:color="auto"/>
            </w:tcBorders>
            <w:vAlign w:val="center"/>
          </w:tcPr>
          <w:p w14:paraId="324CBEBA" w14:textId="4B70BFBD" w:rsidR="009D5CAF" w:rsidRPr="00E367B2"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63" w:type="dxa"/>
            <w:tcBorders>
              <w:top w:val="single" w:sz="4" w:space="0" w:color="auto"/>
              <w:bottom w:val="single" w:sz="4" w:space="0" w:color="auto"/>
            </w:tcBorders>
            <w:vAlign w:val="center"/>
          </w:tcPr>
          <w:p w14:paraId="0B13ABE5" w14:textId="107923EA" w:rsidR="009D5CAF" w:rsidRPr="00E367B2"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62" w:type="dxa"/>
            <w:tcBorders>
              <w:top w:val="single" w:sz="4" w:space="0" w:color="auto"/>
              <w:bottom w:val="single" w:sz="4" w:space="0" w:color="auto"/>
            </w:tcBorders>
            <w:vAlign w:val="center"/>
          </w:tcPr>
          <w:p w14:paraId="1FC0600A" w14:textId="0F510108" w:rsidR="009D5CAF" w:rsidRPr="00E367B2" w:rsidRDefault="009D5CAF" w:rsidP="009D5CAF">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65" w:type="dxa"/>
            <w:tcBorders>
              <w:top w:val="single" w:sz="4" w:space="0" w:color="auto"/>
              <w:bottom w:val="single" w:sz="4" w:space="0" w:color="auto"/>
            </w:tcBorders>
            <w:vAlign w:val="center"/>
          </w:tcPr>
          <w:p w14:paraId="42E40C10" w14:textId="117DA578" w:rsidR="009D5CAF" w:rsidRPr="00E367B2"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64" w:type="dxa"/>
            <w:tcBorders>
              <w:top w:val="single" w:sz="4" w:space="0" w:color="auto"/>
              <w:bottom w:val="single" w:sz="4" w:space="0" w:color="auto"/>
            </w:tcBorders>
            <w:vAlign w:val="center"/>
          </w:tcPr>
          <w:p w14:paraId="046A680D" w14:textId="1C5627D6" w:rsidR="009D5CAF" w:rsidRPr="00E367B2"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64" w:type="dxa"/>
            <w:tcBorders>
              <w:top w:val="single" w:sz="4" w:space="0" w:color="auto"/>
              <w:bottom w:val="single" w:sz="4" w:space="0" w:color="auto"/>
            </w:tcBorders>
            <w:vAlign w:val="center"/>
          </w:tcPr>
          <w:p w14:paraId="3795D01D" w14:textId="1300A647" w:rsidR="009D5CAF" w:rsidRPr="00E367B2"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Apr</w:t>
            </w:r>
            <w:r w:rsidRPr="00761EA3">
              <w:rPr>
                <w:rFonts w:ascii="Calibri" w:hAnsi="Calibri" w:cs="Calibri"/>
                <w:color w:val="000000"/>
                <w:sz w:val="14"/>
                <w:szCs w:val="14"/>
              </w:rPr>
              <w:t xml:space="preserve"> 21</w:t>
            </w:r>
          </w:p>
        </w:tc>
        <w:tc>
          <w:tcPr>
            <w:tcW w:w="665" w:type="dxa"/>
            <w:tcBorders>
              <w:top w:val="single" w:sz="4" w:space="0" w:color="auto"/>
              <w:bottom w:val="single" w:sz="4" w:space="0" w:color="auto"/>
              <w:right w:val="single" w:sz="4" w:space="0" w:color="auto"/>
            </w:tcBorders>
            <w:vAlign w:val="center"/>
          </w:tcPr>
          <w:p w14:paraId="093F42EB" w14:textId="2AB70C4A" w:rsidR="009D5CAF" w:rsidRPr="00E367B2" w:rsidRDefault="009D5CAF" w:rsidP="009D5CAF">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May</w:t>
            </w:r>
            <w:r w:rsidRPr="00761EA3">
              <w:rPr>
                <w:rFonts w:ascii="Calibri" w:hAnsi="Calibri" w:cs="Calibri"/>
                <w:color w:val="000000"/>
                <w:sz w:val="14"/>
                <w:szCs w:val="14"/>
              </w:rPr>
              <w:t xml:space="preserve"> 21</w:t>
            </w:r>
          </w:p>
        </w:tc>
        <w:tc>
          <w:tcPr>
            <w:tcW w:w="669" w:type="dxa"/>
            <w:tcBorders>
              <w:top w:val="single" w:sz="4" w:space="0" w:color="auto"/>
              <w:left w:val="single" w:sz="4" w:space="0" w:color="auto"/>
              <w:bottom w:val="single" w:sz="4" w:space="0" w:color="auto"/>
              <w:right w:val="single" w:sz="4" w:space="0" w:color="auto"/>
            </w:tcBorders>
            <w:vAlign w:val="center"/>
          </w:tcPr>
          <w:p w14:paraId="543DF8C7" w14:textId="77777777" w:rsidR="009D5CAF" w:rsidRDefault="009D5CAF" w:rsidP="009D5CAF">
            <w:pPr>
              <w:jc w:val="right"/>
              <w:rPr>
                <w:rFonts w:ascii="Calibri" w:eastAsiaTheme="minorEastAsia" w:hAnsi="Calibri" w:cs="Calibri"/>
                <w:color w:val="000000" w:themeColor="text1"/>
                <w:sz w:val="16"/>
                <w:szCs w:val="16"/>
                <w:lang w:eastAsia="en-US"/>
              </w:rPr>
            </w:pPr>
            <w:r w:rsidRPr="38F36C6C">
              <w:rPr>
                <w:rFonts w:ascii="Calibri" w:eastAsiaTheme="minorEastAsia" w:hAnsi="Calibri" w:cs="Calibri"/>
                <w:color w:val="000000" w:themeColor="text1"/>
                <w:sz w:val="16"/>
                <w:szCs w:val="16"/>
                <w:lang w:eastAsia="en-US"/>
              </w:rPr>
              <w:t>Total</w:t>
            </w:r>
          </w:p>
        </w:tc>
      </w:tr>
      <w:tr w:rsidR="00B65EAD" w14:paraId="3A40330D" w14:textId="77777777" w:rsidTr="004D0451">
        <w:trPr>
          <w:trHeight w:val="365"/>
        </w:trPr>
        <w:tc>
          <w:tcPr>
            <w:tcW w:w="988" w:type="dxa"/>
            <w:tcBorders>
              <w:top w:val="single" w:sz="4" w:space="0" w:color="auto"/>
              <w:left w:val="single" w:sz="4" w:space="0" w:color="auto"/>
              <w:bottom w:val="nil"/>
              <w:right w:val="single" w:sz="4" w:space="0" w:color="auto"/>
            </w:tcBorders>
            <w:vAlign w:val="center"/>
          </w:tcPr>
          <w:p w14:paraId="3FB9A33E" w14:textId="4C6EA102" w:rsidR="00B65EAD" w:rsidRPr="398B3B22" w:rsidRDefault="00B65EAD" w:rsidP="00B65EAD">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Decisions</w:t>
            </w:r>
          </w:p>
        </w:tc>
        <w:tc>
          <w:tcPr>
            <w:tcW w:w="665" w:type="dxa"/>
            <w:tcBorders>
              <w:top w:val="nil"/>
              <w:left w:val="nil"/>
              <w:bottom w:val="nil"/>
              <w:right w:val="nil"/>
            </w:tcBorders>
            <w:shd w:val="clear" w:color="auto" w:fill="auto"/>
            <w:vAlign w:val="center"/>
          </w:tcPr>
          <w:p w14:paraId="4FB856DE" w14:textId="7B40D48B"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w:t>
            </w:r>
          </w:p>
        </w:tc>
        <w:tc>
          <w:tcPr>
            <w:tcW w:w="664" w:type="dxa"/>
            <w:tcBorders>
              <w:top w:val="nil"/>
              <w:left w:val="nil"/>
              <w:bottom w:val="nil"/>
              <w:right w:val="nil"/>
            </w:tcBorders>
            <w:shd w:val="clear" w:color="auto" w:fill="auto"/>
            <w:vAlign w:val="center"/>
          </w:tcPr>
          <w:p w14:paraId="6DE95837" w14:textId="482C359B"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3</w:t>
            </w:r>
          </w:p>
        </w:tc>
        <w:tc>
          <w:tcPr>
            <w:tcW w:w="665" w:type="dxa"/>
            <w:tcBorders>
              <w:top w:val="nil"/>
              <w:left w:val="nil"/>
              <w:bottom w:val="nil"/>
              <w:right w:val="nil"/>
            </w:tcBorders>
            <w:shd w:val="clear" w:color="auto" w:fill="auto"/>
            <w:vAlign w:val="center"/>
          </w:tcPr>
          <w:p w14:paraId="2BEA2075" w14:textId="29CE9D85"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5</w:t>
            </w:r>
          </w:p>
        </w:tc>
        <w:tc>
          <w:tcPr>
            <w:tcW w:w="665" w:type="dxa"/>
            <w:tcBorders>
              <w:top w:val="nil"/>
              <w:left w:val="nil"/>
              <w:bottom w:val="nil"/>
              <w:right w:val="nil"/>
            </w:tcBorders>
            <w:shd w:val="clear" w:color="auto" w:fill="auto"/>
            <w:vAlign w:val="center"/>
          </w:tcPr>
          <w:p w14:paraId="4FEBE053" w14:textId="5423F953"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2</w:t>
            </w:r>
          </w:p>
        </w:tc>
        <w:tc>
          <w:tcPr>
            <w:tcW w:w="664" w:type="dxa"/>
            <w:tcBorders>
              <w:top w:val="nil"/>
              <w:left w:val="nil"/>
              <w:bottom w:val="nil"/>
              <w:right w:val="nil"/>
            </w:tcBorders>
            <w:shd w:val="clear" w:color="auto" w:fill="auto"/>
            <w:vAlign w:val="center"/>
          </w:tcPr>
          <w:p w14:paraId="2709B65B" w14:textId="18F2F778"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7</w:t>
            </w:r>
          </w:p>
        </w:tc>
        <w:tc>
          <w:tcPr>
            <w:tcW w:w="666" w:type="dxa"/>
            <w:tcBorders>
              <w:top w:val="nil"/>
              <w:left w:val="nil"/>
              <w:bottom w:val="nil"/>
              <w:right w:val="nil"/>
            </w:tcBorders>
            <w:shd w:val="clear" w:color="auto" w:fill="auto"/>
            <w:vAlign w:val="center"/>
          </w:tcPr>
          <w:p w14:paraId="3AA5919B" w14:textId="429BE53B"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7</w:t>
            </w:r>
          </w:p>
        </w:tc>
        <w:tc>
          <w:tcPr>
            <w:tcW w:w="663" w:type="dxa"/>
            <w:tcBorders>
              <w:top w:val="nil"/>
              <w:left w:val="nil"/>
              <w:bottom w:val="nil"/>
              <w:right w:val="nil"/>
            </w:tcBorders>
            <w:shd w:val="clear" w:color="auto" w:fill="auto"/>
            <w:vAlign w:val="center"/>
          </w:tcPr>
          <w:p w14:paraId="7CCFCB42" w14:textId="6C14EDD0"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18</w:t>
            </w:r>
          </w:p>
        </w:tc>
        <w:tc>
          <w:tcPr>
            <w:tcW w:w="662" w:type="dxa"/>
            <w:tcBorders>
              <w:top w:val="nil"/>
              <w:left w:val="nil"/>
              <w:bottom w:val="nil"/>
              <w:right w:val="nil"/>
            </w:tcBorders>
            <w:shd w:val="clear" w:color="auto" w:fill="auto"/>
            <w:vAlign w:val="center"/>
          </w:tcPr>
          <w:p w14:paraId="4AB5AF04" w14:textId="271C51B3"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13</w:t>
            </w:r>
          </w:p>
        </w:tc>
        <w:tc>
          <w:tcPr>
            <w:tcW w:w="665" w:type="dxa"/>
            <w:tcBorders>
              <w:top w:val="nil"/>
              <w:left w:val="nil"/>
              <w:bottom w:val="nil"/>
              <w:right w:val="nil"/>
            </w:tcBorders>
            <w:shd w:val="clear" w:color="auto" w:fill="auto"/>
            <w:vAlign w:val="center"/>
          </w:tcPr>
          <w:p w14:paraId="37081906" w14:textId="645C9708"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8</w:t>
            </w:r>
          </w:p>
        </w:tc>
        <w:tc>
          <w:tcPr>
            <w:tcW w:w="664" w:type="dxa"/>
            <w:tcBorders>
              <w:top w:val="nil"/>
              <w:left w:val="nil"/>
              <w:bottom w:val="nil"/>
              <w:right w:val="nil"/>
            </w:tcBorders>
            <w:shd w:val="clear" w:color="auto" w:fill="auto"/>
            <w:vAlign w:val="center"/>
          </w:tcPr>
          <w:p w14:paraId="4CB4DC96" w14:textId="57EE4866"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15</w:t>
            </w:r>
          </w:p>
        </w:tc>
        <w:tc>
          <w:tcPr>
            <w:tcW w:w="664" w:type="dxa"/>
            <w:tcBorders>
              <w:top w:val="nil"/>
              <w:left w:val="nil"/>
              <w:bottom w:val="nil"/>
              <w:right w:val="nil"/>
            </w:tcBorders>
            <w:shd w:val="clear" w:color="auto" w:fill="auto"/>
            <w:vAlign w:val="center"/>
          </w:tcPr>
          <w:p w14:paraId="517F456D" w14:textId="527D9926"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17</w:t>
            </w:r>
          </w:p>
        </w:tc>
        <w:tc>
          <w:tcPr>
            <w:tcW w:w="665" w:type="dxa"/>
            <w:tcBorders>
              <w:top w:val="nil"/>
              <w:left w:val="nil"/>
              <w:bottom w:val="nil"/>
              <w:right w:val="single" w:sz="4" w:space="0" w:color="auto"/>
            </w:tcBorders>
            <w:shd w:val="clear" w:color="auto" w:fill="auto"/>
            <w:vAlign w:val="center"/>
          </w:tcPr>
          <w:p w14:paraId="1A9745C2" w14:textId="5AFE7E9B"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17</w:t>
            </w:r>
          </w:p>
        </w:tc>
        <w:tc>
          <w:tcPr>
            <w:tcW w:w="669" w:type="dxa"/>
            <w:tcBorders>
              <w:top w:val="nil"/>
              <w:left w:val="single" w:sz="4" w:space="0" w:color="auto"/>
              <w:bottom w:val="nil"/>
              <w:right w:val="single" w:sz="4" w:space="0" w:color="auto"/>
            </w:tcBorders>
            <w:shd w:val="clear" w:color="auto" w:fill="auto"/>
            <w:vAlign w:val="center"/>
          </w:tcPr>
          <w:p w14:paraId="385BF12E" w14:textId="2C77CD63"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112</w:t>
            </w:r>
          </w:p>
        </w:tc>
      </w:tr>
      <w:tr w:rsidR="00B65EAD" w14:paraId="7F1CFFD6" w14:textId="77777777" w:rsidTr="004D0451">
        <w:trPr>
          <w:trHeight w:val="365"/>
        </w:trPr>
        <w:tc>
          <w:tcPr>
            <w:tcW w:w="988" w:type="dxa"/>
            <w:tcBorders>
              <w:top w:val="nil"/>
              <w:left w:val="single" w:sz="4" w:space="0" w:color="auto"/>
              <w:bottom w:val="nil"/>
              <w:right w:val="single" w:sz="4" w:space="0" w:color="auto"/>
            </w:tcBorders>
            <w:vAlign w:val="center"/>
          </w:tcPr>
          <w:p w14:paraId="60E21E30" w14:textId="4686F15B" w:rsidR="00B65EAD" w:rsidRDefault="00B65EAD" w:rsidP="00B65EAD">
            <w:pPr>
              <w:rPr>
                <w:rFonts w:ascii="Calibri" w:eastAsiaTheme="minorEastAsia" w:hAnsi="Calibri" w:cs="Calibri"/>
                <w:color w:val="000000" w:themeColor="text1"/>
                <w:sz w:val="16"/>
                <w:szCs w:val="16"/>
                <w:lang w:eastAsia="en-US"/>
              </w:rPr>
            </w:pPr>
            <w:r w:rsidRPr="398B3B22">
              <w:rPr>
                <w:rFonts w:ascii="Calibri" w:eastAsiaTheme="minorEastAsia" w:hAnsi="Calibri" w:cs="Calibri"/>
                <w:color w:val="000000" w:themeColor="text1"/>
                <w:sz w:val="16"/>
                <w:szCs w:val="16"/>
                <w:lang w:eastAsia="en-US"/>
              </w:rPr>
              <w:t>Mean</w:t>
            </w:r>
            <w:r>
              <w:rPr>
                <w:rFonts w:ascii="Calibri" w:eastAsiaTheme="minorEastAsia" w:hAnsi="Calibri" w:cs="Calibri"/>
                <w:color w:val="000000" w:themeColor="text1"/>
                <w:sz w:val="16"/>
                <w:szCs w:val="16"/>
                <w:lang w:eastAsia="en-US"/>
              </w:rPr>
              <w:t xml:space="preserve"> (weeks)</w:t>
            </w:r>
          </w:p>
        </w:tc>
        <w:tc>
          <w:tcPr>
            <w:tcW w:w="665" w:type="dxa"/>
            <w:tcBorders>
              <w:top w:val="nil"/>
              <w:left w:val="nil"/>
              <w:bottom w:val="nil"/>
              <w:right w:val="nil"/>
            </w:tcBorders>
            <w:shd w:val="clear" w:color="auto" w:fill="auto"/>
            <w:vAlign w:val="center"/>
          </w:tcPr>
          <w:p w14:paraId="38310327" w14:textId="5DD14D33"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 </w:t>
            </w:r>
          </w:p>
        </w:tc>
        <w:tc>
          <w:tcPr>
            <w:tcW w:w="664" w:type="dxa"/>
            <w:tcBorders>
              <w:top w:val="nil"/>
              <w:left w:val="nil"/>
              <w:bottom w:val="nil"/>
              <w:right w:val="nil"/>
            </w:tcBorders>
            <w:shd w:val="clear" w:color="auto" w:fill="auto"/>
            <w:vAlign w:val="center"/>
          </w:tcPr>
          <w:p w14:paraId="3C666F8E" w14:textId="7739DAF3"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22.7 </w:t>
            </w:r>
          </w:p>
        </w:tc>
        <w:tc>
          <w:tcPr>
            <w:tcW w:w="665" w:type="dxa"/>
            <w:tcBorders>
              <w:top w:val="nil"/>
              <w:left w:val="nil"/>
              <w:bottom w:val="nil"/>
              <w:right w:val="nil"/>
            </w:tcBorders>
            <w:shd w:val="clear" w:color="auto" w:fill="auto"/>
            <w:vAlign w:val="center"/>
          </w:tcPr>
          <w:p w14:paraId="0AE9AA94" w14:textId="03E5E788"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42.5 </w:t>
            </w:r>
          </w:p>
        </w:tc>
        <w:tc>
          <w:tcPr>
            <w:tcW w:w="665" w:type="dxa"/>
            <w:tcBorders>
              <w:top w:val="nil"/>
              <w:left w:val="nil"/>
              <w:bottom w:val="nil"/>
              <w:right w:val="nil"/>
            </w:tcBorders>
            <w:shd w:val="clear" w:color="auto" w:fill="auto"/>
            <w:vAlign w:val="center"/>
          </w:tcPr>
          <w:p w14:paraId="05E2FB88" w14:textId="34C41FA5"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41.1 </w:t>
            </w:r>
          </w:p>
        </w:tc>
        <w:tc>
          <w:tcPr>
            <w:tcW w:w="664" w:type="dxa"/>
            <w:tcBorders>
              <w:top w:val="nil"/>
              <w:left w:val="nil"/>
              <w:bottom w:val="nil"/>
              <w:right w:val="nil"/>
            </w:tcBorders>
            <w:shd w:val="clear" w:color="auto" w:fill="auto"/>
            <w:vAlign w:val="center"/>
          </w:tcPr>
          <w:p w14:paraId="7CD45F6E" w14:textId="01300CCA"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45.7 </w:t>
            </w:r>
          </w:p>
        </w:tc>
        <w:tc>
          <w:tcPr>
            <w:tcW w:w="666" w:type="dxa"/>
            <w:tcBorders>
              <w:top w:val="nil"/>
              <w:left w:val="nil"/>
              <w:bottom w:val="nil"/>
              <w:right w:val="nil"/>
            </w:tcBorders>
            <w:shd w:val="clear" w:color="auto" w:fill="auto"/>
            <w:vAlign w:val="center"/>
          </w:tcPr>
          <w:p w14:paraId="201827E0" w14:textId="18CC1BD4"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45.7 </w:t>
            </w:r>
          </w:p>
        </w:tc>
        <w:tc>
          <w:tcPr>
            <w:tcW w:w="663" w:type="dxa"/>
            <w:tcBorders>
              <w:top w:val="nil"/>
              <w:left w:val="nil"/>
              <w:bottom w:val="nil"/>
              <w:right w:val="nil"/>
            </w:tcBorders>
            <w:shd w:val="clear" w:color="auto" w:fill="auto"/>
            <w:vAlign w:val="center"/>
          </w:tcPr>
          <w:p w14:paraId="2AEEFFD3" w14:textId="7AFB8F01"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35.3 </w:t>
            </w:r>
          </w:p>
        </w:tc>
        <w:tc>
          <w:tcPr>
            <w:tcW w:w="662" w:type="dxa"/>
            <w:tcBorders>
              <w:top w:val="nil"/>
              <w:left w:val="nil"/>
              <w:bottom w:val="nil"/>
              <w:right w:val="nil"/>
            </w:tcBorders>
            <w:shd w:val="clear" w:color="auto" w:fill="auto"/>
            <w:vAlign w:val="center"/>
          </w:tcPr>
          <w:p w14:paraId="1BFA4673" w14:textId="49270A47"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36.5 </w:t>
            </w:r>
          </w:p>
        </w:tc>
        <w:tc>
          <w:tcPr>
            <w:tcW w:w="665" w:type="dxa"/>
            <w:tcBorders>
              <w:top w:val="nil"/>
              <w:left w:val="nil"/>
              <w:bottom w:val="nil"/>
              <w:right w:val="nil"/>
            </w:tcBorders>
            <w:shd w:val="clear" w:color="auto" w:fill="auto"/>
            <w:vAlign w:val="center"/>
          </w:tcPr>
          <w:p w14:paraId="2E5116FE" w14:textId="1C055C7B"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40.7 </w:t>
            </w:r>
          </w:p>
        </w:tc>
        <w:tc>
          <w:tcPr>
            <w:tcW w:w="664" w:type="dxa"/>
            <w:tcBorders>
              <w:top w:val="nil"/>
              <w:left w:val="nil"/>
              <w:bottom w:val="nil"/>
              <w:right w:val="nil"/>
            </w:tcBorders>
            <w:shd w:val="clear" w:color="auto" w:fill="auto"/>
            <w:vAlign w:val="center"/>
          </w:tcPr>
          <w:p w14:paraId="5F469C06" w14:textId="2831300E"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36.7 </w:t>
            </w:r>
          </w:p>
        </w:tc>
        <w:tc>
          <w:tcPr>
            <w:tcW w:w="664" w:type="dxa"/>
            <w:tcBorders>
              <w:top w:val="nil"/>
              <w:left w:val="nil"/>
              <w:bottom w:val="nil"/>
              <w:right w:val="nil"/>
            </w:tcBorders>
            <w:shd w:val="clear" w:color="auto" w:fill="auto"/>
            <w:vAlign w:val="center"/>
          </w:tcPr>
          <w:p w14:paraId="2089193F" w14:textId="68610CD1"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53.5 </w:t>
            </w:r>
          </w:p>
        </w:tc>
        <w:tc>
          <w:tcPr>
            <w:tcW w:w="665" w:type="dxa"/>
            <w:tcBorders>
              <w:top w:val="nil"/>
              <w:left w:val="nil"/>
              <w:bottom w:val="nil"/>
              <w:right w:val="single" w:sz="4" w:space="0" w:color="auto"/>
            </w:tcBorders>
            <w:shd w:val="clear" w:color="auto" w:fill="auto"/>
            <w:vAlign w:val="center"/>
          </w:tcPr>
          <w:p w14:paraId="40F2D943" w14:textId="64571FAC"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34.8 </w:t>
            </w:r>
          </w:p>
        </w:tc>
        <w:tc>
          <w:tcPr>
            <w:tcW w:w="669" w:type="dxa"/>
            <w:tcBorders>
              <w:top w:val="nil"/>
              <w:left w:val="single" w:sz="4" w:space="0" w:color="auto"/>
              <w:bottom w:val="nil"/>
              <w:right w:val="single" w:sz="4" w:space="0" w:color="auto"/>
            </w:tcBorders>
            <w:shd w:val="clear" w:color="auto" w:fill="auto"/>
            <w:vAlign w:val="center"/>
          </w:tcPr>
          <w:p w14:paraId="44EA54D3" w14:textId="264DEF7C"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40.2 </w:t>
            </w:r>
          </w:p>
        </w:tc>
      </w:tr>
      <w:tr w:rsidR="00B65EAD" w14:paraId="68B3CCFB" w14:textId="77777777" w:rsidTr="004D0451">
        <w:trPr>
          <w:trHeight w:val="365"/>
        </w:trPr>
        <w:tc>
          <w:tcPr>
            <w:tcW w:w="988" w:type="dxa"/>
            <w:tcBorders>
              <w:top w:val="nil"/>
              <w:left w:val="single" w:sz="4" w:space="0" w:color="auto"/>
              <w:right w:val="single" w:sz="4" w:space="0" w:color="auto"/>
            </w:tcBorders>
            <w:vAlign w:val="center"/>
          </w:tcPr>
          <w:p w14:paraId="1D2F121E" w14:textId="606D800C" w:rsidR="00B65EAD" w:rsidRDefault="00B65EAD" w:rsidP="00B65EAD">
            <w:pPr>
              <w:rPr>
                <w:rFonts w:ascii="Calibri" w:eastAsiaTheme="minorEastAsia" w:hAnsi="Calibri" w:cs="Calibri"/>
                <w:color w:val="000000" w:themeColor="text1"/>
                <w:sz w:val="16"/>
                <w:szCs w:val="16"/>
                <w:lang w:eastAsia="en-US"/>
              </w:rPr>
            </w:pPr>
            <w:r w:rsidRPr="332418FA">
              <w:rPr>
                <w:rFonts w:ascii="Calibri" w:eastAsiaTheme="minorEastAsia" w:hAnsi="Calibri" w:cs="Calibri"/>
                <w:color w:val="000000" w:themeColor="text1"/>
                <w:sz w:val="16"/>
                <w:szCs w:val="16"/>
                <w:lang w:eastAsia="en-US"/>
              </w:rPr>
              <w:t>Median</w:t>
            </w:r>
            <w:r>
              <w:rPr>
                <w:rFonts w:ascii="Calibri" w:eastAsiaTheme="minorEastAsia" w:hAnsi="Calibri" w:cs="Calibri"/>
                <w:color w:val="000000" w:themeColor="text1"/>
                <w:sz w:val="16"/>
                <w:szCs w:val="16"/>
                <w:lang w:eastAsia="en-US"/>
              </w:rPr>
              <w:t xml:space="preserve"> (weeks)</w:t>
            </w:r>
          </w:p>
        </w:tc>
        <w:tc>
          <w:tcPr>
            <w:tcW w:w="665" w:type="dxa"/>
            <w:tcBorders>
              <w:top w:val="nil"/>
              <w:left w:val="nil"/>
              <w:bottom w:val="nil"/>
              <w:right w:val="nil"/>
            </w:tcBorders>
            <w:shd w:val="clear" w:color="auto" w:fill="auto"/>
            <w:vAlign w:val="center"/>
          </w:tcPr>
          <w:p w14:paraId="3D91FA9D" w14:textId="67AF83EC"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 </w:t>
            </w:r>
          </w:p>
        </w:tc>
        <w:tc>
          <w:tcPr>
            <w:tcW w:w="664" w:type="dxa"/>
            <w:tcBorders>
              <w:top w:val="nil"/>
              <w:left w:val="nil"/>
              <w:bottom w:val="nil"/>
              <w:right w:val="nil"/>
            </w:tcBorders>
            <w:shd w:val="clear" w:color="auto" w:fill="auto"/>
            <w:vAlign w:val="center"/>
          </w:tcPr>
          <w:p w14:paraId="4887FAF3" w14:textId="163A3093"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23.4 </w:t>
            </w:r>
          </w:p>
        </w:tc>
        <w:tc>
          <w:tcPr>
            <w:tcW w:w="665" w:type="dxa"/>
            <w:tcBorders>
              <w:top w:val="nil"/>
              <w:left w:val="nil"/>
              <w:bottom w:val="nil"/>
              <w:right w:val="nil"/>
            </w:tcBorders>
            <w:shd w:val="clear" w:color="auto" w:fill="auto"/>
            <w:vAlign w:val="center"/>
          </w:tcPr>
          <w:p w14:paraId="57E6B9B6" w14:textId="270196D6"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45.6 </w:t>
            </w:r>
          </w:p>
        </w:tc>
        <w:tc>
          <w:tcPr>
            <w:tcW w:w="665" w:type="dxa"/>
            <w:tcBorders>
              <w:top w:val="nil"/>
              <w:left w:val="nil"/>
              <w:bottom w:val="nil"/>
              <w:right w:val="nil"/>
            </w:tcBorders>
            <w:shd w:val="clear" w:color="auto" w:fill="auto"/>
            <w:vAlign w:val="center"/>
          </w:tcPr>
          <w:p w14:paraId="64D931FD" w14:textId="491ADA4C"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41.1 </w:t>
            </w:r>
          </w:p>
        </w:tc>
        <w:tc>
          <w:tcPr>
            <w:tcW w:w="664" w:type="dxa"/>
            <w:tcBorders>
              <w:top w:val="nil"/>
              <w:left w:val="nil"/>
              <w:bottom w:val="nil"/>
              <w:right w:val="nil"/>
            </w:tcBorders>
            <w:shd w:val="clear" w:color="auto" w:fill="auto"/>
            <w:vAlign w:val="center"/>
          </w:tcPr>
          <w:p w14:paraId="0DB17D98" w14:textId="67F79CBA"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32.6 </w:t>
            </w:r>
          </w:p>
        </w:tc>
        <w:tc>
          <w:tcPr>
            <w:tcW w:w="666" w:type="dxa"/>
            <w:tcBorders>
              <w:top w:val="nil"/>
              <w:left w:val="nil"/>
              <w:bottom w:val="nil"/>
              <w:right w:val="nil"/>
            </w:tcBorders>
            <w:shd w:val="clear" w:color="auto" w:fill="auto"/>
            <w:vAlign w:val="center"/>
          </w:tcPr>
          <w:p w14:paraId="4889EAE2" w14:textId="7DB60BFC"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50.9 </w:t>
            </w:r>
          </w:p>
        </w:tc>
        <w:tc>
          <w:tcPr>
            <w:tcW w:w="663" w:type="dxa"/>
            <w:tcBorders>
              <w:top w:val="nil"/>
              <w:left w:val="nil"/>
              <w:bottom w:val="nil"/>
              <w:right w:val="nil"/>
            </w:tcBorders>
            <w:shd w:val="clear" w:color="auto" w:fill="auto"/>
            <w:vAlign w:val="center"/>
          </w:tcPr>
          <w:p w14:paraId="5D1B60FD" w14:textId="61897D96"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39.4 </w:t>
            </w:r>
          </w:p>
        </w:tc>
        <w:tc>
          <w:tcPr>
            <w:tcW w:w="662" w:type="dxa"/>
            <w:tcBorders>
              <w:top w:val="nil"/>
              <w:left w:val="nil"/>
              <w:bottom w:val="nil"/>
              <w:right w:val="nil"/>
            </w:tcBorders>
            <w:shd w:val="clear" w:color="auto" w:fill="auto"/>
            <w:vAlign w:val="center"/>
          </w:tcPr>
          <w:p w14:paraId="14475849" w14:textId="0E8D21C8"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40.3 </w:t>
            </w:r>
          </w:p>
        </w:tc>
        <w:tc>
          <w:tcPr>
            <w:tcW w:w="665" w:type="dxa"/>
            <w:tcBorders>
              <w:top w:val="nil"/>
              <w:left w:val="nil"/>
              <w:bottom w:val="nil"/>
              <w:right w:val="nil"/>
            </w:tcBorders>
            <w:shd w:val="clear" w:color="auto" w:fill="auto"/>
            <w:vAlign w:val="center"/>
          </w:tcPr>
          <w:p w14:paraId="36C8446D" w14:textId="29D7A24D"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40.7 </w:t>
            </w:r>
          </w:p>
        </w:tc>
        <w:tc>
          <w:tcPr>
            <w:tcW w:w="664" w:type="dxa"/>
            <w:tcBorders>
              <w:top w:val="nil"/>
              <w:left w:val="nil"/>
              <w:bottom w:val="nil"/>
              <w:right w:val="nil"/>
            </w:tcBorders>
            <w:shd w:val="clear" w:color="auto" w:fill="auto"/>
            <w:vAlign w:val="center"/>
          </w:tcPr>
          <w:p w14:paraId="09CD26A6" w14:textId="0B6D3ED0"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33.7 </w:t>
            </w:r>
          </w:p>
        </w:tc>
        <w:tc>
          <w:tcPr>
            <w:tcW w:w="664" w:type="dxa"/>
            <w:tcBorders>
              <w:top w:val="nil"/>
              <w:left w:val="nil"/>
              <w:bottom w:val="nil"/>
              <w:right w:val="nil"/>
            </w:tcBorders>
            <w:shd w:val="clear" w:color="auto" w:fill="auto"/>
            <w:vAlign w:val="center"/>
          </w:tcPr>
          <w:p w14:paraId="4478B54F" w14:textId="026B58B2"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51.9 </w:t>
            </w:r>
          </w:p>
        </w:tc>
        <w:tc>
          <w:tcPr>
            <w:tcW w:w="665" w:type="dxa"/>
            <w:tcBorders>
              <w:top w:val="nil"/>
              <w:left w:val="nil"/>
              <w:bottom w:val="nil"/>
              <w:right w:val="single" w:sz="4" w:space="0" w:color="auto"/>
            </w:tcBorders>
            <w:shd w:val="clear" w:color="auto" w:fill="auto"/>
            <w:vAlign w:val="center"/>
          </w:tcPr>
          <w:p w14:paraId="4C8088E0" w14:textId="1E47D59C"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30.3 </w:t>
            </w:r>
          </w:p>
        </w:tc>
        <w:tc>
          <w:tcPr>
            <w:tcW w:w="669" w:type="dxa"/>
            <w:tcBorders>
              <w:top w:val="nil"/>
              <w:left w:val="single" w:sz="4" w:space="0" w:color="auto"/>
              <w:bottom w:val="nil"/>
              <w:right w:val="single" w:sz="4" w:space="0" w:color="auto"/>
            </w:tcBorders>
            <w:shd w:val="clear" w:color="auto" w:fill="auto"/>
            <w:vAlign w:val="center"/>
          </w:tcPr>
          <w:p w14:paraId="2F168C21" w14:textId="5ACD25F7"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38.6 </w:t>
            </w:r>
          </w:p>
        </w:tc>
      </w:tr>
      <w:tr w:rsidR="00B65EAD" w14:paraId="4F37776D" w14:textId="77777777" w:rsidTr="004D0451">
        <w:trPr>
          <w:trHeight w:val="365"/>
        </w:trPr>
        <w:tc>
          <w:tcPr>
            <w:tcW w:w="988" w:type="dxa"/>
            <w:tcBorders>
              <w:top w:val="nil"/>
              <w:left w:val="single" w:sz="4" w:space="0" w:color="auto"/>
              <w:bottom w:val="single" w:sz="4" w:space="0" w:color="auto"/>
              <w:right w:val="single" w:sz="4" w:space="0" w:color="auto"/>
            </w:tcBorders>
            <w:vAlign w:val="center"/>
          </w:tcPr>
          <w:p w14:paraId="57205F61" w14:textId="3CE3605A" w:rsidR="00B65EAD" w:rsidRDefault="00B65EAD" w:rsidP="00B65EAD">
            <w:pPr>
              <w:rPr>
                <w:rFonts w:ascii="Calibri" w:eastAsiaTheme="minorEastAsia" w:hAnsi="Calibri" w:cs="Calibri"/>
                <w:color w:val="000000" w:themeColor="text1"/>
                <w:sz w:val="16"/>
                <w:szCs w:val="16"/>
                <w:lang w:eastAsia="en-US"/>
              </w:rPr>
            </w:pPr>
            <w:r w:rsidRPr="217320EE">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 D</w:t>
            </w:r>
            <w:r w:rsidRPr="78B6F9FD">
              <w:rPr>
                <w:rFonts w:ascii="Calibri" w:eastAsiaTheme="minorEastAsia" w:hAnsi="Calibri" w:cs="Calibri"/>
                <w:color w:val="000000" w:themeColor="text1"/>
                <w:sz w:val="16"/>
                <w:szCs w:val="16"/>
                <w:lang w:eastAsia="en-US"/>
              </w:rPr>
              <w:t>ev</w:t>
            </w:r>
            <w:r>
              <w:rPr>
                <w:rFonts w:ascii="Calibri" w:eastAsiaTheme="minorEastAsia" w:hAnsi="Calibri" w:cs="Calibri"/>
                <w:color w:val="000000" w:themeColor="text1"/>
                <w:sz w:val="16"/>
                <w:szCs w:val="16"/>
                <w:lang w:eastAsia="en-US"/>
              </w:rPr>
              <w:t>. (weeks)</w:t>
            </w:r>
          </w:p>
        </w:tc>
        <w:tc>
          <w:tcPr>
            <w:tcW w:w="665" w:type="dxa"/>
            <w:tcBorders>
              <w:top w:val="nil"/>
              <w:left w:val="nil"/>
              <w:bottom w:val="single" w:sz="4" w:space="0" w:color="auto"/>
              <w:right w:val="nil"/>
            </w:tcBorders>
            <w:shd w:val="clear" w:color="auto" w:fill="auto"/>
            <w:vAlign w:val="center"/>
          </w:tcPr>
          <w:p w14:paraId="3682CB11" w14:textId="321F579D"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 </w:t>
            </w:r>
          </w:p>
        </w:tc>
        <w:tc>
          <w:tcPr>
            <w:tcW w:w="664" w:type="dxa"/>
            <w:tcBorders>
              <w:top w:val="nil"/>
              <w:left w:val="nil"/>
              <w:bottom w:val="single" w:sz="4" w:space="0" w:color="auto"/>
              <w:right w:val="nil"/>
            </w:tcBorders>
            <w:shd w:val="clear" w:color="auto" w:fill="auto"/>
            <w:vAlign w:val="center"/>
          </w:tcPr>
          <w:p w14:paraId="7F7D2DE8" w14:textId="08FBF3B7"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1.4 </w:t>
            </w:r>
          </w:p>
        </w:tc>
        <w:tc>
          <w:tcPr>
            <w:tcW w:w="665" w:type="dxa"/>
            <w:tcBorders>
              <w:top w:val="nil"/>
              <w:left w:val="nil"/>
              <w:bottom w:val="single" w:sz="4" w:space="0" w:color="auto"/>
              <w:right w:val="nil"/>
            </w:tcBorders>
            <w:shd w:val="clear" w:color="auto" w:fill="auto"/>
            <w:vAlign w:val="center"/>
          </w:tcPr>
          <w:p w14:paraId="2EC65BAB" w14:textId="16BDC437"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16.0 </w:t>
            </w:r>
          </w:p>
        </w:tc>
        <w:tc>
          <w:tcPr>
            <w:tcW w:w="665" w:type="dxa"/>
            <w:tcBorders>
              <w:top w:val="nil"/>
              <w:left w:val="nil"/>
              <w:bottom w:val="single" w:sz="4" w:space="0" w:color="auto"/>
              <w:right w:val="nil"/>
            </w:tcBorders>
            <w:shd w:val="clear" w:color="auto" w:fill="auto"/>
            <w:vAlign w:val="center"/>
          </w:tcPr>
          <w:p w14:paraId="2F8730AA" w14:textId="577AF187"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1.1 </w:t>
            </w:r>
          </w:p>
        </w:tc>
        <w:tc>
          <w:tcPr>
            <w:tcW w:w="664" w:type="dxa"/>
            <w:tcBorders>
              <w:top w:val="nil"/>
              <w:left w:val="nil"/>
              <w:bottom w:val="single" w:sz="4" w:space="0" w:color="auto"/>
              <w:right w:val="nil"/>
            </w:tcBorders>
            <w:shd w:val="clear" w:color="auto" w:fill="auto"/>
            <w:vAlign w:val="center"/>
          </w:tcPr>
          <w:p w14:paraId="1FD62636" w14:textId="24CF880C"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22.1 </w:t>
            </w:r>
          </w:p>
        </w:tc>
        <w:tc>
          <w:tcPr>
            <w:tcW w:w="666" w:type="dxa"/>
            <w:tcBorders>
              <w:top w:val="nil"/>
              <w:left w:val="nil"/>
              <w:bottom w:val="single" w:sz="4" w:space="0" w:color="auto"/>
              <w:right w:val="nil"/>
            </w:tcBorders>
            <w:shd w:val="clear" w:color="auto" w:fill="auto"/>
            <w:vAlign w:val="center"/>
          </w:tcPr>
          <w:p w14:paraId="5169A29D" w14:textId="41395300"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9.1 </w:t>
            </w:r>
          </w:p>
        </w:tc>
        <w:tc>
          <w:tcPr>
            <w:tcW w:w="663" w:type="dxa"/>
            <w:tcBorders>
              <w:top w:val="nil"/>
              <w:left w:val="nil"/>
              <w:bottom w:val="single" w:sz="4" w:space="0" w:color="auto"/>
              <w:right w:val="nil"/>
            </w:tcBorders>
            <w:shd w:val="clear" w:color="auto" w:fill="auto"/>
            <w:vAlign w:val="center"/>
          </w:tcPr>
          <w:p w14:paraId="272D2BC8" w14:textId="3A26091B"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10.2 </w:t>
            </w:r>
          </w:p>
        </w:tc>
        <w:tc>
          <w:tcPr>
            <w:tcW w:w="662" w:type="dxa"/>
            <w:tcBorders>
              <w:top w:val="nil"/>
              <w:left w:val="nil"/>
              <w:bottom w:val="single" w:sz="4" w:space="0" w:color="auto"/>
              <w:right w:val="nil"/>
            </w:tcBorders>
            <w:shd w:val="clear" w:color="auto" w:fill="auto"/>
            <w:vAlign w:val="center"/>
          </w:tcPr>
          <w:p w14:paraId="16C47C32" w14:textId="7CC5F446"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12.2 </w:t>
            </w:r>
          </w:p>
        </w:tc>
        <w:tc>
          <w:tcPr>
            <w:tcW w:w="665" w:type="dxa"/>
            <w:tcBorders>
              <w:top w:val="nil"/>
              <w:left w:val="nil"/>
              <w:bottom w:val="single" w:sz="4" w:space="0" w:color="auto"/>
              <w:right w:val="nil"/>
            </w:tcBorders>
            <w:shd w:val="clear" w:color="auto" w:fill="auto"/>
            <w:vAlign w:val="center"/>
          </w:tcPr>
          <w:p w14:paraId="18ABAE57" w14:textId="1B737B55"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7.9 </w:t>
            </w:r>
          </w:p>
        </w:tc>
        <w:tc>
          <w:tcPr>
            <w:tcW w:w="664" w:type="dxa"/>
            <w:tcBorders>
              <w:top w:val="nil"/>
              <w:left w:val="nil"/>
              <w:bottom w:val="single" w:sz="4" w:space="0" w:color="auto"/>
              <w:right w:val="nil"/>
            </w:tcBorders>
            <w:shd w:val="clear" w:color="auto" w:fill="auto"/>
            <w:vAlign w:val="center"/>
          </w:tcPr>
          <w:p w14:paraId="30AFE29E" w14:textId="47596A9B"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12.0 </w:t>
            </w:r>
          </w:p>
        </w:tc>
        <w:tc>
          <w:tcPr>
            <w:tcW w:w="664" w:type="dxa"/>
            <w:tcBorders>
              <w:top w:val="nil"/>
              <w:left w:val="nil"/>
              <w:bottom w:val="single" w:sz="4" w:space="0" w:color="auto"/>
              <w:right w:val="nil"/>
            </w:tcBorders>
            <w:shd w:val="clear" w:color="auto" w:fill="auto"/>
            <w:vAlign w:val="center"/>
          </w:tcPr>
          <w:p w14:paraId="791B12DD" w14:textId="2211B312"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31.1 </w:t>
            </w:r>
          </w:p>
        </w:tc>
        <w:tc>
          <w:tcPr>
            <w:tcW w:w="665" w:type="dxa"/>
            <w:tcBorders>
              <w:top w:val="nil"/>
              <w:left w:val="nil"/>
              <w:bottom w:val="single" w:sz="4" w:space="0" w:color="auto"/>
              <w:right w:val="single" w:sz="4" w:space="0" w:color="auto"/>
            </w:tcBorders>
            <w:shd w:val="clear" w:color="auto" w:fill="auto"/>
            <w:vAlign w:val="center"/>
          </w:tcPr>
          <w:p w14:paraId="143154EE" w14:textId="423BC9C8"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9.9 </w:t>
            </w:r>
          </w:p>
        </w:tc>
        <w:tc>
          <w:tcPr>
            <w:tcW w:w="669" w:type="dxa"/>
            <w:tcBorders>
              <w:top w:val="nil"/>
              <w:left w:val="single" w:sz="4" w:space="0" w:color="auto"/>
              <w:bottom w:val="single" w:sz="4" w:space="0" w:color="auto"/>
              <w:right w:val="single" w:sz="4" w:space="0" w:color="auto"/>
            </w:tcBorders>
            <w:shd w:val="clear" w:color="auto" w:fill="auto"/>
            <w:vAlign w:val="center"/>
          </w:tcPr>
          <w:p w14:paraId="2F31A442" w14:textId="74FBB94A" w:rsidR="00B65EAD" w:rsidRPr="00B65EAD" w:rsidRDefault="00B65EAD" w:rsidP="00B65EAD">
            <w:pPr>
              <w:jc w:val="right"/>
              <w:rPr>
                <w:rFonts w:asciiTheme="minorHAnsi" w:eastAsiaTheme="minorEastAsia" w:hAnsiTheme="minorHAnsi" w:cs="Calibri"/>
                <w:color w:val="000000" w:themeColor="text1"/>
                <w:sz w:val="16"/>
                <w:szCs w:val="16"/>
                <w:lang w:eastAsia="en-US"/>
              </w:rPr>
            </w:pPr>
            <w:r w:rsidRPr="00B65EAD">
              <w:rPr>
                <w:rFonts w:ascii="Calibri" w:hAnsi="Calibri" w:cs="Calibri"/>
                <w:color w:val="000000"/>
                <w:sz w:val="16"/>
                <w:szCs w:val="16"/>
              </w:rPr>
              <w:t xml:space="preserve">   17.7 </w:t>
            </w:r>
          </w:p>
        </w:tc>
      </w:tr>
    </w:tbl>
    <w:p w14:paraId="0D81AE57" w14:textId="77777777" w:rsidR="006A3227" w:rsidRDefault="006A3227" w:rsidP="006A3227">
      <w:pPr>
        <w:rPr>
          <w:rFonts w:ascii="Helvetica" w:eastAsia="Calibri" w:hAnsi="Helvetica" w:cs="Helvetica"/>
        </w:rPr>
      </w:pPr>
      <w:r w:rsidRPr="4117AA6F">
        <w:rPr>
          <w:rFonts w:ascii="Helvetica" w:eastAsia="Calibri" w:hAnsi="Helvetica" w:cs="Helvetica"/>
          <w:sz w:val="18"/>
          <w:szCs w:val="18"/>
        </w:rPr>
        <w:t>Source: Horizon</w:t>
      </w:r>
    </w:p>
    <w:p w14:paraId="726262A3" w14:textId="740E643A" w:rsidR="007B2BED" w:rsidRPr="003658A6" w:rsidRDefault="007B2BED" w:rsidP="004A1257">
      <w:pPr>
        <w:spacing w:before="120"/>
        <w:jc w:val="both"/>
        <w:rPr>
          <w:rFonts w:ascii="Helvetica" w:hAnsi="Helvetica" w:cs="Helvetica"/>
        </w:rPr>
      </w:pPr>
      <w:r w:rsidRPr="003B371E">
        <w:rPr>
          <w:rFonts w:ascii="Helvetica" w:hAnsi="Helvetica" w:cs="Helvetica"/>
        </w:rPr>
        <w:t>Most inquiry decisions now being issued are under the revised ‘Rosewell’</w:t>
      </w:r>
      <w:r w:rsidR="00806982">
        <w:rPr>
          <w:rStyle w:val="FootnoteReference"/>
          <w:rFonts w:ascii="Helvetica" w:hAnsi="Helvetica" w:cs="Helvetica"/>
        </w:rPr>
        <w:footnoteReference w:id="12"/>
      </w:r>
      <w:r w:rsidRPr="003B371E">
        <w:rPr>
          <w:rFonts w:ascii="Helvetica" w:hAnsi="Helvetica" w:cs="Helvetica"/>
        </w:rPr>
        <w:t xml:space="preserve"> process, but we are still deciding those under the previous process.</w:t>
      </w:r>
    </w:p>
    <w:p w14:paraId="201C54A1" w14:textId="77777777" w:rsidR="005F45D3" w:rsidRPr="00306433" w:rsidRDefault="005F45D3" w:rsidP="004A1257">
      <w:pPr>
        <w:spacing w:before="120"/>
        <w:jc w:val="both"/>
        <w:rPr>
          <w:rFonts w:ascii="Helvetica" w:hAnsi="Helvetica" w:cs="Helvetica"/>
          <w:highlight w:val="yellow"/>
        </w:rPr>
      </w:pPr>
    </w:p>
    <w:p w14:paraId="117473F9" w14:textId="7D446A4B" w:rsidR="007B2BED" w:rsidRDefault="007B2BED" w:rsidP="007F226C">
      <w:pPr>
        <w:keepNext/>
        <w:spacing w:after="120"/>
        <w:rPr>
          <w:rFonts w:ascii="Helvetica" w:hAnsi="Helvetica" w:cs="Helvetica"/>
          <w:sz w:val="23"/>
          <w:szCs w:val="23"/>
        </w:rPr>
      </w:pPr>
      <w:r w:rsidRPr="00602DD9">
        <w:rPr>
          <w:rFonts w:ascii="Helvetica" w:hAnsi="Helvetica" w:cs="Helvetica"/>
          <w:sz w:val="23"/>
          <w:szCs w:val="23"/>
        </w:rPr>
        <w:t xml:space="preserve">Table </w:t>
      </w:r>
      <w:r w:rsidR="00C9368E" w:rsidRPr="00602DD9">
        <w:rPr>
          <w:rFonts w:ascii="Helvetica" w:hAnsi="Helvetica" w:cs="Helvetica"/>
          <w:sz w:val="23"/>
          <w:szCs w:val="23"/>
        </w:rPr>
        <w:t>9</w:t>
      </w:r>
      <w:r w:rsidRPr="00602DD9">
        <w:rPr>
          <w:rFonts w:ascii="Helvetica" w:hAnsi="Helvetica" w:cs="Helvetica"/>
          <w:sz w:val="23"/>
          <w:szCs w:val="23"/>
        </w:rPr>
        <w:t xml:space="preserve">: Decisions, Planning Inquiry cases under non-Rosewell process; </w:t>
      </w:r>
      <w:r w:rsidR="00997131" w:rsidRPr="00602DD9">
        <w:rPr>
          <w:rFonts w:ascii="Helvetica" w:hAnsi="Helvetica" w:cs="Helvetica"/>
        </w:rPr>
        <w:t>Jun 20 to May 21</w:t>
      </w:r>
    </w:p>
    <w:tbl>
      <w:tblPr>
        <w:tblW w:w="5000" w:type="pct"/>
        <w:tblBorders>
          <w:top w:val="single" w:sz="4" w:space="0" w:color="auto"/>
          <w:left w:val="single" w:sz="4" w:space="0" w:color="auto"/>
          <w:bottom w:val="single" w:sz="4" w:space="0" w:color="auto"/>
          <w:right w:val="single" w:sz="4" w:space="0" w:color="auto"/>
          <w:insideH w:val="single" w:sz="6" w:space="0" w:color="auto"/>
        </w:tblBorders>
        <w:tblLook w:val="0000" w:firstRow="0" w:lastRow="0" w:firstColumn="0" w:lastColumn="0" w:noHBand="0" w:noVBand="0"/>
      </w:tblPr>
      <w:tblGrid>
        <w:gridCol w:w="829"/>
        <w:gridCol w:w="677"/>
        <w:gridCol w:w="677"/>
        <w:gridCol w:w="678"/>
        <w:gridCol w:w="678"/>
        <w:gridCol w:w="678"/>
        <w:gridCol w:w="678"/>
        <w:gridCol w:w="678"/>
        <w:gridCol w:w="678"/>
        <w:gridCol w:w="678"/>
        <w:gridCol w:w="676"/>
        <w:gridCol w:w="676"/>
        <w:gridCol w:w="678"/>
        <w:gridCol w:w="670"/>
      </w:tblGrid>
      <w:tr w:rsidR="009D5CAF" w14:paraId="43148CBB" w14:textId="77777777" w:rsidTr="00285DDC">
        <w:trPr>
          <w:trHeight w:val="366"/>
        </w:trPr>
        <w:tc>
          <w:tcPr>
            <w:tcW w:w="430" w:type="pct"/>
            <w:tcBorders>
              <w:right w:val="single" w:sz="4" w:space="0" w:color="auto"/>
            </w:tcBorders>
            <w:vAlign w:val="center"/>
          </w:tcPr>
          <w:p w14:paraId="5BAA46D2" w14:textId="42831924" w:rsidR="009D5CAF" w:rsidRPr="00E16467" w:rsidRDefault="009D5CAF" w:rsidP="009D5CAF">
            <w:pPr>
              <w:suppressAutoHyphens w:val="0"/>
              <w:autoSpaceDE w:val="0"/>
              <w:adjustRightInd w:val="0"/>
              <w:textAlignment w:val="auto"/>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Month</w:t>
            </w:r>
          </w:p>
        </w:tc>
        <w:tc>
          <w:tcPr>
            <w:tcW w:w="352" w:type="pct"/>
            <w:tcBorders>
              <w:top w:val="single" w:sz="4" w:space="0" w:color="auto"/>
              <w:left w:val="single" w:sz="4" w:space="0" w:color="auto"/>
              <w:bottom w:val="single" w:sz="6" w:space="0" w:color="auto"/>
            </w:tcBorders>
            <w:vAlign w:val="center"/>
          </w:tcPr>
          <w:p w14:paraId="51C54C43" w14:textId="7FE2B2F2"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Jun 20</w:t>
            </w:r>
          </w:p>
        </w:tc>
        <w:tc>
          <w:tcPr>
            <w:tcW w:w="352" w:type="pct"/>
            <w:vAlign w:val="center"/>
          </w:tcPr>
          <w:p w14:paraId="190B898C" w14:textId="5F3A94DF"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Jul 20</w:t>
            </w:r>
          </w:p>
        </w:tc>
        <w:tc>
          <w:tcPr>
            <w:tcW w:w="352" w:type="pct"/>
            <w:vAlign w:val="center"/>
          </w:tcPr>
          <w:p w14:paraId="6AA88637" w14:textId="494245C6"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Aug 20</w:t>
            </w:r>
          </w:p>
        </w:tc>
        <w:tc>
          <w:tcPr>
            <w:tcW w:w="352" w:type="pct"/>
            <w:vAlign w:val="center"/>
          </w:tcPr>
          <w:p w14:paraId="5E31DB53" w14:textId="34D58671"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Sep 20</w:t>
            </w:r>
          </w:p>
        </w:tc>
        <w:tc>
          <w:tcPr>
            <w:tcW w:w="352" w:type="pct"/>
            <w:vAlign w:val="center"/>
          </w:tcPr>
          <w:p w14:paraId="39B7D5D8" w14:textId="761A6A7A"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Oct 20</w:t>
            </w:r>
          </w:p>
        </w:tc>
        <w:tc>
          <w:tcPr>
            <w:tcW w:w="352" w:type="pct"/>
            <w:vAlign w:val="center"/>
          </w:tcPr>
          <w:p w14:paraId="5C939F60" w14:textId="6A4752C5"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Nov 20</w:t>
            </w:r>
          </w:p>
        </w:tc>
        <w:tc>
          <w:tcPr>
            <w:tcW w:w="352" w:type="pct"/>
            <w:vAlign w:val="center"/>
          </w:tcPr>
          <w:p w14:paraId="265612E6" w14:textId="0F8B19C3"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Dec 20</w:t>
            </w:r>
          </w:p>
        </w:tc>
        <w:tc>
          <w:tcPr>
            <w:tcW w:w="352" w:type="pct"/>
            <w:vAlign w:val="center"/>
          </w:tcPr>
          <w:p w14:paraId="4F1FC00B" w14:textId="3E551A1E"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Jan 21</w:t>
            </w:r>
          </w:p>
        </w:tc>
        <w:tc>
          <w:tcPr>
            <w:tcW w:w="352" w:type="pct"/>
            <w:vAlign w:val="center"/>
          </w:tcPr>
          <w:p w14:paraId="10175292" w14:textId="2C841D9D"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351" w:type="pct"/>
            <w:vAlign w:val="center"/>
          </w:tcPr>
          <w:p w14:paraId="69C76615" w14:textId="79E674CA"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351" w:type="pct"/>
            <w:vAlign w:val="center"/>
          </w:tcPr>
          <w:p w14:paraId="21A41291" w14:textId="4C9466E4"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Apr</w:t>
            </w:r>
            <w:r w:rsidRPr="00761EA3">
              <w:rPr>
                <w:rFonts w:ascii="Calibri" w:hAnsi="Calibri" w:cs="Calibri"/>
                <w:color w:val="000000"/>
                <w:sz w:val="14"/>
                <w:szCs w:val="14"/>
              </w:rPr>
              <w:t xml:space="preserve"> 21</w:t>
            </w:r>
          </w:p>
        </w:tc>
        <w:tc>
          <w:tcPr>
            <w:tcW w:w="352" w:type="pct"/>
            <w:tcBorders>
              <w:right w:val="single" w:sz="4" w:space="0" w:color="auto"/>
            </w:tcBorders>
            <w:vAlign w:val="center"/>
          </w:tcPr>
          <w:p w14:paraId="2E68FD79" w14:textId="42F4F5A4"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May</w:t>
            </w:r>
            <w:r w:rsidRPr="00761EA3">
              <w:rPr>
                <w:rFonts w:ascii="Calibri" w:hAnsi="Calibri" w:cs="Calibri"/>
                <w:color w:val="000000"/>
                <w:sz w:val="14"/>
                <w:szCs w:val="14"/>
              </w:rPr>
              <w:t xml:space="preserve"> 21</w:t>
            </w:r>
          </w:p>
        </w:tc>
        <w:tc>
          <w:tcPr>
            <w:tcW w:w="348" w:type="pct"/>
            <w:tcBorders>
              <w:top w:val="single" w:sz="4" w:space="0" w:color="auto"/>
              <w:left w:val="single" w:sz="4" w:space="0" w:color="auto"/>
              <w:bottom w:val="single" w:sz="6" w:space="0" w:color="auto"/>
            </w:tcBorders>
            <w:vAlign w:val="center"/>
          </w:tcPr>
          <w:p w14:paraId="0CD0D8A9" w14:textId="77777777" w:rsidR="009D5CAF" w:rsidRPr="00E16467" w:rsidRDefault="009D5CAF" w:rsidP="009D5CAF">
            <w:pPr>
              <w:suppressAutoHyphens w:val="0"/>
              <w:autoSpaceDE w:val="0"/>
              <w:adjustRightInd w:val="0"/>
              <w:jc w:val="right"/>
              <w:textAlignment w:val="auto"/>
              <w:rPr>
                <w:rFonts w:ascii="Calibri" w:eastAsiaTheme="minorHAnsi" w:hAnsi="Calibri" w:cs="Calibri"/>
                <w:color w:val="000000"/>
                <w:sz w:val="16"/>
                <w:szCs w:val="16"/>
                <w:lang w:eastAsia="en-US"/>
              </w:rPr>
            </w:pPr>
            <w:r w:rsidRPr="00E16467">
              <w:rPr>
                <w:rFonts w:ascii="Calibri" w:eastAsiaTheme="minorHAnsi" w:hAnsi="Calibri" w:cs="Calibri"/>
                <w:color w:val="000000"/>
                <w:sz w:val="16"/>
                <w:szCs w:val="16"/>
                <w:lang w:eastAsia="en-US"/>
              </w:rPr>
              <w:t>Total</w:t>
            </w:r>
          </w:p>
        </w:tc>
      </w:tr>
      <w:tr w:rsidR="008C282E" w14:paraId="1274856C" w14:textId="77777777" w:rsidTr="008C282E">
        <w:trPr>
          <w:trHeight w:val="366"/>
        </w:trPr>
        <w:tc>
          <w:tcPr>
            <w:tcW w:w="430" w:type="pct"/>
            <w:tcBorders>
              <w:right w:val="single" w:sz="4" w:space="0" w:color="auto"/>
            </w:tcBorders>
            <w:vAlign w:val="center"/>
          </w:tcPr>
          <w:p w14:paraId="78D5CB37" w14:textId="4578D510" w:rsidR="008C282E" w:rsidRPr="00E16467" w:rsidRDefault="008C282E" w:rsidP="008C282E">
            <w:pPr>
              <w:suppressAutoHyphens w:val="0"/>
              <w:autoSpaceDE w:val="0"/>
              <w:adjustRightInd w:val="0"/>
              <w:textAlignment w:val="auto"/>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Decisions</w:t>
            </w:r>
          </w:p>
        </w:tc>
        <w:tc>
          <w:tcPr>
            <w:tcW w:w="352" w:type="pct"/>
            <w:tcBorders>
              <w:top w:val="nil"/>
              <w:left w:val="nil"/>
              <w:bottom w:val="single" w:sz="4" w:space="0" w:color="auto"/>
              <w:right w:val="nil"/>
            </w:tcBorders>
            <w:shd w:val="clear" w:color="auto" w:fill="auto"/>
            <w:vAlign w:val="center"/>
          </w:tcPr>
          <w:p w14:paraId="0667CAC3" w14:textId="74AF2F84"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2</w:t>
            </w:r>
          </w:p>
        </w:tc>
        <w:tc>
          <w:tcPr>
            <w:tcW w:w="352" w:type="pct"/>
            <w:tcBorders>
              <w:top w:val="nil"/>
              <w:left w:val="nil"/>
              <w:bottom w:val="single" w:sz="4" w:space="0" w:color="auto"/>
              <w:right w:val="nil"/>
            </w:tcBorders>
            <w:shd w:val="clear" w:color="auto" w:fill="auto"/>
            <w:vAlign w:val="center"/>
          </w:tcPr>
          <w:p w14:paraId="56DA52BC" w14:textId="58157D69"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0</w:t>
            </w:r>
          </w:p>
        </w:tc>
        <w:tc>
          <w:tcPr>
            <w:tcW w:w="352" w:type="pct"/>
            <w:tcBorders>
              <w:top w:val="nil"/>
              <w:left w:val="nil"/>
              <w:bottom w:val="single" w:sz="4" w:space="0" w:color="auto"/>
              <w:right w:val="nil"/>
            </w:tcBorders>
            <w:shd w:val="clear" w:color="auto" w:fill="auto"/>
            <w:vAlign w:val="center"/>
          </w:tcPr>
          <w:p w14:paraId="10A4E378" w14:textId="001F2A14"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20B73F06" w14:textId="35BA2393"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0</w:t>
            </w:r>
          </w:p>
        </w:tc>
        <w:tc>
          <w:tcPr>
            <w:tcW w:w="352" w:type="pct"/>
            <w:tcBorders>
              <w:top w:val="nil"/>
              <w:left w:val="nil"/>
              <w:bottom w:val="single" w:sz="4" w:space="0" w:color="auto"/>
              <w:right w:val="nil"/>
            </w:tcBorders>
            <w:shd w:val="clear" w:color="auto" w:fill="auto"/>
            <w:vAlign w:val="center"/>
          </w:tcPr>
          <w:p w14:paraId="30F98726" w14:textId="5CDC4BEB"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6FC27898" w14:textId="200DB1CA"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5</w:t>
            </w:r>
          </w:p>
        </w:tc>
        <w:tc>
          <w:tcPr>
            <w:tcW w:w="352" w:type="pct"/>
            <w:tcBorders>
              <w:top w:val="nil"/>
              <w:left w:val="nil"/>
              <w:bottom w:val="single" w:sz="4" w:space="0" w:color="auto"/>
              <w:right w:val="nil"/>
            </w:tcBorders>
            <w:shd w:val="clear" w:color="auto" w:fill="auto"/>
            <w:vAlign w:val="center"/>
          </w:tcPr>
          <w:p w14:paraId="12995D7A" w14:textId="3462286B"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0</w:t>
            </w:r>
          </w:p>
        </w:tc>
        <w:tc>
          <w:tcPr>
            <w:tcW w:w="352" w:type="pct"/>
            <w:tcBorders>
              <w:top w:val="nil"/>
              <w:left w:val="nil"/>
              <w:bottom w:val="single" w:sz="4" w:space="0" w:color="auto"/>
              <w:right w:val="nil"/>
            </w:tcBorders>
            <w:shd w:val="clear" w:color="auto" w:fill="auto"/>
            <w:vAlign w:val="center"/>
          </w:tcPr>
          <w:p w14:paraId="20A3C759" w14:textId="2AD20792"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46235362" w14:textId="05919961"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1</w:t>
            </w:r>
          </w:p>
        </w:tc>
        <w:tc>
          <w:tcPr>
            <w:tcW w:w="351" w:type="pct"/>
            <w:tcBorders>
              <w:top w:val="nil"/>
              <w:left w:val="nil"/>
              <w:bottom w:val="single" w:sz="4" w:space="0" w:color="auto"/>
              <w:right w:val="nil"/>
            </w:tcBorders>
            <w:shd w:val="clear" w:color="auto" w:fill="auto"/>
            <w:vAlign w:val="center"/>
          </w:tcPr>
          <w:p w14:paraId="5442BD54" w14:textId="03F8E29F"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1</w:t>
            </w:r>
          </w:p>
        </w:tc>
        <w:tc>
          <w:tcPr>
            <w:tcW w:w="351" w:type="pct"/>
            <w:tcBorders>
              <w:top w:val="nil"/>
              <w:left w:val="nil"/>
              <w:bottom w:val="single" w:sz="4" w:space="0" w:color="auto"/>
              <w:right w:val="nil"/>
            </w:tcBorders>
            <w:shd w:val="clear" w:color="auto" w:fill="auto"/>
            <w:vAlign w:val="center"/>
          </w:tcPr>
          <w:p w14:paraId="1F661A7B" w14:textId="5E12F98E"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1</w:t>
            </w:r>
          </w:p>
        </w:tc>
        <w:tc>
          <w:tcPr>
            <w:tcW w:w="352" w:type="pct"/>
            <w:tcBorders>
              <w:top w:val="nil"/>
              <w:left w:val="nil"/>
              <w:bottom w:val="single" w:sz="4" w:space="0" w:color="auto"/>
              <w:right w:val="single" w:sz="4" w:space="0" w:color="auto"/>
            </w:tcBorders>
            <w:shd w:val="clear" w:color="auto" w:fill="auto"/>
            <w:vAlign w:val="center"/>
          </w:tcPr>
          <w:p w14:paraId="2B12A7CB" w14:textId="30767EFE"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4</w:t>
            </w:r>
          </w:p>
        </w:tc>
        <w:tc>
          <w:tcPr>
            <w:tcW w:w="348" w:type="pct"/>
            <w:tcBorders>
              <w:top w:val="nil"/>
              <w:left w:val="single" w:sz="4" w:space="0" w:color="auto"/>
              <w:bottom w:val="single" w:sz="4" w:space="0" w:color="auto"/>
              <w:right w:val="single" w:sz="4" w:space="0" w:color="auto"/>
            </w:tcBorders>
            <w:shd w:val="clear" w:color="auto" w:fill="auto"/>
            <w:vAlign w:val="center"/>
          </w:tcPr>
          <w:p w14:paraId="05BBD8B0" w14:textId="10B50FC0" w:rsidR="008C282E" w:rsidRPr="008C282E" w:rsidRDefault="008C282E" w:rsidP="008C282E">
            <w:pPr>
              <w:suppressAutoHyphens w:val="0"/>
              <w:autoSpaceDE w:val="0"/>
              <w:adjustRightInd w:val="0"/>
              <w:jc w:val="right"/>
              <w:textAlignment w:val="auto"/>
              <w:rPr>
                <w:rFonts w:ascii="Calibri" w:eastAsiaTheme="minorHAnsi" w:hAnsi="Calibri" w:cs="Calibri"/>
                <w:color w:val="000000"/>
                <w:sz w:val="16"/>
                <w:szCs w:val="16"/>
                <w:lang w:eastAsia="en-US"/>
              </w:rPr>
            </w:pPr>
            <w:r w:rsidRPr="008C282E">
              <w:rPr>
                <w:rFonts w:ascii="Calibri" w:hAnsi="Calibri" w:cs="Calibri"/>
                <w:color w:val="000000"/>
                <w:sz w:val="16"/>
                <w:szCs w:val="16"/>
              </w:rPr>
              <w:t>17</w:t>
            </w:r>
          </w:p>
        </w:tc>
      </w:tr>
    </w:tbl>
    <w:p w14:paraId="66507FE5" w14:textId="77777777" w:rsidR="007B2BED" w:rsidRDefault="007B2BED" w:rsidP="007B2BED">
      <w:pPr>
        <w:rPr>
          <w:rFonts w:ascii="Helvetica" w:eastAsia="Calibri" w:hAnsi="Helvetica" w:cs="Helvetica"/>
        </w:rPr>
      </w:pPr>
      <w:r w:rsidRPr="4117AA6F">
        <w:rPr>
          <w:rFonts w:ascii="Helvetica" w:eastAsia="Calibri" w:hAnsi="Helvetica" w:cs="Helvetica"/>
          <w:sz w:val="18"/>
          <w:szCs w:val="18"/>
        </w:rPr>
        <w:t>Source: Horizon</w:t>
      </w:r>
    </w:p>
    <w:p w14:paraId="2C78479D" w14:textId="099BD008" w:rsidR="009E272E" w:rsidRPr="00A24DDC" w:rsidRDefault="002964D6" w:rsidP="009E272E">
      <w:pPr>
        <w:spacing w:before="120"/>
        <w:jc w:val="both"/>
        <w:rPr>
          <w:rFonts w:ascii="Helvetica" w:hAnsi="Helvetica" w:cs="Helvetica"/>
        </w:rPr>
      </w:pPr>
      <w:r w:rsidRPr="00A66CC5">
        <w:rPr>
          <w:rFonts w:ascii="Helvetica" w:hAnsi="Helvetica" w:cs="Helvetica"/>
        </w:rPr>
        <w:t xml:space="preserve">Figure </w:t>
      </w:r>
      <w:r w:rsidR="00C9368E" w:rsidRPr="00A66CC5">
        <w:rPr>
          <w:rFonts w:ascii="Helvetica" w:hAnsi="Helvetica" w:cs="Helvetica"/>
        </w:rPr>
        <w:t>7</w:t>
      </w:r>
      <w:r w:rsidRPr="00A66CC5">
        <w:rPr>
          <w:rFonts w:ascii="Helvetica" w:hAnsi="Helvetica" w:cs="Helvetica"/>
        </w:rPr>
        <w:t xml:space="preserve"> below shows</w:t>
      </w:r>
      <w:r w:rsidR="00B22EE4" w:rsidRPr="00A66CC5">
        <w:rPr>
          <w:rFonts w:ascii="Helvetica" w:hAnsi="Helvetica" w:cs="Helvetica"/>
        </w:rPr>
        <w:t xml:space="preserve"> the mean and median time to decision for planning </w:t>
      </w:r>
      <w:r w:rsidR="00135E43" w:rsidRPr="00A66CC5">
        <w:rPr>
          <w:rFonts w:ascii="Helvetica" w:hAnsi="Helvetica" w:cs="Helvetica"/>
        </w:rPr>
        <w:t xml:space="preserve">inquiry cases under the Rosewell process. </w:t>
      </w:r>
    </w:p>
    <w:p w14:paraId="40F45462" w14:textId="77777777" w:rsidR="00C9368E" w:rsidRPr="00306433" w:rsidRDefault="00C9368E" w:rsidP="000E4EAD">
      <w:pPr>
        <w:spacing w:before="120"/>
        <w:jc w:val="both"/>
        <w:rPr>
          <w:rFonts w:ascii="Helvetica" w:hAnsi="Helvetica" w:cs="Helvetica"/>
          <w:highlight w:val="yellow"/>
        </w:rPr>
      </w:pPr>
    </w:p>
    <w:p w14:paraId="337CEEF2" w14:textId="6CF53BD7" w:rsidR="003731B9" w:rsidRDefault="00D827A2" w:rsidP="00B5701E">
      <w:pPr>
        <w:keepNext/>
        <w:spacing w:after="120"/>
        <w:rPr>
          <w:rFonts w:ascii="Helvetica" w:hAnsi="Helvetica" w:cs="Helvetica"/>
        </w:rPr>
      </w:pPr>
      <w:r w:rsidRPr="00602DD9">
        <w:rPr>
          <w:rFonts w:ascii="Helvetica" w:hAnsi="Helvetica" w:cs="Helvetica"/>
        </w:rPr>
        <w:lastRenderedPageBreak/>
        <w:t xml:space="preserve">Figure </w:t>
      </w:r>
      <w:r w:rsidR="00C9368E" w:rsidRPr="00602DD9">
        <w:rPr>
          <w:rFonts w:ascii="Helvetica" w:hAnsi="Helvetica" w:cs="Helvetica"/>
        </w:rPr>
        <w:t>7</w:t>
      </w:r>
      <w:r w:rsidRPr="00602DD9">
        <w:rPr>
          <w:rFonts w:ascii="Helvetica" w:hAnsi="Helvetica" w:cs="Helvetica"/>
        </w:rPr>
        <w:t>:</w:t>
      </w:r>
      <w:r w:rsidR="00CD399A" w:rsidRPr="00602DD9">
        <w:rPr>
          <w:rFonts w:ascii="Helvetica" w:hAnsi="Helvetica" w:cs="Helvetica"/>
        </w:rPr>
        <w:t xml:space="preserve"> Mean, Median Time to Decisi</w:t>
      </w:r>
      <w:r w:rsidR="00740516" w:rsidRPr="00602DD9">
        <w:rPr>
          <w:rFonts w:ascii="Helvetica" w:hAnsi="Helvetica" w:cs="Helvetica"/>
        </w:rPr>
        <w:t>o</w:t>
      </w:r>
      <w:r w:rsidR="00CD399A" w:rsidRPr="00602DD9">
        <w:rPr>
          <w:rFonts w:ascii="Helvetica" w:hAnsi="Helvetica" w:cs="Helvetica"/>
        </w:rPr>
        <w:t>n, Rosewell Inquiry Process</w:t>
      </w:r>
      <w:r w:rsidR="00CB27DC" w:rsidRPr="00602DD9">
        <w:rPr>
          <w:rFonts w:ascii="Helvetica" w:hAnsi="Helvetica" w:cs="Helvetica"/>
        </w:rPr>
        <w:t xml:space="preserve">; </w:t>
      </w:r>
      <w:r w:rsidR="008C282E" w:rsidRPr="00602DD9">
        <w:rPr>
          <w:rFonts w:ascii="Helvetica" w:hAnsi="Helvetica" w:cs="Helvetica"/>
        </w:rPr>
        <w:t>Jun 20 to May 21</w:t>
      </w:r>
    </w:p>
    <w:p w14:paraId="741FB92A" w14:textId="197BD840" w:rsidR="009F66C3" w:rsidRPr="001E6970" w:rsidRDefault="72784A37" w:rsidP="008D4C0B">
      <w:pPr>
        <w:keepNext/>
        <w:spacing w:after="120"/>
        <w:rPr>
          <w:rFonts w:ascii="Helvetica" w:eastAsia="Calibri" w:hAnsi="Helvetica" w:cs="Helvetica"/>
          <w:sz w:val="18"/>
          <w:szCs w:val="18"/>
        </w:rPr>
      </w:pPr>
      <w:r>
        <w:rPr>
          <w:noProof/>
        </w:rPr>
        <w:drawing>
          <wp:inline distT="0" distB="0" distL="0" distR="0" wp14:anchorId="525979A5" wp14:editId="28C6E690">
            <wp:extent cx="6099738" cy="3629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9738" cy="3629025"/>
                    </a:xfrm>
                    <a:prstGeom prst="rect">
                      <a:avLst/>
                    </a:prstGeom>
                  </pic:spPr>
                </pic:pic>
              </a:graphicData>
            </a:graphic>
          </wp:inline>
        </w:drawing>
      </w:r>
      <w:r w:rsidR="009D1EBA">
        <w:br/>
      </w:r>
      <w:r w:rsidR="009F66C3" w:rsidRPr="001E6970">
        <w:rPr>
          <w:rFonts w:ascii="Helvetica" w:eastAsia="Calibri" w:hAnsi="Helvetica" w:cs="Helvetica"/>
          <w:sz w:val="18"/>
          <w:szCs w:val="18"/>
        </w:rPr>
        <w:t>Source: Horizon</w:t>
      </w:r>
    </w:p>
    <w:p w14:paraId="4B424A96" w14:textId="188DA4EA" w:rsidR="007B2BED" w:rsidRPr="001E6970" w:rsidRDefault="007B2BED" w:rsidP="004A1257">
      <w:pPr>
        <w:rPr>
          <w:rFonts w:ascii="Helvetica" w:hAnsi="Helvetica" w:cs="Helvetica"/>
          <w:sz w:val="18"/>
          <w:szCs w:val="18"/>
        </w:rPr>
      </w:pPr>
      <w:r w:rsidRPr="001E6970">
        <w:rPr>
          <w:rFonts w:ascii="Helvetica" w:hAnsi="Helvetica" w:cs="Helvetica"/>
          <w:sz w:val="18"/>
          <w:szCs w:val="18"/>
        </w:rPr>
        <w:t>Note –</w:t>
      </w:r>
      <w:r w:rsidR="00B2672B">
        <w:rPr>
          <w:rFonts w:ascii="Helvetica" w:hAnsi="Helvetica" w:cs="Helvetica"/>
          <w:sz w:val="18"/>
          <w:szCs w:val="18"/>
        </w:rPr>
        <w:t xml:space="preserve"> N</w:t>
      </w:r>
      <w:r w:rsidRPr="001E6970">
        <w:rPr>
          <w:rFonts w:ascii="Helvetica" w:hAnsi="Helvetica" w:cs="Helvetica"/>
          <w:sz w:val="18"/>
          <w:szCs w:val="18"/>
        </w:rPr>
        <w:t>o decisions were made during June 2020</w:t>
      </w:r>
      <w:r w:rsidR="003F5F5C">
        <w:rPr>
          <w:rFonts w:ascii="Helvetica" w:hAnsi="Helvetica" w:cs="Helvetica"/>
          <w:sz w:val="18"/>
          <w:szCs w:val="18"/>
        </w:rPr>
        <w:t>.</w:t>
      </w:r>
    </w:p>
    <w:p w14:paraId="6DE2BED4" w14:textId="77777777" w:rsidR="001B7F76" w:rsidRDefault="001B7F76" w:rsidP="001E004A">
      <w:pPr>
        <w:tabs>
          <w:tab w:val="left" w:pos="6319"/>
        </w:tabs>
        <w:spacing w:line="256" w:lineRule="auto"/>
        <w:rPr>
          <w:rFonts w:ascii="Helvetica" w:eastAsia="Calibri" w:hAnsi="Helvetica" w:cs="Helvetica"/>
        </w:rPr>
      </w:pPr>
    </w:p>
    <w:tbl>
      <w:tblPr>
        <w:tblW w:w="9639" w:type="dxa"/>
        <w:tblCellMar>
          <w:left w:w="10" w:type="dxa"/>
          <w:right w:w="10" w:type="dxa"/>
        </w:tblCellMar>
        <w:tblLook w:val="0000" w:firstRow="0" w:lastRow="0" w:firstColumn="0" w:lastColumn="0" w:noHBand="0" w:noVBand="0"/>
      </w:tblPr>
      <w:tblGrid>
        <w:gridCol w:w="9639"/>
      </w:tblGrid>
      <w:tr w:rsidR="006A3227" w14:paraId="407E0039" w14:textId="77777777" w:rsidTr="00A67F6F">
        <w:trPr>
          <w:trHeight w:val="422"/>
        </w:trPr>
        <w:tc>
          <w:tcPr>
            <w:tcW w:w="9639" w:type="dxa"/>
            <w:shd w:val="clear" w:color="auto" w:fill="00958F"/>
            <w:tcMar>
              <w:top w:w="0" w:type="dxa"/>
              <w:left w:w="108" w:type="dxa"/>
              <w:bottom w:w="0" w:type="dxa"/>
              <w:right w:w="108" w:type="dxa"/>
            </w:tcMar>
          </w:tcPr>
          <w:p w14:paraId="6AE3CEB6" w14:textId="77777777" w:rsidR="006A3227" w:rsidRDefault="006A3227" w:rsidP="000D3887">
            <w:pPr>
              <w:spacing w:line="256" w:lineRule="auto"/>
            </w:pPr>
            <w:r w:rsidRPr="00DF3E79">
              <w:rPr>
                <w:rFonts w:ascii="Helvetica" w:eastAsia="Verdana" w:hAnsi="Helvetica" w:cs="Helvetica"/>
                <w:b/>
                <w:bCs/>
                <w:color w:val="FFFFFF"/>
                <w:sz w:val="28"/>
                <w:szCs w:val="28"/>
              </w:rPr>
              <w:t>Open Cases</w:t>
            </w:r>
          </w:p>
        </w:tc>
      </w:tr>
    </w:tbl>
    <w:p w14:paraId="3CDB57F5" w14:textId="77777777" w:rsidR="006A3227" w:rsidRDefault="006A3227" w:rsidP="006A3227">
      <w:pPr>
        <w:tabs>
          <w:tab w:val="left" w:pos="6319"/>
        </w:tabs>
        <w:spacing w:line="256" w:lineRule="auto"/>
        <w:rPr>
          <w:rFonts w:ascii="Helvetica" w:eastAsia="Calibri" w:hAnsi="Helvetica" w:cs="Helvetica"/>
        </w:rPr>
      </w:pPr>
    </w:p>
    <w:p w14:paraId="45CA3642" w14:textId="278383D2" w:rsidR="006A3227" w:rsidRPr="00A01010" w:rsidRDefault="006A3227" w:rsidP="00C41717">
      <w:pPr>
        <w:tabs>
          <w:tab w:val="left" w:pos="6319"/>
        </w:tabs>
        <w:spacing w:line="256" w:lineRule="auto"/>
        <w:jc w:val="both"/>
        <w:rPr>
          <w:rFonts w:ascii="Helvetica" w:eastAsia="Calibri" w:hAnsi="Helvetica" w:cs="Helvetica"/>
        </w:rPr>
      </w:pPr>
      <w:r w:rsidRPr="002939D9">
        <w:rPr>
          <w:rFonts w:ascii="Helvetica" w:eastAsia="Calibri" w:hAnsi="Helvetica" w:cs="Helvetica"/>
        </w:rPr>
        <w:t xml:space="preserve">At the end of </w:t>
      </w:r>
      <w:r w:rsidR="005F1425" w:rsidRPr="002939D9">
        <w:rPr>
          <w:rFonts w:ascii="Helvetica" w:eastAsia="Calibri" w:hAnsi="Helvetica" w:cs="Helvetica"/>
        </w:rPr>
        <w:t>May</w:t>
      </w:r>
      <w:r w:rsidR="00504632" w:rsidRPr="002939D9">
        <w:rPr>
          <w:rFonts w:ascii="Helvetica" w:eastAsia="Calibri" w:hAnsi="Helvetica" w:cs="Helvetica"/>
        </w:rPr>
        <w:t xml:space="preserve"> 21</w:t>
      </w:r>
      <w:r w:rsidRPr="002939D9">
        <w:rPr>
          <w:rFonts w:ascii="Helvetica" w:eastAsia="Calibri" w:hAnsi="Helvetica" w:cs="Helvetica"/>
        </w:rPr>
        <w:t xml:space="preserve">, the Planning Inspectorate had </w:t>
      </w:r>
      <w:r w:rsidR="00504632" w:rsidRPr="002939D9">
        <w:rPr>
          <w:rFonts w:ascii="Helvetica" w:eastAsia="Calibri" w:hAnsi="Helvetica" w:cs="Helvetica"/>
        </w:rPr>
        <w:t xml:space="preserve">over </w:t>
      </w:r>
      <w:r w:rsidR="00C42CFC" w:rsidRPr="002939D9">
        <w:rPr>
          <w:rFonts w:ascii="Helvetica" w:eastAsia="Calibri" w:hAnsi="Helvetica" w:cs="Helvetica"/>
        </w:rPr>
        <w:t>eleven</w:t>
      </w:r>
      <w:r w:rsidRPr="002939D9">
        <w:rPr>
          <w:rFonts w:ascii="Helvetica" w:eastAsia="Calibri" w:hAnsi="Helvetica" w:cs="Helvetica"/>
        </w:rPr>
        <w:t xml:space="preserve"> thousand </w:t>
      </w:r>
      <w:r w:rsidR="007E5C86" w:rsidRPr="002939D9">
        <w:rPr>
          <w:rFonts w:ascii="Helvetica" w:eastAsia="Calibri" w:hAnsi="Helvetica" w:cs="Helvetica"/>
        </w:rPr>
        <w:t>seven</w:t>
      </w:r>
      <w:r w:rsidR="004521C0" w:rsidRPr="002939D9">
        <w:rPr>
          <w:rFonts w:ascii="Helvetica" w:eastAsia="Calibri" w:hAnsi="Helvetica" w:cs="Helvetica"/>
        </w:rPr>
        <w:t xml:space="preserve"> hundred </w:t>
      </w:r>
      <w:r w:rsidRPr="002939D9">
        <w:rPr>
          <w:rFonts w:ascii="Helvetica" w:eastAsia="Calibri" w:hAnsi="Helvetica" w:cs="Helvetica"/>
        </w:rPr>
        <w:t>cases open</w:t>
      </w:r>
      <w:r w:rsidRPr="002939D9">
        <w:rPr>
          <w:rStyle w:val="FootnoteReference"/>
          <w:rFonts w:ascii="Helvetica" w:eastAsia="Calibri" w:hAnsi="Helvetica" w:cs="Helvetica"/>
        </w:rPr>
        <w:footnoteReference w:id="13"/>
      </w:r>
      <w:r w:rsidRPr="002939D9">
        <w:rPr>
          <w:rFonts w:ascii="Helvetica" w:eastAsia="Calibri" w:hAnsi="Helvetica" w:cs="Helvetica"/>
        </w:rPr>
        <w:t xml:space="preserve"> (1</w:t>
      </w:r>
      <w:r w:rsidR="00C42CFC" w:rsidRPr="002939D9">
        <w:rPr>
          <w:rFonts w:ascii="Helvetica" w:eastAsia="Calibri" w:hAnsi="Helvetica" w:cs="Helvetica"/>
        </w:rPr>
        <w:t>1,</w:t>
      </w:r>
      <w:r w:rsidR="007E5C86" w:rsidRPr="002939D9">
        <w:rPr>
          <w:rFonts w:ascii="Helvetica" w:eastAsia="Calibri" w:hAnsi="Helvetica" w:cs="Helvetica"/>
        </w:rPr>
        <w:t>725</w:t>
      </w:r>
      <w:r w:rsidRPr="002939D9">
        <w:rPr>
          <w:rFonts w:ascii="Helvetica" w:eastAsia="Calibri" w:hAnsi="Helvetica" w:cs="Helvetica"/>
        </w:rPr>
        <w:t xml:space="preserve">). </w:t>
      </w:r>
      <w:r w:rsidR="00F96C50" w:rsidRPr="002939D9">
        <w:rPr>
          <w:rFonts w:ascii="Helvetica" w:eastAsia="Calibri" w:hAnsi="Helvetica" w:cs="Helvetica"/>
        </w:rPr>
        <w:t xml:space="preserve"> This is </w:t>
      </w:r>
      <w:r w:rsidR="007B1E8D" w:rsidRPr="002939D9">
        <w:rPr>
          <w:rFonts w:ascii="Helvetica" w:eastAsia="Calibri" w:hAnsi="Helvetica" w:cs="Helvetica"/>
        </w:rPr>
        <w:t>almost the same as</w:t>
      </w:r>
      <w:r w:rsidR="00886B6B" w:rsidRPr="002939D9">
        <w:rPr>
          <w:rFonts w:ascii="Helvetica" w:eastAsia="Calibri" w:hAnsi="Helvetica" w:cs="Helvetica"/>
        </w:rPr>
        <w:t xml:space="preserve"> the previous month</w:t>
      </w:r>
      <w:r w:rsidR="00FA2651" w:rsidRPr="002939D9">
        <w:rPr>
          <w:rFonts w:ascii="Helvetica" w:eastAsia="Calibri" w:hAnsi="Helvetica" w:cs="Helvetica"/>
        </w:rPr>
        <w:t xml:space="preserve">.  </w:t>
      </w:r>
      <w:r w:rsidRPr="002939D9">
        <w:rPr>
          <w:rFonts w:ascii="Helvetica" w:eastAsia="Calibri" w:hAnsi="Helvetica" w:cs="Helvetica"/>
        </w:rPr>
        <w:t>Th</w:t>
      </w:r>
      <w:r w:rsidR="00FA2651" w:rsidRPr="002939D9">
        <w:rPr>
          <w:rFonts w:ascii="Helvetica" w:eastAsia="Calibri" w:hAnsi="Helvetica" w:cs="Helvetica"/>
        </w:rPr>
        <w:t xml:space="preserve">e open cases </w:t>
      </w:r>
      <w:r w:rsidRPr="002939D9">
        <w:rPr>
          <w:rFonts w:ascii="Helvetica" w:eastAsia="Calibri" w:hAnsi="Helvetica" w:cs="Helvetica"/>
        </w:rPr>
        <w:t xml:space="preserve">comprised </w:t>
      </w:r>
      <w:r w:rsidR="0051614E" w:rsidRPr="002939D9">
        <w:rPr>
          <w:rFonts w:ascii="Helvetica" w:eastAsia="Calibri" w:hAnsi="Helvetica" w:cs="Helvetica"/>
        </w:rPr>
        <w:t xml:space="preserve">over </w:t>
      </w:r>
      <w:r w:rsidR="00825543" w:rsidRPr="002939D9">
        <w:rPr>
          <w:rFonts w:ascii="Helvetica" w:eastAsia="Calibri" w:hAnsi="Helvetica" w:cs="Helvetica"/>
        </w:rPr>
        <w:t>9,</w:t>
      </w:r>
      <w:r w:rsidR="0051614E" w:rsidRPr="002939D9">
        <w:rPr>
          <w:rFonts w:ascii="Helvetica" w:eastAsia="Calibri" w:hAnsi="Helvetica" w:cs="Helvetica"/>
        </w:rPr>
        <w:t>8</w:t>
      </w:r>
      <w:r w:rsidR="00825543" w:rsidRPr="002939D9">
        <w:rPr>
          <w:rFonts w:ascii="Helvetica" w:eastAsia="Calibri" w:hAnsi="Helvetica" w:cs="Helvetica"/>
        </w:rPr>
        <w:t>00</w:t>
      </w:r>
      <w:r w:rsidRPr="002939D9">
        <w:rPr>
          <w:rFonts w:ascii="Helvetica" w:eastAsia="Calibri" w:hAnsi="Helvetica" w:cs="Helvetica"/>
        </w:rPr>
        <w:t xml:space="preserve"> cases being handled through written representations; </w:t>
      </w:r>
      <w:r w:rsidR="00FE714E" w:rsidRPr="002939D9">
        <w:rPr>
          <w:rFonts w:ascii="Helvetica" w:eastAsia="Calibri" w:hAnsi="Helvetica" w:cs="Helvetica"/>
        </w:rPr>
        <w:t xml:space="preserve">just over </w:t>
      </w:r>
      <w:r w:rsidR="0051614E" w:rsidRPr="002939D9">
        <w:rPr>
          <w:rFonts w:ascii="Helvetica" w:eastAsia="Calibri" w:hAnsi="Helvetica" w:cs="Helvetica"/>
        </w:rPr>
        <w:t>1,000</w:t>
      </w:r>
      <w:r w:rsidRPr="002939D9">
        <w:rPr>
          <w:rFonts w:ascii="Helvetica" w:eastAsia="Calibri" w:hAnsi="Helvetica" w:cs="Helvetica"/>
        </w:rPr>
        <w:t xml:space="preserve"> through hearings; and </w:t>
      </w:r>
      <w:r w:rsidR="0049374A" w:rsidRPr="002939D9">
        <w:rPr>
          <w:rFonts w:ascii="Helvetica" w:eastAsia="Calibri" w:hAnsi="Helvetica" w:cs="Helvetica"/>
        </w:rPr>
        <w:t>over 700</w:t>
      </w:r>
      <w:r w:rsidRPr="002939D9">
        <w:rPr>
          <w:rFonts w:ascii="Helvetica" w:eastAsia="Calibri" w:hAnsi="Helvetica" w:cs="Helvetica"/>
        </w:rPr>
        <w:t xml:space="preserve"> through inquiries.</w:t>
      </w:r>
      <w:r w:rsidRPr="00A01010">
        <w:rPr>
          <w:rFonts w:ascii="Helvetica" w:eastAsia="Calibri" w:hAnsi="Helvetica" w:cs="Helvetica"/>
        </w:rPr>
        <w:t xml:space="preserve"> This is not the number of ‘live’ hearings and inquiries since it includes cases where the event (hearing or inquiry) has yet to start, as well as those where the event has finished but the decision has yet to be issued.</w:t>
      </w:r>
    </w:p>
    <w:p w14:paraId="2B3C0FE6" w14:textId="77777777" w:rsidR="0044773F" w:rsidRPr="00A01010" w:rsidRDefault="0044773F" w:rsidP="00C41717">
      <w:pPr>
        <w:tabs>
          <w:tab w:val="left" w:pos="6319"/>
        </w:tabs>
        <w:spacing w:line="256" w:lineRule="auto"/>
        <w:jc w:val="both"/>
        <w:rPr>
          <w:rFonts w:ascii="Helvetica" w:eastAsia="Calibri" w:hAnsi="Helvetica" w:cs="Helvetica"/>
        </w:rPr>
      </w:pPr>
    </w:p>
    <w:p w14:paraId="77A32632" w14:textId="3497D33C" w:rsidR="005D41A5" w:rsidRDefault="00126818" w:rsidP="005D41A5">
      <w:pPr>
        <w:tabs>
          <w:tab w:val="left" w:pos="6319"/>
        </w:tabs>
        <w:spacing w:line="256" w:lineRule="auto"/>
        <w:jc w:val="both"/>
        <w:rPr>
          <w:rFonts w:ascii="Helvetica" w:eastAsia="Calibri" w:hAnsi="Helvetica" w:cs="Helvetica"/>
        </w:rPr>
      </w:pPr>
      <w:r w:rsidRPr="00A01010">
        <w:rPr>
          <w:rFonts w:ascii="Helvetica" w:eastAsia="Calibri" w:hAnsi="Helvetica" w:cs="Helvetica"/>
        </w:rPr>
        <w:t>For each procedure type, there are more cases with an event scheduled but not yet started, than at any other stage in the process.</w:t>
      </w:r>
      <w:r w:rsidR="00377CE2">
        <w:rPr>
          <w:rFonts w:ascii="Helvetica" w:eastAsia="Calibri" w:hAnsi="Helvetica" w:cs="Helvetica"/>
        </w:rPr>
        <w:t xml:space="preserve">  </w:t>
      </w:r>
      <w:r w:rsidR="005D41A5" w:rsidRPr="00A01010">
        <w:rPr>
          <w:rFonts w:ascii="Helvetica" w:eastAsia="Calibri" w:hAnsi="Helvetica" w:cs="Helvetica"/>
        </w:rPr>
        <w:t xml:space="preserve">Event refers to either a site visit, </w:t>
      </w:r>
      <w:proofErr w:type="gramStart"/>
      <w:r w:rsidR="005D41A5" w:rsidRPr="00A01010">
        <w:rPr>
          <w:rFonts w:ascii="Helvetica" w:eastAsia="Calibri" w:hAnsi="Helvetica" w:cs="Helvetica"/>
        </w:rPr>
        <w:t>hearing</w:t>
      </w:r>
      <w:proofErr w:type="gramEnd"/>
      <w:r w:rsidR="005D41A5" w:rsidRPr="00A01010">
        <w:rPr>
          <w:rFonts w:ascii="Helvetica" w:eastAsia="Calibri" w:hAnsi="Helvetica" w:cs="Helvetica"/>
        </w:rPr>
        <w:t xml:space="preserve"> or inquiry.</w:t>
      </w:r>
    </w:p>
    <w:p w14:paraId="3F8F7BDD" w14:textId="7E8FA9AB" w:rsidR="00160536" w:rsidRDefault="00160536" w:rsidP="005D41A5">
      <w:pPr>
        <w:tabs>
          <w:tab w:val="left" w:pos="6319"/>
        </w:tabs>
        <w:spacing w:line="256" w:lineRule="auto"/>
        <w:jc w:val="both"/>
        <w:rPr>
          <w:rFonts w:ascii="Helvetica" w:eastAsia="Calibri" w:hAnsi="Helvetica" w:cs="Helvetica"/>
        </w:rPr>
      </w:pPr>
    </w:p>
    <w:p w14:paraId="686D03E6" w14:textId="6ECD3276" w:rsidR="00160536" w:rsidRDefault="00BA36DB" w:rsidP="005D41A5">
      <w:pPr>
        <w:tabs>
          <w:tab w:val="left" w:pos="6319"/>
        </w:tabs>
        <w:spacing w:line="256" w:lineRule="auto"/>
        <w:jc w:val="both"/>
        <w:rPr>
          <w:rFonts w:ascii="Helvetica" w:eastAsia="Calibri" w:hAnsi="Helvetica" w:cs="Helvetica"/>
        </w:rPr>
      </w:pPr>
      <w:r w:rsidRPr="002939D9">
        <w:rPr>
          <w:rFonts w:ascii="Helvetica" w:eastAsia="Calibri" w:hAnsi="Helvetica" w:cs="Helvetica"/>
        </w:rPr>
        <w:t xml:space="preserve">Note that </w:t>
      </w:r>
      <w:r w:rsidR="004F1BF9" w:rsidRPr="002939D9">
        <w:rPr>
          <w:rFonts w:ascii="Helvetica" w:eastAsia="Calibri" w:hAnsi="Helvetica" w:cs="Helvetica"/>
        </w:rPr>
        <w:t xml:space="preserve">the </w:t>
      </w:r>
      <w:r w:rsidR="00E519D6" w:rsidRPr="002939D9">
        <w:rPr>
          <w:rFonts w:ascii="Helvetica" w:eastAsia="Calibri" w:hAnsi="Helvetica" w:cs="Helvetica"/>
        </w:rPr>
        <w:t xml:space="preserve">count </w:t>
      </w:r>
      <w:r w:rsidR="004F1BF9" w:rsidRPr="002939D9">
        <w:rPr>
          <w:rFonts w:ascii="Helvetica" w:eastAsia="Calibri" w:hAnsi="Helvetica" w:cs="Helvetica"/>
        </w:rPr>
        <w:t xml:space="preserve">of open cases </w:t>
      </w:r>
      <w:r w:rsidR="00C52BE8" w:rsidRPr="002939D9">
        <w:rPr>
          <w:rFonts w:ascii="Helvetica" w:eastAsia="Calibri" w:hAnsi="Helvetica" w:cs="Helvetica"/>
        </w:rPr>
        <w:t xml:space="preserve">from December 2020 onwards has been revised </w:t>
      </w:r>
      <w:r w:rsidR="001D0E37" w:rsidRPr="002939D9">
        <w:rPr>
          <w:rFonts w:ascii="Helvetica" w:eastAsia="Calibri" w:hAnsi="Helvetica" w:cs="Helvetica"/>
        </w:rPr>
        <w:t>to include some specialist casework types that were previously excluded</w:t>
      </w:r>
      <w:r w:rsidR="004525D8" w:rsidRPr="002939D9">
        <w:rPr>
          <w:rFonts w:ascii="Helvetica" w:eastAsia="Calibri" w:hAnsi="Helvetica" w:cs="Helvetica"/>
        </w:rPr>
        <w:t xml:space="preserve">. Please see the </w:t>
      </w:r>
      <w:r w:rsidR="0002672C" w:rsidRPr="002939D9">
        <w:rPr>
          <w:rFonts w:ascii="Helvetica" w:eastAsia="Calibri" w:hAnsi="Helvetica" w:cs="Helvetica"/>
        </w:rPr>
        <w:t>footnote bel</w:t>
      </w:r>
      <w:r w:rsidR="00294CB8" w:rsidRPr="002939D9">
        <w:rPr>
          <w:rFonts w:ascii="Helvetica" w:eastAsia="Calibri" w:hAnsi="Helvetica" w:cs="Helvetica"/>
        </w:rPr>
        <w:t xml:space="preserve">ow and the </w:t>
      </w:r>
      <w:r w:rsidR="004525D8" w:rsidRPr="002939D9">
        <w:rPr>
          <w:rFonts w:ascii="Helvetica" w:eastAsia="Calibri" w:hAnsi="Helvetica" w:cs="Helvetica"/>
        </w:rPr>
        <w:t xml:space="preserve">Background Quality </w:t>
      </w:r>
      <w:r w:rsidR="00D15CC9" w:rsidRPr="002939D9">
        <w:rPr>
          <w:rFonts w:ascii="Helvetica" w:eastAsia="Calibri" w:hAnsi="Helvetica" w:cs="Helvetica"/>
        </w:rPr>
        <w:t>Report for more detail</w:t>
      </w:r>
      <w:r w:rsidR="009C3C33" w:rsidRPr="002939D9">
        <w:rPr>
          <w:rFonts w:ascii="Helvetica" w:eastAsia="Calibri" w:hAnsi="Helvetica" w:cs="Helvetica"/>
        </w:rPr>
        <w:t>s.</w:t>
      </w:r>
    </w:p>
    <w:p w14:paraId="390F261F" w14:textId="15363A5F" w:rsidR="00160536" w:rsidRDefault="00160536" w:rsidP="005D41A5">
      <w:pPr>
        <w:tabs>
          <w:tab w:val="left" w:pos="6319"/>
        </w:tabs>
        <w:spacing w:line="256" w:lineRule="auto"/>
        <w:jc w:val="both"/>
        <w:rPr>
          <w:rFonts w:ascii="Helvetica" w:eastAsia="Calibri" w:hAnsi="Helvetica" w:cs="Helvetica"/>
        </w:rPr>
      </w:pPr>
    </w:p>
    <w:p w14:paraId="325AF255" w14:textId="32A1591F" w:rsidR="006A3227" w:rsidRPr="00ED4B62" w:rsidRDefault="006A3227" w:rsidP="004521C0">
      <w:pPr>
        <w:keepNext/>
        <w:tabs>
          <w:tab w:val="left" w:pos="6319"/>
        </w:tabs>
        <w:spacing w:after="120" w:line="257" w:lineRule="auto"/>
        <w:rPr>
          <w:rFonts w:ascii="Helvetica" w:eastAsia="Calibri" w:hAnsi="Helvetica" w:cs="Helvetica"/>
        </w:rPr>
      </w:pPr>
      <w:r w:rsidRPr="00ED4B62">
        <w:rPr>
          <w:rFonts w:ascii="Helvetica" w:eastAsia="Calibri" w:hAnsi="Helvetica" w:cs="Helvetica"/>
        </w:rPr>
        <w:t xml:space="preserve">Table </w:t>
      </w:r>
      <w:r w:rsidR="00C9368E" w:rsidRPr="00ED4B62">
        <w:rPr>
          <w:rFonts w:ascii="Helvetica" w:eastAsia="Calibri" w:hAnsi="Helvetica" w:cs="Helvetica"/>
        </w:rPr>
        <w:t>10</w:t>
      </w:r>
      <w:r w:rsidRPr="00ED4B62">
        <w:rPr>
          <w:rFonts w:ascii="Helvetica" w:eastAsia="Calibri" w:hAnsi="Helvetica" w:cs="Helvetica"/>
        </w:rPr>
        <w:t xml:space="preserve">: Open cases by procedure and stage, as of end of </w:t>
      </w:r>
      <w:r w:rsidR="003778C8" w:rsidRPr="00ED4B62">
        <w:rPr>
          <w:rFonts w:ascii="Helvetica" w:eastAsia="Calibri" w:hAnsi="Helvetica" w:cs="Helvetica"/>
        </w:rPr>
        <w:t>May</w:t>
      </w:r>
      <w:r w:rsidR="009C318C" w:rsidRPr="00ED4B62">
        <w:rPr>
          <w:rFonts w:ascii="Helvetica" w:eastAsia="Calibri" w:hAnsi="Helvetica" w:cs="Helvetica"/>
        </w:rPr>
        <w:t xml:space="preserve"> 2021</w:t>
      </w:r>
    </w:p>
    <w:tbl>
      <w:tblPr>
        <w:tblW w:w="4265" w:type="pct"/>
        <w:tblCellMar>
          <w:left w:w="0" w:type="dxa"/>
          <w:right w:w="454" w:type="dxa"/>
        </w:tblCellMar>
        <w:tblLook w:val="04A0" w:firstRow="1" w:lastRow="0" w:firstColumn="1" w:lastColumn="0" w:noHBand="0" w:noVBand="1"/>
      </w:tblPr>
      <w:tblGrid>
        <w:gridCol w:w="1361"/>
        <w:gridCol w:w="1579"/>
        <w:gridCol w:w="1510"/>
        <w:gridCol w:w="1802"/>
        <w:gridCol w:w="460"/>
        <w:gridCol w:w="1510"/>
      </w:tblGrid>
      <w:tr w:rsidR="00710B4D" w:rsidRPr="00ED4B62" w14:paraId="34A3049F" w14:textId="1B5CD889" w:rsidTr="009C318C">
        <w:trPr>
          <w:trHeight w:val="870"/>
        </w:trPr>
        <w:tc>
          <w:tcPr>
            <w:tcW w:w="8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3F759" w14:textId="77777777" w:rsidR="00710B4D" w:rsidRPr="00ED4B62" w:rsidRDefault="00710B4D" w:rsidP="00E16467">
            <w:pPr>
              <w:suppressAutoHyphens w:val="0"/>
              <w:autoSpaceDN/>
              <w:textAlignment w:val="auto"/>
              <w:rPr>
                <w:rFonts w:ascii="Calibri" w:hAnsi="Calibri"/>
                <w:color w:val="000000"/>
                <w:sz w:val="20"/>
                <w:szCs w:val="20"/>
              </w:rPr>
            </w:pPr>
            <w:r w:rsidRPr="00ED4B62">
              <w:rPr>
                <w:rFonts w:ascii="Calibri" w:hAnsi="Calibri"/>
                <w:color w:val="000000"/>
                <w:sz w:val="20"/>
                <w:szCs w:val="20"/>
              </w:rPr>
              <w:t>Procedure</w:t>
            </w:r>
          </w:p>
        </w:tc>
        <w:tc>
          <w:tcPr>
            <w:tcW w:w="96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374D6DE" w14:textId="77777777" w:rsidR="00710B4D" w:rsidRPr="00ED4B62" w:rsidRDefault="00710B4D" w:rsidP="00E16467">
            <w:pPr>
              <w:jc w:val="right"/>
              <w:rPr>
                <w:rFonts w:ascii="Calibri" w:hAnsi="Calibri"/>
                <w:color w:val="000000"/>
                <w:sz w:val="20"/>
                <w:szCs w:val="20"/>
              </w:rPr>
            </w:pPr>
            <w:r w:rsidRPr="00ED4B62">
              <w:rPr>
                <w:rFonts w:ascii="Calibri" w:hAnsi="Calibri"/>
                <w:color w:val="000000"/>
                <w:sz w:val="20"/>
                <w:szCs w:val="20"/>
              </w:rPr>
              <w:t xml:space="preserve">Case received </w:t>
            </w:r>
            <w:proofErr w:type="gramStart"/>
            <w:r w:rsidRPr="00ED4B62">
              <w:rPr>
                <w:rFonts w:ascii="Calibri" w:hAnsi="Calibri"/>
                <w:color w:val="000000"/>
                <w:sz w:val="20"/>
                <w:szCs w:val="20"/>
              </w:rPr>
              <w:t>but yet</w:t>
            </w:r>
            <w:proofErr w:type="gramEnd"/>
            <w:r w:rsidRPr="00ED4B62">
              <w:rPr>
                <w:rFonts w:ascii="Calibri" w:hAnsi="Calibri"/>
                <w:color w:val="000000"/>
                <w:sz w:val="20"/>
                <w:szCs w:val="20"/>
              </w:rPr>
              <w:t xml:space="preserve"> to be deemed valid</w:t>
            </w:r>
          </w:p>
        </w:tc>
        <w:tc>
          <w:tcPr>
            <w:tcW w:w="918"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463CBB4" w14:textId="77777777" w:rsidR="00710B4D" w:rsidRPr="00ED4B62" w:rsidRDefault="00710B4D" w:rsidP="00E16467">
            <w:pPr>
              <w:jc w:val="right"/>
              <w:rPr>
                <w:rFonts w:ascii="Calibri" w:hAnsi="Calibri"/>
                <w:color w:val="000000"/>
                <w:sz w:val="20"/>
                <w:szCs w:val="20"/>
              </w:rPr>
            </w:pPr>
            <w:r w:rsidRPr="00ED4B62">
              <w:rPr>
                <w:rFonts w:ascii="Calibri" w:hAnsi="Calibri"/>
                <w:color w:val="000000"/>
                <w:sz w:val="20"/>
                <w:szCs w:val="20"/>
              </w:rPr>
              <w:t>Case deemed valid, event date yet to be set / in the future</w:t>
            </w:r>
          </w:p>
        </w:tc>
        <w:tc>
          <w:tcPr>
            <w:tcW w:w="1096" w:type="pct"/>
            <w:tcBorders>
              <w:top w:val="nil"/>
              <w:left w:val="nil"/>
              <w:bottom w:val="single" w:sz="4" w:space="0" w:color="auto"/>
            </w:tcBorders>
            <w:shd w:val="clear" w:color="auto" w:fill="auto"/>
            <w:tcMar>
              <w:top w:w="15" w:type="dxa"/>
              <w:left w:w="15" w:type="dxa"/>
              <w:bottom w:w="0" w:type="dxa"/>
              <w:right w:w="15" w:type="dxa"/>
            </w:tcMar>
            <w:vAlign w:val="center"/>
            <w:hideMark/>
          </w:tcPr>
          <w:p w14:paraId="138A960E" w14:textId="5FCCD5A4" w:rsidR="00710B4D" w:rsidRPr="00ED4B62" w:rsidRDefault="00710B4D" w:rsidP="00282500">
            <w:pPr>
              <w:jc w:val="right"/>
              <w:rPr>
                <w:rFonts w:ascii="Calibri" w:hAnsi="Calibri"/>
                <w:color w:val="000000"/>
                <w:sz w:val="20"/>
                <w:szCs w:val="20"/>
              </w:rPr>
            </w:pPr>
            <w:r w:rsidRPr="00ED4B62">
              <w:rPr>
                <w:rFonts w:ascii="Calibri" w:hAnsi="Calibri"/>
                <w:color w:val="000000"/>
                <w:sz w:val="20"/>
                <w:szCs w:val="20"/>
              </w:rPr>
              <w:t xml:space="preserve">Event complete but decision not yet issued </w:t>
            </w:r>
          </w:p>
        </w:tc>
        <w:tc>
          <w:tcPr>
            <w:tcW w:w="280" w:type="pct"/>
            <w:tcBorders>
              <w:top w:val="nil"/>
              <w:bottom w:val="single" w:sz="4" w:space="0" w:color="auto"/>
              <w:right w:val="single" w:sz="4" w:space="0" w:color="auto"/>
            </w:tcBorders>
          </w:tcPr>
          <w:p w14:paraId="31635D12" w14:textId="77777777" w:rsidR="00710B4D" w:rsidRPr="00ED4B62" w:rsidRDefault="00710B4D" w:rsidP="002954B7">
            <w:pPr>
              <w:jc w:val="right"/>
              <w:rPr>
                <w:rFonts w:ascii="Calibri" w:hAnsi="Calibri"/>
                <w:color w:val="000000"/>
                <w:sz w:val="20"/>
                <w:szCs w:val="20"/>
              </w:rPr>
            </w:pPr>
          </w:p>
        </w:tc>
        <w:tc>
          <w:tcPr>
            <w:tcW w:w="918"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6AB4C82" w14:textId="09342B07" w:rsidR="00710B4D" w:rsidRPr="00ED4B62" w:rsidRDefault="00710B4D" w:rsidP="002954B7">
            <w:pPr>
              <w:jc w:val="right"/>
              <w:rPr>
                <w:rFonts w:ascii="Calibri" w:hAnsi="Calibri"/>
                <w:color w:val="000000"/>
                <w:sz w:val="20"/>
                <w:szCs w:val="20"/>
              </w:rPr>
            </w:pPr>
            <w:r w:rsidRPr="00ED4B62">
              <w:rPr>
                <w:rFonts w:ascii="Calibri" w:hAnsi="Calibri"/>
                <w:color w:val="000000"/>
                <w:sz w:val="20"/>
                <w:szCs w:val="20"/>
              </w:rPr>
              <w:t>Total</w:t>
            </w:r>
          </w:p>
        </w:tc>
      </w:tr>
      <w:tr w:rsidR="006E7A3D" w:rsidRPr="00ED4B62" w14:paraId="002FEBA1" w14:textId="51459DE8" w:rsidTr="009C318C">
        <w:trPr>
          <w:trHeight w:val="740"/>
        </w:trPr>
        <w:tc>
          <w:tcPr>
            <w:tcW w:w="828" w:type="pct"/>
            <w:tcBorders>
              <w:top w:val="nil"/>
              <w:left w:val="nil"/>
              <w:bottom w:val="nil"/>
              <w:right w:val="nil"/>
            </w:tcBorders>
            <w:shd w:val="clear" w:color="auto" w:fill="auto"/>
            <w:tcMar>
              <w:top w:w="15" w:type="dxa"/>
              <w:left w:w="15" w:type="dxa"/>
              <w:bottom w:w="0" w:type="dxa"/>
              <w:right w:w="15" w:type="dxa"/>
            </w:tcMar>
            <w:vAlign w:val="center"/>
            <w:hideMark/>
          </w:tcPr>
          <w:p w14:paraId="6CF52917" w14:textId="77777777" w:rsidR="006E7A3D" w:rsidRPr="00ED4B62" w:rsidRDefault="006E7A3D" w:rsidP="006E7A3D">
            <w:pPr>
              <w:rPr>
                <w:rFonts w:ascii="Calibri" w:hAnsi="Calibri"/>
                <w:color w:val="000000"/>
                <w:sz w:val="20"/>
                <w:szCs w:val="20"/>
              </w:rPr>
            </w:pPr>
            <w:r w:rsidRPr="00ED4B62">
              <w:rPr>
                <w:rFonts w:ascii="Calibri" w:hAnsi="Calibri"/>
                <w:color w:val="000000"/>
                <w:sz w:val="20"/>
                <w:szCs w:val="20"/>
              </w:rPr>
              <w:lastRenderedPageBreak/>
              <w:t>Written Representations</w:t>
            </w:r>
          </w:p>
        </w:tc>
        <w:tc>
          <w:tcPr>
            <w:tcW w:w="960"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43655B0" w14:textId="49F9DBDA" w:rsidR="006E7A3D" w:rsidRPr="00ED4B62" w:rsidRDefault="006E7A3D" w:rsidP="006E7A3D">
            <w:pPr>
              <w:jc w:val="right"/>
              <w:rPr>
                <w:rFonts w:ascii="Calibri" w:hAnsi="Calibri"/>
                <w:color w:val="000000"/>
                <w:sz w:val="20"/>
                <w:szCs w:val="20"/>
              </w:rPr>
            </w:pPr>
            <w:r w:rsidRPr="00ED4B62">
              <w:rPr>
                <w:rFonts w:ascii="Calibri" w:hAnsi="Calibri" w:cs="Calibri"/>
                <w:color w:val="000000"/>
                <w:sz w:val="20"/>
                <w:szCs w:val="20"/>
              </w:rPr>
              <w:t xml:space="preserve">680 </w:t>
            </w:r>
          </w:p>
        </w:tc>
        <w:tc>
          <w:tcPr>
            <w:tcW w:w="918" w:type="pct"/>
            <w:tcBorders>
              <w:top w:val="nil"/>
              <w:left w:val="nil"/>
              <w:bottom w:val="nil"/>
              <w:right w:val="nil"/>
            </w:tcBorders>
            <w:shd w:val="clear" w:color="auto" w:fill="auto"/>
            <w:noWrap/>
            <w:tcMar>
              <w:top w:w="15" w:type="dxa"/>
              <w:left w:w="15" w:type="dxa"/>
              <w:bottom w:w="0" w:type="dxa"/>
              <w:right w:w="15" w:type="dxa"/>
            </w:tcMar>
            <w:vAlign w:val="center"/>
            <w:hideMark/>
          </w:tcPr>
          <w:p w14:paraId="0381FE02" w14:textId="2F4A175E" w:rsidR="006E7A3D" w:rsidRPr="00ED4B62" w:rsidRDefault="006E7A3D" w:rsidP="006E7A3D">
            <w:pPr>
              <w:jc w:val="right"/>
              <w:rPr>
                <w:rFonts w:ascii="Calibri" w:hAnsi="Calibri"/>
                <w:color w:val="000000"/>
                <w:sz w:val="20"/>
                <w:szCs w:val="20"/>
              </w:rPr>
            </w:pPr>
            <w:r w:rsidRPr="00ED4B62">
              <w:rPr>
                <w:rFonts w:ascii="Calibri" w:hAnsi="Calibri" w:cs="Calibri"/>
                <w:color w:val="000000"/>
                <w:sz w:val="20"/>
                <w:szCs w:val="20"/>
              </w:rPr>
              <w:t>7,</w:t>
            </w:r>
            <w:r w:rsidR="00C364F8" w:rsidRPr="00ED4B62">
              <w:rPr>
                <w:rFonts w:ascii="Calibri" w:hAnsi="Calibri" w:cs="Calibri"/>
                <w:color w:val="000000"/>
                <w:sz w:val="20"/>
                <w:szCs w:val="20"/>
              </w:rPr>
              <w:t>730</w:t>
            </w:r>
          </w:p>
        </w:tc>
        <w:tc>
          <w:tcPr>
            <w:tcW w:w="1096" w:type="pct"/>
            <w:tcBorders>
              <w:top w:val="nil"/>
              <w:left w:val="nil"/>
              <w:bottom w:val="nil"/>
              <w:right w:val="nil"/>
            </w:tcBorders>
            <w:shd w:val="clear" w:color="auto" w:fill="auto"/>
            <w:noWrap/>
            <w:tcMar>
              <w:top w:w="15" w:type="dxa"/>
              <w:left w:w="15" w:type="dxa"/>
              <w:bottom w:w="0" w:type="dxa"/>
              <w:right w:w="15" w:type="dxa"/>
            </w:tcMar>
            <w:vAlign w:val="center"/>
            <w:hideMark/>
          </w:tcPr>
          <w:p w14:paraId="2CFA47A1" w14:textId="261104F1" w:rsidR="006E7A3D" w:rsidRPr="00ED4B62" w:rsidRDefault="00417C66" w:rsidP="006E7A3D">
            <w:pPr>
              <w:jc w:val="right"/>
              <w:rPr>
                <w:rFonts w:ascii="Calibri" w:hAnsi="Calibri"/>
                <w:color w:val="000000"/>
                <w:sz w:val="20"/>
                <w:szCs w:val="20"/>
              </w:rPr>
            </w:pPr>
            <w:r w:rsidRPr="00ED4B62">
              <w:rPr>
                <w:rFonts w:ascii="Calibri" w:hAnsi="Calibri" w:cs="Calibri"/>
                <w:color w:val="000000"/>
                <w:sz w:val="20"/>
                <w:szCs w:val="20"/>
              </w:rPr>
              <w:t>1,421</w:t>
            </w:r>
            <w:r w:rsidR="006E7A3D" w:rsidRPr="00ED4B62">
              <w:rPr>
                <w:rFonts w:ascii="Calibri" w:hAnsi="Calibri" w:cs="Calibri"/>
                <w:color w:val="000000"/>
                <w:sz w:val="20"/>
                <w:szCs w:val="20"/>
              </w:rPr>
              <w:t xml:space="preserve"> </w:t>
            </w:r>
          </w:p>
        </w:tc>
        <w:tc>
          <w:tcPr>
            <w:tcW w:w="280" w:type="pct"/>
            <w:tcBorders>
              <w:top w:val="nil"/>
              <w:bottom w:val="nil"/>
              <w:right w:val="single" w:sz="4" w:space="0" w:color="auto"/>
            </w:tcBorders>
          </w:tcPr>
          <w:p w14:paraId="1C7A0530" w14:textId="77777777" w:rsidR="006E7A3D" w:rsidRPr="00ED4B62" w:rsidRDefault="006E7A3D" w:rsidP="006E7A3D">
            <w:pPr>
              <w:jc w:val="right"/>
              <w:rPr>
                <w:rFonts w:ascii="Calibri" w:hAnsi="Calibri" w:cs="Calibri"/>
                <w:color w:val="000000"/>
                <w:sz w:val="20"/>
                <w:szCs w:val="20"/>
              </w:rPr>
            </w:pPr>
          </w:p>
        </w:tc>
        <w:tc>
          <w:tcPr>
            <w:tcW w:w="918"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89AA81C" w14:textId="4EDB28AB" w:rsidR="006E7A3D" w:rsidRPr="00ED4B62" w:rsidRDefault="006E7A3D" w:rsidP="006E7A3D">
            <w:pPr>
              <w:jc w:val="right"/>
              <w:rPr>
                <w:rFonts w:ascii="Calibri" w:hAnsi="Calibri"/>
                <w:color w:val="000000"/>
                <w:sz w:val="20"/>
                <w:szCs w:val="20"/>
              </w:rPr>
            </w:pPr>
            <w:r w:rsidRPr="00ED4B62">
              <w:rPr>
                <w:rFonts w:ascii="Calibri" w:hAnsi="Calibri" w:cs="Calibri"/>
                <w:color w:val="000000"/>
                <w:sz w:val="20"/>
                <w:szCs w:val="20"/>
              </w:rPr>
              <w:t>9,</w:t>
            </w:r>
            <w:r w:rsidR="007A4C4D" w:rsidRPr="00ED4B62">
              <w:rPr>
                <w:rFonts w:ascii="Calibri" w:hAnsi="Calibri" w:cs="Calibri"/>
                <w:color w:val="000000"/>
                <w:sz w:val="20"/>
                <w:szCs w:val="20"/>
              </w:rPr>
              <w:t>831</w:t>
            </w:r>
            <w:r w:rsidRPr="00ED4B62">
              <w:rPr>
                <w:rFonts w:ascii="Calibri" w:hAnsi="Calibri" w:cs="Calibri"/>
                <w:color w:val="000000"/>
                <w:sz w:val="20"/>
                <w:szCs w:val="20"/>
              </w:rPr>
              <w:t xml:space="preserve"> </w:t>
            </w:r>
          </w:p>
        </w:tc>
      </w:tr>
      <w:tr w:rsidR="006E7A3D" w:rsidRPr="00ED4B62" w14:paraId="5EE2004A" w14:textId="552EA312" w:rsidTr="009C318C">
        <w:trPr>
          <w:trHeight w:val="750"/>
        </w:trPr>
        <w:tc>
          <w:tcPr>
            <w:tcW w:w="828" w:type="pct"/>
            <w:tcBorders>
              <w:top w:val="nil"/>
              <w:left w:val="nil"/>
              <w:bottom w:val="nil"/>
              <w:right w:val="nil"/>
            </w:tcBorders>
            <w:shd w:val="clear" w:color="auto" w:fill="auto"/>
            <w:noWrap/>
            <w:tcMar>
              <w:top w:w="15" w:type="dxa"/>
              <w:left w:w="15" w:type="dxa"/>
              <w:bottom w:w="0" w:type="dxa"/>
              <w:right w:w="15" w:type="dxa"/>
            </w:tcMar>
            <w:vAlign w:val="center"/>
            <w:hideMark/>
          </w:tcPr>
          <w:p w14:paraId="496F2E78" w14:textId="77777777" w:rsidR="006E7A3D" w:rsidRPr="00ED4B62" w:rsidRDefault="006E7A3D" w:rsidP="006E7A3D">
            <w:pPr>
              <w:rPr>
                <w:rFonts w:ascii="Calibri" w:hAnsi="Calibri"/>
                <w:color w:val="000000"/>
                <w:sz w:val="20"/>
                <w:szCs w:val="20"/>
              </w:rPr>
            </w:pPr>
            <w:r w:rsidRPr="00ED4B62">
              <w:rPr>
                <w:rFonts w:ascii="Calibri" w:hAnsi="Calibri"/>
                <w:color w:val="000000"/>
                <w:sz w:val="20"/>
                <w:szCs w:val="20"/>
              </w:rPr>
              <w:t>Hearings</w:t>
            </w:r>
          </w:p>
        </w:tc>
        <w:tc>
          <w:tcPr>
            <w:tcW w:w="960"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956872A" w14:textId="117411F1" w:rsidR="006E7A3D" w:rsidRPr="00ED4B62" w:rsidRDefault="006E7A3D" w:rsidP="006E7A3D">
            <w:pPr>
              <w:jc w:val="right"/>
              <w:rPr>
                <w:rFonts w:ascii="Calibri" w:hAnsi="Calibri"/>
                <w:color w:val="000000"/>
                <w:sz w:val="20"/>
                <w:szCs w:val="20"/>
              </w:rPr>
            </w:pPr>
            <w:r w:rsidRPr="00ED4B62">
              <w:rPr>
                <w:rFonts w:ascii="Calibri" w:hAnsi="Calibri" w:cs="Calibri"/>
                <w:color w:val="000000"/>
                <w:sz w:val="20"/>
                <w:szCs w:val="20"/>
              </w:rPr>
              <w:t xml:space="preserve">50 </w:t>
            </w:r>
          </w:p>
        </w:tc>
        <w:tc>
          <w:tcPr>
            <w:tcW w:w="918" w:type="pct"/>
            <w:tcBorders>
              <w:top w:val="nil"/>
              <w:left w:val="nil"/>
              <w:bottom w:val="nil"/>
              <w:right w:val="nil"/>
            </w:tcBorders>
            <w:shd w:val="clear" w:color="auto" w:fill="auto"/>
            <w:noWrap/>
            <w:tcMar>
              <w:top w:w="15" w:type="dxa"/>
              <w:left w:w="15" w:type="dxa"/>
              <w:bottom w:w="0" w:type="dxa"/>
              <w:right w:w="15" w:type="dxa"/>
            </w:tcMar>
            <w:vAlign w:val="center"/>
            <w:hideMark/>
          </w:tcPr>
          <w:p w14:paraId="178C28C2" w14:textId="0F913CA3" w:rsidR="006E7A3D" w:rsidRPr="00ED4B62" w:rsidRDefault="00482475" w:rsidP="006E7A3D">
            <w:pPr>
              <w:jc w:val="right"/>
              <w:rPr>
                <w:rFonts w:ascii="Calibri" w:hAnsi="Calibri"/>
                <w:color w:val="000000"/>
                <w:sz w:val="20"/>
                <w:szCs w:val="20"/>
              </w:rPr>
            </w:pPr>
            <w:r w:rsidRPr="00ED4B62">
              <w:rPr>
                <w:rFonts w:ascii="Calibri" w:hAnsi="Calibri" w:cs="Calibri"/>
                <w:color w:val="000000"/>
                <w:sz w:val="20"/>
                <w:szCs w:val="20"/>
              </w:rPr>
              <w:t>850</w:t>
            </w:r>
            <w:r w:rsidR="006E7A3D" w:rsidRPr="00ED4B62">
              <w:rPr>
                <w:rFonts w:ascii="Calibri" w:hAnsi="Calibri" w:cs="Calibri"/>
                <w:color w:val="000000"/>
                <w:sz w:val="20"/>
                <w:szCs w:val="20"/>
              </w:rPr>
              <w:t xml:space="preserve"> </w:t>
            </w:r>
          </w:p>
        </w:tc>
        <w:tc>
          <w:tcPr>
            <w:tcW w:w="1096" w:type="pct"/>
            <w:tcBorders>
              <w:top w:val="nil"/>
              <w:left w:val="nil"/>
              <w:bottom w:val="nil"/>
              <w:right w:val="nil"/>
            </w:tcBorders>
            <w:shd w:val="clear" w:color="auto" w:fill="auto"/>
            <w:noWrap/>
            <w:tcMar>
              <w:top w:w="15" w:type="dxa"/>
              <w:left w:w="15" w:type="dxa"/>
              <w:bottom w:w="0" w:type="dxa"/>
              <w:right w:w="15" w:type="dxa"/>
            </w:tcMar>
            <w:vAlign w:val="center"/>
            <w:hideMark/>
          </w:tcPr>
          <w:p w14:paraId="77044D6D" w14:textId="4077CC08" w:rsidR="006E7A3D" w:rsidRPr="00ED4B62" w:rsidRDefault="006E7A3D" w:rsidP="006E7A3D">
            <w:pPr>
              <w:jc w:val="right"/>
              <w:rPr>
                <w:rFonts w:ascii="Calibri" w:hAnsi="Calibri"/>
                <w:color w:val="000000"/>
                <w:sz w:val="20"/>
                <w:szCs w:val="20"/>
              </w:rPr>
            </w:pPr>
            <w:r w:rsidRPr="00ED4B62">
              <w:rPr>
                <w:rFonts w:ascii="Calibri" w:hAnsi="Calibri" w:cs="Calibri"/>
                <w:color w:val="000000"/>
                <w:sz w:val="20"/>
                <w:szCs w:val="20"/>
              </w:rPr>
              <w:t xml:space="preserve">144 </w:t>
            </w:r>
          </w:p>
        </w:tc>
        <w:tc>
          <w:tcPr>
            <w:tcW w:w="280" w:type="pct"/>
            <w:tcBorders>
              <w:top w:val="nil"/>
              <w:bottom w:val="nil"/>
              <w:right w:val="single" w:sz="4" w:space="0" w:color="auto"/>
            </w:tcBorders>
          </w:tcPr>
          <w:p w14:paraId="000367D4" w14:textId="77777777" w:rsidR="006E7A3D" w:rsidRPr="00ED4B62" w:rsidRDefault="006E7A3D" w:rsidP="006E7A3D">
            <w:pPr>
              <w:jc w:val="right"/>
              <w:rPr>
                <w:rFonts w:ascii="Calibri" w:hAnsi="Calibri" w:cs="Calibri"/>
                <w:color w:val="000000"/>
                <w:sz w:val="20"/>
                <w:szCs w:val="20"/>
              </w:rPr>
            </w:pPr>
          </w:p>
        </w:tc>
        <w:tc>
          <w:tcPr>
            <w:tcW w:w="918"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7B1B3C37" w14:textId="0ED1AE2B" w:rsidR="006E7A3D" w:rsidRPr="00ED4B62" w:rsidRDefault="00482475" w:rsidP="006E7A3D">
            <w:pPr>
              <w:jc w:val="right"/>
              <w:rPr>
                <w:rFonts w:ascii="Calibri" w:hAnsi="Calibri"/>
                <w:color w:val="000000"/>
                <w:sz w:val="20"/>
                <w:szCs w:val="20"/>
              </w:rPr>
            </w:pPr>
            <w:r w:rsidRPr="00ED4B62">
              <w:rPr>
                <w:rFonts w:ascii="Calibri" w:hAnsi="Calibri" w:cs="Calibri"/>
                <w:color w:val="000000"/>
                <w:sz w:val="20"/>
                <w:szCs w:val="20"/>
              </w:rPr>
              <w:t>1,044</w:t>
            </w:r>
          </w:p>
        </w:tc>
      </w:tr>
      <w:tr w:rsidR="006E7A3D" w:rsidRPr="00ED4B62" w14:paraId="284A655B" w14:textId="0BA949AD" w:rsidTr="00D63A81">
        <w:trPr>
          <w:trHeight w:val="750"/>
        </w:trPr>
        <w:tc>
          <w:tcPr>
            <w:tcW w:w="82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320FE5" w14:textId="77777777" w:rsidR="006E7A3D" w:rsidRPr="00ED4B62" w:rsidRDefault="006E7A3D" w:rsidP="006E7A3D">
            <w:pPr>
              <w:rPr>
                <w:rFonts w:ascii="Calibri" w:hAnsi="Calibri"/>
                <w:color w:val="000000"/>
                <w:sz w:val="20"/>
                <w:szCs w:val="20"/>
              </w:rPr>
            </w:pPr>
            <w:r w:rsidRPr="00ED4B62">
              <w:rPr>
                <w:rFonts w:ascii="Calibri" w:hAnsi="Calibri"/>
                <w:color w:val="000000"/>
                <w:sz w:val="20"/>
                <w:szCs w:val="20"/>
              </w:rPr>
              <w:t>Inquiries</w:t>
            </w:r>
          </w:p>
        </w:tc>
        <w:tc>
          <w:tcPr>
            <w:tcW w:w="960"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E988514" w14:textId="4CC65800" w:rsidR="006E7A3D" w:rsidRPr="00ED4B62" w:rsidRDefault="006E7A3D" w:rsidP="006E7A3D">
            <w:pPr>
              <w:jc w:val="right"/>
              <w:rPr>
                <w:rFonts w:ascii="Calibri" w:hAnsi="Calibri"/>
                <w:color w:val="000000"/>
                <w:sz w:val="20"/>
                <w:szCs w:val="20"/>
              </w:rPr>
            </w:pPr>
            <w:r w:rsidRPr="00ED4B62">
              <w:rPr>
                <w:rFonts w:ascii="Calibri" w:hAnsi="Calibri" w:cs="Calibri"/>
                <w:color w:val="000000"/>
                <w:sz w:val="20"/>
                <w:szCs w:val="20"/>
              </w:rPr>
              <w:t xml:space="preserve"> 4 </w:t>
            </w:r>
          </w:p>
        </w:tc>
        <w:tc>
          <w:tcPr>
            <w:tcW w:w="91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3635A5" w14:textId="702AE219" w:rsidR="006E7A3D" w:rsidRPr="00ED4B62" w:rsidRDefault="006E7A3D" w:rsidP="006E7A3D">
            <w:pPr>
              <w:jc w:val="right"/>
              <w:rPr>
                <w:rFonts w:ascii="Calibri" w:hAnsi="Calibri"/>
                <w:color w:val="000000"/>
                <w:sz w:val="20"/>
                <w:szCs w:val="20"/>
              </w:rPr>
            </w:pPr>
            <w:r w:rsidRPr="00ED4B62">
              <w:rPr>
                <w:rFonts w:ascii="Calibri" w:hAnsi="Calibri" w:cs="Calibri"/>
                <w:color w:val="000000"/>
                <w:sz w:val="20"/>
                <w:szCs w:val="20"/>
              </w:rPr>
              <w:t xml:space="preserve">601 </w:t>
            </w:r>
          </w:p>
        </w:tc>
        <w:tc>
          <w:tcPr>
            <w:tcW w:w="109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B4CB90" w14:textId="3830BAB7" w:rsidR="006E7A3D" w:rsidRPr="00ED4B62" w:rsidRDefault="006E7A3D" w:rsidP="006E7A3D">
            <w:pPr>
              <w:jc w:val="right"/>
              <w:rPr>
                <w:rFonts w:ascii="Calibri" w:hAnsi="Calibri"/>
                <w:color w:val="000000"/>
                <w:sz w:val="20"/>
                <w:szCs w:val="20"/>
              </w:rPr>
            </w:pPr>
            <w:r w:rsidRPr="00ED4B62">
              <w:rPr>
                <w:rFonts w:ascii="Calibri" w:hAnsi="Calibri" w:cs="Calibri"/>
                <w:color w:val="000000"/>
                <w:sz w:val="20"/>
                <w:szCs w:val="20"/>
              </w:rPr>
              <w:t xml:space="preserve">  129 </w:t>
            </w:r>
          </w:p>
        </w:tc>
        <w:tc>
          <w:tcPr>
            <w:tcW w:w="280" w:type="pct"/>
            <w:tcBorders>
              <w:top w:val="nil"/>
              <w:bottom w:val="single" w:sz="4" w:space="0" w:color="auto"/>
              <w:right w:val="single" w:sz="4" w:space="0" w:color="auto"/>
            </w:tcBorders>
          </w:tcPr>
          <w:p w14:paraId="5B296117" w14:textId="77777777" w:rsidR="006E7A3D" w:rsidRPr="00ED4B62" w:rsidRDefault="006E7A3D" w:rsidP="006E7A3D">
            <w:pPr>
              <w:jc w:val="right"/>
              <w:rPr>
                <w:rFonts w:ascii="Calibri" w:hAnsi="Calibri" w:cs="Calibri"/>
                <w:color w:val="000000"/>
                <w:sz w:val="20"/>
                <w:szCs w:val="20"/>
              </w:rPr>
            </w:pPr>
          </w:p>
        </w:tc>
        <w:tc>
          <w:tcPr>
            <w:tcW w:w="918"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0F23E3C" w14:textId="48B41930" w:rsidR="006E7A3D" w:rsidRPr="00ED4B62" w:rsidRDefault="006E7A3D" w:rsidP="006E7A3D">
            <w:pPr>
              <w:jc w:val="right"/>
              <w:rPr>
                <w:rFonts w:ascii="Calibri" w:hAnsi="Calibri"/>
                <w:color w:val="000000"/>
                <w:sz w:val="20"/>
                <w:szCs w:val="20"/>
              </w:rPr>
            </w:pPr>
            <w:r w:rsidRPr="00ED4B62">
              <w:rPr>
                <w:rFonts w:ascii="Calibri" w:hAnsi="Calibri" w:cs="Calibri"/>
                <w:color w:val="000000"/>
                <w:sz w:val="20"/>
                <w:szCs w:val="20"/>
              </w:rPr>
              <w:t xml:space="preserve">734 </w:t>
            </w:r>
          </w:p>
        </w:tc>
      </w:tr>
      <w:tr w:rsidR="00EE5905" w14:paraId="1632ED13" w14:textId="7A3E1130" w:rsidTr="00D63A81">
        <w:trPr>
          <w:trHeight w:val="750"/>
        </w:trPr>
        <w:tc>
          <w:tcPr>
            <w:tcW w:w="828" w:type="pct"/>
            <w:tcBorders>
              <w:top w:val="nil"/>
              <w:left w:val="nil"/>
              <w:bottom w:val="nil"/>
              <w:right w:val="nil"/>
            </w:tcBorders>
            <w:shd w:val="clear" w:color="auto" w:fill="auto"/>
            <w:noWrap/>
            <w:tcMar>
              <w:top w:w="15" w:type="dxa"/>
              <w:left w:w="15" w:type="dxa"/>
              <w:bottom w:w="0" w:type="dxa"/>
              <w:right w:w="15" w:type="dxa"/>
            </w:tcMar>
            <w:vAlign w:val="center"/>
            <w:hideMark/>
          </w:tcPr>
          <w:p w14:paraId="491F1A91" w14:textId="77777777" w:rsidR="00EE5905" w:rsidRPr="00ED4B62" w:rsidRDefault="00EE5905" w:rsidP="00EE5905">
            <w:pPr>
              <w:rPr>
                <w:rFonts w:ascii="Calibri" w:hAnsi="Calibri"/>
                <w:color w:val="000000"/>
                <w:sz w:val="20"/>
                <w:szCs w:val="20"/>
              </w:rPr>
            </w:pPr>
            <w:r w:rsidRPr="00ED4B62">
              <w:rPr>
                <w:rFonts w:ascii="Calibri" w:hAnsi="Calibri"/>
                <w:color w:val="000000"/>
                <w:sz w:val="20"/>
                <w:szCs w:val="20"/>
              </w:rPr>
              <w:t>Total</w:t>
            </w:r>
          </w:p>
        </w:tc>
        <w:tc>
          <w:tcPr>
            <w:tcW w:w="960" w:type="pct"/>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14:paraId="494B0398" w14:textId="1E6AEF21" w:rsidR="00EE5905" w:rsidRPr="00ED4B62" w:rsidRDefault="00EE5905" w:rsidP="00EE5905">
            <w:pPr>
              <w:jc w:val="right"/>
              <w:rPr>
                <w:rFonts w:ascii="Calibri" w:hAnsi="Calibri"/>
                <w:color w:val="000000"/>
                <w:sz w:val="20"/>
                <w:szCs w:val="20"/>
              </w:rPr>
            </w:pPr>
            <w:r w:rsidRPr="00ED4B62">
              <w:rPr>
                <w:rFonts w:ascii="Calibri" w:hAnsi="Calibri" w:cs="Calibri"/>
                <w:color w:val="000000"/>
                <w:sz w:val="20"/>
                <w:szCs w:val="20"/>
              </w:rPr>
              <w:t xml:space="preserve">  734 </w:t>
            </w:r>
          </w:p>
        </w:tc>
        <w:tc>
          <w:tcPr>
            <w:tcW w:w="918"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DD5ACAB" w14:textId="32F7925B" w:rsidR="00EE5905" w:rsidRPr="00ED4B62" w:rsidRDefault="00467167" w:rsidP="00EE5905">
            <w:pPr>
              <w:jc w:val="right"/>
              <w:rPr>
                <w:rFonts w:ascii="Calibri" w:hAnsi="Calibri"/>
                <w:color w:val="000000"/>
                <w:sz w:val="20"/>
                <w:szCs w:val="20"/>
              </w:rPr>
            </w:pPr>
            <w:r w:rsidRPr="00ED4B62">
              <w:rPr>
                <w:rFonts w:ascii="Calibri" w:hAnsi="Calibri" w:cs="Calibri"/>
                <w:color w:val="000000"/>
                <w:sz w:val="20"/>
                <w:szCs w:val="20"/>
              </w:rPr>
              <w:t>9,28</w:t>
            </w:r>
            <w:r w:rsidR="009C75E0" w:rsidRPr="00ED4B62">
              <w:rPr>
                <w:rFonts w:ascii="Calibri" w:hAnsi="Calibri" w:cs="Calibri"/>
                <w:color w:val="000000"/>
                <w:sz w:val="20"/>
                <w:szCs w:val="20"/>
              </w:rPr>
              <w:t>9</w:t>
            </w:r>
            <w:r w:rsidR="00EE5905" w:rsidRPr="00ED4B62">
              <w:rPr>
                <w:rFonts w:ascii="Calibri" w:hAnsi="Calibri" w:cs="Calibri"/>
                <w:color w:val="000000"/>
                <w:sz w:val="20"/>
                <w:szCs w:val="20"/>
              </w:rPr>
              <w:t xml:space="preserve"> </w:t>
            </w:r>
          </w:p>
        </w:tc>
        <w:tc>
          <w:tcPr>
            <w:tcW w:w="1096" w:type="pct"/>
            <w:tcBorders>
              <w:top w:val="single" w:sz="4" w:space="0" w:color="auto"/>
              <w:left w:val="nil"/>
              <w:bottom w:val="nil"/>
            </w:tcBorders>
            <w:shd w:val="clear" w:color="auto" w:fill="auto"/>
            <w:noWrap/>
            <w:tcMar>
              <w:top w:w="15" w:type="dxa"/>
              <w:left w:w="15" w:type="dxa"/>
              <w:bottom w:w="0" w:type="dxa"/>
              <w:right w:w="15" w:type="dxa"/>
            </w:tcMar>
            <w:vAlign w:val="center"/>
            <w:hideMark/>
          </w:tcPr>
          <w:p w14:paraId="694DFCC7" w14:textId="1125DCF8" w:rsidR="00EE5905" w:rsidRPr="00ED4B62" w:rsidRDefault="00467167" w:rsidP="00EE5905">
            <w:pPr>
              <w:jc w:val="right"/>
              <w:rPr>
                <w:rFonts w:ascii="Calibri" w:hAnsi="Calibri"/>
                <w:color w:val="000000"/>
                <w:sz w:val="20"/>
                <w:szCs w:val="20"/>
              </w:rPr>
            </w:pPr>
            <w:r w:rsidRPr="00ED4B62">
              <w:rPr>
                <w:rFonts w:ascii="Calibri" w:hAnsi="Calibri" w:cs="Calibri"/>
                <w:color w:val="000000"/>
                <w:sz w:val="20"/>
                <w:szCs w:val="20"/>
              </w:rPr>
              <w:t>1,70</w:t>
            </w:r>
            <w:r w:rsidR="005764FC" w:rsidRPr="00ED4B62">
              <w:rPr>
                <w:rFonts w:ascii="Calibri" w:hAnsi="Calibri" w:cs="Calibri"/>
                <w:color w:val="000000"/>
                <w:sz w:val="20"/>
                <w:szCs w:val="20"/>
              </w:rPr>
              <w:t>2</w:t>
            </w:r>
          </w:p>
        </w:tc>
        <w:tc>
          <w:tcPr>
            <w:tcW w:w="280" w:type="pct"/>
            <w:tcBorders>
              <w:top w:val="single" w:sz="4" w:space="0" w:color="auto"/>
              <w:bottom w:val="nil"/>
              <w:right w:val="single" w:sz="4" w:space="0" w:color="auto"/>
            </w:tcBorders>
          </w:tcPr>
          <w:p w14:paraId="51250EB3" w14:textId="77777777" w:rsidR="00EE5905" w:rsidRPr="00ED4B62" w:rsidRDefault="00EE5905" w:rsidP="00EE5905">
            <w:pPr>
              <w:jc w:val="right"/>
              <w:rPr>
                <w:rFonts w:ascii="Calibri" w:hAnsi="Calibri" w:cs="Calibri"/>
                <w:color w:val="000000"/>
                <w:sz w:val="20"/>
                <w:szCs w:val="20"/>
              </w:rPr>
            </w:pPr>
          </w:p>
        </w:tc>
        <w:tc>
          <w:tcPr>
            <w:tcW w:w="918"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6FE74445" w14:textId="51474FAD" w:rsidR="00EE5905" w:rsidRPr="001B230A" w:rsidRDefault="006E7A3D" w:rsidP="00EE5905">
            <w:pPr>
              <w:jc w:val="right"/>
              <w:rPr>
                <w:rFonts w:ascii="Calibri" w:hAnsi="Calibri"/>
                <w:color w:val="000000"/>
                <w:sz w:val="20"/>
                <w:szCs w:val="20"/>
              </w:rPr>
            </w:pPr>
            <w:r w:rsidRPr="00ED4B62">
              <w:rPr>
                <w:rFonts w:ascii="Calibri" w:hAnsi="Calibri" w:cs="Calibri"/>
                <w:color w:val="000000"/>
                <w:sz w:val="20"/>
                <w:szCs w:val="20"/>
              </w:rPr>
              <w:t>11,</w:t>
            </w:r>
            <w:r w:rsidR="00D06B1F" w:rsidRPr="00ED4B62">
              <w:rPr>
                <w:rFonts w:ascii="Calibri" w:hAnsi="Calibri" w:cs="Calibri"/>
                <w:color w:val="000000"/>
                <w:sz w:val="20"/>
                <w:szCs w:val="20"/>
              </w:rPr>
              <w:t>725</w:t>
            </w:r>
            <w:r w:rsidR="00EE5905" w:rsidRPr="001B230A">
              <w:rPr>
                <w:rFonts w:ascii="Calibri" w:hAnsi="Calibri" w:cs="Calibri"/>
                <w:color w:val="000000"/>
                <w:sz w:val="20"/>
                <w:szCs w:val="20"/>
              </w:rPr>
              <w:t xml:space="preserve"> </w:t>
            </w:r>
          </w:p>
        </w:tc>
      </w:tr>
    </w:tbl>
    <w:p w14:paraId="7BAD25CE" w14:textId="34896C5E" w:rsidR="006A3227" w:rsidRDefault="006A3227" w:rsidP="006A3227">
      <w:pPr>
        <w:spacing w:line="256" w:lineRule="auto"/>
        <w:rPr>
          <w:rFonts w:ascii="Helvetica" w:hAnsi="Helvetica" w:cs="Helvetica"/>
          <w:sz w:val="18"/>
          <w:szCs w:val="18"/>
        </w:rPr>
      </w:pPr>
      <w:r w:rsidRPr="001E6970">
        <w:rPr>
          <w:rFonts w:ascii="Helvetica" w:hAnsi="Helvetica" w:cs="Helvetica"/>
          <w:sz w:val="18"/>
          <w:szCs w:val="18"/>
        </w:rPr>
        <w:t>Source: Horizon</w:t>
      </w:r>
    </w:p>
    <w:p w14:paraId="72BBEDD1" w14:textId="3ECACACD" w:rsidR="00B954AB" w:rsidRPr="001E6970" w:rsidRDefault="00B954AB" w:rsidP="006A3227">
      <w:pPr>
        <w:spacing w:line="256" w:lineRule="auto"/>
        <w:rPr>
          <w:rFonts w:ascii="Helvetica" w:hAnsi="Helvetica" w:cs="Helvetica"/>
          <w:color w:val="FF0000"/>
          <w:sz w:val="18"/>
          <w:szCs w:val="18"/>
        </w:rPr>
      </w:pPr>
      <w:r>
        <w:rPr>
          <w:rFonts w:ascii="Helvetica" w:hAnsi="Helvetica" w:cs="Helvetica"/>
          <w:sz w:val="18"/>
          <w:szCs w:val="18"/>
        </w:rPr>
        <w:t xml:space="preserve">Note there are </w:t>
      </w:r>
      <w:r w:rsidR="005E2D25">
        <w:rPr>
          <w:rFonts w:ascii="Helvetica" w:hAnsi="Helvetica" w:cs="Helvetica"/>
          <w:sz w:val="18"/>
          <w:szCs w:val="18"/>
        </w:rPr>
        <w:t>116</w:t>
      </w:r>
      <w:r>
        <w:rPr>
          <w:rFonts w:ascii="Helvetica" w:hAnsi="Helvetica" w:cs="Helvetica"/>
          <w:sz w:val="18"/>
          <w:szCs w:val="18"/>
        </w:rPr>
        <w:t xml:space="preserve"> cases that have no procedure type recorded (see Background Quality Report for more detail)</w:t>
      </w:r>
      <w:r w:rsidR="00D8576C">
        <w:rPr>
          <w:rFonts w:ascii="Helvetica" w:hAnsi="Helvetica" w:cs="Helvetica"/>
          <w:sz w:val="18"/>
          <w:szCs w:val="18"/>
        </w:rPr>
        <w:t xml:space="preserve"> These are included in the total row but </w:t>
      </w:r>
      <w:r w:rsidR="005F5D72">
        <w:rPr>
          <w:rFonts w:ascii="Helvetica" w:hAnsi="Helvetica" w:cs="Helvetica"/>
          <w:sz w:val="18"/>
          <w:szCs w:val="18"/>
        </w:rPr>
        <w:t xml:space="preserve">excluded from </w:t>
      </w:r>
      <w:r w:rsidR="006307EF">
        <w:rPr>
          <w:rFonts w:ascii="Helvetica" w:hAnsi="Helvetica" w:cs="Helvetica"/>
          <w:sz w:val="18"/>
          <w:szCs w:val="18"/>
        </w:rPr>
        <w:t>the breakdo</w:t>
      </w:r>
      <w:r w:rsidR="00ED4B62">
        <w:rPr>
          <w:rFonts w:ascii="Helvetica" w:hAnsi="Helvetica" w:cs="Helvetica"/>
          <w:sz w:val="18"/>
          <w:szCs w:val="18"/>
        </w:rPr>
        <w:t>wn by procedure.</w:t>
      </w:r>
    </w:p>
    <w:p w14:paraId="2080E319" w14:textId="77777777" w:rsidR="006A3227" w:rsidRPr="00176D9D" w:rsidRDefault="006A3227" w:rsidP="006A3227">
      <w:pPr>
        <w:tabs>
          <w:tab w:val="left" w:pos="6319"/>
        </w:tabs>
        <w:spacing w:line="256" w:lineRule="auto"/>
        <w:rPr>
          <w:rFonts w:ascii="Helvetica" w:eastAsia="Calibri"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firstRow="1" w:lastRow="0" w:firstColumn="1" w:lastColumn="0" w:noHBand="0" w:noVBand="1"/>
      </w:tblPr>
      <w:tblGrid>
        <w:gridCol w:w="9629"/>
      </w:tblGrid>
      <w:tr w:rsidR="006A3227" w:rsidRPr="00C856F2" w14:paraId="7000E8DF" w14:textId="77777777" w:rsidTr="00C856F2">
        <w:tc>
          <w:tcPr>
            <w:tcW w:w="9629" w:type="dxa"/>
            <w:shd w:val="clear" w:color="auto" w:fill="009999"/>
          </w:tcPr>
          <w:p w14:paraId="0B950C2E" w14:textId="77777777" w:rsidR="006A3227" w:rsidRPr="00C856F2" w:rsidRDefault="006A3227" w:rsidP="00C856F2">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In</w:t>
            </w:r>
            <w:r w:rsidRPr="009A1BE5">
              <w:rPr>
                <w:rFonts w:ascii="Helvetica" w:eastAsia="Verdana" w:hAnsi="Helvetica" w:cs="Helvetica"/>
                <w:b/>
                <w:bCs/>
                <w:color w:val="FFFFFF"/>
                <w:sz w:val="28"/>
                <w:szCs w:val="28"/>
              </w:rPr>
              <w:t>spectors</w:t>
            </w:r>
          </w:p>
        </w:tc>
      </w:tr>
    </w:tbl>
    <w:p w14:paraId="6DF29AA3" w14:textId="77777777" w:rsidR="006A3227" w:rsidRDefault="006A3227" w:rsidP="006A3227">
      <w:pPr>
        <w:tabs>
          <w:tab w:val="left" w:pos="6319"/>
        </w:tabs>
        <w:spacing w:line="256" w:lineRule="auto"/>
        <w:rPr>
          <w:rFonts w:ascii="Helvetica" w:eastAsia="Calibri" w:hAnsi="Helvetica" w:cs="Helvetica"/>
        </w:rPr>
      </w:pPr>
    </w:p>
    <w:p w14:paraId="4CCC5506" w14:textId="6BA53C35" w:rsidR="00905181" w:rsidRPr="003755FE" w:rsidRDefault="006A3227" w:rsidP="00931A48">
      <w:pPr>
        <w:jc w:val="both"/>
        <w:rPr>
          <w:rFonts w:ascii="Helvetica" w:eastAsia="Calibri" w:hAnsi="Helvetica" w:cs="Helvetica"/>
        </w:rPr>
      </w:pPr>
      <w:r w:rsidRPr="003755FE">
        <w:rPr>
          <w:rFonts w:ascii="Helvetica" w:eastAsia="Calibri" w:hAnsi="Helvetica" w:cs="Helvetica"/>
        </w:rPr>
        <w:t xml:space="preserve">Table </w:t>
      </w:r>
      <w:r w:rsidR="009602CE" w:rsidRPr="003755FE">
        <w:rPr>
          <w:rFonts w:ascii="Helvetica" w:eastAsia="Calibri" w:hAnsi="Helvetica" w:cs="Helvetica"/>
        </w:rPr>
        <w:t>11</w:t>
      </w:r>
      <w:r w:rsidRPr="003755FE">
        <w:rPr>
          <w:rFonts w:ascii="Helvetica" w:eastAsia="Calibri" w:hAnsi="Helvetica" w:cs="Helvetica"/>
        </w:rPr>
        <w:t xml:space="preserve"> below shows the number of inspectors in the Planning Inspectorate in each month from </w:t>
      </w:r>
      <w:r w:rsidR="0049374A">
        <w:rPr>
          <w:rFonts w:ascii="Helvetica" w:eastAsia="Calibri" w:hAnsi="Helvetica" w:cs="Helvetica"/>
        </w:rPr>
        <w:t>June</w:t>
      </w:r>
      <w:r w:rsidR="0099429C" w:rsidRPr="003755FE">
        <w:rPr>
          <w:rFonts w:ascii="Helvetica" w:eastAsia="Calibri" w:hAnsi="Helvetica" w:cs="Helvetica"/>
        </w:rPr>
        <w:t xml:space="preserve"> 20 and </w:t>
      </w:r>
      <w:r w:rsidR="0049374A">
        <w:rPr>
          <w:rFonts w:ascii="Helvetica" w:eastAsia="Calibri" w:hAnsi="Helvetica" w:cs="Helvetica"/>
        </w:rPr>
        <w:t>May</w:t>
      </w:r>
      <w:r w:rsidR="0099429C" w:rsidRPr="003755FE">
        <w:rPr>
          <w:rFonts w:ascii="Helvetica" w:eastAsia="Calibri" w:hAnsi="Helvetica" w:cs="Helvetica"/>
        </w:rPr>
        <w:t xml:space="preserve"> 21</w:t>
      </w:r>
      <w:r w:rsidR="00D82B0C" w:rsidRPr="003755FE">
        <w:rPr>
          <w:rStyle w:val="FootnoteReference"/>
          <w:rFonts w:ascii="Helvetica" w:eastAsia="Calibri" w:hAnsi="Helvetica" w:cs="Helvetica"/>
        </w:rPr>
        <w:footnoteReference w:id="14"/>
      </w:r>
      <w:r w:rsidRPr="003755FE">
        <w:rPr>
          <w:rFonts w:ascii="Helvetica" w:eastAsia="Calibri" w:hAnsi="Helvetica" w:cs="Helvetica"/>
        </w:rPr>
        <w:t>. This include</w:t>
      </w:r>
      <w:r w:rsidR="00CA6314" w:rsidRPr="003755FE">
        <w:rPr>
          <w:rFonts w:ascii="Helvetica" w:eastAsia="Calibri" w:hAnsi="Helvetica" w:cs="Helvetica"/>
        </w:rPr>
        <w:t>s</w:t>
      </w:r>
      <w:r w:rsidRPr="003755FE">
        <w:rPr>
          <w:rFonts w:ascii="Helvetica" w:eastAsia="Calibri" w:hAnsi="Helvetica" w:cs="Helvetica"/>
        </w:rPr>
        <w:t xml:space="preserve"> headcount (i.e. the number of different individuals) and full-time equivalents (FTE) where those working part time are counted in proportion with their contracted hours.</w:t>
      </w:r>
      <w:r w:rsidR="00905181" w:rsidRPr="003755FE">
        <w:rPr>
          <w:rFonts w:ascii="Helvetica" w:eastAsia="Calibri" w:hAnsi="Helvetica" w:cs="Helvetica"/>
        </w:rPr>
        <w:t xml:space="preserve"> There were 3</w:t>
      </w:r>
      <w:r w:rsidR="00DA718E">
        <w:rPr>
          <w:rFonts w:ascii="Helvetica" w:eastAsia="Calibri" w:hAnsi="Helvetica" w:cs="Helvetica"/>
        </w:rPr>
        <w:t>5</w:t>
      </w:r>
      <w:r w:rsidR="0092544A">
        <w:rPr>
          <w:rFonts w:ascii="Helvetica" w:eastAsia="Calibri" w:hAnsi="Helvetica" w:cs="Helvetica"/>
        </w:rPr>
        <w:t>3</w:t>
      </w:r>
      <w:r w:rsidR="00905181" w:rsidRPr="003755FE">
        <w:rPr>
          <w:rFonts w:ascii="Helvetica" w:eastAsia="Calibri" w:hAnsi="Helvetica" w:cs="Helvetica"/>
        </w:rPr>
        <w:t xml:space="preserve"> Planning Inspectors employed by the Inspectorate in </w:t>
      </w:r>
      <w:r w:rsidR="0092544A">
        <w:rPr>
          <w:rFonts w:ascii="Helvetica" w:eastAsia="Calibri" w:hAnsi="Helvetica" w:cs="Helvetica"/>
        </w:rPr>
        <w:t>May</w:t>
      </w:r>
      <w:r w:rsidR="00152C64" w:rsidRPr="003755FE">
        <w:rPr>
          <w:rFonts w:ascii="Helvetica" w:eastAsia="Calibri" w:hAnsi="Helvetica" w:cs="Helvetica"/>
        </w:rPr>
        <w:t xml:space="preserve"> 21</w:t>
      </w:r>
      <w:r w:rsidR="00905181" w:rsidRPr="003755FE">
        <w:rPr>
          <w:rFonts w:ascii="Helvetica" w:eastAsia="Calibri" w:hAnsi="Helvetica" w:cs="Helvetica"/>
        </w:rPr>
        <w:t xml:space="preserve"> – with a full-time equivalent of </w:t>
      </w:r>
      <w:r w:rsidR="00E52A39">
        <w:rPr>
          <w:rFonts w:ascii="Helvetica" w:eastAsia="Calibri" w:hAnsi="Helvetica" w:cs="Helvetica"/>
        </w:rPr>
        <w:t>31</w:t>
      </w:r>
      <w:r w:rsidR="0092544A">
        <w:rPr>
          <w:rFonts w:ascii="Helvetica" w:eastAsia="Calibri" w:hAnsi="Helvetica" w:cs="Helvetica"/>
        </w:rPr>
        <w:t>4.4</w:t>
      </w:r>
      <w:r w:rsidR="00905181" w:rsidRPr="003755FE">
        <w:rPr>
          <w:rFonts w:ascii="Helvetica" w:eastAsia="Calibri" w:hAnsi="Helvetica" w:cs="Helvetica"/>
        </w:rPr>
        <w:t>.</w:t>
      </w:r>
      <w:r w:rsidR="00961AD2">
        <w:rPr>
          <w:rFonts w:ascii="Helvetica" w:eastAsia="Calibri" w:hAnsi="Helvetica" w:cs="Helvetica"/>
        </w:rPr>
        <w:t xml:space="preserve">  </w:t>
      </w:r>
    </w:p>
    <w:p w14:paraId="568711DD" w14:textId="77777777" w:rsidR="006A3227" w:rsidRPr="003755FE" w:rsidRDefault="006A3227" w:rsidP="00931A48">
      <w:pPr>
        <w:tabs>
          <w:tab w:val="left" w:pos="6319"/>
        </w:tabs>
        <w:spacing w:line="256" w:lineRule="auto"/>
        <w:jc w:val="both"/>
        <w:rPr>
          <w:rFonts w:ascii="Helvetica" w:eastAsia="Calibri" w:hAnsi="Helvetica" w:cs="Helvetica"/>
        </w:rPr>
      </w:pPr>
    </w:p>
    <w:p w14:paraId="1A212CDF" w14:textId="38858720" w:rsidR="003755FE" w:rsidRPr="003755FE" w:rsidRDefault="006A3227" w:rsidP="00931A48">
      <w:pPr>
        <w:tabs>
          <w:tab w:val="left" w:pos="6319"/>
        </w:tabs>
        <w:spacing w:line="256" w:lineRule="auto"/>
        <w:jc w:val="both"/>
        <w:rPr>
          <w:rFonts w:ascii="Helvetica" w:eastAsia="Calibri" w:hAnsi="Helvetica" w:cs="Helvetica"/>
        </w:rPr>
      </w:pPr>
      <w:r w:rsidRPr="003755FE">
        <w:rPr>
          <w:rFonts w:ascii="Helvetica" w:eastAsia="Calibri" w:hAnsi="Helvetica" w:cs="Helvetica"/>
        </w:rPr>
        <w:t xml:space="preserve">By both measures (headcount and FTE) the maximum Inspector resource </w:t>
      </w:r>
      <w:r w:rsidR="00241E76">
        <w:rPr>
          <w:rFonts w:ascii="Helvetica" w:eastAsia="Calibri" w:hAnsi="Helvetica" w:cs="Helvetica"/>
        </w:rPr>
        <w:t xml:space="preserve">in the last 12 months </w:t>
      </w:r>
      <w:r w:rsidRPr="003755FE">
        <w:rPr>
          <w:rFonts w:ascii="Helvetica" w:eastAsia="Calibri" w:hAnsi="Helvetica" w:cs="Helvetica"/>
        </w:rPr>
        <w:t xml:space="preserve">was in </w:t>
      </w:r>
      <w:r w:rsidR="0092544A">
        <w:rPr>
          <w:rFonts w:ascii="Helvetica" w:eastAsia="Calibri" w:hAnsi="Helvetica" w:cs="Helvetica"/>
        </w:rPr>
        <w:t>June</w:t>
      </w:r>
      <w:r w:rsidRPr="003755FE">
        <w:rPr>
          <w:rFonts w:ascii="Helvetica" w:eastAsia="Calibri" w:hAnsi="Helvetica" w:cs="Helvetica"/>
        </w:rPr>
        <w:t xml:space="preserve"> 20; and by both, the number at the </w:t>
      </w:r>
      <w:r w:rsidR="00C82BB8" w:rsidRPr="003755FE">
        <w:rPr>
          <w:rFonts w:ascii="Helvetica" w:eastAsia="Calibri" w:hAnsi="Helvetica" w:cs="Helvetica"/>
        </w:rPr>
        <w:t>end</w:t>
      </w:r>
      <w:r w:rsidRPr="003755FE">
        <w:rPr>
          <w:rFonts w:ascii="Helvetica" w:eastAsia="Calibri" w:hAnsi="Helvetica" w:cs="Helvetica"/>
        </w:rPr>
        <w:t xml:space="preserve"> of </w:t>
      </w:r>
      <w:r w:rsidR="00A13A6B" w:rsidRPr="003755FE">
        <w:rPr>
          <w:rFonts w:ascii="Helvetica" w:eastAsia="Calibri" w:hAnsi="Helvetica" w:cs="Helvetica"/>
        </w:rPr>
        <w:t>Jan</w:t>
      </w:r>
      <w:r w:rsidR="0058791A">
        <w:rPr>
          <w:rFonts w:ascii="Helvetica" w:eastAsia="Calibri" w:hAnsi="Helvetica" w:cs="Helvetica"/>
        </w:rPr>
        <w:t>uary</w:t>
      </w:r>
      <w:r w:rsidR="00A13A6B" w:rsidRPr="003755FE">
        <w:rPr>
          <w:rFonts w:ascii="Helvetica" w:eastAsia="Calibri" w:hAnsi="Helvetica" w:cs="Helvetica"/>
        </w:rPr>
        <w:t xml:space="preserve"> 21 </w:t>
      </w:r>
      <w:r w:rsidRPr="003755FE">
        <w:rPr>
          <w:rFonts w:ascii="Helvetica" w:eastAsia="Calibri" w:hAnsi="Helvetica" w:cs="Helvetica"/>
        </w:rPr>
        <w:t xml:space="preserve">was </w:t>
      </w:r>
      <w:r w:rsidR="00A13A6B" w:rsidRPr="003755FE">
        <w:rPr>
          <w:rFonts w:ascii="Helvetica" w:eastAsia="Calibri" w:hAnsi="Helvetica" w:cs="Helvetica"/>
        </w:rPr>
        <w:t>the lowest</w:t>
      </w:r>
      <w:r w:rsidR="003755FE" w:rsidRPr="003755FE">
        <w:rPr>
          <w:rFonts w:ascii="Helvetica" w:eastAsia="Calibri" w:hAnsi="Helvetica" w:cs="Helvetica"/>
        </w:rPr>
        <w:t>.</w:t>
      </w:r>
    </w:p>
    <w:p w14:paraId="277288AA" w14:textId="77777777" w:rsidR="006A3227" w:rsidRPr="00306433" w:rsidRDefault="006A3227" w:rsidP="00931A48">
      <w:pPr>
        <w:tabs>
          <w:tab w:val="left" w:pos="6319"/>
        </w:tabs>
        <w:spacing w:line="256" w:lineRule="auto"/>
        <w:jc w:val="both"/>
        <w:rPr>
          <w:rFonts w:ascii="Helvetica" w:eastAsia="Calibri" w:hAnsi="Helvetica" w:cs="Helvetica"/>
          <w:highlight w:val="yellow"/>
        </w:rPr>
      </w:pPr>
    </w:p>
    <w:p w14:paraId="6FF1B12E" w14:textId="4494749D" w:rsidR="006A3227" w:rsidRDefault="006A3227" w:rsidP="003A441E">
      <w:pPr>
        <w:keepNext/>
        <w:tabs>
          <w:tab w:val="left" w:pos="6319"/>
        </w:tabs>
        <w:spacing w:after="120" w:line="257" w:lineRule="auto"/>
        <w:rPr>
          <w:rFonts w:ascii="Helvetica" w:hAnsi="Helvetica" w:cs="Helvetica"/>
        </w:rPr>
      </w:pPr>
      <w:r w:rsidRPr="00602DD9">
        <w:rPr>
          <w:rFonts w:ascii="Helvetica" w:eastAsia="Calibri" w:hAnsi="Helvetica" w:cs="Helvetica"/>
        </w:rPr>
        <w:t xml:space="preserve">Table </w:t>
      </w:r>
      <w:r w:rsidR="009602CE" w:rsidRPr="00602DD9">
        <w:rPr>
          <w:rFonts w:ascii="Helvetica" w:eastAsia="Calibri" w:hAnsi="Helvetica" w:cs="Helvetica"/>
        </w:rPr>
        <w:t>11</w:t>
      </w:r>
      <w:r w:rsidRPr="00602DD9">
        <w:rPr>
          <w:rFonts w:ascii="Helvetica" w:eastAsia="Calibri" w:hAnsi="Helvetica" w:cs="Helvetica"/>
        </w:rPr>
        <w:t>: P</w:t>
      </w:r>
      <w:r w:rsidR="00A74E18" w:rsidRPr="00602DD9">
        <w:rPr>
          <w:rFonts w:ascii="Helvetica" w:eastAsia="Calibri" w:hAnsi="Helvetica" w:cs="Helvetica"/>
        </w:rPr>
        <w:t>lanning</w:t>
      </w:r>
      <w:r w:rsidRPr="00602DD9">
        <w:rPr>
          <w:rFonts w:ascii="Helvetica" w:eastAsia="Calibri" w:hAnsi="Helvetica" w:cs="Helvetica"/>
        </w:rPr>
        <w:t xml:space="preserve"> Inspectors – Headcount and FTE</w:t>
      </w:r>
      <w:r w:rsidR="00095AA3" w:rsidRPr="00602DD9">
        <w:rPr>
          <w:rFonts w:ascii="Helvetica" w:eastAsia="Calibri" w:hAnsi="Helvetica" w:cs="Helvetica"/>
        </w:rPr>
        <w:t xml:space="preserve">; </w:t>
      </w:r>
      <w:r w:rsidR="007F37DA" w:rsidRPr="00602DD9">
        <w:rPr>
          <w:rFonts w:ascii="Helvetica" w:eastAsia="Calibri" w:hAnsi="Helvetica" w:cs="Helvetica"/>
        </w:rPr>
        <w:t>Jun</w:t>
      </w:r>
      <w:r w:rsidR="00BB6FE8" w:rsidRPr="00602DD9">
        <w:rPr>
          <w:rFonts w:ascii="Helvetica" w:eastAsia="Calibri" w:hAnsi="Helvetica" w:cs="Helvetica"/>
        </w:rPr>
        <w:t xml:space="preserve"> 20 to </w:t>
      </w:r>
      <w:r w:rsidR="007F37DA" w:rsidRPr="00602DD9">
        <w:rPr>
          <w:rFonts w:ascii="Helvetica" w:eastAsia="Calibri" w:hAnsi="Helvetica" w:cs="Helvetica"/>
        </w:rPr>
        <w:t>May</w:t>
      </w:r>
      <w:r w:rsidR="00BB6FE8" w:rsidRPr="00602DD9">
        <w:rPr>
          <w:rFonts w:ascii="Helvetica" w:eastAsia="Calibri" w:hAnsi="Helvetica" w:cs="Helvetica"/>
        </w:rPr>
        <w:t xml:space="preserve"> 21 </w:t>
      </w:r>
      <w:r w:rsidR="001A5336" w:rsidRPr="00602DD9">
        <w:rPr>
          <w:rFonts w:ascii="Helvetica" w:hAnsi="Helvetica" w:cs="Helvetica"/>
        </w:rPr>
        <w:t>(at end of month)</w:t>
      </w:r>
    </w:p>
    <w:tbl>
      <w:tblPr>
        <w:tblW w:w="4782" w:type="pct"/>
        <w:tblCellMar>
          <w:left w:w="0" w:type="dxa"/>
          <w:right w:w="0" w:type="dxa"/>
        </w:tblCellMar>
        <w:tblLook w:val="04A0" w:firstRow="1" w:lastRow="0" w:firstColumn="1" w:lastColumn="0" w:noHBand="0" w:noVBand="1"/>
      </w:tblPr>
      <w:tblGrid>
        <w:gridCol w:w="1032"/>
        <w:gridCol w:w="667"/>
        <w:gridCol w:w="665"/>
        <w:gridCol w:w="665"/>
        <w:gridCol w:w="665"/>
        <w:gridCol w:w="661"/>
        <w:gridCol w:w="661"/>
        <w:gridCol w:w="661"/>
        <w:gridCol w:w="661"/>
        <w:gridCol w:w="661"/>
        <w:gridCol w:w="661"/>
        <w:gridCol w:w="661"/>
        <w:gridCol w:w="661"/>
        <w:gridCol w:w="227"/>
      </w:tblGrid>
      <w:tr w:rsidR="009D5CAF" w:rsidRPr="00EE58C6" w14:paraId="6E04B4E1" w14:textId="28352949" w:rsidTr="00CD6C56">
        <w:trPr>
          <w:trHeight w:val="370"/>
        </w:trPr>
        <w:tc>
          <w:tcPr>
            <w:tcW w:w="5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C2510" w14:textId="77777777" w:rsidR="009D5CAF" w:rsidRPr="00EE58C6" w:rsidRDefault="009D5CAF" w:rsidP="009D5CAF">
            <w:pPr>
              <w:suppressAutoHyphens w:val="0"/>
              <w:autoSpaceDN/>
              <w:textAlignment w:val="auto"/>
              <w:rPr>
                <w:rFonts w:ascii="Calibri" w:hAnsi="Calibri"/>
                <w:color w:val="000000"/>
                <w:sz w:val="16"/>
                <w:szCs w:val="16"/>
              </w:rPr>
            </w:pPr>
            <w:r w:rsidRPr="00EE58C6">
              <w:rPr>
                <w:rFonts w:ascii="Calibri" w:hAnsi="Calibri"/>
                <w:color w:val="000000"/>
                <w:sz w:val="16"/>
                <w:szCs w:val="16"/>
              </w:rPr>
              <w:t>Month</w:t>
            </w:r>
          </w:p>
        </w:tc>
        <w:tc>
          <w:tcPr>
            <w:tcW w:w="362" w:type="pct"/>
            <w:tcBorders>
              <w:top w:val="single" w:sz="4" w:space="0" w:color="auto"/>
              <w:left w:val="single" w:sz="4" w:space="0" w:color="auto"/>
              <w:bottom w:val="single" w:sz="6" w:space="0" w:color="auto"/>
            </w:tcBorders>
            <w:noWrap/>
            <w:tcMar>
              <w:top w:w="15" w:type="dxa"/>
              <w:left w:w="15" w:type="dxa"/>
              <w:bottom w:w="0" w:type="dxa"/>
              <w:right w:w="15" w:type="dxa"/>
            </w:tcMar>
            <w:vAlign w:val="center"/>
            <w:hideMark/>
          </w:tcPr>
          <w:p w14:paraId="2C967922" w14:textId="4F674623" w:rsidR="009D5CAF" w:rsidRPr="00620D46" w:rsidRDefault="009D5CAF" w:rsidP="009D5CAF">
            <w:pPr>
              <w:jc w:val="right"/>
              <w:rPr>
                <w:rFonts w:ascii="Calibri" w:hAnsi="Calibri"/>
                <w:color w:val="000000"/>
                <w:sz w:val="16"/>
                <w:szCs w:val="16"/>
              </w:rPr>
            </w:pPr>
            <w:r w:rsidRPr="00761EA3">
              <w:rPr>
                <w:rFonts w:ascii="Calibri" w:hAnsi="Calibri" w:cs="Calibri"/>
                <w:color w:val="000000"/>
                <w:sz w:val="14"/>
                <w:szCs w:val="14"/>
              </w:rPr>
              <w:t>Jun 20</w:t>
            </w:r>
          </w:p>
        </w:tc>
        <w:tc>
          <w:tcPr>
            <w:tcW w:w="361" w:type="pct"/>
            <w:tcBorders>
              <w:top w:val="single" w:sz="4" w:space="0" w:color="auto"/>
              <w:bottom w:val="single" w:sz="4" w:space="0" w:color="auto"/>
            </w:tcBorders>
            <w:noWrap/>
            <w:tcMar>
              <w:top w:w="15" w:type="dxa"/>
              <w:left w:w="15" w:type="dxa"/>
              <w:bottom w:w="0" w:type="dxa"/>
              <w:right w:w="15" w:type="dxa"/>
            </w:tcMar>
            <w:vAlign w:val="center"/>
            <w:hideMark/>
          </w:tcPr>
          <w:p w14:paraId="23B1C82C" w14:textId="70706E1C" w:rsidR="009D5CAF" w:rsidRPr="00620D46" w:rsidRDefault="009D5CAF" w:rsidP="009D5CAF">
            <w:pPr>
              <w:jc w:val="right"/>
              <w:rPr>
                <w:rFonts w:ascii="Calibri" w:hAnsi="Calibri"/>
                <w:color w:val="000000"/>
                <w:sz w:val="16"/>
                <w:szCs w:val="16"/>
              </w:rPr>
            </w:pPr>
            <w:r w:rsidRPr="00761EA3">
              <w:rPr>
                <w:rFonts w:ascii="Calibri" w:hAnsi="Calibri" w:cs="Calibri"/>
                <w:color w:val="000000"/>
                <w:sz w:val="14"/>
                <w:szCs w:val="14"/>
              </w:rPr>
              <w:t>Jul 20</w:t>
            </w:r>
          </w:p>
        </w:tc>
        <w:tc>
          <w:tcPr>
            <w:tcW w:w="361" w:type="pct"/>
            <w:tcBorders>
              <w:top w:val="single" w:sz="4" w:space="0" w:color="auto"/>
              <w:bottom w:val="single" w:sz="4" w:space="0" w:color="auto"/>
            </w:tcBorders>
            <w:noWrap/>
            <w:tcMar>
              <w:top w:w="15" w:type="dxa"/>
              <w:left w:w="15" w:type="dxa"/>
              <w:bottom w:w="0" w:type="dxa"/>
              <w:right w:w="15" w:type="dxa"/>
            </w:tcMar>
            <w:vAlign w:val="center"/>
            <w:hideMark/>
          </w:tcPr>
          <w:p w14:paraId="76590A03" w14:textId="576E31A0" w:rsidR="009D5CAF" w:rsidRPr="00620D46" w:rsidRDefault="009D5CAF" w:rsidP="009D5CAF">
            <w:pPr>
              <w:jc w:val="right"/>
              <w:rPr>
                <w:rFonts w:ascii="Calibri" w:hAnsi="Calibri"/>
                <w:color w:val="000000"/>
                <w:sz w:val="16"/>
                <w:szCs w:val="16"/>
              </w:rPr>
            </w:pPr>
            <w:r w:rsidRPr="00761EA3">
              <w:rPr>
                <w:rFonts w:ascii="Calibri" w:hAnsi="Calibri" w:cs="Calibri"/>
                <w:color w:val="000000"/>
                <w:sz w:val="14"/>
                <w:szCs w:val="14"/>
              </w:rPr>
              <w:t>Aug 20</w:t>
            </w:r>
          </w:p>
        </w:tc>
        <w:tc>
          <w:tcPr>
            <w:tcW w:w="361" w:type="pct"/>
            <w:tcBorders>
              <w:top w:val="single" w:sz="4" w:space="0" w:color="auto"/>
              <w:bottom w:val="single" w:sz="4" w:space="0" w:color="auto"/>
            </w:tcBorders>
            <w:noWrap/>
            <w:tcMar>
              <w:top w:w="15" w:type="dxa"/>
              <w:left w:w="15" w:type="dxa"/>
              <w:bottom w:w="0" w:type="dxa"/>
              <w:right w:w="15" w:type="dxa"/>
            </w:tcMar>
            <w:vAlign w:val="center"/>
            <w:hideMark/>
          </w:tcPr>
          <w:p w14:paraId="50E2009C" w14:textId="0072F46E" w:rsidR="009D5CAF" w:rsidRPr="00620D46" w:rsidRDefault="009D5CAF" w:rsidP="009D5CAF">
            <w:pPr>
              <w:jc w:val="right"/>
              <w:rPr>
                <w:rFonts w:ascii="Calibri" w:hAnsi="Calibri"/>
                <w:color w:val="000000"/>
                <w:sz w:val="16"/>
                <w:szCs w:val="16"/>
              </w:rPr>
            </w:pPr>
            <w:r w:rsidRPr="00761EA3">
              <w:rPr>
                <w:rFonts w:ascii="Calibri" w:hAnsi="Calibri" w:cs="Calibri"/>
                <w:color w:val="000000"/>
                <w:sz w:val="14"/>
                <w:szCs w:val="14"/>
              </w:rPr>
              <w:t>Sep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093E53B1" w14:textId="0BC43C22" w:rsidR="009D5CAF" w:rsidRPr="00620D46" w:rsidRDefault="009D5CAF" w:rsidP="009D5CAF">
            <w:pPr>
              <w:jc w:val="right"/>
              <w:rPr>
                <w:rFonts w:ascii="Calibri" w:hAnsi="Calibri"/>
                <w:color w:val="000000"/>
                <w:sz w:val="16"/>
                <w:szCs w:val="16"/>
              </w:rPr>
            </w:pPr>
            <w:r w:rsidRPr="00761EA3">
              <w:rPr>
                <w:rFonts w:ascii="Calibri" w:hAnsi="Calibri" w:cs="Calibri"/>
                <w:color w:val="000000"/>
                <w:sz w:val="14"/>
                <w:szCs w:val="14"/>
              </w:rPr>
              <w:t>Oct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371D59CF" w14:textId="7926CF06" w:rsidR="009D5CAF" w:rsidRPr="00620D46" w:rsidRDefault="009D5CAF" w:rsidP="009D5CAF">
            <w:pPr>
              <w:jc w:val="right"/>
              <w:rPr>
                <w:rFonts w:ascii="Calibri" w:hAnsi="Calibri"/>
                <w:color w:val="000000"/>
                <w:sz w:val="16"/>
                <w:szCs w:val="16"/>
              </w:rPr>
            </w:pPr>
            <w:r w:rsidRPr="00761EA3">
              <w:rPr>
                <w:rFonts w:ascii="Calibri" w:hAnsi="Calibri" w:cs="Calibri"/>
                <w:color w:val="000000"/>
                <w:sz w:val="14"/>
                <w:szCs w:val="14"/>
              </w:rPr>
              <w:t>Nov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7C0B2FFD" w14:textId="37BCE016" w:rsidR="009D5CAF" w:rsidRPr="00620D46" w:rsidRDefault="009D5CAF" w:rsidP="009D5CAF">
            <w:pPr>
              <w:jc w:val="right"/>
              <w:rPr>
                <w:rFonts w:ascii="Calibri" w:hAnsi="Calibri"/>
                <w:color w:val="000000"/>
                <w:sz w:val="16"/>
                <w:szCs w:val="16"/>
              </w:rPr>
            </w:pPr>
            <w:r w:rsidRPr="00761EA3">
              <w:rPr>
                <w:rFonts w:ascii="Calibri" w:hAnsi="Calibri" w:cs="Calibri"/>
                <w:color w:val="000000"/>
                <w:sz w:val="14"/>
                <w:szCs w:val="14"/>
              </w:rPr>
              <w:t>Dec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543CFC4A" w14:textId="29063BA2" w:rsidR="009D5CAF" w:rsidRPr="00620D46" w:rsidRDefault="009D5CAF" w:rsidP="009D5CAF">
            <w:pPr>
              <w:jc w:val="right"/>
              <w:rPr>
                <w:rFonts w:ascii="Calibri" w:hAnsi="Calibri"/>
                <w:color w:val="000000"/>
                <w:sz w:val="16"/>
                <w:szCs w:val="16"/>
              </w:rPr>
            </w:pPr>
            <w:r w:rsidRPr="00761EA3">
              <w:rPr>
                <w:rFonts w:ascii="Calibri" w:hAnsi="Calibri" w:cs="Calibri"/>
                <w:color w:val="000000"/>
                <w:sz w:val="14"/>
                <w:szCs w:val="14"/>
              </w:rPr>
              <w:t>Jan 21</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42A774A1" w14:textId="4AA15B78" w:rsidR="009D5CAF" w:rsidRPr="00620D46" w:rsidRDefault="009D5CAF" w:rsidP="009D5CAF">
            <w:pPr>
              <w:jc w:val="right"/>
              <w:rPr>
                <w:rFonts w:ascii="Calibri" w:hAnsi="Calibri"/>
                <w:color w:val="000000"/>
                <w:sz w:val="16"/>
                <w:szCs w:val="16"/>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2D3224D9" w14:textId="2860B5E4" w:rsidR="009D5CAF" w:rsidRPr="00620D46" w:rsidRDefault="009D5CAF" w:rsidP="009D5CAF">
            <w:pPr>
              <w:jc w:val="right"/>
              <w:rPr>
                <w:rFonts w:ascii="Calibri" w:hAnsi="Calibri"/>
                <w:color w:val="000000"/>
                <w:sz w:val="16"/>
                <w:szCs w:val="16"/>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77BC62EF" w14:textId="1A174628" w:rsidR="009D5CAF" w:rsidRPr="00620D46" w:rsidRDefault="009D5CAF" w:rsidP="009D5CAF">
            <w:pPr>
              <w:jc w:val="right"/>
              <w:rPr>
                <w:rFonts w:ascii="Calibri" w:hAnsi="Calibri"/>
                <w:color w:val="000000"/>
                <w:sz w:val="16"/>
                <w:szCs w:val="16"/>
              </w:rPr>
            </w:pPr>
            <w:r>
              <w:rPr>
                <w:rFonts w:ascii="Calibri" w:hAnsi="Calibri" w:cs="Calibri"/>
                <w:color w:val="000000"/>
                <w:sz w:val="14"/>
                <w:szCs w:val="14"/>
              </w:rPr>
              <w:t>Apr</w:t>
            </w:r>
            <w:r w:rsidRPr="00761EA3">
              <w:rPr>
                <w:rFonts w:ascii="Calibri" w:hAnsi="Calibri" w:cs="Calibri"/>
                <w:color w:val="000000"/>
                <w:sz w:val="14"/>
                <w:szCs w:val="14"/>
              </w:rPr>
              <w:t xml:space="preserve"> 21</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112C5D51" w14:textId="20B58AAC" w:rsidR="009D5CAF" w:rsidRPr="00620D46" w:rsidRDefault="009D5CAF" w:rsidP="009D5CAF">
            <w:pPr>
              <w:jc w:val="right"/>
              <w:rPr>
                <w:rFonts w:ascii="Calibri" w:hAnsi="Calibri"/>
                <w:color w:val="000000"/>
                <w:sz w:val="16"/>
                <w:szCs w:val="16"/>
              </w:rPr>
            </w:pPr>
            <w:r>
              <w:rPr>
                <w:rFonts w:ascii="Calibri" w:hAnsi="Calibri" w:cs="Calibri"/>
                <w:color w:val="000000"/>
                <w:sz w:val="14"/>
                <w:szCs w:val="14"/>
              </w:rPr>
              <w:t>May</w:t>
            </w:r>
            <w:r w:rsidRPr="00761EA3">
              <w:rPr>
                <w:rFonts w:ascii="Calibri" w:hAnsi="Calibri" w:cs="Calibri"/>
                <w:color w:val="000000"/>
                <w:sz w:val="14"/>
                <w:szCs w:val="14"/>
              </w:rPr>
              <w:t xml:space="preserve"> 21</w:t>
            </w:r>
          </w:p>
        </w:tc>
        <w:tc>
          <w:tcPr>
            <w:tcW w:w="123" w:type="pct"/>
            <w:tcBorders>
              <w:top w:val="single" w:sz="4" w:space="0" w:color="auto"/>
              <w:bottom w:val="single" w:sz="4" w:space="0" w:color="auto"/>
              <w:right w:val="single" w:sz="4" w:space="0" w:color="auto"/>
            </w:tcBorders>
          </w:tcPr>
          <w:p w14:paraId="1A7DA565" w14:textId="77777777" w:rsidR="009D5CAF" w:rsidRPr="00620D46" w:rsidRDefault="009D5CAF" w:rsidP="009D5CAF">
            <w:pPr>
              <w:jc w:val="right"/>
              <w:rPr>
                <w:rFonts w:ascii="Calibri" w:hAnsi="Calibri" w:cs="Calibri"/>
                <w:color w:val="000000"/>
                <w:sz w:val="16"/>
                <w:szCs w:val="16"/>
              </w:rPr>
            </w:pPr>
          </w:p>
        </w:tc>
      </w:tr>
      <w:tr w:rsidR="007F37DA" w:rsidRPr="00EE58C6" w14:paraId="73E0F6E2" w14:textId="2DCFDD6E" w:rsidTr="00CD6C56">
        <w:trPr>
          <w:trHeight w:val="370"/>
        </w:trPr>
        <w:tc>
          <w:tcPr>
            <w:tcW w:w="560"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459C0E61" w14:textId="77777777" w:rsidR="007F37DA" w:rsidRPr="00EE58C6" w:rsidRDefault="007F37DA" w:rsidP="007F37DA">
            <w:pPr>
              <w:rPr>
                <w:rFonts w:ascii="Calibri" w:hAnsi="Calibri"/>
                <w:color w:val="000000"/>
                <w:sz w:val="16"/>
                <w:szCs w:val="16"/>
              </w:rPr>
            </w:pPr>
            <w:r w:rsidRPr="00EE58C6">
              <w:rPr>
                <w:rFonts w:ascii="Calibri" w:hAnsi="Calibri"/>
                <w:color w:val="000000"/>
                <w:sz w:val="16"/>
                <w:szCs w:val="16"/>
              </w:rPr>
              <w:t>Headcount</w:t>
            </w:r>
          </w:p>
        </w:tc>
        <w:tc>
          <w:tcPr>
            <w:tcW w:w="362" w:type="pct"/>
            <w:tcBorders>
              <w:top w:val="nil"/>
              <w:left w:val="nil"/>
              <w:bottom w:val="nil"/>
              <w:right w:val="nil"/>
            </w:tcBorders>
            <w:shd w:val="clear" w:color="auto" w:fill="auto"/>
            <w:noWrap/>
            <w:tcMar>
              <w:top w:w="15" w:type="dxa"/>
              <w:left w:w="15" w:type="dxa"/>
              <w:bottom w:w="0" w:type="dxa"/>
              <w:right w:w="15" w:type="dxa"/>
            </w:tcMar>
            <w:vAlign w:val="center"/>
            <w:hideMark/>
          </w:tcPr>
          <w:p w14:paraId="0EE075C9" w14:textId="210C86B5"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356 </w:t>
            </w:r>
          </w:p>
        </w:tc>
        <w:tc>
          <w:tcPr>
            <w:tcW w:w="361" w:type="pct"/>
            <w:tcBorders>
              <w:top w:val="nil"/>
              <w:left w:val="nil"/>
              <w:bottom w:val="nil"/>
              <w:right w:val="nil"/>
            </w:tcBorders>
            <w:shd w:val="clear" w:color="auto" w:fill="auto"/>
            <w:noWrap/>
            <w:tcMar>
              <w:top w:w="15" w:type="dxa"/>
              <w:left w:w="15" w:type="dxa"/>
              <w:bottom w:w="0" w:type="dxa"/>
              <w:right w:w="15" w:type="dxa"/>
            </w:tcMar>
            <w:vAlign w:val="center"/>
            <w:hideMark/>
          </w:tcPr>
          <w:p w14:paraId="54134BA0" w14:textId="0F3D939D"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355 </w:t>
            </w:r>
          </w:p>
        </w:tc>
        <w:tc>
          <w:tcPr>
            <w:tcW w:w="361" w:type="pct"/>
            <w:tcBorders>
              <w:top w:val="nil"/>
              <w:left w:val="nil"/>
              <w:bottom w:val="nil"/>
              <w:right w:val="nil"/>
            </w:tcBorders>
            <w:shd w:val="clear" w:color="auto" w:fill="auto"/>
            <w:noWrap/>
            <w:tcMar>
              <w:top w:w="15" w:type="dxa"/>
              <w:left w:w="15" w:type="dxa"/>
              <w:bottom w:w="0" w:type="dxa"/>
              <w:right w:w="15" w:type="dxa"/>
            </w:tcMar>
            <w:vAlign w:val="center"/>
            <w:hideMark/>
          </w:tcPr>
          <w:p w14:paraId="03492E64" w14:textId="7562869E"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352 </w:t>
            </w:r>
          </w:p>
        </w:tc>
        <w:tc>
          <w:tcPr>
            <w:tcW w:w="361" w:type="pct"/>
            <w:tcBorders>
              <w:top w:val="nil"/>
              <w:left w:val="nil"/>
              <w:bottom w:val="nil"/>
              <w:right w:val="nil"/>
            </w:tcBorders>
            <w:shd w:val="clear" w:color="auto" w:fill="auto"/>
            <w:noWrap/>
            <w:tcMar>
              <w:top w:w="15" w:type="dxa"/>
              <w:left w:w="15" w:type="dxa"/>
              <w:bottom w:w="0" w:type="dxa"/>
              <w:right w:w="15" w:type="dxa"/>
            </w:tcMar>
            <w:vAlign w:val="center"/>
            <w:hideMark/>
          </w:tcPr>
          <w:p w14:paraId="29857012" w14:textId="46F89C86"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352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7F292FCA" w14:textId="0342410D"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347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6A1B53A3" w14:textId="139132C4"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345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35648CC7" w14:textId="1636632D"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345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6D796BBB" w14:textId="4C42907E"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343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6626E309" w14:textId="1F709E2D"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345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7CE0C514" w14:textId="0C257388"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352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55F59749" w14:textId="5CC0F007"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355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49B9B1A6" w14:textId="583CCE21"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353 </w:t>
            </w:r>
          </w:p>
        </w:tc>
        <w:tc>
          <w:tcPr>
            <w:tcW w:w="123" w:type="pct"/>
            <w:tcBorders>
              <w:top w:val="single" w:sz="4" w:space="0" w:color="auto"/>
              <w:left w:val="nil"/>
              <w:bottom w:val="nil"/>
              <w:right w:val="single" w:sz="4" w:space="0" w:color="auto"/>
            </w:tcBorders>
          </w:tcPr>
          <w:p w14:paraId="1A6E98BC" w14:textId="77777777" w:rsidR="007F37DA" w:rsidRPr="00620D46" w:rsidRDefault="007F37DA" w:rsidP="007F37DA">
            <w:pPr>
              <w:jc w:val="right"/>
              <w:rPr>
                <w:rFonts w:ascii="Calibri" w:hAnsi="Calibri" w:cs="Calibri"/>
                <w:color w:val="000000"/>
                <w:sz w:val="16"/>
                <w:szCs w:val="16"/>
              </w:rPr>
            </w:pPr>
          </w:p>
        </w:tc>
      </w:tr>
      <w:tr w:rsidR="007F37DA" w:rsidRPr="00EE58C6" w14:paraId="68B3C9A5" w14:textId="3A381D2E" w:rsidTr="007F37DA">
        <w:trPr>
          <w:trHeight w:val="370"/>
        </w:trPr>
        <w:tc>
          <w:tcPr>
            <w:tcW w:w="56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6C242E" w14:textId="77777777" w:rsidR="007F37DA" w:rsidRPr="00EE58C6" w:rsidRDefault="007F37DA" w:rsidP="007F37DA">
            <w:pPr>
              <w:rPr>
                <w:rFonts w:ascii="Calibri" w:hAnsi="Calibri"/>
                <w:color w:val="000000"/>
                <w:sz w:val="16"/>
                <w:szCs w:val="16"/>
              </w:rPr>
            </w:pPr>
            <w:r w:rsidRPr="00EE58C6">
              <w:rPr>
                <w:rFonts w:ascii="Calibri" w:hAnsi="Calibri"/>
                <w:color w:val="000000"/>
                <w:sz w:val="16"/>
                <w:szCs w:val="16"/>
              </w:rPr>
              <w:t>FTE</w:t>
            </w:r>
          </w:p>
        </w:tc>
        <w:tc>
          <w:tcPr>
            <w:tcW w:w="36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B4B7BB" w14:textId="7396084E"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319.0 </w:t>
            </w:r>
          </w:p>
        </w:tc>
        <w:tc>
          <w:tcPr>
            <w:tcW w:w="36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F92B32" w14:textId="174196A9"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318.2 </w:t>
            </w:r>
          </w:p>
        </w:tc>
        <w:tc>
          <w:tcPr>
            <w:tcW w:w="36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FAE1BA" w14:textId="395ADFEE"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316.4 </w:t>
            </w:r>
          </w:p>
        </w:tc>
        <w:tc>
          <w:tcPr>
            <w:tcW w:w="36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B257C3" w14:textId="2C5E2866"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316.4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DDC0B6" w14:textId="5311230D"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310.0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36DD08" w14:textId="20DEDCEA"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308.1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CA70B7" w14:textId="0FF7FFB4"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308.1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532394" w14:textId="3D56521D"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305.4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88AB6D" w14:textId="10C5ED27"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308.1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253316" w14:textId="4F2C27E4"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314.4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25BF91" w14:textId="507F4DD8"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317.0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32D8CA" w14:textId="568DD3BF" w:rsidR="007F37DA" w:rsidRPr="007F37DA" w:rsidRDefault="007F37DA" w:rsidP="007F37DA">
            <w:pPr>
              <w:jc w:val="right"/>
              <w:rPr>
                <w:rFonts w:ascii="Calibri" w:hAnsi="Calibri"/>
                <w:color w:val="000000"/>
                <w:sz w:val="16"/>
                <w:szCs w:val="16"/>
              </w:rPr>
            </w:pPr>
            <w:r w:rsidRPr="007F37DA">
              <w:rPr>
                <w:rFonts w:ascii="Calibri" w:hAnsi="Calibri" w:cs="Calibri"/>
                <w:color w:val="000000"/>
                <w:sz w:val="16"/>
                <w:szCs w:val="16"/>
              </w:rPr>
              <w:t xml:space="preserve">    314.4 </w:t>
            </w:r>
          </w:p>
        </w:tc>
        <w:tc>
          <w:tcPr>
            <w:tcW w:w="123" w:type="pct"/>
            <w:tcBorders>
              <w:top w:val="nil"/>
              <w:left w:val="nil"/>
              <w:bottom w:val="single" w:sz="4" w:space="0" w:color="auto"/>
              <w:right w:val="single" w:sz="4" w:space="0" w:color="auto"/>
            </w:tcBorders>
          </w:tcPr>
          <w:p w14:paraId="15C44A2D" w14:textId="77777777" w:rsidR="007F37DA" w:rsidRPr="00620D46" w:rsidRDefault="007F37DA" w:rsidP="007F37DA">
            <w:pPr>
              <w:jc w:val="right"/>
              <w:rPr>
                <w:rFonts w:ascii="Calibri" w:hAnsi="Calibri" w:cs="Calibri"/>
                <w:color w:val="000000"/>
                <w:sz w:val="16"/>
                <w:szCs w:val="16"/>
              </w:rPr>
            </w:pPr>
          </w:p>
        </w:tc>
      </w:tr>
    </w:tbl>
    <w:p w14:paraId="460C4E47" w14:textId="7C1BEF4B" w:rsidR="006A3227" w:rsidRPr="001E6970" w:rsidRDefault="006A3227" w:rsidP="006A3227">
      <w:pPr>
        <w:tabs>
          <w:tab w:val="left" w:pos="6319"/>
        </w:tabs>
        <w:spacing w:line="256" w:lineRule="auto"/>
        <w:rPr>
          <w:rFonts w:ascii="Helvetica" w:eastAsia="Calibri" w:hAnsi="Helvetica" w:cs="Helvetica"/>
          <w:color w:val="FF0000"/>
          <w:sz w:val="18"/>
          <w:szCs w:val="18"/>
        </w:rPr>
      </w:pPr>
      <w:r w:rsidRPr="001E6970">
        <w:rPr>
          <w:rFonts w:ascii="Helvetica" w:eastAsia="Calibri" w:hAnsi="Helvetica" w:cs="Helvetica"/>
          <w:sz w:val="18"/>
          <w:szCs w:val="18"/>
        </w:rPr>
        <w:t>Source: SAP HR</w:t>
      </w:r>
    </w:p>
    <w:p w14:paraId="6123C146" w14:textId="77777777" w:rsidR="006A3227" w:rsidRPr="00557E12" w:rsidRDefault="006A3227" w:rsidP="006A3227">
      <w:pPr>
        <w:tabs>
          <w:tab w:val="left" w:pos="6319"/>
        </w:tabs>
        <w:spacing w:line="256" w:lineRule="auto"/>
        <w:rPr>
          <w:rFonts w:ascii="Helvetica" w:eastAsia="Calibri" w:hAnsi="Helvetica" w:cs="Helvetica"/>
          <w:color w:val="FF0000"/>
          <w:sz w:val="20"/>
          <w:szCs w:val="20"/>
        </w:rPr>
      </w:pPr>
    </w:p>
    <w:p w14:paraId="5316EE28" w14:textId="1DA8BA18" w:rsidR="00CE640A" w:rsidRDefault="006A3227" w:rsidP="00160536">
      <w:pPr>
        <w:jc w:val="both"/>
        <w:rPr>
          <w:rFonts w:ascii="Helvetica" w:hAnsi="Helvetica" w:cs="Helvetica"/>
        </w:rPr>
      </w:pPr>
      <w:r w:rsidRPr="003755FE">
        <w:rPr>
          <w:rFonts w:ascii="Helvetica" w:hAnsi="Helvetica" w:cs="Helvetica"/>
        </w:rPr>
        <w:t>As above,</w:t>
      </w:r>
      <w:r w:rsidRPr="003755FE">
        <w:rPr>
          <w:rFonts w:ascii="Helvetica" w:eastAsia="Calibri" w:hAnsi="Helvetica" w:cs="Helvetica"/>
          <w:sz w:val="20"/>
          <w:szCs w:val="20"/>
        </w:rPr>
        <w:t xml:space="preserve"> </w:t>
      </w:r>
      <w:r w:rsidRPr="003755FE">
        <w:rPr>
          <w:rFonts w:ascii="Helvetica" w:hAnsi="Helvetica" w:cs="Helvetica"/>
        </w:rPr>
        <w:t>Planning Inspectors work on a broader range of work than the appeals featured in this Release. They also work on applications and examinations.  Please note that data on Planning Inspectors is only applicable to salaried employees (it does not include fixed term contract Inspectors or non-salaried Inspectors).</w:t>
      </w:r>
    </w:p>
    <w:p w14:paraId="6CF7FE7C" w14:textId="30BCC79E" w:rsidR="00D506C1" w:rsidRDefault="00D506C1">
      <w:pPr>
        <w:suppressAutoHyphens w:val="0"/>
        <w:autoSpaceDN/>
        <w:spacing w:after="160" w:line="259" w:lineRule="auto"/>
        <w:textAlignment w:val="auto"/>
        <w:rPr>
          <w:rFonts w:ascii="Helvetica" w:hAnsi="Helvetica" w:cs="Helvetica"/>
        </w:rPr>
      </w:pPr>
      <w:r>
        <w:rPr>
          <w:rFonts w:ascii="Helvetica" w:hAnsi="Helvetica" w:cs="Helvetica"/>
        </w:rPr>
        <w:br w:type="page"/>
      </w:r>
    </w:p>
    <w:tbl>
      <w:tblPr>
        <w:tblW w:w="9629" w:type="dxa"/>
        <w:tblCellMar>
          <w:left w:w="10" w:type="dxa"/>
          <w:right w:w="10" w:type="dxa"/>
        </w:tblCellMar>
        <w:tblLook w:val="0000" w:firstRow="0" w:lastRow="0" w:firstColumn="0" w:lastColumn="0" w:noHBand="0" w:noVBand="0"/>
      </w:tblPr>
      <w:tblGrid>
        <w:gridCol w:w="9629"/>
      </w:tblGrid>
      <w:tr w:rsidR="006A3227" w14:paraId="760C268C" w14:textId="77777777" w:rsidTr="000D3887">
        <w:trPr>
          <w:trHeight w:val="405"/>
        </w:trPr>
        <w:tc>
          <w:tcPr>
            <w:tcW w:w="9629" w:type="dxa"/>
            <w:shd w:val="clear" w:color="auto" w:fill="00958F"/>
            <w:tcMar>
              <w:top w:w="0" w:type="dxa"/>
              <w:left w:w="108" w:type="dxa"/>
              <w:bottom w:w="0" w:type="dxa"/>
              <w:right w:w="108" w:type="dxa"/>
            </w:tcMar>
          </w:tcPr>
          <w:p w14:paraId="17B42C17" w14:textId="77777777" w:rsidR="006A3227" w:rsidRDefault="006A3227" w:rsidP="000D3887">
            <w:r>
              <w:rPr>
                <w:rFonts w:ascii="Helvetica" w:hAnsi="Helvetica" w:cs="Helvetica"/>
                <w:b/>
                <w:color w:val="FFFFFF"/>
                <w:sz w:val="28"/>
                <w:szCs w:val="28"/>
              </w:rPr>
              <w:lastRenderedPageBreak/>
              <w:t>Virtual Events</w:t>
            </w:r>
            <w:r>
              <w:rPr>
                <w:rStyle w:val="FootnoteReference"/>
                <w:rFonts w:ascii="Helvetica" w:hAnsi="Helvetica" w:cs="Helvetica"/>
                <w:b/>
                <w:color w:val="FFFFFF"/>
                <w:sz w:val="28"/>
                <w:szCs w:val="28"/>
              </w:rPr>
              <w:footnoteReference w:id="15"/>
            </w:r>
          </w:p>
        </w:tc>
      </w:tr>
    </w:tbl>
    <w:p w14:paraId="438B76C6" w14:textId="77777777" w:rsidR="00320F46" w:rsidRDefault="00320F46" w:rsidP="006A3227">
      <w:pPr>
        <w:rPr>
          <w:rFonts w:ascii="Helvetica" w:hAnsi="Helvetica" w:cs="Helvetica"/>
        </w:rPr>
      </w:pPr>
    </w:p>
    <w:p w14:paraId="4B2FD1E7" w14:textId="0FF4DC9B" w:rsidR="006A3227" w:rsidRPr="00D2139B" w:rsidRDefault="00C37173" w:rsidP="00931A48">
      <w:pPr>
        <w:jc w:val="both"/>
        <w:rPr>
          <w:rFonts w:ascii="Helvetica" w:hAnsi="Helvetica" w:cs="Helvetica"/>
        </w:rPr>
      </w:pPr>
      <w:r w:rsidRPr="00D2139B">
        <w:rPr>
          <w:rFonts w:ascii="Helvetica" w:hAnsi="Helvetica" w:cs="Helvetica"/>
        </w:rPr>
        <w:t xml:space="preserve">The Planning Inspectorate has continued </w:t>
      </w:r>
      <w:r w:rsidR="00BC091A" w:rsidRPr="00D2139B">
        <w:rPr>
          <w:rFonts w:ascii="Helvetica" w:hAnsi="Helvetica" w:cs="Helvetica"/>
        </w:rPr>
        <w:t>moving</w:t>
      </w:r>
      <w:r w:rsidR="00320F46" w:rsidRPr="00D2139B">
        <w:rPr>
          <w:rFonts w:ascii="Helvetica" w:hAnsi="Helvetica" w:cs="Helvetica"/>
        </w:rPr>
        <w:t xml:space="preserve"> casework </w:t>
      </w:r>
      <w:r w:rsidR="00BC091A" w:rsidRPr="00D2139B">
        <w:rPr>
          <w:rFonts w:ascii="Helvetica" w:hAnsi="Helvetica" w:cs="Helvetica"/>
        </w:rPr>
        <w:t>forward during the pandemic</w:t>
      </w:r>
      <w:r w:rsidR="00320F46" w:rsidRPr="00D2139B">
        <w:rPr>
          <w:rFonts w:ascii="Helvetica" w:hAnsi="Helvetica" w:cs="Helvetica"/>
        </w:rPr>
        <w:t xml:space="preserve"> </w:t>
      </w:r>
      <w:r w:rsidR="00253C93" w:rsidRPr="00D2139B">
        <w:rPr>
          <w:rFonts w:ascii="Helvetica" w:hAnsi="Helvetica" w:cs="Helvetica"/>
        </w:rPr>
        <w:t xml:space="preserve">by </w:t>
      </w:r>
      <w:r w:rsidR="00320F46" w:rsidRPr="00D2139B">
        <w:rPr>
          <w:rFonts w:ascii="Helvetica" w:hAnsi="Helvetica" w:cs="Helvetica"/>
        </w:rPr>
        <w:t>adapt</w:t>
      </w:r>
      <w:r w:rsidR="00253C93" w:rsidRPr="00D2139B">
        <w:rPr>
          <w:rFonts w:ascii="Helvetica" w:hAnsi="Helvetica" w:cs="Helvetica"/>
        </w:rPr>
        <w:t>ing</w:t>
      </w:r>
      <w:r w:rsidR="00320F46" w:rsidRPr="00D2139B">
        <w:rPr>
          <w:rFonts w:ascii="Helvetica" w:hAnsi="Helvetica" w:cs="Helvetica"/>
        </w:rPr>
        <w:t xml:space="preserve"> the way</w:t>
      </w:r>
      <w:r w:rsidR="00BC091A" w:rsidRPr="00D2139B">
        <w:rPr>
          <w:rFonts w:ascii="Helvetica" w:hAnsi="Helvetica" w:cs="Helvetica"/>
        </w:rPr>
        <w:t xml:space="preserve">s of working </w:t>
      </w:r>
      <w:r w:rsidR="00320F46" w:rsidRPr="00D2139B">
        <w:rPr>
          <w:rFonts w:ascii="Helvetica" w:hAnsi="Helvetica" w:cs="Helvetica"/>
        </w:rPr>
        <w:t>so that</w:t>
      </w:r>
      <w:r w:rsidR="00C626D6" w:rsidRPr="00D2139B">
        <w:rPr>
          <w:rFonts w:ascii="Helvetica" w:hAnsi="Helvetica" w:cs="Helvetica"/>
        </w:rPr>
        <w:t xml:space="preserve"> </w:t>
      </w:r>
      <w:r w:rsidR="00933737" w:rsidRPr="00D2139B">
        <w:rPr>
          <w:rFonts w:ascii="Helvetica" w:hAnsi="Helvetica" w:cs="Helvetica"/>
        </w:rPr>
        <w:t>e</w:t>
      </w:r>
      <w:r w:rsidR="00C626D6" w:rsidRPr="00D2139B">
        <w:rPr>
          <w:rFonts w:ascii="Helvetica" w:hAnsi="Helvetica" w:cs="Helvetica"/>
        </w:rPr>
        <w:t xml:space="preserve">xaminations, </w:t>
      </w:r>
      <w:proofErr w:type="gramStart"/>
      <w:r w:rsidR="00933737" w:rsidRPr="00D2139B">
        <w:rPr>
          <w:rFonts w:ascii="Helvetica" w:hAnsi="Helvetica" w:cs="Helvetica"/>
        </w:rPr>
        <w:t>h</w:t>
      </w:r>
      <w:r w:rsidR="00C626D6" w:rsidRPr="00D2139B">
        <w:rPr>
          <w:rFonts w:ascii="Helvetica" w:hAnsi="Helvetica" w:cs="Helvetica"/>
        </w:rPr>
        <w:t>earings</w:t>
      </w:r>
      <w:proofErr w:type="gramEnd"/>
      <w:r w:rsidR="00C626D6" w:rsidRPr="00D2139B">
        <w:rPr>
          <w:rFonts w:ascii="Helvetica" w:hAnsi="Helvetica" w:cs="Helvetica"/>
        </w:rPr>
        <w:t xml:space="preserve"> and </w:t>
      </w:r>
      <w:r w:rsidR="00933737" w:rsidRPr="00D2139B">
        <w:rPr>
          <w:rFonts w:ascii="Helvetica" w:hAnsi="Helvetica" w:cs="Helvetica"/>
        </w:rPr>
        <w:t>i</w:t>
      </w:r>
      <w:r w:rsidR="00C626D6" w:rsidRPr="00D2139B">
        <w:rPr>
          <w:rFonts w:ascii="Helvetica" w:hAnsi="Helvetica" w:cs="Helvetica"/>
        </w:rPr>
        <w:t xml:space="preserve">nquiries (which would previously have been held face-to-face) </w:t>
      </w:r>
      <w:r w:rsidR="00B611A1" w:rsidRPr="00D2139B">
        <w:rPr>
          <w:rFonts w:ascii="Helvetica" w:hAnsi="Helvetica" w:cs="Helvetica"/>
        </w:rPr>
        <w:t xml:space="preserve">could take place </w:t>
      </w:r>
      <w:r w:rsidR="00C626D6" w:rsidRPr="00D2139B">
        <w:rPr>
          <w:rFonts w:ascii="Helvetica" w:hAnsi="Helvetica" w:cs="Helvetica"/>
        </w:rPr>
        <w:t>virtually</w:t>
      </w:r>
      <w:r w:rsidR="00B611A1" w:rsidRPr="00D2139B">
        <w:rPr>
          <w:rFonts w:ascii="Helvetica" w:hAnsi="Helvetica" w:cs="Helvetica"/>
        </w:rPr>
        <w:t>.</w:t>
      </w:r>
    </w:p>
    <w:p w14:paraId="76867A73" w14:textId="201471F5" w:rsidR="00B611A1" w:rsidRPr="00D2139B" w:rsidRDefault="00B611A1" w:rsidP="00931A48">
      <w:pPr>
        <w:jc w:val="both"/>
        <w:rPr>
          <w:rFonts w:ascii="Helvetica" w:hAnsi="Helvetica" w:cs="Helvetica"/>
          <w:sz w:val="20"/>
          <w:szCs w:val="20"/>
        </w:rPr>
      </w:pPr>
      <w:r w:rsidRPr="00D2139B">
        <w:rPr>
          <w:rFonts w:ascii="Helvetica" w:hAnsi="Helvetica" w:cs="Helvetica"/>
          <w:sz w:val="20"/>
          <w:szCs w:val="20"/>
        </w:rPr>
        <w:t xml:space="preserve"> </w:t>
      </w:r>
    </w:p>
    <w:p w14:paraId="3F1FAB17" w14:textId="112F1EB2" w:rsidR="00F4336E" w:rsidRDefault="00CB4F33" w:rsidP="00F4336E">
      <w:pPr>
        <w:jc w:val="both"/>
        <w:rPr>
          <w:rFonts w:ascii="Helvetica" w:eastAsia="Calibri" w:hAnsi="Helvetica" w:cs="Helvetica"/>
        </w:rPr>
      </w:pPr>
      <w:r w:rsidRPr="00D2139B">
        <w:rPr>
          <w:rFonts w:ascii="Helvetica" w:hAnsi="Helvetica" w:cs="Helvetica"/>
        </w:rPr>
        <w:t>The Inspectora</w:t>
      </w:r>
      <w:r w:rsidR="00011F1F" w:rsidRPr="00D2139B">
        <w:rPr>
          <w:rFonts w:ascii="Helvetica" w:hAnsi="Helvetica" w:cs="Helvetica"/>
        </w:rPr>
        <w:t>t</w:t>
      </w:r>
      <w:r w:rsidRPr="00D2139B">
        <w:rPr>
          <w:rFonts w:ascii="Helvetica" w:hAnsi="Helvetica" w:cs="Helvetica"/>
        </w:rPr>
        <w:t>e</w:t>
      </w:r>
      <w:r w:rsidR="006A3227" w:rsidRPr="00D2139B">
        <w:rPr>
          <w:rFonts w:ascii="Helvetica" w:hAnsi="Helvetica" w:cs="Helvetica"/>
        </w:rPr>
        <w:t xml:space="preserve"> are continuing to increase the number of events carr</w:t>
      </w:r>
      <w:r w:rsidR="008B09A6" w:rsidRPr="00D2139B">
        <w:rPr>
          <w:rFonts w:ascii="Helvetica" w:hAnsi="Helvetica" w:cs="Helvetica"/>
        </w:rPr>
        <w:t>ied</w:t>
      </w:r>
      <w:r w:rsidR="006A3227" w:rsidRPr="00D2139B">
        <w:rPr>
          <w:rFonts w:ascii="Helvetica" w:hAnsi="Helvetica" w:cs="Helvetica"/>
        </w:rPr>
        <w:t xml:space="preserve"> out ‘virtually’.  </w:t>
      </w:r>
      <w:r w:rsidR="00F4336E" w:rsidRPr="002939D9">
        <w:rPr>
          <w:rFonts w:ascii="Helvetica" w:eastAsia="Calibri" w:hAnsi="Helvetica" w:cs="Helvetica"/>
        </w:rPr>
        <w:t>There appears to be under-recording despite the introduction of system changes aimed at improving the quality of data.</w:t>
      </w:r>
    </w:p>
    <w:p w14:paraId="391D36E1" w14:textId="3CF3637A" w:rsidR="00B43C93" w:rsidRDefault="006A3227" w:rsidP="00931A48">
      <w:pPr>
        <w:jc w:val="both"/>
        <w:rPr>
          <w:rFonts w:ascii="Helvetica" w:eastAsia="Calibri" w:hAnsi="Helvetica" w:cs="Helvetica"/>
        </w:rPr>
      </w:pPr>
      <w:r w:rsidRPr="00D2139B">
        <w:rPr>
          <w:rFonts w:ascii="Helvetica" w:hAnsi="Helvetica" w:cs="Helvetica"/>
        </w:rPr>
        <w:t xml:space="preserve">The table and graph below </w:t>
      </w:r>
      <w:r w:rsidR="003D134A" w:rsidRPr="00D2139B">
        <w:rPr>
          <w:rFonts w:ascii="Helvetica" w:hAnsi="Helvetica" w:cs="Helvetica"/>
        </w:rPr>
        <w:t xml:space="preserve">give </w:t>
      </w:r>
      <w:r w:rsidRPr="00D2139B">
        <w:rPr>
          <w:rFonts w:ascii="Helvetica" w:hAnsi="Helvetica" w:cs="Helvetica"/>
        </w:rPr>
        <w:t xml:space="preserve">the number of virtual events that have occurred each month.  </w:t>
      </w:r>
      <w:r w:rsidR="00B43C93" w:rsidRPr="00D2139B">
        <w:rPr>
          <w:rFonts w:ascii="Helvetica" w:hAnsi="Helvetica" w:cs="Helvetica"/>
        </w:rPr>
        <w:t xml:space="preserve">  </w:t>
      </w:r>
      <w:r w:rsidR="00CA05BB" w:rsidRPr="00D2139B">
        <w:rPr>
          <w:rFonts w:ascii="Helvetica" w:eastAsia="Calibri" w:hAnsi="Helvetica" w:cs="Helvetica"/>
        </w:rPr>
        <w:t xml:space="preserve">There were </w:t>
      </w:r>
      <w:r w:rsidR="00D2139B" w:rsidRPr="00D2139B">
        <w:rPr>
          <w:rFonts w:ascii="Helvetica" w:eastAsia="Calibri" w:hAnsi="Helvetica" w:cs="Helvetica"/>
        </w:rPr>
        <w:t>8</w:t>
      </w:r>
      <w:r w:rsidR="00A171FA">
        <w:rPr>
          <w:rFonts w:ascii="Helvetica" w:eastAsia="Calibri" w:hAnsi="Helvetica" w:cs="Helvetica"/>
        </w:rPr>
        <w:t>6</w:t>
      </w:r>
      <w:r w:rsidR="00CA05BB" w:rsidRPr="00D2139B">
        <w:rPr>
          <w:rFonts w:ascii="Helvetica" w:eastAsia="Calibri" w:hAnsi="Helvetica" w:cs="Helvetica"/>
        </w:rPr>
        <w:t xml:space="preserve"> </w:t>
      </w:r>
      <w:r w:rsidR="00B04CA7" w:rsidRPr="00D2139B">
        <w:rPr>
          <w:rFonts w:ascii="Helvetica" w:eastAsia="Calibri" w:hAnsi="Helvetica" w:cs="Helvetica"/>
        </w:rPr>
        <w:t xml:space="preserve">cases involving </w:t>
      </w:r>
      <w:r w:rsidR="00CA05BB" w:rsidRPr="00D2139B">
        <w:rPr>
          <w:rFonts w:ascii="Helvetica" w:eastAsia="Calibri" w:hAnsi="Helvetica" w:cs="Helvetica"/>
        </w:rPr>
        <w:t xml:space="preserve">Virtual Events during </w:t>
      </w:r>
      <w:r w:rsidR="00A171FA">
        <w:rPr>
          <w:rFonts w:ascii="Helvetica" w:eastAsia="Calibri" w:hAnsi="Helvetica" w:cs="Helvetica"/>
        </w:rPr>
        <w:t>May</w:t>
      </w:r>
      <w:r w:rsidR="003F422A" w:rsidRPr="00D2139B">
        <w:rPr>
          <w:rFonts w:ascii="Helvetica" w:eastAsia="Calibri" w:hAnsi="Helvetica" w:cs="Helvetica"/>
        </w:rPr>
        <w:t xml:space="preserve"> 21</w:t>
      </w:r>
      <w:r w:rsidR="00B43C93" w:rsidRPr="00D2139B">
        <w:rPr>
          <w:rFonts w:ascii="Helvetica" w:eastAsia="Calibri" w:hAnsi="Helvetica" w:cs="Helvetica"/>
        </w:rPr>
        <w:t>.</w:t>
      </w:r>
      <w:r w:rsidR="00302B19">
        <w:rPr>
          <w:rFonts w:ascii="Helvetica" w:eastAsia="Calibri" w:hAnsi="Helvetica" w:cs="Helvetica"/>
        </w:rPr>
        <w:t xml:space="preserve">  </w:t>
      </w:r>
    </w:p>
    <w:p w14:paraId="5A331EDF" w14:textId="77777777" w:rsidR="001476B8" w:rsidRPr="00D2139B" w:rsidRDefault="001476B8" w:rsidP="001476B8">
      <w:pPr>
        <w:jc w:val="both"/>
        <w:rPr>
          <w:rFonts w:ascii="Helvetica" w:eastAsia="Calibri" w:hAnsi="Helvetica" w:cs="Helvetica"/>
          <w:b/>
        </w:rPr>
      </w:pPr>
    </w:p>
    <w:p w14:paraId="02E41C80" w14:textId="429145E4" w:rsidR="001476B8" w:rsidRPr="00D2139B" w:rsidRDefault="001476B8" w:rsidP="001476B8">
      <w:pPr>
        <w:jc w:val="both"/>
        <w:rPr>
          <w:rFonts w:ascii="Helvetica" w:eastAsia="Calibri" w:hAnsi="Helvetica" w:cs="Helvetica"/>
          <w:b/>
        </w:rPr>
      </w:pPr>
      <w:r w:rsidRPr="00D2139B">
        <w:rPr>
          <w:rFonts w:ascii="Helvetica" w:eastAsia="Calibri" w:hAnsi="Helvetica" w:cs="Helvetica"/>
          <w:b/>
        </w:rPr>
        <w:t>Data quality and corrections</w:t>
      </w:r>
    </w:p>
    <w:p w14:paraId="450F5A91" w14:textId="76826B3A" w:rsidR="00057B31" w:rsidRDefault="001476B8" w:rsidP="001476B8">
      <w:pPr>
        <w:rPr>
          <w:rFonts w:ascii="Helvetica" w:hAnsi="Helvetica" w:cs="Helvetica"/>
        </w:rPr>
      </w:pPr>
      <w:r w:rsidRPr="00D2139B">
        <w:rPr>
          <w:rFonts w:ascii="Helvetica" w:hAnsi="Helvetica" w:cs="Helvetica"/>
        </w:rPr>
        <w:t xml:space="preserve">There are concerns about the quality and accuracy of the data collection methods for virtual events data.  </w:t>
      </w:r>
      <w:r w:rsidR="00B14CC7" w:rsidRPr="002939D9">
        <w:rPr>
          <w:rFonts w:ascii="Helvetica" w:hAnsi="Helvetica" w:cs="Helvetica"/>
        </w:rPr>
        <w:t xml:space="preserve">Changes to recording systems aimed at reducing under-recording have been implemented </w:t>
      </w:r>
      <w:r w:rsidR="008133FD" w:rsidRPr="002939D9">
        <w:rPr>
          <w:rFonts w:ascii="Helvetica" w:hAnsi="Helvetica" w:cs="Helvetica"/>
        </w:rPr>
        <w:t>but do not appear yet to be providing reliable information.</w:t>
      </w:r>
      <w:r w:rsidR="0059063C" w:rsidRPr="002939D9">
        <w:rPr>
          <w:rFonts w:ascii="Helvetica" w:hAnsi="Helvetica" w:cs="Helvetica"/>
        </w:rPr>
        <w:t xml:space="preserve">  </w:t>
      </w:r>
      <w:r w:rsidR="00855C9F" w:rsidRPr="002939D9">
        <w:rPr>
          <w:rFonts w:ascii="Helvetica" w:hAnsi="Helvetica" w:cs="Helvetica"/>
        </w:rPr>
        <w:t xml:space="preserve">For now, </w:t>
      </w:r>
      <w:r w:rsidR="00057B31" w:rsidRPr="002939D9">
        <w:rPr>
          <w:rFonts w:ascii="Helvetica" w:hAnsi="Helvetica" w:cs="Helvetica"/>
        </w:rPr>
        <w:t>the information is re</w:t>
      </w:r>
      <w:r w:rsidR="00DD7403" w:rsidRPr="002939D9">
        <w:rPr>
          <w:rFonts w:ascii="Helvetica" w:hAnsi="Helvetica" w:cs="Helvetica"/>
        </w:rPr>
        <w:t xml:space="preserve">ported </w:t>
      </w:r>
      <w:r w:rsidR="007F299B" w:rsidRPr="002939D9">
        <w:rPr>
          <w:rFonts w:ascii="Helvetica" w:hAnsi="Helvetica" w:cs="Helvetica"/>
        </w:rPr>
        <w:t xml:space="preserve">from the old system, and this will continue until the changes </w:t>
      </w:r>
      <w:r w:rsidR="00CF2D2E" w:rsidRPr="002939D9">
        <w:rPr>
          <w:rFonts w:ascii="Helvetica" w:hAnsi="Helvetica" w:cs="Helvetica"/>
        </w:rPr>
        <w:t>are deemed to have reduced or removed under-recording.</w:t>
      </w:r>
    </w:p>
    <w:p w14:paraId="04260B6F" w14:textId="059876B9" w:rsidR="001476B8" w:rsidRPr="007A0C6F" w:rsidRDefault="001476B8" w:rsidP="001476B8">
      <w:pPr>
        <w:rPr>
          <w:rFonts w:ascii="Helvetica" w:hAnsi="Helvetica" w:cs="Helvetica"/>
        </w:rPr>
      </w:pPr>
      <w:r w:rsidRPr="00D2139B">
        <w:rPr>
          <w:rFonts w:ascii="Helvetica" w:hAnsi="Helvetica" w:cs="Helvetica"/>
        </w:rPr>
        <w:t>See the Background Quality Report for further information.</w:t>
      </w:r>
    </w:p>
    <w:p w14:paraId="465028D0" w14:textId="0C3A8FA7" w:rsidR="0025470E" w:rsidRPr="002939D9" w:rsidRDefault="0025470E" w:rsidP="00931A48">
      <w:pPr>
        <w:jc w:val="both"/>
        <w:rPr>
          <w:rFonts w:ascii="Helvetica" w:eastAsia="Calibri" w:hAnsi="Helvetica" w:cs="Helvetica"/>
        </w:rPr>
      </w:pPr>
    </w:p>
    <w:p w14:paraId="10218005" w14:textId="1BF6FB3A" w:rsidR="006A3227" w:rsidRPr="0062469C" w:rsidRDefault="006A3227" w:rsidP="00CA05BB">
      <w:pPr>
        <w:keepNext/>
        <w:tabs>
          <w:tab w:val="left" w:pos="6319"/>
        </w:tabs>
        <w:spacing w:before="120" w:after="120" w:line="257" w:lineRule="auto"/>
        <w:rPr>
          <w:rFonts w:ascii="Helvetica" w:eastAsia="Calibri" w:hAnsi="Helvetica" w:cs="Helvetica"/>
        </w:rPr>
      </w:pPr>
      <w:r w:rsidRPr="00602DD9">
        <w:rPr>
          <w:rFonts w:ascii="Helvetica" w:eastAsia="Calibri" w:hAnsi="Helvetica" w:cs="Helvetica"/>
        </w:rPr>
        <w:t xml:space="preserve">Table </w:t>
      </w:r>
      <w:r w:rsidR="006F23EB" w:rsidRPr="00602DD9">
        <w:rPr>
          <w:rFonts w:ascii="Helvetica" w:eastAsia="Calibri" w:hAnsi="Helvetica" w:cs="Helvetica"/>
        </w:rPr>
        <w:t>12</w:t>
      </w:r>
      <w:r w:rsidRPr="00602DD9">
        <w:rPr>
          <w:rFonts w:ascii="Helvetica" w:eastAsia="Calibri" w:hAnsi="Helvetica" w:cs="Helvetica"/>
        </w:rPr>
        <w:t xml:space="preserve">: Virtual Events, </w:t>
      </w:r>
      <w:r w:rsidR="00ED2920" w:rsidRPr="00602DD9">
        <w:rPr>
          <w:rFonts w:ascii="Helvetica" w:hAnsi="Helvetica" w:cs="Helvetica"/>
        </w:rPr>
        <w:t>Jun</w:t>
      </w:r>
      <w:r w:rsidR="00A631DB" w:rsidRPr="00602DD9">
        <w:rPr>
          <w:rFonts w:ascii="Helvetica" w:hAnsi="Helvetica" w:cs="Helvetica"/>
        </w:rPr>
        <w:t>-</w:t>
      </w:r>
      <w:r w:rsidR="000E3B68" w:rsidRPr="00602DD9">
        <w:rPr>
          <w:rFonts w:ascii="Helvetica" w:hAnsi="Helvetica" w:cs="Helvetica"/>
        </w:rPr>
        <w:t>20</w:t>
      </w:r>
      <w:r w:rsidR="00A631DB" w:rsidRPr="00602DD9">
        <w:rPr>
          <w:rFonts w:ascii="Helvetica" w:hAnsi="Helvetica" w:cs="Helvetica"/>
        </w:rPr>
        <w:t xml:space="preserve"> to </w:t>
      </w:r>
      <w:r w:rsidR="004A399C" w:rsidRPr="00602DD9">
        <w:rPr>
          <w:rFonts w:ascii="Helvetica" w:hAnsi="Helvetica" w:cs="Helvetica"/>
        </w:rPr>
        <w:t>May</w:t>
      </w:r>
      <w:r w:rsidR="00FC54B9" w:rsidRPr="00602DD9">
        <w:rPr>
          <w:rFonts w:ascii="Helvetica" w:hAnsi="Helvetica" w:cs="Helvetica"/>
        </w:rPr>
        <w:t>-21</w:t>
      </w:r>
      <w:r w:rsidR="009E08E6" w:rsidRPr="00602DD9">
        <w:rPr>
          <w:rFonts w:ascii="Helvetica" w:eastAsia="Calibri" w:hAnsi="Helvetica" w:cs="Helvetica"/>
          <w:vertAlign w:val="superscript"/>
        </w:rPr>
        <w:t>P</w:t>
      </w:r>
    </w:p>
    <w:tbl>
      <w:tblPr>
        <w:tblStyle w:val="TableGrid"/>
        <w:tblW w:w="0" w:type="auto"/>
        <w:tblLook w:val="04A0" w:firstRow="1" w:lastRow="0" w:firstColumn="1" w:lastColumn="0" w:noHBand="0" w:noVBand="1"/>
      </w:tblPr>
      <w:tblGrid>
        <w:gridCol w:w="1431"/>
        <w:gridCol w:w="683"/>
        <w:gridCol w:w="683"/>
        <w:gridCol w:w="683"/>
        <w:gridCol w:w="683"/>
        <w:gridCol w:w="683"/>
        <w:gridCol w:w="684"/>
        <w:gridCol w:w="683"/>
        <w:gridCol w:w="683"/>
        <w:gridCol w:w="683"/>
        <w:gridCol w:w="683"/>
        <w:gridCol w:w="683"/>
        <w:gridCol w:w="684"/>
      </w:tblGrid>
      <w:tr w:rsidR="002A7CDA" w:rsidRPr="00E96585" w14:paraId="2CE0697C" w14:textId="2831FE54" w:rsidTr="004A399C">
        <w:tc>
          <w:tcPr>
            <w:tcW w:w="1431" w:type="dxa"/>
            <w:tcBorders>
              <w:left w:val="single" w:sz="4" w:space="0" w:color="auto"/>
              <w:bottom w:val="single" w:sz="12" w:space="0" w:color="auto"/>
            </w:tcBorders>
          </w:tcPr>
          <w:p w14:paraId="75F78AA7" w14:textId="136098FB" w:rsidR="002A7CDA" w:rsidRPr="006C1870" w:rsidRDefault="002A7CDA" w:rsidP="00446319">
            <w:pPr>
              <w:rPr>
                <w:rFonts w:asciiTheme="minorHAnsi" w:hAnsiTheme="minorHAnsi" w:cstheme="minorHAnsi"/>
                <w:noProof/>
                <w:sz w:val="20"/>
                <w:szCs w:val="20"/>
              </w:rPr>
            </w:pPr>
            <w:r>
              <w:rPr>
                <w:rFonts w:asciiTheme="minorHAnsi" w:hAnsiTheme="minorHAnsi" w:cstheme="minorHAnsi"/>
                <w:sz w:val="20"/>
                <w:szCs w:val="20"/>
              </w:rPr>
              <w:t>Case Type</w:t>
            </w:r>
          </w:p>
        </w:tc>
        <w:tc>
          <w:tcPr>
            <w:tcW w:w="683" w:type="dxa"/>
            <w:tcBorders>
              <w:bottom w:val="single" w:sz="12" w:space="0" w:color="auto"/>
              <w:right w:val="nil"/>
            </w:tcBorders>
            <w:vAlign w:val="center"/>
          </w:tcPr>
          <w:p w14:paraId="348F1311" w14:textId="409D7272" w:rsidR="002A7CDA" w:rsidRPr="00D9165E" w:rsidRDefault="002A7CDA" w:rsidP="00E14F01">
            <w:pPr>
              <w:jc w:val="right"/>
              <w:rPr>
                <w:rFonts w:asciiTheme="minorHAnsi" w:hAnsiTheme="minorHAnsi" w:cstheme="minorHAnsi"/>
                <w:noProof/>
                <w:sz w:val="14"/>
                <w:szCs w:val="14"/>
              </w:rPr>
            </w:pPr>
            <w:r w:rsidRPr="00D9165E">
              <w:rPr>
                <w:rFonts w:asciiTheme="minorHAnsi" w:hAnsiTheme="minorHAnsi" w:cstheme="minorHAnsi"/>
                <w:sz w:val="14"/>
                <w:szCs w:val="14"/>
              </w:rPr>
              <w:t>Jun-20</w:t>
            </w:r>
          </w:p>
        </w:tc>
        <w:tc>
          <w:tcPr>
            <w:tcW w:w="683" w:type="dxa"/>
            <w:tcBorders>
              <w:left w:val="nil"/>
              <w:bottom w:val="single" w:sz="12" w:space="0" w:color="auto"/>
              <w:right w:val="nil"/>
            </w:tcBorders>
            <w:vAlign w:val="center"/>
          </w:tcPr>
          <w:p w14:paraId="6FDB4A51" w14:textId="733C4D56" w:rsidR="002A7CDA" w:rsidRPr="00D9165E" w:rsidRDefault="002A7CDA" w:rsidP="00E14F01">
            <w:pPr>
              <w:jc w:val="right"/>
              <w:rPr>
                <w:rFonts w:asciiTheme="minorHAnsi" w:hAnsiTheme="minorHAnsi" w:cstheme="minorHAnsi"/>
                <w:noProof/>
                <w:sz w:val="14"/>
                <w:szCs w:val="14"/>
              </w:rPr>
            </w:pPr>
            <w:r w:rsidRPr="00D9165E">
              <w:rPr>
                <w:rFonts w:asciiTheme="minorHAnsi" w:hAnsiTheme="minorHAnsi" w:cstheme="minorHAnsi"/>
                <w:sz w:val="14"/>
                <w:szCs w:val="14"/>
              </w:rPr>
              <w:t>Jul-20</w:t>
            </w:r>
          </w:p>
        </w:tc>
        <w:tc>
          <w:tcPr>
            <w:tcW w:w="683" w:type="dxa"/>
            <w:tcBorders>
              <w:left w:val="nil"/>
              <w:bottom w:val="single" w:sz="12" w:space="0" w:color="auto"/>
              <w:right w:val="nil"/>
            </w:tcBorders>
            <w:vAlign w:val="center"/>
          </w:tcPr>
          <w:p w14:paraId="4ABEE8C8" w14:textId="6B6FD8D8" w:rsidR="002A7CDA" w:rsidRPr="00D9165E" w:rsidRDefault="002A7CDA" w:rsidP="00E14F01">
            <w:pPr>
              <w:jc w:val="right"/>
              <w:rPr>
                <w:rFonts w:asciiTheme="minorHAnsi" w:hAnsiTheme="minorHAnsi" w:cstheme="minorHAnsi"/>
                <w:noProof/>
                <w:sz w:val="14"/>
                <w:szCs w:val="14"/>
              </w:rPr>
            </w:pPr>
            <w:r w:rsidRPr="00D9165E">
              <w:rPr>
                <w:rFonts w:asciiTheme="minorHAnsi" w:hAnsiTheme="minorHAnsi" w:cstheme="minorHAnsi"/>
                <w:sz w:val="14"/>
                <w:szCs w:val="14"/>
              </w:rPr>
              <w:t>Aug-20</w:t>
            </w:r>
          </w:p>
        </w:tc>
        <w:tc>
          <w:tcPr>
            <w:tcW w:w="683" w:type="dxa"/>
            <w:tcBorders>
              <w:left w:val="nil"/>
              <w:bottom w:val="single" w:sz="12" w:space="0" w:color="auto"/>
              <w:right w:val="nil"/>
            </w:tcBorders>
            <w:vAlign w:val="center"/>
          </w:tcPr>
          <w:p w14:paraId="18F5151A" w14:textId="3CDED95E" w:rsidR="002A7CDA" w:rsidRPr="00D9165E" w:rsidRDefault="002A7CDA" w:rsidP="00E14F01">
            <w:pPr>
              <w:jc w:val="right"/>
              <w:rPr>
                <w:rFonts w:asciiTheme="minorHAnsi" w:hAnsiTheme="minorHAnsi" w:cstheme="minorHAnsi"/>
                <w:noProof/>
                <w:sz w:val="14"/>
                <w:szCs w:val="14"/>
              </w:rPr>
            </w:pPr>
            <w:r w:rsidRPr="00D9165E">
              <w:rPr>
                <w:rFonts w:asciiTheme="minorHAnsi" w:hAnsiTheme="minorHAnsi" w:cstheme="minorHAnsi"/>
                <w:sz w:val="14"/>
                <w:szCs w:val="14"/>
              </w:rPr>
              <w:t>Sep-20</w:t>
            </w:r>
          </w:p>
        </w:tc>
        <w:tc>
          <w:tcPr>
            <w:tcW w:w="683" w:type="dxa"/>
            <w:tcBorders>
              <w:left w:val="nil"/>
              <w:bottom w:val="single" w:sz="12" w:space="0" w:color="auto"/>
              <w:right w:val="nil"/>
            </w:tcBorders>
            <w:vAlign w:val="center"/>
          </w:tcPr>
          <w:p w14:paraId="0D375520" w14:textId="4C45D193" w:rsidR="002A7CDA" w:rsidRPr="00D9165E" w:rsidRDefault="002A7CDA" w:rsidP="00E14F01">
            <w:pPr>
              <w:jc w:val="right"/>
              <w:rPr>
                <w:rFonts w:asciiTheme="minorHAnsi" w:hAnsiTheme="minorHAnsi" w:cstheme="minorHAnsi"/>
                <w:noProof/>
                <w:sz w:val="14"/>
                <w:szCs w:val="14"/>
              </w:rPr>
            </w:pPr>
            <w:r w:rsidRPr="00D9165E">
              <w:rPr>
                <w:rFonts w:asciiTheme="minorHAnsi" w:hAnsiTheme="minorHAnsi" w:cstheme="minorHAnsi"/>
                <w:sz w:val="14"/>
                <w:szCs w:val="14"/>
              </w:rPr>
              <w:t>Oct-20</w:t>
            </w:r>
          </w:p>
        </w:tc>
        <w:tc>
          <w:tcPr>
            <w:tcW w:w="684" w:type="dxa"/>
            <w:tcBorders>
              <w:left w:val="nil"/>
              <w:bottom w:val="single" w:sz="12" w:space="0" w:color="auto"/>
              <w:right w:val="nil"/>
            </w:tcBorders>
            <w:vAlign w:val="center"/>
          </w:tcPr>
          <w:p w14:paraId="1EC95577" w14:textId="2D85D9DB" w:rsidR="002A7CDA" w:rsidRPr="00D9165E" w:rsidRDefault="002A7CDA" w:rsidP="00E14F01">
            <w:pPr>
              <w:jc w:val="right"/>
              <w:rPr>
                <w:rFonts w:asciiTheme="minorHAnsi" w:hAnsiTheme="minorHAnsi" w:cstheme="minorHAnsi"/>
                <w:noProof/>
                <w:sz w:val="14"/>
                <w:szCs w:val="14"/>
              </w:rPr>
            </w:pPr>
            <w:r w:rsidRPr="00D9165E">
              <w:rPr>
                <w:rFonts w:asciiTheme="minorHAnsi" w:hAnsiTheme="minorHAnsi" w:cstheme="minorHAnsi"/>
                <w:sz w:val="14"/>
                <w:szCs w:val="14"/>
              </w:rPr>
              <w:t>Nov-20</w:t>
            </w:r>
          </w:p>
        </w:tc>
        <w:tc>
          <w:tcPr>
            <w:tcW w:w="683" w:type="dxa"/>
            <w:tcBorders>
              <w:left w:val="nil"/>
              <w:bottom w:val="single" w:sz="12" w:space="0" w:color="auto"/>
              <w:right w:val="nil"/>
            </w:tcBorders>
            <w:vAlign w:val="center"/>
          </w:tcPr>
          <w:p w14:paraId="020750BC" w14:textId="70895545" w:rsidR="002A7CDA" w:rsidRPr="00D9165E" w:rsidRDefault="002A7CDA" w:rsidP="00E14F01">
            <w:pPr>
              <w:jc w:val="right"/>
              <w:rPr>
                <w:rFonts w:asciiTheme="minorHAnsi" w:hAnsiTheme="minorHAnsi" w:cstheme="minorHAnsi"/>
                <w:sz w:val="14"/>
                <w:szCs w:val="14"/>
              </w:rPr>
            </w:pPr>
            <w:r w:rsidRPr="00D9165E">
              <w:rPr>
                <w:rFonts w:asciiTheme="minorHAnsi" w:hAnsiTheme="minorHAnsi" w:cstheme="minorHAnsi"/>
                <w:sz w:val="14"/>
                <w:szCs w:val="14"/>
              </w:rPr>
              <w:t>Dec 20</w:t>
            </w:r>
          </w:p>
        </w:tc>
        <w:tc>
          <w:tcPr>
            <w:tcW w:w="683" w:type="dxa"/>
            <w:tcBorders>
              <w:left w:val="nil"/>
              <w:bottom w:val="single" w:sz="12" w:space="0" w:color="auto"/>
              <w:right w:val="nil"/>
            </w:tcBorders>
            <w:vAlign w:val="center"/>
          </w:tcPr>
          <w:p w14:paraId="765F9FD9" w14:textId="273D430C" w:rsidR="002A7CDA" w:rsidRPr="00D9165E" w:rsidRDefault="002A7CDA" w:rsidP="00E14F01">
            <w:pPr>
              <w:jc w:val="right"/>
              <w:rPr>
                <w:rFonts w:asciiTheme="minorHAnsi" w:hAnsiTheme="minorHAnsi" w:cstheme="minorHAnsi"/>
                <w:sz w:val="14"/>
                <w:szCs w:val="14"/>
              </w:rPr>
            </w:pPr>
            <w:r w:rsidRPr="00D9165E">
              <w:rPr>
                <w:rFonts w:asciiTheme="minorHAnsi" w:hAnsiTheme="minorHAnsi" w:cstheme="minorHAnsi"/>
                <w:sz w:val="14"/>
                <w:szCs w:val="14"/>
              </w:rPr>
              <w:t>Jan 21</w:t>
            </w:r>
          </w:p>
        </w:tc>
        <w:tc>
          <w:tcPr>
            <w:tcW w:w="683" w:type="dxa"/>
            <w:tcBorders>
              <w:left w:val="nil"/>
              <w:bottom w:val="single" w:sz="12" w:space="0" w:color="auto"/>
              <w:right w:val="nil"/>
            </w:tcBorders>
            <w:vAlign w:val="center"/>
          </w:tcPr>
          <w:p w14:paraId="46E6AC3A" w14:textId="0659667C" w:rsidR="002A7CDA" w:rsidRPr="00D9165E" w:rsidRDefault="002A7CDA" w:rsidP="00E14F01">
            <w:pPr>
              <w:jc w:val="right"/>
              <w:rPr>
                <w:rFonts w:asciiTheme="minorHAnsi" w:hAnsiTheme="minorHAnsi" w:cstheme="minorHAnsi"/>
                <w:sz w:val="14"/>
                <w:szCs w:val="14"/>
              </w:rPr>
            </w:pPr>
            <w:r w:rsidRPr="00D9165E">
              <w:rPr>
                <w:rFonts w:asciiTheme="minorHAnsi" w:hAnsiTheme="minorHAnsi" w:cstheme="minorHAnsi"/>
                <w:sz w:val="14"/>
                <w:szCs w:val="14"/>
              </w:rPr>
              <w:t>Feb 21</w:t>
            </w:r>
          </w:p>
        </w:tc>
        <w:tc>
          <w:tcPr>
            <w:tcW w:w="683" w:type="dxa"/>
            <w:tcBorders>
              <w:left w:val="nil"/>
              <w:bottom w:val="single" w:sz="12" w:space="0" w:color="auto"/>
              <w:right w:val="nil"/>
            </w:tcBorders>
            <w:vAlign w:val="center"/>
          </w:tcPr>
          <w:p w14:paraId="4B13AD08" w14:textId="065F5F6C" w:rsidR="002A7CDA" w:rsidRPr="00D9165E" w:rsidRDefault="002A7CDA" w:rsidP="00E14F01">
            <w:pPr>
              <w:jc w:val="right"/>
              <w:rPr>
                <w:rFonts w:asciiTheme="minorHAnsi" w:hAnsiTheme="minorHAnsi" w:cstheme="minorHAnsi"/>
                <w:sz w:val="14"/>
                <w:szCs w:val="14"/>
              </w:rPr>
            </w:pPr>
            <w:r w:rsidRPr="00D9165E">
              <w:rPr>
                <w:rFonts w:asciiTheme="minorHAnsi" w:hAnsiTheme="minorHAnsi" w:cstheme="minorHAnsi"/>
                <w:sz w:val="14"/>
                <w:szCs w:val="14"/>
              </w:rPr>
              <w:t>Mar 21</w:t>
            </w:r>
          </w:p>
        </w:tc>
        <w:tc>
          <w:tcPr>
            <w:tcW w:w="683" w:type="dxa"/>
            <w:tcBorders>
              <w:left w:val="nil"/>
              <w:bottom w:val="single" w:sz="12" w:space="0" w:color="auto"/>
              <w:right w:val="nil"/>
            </w:tcBorders>
            <w:vAlign w:val="center"/>
          </w:tcPr>
          <w:p w14:paraId="1330A164" w14:textId="5C997299" w:rsidR="002A7CDA" w:rsidRPr="00D9165E" w:rsidRDefault="002A7CDA" w:rsidP="00E14F01">
            <w:pPr>
              <w:jc w:val="right"/>
              <w:rPr>
                <w:rFonts w:asciiTheme="minorHAnsi" w:hAnsiTheme="minorHAnsi" w:cstheme="minorHAnsi"/>
                <w:sz w:val="14"/>
                <w:szCs w:val="14"/>
              </w:rPr>
            </w:pPr>
            <w:r w:rsidRPr="00D9165E">
              <w:rPr>
                <w:rFonts w:asciiTheme="minorHAnsi" w:hAnsiTheme="minorHAnsi" w:cstheme="minorHAnsi"/>
                <w:sz w:val="14"/>
                <w:szCs w:val="14"/>
              </w:rPr>
              <w:t>Apr 21</w:t>
            </w:r>
          </w:p>
        </w:tc>
        <w:tc>
          <w:tcPr>
            <w:tcW w:w="684" w:type="dxa"/>
            <w:tcBorders>
              <w:left w:val="nil"/>
              <w:bottom w:val="single" w:sz="12" w:space="0" w:color="auto"/>
            </w:tcBorders>
            <w:vAlign w:val="center"/>
          </w:tcPr>
          <w:p w14:paraId="20F6B216" w14:textId="0C7E2B6F" w:rsidR="002A7CDA" w:rsidRPr="00D9165E" w:rsidRDefault="002A7CDA" w:rsidP="00E14F01">
            <w:pPr>
              <w:jc w:val="right"/>
              <w:rPr>
                <w:rFonts w:asciiTheme="minorHAnsi" w:hAnsiTheme="minorHAnsi" w:cstheme="minorHAnsi"/>
                <w:sz w:val="14"/>
                <w:szCs w:val="14"/>
              </w:rPr>
            </w:pPr>
            <w:r w:rsidRPr="00D9165E">
              <w:rPr>
                <w:rFonts w:asciiTheme="minorHAnsi" w:hAnsiTheme="minorHAnsi" w:cstheme="minorHAnsi"/>
                <w:sz w:val="14"/>
                <w:szCs w:val="14"/>
              </w:rPr>
              <w:t>May 21</w:t>
            </w:r>
          </w:p>
        </w:tc>
      </w:tr>
      <w:tr w:rsidR="00641B42" w:rsidRPr="00E96585" w14:paraId="65A6BE28" w14:textId="0E7907D3" w:rsidTr="004A399C">
        <w:trPr>
          <w:trHeight w:val="488"/>
        </w:trPr>
        <w:tc>
          <w:tcPr>
            <w:tcW w:w="1431" w:type="dxa"/>
            <w:tcBorders>
              <w:top w:val="single" w:sz="12" w:space="0" w:color="auto"/>
              <w:left w:val="single" w:sz="4" w:space="0" w:color="auto"/>
              <w:bottom w:val="nil"/>
              <w:right w:val="nil"/>
            </w:tcBorders>
            <w:vAlign w:val="center"/>
          </w:tcPr>
          <w:p w14:paraId="383B76D1" w14:textId="03037E27" w:rsidR="00641B42" w:rsidRPr="006C1870" w:rsidRDefault="00641B42" w:rsidP="00641B42">
            <w:pPr>
              <w:rPr>
                <w:rFonts w:asciiTheme="minorHAnsi" w:hAnsiTheme="minorHAnsi" w:cstheme="minorHAnsi"/>
                <w:noProof/>
                <w:sz w:val="20"/>
                <w:szCs w:val="20"/>
              </w:rPr>
            </w:pPr>
            <w:r w:rsidRPr="006C1870">
              <w:rPr>
                <w:rFonts w:asciiTheme="minorHAnsi" w:hAnsiTheme="minorHAnsi" w:cstheme="minorHAnsi"/>
                <w:sz w:val="20"/>
                <w:szCs w:val="20"/>
              </w:rPr>
              <w:t>s78 Hearings</w:t>
            </w:r>
          </w:p>
        </w:tc>
        <w:tc>
          <w:tcPr>
            <w:tcW w:w="683" w:type="dxa"/>
            <w:tcBorders>
              <w:top w:val="nil"/>
              <w:left w:val="nil"/>
              <w:bottom w:val="nil"/>
              <w:right w:val="nil"/>
            </w:tcBorders>
            <w:shd w:val="clear" w:color="auto" w:fill="auto"/>
            <w:vAlign w:val="center"/>
          </w:tcPr>
          <w:p w14:paraId="5C49EF50" w14:textId="64163BC4"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8</w:t>
            </w:r>
          </w:p>
        </w:tc>
        <w:tc>
          <w:tcPr>
            <w:tcW w:w="683" w:type="dxa"/>
            <w:tcBorders>
              <w:top w:val="nil"/>
              <w:left w:val="nil"/>
              <w:bottom w:val="nil"/>
              <w:right w:val="nil"/>
            </w:tcBorders>
            <w:shd w:val="clear" w:color="auto" w:fill="auto"/>
            <w:vAlign w:val="center"/>
          </w:tcPr>
          <w:p w14:paraId="1B6EC388" w14:textId="46A70893"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11</w:t>
            </w:r>
          </w:p>
        </w:tc>
        <w:tc>
          <w:tcPr>
            <w:tcW w:w="683" w:type="dxa"/>
            <w:tcBorders>
              <w:top w:val="nil"/>
              <w:left w:val="nil"/>
              <w:bottom w:val="nil"/>
              <w:right w:val="nil"/>
            </w:tcBorders>
            <w:shd w:val="clear" w:color="auto" w:fill="auto"/>
            <w:vAlign w:val="center"/>
          </w:tcPr>
          <w:p w14:paraId="034FE85D" w14:textId="67829231"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18</w:t>
            </w:r>
          </w:p>
        </w:tc>
        <w:tc>
          <w:tcPr>
            <w:tcW w:w="683" w:type="dxa"/>
            <w:tcBorders>
              <w:top w:val="nil"/>
              <w:left w:val="nil"/>
              <w:bottom w:val="nil"/>
              <w:right w:val="nil"/>
            </w:tcBorders>
            <w:shd w:val="clear" w:color="auto" w:fill="auto"/>
            <w:vAlign w:val="center"/>
          </w:tcPr>
          <w:p w14:paraId="2B91F4DA" w14:textId="0D17F156"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36</w:t>
            </w:r>
          </w:p>
        </w:tc>
        <w:tc>
          <w:tcPr>
            <w:tcW w:w="683" w:type="dxa"/>
            <w:tcBorders>
              <w:top w:val="nil"/>
              <w:left w:val="nil"/>
              <w:bottom w:val="nil"/>
              <w:right w:val="nil"/>
            </w:tcBorders>
            <w:shd w:val="clear" w:color="auto" w:fill="auto"/>
            <w:vAlign w:val="center"/>
          </w:tcPr>
          <w:p w14:paraId="196B2A77" w14:textId="035A1C8E"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41</w:t>
            </w:r>
          </w:p>
        </w:tc>
        <w:tc>
          <w:tcPr>
            <w:tcW w:w="684" w:type="dxa"/>
            <w:tcBorders>
              <w:top w:val="nil"/>
              <w:left w:val="nil"/>
              <w:bottom w:val="nil"/>
              <w:right w:val="nil"/>
            </w:tcBorders>
            <w:shd w:val="clear" w:color="auto" w:fill="auto"/>
            <w:vAlign w:val="center"/>
          </w:tcPr>
          <w:p w14:paraId="3F48C47D" w14:textId="0D352C93"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43</w:t>
            </w:r>
          </w:p>
        </w:tc>
        <w:tc>
          <w:tcPr>
            <w:tcW w:w="683" w:type="dxa"/>
            <w:tcBorders>
              <w:top w:val="nil"/>
              <w:left w:val="nil"/>
              <w:bottom w:val="nil"/>
              <w:right w:val="nil"/>
            </w:tcBorders>
            <w:shd w:val="clear" w:color="auto" w:fill="auto"/>
            <w:vAlign w:val="center"/>
          </w:tcPr>
          <w:p w14:paraId="3A1AECAA" w14:textId="14C00F1A"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35</w:t>
            </w:r>
          </w:p>
        </w:tc>
        <w:tc>
          <w:tcPr>
            <w:tcW w:w="683" w:type="dxa"/>
            <w:tcBorders>
              <w:top w:val="nil"/>
              <w:left w:val="nil"/>
              <w:bottom w:val="nil"/>
              <w:right w:val="nil"/>
            </w:tcBorders>
            <w:shd w:val="clear" w:color="auto" w:fill="auto"/>
            <w:vAlign w:val="center"/>
          </w:tcPr>
          <w:p w14:paraId="610649C4" w14:textId="2C757C1E"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35</w:t>
            </w:r>
          </w:p>
        </w:tc>
        <w:tc>
          <w:tcPr>
            <w:tcW w:w="683" w:type="dxa"/>
            <w:tcBorders>
              <w:top w:val="nil"/>
              <w:left w:val="nil"/>
              <w:bottom w:val="nil"/>
              <w:right w:val="nil"/>
            </w:tcBorders>
            <w:shd w:val="clear" w:color="auto" w:fill="auto"/>
            <w:vAlign w:val="center"/>
          </w:tcPr>
          <w:p w14:paraId="28DF5369" w14:textId="28B8A1B8"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23</w:t>
            </w:r>
          </w:p>
        </w:tc>
        <w:tc>
          <w:tcPr>
            <w:tcW w:w="683" w:type="dxa"/>
            <w:tcBorders>
              <w:top w:val="nil"/>
              <w:left w:val="nil"/>
              <w:bottom w:val="nil"/>
              <w:right w:val="nil"/>
            </w:tcBorders>
            <w:shd w:val="clear" w:color="auto" w:fill="auto"/>
            <w:vAlign w:val="center"/>
          </w:tcPr>
          <w:p w14:paraId="5595BD30" w14:textId="5C089A68"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33</w:t>
            </w:r>
          </w:p>
        </w:tc>
        <w:tc>
          <w:tcPr>
            <w:tcW w:w="683" w:type="dxa"/>
            <w:tcBorders>
              <w:top w:val="single" w:sz="12" w:space="0" w:color="auto"/>
              <w:left w:val="nil"/>
              <w:bottom w:val="nil"/>
              <w:right w:val="nil"/>
            </w:tcBorders>
            <w:shd w:val="clear" w:color="auto" w:fill="auto"/>
            <w:vAlign w:val="center"/>
          </w:tcPr>
          <w:p w14:paraId="7FCB0522" w14:textId="2F7161EB"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29</w:t>
            </w:r>
          </w:p>
        </w:tc>
        <w:tc>
          <w:tcPr>
            <w:tcW w:w="684" w:type="dxa"/>
            <w:tcBorders>
              <w:top w:val="single" w:sz="12" w:space="0" w:color="auto"/>
              <w:left w:val="nil"/>
              <w:bottom w:val="nil"/>
              <w:right w:val="single" w:sz="4" w:space="0" w:color="auto"/>
            </w:tcBorders>
            <w:shd w:val="clear" w:color="auto" w:fill="auto"/>
            <w:vAlign w:val="center"/>
          </w:tcPr>
          <w:p w14:paraId="542DD7F5" w14:textId="2BC63D47"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26</w:t>
            </w:r>
          </w:p>
        </w:tc>
      </w:tr>
      <w:tr w:rsidR="00641B42" w:rsidRPr="00E96585" w14:paraId="37487B99" w14:textId="3A75B741" w:rsidTr="004A399C">
        <w:trPr>
          <w:trHeight w:val="488"/>
        </w:trPr>
        <w:tc>
          <w:tcPr>
            <w:tcW w:w="1431" w:type="dxa"/>
            <w:tcBorders>
              <w:top w:val="nil"/>
              <w:left w:val="single" w:sz="4" w:space="0" w:color="auto"/>
              <w:bottom w:val="nil"/>
              <w:right w:val="nil"/>
            </w:tcBorders>
            <w:vAlign w:val="center"/>
          </w:tcPr>
          <w:p w14:paraId="48DA0110" w14:textId="5DE5325C" w:rsidR="00641B42" w:rsidRPr="006C1870" w:rsidRDefault="00641B42" w:rsidP="00641B42">
            <w:pPr>
              <w:rPr>
                <w:rFonts w:asciiTheme="minorHAnsi" w:hAnsiTheme="minorHAnsi" w:cstheme="minorHAnsi"/>
                <w:noProof/>
                <w:sz w:val="20"/>
                <w:szCs w:val="20"/>
              </w:rPr>
            </w:pPr>
            <w:r w:rsidRPr="006C1870">
              <w:rPr>
                <w:rFonts w:asciiTheme="minorHAnsi" w:hAnsiTheme="minorHAnsi" w:cstheme="minorHAnsi"/>
                <w:sz w:val="20"/>
                <w:szCs w:val="20"/>
              </w:rPr>
              <w:t>s78 Inquiries</w:t>
            </w:r>
          </w:p>
        </w:tc>
        <w:tc>
          <w:tcPr>
            <w:tcW w:w="683" w:type="dxa"/>
            <w:tcBorders>
              <w:top w:val="nil"/>
              <w:left w:val="nil"/>
              <w:bottom w:val="nil"/>
              <w:right w:val="nil"/>
            </w:tcBorders>
            <w:shd w:val="clear" w:color="auto" w:fill="auto"/>
            <w:vAlign w:val="center"/>
          </w:tcPr>
          <w:p w14:paraId="6E67984E" w14:textId="2A6657FC"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4</w:t>
            </w:r>
          </w:p>
        </w:tc>
        <w:tc>
          <w:tcPr>
            <w:tcW w:w="683" w:type="dxa"/>
            <w:tcBorders>
              <w:top w:val="nil"/>
              <w:left w:val="nil"/>
              <w:bottom w:val="nil"/>
              <w:right w:val="nil"/>
            </w:tcBorders>
            <w:shd w:val="clear" w:color="auto" w:fill="auto"/>
            <w:vAlign w:val="center"/>
          </w:tcPr>
          <w:p w14:paraId="174ACBD8" w14:textId="3E76A143"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6</w:t>
            </w:r>
          </w:p>
        </w:tc>
        <w:tc>
          <w:tcPr>
            <w:tcW w:w="683" w:type="dxa"/>
            <w:tcBorders>
              <w:top w:val="nil"/>
              <w:left w:val="nil"/>
              <w:bottom w:val="nil"/>
              <w:right w:val="nil"/>
            </w:tcBorders>
            <w:shd w:val="clear" w:color="auto" w:fill="auto"/>
            <w:vAlign w:val="center"/>
          </w:tcPr>
          <w:p w14:paraId="2B7AD957" w14:textId="16C538D1"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4</w:t>
            </w:r>
          </w:p>
        </w:tc>
        <w:tc>
          <w:tcPr>
            <w:tcW w:w="683" w:type="dxa"/>
            <w:tcBorders>
              <w:top w:val="nil"/>
              <w:left w:val="nil"/>
              <w:bottom w:val="nil"/>
              <w:right w:val="nil"/>
            </w:tcBorders>
            <w:shd w:val="clear" w:color="auto" w:fill="auto"/>
            <w:vAlign w:val="center"/>
          </w:tcPr>
          <w:p w14:paraId="22F0971A" w14:textId="48E8E8FB"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11</w:t>
            </w:r>
          </w:p>
        </w:tc>
        <w:tc>
          <w:tcPr>
            <w:tcW w:w="683" w:type="dxa"/>
            <w:tcBorders>
              <w:top w:val="nil"/>
              <w:left w:val="nil"/>
              <w:bottom w:val="nil"/>
              <w:right w:val="nil"/>
            </w:tcBorders>
            <w:shd w:val="clear" w:color="auto" w:fill="auto"/>
            <w:vAlign w:val="center"/>
          </w:tcPr>
          <w:p w14:paraId="02E198A4" w14:textId="4701BA85"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11</w:t>
            </w:r>
          </w:p>
        </w:tc>
        <w:tc>
          <w:tcPr>
            <w:tcW w:w="684" w:type="dxa"/>
            <w:tcBorders>
              <w:top w:val="nil"/>
              <w:left w:val="nil"/>
              <w:bottom w:val="nil"/>
              <w:right w:val="nil"/>
            </w:tcBorders>
            <w:shd w:val="clear" w:color="auto" w:fill="auto"/>
            <w:vAlign w:val="center"/>
          </w:tcPr>
          <w:p w14:paraId="23A9770A" w14:textId="211BF969"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17</w:t>
            </w:r>
          </w:p>
        </w:tc>
        <w:tc>
          <w:tcPr>
            <w:tcW w:w="683" w:type="dxa"/>
            <w:tcBorders>
              <w:top w:val="nil"/>
              <w:left w:val="nil"/>
              <w:bottom w:val="nil"/>
              <w:right w:val="nil"/>
            </w:tcBorders>
            <w:shd w:val="clear" w:color="auto" w:fill="auto"/>
            <w:vAlign w:val="center"/>
          </w:tcPr>
          <w:p w14:paraId="69678E4E" w14:textId="1DAC8C2C"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17</w:t>
            </w:r>
          </w:p>
        </w:tc>
        <w:tc>
          <w:tcPr>
            <w:tcW w:w="683" w:type="dxa"/>
            <w:tcBorders>
              <w:top w:val="nil"/>
              <w:left w:val="nil"/>
              <w:bottom w:val="nil"/>
              <w:right w:val="nil"/>
            </w:tcBorders>
            <w:shd w:val="clear" w:color="auto" w:fill="auto"/>
            <w:vAlign w:val="center"/>
          </w:tcPr>
          <w:p w14:paraId="20D3C21D" w14:textId="745791AC"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14</w:t>
            </w:r>
          </w:p>
        </w:tc>
        <w:tc>
          <w:tcPr>
            <w:tcW w:w="683" w:type="dxa"/>
            <w:tcBorders>
              <w:top w:val="nil"/>
              <w:left w:val="nil"/>
              <w:bottom w:val="nil"/>
              <w:right w:val="nil"/>
            </w:tcBorders>
            <w:shd w:val="clear" w:color="auto" w:fill="auto"/>
            <w:vAlign w:val="center"/>
          </w:tcPr>
          <w:p w14:paraId="4D7E75D5" w14:textId="649A9946"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15</w:t>
            </w:r>
          </w:p>
        </w:tc>
        <w:tc>
          <w:tcPr>
            <w:tcW w:w="683" w:type="dxa"/>
            <w:tcBorders>
              <w:top w:val="nil"/>
              <w:left w:val="nil"/>
              <w:bottom w:val="nil"/>
              <w:right w:val="nil"/>
            </w:tcBorders>
            <w:shd w:val="clear" w:color="auto" w:fill="auto"/>
            <w:vAlign w:val="center"/>
          </w:tcPr>
          <w:p w14:paraId="52C1BE7B" w14:textId="323474D5"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21</w:t>
            </w:r>
          </w:p>
        </w:tc>
        <w:tc>
          <w:tcPr>
            <w:tcW w:w="683" w:type="dxa"/>
            <w:tcBorders>
              <w:top w:val="nil"/>
              <w:left w:val="nil"/>
              <w:bottom w:val="nil"/>
              <w:right w:val="nil"/>
            </w:tcBorders>
            <w:shd w:val="clear" w:color="auto" w:fill="auto"/>
            <w:vAlign w:val="center"/>
          </w:tcPr>
          <w:p w14:paraId="223438A8" w14:textId="4F1F49E3"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15</w:t>
            </w:r>
          </w:p>
        </w:tc>
        <w:tc>
          <w:tcPr>
            <w:tcW w:w="684" w:type="dxa"/>
            <w:tcBorders>
              <w:top w:val="nil"/>
              <w:left w:val="nil"/>
              <w:bottom w:val="nil"/>
              <w:right w:val="single" w:sz="4" w:space="0" w:color="auto"/>
            </w:tcBorders>
            <w:shd w:val="clear" w:color="auto" w:fill="auto"/>
            <w:vAlign w:val="center"/>
          </w:tcPr>
          <w:p w14:paraId="5104112E" w14:textId="7E62706A"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24</w:t>
            </w:r>
          </w:p>
        </w:tc>
      </w:tr>
      <w:tr w:rsidR="00641B42" w:rsidRPr="00E96585" w14:paraId="03874231" w14:textId="0736E46C" w:rsidTr="004A399C">
        <w:trPr>
          <w:trHeight w:val="488"/>
        </w:trPr>
        <w:tc>
          <w:tcPr>
            <w:tcW w:w="1431" w:type="dxa"/>
            <w:tcBorders>
              <w:top w:val="nil"/>
              <w:left w:val="single" w:sz="4" w:space="0" w:color="auto"/>
              <w:bottom w:val="nil"/>
              <w:right w:val="nil"/>
            </w:tcBorders>
            <w:vAlign w:val="center"/>
          </w:tcPr>
          <w:p w14:paraId="72BA7991" w14:textId="7AD0DA51" w:rsidR="00641B42" w:rsidRPr="006C1870" w:rsidRDefault="00641B42" w:rsidP="00641B42">
            <w:pPr>
              <w:rPr>
                <w:rFonts w:asciiTheme="minorHAnsi" w:hAnsiTheme="minorHAnsi" w:cstheme="minorHAnsi"/>
                <w:noProof/>
                <w:sz w:val="20"/>
                <w:szCs w:val="20"/>
              </w:rPr>
            </w:pPr>
            <w:r w:rsidRPr="006C1870">
              <w:rPr>
                <w:rFonts w:asciiTheme="minorHAnsi" w:hAnsiTheme="minorHAnsi" w:cstheme="minorHAnsi"/>
                <w:sz w:val="20"/>
                <w:szCs w:val="20"/>
              </w:rPr>
              <w:t>Enforcement</w:t>
            </w:r>
          </w:p>
        </w:tc>
        <w:tc>
          <w:tcPr>
            <w:tcW w:w="683" w:type="dxa"/>
            <w:tcBorders>
              <w:top w:val="nil"/>
              <w:left w:val="nil"/>
              <w:bottom w:val="nil"/>
              <w:right w:val="nil"/>
            </w:tcBorders>
            <w:shd w:val="clear" w:color="auto" w:fill="auto"/>
            <w:vAlign w:val="center"/>
          </w:tcPr>
          <w:p w14:paraId="76D69979" w14:textId="33B97E0F"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0</w:t>
            </w:r>
          </w:p>
        </w:tc>
        <w:tc>
          <w:tcPr>
            <w:tcW w:w="683" w:type="dxa"/>
            <w:tcBorders>
              <w:top w:val="nil"/>
              <w:left w:val="nil"/>
              <w:bottom w:val="nil"/>
              <w:right w:val="nil"/>
            </w:tcBorders>
            <w:shd w:val="clear" w:color="auto" w:fill="auto"/>
            <w:vAlign w:val="center"/>
          </w:tcPr>
          <w:p w14:paraId="21CAA315" w14:textId="3B9566D8"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w:t>
            </w:r>
          </w:p>
        </w:tc>
        <w:tc>
          <w:tcPr>
            <w:tcW w:w="683" w:type="dxa"/>
            <w:tcBorders>
              <w:top w:val="nil"/>
              <w:left w:val="nil"/>
              <w:bottom w:val="nil"/>
              <w:right w:val="nil"/>
            </w:tcBorders>
            <w:shd w:val="clear" w:color="auto" w:fill="auto"/>
            <w:vAlign w:val="center"/>
          </w:tcPr>
          <w:p w14:paraId="75DF144C" w14:textId="5D772D22"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3</w:t>
            </w:r>
          </w:p>
        </w:tc>
        <w:tc>
          <w:tcPr>
            <w:tcW w:w="683" w:type="dxa"/>
            <w:tcBorders>
              <w:top w:val="nil"/>
              <w:left w:val="nil"/>
              <w:bottom w:val="nil"/>
              <w:right w:val="nil"/>
            </w:tcBorders>
            <w:shd w:val="clear" w:color="auto" w:fill="auto"/>
            <w:vAlign w:val="center"/>
          </w:tcPr>
          <w:p w14:paraId="0A1AA63E" w14:textId="0BBAEF33"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9</w:t>
            </w:r>
          </w:p>
        </w:tc>
        <w:tc>
          <w:tcPr>
            <w:tcW w:w="683" w:type="dxa"/>
            <w:tcBorders>
              <w:top w:val="nil"/>
              <w:left w:val="nil"/>
              <w:bottom w:val="nil"/>
              <w:right w:val="nil"/>
            </w:tcBorders>
            <w:shd w:val="clear" w:color="auto" w:fill="auto"/>
            <w:vAlign w:val="center"/>
          </w:tcPr>
          <w:p w14:paraId="3B684B1A" w14:textId="0306B104"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15</w:t>
            </w:r>
          </w:p>
        </w:tc>
        <w:tc>
          <w:tcPr>
            <w:tcW w:w="684" w:type="dxa"/>
            <w:tcBorders>
              <w:top w:val="nil"/>
              <w:left w:val="nil"/>
              <w:bottom w:val="nil"/>
              <w:right w:val="nil"/>
            </w:tcBorders>
            <w:shd w:val="clear" w:color="auto" w:fill="auto"/>
            <w:vAlign w:val="center"/>
          </w:tcPr>
          <w:p w14:paraId="2B15EF3A" w14:textId="4A90F63C"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18</w:t>
            </w:r>
          </w:p>
        </w:tc>
        <w:tc>
          <w:tcPr>
            <w:tcW w:w="683" w:type="dxa"/>
            <w:tcBorders>
              <w:top w:val="nil"/>
              <w:left w:val="nil"/>
              <w:bottom w:val="nil"/>
              <w:right w:val="nil"/>
            </w:tcBorders>
            <w:shd w:val="clear" w:color="auto" w:fill="auto"/>
            <w:vAlign w:val="center"/>
          </w:tcPr>
          <w:p w14:paraId="7EC82355" w14:textId="4CD4CFB8"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26</w:t>
            </w:r>
          </w:p>
        </w:tc>
        <w:tc>
          <w:tcPr>
            <w:tcW w:w="683" w:type="dxa"/>
            <w:tcBorders>
              <w:top w:val="nil"/>
              <w:left w:val="nil"/>
              <w:bottom w:val="nil"/>
              <w:right w:val="nil"/>
            </w:tcBorders>
            <w:shd w:val="clear" w:color="auto" w:fill="auto"/>
            <w:vAlign w:val="center"/>
          </w:tcPr>
          <w:p w14:paraId="0A70BA53" w14:textId="5D00C921"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34</w:t>
            </w:r>
          </w:p>
        </w:tc>
        <w:tc>
          <w:tcPr>
            <w:tcW w:w="683" w:type="dxa"/>
            <w:tcBorders>
              <w:top w:val="nil"/>
              <w:left w:val="nil"/>
              <w:bottom w:val="nil"/>
              <w:right w:val="nil"/>
            </w:tcBorders>
            <w:shd w:val="clear" w:color="auto" w:fill="auto"/>
            <w:vAlign w:val="center"/>
          </w:tcPr>
          <w:p w14:paraId="1007279E" w14:textId="26B0FC37"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36</w:t>
            </w:r>
          </w:p>
        </w:tc>
        <w:tc>
          <w:tcPr>
            <w:tcW w:w="683" w:type="dxa"/>
            <w:tcBorders>
              <w:top w:val="nil"/>
              <w:left w:val="nil"/>
              <w:bottom w:val="nil"/>
              <w:right w:val="nil"/>
            </w:tcBorders>
            <w:shd w:val="clear" w:color="auto" w:fill="auto"/>
            <w:vAlign w:val="center"/>
          </w:tcPr>
          <w:p w14:paraId="1210C398" w14:textId="1E28672C"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30</w:t>
            </w:r>
          </w:p>
        </w:tc>
        <w:tc>
          <w:tcPr>
            <w:tcW w:w="683" w:type="dxa"/>
            <w:tcBorders>
              <w:top w:val="nil"/>
              <w:left w:val="nil"/>
              <w:bottom w:val="nil"/>
              <w:right w:val="nil"/>
            </w:tcBorders>
            <w:shd w:val="clear" w:color="auto" w:fill="auto"/>
            <w:vAlign w:val="center"/>
          </w:tcPr>
          <w:p w14:paraId="2DBC3B48" w14:textId="28CD2121"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31</w:t>
            </w:r>
          </w:p>
        </w:tc>
        <w:tc>
          <w:tcPr>
            <w:tcW w:w="684" w:type="dxa"/>
            <w:tcBorders>
              <w:top w:val="nil"/>
              <w:left w:val="nil"/>
              <w:bottom w:val="nil"/>
              <w:right w:val="single" w:sz="4" w:space="0" w:color="auto"/>
            </w:tcBorders>
            <w:shd w:val="clear" w:color="auto" w:fill="auto"/>
            <w:vAlign w:val="center"/>
          </w:tcPr>
          <w:p w14:paraId="5FE5BE20" w14:textId="607CA7B5"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20</w:t>
            </w:r>
          </w:p>
        </w:tc>
      </w:tr>
      <w:tr w:rsidR="00641B42" w:rsidRPr="00E96585" w14:paraId="3AD2F790" w14:textId="12ED013B" w:rsidTr="004A399C">
        <w:trPr>
          <w:trHeight w:val="488"/>
        </w:trPr>
        <w:tc>
          <w:tcPr>
            <w:tcW w:w="1431" w:type="dxa"/>
            <w:tcBorders>
              <w:top w:val="nil"/>
              <w:left w:val="single" w:sz="4" w:space="0" w:color="auto"/>
              <w:bottom w:val="nil"/>
              <w:right w:val="nil"/>
            </w:tcBorders>
            <w:vAlign w:val="center"/>
          </w:tcPr>
          <w:p w14:paraId="7702F52A" w14:textId="05FC994F" w:rsidR="00641B42" w:rsidRPr="006C1870" w:rsidRDefault="00641B42" w:rsidP="00641B42">
            <w:pPr>
              <w:rPr>
                <w:rFonts w:asciiTheme="minorHAnsi" w:hAnsiTheme="minorHAnsi" w:cstheme="minorHAnsi"/>
                <w:noProof/>
                <w:sz w:val="20"/>
                <w:szCs w:val="20"/>
              </w:rPr>
            </w:pPr>
            <w:r w:rsidRPr="006C1870">
              <w:rPr>
                <w:rFonts w:asciiTheme="minorHAnsi" w:hAnsiTheme="minorHAnsi" w:cstheme="minorHAnsi"/>
                <w:sz w:val="20"/>
                <w:szCs w:val="20"/>
              </w:rPr>
              <w:t>Local Plans</w:t>
            </w:r>
          </w:p>
        </w:tc>
        <w:tc>
          <w:tcPr>
            <w:tcW w:w="683" w:type="dxa"/>
            <w:tcBorders>
              <w:top w:val="nil"/>
              <w:left w:val="nil"/>
              <w:bottom w:val="nil"/>
              <w:right w:val="nil"/>
            </w:tcBorders>
            <w:shd w:val="clear" w:color="auto" w:fill="auto"/>
            <w:vAlign w:val="center"/>
          </w:tcPr>
          <w:p w14:paraId="47844245" w14:textId="4CABEBA7"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w:t>
            </w:r>
          </w:p>
        </w:tc>
        <w:tc>
          <w:tcPr>
            <w:tcW w:w="683" w:type="dxa"/>
            <w:tcBorders>
              <w:top w:val="nil"/>
              <w:left w:val="nil"/>
              <w:bottom w:val="nil"/>
              <w:right w:val="nil"/>
            </w:tcBorders>
            <w:shd w:val="clear" w:color="auto" w:fill="auto"/>
            <w:vAlign w:val="center"/>
          </w:tcPr>
          <w:p w14:paraId="37EF2E34" w14:textId="0DCDB6AF"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2</w:t>
            </w:r>
          </w:p>
        </w:tc>
        <w:tc>
          <w:tcPr>
            <w:tcW w:w="683" w:type="dxa"/>
            <w:tcBorders>
              <w:top w:val="nil"/>
              <w:left w:val="nil"/>
              <w:bottom w:val="nil"/>
              <w:right w:val="nil"/>
            </w:tcBorders>
            <w:shd w:val="clear" w:color="auto" w:fill="auto"/>
            <w:vAlign w:val="center"/>
          </w:tcPr>
          <w:p w14:paraId="6DCC5243" w14:textId="3F82008D"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3</w:t>
            </w:r>
          </w:p>
        </w:tc>
        <w:tc>
          <w:tcPr>
            <w:tcW w:w="683" w:type="dxa"/>
            <w:tcBorders>
              <w:top w:val="nil"/>
              <w:left w:val="nil"/>
              <w:bottom w:val="nil"/>
              <w:right w:val="nil"/>
            </w:tcBorders>
            <w:shd w:val="clear" w:color="auto" w:fill="auto"/>
            <w:vAlign w:val="center"/>
          </w:tcPr>
          <w:p w14:paraId="527CB838" w14:textId="56937F50"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7</w:t>
            </w:r>
          </w:p>
        </w:tc>
        <w:tc>
          <w:tcPr>
            <w:tcW w:w="683" w:type="dxa"/>
            <w:tcBorders>
              <w:top w:val="nil"/>
              <w:left w:val="nil"/>
              <w:bottom w:val="nil"/>
              <w:right w:val="nil"/>
            </w:tcBorders>
            <w:shd w:val="clear" w:color="auto" w:fill="auto"/>
            <w:vAlign w:val="center"/>
          </w:tcPr>
          <w:p w14:paraId="15B41B22" w14:textId="46173BB9"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14</w:t>
            </w:r>
          </w:p>
        </w:tc>
        <w:tc>
          <w:tcPr>
            <w:tcW w:w="684" w:type="dxa"/>
            <w:tcBorders>
              <w:top w:val="nil"/>
              <w:left w:val="nil"/>
              <w:bottom w:val="nil"/>
              <w:right w:val="nil"/>
            </w:tcBorders>
            <w:shd w:val="clear" w:color="auto" w:fill="auto"/>
            <w:vAlign w:val="center"/>
          </w:tcPr>
          <w:p w14:paraId="39819236" w14:textId="32AF54EE"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12</w:t>
            </w:r>
          </w:p>
        </w:tc>
        <w:tc>
          <w:tcPr>
            <w:tcW w:w="683" w:type="dxa"/>
            <w:tcBorders>
              <w:top w:val="nil"/>
              <w:left w:val="nil"/>
              <w:bottom w:val="nil"/>
              <w:right w:val="nil"/>
            </w:tcBorders>
            <w:shd w:val="clear" w:color="auto" w:fill="auto"/>
            <w:vAlign w:val="center"/>
          </w:tcPr>
          <w:p w14:paraId="4C498426" w14:textId="14992AB4"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12</w:t>
            </w:r>
          </w:p>
        </w:tc>
        <w:tc>
          <w:tcPr>
            <w:tcW w:w="683" w:type="dxa"/>
            <w:tcBorders>
              <w:top w:val="nil"/>
              <w:left w:val="nil"/>
              <w:bottom w:val="nil"/>
              <w:right w:val="nil"/>
            </w:tcBorders>
            <w:shd w:val="clear" w:color="auto" w:fill="auto"/>
            <w:vAlign w:val="center"/>
          </w:tcPr>
          <w:p w14:paraId="0BE65716" w14:textId="74DBEFDE"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5</w:t>
            </w:r>
          </w:p>
        </w:tc>
        <w:tc>
          <w:tcPr>
            <w:tcW w:w="683" w:type="dxa"/>
            <w:tcBorders>
              <w:top w:val="nil"/>
              <w:left w:val="nil"/>
              <w:bottom w:val="nil"/>
              <w:right w:val="nil"/>
            </w:tcBorders>
            <w:shd w:val="clear" w:color="auto" w:fill="auto"/>
            <w:vAlign w:val="center"/>
          </w:tcPr>
          <w:p w14:paraId="5C233C2C" w14:textId="4681429F"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7</w:t>
            </w:r>
          </w:p>
        </w:tc>
        <w:tc>
          <w:tcPr>
            <w:tcW w:w="683" w:type="dxa"/>
            <w:tcBorders>
              <w:top w:val="nil"/>
              <w:left w:val="nil"/>
              <w:bottom w:val="nil"/>
              <w:right w:val="nil"/>
            </w:tcBorders>
            <w:shd w:val="clear" w:color="auto" w:fill="auto"/>
            <w:vAlign w:val="center"/>
          </w:tcPr>
          <w:p w14:paraId="7B0594B3" w14:textId="6E2B09D5"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9</w:t>
            </w:r>
          </w:p>
        </w:tc>
        <w:tc>
          <w:tcPr>
            <w:tcW w:w="683" w:type="dxa"/>
            <w:tcBorders>
              <w:top w:val="nil"/>
              <w:left w:val="nil"/>
              <w:bottom w:val="nil"/>
              <w:right w:val="nil"/>
            </w:tcBorders>
            <w:shd w:val="clear" w:color="auto" w:fill="auto"/>
            <w:vAlign w:val="center"/>
          </w:tcPr>
          <w:p w14:paraId="1BD40F3F" w14:textId="2166BA38"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5</w:t>
            </w:r>
          </w:p>
        </w:tc>
        <w:tc>
          <w:tcPr>
            <w:tcW w:w="684" w:type="dxa"/>
            <w:tcBorders>
              <w:top w:val="nil"/>
              <w:left w:val="nil"/>
              <w:bottom w:val="nil"/>
              <w:right w:val="single" w:sz="4" w:space="0" w:color="auto"/>
            </w:tcBorders>
            <w:shd w:val="clear" w:color="auto" w:fill="auto"/>
            <w:vAlign w:val="center"/>
          </w:tcPr>
          <w:p w14:paraId="2954FCD1" w14:textId="7D02CC35"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6</w:t>
            </w:r>
          </w:p>
        </w:tc>
      </w:tr>
      <w:tr w:rsidR="00641B42" w:rsidRPr="00E96585" w14:paraId="14B3F386" w14:textId="233A33BA" w:rsidTr="004A399C">
        <w:trPr>
          <w:trHeight w:val="488"/>
        </w:trPr>
        <w:tc>
          <w:tcPr>
            <w:tcW w:w="1431" w:type="dxa"/>
            <w:tcBorders>
              <w:top w:val="nil"/>
              <w:left w:val="single" w:sz="4" w:space="0" w:color="auto"/>
              <w:bottom w:val="nil"/>
              <w:right w:val="nil"/>
            </w:tcBorders>
            <w:vAlign w:val="center"/>
          </w:tcPr>
          <w:p w14:paraId="4A700FE6" w14:textId="64D4EF85" w:rsidR="00641B42" w:rsidRPr="006C1870" w:rsidRDefault="00641B42" w:rsidP="00641B42">
            <w:pPr>
              <w:rPr>
                <w:rFonts w:asciiTheme="minorHAnsi" w:hAnsiTheme="minorHAnsi" w:cstheme="minorHAnsi"/>
                <w:noProof/>
                <w:sz w:val="20"/>
                <w:szCs w:val="20"/>
              </w:rPr>
            </w:pPr>
            <w:r w:rsidRPr="006C1870">
              <w:rPr>
                <w:rFonts w:asciiTheme="minorHAnsi" w:hAnsiTheme="minorHAnsi" w:cstheme="minorHAnsi"/>
                <w:sz w:val="20"/>
                <w:szCs w:val="20"/>
              </w:rPr>
              <w:t>National Infrastructure</w:t>
            </w:r>
          </w:p>
        </w:tc>
        <w:tc>
          <w:tcPr>
            <w:tcW w:w="683" w:type="dxa"/>
            <w:tcBorders>
              <w:top w:val="nil"/>
              <w:left w:val="nil"/>
              <w:bottom w:val="nil"/>
              <w:right w:val="nil"/>
            </w:tcBorders>
            <w:shd w:val="clear" w:color="auto" w:fill="auto"/>
            <w:vAlign w:val="center"/>
          </w:tcPr>
          <w:p w14:paraId="42992112"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3</w:t>
            </w:r>
          </w:p>
          <w:p w14:paraId="481EDA6C" w14:textId="07968F14"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(3)</w:t>
            </w:r>
          </w:p>
        </w:tc>
        <w:tc>
          <w:tcPr>
            <w:tcW w:w="683" w:type="dxa"/>
            <w:tcBorders>
              <w:top w:val="nil"/>
              <w:left w:val="nil"/>
              <w:bottom w:val="nil"/>
              <w:right w:val="nil"/>
            </w:tcBorders>
            <w:shd w:val="clear" w:color="auto" w:fill="auto"/>
            <w:vAlign w:val="center"/>
          </w:tcPr>
          <w:p w14:paraId="0FB976BA"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1</w:t>
            </w:r>
          </w:p>
          <w:p w14:paraId="62AE4257" w14:textId="35FB9615"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 xml:space="preserve"> (3)</w:t>
            </w:r>
          </w:p>
        </w:tc>
        <w:tc>
          <w:tcPr>
            <w:tcW w:w="683" w:type="dxa"/>
            <w:tcBorders>
              <w:top w:val="nil"/>
              <w:left w:val="nil"/>
              <w:bottom w:val="nil"/>
              <w:right w:val="nil"/>
            </w:tcBorders>
            <w:shd w:val="clear" w:color="auto" w:fill="auto"/>
            <w:vAlign w:val="center"/>
          </w:tcPr>
          <w:p w14:paraId="4FE06DEF"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 xml:space="preserve">1 </w:t>
            </w:r>
          </w:p>
          <w:p w14:paraId="5233ED07" w14:textId="590C81E7"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(2)</w:t>
            </w:r>
          </w:p>
        </w:tc>
        <w:tc>
          <w:tcPr>
            <w:tcW w:w="683" w:type="dxa"/>
            <w:tcBorders>
              <w:top w:val="nil"/>
              <w:left w:val="nil"/>
              <w:bottom w:val="nil"/>
              <w:right w:val="nil"/>
            </w:tcBorders>
            <w:shd w:val="clear" w:color="auto" w:fill="auto"/>
            <w:vAlign w:val="center"/>
          </w:tcPr>
          <w:p w14:paraId="6EB34E74"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 xml:space="preserve">2 </w:t>
            </w:r>
          </w:p>
          <w:p w14:paraId="2D191530" w14:textId="6FE63CB1"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(3)</w:t>
            </w:r>
          </w:p>
        </w:tc>
        <w:tc>
          <w:tcPr>
            <w:tcW w:w="683" w:type="dxa"/>
            <w:tcBorders>
              <w:top w:val="nil"/>
              <w:left w:val="nil"/>
              <w:bottom w:val="nil"/>
              <w:right w:val="nil"/>
            </w:tcBorders>
            <w:shd w:val="clear" w:color="auto" w:fill="auto"/>
            <w:vAlign w:val="center"/>
          </w:tcPr>
          <w:p w14:paraId="364E9EA4" w14:textId="442F30AA"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10 (30)</w:t>
            </w:r>
          </w:p>
        </w:tc>
        <w:tc>
          <w:tcPr>
            <w:tcW w:w="684" w:type="dxa"/>
            <w:tcBorders>
              <w:top w:val="nil"/>
              <w:left w:val="nil"/>
              <w:bottom w:val="nil"/>
              <w:right w:val="nil"/>
            </w:tcBorders>
            <w:shd w:val="clear" w:color="auto" w:fill="auto"/>
            <w:vAlign w:val="center"/>
          </w:tcPr>
          <w:p w14:paraId="74F11B02"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 xml:space="preserve">3 </w:t>
            </w:r>
          </w:p>
          <w:p w14:paraId="0128C902" w14:textId="6FD5B797"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(9)</w:t>
            </w:r>
          </w:p>
        </w:tc>
        <w:tc>
          <w:tcPr>
            <w:tcW w:w="683" w:type="dxa"/>
            <w:tcBorders>
              <w:top w:val="nil"/>
              <w:left w:val="nil"/>
              <w:bottom w:val="nil"/>
              <w:right w:val="nil"/>
            </w:tcBorders>
            <w:shd w:val="clear" w:color="auto" w:fill="auto"/>
            <w:vAlign w:val="center"/>
          </w:tcPr>
          <w:p w14:paraId="0EE3B95E" w14:textId="01F4BD47"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6 (18)</w:t>
            </w:r>
          </w:p>
        </w:tc>
        <w:tc>
          <w:tcPr>
            <w:tcW w:w="683" w:type="dxa"/>
            <w:tcBorders>
              <w:top w:val="nil"/>
              <w:left w:val="nil"/>
              <w:bottom w:val="nil"/>
              <w:right w:val="nil"/>
            </w:tcBorders>
            <w:shd w:val="clear" w:color="auto" w:fill="auto"/>
            <w:vAlign w:val="center"/>
          </w:tcPr>
          <w:p w14:paraId="5B34BD20"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 xml:space="preserve">3 </w:t>
            </w:r>
          </w:p>
          <w:p w14:paraId="2834CDB2" w14:textId="60A5FF01"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(7)</w:t>
            </w:r>
          </w:p>
        </w:tc>
        <w:tc>
          <w:tcPr>
            <w:tcW w:w="683" w:type="dxa"/>
            <w:tcBorders>
              <w:top w:val="nil"/>
              <w:left w:val="nil"/>
              <w:bottom w:val="nil"/>
              <w:right w:val="nil"/>
            </w:tcBorders>
            <w:shd w:val="clear" w:color="auto" w:fill="auto"/>
            <w:vAlign w:val="center"/>
          </w:tcPr>
          <w:p w14:paraId="219D32E0"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 xml:space="preserve">4 </w:t>
            </w:r>
          </w:p>
          <w:p w14:paraId="2FB9B08A" w14:textId="114866D2"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(8)</w:t>
            </w:r>
          </w:p>
        </w:tc>
        <w:tc>
          <w:tcPr>
            <w:tcW w:w="683" w:type="dxa"/>
            <w:tcBorders>
              <w:top w:val="nil"/>
              <w:left w:val="nil"/>
              <w:bottom w:val="nil"/>
              <w:right w:val="nil"/>
            </w:tcBorders>
            <w:shd w:val="clear" w:color="auto" w:fill="auto"/>
            <w:vAlign w:val="center"/>
          </w:tcPr>
          <w:p w14:paraId="19DA8DD3"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2</w:t>
            </w:r>
          </w:p>
          <w:p w14:paraId="27149C98" w14:textId="26B571C6"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 xml:space="preserve"> (2)</w:t>
            </w:r>
          </w:p>
        </w:tc>
        <w:tc>
          <w:tcPr>
            <w:tcW w:w="683" w:type="dxa"/>
            <w:tcBorders>
              <w:top w:val="nil"/>
              <w:left w:val="nil"/>
              <w:bottom w:val="nil"/>
              <w:right w:val="nil"/>
            </w:tcBorders>
            <w:shd w:val="clear" w:color="auto" w:fill="auto"/>
            <w:vAlign w:val="center"/>
          </w:tcPr>
          <w:p w14:paraId="6CA0EDC3"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3</w:t>
            </w:r>
          </w:p>
          <w:p w14:paraId="4E471E21" w14:textId="707FA9C5"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 xml:space="preserve"> (1)</w:t>
            </w:r>
          </w:p>
        </w:tc>
        <w:tc>
          <w:tcPr>
            <w:tcW w:w="684" w:type="dxa"/>
            <w:tcBorders>
              <w:top w:val="nil"/>
              <w:left w:val="nil"/>
              <w:bottom w:val="nil"/>
              <w:right w:val="single" w:sz="4" w:space="0" w:color="auto"/>
            </w:tcBorders>
            <w:shd w:val="clear" w:color="auto" w:fill="auto"/>
            <w:vAlign w:val="center"/>
          </w:tcPr>
          <w:p w14:paraId="2A7EBE20" w14:textId="77777777" w:rsid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2</w:t>
            </w:r>
          </w:p>
          <w:p w14:paraId="0ADF1AE0" w14:textId="74CE5423"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 xml:space="preserve"> (2)</w:t>
            </w:r>
          </w:p>
        </w:tc>
      </w:tr>
      <w:tr w:rsidR="00641B42" w:rsidRPr="00E96585" w14:paraId="6E3A6B00" w14:textId="050D9012" w:rsidTr="004A399C">
        <w:trPr>
          <w:trHeight w:val="488"/>
        </w:trPr>
        <w:tc>
          <w:tcPr>
            <w:tcW w:w="1431" w:type="dxa"/>
            <w:tcBorders>
              <w:top w:val="nil"/>
              <w:left w:val="single" w:sz="4" w:space="0" w:color="auto"/>
              <w:bottom w:val="single" w:sz="12" w:space="0" w:color="auto"/>
              <w:right w:val="nil"/>
            </w:tcBorders>
            <w:vAlign w:val="center"/>
          </w:tcPr>
          <w:p w14:paraId="56920C15" w14:textId="0F16EA80" w:rsidR="00641B42" w:rsidRPr="006C1870" w:rsidRDefault="00641B42" w:rsidP="00641B42">
            <w:pPr>
              <w:rPr>
                <w:rFonts w:asciiTheme="minorHAnsi" w:hAnsiTheme="minorHAnsi" w:cstheme="minorHAnsi"/>
                <w:noProof/>
                <w:sz w:val="20"/>
                <w:szCs w:val="20"/>
              </w:rPr>
            </w:pPr>
            <w:r w:rsidRPr="006C1870">
              <w:rPr>
                <w:rFonts w:asciiTheme="minorHAnsi" w:hAnsiTheme="minorHAnsi" w:cstheme="minorHAnsi"/>
                <w:sz w:val="20"/>
                <w:szCs w:val="20"/>
              </w:rPr>
              <w:t>Other</w:t>
            </w:r>
          </w:p>
        </w:tc>
        <w:tc>
          <w:tcPr>
            <w:tcW w:w="683" w:type="dxa"/>
            <w:tcBorders>
              <w:top w:val="nil"/>
              <w:left w:val="nil"/>
              <w:bottom w:val="single" w:sz="12" w:space="0" w:color="auto"/>
              <w:right w:val="nil"/>
            </w:tcBorders>
            <w:shd w:val="clear" w:color="auto" w:fill="auto"/>
            <w:vAlign w:val="center"/>
          </w:tcPr>
          <w:p w14:paraId="3BE67402" w14:textId="22BA0E52"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0</w:t>
            </w:r>
          </w:p>
        </w:tc>
        <w:tc>
          <w:tcPr>
            <w:tcW w:w="683" w:type="dxa"/>
            <w:tcBorders>
              <w:top w:val="nil"/>
              <w:left w:val="nil"/>
              <w:bottom w:val="single" w:sz="12" w:space="0" w:color="auto"/>
              <w:right w:val="nil"/>
            </w:tcBorders>
            <w:shd w:val="clear" w:color="auto" w:fill="auto"/>
            <w:vAlign w:val="center"/>
          </w:tcPr>
          <w:p w14:paraId="12FD41F4" w14:textId="3CB37766"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w:t>
            </w:r>
          </w:p>
        </w:tc>
        <w:tc>
          <w:tcPr>
            <w:tcW w:w="683" w:type="dxa"/>
            <w:tcBorders>
              <w:top w:val="nil"/>
              <w:left w:val="nil"/>
              <w:bottom w:val="single" w:sz="12" w:space="0" w:color="auto"/>
              <w:right w:val="nil"/>
            </w:tcBorders>
            <w:shd w:val="clear" w:color="auto" w:fill="auto"/>
            <w:vAlign w:val="center"/>
          </w:tcPr>
          <w:p w14:paraId="18D7DD39" w14:textId="128A481E"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0</w:t>
            </w:r>
          </w:p>
        </w:tc>
        <w:tc>
          <w:tcPr>
            <w:tcW w:w="683" w:type="dxa"/>
            <w:tcBorders>
              <w:top w:val="nil"/>
              <w:left w:val="nil"/>
              <w:bottom w:val="single" w:sz="12" w:space="0" w:color="auto"/>
              <w:right w:val="nil"/>
            </w:tcBorders>
            <w:shd w:val="clear" w:color="auto" w:fill="auto"/>
            <w:vAlign w:val="center"/>
          </w:tcPr>
          <w:p w14:paraId="2C4E944C" w14:textId="5AC60EF4"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0</w:t>
            </w:r>
          </w:p>
        </w:tc>
        <w:tc>
          <w:tcPr>
            <w:tcW w:w="683" w:type="dxa"/>
            <w:tcBorders>
              <w:top w:val="nil"/>
              <w:left w:val="nil"/>
              <w:bottom w:val="single" w:sz="12" w:space="0" w:color="auto"/>
              <w:right w:val="nil"/>
            </w:tcBorders>
            <w:shd w:val="clear" w:color="auto" w:fill="auto"/>
            <w:vAlign w:val="center"/>
          </w:tcPr>
          <w:p w14:paraId="5D9BF11D" w14:textId="417AA24C"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4</w:t>
            </w:r>
          </w:p>
        </w:tc>
        <w:tc>
          <w:tcPr>
            <w:tcW w:w="684" w:type="dxa"/>
            <w:tcBorders>
              <w:top w:val="nil"/>
              <w:left w:val="nil"/>
              <w:bottom w:val="single" w:sz="12" w:space="0" w:color="auto"/>
              <w:right w:val="nil"/>
            </w:tcBorders>
            <w:shd w:val="clear" w:color="auto" w:fill="auto"/>
            <w:vAlign w:val="center"/>
          </w:tcPr>
          <w:p w14:paraId="427DC6A4" w14:textId="5A9302D5"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16</w:t>
            </w:r>
          </w:p>
        </w:tc>
        <w:tc>
          <w:tcPr>
            <w:tcW w:w="683" w:type="dxa"/>
            <w:tcBorders>
              <w:top w:val="nil"/>
              <w:left w:val="nil"/>
              <w:bottom w:val="single" w:sz="12" w:space="0" w:color="auto"/>
              <w:right w:val="nil"/>
            </w:tcBorders>
            <w:shd w:val="clear" w:color="auto" w:fill="auto"/>
            <w:vAlign w:val="center"/>
          </w:tcPr>
          <w:p w14:paraId="1D9A48F3" w14:textId="42ED9F7B"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7</w:t>
            </w:r>
          </w:p>
        </w:tc>
        <w:tc>
          <w:tcPr>
            <w:tcW w:w="683" w:type="dxa"/>
            <w:tcBorders>
              <w:top w:val="nil"/>
              <w:left w:val="nil"/>
              <w:bottom w:val="single" w:sz="12" w:space="0" w:color="auto"/>
              <w:right w:val="nil"/>
            </w:tcBorders>
            <w:shd w:val="clear" w:color="auto" w:fill="auto"/>
            <w:vAlign w:val="center"/>
          </w:tcPr>
          <w:p w14:paraId="2D70B694" w14:textId="3833CD8E"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14</w:t>
            </w:r>
          </w:p>
        </w:tc>
        <w:tc>
          <w:tcPr>
            <w:tcW w:w="683" w:type="dxa"/>
            <w:tcBorders>
              <w:top w:val="nil"/>
              <w:left w:val="nil"/>
              <w:bottom w:val="single" w:sz="12" w:space="0" w:color="auto"/>
              <w:right w:val="nil"/>
            </w:tcBorders>
            <w:shd w:val="clear" w:color="auto" w:fill="auto"/>
            <w:vAlign w:val="center"/>
          </w:tcPr>
          <w:p w14:paraId="4E92B004" w14:textId="5AB5CA86"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8</w:t>
            </w:r>
          </w:p>
        </w:tc>
        <w:tc>
          <w:tcPr>
            <w:tcW w:w="683" w:type="dxa"/>
            <w:tcBorders>
              <w:top w:val="nil"/>
              <w:left w:val="nil"/>
              <w:bottom w:val="single" w:sz="12" w:space="0" w:color="auto"/>
              <w:right w:val="nil"/>
            </w:tcBorders>
            <w:shd w:val="clear" w:color="auto" w:fill="auto"/>
            <w:vAlign w:val="center"/>
          </w:tcPr>
          <w:p w14:paraId="46A9043F" w14:textId="028D1ED9"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11</w:t>
            </w:r>
          </w:p>
        </w:tc>
        <w:tc>
          <w:tcPr>
            <w:tcW w:w="683" w:type="dxa"/>
            <w:tcBorders>
              <w:top w:val="nil"/>
              <w:left w:val="nil"/>
              <w:bottom w:val="single" w:sz="12" w:space="0" w:color="auto"/>
              <w:right w:val="nil"/>
            </w:tcBorders>
            <w:shd w:val="clear" w:color="auto" w:fill="auto"/>
            <w:vAlign w:val="center"/>
          </w:tcPr>
          <w:p w14:paraId="28E2EECF" w14:textId="43BFC340"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7</w:t>
            </w:r>
          </w:p>
        </w:tc>
        <w:tc>
          <w:tcPr>
            <w:tcW w:w="684" w:type="dxa"/>
            <w:tcBorders>
              <w:top w:val="nil"/>
              <w:left w:val="nil"/>
              <w:bottom w:val="single" w:sz="12" w:space="0" w:color="auto"/>
              <w:right w:val="single" w:sz="4" w:space="0" w:color="auto"/>
            </w:tcBorders>
            <w:shd w:val="clear" w:color="auto" w:fill="auto"/>
            <w:vAlign w:val="center"/>
          </w:tcPr>
          <w:p w14:paraId="745CA7A0" w14:textId="2EB25594"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8</w:t>
            </w:r>
          </w:p>
        </w:tc>
      </w:tr>
      <w:tr w:rsidR="00641B42" w:rsidRPr="00E96585" w14:paraId="002A3947" w14:textId="4645827D" w:rsidTr="004A399C">
        <w:tc>
          <w:tcPr>
            <w:tcW w:w="1431" w:type="dxa"/>
            <w:tcBorders>
              <w:top w:val="single" w:sz="12" w:space="0" w:color="auto"/>
              <w:left w:val="single" w:sz="4" w:space="0" w:color="auto"/>
              <w:bottom w:val="single" w:sz="4" w:space="0" w:color="auto"/>
              <w:right w:val="nil"/>
            </w:tcBorders>
          </w:tcPr>
          <w:p w14:paraId="5227CEA4" w14:textId="22D5FBCB" w:rsidR="00641B42" w:rsidRPr="006C1870" w:rsidRDefault="00641B42" w:rsidP="00641B42">
            <w:pPr>
              <w:rPr>
                <w:rFonts w:asciiTheme="minorHAnsi" w:hAnsiTheme="minorHAnsi" w:cstheme="minorHAnsi"/>
                <w:noProof/>
                <w:sz w:val="20"/>
                <w:szCs w:val="20"/>
              </w:rPr>
            </w:pPr>
            <w:r w:rsidRPr="006C1870">
              <w:rPr>
                <w:rFonts w:asciiTheme="minorHAnsi" w:hAnsiTheme="minorHAnsi" w:cstheme="minorHAnsi"/>
                <w:sz w:val="20"/>
                <w:szCs w:val="20"/>
              </w:rPr>
              <w:t>Total</w:t>
            </w:r>
          </w:p>
        </w:tc>
        <w:tc>
          <w:tcPr>
            <w:tcW w:w="683" w:type="dxa"/>
            <w:tcBorders>
              <w:top w:val="single" w:sz="12" w:space="0" w:color="auto"/>
              <w:left w:val="nil"/>
              <w:bottom w:val="single" w:sz="4" w:space="0" w:color="auto"/>
              <w:right w:val="nil"/>
            </w:tcBorders>
            <w:shd w:val="clear" w:color="auto" w:fill="auto"/>
            <w:vAlign w:val="center"/>
          </w:tcPr>
          <w:p w14:paraId="5C2F5C4B" w14:textId="64B39640"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16 (16)</w:t>
            </w:r>
          </w:p>
        </w:tc>
        <w:tc>
          <w:tcPr>
            <w:tcW w:w="683" w:type="dxa"/>
            <w:tcBorders>
              <w:top w:val="single" w:sz="12" w:space="0" w:color="auto"/>
              <w:left w:val="nil"/>
              <w:bottom w:val="single" w:sz="4" w:space="0" w:color="auto"/>
              <w:right w:val="nil"/>
            </w:tcBorders>
            <w:shd w:val="clear" w:color="auto" w:fill="auto"/>
            <w:vAlign w:val="center"/>
          </w:tcPr>
          <w:p w14:paraId="1FF4869C" w14:textId="5A59D8E5"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22 (24)</w:t>
            </w:r>
          </w:p>
        </w:tc>
        <w:tc>
          <w:tcPr>
            <w:tcW w:w="683" w:type="dxa"/>
            <w:tcBorders>
              <w:top w:val="single" w:sz="12" w:space="0" w:color="auto"/>
              <w:left w:val="nil"/>
              <w:bottom w:val="single" w:sz="4" w:space="0" w:color="auto"/>
              <w:right w:val="nil"/>
            </w:tcBorders>
            <w:shd w:val="clear" w:color="auto" w:fill="auto"/>
            <w:vAlign w:val="center"/>
          </w:tcPr>
          <w:p w14:paraId="02DCCE97" w14:textId="6858DE4B"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29 (30)</w:t>
            </w:r>
          </w:p>
        </w:tc>
        <w:tc>
          <w:tcPr>
            <w:tcW w:w="683" w:type="dxa"/>
            <w:tcBorders>
              <w:top w:val="single" w:sz="12" w:space="0" w:color="auto"/>
              <w:left w:val="nil"/>
              <w:bottom w:val="single" w:sz="4" w:space="0" w:color="auto"/>
              <w:right w:val="nil"/>
            </w:tcBorders>
            <w:shd w:val="clear" w:color="auto" w:fill="auto"/>
            <w:vAlign w:val="center"/>
          </w:tcPr>
          <w:p w14:paraId="6BEE2802" w14:textId="334E1680"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65 (66)</w:t>
            </w:r>
          </w:p>
        </w:tc>
        <w:tc>
          <w:tcPr>
            <w:tcW w:w="683" w:type="dxa"/>
            <w:tcBorders>
              <w:top w:val="single" w:sz="12" w:space="0" w:color="auto"/>
              <w:left w:val="nil"/>
              <w:bottom w:val="single" w:sz="4" w:space="0" w:color="auto"/>
              <w:right w:val="nil"/>
            </w:tcBorders>
            <w:shd w:val="clear" w:color="auto" w:fill="auto"/>
            <w:vAlign w:val="center"/>
          </w:tcPr>
          <w:p w14:paraId="2A81B490" w14:textId="0CF34661"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95 (115)</w:t>
            </w:r>
          </w:p>
        </w:tc>
        <w:tc>
          <w:tcPr>
            <w:tcW w:w="684" w:type="dxa"/>
            <w:tcBorders>
              <w:top w:val="single" w:sz="12" w:space="0" w:color="auto"/>
              <w:left w:val="nil"/>
              <w:bottom w:val="single" w:sz="4" w:space="0" w:color="auto"/>
              <w:right w:val="nil"/>
            </w:tcBorders>
            <w:shd w:val="clear" w:color="auto" w:fill="auto"/>
            <w:vAlign w:val="center"/>
          </w:tcPr>
          <w:p w14:paraId="4CF8CF01" w14:textId="7F8DD5AC" w:rsidR="00641B42" w:rsidRPr="00641B42" w:rsidRDefault="00641B42" w:rsidP="00641B42">
            <w:pPr>
              <w:jc w:val="right"/>
              <w:rPr>
                <w:rFonts w:asciiTheme="minorHAnsi" w:hAnsiTheme="minorHAnsi" w:cstheme="minorHAnsi"/>
                <w:noProof/>
                <w:sz w:val="20"/>
                <w:szCs w:val="20"/>
              </w:rPr>
            </w:pPr>
            <w:r w:rsidRPr="00641B42">
              <w:rPr>
                <w:rFonts w:ascii="Calibri" w:hAnsi="Calibri" w:cs="Calibri"/>
                <w:color w:val="000000"/>
                <w:sz w:val="20"/>
                <w:szCs w:val="20"/>
              </w:rPr>
              <w:t>109 (115)</w:t>
            </w:r>
          </w:p>
        </w:tc>
        <w:tc>
          <w:tcPr>
            <w:tcW w:w="683" w:type="dxa"/>
            <w:tcBorders>
              <w:top w:val="single" w:sz="12" w:space="0" w:color="auto"/>
              <w:left w:val="nil"/>
              <w:bottom w:val="single" w:sz="4" w:space="0" w:color="auto"/>
              <w:right w:val="nil"/>
            </w:tcBorders>
            <w:shd w:val="clear" w:color="auto" w:fill="auto"/>
            <w:vAlign w:val="center"/>
          </w:tcPr>
          <w:p w14:paraId="6E46E610" w14:textId="02E7C98C"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103 (115)</w:t>
            </w:r>
          </w:p>
        </w:tc>
        <w:tc>
          <w:tcPr>
            <w:tcW w:w="683" w:type="dxa"/>
            <w:tcBorders>
              <w:top w:val="single" w:sz="12" w:space="0" w:color="auto"/>
              <w:left w:val="nil"/>
              <w:bottom w:val="single" w:sz="4" w:space="0" w:color="auto"/>
              <w:right w:val="nil"/>
            </w:tcBorders>
            <w:shd w:val="clear" w:color="auto" w:fill="auto"/>
            <w:vAlign w:val="center"/>
          </w:tcPr>
          <w:p w14:paraId="0C2DD1FD" w14:textId="561E29CF" w:rsidR="00641B42" w:rsidRPr="00641B42" w:rsidRDefault="00641B42" w:rsidP="00641B42">
            <w:pPr>
              <w:jc w:val="right"/>
              <w:rPr>
                <w:rFonts w:asciiTheme="minorHAnsi" w:hAnsiTheme="minorHAnsi" w:cstheme="minorHAnsi"/>
                <w:sz w:val="20"/>
                <w:szCs w:val="20"/>
              </w:rPr>
            </w:pPr>
            <w:r w:rsidRPr="00641B42">
              <w:rPr>
                <w:rFonts w:ascii="Calibri" w:hAnsi="Calibri" w:cs="Calibri"/>
                <w:color w:val="000000"/>
                <w:sz w:val="20"/>
                <w:szCs w:val="20"/>
              </w:rPr>
              <w:t>105 (109)</w:t>
            </w:r>
          </w:p>
        </w:tc>
        <w:tc>
          <w:tcPr>
            <w:tcW w:w="683" w:type="dxa"/>
            <w:tcBorders>
              <w:top w:val="single" w:sz="12" w:space="0" w:color="auto"/>
              <w:left w:val="nil"/>
              <w:bottom w:val="single" w:sz="4" w:space="0" w:color="auto"/>
              <w:right w:val="nil"/>
            </w:tcBorders>
            <w:shd w:val="clear" w:color="auto" w:fill="auto"/>
            <w:vAlign w:val="center"/>
          </w:tcPr>
          <w:p w14:paraId="6EC369DA" w14:textId="793340F6"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93 (97)</w:t>
            </w:r>
          </w:p>
        </w:tc>
        <w:tc>
          <w:tcPr>
            <w:tcW w:w="683" w:type="dxa"/>
            <w:tcBorders>
              <w:top w:val="single" w:sz="12" w:space="0" w:color="auto"/>
              <w:left w:val="nil"/>
              <w:bottom w:val="single" w:sz="4" w:space="0" w:color="auto"/>
              <w:right w:val="nil"/>
            </w:tcBorders>
            <w:shd w:val="clear" w:color="auto" w:fill="auto"/>
            <w:vAlign w:val="center"/>
          </w:tcPr>
          <w:p w14:paraId="0316B03A" w14:textId="2168E8ED"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106 (106)</w:t>
            </w:r>
          </w:p>
        </w:tc>
        <w:tc>
          <w:tcPr>
            <w:tcW w:w="683" w:type="dxa"/>
            <w:tcBorders>
              <w:top w:val="single" w:sz="12" w:space="0" w:color="auto"/>
              <w:left w:val="nil"/>
              <w:bottom w:val="single" w:sz="4" w:space="0" w:color="auto"/>
              <w:right w:val="nil"/>
            </w:tcBorders>
            <w:shd w:val="clear" w:color="auto" w:fill="auto"/>
            <w:vAlign w:val="center"/>
          </w:tcPr>
          <w:p w14:paraId="7DC6875F" w14:textId="6B9F0EC0"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90 (88)</w:t>
            </w:r>
          </w:p>
        </w:tc>
        <w:tc>
          <w:tcPr>
            <w:tcW w:w="684" w:type="dxa"/>
            <w:tcBorders>
              <w:top w:val="single" w:sz="12" w:space="0" w:color="auto"/>
              <w:left w:val="nil"/>
              <w:bottom w:val="single" w:sz="4" w:space="0" w:color="auto"/>
              <w:right w:val="single" w:sz="4" w:space="0" w:color="auto"/>
            </w:tcBorders>
            <w:shd w:val="clear" w:color="auto" w:fill="auto"/>
            <w:vAlign w:val="center"/>
          </w:tcPr>
          <w:p w14:paraId="73ABD0E5" w14:textId="5005D908" w:rsidR="00641B42" w:rsidRPr="00641B42" w:rsidRDefault="00641B42" w:rsidP="00641B42">
            <w:pPr>
              <w:jc w:val="right"/>
              <w:rPr>
                <w:rFonts w:ascii="Calibri" w:hAnsi="Calibri" w:cs="Calibri"/>
                <w:color w:val="000000"/>
                <w:sz w:val="20"/>
                <w:szCs w:val="20"/>
              </w:rPr>
            </w:pPr>
            <w:r w:rsidRPr="00641B42">
              <w:rPr>
                <w:rFonts w:ascii="Calibri" w:hAnsi="Calibri" w:cs="Calibri"/>
                <w:color w:val="000000"/>
                <w:sz w:val="20"/>
                <w:szCs w:val="20"/>
              </w:rPr>
              <w:t>86 (86)</w:t>
            </w:r>
          </w:p>
        </w:tc>
      </w:tr>
    </w:tbl>
    <w:p w14:paraId="5375BA72" w14:textId="463F323E" w:rsidR="006A3227" w:rsidRPr="00E96585" w:rsidRDefault="006A3227" w:rsidP="006A3227">
      <w:pPr>
        <w:spacing w:line="256" w:lineRule="auto"/>
        <w:rPr>
          <w:rFonts w:ascii="Helvetica" w:hAnsi="Helvetica" w:cs="Helvetica"/>
          <w:sz w:val="20"/>
          <w:szCs w:val="20"/>
        </w:rPr>
      </w:pPr>
      <w:r w:rsidRPr="00F150B2">
        <w:rPr>
          <w:rFonts w:ascii="Helvetica" w:hAnsi="Helvetica" w:cs="Helvetica"/>
          <w:sz w:val="20"/>
          <w:szCs w:val="20"/>
        </w:rPr>
        <w:t xml:space="preserve">Source: Virtual Events </w:t>
      </w:r>
      <w:r w:rsidR="00A1394C" w:rsidRPr="00F150B2">
        <w:rPr>
          <w:rFonts w:ascii="Helvetica" w:hAnsi="Helvetica" w:cs="Helvetica"/>
          <w:sz w:val="20"/>
          <w:szCs w:val="20"/>
        </w:rPr>
        <w:t>‘Triage’ data</w:t>
      </w:r>
      <w:r w:rsidR="00F150B2" w:rsidRPr="00F150B2">
        <w:rPr>
          <w:rFonts w:ascii="Helvetica" w:hAnsi="Helvetica" w:cs="Helvetica"/>
          <w:sz w:val="20"/>
          <w:szCs w:val="20"/>
        </w:rPr>
        <w:t xml:space="preserve"> and SharePoint list</w:t>
      </w:r>
      <w:r w:rsidR="006C5330" w:rsidRPr="00F150B2">
        <w:rPr>
          <w:rFonts w:ascii="Helvetica" w:hAnsi="Helvetica" w:cs="Helvetica"/>
          <w:sz w:val="20"/>
          <w:szCs w:val="20"/>
        </w:rPr>
        <w:t xml:space="preserve">, data as at </w:t>
      </w:r>
      <w:r w:rsidR="00A171FA">
        <w:rPr>
          <w:rFonts w:ascii="Helvetica" w:hAnsi="Helvetica" w:cs="Helvetica"/>
          <w:sz w:val="20"/>
          <w:szCs w:val="20"/>
        </w:rPr>
        <w:t>15/06</w:t>
      </w:r>
      <w:r w:rsidR="008C6B26" w:rsidRPr="00F150B2">
        <w:rPr>
          <w:rFonts w:ascii="Helvetica" w:hAnsi="Helvetica" w:cs="Helvetica"/>
          <w:sz w:val="20"/>
          <w:szCs w:val="20"/>
        </w:rPr>
        <w:t>/21</w:t>
      </w:r>
    </w:p>
    <w:p w14:paraId="01B4BB46" w14:textId="77777777" w:rsidR="00F41BE1" w:rsidRDefault="00F41BE1" w:rsidP="006A3227">
      <w:pPr>
        <w:spacing w:line="256" w:lineRule="auto"/>
        <w:rPr>
          <w:rFonts w:ascii="Helvetica" w:hAnsi="Helvetica" w:cs="Helvetica"/>
          <w:sz w:val="20"/>
          <w:szCs w:val="20"/>
        </w:rPr>
      </w:pPr>
    </w:p>
    <w:p w14:paraId="13D8AEB4" w14:textId="763C4876" w:rsidR="00ED2920" w:rsidRPr="00E96585" w:rsidRDefault="00ED2920" w:rsidP="006A3227">
      <w:pPr>
        <w:spacing w:line="256" w:lineRule="auto"/>
        <w:rPr>
          <w:rFonts w:ascii="Helvetica" w:hAnsi="Helvetica" w:cs="Helvetica"/>
          <w:sz w:val="20"/>
          <w:szCs w:val="20"/>
        </w:rPr>
      </w:pPr>
      <w:r w:rsidRPr="00E96585">
        <w:rPr>
          <w:rFonts w:ascii="Helvetica" w:hAnsi="Helvetica" w:cs="Helvetica"/>
          <w:sz w:val="20"/>
          <w:szCs w:val="20"/>
        </w:rPr>
        <w:t xml:space="preserve">Numbers in brackets </w:t>
      </w:r>
      <w:r w:rsidR="001E6384" w:rsidRPr="00E96585">
        <w:rPr>
          <w:rFonts w:ascii="Helvetica" w:hAnsi="Helvetica" w:cs="Helvetica"/>
          <w:sz w:val="20"/>
          <w:szCs w:val="20"/>
        </w:rPr>
        <w:t>show</w:t>
      </w:r>
      <w:r w:rsidRPr="00E96585">
        <w:rPr>
          <w:rFonts w:ascii="Helvetica" w:hAnsi="Helvetica" w:cs="Helvetica"/>
          <w:sz w:val="20"/>
          <w:szCs w:val="20"/>
        </w:rPr>
        <w:t xml:space="preserve"> </w:t>
      </w:r>
      <w:r w:rsidR="00082427" w:rsidRPr="00E96585">
        <w:rPr>
          <w:rFonts w:ascii="Helvetica" w:hAnsi="Helvetica" w:cs="Helvetica"/>
          <w:sz w:val="20"/>
          <w:szCs w:val="20"/>
        </w:rPr>
        <w:t xml:space="preserve">count of events but note concerns </w:t>
      </w:r>
      <w:r w:rsidR="00F205E4">
        <w:rPr>
          <w:rFonts w:ascii="Helvetica" w:hAnsi="Helvetica" w:cs="Helvetica"/>
          <w:sz w:val="20"/>
          <w:szCs w:val="20"/>
        </w:rPr>
        <w:t>below</w:t>
      </w:r>
      <w:r w:rsidR="00082427" w:rsidRPr="00E96585">
        <w:rPr>
          <w:rFonts w:ascii="Helvetica" w:hAnsi="Helvetica" w:cs="Helvetica"/>
          <w:sz w:val="20"/>
          <w:szCs w:val="20"/>
        </w:rPr>
        <w:t xml:space="preserve"> over counting sessions on same day.</w:t>
      </w:r>
      <w:r w:rsidR="00E92090">
        <w:rPr>
          <w:rFonts w:ascii="Helvetica" w:hAnsi="Helvetica" w:cs="Helvetica"/>
          <w:sz w:val="20"/>
          <w:szCs w:val="20"/>
        </w:rPr>
        <w:t xml:space="preserve">  </w:t>
      </w:r>
      <w:bookmarkStart w:id="1" w:name="_Hlk66362325"/>
      <w:r w:rsidR="00E92090">
        <w:rPr>
          <w:rFonts w:ascii="Helvetica" w:hAnsi="Helvetica" w:cs="Helvetica"/>
          <w:sz w:val="20"/>
          <w:szCs w:val="20"/>
        </w:rPr>
        <w:t>Local Plans are counted as cases where at least one sitting day occurred in a month.</w:t>
      </w:r>
      <w:bookmarkEnd w:id="1"/>
    </w:p>
    <w:p w14:paraId="60D32B41" w14:textId="5B74E1C7" w:rsidR="00E327EC" w:rsidRPr="00E96585" w:rsidRDefault="003121AD" w:rsidP="006A3227">
      <w:pPr>
        <w:spacing w:line="256" w:lineRule="auto"/>
        <w:rPr>
          <w:rFonts w:ascii="Helvetica" w:hAnsi="Helvetica" w:cs="Helvetica"/>
          <w:sz w:val="20"/>
          <w:szCs w:val="20"/>
        </w:rPr>
      </w:pPr>
      <w:r>
        <w:rPr>
          <w:rFonts w:ascii="Helvetica" w:hAnsi="Helvetica" w:cs="Helvetica"/>
          <w:sz w:val="20"/>
          <w:szCs w:val="20"/>
        </w:rPr>
        <w:t>‘</w:t>
      </w:r>
      <w:r w:rsidR="00E327EC">
        <w:rPr>
          <w:rFonts w:ascii="Helvetica" w:hAnsi="Helvetica" w:cs="Helvetica"/>
          <w:sz w:val="20"/>
          <w:szCs w:val="20"/>
        </w:rPr>
        <w:t>Other</w:t>
      </w:r>
      <w:r>
        <w:rPr>
          <w:rFonts w:ascii="Helvetica" w:hAnsi="Helvetica" w:cs="Helvetica"/>
          <w:sz w:val="20"/>
          <w:szCs w:val="20"/>
        </w:rPr>
        <w:t>’</w:t>
      </w:r>
      <w:r w:rsidR="00E327EC">
        <w:rPr>
          <w:rFonts w:ascii="Helvetica" w:hAnsi="Helvetica" w:cs="Helvetica"/>
          <w:sz w:val="20"/>
          <w:szCs w:val="20"/>
        </w:rPr>
        <w:t xml:space="preserve"> </w:t>
      </w:r>
      <w:r w:rsidR="00C67FC2">
        <w:rPr>
          <w:rFonts w:ascii="Helvetica" w:hAnsi="Helvetica" w:cs="Helvetica"/>
          <w:sz w:val="20"/>
          <w:szCs w:val="20"/>
        </w:rPr>
        <w:t xml:space="preserve">case type </w:t>
      </w:r>
      <w:r w:rsidR="00E327EC">
        <w:rPr>
          <w:rFonts w:ascii="Helvetica" w:hAnsi="Helvetica" w:cs="Helvetica"/>
          <w:sz w:val="20"/>
          <w:szCs w:val="20"/>
        </w:rPr>
        <w:t xml:space="preserve">includes specialist casework like Environmental appeals, Transport examinations and Rights of Way </w:t>
      </w:r>
      <w:r w:rsidR="00C67FC2">
        <w:rPr>
          <w:rFonts w:ascii="Helvetica" w:hAnsi="Helvetica" w:cs="Helvetica"/>
          <w:sz w:val="20"/>
          <w:szCs w:val="20"/>
        </w:rPr>
        <w:t>cases</w:t>
      </w:r>
    </w:p>
    <w:p w14:paraId="636505A8" w14:textId="1D7E846B" w:rsidR="00DC1528" w:rsidRDefault="009E08E6" w:rsidP="006A3227">
      <w:pPr>
        <w:spacing w:line="256" w:lineRule="auto"/>
        <w:rPr>
          <w:rFonts w:ascii="Helvetica" w:hAnsi="Helvetica" w:cs="Helvetica"/>
          <w:sz w:val="20"/>
          <w:szCs w:val="20"/>
        </w:rPr>
      </w:pPr>
      <w:r w:rsidRPr="00E96585">
        <w:rPr>
          <w:rFonts w:ascii="Helvetica" w:hAnsi="Helvetica" w:cs="Helvetica"/>
          <w:sz w:val="20"/>
          <w:szCs w:val="20"/>
        </w:rPr>
        <w:t>P – These numbers should be treated as provisional</w:t>
      </w:r>
      <w:r w:rsidR="00080A45" w:rsidRPr="00E96585">
        <w:rPr>
          <w:rFonts w:ascii="Helvetica" w:hAnsi="Helvetica" w:cs="Helvetica"/>
          <w:sz w:val="20"/>
          <w:szCs w:val="20"/>
        </w:rPr>
        <w:t xml:space="preserve"> due to concerns about quality and accuracy</w:t>
      </w:r>
      <w:r w:rsidRPr="00E96585">
        <w:rPr>
          <w:rFonts w:ascii="Helvetica" w:hAnsi="Helvetica" w:cs="Helvetica"/>
          <w:sz w:val="20"/>
          <w:szCs w:val="20"/>
        </w:rPr>
        <w:t>.</w:t>
      </w:r>
      <w:r w:rsidRPr="00082427">
        <w:rPr>
          <w:rFonts w:ascii="Helvetica" w:hAnsi="Helvetica" w:cs="Helvetica"/>
          <w:sz w:val="20"/>
          <w:szCs w:val="20"/>
        </w:rPr>
        <w:t xml:space="preserve"> </w:t>
      </w:r>
    </w:p>
    <w:p w14:paraId="4E721555" w14:textId="77777777" w:rsidR="003369AF" w:rsidRDefault="003369AF" w:rsidP="006A3227">
      <w:pPr>
        <w:spacing w:line="256" w:lineRule="auto"/>
        <w:rPr>
          <w:rFonts w:ascii="Helvetica" w:hAnsi="Helvetica" w:cs="Helvetica"/>
          <w:sz w:val="20"/>
          <w:szCs w:val="20"/>
        </w:rPr>
      </w:pPr>
    </w:p>
    <w:p w14:paraId="078C9527" w14:textId="77777777" w:rsidR="003369AF" w:rsidRDefault="003369AF" w:rsidP="003369AF">
      <w:pPr>
        <w:jc w:val="both"/>
        <w:rPr>
          <w:rFonts w:ascii="Helvetica" w:hAnsi="Helvetica" w:cs="Helvetica"/>
        </w:rPr>
      </w:pPr>
      <w:r w:rsidRPr="00254B87">
        <w:rPr>
          <w:rFonts w:ascii="Helvetica" w:hAnsi="Helvetica" w:cs="Helvetica"/>
        </w:rPr>
        <w:t xml:space="preserve">Note – some cases can have multiple ‘events’ – for example an inquiry may sit over four to eight days but would only be counted as one ‘event’.  On the other hand, casework like National Infrastructure may have multiple events for the same project.  </w:t>
      </w:r>
      <w:r w:rsidRPr="00CD4011">
        <w:rPr>
          <w:rFonts w:ascii="Helvetica" w:hAnsi="Helvetica" w:cs="Helvetica"/>
        </w:rPr>
        <w:t>For Local Plans, cases are counted a</w:t>
      </w:r>
      <w:r>
        <w:rPr>
          <w:rFonts w:ascii="Helvetica" w:hAnsi="Helvetica" w:cs="Helvetica"/>
        </w:rPr>
        <w:t>s</w:t>
      </w:r>
      <w:r w:rsidRPr="00CD4011">
        <w:rPr>
          <w:rFonts w:ascii="Helvetica" w:hAnsi="Helvetica" w:cs="Helvetica"/>
        </w:rPr>
        <w:t xml:space="preserve"> having held a virtual event, if at least one sitting day occurred that month</w:t>
      </w:r>
      <w:r>
        <w:rPr>
          <w:rFonts w:ascii="Helvetica" w:hAnsi="Helvetica" w:cs="Helvetica"/>
        </w:rPr>
        <w:t>.</w:t>
      </w:r>
      <w:r w:rsidRPr="00CD4011">
        <w:rPr>
          <w:rFonts w:ascii="Helvetica" w:hAnsi="Helvetica" w:cs="Helvetica"/>
        </w:rPr>
        <w:t xml:space="preserve"> </w:t>
      </w:r>
    </w:p>
    <w:p w14:paraId="3742B855" w14:textId="77777777" w:rsidR="003369AF" w:rsidRDefault="003369AF" w:rsidP="003369AF">
      <w:pPr>
        <w:jc w:val="both"/>
        <w:rPr>
          <w:rFonts w:ascii="Helvetica" w:hAnsi="Helvetica" w:cs="Helvetica"/>
        </w:rPr>
      </w:pPr>
    </w:p>
    <w:p w14:paraId="52E5D441" w14:textId="195690C3" w:rsidR="004D6818" w:rsidRDefault="002B12BD" w:rsidP="003A441E">
      <w:pPr>
        <w:keepNext/>
        <w:tabs>
          <w:tab w:val="left" w:pos="6319"/>
        </w:tabs>
        <w:spacing w:after="120" w:line="257" w:lineRule="auto"/>
        <w:rPr>
          <w:rFonts w:ascii="Helvetica" w:hAnsi="Helvetica" w:cs="Helvetica"/>
        </w:rPr>
      </w:pPr>
      <w:r w:rsidRPr="00CC2CA1">
        <w:rPr>
          <w:rFonts w:ascii="Helvetica" w:eastAsia="Calibri" w:hAnsi="Helvetica" w:cs="Helvetica"/>
        </w:rPr>
        <w:lastRenderedPageBreak/>
        <w:t>Figure 8: Virtual Events</w:t>
      </w:r>
      <w:r w:rsidR="00E600CF" w:rsidRPr="00CC2CA1">
        <w:rPr>
          <w:rFonts w:ascii="Helvetica" w:eastAsia="Calibri" w:hAnsi="Helvetica" w:cs="Helvetica"/>
        </w:rPr>
        <w:t xml:space="preserve">; </w:t>
      </w:r>
      <w:r w:rsidR="00AD5A32" w:rsidRPr="00CC2CA1">
        <w:rPr>
          <w:rFonts w:ascii="Helvetica" w:hAnsi="Helvetica" w:cs="Helvetica"/>
        </w:rPr>
        <w:t>Jun</w:t>
      </w:r>
      <w:r w:rsidR="0047483A" w:rsidRPr="00CC2CA1">
        <w:rPr>
          <w:rFonts w:ascii="Helvetica" w:hAnsi="Helvetica" w:cs="Helvetica"/>
        </w:rPr>
        <w:t xml:space="preserve"> </w:t>
      </w:r>
      <w:r w:rsidR="00A631DB" w:rsidRPr="00CC2CA1">
        <w:rPr>
          <w:rFonts w:ascii="Helvetica" w:hAnsi="Helvetica" w:cs="Helvetica"/>
        </w:rPr>
        <w:t xml:space="preserve">19 to </w:t>
      </w:r>
      <w:r w:rsidR="00A171FA">
        <w:rPr>
          <w:rFonts w:ascii="Helvetica" w:hAnsi="Helvetica" w:cs="Helvetica"/>
        </w:rPr>
        <w:t>May</w:t>
      </w:r>
      <w:r w:rsidR="0047483A" w:rsidRPr="00CC2CA1">
        <w:rPr>
          <w:rFonts w:ascii="Helvetica" w:hAnsi="Helvetica" w:cs="Helvetica"/>
        </w:rPr>
        <w:t xml:space="preserve"> </w:t>
      </w:r>
      <w:r w:rsidR="00FC54B9" w:rsidRPr="00CC2CA1">
        <w:rPr>
          <w:rFonts w:ascii="Helvetica" w:hAnsi="Helvetica" w:cs="Helvetica"/>
        </w:rPr>
        <w:t>21</w:t>
      </w:r>
      <w:r w:rsidR="00CB45D1" w:rsidRPr="00CC2CA1">
        <w:rPr>
          <w:rFonts w:ascii="Helvetica" w:eastAsia="Calibri" w:hAnsi="Helvetica" w:cs="Helvetica"/>
          <w:vertAlign w:val="superscript"/>
        </w:rPr>
        <w:t xml:space="preserve"> P</w:t>
      </w:r>
    </w:p>
    <w:p w14:paraId="5FCF333E" w14:textId="47BB43C9" w:rsidR="004D6818" w:rsidRDefault="0320019A" w:rsidP="003A441E">
      <w:pPr>
        <w:keepNext/>
        <w:tabs>
          <w:tab w:val="left" w:pos="6319"/>
        </w:tabs>
        <w:spacing w:after="120" w:line="257" w:lineRule="auto"/>
        <w:rPr>
          <w:rFonts w:ascii="Helvetica" w:hAnsi="Helvetica" w:cs="Helvetica"/>
        </w:rPr>
      </w:pPr>
      <w:r>
        <w:rPr>
          <w:noProof/>
        </w:rPr>
        <w:drawing>
          <wp:inline distT="0" distB="0" distL="0" distR="0" wp14:anchorId="66953948" wp14:editId="40258F31">
            <wp:extent cx="6057264" cy="3333203"/>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57264" cy="3333203"/>
                    </a:xfrm>
                    <a:prstGeom prst="rect">
                      <a:avLst/>
                    </a:prstGeom>
                  </pic:spPr>
                </pic:pic>
              </a:graphicData>
            </a:graphic>
          </wp:inline>
        </w:drawing>
      </w:r>
    </w:p>
    <w:p w14:paraId="5CCD7913" w14:textId="39F3F94D" w:rsidR="00A97FC2" w:rsidRDefault="00A97FC2" w:rsidP="00A97FC2">
      <w:pPr>
        <w:spacing w:line="256" w:lineRule="auto"/>
        <w:rPr>
          <w:rFonts w:ascii="Helvetica" w:hAnsi="Helvetica" w:cs="Helvetica"/>
          <w:sz w:val="20"/>
          <w:szCs w:val="20"/>
        </w:rPr>
      </w:pPr>
      <w:r w:rsidRPr="00F150B2">
        <w:rPr>
          <w:rFonts w:ascii="Helvetica" w:hAnsi="Helvetica" w:cs="Helvetica"/>
          <w:sz w:val="20"/>
          <w:szCs w:val="20"/>
        </w:rPr>
        <w:t xml:space="preserve">Source: Virtual Events </w:t>
      </w:r>
      <w:r w:rsidR="00A1394C" w:rsidRPr="00F150B2">
        <w:rPr>
          <w:rFonts w:ascii="Helvetica" w:hAnsi="Helvetica" w:cs="Helvetica"/>
          <w:sz w:val="20"/>
          <w:szCs w:val="20"/>
        </w:rPr>
        <w:t>‘Triage’ data</w:t>
      </w:r>
      <w:r w:rsidR="001029B3" w:rsidRPr="00F150B2">
        <w:rPr>
          <w:rFonts w:ascii="Helvetica" w:hAnsi="Helvetica" w:cs="Helvetica"/>
          <w:sz w:val="20"/>
          <w:szCs w:val="20"/>
        </w:rPr>
        <w:t xml:space="preserve"> and SharePoint list</w:t>
      </w:r>
      <w:r w:rsidRPr="00F150B2">
        <w:rPr>
          <w:rFonts w:ascii="Helvetica" w:hAnsi="Helvetica" w:cs="Helvetica"/>
          <w:sz w:val="20"/>
          <w:szCs w:val="20"/>
        </w:rPr>
        <w:t xml:space="preserve">, data as at </w:t>
      </w:r>
      <w:r w:rsidR="00A1394C" w:rsidRPr="00F150B2">
        <w:rPr>
          <w:rFonts w:ascii="Helvetica" w:hAnsi="Helvetica" w:cs="Helvetica"/>
          <w:sz w:val="20"/>
          <w:szCs w:val="20"/>
        </w:rPr>
        <w:t>1</w:t>
      </w:r>
      <w:r w:rsidR="00C33524">
        <w:rPr>
          <w:rFonts w:ascii="Helvetica" w:hAnsi="Helvetica" w:cs="Helvetica"/>
          <w:sz w:val="20"/>
          <w:szCs w:val="20"/>
        </w:rPr>
        <w:t>5/06</w:t>
      </w:r>
      <w:r w:rsidR="00D50556" w:rsidRPr="00F150B2">
        <w:rPr>
          <w:rFonts w:ascii="Helvetica" w:hAnsi="Helvetica" w:cs="Helvetica"/>
          <w:sz w:val="20"/>
          <w:szCs w:val="20"/>
        </w:rPr>
        <w:t>/21</w:t>
      </w:r>
    </w:p>
    <w:p w14:paraId="51AAC530" w14:textId="67E60B06" w:rsidR="00A97FC2" w:rsidRDefault="00A97FC2" w:rsidP="00A97FC2">
      <w:pPr>
        <w:spacing w:line="256" w:lineRule="auto"/>
        <w:rPr>
          <w:rFonts w:ascii="Helvetica" w:hAnsi="Helvetica" w:cs="Helvetica"/>
          <w:sz w:val="20"/>
          <w:szCs w:val="20"/>
        </w:rPr>
      </w:pPr>
      <w:r w:rsidRPr="00D34F58">
        <w:rPr>
          <w:rFonts w:ascii="Helvetica" w:hAnsi="Helvetica" w:cs="Helvetica"/>
          <w:sz w:val="20"/>
          <w:szCs w:val="20"/>
        </w:rPr>
        <w:t xml:space="preserve">P – These numbers should be treated as provisional. </w:t>
      </w:r>
    </w:p>
    <w:p w14:paraId="7F41CBE7" w14:textId="77777777" w:rsidR="00D34F58" w:rsidRPr="00D34F58" w:rsidRDefault="00D34F58" w:rsidP="00A97FC2">
      <w:pPr>
        <w:spacing w:line="256" w:lineRule="auto"/>
        <w:rPr>
          <w:rFonts w:ascii="Helvetica" w:hAnsi="Helvetica" w:cs="Helvetica"/>
          <w:sz w:val="20"/>
          <w:szCs w:val="20"/>
        </w:rPr>
      </w:pPr>
    </w:p>
    <w:p w14:paraId="17EE682C" w14:textId="77777777" w:rsidR="001476B8" w:rsidRPr="003A26CC" w:rsidRDefault="001476B8" w:rsidP="001476B8">
      <w:pPr>
        <w:rPr>
          <w:rFonts w:ascii="Helvetica" w:hAnsi="Helvetica" w:cs="Helvetica"/>
        </w:rPr>
      </w:pPr>
      <w:r w:rsidRPr="003A26CC">
        <w:rPr>
          <w:rFonts w:ascii="Helvetica" w:hAnsi="Helvetica" w:cs="Helvetica"/>
        </w:rPr>
        <w:t xml:space="preserve">For National Infrastructure, the number given in the table is the number of projects that have held virtual events. The number in brackets is the number of individual events but this is potentially misleading as multiple sessions on the same day (e.g. morning and afternoon sessions) have been counted as separate events. </w:t>
      </w:r>
    </w:p>
    <w:p w14:paraId="162707E4" w14:textId="77777777" w:rsidR="001476B8" w:rsidRDefault="001476B8" w:rsidP="00931A48">
      <w:pPr>
        <w:jc w:val="both"/>
        <w:rPr>
          <w:rFonts w:ascii="Helvetica" w:hAnsi="Helvetica" w:cs="Helvetica"/>
        </w:rPr>
      </w:pPr>
    </w:p>
    <w:p w14:paraId="257A2745" w14:textId="77777777" w:rsidR="00F61FB5" w:rsidRPr="0025470E" w:rsidRDefault="00F61FB5" w:rsidP="00B677D0">
      <w:pPr>
        <w:jc w:val="both"/>
        <w:rPr>
          <w:rFonts w:ascii="Helvetica" w:eastAsia="Calibri" w:hAnsi="Helvetica" w:cs="Helvetica"/>
        </w:rPr>
      </w:pPr>
    </w:p>
    <w:p w14:paraId="3FCF1ED8" w14:textId="3C14A785" w:rsidR="00543C77" w:rsidRDefault="00543C77" w:rsidP="000D3887">
      <w:pPr>
        <w:rPr>
          <w:rFonts w:ascii="Helvetica" w:hAnsi="Helvetica" w:cs="Helvetica"/>
          <w:b/>
          <w:bCs/>
          <w:color w:val="FFFFFF" w:themeColor="background1"/>
          <w:sz w:val="28"/>
          <w:szCs w:val="28"/>
        </w:rPr>
        <w:sectPr w:rsidR="00543C77" w:rsidSect="00EE58C6">
          <w:headerReference w:type="even" r:id="rId21"/>
          <w:headerReference w:type="default" r:id="rId22"/>
          <w:footerReference w:type="even" r:id="rId23"/>
          <w:footerReference w:type="default" r:id="rId24"/>
          <w:headerReference w:type="first" r:id="rId25"/>
          <w:footerReference w:type="first" r:id="rId26"/>
          <w:pgSz w:w="11907" w:h="16840"/>
          <w:pgMar w:top="709" w:right="1134" w:bottom="142" w:left="1134" w:header="426" w:footer="293" w:gutter="0"/>
          <w:cols w:space="720"/>
          <w:titlePg/>
        </w:sectPr>
      </w:pPr>
    </w:p>
    <w:tbl>
      <w:tblPr>
        <w:tblW w:w="15309" w:type="dxa"/>
        <w:tblCellMar>
          <w:left w:w="10" w:type="dxa"/>
          <w:right w:w="10" w:type="dxa"/>
        </w:tblCellMar>
        <w:tblLook w:val="0000" w:firstRow="0" w:lastRow="0" w:firstColumn="0" w:lastColumn="0" w:noHBand="0" w:noVBand="0"/>
      </w:tblPr>
      <w:tblGrid>
        <w:gridCol w:w="15309"/>
      </w:tblGrid>
      <w:tr w:rsidR="006A3227" w14:paraId="5F9763D2" w14:textId="77777777" w:rsidTr="00AB6372">
        <w:trPr>
          <w:trHeight w:val="403"/>
        </w:trPr>
        <w:tc>
          <w:tcPr>
            <w:tcW w:w="15309" w:type="dxa"/>
            <w:shd w:val="clear" w:color="auto" w:fill="00958F"/>
            <w:tcMar>
              <w:top w:w="0" w:type="dxa"/>
              <w:left w:w="108" w:type="dxa"/>
              <w:bottom w:w="0" w:type="dxa"/>
              <w:right w:w="108" w:type="dxa"/>
            </w:tcMar>
          </w:tcPr>
          <w:p w14:paraId="4F71E628" w14:textId="4F9FC82C" w:rsidR="006A3227" w:rsidRDefault="006A3227" w:rsidP="000D3887">
            <w:pPr>
              <w:rPr>
                <w:rFonts w:ascii="Helvetica" w:hAnsi="Helvetica" w:cs="Helvetica"/>
                <w:b/>
                <w:bCs/>
                <w:color w:val="FFFFFF" w:themeColor="background1"/>
                <w:sz w:val="28"/>
                <w:szCs w:val="28"/>
              </w:rPr>
            </w:pPr>
            <w:r w:rsidRPr="2C0781F0">
              <w:rPr>
                <w:rFonts w:ascii="Helvetica" w:hAnsi="Helvetica" w:cs="Helvetica"/>
                <w:b/>
                <w:bCs/>
                <w:color w:val="FFFFFF" w:themeColor="background1"/>
                <w:sz w:val="28"/>
                <w:szCs w:val="28"/>
              </w:rPr>
              <w:lastRenderedPageBreak/>
              <w:t xml:space="preserve">Annex A – </w:t>
            </w:r>
            <w:r>
              <w:rPr>
                <w:rFonts w:ascii="Helvetica" w:hAnsi="Helvetica" w:cs="Helvetica"/>
                <w:b/>
                <w:bCs/>
                <w:color w:val="FFFFFF" w:themeColor="background1"/>
                <w:sz w:val="28"/>
                <w:szCs w:val="28"/>
              </w:rPr>
              <w:t>Content of ad-hoc Statistical Releases, 2020</w:t>
            </w:r>
          </w:p>
        </w:tc>
      </w:tr>
    </w:tbl>
    <w:p w14:paraId="36119C09" w14:textId="77777777" w:rsidR="001358AF" w:rsidRPr="00B912C8" w:rsidRDefault="001358AF" w:rsidP="006A3227">
      <w:pPr>
        <w:rPr>
          <w:rFonts w:ascii="Helvetica" w:hAnsi="Helvetica" w:cs="Helvetica"/>
          <w:color w:val="FF0000"/>
          <w:sz w:val="16"/>
          <w:szCs w:val="16"/>
        </w:rPr>
      </w:pPr>
    </w:p>
    <w:p w14:paraId="4DDD6095" w14:textId="301FBDB4" w:rsidR="006A3227" w:rsidRPr="00EE58C6" w:rsidRDefault="00CA11E1" w:rsidP="006A3227">
      <w:pPr>
        <w:rPr>
          <w:rFonts w:ascii="Helvetica" w:hAnsi="Helvetica" w:cs="Helvetica"/>
        </w:rPr>
      </w:pPr>
      <w:r w:rsidRPr="00B51B71">
        <w:rPr>
          <w:rFonts w:ascii="Helvetica" w:hAnsi="Helvetica" w:cs="Helvetica"/>
        </w:rPr>
        <w:t xml:space="preserve">Note: The Table below covers ad-hoc statistical releases. From </w:t>
      </w:r>
      <w:r w:rsidR="001358AF" w:rsidRPr="00B51B71">
        <w:rPr>
          <w:rFonts w:ascii="Helvetica" w:hAnsi="Helvetica" w:cs="Helvetica"/>
        </w:rPr>
        <w:t xml:space="preserve">November </w:t>
      </w:r>
      <w:r w:rsidR="000972F2">
        <w:rPr>
          <w:rFonts w:ascii="Helvetica" w:hAnsi="Helvetica" w:cs="Helvetica"/>
        </w:rPr>
        <w:t xml:space="preserve">2020 </w:t>
      </w:r>
      <w:r w:rsidR="001358AF" w:rsidRPr="00B51B71">
        <w:rPr>
          <w:rFonts w:ascii="Helvetica" w:hAnsi="Helvetica" w:cs="Helvetica"/>
        </w:rPr>
        <w:t>onwards, the content is fixed, so is the same as this publication.</w:t>
      </w:r>
    </w:p>
    <w:p w14:paraId="5963FF04" w14:textId="77777777" w:rsidR="001358AF" w:rsidRPr="00B912C8" w:rsidRDefault="001358AF" w:rsidP="006A3227">
      <w:pPr>
        <w:rPr>
          <w:rFonts w:ascii="Helvetica" w:hAnsi="Helvetica" w:cs="Helvetica"/>
          <w:sz w:val="16"/>
          <w:szCs w:val="16"/>
        </w:rPr>
      </w:pPr>
    </w:p>
    <w:tbl>
      <w:tblPr>
        <w:tblStyle w:val="TableGrid"/>
        <w:tblW w:w="15299" w:type="dxa"/>
        <w:tblLook w:val="04A0" w:firstRow="1" w:lastRow="0" w:firstColumn="1" w:lastColumn="0" w:noHBand="0" w:noVBand="1"/>
      </w:tblPr>
      <w:tblGrid>
        <w:gridCol w:w="1129"/>
        <w:gridCol w:w="3119"/>
        <w:gridCol w:w="2549"/>
        <w:gridCol w:w="2834"/>
        <w:gridCol w:w="2834"/>
        <w:gridCol w:w="2834"/>
      </w:tblGrid>
      <w:tr w:rsidR="00543C77" w14:paraId="0F62B246" w14:textId="42C7DF9D" w:rsidTr="004059C9">
        <w:tc>
          <w:tcPr>
            <w:tcW w:w="1129" w:type="dxa"/>
          </w:tcPr>
          <w:p w14:paraId="40CF002E" w14:textId="77777777" w:rsidR="00543C77" w:rsidRDefault="00543C77" w:rsidP="00543C77">
            <w:pPr>
              <w:rPr>
                <w:rFonts w:ascii="Helvetica" w:hAnsi="Helvetica" w:cs="Helvetica"/>
              </w:rPr>
            </w:pPr>
            <w:r>
              <w:rPr>
                <w:rFonts w:ascii="Helvetica" w:hAnsi="Helvetica" w:cs="Helvetica"/>
              </w:rPr>
              <w:t>Date</w:t>
            </w:r>
          </w:p>
        </w:tc>
        <w:tc>
          <w:tcPr>
            <w:tcW w:w="3119" w:type="dxa"/>
          </w:tcPr>
          <w:p w14:paraId="6046CC8F" w14:textId="77777777" w:rsidR="00543C77" w:rsidRDefault="00543C77" w:rsidP="00543C77">
            <w:pPr>
              <w:rPr>
                <w:rFonts w:ascii="Helvetica" w:hAnsi="Helvetica" w:cs="Helvetica"/>
              </w:rPr>
            </w:pPr>
            <w:r>
              <w:rPr>
                <w:rFonts w:ascii="Helvetica" w:hAnsi="Helvetica" w:cs="Helvetica"/>
              </w:rPr>
              <w:t>March 2020</w:t>
            </w:r>
          </w:p>
        </w:tc>
        <w:tc>
          <w:tcPr>
            <w:tcW w:w="2549" w:type="dxa"/>
          </w:tcPr>
          <w:p w14:paraId="172280B7" w14:textId="77777777" w:rsidR="00543C77" w:rsidRDefault="00543C77" w:rsidP="00543C77">
            <w:pPr>
              <w:rPr>
                <w:rFonts w:ascii="Helvetica" w:hAnsi="Helvetica" w:cs="Helvetica"/>
              </w:rPr>
            </w:pPr>
            <w:r>
              <w:rPr>
                <w:rFonts w:ascii="Helvetica" w:hAnsi="Helvetica" w:cs="Helvetica"/>
              </w:rPr>
              <w:t>April 2020</w:t>
            </w:r>
          </w:p>
        </w:tc>
        <w:tc>
          <w:tcPr>
            <w:tcW w:w="2834" w:type="dxa"/>
          </w:tcPr>
          <w:p w14:paraId="21B09C23" w14:textId="77777777" w:rsidR="00543C77" w:rsidRDefault="00543C77" w:rsidP="00543C77">
            <w:pPr>
              <w:rPr>
                <w:rFonts w:ascii="Helvetica" w:hAnsi="Helvetica" w:cs="Helvetica"/>
              </w:rPr>
            </w:pPr>
            <w:r>
              <w:rPr>
                <w:rFonts w:ascii="Helvetica" w:hAnsi="Helvetica" w:cs="Helvetica"/>
              </w:rPr>
              <w:t>July 2020</w:t>
            </w:r>
          </w:p>
        </w:tc>
        <w:tc>
          <w:tcPr>
            <w:tcW w:w="2834" w:type="dxa"/>
          </w:tcPr>
          <w:p w14:paraId="08DA5557" w14:textId="50E21798" w:rsidR="00543C77" w:rsidRDefault="00543C77" w:rsidP="00543C77">
            <w:pPr>
              <w:rPr>
                <w:rFonts w:ascii="Helvetica" w:hAnsi="Helvetica" w:cs="Helvetica"/>
              </w:rPr>
            </w:pPr>
            <w:r>
              <w:rPr>
                <w:rFonts w:ascii="Helvetica" w:hAnsi="Helvetica" w:cs="Helvetica"/>
              </w:rPr>
              <w:t>September 2020</w:t>
            </w:r>
          </w:p>
        </w:tc>
        <w:tc>
          <w:tcPr>
            <w:tcW w:w="2834" w:type="dxa"/>
          </w:tcPr>
          <w:p w14:paraId="3B08B323" w14:textId="0CAFFC23" w:rsidR="00543C77" w:rsidRDefault="00543C77" w:rsidP="00543C77">
            <w:pPr>
              <w:rPr>
                <w:rFonts w:ascii="Helvetica" w:hAnsi="Helvetica" w:cs="Helvetica"/>
              </w:rPr>
            </w:pPr>
            <w:r>
              <w:rPr>
                <w:rFonts w:ascii="Helvetica" w:hAnsi="Helvetica" w:cs="Helvetica"/>
              </w:rPr>
              <w:t>October 2020</w:t>
            </w:r>
          </w:p>
        </w:tc>
      </w:tr>
      <w:tr w:rsidR="00543C77" w14:paraId="3D4488B7" w14:textId="1EEBC2FD" w:rsidTr="004059C9">
        <w:tc>
          <w:tcPr>
            <w:tcW w:w="1129" w:type="dxa"/>
          </w:tcPr>
          <w:p w14:paraId="585DECD0" w14:textId="77777777" w:rsidR="00543C77" w:rsidRDefault="00543C77" w:rsidP="00543C77">
            <w:pPr>
              <w:suppressAutoHyphens w:val="0"/>
              <w:jc w:val="both"/>
              <w:rPr>
                <w:rFonts w:ascii="Helvetica" w:hAnsi="Helvetica" w:cs="Helvetica"/>
              </w:rPr>
            </w:pPr>
            <w:r>
              <w:rPr>
                <w:rFonts w:ascii="Helvetica" w:hAnsi="Helvetica" w:cs="Helvetica"/>
              </w:rPr>
              <w:t>Content</w:t>
            </w:r>
          </w:p>
        </w:tc>
        <w:tc>
          <w:tcPr>
            <w:tcW w:w="3119" w:type="dxa"/>
          </w:tcPr>
          <w:p w14:paraId="2652C90C"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Appeals receipts and decisions in the last 12 and 24 months (1st March 2018 – 29th February 2020)</w:t>
            </w:r>
          </w:p>
          <w:p w14:paraId="50F790E6" w14:textId="77777777" w:rsidR="00543C77" w:rsidRPr="0017519E" w:rsidRDefault="00543C77" w:rsidP="00543C77">
            <w:pPr>
              <w:rPr>
                <w:rFonts w:ascii="Helvetica" w:hAnsi="Helvetica" w:cs="Helvetica"/>
                <w:sz w:val="20"/>
                <w:szCs w:val="20"/>
              </w:rPr>
            </w:pPr>
          </w:p>
          <w:p w14:paraId="447EA298"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Number of section 78 Planning Appeals received / decided / within target that used the written representation method in the last 12 months (1st March 2019 – 29th February 2020)</w:t>
            </w:r>
          </w:p>
          <w:p w14:paraId="49306F4B" w14:textId="77777777" w:rsidR="00543C77" w:rsidRPr="0017519E" w:rsidRDefault="00543C77" w:rsidP="00543C77">
            <w:pPr>
              <w:rPr>
                <w:rFonts w:ascii="Helvetica" w:hAnsi="Helvetica" w:cs="Helvetica"/>
                <w:sz w:val="20"/>
                <w:szCs w:val="20"/>
              </w:rPr>
            </w:pPr>
          </w:p>
          <w:p w14:paraId="622A746C"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 xml:space="preserve">Number of dwellings </w:t>
            </w:r>
            <w:proofErr w:type="gramStart"/>
            <w:r w:rsidRPr="0017519E">
              <w:rPr>
                <w:rFonts w:ascii="Helvetica" w:hAnsi="Helvetica" w:cs="Helvetica"/>
                <w:sz w:val="20"/>
                <w:szCs w:val="20"/>
              </w:rPr>
              <w:t>decided</w:t>
            </w:r>
            <w:proofErr w:type="gramEnd"/>
            <w:r w:rsidRPr="0017519E">
              <w:rPr>
                <w:rFonts w:ascii="Helvetica" w:hAnsi="Helvetica" w:cs="Helvetica"/>
                <w:sz w:val="20"/>
                <w:szCs w:val="20"/>
              </w:rPr>
              <w:t xml:space="preserve"> and number of dwellings allowed by appeal decisions between 1st January 2017 and 31st December 2019.</w:t>
            </w:r>
          </w:p>
          <w:p w14:paraId="11C14DD2" w14:textId="77777777" w:rsidR="00543C77" w:rsidRPr="0017519E" w:rsidRDefault="00543C77" w:rsidP="00543C77">
            <w:pPr>
              <w:rPr>
                <w:rFonts w:ascii="Helvetica" w:hAnsi="Helvetica" w:cs="Helvetica"/>
                <w:sz w:val="20"/>
                <w:szCs w:val="20"/>
              </w:rPr>
            </w:pPr>
          </w:p>
          <w:p w14:paraId="3FD32B0F"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Number of Planning Inspectors employed by the Planning Inspectorate at the end of each quarter between 31st March 2017 and 31st December 2019.</w:t>
            </w:r>
          </w:p>
        </w:tc>
        <w:tc>
          <w:tcPr>
            <w:tcW w:w="2549" w:type="dxa"/>
          </w:tcPr>
          <w:p w14:paraId="2327BA04"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Appeals receipts and decisions between 17</w:t>
            </w:r>
            <w:r w:rsidRPr="0017519E">
              <w:rPr>
                <w:rFonts w:ascii="Helvetica" w:hAnsi="Helvetica" w:cs="Helvetica"/>
                <w:sz w:val="20"/>
                <w:szCs w:val="20"/>
                <w:vertAlign w:val="superscript"/>
              </w:rPr>
              <w:t>th</w:t>
            </w:r>
            <w:r w:rsidRPr="0017519E">
              <w:rPr>
                <w:rFonts w:ascii="Helvetica" w:hAnsi="Helvetica" w:cs="Helvetica"/>
                <w:sz w:val="20"/>
                <w:szCs w:val="20"/>
              </w:rPr>
              <w:t> March 2020 and 22</w:t>
            </w:r>
            <w:r w:rsidRPr="0017519E">
              <w:rPr>
                <w:rFonts w:ascii="Helvetica" w:hAnsi="Helvetica" w:cs="Helvetica"/>
                <w:sz w:val="20"/>
                <w:szCs w:val="20"/>
                <w:vertAlign w:val="superscript"/>
              </w:rPr>
              <w:t>nd</w:t>
            </w:r>
            <w:r w:rsidRPr="0017519E">
              <w:rPr>
                <w:rFonts w:ascii="Helvetica" w:hAnsi="Helvetica" w:cs="Helvetica"/>
                <w:sz w:val="20"/>
                <w:szCs w:val="20"/>
              </w:rPr>
              <w:t> April 2020 </w:t>
            </w:r>
          </w:p>
          <w:p w14:paraId="4617DD95" w14:textId="77777777" w:rsidR="00543C77" w:rsidRPr="0017519E" w:rsidRDefault="00543C77" w:rsidP="00543C77">
            <w:pPr>
              <w:suppressAutoHyphens w:val="0"/>
              <w:jc w:val="both"/>
              <w:rPr>
                <w:rFonts w:ascii="Helvetica" w:hAnsi="Helvetica" w:cs="Helvetica"/>
                <w:sz w:val="20"/>
                <w:szCs w:val="20"/>
              </w:rPr>
            </w:pPr>
          </w:p>
          <w:p w14:paraId="1C9C6477"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Live appeals in the system as at 23</w:t>
            </w:r>
            <w:r w:rsidRPr="0017519E">
              <w:rPr>
                <w:rFonts w:ascii="Helvetica" w:hAnsi="Helvetica" w:cs="Helvetica"/>
                <w:sz w:val="20"/>
                <w:szCs w:val="20"/>
                <w:vertAlign w:val="superscript"/>
              </w:rPr>
              <w:t>rd</w:t>
            </w:r>
            <w:r w:rsidRPr="0017519E">
              <w:rPr>
                <w:rFonts w:ascii="Helvetica" w:hAnsi="Helvetica" w:cs="Helvetica"/>
                <w:sz w:val="20"/>
                <w:szCs w:val="20"/>
              </w:rPr>
              <w:t> April 2020 </w:t>
            </w:r>
          </w:p>
          <w:p w14:paraId="36C6D9B6" w14:textId="77777777" w:rsidR="00543C77" w:rsidRPr="0017519E" w:rsidRDefault="00543C77" w:rsidP="00543C77">
            <w:pPr>
              <w:suppressAutoHyphens w:val="0"/>
              <w:jc w:val="both"/>
              <w:rPr>
                <w:rFonts w:ascii="Helvetica" w:hAnsi="Helvetica" w:cs="Helvetica"/>
                <w:sz w:val="20"/>
                <w:szCs w:val="20"/>
              </w:rPr>
            </w:pPr>
          </w:p>
          <w:p w14:paraId="059AE29A"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Number of appeals involving housing within the system as at 23</w:t>
            </w:r>
            <w:r w:rsidRPr="0017519E">
              <w:rPr>
                <w:rFonts w:ascii="Helvetica" w:hAnsi="Helvetica" w:cs="Helvetica"/>
                <w:sz w:val="20"/>
                <w:szCs w:val="20"/>
                <w:vertAlign w:val="superscript"/>
              </w:rPr>
              <w:t>rd</w:t>
            </w:r>
            <w:r w:rsidRPr="0017519E">
              <w:rPr>
                <w:rFonts w:ascii="Helvetica" w:hAnsi="Helvetica" w:cs="Helvetica"/>
                <w:sz w:val="20"/>
                <w:szCs w:val="20"/>
              </w:rPr>
              <w:t> April 2020 </w:t>
            </w:r>
          </w:p>
          <w:p w14:paraId="21F3EC5D" w14:textId="77777777" w:rsidR="00543C77" w:rsidRPr="0017519E" w:rsidRDefault="00543C77" w:rsidP="00543C77">
            <w:pPr>
              <w:suppressAutoHyphens w:val="0"/>
              <w:jc w:val="both"/>
              <w:rPr>
                <w:rFonts w:ascii="Helvetica" w:hAnsi="Helvetica" w:cs="Helvetica"/>
                <w:sz w:val="20"/>
                <w:szCs w:val="20"/>
              </w:rPr>
            </w:pPr>
          </w:p>
          <w:p w14:paraId="25BF6B07"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Virtual site visits</w:t>
            </w:r>
          </w:p>
          <w:p w14:paraId="3B79AAB5" w14:textId="77777777" w:rsidR="00543C77" w:rsidRPr="0017519E" w:rsidRDefault="00543C77" w:rsidP="00543C77">
            <w:pPr>
              <w:suppressAutoHyphens w:val="0"/>
              <w:jc w:val="both"/>
              <w:rPr>
                <w:rFonts w:ascii="Helvetica" w:hAnsi="Helvetica" w:cs="Helvetica"/>
                <w:sz w:val="20"/>
                <w:szCs w:val="20"/>
              </w:rPr>
            </w:pPr>
          </w:p>
        </w:tc>
        <w:tc>
          <w:tcPr>
            <w:tcW w:w="2834" w:type="dxa"/>
          </w:tcPr>
          <w:p w14:paraId="4596C050"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Appeals decisions between 17th March 2020 and 22nd June 2020</w:t>
            </w:r>
          </w:p>
          <w:p w14:paraId="435C9FBE" w14:textId="77777777" w:rsidR="00543C77" w:rsidRPr="0017519E" w:rsidRDefault="00543C77" w:rsidP="00543C77">
            <w:pPr>
              <w:rPr>
                <w:rFonts w:ascii="Arial" w:hAnsi="Arial" w:cs="Arial"/>
                <w:sz w:val="20"/>
                <w:szCs w:val="20"/>
                <w:shd w:val="clear" w:color="auto" w:fill="FAF9F8"/>
              </w:rPr>
            </w:pPr>
          </w:p>
          <w:p w14:paraId="53691E54"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open cases</w:t>
            </w:r>
          </w:p>
          <w:p w14:paraId="02BD6259" w14:textId="77777777" w:rsidR="00543C77" w:rsidRPr="0017519E" w:rsidRDefault="00543C77" w:rsidP="00543C77">
            <w:pPr>
              <w:rPr>
                <w:rFonts w:ascii="Arial" w:hAnsi="Arial" w:cs="Arial"/>
                <w:sz w:val="20"/>
                <w:szCs w:val="20"/>
                <w:shd w:val="clear" w:color="auto" w:fill="FAF9F8"/>
              </w:rPr>
            </w:pPr>
          </w:p>
          <w:p w14:paraId="36729E0A"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virtual events</w:t>
            </w:r>
          </w:p>
          <w:p w14:paraId="6625B7D4" w14:textId="77777777" w:rsidR="00543C77" w:rsidRPr="0017519E" w:rsidRDefault="00543C77" w:rsidP="00543C77">
            <w:pPr>
              <w:rPr>
                <w:rFonts w:ascii="Arial" w:hAnsi="Arial" w:cs="Arial"/>
                <w:sz w:val="20"/>
                <w:szCs w:val="20"/>
                <w:shd w:val="clear" w:color="auto" w:fill="FAF9F8"/>
              </w:rPr>
            </w:pPr>
          </w:p>
          <w:p w14:paraId="500A3AD3"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 xml:space="preserve">Number of appeals </w:t>
            </w:r>
          </w:p>
          <w:p w14:paraId="337F7F54"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involving housing within the system as at 12th June 2020</w:t>
            </w:r>
          </w:p>
        </w:tc>
        <w:tc>
          <w:tcPr>
            <w:tcW w:w="2834" w:type="dxa"/>
          </w:tcPr>
          <w:p w14:paraId="56687CFE"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Appeals decisions between 17th March 2020 and 21st September 2020 </w:t>
            </w:r>
          </w:p>
          <w:p w14:paraId="018FF18C" w14:textId="77777777" w:rsidR="00543C77" w:rsidRPr="0017519E" w:rsidRDefault="00543C77" w:rsidP="00543C77">
            <w:pPr>
              <w:rPr>
                <w:rFonts w:ascii="Arial" w:hAnsi="Arial" w:cs="Arial"/>
                <w:sz w:val="20"/>
                <w:szCs w:val="20"/>
                <w:shd w:val="clear" w:color="auto" w:fill="FAF9F8"/>
              </w:rPr>
            </w:pPr>
          </w:p>
          <w:p w14:paraId="0A323019"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open cases </w:t>
            </w:r>
          </w:p>
          <w:p w14:paraId="426BF750" w14:textId="77777777" w:rsidR="00543C77" w:rsidRPr="0017519E" w:rsidRDefault="00543C77" w:rsidP="00543C77">
            <w:pPr>
              <w:rPr>
                <w:rFonts w:ascii="Arial" w:hAnsi="Arial" w:cs="Arial"/>
                <w:sz w:val="20"/>
                <w:szCs w:val="20"/>
                <w:shd w:val="clear" w:color="auto" w:fill="FAF9F8"/>
              </w:rPr>
            </w:pPr>
          </w:p>
          <w:p w14:paraId="42FBA14D"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virtual events </w:t>
            </w:r>
          </w:p>
          <w:p w14:paraId="55A4379B" w14:textId="77777777" w:rsidR="00543C77" w:rsidRPr="0017519E" w:rsidRDefault="00543C77" w:rsidP="00543C77">
            <w:pPr>
              <w:rPr>
                <w:rFonts w:ascii="Arial" w:hAnsi="Arial" w:cs="Arial"/>
                <w:sz w:val="20"/>
                <w:szCs w:val="20"/>
                <w:shd w:val="clear" w:color="auto" w:fill="FAF9F8"/>
              </w:rPr>
            </w:pPr>
          </w:p>
        </w:tc>
        <w:tc>
          <w:tcPr>
            <w:tcW w:w="2834" w:type="dxa"/>
          </w:tcPr>
          <w:p w14:paraId="4A67D20D"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Appeals decisions from October 2019 to September 2020 </w:t>
            </w:r>
          </w:p>
          <w:p w14:paraId="0BF216B7" w14:textId="77777777" w:rsidR="00543C77" w:rsidRPr="0017519E" w:rsidRDefault="00543C77" w:rsidP="00543C77">
            <w:pPr>
              <w:rPr>
                <w:rFonts w:ascii="Arial" w:hAnsi="Arial" w:cs="Arial"/>
                <w:sz w:val="20"/>
                <w:szCs w:val="20"/>
                <w:shd w:val="clear" w:color="auto" w:fill="FAF9F8"/>
              </w:rPr>
            </w:pPr>
          </w:p>
          <w:p w14:paraId="615E23B9"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open cases </w:t>
            </w:r>
          </w:p>
          <w:p w14:paraId="738D67B7" w14:textId="77777777" w:rsidR="00543C77" w:rsidRPr="0017519E" w:rsidRDefault="00543C77" w:rsidP="00543C77">
            <w:pPr>
              <w:rPr>
                <w:rFonts w:ascii="Arial" w:hAnsi="Arial" w:cs="Arial"/>
                <w:sz w:val="20"/>
                <w:szCs w:val="20"/>
                <w:shd w:val="clear" w:color="auto" w:fill="FAF9F8"/>
              </w:rPr>
            </w:pPr>
          </w:p>
          <w:p w14:paraId="12D0CCD2"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virtual events </w:t>
            </w:r>
          </w:p>
          <w:p w14:paraId="17F60B08" w14:textId="77777777" w:rsidR="00543C77" w:rsidRPr="0017519E" w:rsidRDefault="00543C77" w:rsidP="00543C77">
            <w:pPr>
              <w:rPr>
                <w:rFonts w:ascii="Arial" w:hAnsi="Arial" w:cs="Arial"/>
                <w:sz w:val="20"/>
                <w:szCs w:val="20"/>
                <w:shd w:val="clear" w:color="auto" w:fill="FAF9F8"/>
              </w:rPr>
            </w:pPr>
          </w:p>
        </w:tc>
      </w:tr>
      <w:tr w:rsidR="00543C77" w14:paraId="5792559B" w14:textId="18BDFC31" w:rsidTr="004059C9">
        <w:tc>
          <w:tcPr>
            <w:tcW w:w="1129" w:type="dxa"/>
          </w:tcPr>
          <w:p w14:paraId="093DAE19" w14:textId="77777777" w:rsidR="00543C77" w:rsidRDefault="00543C77" w:rsidP="00543C77">
            <w:pPr>
              <w:rPr>
                <w:rFonts w:ascii="Helvetica" w:hAnsi="Helvetica" w:cs="Helvetica"/>
              </w:rPr>
            </w:pPr>
            <w:r>
              <w:rPr>
                <w:rFonts w:ascii="Helvetica" w:hAnsi="Helvetica" w:cs="Helvetica"/>
              </w:rPr>
              <w:t>Scope</w:t>
            </w:r>
          </w:p>
        </w:tc>
        <w:tc>
          <w:tcPr>
            <w:tcW w:w="3119" w:type="dxa"/>
          </w:tcPr>
          <w:p w14:paraId="1E4CB1DA"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 xml:space="preserve">England only </w:t>
            </w:r>
          </w:p>
          <w:p w14:paraId="7F4FB795" w14:textId="77777777" w:rsidR="00543C77" w:rsidRPr="0017519E" w:rsidRDefault="00543C77" w:rsidP="00543C77">
            <w:pPr>
              <w:rPr>
                <w:rFonts w:ascii="Helvetica" w:hAnsi="Helvetica" w:cs="Helvetica"/>
                <w:sz w:val="20"/>
                <w:szCs w:val="20"/>
              </w:rPr>
            </w:pPr>
          </w:p>
          <w:p w14:paraId="3042C298"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549" w:type="dxa"/>
          </w:tcPr>
          <w:p w14:paraId="0C30179D"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2C06A612" w14:textId="77777777" w:rsidR="00543C77" w:rsidRPr="0017519E" w:rsidRDefault="00543C77" w:rsidP="00543C77">
            <w:pPr>
              <w:rPr>
                <w:rFonts w:ascii="Helvetica" w:hAnsi="Helvetica" w:cs="Helvetica"/>
                <w:sz w:val="20"/>
                <w:szCs w:val="20"/>
              </w:rPr>
            </w:pPr>
          </w:p>
          <w:p w14:paraId="161DD7AF"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834" w:type="dxa"/>
          </w:tcPr>
          <w:p w14:paraId="11E81192"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0EF6BBF9" w14:textId="77777777" w:rsidR="00543C77" w:rsidRPr="0017519E" w:rsidRDefault="00543C77" w:rsidP="00543C77">
            <w:pPr>
              <w:rPr>
                <w:rFonts w:ascii="Helvetica" w:hAnsi="Helvetica" w:cs="Helvetica"/>
                <w:sz w:val="20"/>
                <w:szCs w:val="20"/>
              </w:rPr>
            </w:pPr>
          </w:p>
          <w:p w14:paraId="2A960032"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834" w:type="dxa"/>
          </w:tcPr>
          <w:p w14:paraId="6F4E5925"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2BBEDDDF" w14:textId="77777777" w:rsidR="00543C77" w:rsidRPr="0017519E" w:rsidRDefault="00543C77" w:rsidP="00543C77">
            <w:pPr>
              <w:rPr>
                <w:rFonts w:ascii="Helvetica" w:hAnsi="Helvetica" w:cs="Helvetica"/>
                <w:sz w:val="20"/>
                <w:szCs w:val="20"/>
              </w:rPr>
            </w:pPr>
          </w:p>
          <w:p w14:paraId="4B80B16D" w14:textId="5452908C"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834" w:type="dxa"/>
          </w:tcPr>
          <w:p w14:paraId="7E803135"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16ECC31B" w14:textId="77777777" w:rsidR="00543C77" w:rsidRPr="0017519E" w:rsidRDefault="00543C77" w:rsidP="00543C77">
            <w:pPr>
              <w:rPr>
                <w:rFonts w:ascii="Helvetica" w:hAnsi="Helvetica" w:cs="Helvetica"/>
                <w:sz w:val="20"/>
                <w:szCs w:val="20"/>
              </w:rPr>
            </w:pPr>
          </w:p>
          <w:p w14:paraId="23238355" w14:textId="1405983C"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Specialist cases: Common Land, Rights of Way orders, Tree Preservation Orders, High Hedges appeals and Hedgerow appeals</w:t>
            </w:r>
          </w:p>
        </w:tc>
      </w:tr>
    </w:tbl>
    <w:p w14:paraId="58E47A8A" w14:textId="44756EA6" w:rsidR="00C25281" w:rsidRPr="00B912C8" w:rsidRDefault="00C25281" w:rsidP="006A3227">
      <w:pPr>
        <w:rPr>
          <w:rFonts w:ascii="Helvetica" w:hAnsi="Helvetica" w:cs="Helvetica"/>
          <w:b/>
          <w:bCs/>
          <w:color w:val="FFFFFF" w:themeColor="background1"/>
          <w:sz w:val="16"/>
          <w:szCs w:val="16"/>
        </w:rPr>
      </w:pPr>
    </w:p>
    <w:p w14:paraId="155B5138" w14:textId="77777777" w:rsidR="00543C77" w:rsidRPr="00B912C8" w:rsidRDefault="00543C77">
      <w:pPr>
        <w:suppressAutoHyphens w:val="0"/>
        <w:autoSpaceDN/>
        <w:spacing w:after="160" w:line="259" w:lineRule="auto"/>
        <w:textAlignment w:val="auto"/>
        <w:rPr>
          <w:rFonts w:ascii="Helvetica" w:hAnsi="Helvetica" w:cs="Helvetica"/>
          <w:b/>
          <w:bCs/>
          <w:color w:val="FFFFFF" w:themeColor="background1"/>
          <w:sz w:val="16"/>
          <w:szCs w:val="16"/>
        </w:rPr>
        <w:sectPr w:rsidR="00543C77" w:rsidRPr="00B912C8" w:rsidSect="00F35844">
          <w:headerReference w:type="default" r:id="rId27"/>
          <w:footerReference w:type="default" r:id="rId28"/>
          <w:headerReference w:type="first" r:id="rId29"/>
          <w:footerReference w:type="first" r:id="rId30"/>
          <w:pgSz w:w="16840" w:h="11907" w:orient="landscape"/>
          <w:pgMar w:top="709" w:right="851" w:bottom="284" w:left="709" w:header="709" w:footer="709" w:gutter="0"/>
          <w:cols w:space="720"/>
          <w:titlePg/>
          <w:docGrid w:linePitch="326"/>
        </w:sectPr>
      </w:pPr>
    </w:p>
    <w:tbl>
      <w:tblPr>
        <w:tblW w:w="9636" w:type="dxa"/>
        <w:tblCellMar>
          <w:left w:w="10" w:type="dxa"/>
          <w:right w:w="10" w:type="dxa"/>
        </w:tblCellMar>
        <w:tblLook w:val="0000" w:firstRow="0" w:lastRow="0" w:firstColumn="0" w:lastColumn="0" w:noHBand="0" w:noVBand="0"/>
      </w:tblPr>
      <w:tblGrid>
        <w:gridCol w:w="9636"/>
      </w:tblGrid>
      <w:tr w:rsidR="00737B0F" w14:paraId="71D66D90" w14:textId="77777777" w:rsidTr="00737B0F">
        <w:trPr>
          <w:trHeight w:val="652"/>
        </w:trPr>
        <w:tc>
          <w:tcPr>
            <w:tcW w:w="9636" w:type="dxa"/>
            <w:shd w:val="clear" w:color="auto" w:fill="00958F"/>
            <w:tcMar>
              <w:top w:w="0" w:type="dxa"/>
              <w:left w:w="108" w:type="dxa"/>
              <w:bottom w:w="0" w:type="dxa"/>
              <w:right w:w="108" w:type="dxa"/>
            </w:tcMar>
          </w:tcPr>
          <w:p w14:paraId="4350122F" w14:textId="702FC752" w:rsidR="00737B0F" w:rsidRDefault="00737B0F" w:rsidP="000B0D03">
            <w:pPr>
              <w:rPr>
                <w:rFonts w:ascii="Helvetica" w:hAnsi="Helvetica" w:cs="Helvetica"/>
                <w:b/>
                <w:bCs/>
                <w:color w:val="FFFFFF" w:themeColor="background1"/>
                <w:sz w:val="28"/>
                <w:szCs w:val="28"/>
              </w:rPr>
            </w:pPr>
            <w:r w:rsidRPr="00737B0F">
              <w:rPr>
                <w:rFonts w:ascii="Helvetica" w:hAnsi="Helvetica" w:cs="Helvetica"/>
                <w:b/>
                <w:color w:val="FFFFFF"/>
                <w:sz w:val="28"/>
                <w:szCs w:val="28"/>
              </w:rPr>
              <w:lastRenderedPageBreak/>
              <w:t xml:space="preserve">Annex B – Mean and median time to decision, with standard deviation, for planning, </w:t>
            </w:r>
            <w:proofErr w:type="gramStart"/>
            <w:r w:rsidRPr="00737B0F">
              <w:rPr>
                <w:rFonts w:ascii="Helvetica" w:hAnsi="Helvetica" w:cs="Helvetica"/>
                <w:b/>
                <w:color w:val="FFFFFF"/>
                <w:sz w:val="28"/>
                <w:szCs w:val="28"/>
              </w:rPr>
              <w:t>enforcement</w:t>
            </w:r>
            <w:proofErr w:type="gramEnd"/>
            <w:r w:rsidRPr="00737B0F">
              <w:rPr>
                <w:rFonts w:ascii="Helvetica" w:hAnsi="Helvetica" w:cs="Helvetica"/>
                <w:b/>
                <w:color w:val="FFFFFF"/>
                <w:sz w:val="28"/>
                <w:szCs w:val="28"/>
              </w:rPr>
              <w:t xml:space="preserve"> and specialist casework</w:t>
            </w:r>
          </w:p>
        </w:tc>
      </w:tr>
    </w:tbl>
    <w:p w14:paraId="4BCC00A7" w14:textId="77777777" w:rsidR="00353A89" w:rsidRPr="00142A5F" w:rsidRDefault="00353A89" w:rsidP="00353A89">
      <w:pPr>
        <w:keepNext/>
        <w:spacing w:before="120"/>
        <w:rPr>
          <w:rFonts w:ascii="Helvetica" w:hAnsi="Helvetica" w:cs="Helvetica"/>
        </w:rPr>
      </w:pPr>
      <w:r w:rsidRPr="00511A47">
        <w:rPr>
          <w:rFonts w:ascii="Helvetica" w:hAnsi="Helvetica" w:cs="Helvetica"/>
        </w:rPr>
        <w:t>Planning</w:t>
      </w:r>
    </w:p>
    <w:tbl>
      <w:tblPr>
        <w:tblW w:w="5000" w:type="pct"/>
        <w:tblLook w:val="0000" w:firstRow="0" w:lastRow="0" w:firstColumn="0" w:lastColumn="0" w:noHBand="0" w:noVBand="0"/>
      </w:tblPr>
      <w:tblGrid>
        <w:gridCol w:w="878"/>
        <w:gridCol w:w="1281"/>
        <w:gridCol w:w="576"/>
        <w:gridCol w:w="576"/>
        <w:gridCol w:w="576"/>
        <w:gridCol w:w="576"/>
        <w:gridCol w:w="576"/>
        <w:gridCol w:w="576"/>
        <w:gridCol w:w="576"/>
        <w:gridCol w:w="576"/>
        <w:gridCol w:w="576"/>
        <w:gridCol w:w="576"/>
        <w:gridCol w:w="576"/>
        <w:gridCol w:w="576"/>
        <w:gridCol w:w="558"/>
      </w:tblGrid>
      <w:tr w:rsidR="00D16518" w:rsidRPr="00F31098" w14:paraId="4D5200F8" w14:textId="77777777" w:rsidTr="00C55714">
        <w:trPr>
          <w:trHeight w:val="366"/>
        </w:trPr>
        <w:tc>
          <w:tcPr>
            <w:tcW w:w="456" w:type="pct"/>
            <w:tcBorders>
              <w:top w:val="single" w:sz="4" w:space="0" w:color="auto"/>
              <w:left w:val="single" w:sz="4" w:space="0" w:color="auto"/>
              <w:bottom w:val="single" w:sz="6" w:space="0" w:color="auto"/>
            </w:tcBorders>
            <w:vAlign w:val="center"/>
          </w:tcPr>
          <w:p w14:paraId="6C41E107" w14:textId="77777777" w:rsidR="00D16518" w:rsidRPr="00F31098" w:rsidRDefault="00D16518" w:rsidP="00D1651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Measure</w:t>
            </w:r>
          </w:p>
        </w:tc>
        <w:tc>
          <w:tcPr>
            <w:tcW w:w="665" w:type="pct"/>
            <w:tcBorders>
              <w:top w:val="single" w:sz="4" w:space="0" w:color="auto"/>
              <w:bottom w:val="single" w:sz="6" w:space="0" w:color="auto"/>
            </w:tcBorders>
            <w:vAlign w:val="center"/>
          </w:tcPr>
          <w:p w14:paraId="3662CBFE" w14:textId="77777777" w:rsidR="00D16518" w:rsidRPr="00F31098" w:rsidRDefault="00D16518" w:rsidP="00D1651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Procedure</w:t>
            </w:r>
          </w:p>
        </w:tc>
        <w:tc>
          <w:tcPr>
            <w:tcW w:w="299" w:type="pct"/>
            <w:tcBorders>
              <w:top w:val="single" w:sz="4" w:space="0" w:color="auto"/>
              <w:left w:val="nil"/>
              <w:bottom w:val="single" w:sz="4" w:space="0" w:color="auto"/>
            </w:tcBorders>
            <w:vAlign w:val="center"/>
          </w:tcPr>
          <w:p w14:paraId="0738B242" w14:textId="7E273603"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Jun 20</w:t>
            </w:r>
          </w:p>
        </w:tc>
        <w:tc>
          <w:tcPr>
            <w:tcW w:w="299" w:type="pct"/>
            <w:tcBorders>
              <w:top w:val="single" w:sz="4" w:space="0" w:color="auto"/>
              <w:bottom w:val="single" w:sz="4" w:space="0" w:color="auto"/>
            </w:tcBorders>
            <w:vAlign w:val="center"/>
          </w:tcPr>
          <w:p w14:paraId="251B3F6E" w14:textId="37020403"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Jul 20</w:t>
            </w:r>
          </w:p>
        </w:tc>
        <w:tc>
          <w:tcPr>
            <w:tcW w:w="299" w:type="pct"/>
            <w:tcBorders>
              <w:top w:val="single" w:sz="4" w:space="0" w:color="auto"/>
              <w:bottom w:val="single" w:sz="4" w:space="0" w:color="auto"/>
            </w:tcBorders>
            <w:vAlign w:val="center"/>
          </w:tcPr>
          <w:p w14:paraId="215D344E" w14:textId="10DC2763"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Aug 20</w:t>
            </w:r>
          </w:p>
        </w:tc>
        <w:tc>
          <w:tcPr>
            <w:tcW w:w="299" w:type="pct"/>
            <w:tcBorders>
              <w:top w:val="single" w:sz="4" w:space="0" w:color="auto"/>
              <w:bottom w:val="single" w:sz="4" w:space="0" w:color="auto"/>
            </w:tcBorders>
            <w:vAlign w:val="center"/>
          </w:tcPr>
          <w:p w14:paraId="0FAC69E8" w14:textId="6B05AE9B"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Sep 20</w:t>
            </w:r>
          </w:p>
        </w:tc>
        <w:tc>
          <w:tcPr>
            <w:tcW w:w="299" w:type="pct"/>
            <w:tcBorders>
              <w:top w:val="single" w:sz="4" w:space="0" w:color="auto"/>
              <w:bottom w:val="single" w:sz="4" w:space="0" w:color="auto"/>
            </w:tcBorders>
            <w:vAlign w:val="center"/>
          </w:tcPr>
          <w:p w14:paraId="6467AD64" w14:textId="60A09C7B"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Oct 20</w:t>
            </w:r>
          </w:p>
        </w:tc>
        <w:tc>
          <w:tcPr>
            <w:tcW w:w="299" w:type="pct"/>
            <w:tcBorders>
              <w:top w:val="single" w:sz="4" w:space="0" w:color="auto"/>
              <w:bottom w:val="single" w:sz="4" w:space="0" w:color="auto"/>
            </w:tcBorders>
            <w:vAlign w:val="center"/>
          </w:tcPr>
          <w:p w14:paraId="7873B36F" w14:textId="6F15AE9E"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Nov 20</w:t>
            </w:r>
          </w:p>
        </w:tc>
        <w:tc>
          <w:tcPr>
            <w:tcW w:w="299" w:type="pct"/>
            <w:tcBorders>
              <w:top w:val="single" w:sz="4" w:space="0" w:color="auto"/>
              <w:bottom w:val="single" w:sz="4" w:space="0" w:color="auto"/>
            </w:tcBorders>
            <w:vAlign w:val="center"/>
          </w:tcPr>
          <w:p w14:paraId="09B7AEED" w14:textId="71F15B86"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Dec 20</w:t>
            </w:r>
          </w:p>
        </w:tc>
        <w:tc>
          <w:tcPr>
            <w:tcW w:w="299" w:type="pct"/>
            <w:tcBorders>
              <w:top w:val="single" w:sz="4" w:space="0" w:color="auto"/>
              <w:bottom w:val="single" w:sz="4" w:space="0" w:color="auto"/>
            </w:tcBorders>
            <w:vAlign w:val="center"/>
          </w:tcPr>
          <w:p w14:paraId="66BE687A" w14:textId="68E91D4B"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Jan 21</w:t>
            </w:r>
          </w:p>
        </w:tc>
        <w:tc>
          <w:tcPr>
            <w:tcW w:w="299" w:type="pct"/>
            <w:tcBorders>
              <w:top w:val="single" w:sz="4" w:space="0" w:color="auto"/>
              <w:bottom w:val="single" w:sz="4" w:space="0" w:color="auto"/>
            </w:tcBorders>
            <w:vAlign w:val="center"/>
          </w:tcPr>
          <w:p w14:paraId="31BAFADF" w14:textId="280C1FB8"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Feb 21</w:t>
            </w:r>
          </w:p>
        </w:tc>
        <w:tc>
          <w:tcPr>
            <w:tcW w:w="299" w:type="pct"/>
            <w:tcBorders>
              <w:top w:val="single" w:sz="4" w:space="0" w:color="auto"/>
              <w:bottom w:val="single" w:sz="4" w:space="0" w:color="auto"/>
            </w:tcBorders>
            <w:vAlign w:val="center"/>
          </w:tcPr>
          <w:p w14:paraId="6D36FBB9" w14:textId="7B969D27"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Mar 21</w:t>
            </w:r>
          </w:p>
        </w:tc>
        <w:tc>
          <w:tcPr>
            <w:tcW w:w="299" w:type="pct"/>
            <w:tcBorders>
              <w:top w:val="single" w:sz="4" w:space="0" w:color="auto"/>
              <w:bottom w:val="single" w:sz="4" w:space="0" w:color="auto"/>
            </w:tcBorders>
            <w:vAlign w:val="center"/>
          </w:tcPr>
          <w:p w14:paraId="7163E9AE" w14:textId="193F6181"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Apr 21</w:t>
            </w:r>
          </w:p>
        </w:tc>
        <w:tc>
          <w:tcPr>
            <w:tcW w:w="299" w:type="pct"/>
            <w:tcBorders>
              <w:top w:val="single" w:sz="4" w:space="0" w:color="auto"/>
              <w:bottom w:val="single" w:sz="4" w:space="0" w:color="auto"/>
              <w:right w:val="single" w:sz="4" w:space="0" w:color="auto"/>
            </w:tcBorders>
            <w:vAlign w:val="center"/>
          </w:tcPr>
          <w:p w14:paraId="2108B39F" w14:textId="37046179"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May 21</w:t>
            </w:r>
          </w:p>
        </w:tc>
        <w:tc>
          <w:tcPr>
            <w:tcW w:w="290" w:type="pct"/>
            <w:tcBorders>
              <w:top w:val="single" w:sz="4" w:space="0" w:color="auto"/>
              <w:left w:val="single" w:sz="4" w:space="0" w:color="auto"/>
              <w:bottom w:val="single" w:sz="6" w:space="0" w:color="auto"/>
              <w:right w:val="single" w:sz="4" w:space="0" w:color="auto"/>
            </w:tcBorders>
            <w:vAlign w:val="center"/>
          </w:tcPr>
          <w:p w14:paraId="65DF9488" w14:textId="77777777" w:rsidR="00D16518" w:rsidRPr="00F3109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Total</w:t>
            </w:r>
          </w:p>
        </w:tc>
      </w:tr>
      <w:tr w:rsidR="007736E3" w:rsidRPr="00F31098" w14:paraId="53F16D60" w14:textId="77777777" w:rsidTr="00F17DD8">
        <w:trPr>
          <w:trHeight w:val="283"/>
        </w:trPr>
        <w:tc>
          <w:tcPr>
            <w:tcW w:w="456" w:type="pct"/>
            <w:vMerge w:val="restart"/>
            <w:tcBorders>
              <w:top w:val="single" w:sz="6" w:space="0" w:color="auto"/>
              <w:left w:val="single" w:sz="4" w:space="0" w:color="auto"/>
              <w:right w:val="nil"/>
            </w:tcBorders>
          </w:tcPr>
          <w:p w14:paraId="5DFC0295"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(mean weeks)</w:t>
            </w:r>
          </w:p>
        </w:tc>
        <w:tc>
          <w:tcPr>
            <w:tcW w:w="665" w:type="pct"/>
            <w:tcBorders>
              <w:top w:val="single" w:sz="6" w:space="0" w:color="auto"/>
              <w:left w:val="nil"/>
              <w:bottom w:val="nil"/>
              <w:right w:val="nil"/>
            </w:tcBorders>
            <w:vAlign w:val="center"/>
          </w:tcPr>
          <w:p w14:paraId="27FBFBD3"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single" w:sz="4" w:space="0" w:color="auto"/>
              <w:left w:val="nil"/>
              <w:bottom w:val="nil"/>
              <w:right w:val="nil"/>
            </w:tcBorders>
            <w:shd w:val="clear" w:color="auto" w:fill="auto"/>
            <w:vAlign w:val="center"/>
          </w:tcPr>
          <w:p w14:paraId="08F8A47F" w14:textId="52D7ED0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23.2</w:t>
            </w:r>
          </w:p>
        </w:tc>
        <w:tc>
          <w:tcPr>
            <w:tcW w:w="299" w:type="pct"/>
            <w:tcBorders>
              <w:top w:val="single" w:sz="4" w:space="0" w:color="auto"/>
              <w:left w:val="nil"/>
              <w:bottom w:val="nil"/>
              <w:right w:val="nil"/>
            </w:tcBorders>
            <w:shd w:val="clear" w:color="auto" w:fill="auto"/>
            <w:vAlign w:val="center"/>
          </w:tcPr>
          <w:p w14:paraId="45CB639E" w14:textId="673EBA2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22.6</w:t>
            </w:r>
          </w:p>
        </w:tc>
        <w:tc>
          <w:tcPr>
            <w:tcW w:w="299" w:type="pct"/>
            <w:tcBorders>
              <w:top w:val="single" w:sz="4" w:space="0" w:color="auto"/>
              <w:left w:val="nil"/>
              <w:bottom w:val="nil"/>
              <w:right w:val="nil"/>
            </w:tcBorders>
            <w:shd w:val="clear" w:color="auto" w:fill="auto"/>
            <w:vAlign w:val="center"/>
          </w:tcPr>
          <w:p w14:paraId="26B9892E" w14:textId="6986004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22.5</w:t>
            </w:r>
          </w:p>
        </w:tc>
        <w:tc>
          <w:tcPr>
            <w:tcW w:w="299" w:type="pct"/>
            <w:tcBorders>
              <w:top w:val="single" w:sz="4" w:space="0" w:color="auto"/>
              <w:left w:val="nil"/>
              <w:bottom w:val="nil"/>
              <w:right w:val="nil"/>
            </w:tcBorders>
            <w:shd w:val="clear" w:color="auto" w:fill="auto"/>
            <w:vAlign w:val="center"/>
          </w:tcPr>
          <w:p w14:paraId="36D068F4" w14:textId="1E2824C5"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23.3</w:t>
            </w:r>
          </w:p>
        </w:tc>
        <w:tc>
          <w:tcPr>
            <w:tcW w:w="299" w:type="pct"/>
            <w:tcBorders>
              <w:top w:val="single" w:sz="4" w:space="0" w:color="auto"/>
              <w:left w:val="nil"/>
              <w:bottom w:val="nil"/>
              <w:right w:val="nil"/>
            </w:tcBorders>
            <w:shd w:val="clear" w:color="auto" w:fill="auto"/>
            <w:vAlign w:val="center"/>
          </w:tcPr>
          <w:p w14:paraId="745717CD" w14:textId="6963B72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25.2</w:t>
            </w:r>
          </w:p>
        </w:tc>
        <w:tc>
          <w:tcPr>
            <w:tcW w:w="299" w:type="pct"/>
            <w:tcBorders>
              <w:top w:val="single" w:sz="4" w:space="0" w:color="auto"/>
              <w:left w:val="nil"/>
              <w:bottom w:val="nil"/>
              <w:right w:val="nil"/>
            </w:tcBorders>
            <w:shd w:val="clear" w:color="auto" w:fill="auto"/>
            <w:vAlign w:val="center"/>
          </w:tcPr>
          <w:p w14:paraId="4C391865" w14:textId="02FBAAA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26.6</w:t>
            </w:r>
          </w:p>
        </w:tc>
        <w:tc>
          <w:tcPr>
            <w:tcW w:w="299" w:type="pct"/>
            <w:tcBorders>
              <w:top w:val="single" w:sz="4" w:space="0" w:color="auto"/>
              <w:left w:val="nil"/>
              <w:bottom w:val="nil"/>
              <w:right w:val="nil"/>
            </w:tcBorders>
            <w:shd w:val="clear" w:color="auto" w:fill="auto"/>
            <w:vAlign w:val="center"/>
          </w:tcPr>
          <w:p w14:paraId="4569BD86" w14:textId="35034AD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24.6</w:t>
            </w:r>
          </w:p>
        </w:tc>
        <w:tc>
          <w:tcPr>
            <w:tcW w:w="299" w:type="pct"/>
            <w:tcBorders>
              <w:top w:val="single" w:sz="4" w:space="0" w:color="auto"/>
              <w:left w:val="nil"/>
              <w:bottom w:val="nil"/>
              <w:right w:val="nil"/>
            </w:tcBorders>
            <w:shd w:val="clear" w:color="auto" w:fill="auto"/>
            <w:vAlign w:val="center"/>
          </w:tcPr>
          <w:p w14:paraId="04988790" w14:textId="18823A7A"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23.7</w:t>
            </w:r>
          </w:p>
        </w:tc>
        <w:tc>
          <w:tcPr>
            <w:tcW w:w="299" w:type="pct"/>
            <w:tcBorders>
              <w:top w:val="single" w:sz="4" w:space="0" w:color="auto"/>
              <w:left w:val="nil"/>
              <w:bottom w:val="nil"/>
              <w:right w:val="nil"/>
            </w:tcBorders>
            <w:shd w:val="clear" w:color="auto" w:fill="auto"/>
            <w:vAlign w:val="center"/>
          </w:tcPr>
          <w:p w14:paraId="6A955688" w14:textId="3BEA8CCD"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22.5</w:t>
            </w:r>
          </w:p>
        </w:tc>
        <w:tc>
          <w:tcPr>
            <w:tcW w:w="299" w:type="pct"/>
            <w:tcBorders>
              <w:top w:val="single" w:sz="4" w:space="0" w:color="auto"/>
              <w:left w:val="nil"/>
              <w:bottom w:val="nil"/>
              <w:right w:val="nil"/>
            </w:tcBorders>
            <w:shd w:val="clear" w:color="auto" w:fill="auto"/>
            <w:vAlign w:val="center"/>
          </w:tcPr>
          <w:p w14:paraId="7E259A96" w14:textId="1AE31BD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21.0</w:t>
            </w:r>
          </w:p>
        </w:tc>
        <w:tc>
          <w:tcPr>
            <w:tcW w:w="299" w:type="pct"/>
            <w:tcBorders>
              <w:top w:val="single" w:sz="4" w:space="0" w:color="auto"/>
              <w:left w:val="nil"/>
              <w:bottom w:val="nil"/>
              <w:right w:val="nil"/>
            </w:tcBorders>
            <w:shd w:val="clear" w:color="auto" w:fill="auto"/>
            <w:vAlign w:val="center"/>
          </w:tcPr>
          <w:p w14:paraId="03A85E03" w14:textId="6CA78127"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22.9</w:t>
            </w:r>
          </w:p>
        </w:tc>
        <w:tc>
          <w:tcPr>
            <w:tcW w:w="299" w:type="pct"/>
            <w:tcBorders>
              <w:top w:val="single" w:sz="4" w:space="0" w:color="auto"/>
              <w:left w:val="nil"/>
              <w:bottom w:val="nil"/>
              <w:right w:val="single" w:sz="4" w:space="0" w:color="auto"/>
            </w:tcBorders>
            <w:shd w:val="clear" w:color="auto" w:fill="auto"/>
            <w:vAlign w:val="center"/>
          </w:tcPr>
          <w:p w14:paraId="6D2B53C2" w14:textId="71BCDD9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23.5</w:t>
            </w:r>
          </w:p>
        </w:tc>
        <w:tc>
          <w:tcPr>
            <w:tcW w:w="290" w:type="pct"/>
            <w:tcBorders>
              <w:top w:val="single" w:sz="4" w:space="0" w:color="auto"/>
              <w:left w:val="single" w:sz="4" w:space="0" w:color="auto"/>
              <w:bottom w:val="nil"/>
              <w:right w:val="single" w:sz="4" w:space="0" w:color="auto"/>
            </w:tcBorders>
            <w:shd w:val="clear" w:color="auto" w:fill="auto"/>
            <w:vAlign w:val="center"/>
          </w:tcPr>
          <w:p w14:paraId="32391BEF" w14:textId="7A88659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23.7</w:t>
            </w:r>
          </w:p>
        </w:tc>
      </w:tr>
      <w:tr w:rsidR="007736E3" w:rsidRPr="00F31098" w14:paraId="6A578815" w14:textId="77777777" w:rsidTr="00F17DD8">
        <w:trPr>
          <w:trHeight w:val="283"/>
        </w:trPr>
        <w:tc>
          <w:tcPr>
            <w:tcW w:w="456" w:type="pct"/>
            <w:vMerge/>
            <w:tcBorders>
              <w:left w:val="single" w:sz="4" w:space="0" w:color="auto"/>
              <w:right w:val="nil"/>
            </w:tcBorders>
            <w:vAlign w:val="center"/>
          </w:tcPr>
          <w:p w14:paraId="6FFDD5A3"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77F9BF47"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432C0ABE" w14:textId="189F6895"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50.0</w:t>
            </w:r>
          </w:p>
        </w:tc>
        <w:tc>
          <w:tcPr>
            <w:tcW w:w="299" w:type="pct"/>
            <w:tcBorders>
              <w:top w:val="nil"/>
              <w:left w:val="nil"/>
              <w:bottom w:val="nil"/>
              <w:right w:val="nil"/>
            </w:tcBorders>
            <w:shd w:val="clear" w:color="auto" w:fill="auto"/>
            <w:vAlign w:val="center"/>
          </w:tcPr>
          <w:p w14:paraId="0BA4EFEC" w14:textId="4A8FB42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46.7</w:t>
            </w:r>
          </w:p>
        </w:tc>
        <w:tc>
          <w:tcPr>
            <w:tcW w:w="299" w:type="pct"/>
            <w:tcBorders>
              <w:top w:val="nil"/>
              <w:left w:val="nil"/>
              <w:bottom w:val="nil"/>
              <w:right w:val="nil"/>
            </w:tcBorders>
            <w:shd w:val="clear" w:color="auto" w:fill="auto"/>
            <w:vAlign w:val="center"/>
          </w:tcPr>
          <w:p w14:paraId="5194DC7E" w14:textId="453614B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42.2</w:t>
            </w:r>
          </w:p>
        </w:tc>
        <w:tc>
          <w:tcPr>
            <w:tcW w:w="299" w:type="pct"/>
            <w:tcBorders>
              <w:top w:val="nil"/>
              <w:left w:val="nil"/>
              <w:bottom w:val="nil"/>
              <w:right w:val="nil"/>
            </w:tcBorders>
            <w:shd w:val="clear" w:color="auto" w:fill="auto"/>
            <w:vAlign w:val="center"/>
          </w:tcPr>
          <w:p w14:paraId="56DBAA9C" w14:textId="4D037D88"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51.3</w:t>
            </w:r>
          </w:p>
        </w:tc>
        <w:tc>
          <w:tcPr>
            <w:tcW w:w="299" w:type="pct"/>
            <w:tcBorders>
              <w:top w:val="nil"/>
              <w:left w:val="nil"/>
              <w:bottom w:val="nil"/>
              <w:right w:val="nil"/>
            </w:tcBorders>
            <w:shd w:val="clear" w:color="auto" w:fill="auto"/>
            <w:vAlign w:val="center"/>
          </w:tcPr>
          <w:p w14:paraId="442CFE89" w14:textId="34ED9FA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39.7</w:t>
            </w:r>
          </w:p>
        </w:tc>
        <w:tc>
          <w:tcPr>
            <w:tcW w:w="299" w:type="pct"/>
            <w:tcBorders>
              <w:top w:val="nil"/>
              <w:left w:val="nil"/>
              <w:bottom w:val="nil"/>
              <w:right w:val="nil"/>
            </w:tcBorders>
            <w:shd w:val="clear" w:color="auto" w:fill="auto"/>
            <w:vAlign w:val="center"/>
          </w:tcPr>
          <w:p w14:paraId="0D2D9BC6" w14:textId="4BF11CB8"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35.0</w:t>
            </w:r>
          </w:p>
        </w:tc>
        <w:tc>
          <w:tcPr>
            <w:tcW w:w="299" w:type="pct"/>
            <w:tcBorders>
              <w:top w:val="nil"/>
              <w:left w:val="nil"/>
              <w:bottom w:val="nil"/>
              <w:right w:val="nil"/>
            </w:tcBorders>
            <w:shd w:val="clear" w:color="auto" w:fill="auto"/>
            <w:vAlign w:val="center"/>
          </w:tcPr>
          <w:p w14:paraId="29BDB1C7" w14:textId="010F89C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45.9</w:t>
            </w:r>
          </w:p>
        </w:tc>
        <w:tc>
          <w:tcPr>
            <w:tcW w:w="299" w:type="pct"/>
            <w:tcBorders>
              <w:top w:val="nil"/>
              <w:left w:val="nil"/>
              <w:bottom w:val="nil"/>
              <w:right w:val="nil"/>
            </w:tcBorders>
            <w:shd w:val="clear" w:color="auto" w:fill="auto"/>
            <w:vAlign w:val="center"/>
          </w:tcPr>
          <w:p w14:paraId="6D59F7A2" w14:textId="46F586D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46.2</w:t>
            </w:r>
          </w:p>
        </w:tc>
        <w:tc>
          <w:tcPr>
            <w:tcW w:w="299" w:type="pct"/>
            <w:tcBorders>
              <w:top w:val="nil"/>
              <w:left w:val="nil"/>
              <w:bottom w:val="nil"/>
              <w:right w:val="nil"/>
            </w:tcBorders>
            <w:shd w:val="clear" w:color="auto" w:fill="auto"/>
            <w:vAlign w:val="center"/>
          </w:tcPr>
          <w:p w14:paraId="2F7DE19C" w14:textId="188C6C01"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41.2</w:t>
            </w:r>
          </w:p>
        </w:tc>
        <w:tc>
          <w:tcPr>
            <w:tcW w:w="299" w:type="pct"/>
            <w:tcBorders>
              <w:top w:val="nil"/>
              <w:left w:val="nil"/>
              <w:bottom w:val="nil"/>
              <w:right w:val="nil"/>
            </w:tcBorders>
            <w:shd w:val="clear" w:color="auto" w:fill="auto"/>
            <w:vAlign w:val="center"/>
          </w:tcPr>
          <w:p w14:paraId="0B44FCE9" w14:textId="5E9FF88A"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48.0</w:t>
            </w:r>
          </w:p>
        </w:tc>
        <w:tc>
          <w:tcPr>
            <w:tcW w:w="299" w:type="pct"/>
            <w:tcBorders>
              <w:top w:val="nil"/>
              <w:left w:val="nil"/>
              <w:bottom w:val="nil"/>
              <w:right w:val="nil"/>
            </w:tcBorders>
            <w:shd w:val="clear" w:color="auto" w:fill="auto"/>
            <w:vAlign w:val="center"/>
          </w:tcPr>
          <w:p w14:paraId="70A724F3" w14:textId="62F2CD63"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56.1</w:t>
            </w:r>
          </w:p>
        </w:tc>
        <w:tc>
          <w:tcPr>
            <w:tcW w:w="299" w:type="pct"/>
            <w:tcBorders>
              <w:top w:val="nil"/>
              <w:left w:val="nil"/>
              <w:bottom w:val="nil"/>
              <w:right w:val="single" w:sz="4" w:space="0" w:color="auto"/>
            </w:tcBorders>
            <w:shd w:val="clear" w:color="auto" w:fill="auto"/>
            <w:vAlign w:val="center"/>
          </w:tcPr>
          <w:p w14:paraId="574161DB" w14:textId="7926EADA"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40.6</w:t>
            </w:r>
          </w:p>
        </w:tc>
        <w:tc>
          <w:tcPr>
            <w:tcW w:w="290" w:type="pct"/>
            <w:tcBorders>
              <w:top w:val="nil"/>
              <w:left w:val="single" w:sz="4" w:space="0" w:color="auto"/>
              <w:bottom w:val="nil"/>
              <w:right w:val="single" w:sz="4" w:space="0" w:color="auto"/>
            </w:tcBorders>
            <w:shd w:val="clear" w:color="auto" w:fill="auto"/>
            <w:vAlign w:val="center"/>
          </w:tcPr>
          <w:p w14:paraId="0253F7D6" w14:textId="32C98F5A"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44.8</w:t>
            </w:r>
          </w:p>
        </w:tc>
      </w:tr>
      <w:tr w:rsidR="007736E3" w:rsidRPr="00F31098" w14:paraId="76BBBCD8" w14:textId="77777777" w:rsidTr="00F17DD8">
        <w:trPr>
          <w:trHeight w:val="283"/>
        </w:trPr>
        <w:tc>
          <w:tcPr>
            <w:tcW w:w="456" w:type="pct"/>
            <w:vMerge/>
            <w:tcBorders>
              <w:left w:val="single" w:sz="4" w:space="0" w:color="auto"/>
              <w:right w:val="nil"/>
            </w:tcBorders>
            <w:vAlign w:val="center"/>
          </w:tcPr>
          <w:p w14:paraId="3B0C8870"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6ADB165D"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71F5DA47" w14:textId="39F2197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62.0</w:t>
            </w:r>
          </w:p>
        </w:tc>
        <w:tc>
          <w:tcPr>
            <w:tcW w:w="299" w:type="pct"/>
            <w:tcBorders>
              <w:top w:val="nil"/>
              <w:left w:val="nil"/>
              <w:bottom w:val="single" w:sz="4" w:space="0" w:color="auto"/>
              <w:right w:val="nil"/>
            </w:tcBorders>
            <w:shd w:val="clear" w:color="auto" w:fill="auto"/>
            <w:vAlign w:val="center"/>
          </w:tcPr>
          <w:p w14:paraId="7FC3D697" w14:textId="6E0318C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22.7</w:t>
            </w:r>
          </w:p>
        </w:tc>
        <w:tc>
          <w:tcPr>
            <w:tcW w:w="299" w:type="pct"/>
            <w:tcBorders>
              <w:top w:val="nil"/>
              <w:left w:val="nil"/>
              <w:bottom w:val="single" w:sz="4" w:space="0" w:color="auto"/>
              <w:right w:val="nil"/>
            </w:tcBorders>
            <w:shd w:val="clear" w:color="auto" w:fill="auto"/>
            <w:vAlign w:val="center"/>
          </w:tcPr>
          <w:p w14:paraId="170C685A" w14:textId="531755A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60.0</w:t>
            </w:r>
          </w:p>
        </w:tc>
        <w:tc>
          <w:tcPr>
            <w:tcW w:w="299" w:type="pct"/>
            <w:tcBorders>
              <w:top w:val="nil"/>
              <w:left w:val="nil"/>
              <w:bottom w:val="single" w:sz="4" w:space="0" w:color="auto"/>
              <w:right w:val="nil"/>
            </w:tcBorders>
            <w:shd w:val="clear" w:color="auto" w:fill="auto"/>
            <w:vAlign w:val="center"/>
          </w:tcPr>
          <w:p w14:paraId="520C0429" w14:textId="1098FC8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41.1</w:t>
            </w:r>
          </w:p>
        </w:tc>
        <w:tc>
          <w:tcPr>
            <w:tcW w:w="299" w:type="pct"/>
            <w:tcBorders>
              <w:top w:val="nil"/>
              <w:left w:val="nil"/>
              <w:bottom w:val="single" w:sz="4" w:space="0" w:color="auto"/>
              <w:right w:val="nil"/>
            </w:tcBorders>
            <w:shd w:val="clear" w:color="auto" w:fill="auto"/>
            <w:vAlign w:val="center"/>
          </w:tcPr>
          <w:p w14:paraId="32086CF7" w14:textId="47A6298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44.6</w:t>
            </w:r>
          </w:p>
        </w:tc>
        <w:tc>
          <w:tcPr>
            <w:tcW w:w="299" w:type="pct"/>
            <w:tcBorders>
              <w:top w:val="nil"/>
              <w:left w:val="nil"/>
              <w:bottom w:val="single" w:sz="4" w:space="0" w:color="auto"/>
              <w:right w:val="nil"/>
            </w:tcBorders>
            <w:shd w:val="clear" w:color="auto" w:fill="auto"/>
            <w:vAlign w:val="center"/>
          </w:tcPr>
          <w:p w14:paraId="084911EE" w14:textId="3E11F87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54.9</w:t>
            </w:r>
          </w:p>
        </w:tc>
        <w:tc>
          <w:tcPr>
            <w:tcW w:w="299" w:type="pct"/>
            <w:tcBorders>
              <w:top w:val="nil"/>
              <w:left w:val="nil"/>
              <w:bottom w:val="single" w:sz="4" w:space="0" w:color="auto"/>
              <w:right w:val="nil"/>
            </w:tcBorders>
            <w:shd w:val="clear" w:color="auto" w:fill="auto"/>
            <w:vAlign w:val="center"/>
          </w:tcPr>
          <w:p w14:paraId="764194E6" w14:textId="164431E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35.3</w:t>
            </w:r>
          </w:p>
        </w:tc>
        <w:tc>
          <w:tcPr>
            <w:tcW w:w="299" w:type="pct"/>
            <w:tcBorders>
              <w:top w:val="nil"/>
              <w:left w:val="nil"/>
              <w:bottom w:val="single" w:sz="4" w:space="0" w:color="auto"/>
              <w:right w:val="nil"/>
            </w:tcBorders>
            <w:shd w:val="clear" w:color="auto" w:fill="auto"/>
            <w:vAlign w:val="center"/>
          </w:tcPr>
          <w:p w14:paraId="4CFA39A9" w14:textId="5DB1C36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40.4</w:t>
            </w:r>
          </w:p>
        </w:tc>
        <w:tc>
          <w:tcPr>
            <w:tcW w:w="299" w:type="pct"/>
            <w:tcBorders>
              <w:top w:val="nil"/>
              <w:left w:val="nil"/>
              <w:bottom w:val="single" w:sz="4" w:space="0" w:color="auto"/>
              <w:right w:val="nil"/>
            </w:tcBorders>
            <w:shd w:val="clear" w:color="auto" w:fill="auto"/>
            <w:vAlign w:val="center"/>
          </w:tcPr>
          <w:p w14:paraId="3682D6D8" w14:textId="1DE5B903"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50.6</w:t>
            </w:r>
          </w:p>
        </w:tc>
        <w:tc>
          <w:tcPr>
            <w:tcW w:w="299" w:type="pct"/>
            <w:tcBorders>
              <w:top w:val="nil"/>
              <w:left w:val="nil"/>
              <w:bottom w:val="single" w:sz="4" w:space="0" w:color="auto"/>
              <w:right w:val="nil"/>
            </w:tcBorders>
            <w:shd w:val="clear" w:color="auto" w:fill="auto"/>
            <w:vAlign w:val="center"/>
          </w:tcPr>
          <w:p w14:paraId="5478FD20" w14:textId="7F5D9A5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35.8</w:t>
            </w:r>
          </w:p>
        </w:tc>
        <w:tc>
          <w:tcPr>
            <w:tcW w:w="299" w:type="pct"/>
            <w:tcBorders>
              <w:top w:val="nil"/>
              <w:left w:val="nil"/>
              <w:bottom w:val="single" w:sz="4" w:space="0" w:color="auto"/>
              <w:right w:val="nil"/>
            </w:tcBorders>
            <w:shd w:val="clear" w:color="auto" w:fill="auto"/>
            <w:vAlign w:val="center"/>
          </w:tcPr>
          <w:p w14:paraId="40939A9A" w14:textId="7812312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54.9</w:t>
            </w:r>
          </w:p>
        </w:tc>
        <w:tc>
          <w:tcPr>
            <w:tcW w:w="299" w:type="pct"/>
            <w:tcBorders>
              <w:top w:val="nil"/>
              <w:left w:val="nil"/>
              <w:bottom w:val="single" w:sz="4" w:space="0" w:color="auto"/>
              <w:right w:val="single" w:sz="4" w:space="0" w:color="auto"/>
            </w:tcBorders>
            <w:shd w:val="clear" w:color="auto" w:fill="auto"/>
            <w:vAlign w:val="center"/>
          </w:tcPr>
          <w:p w14:paraId="799EE7F3" w14:textId="6504DB8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44.8</w:t>
            </w:r>
          </w:p>
        </w:tc>
        <w:tc>
          <w:tcPr>
            <w:tcW w:w="290" w:type="pct"/>
            <w:tcBorders>
              <w:top w:val="nil"/>
              <w:left w:val="single" w:sz="4" w:space="0" w:color="auto"/>
              <w:bottom w:val="single" w:sz="4" w:space="0" w:color="auto"/>
              <w:right w:val="single" w:sz="4" w:space="0" w:color="auto"/>
            </w:tcBorders>
            <w:shd w:val="clear" w:color="auto" w:fill="auto"/>
            <w:vAlign w:val="center"/>
          </w:tcPr>
          <w:p w14:paraId="60354598" w14:textId="36296258"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45.4</w:t>
            </w:r>
          </w:p>
        </w:tc>
      </w:tr>
      <w:tr w:rsidR="007736E3" w:rsidRPr="00F31098" w14:paraId="47E09F9D" w14:textId="77777777" w:rsidTr="00F17DD8">
        <w:trPr>
          <w:trHeight w:val="283"/>
        </w:trPr>
        <w:tc>
          <w:tcPr>
            <w:tcW w:w="456" w:type="pct"/>
            <w:vMerge/>
            <w:tcBorders>
              <w:left w:val="single" w:sz="4" w:space="0" w:color="auto"/>
              <w:bottom w:val="single" w:sz="6" w:space="0" w:color="auto"/>
              <w:right w:val="nil"/>
            </w:tcBorders>
            <w:vAlign w:val="center"/>
          </w:tcPr>
          <w:p w14:paraId="1B48A880"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4D74FE0E"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1C434AD6" w14:textId="02BDCEA7"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23.5</w:t>
            </w:r>
          </w:p>
        </w:tc>
        <w:tc>
          <w:tcPr>
            <w:tcW w:w="299" w:type="pct"/>
            <w:tcBorders>
              <w:top w:val="single" w:sz="4" w:space="0" w:color="auto"/>
              <w:left w:val="nil"/>
              <w:bottom w:val="single" w:sz="4" w:space="0" w:color="auto"/>
              <w:right w:val="nil"/>
            </w:tcBorders>
            <w:shd w:val="clear" w:color="auto" w:fill="auto"/>
            <w:vAlign w:val="center"/>
          </w:tcPr>
          <w:p w14:paraId="5C9AAEDC" w14:textId="0963456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22.9</w:t>
            </w:r>
          </w:p>
        </w:tc>
        <w:tc>
          <w:tcPr>
            <w:tcW w:w="299" w:type="pct"/>
            <w:tcBorders>
              <w:top w:val="single" w:sz="4" w:space="0" w:color="auto"/>
              <w:left w:val="nil"/>
              <w:bottom w:val="single" w:sz="4" w:space="0" w:color="auto"/>
              <w:right w:val="nil"/>
            </w:tcBorders>
            <w:shd w:val="clear" w:color="auto" w:fill="auto"/>
            <w:vAlign w:val="center"/>
          </w:tcPr>
          <w:p w14:paraId="353313D3" w14:textId="7214867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23.0</w:t>
            </w:r>
          </w:p>
        </w:tc>
        <w:tc>
          <w:tcPr>
            <w:tcW w:w="299" w:type="pct"/>
            <w:tcBorders>
              <w:top w:val="single" w:sz="4" w:space="0" w:color="auto"/>
              <w:left w:val="nil"/>
              <w:bottom w:val="single" w:sz="4" w:space="0" w:color="auto"/>
              <w:right w:val="nil"/>
            </w:tcBorders>
            <w:shd w:val="clear" w:color="auto" w:fill="auto"/>
            <w:vAlign w:val="center"/>
          </w:tcPr>
          <w:p w14:paraId="038C60B2" w14:textId="69769F3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23.7</w:t>
            </w:r>
          </w:p>
        </w:tc>
        <w:tc>
          <w:tcPr>
            <w:tcW w:w="299" w:type="pct"/>
            <w:tcBorders>
              <w:top w:val="single" w:sz="4" w:space="0" w:color="auto"/>
              <w:left w:val="nil"/>
              <w:bottom w:val="single" w:sz="4" w:space="0" w:color="auto"/>
              <w:right w:val="nil"/>
            </w:tcBorders>
            <w:shd w:val="clear" w:color="auto" w:fill="auto"/>
            <w:vAlign w:val="center"/>
          </w:tcPr>
          <w:p w14:paraId="3B663460" w14:textId="44D47DF5"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25.6</w:t>
            </w:r>
          </w:p>
        </w:tc>
        <w:tc>
          <w:tcPr>
            <w:tcW w:w="299" w:type="pct"/>
            <w:tcBorders>
              <w:top w:val="single" w:sz="4" w:space="0" w:color="auto"/>
              <w:left w:val="nil"/>
              <w:bottom w:val="single" w:sz="4" w:space="0" w:color="auto"/>
              <w:right w:val="nil"/>
            </w:tcBorders>
            <w:shd w:val="clear" w:color="auto" w:fill="auto"/>
            <w:vAlign w:val="center"/>
          </w:tcPr>
          <w:p w14:paraId="5AF42B0E" w14:textId="046E938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27.0</w:t>
            </w:r>
          </w:p>
        </w:tc>
        <w:tc>
          <w:tcPr>
            <w:tcW w:w="299" w:type="pct"/>
            <w:tcBorders>
              <w:top w:val="single" w:sz="4" w:space="0" w:color="auto"/>
              <w:left w:val="nil"/>
              <w:bottom w:val="single" w:sz="4" w:space="0" w:color="auto"/>
              <w:right w:val="nil"/>
            </w:tcBorders>
            <w:shd w:val="clear" w:color="auto" w:fill="auto"/>
            <w:vAlign w:val="center"/>
          </w:tcPr>
          <w:p w14:paraId="64248C4E" w14:textId="7B04164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25.4</w:t>
            </w:r>
          </w:p>
        </w:tc>
        <w:tc>
          <w:tcPr>
            <w:tcW w:w="299" w:type="pct"/>
            <w:tcBorders>
              <w:top w:val="single" w:sz="4" w:space="0" w:color="auto"/>
              <w:left w:val="nil"/>
              <w:bottom w:val="single" w:sz="4" w:space="0" w:color="auto"/>
              <w:right w:val="nil"/>
            </w:tcBorders>
            <w:shd w:val="clear" w:color="auto" w:fill="auto"/>
            <w:vAlign w:val="center"/>
          </w:tcPr>
          <w:p w14:paraId="69276C77" w14:textId="2666DF5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24.6</w:t>
            </w:r>
          </w:p>
        </w:tc>
        <w:tc>
          <w:tcPr>
            <w:tcW w:w="299" w:type="pct"/>
            <w:tcBorders>
              <w:top w:val="single" w:sz="4" w:space="0" w:color="auto"/>
              <w:left w:val="nil"/>
              <w:bottom w:val="single" w:sz="4" w:space="0" w:color="auto"/>
              <w:right w:val="nil"/>
            </w:tcBorders>
            <w:shd w:val="clear" w:color="auto" w:fill="auto"/>
            <w:vAlign w:val="center"/>
          </w:tcPr>
          <w:p w14:paraId="28791328" w14:textId="610259A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23.2</w:t>
            </w:r>
          </w:p>
        </w:tc>
        <w:tc>
          <w:tcPr>
            <w:tcW w:w="299" w:type="pct"/>
            <w:tcBorders>
              <w:top w:val="single" w:sz="4" w:space="0" w:color="auto"/>
              <w:left w:val="nil"/>
              <w:bottom w:val="single" w:sz="4" w:space="0" w:color="auto"/>
              <w:right w:val="nil"/>
            </w:tcBorders>
            <w:shd w:val="clear" w:color="auto" w:fill="auto"/>
            <w:vAlign w:val="center"/>
          </w:tcPr>
          <w:p w14:paraId="47E0BE05" w14:textId="701AEA5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21.9</w:t>
            </w:r>
          </w:p>
        </w:tc>
        <w:tc>
          <w:tcPr>
            <w:tcW w:w="299" w:type="pct"/>
            <w:tcBorders>
              <w:top w:val="single" w:sz="4" w:space="0" w:color="auto"/>
              <w:left w:val="nil"/>
              <w:bottom w:val="single" w:sz="4" w:space="0" w:color="auto"/>
              <w:right w:val="nil"/>
            </w:tcBorders>
            <w:shd w:val="clear" w:color="auto" w:fill="auto"/>
            <w:vAlign w:val="center"/>
          </w:tcPr>
          <w:p w14:paraId="13E6B384" w14:textId="775A758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24.7</w:t>
            </w:r>
          </w:p>
        </w:tc>
        <w:tc>
          <w:tcPr>
            <w:tcW w:w="299" w:type="pct"/>
            <w:tcBorders>
              <w:top w:val="single" w:sz="4" w:space="0" w:color="auto"/>
              <w:left w:val="nil"/>
              <w:bottom w:val="single" w:sz="4" w:space="0" w:color="auto"/>
              <w:right w:val="single" w:sz="4" w:space="0" w:color="auto"/>
            </w:tcBorders>
            <w:shd w:val="clear" w:color="auto" w:fill="auto"/>
            <w:vAlign w:val="center"/>
          </w:tcPr>
          <w:p w14:paraId="14817F6F" w14:textId="03FF962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24.5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7028CCE" w14:textId="60FA286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24.4</w:t>
            </w:r>
          </w:p>
        </w:tc>
      </w:tr>
      <w:tr w:rsidR="007736E3" w:rsidRPr="00F31098" w14:paraId="475A090A" w14:textId="77777777" w:rsidTr="00F17DD8">
        <w:trPr>
          <w:trHeight w:val="283"/>
        </w:trPr>
        <w:tc>
          <w:tcPr>
            <w:tcW w:w="456" w:type="pct"/>
            <w:vMerge w:val="restart"/>
            <w:tcBorders>
              <w:top w:val="single" w:sz="6" w:space="0" w:color="auto"/>
              <w:left w:val="single" w:sz="4" w:space="0" w:color="auto"/>
              <w:right w:val="nil"/>
            </w:tcBorders>
          </w:tcPr>
          <w:p w14:paraId="0F582FA4"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(median weeks)</w:t>
            </w:r>
          </w:p>
        </w:tc>
        <w:tc>
          <w:tcPr>
            <w:tcW w:w="665" w:type="pct"/>
            <w:tcBorders>
              <w:top w:val="single" w:sz="6" w:space="0" w:color="auto"/>
              <w:left w:val="nil"/>
              <w:bottom w:val="nil"/>
              <w:right w:val="nil"/>
            </w:tcBorders>
            <w:vAlign w:val="center"/>
          </w:tcPr>
          <w:p w14:paraId="452865BE"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39D40895" w14:textId="3A0F039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21.3</w:t>
            </w:r>
          </w:p>
        </w:tc>
        <w:tc>
          <w:tcPr>
            <w:tcW w:w="299" w:type="pct"/>
            <w:tcBorders>
              <w:top w:val="nil"/>
              <w:left w:val="nil"/>
              <w:bottom w:val="nil"/>
              <w:right w:val="nil"/>
            </w:tcBorders>
            <w:shd w:val="clear" w:color="auto" w:fill="auto"/>
            <w:vAlign w:val="center"/>
          </w:tcPr>
          <w:p w14:paraId="165A1ED0" w14:textId="7ABAFCE8"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22.0</w:t>
            </w:r>
          </w:p>
        </w:tc>
        <w:tc>
          <w:tcPr>
            <w:tcW w:w="299" w:type="pct"/>
            <w:tcBorders>
              <w:top w:val="nil"/>
              <w:left w:val="nil"/>
              <w:bottom w:val="nil"/>
              <w:right w:val="nil"/>
            </w:tcBorders>
            <w:shd w:val="clear" w:color="auto" w:fill="auto"/>
            <w:vAlign w:val="center"/>
          </w:tcPr>
          <w:p w14:paraId="1A5CCD82" w14:textId="7DC409E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21.7</w:t>
            </w:r>
          </w:p>
        </w:tc>
        <w:tc>
          <w:tcPr>
            <w:tcW w:w="299" w:type="pct"/>
            <w:tcBorders>
              <w:top w:val="nil"/>
              <w:left w:val="nil"/>
              <w:bottom w:val="nil"/>
              <w:right w:val="nil"/>
            </w:tcBorders>
            <w:shd w:val="clear" w:color="auto" w:fill="auto"/>
            <w:vAlign w:val="center"/>
          </w:tcPr>
          <w:p w14:paraId="7544B3B0" w14:textId="660799D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22.3</w:t>
            </w:r>
          </w:p>
        </w:tc>
        <w:tc>
          <w:tcPr>
            <w:tcW w:w="299" w:type="pct"/>
            <w:tcBorders>
              <w:top w:val="nil"/>
              <w:left w:val="nil"/>
              <w:bottom w:val="nil"/>
              <w:right w:val="nil"/>
            </w:tcBorders>
            <w:shd w:val="clear" w:color="auto" w:fill="auto"/>
            <w:vAlign w:val="center"/>
          </w:tcPr>
          <w:p w14:paraId="67AE615E" w14:textId="173F6B1D"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23.9</w:t>
            </w:r>
          </w:p>
        </w:tc>
        <w:tc>
          <w:tcPr>
            <w:tcW w:w="299" w:type="pct"/>
            <w:tcBorders>
              <w:top w:val="nil"/>
              <w:left w:val="nil"/>
              <w:bottom w:val="nil"/>
              <w:right w:val="nil"/>
            </w:tcBorders>
            <w:shd w:val="clear" w:color="auto" w:fill="auto"/>
            <w:vAlign w:val="center"/>
          </w:tcPr>
          <w:p w14:paraId="27DA4BDC" w14:textId="61C1ED63"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25.4</w:t>
            </w:r>
          </w:p>
        </w:tc>
        <w:tc>
          <w:tcPr>
            <w:tcW w:w="299" w:type="pct"/>
            <w:tcBorders>
              <w:top w:val="nil"/>
              <w:left w:val="nil"/>
              <w:bottom w:val="nil"/>
              <w:right w:val="nil"/>
            </w:tcBorders>
            <w:shd w:val="clear" w:color="auto" w:fill="auto"/>
            <w:vAlign w:val="center"/>
          </w:tcPr>
          <w:p w14:paraId="7C9D024C" w14:textId="52C63D9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22.0</w:t>
            </w:r>
          </w:p>
        </w:tc>
        <w:tc>
          <w:tcPr>
            <w:tcW w:w="299" w:type="pct"/>
            <w:tcBorders>
              <w:top w:val="nil"/>
              <w:left w:val="nil"/>
              <w:bottom w:val="nil"/>
              <w:right w:val="nil"/>
            </w:tcBorders>
            <w:shd w:val="clear" w:color="auto" w:fill="auto"/>
            <w:vAlign w:val="center"/>
          </w:tcPr>
          <w:p w14:paraId="2E6E1379" w14:textId="318941CD"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20.4</w:t>
            </w:r>
          </w:p>
        </w:tc>
        <w:tc>
          <w:tcPr>
            <w:tcW w:w="299" w:type="pct"/>
            <w:tcBorders>
              <w:top w:val="nil"/>
              <w:left w:val="nil"/>
              <w:bottom w:val="nil"/>
              <w:right w:val="nil"/>
            </w:tcBorders>
            <w:shd w:val="clear" w:color="auto" w:fill="auto"/>
            <w:vAlign w:val="center"/>
          </w:tcPr>
          <w:p w14:paraId="4FEDD828" w14:textId="27B3804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19.4</w:t>
            </w:r>
          </w:p>
        </w:tc>
        <w:tc>
          <w:tcPr>
            <w:tcW w:w="299" w:type="pct"/>
            <w:tcBorders>
              <w:top w:val="nil"/>
              <w:left w:val="nil"/>
              <w:bottom w:val="nil"/>
              <w:right w:val="nil"/>
            </w:tcBorders>
            <w:shd w:val="clear" w:color="auto" w:fill="auto"/>
            <w:vAlign w:val="center"/>
          </w:tcPr>
          <w:p w14:paraId="728A5025" w14:textId="0026780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18.0</w:t>
            </w:r>
          </w:p>
        </w:tc>
        <w:tc>
          <w:tcPr>
            <w:tcW w:w="299" w:type="pct"/>
            <w:tcBorders>
              <w:top w:val="nil"/>
              <w:left w:val="nil"/>
              <w:bottom w:val="nil"/>
              <w:right w:val="nil"/>
            </w:tcBorders>
            <w:shd w:val="clear" w:color="auto" w:fill="auto"/>
            <w:vAlign w:val="center"/>
          </w:tcPr>
          <w:p w14:paraId="3F317E92" w14:textId="2F0F748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20.1</w:t>
            </w:r>
          </w:p>
        </w:tc>
        <w:tc>
          <w:tcPr>
            <w:tcW w:w="299" w:type="pct"/>
            <w:tcBorders>
              <w:top w:val="nil"/>
              <w:left w:val="nil"/>
              <w:bottom w:val="nil"/>
              <w:right w:val="single" w:sz="4" w:space="0" w:color="auto"/>
            </w:tcBorders>
            <w:shd w:val="clear" w:color="auto" w:fill="auto"/>
            <w:vAlign w:val="center"/>
          </w:tcPr>
          <w:p w14:paraId="68D18CDD" w14:textId="6E54C21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21.0</w:t>
            </w:r>
          </w:p>
        </w:tc>
        <w:tc>
          <w:tcPr>
            <w:tcW w:w="290" w:type="pct"/>
            <w:tcBorders>
              <w:top w:val="nil"/>
              <w:left w:val="single" w:sz="4" w:space="0" w:color="auto"/>
              <w:bottom w:val="nil"/>
              <w:right w:val="single" w:sz="4" w:space="0" w:color="auto"/>
            </w:tcBorders>
            <w:shd w:val="clear" w:color="auto" w:fill="auto"/>
            <w:vAlign w:val="center"/>
          </w:tcPr>
          <w:p w14:paraId="4A15F4B8" w14:textId="5973AF2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21.4</w:t>
            </w:r>
          </w:p>
        </w:tc>
      </w:tr>
      <w:tr w:rsidR="007736E3" w:rsidRPr="00F31098" w14:paraId="448353A6" w14:textId="77777777" w:rsidTr="00F17DD8">
        <w:trPr>
          <w:trHeight w:val="283"/>
        </w:trPr>
        <w:tc>
          <w:tcPr>
            <w:tcW w:w="456" w:type="pct"/>
            <w:vMerge/>
            <w:tcBorders>
              <w:left w:val="single" w:sz="4" w:space="0" w:color="auto"/>
              <w:bottom w:val="nil"/>
              <w:right w:val="nil"/>
            </w:tcBorders>
            <w:vAlign w:val="center"/>
          </w:tcPr>
          <w:p w14:paraId="6419A86F" w14:textId="77777777" w:rsidR="007736E3" w:rsidRPr="00F31098"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475FA86E"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3BCD5256" w14:textId="52DC745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42.4</w:t>
            </w:r>
          </w:p>
        </w:tc>
        <w:tc>
          <w:tcPr>
            <w:tcW w:w="299" w:type="pct"/>
            <w:tcBorders>
              <w:top w:val="nil"/>
              <w:left w:val="nil"/>
              <w:bottom w:val="nil"/>
              <w:right w:val="nil"/>
            </w:tcBorders>
            <w:shd w:val="clear" w:color="auto" w:fill="auto"/>
            <w:vAlign w:val="center"/>
          </w:tcPr>
          <w:p w14:paraId="4EDC86EE" w14:textId="0CEB896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34.4</w:t>
            </w:r>
          </w:p>
        </w:tc>
        <w:tc>
          <w:tcPr>
            <w:tcW w:w="299" w:type="pct"/>
            <w:tcBorders>
              <w:top w:val="nil"/>
              <w:left w:val="nil"/>
              <w:bottom w:val="nil"/>
              <w:right w:val="nil"/>
            </w:tcBorders>
            <w:shd w:val="clear" w:color="auto" w:fill="auto"/>
            <w:vAlign w:val="center"/>
          </w:tcPr>
          <w:p w14:paraId="7D31428E" w14:textId="3C7938A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45.1</w:t>
            </w:r>
          </w:p>
        </w:tc>
        <w:tc>
          <w:tcPr>
            <w:tcW w:w="299" w:type="pct"/>
            <w:tcBorders>
              <w:top w:val="nil"/>
              <w:left w:val="nil"/>
              <w:bottom w:val="nil"/>
              <w:right w:val="nil"/>
            </w:tcBorders>
            <w:shd w:val="clear" w:color="auto" w:fill="auto"/>
            <w:vAlign w:val="center"/>
          </w:tcPr>
          <w:p w14:paraId="65D34994" w14:textId="446BCDF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43.1</w:t>
            </w:r>
          </w:p>
        </w:tc>
        <w:tc>
          <w:tcPr>
            <w:tcW w:w="299" w:type="pct"/>
            <w:tcBorders>
              <w:top w:val="nil"/>
              <w:left w:val="nil"/>
              <w:bottom w:val="nil"/>
              <w:right w:val="nil"/>
            </w:tcBorders>
            <w:shd w:val="clear" w:color="auto" w:fill="auto"/>
            <w:vAlign w:val="center"/>
          </w:tcPr>
          <w:p w14:paraId="75BAA6AD" w14:textId="05C858C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34.0</w:t>
            </w:r>
          </w:p>
        </w:tc>
        <w:tc>
          <w:tcPr>
            <w:tcW w:w="299" w:type="pct"/>
            <w:tcBorders>
              <w:top w:val="nil"/>
              <w:left w:val="nil"/>
              <w:bottom w:val="nil"/>
              <w:right w:val="nil"/>
            </w:tcBorders>
            <w:shd w:val="clear" w:color="auto" w:fill="auto"/>
            <w:vAlign w:val="center"/>
          </w:tcPr>
          <w:p w14:paraId="14993AFA" w14:textId="483187B1"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36.1</w:t>
            </w:r>
          </w:p>
        </w:tc>
        <w:tc>
          <w:tcPr>
            <w:tcW w:w="299" w:type="pct"/>
            <w:tcBorders>
              <w:top w:val="nil"/>
              <w:left w:val="nil"/>
              <w:bottom w:val="nil"/>
              <w:right w:val="nil"/>
            </w:tcBorders>
            <w:shd w:val="clear" w:color="auto" w:fill="auto"/>
            <w:vAlign w:val="center"/>
          </w:tcPr>
          <w:p w14:paraId="557853AC" w14:textId="491716C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43.0</w:t>
            </w:r>
          </w:p>
        </w:tc>
        <w:tc>
          <w:tcPr>
            <w:tcW w:w="299" w:type="pct"/>
            <w:tcBorders>
              <w:top w:val="nil"/>
              <w:left w:val="nil"/>
              <w:bottom w:val="nil"/>
              <w:right w:val="nil"/>
            </w:tcBorders>
            <w:shd w:val="clear" w:color="auto" w:fill="auto"/>
            <w:vAlign w:val="center"/>
          </w:tcPr>
          <w:p w14:paraId="042ED8EF" w14:textId="3217F1A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46.6</w:t>
            </w:r>
          </w:p>
        </w:tc>
        <w:tc>
          <w:tcPr>
            <w:tcW w:w="299" w:type="pct"/>
            <w:tcBorders>
              <w:top w:val="nil"/>
              <w:left w:val="nil"/>
              <w:bottom w:val="nil"/>
              <w:right w:val="nil"/>
            </w:tcBorders>
            <w:shd w:val="clear" w:color="auto" w:fill="auto"/>
            <w:vAlign w:val="center"/>
          </w:tcPr>
          <w:p w14:paraId="14450E70" w14:textId="12367E1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46.4</w:t>
            </w:r>
          </w:p>
        </w:tc>
        <w:tc>
          <w:tcPr>
            <w:tcW w:w="299" w:type="pct"/>
            <w:tcBorders>
              <w:top w:val="nil"/>
              <w:left w:val="nil"/>
              <w:bottom w:val="nil"/>
              <w:right w:val="nil"/>
            </w:tcBorders>
            <w:shd w:val="clear" w:color="auto" w:fill="auto"/>
            <w:vAlign w:val="center"/>
          </w:tcPr>
          <w:p w14:paraId="38478859" w14:textId="5866ABF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44.8</w:t>
            </w:r>
          </w:p>
        </w:tc>
        <w:tc>
          <w:tcPr>
            <w:tcW w:w="299" w:type="pct"/>
            <w:tcBorders>
              <w:top w:val="nil"/>
              <w:left w:val="nil"/>
              <w:bottom w:val="nil"/>
              <w:right w:val="nil"/>
            </w:tcBorders>
            <w:shd w:val="clear" w:color="auto" w:fill="auto"/>
            <w:vAlign w:val="center"/>
          </w:tcPr>
          <w:p w14:paraId="2B4697DF" w14:textId="3A90A17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56.9</w:t>
            </w:r>
          </w:p>
        </w:tc>
        <w:tc>
          <w:tcPr>
            <w:tcW w:w="299" w:type="pct"/>
            <w:tcBorders>
              <w:top w:val="nil"/>
              <w:left w:val="nil"/>
              <w:bottom w:val="nil"/>
              <w:right w:val="single" w:sz="4" w:space="0" w:color="auto"/>
            </w:tcBorders>
            <w:shd w:val="clear" w:color="auto" w:fill="auto"/>
            <w:vAlign w:val="center"/>
          </w:tcPr>
          <w:p w14:paraId="4E3D222C" w14:textId="4FB7F0C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37.3</w:t>
            </w:r>
          </w:p>
        </w:tc>
        <w:tc>
          <w:tcPr>
            <w:tcW w:w="290" w:type="pct"/>
            <w:tcBorders>
              <w:top w:val="nil"/>
              <w:left w:val="single" w:sz="4" w:space="0" w:color="auto"/>
              <w:bottom w:val="nil"/>
              <w:right w:val="single" w:sz="4" w:space="0" w:color="auto"/>
            </w:tcBorders>
            <w:shd w:val="clear" w:color="auto" w:fill="auto"/>
            <w:vAlign w:val="center"/>
          </w:tcPr>
          <w:p w14:paraId="1A54DBDC" w14:textId="24C66EC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41.9</w:t>
            </w:r>
          </w:p>
        </w:tc>
      </w:tr>
      <w:tr w:rsidR="007736E3" w:rsidRPr="00F31098" w14:paraId="3D0F69F8" w14:textId="77777777" w:rsidTr="00F17DD8">
        <w:trPr>
          <w:trHeight w:val="283"/>
        </w:trPr>
        <w:tc>
          <w:tcPr>
            <w:tcW w:w="456" w:type="pct"/>
            <w:tcBorders>
              <w:top w:val="nil"/>
              <w:left w:val="single" w:sz="4" w:space="0" w:color="auto"/>
              <w:bottom w:val="nil"/>
              <w:right w:val="nil"/>
            </w:tcBorders>
            <w:vAlign w:val="center"/>
          </w:tcPr>
          <w:p w14:paraId="7D2CE124" w14:textId="77777777" w:rsidR="007736E3" w:rsidRPr="00F31098"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3DC61A1D"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73E4A412" w14:textId="6A82DBB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62.0</w:t>
            </w:r>
          </w:p>
        </w:tc>
        <w:tc>
          <w:tcPr>
            <w:tcW w:w="299" w:type="pct"/>
            <w:tcBorders>
              <w:top w:val="nil"/>
              <w:left w:val="nil"/>
              <w:bottom w:val="single" w:sz="4" w:space="0" w:color="auto"/>
              <w:right w:val="nil"/>
            </w:tcBorders>
            <w:shd w:val="clear" w:color="auto" w:fill="auto"/>
            <w:vAlign w:val="center"/>
          </w:tcPr>
          <w:p w14:paraId="25774911" w14:textId="6E69B3A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23.4</w:t>
            </w:r>
          </w:p>
        </w:tc>
        <w:tc>
          <w:tcPr>
            <w:tcW w:w="299" w:type="pct"/>
            <w:tcBorders>
              <w:top w:val="nil"/>
              <w:left w:val="nil"/>
              <w:bottom w:val="single" w:sz="4" w:space="0" w:color="auto"/>
              <w:right w:val="nil"/>
            </w:tcBorders>
            <w:shd w:val="clear" w:color="auto" w:fill="auto"/>
            <w:vAlign w:val="center"/>
          </w:tcPr>
          <w:p w14:paraId="6C3AD4D5" w14:textId="5D1685A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49.2</w:t>
            </w:r>
          </w:p>
        </w:tc>
        <w:tc>
          <w:tcPr>
            <w:tcW w:w="299" w:type="pct"/>
            <w:tcBorders>
              <w:top w:val="nil"/>
              <w:left w:val="nil"/>
              <w:bottom w:val="single" w:sz="4" w:space="0" w:color="auto"/>
              <w:right w:val="nil"/>
            </w:tcBorders>
            <w:shd w:val="clear" w:color="auto" w:fill="auto"/>
            <w:vAlign w:val="center"/>
          </w:tcPr>
          <w:p w14:paraId="2803F068" w14:textId="3473858A"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41.1</w:t>
            </w:r>
          </w:p>
        </w:tc>
        <w:tc>
          <w:tcPr>
            <w:tcW w:w="299" w:type="pct"/>
            <w:tcBorders>
              <w:top w:val="nil"/>
              <w:left w:val="nil"/>
              <w:bottom w:val="single" w:sz="4" w:space="0" w:color="auto"/>
              <w:right w:val="nil"/>
            </w:tcBorders>
            <w:shd w:val="clear" w:color="auto" w:fill="auto"/>
            <w:vAlign w:val="center"/>
          </w:tcPr>
          <w:p w14:paraId="3A2A9787" w14:textId="1FB3E3A5"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34.8</w:t>
            </w:r>
          </w:p>
        </w:tc>
        <w:tc>
          <w:tcPr>
            <w:tcW w:w="299" w:type="pct"/>
            <w:tcBorders>
              <w:top w:val="nil"/>
              <w:left w:val="nil"/>
              <w:bottom w:val="single" w:sz="4" w:space="0" w:color="auto"/>
              <w:right w:val="nil"/>
            </w:tcBorders>
            <w:shd w:val="clear" w:color="auto" w:fill="auto"/>
            <w:vAlign w:val="center"/>
          </w:tcPr>
          <w:p w14:paraId="0F03F667" w14:textId="186C6F61"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53.9</w:t>
            </w:r>
          </w:p>
        </w:tc>
        <w:tc>
          <w:tcPr>
            <w:tcW w:w="299" w:type="pct"/>
            <w:tcBorders>
              <w:top w:val="nil"/>
              <w:left w:val="nil"/>
              <w:bottom w:val="single" w:sz="4" w:space="0" w:color="auto"/>
              <w:right w:val="nil"/>
            </w:tcBorders>
            <w:shd w:val="clear" w:color="auto" w:fill="auto"/>
            <w:vAlign w:val="center"/>
          </w:tcPr>
          <w:p w14:paraId="26109786" w14:textId="0B9DCA8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39.4</w:t>
            </w:r>
          </w:p>
        </w:tc>
        <w:tc>
          <w:tcPr>
            <w:tcW w:w="299" w:type="pct"/>
            <w:tcBorders>
              <w:top w:val="nil"/>
              <w:left w:val="nil"/>
              <w:bottom w:val="single" w:sz="4" w:space="0" w:color="auto"/>
              <w:right w:val="nil"/>
            </w:tcBorders>
            <w:shd w:val="clear" w:color="auto" w:fill="auto"/>
            <w:vAlign w:val="center"/>
          </w:tcPr>
          <w:p w14:paraId="6591BBCE" w14:textId="5D5CFC8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40.7</w:t>
            </w:r>
          </w:p>
        </w:tc>
        <w:tc>
          <w:tcPr>
            <w:tcW w:w="299" w:type="pct"/>
            <w:tcBorders>
              <w:top w:val="nil"/>
              <w:left w:val="nil"/>
              <w:bottom w:val="single" w:sz="4" w:space="0" w:color="auto"/>
              <w:right w:val="nil"/>
            </w:tcBorders>
            <w:shd w:val="clear" w:color="auto" w:fill="auto"/>
            <w:vAlign w:val="center"/>
          </w:tcPr>
          <w:p w14:paraId="22DEBCA8" w14:textId="45B1B9A7"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42.9</w:t>
            </w:r>
          </w:p>
        </w:tc>
        <w:tc>
          <w:tcPr>
            <w:tcW w:w="299" w:type="pct"/>
            <w:tcBorders>
              <w:top w:val="nil"/>
              <w:left w:val="nil"/>
              <w:bottom w:val="single" w:sz="4" w:space="0" w:color="auto"/>
              <w:right w:val="nil"/>
            </w:tcBorders>
            <w:shd w:val="clear" w:color="auto" w:fill="auto"/>
            <w:vAlign w:val="center"/>
          </w:tcPr>
          <w:p w14:paraId="55F8454F" w14:textId="0A61E38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33.6</w:t>
            </w:r>
          </w:p>
        </w:tc>
        <w:tc>
          <w:tcPr>
            <w:tcW w:w="299" w:type="pct"/>
            <w:tcBorders>
              <w:top w:val="nil"/>
              <w:left w:val="nil"/>
              <w:bottom w:val="single" w:sz="4" w:space="0" w:color="auto"/>
              <w:right w:val="nil"/>
            </w:tcBorders>
            <w:shd w:val="clear" w:color="auto" w:fill="auto"/>
            <w:vAlign w:val="center"/>
          </w:tcPr>
          <w:p w14:paraId="3087BE18" w14:textId="7934E54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52.4</w:t>
            </w:r>
          </w:p>
        </w:tc>
        <w:tc>
          <w:tcPr>
            <w:tcW w:w="299" w:type="pct"/>
            <w:tcBorders>
              <w:top w:val="nil"/>
              <w:left w:val="nil"/>
              <w:bottom w:val="single" w:sz="4" w:space="0" w:color="auto"/>
              <w:right w:val="single" w:sz="4" w:space="0" w:color="auto"/>
            </w:tcBorders>
            <w:shd w:val="clear" w:color="auto" w:fill="auto"/>
            <w:vAlign w:val="center"/>
          </w:tcPr>
          <w:p w14:paraId="629462C0" w14:textId="019DB0F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34.3</w:t>
            </w:r>
          </w:p>
        </w:tc>
        <w:tc>
          <w:tcPr>
            <w:tcW w:w="290" w:type="pct"/>
            <w:tcBorders>
              <w:top w:val="nil"/>
              <w:left w:val="single" w:sz="4" w:space="0" w:color="auto"/>
              <w:bottom w:val="single" w:sz="4" w:space="0" w:color="auto"/>
              <w:right w:val="single" w:sz="4" w:space="0" w:color="auto"/>
            </w:tcBorders>
            <w:shd w:val="clear" w:color="auto" w:fill="auto"/>
            <w:vAlign w:val="center"/>
          </w:tcPr>
          <w:p w14:paraId="719D5D41" w14:textId="79FA20C8"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40.0</w:t>
            </w:r>
          </w:p>
        </w:tc>
      </w:tr>
      <w:tr w:rsidR="007736E3" w:rsidRPr="00F31098" w14:paraId="4255A9EA" w14:textId="77777777" w:rsidTr="00F17DD8">
        <w:trPr>
          <w:trHeight w:val="283"/>
        </w:trPr>
        <w:tc>
          <w:tcPr>
            <w:tcW w:w="456" w:type="pct"/>
            <w:tcBorders>
              <w:top w:val="nil"/>
              <w:left w:val="single" w:sz="4" w:space="0" w:color="auto"/>
              <w:bottom w:val="single" w:sz="6" w:space="0" w:color="auto"/>
              <w:right w:val="nil"/>
            </w:tcBorders>
            <w:vAlign w:val="center"/>
          </w:tcPr>
          <w:p w14:paraId="1361238A" w14:textId="77777777" w:rsidR="007736E3" w:rsidRPr="00F31098"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109D33D0"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79D95B65" w14:textId="27232E3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21.3</w:t>
            </w:r>
          </w:p>
        </w:tc>
        <w:tc>
          <w:tcPr>
            <w:tcW w:w="299" w:type="pct"/>
            <w:tcBorders>
              <w:top w:val="single" w:sz="4" w:space="0" w:color="auto"/>
              <w:left w:val="nil"/>
              <w:bottom w:val="single" w:sz="4" w:space="0" w:color="auto"/>
              <w:right w:val="nil"/>
            </w:tcBorders>
            <w:shd w:val="clear" w:color="auto" w:fill="auto"/>
            <w:vAlign w:val="center"/>
          </w:tcPr>
          <w:p w14:paraId="229431AC" w14:textId="2406A20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22.1</w:t>
            </w:r>
          </w:p>
        </w:tc>
        <w:tc>
          <w:tcPr>
            <w:tcW w:w="299" w:type="pct"/>
            <w:tcBorders>
              <w:top w:val="single" w:sz="4" w:space="0" w:color="auto"/>
              <w:left w:val="nil"/>
              <w:bottom w:val="single" w:sz="4" w:space="0" w:color="auto"/>
              <w:right w:val="nil"/>
            </w:tcBorders>
            <w:shd w:val="clear" w:color="auto" w:fill="auto"/>
            <w:vAlign w:val="center"/>
          </w:tcPr>
          <w:p w14:paraId="2A425041" w14:textId="05B7AADD"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21.9</w:t>
            </w:r>
          </w:p>
        </w:tc>
        <w:tc>
          <w:tcPr>
            <w:tcW w:w="299" w:type="pct"/>
            <w:tcBorders>
              <w:top w:val="single" w:sz="4" w:space="0" w:color="auto"/>
              <w:left w:val="nil"/>
              <w:bottom w:val="single" w:sz="4" w:space="0" w:color="auto"/>
              <w:right w:val="nil"/>
            </w:tcBorders>
            <w:shd w:val="clear" w:color="auto" w:fill="auto"/>
            <w:vAlign w:val="center"/>
          </w:tcPr>
          <w:p w14:paraId="4D0D8D01" w14:textId="342F4A2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22.6</w:t>
            </w:r>
          </w:p>
        </w:tc>
        <w:tc>
          <w:tcPr>
            <w:tcW w:w="299" w:type="pct"/>
            <w:tcBorders>
              <w:top w:val="single" w:sz="4" w:space="0" w:color="auto"/>
              <w:left w:val="nil"/>
              <w:bottom w:val="single" w:sz="4" w:space="0" w:color="auto"/>
              <w:right w:val="nil"/>
            </w:tcBorders>
            <w:shd w:val="clear" w:color="auto" w:fill="auto"/>
            <w:vAlign w:val="center"/>
          </w:tcPr>
          <w:p w14:paraId="1BE72C78" w14:textId="3E0431D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24.1</w:t>
            </w:r>
          </w:p>
        </w:tc>
        <w:tc>
          <w:tcPr>
            <w:tcW w:w="299" w:type="pct"/>
            <w:tcBorders>
              <w:top w:val="single" w:sz="4" w:space="0" w:color="auto"/>
              <w:left w:val="nil"/>
              <w:bottom w:val="single" w:sz="4" w:space="0" w:color="auto"/>
              <w:right w:val="nil"/>
            </w:tcBorders>
            <w:shd w:val="clear" w:color="auto" w:fill="auto"/>
            <w:vAlign w:val="center"/>
          </w:tcPr>
          <w:p w14:paraId="0EA1A78D" w14:textId="7F7D2A6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25.6</w:t>
            </w:r>
          </w:p>
        </w:tc>
        <w:tc>
          <w:tcPr>
            <w:tcW w:w="299" w:type="pct"/>
            <w:tcBorders>
              <w:top w:val="single" w:sz="4" w:space="0" w:color="auto"/>
              <w:left w:val="nil"/>
              <w:bottom w:val="single" w:sz="4" w:space="0" w:color="auto"/>
              <w:right w:val="nil"/>
            </w:tcBorders>
            <w:shd w:val="clear" w:color="auto" w:fill="auto"/>
            <w:vAlign w:val="center"/>
          </w:tcPr>
          <w:p w14:paraId="6AA58949" w14:textId="7DC33CF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22.7</w:t>
            </w:r>
          </w:p>
        </w:tc>
        <w:tc>
          <w:tcPr>
            <w:tcW w:w="299" w:type="pct"/>
            <w:tcBorders>
              <w:top w:val="single" w:sz="4" w:space="0" w:color="auto"/>
              <w:left w:val="nil"/>
              <w:bottom w:val="single" w:sz="4" w:space="0" w:color="auto"/>
              <w:right w:val="nil"/>
            </w:tcBorders>
            <w:shd w:val="clear" w:color="auto" w:fill="auto"/>
            <w:vAlign w:val="center"/>
          </w:tcPr>
          <w:p w14:paraId="6B90B725" w14:textId="3CA6C0C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20.9</w:t>
            </w:r>
          </w:p>
        </w:tc>
        <w:tc>
          <w:tcPr>
            <w:tcW w:w="299" w:type="pct"/>
            <w:tcBorders>
              <w:top w:val="single" w:sz="4" w:space="0" w:color="auto"/>
              <w:left w:val="nil"/>
              <w:bottom w:val="single" w:sz="4" w:space="0" w:color="auto"/>
              <w:right w:val="nil"/>
            </w:tcBorders>
            <w:shd w:val="clear" w:color="auto" w:fill="auto"/>
            <w:vAlign w:val="center"/>
          </w:tcPr>
          <w:p w14:paraId="29CEE96C" w14:textId="1F30308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19.8</w:t>
            </w:r>
          </w:p>
        </w:tc>
        <w:tc>
          <w:tcPr>
            <w:tcW w:w="299" w:type="pct"/>
            <w:tcBorders>
              <w:top w:val="single" w:sz="4" w:space="0" w:color="auto"/>
              <w:left w:val="nil"/>
              <w:bottom w:val="single" w:sz="4" w:space="0" w:color="auto"/>
              <w:right w:val="nil"/>
            </w:tcBorders>
            <w:shd w:val="clear" w:color="auto" w:fill="auto"/>
            <w:vAlign w:val="center"/>
          </w:tcPr>
          <w:p w14:paraId="01DDAC21" w14:textId="6A35972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18.3</w:t>
            </w:r>
          </w:p>
        </w:tc>
        <w:tc>
          <w:tcPr>
            <w:tcW w:w="299" w:type="pct"/>
            <w:tcBorders>
              <w:top w:val="single" w:sz="4" w:space="0" w:color="auto"/>
              <w:left w:val="nil"/>
              <w:bottom w:val="single" w:sz="4" w:space="0" w:color="auto"/>
              <w:right w:val="nil"/>
            </w:tcBorders>
            <w:shd w:val="clear" w:color="auto" w:fill="auto"/>
            <w:vAlign w:val="center"/>
          </w:tcPr>
          <w:p w14:paraId="302123F0" w14:textId="7085B85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20.9</w:t>
            </w:r>
          </w:p>
        </w:tc>
        <w:tc>
          <w:tcPr>
            <w:tcW w:w="299" w:type="pct"/>
            <w:tcBorders>
              <w:top w:val="single" w:sz="4" w:space="0" w:color="auto"/>
              <w:left w:val="nil"/>
              <w:bottom w:val="single" w:sz="4" w:space="0" w:color="auto"/>
              <w:right w:val="single" w:sz="4" w:space="0" w:color="auto"/>
            </w:tcBorders>
            <w:shd w:val="clear" w:color="auto" w:fill="auto"/>
            <w:vAlign w:val="center"/>
          </w:tcPr>
          <w:p w14:paraId="026C7FA4" w14:textId="362C70DD"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7696BB5" w14:textId="3622BA0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21.9</w:t>
            </w:r>
          </w:p>
        </w:tc>
      </w:tr>
      <w:tr w:rsidR="007736E3" w:rsidRPr="00F31098" w14:paraId="3C52CA70" w14:textId="77777777" w:rsidTr="00F17DD8">
        <w:trPr>
          <w:trHeight w:val="283"/>
        </w:trPr>
        <w:tc>
          <w:tcPr>
            <w:tcW w:w="456" w:type="pct"/>
            <w:vMerge w:val="restart"/>
            <w:tcBorders>
              <w:top w:val="single" w:sz="6" w:space="0" w:color="auto"/>
              <w:left w:val="single" w:sz="4" w:space="0" w:color="auto"/>
              <w:right w:val="nil"/>
            </w:tcBorders>
          </w:tcPr>
          <w:p w14:paraId="6B645876"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Standard Deviation (weeks)</w:t>
            </w:r>
          </w:p>
        </w:tc>
        <w:tc>
          <w:tcPr>
            <w:tcW w:w="665" w:type="pct"/>
            <w:tcBorders>
              <w:top w:val="single" w:sz="6" w:space="0" w:color="auto"/>
              <w:left w:val="nil"/>
              <w:bottom w:val="nil"/>
              <w:right w:val="nil"/>
            </w:tcBorders>
            <w:vAlign w:val="center"/>
          </w:tcPr>
          <w:p w14:paraId="03A29AA3"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101304C2" w14:textId="0492C5D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9.2</w:t>
            </w:r>
          </w:p>
        </w:tc>
        <w:tc>
          <w:tcPr>
            <w:tcW w:w="299" w:type="pct"/>
            <w:tcBorders>
              <w:top w:val="nil"/>
              <w:left w:val="nil"/>
              <w:bottom w:val="nil"/>
              <w:right w:val="nil"/>
            </w:tcBorders>
            <w:shd w:val="clear" w:color="auto" w:fill="auto"/>
            <w:vAlign w:val="center"/>
          </w:tcPr>
          <w:p w14:paraId="44AA3A07" w14:textId="3EFCB75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8.8</w:t>
            </w:r>
          </w:p>
        </w:tc>
        <w:tc>
          <w:tcPr>
            <w:tcW w:w="299" w:type="pct"/>
            <w:tcBorders>
              <w:top w:val="nil"/>
              <w:left w:val="nil"/>
              <w:bottom w:val="nil"/>
              <w:right w:val="nil"/>
            </w:tcBorders>
            <w:shd w:val="clear" w:color="auto" w:fill="auto"/>
            <w:vAlign w:val="center"/>
          </w:tcPr>
          <w:p w14:paraId="5180F72F" w14:textId="7A59EC8A"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10.4</w:t>
            </w:r>
          </w:p>
        </w:tc>
        <w:tc>
          <w:tcPr>
            <w:tcW w:w="299" w:type="pct"/>
            <w:tcBorders>
              <w:top w:val="nil"/>
              <w:left w:val="nil"/>
              <w:bottom w:val="nil"/>
              <w:right w:val="nil"/>
            </w:tcBorders>
            <w:shd w:val="clear" w:color="auto" w:fill="auto"/>
            <w:vAlign w:val="center"/>
          </w:tcPr>
          <w:p w14:paraId="5B979B57" w14:textId="7EE63A47"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8.8</w:t>
            </w:r>
          </w:p>
        </w:tc>
        <w:tc>
          <w:tcPr>
            <w:tcW w:w="299" w:type="pct"/>
            <w:tcBorders>
              <w:top w:val="nil"/>
              <w:left w:val="nil"/>
              <w:bottom w:val="nil"/>
              <w:right w:val="nil"/>
            </w:tcBorders>
            <w:shd w:val="clear" w:color="auto" w:fill="auto"/>
            <w:vAlign w:val="center"/>
          </w:tcPr>
          <w:p w14:paraId="622F4D91" w14:textId="5477417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10.7</w:t>
            </w:r>
          </w:p>
        </w:tc>
        <w:tc>
          <w:tcPr>
            <w:tcW w:w="299" w:type="pct"/>
            <w:tcBorders>
              <w:top w:val="nil"/>
              <w:left w:val="nil"/>
              <w:bottom w:val="nil"/>
              <w:right w:val="nil"/>
            </w:tcBorders>
            <w:shd w:val="clear" w:color="auto" w:fill="auto"/>
            <w:vAlign w:val="center"/>
          </w:tcPr>
          <w:p w14:paraId="4BBFA245" w14:textId="077C6BA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10.9</w:t>
            </w:r>
          </w:p>
        </w:tc>
        <w:tc>
          <w:tcPr>
            <w:tcW w:w="299" w:type="pct"/>
            <w:tcBorders>
              <w:top w:val="nil"/>
              <w:left w:val="nil"/>
              <w:bottom w:val="nil"/>
              <w:right w:val="nil"/>
            </w:tcBorders>
            <w:shd w:val="clear" w:color="auto" w:fill="auto"/>
            <w:vAlign w:val="center"/>
          </w:tcPr>
          <w:p w14:paraId="11C10ECE" w14:textId="37EBB67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11.4</w:t>
            </w:r>
          </w:p>
        </w:tc>
        <w:tc>
          <w:tcPr>
            <w:tcW w:w="299" w:type="pct"/>
            <w:tcBorders>
              <w:top w:val="nil"/>
              <w:left w:val="nil"/>
              <w:bottom w:val="nil"/>
              <w:right w:val="nil"/>
            </w:tcBorders>
            <w:shd w:val="clear" w:color="auto" w:fill="auto"/>
            <w:vAlign w:val="center"/>
          </w:tcPr>
          <w:p w14:paraId="3661B13B" w14:textId="1D8FCBE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10.8</w:t>
            </w:r>
          </w:p>
        </w:tc>
        <w:tc>
          <w:tcPr>
            <w:tcW w:w="299" w:type="pct"/>
            <w:tcBorders>
              <w:top w:val="nil"/>
              <w:left w:val="nil"/>
              <w:bottom w:val="nil"/>
              <w:right w:val="nil"/>
            </w:tcBorders>
            <w:shd w:val="clear" w:color="auto" w:fill="auto"/>
            <w:vAlign w:val="center"/>
          </w:tcPr>
          <w:p w14:paraId="5CD8E758" w14:textId="60918031"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10.5</w:t>
            </w:r>
          </w:p>
        </w:tc>
        <w:tc>
          <w:tcPr>
            <w:tcW w:w="299" w:type="pct"/>
            <w:tcBorders>
              <w:top w:val="nil"/>
              <w:left w:val="nil"/>
              <w:bottom w:val="nil"/>
              <w:right w:val="nil"/>
            </w:tcBorders>
            <w:shd w:val="clear" w:color="auto" w:fill="auto"/>
            <w:vAlign w:val="center"/>
          </w:tcPr>
          <w:p w14:paraId="082FFCAE" w14:textId="2FA9A4CD"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10.9</w:t>
            </w:r>
          </w:p>
        </w:tc>
        <w:tc>
          <w:tcPr>
            <w:tcW w:w="299" w:type="pct"/>
            <w:tcBorders>
              <w:top w:val="nil"/>
              <w:left w:val="nil"/>
              <w:bottom w:val="nil"/>
              <w:right w:val="nil"/>
            </w:tcBorders>
            <w:shd w:val="clear" w:color="auto" w:fill="auto"/>
            <w:vAlign w:val="center"/>
          </w:tcPr>
          <w:p w14:paraId="33FD4D4B" w14:textId="76D068E3"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11.2</w:t>
            </w:r>
          </w:p>
        </w:tc>
        <w:tc>
          <w:tcPr>
            <w:tcW w:w="299" w:type="pct"/>
            <w:tcBorders>
              <w:top w:val="nil"/>
              <w:left w:val="nil"/>
              <w:bottom w:val="nil"/>
              <w:right w:val="single" w:sz="4" w:space="0" w:color="auto"/>
            </w:tcBorders>
            <w:shd w:val="clear" w:color="auto" w:fill="auto"/>
            <w:vAlign w:val="center"/>
          </w:tcPr>
          <w:p w14:paraId="178B04EC" w14:textId="34BB082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11.8</w:t>
            </w:r>
          </w:p>
        </w:tc>
        <w:tc>
          <w:tcPr>
            <w:tcW w:w="290" w:type="pct"/>
            <w:tcBorders>
              <w:top w:val="nil"/>
              <w:left w:val="single" w:sz="4" w:space="0" w:color="auto"/>
              <w:bottom w:val="nil"/>
              <w:right w:val="single" w:sz="4" w:space="0" w:color="auto"/>
            </w:tcBorders>
            <w:shd w:val="clear" w:color="auto" w:fill="auto"/>
            <w:vAlign w:val="center"/>
          </w:tcPr>
          <w:p w14:paraId="4B48A0EF" w14:textId="501005C0"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10.8</w:t>
            </w:r>
          </w:p>
        </w:tc>
      </w:tr>
      <w:tr w:rsidR="007736E3" w:rsidRPr="00F31098" w14:paraId="2055FFEA" w14:textId="77777777" w:rsidTr="00F17DD8">
        <w:trPr>
          <w:trHeight w:val="283"/>
        </w:trPr>
        <w:tc>
          <w:tcPr>
            <w:tcW w:w="456" w:type="pct"/>
            <w:vMerge/>
            <w:tcBorders>
              <w:left w:val="single" w:sz="4" w:space="0" w:color="auto"/>
              <w:bottom w:val="nil"/>
              <w:right w:val="nil"/>
            </w:tcBorders>
            <w:vAlign w:val="center"/>
          </w:tcPr>
          <w:p w14:paraId="4F2D0DD1" w14:textId="77777777" w:rsidR="007736E3" w:rsidRPr="00F31098"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0E77F0AF"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2A591050" w14:textId="15995A9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24.9</w:t>
            </w:r>
          </w:p>
        </w:tc>
        <w:tc>
          <w:tcPr>
            <w:tcW w:w="299" w:type="pct"/>
            <w:tcBorders>
              <w:top w:val="nil"/>
              <w:left w:val="nil"/>
              <w:bottom w:val="nil"/>
              <w:right w:val="nil"/>
            </w:tcBorders>
            <w:shd w:val="clear" w:color="auto" w:fill="auto"/>
            <w:vAlign w:val="center"/>
          </w:tcPr>
          <w:p w14:paraId="35D3A361" w14:textId="6A54353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27.9</w:t>
            </w:r>
          </w:p>
        </w:tc>
        <w:tc>
          <w:tcPr>
            <w:tcW w:w="299" w:type="pct"/>
            <w:tcBorders>
              <w:top w:val="nil"/>
              <w:left w:val="nil"/>
              <w:bottom w:val="nil"/>
              <w:right w:val="nil"/>
            </w:tcBorders>
            <w:shd w:val="clear" w:color="auto" w:fill="auto"/>
            <w:vAlign w:val="center"/>
          </w:tcPr>
          <w:p w14:paraId="132FA3AC" w14:textId="35C8D6E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9.7</w:t>
            </w:r>
          </w:p>
        </w:tc>
        <w:tc>
          <w:tcPr>
            <w:tcW w:w="299" w:type="pct"/>
            <w:tcBorders>
              <w:top w:val="nil"/>
              <w:left w:val="nil"/>
              <w:bottom w:val="nil"/>
              <w:right w:val="nil"/>
            </w:tcBorders>
            <w:shd w:val="clear" w:color="auto" w:fill="auto"/>
            <w:vAlign w:val="center"/>
          </w:tcPr>
          <w:p w14:paraId="25A6B263" w14:textId="1C50BC0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20.5</w:t>
            </w:r>
          </w:p>
        </w:tc>
        <w:tc>
          <w:tcPr>
            <w:tcW w:w="299" w:type="pct"/>
            <w:tcBorders>
              <w:top w:val="nil"/>
              <w:left w:val="nil"/>
              <w:bottom w:val="nil"/>
              <w:right w:val="nil"/>
            </w:tcBorders>
            <w:shd w:val="clear" w:color="auto" w:fill="auto"/>
            <w:vAlign w:val="center"/>
          </w:tcPr>
          <w:p w14:paraId="07163C96" w14:textId="1F91A52E"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18.5</w:t>
            </w:r>
          </w:p>
        </w:tc>
        <w:tc>
          <w:tcPr>
            <w:tcW w:w="299" w:type="pct"/>
            <w:tcBorders>
              <w:top w:val="nil"/>
              <w:left w:val="nil"/>
              <w:bottom w:val="nil"/>
              <w:right w:val="nil"/>
            </w:tcBorders>
            <w:shd w:val="clear" w:color="auto" w:fill="auto"/>
            <w:vAlign w:val="center"/>
          </w:tcPr>
          <w:p w14:paraId="7B1EF7F1" w14:textId="4954956A"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13.3</w:t>
            </w:r>
          </w:p>
        </w:tc>
        <w:tc>
          <w:tcPr>
            <w:tcW w:w="299" w:type="pct"/>
            <w:tcBorders>
              <w:top w:val="nil"/>
              <w:left w:val="nil"/>
              <w:bottom w:val="nil"/>
              <w:right w:val="nil"/>
            </w:tcBorders>
            <w:shd w:val="clear" w:color="auto" w:fill="auto"/>
            <w:vAlign w:val="center"/>
          </w:tcPr>
          <w:p w14:paraId="6E1AD441" w14:textId="682A3905"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17.4</w:t>
            </w:r>
          </w:p>
        </w:tc>
        <w:tc>
          <w:tcPr>
            <w:tcW w:w="299" w:type="pct"/>
            <w:tcBorders>
              <w:top w:val="nil"/>
              <w:left w:val="nil"/>
              <w:bottom w:val="nil"/>
              <w:right w:val="nil"/>
            </w:tcBorders>
            <w:shd w:val="clear" w:color="auto" w:fill="auto"/>
            <w:vAlign w:val="center"/>
          </w:tcPr>
          <w:p w14:paraId="164DBD9F" w14:textId="73C2A9C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23.0</w:t>
            </w:r>
          </w:p>
        </w:tc>
        <w:tc>
          <w:tcPr>
            <w:tcW w:w="299" w:type="pct"/>
            <w:tcBorders>
              <w:top w:val="nil"/>
              <w:left w:val="nil"/>
              <w:bottom w:val="nil"/>
              <w:right w:val="nil"/>
            </w:tcBorders>
            <w:shd w:val="clear" w:color="auto" w:fill="auto"/>
            <w:vAlign w:val="center"/>
          </w:tcPr>
          <w:p w14:paraId="3F7047EA" w14:textId="7154084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16.7</w:t>
            </w:r>
          </w:p>
        </w:tc>
        <w:tc>
          <w:tcPr>
            <w:tcW w:w="299" w:type="pct"/>
            <w:tcBorders>
              <w:top w:val="nil"/>
              <w:left w:val="nil"/>
              <w:bottom w:val="nil"/>
              <w:right w:val="nil"/>
            </w:tcBorders>
            <w:shd w:val="clear" w:color="auto" w:fill="auto"/>
            <w:vAlign w:val="center"/>
          </w:tcPr>
          <w:p w14:paraId="5183BCF7" w14:textId="684F555D"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24.6</w:t>
            </w:r>
          </w:p>
        </w:tc>
        <w:tc>
          <w:tcPr>
            <w:tcW w:w="299" w:type="pct"/>
            <w:tcBorders>
              <w:top w:val="nil"/>
              <w:left w:val="nil"/>
              <w:bottom w:val="nil"/>
              <w:right w:val="nil"/>
            </w:tcBorders>
            <w:shd w:val="clear" w:color="auto" w:fill="auto"/>
            <w:vAlign w:val="center"/>
          </w:tcPr>
          <w:p w14:paraId="45F52B38" w14:textId="53139307"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23.6</w:t>
            </w:r>
          </w:p>
        </w:tc>
        <w:tc>
          <w:tcPr>
            <w:tcW w:w="299" w:type="pct"/>
            <w:tcBorders>
              <w:top w:val="nil"/>
              <w:left w:val="nil"/>
              <w:bottom w:val="nil"/>
              <w:right w:val="single" w:sz="4" w:space="0" w:color="auto"/>
            </w:tcBorders>
            <w:shd w:val="clear" w:color="auto" w:fill="auto"/>
            <w:vAlign w:val="center"/>
          </w:tcPr>
          <w:p w14:paraId="6987D4DD" w14:textId="58C46AB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18.7</w:t>
            </w:r>
          </w:p>
        </w:tc>
        <w:tc>
          <w:tcPr>
            <w:tcW w:w="290" w:type="pct"/>
            <w:tcBorders>
              <w:top w:val="nil"/>
              <w:left w:val="single" w:sz="4" w:space="0" w:color="auto"/>
              <w:bottom w:val="nil"/>
              <w:right w:val="single" w:sz="4" w:space="0" w:color="auto"/>
            </w:tcBorders>
            <w:shd w:val="clear" w:color="auto" w:fill="auto"/>
            <w:vAlign w:val="center"/>
          </w:tcPr>
          <w:p w14:paraId="1AFE141B" w14:textId="247984C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20.7</w:t>
            </w:r>
          </w:p>
        </w:tc>
      </w:tr>
      <w:tr w:rsidR="007736E3" w:rsidRPr="00F31098" w14:paraId="474B9765" w14:textId="77777777" w:rsidTr="00F17DD8">
        <w:trPr>
          <w:trHeight w:val="283"/>
        </w:trPr>
        <w:tc>
          <w:tcPr>
            <w:tcW w:w="456" w:type="pct"/>
            <w:tcBorders>
              <w:top w:val="nil"/>
              <w:left w:val="single" w:sz="4" w:space="0" w:color="auto"/>
              <w:bottom w:val="nil"/>
              <w:right w:val="nil"/>
            </w:tcBorders>
            <w:vAlign w:val="center"/>
          </w:tcPr>
          <w:p w14:paraId="1E477F03" w14:textId="77777777" w:rsidR="007736E3" w:rsidRPr="00F31098"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37E0691C"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372D3AE7" w14:textId="0FA4769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1.6</w:t>
            </w:r>
          </w:p>
        </w:tc>
        <w:tc>
          <w:tcPr>
            <w:tcW w:w="299" w:type="pct"/>
            <w:tcBorders>
              <w:top w:val="nil"/>
              <w:left w:val="nil"/>
              <w:bottom w:val="single" w:sz="4" w:space="0" w:color="auto"/>
              <w:right w:val="nil"/>
            </w:tcBorders>
            <w:shd w:val="clear" w:color="auto" w:fill="auto"/>
            <w:vAlign w:val="center"/>
          </w:tcPr>
          <w:p w14:paraId="5D3980B0" w14:textId="1F2DF7A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1.4</w:t>
            </w:r>
          </w:p>
        </w:tc>
        <w:tc>
          <w:tcPr>
            <w:tcW w:w="299" w:type="pct"/>
            <w:tcBorders>
              <w:top w:val="nil"/>
              <w:left w:val="nil"/>
              <w:bottom w:val="single" w:sz="4" w:space="0" w:color="auto"/>
              <w:right w:val="nil"/>
            </w:tcBorders>
            <w:shd w:val="clear" w:color="auto" w:fill="auto"/>
            <w:vAlign w:val="center"/>
          </w:tcPr>
          <w:p w14:paraId="020AD8CD" w14:textId="3ED0236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41.8</w:t>
            </w:r>
          </w:p>
        </w:tc>
        <w:tc>
          <w:tcPr>
            <w:tcW w:w="299" w:type="pct"/>
            <w:tcBorders>
              <w:top w:val="nil"/>
              <w:left w:val="nil"/>
              <w:bottom w:val="single" w:sz="4" w:space="0" w:color="auto"/>
              <w:right w:val="nil"/>
            </w:tcBorders>
            <w:shd w:val="clear" w:color="auto" w:fill="auto"/>
            <w:vAlign w:val="center"/>
          </w:tcPr>
          <w:p w14:paraId="752BE36C" w14:textId="6AF580A3"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1.1</w:t>
            </w:r>
          </w:p>
        </w:tc>
        <w:tc>
          <w:tcPr>
            <w:tcW w:w="299" w:type="pct"/>
            <w:tcBorders>
              <w:top w:val="nil"/>
              <w:left w:val="nil"/>
              <w:bottom w:val="single" w:sz="4" w:space="0" w:color="auto"/>
              <w:right w:val="nil"/>
            </w:tcBorders>
            <w:shd w:val="clear" w:color="auto" w:fill="auto"/>
            <w:vAlign w:val="center"/>
          </w:tcPr>
          <w:p w14:paraId="2FC093DC" w14:textId="3F337E7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20.8</w:t>
            </w:r>
          </w:p>
        </w:tc>
        <w:tc>
          <w:tcPr>
            <w:tcW w:w="299" w:type="pct"/>
            <w:tcBorders>
              <w:top w:val="nil"/>
              <w:left w:val="nil"/>
              <w:bottom w:val="single" w:sz="4" w:space="0" w:color="auto"/>
              <w:right w:val="nil"/>
            </w:tcBorders>
            <w:shd w:val="clear" w:color="auto" w:fill="auto"/>
            <w:vAlign w:val="center"/>
          </w:tcPr>
          <w:p w14:paraId="09F51F70" w14:textId="40BE8F8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13.1</w:t>
            </w:r>
          </w:p>
        </w:tc>
        <w:tc>
          <w:tcPr>
            <w:tcW w:w="299" w:type="pct"/>
            <w:tcBorders>
              <w:top w:val="nil"/>
              <w:left w:val="nil"/>
              <w:bottom w:val="single" w:sz="4" w:space="0" w:color="auto"/>
              <w:right w:val="nil"/>
            </w:tcBorders>
            <w:shd w:val="clear" w:color="auto" w:fill="auto"/>
            <w:vAlign w:val="center"/>
          </w:tcPr>
          <w:p w14:paraId="1BC3CE3A" w14:textId="3423384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10.2</w:t>
            </w:r>
          </w:p>
        </w:tc>
        <w:tc>
          <w:tcPr>
            <w:tcW w:w="299" w:type="pct"/>
            <w:tcBorders>
              <w:top w:val="nil"/>
              <w:left w:val="nil"/>
              <w:bottom w:val="single" w:sz="4" w:space="0" w:color="auto"/>
              <w:right w:val="nil"/>
            </w:tcBorders>
            <w:shd w:val="clear" w:color="auto" w:fill="auto"/>
            <w:vAlign w:val="center"/>
          </w:tcPr>
          <w:p w14:paraId="41CB45EF" w14:textId="3B9BAEC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18.4</w:t>
            </w:r>
          </w:p>
        </w:tc>
        <w:tc>
          <w:tcPr>
            <w:tcW w:w="299" w:type="pct"/>
            <w:tcBorders>
              <w:top w:val="nil"/>
              <w:left w:val="nil"/>
              <w:bottom w:val="single" w:sz="4" w:space="0" w:color="auto"/>
              <w:right w:val="nil"/>
            </w:tcBorders>
            <w:shd w:val="clear" w:color="auto" w:fill="auto"/>
            <w:vAlign w:val="center"/>
          </w:tcPr>
          <w:p w14:paraId="2E46CAE0" w14:textId="7AA497C8"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29.0</w:t>
            </w:r>
          </w:p>
        </w:tc>
        <w:tc>
          <w:tcPr>
            <w:tcW w:w="299" w:type="pct"/>
            <w:tcBorders>
              <w:top w:val="nil"/>
              <w:left w:val="nil"/>
              <w:bottom w:val="single" w:sz="4" w:space="0" w:color="auto"/>
              <w:right w:val="nil"/>
            </w:tcBorders>
            <w:shd w:val="clear" w:color="auto" w:fill="auto"/>
            <w:vAlign w:val="center"/>
          </w:tcPr>
          <w:p w14:paraId="6CE1C02D" w14:textId="526F0F5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12.1</w:t>
            </w:r>
          </w:p>
        </w:tc>
        <w:tc>
          <w:tcPr>
            <w:tcW w:w="299" w:type="pct"/>
            <w:tcBorders>
              <w:top w:val="nil"/>
              <w:left w:val="nil"/>
              <w:bottom w:val="single" w:sz="4" w:space="0" w:color="auto"/>
              <w:right w:val="nil"/>
            </w:tcBorders>
            <w:shd w:val="clear" w:color="auto" w:fill="auto"/>
            <w:vAlign w:val="center"/>
          </w:tcPr>
          <w:p w14:paraId="2B965F28" w14:textId="17B884E9"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30.7</w:t>
            </w:r>
          </w:p>
        </w:tc>
        <w:tc>
          <w:tcPr>
            <w:tcW w:w="299" w:type="pct"/>
            <w:tcBorders>
              <w:top w:val="nil"/>
              <w:left w:val="nil"/>
              <w:bottom w:val="single" w:sz="4" w:space="0" w:color="auto"/>
              <w:right w:val="single" w:sz="4" w:space="0" w:color="auto"/>
            </w:tcBorders>
            <w:shd w:val="clear" w:color="auto" w:fill="auto"/>
            <w:vAlign w:val="center"/>
          </w:tcPr>
          <w:p w14:paraId="42CD4F15" w14:textId="65D73662"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23.0</w:t>
            </w:r>
          </w:p>
        </w:tc>
        <w:tc>
          <w:tcPr>
            <w:tcW w:w="290" w:type="pct"/>
            <w:tcBorders>
              <w:top w:val="nil"/>
              <w:left w:val="single" w:sz="4" w:space="0" w:color="auto"/>
              <w:bottom w:val="single" w:sz="4" w:space="0" w:color="auto"/>
              <w:right w:val="single" w:sz="4" w:space="0" w:color="auto"/>
            </w:tcBorders>
            <w:shd w:val="clear" w:color="auto" w:fill="auto"/>
            <w:vAlign w:val="center"/>
          </w:tcPr>
          <w:p w14:paraId="595FB264" w14:textId="310360E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23.6</w:t>
            </w:r>
          </w:p>
        </w:tc>
      </w:tr>
      <w:tr w:rsidR="007736E3" w:rsidRPr="00F31098" w14:paraId="6E6A34D9" w14:textId="77777777" w:rsidTr="00F17DD8">
        <w:trPr>
          <w:trHeight w:val="283"/>
        </w:trPr>
        <w:tc>
          <w:tcPr>
            <w:tcW w:w="456" w:type="pct"/>
            <w:tcBorders>
              <w:top w:val="nil"/>
              <w:left w:val="single" w:sz="4" w:space="0" w:color="auto"/>
              <w:bottom w:val="single" w:sz="6" w:space="0" w:color="auto"/>
              <w:right w:val="nil"/>
            </w:tcBorders>
            <w:vAlign w:val="center"/>
          </w:tcPr>
          <w:p w14:paraId="39FBDB34" w14:textId="77777777" w:rsidR="007736E3" w:rsidRPr="00F31098"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0E1527BF" w14:textId="77777777" w:rsidR="007736E3" w:rsidRPr="00F31098" w:rsidRDefault="007736E3" w:rsidP="007736E3">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5CA2734C" w14:textId="3452FBED"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10.0</w:t>
            </w:r>
          </w:p>
        </w:tc>
        <w:tc>
          <w:tcPr>
            <w:tcW w:w="299" w:type="pct"/>
            <w:tcBorders>
              <w:top w:val="single" w:sz="4" w:space="0" w:color="auto"/>
              <w:left w:val="nil"/>
              <w:bottom w:val="single" w:sz="4" w:space="0" w:color="auto"/>
              <w:right w:val="nil"/>
            </w:tcBorders>
            <w:shd w:val="clear" w:color="auto" w:fill="auto"/>
            <w:vAlign w:val="center"/>
          </w:tcPr>
          <w:p w14:paraId="5F2E0B31" w14:textId="42B3F6A6"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9.6</w:t>
            </w:r>
          </w:p>
        </w:tc>
        <w:tc>
          <w:tcPr>
            <w:tcW w:w="299" w:type="pct"/>
            <w:tcBorders>
              <w:top w:val="single" w:sz="4" w:space="0" w:color="auto"/>
              <w:left w:val="nil"/>
              <w:bottom w:val="single" w:sz="4" w:space="0" w:color="auto"/>
              <w:right w:val="nil"/>
            </w:tcBorders>
            <w:shd w:val="clear" w:color="auto" w:fill="auto"/>
            <w:vAlign w:val="center"/>
          </w:tcPr>
          <w:p w14:paraId="047035D0" w14:textId="594CBE18"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11.4</w:t>
            </w:r>
          </w:p>
        </w:tc>
        <w:tc>
          <w:tcPr>
            <w:tcW w:w="299" w:type="pct"/>
            <w:tcBorders>
              <w:top w:val="single" w:sz="4" w:space="0" w:color="auto"/>
              <w:left w:val="nil"/>
              <w:bottom w:val="single" w:sz="4" w:space="0" w:color="auto"/>
              <w:right w:val="nil"/>
            </w:tcBorders>
            <w:shd w:val="clear" w:color="auto" w:fill="auto"/>
            <w:vAlign w:val="center"/>
          </w:tcPr>
          <w:p w14:paraId="5FCD2C53" w14:textId="67CB606A"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9.8</w:t>
            </w:r>
          </w:p>
        </w:tc>
        <w:tc>
          <w:tcPr>
            <w:tcW w:w="299" w:type="pct"/>
            <w:tcBorders>
              <w:top w:val="single" w:sz="4" w:space="0" w:color="auto"/>
              <w:left w:val="nil"/>
              <w:bottom w:val="single" w:sz="4" w:space="0" w:color="auto"/>
              <w:right w:val="nil"/>
            </w:tcBorders>
            <w:shd w:val="clear" w:color="auto" w:fill="auto"/>
            <w:vAlign w:val="center"/>
          </w:tcPr>
          <w:p w14:paraId="5D2A5C18" w14:textId="7EB5C058"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11.3</w:t>
            </w:r>
          </w:p>
        </w:tc>
        <w:tc>
          <w:tcPr>
            <w:tcW w:w="299" w:type="pct"/>
            <w:tcBorders>
              <w:top w:val="single" w:sz="4" w:space="0" w:color="auto"/>
              <w:left w:val="nil"/>
              <w:bottom w:val="single" w:sz="4" w:space="0" w:color="auto"/>
              <w:right w:val="nil"/>
            </w:tcBorders>
            <w:shd w:val="clear" w:color="auto" w:fill="auto"/>
            <w:vAlign w:val="center"/>
          </w:tcPr>
          <w:p w14:paraId="3D1BECCB" w14:textId="40367E9F"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11.3</w:t>
            </w:r>
          </w:p>
        </w:tc>
        <w:tc>
          <w:tcPr>
            <w:tcW w:w="299" w:type="pct"/>
            <w:tcBorders>
              <w:top w:val="single" w:sz="4" w:space="0" w:color="auto"/>
              <w:left w:val="nil"/>
              <w:bottom w:val="single" w:sz="4" w:space="0" w:color="auto"/>
              <w:right w:val="nil"/>
            </w:tcBorders>
            <w:shd w:val="clear" w:color="auto" w:fill="auto"/>
            <w:vAlign w:val="center"/>
          </w:tcPr>
          <w:p w14:paraId="73580D0C" w14:textId="0F6F9E1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12.3</w:t>
            </w:r>
          </w:p>
        </w:tc>
        <w:tc>
          <w:tcPr>
            <w:tcW w:w="299" w:type="pct"/>
            <w:tcBorders>
              <w:top w:val="single" w:sz="4" w:space="0" w:color="auto"/>
              <w:left w:val="nil"/>
              <w:bottom w:val="single" w:sz="4" w:space="0" w:color="auto"/>
              <w:right w:val="nil"/>
            </w:tcBorders>
            <w:shd w:val="clear" w:color="auto" w:fill="auto"/>
            <w:vAlign w:val="center"/>
          </w:tcPr>
          <w:p w14:paraId="13F97561" w14:textId="2F63823C"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12.3</w:t>
            </w:r>
          </w:p>
        </w:tc>
        <w:tc>
          <w:tcPr>
            <w:tcW w:w="299" w:type="pct"/>
            <w:tcBorders>
              <w:top w:val="single" w:sz="4" w:space="0" w:color="auto"/>
              <w:left w:val="nil"/>
              <w:bottom w:val="single" w:sz="4" w:space="0" w:color="auto"/>
              <w:right w:val="nil"/>
            </w:tcBorders>
            <w:shd w:val="clear" w:color="auto" w:fill="auto"/>
            <w:vAlign w:val="center"/>
          </w:tcPr>
          <w:p w14:paraId="6418D2FE" w14:textId="5A3ECA3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11.6</w:t>
            </w:r>
          </w:p>
        </w:tc>
        <w:tc>
          <w:tcPr>
            <w:tcW w:w="299" w:type="pct"/>
            <w:tcBorders>
              <w:top w:val="single" w:sz="4" w:space="0" w:color="auto"/>
              <w:left w:val="nil"/>
              <w:bottom w:val="single" w:sz="4" w:space="0" w:color="auto"/>
              <w:right w:val="nil"/>
            </w:tcBorders>
            <w:shd w:val="clear" w:color="auto" w:fill="auto"/>
            <w:vAlign w:val="center"/>
          </w:tcPr>
          <w:p w14:paraId="2763426D" w14:textId="71D5FE6B"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12.3</w:t>
            </w:r>
          </w:p>
        </w:tc>
        <w:tc>
          <w:tcPr>
            <w:tcW w:w="299" w:type="pct"/>
            <w:tcBorders>
              <w:top w:val="single" w:sz="4" w:space="0" w:color="auto"/>
              <w:left w:val="nil"/>
              <w:bottom w:val="single" w:sz="4" w:space="0" w:color="auto"/>
              <w:right w:val="nil"/>
            </w:tcBorders>
            <w:shd w:val="clear" w:color="auto" w:fill="auto"/>
            <w:vAlign w:val="center"/>
          </w:tcPr>
          <w:p w14:paraId="25F81582" w14:textId="204362B1"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14.6</w:t>
            </w:r>
          </w:p>
        </w:tc>
        <w:tc>
          <w:tcPr>
            <w:tcW w:w="299" w:type="pct"/>
            <w:tcBorders>
              <w:top w:val="single" w:sz="4" w:space="0" w:color="auto"/>
              <w:left w:val="nil"/>
              <w:bottom w:val="single" w:sz="4" w:space="0" w:color="auto"/>
              <w:right w:val="single" w:sz="4" w:space="0" w:color="auto"/>
            </w:tcBorders>
            <w:shd w:val="clear" w:color="auto" w:fill="auto"/>
            <w:vAlign w:val="center"/>
          </w:tcPr>
          <w:p w14:paraId="395DE1C3" w14:textId="01D6B4C8"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13.2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1AABEE5" w14:textId="0F721B74" w:rsidR="007736E3" w:rsidRPr="007736E3" w:rsidRDefault="007736E3" w:rsidP="007736E3">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7736E3">
              <w:rPr>
                <w:rFonts w:ascii="Calibri" w:hAnsi="Calibri" w:cs="Calibri"/>
                <w:color w:val="000000"/>
                <w:sz w:val="16"/>
                <w:szCs w:val="16"/>
              </w:rPr>
              <w:t>11.9</w:t>
            </w:r>
          </w:p>
        </w:tc>
      </w:tr>
    </w:tbl>
    <w:p w14:paraId="490EF7AD" w14:textId="77777777" w:rsidR="007A2FD2" w:rsidRPr="00024973" w:rsidRDefault="007A2FD2" w:rsidP="00024973">
      <w:pPr>
        <w:jc w:val="both"/>
        <w:rPr>
          <w:rFonts w:ascii="Helvetica" w:hAnsi="Helvetica" w:cs="Helvetica"/>
        </w:rPr>
      </w:pPr>
    </w:p>
    <w:p w14:paraId="22670CA8" w14:textId="77777777" w:rsidR="00353A89" w:rsidRPr="0086775A" w:rsidRDefault="00353A89" w:rsidP="00353A89">
      <w:pPr>
        <w:rPr>
          <w:rFonts w:ascii="Helvetica" w:hAnsi="Helvetica" w:cs="Helvetica"/>
        </w:rPr>
      </w:pPr>
      <w:r w:rsidRPr="00511A47">
        <w:rPr>
          <w:rFonts w:ascii="Helvetica" w:hAnsi="Helvetica" w:cs="Helvetica"/>
        </w:rPr>
        <w:t>Enforcement</w:t>
      </w:r>
    </w:p>
    <w:tbl>
      <w:tblPr>
        <w:tblW w:w="5000" w:type="pct"/>
        <w:tblLook w:val="0000" w:firstRow="0" w:lastRow="0" w:firstColumn="0" w:lastColumn="0" w:noHBand="0" w:noVBand="0"/>
      </w:tblPr>
      <w:tblGrid>
        <w:gridCol w:w="853"/>
        <w:gridCol w:w="1280"/>
        <w:gridCol w:w="577"/>
        <w:gridCol w:w="581"/>
        <w:gridCol w:w="580"/>
        <w:gridCol w:w="578"/>
        <w:gridCol w:w="576"/>
        <w:gridCol w:w="574"/>
        <w:gridCol w:w="581"/>
        <w:gridCol w:w="581"/>
        <w:gridCol w:w="581"/>
        <w:gridCol w:w="581"/>
        <w:gridCol w:w="581"/>
        <w:gridCol w:w="579"/>
        <w:gridCol w:w="546"/>
      </w:tblGrid>
      <w:tr w:rsidR="00D16518" w:rsidRPr="00F31098" w14:paraId="2E5918E1" w14:textId="77777777" w:rsidTr="00F17DD8">
        <w:trPr>
          <w:trHeight w:val="366"/>
        </w:trPr>
        <w:tc>
          <w:tcPr>
            <w:tcW w:w="444" w:type="pct"/>
            <w:tcBorders>
              <w:top w:val="single" w:sz="4" w:space="0" w:color="auto"/>
              <w:left w:val="single" w:sz="4" w:space="0" w:color="auto"/>
              <w:bottom w:val="single" w:sz="6" w:space="0" w:color="auto"/>
              <w:right w:val="nil"/>
            </w:tcBorders>
            <w:vAlign w:val="center"/>
          </w:tcPr>
          <w:p w14:paraId="665D4B0B" w14:textId="77777777" w:rsidR="00D16518" w:rsidRPr="00F31098" w:rsidRDefault="00D16518" w:rsidP="00D1651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Measure</w:t>
            </w:r>
          </w:p>
        </w:tc>
        <w:tc>
          <w:tcPr>
            <w:tcW w:w="665" w:type="pct"/>
            <w:tcBorders>
              <w:top w:val="single" w:sz="4" w:space="0" w:color="auto"/>
              <w:left w:val="nil"/>
              <w:bottom w:val="single" w:sz="6" w:space="0" w:color="auto"/>
            </w:tcBorders>
            <w:vAlign w:val="center"/>
          </w:tcPr>
          <w:p w14:paraId="2414BFD0" w14:textId="77777777" w:rsidR="00D16518" w:rsidRPr="00F31098" w:rsidRDefault="00D16518" w:rsidP="00D1651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Procedure</w:t>
            </w:r>
          </w:p>
        </w:tc>
        <w:tc>
          <w:tcPr>
            <w:tcW w:w="301" w:type="pct"/>
            <w:tcBorders>
              <w:top w:val="single" w:sz="4" w:space="0" w:color="auto"/>
              <w:bottom w:val="single" w:sz="4" w:space="0" w:color="auto"/>
            </w:tcBorders>
            <w:vAlign w:val="center"/>
          </w:tcPr>
          <w:p w14:paraId="4B0F47BC" w14:textId="3E7C4341"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Jun 20</w:t>
            </w:r>
          </w:p>
        </w:tc>
        <w:tc>
          <w:tcPr>
            <w:tcW w:w="299" w:type="pct"/>
            <w:tcBorders>
              <w:top w:val="single" w:sz="4" w:space="0" w:color="auto"/>
              <w:bottom w:val="single" w:sz="4" w:space="0" w:color="auto"/>
            </w:tcBorders>
            <w:vAlign w:val="center"/>
          </w:tcPr>
          <w:p w14:paraId="243FC17A" w14:textId="166B8DD3"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Jul 20</w:t>
            </w:r>
          </w:p>
        </w:tc>
        <w:tc>
          <w:tcPr>
            <w:tcW w:w="302" w:type="pct"/>
            <w:tcBorders>
              <w:top w:val="single" w:sz="4" w:space="0" w:color="auto"/>
              <w:bottom w:val="single" w:sz="4" w:space="0" w:color="auto"/>
            </w:tcBorders>
            <w:vAlign w:val="center"/>
          </w:tcPr>
          <w:p w14:paraId="3CEE386B" w14:textId="44B6CD94"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Aug 20</w:t>
            </w:r>
          </w:p>
        </w:tc>
        <w:tc>
          <w:tcPr>
            <w:tcW w:w="301" w:type="pct"/>
            <w:tcBorders>
              <w:top w:val="single" w:sz="4" w:space="0" w:color="auto"/>
              <w:bottom w:val="single" w:sz="4" w:space="0" w:color="auto"/>
            </w:tcBorders>
            <w:vAlign w:val="center"/>
          </w:tcPr>
          <w:p w14:paraId="19F72535" w14:textId="0887CC4D"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Sep 20</w:t>
            </w:r>
          </w:p>
        </w:tc>
        <w:tc>
          <w:tcPr>
            <w:tcW w:w="300" w:type="pct"/>
            <w:tcBorders>
              <w:top w:val="single" w:sz="4" w:space="0" w:color="auto"/>
              <w:bottom w:val="single" w:sz="4" w:space="0" w:color="auto"/>
            </w:tcBorders>
            <w:vAlign w:val="center"/>
          </w:tcPr>
          <w:p w14:paraId="395B2EE8" w14:textId="324F984E"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Oct 20</w:t>
            </w:r>
          </w:p>
        </w:tc>
        <w:tc>
          <w:tcPr>
            <w:tcW w:w="299" w:type="pct"/>
            <w:tcBorders>
              <w:top w:val="single" w:sz="4" w:space="0" w:color="auto"/>
              <w:bottom w:val="single" w:sz="4" w:space="0" w:color="auto"/>
            </w:tcBorders>
            <w:vAlign w:val="center"/>
          </w:tcPr>
          <w:p w14:paraId="7A234D26" w14:textId="4401E094"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Nov 20</w:t>
            </w:r>
          </w:p>
        </w:tc>
        <w:tc>
          <w:tcPr>
            <w:tcW w:w="298" w:type="pct"/>
            <w:tcBorders>
              <w:top w:val="single" w:sz="4" w:space="0" w:color="auto"/>
              <w:bottom w:val="single" w:sz="4" w:space="0" w:color="auto"/>
            </w:tcBorders>
            <w:vAlign w:val="center"/>
          </w:tcPr>
          <w:p w14:paraId="3753A6F6" w14:textId="12980D49"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Dec 20</w:t>
            </w:r>
          </w:p>
        </w:tc>
        <w:tc>
          <w:tcPr>
            <w:tcW w:w="302" w:type="pct"/>
            <w:tcBorders>
              <w:top w:val="single" w:sz="4" w:space="0" w:color="auto"/>
              <w:bottom w:val="single" w:sz="4" w:space="0" w:color="auto"/>
            </w:tcBorders>
            <w:vAlign w:val="center"/>
          </w:tcPr>
          <w:p w14:paraId="1F390476" w14:textId="0291D8D7"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Jan 21</w:t>
            </w:r>
          </w:p>
        </w:tc>
        <w:tc>
          <w:tcPr>
            <w:tcW w:w="301" w:type="pct"/>
            <w:tcBorders>
              <w:top w:val="single" w:sz="4" w:space="0" w:color="auto"/>
              <w:bottom w:val="single" w:sz="4" w:space="0" w:color="auto"/>
            </w:tcBorders>
            <w:vAlign w:val="center"/>
          </w:tcPr>
          <w:p w14:paraId="696CD538" w14:textId="7CE12D5A"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Feb 21</w:t>
            </w:r>
          </w:p>
        </w:tc>
        <w:tc>
          <w:tcPr>
            <w:tcW w:w="302" w:type="pct"/>
            <w:tcBorders>
              <w:top w:val="single" w:sz="4" w:space="0" w:color="auto"/>
              <w:bottom w:val="single" w:sz="4" w:space="0" w:color="auto"/>
            </w:tcBorders>
            <w:vAlign w:val="center"/>
          </w:tcPr>
          <w:p w14:paraId="0F3CA195" w14:textId="422CF3DA"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Mar 21</w:t>
            </w:r>
          </w:p>
        </w:tc>
        <w:tc>
          <w:tcPr>
            <w:tcW w:w="302" w:type="pct"/>
            <w:tcBorders>
              <w:top w:val="single" w:sz="4" w:space="0" w:color="auto"/>
              <w:bottom w:val="single" w:sz="4" w:space="0" w:color="auto"/>
            </w:tcBorders>
            <w:vAlign w:val="center"/>
          </w:tcPr>
          <w:p w14:paraId="240F9B9C" w14:textId="305A4C2C"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Apr 21</w:t>
            </w:r>
          </w:p>
        </w:tc>
        <w:tc>
          <w:tcPr>
            <w:tcW w:w="301" w:type="pct"/>
            <w:tcBorders>
              <w:top w:val="single" w:sz="4" w:space="0" w:color="auto"/>
              <w:bottom w:val="single" w:sz="4" w:space="0" w:color="auto"/>
              <w:right w:val="single" w:sz="4" w:space="0" w:color="auto"/>
            </w:tcBorders>
            <w:vAlign w:val="center"/>
          </w:tcPr>
          <w:p w14:paraId="05D17848" w14:textId="279719C0"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May 21</w:t>
            </w:r>
          </w:p>
        </w:tc>
        <w:tc>
          <w:tcPr>
            <w:tcW w:w="284" w:type="pct"/>
            <w:tcBorders>
              <w:top w:val="single" w:sz="4" w:space="0" w:color="auto"/>
              <w:left w:val="single" w:sz="4" w:space="0" w:color="auto"/>
              <w:bottom w:val="single" w:sz="6" w:space="0" w:color="auto"/>
              <w:right w:val="single" w:sz="4" w:space="0" w:color="auto"/>
            </w:tcBorders>
            <w:vAlign w:val="center"/>
          </w:tcPr>
          <w:p w14:paraId="50001602" w14:textId="77777777" w:rsidR="00D16518" w:rsidRPr="00F3109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Total</w:t>
            </w:r>
          </w:p>
        </w:tc>
      </w:tr>
      <w:tr w:rsidR="00F17DD8" w:rsidRPr="00F31098" w14:paraId="5DC5EB06" w14:textId="77777777" w:rsidTr="00F17DD8">
        <w:trPr>
          <w:trHeight w:val="283"/>
        </w:trPr>
        <w:tc>
          <w:tcPr>
            <w:tcW w:w="444" w:type="pct"/>
            <w:vMerge w:val="restart"/>
            <w:tcBorders>
              <w:top w:val="single" w:sz="6" w:space="0" w:color="auto"/>
              <w:left w:val="single" w:sz="4" w:space="0" w:color="auto"/>
              <w:right w:val="nil"/>
            </w:tcBorders>
          </w:tcPr>
          <w:p w14:paraId="2B1C3486"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(mean weeks)</w:t>
            </w:r>
          </w:p>
        </w:tc>
        <w:tc>
          <w:tcPr>
            <w:tcW w:w="665" w:type="pct"/>
            <w:tcBorders>
              <w:top w:val="single" w:sz="6" w:space="0" w:color="auto"/>
              <w:left w:val="nil"/>
              <w:bottom w:val="nil"/>
              <w:right w:val="nil"/>
            </w:tcBorders>
            <w:vAlign w:val="center"/>
          </w:tcPr>
          <w:p w14:paraId="7417C8C6"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301" w:type="pct"/>
            <w:tcBorders>
              <w:top w:val="single" w:sz="4" w:space="0" w:color="auto"/>
              <w:left w:val="nil"/>
              <w:bottom w:val="nil"/>
              <w:right w:val="nil"/>
            </w:tcBorders>
            <w:shd w:val="clear" w:color="auto" w:fill="auto"/>
            <w:vAlign w:val="center"/>
          </w:tcPr>
          <w:p w14:paraId="4F7E5ACD" w14:textId="0E7AB44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35.0</w:t>
            </w:r>
          </w:p>
        </w:tc>
        <w:tc>
          <w:tcPr>
            <w:tcW w:w="299" w:type="pct"/>
            <w:tcBorders>
              <w:top w:val="single" w:sz="4" w:space="0" w:color="auto"/>
              <w:left w:val="nil"/>
              <w:bottom w:val="nil"/>
              <w:right w:val="nil"/>
            </w:tcBorders>
            <w:shd w:val="clear" w:color="auto" w:fill="auto"/>
            <w:vAlign w:val="center"/>
          </w:tcPr>
          <w:p w14:paraId="3D6E4284" w14:textId="31290D8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37.2</w:t>
            </w:r>
          </w:p>
        </w:tc>
        <w:tc>
          <w:tcPr>
            <w:tcW w:w="302" w:type="pct"/>
            <w:tcBorders>
              <w:top w:val="single" w:sz="4" w:space="0" w:color="auto"/>
              <w:left w:val="nil"/>
              <w:bottom w:val="nil"/>
              <w:right w:val="nil"/>
            </w:tcBorders>
            <w:shd w:val="clear" w:color="auto" w:fill="auto"/>
            <w:vAlign w:val="center"/>
          </w:tcPr>
          <w:p w14:paraId="49FA85D6" w14:textId="5963A05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36.8</w:t>
            </w:r>
          </w:p>
        </w:tc>
        <w:tc>
          <w:tcPr>
            <w:tcW w:w="301" w:type="pct"/>
            <w:tcBorders>
              <w:top w:val="single" w:sz="4" w:space="0" w:color="auto"/>
              <w:left w:val="nil"/>
              <w:bottom w:val="nil"/>
              <w:right w:val="nil"/>
            </w:tcBorders>
            <w:shd w:val="clear" w:color="auto" w:fill="auto"/>
            <w:vAlign w:val="center"/>
          </w:tcPr>
          <w:p w14:paraId="2AED5250" w14:textId="617A042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37.1</w:t>
            </w:r>
          </w:p>
        </w:tc>
        <w:tc>
          <w:tcPr>
            <w:tcW w:w="300" w:type="pct"/>
            <w:tcBorders>
              <w:top w:val="single" w:sz="4" w:space="0" w:color="auto"/>
              <w:left w:val="nil"/>
              <w:bottom w:val="nil"/>
              <w:right w:val="nil"/>
            </w:tcBorders>
            <w:shd w:val="clear" w:color="auto" w:fill="auto"/>
            <w:vAlign w:val="center"/>
          </w:tcPr>
          <w:p w14:paraId="6D7B8C4B" w14:textId="7A798EE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41.4</w:t>
            </w:r>
          </w:p>
        </w:tc>
        <w:tc>
          <w:tcPr>
            <w:tcW w:w="299" w:type="pct"/>
            <w:tcBorders>
              <w:top w:val="single" w:sz="4" w:space="0" w:color="auto"/>
              <w:left w:val="nil"/>
              <w:bottom w:val="nil"/>
              <w:right w:val="nil"/>
            </w:tcBorders>
            <w:shd w:val="clear" w:color="auto" w:fill="auto"/>
            <w:vAlign w:val="center"/>
          </w:tcPr>
          <w:p w14:paraId="37C21328" w14:textId="0510365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36.7</w:t>
            </w:r>
          </w:p>
        </w:tc>
        <w:tc>
          <w:tcPr>
            <w:tcW w:w="298" w:type="pct"/>
            <w:tcBorders>
              <w:top w:val="single" w:sz="4" w:space="0" w:color="auto"/>
              <w:left w:val="nil"/>
              <w:bottom w:val="nil"/>
              <w:right w:val="nil"/>
            </w:tcBorders>
            <w:shd w:val="clear" w:color="auto" w:fill="auto"/>
            <w:vAlign w:val="center"/>
          </w:tcPr>
          <w:p w14:paraId="2B65AD64" w14:textId="74FDF15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38.3</w:t>
            </w:r>
          </w:p>
        </w:tc>
        <w:tc>
          <w:tcPr>
            <w:tcW w:w="302" w:type="pct"/>
            <w:tcBorders>
              <w:top w:val="single" w:sz="4" w:space="0" w:color="auto"/>
              <w:left w:val="nil"/>
              <w:bottom w:val="nil"/>
              <w:right w:val="nil"/>
            </w:tcBorders>
            <w:shd w:val="clear" w:color="auto" w:fill="auto"/>
            <w:vAlign w:val="center"/>
          </w:tcPr>
          <w:p w14:paraId="76B99038" w14:textId="5C36A12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36.5</w:t>
            </w:r>
          </w:p>
        </w:tc>
        <w:tc>
          <w:tcPr>
            <w:tcW w:w="301" w:type="pct"/>
            <w:tcBorders>
              <w:top w:val="single" w:sz="4" w:space="0" w:color="auto"/>
              <w:left w:val="nil"/>
              <w:bottom w:val="nil"/>
              <w:right w:val="nil"/>
            </w:tcBorders>
            <w:shd w:val="clear" w:color="auto" w:fill="auto"/>
            <w:vAlign w:val="center"/>
          </w:tcPr>
          <w:p w14:paraId="47DEABB4" w14:textId="43E892C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35.4</w:t>
            </w:r>
          </w:p>
        </w:tc>
        <w:tc>
          <w:tcPr>
            <w:tcW w:w="302" w:type="pct"/>
            <w:tcBorders>
              <w:top w:val="single" w:sz="4" w:space="0" w:color="auto"/>
              <w:left w:val="nil"/>
              <w:bottom w:val="nil"/>
              <w:right w:val="nil"/>
            </w:tcBorders>
            <w:shd w:val="clear" w:color="auto" w:fill="auto"/>
            <w:vAlign w:val="center"/>
          </w:tcPr>
          <w:p w14:paraId="446DFFDE" w14:textId="6916AB8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32.3</w:t>
            </w:r>
          </w:p>
        </w:tc>
        <w:tc>
          <w:tcPr>
            <w:tcW w:w="302" w:type="pct"/>
            <w:tcBorders>
              <w:top w:val="single" w:sz="4" w:space="0" w:color="auto"/>
              <w:left w:val="nil"/>
              <w:bottom w:val="nil"/>
              <w:right w:val="nil"/>
            </w:tcBorders>
            <w:shd w:val="clear" w:color="auto" w:fill="auto"/>
            <w:vAlign w:val="center"/>
          </w:tcPr>
          <w:p w14:paraId="4AFDBB91" w14:textId="37B1232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34.4</w:t>
            </w:r>
          </w:p>
        </w:tc>
        <w:tc>
          <w:tcPr>
            <w:tcW w:w="301" w:type="pct"/>
            <w:tcBorders>
              <w:top w:val="single" w:sz="4" w:space="0" w:color="auto"/>
              <w:left w:val="nil"/>
              <w:bottom w:val="nil"/>
              <w:right w:val="single" w:sz="4" w:space="0" w:color="auto"/>
            </w:tcBorders>
            <w:shd w:val="clear" w:color="auto" w:fill="auto"/>
            <w:vAlign w:val="center"/>
          </w:tcPr>
          <w:p w14:paraId="0311944E" w14:textId="72A8CFE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31.5</w:t>
            </w:r>
          </w:p>
        </w:tc>
        <w:tc>
          <w:tcPr>
            <w:tcW w:w="284" w:type="pct"/>
            <w:tcBorders>
              <w:top w:val="single" w:sz="4" w:space="0" w:color="auto"/>
              <w:left w:val="single" w:sz="4" w:space="0" w:color="auto"/>
              <w:bottom w:val="nil"/>
              <w:right w:val="single" w:sz="4" w:space="0" w:color="auto"/>
            </w:tcBorders>
            <w:shd w:val="clear" w:color="auto" w:fill="auto"/>
            <w:vAlign w:val="center"/>
          </w:tcPr>
          <w:p w14:paraId="547313A8" w14:textId="36773D0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36.5</w:t>
            </w:r>
          </w:p>
        </w:tc>
      </w:tr>
      <w:tr w:rsidR="00F17DD8" w:rsidRPr="00F31098" w14:paraId="71B48B87" w14:textId="77777777" w:rsidTr="00F17DD8">
        <w:trPr>
          <w:trHeight w:val="283"/>
        </w:trPr>
        <w:tc>
          <w:tcPr>
            <w:tcW w:w="444" w:type="pct"/>
            <w:vMerge/>
            <w:tcBorders>
              <w:left w:val="single" w:sz="4" w:space="0" w:color="auto"/>
              <w:right w:val="nil"/>
            </w:tcBorders>
            <w:vAlign w:val="center"/>
          </w:tcPr>
          <w:p w14:paraId="0CD6319B"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1039B46B"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301" w:type="pct"/>
            <w:tcBorders>
              <w:top w:val="nil"/>
              <w:left w:val="nil"/>
              <w:bottom w:val="nil"/>
              <w:right w:val="nil"/>
            </w:tcBorders>
            <w:shd w:val="clear" w:color="auto" w:fill="auto"/>
            <w:vAlign w:val="center"/>
          </w:tcPr>
          <w:p w14:paraId="10CB2DB0" w14:textId="709D850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94.8</w:t>
            </w:r>
          </w:p>
        </w:tc>
        <w:tc>
          <w:tcPr>
            <w:tcW w:w="299" w:type="pct"/>
            <w:tcBorders>
              <w:top w:val="nil"/>
              <w:left w:val="nil"/>
              <w:bottom w:val="nil"/>
              <w:right w:val="nil"/>
            </w:tcBorders>
            <w:shd w:val="clear" w:color="auto" w:fill="auto"/>
            <w:vAlign w:val="center"/>
          </w:tcPr>
          <w:p w14:paraId="5DA470FB" w14:textId="0A543A7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96.5</w:t>
            </w:r>
          </w:p>
        </w:tc>
        <w:tc>
          <w:tcPr>
            <w:tcW w:w="302" w:type="pct"/>
            <w:tcBorders>
              <w:top w:val="nil"/>
              <w:left w:val="nil"/>
              <w:bottom w:val="nil"/>
              <w:right w:val="nil"/>
            </w:tcBorders>
            <w:shd w:val="clear" w:color="auto" w:fill="auto"/>
            <w:vAlign w:val="center"/>
          </w:tcPr>
          <w:p w14:paraId="088F484B" w14:textId="045BF6E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34.4</w:t>
            </w:r>
          </w:p>
        </w:tc>
        <w:tc>
          <w:tcPr>
            <w:tcW w:w="301" w:type="pct"/>
            <w:tcBorders>
              <w:top w:val="nil"/>
              <w:left w:val="nil"/>
              <w:bottom w:val="nil"/>
              <w:right w:val="nil"/>
            </w:tcBorders>
            <w:shd w:val="clear" w:color="auto" w:fill="auto"/>
            <w:vAlign w:val="center"/>
          </w:tcPr>
          <w:p w14:paraId="7BD5296D" w14:textId="72A7E41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34.3</w:t>
            </w:r>
          </w:p>
        </w:tc>
        <w:tc>
          <w:tcPr>
            <w:tcW w:w="300" w:type="pct"/>
            <w:tcBorders>
              <w:top w:val="nil"/>
              <w:left w:val="nil"/>
              <w:bottom w:val="nil"/>
              <w:right w:val="nil"/>
            </w:tcBorders>
            <w:shd w:val="clear" w:color="auto" w:fill="auto"/>
            <w:vAlign w:val="center"/>
          </w:tcPr>
          <w:p w14:paraId="3BA3460A" w14:textId="4BADB74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84.4</w:t>
            </w:r>
          </w:p>
        </w:tc>
        <w:tc>
          <w:tcPr>
            <w:tcW w:w="299" w:type="pct"/>
            <w:tcBorders>
              <w:top w:val="nil"/>
              <w:left w:val="nil"/>
              <w:bottom w:val="nil"/>
              <w:right w:val="nil"/>
            </w:tcBorders>
            <w:shd w:val="clear" w:color="auto" w:fill="auto"/>
            <w:vAlign w:val="center"/>
          </w:tcPr>
          <w:p w14:paraId="01C2C8D3" w14:textId="17E858B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54.4</w:t>
            </w:r>
          </w:p>
        </w:tc>
        <w:tc>
          <w:tcPr>
            <w:tcW w:w="298" w:type="pct"/>
            <w:tcBorders>
              <w:top w:val="nil"/>
              <w:left w:val="nil"/>
              <w:bottom w:val="nil"/>
              <w:right w:val="nil"/>
            </w:tcBorders>
            <w:shd w:val="clear" w:color="auto" w:fill="auto"/>
            <w:vAlign w:val="center"/>
          </w:tcPr>
          <w:p w14:paraId="289EFC4E" w14:textId="58DCC14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64.3</w:t>
            </w:r>
          </w:p>
        </w:tc>
        <w:tc>
          <w:tcPr>
            <w:tcW w:w="302" w:type="pct"/>
            <w:tcBorders>
              <w:top w:val="nil"/>
              <w:left w:val="nil"/>
              <w:bottom w:val="nil"/>
              <w:right w:val="nil"/>
            </w:tcBorders>
            <w:shd w:val="clear" w:color="auto" w:fill="auto"/>
            <w:vAlign w:val="center"/>
          </w:tcPr>
          <w:p w14:paraId="7641F1E9" w14:textId="077FE68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82.7</w:t>
            </w:r>
          </w:p>
        </w:tc>
        <w:tc>
          <w:tcPr>
            <w:tcW w:w="301" w:type="pct"/>
            <w:tcBorders>
              <w:top w:val="nil"/>
              <w:left w:val="nil"/>
              <w:bottom w:val="nil"/>
              <w:right w:val="nil"/>
            </w:tcBorders>
            <w:shd w:val="clear" w:color="auto" w:fill="auto"/>
            <w:vAlign w:val="center"/>
          </w:tcPr>
          <w:p w14:paraId="5AEA639D" w14:textId="1FD048A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66.3</w:t>
            </w:r>
          </w:p>
        </w:tc>
        <w:tc>
          <w:tcPr>
            <w:tcW w:w="302" w:type="pct"/>
            <w:tcBorders>
              <w:top w:val="nil"/>
              <w:left w:val="nil"/>
              <w:bottom w:val="nil"/>
              <w:right w:val="nil"/>
            </w:tcBorders>
            <w:shd w:val="clear" w:color="auto" w:fill="auto"/>
            <w:vAlign w:val="center"/>
          </w:tcPr>
          <w:p w14:paraId="6CFC747F" w14:textId="2481DB2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78.5</w:t>
            </w:r>
          </w:p>
        </w:tc>
        <w:tc>
          <w:tcPr>
            <w:tcW w:w="302" w:type="pct"/>
            <w:tcBorders>
              <w:top w:val="nil"/>
              <w:left w:val="nil"/>
              <w:bottom w:val="nil"/>
              <w:right w:val="nil"/>
            </w:tcBorders>
            <w:shd w:val="clear" w:color="auto" w:fill="auto"/>
            <w:vAlign w:val="center"/>
          </w:tcPr>
          <w:p w14:paraId="2C0E0CA5" w14:textId="3F19EDA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77.9</w:t>
            </w:r>
          </w:p>
        </w:tc>
        <w:tc>
          <w:tcPr>
            <w:tcW w:w="301" w:type="pct"/>
            <w:tcBorders>
              <w:top w:val="nil"/>
              <w:left w:val="nil"/>
              <w:bottom w:val="nil"/>
              <w:right w:val="single" w:sz="4" w:space="0" w:color="auto"/>
            </w:tcBorders>
            <w:shd w:val="clear" w:color="auto" w:fill="auto"/>
            <w:vAlign w:val="center"/>
          </w:tcPr>
          <w:p w14:paraId="3207EDFC" w14:textId="43D9F9B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50.9</w:t>
            </w:r>
          </w:p>
        </w:tc>
        <w:tc>
          <w:tcPr>
            <w:tcW w:w="284" w:type="pct"/>
            <w:tcBorders>
              <w:top w:val="nil"/>
              <w:left w:val="single" w:sz="4" w:space="0" w:color="auto"/>
              <w:bottom w:val="nil"/>
              <w:right w:val="single" w:sz="4" w:space="0" w:color="auto"/>
            </w:tcBorders>
            <w:shd w:val="clear" w:color="auto" w:fill="auto"/>
            <w:vAlign w:val="center"/>
          </w:tcPr>
          <w:p w14:paraId="7541A06E" w14:textId="4D4E589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73.0</w:t>
            </w:r>
          </w:p>
        </w:tc>
      </w:tr>
      <w:tr w:rsidR="00F17DD8" w:rsidRPr="00F31098" w14:paraId="292079A7" w14:textId="77777777" w:rsidTr="00F17DD8">
        <w:trPr>
          <w:trHeight w:val="283"/>
        </w:trPr>
        <w:tc>
          <w:tcPr>
            <w:tcW w:w="444" w:type="pct"/>
            <w:vMerge/>
            <w:tcBorders>
              <w:left w:val="single" w:sz="4" w:space="0" w:color="auto"/>
              <w:right w:val="nil"/>
            </w:tcBorders>
            <w:vAlign w:val="center"/>
          </w:tcPr>
          <w:p w14:paraId="3659A5B7"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28373812"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301" w:type="pct"/>
            <w:tcBorders>
              <w:top w:val="nil"/>
              <w:left w:val="nil"/>
              <w:bottom w:val="single" w:sz="4" w:space="0" w:color="auto"/>
              <w:right w:val="nil"/>
            </w:tcBorders>
            <w:shd w:val="clear" w:color="auto" w:fill="auto"/>
            <w:vAlign w:val="center"/>
          </w:tcPr>
          <w:p w14:paraId="696ED52A" w14:textId="61B5062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85.6</w:t>
            </w:r>
          </w:p>
        </w:tc>
        <w:tc>
          <w:tcPr>
            <w:tcW w:w="299" w:type="pct"/>
            <w:tcBorders>
              <w:top w:val="nil"/>
              <w:left w:val="nil"/>
              <w:bottom w:val="single" w:sz="4" w:space="0" w:color="auto"/>
              <w:right w:val="nil"/>
            </w:tcBorders>
            <w:shd w:val="clear" w:color="auto" w:fill="auto"/>
            <w:vAlign w:val="center"/>
          </w:tcPr>
          <w:p w14:paraId="5BF4A929" w14:textId="27C0B3C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302" w:type="pct"/>
            <w:tcBorders>
              <w:top w:val="nil"/>
              <w:left w:val="nil"/>
              <w:bottom w:val="single" w:sz="4" w:space="0" w:color="auto"/>
              <w:right w:val="nil"/>
            </w:tcBorders>
            <w:shd w:val="clear" w:color="auto" w:fill="auto"/>
            <w:vAlign w:val="center"/>
          </w:tcPr>
          <w:p w14:paraId="540A823A" w14:textId="61C86FB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301" w:type="pct"/>
            <w:tcBorders>
              <w:top w:val="nil"/>
              <w:left w:val="nil"/>
              <w:bottom w:val="single" w:sz="4" w:space="0" w:color="auto"/>
              <w:right w:val="nil"/>
            </w:tcBorders>
            <w:shd w:val="clear" w:color="auto" w:fill="auto"/>
            <w:vAlign w:val="center"/>
          </w:tcPr>
          <w:p w14:paraId="3232E056" w14:textId="6AF3960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84.6</w:t>
            </w:r>
          </w:p>
        </w:tc>
        <w:tc>
          <w:tcPr>
            <w:tcW w:w="300" w:type="pct"/>
            <w:tcBorders>
              <w:top w:val="nil"/>
              <w:left w:val="nil"/>
              <w:bottom w:val="single" w:sz="4" w:space="0" w:color="auto"/>
              <w:right w:val="nil"/>
            </w:tcBorders>
            <w:shd w:val="clear" w:color="auto" w:fill="auto"/>
            <w:vAlign w:val="center"/>
          </w:tcPr>
          <w:p w14:paraId="64D500FB" w14:textId="3D191DF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43.9</w:t>
            </w:r>
          </w:p>
        </w:tc>
        <w:tc>
          <w:tcPr>
            <w:tcW w:w="299" w:type="pct"/>
            <w:tcBorders>
              <w:top w:val="nil"/>
              <w:left w:val="nil"/>
              <w:bottom w:val="single" w:sz="4" w:space="0" w:color="auto"/>
              <w:right w:val="nil"/>
            </w:tcBorders>
            <w:shd w:val="clear" w:color="auto" w:fill="auto"/>
            <w:vAlign w:val="center"/>
          </w:tcPr>
          <w:p w14:paraId="5A9390CC" w14:textId="3849423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62.5</w:t>
            </w:r>
          </w:p>
        </w:tc>
        <w:tc>
          <w:tcPr>
            <w:tcW w:w="298" w:type="pct"/>
            <w:tcBorders>
              <w:top w:val="nil"/>
              <w:left w:val="nil"/>
              <w:bottom w:val="single" w:sz="4" w:space="0" w:color="auto"/>
              <w:right w:val="nil"/>
            </w:tcBorders>
            <w:shd w:val="clear" w:color="auto" w:fill="auto"/>
            <w:vAlign w:val="center"/>
          </w:tcPr>
          <w:p w14:paraId="6A26C65C" w14:textId="72488F0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102.9</w:t>
            </w:r>
          </w:p>
        </w:tc>
        <w:tc>
          <w:tcPr>
            <w:tcW w:w="302" w:type="pct"/>
            <w:tcBorders>
              <w:top w:val="nil"/>
              <w:left w:val="nil"/>
              <w:bottom w:val="single" w:sz="4" w:space="0" w:color="auto"/>
              <w:right w:val="nil"/>
            </w:tcBorders>
            <w:shd w:val="clear" w:color="auto" w:fill="auto"/>
            <w:vAlign w:val="center"/>
          </w:tcPr>
          <w:p w14:paraId="6C94B8F8" w14:textId="283A62A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94.7</w:t>
            </w:r>
          </w:p>
        </w:tc>
        <w:tc>
          <w:tcPr>
            <w:tcW w:w="301" w:type="pct"/>
            <w:tcBorders>
              <w:top w:val="nil"/>
              <w:left w:val="nil"/>
              <w:bottom w:val="single" w:sz="4" w:space="0" w:color="auto"/>
              <w:right w:val="nil"/>
            </w:tcBorders>
            <w:shd w:val="clear" w:color="auto" w:fill="auto"/>
            <w:vAlign w:val="center"/>
          </w:tcPr>
          <w:p w14:paraId="20890479" w14:textId="491C03E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108.7</w:t>
            </w:r>
          </w:p>
        </w:tc>
        <w:tc>
          <w:tcPr>
            <w:tcW w:w="302" w:type="pct"/>
            <w:tcBorders>
              <w:top w:val="nil"/>
              <w:left w:val="nil"/>
              <w:bottom w:val="single" w:sz="4" w:space="0" w:color="auto"/>
              <w:right w:val="nil"/>
            </w:tcBorders>
            <w:shd w:val="clear" w:color="auto" w:fill="auto"/>
            <w:vAlign w:val="center"/>
          </w:tcPr>
          <w:p w14:paraId="437D4B88" w14:textId="4D6EE29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81.8</w:t>
            </w:r>
          </w:p>
        </w:tc>
        <w:tc>
          <w:tcPr>
            <w:tcW w:w="302" w:type="pct"/>
            <w:tcBorders>
              <w:top w:val="nil"/>
              <w:left w:val="nil"/>
              <w:bottom w:val="single" w:sz="4" w:space="0" w:color="auto"/>
              <w:right w:val="nil"/>
            </w:tcBorders>
            <w:shd w:val="clear" w:color="auto" w:fill="auto"/>
            <w:vAlign w:val="center"/>
          </w:tcPr>
          <w:p w14:paraId="38C77560" w14:textId="7E250F7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73.8</w:t>
            </w:r>
          </w:p>
        </w:tc>
        <w:tc>
          <w:tcPr>
            <w:tcW w:w="301" w:type="pct"/>
            <w:tcBorders>
              <w:top w:val="nil"/>
              <w:left w:val="nil"/>
              <w:bottom w:val="single" w:sz="4" w:space="0" w:color="auto"/>
              <w:right w:val="single" w:sz="4" w:space="0" w:color="auto"/>
            </w:tcBorders>
            <w:shd w:val="clear" w:color="auto" w:fill="auto"/>
            <w:vAlign w:val="center"/>
          </w:tcPr>
          <w:p w14:paraId="56EEBCF7" w14:textId="23DADC5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71.3</w:t>
            </w:r>
          </w:p>
        </w:tc>
        <w:tc>
          <w:tcPr>
            <w:tcW w:w="284" w:type="pct"/>
            <w:tcBorders>
              <w:top w:val="nil"/>
              <w:left w:val="single" w:sz="4" w:space="0" w:color="auto"/>
              <w:bottom w:val="single" w:sz="4" w:space="0" w:color="auto"/>
              <w:right w:val="single" w:sz="4" w:space="0" w:color="auto"/>
            </w:tcBorders>
            <w:shd w:val="clear" w:color="auto" w:fill="auto"/>
            <w:vAlign w:val="center"/>
          </w:tcPr>
          <w:p w14:paraId="1FD42873" w14:textId="0058FF5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78.9</w:t>
            </w:r>
          </w:p>
        </w:tc>
      </w:tr>
      <w:tr w:rsidR="00F17DD8" w:rsidRPr="00F31098" w14:paraId="335BE608" w14:textId="77777777" w:rsidTr="00F17DD8">
        <w:trPr>
          <w:trHeight w:val="283"/>
        </w:trPr>
        <w:tc>
          <w:tcPr>
            <w:tcW w:w="444" w:type="pct"/>
            <w:vMerge/>
            <w:tcBorders>
              <w:left w:val="single" w:sz="4" w:space="0" w:color="auto"/>
              <w:bottom w:val="single" w:sz="6" w:space="0" w:color="auto"/>
              <w:right w:val="nil"/>
            </w:tcBorders>
            <w:vAlign w:val="center"/>
          </w:tcPr>
          <w:p w14:paraId="5DE7C625"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1FA9686A"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301" w:type="pct"/>
            <w:tcBorders>
              <w:top w:val="single" w:sz="4" w:space="0" w:color="auto"/>
              <w:left w:val="nil"/>
              <w:bottom w:val="single" w:sz="4" w:space="0" w:color="auto"/>
              <w:right w:val="nil"/>
            </w:tcBorders>
            <w:shd w:val="clear" w:color="auto" w:fill="auto"/>
            <w:vAlign w:val="center"/>
          </w:tcPr>
          <w:p w14:paraId="41175E5C" w14:textId="640FE00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37.5</w:t>
            </w:r>
          </w:p>
        </w:tc>
        <w:tc>
          <w:tcPr>
            <w:tcW w:w="299" w:type="pct"/>
            <w:tcBorders>
              <w:top w:val="single" w:sz="4" w:space="0" w:color="auto"/>
              <w:left w:val="nil"/>
              <w:bottom w:val="single" w:sz="4" w:space="0" w:color="auto"/>
              <w:right w:val="nil"/>
            </w:tcBorders>
            <w:shd w:val="clear" w:color="auto" w:fill="auto"/>
            <w:vAlign w:val="center"/>
          </w:tcPr>
          <w:p w14:paraId="388BBD93" w14:textId="075A07C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38.0</w:t>
            </w:r>
          </w:p>
        </w:tc>
        <w:tc>
          <w:tcPr>
            <w:tcW w:w="302" w:type="pct"/>
            <w:tcBorders>
              <w:top w:val="single" w:sz="4" w:space="0" w:color="auto"/>
              <w:left w:val="nil"/>
              <w:bottom w:val="single" w:sz="4" w:space="0" w:color="auto"/>
              <w:right w:val="nil"/>
            </w:tcBorders>
            <w:shd w:val="clear" w:color="auto" w:fill="auto"/>
            <w:vAlign w:val="center"/>
          </w:tcPr>
          <w:p w14:paraId="63F4752F" w14:textId="19021F3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36.8</w:t>
            </w:r>
          </w:p>
        </w:tc>
        <w:tc>
          <w:tcPr>
            <w:tcW w:w="301" w:type="pct"/>
            <w:tcBorders>
              <w:top w:val="single" w:sz="4" w:space="0" w:color="auto"/>
              <w:left w:val="nil"/>
              <w:bottom w:val="single" w:sz="4" w:space="0" w:color="auto"/>
              <w:right w:val="nil"/>
            </w:tcBorders>
            <w:shd w:val="clear" w:color="auto" w:fill="auto"/>
            <w:vAlign w:val="center"/>
          </w:tcPr>
          <w:p w14:paraId="34408289" w14:textId="5911A5A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37.5</w:t>
            </w:r>
          </w:p>
        </w:tc>
        <w:tc>
          <w:tcPr>
            <w:tcW w:w="300" w:type="pct"/>
            <w:tcBorders>
              <w:top w:val="single" w:sz="4" w:space="0" w:color="auto"/>
              <w:left w:val="nil"/>
              <w:bottom w:val="single" w:sz="4" w:space="0" w:color="auto"/>
              <w:right w:val="nil"/>
            </w:tcBorders>
            <w:shd w:val="clear" w:color="auto" w:fill="auto"/>
            <w:vAlign w:val="center"/>
          </w:tcPr>
          <w:p w14:paraId="29DCA247" w14:textId="1062132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42.8</w:t>
            </w:r>
          </w:p>
        </w:tc>
        <w:tc>
          <w:tcPr>
            <w:tcW w:w="299" w:type="pct"/>
            <w:tcBorders>
              <w:top w:val="single" w:sz="4" w:space="0" w:color="auto"/>
              <w:left w:val="nil"/>
              <w:bottom w:val="single" w:sz="4" w:space="0" w:color="auto"/>
              <w:right w:val="nil"/>
            </w:tcBorders>
            <w:shd w:val="clear" w:color="auto" w:fill="auto"/>
            <w:vAlign w:val="center"/>
          </w:tcPr>
          <w:p w14:paraId="104A55D6" w14:textId="1180A57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37.7</w:t>
            </w:r>
          </w:p>
        </w:tc>
        <w:tc>
          <w:tcPr>
            <w:tcW w:w="298" w:type="pct"/>
            <w:tcBorders>
              <w:top w:val="single" w:sz="4" w:space="0" w:color="auto"/>
              <w:left w:val="nil"/>
              <w:bottom w:val="single" w:sz="4" w:space="0" w:color="auto"/>
              <w:right w:val="nil"/>
            </w:tcBorders>
            <w:shd w:val="clear" w:color="auto" w:fill="auto"/>
            <w:vAlign w:val="center"/>
          </w:tcPr>
          <w:p w14:paraId="0ECBB6A1" w14:textId="314CEAF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42.1</w:t>
            </w:r>
          </w:p>
        </w:tc>
        <w:tc>
          <w:tcPr>
            <w:tcW w:w="302" w:type="pct"/>
            <w:tcBorders>
              <w:top w:val="single" w:sz="4" w:space="0" w:color="auto"/>
              <w:left w:val="nil"/>
              <w:bottom w:val="single" w:sz="4" w:space="0" w:color="auto"/>
              <w:right w:val="nil"/>
            </w:tcBorders>
            <w:shd w:val="clear" w:color="auto" w:fill="auto"/>
            <w:vAlign w:val="center"/>
          </w:tcPr>
          <w:p w14:paraId="382A07B2" w14:textId="0950451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43.7</w:t>
            </w:r>
          </w:p>
        </w:tc>
        <w:tc>
          <w:tcPr>
            <w:tcW w:w="301" w:type="pct"/>
            <w:tcBorders>
              <w:top w:val="single" w:sz="4" w:space="0" w:color="auto"/>
              <w:left w:val="nil"/>
              <w:bottom w:val="single" w:sz="4" w:space="0" w:color="auto"/>
              <w:right w:val="nil"/>
            </w:tcBorders>
            <w:shd w:val="clear" w:color="auto" w:fill="auto"/>
            <w:vAlign w:val="center"/>
          </w:tcPr>
          <w:p w14:paraId="3F75FCE6" w14:textId="045FE06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42.7</w:t>
            </w:r>
          </w:p>
        </w:tc>
        <w:tc>
          <w:tcPr>
            <w:tcW w:w="302" w:type="pct"/>
            <w:tcBorders>
              <w:top w:val="single" w:sz="4" w:space="0" w:color="auto"/>
              <w:left w:val="nil"/>
              <w:bottom w:val="single" w:sz="4" w:space="0" w:color="auto"/>
              <w:right w:val="nil"/>
            </w:tcBorders>
            <w:shd w:val="clear" w:color="auto" w:fill="auto"/>
            <w:vAlign w:val="center"/>
          </w:tcPr>
          <w:p w14:paraId="2C73D71A" w14:textId="64BC077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41.6</w:t>
            </w:r>
          </w:p>
        </w:tc>
        <w:tc>
          <w:tcPr>
            <w:tcW w:w="302" w:type="pct"/>
            <w:tcBorders>
              <w:top w:val="single" w:sz="4" w:space="0" w:color="auto"/>
              <w:left w:val="nil"/>
              <w:bottom w:val="single" w:sz="4" w:space="0" w:color="auto"/>
              <w:right w:val="nil"/>
            </w:tcBorders>
            <w:shd w:val="clear" w:color="auto" w:fill="auto"/>
            <w:vAlign w:val="center"/>
          </w:tcPr>
          <w:p w14:paraId="730FC839" w14:textId="1E61624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47.6</w:t>
            </w:r>
          </w:p>
        </w:tc>
        <w:tc>
          <w:tcPr>
            <w:tcW w:w="301" w:type="pct"/>
            <w:tcBorders>
              <w:top w:val="single" w:sz="4" w:space="0" w:color="auto"/>
              <w:left w:val="nil"/>
              <w:bottom w:val="single" w:sz="4" w:space="0" w:color="auto"/>
              <w:right w:val="single" w:sz="4" w:space="0" w:color="auto"/>
            </w:tcBorders>
            <w:shd w:val="clear" w:color="auto" w:fill="auto"/>
            <w:vAlign w:val="center"/>
          </w:tcPr>
          <w:p w14:paraId="3F81335C" w14:textId="2B6D36B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40.6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A9C259D" w14:textId="05BC42A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39.9</w:t>
            </w:r>
          </w:p>
        </w:tc>
      </w:tr>
      <w:tr w:rsidR="00F17DD8" w:rsidRPr="00F31098" w14:paraId="77B6D2C6" w14:textId="77777777" w:rsidTr="00F17DD8">
        <w:trPr>
          <w:trHeight w:val="283"/>
        </w:trPr>
        <w:tc>
          <w:tcPr>
            <w:tcW w:w="444" w:type="pct"/>
            <w:vMerge w:val="restart"/>
            <w:tcBorders>
              <w:top w:val="single" w:sz="6" w:space="0" w:color="auto"/>
              <w:left w:val="single" w:sz="4" w:space="0" w:color="auto"/>
              <w:right w:val="nil"/>
            </w:tcBorders>
          </w:tcPr>
          <w:p w14:paraId="67948D42"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(median weeks)</w:t>
            </w:r>
          </w:p>
        </w:tc>
        <w:tc>
          <w:tcPr>
            <w:tcW w:w="665" w:type="pct"/>
            <w:tcBorders>
              <w:top w:val="single" w:sz="6" w:space="0" w:color="auto"/>
              <w:left w:val="nil"/>
              <w:bottom w:val="nil"/>
              <w:right w:val="nil"/>
            </w:tcBorders>
            <w:vAlign w:val="center"/>
          </w:tcPr>
          <w:p w14:paraId="48FBFA56"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301" w:type="pct"/>
            <w:tcBorders>
              <w:top w:val="nil"/>
              <w:left w:val="nil"/>
              <w:bottom w:val="nil"/>
              <w:right w:val="nil"/>
            </w:tcBorders>
            <w:shd w:val="clear" w:color="auto" w:fill="auto"/>
            <w:vAlign w:val="center"/>
          </w:tcPr>
          <w:p w14:paraId="05BF9B86" w14:textId="7DA2501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28.9</w:t>
            </w:r>
          </w:p>
        </w:tc>
        <w:tc>
          <w:tcPr>
            <w:tcW w:w="299" w:type="pct"/>
            <w:tcBorders>
              <w:top w:val="nil"/>
              <w:left w:val="nil"/>
              <w:bottom w:val="nil"/>
              <w:right w:val="nil"/>
            </w:tcBorders>
            <w:shd w:val="clear" w:color="auto" w:fill="auto"/>
            <w:vAlign w:val="center"/>
          </w:tcPr>
          <w:p w14:paraId="22BE14D6" w14:textId="103CB80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32.6</w:t>
            </w:r>
          </w:p>
        </w:tc>
        <w:tc>
          <w:tcPr>
            <w:tcW w:w="302" w:type="pct"/>
            <w:tcBorders>
              <w:top w:val="nil"/>
              <w:left w:val="nil"/>
              <w:bottom w:val="nil"/>
              <w:right w:val="nil"/>
            </w:tcBorders>
            <w:shd w:val="clear" w:color="auto" w:fill="auto"/>
            <w:vAlign w:val="center"/>
          </w:tcPr>
          <w:p w14:paraId="71320F36" w14:textId="3045114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33.3</w:t>
            </w:r>
          </w:p>
        </w:tc>
        <w:tc>
          <w:tcPr>
            <w:tcW w:w="301" w:type="pct"/>
            <w:tcBorders>
              <w:top w:val="nil"/>
              <w:left w:val="nil"/>
              <w:bottom w:val="nil"/>
              <w:right w:val="nil"/>
            </w:tcBorders>
            <w:shd w:val="clear" w:color="auto" w:fill="auto"/>
            <w:vAlign w:val="center"/>
          </w:tcPr>
          <w:p w14:paraId="287E70AC" w14:textId="1350733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33.6</w:t>
            </w:r>
          </w:p>
        </w:tc>
        <w:tc>
          <w:tcPr>
            <w:tcW w:w="300" w:type="pct"/>
            <w:tcBorders>
              <w:top w:val="nil"/>
              <w:left w:val="nil"/>
              <w:bottom w:val="nil"/>
              <w:right w:val="nil"/>
            </w:tcBorders>
            <w:shd w:val="clear" w:color="auto" w:fill="auto"/>
            <w:vAlign w:val="center"/>
          </w:tcPr>
          <w:p w14:paraId="15B53940" w14:textId="08E7E93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36.9</w:t>
            </w:r>
          </w:p>
        </w:tc>
        <w:tc>
          <w:tcPr>
            <w:tcW w:w="299" w:type="pct"/>
            <w:tcBorders>
              <w:top w:val="nil"/>
              <w:left w:val="nil"/>
              <w:bottom w:val="nil"/>
              <w:right w:val="nil"/>
            </w:tcBorders>
            <w:shd w:val="clear" w:color="auto" w:fill="auto"/>
            <w:vAlign w:val="center"/>
          </w:tcPr>
          <w:p w14:paraId="6461F9A8" w14:textId="3199A3C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33.9</w:t>
            </w:r>
          </w:p>
        </w:tc>
        <w:tc>
          <w:tcPr>
            <w:tcW w:w="298" w:type="pct"/>
            <w:tcBorders>
              <w:top w:val="nil"/>
              <w:left w:val="nil"/>
              <w:bottom w:val="nil"/>
              <w:right w:val="nil"/>
            </w:tcBorders>
            <w:shd w:val="clear" w:color="auto" w:fill="auto"/>
            <w:vAlign w:val="center"/>
          </w:tcPr>
          <w:p w14:paraId="1DB37EB8" w14:textId="75C6153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35.2</w:t>
            </w:r>
          </w:p>
        </w:tc>
        <w:tc>
          <w:tcPr>
            <w:tcW w:w="302" w:type="pct"/>
            <w:tcBorders>
              <w:top w:val="nil"/>
              <w:left w:val="nil"/>
              <w:bottom w:val="nil"/>
              <w:right w:val="nil"/>
            </w:tcBorders>
            <w:shd w:val="clear" w:color="auto" w:fill="auto"/>
            <w:vAlign w:val="center"/>
          </w:tcPr>
          <w:p w14:paraId="0A1126C6" w14:textId="5A348E5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31.1</w:t>
            </w:r>
          </w:p>
        </w:tc>
        <w:tc>
          <w:tcPr>
            <w:tcW w:w="301" w:type="pct"/>
            <w:tcBorders>
              <w:top w:val="nil"/>
              <w:left w:val="nil"/>
              <w:bottom w:val="nil"/>
              <w:right w:val="nil"/>
            </w:tcBorders>
            <w:shd w:val="clear" w:color="auto" w:fill="auto"/>
            <w:vAlign w:val="center"/>
          </w:tcPr>
          <w:p w14:paraId="4F0929CF" w14:textId="4F89DAC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28.1</w:t>
            </w:r>
          </w:p>
        </w:tc>
        <w:tc>
          <w:tcPr>
            <w:tcW w:w="302" w:type="pct"/>
            <w:tcBorders>
              <w:top w:val="nil"/>
              <w:left w:val="nil"/>
              <w:bottom w:val="nil"/>
              <w:right w:val="nil"/>
            </w:tcBorders>
            <w:shd w:val="clear" w:color="auto" w:fill="auto"/>
            <w:vAlign w:val="center"/>
          </w:tcPr>
          <w:p w14:paraId="2D95C6AA" w14:textId="219B420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27.6</w:t>
            </w:r>
          </w:p>
        </w:tc>
        <w:tc>
          <w:tcPr>
            <w:tcW w:w="302" w:type="pct"/>
            <w:tcBorders>
              <w:top w:val="nil"/>
              <w:left w:val="nil"/>
              <w:bottom w:val="nil"/>
              <w:right w:val="nil"/>
            </w:tcBorders>
            <w:shd w:val="clear" w:color="auto" w:fill="auto"/>
            <w:vAlign w:val="center"/>
          </w:tcPr>
          <w:p w14:paraId="65F320C7" w14:textId="47394D3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29.6</w:t>
            </w:r>
          </w:p>
        </w:tc>
        <w:tc>
          <w:tcPr>
            <w:tcW w:w="301" w:type="pct"/>
            <w:tcBorders>
              <w:top w:val="nil"/>
              <w:left w:val="nil"/>
              <w:bottom w:val="nil"/>
              <w:right w:val="single" w:sz="4" w:space="0" w:color="auto"/>
            </w:tcBorders>
            <w:shd w:val="clear" w:color="auto" w:fill="auto"/>
            <w:vAlign w:val="center"/>
          </w:tcPr>
          <w:p w14:paraId="3B3D54E6" w14:textId="3B47D15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24.9</w:t>
            </w:r>
          </w:p>
        </w:tc>
        <w:tc>
          <w:tcPr>
            <w:tcW w:w="284" w:type="pct"/>
            <w:tcBorders>
              <w:top w:val="nil"/>
              <w:left w:val="single" w:sz="4" w:space="0" w:color="auto"/>
              <w:bottom w:val="nil"/>
              <w:right w:val="single" w:sz="4" w:space="0" w:color="auto"/>
            </w:tcBorders>
            <w:shd w:val="clear" w:color="auto" w:fill="auto"/>
            <w:vAlign w:val="center"/>
          </w:tcPr>
          <w:p w14:paraId="3AEED6E5" w14:textId="227B48A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32.0</w:t>
            </w:r>
          </w:p>
        </w:tc>
      </w:tr>
      <w:tr w:rsidR="00F17DD8" w:rsidRPr="00F31098" w14:paraId="1D6BD5E8" w14:textId="77777777" w:rsidTr="00F17DD8">
        <w:trPr>
          <w:trHeight w:val="283"/>
        </w:trPr>
        <w:tc>
          <w:tcPr>
            <w:tcW w:w="444" w:type="pct"/>
            <w:vMerge/>
            <w:tcBorders>
              <w:left w:val="single" w:sz="4" w:space="0" w:color="auto"/>
              <w:bottom w:val="nil"/>
              <w:right w:val="nil"/>
            </w:tcBorders>
            <w:vAlign w:val="center"/>
          </w:tcPr>
          <w:p w14:paraId="3BC0EFFD"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73C392B3"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301" w:type="pct"/>
            <w:tcBorders>
              <w:top w:val="nil"/>
              <w:left w:val="nil"/>
              <w:bottom w:val="nil"/>
              <w:right w:val="nil"/>
            </w:tcBorders>
            <w:shd w:val="clear" w:color="auto" w:fill="auto"/>
            <w:vAlign w:val="center"/>
          </w:tcPr>
          <w:p w14:paraId="30DFDC68" w14:textId="6FE683D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93.4</w:t>
            </w:r>
          </w:p>
        </w:tc>
        <w:tc>
          <w:tcPr>
            <w:tcW w:w="299" w:type="pct"/>
            <w:tcBorders>
              <w:top w:val="nil"/>
              <w:left w:val="nil"/>
              <w:bottom w:val="nil"/>
              <w:right w:val="nil"/>
            </w:tcBorders>
            <w:shd w:val="clear" w:color="auto" w:fill="auto"/>
            <w:vAlign w:val="center"/>
          </w:tcPr>
          <w:p w14:paraId="17175388" w14:textId="1B9DC76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100.1</w:t>
            </w:r>
          </w:p>
        </w:tc>
        <w:tc>
          <w:tcPr>
            <w:tcW w:w="302" w:type="pct"/>
            <w:tcBorders>
              <w:top w:val="nil"/>
              <w:left w:val="nil"/>
              <w:bottom w:val="nil"/>
              <w:right w:val="nil"/>
            </w:tcBorders>
            <w:shd w:val="clear" w:color="auto" w:fill="auto"/>
            <w:vAlign w:val="center"/>
          </w:tcPr>
          <w:p w14:paraId="74EC4266" w14:textId="769C035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34.4</w:t>
            </w:r>
          </w:p>
        </w:tc>
        <w:tc>
          <w:tcPr>
            <w:tcW w:w="301" w:type="pct"/>
            <w:tcBorders>
              <w:top w:val="nil"/>
              <w:left w:val="nil"/>
              <w:bottom w:val="nil"/>
              <w:right w:val="nil"/>
            </w:tcBorders>
            <w:shd w:val="clear" w:color="auto" w:fill="auto"/>
            <w:vAlign w:val="center"/>
          </w:tcPr>
          <w:p w14:paraId="26BC3386" w14:textId="610D848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34.3</w:t>
            </w:r>
          </w:p>
        </w:tc>
        <w:tc>
          <w:tcPr>
            <w:tcW w:w="300" w:type="pct"/>
            <w:tcBorders>
              <w:top w:val="nil"/>
              <w:left w:val="nil"/>
              <w:bottom w:val="nil"/>
              <w:right w:val="nil"/>
            </w:tcBorders>
            <w:shd w:val="clear" w:color="auto" w:fill="auto"/>
            <w:vAlign w:val="center"/>
          </w:tcPr>
          <w:p w14:paraId="1D1167E2" w14:textId="6E12309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89.0</w:t>
            </w:r>
          </w:p>
        </w:tc>
        <w:tc>
          <w:tcPr>
            <w:tcW w:w="299" w:type="pct"/>
            <w:tcBorders>
              <w:top w:val="nil"/>
              <w:left w:val="nil"/>
              <w:bottom w:val="nil"/>
              <w:right w:val="nil"/>
            </w:tcBorders>
            <w:shd w:val="clear" w:color="auto" w:fill="auto"/>
            <w:vAlign w:val="center"/>
          </w:tcPr>
          <w:p w14:paraId="3FCB1887" w14:textId="06741DA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56.0</w:t>
            </w:r>
          </w:p>
        </w:tc>
        <w:tc>
          <w:tcPr>
            <w:tcW w:w="298" w:type="pct"/>
            <w:tcBorders>
              <w:top w:val="nil"/>
              <w:left w:val="nil"/>
              <w:bottom w:val="nil"/>
              <w:right w:val="nil"/>
            </w:tcBorders>
            <w:shd w:val="clear" w:color="auto" w:fill="auto"/>
            <w:vAlign w:val="center"/>
          </w:tcPr>
          <w:p w14:paraId="6D78BB32" w14:textId="21C2C35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68.5</w:t>
            </w:r>
          </w:p>
        </w:tc>
        <w:tc>
          <w:tcPr>
            <w:tcW w:w="302" w:type="pct"/>
            <w:tcBorders>
              <w:top w:val="nil"/>
              <w:left w:val="nil"/>
              <w:bottom w:val="nil"/>
              <w:right w:val="nil"/>
            </w:tcBorders>
            <w:shd w:val="clear" w:color="auto" w:fill="auto"/>
            <w:vAlign w:val="center"/>
          </w:tcPr>
          <w:p w14:paraId="4BB26A4B" w14:textId="091B57B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78.8</w:t>
            </w:r>
          </w:p>
        </w:tc>
        <w:tc>
          <w:tcPr>
            <w:tcW w:w="301" w:type="pct"/>
            <w:tcBorders>
              <w:top w:val="nil"/>
              <w:left w:val="nil"/>
              <w:bottom w:val="nil"/>
              <w:right w:val="nil"/>
            </w:tcBorders>
            <w:shd w:val="clear" w:color="auto" w:fill="auto"/>
            <w:vAlign w:val="center"/>
          </w:tcPr>
          <w:p w14:paraId="16A4A646" w14:textId="15F5395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68.8</w:t>
            </w:r>
          </w:p>
        </w:tc>
        <w:tc>
          <w:tcPr>
            <w:tcW w:w="302" w:type="pct"/>
            <w:tcBorders>
              <w:top w:val="nil"/>
              <w:left w:val="nil"/>
              <w:bottom w:val="nil"/>
              <w:right w:val="nil"/>
            </w:tcBorders>
            <w:shd w:val="clear" w:color="auto" w:fill="auto"/>
            <w:vAlign w:val="center"/>
          </w:tcPr>
          <w:p w14:paraId="458B9BE7" w14:textId="7B3D4B0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84.4</w:t>
            </w:r>
          </w:p>
        </w:tc>
        <w:tc>
          <w:tcPr>
            <w:tcW w:w="302" w:type="pct"/>
            <w:tcBorders>
              <w:top w:val="nil"/>
              <w:left w:val="nil"/>
              <w:bottom w:val="nil"/>
              <w:right w:val="nil"/>
            </w:tcBorders>
            <w:shd w:val="clear" w:color="auto" w:fill="auto"/>
            <w:vAlign w:val="center"/>
          </w:tcPr>
          <w:p w14:paraId="17E8C9E8" w14:textId="5C9EAB5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71.3</w:t>
            </w:r>
          </w:p>
        </w:tc>
        <w:tc>
          <w:tcPr>
            <w:tcW w:w="301" w:type="pct"/>
            <w:tcBorders>
              <w:top w:val="nil"/>
              <w:left w:val="nil"/>
              <w:bottom w:val="nil"/>
              <w:right w:val="single" w:sz="4" w:space="0" w:color="auto"/>
            </w:tcBorders>
            <w:shd w:val="clear" w:color="auto" w:fill="auto"/>
            <w:vAlign w:val="center"/>
          </w:tcPr>
          <w:p w14:paraId="58968CB7" w14:textId="1B4FA59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45.2</w:t>
            </w:r>
          </w:p>
        </w:tc>
        <w:tc>
          <w:tcPr>
            <w:tcW w:w="284" w:type="pct"/>
            <w:tcBorders>
              <w:top w:val="nil"/>
              <w:left w:val="single" w:sz="4" w:space="0" w:color="auto"/>
              <w:bottom w:val="nil"/>
              <w:right w:val="single" w:sz="4" w:space="0" w:color="auto"/>
            </w:tcBorders>
            <w:shd w:val="clear" w:color="auto" w:fill="auto"/>
            <w:vAlign w:val="center"/>
          </w:tcPr>
          <w:p w14:paraId="22A1349B" w14:textId="072F36B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73.4</w:t>
            </w:r>
          </w:p>
        </w:tc>
      </w:tr>
      <w:tr w:rsidR="00F17DD8" w:rsidRPr="00F31098" w14:paraId="32A997E7" w14:textId="77777777" w:rsidTr="00F17DD8">
        <w:trPr>
          <w:trHeight w:val="283"/>
        </w:trPr>
        <w:tc>
          <w:tcPr>
            <w:tcW w:w="444" w:type="pct"/>
            <w:tcBorders>
              <w:top w:val="nil"/>
              <w:left w:val="single" w:sz="4" w:space="0" w:color="auto"/>
              <w:bottom w:val="nil"/>
              <w:right w:val="nil"/>
            </w:tcBorders>
            <w:vAlign w:val="center"/>
          </w:tcPr>
          <w:p w14:paraId="4CF9F694"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2C7568AE"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301" w:type="pct"/>
            <w:tcBorders>
              <w:top w:val="nil"/>
              <w:left w:val="nil"/>
              <w:bottom w:val="single" w:sz="4" w:space="0" w:color="auto"/>
              <w:right w:val="nil"/>
            </w:tcBorders>
            <w:shd w:val="clear" w:color="auto" w:fill="auto"/>
            <w:vAlign w:val="center"/>
          </w:tcPr>
          <w:p w14:paraId="2F3D97AE" w14:textId="3E4CD59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87.0</w:t>
            </w:r>
          </w:p>
        </w:tc>
        <w:tc>
          <w:tcPr>
            <w:tcW w:w="299" w:type="pct"/>
            <w:tcBorders>
              <w:top w:val="nil"/>
              <w:left w:val="nil"/>
              <w:bottom w:val="single" w:sz="4" w:space="0" w:color="auto"/>
              <w:right w:val="nil"/>
            </w:tcBorders>
            <w:shd w:val="clear" w:color="auto" w:fill="auto"/>
            <w:vAlign w:val="center"/>
          </w:tcPr>
          <w:p w14:paraId="68F0B817" w14:textId="526069C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302" w:type="pct"/>
            <w:tcBorders>
              <w:top w:val="nil"/>
              <w:left w:val="nil"/>
              <w:bottom w:val="single" w:sz="4" w:space="0" w:color="auto"/>
              <w:right w:val="nil"/>
            </w:tcBorders>
            <w:shd w:val="clear" w:color="auto" w:fill="auto"/>
            <w:vAlign w:val="center"/>
          </w:tcPr>
          <w:p w14:paraId="75D327F0" w14:textId="6065D23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301" w:type="pct"/>
            <w:tcBorders>
              <w:top w:val="nil"/>
              <w:left w:val="nil"/>
              <w:bottom w:val="single" w:sz="4" w:space="0" w:color="auto"/>
              <w:right w:val="nil"/>
            </w:tcBorders>
            <w:shd w:val="clear" w:color="auto" w:fill="auto"/>
            <w:vAlign w:val="center"/>
          </w:tcPr>
          <w:p w14:paraId="40B01D5F" w14:textId="11714EC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84.6</w:t>
            </w:r>
          </w:p>
        </w:tc>
        <w:tc>
          <w:tcPr>
            <w:tcW w:w="300" w:type="pct"/>
            <w:tcBorders>
              <w:top w:val="nil"/>
              <w:left w:val="nil"/>
              <w:bottom w:val="single" w:sz="4" w:space="0" w:color="auto"/>
              <w:right w:val="nil"/>
            </w:tcBorders>
            <w:shd w:val="clear" w:color="auto" w:fill="auto"/>
            <w:vAlign w:val="center"/>
          </w:tcPr>
          <w:p w14:paraId="3F6390AA" w14:textId="35E63FC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42.6</w:t>
            </w:r>
          </w:p>
        </w:tc>
        <w:tc>
          <w:tcPr>
            <w:tcW w:w="299" w:type="pct"/>
            <w:tcBorders>
              <w:top w:val="nil"/>
              <w:left w:val="nil"/>
              <w:bottom w:val="single" w:sz="4" w:space="0" w:color="auto"/>
              <w:right w:val="nil"/>
            </w:tcBorders>
            <w:shd w:val="clear" w:color="auto" w:fill="auto"/>
            <w:vAlign w:val="center"/>
          </w:tcPr>
          <w:p w14:paraId="69B1AAB6" w14:textId="3B4050A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56.1</w:t>
            </w:r>
          </w:p>
        </w:tc>
        <w:tc>
          <w:tcPr>
            <w:tcW w:w="298" w:type="pct"/>
            <w:tcBorders>
              <w:top w:val="nil"/>
              <w:left w:val="nil"/>
              <w:bottom w:val="single" w:sz="4" w:space="0" w:color="auto"/>
              <w:right w:val="nil"/>
            </w:tcBorders>
            <w:shd w:val="clear" w:color="auto" w:fill="auto"/>
            <w:vAlign w:val="center"/>
          </w:tcPr>
          <w:p w14:paraId="5FEF09F7" w14:textId="4CF2C06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99.0</w:t>
            </w:r>
          </w:p>
        </w:tc>
        <w:tc>
          <w:tcPr>
            <w:tcW w:w="302" w:type="pct"/>
            <w:tcBorders>
              <w:top w:val="nil"/>
              <w:left w:val="nil"/>
              <w:bottom w:val="single" w:sz="4" w:space="0" w:color="auto"/>
              <w:right w:val="nil"/>
            </w:tcBorders>
            <w:shd w:val="clear" w:color="auto" w:fill="auto"/>
            <w:vAlign w:val="center"/>
          </w:tcPr>
          <w:p w14:paraId="705E409D" w14:textId="5FAA1D0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96.9</w:t>
            </w:r>
          </w:p>
        </w:tc>
        <w:tc>
          <w:tcPr>
            <w:tcW w:w="301" w:type="pct"/>
            <w:tcBorders>
              <w:top w:val="nil"/>
              <w:left w:val="nil"/>
              <w:bottom w:val="single" w:sz="4" w:space="0" w:color="auto"/>
              <w:right w:val="nil"/>
            </w:tcBorders>
            <w:shd w:val="clear" w:color="auto" w:fill="auto"/>
            <w:vAlign w:val="center"/>
          </w:tcPr>
          <w:p w14:paraId="6AE1B8D9" w14:textId="5FE2659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125.3</w:t>
            </w:r>
          </w:p>
        </w:tc>
        <w:tc>
          <w:tcPr>
            <w:tcW w:w="302" w:type="pct"/>
            <w:tcBorders>
              <w:top w:val="nil"/>
              <w:left w:val="nil"/>
              <w:bottom w:val="single" w:sz="4" w:space="0" w:color="auto"/>
              <w:right w:val="nil"/>
            </w:tcBorders>
            <w:shd w:val="clear" w:color="auto" w:fill="auto"/>
            <w:vAlign w:val="center"/>
          </w:tcPr>
          <w:p w14:paraId="707D59BC" w14:textId="66EE261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86.7</w:t>
            </w:r>
          </w:p>
        </w:tc>
        <w:tc>
          <w:tcPr>
            <w:tcW w:w="302" w:type="pct"/>
            <w:tcBorders>
              <w:top w:val="nil"/>
              <w:left w:val="nil"/>
              <w:bottom w:val="single" w:sz="4" w:space="0" w:color="auto"/>
              <w:right w:val="nil"/>
            </w:tcBorders>
            <w:shd w:val="clear" w:color="auto" w:fill="auto"/>
            <w:vAlign w:val="center"/>
          </w:tcPr>
          <w:p w14:paraId="13E879B6" w14:textId="4D22C2A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62.4</w:t>
            </w:r>
          </w:p>
        </w:tc>
        <w:tc>
          <w:tcPr>
            <w:tcW w:w="301" w:type="pct"/>
            <w:tcBorders>
              <w:top w:val="nil"/>
              <w:left w:val="nil"/>
              <w:bottom w:val="single" w:sz="4" w:space="0" w:color="auto"/>
              <w:right w:val="single" w:sz="4" w:space="0" w:color="auto"/>
            </w:tcBorders>
            <w:shd w:val="clear" w:color="auto" w:fill="auto"/>
            <w:vAlign w:val="center"/>
          </w:tcPr>
          <w:p w14:paraId="5891EAB2" w14:textId="030AC4A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66.0</w:t>
            </w:r>
          </w:p>
        </w:tc>
        <w:tc>
          <w:tcPr>
            <w:tcW w:w="284" w:type="pct"/>
            <w:tcBorders>
              <w:top w:val="nil"/>
              <w:left w:val="single" w:sz="4" w:space="0" w:color="auto"/>
              <w:bottom w:val="single" w:sz="4" w:space="0" w:color="auto"/>
              <w:right w:val="single" w:sz="4" w:space="0" w:color="auto"/>
            </w:tcBorders>
            <w:shd w:val="clear" w:color="auto" w:fill="auto"/>
            <w:vAlign w:val="center"/>
          </w:tcPr>
          <w:p w14:paraId="70E5959D" w14:textId="7BA89E7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76.8</w:t>
            </w:r>
          </w:p>
        </w:tc>
      </w:tr>
      <w:tr w:rsidR="00F17DD8" w:rsidRPr="00F31098" w14:paraId="7A9EF8EF" w14:textId="77777777" w:rsidTr="00F17DD8">
        <w:trPr>
          <w:trHeight w:val="283"/>
        </w:trPr>
        <w:tc>
          <w:tcPr>
            <w:tcW w:w="444" w:type="pct"/>
            <w:tcBorders>
              <w:top w:val="nil"/>
              <w:left w:val="single" w:sz="4" w:space="0" w:color="auto"/>
              <w:bottom w:val="single" w:sz="6" w:space="0" w:color="auto"/>
              <w:right w:val="nil"/>
            </w:tcBorders>
            <w:vAlign w:val="center"/>
          </w:tcPr>
          <w:p w14:paraId="2F355A1A"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2CCE617A"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301" w:type="pct"/>
            <w:tcBorders>
              <w:top w:val="single" w:sz="4" w:space="0" w:color="auto"/>
              <w:left w:val="nil"/>
              <w:bottom w:val="single" w:sz="4" w:space="0" w:color="auto"/>
              <w:right w:val="nil"/>
            </w:tcBorders>
            <w:shd w:val="clear" w:color="auto" w:fill="auto"/>
            <w:vAlign w:val="center"/>
          </w:tcPr>
          <w:p w14:paraId="047E4A7C" w14:textId="1115726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29.0</w:t>
            </w:r>
          </w:p>
        </w:tc>
        <w:tc>
          <w:tcPr>
            <w:tcW w:w="299" w:type="pct"/>
            <w:tcBorders>
              <w:top w:val="single" w:sz="4" w:space="0" w:color="auto"/>
              <w:left w:val="nil"/>
              <w:bottom w:val="single" w:sz="4" w:space="0" w:color="auto"/>
              <w:right w:val="nil"/>
            </w:tcBorders>
            <w:shd w:val="clear" w:color="auto" w:fill="auto"/>
            <w:vAlign w:val="center"/>
          </w:tcPr>
          <w:p w14:paraId="7BFC1D42" w14:textId="671373D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33.0</w:t>
            </w:r>
          </w:p>
        </w:tc>
        <w:tc>
          <w:tcPr>
            <w:tcW w:w="302" w:type="pct"/>
            <w:tcBorders>
              <w:top w:val="single" w:sz="4" w:space="0" w:color="auto"/>
              <w:left w:val="nil"/>
              <w:bottom w:val="single" w:sz="4" w:space="0" w:color="auto"/>
              <w:right w:val="nil"/>
            </w:tcBorders>
            <w:shd w:val="clear" w:color="auto" w:fill="auto"/>
            <w:vAlign w:val="center"/>
          </w:tcPr>
          <w:p w14:paraId="11FB5F3F" w14:textId="3444EEB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33.3</w:t>
            </w:r>
          </w:p>
        </w:tc>
        <w:tc>
          <w:tcPr>
            <w:tcW w:w="301" w:type="pct"/>
            <w:tcBorders>
              <w:top w:val="single" w:sz="4" w:space="0" w:color="auto"/>
              <w:left w:val="nil"/>
              <w:bottom w:val="single" w:sz="4" w:space="0" w:color="auto"/>
              <w:right w:val="nil"/>
            </w:tcBorders>
            <w:shd w:val="clear" w:color="auto" w:fill="auto"/>
            <w:vAlign w:val="center"/>
          </w:tcPr>
          <w:p w14:paraId="7381A782" w14:textId="03412BA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33.6</w:t>
            </w:r>
          </w:p>
        </w:tc>
        <w:tc>
          <w:tcPr>
            <w:tcW w:w="300" w:type="pct"/>
            <w:tcBorders>
              <w:top w:val="single" w:sz="4" w:space="0" w:color="auto"/>
              <w:left w:val="nil"/>
              <w:bottom w:val="single" w:sz="4" w:space="0" w:color="auto"/>
              <w:right w:val="nil"/>
            </w:tcBorders>
            <w:shd w:val="clear" w:color="auto" w:fill="auto"/>
            <w:vAlign w:val="center"/>
          </w:tcPr>
          <w:p w14:paraId="50042C33" w14:textId="7F5BDF9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38.4</w:t>
            </w:r>
          </w:p>
        </w:tc>
        <w:tc>
          <w:tcPr>
            <w:tcW w:w="299" w:type="pct"/>
            <w:tcBorders>
              <w:top w:val="single" w:sz="4" w:space="0" w:color="auto"/>
              <w:left w:val="nil"/>
              <w:bottom w:val="single" w:sz="4" w:space="0" w:color="auto"/>
              <w:right w:val="nil"/>
            </w:tcBorders>
            <w:shd w:val="clear" w:color="auto" w:fill="auto"/>
            <w:vAlign w:val="center"/>
          </w:tcPr>
          <w:p w14:paraId="4B2071AD" w14:textId="1C99595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34.6</w:t>
            </w:r>
          </w:p>
        </w:tc>
        <w:tc>
          <w:tcPr>
            <w:tcW w:w="298" w:type="pct"/>
            <w:tcBorders>
              <w:top w:val="single" w:sz="4" w:space="0" w:color="auto"/>
              <w:left w:val="nil"/>
              <w:bottom w:val="single" w:sz="4" w:space="0" w:color="auto"/>
              <w:right w:val="nil"/>
            </w:tcBorders>
            <w:shd w:val="clear" w:color="auto" w:fill="auto"/>
            <w:vAlign w:val="center"/>
          </w:tcPr>
          <w:p w14:paraId="36B5C8D3" w14:textId="361AB9D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36.9</w:t>
            </w:r>
          </w:p>
        </w:tc>
        <w:tc>
          <w:tcPr>
            <w:tcW w:w="302" w:type="pct"/>
            <w:tcBorders>
              <w:top w:val="single" w:sz="4" w:space="0" w:color="auto"/>
              <w:left w:val="nil"/>
              <w:bottom w:val="single" w:sz="4" w:space="0" w:color="auto"/>
              <w:right w:val="nil"/>
            </w:tcBorders>
            <w:shd w:val="clear" w:color="auto" w:fill="auto"/>
            <w:vAlign w:val="center"/>
          </w:tcPr>
          <w:p w14:paraId="76E60B5C" w14:textId="50850DF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37.6</w:t>
            </w:r>
          </w:p>
        </w:tc>
        <w:tc>
          <w:tcPr>
            <w:tcW w:w="301" w:type="pct"/>
            <w:tcBorders>
              <w:top w:val="single" w:sz="4" w:space="0" w:color="auto"/>
              <w:left w:val="nil"/>
              <w:bottom w:val="single" w:sz="4" w:space="0" w:color="auto"/>
              <w:right w:val="nil"/>
            </w:tcBorders>
            <w:shd w:val="clear" w:color="auto" w:fill="auto"/>
            <w:vAlign w:val="center"/>
          </w:tcPr>
          <w:p w14:paraId="724EB7EA" w14:textId="38B44CA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34.9</w:t>
            </w:r>
          </w:p>
        </w:tc>
        <w:tc>
          <w:tcPr>
            <w:tcW w:w="302" w:type="pct"/>
            <w:tcBorders>
              <w:top w:val="single" w:sz="4" w:space="0" w:color="auto"/>
              <w:left w:val="nil"/>
              <w:bottom w:val="single" w:sz="4" w:space="0" w:color="auto"/>
              <w:right w:val="nil"/>
            </w:tcBorders>
            <w:shd w:val="clear" w:color="auto" w:fill="auto"/>
            <w:vAlign w:val="center"/>
          </w:tcPr>
          <w:p w14:paraId="50F270A3" w14:textId="48C8F7C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30.5</w:t>
            </w:r>
          </w:p>
        </w:tc>
        <w:tc>
          <w:tcPr>
            <w:tcW w:w="302" w:type="pct"/>
            <w:tcBorders>
              <w:top w:val="single" w:sz="4" w:space="0" w:color="auto"/>
              <w:left w:val="nil"/>
              <w:bottom w:val="single" w:sz="4" w:space="0" w:color="auto"/>
              <w:right w:val="nil"/>
            </w:tcBorders>
            <w:shd w:val="clear" w:color="auto" w:fill="auto"/>
            <w:vAlign w:val="center"/>
          </w:tcPr>
          <w:p w14:paraId="7FD7F4F4" w14:textId="19F4EF6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35.2</w:t>
            </w:r>
          </w:p>
        </w:tc>
        <w:tc>
          <w:tcPr>
            <w:tcW w:w="301" w:type="pct"/>
            <w:tcBorders>
              <w:top w:val="single" w:sz="4" w:space="0" w:color="auto"/>
              <w:left w:val="nil"/>
              <w:bottom w:val="single" w:sz="4" w:space="0" w:color="auto"/>
              <w:right w:val="single" w:sz="4" w:space="0" w:color="auto"/>
            </w:tcBorders>
            <w:shd w:val="clear" w:color="auto" w:fill="auto"/>
            <w:vAlign w:val="center"/>
          </w:tcPr>
          <w:p w14:paraId="1ADD2962" w14:textId="3325E5E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28.3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1894814" w14:textId="0135169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33.4</w:t>
            </w:r>
          </w:p>
        </w:tc>
      </w:tr>
      <w:tr w:rsidR="00F17DD8" w:rsidRPr="00F31098" w14:paraId="1BCF6F55" w14:textId="77777777" w:rsidTr="00F17DD8">
        <w:trPr>
          <w:trHeight w:val="283"/>
        </w:trPr>
        <w:tc>
          <w:tcPr>
            <w:tcW w:w="444" w:type="pct"/>
            <w:vMerge w:val="restart"/>
            <w:tcBorders>
              <w:top w:val="single" w:sz="6" w:space="0" w:color="auto"/>
              <w:left w:val="single" w:sz="4" w:space="0" w:color="auto"/>
              <w:right w:val="nil"/>
            </w:tcBorders>
          </w:tcPr>
          <w:p w14:paraId="3FC0E894"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Standard Deviation (weeks)</w:t>
            </w:r>
          </w:p>
        </w:tc>
        <w:tc>
          <w:tcPr>
            <w:tcW w:w="665" w:type="pct"/>
            <w:tcBorders>
              <w:top w:val="single" w:sz="6" w:space="0" w:color="auto"/>
              <w:left w:val="nil"/>
              <w:bottom w:val="nil"/>
              <w:right w:val="nil"/>
            </w:tcBorders>
            <w:vAlign w:val="center"/>
          </w:tcPr>
          <w:p w14:paraId="66A74410"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301" w:type="pct"/>
            <w:tcBorders>
              <w:top w:val="nil"/>
              <w:left w:val="nil"/>
              <w:bottom w:val="nil"/>
              <w:right w:val="nil"/>
            </w:tcBorders>
            <w:shd w:val="clear" w:color="auto" w:fill="auto"/>
            <w:vAlign w:val="center"/>
          </w:tcPr>
          <w:p w14:paraId="39EB12E6" w14:textId="27DC54E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18.2</w:t>
            </w:r>
          </w:p>
        </w:tc>
        <w:tc>
          <w:tcPr>
            <w:tcW w:w="299" w:type="pct"/>
            <w:tcBorders>
              <w:top w:val="nil"/>
              <w:left w:val="nil"/>
              <w:bottom w:val="nil"/>
              <w:right w:val="nil"/>
            </w:tcBorders>
            <w:shd w:val="clear" w:color="auto" w:fill="auto"/>
            <w:vAlign w:val="center"/>
          </w:tcPr>
          <w:p w14:paraId="0A40C96A" w14:textId="0C949B6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21.8</w:t>
            </w:r>
          </w:p>
        </w:tc>
        <w:tc>
          <w:tcPr>
            <w:tcW w:w="302" w:type="pct"/>
            <w:tcBorders>
              <w:top w:val="nil"/>
              <w:left w:val="nil"/>
              <w:bottom w:val="nil"/>
              <w:right w:val="nil"/>
            </w:tcBorders>
            <w:shd w:val="clear" w:color="auto" w:fill="auto"/>
            <w:vAlign w:val="center"/>
          </w:tcPr>
          <w:p w14:paraId="727BA266" w14:textId="3EA993C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17.3</w:t>
            </w:r>
          </w:p>
        </w:tc>
        <w:tc>
          <w:tcPr>
            <w:tcW w:w="301" w:type="pct"/>
            <w:tcBorders>
              <w:top w:val="nil"/>
              <w:left w:val="nil"/>
              <w:bottom w:val="nil"/>
              <w:right w:val="nil"/>
            </w:tcBorders>
            <w:shd w:val="clear" w:color="auto" w:fill="auto"/>
            <w:vAlign w:val="center"/>
          </w:tcPr>
          <w:p w14:paraId="0C121A6B" w14:textId="530D2F0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14.9</w:t>
            </w:r>
          </w:p>
        </w:tc>
        <w:tc>
          <w:tcPr>
            <w:tcW w:w="300" w:type="pct"/>
            <w:tcBorders>
              <w:top w:val="nil"/>
              <w:left w:val="nil"/>
              <w:bottom w:val="nil"/>
              <w:right w:val="nil"/>
            </w:tcBorders>
            <w:shd w:val="clear" w:color="auto" w:fill="auto"/>
            <w:vAlign w:val="center"/>
          </w:tcPr>
          <w:p w14:paraId="2D8C3BFC" w14:textId="30D2537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19.3</w:t>
            </w:r>
          </w:p>
        </w:tc>
        <w:tc>
          <w:tcPr>
            <w:tcW w:w="299" w:type="pct"/>
            <w:tcBorders>
              <w:top w:val="nil"/>
              <w:left w:val="nil"/>
              <w:bottom w:val="nil"/>
              <w:right w:val="nil"/>
            </w:tcBorders>
            <w:shd w:val="clear" w:color="auto" w:fill="auto"/>
            <w:vAlign w:val="center"/>
          </w:tcPr>
          <w:p w14:paraId="77E60677" w14:textId="283E43D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16.3</w:t>
            </w:r>
          </w:p>
        </w:tc>
        <w:tc>
          <w:tcPr>
            <w:tcW w:w="298" w:type="pct"/>
            <w:tcBorders>
              <w:top w:val="nil"/>
              <w:left w:val="nil"/>
              <w:bottom w:val="nil"/>
              <w:right w:val="nil"/>
            </w:tcBorders>
            <w:shd w:val="clear" w:color="auto" w:fill="auto"/>
            <w:vAlign w:val="center"/>
          </w:tcPr>
          <w:p w14:paraId="4E92EDDA" w14:textId="0D68CD2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18.9</w:t>
            </w:r>
          </w:p>
        </w:tc>
        <w:tc>
          <w:tcPr>
            <w:tcW w:w="302" w:type="pct"/>
            <w:tcBorders>
              <w:top w:val="nil"/>
              <w:left w:val="nil"/>
              <w:bottom w:val="nil"/>
              <w:right w:val="nil"/>
            </w:tcBorders>
            <w:shd w:val="clear" w:color="auto" w:fill="auto"/>
            <w:vAlign w:val="center"/>
          </w:tcPr>
          <w:p w14:paraId="75BBB050" w14:textId="20088F1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23.1</w:t>
            </w:r>
          </w:p>
        </w:tc>
        <w:tc>
          <w:tcPr>
            <w:tcW w:w="301" w:type="pct"/>
            <w:tcBorders>
              <w:top w:val="nil"/>
              <w:left w:val="nil"/>
              <w:bottom w:val="nil"/>
              <w:right w:val="nil"/>
            </w:tcBorders>
            <w:shd w:val="clear" w:color="auto" w:fill="auto"/>
            <w:vAlign w:val="center"/>
          </w:tcPr>
          <w:p w14:paraId="3C67F163" w14:textId="6322F3F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17.8</w:t>
            </w:r>
          </w:p>
        </w:tc>
        <w:tc>
          <w:tcPr>
            <w:tcW w:w="302" w:type="pct"/>
            <w:tcBorders>
              <w:top w:val="nil"/>
              <w:left w:val="nil"/>
              <w:bottom w:val="nil"/>
              <w:right w:val="nil"/>
            </w:tcBorders>
            <w:shd w:val="clear" w:color="auto" w:fill="auto"/>
            <w:vAlign w:val="center"/>
          </w:tcPr>
          <w:p w14:paraId="7AA43469" w14:textId="59048BB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16.9</w:t>
            </w:r>
          </w:p>
        </w:tc>
        <w:tc>
          <w:tcPr>
            <w:tcW w:w="302" w:type="pct"/>
            <w:tcBorders>
              <w:top w:val="nil"/>
              <w:left w:val="nil"/>
              <w:bottom w:val="nil"/>
              <w:right w:val="nil"/>
            </w:tcBorders>
            <w:shd w:val="clear" w:color="auto" w:fill="auto"/>
            <w:vAlign w:val="center"/>
          </w:tcPr>
          <w:p w14:paraId="087B8AFF" w14:textId="09D2DEE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20.9</w:t>
            </w:r>
          </w:p>
        </w:tc>
        <w:tc>
          <w:tcPr>
            <w:tcW w:w="301" w:type="pct"/>
            <w:tcBorders>
              <w:top w:val="nil"/>
              <w:left w:val="nil"/>
              <w:bottom w:val="nil"/>
              <w:right w:val="single" w:sz="4" w:space="0" w:color="auto"/>
            </w:tcBorders>
            <w:shd w:val="clear" w:color="auto" w:fill="auto"/>
            <w:vAlign w:val="center"/>
          </w:tcPr>
          <w:p w14:paraId="06900D04" w14:textId="1D7A358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25.6</w:t>
            </w:r>
          </w:p>
        </w:tc>
        <w:tc>
          <w:tcPr>
            <w:tcW w:w="284" w:type="pct"/>
            <w:tcBorders>
              <w:top w:val="nil"/>
              <w:left w:val="single" w:sz="4" w:space="0" w:color="auto"/>
              <w:bottom w:val="nil"/>
              <w:right w:val="single" w:sz="4" w:space="0" w:color="auto"/>
            </w:tcBorders>
            <w:shd w:val="clear" w:color="auto" w:fill="auto"/>
            <w:vAlign w:val="center"/>
          </w:tcPr>
          <w:p w14:paraId="5F5004A7" w14:textId="285C001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19.2</w:t>
            </w:r>
          </w:p>
        </w:tc>
      </w:tr>
      <w:tr w:rsidR="00F17DD8" w:rsidRPr="00F31098" w14:paraId="78D0BF97" w14:textId="77777777" w:rsidTr="00F17DD8">
        <w:trPr>
          <w:trHeight w:val="283"/>
        </w:trPr>
        <w:tc>
          <w:tcPr>
            <w:tcW w:w="444" w:type="pct"/>
            <w:vMerge/>
            <w:tcBorders>
              <w:left w:val="single" w:sz="4" w:space="0" w:color="auto"/>
              <w:bottom w:val="nil"/>
              <w:right w:val="nil"/>
            </w:tcBorders>
            <w:vAlign w:val="center"/>
          </w:tcPr>
          <w:p w14:paraId="7FEEE299"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0A77F5CE"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301" w:type="pct"/>
            <w:tcBorders>
              <w:top w:val="nil"/>
              <w:left w:val="nil"/>
              <w:bottom w:val="nil"/>
              <w:right w:val="nil"/>
            </w:tcBorders>
            <w:shd w:val="clear" w:color="auto" w:fill="auto"/>
            <w:vAlign w:val="center"/>
          </w:tcPr>
          <w:p w14:paraId="371D9ACE" w14:textId="49ED78E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16.6</w:t>
            </w:r>
          </w:p>
        </w:tc>
        <w:tc>
          <w:tcPr>
            <w:tcW w:w="299" w:type="pct"/>
            <w:tcBorders>
              <w:top w:val="nil"/>
              <w:left w:val="nil"/>
              <w:bottom w:val="nil"/>
              <w:right w:val="nil"/>
            </w:tcBorders>
            <w:shd w:val="clear" w:color="auto" w:fill="auto"/>
            <w:vAlign w:val="center"/>
          </w:tcPr>
          <w:p w14:paraId="05C8A8CE" w14:textId="6715911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5.2</w:t>
            </w:r>
          </w:p>
        </w:tc>
        <w:tc>
          <w:tcPr>
            <w:tcW w:w="302" w:type="pct"/>
            <w:tcBorders>
              <w:top w:val="nil"/>
              <w:left w:val="nil"/>
              <w:bottom w:val="nil"/>
              <w:right w:val="nil"/>
            </w:tcBorders>
            <w:shd w:val="clear" w:color="auto" w:fill="auto"/>
            <w:vAlign w:val="center"/>
          </w:tcPr>
          <w:p w14:paraId="7E00A3C0" w14:textId="612ABF8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p>
        </w:tc>
        <w:tc>
          <w:tcPr>
            <w:tcW w:w="301" w:type="pct"/>
            <w:tcBorders>
              <w:top w:val="nil"/>
              <w:left w:val="nil"/>
              <w:bottom w:val="nil"/>
              <w:right w:val="nil"/>
            </w:tcBorders>
            <w:shd w:val="clear" w:color="auto" w:fill="auto"/>
            <w:vAlign w:val="center"/>
          </w:tcPr>
          <w:p w14:paraId="7996F070" w14:textId="5AD7ED8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p>
        </w:tc>
        <w:tc>
          <w:tcPr>
            <w:tcW w:w="300" w:type="pct"/>
            <w:tcBorders>
              <w:top w:val="nil"/>
              <w:left w:val="nil"/>
              <w:bottom w:val="nil"/>
              <w:right w:val="nil"/>
            </w:tcBorders>
            <w:shd w:val="clear" w:color="auto" w:fill="auto"/>
            <w:vAlign w:val="center"/>
          </w:tcPr>
          <w:p w14:paraId="2E92E3E9" w14:textId="65F3B8C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12.8</w:t>
            </w:r>
          </w:p>
        </w:tc>
        <w:tc>
          <w:tcPr>
            <w:tcW w:w="299" w:type="pct"/>
            <w:tcBorders>
              <w:top w:val="nil"/>
              <w:left w:val="nil"/>
              <w:bottom w:val="nil"/>
              <w:right w:val="nil"/>
            </w:tcBorders>
            <w:shd w:val="clear" w:color="auto" w:fill="auto"/>
            <w:vAlign w:val="center"/>
          </w:tcPr>
          <w:p w14:paraId="543E38C9" w14:textId="06E5616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12.3</w:t>
            </w:r>
          </w:p>
        </w:tc>
        <w:tc>
          <w:tcPr>
            <w:tcW w:w="298" w:type="pct"/>
            <w:tcBorders>
              <w:top w:val="nil"/>
              <w:left w:val="nil"/>
              <w:bottom w:val="nil"/>
              <w:right w:val="nil"/>
            </w:tcBorders>
            <w:shd w:val="clear" w:color="auto" w:fill="auto"/>
            <w:vAlign w:val="center"/>
          </w:tcPr>
          <w:p w14:paraId="72155A5F" w14:textId="60A6124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22.6</w:t>
            </w:r>
          </w:p>
        </w:tc>
        <w:tc>
          <w:tcPr>
            <w:tcW w:w="302" w:type="pct"/>
            <w:tcBorders>
              <w:top w:val="nil"/>
              <w:left w:val="nil"/>
              <w:bottom w:val="nil"/>
              <w:right w:val="nil"/>
            </w:tcBorders>
            <w:shd w:val="clear" w:color="auto" w:fill="auto"/>
            <w:vAlign w:val="center"/>
          </w:tcPr>
          <w:p w14:paraId="3838E92C" w14:textId="37D5B78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23.2</w:t>
            </w:r>
          </w:p>
        </w:tc>
        <w:tc>
          <w:tcPr>
            <w:tcW w:w="301" w:type="pct"/>
            <w:tcBorders>
              <w:top w:val="nil"/>
              <w:left w:val="nil"/>
              <w:bottom w:val="nil"/>
              <w:right w:val="nil"/>
            </w:tcBorders>
            <w:shd w:val="clear" w:color="auto" w:fill="auto"/>
            <w:vAlign w:val="center"/>
          </w:tcPr>
          <w:p w14:paraId="7A55FDCB" w14:textId="15DF385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22.2</w:t>
            </w:r>
          </w:p>
        </w:tc>
        <w:tc>
          <w:tcPr>
            <w:tcW w:w="302" w:type="pct"/>
            <w:tcBorders>
              <w:top w:val="nil"/>
              <w:left w:val="nil"/>
              <w:bottom w:val="nil"/>
              <w:right w:val="nil"/>
            </w:tcBorders>
            <w:shd w:val="clear" w:color="auto" w:fill="auto"/>
            <w:vAlign w:val="center"/>
          </w:tcPr>
          <w:p w14:paraId="4FF65985" w14:textId="7169864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15.6</w:t>
            </w:r>
          </w:p>
        </w:tc>
        <w:tc>
          <w:tcPr>
            <w:tcW w:w="302" w:type="pct"/>
            <w:tcBorders>
              <w:top w:val="nil"/>
              <w:left w:val="nil"/>
              <w:bottom w:val="nil"/>
              <w:right w:val="nil"/>
            </w:tcBorders>
            <w:shd w:val="clear" w:color="auto" w:fill="auto"/>
            <w:vAlign w:val="center"/>
          </w:tcPr>
          <w:p w14:paraId="38D51810" w14:textId="43F997F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28.0</w:t>
            </w:r>
          </w:p>
        </w:tc>
        <w:tc>
          <w:tcPr>
            <w:tcW w:w="301" w:type="pct"/>
            <w:tcBorders>
              <w:top w:val="nil"/>
              <w:left w:val="nil"/>
              <w:bottom w:val="nil"/>
              <w:right w:val="single" w:sz="4" w:space="0" w:color="auto"/>
            </w:tcBorders>
            <w:shd w:val="clear" w:color="auto" w:fill="auto"/>
            <w:vAlign w:val="center"/>
          </w:tcPr>
          <w:p w14:paraId="6208E1FF" w14:textId="5BE64B5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13.6</w:t>
            </w:r>
          </w:p>
        </w:tc>
        <w:tc>
          <w:tcPr>
            <w:tcW w:w="284" w:type="pct"/>
            <w:tcBorders>
              <w:top w:val="nil"/>
              <w:left w:val="single" w:sz="4" w:space="0" w:color="auto"/>
              <w:bottom w:val="nil"/>
              <w:right w:val="single" w:sz="4" w:space="0" w:color="auto"/>
            </w:tcBorders>
            <w:shd w:val="clear" w:color="auto" w:fill="auto"/>
            <w:vAlign w:val="center"/>
          </w:tcPr>
          <w:p w14:paraId="09D2D8B8" w14:textId="05CAA83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24.0</w:t>
            </w:r>
          </w:p>
        </w:tc>
      </w:tr>
      <w:tr w:rsidR="00F17DD8" w:rsidRPr="00F31098" w14:paraId="15CD75CB" w14:textId="77777777" w:rsidTr="00F17DD8">
        <w:trPr>
          <w:trHeight w:val="283"/>
        </w:trPr>
        <w:tc>
          <w:tcPr>
            <w:tcW w:w="444" w:type="pct"/>
            <w:tcBorders>
              <w:top w:val="nil"/>
              <w:left w:val="single" w:sz="4" w:space="0" w:color="auto"/>
              <w:bottom w:val="nil"/>
              <w:right w:val="nil"/>
            </w:tcBorders>
            <w:vAlign w:val="center"/>
          </w:tcPr>
          <w:p w14:paraId="7B52FF42"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3A178D79"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301" w:type="pct"/>
            <w:tcBorders>
              <w:top w:val="nil"/>
              <w:left w:val="nil"/>
              <w:bottom w:val="single" w:sz="4" w:space="0" w:color="auto"/>
              <w:right w:val="nil"/>
            </w:tcBorders>
            <w:shd w:val="clear" w:color="auto" w:fill="auto"/>
            <w:vAlign w:val="center"/>
          </w:tcPr>
          <w:p w14:paraId="349B3698" w14:textId="70FE703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7.6</w:t>
            </w:r>
          </w:p>
        </w:tc>
        <w:tc>
          <w:tcPr>
            <w:tcW w:w="299" w:type="pct"/>
            <w:tcBorders>
              <w:top w:val="nil"/>
              <w:left w:val="nil"/>
              <w:bottom w:val="single" w:sz="4" w:space="0" w:color="auto"/>
              <w:right w:val="nil"/>
            </w:tcBorders>
            <w:shd w:val="clear" w:color="auto" w:fill="auto"/>
            <w:vAlign w:val="center"/>
          </w:tcPr>
          <w:p w14:paraId="418A44AD" w14:textId="51E4396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302" w:type="pct"/>
            <w:tcBorders>
              <w:top w:val="nil"/>
              <w:left w:val="nil"/>
              <w:bottom w:val="single" w:sz="4" w:space="0" w:color="auto"/>
              <w:right w:val="nil"/>
            </w:tcBorders>
            <w:shd w:val="clear" w:color="auto" w:fill="auto"/>
            <w:vAlign w:val="center"/>
          </w:tcPr>
          <w:p w14:paraId="70798A6B" w14:textId="00A59D8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301" w:type="pct"/>
            <w:tcBorders>
              <w:top w:val="nil"/>
              <w:left w:val="nil"/>
              <w:bottom w:val="single" w:sz="4" w:space="0" w:color="auto"/>
              <w:right w:val="nil"/>
            </w:tcBorders>
            <w:shd w:val="clear" w:color="auto" w:fill="auto"/>
            <w:vAlign w:val="center"/>
          </w:tcPr>
          <w:p w14:paraId="01C02874" w14:textId="1FA1D68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p>
        </w:tc>
        <w:tc>
          <w:tcPr>
            <w:tcW w:w="300" w:type="pct"/>
            <w:tcBorders>
              <w:top w:val="nil"/>
              <w:left w:val="nil"/>
              <w:bottom w:val="single" w:sz="4" w:space="0" w:color="auto"/>
              <w:right w:val="nil"/>
            </w:tcBorders>
            <w:shd w:val="clear" w:color="auto" w:fill="auto"/>
            <w:vAlign w:val="center"/>
          </w:tcPr>
          <w:p w14:paraId="43DCAE1A" w14:textId="3856C01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10.1</w:t>
            </w:r>
          </w:p>
        </w:tc>
        <w:tc>
          <w:tcPr>
            <w:tcW w:w="299" w:type="pct"/>
            <w:tcBorders>
              <w:top w:val="nil"/>
              <w:left w:val="nil"/>
              <w:bottom w:val="single" w:sz="4" w:space="0" w:color="auto"/>
              <w:right w:val="nil"/>
            </w:tcBorders>
            <w:shd w:val="clear" w:color="auto" w:fill="auto"/>
            <w:vAlign w:val="center"/>
          </w:tcPr>
          <w:p w14:paraId="040FEBA0" w14:textId="52F9661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10.1</w:t>
            </w:r>
          </w:p>
        </w:tc>
        <w:tc>
          <w:tcPr>
            <w:tcW w:w="298" w:type="pct"/>
            <w:tcBorders>
              <w:top w:val="nil"/>
              <w:left w:val="nil"/>
              <w:bottom w:val="single" w:sz="4" w:space="0" w:color="auto"/>
              <w:right w:val="nil"/>
            </w:tcBorders>
            <w:shd w:val="clear" w:color="auto" w:fill="auto"/>
            <w:vAlign w:val="center"/>
          </w:tcPr>
          <w:p w14:paraId="71CF0AE0" w14:textId="1711245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19.2</w:t>
            </w:r>
          </w:p>
        </w:tc>
        <w:tc>
          <w:tcPr>
            <w:tcW w:w="302" w:type="pct"/>
            <w:tcBorders>
              <w:top w:val="nil"/>
              <w:left w:val="nil"/>
              <w:bottom w:val="single" w:sz="4" w:space="0" w:color="auto"/>
              <w:right w:val="nil"/>
            </w:tcBorders>
            <w:shd w:val="clear" w:color="auto" w:fill="auto"/>
            <w:vAlign w:val="center"/>
          </w:tcPr>
          <w:p w14:paraId="2EE12498" w14:textId="633C3E6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21.0</w:t>
            </w:r>
          </w:p>
        </w:tc>
        <w:tc>
          <w:tcPr>
            <w:tcW w:w="301" w:type="pct"/>
            <w:tcBorders>
              <w:top w:val="nil"/>
              <w:left w:val="nil"/>
              <w:bottom w:val="single" w:sz="4" w:space="0" w:color="auto"/>
              <w:right w:val="nil"/>
            </w:tcBorders>
            <w:shd w:val="clear" w:color="auto" w:fill="auto"/>
            <w:vAlign w:val="center"/>
          </w:tcPr>
          <w:p w14:paraId="0E45A062" w14:textId="6DF8700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23.2</w:t>
            </w:r>
          </w:p>
        </w:tc>
        <w:tc>
          <w:tcPr>
            <w:tcW w:w="302" w:type="pct"/>
            <w:tcBorders>
              <w:top w:val="nil"/>
              <w:left w:val="nil"/>
              <w:bottom w:val="single" w:sz="4" w:space="0" w:color="auto"/>
              <w:right w:val="nil"/>
            </w:tcBorders>
            <w:shd w:val="clear" w:color="auto" w:fill="auto"/>
            <w:vAlign w:val="center"/>
          </w:tcPr>
          <w:p w14:paraId="202675D1" w14:textId="758D266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26.8</w:t>
            </w:r>
          </w:p>
        </w:tc>
        <w:tc>
          <w:tcPr>
            <w:tcW w:w="302" w:type="pct"/>
            <w:tcBorders>
              <w:top w:val="nil"/>
              <w:left w:val="nil"/>
              <w:bottom w:val="single" w:sz="4" w:space="0" w:color="auto"/>
              <w:right w:val="nil"/>
            </w:tcBorders>
            <w:shd w:val="clear" w:color="auto" w:fill="auto"/>
            <w:vAlign w:val="center"/>
          </w:tcPr>
          <w:p w14:paraId="7E829ED3" w14:textId="1BF8A68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20.3</w:t>
            </w:r>
          </w:p>
        </w:tc>
        <w:tc>
          <w:tcPr>
            <w:tcW w:w="301" w:type="pct"/>
            <w:tcBorders>
              <w:top w:val="nil"/>
              <w:left w:val="nil"/>
              <w:bottom w:val="single" w:sz="4" w:space="0" w:color="auto"/>
              <w:right w:val="single" w:sz="4" w:space="0" w:color="auto"/>
            </w:tcBorders>
            <w:shd w:val="clear" w:color="auto" w:fill="auto"/>
            <w:vAlign w:val="center"/>
          </w:tcPr>
          <w:p w14:paraId="741404ED" w14:textId="16931D5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21.4</w:t>
            </w:r>
          </w:p>
        </w:tc>
        <w:tc>
          <w:tcPr>
            <w:tcW w:w="284" w:type="pct"/>
            <w:tcBorders>
              <w:top w:val="nil"/>
              <w:left w:val="single" w:sz="4" w:space="0" w:color="auto"/>
              <w:bottom w:val="single" w:sz="4" w:space="0" w:color="auto"/>
              <w:right w:val="single" w:sz="4" w:space="0" w:color="auto"/>
            </w:tcBorders>
            <w:shd w:val="clear" w:color="auto" w:fill="auto"/>
            <w:vAlign w:val="center"/>
          </w:tcPr>
          <w:p w14:paraId="3F0DF71A" w14:textId="60A47AB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25.2</w:t>
            </w:r>
          </w:p>
        </w:tc>
      </w:tr>
      <w:tr w:rsidR="00F17DD8" w:rsidRPr="00F31098" w14:paraId="229F0431" w14:textId="77777777" w:rsidTr="00F17DD8">
        <w:trPr>
          <w:trHeight w:val="283"/>
        </w:trPr>
        <w:tc>
          <w:tcPr>
            <w:tcW w:w="444" w:type="pct"/>
            <w:tcBorders>
              <w:top w:val="nil"/>
              <w:left w:val="single" w:sz="4" w:space="0" w:color="auto"/>
              <w:bottom w:val="single" w:sz="6" w:space="0" w:color="auto"/>
              <w:right w:val="nil"/>
            </w:tcBorders>
            <w:vAlign w:val="center"/>
          </w:tcPr>
          <w:p w14:paraId="062C9BF4"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7867A3BF"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301" w:type="pct"/>
            <w:tcBorders>
              <w:top w:val="single" w:sz="4" w:space="0" w:color="auto"/>
              <w:left w:val="nil"/>
              <w:bottom w:val="single" w:sz="4" w:space="0" w:color="auto"/>
              <w:right w:val="nil"/>
            </w:tcBorders>
            <w:shd w:val="clear" w:color="auto" w:fill="auto"/>
            <w:vAlign w:val="center"/>
          </w:tcPr>
          <w:p w14:paraId="3B01DADC" w14:textId="5AFADCA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21.3</w:t>
            </w:r>
          </w:p>
        </w:tc>
        <w:tc>
          <w:tcPr>
            <w:tcW w:w="299" w:type="pct"/>
            <w:tcBorders>
              <w:top w:val="single" w:sz="4" w:space="0" w:color="auto"/>
              <w:left w:val="nil"/>
              <w:bottom w:val="single" w:sz="4" w:space="0" w:color="auto"/>
              <w:right w:val="nil"/>
            </w:tcBorders>
            <w:shd w:val="clear" w:color="auto" w:fill="auto"/>
            <w:vAlign w:val="center"/>
          </w:tcPr>
          <w:p w14:paraId="51360928" w14:textId="5BFEA5F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22.6</w:t>
            </w:r>
          </w:p>
        </w:tc>
        <w:tc>
          <w:tcPr>
            <w:tcW w:w="302" w:type="pct"/>
            <w:tcBorders>
              <w:top w:val="single" w:sz="4" w:space="0" w:color="auto"/>
              <w:left w:val="nil"/>
              <w:bottom w:val="single" w:sz="4" w:space="0" w:color="auto"/>
              <w:right w:val="nil"/>
            </w:tcBorders>
            <w:shd w:val="clear" w:color="auto" w:fill="auto"/>
            <w:vAlign w:val="center"/>
          </w:tcPr>
          <w:p w14:paraId="210A1834" w14:textId="67B54C8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17.3</w:t>
            </w:r>
          </w:p>
        </w:tc>
        <w:tc>
          <w:tcPr>
            <w:tcW w:w="301" w:type="pct"/>
            <w:tcBorders>
              <w:top w:val="single" w:sz="4" w:space="0" w:color="auto"/>
              <w:left w:val="nil"/>
              <w:bottom w:val="single" w:sz="4" w:space="0" w:color="auto"/>
              <w:right w:val="nil"/>
            </w:tcBorders>
            <w:shd w:val="clear" w:color="auto" w:fill="auto"/>
            <w:vAlign w:val="center"/>
          </w:tcPr>
          <w:p w14:paraId="1B4F401C" w14:textId="4A06F36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15.5</w:t>
            </w:r>
          </w:p>
        </w:tc>
        <w:tc>
          <w:tcPr>
            <w:tcW w:w="300" w:type="pct"/>
            <w:tcBorders>
              <w:top w:val="single" w:sz="4" w:space="0" w:color="auto"/>
              <w:left w:val="nil"/>
              <w:bottom w:val="single" w:sz="4" w:space="0" w:color="auto"/>
              <w:right w:val="nil"/>
            </w:tcBorders>
            <w:shd w:val="clear" w:color="auto" w:fill="auto"/>
            <w:vAlign w:val="center"/>
          </w:tcPr>
          <w:p w14:paraId="4A5B3502" w14:textId="3BF1165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20.5</w:t>
            </w:r>
          </w:p>
        </w:tc>
        <w:tc>
          <w:tcPr>
            <w:tcW w:w="299" w:type="pct"/>
            <w:tcBorders>
              <w:top w:val="single" w:sz="4" w:space="0" w:color="auto"/>
              <w:left w:val="nil"/>
              <w:bottom w:val="single" w:sz="4" w:space="0" w:color="auto"/>
              <w:right w:val="nil"/>
            </w:tcBorders>
            <w:shd w:val="clear" w:color="auto" w:fill="auto"/>
            <w:vAlign w:val="center"/>
          </w:tcPr>
          <w:p w14:paraId="280D6877" w14:textId="7189A92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16.8</w:t>
            </w:r>
          </w:p>
        </w:tc>
        <w:tc>
          <w:tcPr>
            <w:tcW w:w="298" w:type="pct"/>
            <w:tcBorders>
              <w:top w:val="single" w:sz="4" w:space="0" w:color="auto"/>
              <w:left w:val="nil"/>
              <w:bottom w:val="single" w:sz="4" w:space="0" w:color="auto"/>
              <w:right w:val="nil"/>
            </w:tcBorders>
            <w:shd w:val="clear" w:color="auto" w:fill="auto"/>
            <w:vAlign w:val="center"/>
          </w:tcPr>
          <w:p w14:paraId="256D75CC" w14:textId="45302FC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23.1</w:t>
            </w:r>
          </w:p>
        </w:tc>
        <w:tc>
          <w:tcPr>
            <w:tcW w:w="302" w:type="pct"/>
            <w:tcBorders>
              <w:top w:val="single" w:sz="4" w:space="0" w:color="auto"/>
              <w:left w:val="nil"/>
              <w:bottom w:val="single" w:sz="4" w:space="0" w:color="auto"/>
              <w:right w:val="nil"/>
            </w:tcBorders>
            <w:shd w:val="clear" w:color="auto" w:fill="auto"/>
            <w:vAlign w:val="center"/>
          </w:tcPr>
          <w:p w14:paraId="734CE168" w14:textId="23CD72A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28.9</w:t>
            </w:r>
          </w:p>
        </w:tc>
        <w:tc>
          <w:tcPr>
            <w:tcW w:w="301" w:type="pct"/>
            <w:tcBorders>
              <w:top w:val="single" w:sz="4" w:space="0" w:color="auto"/>
              <w:left w:val="nil"/>
              <w:bottom w:val="single" w:sz="4" w:space="0" w:color="auto"/>
              <w:right w:val="nil"/>
            </w:tcBorders>
            <w:shd w:val="clear" w:color="auto" w:fill="auto"/>
            <w:vAlign w:val="center"/>
          </w:tcPr>
          <w:p w14:paraId="67704BDD" w14:textId="1A96945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26.7</w:t>
            </w:r>
          </w:p>
        </w:tc>
        <w:tc>
          <w:tcPr>
            <w:tcW w:w="302" w:type="pct"/>
            <w:tcBorders>
              <w:top w:val="single" w:sz="4" w:space="0" w:color="auto"/>
              <w:left w:val="nil"/>
              <w:bottom w:val="single" w:sz="4" w:space="0" w:color="auto"/>
              <w:right w:val="nil"/>
            </w:tcBorders>
            <w:shd w:val="clear" w:color="auto" w:fill="auto"/>
            <w:vAlign w:val="center"/>
          </w:tcPr>
          <w:p w14:paraId="5A1B4B81" w14:textId="32B56A6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26.2</w:t>
            </w:r>
          </w:p>
        </w:tc>
        <w:tc>
          <w:tcPr>
            <w:tcW w:w="302" w:type="pct"/>
            <w:tcBorders>
              <w:top w:val="single" w:sz="4" w:space="0" w:color="auto"/>
              <w:left w:val="nil"/>
              <w:bottom w:val="single" w:sz="4" w:space="0" w:color="auto"/>
              <w:right w:val="nil"/>
            </w:tcBorders>
            <w:shd w:val="clear" w:color="auto" w:fill="auto"/>
            <w:vAlign w:val="center"/>
          </w:tcPr>
          <w:p w14:paraId="642C751E" w14:textId="55061FE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29.4</w:t>
            </w:r>
          </w:p>
        </w:tc>
        <w:tc>
          <w:tcPr>
            <w:tcW w:w="301" w:type="pct"/>
            <w:tcBorders>
              <w:top w:val="single" w:sz="4" w:space="0" w:color="auto"/>
              <w:left w:val="nil"/>
              <w:bottom w:val="single" w:sz="4" w:space="0" w:color="auto"/>
              <w:right w:val="single" w:sz="4" w:space="0" w:color="auto"/>
            </w:tcBorders>
            <w:shd w:val="clear" w:color="auto" w:fill="auto"/>
            <w:vAlign w:val="center"/>
          </w:tcPr>
          <w:p w14:paraId="1895F743" w14:textId="549423B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28.9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C3B8661" w14:textId="75DDD88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22.6</w:t>
            </w:r>
          </w:p>
        </w:tc>
      </w:tr>
    </w:tbl>
    <w:p w14:paraId="4970942E" w14:textId="7A8E5569" w:rsidR="00DC5A67" w:rsidRDefault="00DC5A67" w:rsidP="00353A89">
      <w:pPr>
        <w:rPr>
          <w:rFonts w:ascii="Helvetica" w:hAnsi="Helvetica" w:cs="Helvetica"/>
        </w:rPr>
      </w:pPr>
    </w:p>
    <w:p w14:paraId="416F84FF" w14:textId="77777777" w:rsidR="00DC5A67" w:rsidRDefault="00DC5A67">
      <w:pPr>
        <w:suppressAutoHyphens w:val="0"/>
        <w:autoSpaceDN/>
        <w:spacing w:after="160" w:line="259" w:lineRule="auto"/>
        <w:textAlignment w:val="auto"/>
        <w:rPr>
          <w:rFonts w:ascii="Helvetica" w:hAnsi="Helvetica" w:cs="Helvetica"/>
        </w:rPr>
      </w:pPr>
      <w:r>
        <w:rPr>
          <w:rFonts w:ascii="Helvetica" w:hAnsi="Helvetica" w:cs="Helvetica"/>
        </w:rPr>
        <w:br w:type="page"/>
      </w:r>
    </w:p>
    <w:p w14:paraId="16A5068B" w14:textId="37553318" w:rsidR="008C3561" w:rsidRDefault="007A7069" w:rsidP="007A7069">
      <w:pPr>
        <w:rPr>
          <w:rFonts w:ascii="Helvetica" w:hAnsi="Helvetica" w:cs="Helvetica"/>
        </w:rPr>
      </w:pPr>
      <w:r>
        <w:rPr>
          <w:rFonts w:ascii="Helvetica" w:hAnsi="Helvetica" w:cs="Helvetica"/>
        </w:rPr>
        <w:lastRenderedPageBreak/>
        <w:br/>
      </w:r>
      <w:r w:rsidR="00353A89" w:rsidRPr="00511A47">
        <w:rPr>
          <w:rFonts w:ascii="Helvetica" w:hAnsi="Helvetica" w:cs="Helvetica"/>
        </w:rPr>
        <w:t>Specialist</w:t>
      </w:r>
    </w:p>
    <w:tbl>
      <w:tblPr>
        <w:tblW w:w="5093" w:type="pct"/>
        <w:tblLook w:val="0000" w:firstRow="0" w:lastRow="0" w:firstColumn="0" w:lastColumn="0" w:noHBand="0" w:noVBand="0"/>
      </w:tblPr>
      <w:tblGrid>
        <w:gridCol w:w="868"/>
        <w:gridCol w:w="1299"/>
        <w:gridCol w:w="570"/>
        <w:gridCol w:w="660"/>
        <w:gridCol w:w="658"/>
        <w:gridCol w:w="569"/>
        <w:gridCol w:w="569"/>
        <w:gridCol w:w="574"/>
        <w:gridCol w:w="574"/>
        <w:gridCol w:w="583"/>
        <w:gridCol w:w="582"/>
        <w:gridCol w:w="582"/>
        <w:gridCol w:w="582"/>
        <w:gridCol w:w="583"/>
        <w:gridCol w:w="555"/>
      </w:tblGrid>
      <w:tr w:rsidR="000D6E21" w:rsidRPr="00F31098" w14:paraId="47AA243B" w14:textId="77777777" w:rsidTr="000D6E21">
        <w:trPr>
          <w:trHeight w:val="366"/>
        </w:trPr>
        <w:tc>
          <w:tcPr>
            <w:tcW w:w="868" w:type="dxa"/>
            <w:tcBorders>
              <w:top w:val="single" w:sz="4" w:space="0" w:color="auto"/>
              <w:left w:val="single" w:sz="4" w:space="0" w:color="auto"/>
              <w:bottom w:val="single" w:sz="6" w:space="0" w:color="auto"/>
              <w:right w:val="nil"/>
            </w:tcBorders>
            <w:vAlign w:val="center"/>
          </w:tcPr>
          <w:p w14:paraId="14D64E1E" w14:textId="77777777" w:rsidR="00D16518" w:rsidRPr="00F31098" w:rsidRDefault="00D16518" w:rsidP="00D1651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Measure</w:t>
            </w:r>
          </w:p>
        </w:tc>
        <w:tc>
          <w:tcPr>
            <w:tcW w:w="1299" w:type="dxa"/>
            <w:tcBorders>
              <w:top w:val="single" w:sz="4" w:space="0" w:color="auto"/>
              <w:left w:val="nil"/>
              <w:bottom w:val="single" w:sz="6" w:space="0" w:color="auto"/>
            </w:tcBorders>
            <w:vAlign w:val="center"/>
          </w:tcPr>
          <w:p w14:paraId="7C7F988E" w14:textId="77777777" w:rsidR="00D16518" w:rsidRPr="00F31098" w:rsidRDefault="00D16518" w:rsidP="00D1651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Procedure</w:t>
            </w:r>
          </w:p>
        </w:tc>
        <w:tc>
          <w:tcPr>
            <w:tcW w:w="570" w:type="dxa"/>
            <w:tcBorders>
              <w:top w:val="single" w:sz="4" w:space="0" w:color="auto"/>
              <w:bottom w:val="single" w:sz="4" w:space="0" w:color="auto"/>
            </w:tcBorders>
            <w:vAlign w:val="center"/>
          </w:tcPr>
          <w:p w14:paraId="460C809D" w14:textId="09BA31B4"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Jun 20</w:t>
            </w:r>
          </w:p>
        </w:tc>
        <w:tc>
          <w:tcPr>
            <w:tcW w:w="660" w:type="dxa"/>
            <w:tcBorders>
              <w:top w:val="single" w:sz="4" w:space="0" w:color="auto"/>
              <w:bottom w:val="single" w:sz="4" w:space="0" w:color="auto"/>
            </w:tcBorders>
            <w:vAlign w:val="center"/>
          </w:tcPr>
          <w:p w14:paraId="34FB0B37" w14:textId="77777777" w:rsidR="00A95C91" w:rsidRDefault="00D16518" w:rsidP="00D16518">
            <w:pPr>
              <w:suppressAutoHyphens w:val="0"/>
              <w:autoSpaceDE w:val="0"/>
              <w:adjustRightInd w:val="0"/>
              <w:jc w:val="right"/>
              <w:textAlignment w:val="auto"/>
              <w:rPr>
                <w:rFonts w:ascii="Calibri" w:hAnsi="Calibri" w:cs="Calibri"/>
                <w:color w:val="000000"/>
                <w:sz w:val="16"/>
                <w:szCs w:val="16"/>
              </w:rPr>
            </w:pPr>
            <w:r w:rsidRPr="00D16518">
              <w:rPr>
                <w:rFonts w:ascii="Calibri" w:hAnsi="Calibri" w:cs="Calibri"/>
                <w:color w:val="000000"/>
                <w:sz w:val="16"/>
                <w:szCs w:val="16"/>
              </w:rPr>
              <w:t xml:space="preserve">Jul </w:t>
            </w:r>
          </w:p>
          <w:p w14:paraId="68AED8C8" w14:textId="446D6CFD"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20</w:t>
            </w:r>
          </w:p>
        </w:tc>
        <w:tc>
          <w:tcPr>
            <w:tcW w:w="658" w:type="dxa"/>
            <w:tcBorders>
              <w:top w:val="single" w:sz="4" w:space="0" w:color="auto"/>
              <w:bottom w:val="single" w:sz="4" w:space="0" w:color="auto"/>
            </w:tcBorders>
            <w:vAlign w:val="center"/>
          </w:tcPr>
          <w:p w14:paraId="40F4F33E" w14:textId="77777777" w:rsidR="00A95C91" w:rsidRDefault="00D16518" w:rsidP="00D16518">
            <w:pPr>
              <w:suppressAutoHyphens w:val="0"/>
              <w:autoSpaceDE w:val="0"/>
              <w:adjustRightInd w:val="0"/>
              <w:jc w:val="right"/>
              <w:textAlignment w:val="auto"/>
              <w:rPr>
                <w:rFonts w:ascii="Calibri" w:hAnsi="Calibri" w:cs="Calibri"/>
                <w:color w:val="000000"/>
                <w:sz w:val="16"/>
                <w:szCs w:val="16"/>
              </w:rPr>
            </w:pPr>
            <w:r w:rsidRPr="00D16518">
              <w:rPr>
                <w:rFonts w:ascii="Calibri" w:hAnsi="Calibri" w:cs="Calibri"/>
                <w:color w:val="000000"/>
                <w:sz w:val="16"/>
                <w:szCs w:val="16"/>
              </w:rPr>
              <w:t xml:space="preserve">Aug </w:t>
            </w:r>
          </w:p>
          <w:p w14:paraId="16BF5104" w14:textId="23D1C165"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20</w:t>
            </w:r>
          </w:p>
        </w:tc>
        <w:tc>
          <w:tcPr>
            <w:tcW w:w="569" w:type="dxa"/>
            <w:tcBorders>
              <w:top w:val="single" w:sz="4" w:space="0" w:color="auto"/>
              <w:bottom w:val="single" w:sz="4" w:space="0" w:color="auto"/>
            </w:tcBorders>
            <w:vAlign w:val="center"/>
          </w:tcPr>
          <w:p w14:paraId="4493D08F" w14:textId="07A2024F"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Sep 20</w:t>
            </w:r>
          </w:p>
        </w:tc>
        <w:tc>
          <w:tcPr>
            <w:tcW w:w="569" w:type="dxa"/>
            <w:tcBorders>
              <w:top w:val="single" w:sz="4" w:space="0" w:color="auto"/>
              <w:bottom w:val="single" w:sz="4" w:space="0" w:color="auto"/>
            </w:tcBorders>
            <w:vAlign w:val="center"/>
          </w:tcPr>
          <w:p w14:paraId="75B4CA13" w14:textId="2DA3357B"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Oct 20</w:t>
            </w:r>
          </w:p>
        </w:tc>
        <w:tc>
          <w:tcPr>
            <w:tcW w:w="574" w:type="dxa"/>
            <w:tcBorders>
              <w:top w:val="single" w:sz="4" w:space="0" w:color="auto"/>
              <w:bottom w:val="single" w:sz="4" w:space="0" w:color="auto"/>
            </w:tcBorders>
            <w:vAlign w:val="center"/>
          </w:tcPr>
          <w:p w14:paraId="33B929B9" w14:textId="75884CF9"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Nov 20</w:t>
            </w:r>
          </w:p>
        </w:tc>
        <w:tc>
          <w:tcPr>
            <w:tcW w:w="574" w:type="dxa"/>
            <w:tcBorders>
              <w:top w:val="single" w:sz="4" w:space="0" w:color="auto"/>
              <w:bottom w:val="single" w:sz="4" w:space="0" w:color="auto"/>
            </w:tcBorders>
            <w:vAlign w:val="center"/>
          </w:tcPr>
          <w:p w14:paraId="61826A8F" w14:textId="0FF42694"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Dec 20</w:t>
            </w:r>
          </w:p>
        </w:tc>
        <w:tc>
          <w:tcPr>
            <w:tcW w:w="583" w:type="dxa"/>
            <w:tcBorders>
              <w:top w:val="single" w:sz="4" w:space="0" w:color="auto"/>
              <w:bottom w:val="single" w:sz="4" w:space="0" w:color="auto"/>
            </w:tcBorders>
            <w:vAlign w:val="center"/>
          </w:tcPr>
          <w:p w14:paraId="633ECD4F" w14:textId="43132447"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Jan 21</w:t>
            </w:r>
          </w:p>
        </w:tc>
        <w:tc>
          <w:tcPr>
            <w:tcW w:w="582" w:type="dxa"/>
            <w:tcBorders>
              <w:top w:val="single" w:sz="4" w:space="0" w:color="auto"/>
              <w:bottom w:val="single" w:sz="4" w:space="0" w:color="auto"/>
            </w:tcBorders>
            <w:vAlign w:val="center"/>
          </w:tcPr>
          <w:p w14:paraId="7B5735F9" w14:textId="13F406C3"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Feb 21</w:t>
            </w:r>
          </w:p>
        </w:tc>
        <w:tc>
          <w:tcPr>
            <w:tcW w:w="582" w:type="dxa"/>
            <w:tcBorders>
              <w:top w:val="single" w:sz="4" w:space="0" w:color="auto"/>
              <w:bottom w:val="single" w:sz="4" w:space="0" w:color="auto"/>
            </w:tcBorders>
            <w:vAlign w:val="center"/>
          </w:tcPr>
          <w:p w14:paraId="5BBE8F56" w14:textId="02CF1FA8"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Mar 21</w:t>
            </w:r>
          </w:p>
        </w:tc>
        <w:tc>
          <w:tcPr>
            <w:tcW w:w="582" w:type="dxa"/>
            <w:tcBorders>
              <w:top w:val="single" w:sz="4" w:space="0" w:color="auto"/>
              <w:bottom w:val="single" w:sz="4" w:space="0" w:color="auto"/>
            </w:tcBorders>
            <w:vAlign w:val="center"/>
          </w:tcPr>
          <w:p w14:paraId="388DB614" w14:textId="57EF9507"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Apr 21</w:t>
            </w:r>
          </w:p>
        </w:tc>
        <w:tc>
          <w:tcPr>
            <w:tcW w:w="583" w:type="dxa"/>
            <w:tcBorders>
              <w:top w:val="single" w:sz="4" w:space="0" w:color="auto"/>
              <w:bottom w:val="single" w:sz="4" w:space="0" w:color="auto"/>
              <w:right w:val="single" w:sz="4" w:space="0" w:color="auto"/>
            </w:tcBorders>
            <w:vAlign w:val="center"/>
          </w:tcPr>
          <w:p w14:paraId="2F8EDCF5" w14:textId="17C1FCC2" w:rsidR="00D16518" w:rsidRPr="00D1651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D16518">
              <w:rPr>
                <w:rFonts w:ascii="Calibri" w:hAnsi="Calibri" w:cs="Calibri"/>
                <w:color w:val="000000"/>
                <w:sz w:val="16"/>
                <w:szCs w:val="16"/>
              </w:rPr>
              <w:t>May 21</w:t>
            </w:r>
          </w:p>
        </w:tc>
        <w:tc>
          <w:tcPr>
            <w:tcW w:w="555" w:type="dxa"/>
            <w:tcBorders>
              <w:top w:val="single" w:sz="4" w:space="0" w:color="auto"/>
              <w:left w:val="single" w:sz="4" w:space="0" w:color="auto"/>
              <w:bottom w:val="single" w:sz="6" w:space="0" w:color="auto"/>
              <w:right w:val="single" w:sz="4" w:space="0" w:color="auto"/>
            </w:tcBorders>
            <w:vAlign w:val="center"/>
          </w:tcPr>
          <w:p w14:paraId="16BF659E" w14:textId="77777777" w:rsidR="00D16518" w:rsidRPr="00F31098" w:rsidRDefault="00D16518" w:rsidP="00D1651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Total</w:t>
            </w:r>
          </w:p>
        </w:tc>
      </w:tr>
      <w:tr w:rsidR="000D6E21" w:rsidRPr="00F31098" w14:paraId="611C5857" w14:textId="77777777" w:rsidTr="000D6E21">
        <w:trPr>
          <w:trHeight w:val="283"/>
        </w:trPr>
        <w:tc>
          <w:tcPr>
            <w:tcW w:w="868" w:type="dxa"/>
            <w:vMerge w:val="restart"/>
            <w:tcBorders>
              <w:top w:val="single" w:sz="6" w:space="0" w:color="auto"/>
              <w:left w:val="single" w:sz="4" w:space="0" w:color="auto"/>
              <w:right w:val="nil"/>
            </w:tcBorders>
          </w:tcPr>
          <w:p w14:paraId="653CD05C"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(mean weeks)</w:t>
            </w:r>
          </w:p>
        </w:tc>
        <w:tc>
          <w:tcPr>
            <w:tcW w:w="1299" w:type="dxa"/>
            <w:tcBorders>
              <w:top w:val="single" w:sz="6" w:space="0" w:color="auto"/>
              <w:left w:val="nil"/>
              <w:bottom w:val="nil"/>
              <w:right w:val="nil"/>
            </w:tcBorders>
            <w:vAlign w:val="center"/>
          </w:tcPr>
          <w:p w14:paraId="69124CF6"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570" w:type="dxa"/>
            <w:tcBorders>
              <w:top w:val="single" w:sz="4" w:space="0" w:color="auto"/>
              <w:left w:val="nil"/>
              <w:bottom w:val="nil"/>
              <w:right w:val="nil"/>
            </w:tcBorders>
            <w:shd w:val="clear" w:color="auto" w:fill="auto"/>
            <w:vAlign w:val="center"/>
          </w:tcPr>
          <w:p w14:paraId="7E1F56A6" w14:textId="3CDE14E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37.4</w:t>
            </w:r>
          </w:p>
        </w:tc>
        <w:tc>
          <w:tcPr>
            <w:tcW w:w="660" w:type="dxa"/>
            <w:tcBorders>
              <w:top w:val="single" w:sz="4" w:space="0" w:color="auto"/>
              <w:left w:val="nil"/>
              <w:bottom w:val="nil"/>
              <w:right w:val="nil"/>
            </w:tcBorders>
            <w:shd w:val="clear" w:color="auto" w:fill="auto"/>
            <w:vAlign w:val="center"/>
          </w:tcPr>
          <w:p w14:paraId="134C23FB" w14:textId="487DB27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41.4</w:t>
            </w:r>
            <w:r w:rsidR="00F604E2">
              <w:rPr>
                <w:rFonts w:ascii="Calibri" w:hAnsi="Calibri" w:cs="Calibri"/>
                <w:color w:val="000000"/>
                <w:sz w:val="16"/>
                <w:szCs w:val="16"/>
              </w:rPr>
              <w:t xml:space="preserve"> r</w:t>
            </w:r>
          </w:p>
        </w:tc>
        <w:tc>
          <w:tcPr>
            <w:tcW w:w="658" w:type="dxa"/>
            <w:tcBorders>
              <w:top w:val="single" w:sz="4" w:space="0" w:color="auto"/>
              <w:left w:val="nil"/>
              <w:bottom w:val="nil"/>
              <w:right w:val="nil"/>
            </w:tcBorders>
            <w:shd w:val="clear" w:color="auto" w:fill="auto"/>
            <w:vAlign w:val="center"/>
          </w:tcPr>
          <w:p w14:paraId="6B0D0975" w14:textId="5E24FF3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34.6</w:t>
            </w:r>
          </w:p>
        </w:tc>
        <w:tc>
          <w:tcPr>
            <w:tcW w:w="569" w:type="dxa"/>
            <w:tcBorders>
              <w:top w:val="single" w:sz="4" w:space="0" w:color="auto"/>
              <w:left w:val="nil"/>
              <w:bottom w:val="nil"/>
              <w:right w:val="nil"/>
            </w:tcBorders>
            <w:shd w:val="clear" w:color="auto" w:fill="auto"/>
            <w:vAlign w:val="center"/>
          </w:tcPr>
          <w:p w14:paraId="6E30ACF6" w14:textId="2394156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45.2</w:t>
            </w:r>
          </w:p>
        </w:tc>
        <w:tc>
          <w:tcPr>
            <w:tcW w:w="569" w:type="dxa"/>
            <w:tcBorders>
              <w:top w:val="single" w:sz="4" w:space="0" w:color="auto"/>
              <w:left w:val="nil"/>
              <w:bottom w:val="nil"/>
              <w:right w:val="nil"/>
            </w:tcBorders>
            <w:shd w:val="clear" w:color="auto" w:fill="auto"/>
            <w:vAlign w:val="center"/>
          </w:tcPr>
          <w:p w14:paraId="5C684317" w14:textId="69988B3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38.9</w:t>
            </w:r>
          </w:p>
        </w:tc>
        <w:tc>
          <w:tcPr>
            <w:tcW w:w="574" w:type="dxa"/>
            <w:tcBorders>
              <w:top w:val="single" w:sz="4" w:space="0" w:color="auto"/>
              <w:left w:val="nil"/>
              <w:bottom w:val="nil"/>
              <w:right w:val="nil"/>
            </w:tcBorders>
            <w:shd w:val="clear" w:color="auto" w:fill="auto"/>
            <w:vAlign w:val="center"/>
          </w:tcPr>
          <w:p w14:paraId="26E2AE96" w14:textId="6C26369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37.5</w:t>
            </w:r>
          </w:p>
        </w:tc>
        <w:tc>
          <w:tcPr>
            <w:tcW w:w="574" w:type="dxa"/>
            <w:tcBorders>
              <w:top w:val="single" w:sz="4" w:space="0" w:color="auto"/>
              <w:left w:val="nil"/>
              <w:bottom w:val="nil"/>
              <w:right w:val="nil"/>
            </w:tcBorders>
            <w:shd w:val="clear" w:color="auto" w:fill="auto"/>
            <w:vAlign w:val="center"/>
          </w:tcPr>
          <w:p w14:paraId="6150732D" w14:textId="3C0FAD0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43.6</w:t>
            </w:r>
          </w:p>
        </w:tc>
        <w:tc>
          <w:tcPr>
            <w:tcW w:w="583" w:type="dxa"/>
            <w:tcBorders>
              <w:top w:val="single" w:sz="4" w:space="0" w:color="auto"/>
              <w:left w:val="nil"/>
              <w:bottom w:val="nil"/>
              <w:right w:val="nil"/>
            </w:tcBorders>
            <w:shd w:val="clear" w:color="auto" w:fill="auto"/>
            <w:vAlign w:val="center"/>
          </w:tcPr>
          <w:p w14:paraId="665F7883" w14:textId="5755110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42.7</w:t>
            </w:r>
          </w:p>
        </w:tc>
        <w:tc>
          <w:tcPr>
            <w:tcW w:w="582" w:type="dxa"/>
            <w:tcBorders>
              <w:top w:val="single" w:sz="4" w:space="0" w:color="auto"/>
              <w:left w:val="nil"/>
              <w:bottom w:val="nil"/>
              <w:right w:val="nil"/>
            </w:tcBorders>
            <w:shd w:val="clear" w:color="auto" w:fill="auto"/>
            <w:vAlign w:val="center"/>
          </w:tcPr>
          <w:p w14:paraId="779F1A65" w14:textId="639C536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52.7</w:t>
            </w:r>
          </w:p>
        </w:tc>
        <w:tc>
          <w:tcPr>
            <w:tcW w:w="582" w:type="dxa"/>
            <w:tcBorders>
              <w:top w:val="single" w:sz="4" w:space="0" w:color="auto"/>
              <w:left w:val="nil"/>
              <w:bottom w:val="nil"/>
              <w:right w:val="nil"/>
            </w:tcBorders>
            <w:shd w:val="clear" w:color="auto" w:fill="auto"/>
            <w:vAlign w:val="center"/>
          </w:tcPr>
          <w:p w14:paraId="2DC4889B" w14:textId="7F38482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26.5</w:t>
            </w:r>
            <w:r w:rsidR="001A12B1">
              <w:rPr>
                <w:rFonts w:ascii="Calibri" w:hAnsi="Calibri" w:cs="Calibri"/>
                <w:color w:val="000000"/>
                <w:sz w:val="16"/>
                <w:szCs w:val="16"/>
              </w:rPr>
              <w:t>r</w:t>
            </w:r>
          </w:p>
        </w:tc>
        <w:tc>
          <w:tcPr>
            <w:tcW w:w="582" w:type="dxa"/>
            <w:tcBorders>
              <w:top w:val="single" w:sz="4" w:space="0" w:color="auto"/>
              <w:left w:val="nil"/>
              <w:bottom w:val="nil"/>
              <w:right w:val="nil"/>
            </w:tcBorders>
            <w:shd w:val="clear" w:color="auto" w:fill="auto"/>
            <w:vAlign w:val="center"/>
          </w:tcPr>
          <w:p w14:paraId="67B97C25" w14:textId="26DB492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33.3</w:t>
            </w:r>
          </w:p>
        </w:tc>
        <w:tc>
          <w:tcPr>
            <w:tcW w:w="583" w:type="dxa"/>
            <w:tcBorders>
              <w:top w:val="single" w:sz="4" w:space="0" w:color="auto"/>
              <w:left w:val="nil"/>
              <w:bottom w:val="nil"/>
              <w:right w:val="single" w:sz="4" w:space="0" w:color="auto"/>
            </w:tcBorders>
            <w:shd w:val="clear" w:color="auto" w:fill="auto"/>
            <w:vAlign w:val="center"/>
          </w:tcPr>
          <w:p w14:paraId="51DC8F7A" w14:textId="7873E60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22.8</w:t>
            </w:r>
          </w:p>
        </w:tc>
        <w:tc>
          <w:tcPr>
            <w:tcW w:w="555" w:type="dxa"/>
            <w:tcBorders>
              <w:top w:val="single" w:sz="4" w:space="0" w:color="auto"/>
              <w:left w:val="single" w:sz="4" w:space="0" w:color="auto"/>
              <w:bottom w:val="nil"/>
              <w:right w:val="single" w:sz="4" w:space="0" w:color="auto"/>
            </w:tcBorders>
            <w:shd w:val="clear" w:color="auto" w:fill="auto"/>
            <w:vAlign w:val="center"/>
          </w:tcPr>
          <w:p w14:paraId="157914B6" w14:textId="38F2153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38.8</w:t>
            </w:r>
          </w:p>
        </w:tc>
      </w:tr>
      <w:tr w:rsidR="000D6E21" w:rsidRPr="00F31098" w14:paraId="40E03820" w14:textId="77777777" w:rsidTr="000D6E21">
        <w:trPr>
          <w:trHeight w:val="283"/>
        </w:trPr>
        <w:tc>
          <w:tcPr>
            <w:tcW w:w="868" w:type="dxa"/>
            <w:vMerge/>
            <w:tcBorders>
              <w:left w:val="single" w:sz="4" w:space="0" w:color="auto"/>
              <w:right w:val="nil"/>
            </w:tcBorders>
            <w:vAlign w:val="center"/>
          </w:tcPr>
          <w:p w14:paraId="1775F3B9"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1299" w:type="dxa"/>
            <w:tcBorders>
              <w:top w:val="nil"/>
              <w:left w:val="nil"/>
              <w:right w:val="nil"/>
            </w:tcBorders>
            <w:vAlign w:val="center"/>
          </w:tcPr>
          <w:p w14:paraId="2313CC30"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570" w:type="dxa"/>
            <w:tcBorders>
              <w:top w:val="nil"/>
              <w:left w:val="nil"/>
              <w:bottom w:val="nil"/>
              <w:right w:val="nil"/>
            </w:tcBorders>
            <w:shd w:val="clear" w:color="auto" w:fill="auto"/>
            <w:vAlign w:val="center"/>
          </w:tcPr>
          <w:p w14:paraId="498D07F5" w14:textId="1658906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660" w:type="dxa"/>
            <w:tcBorders>
              <w:top w:val="nil"/>
              <w:left w:val="nil"/>
              <w:bottom w:val="nil"/>
              <w:right w:val="nil"/>
            </w:tcBorders>
            <w:shd w:val="clear" w:color="auto" w:fill="auto"/>
            <w:vAlign w:val="center"/>
          </w:tcPr>
          <w:p w14:paraId="42771686" w14:textId="660BCFB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658" w:type="dxa"/>
            <w:tcBorders>
              <w:top w:val="nil"/>
              <w:left w:val="nil"/>
              <w:bottom w:val="nil"/>
              <w:right w:val="nil"/>
            </w:tcBorders>
            <w:shd w:val="clear" w:color="auto" w:fill="auto"/>
            <w:vAlign w:val="center"/>
          </w:tcPr>
          <w:p w14:paraId="6DA7E852" w14:textId="3E8CCA0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62.1</w:t>
            </w:r>
          </w:p>
        </w:tc>
        <w:tc>
          <w:tcPr>
            <w:tcW w:w="569" w:type="dxa"/>
            <w:tcBorders>
              <w:top w:val="nil"/>
              <w:left w:val="nil"/>
              <w:bottom w:val="nil"/>
              <w:right w:val="nil"/>
            </w:tcBorders>
            <w:shd w:val="clear" w:color="auto" w:fill="auto"/>
            <w:vAlign w:val="center"/>
          </w:tcPr>
          <w:p w14:paraId="5D88833B" w14:textId="65F5964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69" w:type="dxa"/>
            <w:tcBorders>
              <w:top w:val="nil"/>
              <w:left w:val="nil"/>
              <w:bottom w:val="nil"/>
              <w:right w:val="nil"/>
            </w:tcBorders>
            <w:shd w:val="clear" w:color="auto" w:fill="auto"/>
            <w:vAlign w:val="center"/>
          </w:tcPr>
          <w:p w14:paraId="591F4892" w14:textId="4F4C6D5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74" w:type="dxa"/>
            <w:tcBorders>
              <w:top w:val="nil"/>
              <w:left w:val="nil"/>
              <w:bottom w:val="nil"/>
              <w:right w:val="nil"/>
            </w:tcBorders>
            <w:shd w:val="clear" w:color="auto" w:fill="auto"/>
            <w:vAlign w:val="center"/>
          </w:tcPr>
          <w:p w14:paraId="202FF696" w14:textId="459C503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74" w:type="dxa"/>
            <w:tcBorders>
              <w:top w:val="nil"/>
              <w:left w:val="nil"/>
              <w:bottom w:val="nil"/>
              <w:right w:val="nil"/>
            </w:tcBorders>
            <w:shd w:val="clear" w:color="auto" w:fill="auto"/>
            <w:vAlign w:val="center"/>
          </w:tcPr>
          <w:p w14:paraId="6B13A165" w14:textId="3CF427D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83" w:type="dxa"/>
            <w:tcBorders>
              <w:top w:val="nil"/>
              <w:left w:val="nil"/>
              <w:bottom w:val="nil"/>
              <w:right w:val="nil"/>
            </w:tcBorders>
            <w:shd w:val="clear" w:color="auto" w:fill="auto"/>
            <w:vAlign w:val="center"/>
          </w:tcPr>
          <w:p w14:paraId="6B2395C7" w14:textId="5941B5E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89.8</w:t>
            </w:r>
          </w:p>
        </w:tc>
        <w:tc>
          <w:tcPr>
            <w:tcW w:w="582" w:type="dxa"/>
            <w:tcBorders>
              <w:top w:val="nil"/>
              <w:left w:val="nil"/>
              <w:bottom w:val="nil"/>
              <w:right w:val="nil"/>
            </w:tcBorders>
            <w:shd w:val="clear" w:color="auto" w:fill="auto"/>
            <w:vAlign w:val="center"/>
          </w:tcPr>
          <w:p w14:paraId="4F35D752" w14:textId="2F37F7D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65.0</w:t>
            </w:r>
          </w:p>
        </w:tc>
        <w:tc>
          <w:tcPr>
            <w:tcW w:w="582" w:type="dxa"/>
            <w:tcBorders>
              <w:top w:val="nil"/>
              <w:left w:val="nil"/>
              <w:bottom w:val="nil"/>
              <w:right w:val="nil"/>
            </w:tcBorders>
            <w:shd w:val="clear" w:color="auto" w:fill="auto"/>
            <w:vAlign w:val="center"/>
          </w:tcPr>
          <w:p w14:paraId="5F925182" w14:textId="2D358AD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80.0</w:t>
            </w:r>
          </w:p>
        </w:tc>
        <w:tc>
          <w:tcPr>
            <w:tcW w:w="582" w:type="dxa"/>
            <w:tcBorders>
              <w:top w:val="nil"/>
              <w:left w:val="nil"/>
              <w:bottom w:val="nil"/>
              <w:right w:val="nil"/>
            </w:tcBorders>
            <w:shd w:val="clear" w:color="auto" w:fill="auto"/>
            <w:vAlign w:val="center"/>
          </w:tcPr>
          <w:p w14:paraId="0B4DD793" w14:textId="10246A2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82.1</w:t>
            </w:r>
            <w:r w:rsidR="00A95C91">
              <w:rPr>
                <w:rFonts w:ascii="Calibri" w:hAnsi="Calibri" w:cs="Calibri"/>
                <w:color w:val="000000"/>
                <w:sz w:val="16"/>
                <w:szCs w:val="16"/>
              </w:rPr>
              <w:t>r</w:t>
            </w:r>
          </w:p>
        </w:tc>
        <w:tc>
          <w:tcPr>
            <w:tcW w:w="583" w:type="dxa"/>
            <w:tcBorders>
              <w:top w:val="nil"/>
              <w:left w:val="nil"/>
              <w:bottom w:val="nil"/>
              <w:right w:val="single" w:sz="4" w:space="0" w:color="auto"/>
            </w:tcBorders>
            <w:shd w:val="clear" w:color="auto" w:fill="auto"/>
            <w:vAlign w:val="center"/>
          </w:tcPr>
          <w:p w14:paraId="4453D2BB" w14:textId="6C6FC49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60.0</w:t>
            </w:r>
          </w:p>
        </w:tc>
        <w:tc>
          <w:tcPr>
            <w:tcW w:w="555" w:type="dxa"/>
            <w:tcBorders>
              <w:top w:val="nil"/>
              <w:left w:val="single" w:sz="4" w:space="0" w:color="auto"/>
              <w:bottom w:val="nil"/>
              <w:right w:val="single" w:sz="4" w:space="0" w:color="auto"/>
            </w:tcBorders>
            <w:shd w:val="clear" w:color="auto" w:fill="auto"/>
            <w:vAlign w:val="center"/>
          </w:tcPr>
          <w:p w14:paraId="5EC82FD7" w14:textId="3E68462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76.6</w:t>
            </w:r>
          </w:p>
        </w:tc>
      </w:tr>
      <w:tr w:rsidR="000D6E21" w:rsidRPr="00F31098" w14:paraId="50230E6E" w14:textId="77777777" w:rsidTr="000D6E21">
        <w:trPr>
          <w:trHeight w:val="283"/>
        </w:trPr>
        <w:tc>
          <w:tcPr>
            <w:tcW w:w="868" w:type="dxa"/>
            <w:vMerge/>
            <w:tcBorders>
              <w:left w:val="single" w:sz="4" w:space="0" w:color="auto"/>
              <w:right w:val="nil"/>
            </w:tcBorders>
            <w:vAlign w:val="center"/>
          </w:tcPr>
          <w:p w14:paraId="74D6087A"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1299" w:type="dxa"/>
            <w:tcBorders>
              <w:top w:val="nil"/>
              <w:left w:val="nil"/>
              <w:bottom w:val="single" w:sz="4" w:space="0" w:color="auto"/>
              <w:right w:val="nil"/>
            </w:tcBorders>
            <w:vAlign w:val="center"/>
          </w:tcPr>
          <w:p w14:paraId="52101CE4"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570" w:type="dxa"/>
            <w:tcBorders>
              <w:top w:val="nil"/>
              <w:left w:val="nil"/>
              <w:bottom w:val="single" w:sz="4" w:space="0" w:color="auto"/>
              <w:right w:val="nil"/>
            </w:tcBorders>
            <w:shd w:val="clear" w:color="auto" w:fill="auto"/>
            <w:vAlign w:val="center"/>
          </w:tcPr>
          <w:p w14:paraId="4F31384F" w14:textId="78085D3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62.0</w:t>
            </w:r>
          </w:p>
        </w:tc>
        <w:tc>
          <w:tcPr>
            <w:tcW w:w="660" w:type="dxa"/>
            <w:tcBorders>
              <w:top w:val="nil"/>
              <w:left w:val="nil"/>
              <w:bottom w:val="single" w:sz="4" w:space="0" w:color="auto"/>
              <w:right w:val="nil"/>
            </w:tcBorders>
            <w:shd w:val="clear" w:color="auto" w:fill="auto"/>
            <w:vAlign w:val="center"/>
          </w:tcPr>
          <w:p w14:paraId="2E4A149A" w14:textId="4E5A663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71.6</w:t>
            </w:r>
          </w:p>
        </w:tc>
        <w:tc>
          <w:tcPr>
            <w:tcW w:w="658" w:type="dxa"/>
            <w:tcBorders>
              <w:top w:val="nil"/>
              <w:left w:val="nil"/>
              <w:bottom w:val="single" w:sz="4" w:space="0" w:color="auto"/>
              <w:right w:val="nil"/>
            </w:tcBorders>
            <w:shd w:val="clear" w:color="auto" w:fill="auto"/>
            <w:vAlign w:val="center"/>
          </w:tcPr>
          <w:p w14:paraId="6B0532FB" w14:textId="5DE1064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47.9</w:t>
            </w:r>
          </w:p>
        </w:tc>
        <w:tc>
          <w:tcPr>
            <w:tcW w:w="569" w:type="dxa"/>
            <w:tcBorders>
              <w:top w:val="nil"/>
              <w:left w:val="nil"/>
              <w:bottom w:val="single" w:sz="4" w:space="0" w:color="auto"/>
              <w:right w:val="nil"/>
            </w:tcBorders>
            <w:shd w:val="clear" w:color="auto" w:fill="auto"/>
            <w:vAlign w:val="center"/>
          </w:tcPr>
          <w:p w14:paraId="4181BB9F" w14:textId="288949B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63.7</w:t>
            </w:r>
          </w:p>
        </w:tc>
        <w:tc>
          <w:tcPr>
            <w:tcW w:w="569" w:type="dxa"/>
            <w:tcBorders>
              <w:top w:val="nil"/>
              <w:left w:val="nil"/>
              <w:bottom w:val="single" w:sz="4" w:space="0" w:color="auto"/>
              <w:right w:val="nil"/>
            </w:tcBorders>
            <w:shd w:val="clear" w:color="auto" w:fill="auto"/>
            <w:vAlign w:val="center"/>
          </w:tcPr>
          <w:p w14:paraId="2907A718" w14:textId="7A76F7E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37.3</w:t>
            </w:r>
          </w:p>
        </w:tc>
        <w:tc>
          <w:tcPr>
            <w:tcW w:w="574" w:type="dxa"/>
            <w:tcBorders>
              <w:top w:val="nil"/>
              <w:left w:val="nil"/>
              <w:bottom w:val="single" w:sz="4" w:space="0" w:color="auto"/>
              <w:right w:val="nil"/>
            </w:tcBorders>
            <w:shd w:val="clear" w:color="auto" w:fill="auto"/>
            <w:vAlign w:val="center"/>
          </w:tcPr>
          <w:p w14:paraId="25A1FF83" w14:textId="4779C06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66.7</w:t>
            </w:r>
          </w:p>
        </w:tc>
        <w:tc>
          <w:tcPr>
            <w:tcW w:w="574" w:type="dxa"/>
            <w:tcBorders>
              <w:top w:val="nil"/>
              <w:left w:val="nil"/>
              <w:bottom w:val="single" w:sz="4" w:space="0" w:color="auto"/>
              <w:right w:val="nil"/>
            </w:tcBorders>
            <w:shd w:val="clear" w:color="auto" w:fill="auto"/>
            <w:vAlign w:val="center"/>
          </w:tcPr>
          <w:p w14:paraId="52D41C7B" w14:textId="67ADA49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59.9</w:t>
            </w:r>
          </w:p>
        </w:tc>
        <w:tc>
          <w:tcPr>
            <w:tcW w:w="583" w:type="dxa"/>
            <w:tcBorders>
              <w:top w:val="nil"/>
              <w:left w:val="nil"/>
              <w:bottom w:val="single" w:sz="4" w:space="0" w:color="auto"/>
              <w:right w:val="nil"/>
            </w:tcBorders>
            <w:shd w:val="clear" w:color="auto" w:fill="auto"/>
            <w:vAlign w:val="center"/>
          </w:tcPr>
          <w:p w14:paraId="2E5576FF" w14:textId="490DDA4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58.4</w:t>
            </w:r>
          </w:p>
        </w:tc>
        <w:tc>
          <w:tcPr>
            <w:tcW w:w="582" w:type="dxa"/>
            <w:tcBorders>
              <w:top w:val="nil"/>
              <w:left w:val="nil"/>
              <w:bottom w:val="single" w:sz="4" w:space="0" w:color="auto"/>
              <w:right w:val="nil"/>
            </w:tcBorders>
            <w:shd w:val="clear" w:color="auto" w:fill="auto"/>
            <w:vAlign w:val="center"/>
          </w:tcPr>
          <w:p w14:paraId="1FC2E616" w14:textId="2955DF5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77.6</w:t>
            </w:r>
          </w:p>
        </w:tc>
        <w:tc>
          <w:tcPr>
            <w:tcW w:w="582" w:type="dxa"/>
            <w:tcBorders>
              <w:top w:val="nil"/>
              <w:left w:val="nil"/>
              <w:bottom w:val="single" w:sz="4" w:space="0" w:color="auto"/>
              <w:right w:val="nil"/>
            </w:tcBorders>
            <w:shd w:val="clear" w:color="auto" w:fill="auto"/>
            <w:vAlign w:val="center"/>
          </w:tcPr>
          <w:p w14:paraId="13019E7B" w14:textId="7A1C1F4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18.0</w:t>
            </w:r>
          </w:p>
        </w:tc>
        <w:tc>
          <w:tcPr>
            <w:tcW w:w="582" w:type="dxa"/>
            <w:tcBorders>
              <w:top w:val="nil"/>
              <w:left w:val="nil"/>
              <w:bottom w:val="single" w:sz="4" w:space="0" w:color="auto"/>
              <w:right w:val="nil"/>
            </w:tcBorders>
            <w:shd w:val="clear" w:color="auto" w:fill="auto"/>
            <w:vAlign w:val="center"/>
          </w:tcPr>
          <w:p w14:paraId="402988E9" w14:textId="6009A28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85.1</w:t>
            </w:r>
            <w:r w:rsidR="00A95C91">
              <w:rPr>
                <w:rFonts w:ascii="Calibri" w:hAnsi="Calibri" w:cs="Calibri"/>
                <w:color w:val="000000"/>
                <w:sz w:val="16"/>
                <w:szCs w:val="16"/>
              </w:rPr>
              <w:t>r</w:t>
            </w:r>
          </w:p>
        </w:tc>
        <w:tc>
          <w:tcPr>
            <w:tcW w:w="583" w:type="dxa"/>
            <w:tcBorders>
              <w:top w:val="nil"/>
              <w:left w:val="nil"/>
              <w:bottom w:val="single" w:sz="4" w:space="0" w:color="auto"/>
              <w:right w:val="single" w:sz="4" w:space="0" w:color="auto"/>
            </w:tcBorders>
            <w:shd w:val="clear" w:color="auto" w:fill="auto"/>
            <w:vAlign w:val="center"/>
          </w:tcPr>
          <w:p w14:paraId="14761D47" w14:textId="24ED1A5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100.0</w:t>
            </w:r>
          </w:p>
        </w:tc>
        <w:tc>
          <w:tcPr>
            <w:tcW w:w="555" w:type="dxa"/>
            <w:tcBorders>
              <w:top w:val="nil"/>
              <w:left w:val="single" w:sz="4" w:space="0" w:color="auto"/>
              <w:bottom w:val="single" w:sz="4" w:space="0" w:color="auto"/>
              <w:right w:val="single" w:sz="4" w:space="0" w:color="auto"/>
            </w:tcBorders>
            <w:shd w:val="clear" w:color="auto" w:fill="auto"/>
            <w:vAlign w:val="center"/>
          </w:tcPr>
          <w:p w14:paraId="124DDCFA" w14:textId="2E30623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62.2</w:t>
            </w:r>
          </w:p>
        </w:tc>
      </w:tr>
      <w:tr w:rsidR="000D6E21" w:rsidRPr="00F31098" w14:paraId="0BAE21D4" w14:textId="77777777" w:rsidTr="000D6E21">
        <w:trPr>
          <w:trHeight w:val="283"/>
        </w:trPr>
        <w:tc>
          <w:tcPr>
            <w:tcW w:w="868" w:type="dxa"/>
            <w:vMerge/>
            <w:tcBorders>
              <w:left w:val="single" w:sz="4" w:space="0" w:color="auto"/>
              <w:bottom w:val="single" w:sz="6" w:space="0" w:color="auto"/>
              <w:right w:val="nil"/>
            </w:tcBorders>
            <w:vAlign w:val="center"/>
          </w:tcPr>
          <w:p w14:paraId="6BED60DC"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1299" w:type="dxa"/>
            <w:tcBorders>
              <w:top w:val="single" w:sz="4" w:space="0" w:color="auto"/>
              <w:left w:val="nil"/>
              <w:bottom w:val="single" w:sz="6" w:space="0" w:color="auto"/>
              <w:right w:val="nil"/>
            </w:tcBorders>
            <w:vAlign w:val="center"/>
          </w:tcPr>
          <w:p w14:paraId="0CA9BC08"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570" w:type="dxa"/>
            <w:tcBorders>
              <w:top w:val="single" w:sz="4" w:space="0" w:color="auto"/>
              <w:left w:val="nil"/>
              <w:bottom w:val="single" w:sz="4" w:space="0" w:color="auto"/>
              <w:right w:val="nil"/>
            </w:tcBorders>
            <w:shd w:val="clear" w:color="auto" w:fill="auto"/>
            <w:vAlign w:val="center"/>
          </w:tcPr>
          <w:p w14:paraId="669F25CB" w14:textId="5575704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40.6</w:t>
            </w:r>
          </w:p>
        </w:tc>
        <w:tc>
          <w:tcPr>
            <w:tcW w:w="660" w:type="dxa"/>
            <w:tcBorders>
              <w:top w:val="single" w:sz="4" w:space="0" w:color="auto"/>
              <w:left w:val="nil"/>
              <w:bottom w:val="single" w:sz="4" w:space="0" w:color="auto"/>
              <w:right w:val="nil"/>
            </w:tcBorders>
            <w:shd w:val="clear" w:color="auto" w:fill="auto"/>
            <w:vAlign w:val="center"/>
          </w:tcPr>
          <w:p w14:paraId="0279C101" w14:textId="408C43F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42.8</w:t>
            </w:r>
            <w:r w:rsidR="00273103">
              <w:rPr>
                <w:rFonts w:ascii="Calibri" w:hAnsi="Calibri" w:cs="Calibri"/>
                <w:color w:val="000000"/>
                <w:sz w:val="16"/>
                <w:szCs w:val="16"/>
              </w:rPr>
              <w:t>r</w:t>
            </w:r>
          </w:p>
        </w:tc>
        <w:tc>
          <w:tcPr>
            <w:tcW w:w="658" w:type="dxa"/>
            <w:tcBorders>
              <w:top w:val="single" w:sz="4" w:space="0" w:color="auto"/>
              <w:left w:val="nil"/>
              <w:bottom w:val="single" w:sz="4" w:space="0" w:color="auto"/>
              <w:right w:val="nil"/>
            </w:tcBorders>
            <w:shd w:val="clear" w:color="auto" w:fill="auto"/>
            <w:vAlign w:val="center"/>
          </w:tcPr>
          <w:p w14:paraId="13EDF831" w14:textId="5105B92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37.6</w:t>
            </w:r>
            <w:r w:rsidR="001A12B1">
              <w:rPr>
                <w:rFonts w:ascii="Calibri" w:hAnsi="Calibri" w:cs="Calibri"/>
                <w:color w:val="000000"/>
                <w:sz w:val="16"/>
                <w:szCs w:val="16"/>
              </w:rPr>
              <w:t xml:space="preserve"> r</w:t>
            </w:r>
          </w:p>
        </w:tc>
        <w:tc>
          <w:tcPr>
            <w:tcW w:w="569" w:type="dxa"/>
            <w:tcBorders>
              <w:top w:val="single" w:sz="4" w:space="0" w:color="auto"/>
              <w:left w:val="nil"/>
              <w:bottom w:val="single" w:sz="4" w:space="0" w:color="auto"/>
              <w:right w:val="nil"/>
            </w:tcBorders>
            <w:shd w:val="clear" w:color="auto" w:fill="auto"/>
            <w:vAlign w:val="center"/>
          </w:tcPr>
          <w:p w14:paraId="2B572574" w14:textId="33B1A6A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47.0</w:t>
            </w:r>
          </w:p>
        </w:tc>
        <w:tc>
          <w:tcPr>
            <w:tcW w:w="569" w:type="dxa"/>
            <w:tcBorders>
              <w:top w:val="single" w:sz="4" w:space="0" w:color="auto"/>
              <w:left w:val="nil"/>
              <w:bottom w:val="single" w:sz="4" w:space="0" w:color="auto"/>
              <w:right w:val="nil"/>
            </w:tcBorders>
            <w:shd w:val="clear" w:color="auto" w:fill="auto"/>
            <w:vAlign w:val="center"/>
          </w:tcPr>
          <w:p w14:paraId="49449FB8" w14:textId="2C96E0A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38.8</w:t>
            </w:r>
          </w:p>
        </w:tc>
        <w:tc>
          <w:tcPr>
            <w:tcW w:w="574" w:type="dxa"/>
            <w:tcBorders>
              <w:top w:val="single" w:sz="4" w:space="0" w:color="auto"/>
              <w:left w:val="nil"/>
              <w:bottom w:val="single" w:sz="4" w:space="0" w:color="auto"/>
              <w:right w:val="nil"/>
            </w:tcBorders>
            <w:shd w:val="clear" w:color="auto" w:fill="auto"/>
            <w:vAlign w:val="center"/>
          </w:tcPr>
          <w:p w14:paraId="68B021BE" w14:textId="0FB8A58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39.4</w:t>
            </w:r>
          </w:p>
        </w:tc>
        <w:tc>
          <w:tcPr>
            <w:tcW w:w="574" w:type="dxa"/>
            <w:tcBorders>
              <w:top w:val="single" w:sz="4" w:space="0" w:color="auto"/>
              <w:left w:val="nil"/>
              <w:bottom w:val="single" w:sz="4" w:space="0" w:color="auto"/>
              <w:right w:val="nil"/>
            </w:tcBorders>
            <w:shd w:val="clear" w:color="auto" w:fill="auto"/>
            <w:vAlign w:val="center"/>
          </w:tcPr>
          <w:p w14:paraId="480B764D" w14:textId="00015EE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44.3</w:t>
            </w:r>
          </w:p>
        </w:tc>
        <w:tc>
          <w:tcPr>
            <w:tcW w:w="583" w:type="dxa"/>
            <w:tcBorders>
              <w:top w:val="single" w:sz="4" w:space="0" w:color="auto"/>
              <w:left w:val="nil"/>
              <w:bottom w:val="single" w:sz="4" w:space="0" w:color="auto"/>
              <w:right w:val="nil"/>
            </w:tcBorders>
            <w:shd w:val="clear" w:color="auto" w:fill="auto"/>
            <w:vAlign w:val="center"/>
          </w:tcPr>
          <w:p w14:paraId="7AC6409C" w14:textId="0407BFC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46.1</w:t>
            </w:r>
          </w:p>
        </w:tc>
        <w:tc>
          <w:tcPr>
            <w:tcW w:w="582" w:type="dxa"/>
            <w:tcBorders>
              <w:top w:val="single" w:sz="4" w:space="0" w:color="auto"/>
              <w:left w:val="nil"/>
              <w:bottom w:val="single" w:sz="4" w:space="0" w:color="auto"/>
              <w:right w:val="nil"/>
            </w:tcBorders>
            <w:shd w:val="clear" w:color="auto" w:fill="auto"/>
            <w:vAlign w:val="center"/>
          </w:tcPr>
          <w:p w14:paraId="22A99C4E" w14:textId="23E8404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53.7</w:t>
            </w:r>
          </w:p>
        </w:tc>
        <w:tc>
          <w:tcPr>
            <w:tcW w:w="582" w:type="dxa"/>
            <w:tcBorders>
              <w:top w:val="single" w:sz="4" w:space="0" w:color="auto"/>
              <w:left w:val="nil"/>
              <w:bottom w:val="single" w:sz="4" w:space="0" w:color="auto"/>
              <w:right w:val="nil"/>
            </w:tcBorders>
            <w:shd w:val="clear" w:color="auto" w:fill="auto"/>
            <w:vAlign w:val="center"/>
          </w:tcPr>
          <w:p w14:paraId="5FDE2B15" w14:textId="2287F16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28.6</w:t>
            </w:r>
            <w:r w:rsidR="00273103">
              <w:rPr>
                <w:rFonts w:ascii="Calibri" w:hAnsi="Calibri" w:cs="Calibri"/>
                <w:color w:val="000000"/>
                <w:sz w:val="16"/>
                <w:szCs w:val="16"/>
              </w:rPr>
              <w:t>r</w:t>
            </w:r>
          </w:p>
        </w:tc>
        <w:tc>
          <w:tcPr>
            <w:tcW w:w="582" w:type="dxa"/>
            <w:tcBorders>
              <w:top w:val="single" w:sz="4" w:space="0" w:color="auto"/>
              <w:left w:val="nil"/>
              <w:bottom w:val="single" w:sz="4" w:space="0" w:color="auto"/>
              <w:right w:val="nil"/>
            </w:tcBorders>
            <w:shd w:val="clear" w:color="auto" w:fill="auto"/>
            <w:vAlign w:val="center"/>
          </w:tcPr>
          <w:p w14:paraId="6927C128" w14:textId="1FF6D63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36.7</w:t>
            </w:r>
            <w:r w:rsidR="001A12B1">
              <w:rPr>
                <w:rFonts w:ascii="Calibri" w:hAnsi="Calibri" w:cs="Calibri"/>
                <w:color w:val="000000"/>
                <w:sz w:val="16"/>
                <w:szCs w:val="16"/>
              </w:rPr>
              <w:t>r</w:t>
            </w:r>
          </w:p>
        </w:tc>
        <w:tc>
          <w:tcPr>
            <w:tcW w:w="583" w:type="dxa"/>
            <w:tcBorders>
              <w:top w:val="single" w:sz="4" w:space="0" w:color="auto"/>
              <w:left w:val="nil"/>
              <w:bottom w:val="single" w:sz="4" w:space="0" w:color="auto"/>
              <w:right w:val="single" w:sz="4" w:space="0" w:color="auto"/>
            </w:tcBorders>
            <w:shd w:val="clear" w:color="auto" w:fill="auto"/>
            <w:vAlign w:val="center"/>
          </w:tcPr>
          <w:p w14:paraId="352A1764" w14:textId="221D83D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24.8</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AD01479" w14:textId="67A61C2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40.6</w:t>
            </w:r>
          </w:p>
        </w:tc>
      </w:tr>
      <w:tr w:rsidR="000D6E21" w:rsidRPr="00F31098" w14:paraId="378A08C3" w14:textId="77777777" w:rsidTr="000D6E21">
        <w:trPr>
          <w:trHeight w:val="283"/>
        </w:trPr>
        <w:tc>
          <w:tcPr>
            <w:tcW w:w="868" w:type="dxa"/>
            <w:vMerge w:val="restart"/>
            <w:tcBorders>
              <w:top w:val="single" w:sz="6" w:space="0" w:color="auto"/>
              <w:left w:val="single" w:sz="4" w:space="0" w:color="auto"/>
              <w:right w:val="nil"/>
            </w:tcBorders>
          </w:tcPr>
          <w:p w14:paraId="32547A83"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(median weeks)</w:t>
            </w:r>
          </w:p>
        </w:tc>
        <w:tc>
          <w:tcPr>
            <w:tcW w:w="1299" w:type="dxa"/>
            <w:tcBorders>
              <w:top w:val="single" w:sz="6" w:space="0" w:color="auto"/>
              <w:left w:val="nil"/>
              <w:bottom w:val="nil"/>
              <w:right w:val="nil"/>
            </w:tcBorders>
            <w:vAlign w:val="center"/>
          </w:tcPr>
          <w:p w14:paraId="6DECCBC7"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570" w:type="dxa"/>
            <w:tcBorders>
              <w:top w:val="nil"/>
              <w:left w:val="nil"/>
              <w:bottom w:val="nil"/>
              <w:right w:val="nil"/>
            </w:tcBorders>
            <w:shd w:val="clear" w:color="auto" w:fill="auto"/>
            <w:vAlign w:val="center"/>
          </w:tcPr>
          <w:p w14:paraId="3052897B" w14:textId="6CACE3A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34.5</w:t>
            </w:r>
          </w:p>
        </w:tc>
        <w:tc>
          <w:tcPr>
            <w:tcW w:w="660" w:type="dxa"/>
            <w:tcBorders>
              <w:top w:val="nil"/>
              <w:left w:val="nil"/>
              <w:bottom w:val="nil"/>
              <w:right w:val="nil"/>
            </w:tcBorders>
            <w:shd w:val="clear" w:color="auto" w:fill="auto"/>
            <w:vAlign w:val="center"/>
          </w:tcPr>
          <w:p w14:paraId="6970F4A5" w14:textId="3FA5F92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40.6</w:t>
            </w:r>
            <w:r w:rsidR="00A95C91">
              <w:rPr>
                <w:rFonts w:ascii="Calibri" w:hAnsi="Calibri" w:cs="Calibri"/>
                <w:color w:val="000000"/>
                <w:sz w:val="16"/>
                <w:szCs w:val="16"/>
              </w:rPr>
              <w:t>r</w:t>
            </w:r>
          </w:p>
        </w:tc>
        <w:tc>
          <w:tcPr>
            <w:tcW w:w="658" w:type="dxa"/>
            <w:tcBorders>
              <w:top w:val="nil"/>
              <w:left w:val="nil"/>
              <w:bottom w:val="nil"/>
              <w:right w:val="nil"/>
            </w:tcBorders>
            <w:shd w:val="clear" w:color="auto" w:fill="auto"/>
            <w:vAlign w:val="center"/>
          </w:tcPr>
          <w:p w14:paraId="2D664A4A" w14:textId="01E2369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35.9</w:t>
            </w:r>
          </w:p>
        </w:tc>
        <w:tc>
          <w:tcPr>
            <w:tcW w:w="569" w:type="dxa"/>
            <w:tcBorders>
              <w:top w:val="nil"/>
              <w:left w:val="nil"/>
              <w:bottom w:val="nil"/>
              <w:right w:val="nil"/>
            </w:tcBorders>
            <w:shd w:val="clear" w:color="auto" w:fill="auto"/>
            <w:vAlign w:val="center"/>
          </w:tcPr>
          <w:p w14:paraId="483CC562" w14:textId="0B7FE4A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48.1</w:t>
            </w:r>
          </w:p>
        </w:tc>
        <w:tc>
          <w:tcPr>
            <w:tcW w:w="569" w:type="dxa"/>
            <w:tcBorders>
              <w:top w:val="nil"/>
              <w:left w:val="nil"/>
              <w:bottom w:val="nil"/>
              <w:right w:val="nil"/>
            </w:tcBorders>
            <w:shd w:val="clear" w:color="auto" w:fill="auto"/>
            <w:vAlign w:val="center"/>
          </w:tcPr>
          <w:p w14:paraId="5E6D2BE6" w14:textId="3251A19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33.7</w:t>
            </w:r>
          </w:p>
        </w:tc>
        <w:tc>
          <w:tcPr>
            <w:tcW w:w="574" w:type="dxa"/>
            <w:tcBorders>
              <w:top w:val="nil"/>
              <w:left w:val="nil"/>
              <w:bottom w:val="nil"/>
              <w:right w:val="nil"/>
            </w:tcBorders>
            <w:shd w:val="clear" w:color="auto" w:fill="auto"/>
            <w:vAlign w:val="center"/>
          </w:tcPr>
          <w:p w14:paraId="1D39F498" w14:textId="36E672C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39.1</w:t>
            </w:r>
          </w:p>
        </w:tc>
        <w:tc>
          <w:tcPr>
            <w:tcW w:w="574" w:type="dxa"/>
            <w:tcBorders>
              <w:top w:val="nil"/>
              <w:left w:val="nil"/>
              <w:bottom w:val="nil"/>
              <w:right w:val="nil"/>
            </w:tcBorders>
            <w:shd w:val="clear" w:color="auto" w:fill="auto"/>
            <w:vAlign w:val="center"/>
          </w:tcPr>
          <w:p w14:paraId="53691D1F" w14:textId="41FF292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42.4</w:t>
            </w:r>
          </w:p>
        </w:tc>
        <w:tc>
          <w:tcPr>
            <w:tcW w:w="583" w:type="dxa"/>
            <w:tcBorders>
              <w:top w:val="nil"/>
              <w:left w:val="nil"/>
              <w:bottom w:val="nil"/>
              <w:right w:val="nil"/>
            </w:tcBorders>
            <w:shd w:val="clear" w:color="auto" w:fill="auto"/>
            <w:vAlign w:val="center"/>
          </w:tcPr>
          <w:p w14:paraId="028F070E" w14:textId="070FD22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43.6</w:t>
            </w:r>
          </w:p>
        </w:tc>
        <w:tc>
          <w:tcPr>
            <w:tcW w:w="582" w:type="dxa"/>
            <w:tcBorders>
              <w:top w:val="nil"/>
              <w:left w:val="nil"/>
              <w:bottom w:val="nil"/>
              <w:right w:val="nil"/>
            </w:tcBorders>
            <w:shd w:val="clear" w:color="auto" w:fill="auto"/>
            <w:vAlign w:val="center"/>
          </w:tcPr>
          <w:p w14:paraId="440E60EE" w14:textId="08A211D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53.0</w:t>
            </w:r>
          </w:p>
        </w:tc>
        <w:tc>
          <w:tcPr>
            <w:tcW w:w="582" w:type="dxa"/>
            <w:tcBorders>
              <w:top w:val="nil"/>
              <w:left w:val="nil"/>
              <w:bottom w:val="nil"/>
              <w:right w:val="nil"/>
            </w:tcBorders>
            <w:shd w:val="clear" w:color="auto" w:fill="auto"/>
            <w:vAlign w:val="center"/>
          </w:tcPr>
          <w:p w14:paraId="76A950D1" w14:textId="4C93E04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14.6</w:t>
            </w:r>
            <w:r w:rsidR="00A95C91">
              <w:rPr>
                <w:rFonts w:ascii="Calibri" w:hAnsi="Calibri" w:cs="Calibri"/>
                <w:color w:val="000000"/>
                <w:sz w:val="16"/>
                <w:szCs w:val="16"/>
              </w:rPr>
              <w:t>r</w:t>
            </w:r>
          </w:p>
        </w:tc>
        <w:tc>
          <w:tcPr>
            <w:tcW w:w="582" w:type="dxa"/>
            <w:tcBorders>
              <w:top w:val="nil"/>
              <w:left w:val="nil"/>
              <w:bottom w:val="nil"/>
              <w:right w:val="nil"/>
            </w:tcBorders>
            <w:shd w:val="clear" w:color="auto" w:fill="auto"/>
            <w:vAlign w:val="center"/>
          </w:tcPr>
          <w:p w14:paraId="588E6845" w14:textId="0E9BA21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21.9</w:t>
            </w:r>
          </w:p>
        </w:tc>
        <w:tc>
          <w:tcPr>
            <w:tcW w:w="583" w:type="dxa"/>
            <w:tcBorders>
              <w:top w:val="nil"/>
              <w:left w:val="nil"/>
              <w:bottom w:val="nil"/>
              <w:right w:val="single" w:sz="4" w:space="0" w:color="auto"/>
            </w:tcBorders>
            <w:shd w:val="clear" w:color="auto" w:fill="auto"/>
            <w:vAlign w:val="center"/>
          </w:tcPr>
          <w:p w14:paraId="6A431321" w14:textId="303E078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15.4</w:t>
            </w:r>
          </w:p>
        </w:tc>
        <w:tc>
          <w:tcPr>
            <w:tcW w:w="555" w:type="dxa"/>
            <w:tcBorders>
              <w:top w:val="nil"/>
              <w:left w:val="single" w:sz="4" w:space="0" w:color="auto"/>
              <w:bottom w:val="nil"/>
              <w:right w:val="single" w:sz="4" w:space="0" w:color="auto"/>
            </w:tcBorders>
            <w:shd w:val="clear" w:color="auto" w:fill="auto"/>
            <w:vAlign w:val="center"/>
          </w:tcPr>
          <w:p w14:paraId="2A41C0B1" w14:textId="42FB3EE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36.3</w:t>
            </w:r>
          </w:p>
        </w:tc>
      </w:tr>
      <w:tr w:rsidR="000D6E21" w:rsidRPr="00F31098" w14:paraId="3C97126F" w14:textId="77777777" w:rsidTr="000D6E21">
        <w:trPr>
          <w:trHeight w:val="283"/>
        </w:trPr>
        <w:tc>
          <w:tcPr>
            <w:tcW w:w="868" w:type="dxa"/>
            <w:vMerge/>
            <w:tcBorders>
              <w:left w:val="single" w:sz="4" w:space="0" w:color="auto"/>
              <w:bottom w:val="nil"/>
              <w:right w:val="nil"/>
            </w:tcBorders>
            <w:vAlign w:val="center"/>
          </w:tcPr>
          <w:p w14:paraId="457EFF1A"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1299" w:type="dxa"/>
            <w:tcBorders>
              <w:top w:val="nil"/>
              <w:left w:val="nil"/>
              <w:right w:val="nil"/>
            </w:tcBorders>
            <w:vAlign w:val="center"/>
          </w:tcPr>
          <w:p w14:paraId="340D4F41"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570" w:type="dxa"/>
            <w:tcBorders>
              <w:top w:val="nil"/>
              <w:left w:val="nil"/>
              <w:bottom w:val="nil"/>
              <w:right w:val="nil"/>
            </w:tcBorders>
            <w:shd w:val="clear" w:color="auto" w:fill="auto"/>
            <w:vAlign w:val="center"/>
          </w:tcPr>
          <w:p w14:paraId="7DA63D09" w14:textId="05D877F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660" w:type="dxa"/>
            <w:tcBorders>
              <w:top w:val="nil"/>
              <w:left w:val="nil"/>
              <w:bottom w:val="nil"/>
              <w:right w:val="nil"/>
            </w:tcBorders>
            <w:shd w:val="clear" w:color="auto" w:fill="auto"/>
            <w:vAlign w:val="center"/>
          </w:tcPr>
          <w:p w14:paraId="6D808CF6" w14:textId="0320600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658" w:type="dxa"/>
            <w:tcBorders>
              <w:top w:val="nil"/>
              <w:left w:val="nil"/>
              <w:bottom w:val="nil"/>
              <w:right w:val="nil"/>
            </w:tcBorders>
            <w:shd w:val="clear" w:color="auto" w:fill="auto"/>
            <w:vAlign w:val="center"/>
          </w:tcPr>
          <w:p w14:paraId="77AC9B98" w14:textId="78418A2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62.1</w:t>
            </w:r>
          </w:p>
        </w:tc>
        <w:tc>
          <w:tcPr>
            <w:tcW w:w="569" w:type="dxa"/>
            <w:tcBorders>
              <w:top w:val="nil"/>
              <w:left w:val="nil"/>
              <w:bottom w:val="nil"/>
              <w:right w:val="nil"/>
            </w:tcBorders>
            <w:shd w:val="clear" w:color="auto" w:fill="auto"/>
            <w:vAlign w:val="center"/>
          </w:tcPr>
          <w:p w14:paraId="33DA1B84" w14:textId="1DB49DC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69" w:type="dxa"/>
            <w:tcBorders>
              <w:top w:val="nil"/>
              <w:left w:val="nil"/>
              <w:bottom w:val="nil"/>
              <w:right w:val="nil"/>
            </w:tcBorders>
            <w:shd w:val="clear" w:color="auto" w:fill="auto"/>
            <w:vAlign w:val="center"/>
          </w:tcPr>
          <w:p w14:paraId="515E7630" w14:textId="1766497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74" w:type="dxa"/>
            <w:tcBorders>
              <w:top w:val="nil"/>
              <w:left w:val="nil"/>
              <w:bottom w:val="nil"/>
              <w:right w:val="nil"/>
            </w:tcBorders>
            <w:shd w:val="clear" w:color="auto" w:fill="auto"/>
            <w:vAlign w:val="center"/>
          </w:tcPr>
          <w:p w14:paraId="2FE8E41C" w14:textId="7F27035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74" w:type="dxa"/>
            <w:tcBorders>
              <w:top w:val="nil"/>
              <w:left w:val="nil"/>
              <w:bottom w:val="nil"/>
              <w:right w:val="nil"/>
            </w:tcBorders>
            <w:shd w:val="clear" w:color="auto" w:fill="auto"/>
            <w:vAlign w:val="center"/>
          </w:tcPr>
          <w:p w14:paraId="1483C364" w14:textId="19A561A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83" w:type="dxa"/>
            <w:tcBorders>
              <w:top w:val="nil"/>
              <w:left w:val="nil"/>
              <w:bottom w:val="nil"/>
              <w:right w:val="nil"/>
            </w:tcBorders>
            <w:shd w:val="clear" w:color="auto" w:fill="auto"/>
            <w:vAlign w:val="center"/>
          </w:tcPr>
          <w:p w14:paraId="1DEB962B" w14:textId="4C0A455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102.1</w:t>
            </w:r>
          </w:p>
        </w:tc>
        <w:tc>
          <w:tcPr>
            <w:tcW w:w="582" w:type="dxa"/>
            <w:tcBorders>
              <w:top w:val="nil"/>
              <w:left w:val="nil"/>
              <w:bottom w:val="nil"/>
              <w:right w:val="nil"/>
            </w:tcBorders>
            <w:shd w:val="clear" w:color="auto" w:fill="auto"/>
            <w:vAlign w:val="center"/>
          </w:tcPr>
          <w:p w14:paraId="71ECA3FE" w14:textId="098A0C8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65.0</w:t>
            </w:r>
          </w:p>
        </w:tc>
        <w:tc>
          <w:tcPr>
            <w:tcW w:w="582" w:type="dxa"/>
            <w:tcBorders>
              <w:top w:val="nil"/>
              <w:left w:val="nil"/>
              <w:bottom w:val="nil"/>
              <w:right w:val="nil"/>
            </w:tcBorders>
            <w:shd w:val="clear" w:color="auto" w:fill="auto"/>
            <w:vAlign w:val="center"/>
          </w:tcPr>
          <w:p w14:paraId="1E5C4634" w14:textId="7696DA6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80.0</w:t>
            </w:r>
          </w:p>
        </w:tc>
        <w:tc>
          <w:tcPr>
            <w:tcW w:w="582" w:type="dxa"/>
            <w:tcBorders>
              <w:top w:val="nil"/>
              <w:left w:val="nil"/>
              <w:bottom w:val="nil"/>
              <w:right w:val="nil"/>
            </w:tcBorders>
            <w:shd w:val="clear" w:color="auto" w:fill="auto"/>
            <w:vAlign w:val="center"/>
          </w:tcPr>
          <w:p w14:paraId="54FE0757" w14:textId="600F652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82.1</w:t>
            </w:r>
            <w:r w:rsidR="00A95C91">
              <w:rPr>
                <w:rFonts w:ascii="Calibri" w:hAnsi="Calibri" w:cs="Calibri"/>
                <w:color w:val="000000"/>
                <w:sz w:val="16"/>
                <w:szCs w:val="16"/>
              </w:rPr>
              <w:t>r</w:t>
            </w:r>
          </w:p>
        </w:tc>
        <w:tc>
          <w:tcPr>
            <w:tcW w:w="583" w:type="dxa"/>
            <w:tcBorders>
              <w:top w:val="nil"/>
              <w:left w:val="nil"/>
              <w:bottom w:val="nil"/>
              <w:right w:val="single" w:sz="4" w:space="0" w:color="auto"/>
            </w:tcBorders>
            <w:shd w:val="clear" w:color="auto" w:fill="auto"/>
            <w:vAlign w:val="center"/>
          </w:tcPr>
          <w:p w14:paraId="306C7544" w14:textId="27F19DA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60.0</w:t>
            </w:r>
          </w:p>
        </w:tc>
        <w:tc>
          <w:tcPr>
            <w:tcW w:w="555" w:type="dxa"/>
            <w:tcBorders>
              <w:top w:val="nil"/>
              <w:left w:val="single" w:sz="4" w:space="0" w:color="auto"/>
              <w:bottom w:val="nil"/>
              <w:right w:val="single" w:sz="4" w:space="0" w:color="auto"/>
            </w:tcBorders>
            <w:shd w:val="clear" w:color="auto" w:fill="auto"/>
            <w:vAlign w:val="center"/>
          </w:tcPr>
          <w:p w14:paraId="4BDB7151" w14:textId="0D7CF78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65.0</w:t>
            </w:r>
          </w:p>
        </w:tc>
      </w:tr>
      <w:tr w:rsidR="000D6E21" w:rsidRPr="00F31098" w14:paraId="0C396107" w14:textId="77777777" w:rsidTr="000D6E21">
        <w:trPr>
          <w:trHeight w:val="283"/>
        </w:trPr>
        <w:tc>
          <w:tcPr>
            <w:tcW w:w="868" w:type="dxa"/>
            <w:tcBorders>
              <w:top w:val="nil"/>
              <w:left w:val="single" w:sz="4" w:space="0" w:color="auto"/>
              <w:bottom w:val="nil"/>
              <w:right w:val="nil"/>
            </w:tcBorders>
            <w:vAlign w:val="center"/>
          </w:tcPr>
          <w:p w14:paraId="0AAAF648"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1299" w:type="dxa"/>
            <w:tcBorders>
              <w:top w:val="nil"/>
              <w:left w:val="nil"/>
              <w:bottom w:val="single" w:sz="4" w:space="0" w:color="auto"/>
              <w:right w:val="nil"/>
            </w:tcBorders>
            <w:vAlign w:val="center"/>
          </w:tcPr>
          <w:p w14:paraId="5BB6E658"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570" w:type="dxa"/>
            <w:tcBorders>
              <w:top w:val="nil"/>
              <w:left w:val="nil"/>
              <w:bottom w:val="single" w:sz="4" w:space="0" w:color="auto"/>
              <w:right w:val="nil"/>
            </w:tcBorders>
            <w:shd w:val="clear" w:color="auto" w:fill="auto"/>
            <w:vAlign w:val="center"/>
          </w:tcPr>
          <w:p w14:paraId="12AFB508" w14:textId="7C06A36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63.5</w:t>
            </w:r>
          </w:p>
        </w:tc>
        <w:tc>
          <w:tcPr>
            <w:tcW w:w="660" w:type="dxa"/>
            <w:tcBorders>
              <w:top w:val="nil"/>
              <w:left w:val="nil"/>
              <w:bottom w:val="single" w:sz="4" w:space="0" w:color="auto"/>
              <w:right w:val="nil"/>
            </w:tcBorders>
            <w:shd w:val="clear" w:color="auto" w:fill="auto"/>
            <w:vAlign w:val="center"/>
          </w:tcPr>
          <w:p w14:paraId="79C0BF6E" w14:textId="3DC335B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71.6</w:t>
            </w:r>
          </w:p>
        </w:tc>
        <w:tc>
          <w:tcPr>
            <w:tcW w:w="658" w:type="dxa"/>
            <w:tcBorders>
              <w:top w:val="nil"/>
              <w:left w:val="nil"/>
              <w:bottom w:val="single" w:sz="4" w:space="0" w:color="auto"/>
              <w:right w:val="nil"/>
            </w:tcBorders>
            <w:shd w:val="clear" w:color="auto" w:fill="auto"/>
            <w:vAlign w:val="center"/>
          </w:tcPr>
          <w:p w14:paraId="727CE2C2" w14:textId="0D5E1DE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43.1</w:t>
            </w:r>
          </w:p>
        </w:tc>
        <w:tc>
          <w:tcPr>
            <w:tcW w:w="569" w:type="dxa"/>
            <w:tcBorders>
              <w:top w:val="nil"/>
              <w:left w:val="nil"/>
              <w:bottom w:val="single" w:sz="4" w:space="0" w:color="auto"/>
              <w:right w:val="nil"/>
            </w:tcBorders>
            <w:shd w:val="clear" w:color="auto" w:fill="auto"/>
            <w:vAlign w:val="center"/>
          </w:tcPr>
          <w:p w14:paraId="3C1419CC" w14:textId="231B12C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65.0</w:t>
            </w:r>
          </w:p>
        </w:tc>
        <w:tc>
          <w:tcPr>
            <w:tcW w:w="569" w:type="dxa"/>
            <w:tcBorders>
              <w:top w:val="nil"/>
              <w:left w:val="nil"/>
              <w:bottom w:val="single" w:sz="4" w:space="0" w:color="auto"/>
              <w:right w:val="nil"/>
            </w:tcBorders>
            <w:shd w:val="clear" w:color="auto" w:fill="auto"/>
            <w:vAlign w:val="center"/>
          </w:tcPr>
          <w:p w14:paraId="6A2E818C" w14:textId="3364485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37.3</w:t>
            </w:r>
          </w:p>
        </w:tc>
        <w:tc>
          <w:tcPr>
            <w:tcW w:w="574" w:type="dxa"/>
            <w:tcBorders>
              <w:top w:val="nil"/>
              <w:left w:val="nil"/>
              <w:bottom w:val="single" w:sz="4" w:space="0" w:color="auto"/>
              <w:right w:val="nil"/>
            </w:tcBorders>
            <w:shd w:val="clear" w:color="auto" w:fill="auto"/>
            <w:vAlign w:val="center"/>
          </w:tcPr>
          <w:p w14:paraId="152CBAEB" w14:textId="7105E86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60.4</w:t>
            </w:r>
          </w:p>
        </w:tc>
        <w:tc>
          <w:tcPr>
            <w:tcW w:w="574" w:type="dxa"/>
            <w:tcBorders>
              <w:top w:val="nil"/>
              <w:left w:val="nil"/>
              <w:bottom w:val="single" w:sz="4" w:space="0" w:color="auto"/>
              <w:right w:val="nil"/>
            </w:tcBorders>
            <w:shd w:val="clear" w:color="auto" w:fill="auto"/>
            <w:vAlign w:val="center"/>
          </w:tcPr>
          <w:p w14:paraId="700B81CA" w14:textId="39ED09F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59.9</w:t>
            </w:r>
          </w:p>
        </w:tc>
        <w:tc>
          <w:tcPr>
            <w:tcW w:w="583" w:type="dxa"/>
            <w:tcBorders>
              <w:top w:val="nil"/>
              <w:left w:val="nil"/>
              <w:bottom w:val="single" w:sz="4" w:space="0" w:color="auto"/>
              <w:right w:val="nil"/>
            </w:tcBorders>
            <w:shd w:val="clear" w:color="auto" w:fill="auto"/>
            <w:vAlign w:val="center"/>
          </w:tcPr>
          <w:p w14:paraId="047F19F9" w14:textId="3AAEB87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64.0</w:t>
            </w:r>
          </w:p>
        </w:tc>
        <w:tc>
          <w:tcPr>
            <w:tcW w:w="582" w:type="dxa"/>
            <w:tcBorders>
              <w:top w:val="nil"/>
              <w:left w:val="nil"/>
              <w:bottom w:val="single" w:sz="4" w:space="0" w:color="auto"/>
              <w:right w:val="nil"/>
            </w:tcBorders>
            <w:shd w:val="clear" w:color="auto" w:fill="auto"/>
            <w:vAlign w:val="center"/>
          </w:tcPr>
          <w:p w14:paraId="1B14150A" w14:textId="0836B46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81.9</w:t>
            </w:r>
          </w:p>
        </w:tc>
        <w:tc>
          <w:tcPr>
            <w:tcW w:w="582" w:type="dxa"/>
            <w:tcBorders>
              <w:top w:val="nil"/>
              <w:left w:val="nil"/>
              <w:bottom w:val="single" w:sz="4" w:space="0" w:color="auto"/>
              <w:right w:val="nil"/>
            </w:tcBorders>
            <w:shd w:val="clear" w:color="auto" w:fill="auto"/>
            <w:vAlign w:val="center"/>
          </w:tcPr>
          <w:p w14:paraId="6C77E138" w14:textId="026BA49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18.0</w:t>
            </w:r>
          </w:p>
        </w:tc>
        <w:tc>
          <w:tcPr>
            <w:tcW w:w="582" w:type="dxa"/>
            <w:tcBorders>
              <w:top w:val="nil"/>
              <w:left w:val="nil"/>
              <w:bottom w:val="single" w:sz="4" w:space="0" w:color="auto"/>
              <w:right w:val="nil"/>
            </w:tcBorders>
            <w:shd w:val="clear" w:color="auto" w:fill="auto"/>
            <w:vAlign w:val="center"/>
          </w:tcPr>
          <w:p w14:paraId="4E081136" w14:textId="49A8317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85.1</w:t>
            </w:r>
            <w:r w:rsidR="00A95C91">
              <w:rPr>
                <w:rFonts w:ascii="Calibri" w:hAnsi="Calibri" w:cs="Calibri"/>
                <w:color w:val="000000"/>
                <w:sz w:val="16"/>
                <w:szCs w:val="16"/>
              </w:rPr>
              <w:t>r</w:t>
            </w:r>
          </w:p>
        </w:tc>
        <w:tc>
          <w:tcPr>
            <w:tcW w:w="583" w:type="dxa"/>
            <w:tcBorders>
              <w:top w:val="nil"/>
              <w:left w:val="nil"/>
              <w:bottom w:val="single" w:sz="4" w:space="0" w:color="auto"/>
              <w:right w:val="single" w:sz="4" w:space="0" w:color="auto"/>
            </w:tcBorders>
            <w:shd w:val="clear" w:color="auto" w:fill="auto"/>
            <w:vAlign w:val="center"/>
          </w:tcPr>
          <w:p w14:paraId="268925CD" w14:textId="5695058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100.0</w:t>
            </w:r>
          </w:p>
        </w:tc>
        <w:tc>
          <w:tcPr>
            <w:tcW w:w="555" w:type="dxa"/>
            <w:tcBorders>
              <w:top w:val="nil"/>
              <w:left w:val="single" w:sz="4" w:space="0" w:color="auto"/>
              <w:bottom w:val="single" w:sz="4" w:space="0" w:color="auto"/>
              <w:right w:val="single" w:sz="4" w:space="0" w:color="auto"/>
            </w:tcBorders>
            <w:shd w:val="clear" w:color="auto" w:fill="auto"/>
            <w:vAlign w:val="center"/>
          </w:tcPr>
          <w:p w14:paraId="767BF380" w14:textId="1576137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65.0</w:t>
            </w:r>
          </w:p>
        </w:tc>
      </w:tr>
      <w:tr w:rsidR="000D6E21" w:rsidRPr="00F31098" w14:paraId="4D78CE7C" w14:textId="77777777" w:rsidTr="000D6E21">
        <w:trPr>
          <w:trHeight w:val="283"/>
        </w:trPr>
        <w:tc>
          <w:tcPr>
            <w:tcW w:w="868" w:type="dxa"/>
            <w:tcBorders>
              <w:top w:val="nil"/>
              <w:left w:val="single" w:sz="4" w:space="0" w:color="auto"/>
              <w:bottom w:val="single" w:sz="6" w:space="0" w:color="auto"/>
              <w:right w:val="nil"/>
            </w:tcBorders>
            <w:vAlign w:val="center"/>
          </w:tcPr>
          <w:p w14:paraId="104BEFD6"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1299" w:type="dxa"/>
            <w:tcBorders>
              <w:top w:val="single" w:sz="4" w:space="0" w:color="auto"/>
              <w:left w:val="nil"/>
              <w:bottom w:val="single" w:sz="6" w:space="0" w:color="auto"/>
              <w:right w:val="nil"/>
            </w:tcBorders>
            <w:vAlign w:val="center"/>
          </w:tcPr>
          <w:p w14:paraId="4C3C9140"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570" w:type="dxa"/>
            <w:tcBorders>
              <w:top w:val="single" w:sz="4" w:space="0" w:color="auto"/>
              <w:left w:val="nil"/>
              <w:bottom w:val="single" w:sz="4" w:space="0" w:color="auto"/>
              <w:right w:val="nil"/>
            </w:tcBorders>
            <w:shd w:val="clear" w:color="auto" w:fill="auto"/>
            <w:vAlign w:val="center"/>
          </w:tcPr>
          <w:p w14:paraId="4A9D1A0B" w14:textId="3C3A798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37.1</w:t>
            </w:r>
          </w:p>
        </w:tc>
        <w:tc>
          <w:tcPr>
            <w:tcW w:w="660" w:type="dxa"/>
            <w:tcBorders>
              <w:top w:val="single" w:sz="4" w:space="0" w:color="auto"/>
              <w:left w:val="nil"/>
              <w:bottom w:val="single" w:sz="4" w:space="0" w:color="auto"/>
              <w:right w:val="nil"/>
            </w:tcBorders>
            <w:shd w:val="clear" w:color="auto" w:fill="auto"/>
            <w:vAlign w:val="center"/>
          </w:tcPr>
          <w:p w14:paraId="07FCF104" w14:textId="5D54EAB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41.1</w:t>
            </w:r>
          </w:p>
        </w:tc>
        <w:tc>
          <w:tcPr>
            <w:tcW w:w="658" w:type="dxa"/>
            <w:tcBorders>
              <w:top w:val="single" w:sz="4" w:space="0" w:color="auto"/>
              <w:left w:val="nil"/>
              <w:bottom w:val="single" w:sz="4" w:space="0" w:color="auto"/>
              <w:right w:val="nil"/>
            </w:tcBorders>
            <w:shd w:val="clear" w:color="auto" w:fill="auto"/>
            <w:vAlign w:val="center"/>
          </w:tcPr>
          <w:p w14:paraId="0DB6D1D7" w14:textId="1DBD779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37.3</w:t>
            </w:r>
            <w:r w:rsidR="00A95C91">
              <w:rPr>
                <w:rFonts w:ascii="Calibri" w:hAnsi="Calibri" w:cs="Calibri"/>
                <w:color w:val="000000"/>
                <w:sz w:val="16"/>
                <w:szCs w:val="16"/>
              </w:rPr>
              <w:t>r</w:t>
            </w:r>
          </w:p>
        </w:tc>
        <w:tc>
          <w:tcPr>
            <w:tcW w:w="569" w:type="dxa"/>
            <w:tcBorders>
              <w:top w:val="single" w:sz="4" w:space="0" w:color="auto"/>
              <w:left w:val="nil"/>
              <w:bottom w:val="single" w:sz="4" w:space="0" w:color="auto"/>
              <w:right w:val="nil"/>
            </w:tcBorders>
            <w:shd w:val="clear" w:color="auto" w:fill="auto"/>
            <w:vAlign w:val="center"/>
          </w:tcPr>
          <w:p w14:paraId="399CDF1A" w14:textId="792EA9A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48.7</w:t>
            </w:r>
          </w:p>
        </w:tc>
        <w:tc>
          <w:tcPr>
            <w:tcW w:w="569" w:type="dxa"/>
            <w:tcBorders>
              <w:top w:val="single" w:sz="4" w:space="0" w:color="auto"/>
              <w:left w:val="nil"/>
              <w:bottom w:val="single" w:sz="4" w:space="0" w:color="auto"/>
              <w:right w:val="nil"/>
            </w:tcBorders>
            <w:shd w:val="clear" w:color="auto" w:fill="auto"/>
            <w:vAlign w:val="center"/>
          </w:tcPr>
          <w:p w14:paraId="5227B28C" w14:textId="5B55EE7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35.5</w:t>
            </w:r>
          </w:p>
        </w:tc>
        <w:tc>
          <w:tcPr>
            <w:tcW w:w="574" w:type="dxa"/>
            <w:tcBorders>
              <w:top w:val="single" w:sz="4" w:space="0" w:color="auto"/>
              <w:left w:val="nil"/>
              <w:bottom w:val="single" w:sz="4" w:space="0" w:color="auto"/>
              <w:right w:val="nil"/>
            </w:tcBorders>
            <w:shd w:val="clear" w:color="auto" w:fill="auto"/>
            <w:vAlign w:val="center"/>
          </w:tcPr>
          <w:p w14:paraId="57F99759" w14:textId="37E7C88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41.1</w:t>
            </w:r>
          </w:p>
        </w:tc>
        <w:tc>
          <w:tcPr>
            <w:tcW w:w="574" w:type="dxa"/>
            <w:tcBorders>
              <w:top w:val="single" w:sz="4" w:space="0" w:color="auto"/>
              <w:left w:val="nil"/>
              <w:bottom w:val="single" w:sz="4" w:space="0" w:color="auto"/>
              <w:right w:val="nil"/>
            </w:tcBorders>
            <w:shd w:val="clear" w:color="auto" w:fill="auto"/>
            <w:vAlign w:val="center"/>
          </w:tcPr>
          <w:p w14:paraId="1D302027" w14:textId="40F3A47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44.0</w:t>
            </w:r>
          </w:p>
        </w:tc>
        <w:tc>
          <w:tcPr>
            <w:tcW w:w="583" w:type="dxa"/>
            <w:tcBorders>
              <w:top w:val="single" w:sz="4" w:space="0" w:color="auto"/>
              <w:left w:val="nil"/>
              <w:bottom w:val="single" w:sz="4" w:space="0" w:color="auto"/>
              <w:right w:val="nil"/>
            </w:tcBorders>
            <w:shd w:val="clear" w:color="auto" w:fill="auto"/>
            <w:vAlign w:val="center"/>
          </w:tcPr>
          <w:p w14:paraId="5A4E4472" w14:textId="2DBFBCD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52.9</w:t>
            </w:r>
          </w:p>
        </w:tc>
        <w:tc>
          <w:tcPr>
            <w:tcW w:w="582" w:type="dxa"/>
            <w:tcBorders>
              <w:top w:val="single" w:sz="4" w:space="0" w:color="auto"/>
              <w:left w:val="nil"/>
              <w:bottom w:val="single" w:sz="4" w:space="0" w:color="auto"/>
              <w:right w:val="nil"/>
            </w:tcBorders>
            <w:shd w:val="clear" w:color="auto" w:fill="auto"/>
            <w:vAlign w:val="center"/>
          </w:tcPr>
          <w:p w14:paraId="07A49FCF" w14:textId="3F069B6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53.3</w:t>
            </w:r>
          </w:p>
        </w:tc>
        <w:tc>
          <w:tcPr>
            <w:tcW w:w="582" w:type="dxa"/>
            <w:tcBorders>
              <w:top w:val="single" w:sz="4" w:space="0" w:color="auto"/>
              <w:left w:val="nil"/>
              <w:bottom w:val="single" w:sz="4" w:space="0" w:color="auto"/>
              <w:right w:val="nil"/>
            </w:tcBorders>
            <w:shd w:val="clear" w:color="auto" w:fill="auto"/>
            <w:vAlign w:val="center"/>
          </w:tcPr>
          <w:p w14:paraId="51938C3C" w14:textId="28D159B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14.9</w:t>
            </w:r>
          </w:p>
        </w:tc>
        <w:tc>
          <w:tcPr>
            <w:tcW w:w="582" w:type="dxa"/>
            <w:tcBorders>
              <w:top w:val="single" w:sz="4" w:space="0" w:color="auto"/>
              <w:left w:val="nil"/>
              <w:bottom w:val="single" w:sz="4" w:space="0" w:color="auto"/>
              <w:right w:val="nil"/>
            </w:tcBorders>
            <w:shd w:val="clear" w:color="auto" w:fill="auto"/>
            <w:vAlign w:val="center"/>
          </w:tcPr>
          <w:p w14:paraId="2477B0F1" w14:textId="547F0AE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22.0</w:t>
            </w:r>
            <w:r w:rsidR="00A95C91">
              <w:rPr>
                <w:rFonts w:ascii="Calibri" w:hAnsi="Calibri" w:cs="Calibri"/>
                <w:color w:val="000000"/>
                <w:sz w:val="16"/>
                <w:szCs w:val="16"/>
              </w:rPr>
              <w:t>r</w:t>
            </w:r>
          </w:p>
        </w:tc>
        <w:tc>
          <w:tcPr>
            <w:tcW w:w="583" w:type="dxa"/>
            <w:tcBorders>
              <w:top w:val="single" w:sz="4" w:space="0" w:color="auto"/>
              <w:left w:val="nil"/>
              <w:bottom w:val="single" w:sz="4" w:space="0" w:color="auto"/>
              <w:right w:val="single" w:sz="4" w:space="0" w:color="auto"/>
            </w:tcBorders>
            <w:shd w:val="clear" w:color="auto" w:fill="auto"/>
            <w:vAlign w:val="center"/>
          </w:tcPr>
          <w:p w14:paraId="1ECBCA8B" w14:textId="14EA610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15.9</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B260ACB" w14:textId="79D4A3C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38.0</w:t>
            </w:r>
          </w:p>
        </w:tc>
      </w:tr>
      <w:tr w:rsidR="000D6E21" w:rsidRPr="00F31098" w14:paraId="24099D94" w14:textId="77777777" w:rsidTr="000D6E21">
        <w:trPr>
          <w:trHeight w:val="283"/>
        </w:trPr>
        <w:tc>
          <w:tcPr>
            <w:tcW w:w="868" w:type="dxa"/>
            <w:vMerge w:val="restart"/>
            <w:tcBorders>
              <w:top w:val="single" w:sz="6" w:space="0" w:color="auto"/>
              <w:left w:val="single" w:sz="4" w:space="0" w:color="auto"/>
              <w:right w:val="nil"/>
            </w:tcBorders>
          </w:tcPr>
          <w:p w14:paraId="2E96427D"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Standard Deviation (weeks)</w:t>
            </w:r>
          </w:p>
        </w:tc>
        <w:tc>
          <w:tcPr>
            <w:tcW w:w="1299" w:type="dxa"/>
            <w:tcBorders>
              <w:top w:val="single" w:sz="6" w:space="0" w:color="auto"/>
              <w:left w:val="nil"/>
              <w:bottom w:val="nil"/>
              <w:right w:val="nil"/>
            </w:tcBorders>
            <w:vAlign w:val="center"/>
          </w:tcPr>
          <w:p w14:paraId="55818E46"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570" w:type="dxa"/>
            <w:tcBorders>
              <w:top w:val="nil"/>
              <w:left w:val="nil"/>
              <w:bottom w:val="nil"/>
              <w:right w:val="nil"/>
            </w:tcBorders>
            <w:shd w:val="clear" w:color="auto" w:fill="auto"/>
            <w:vAlign w:val="center"/>
          </w:tcPr>
          <w:p w14:paraId="663BFD9A" w14:textId="2FADB8C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22.6</w:t>
            </w:r>
          </w:p>
        </w:tc>
        <w:tc>
          <w:tcPr>
            <w:tcW w:w="660" w:type="dxa"/>
            <w:tcBorders>
              <w:top w:val="nil"/>
              <w:left w:val="nil"/>
              <w:bottom w:val="nil"/>
              <w:right w:val="nil"/>
            </w:tcBorders>
            <w:shd w:val="clear" w:color="auto" w:fill="auto"/>
            <w:vAlign w:val="center"/>
          </w:tcPr>
          <w:p w14:paraId="267CE58C" w14:textId="637B59E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16.2</w:t>
            </w:r>
          </w:p>
        </w:tc>
        <w:tc>
          <w:tcPr>
            <w:tcW w:w="658" w:type="dxa"/>
            <w:tcBorders>
              <w:top w:val="nil"/>
              <w:left w:val="nil"/>
              <w:bottom w:val="nil"/>
              <w:right w:val="nil"/>
            </w:tcBorders>
            <w:shd w:val="clear" w:color="auto" w:fill="auto"/>
            <w:vAlign w:val="center"/>
          </w:tcPr>
          <w:p w14:paraId="207EF537" w14:textId="47677C6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17.0</w:t>
            </w:r>
          </w:p>
        </w:tc>
        <w:tc>
          <w:tcPr>
            <w:tcW w:w="569" w:type="dxa"/>
            <w:tcBorders>
              <w:top w:val="nil"/>
              <w:left w:val="nil"/>
              <w:bottom w:val="nil"/>
              <w:right w:val="nil"/>
            </w:tcBorders>
            <w:shd w:val="clear" w:color="auto" w:fill="auto"/>
            <w:vAlign w:val="center"/>
          </w:tcPr>
          <w:p w14:paraId="41921227" w14:textId="19E4340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24.5</w:t>
            </w:r>
          </w:p>
        </w:tc>
        <w:tc>
          <w:tcPr>
            <w:tcW w:w="569" w:type="dxa"/>
            <w:tcBorders>
              <w:top w:val="nil"/>
              <w:left w:val="nil"/>
              <w:bottom w:val="nil"/>
              <w:right w:val="nil"/>
            </w:tcBorders>
            <w:shd w:val="clear" w:color="auto" w:fill="auto"/>
            <w:vAlign w:val="center"/>
          </w:tcPr>
          <w:p w14:paraId="1BCF2D79" w14:textId="1182437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26.6</w:t>
            </w:r>
          </w:p>
        </w:tc>
        <w:tc>
          <w:tcPr>
            <w:tcW w:w="574" w:type="dxa"/>
            <w:tcBorders>
              <w:top w:val="nil"/>
              <w:left w:val="nil"/>
              <w:bottom w:val="nil"/>
              <w:right w:val="nil"/>
            </w:tcBorders>
            <w:shd w:val="clear" w:color="auto" w:fill="auto"/>
            <w:vAlign w:val="center"/>
          </w:tcPr>
          <w:p w14:paraId="7610437C" w14:textId="12A6A8A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16.7</w:t>
            </w:r>
          </w:p>
        </w:tc>
        <w:tc>
          <w:tcPr>
            <w:tcW w:w="574" w:type="dxa"/>
            <w:tcBorders>
              <w:top w:val="nil"/>
              <w:left w:val="nil"/>
              <w:bottom w:val="nil"/>
              <w:right w:val="nil"/>
            </w:tcBorders>
            <w:shd w:val="clear" w:color="auto" w:fill="auto"/>
            <w:vAlign w:val="center"/>
          </w:tcPr>
          <w:p w14:paraId="68F9E5A7" w14:textId="235CD75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25.6</w:t>
            </w:r>
          </w:p>
        </w:tc>
        <w:tc>
          <w:tcPr>
            <w:tcW w:w="583" w:type="dxa"/>
            <w:tcBorders>
              <w:top w:val="nil"/>
              <w:left w:val="nil"/>
              <w:bottom w:val="nil"/>
              <w:right w:val="nil"/>
            </w:tcBorders>
            <w:shd w:val="clear" w:color="auto" w:fill="auto"/>
            <w:vAlign w:val="center"/>
          </w:tcPr>
          <w:p w14:paraId="55EC3060" w14:textId="020276A9"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33.3</w:t>
            </w:r>
          </w:p>
        </w:tc>
        <w:tc>
          <w:tcPr>
            <w:tcW w:w="582" w:type="dxa"/>
            <w:tcBorders>
              <w:top w:val="nil"/>
              <w:left w:val="nil"/>
              <w:bottom w:val="nil"/>
              <w:right w:val="nil"/>
            </w:tcBorders>
            <w:shd w:val="clear" w:color="auto" w:fill="auto"/>
            <w:vAlign w:val="center"/>
          </w:tcPr>
          <w:p w14:paraId="6108C49D" w14:textId="7454268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24.7</w:t>
            </w:r>
          </w:p>
        </w:tc>
        <w:tc>
          <w:tcPr>
            <w:tcW w:w="582" w:type="dxa"/>
            <w:tcBorders>
              <w:top w:val="nil"/>
              <w:left w:val="nil"/>
              <w:bottom w:val="nil"/>
              <w:right w:val="nil"/>
            </w:tcBorders>
            <w:shd w:val="clear" w:color="auto" w:fill="auto"/>
            <w:vAlign w:val="center"/>
          </w:tcPr>
          <w:p w14:paraId="286BB0E6" w14:textId="5B5673F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27.7</w:t>
            </w:r>
            <w:r w:rsidR="00A72382">
              <w:rPr>
                <w:rFonts w:ascii="Calibri" w:hAnsi="Calibri" w:cs="Calibri"/>
                <w:color w:val="000000"/>
                <w:sz w:val="16"/>
                <w:szCs w:val="16"/>
              </w:rPr>
              <w:t>r</w:t>
            </w:r>
          </w:p>
        </w:tc>
        <w:tc>
          <w:tcPr>
            <w:tcW w:w="582" w:type="dxa"/>
            <w:tcBorders>
              <w:top w:val="nil"/>
              <w:left w:val="nil"/>
              <w:bottom w:val="nil"/>
              <w:right w:val="nil"/>
            </w:tcBorders>
            <w:shd w:val="clear" w:color="auto" w:fill="auto"/>
            <w:vAlign w:val="center"/>
          </w:tcPr>
          <w:p w14:paraId="466E36AE" w14:textId="1F076CB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28.4</w:t>
            </w:r>
          </w:p>
        </w:tc>
        <w:tc>
          <w:tcPr>
            <w:tcW w:w="583" w:type="dxa"/>
            <w:tcBorders>
              <w:top w:val="nil"/>
              <w:left w:val="nil"/>
              <w:bottom w:val="nil"/>
              <w:right w:val="single" w:sz="4" w:space="0" w:color="auto"/>
            </w:tcBorders>
            <w:shd w:val="clear" w:color="auto" w:fill="auto"/>
            <w:vAlign w:val="center"/>
          </w:tcPr>
          <w:p w14:paraId="0D3483DC" w14:textId="4476637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19.4</w:t>
            </w:r>
          </w:p>
        </w:tc>
        <w:tc>
          <w:tcPr>
            <w:tcW w:w="555" w:type="dxa"/>
            <w:tcBorders>
              <w:top w:val="nil"/>
              <w:left w:val="single" w:sz="4" w:space="0" w:color="auto"/>
              <w:bottom w:val="nil"/>
              <w:right w:val="single" w:sz="4" w:space="0" w:color="auto"/>
            </w:tcBorders>
            <w:shd w:val="clear" w:color="auto" w:fill="auto"/>
            <w:vAlign w:val="center"/>
          </w:tcPr>
          <w:p w14:paraId="32B34FD0" w14:textId="5EF32D9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25.9</w:t>
            </w:r>
          </w:p>
        </w:tc>
      </w:tr>
      <w:tr w:rsidR="000D6E21" w:rsidRPr="00F31098" w14:paraId="6D3F2BBD" w14:textId="77777777" w:rsidTr="000D6E21">
        <w:trPr>
          <w:trHeight w:val="283"/>
        </w:trPr>
        <w:tc>
          <w:tcPr>
            <w:tcW w:w="868" w:type="dxa"/>
            <w:vMerge/>
            <w:tcBorders>
              <w:left w:val="single" w:sz="4" w:space="0" w:color="auto"/>
              <w:bottom w:val="nil"/>
              <w:right w:val="nil"/>
            </w:tcBorders>
            <w:vAlign w:val="center"/>
          </w:tcPr>
          <w:p w14:paraId="1FEF0764"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1299" w:type="dxa"/>
            <w:tcBorders>
              <w:top w:val="nil"/>
              <w:left w:val="nil"/>
              <w:right w:val="nil"/>
            </w:tcBorders>
            <w:vAlign w:val="center"/>
          </w:tcPr>
          <w:p w14:paraId="2FFB4BE4"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570" w:type="dxa"/>
            <w:tcBorders>
              <w:top w:val="nil"/>
              <w:left w:val="nil"/>
              <w:bottom w:val="nil"/>
              <w:right w:val="nil"/>
            </w:tcBorders>
            <w:shd w:val="clear" w:color="auto" w:fill="auto"/>
            <w:vAlign w:val="center"/>
          </w:tcPr>
          <w:p w14:paraId="569B2505" w14:textId="050EE09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660" w:type="dxa"/>
            <w:tcBorders>
              <w:top w:val="nil"/>
              <w:left w:val="nil"/>
              <w:bottom w:val="nil"/>
              <w:right w:val="nil"/>
            </w:tcBorders>
            <w:shd w:val="clear" w:color="auto" w:fill="auto"/>
            <w:vAlign w:val="center"/>
          </w:tcPr>
          <w:p w14:paraId="18E81DB1" w14:textId="44282F9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658" w:type="dxa"/>
            <w:tcBorders>
              <w:top w:val="nil"/>
              <w:left w:val="nil"/>
              <w:bottom w:val="nil"/>
              <w:right w:val="nil"/>
            </w:tcBorders>
            <w:shd w:val="clear" w:color="auto" w:fill="auto"/>
            <w:vAlign w:val="center"/>
          </w:tcPr>
          <w:p w14:paraId="1BC7BFDB" w14:textId="7E60498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p>
        </w:tc>
        <w:tc>
          <w:tcPr>
            <w:tcW w:w="569" w:type="dxa"/>
            <w:tcBorders>
              <w:top w:val="nil"/>
              <w:left w:val="nil"/>
              <w:bottom w:val="nil"/>
              <w:right w:val="nil"/>
            </w:tcBorders>
            <w:shd w:val="clear" w:color="auto" w:fill="auto"/>
            <w:vAlign w:val="center"/>
          </w:tcPr>
          <w:p w14:paraId="59180302" w14:textId="4DADF7E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69" w:type="dxa"/>
            <w:tcBorders>
              <w:top w:val="nil"/>
              <w:left w:val="nil"/>
              <w:bottom w:val="nil"/>
              <w:right w:val="nil"/>
            </w:tcBorders>
            <w:shd w:val="clear" w:color="auto" w:fill="auto"/>
            <w:vAlign w:val="center"/>
          </w:tcPr>
          <w:p w14:paraId="09384463" w14:textId="6716C99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74" w:type="dxa"/>
            <w:tcBorders>
              <w:top w:val="nil"/>
              <w:left w:val="nil"/>
              <w:bottom w:val="nil"/>
              <w:right w:val="nil"/>
            </w:tcBorders>
            <w:shd w:val="clear" w:color="auto" w:fill="auto"/>
            <w:vAlign w:val="center"/>
          </w:tcPr>
          <w:p w14:paraId="4EA44994" w14:textId="4FF1B12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74" w:type="dxa"/>
            <w:tcBorders>
              <w:top w:val="nil"/>
              <w:left w:val="nil"/>
              <w:bottom w:val="nil"/>
              <w:right w:val="nil"/>
            </w:tcBorders>
            <w:shd w:val="clear" w:color="auto" w:fill="auto"/>
            <w:vAlign w:val="center"/>
          </w:tcPr>
          <w:p w14:paraId="0FA794C6" w14:textId="7E9194E8"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w:t>
            </w:r>
          </w:p>
        </w:tc>
        <w:tc>
          <w:tcPr>
            <w:tcW w:w="583" w:type="dxa"/>
            <w:tcBorders>
              <w:top w:val="nil"/>
              <w:left w:val="nil"/>
              <w:bottom w:val="nil"/>
              <w:right w:val="nil"/>
            </w:tcBorders>
            <w:shd w:val="clear" w:color="auto" w:fill="auto"/>
            <w:vAlign w:val="center"/>
          </w:tcPr>
          <w:p w14:paraId="2B0339E3" w14:textId="59568C77"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18.1</w:t>
            </w:r>
          </w:p>
        </w:tc>
        <w:tc>
          <w:tcPr>
            <w:tcW w:w="582" w:type="dxa"/>
            <w:tcBorders>
              <w:top w:val="nil"/>
              <w:left w:val="nil"/>
              <w:bottom w:val="nil"/>
              <w:right w:val="nil"/>
            </w:tcBorders>
            <w:shd w:val="clear" w:color="auto" w:fill="auto"/>
            <w:vAlign w:val="center"/>
          </w:tcPr>
          <w:p w14:paraId="35D077A8" w14:textId="02DAD39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p>
        </w:tc>
        <w:tc>
          <w:tcPr>
            <w:tcW w:w="582" w:type="dxa"/>
            <w:tcBorders>
              <w:top w:val="nil"/>
              <w:left w:val="nil"/>
              <w:bottom w:val="nil"/>
              <w:right w:val="nil"/>
            </w:tcBorders>
            <w:shd w:val="clear" w:color="auto" w:fill="auto"/>
            <w:vAlign w:val="center"/>
          </w:tcPr>
          <w:p w14:paraId="198B38BB" w14:textId="757CF7C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16.3</w:t>
            </w:r>
          </w:p>
        </w:tc>
        <w:tc>
          <w:tcPr>
            <w:tcW w:w="582" w:type="dxa"/>
            <w:tcBorders>
              <w:top w:val="nil"/>
              <w:left w:val="nil"/>
              <w:bottom w:val="nil"/>
              <w:right w:val="nil"/>
            </w:tcBorders>
            <w:shd w:val="clear" w:color="auto" w:fill="auto"/>
            <w:vAlign w:val="center"/>
          </w:tcPr>
          <w:p w14:paraId="0D0C2977" w14:textId="1EAC894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12.9</w:t>
            </w:r>
            <w:r w:rsidR="00A72382">
              <w:rPr>
                <w:rFonts w:ascii="Calibri" w:hAnsi="Calibri" w:cs="Calibri"/>
                <w:color w:val="000000"/>
                <w:sz w:val="16"/>
                <w:szCs w:val="16"/>
              </w:rPr>
              <w:t>r</w:t>
            </w:r>
          </w:p>
        </w:tc>
        <w:tc>
          <w:tcPr>
            <w:tcW w:w="583" w:type="dxa"/>
            <w:tcBorders>
              <w:top w:val="nil"/>
              <w:left w:val="nil"/>
              <w:bottom w:val="nil"/>
              <w:right w:val="single" w:sz="4" w:space="0" w:color="auto"/>
            </w:tcBorders>
            <w:shd w:val="clear" w:color="auto" w:fill="auto"/>
            <w:vAlign w:val="center"/>
          </w:tcPr>
          <w:p w14:paraId="269F714E" w14:textId="46F60DD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p>
        </w:tc>
        <w:tc>
          <w:tcPr>
            <w:tcW w:w="555" w:type="dxa"/>
            <w:tcBorders>
              <w:top w:val="nil"/>
              <w:left w:val="single" w:sz="4" w:space="0" w:color="auto"/>
              <w:bottom w:val="nil"/>
              <w:right w:val="single" w:sz="4" w:space="0" w:color="auto"/>
            </w:tcBorders>
            <w:shd w:val="clear" w:color="auto" w:fill="auto"/>
            <w:vAlign w:val="center"/>
          </w:tcPr>
          <w:p w14:paraId="4DCA8438" w14:textId="2A3BD9B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17.3</w:t>
            </w:r>
          </w:p>
        </w:tc>
      </w:tr>
      <w:tr w:rsidR="000D6E21" w:rsidRPr="00F31098" w14:paraId="4A02C9FC" w14:textId="77777777" w:rsidTr="000D6E21">
        <w:trPr>
          <w:trHeight w:val="283"/>
        </w:trPr>
        <w:tc>
          <w:tcPr>
            <w:tcW w:w="868" w:type="dxa"/>
            <w:tcBorders>
              <w:top w:val="nil"/>
              <w:left w:val="single" w:sz="4" w:space="0" w:color="auto"/>
              <w:bottom w:val="nil"/>
              <w:right w:val="nil"/>
            </w:tcBorders>
            <w:vAlign w:val="center"/>
          </w:tcPr>
          <w:p w14:paraId="2B7DD1DF"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1299" w:type="dxa"/>
            <w:tcBorders>
              <w:top w:val="nil"/>
              <w:left w:val="nil"/>
              <w:bottom w:val="single" w:sz="4" w:space="0" w:color="auto"/>
              <w:right w:val="nil"/>
            </w:tcBorders>
            <w:vAlign w:val="center"/>
          </w:tcPr>
          <w:p w14:paraId="14E9142F"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570" w:type="dxa"/>
            <w:tcBorders>
              <w:top w:val="nil"/>
              <w:left w:val="nil"/>
              <w:bottom w:val="single" w:sz="4" w:space="0" w:color="auto"/>
              <w:right w:val="nil"/>
            </w:tcBorders>
            <w:shd w:val="clear" w:color="auto" w:fill="auto"/>
            <w:vAlign w:val="center"/>
          </w:tcPr>
          <w:p w14:paraId="4CB7FD14" w14:textId="49E27B0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6.5</w:t>
            </w:r>
          </w:p>
        </w:tc>
        <w:tc>
          <w:tcPr>
            <w:tcW w:w="660" w:type="dxa"/>
            <w:tcBorders>
              <w:top w:val="nil"/>
              <w:left w:val="nil"/>
              <w:bottom w:val="single" w:sz="4" w:space="0" w:color="auto"/>
              <w:right w:val="nil"/>
            </w:tcBorders>
            <w:shd w:val="clear" w:color="auto" w:fill="auto"/>
            <w:vAlign w:val="center"/>
          </w:tcPr>
          <w:p w14:paraId="4974D656" w14:textId="5C5D6DC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0.6</w:t>
            </w:r>
          </w:p>
        </w:tc>
        <w:tc>
          <w:tcPr>
            <w:tcW w:w="658" w:type="dxa"/>
            <w:tcBorders>
              <w:top w:val="nil"/>
              <w:left w:val="nil"/>
              <w:bottom w:val="single" w:sz="4" w:space="0" w:color="auto"/>
              <w:right w:val="nil"/>
            </w:tcBorders>
            <w:shd w:val="clear" w:color="auto" w:fill="auto"/>
            <w:vAlign w:val="center"/>
          </w:tcPr>
          <w:p w14:paraId="224F7491" w14:textId="4EA40C8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13.4</w:t>
            </w:r>
          </w:p>
        </w:tc>
        <w:tc>
          <w:tcPr>
            <w:tcW w:w="569" w:type="dxa"/>
            <w:tcBorders>
              <w:top w:val="nil"/>
              <w:left w:val="nil"/>
              <w:bottom w:val="single" w:sz="4" w:space="0" w:color="auto"/>
              <w:right w:val="nil"/>
            </w:tcBorders>
            <w:shd w:val="clear" w:color="auto" w:fill="auto"/>
            <w:vAlign w:val="center"/>
          </w:tcPr>
          <w:p w14:paraId="5D37918D" w14:textId="3E338EB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12.7</w:t>
            </w:r>
          </w:p>
        </w:tc>
        <w:tc>
          <w:tcPr>
            <w:tcW w:w="569" w:type="dxa"/>
            <w:tcBorders>
              <w:top w:val="nil"/>
              <w:left w:val="nil"/>
              <w:bottom w:val="single" w:sz="4" w:space="0" w:color="auto"/>
              <w:right w:val="nil"/>
            </w:tcBorders>
            <w:shd w:val="clear" w:color="auto" w:fill="auto"/>
            <w:vAlign w:val="center"/>
          </w:tcPr>
          <w:p w14:paraId="37D7B4E0" w14:textId="5C43E59A"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p>
        </w:tc>
        <w:tc>
          <w:tcPr>
            <w:tcW w:w="574" w:type="dxa"/>
            <w:tcBorders>
              <w:top w:val="nil"/>
              <w:left w:val="nil"/>
              <w:bottom w:val="single" w:sz="4" w:space="0" w:color="auto"/>
              <w:right w:val="nil"/>
            </w:tcBorders>
            <w:shd w:val="clear" w:color="auto" w:fill="auto"/>
            <w:vAlign w:val="center"/>
          </w:tcPr>
          <w:p w14:paraId="6942C95E" w14:textId="388F392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17.3</w:t>
            </w:r>
          </w:p>
        </w:tc>
        <w:tc>
          <w:tcPr>
            <w:tcW w:w="574" w:type="dxa"/>
            <w:tcBorders>
              <w:top w:val="nil"/>
              <w:left w:val="nil"/>
              <w:bottom w:val="single" w:sz="4" w:space="0" w:color="auto"/>
              <w:right w:val="nil"/>
            </w:tcBorders>
            <w:shd w:val="clear" w:color="auto" w:fill="auto"/>
            <w:vAlign w:val="center"/>
          </w:tcPr>
          <w:p w14:paraId="42340CBD" w14:textId="5E37E9A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13.1</w:t>
            </w:r>
          </w:p>
        </w:tc>
        <w:tc>
          <w:tcPr>
            <w:tcW w:w="583" w:type="dxa"/>
            <w:tcBorders>
              <w:top w:val="nil"/>
              <w:left w:val="nil"/>
              <w:bottom w:val="single" w:sz="4" w:space="0" w:color="auto"/>
              <w:right w:val="nil"/>
            </w:tcBorders>
            <w:shd w:val="clear" w:color="auto" w:fill="auto"/>
            <w:vAlign w:val="center"/>
          </w:tcPr>
          <w:p w14:paraId="61D99695" w14:textId="4DF719D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19.5</w:t>
            </w:r>
          </w:p>
        </w:tc>
        <w:tc>
          <w:tcPr>
            <w:tcW w:w="582" w:type="dxa"/>
            <w:tcBorders>
              <w:top w:val="nil"/>
              <w:left w:val="nil"/>
              <w:bottom w:val="single" w:sz="4" w:space="0" w:color="auto"/>
              <w:right w:val="nil"/>
            </w:tcBorders>
            <w:shd w:val="clear" w:color="auto" w:fill="auto"/>
            <w:vAlign w:val="center"/>
          </w:tcPr>
          <w:p w14:paraId="7372CFDB" w14:textId="1A84E55C"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19.9</w:t>
            </w:r>
          </w:p>
        </w:tc>
        <w:tc>
          <w:tcPr>
            <w:tcW w:w="582" w:type="dxa"/>
            <w:tcBorders>
              <w:top w:val="nil"/>
              <w:left w:val="nil"/>
              <w:bottom w:val="single" w:sz="4" w:space="0" w:color="auto"/>
              <w:right w:val="nil"/>
            </w:tcBorders>
            <w:shd w:val="clear" w:color="auto" w:fill="auto"/>
            <w:vAlign w:val="center"/>
          </w:tcPr>
          <w:p w14:paraId="169CFCD2" w14:textId="563BAD4B"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p>
        </w:tc>
        <w:tc>
          <w:tcPr>
            <w:tcW w:w="582" w:type="dxa"/>
            <w:tcBorders>
              <w:top w:val="nil"/>
              <w:left w:val="nil"/>
              <w:bottom w:val="single" w:sz="4" w:space="0" w:color="auto"/>
              <w:right w:val="nil"/>
            </w:tcBorders>
            <w:shd w:val="clear" w:color="auto" w:fill="auto"/>
            <w:vAlign w:val="center"/>
          </w:tcPr>
          <w:p w14:paraId="1F9BCC4C" w14:textId="5C1A3C02"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r w:rsidR="00A72382">
              <w:rPr>
                <w:rFonts w:ascii="Calibri" w:hAnsi="Calibri" w:cs="Calibri"/>
                <w:color w:val="000000"/>
                <w:sz w:val="16"/>
                <w:szCs w:val="16"/>
              </w:rPr>
              <w:t>r</w:t>
            </w:r>
          </w:p>
        </w:tc>
        <w:tc>
          <w:tcPr>
            <w:tcW w:w="583" w:type="dxa"/>
            <w:tcBorders>
              <w:top w:val="nil"/>
              <w:left w:val="nil"/>
              <w:bottom w:val="single" w:sz="4" w:space="0" w:color="auto"/>
              <w:right w:val="single" w:sz="4" w:space="0" w:color="auto"/>
            </w:tcBorders>
            <w:shd w:val="clear" w:color="auto" w:fill="auto"/>
            <w:vAlign w:val="center"/>
          </w:tcPr>
          <w:p w14:paraId="36F94871" w14:textId="1717EE3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0.0</w:t>
            </w:r>
          </w:p>
        </w:tc>
        <w:tc>
          <w:tcPr>
            <w:tcW w:w="555" w:type="dxa"/>
            <w:tcBorders>
              <w:top w:val="nil"/>
              <w:left w:val="single" w:sz="4" w:space="0" w:color="auto"/>
              <w:bottom w:val="single" w:sz="4" w:space="0" w:color="auto"/>
              <w:right w:val="single" w:sz="4" w:space="0" w:color="auto"/>
            </w:tcBorders>
            <w:shd w:val="clear" w:color="auto" w:fill="auto"/>
            <w:vAlign w:val="center"/>
          </w:tcPr>
          <w:p w14:paraId="145CDFCF" w14:textId="0F7E0C6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19.8</w:t>
            </w:r>
          </w:p>
        </w:tc>
      </w:tr>
      <w:tr w:rsidR="000D6E21" w:rsidRPr="00F31098" w14:paraId="7E82BADD" w14:textId="77777777" w:rsidTr="000D6E21">
        <w:trPr>
          <w:trHeight w:val="283"/>
        </w:trPr>
        <w:tc>
          <w:tcPr>
            <w:tcW w:w="868" w:type="dxa"/>
            <w:tcBorders>
              <w:top w:val="nil"/>
              <w:left w:val="single" w:sz="4" w:space="0" w:color="auto"/>
              <w:bottom w:val="single" w:sz="6" w:space="0" w:color="auto"/>
              <w:right w:val="nil"/>
            </w:tcBorders>
            <w:vAlign w:val="center"/>
          </w:tcPr>
          <w:p w14:paraId="680BB4D1" w14:textId="77777777" w:rsidR="00F17DD8" w:rsidRPr="00F3109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1299" w:type="dxa"/>
            <w:tcBorders>
              <w:top w:val="single" w:sz="4" w:space="0" w:color="auto"/>
              <w:left w:val="nil"/>
              <w:bottom w:val="single" w:sz="6" w:space="0" w:color="auto"/>
              <w:right w:val="nil"/>
            </w:tcBorders>
            <w:vAlign w:val="center"/>
          </w:tcPr>
          <w:p w14:paraId="2424A1D3" w14:textId="77777777" w:rsidR="00F17DD8" w:rsidRPr="00F31098" w:rsidRDefault="00F17DD8" w:rsidP="00F17DD8">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570" w:type="dxa"/>
            <w:tcBorders>
              <w:top w:val="single" w:sz="4" w:space="0" w:color="auto"/>
              <w:left w:val="nil"/>
              <w:bottom w:val="single" w:sz="4" w:space="0" w:color="auto"/>
              <w:right w:val="nil"/>
            </w:tcBorders>
            <w:shd w:val="clear" w:color="auto" w:fill="auto"/>
            <w:vAlign w:val="center"/>
          </w:tcPr>
          <w:p w14:paraId="2C60E4B5" w14:textId="2E3DF9D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23.1</w:t>
            </w:r>
          </w:p>
        </w:tc>
        <w:tc>
          <w:tcPr>
            <w:tcW w:w="660" w:type="dxa"/>
            <w:tcBorders>
              <w:top w:val="single" w:sz="4" w:space="0" w:color="auto"/>
              <w:left w:val="nil"/>
              <w:bottom w:val="single" w:sz="4" w:space="0" w:color="auto"/>
              <w:right w:val="nil"/>
            </w:tcBorders>
            <w:shd w:val="clear" w:color="auto" w:fill="auto"/>
            <w:vAlign w:val="center"/>
          </w:tcPr>
          <w:p w14:paraId="1C32D16B" w14:textId="7300AB7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17.1</w:t>
            </w:r>
          </w:p>
        </w:tc>
        <w:tc>
          <w:tcPr>
            <w:tcW w:w="658" w:type="dxa"/>
            <w:tcBorders>
              <w:top w:val="single" w:sz="4" w:space="0" w:color="auto"/>
              <w:left w:val="nil"/>
              <w:bottom w:val="single" w:sz="4" w:space="0" w:color="auto"/>
              <w:right w:val="nil"/>
            </w:tcBorders>
            <w:shd w:val="clear" w:color="auto" w:fill="auto"/>
            <w:vAlign w:val="center"/>
          </w:tcPr>
          <w:p w14:paraId="6498AB4B" w14:textId="4D624736"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17.7</w:t>
            </w:r>
          </w:p>
        </w:tc>
        <w:tc>
          <w:tcPr>
            <w:tcW w:w="569" w:type="dxa"/>
            <w:tcBorders>
              <w:top w:val="single" w:sz="4" w:space="0" w:color="auto"/>
              <w:left w:val="nil"/>
              <w:bottom w:val="single" w:sz="4" w:space="0" w:color="auto"/>
              <w:right w:val="nil"/>
            </w:tcBorders>
            <w:shd w:val="clear" w:color="auto" w:fill="auto"/>
            <w:vAlign w:val="center"/>
          </w:tcPr>
          <w:p w14:paraId="4FF049A4" w14:textId="56E6A83E"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24.3</w:t>
            </w:r>
          </w:p>
        </w:tc>
        <w:tc>
          <w:tcPr>
            <w:tcW w:w="569" w:type="dxa"/>
            <w:tcBorders>
              <w:top w:val="single" w:sz="4" w:space="0" w:color="auto"/>
              <w:left w:val="nil"/>
              <w:bottom w:val="single" w:sz="4" w:space="0" w:color="auto"/>
              <w:right w:val="nil"/>
            </w:tcBorders>
            <w:shd w:val="clear" w:color="auto" w:fill="auto"/>
            <w:vAlign w:val="center"/>
          </w:tcPr>
          <w:p w14:paraId="5045F9E9" w14:textId="1CB04EA5"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26.4</w:t>
            </w:r>
          </w:p>
        </w:tc>
        <w:tc>
          <w:tcPr>
            <w:tcW w:w="574" w:type="dxa"/>
            <w:tcBorders>
              <w:top w:val="single" w:sz="4" w:space="0" w:color="auto"/>
              <w:left w:val="nil"/>
              <w:bottom w:val="single" w:sz="4" w:space="0" w:color="auto"/>
              <w:right w:val="nil"/>
            </w:tcBorders>
            <w:shd w:val="clear" w:color="auto" w:fill="auto"/>
            <w:vAlign w:val="center"/>
          </w:tcPr>
          <w:p w14:paraId="2791379D" w14:textId="687C2AD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18.3</w:t>
            </w:r>
          </w:p>
        </w:tc>
        <w:tc>
          <w:tcPr>
            <w:tcW w:w="574" w:type="dxa"/>
            <w:tcBorders>
              <w:top w:val="single" w:sz="4" w:space="0" w:color="auto"/>
              <w:left w:val="nil"/>
              <w:bottom w:val="single" w:sz="4" w:space="0" w:color="auto"/>
              <w:right w:val="nil"/>
            </w:tcBorders>
            <w:shd w:val="clear" w:color="auto" w:fill="auto"/>
            <w:vAlign w:val="center"/>
          </w:tcPr>
          <w:p w14:paraId="090F3EF5" w14:textId="1566EF3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25.4</w:t>
            </w:r>
          </w:p>
        </w:tc>
        <w:tc>
          <w:tcPr>
            <w:tcW w:w="583" w:type="dxa"/>
            <w:tcBorders>
              <w:top w:val="single" w:sz="4" w:space="0" w:color="auto"/>
              <w:left w:val="nil"/>
              <w:bottom w:val="single" w:sz="4" w:space="0" w:color="auto"/>
              <w:right w:val="nil"/>
            </w:tcBorders>
            <w:shd w:val="clear" w:color="auto" w:fill="auto"/>
            <w:vAlign w:val="center"/>
          </w:tcPr>
          <w:p w14:paraId="28EEE3F8" w14:textId="4C740A33"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33.7</w:t>
            </w:r>
          </w:p>
        </w:tc>
        <w:tc>
          <w:tcPr>
            <w:tcW w:w="582" w:type="dxa"/>
            <w:tcBorders>
              <w:top w:val="single" w:sz="4" w:space="0" w:color="auto"/>
              <w:left w:val="nil"/>
              <w:bottom w:val="single" w:sz="4" w:space="0" w:color="auto"/>
              <w:right w:val="nil"/>
            </w:tcBorders>
            <w:shd w:val="clear" w:color="auto" w:fill="auto"/>
            <w:vAlign w:val="center"/>
          </w:tcPr>
          <w:p w14:paraId="6FAC65F3" w14:textId="5F802EA0"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24.8</w:t>
            </w:r>
          </w:p>
        </w:tc>
        <w:tc>
          <w:tcPr>
            <w:tcW w:w="582" w:type="dxa"/>
            <w:tcBorders>
              <w:top w:val="single" w:sz="4" w:space="0" w:color="auto"/>
              <w:left w:val="nil"/>
              <w:bottom w:val="single" w:sz="4" w:space="0" w:color="auto"/>
              <w:right w:val="nil"/>
            </w:tcBorders>
            <w:shd w:val="clear" w:color="auto" w:fill="auto"/>
            <w:vAlign w:val="center"/>
          </w:tcPr>
          <w:p w14:paraId="43D018B5" w14:textId="4A740211"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29.2</w:t>
            </w:r>
            <w:r w:rsidR="00A72382">
              <w:rPr>
                <w:rFonts w:ascii="Calibri" w:hAnsi="Calibri" w:cs="Calibri"/>
                <w:color w:val="000000"/>
                <w:sz w:val="16"/>
                <w:szCs w:val="16"/>
              </w:rPr>
              <w:t>r</w:t>
            </w:r>
          </w:p>
        </w:tc>
        <w:tc>
          <w:tcPr>
            <w:tcW w:w="582" w:type="dxa"/>
            <w:tcBorders>
              <w:top w:val="single" w:sz="4" w:space="0" w:color="auto"/>
              <w:left w:val="nil"/>
              <w:bottom w:val="single" w:sz="4" w:space="0" w:color="auto"/>
              <w:right w:val="nil"/>
            </w:tcBorders>
            <w:shd w:val="clear" w:color="auto" w:fill="auto"/>
            <w:vAlign w:val="center"/>
          </w:tcPr>
          <w:p w14:paraId="2150B44B" w14:textId="06C1D764"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30.4</w:t>
            </w:r>
          </w:p>
        </w:tc>
        <w:tc>
          <w:tcPr>
            <w:tcW w:w="583" w:type="dxa"/>
            <w:tcBorders>
              <w:top w:val="single" w:sz="4" w:space="0" w:color="auto"/>
              <w:left w:val="nil"/>
              <w:bottom w:val="single" w:sz="4" w:space="0" w:color="auto"/>
              <w:right w:val="single" w:sz="4" w:space="0" w:color="auto"/>
            </w:tcBorders>
            <w:shd w:val="clear" w:color="auto" w:fill="auto"/>
            <w:vAlign w:val="center"/>
          </w:tcPr>
          <w:p w14:paraId="3021613C" w14:textId="659C55ED"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22.0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B9C1949" w14:textId="487D5E6F" w:rsidR="00F17DD8" w:rsidRPr="00F17DD8" w:rsidRDefault="00F17DD8" w:rsidP="00F17DD8">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17DD8">
              <w:rPr>
                <w:rFonts w:ascii="Calibri" w:hAnsi="Calibri" w:cs="Calibri"/>
                <w:color w:val="000000"/>
                <w:sz w:val="16"/>
                <w:szCs w:val="16"/>
              </w:rPr>
              <w:t>26.5</w:t>
            </w:r>
          </w:p>
        </w:tc>
      </w:tr>
    </w:tbl>
    <w:p w14:paraId="67AD326B" w14:textId="55B42B17" w:rsidR="00FD651D" w:rsidRDefault="00DA1236">
      <w:pPr>
        <w:suppressAutoHyphens w:val="0"/>
        <w:autoSpaceDN/>
        <w:spacing w:after="160" w:line="259" w:lineRule="auto"/>
        <w:textAlignment w:val="auto"/>
        <w:rPr>
          <w:rFonts w:ascii="Helvetica" w:hAnsi="Helvetica" w:cs="Helvetica"/>
        </w:rPr>
      </w:pPr>
      <w:r w:rsidRPr="006E4E4A">
        <w:rPr>
          <w:rFonts w:ascii="Helvetica" w:eastAsia="Verdana" w:hAnsi="Helvetica" w:cs="Helvetica"/>
          <w:sz w:val="18"/>
          <w:szCs w:val="18"/>
        </w:rPr>
        <w:t>r denotes revision – a change of more than 0.5 weeks since last month.</w:t>
      </w:r>
    </w:p>
    <w:p w14:paraId="27513D71" w14:textId="4D574346" w:rsidR="00C25281" w:rsidRDefault="00C25281">
      <w:pPr>
        <w:suppressAutoHyphens w:val="0"/>
        <w:autoSpaceDN/>
        <w:spacing w:after="160" w:line="259" w:lineRule="auto"/>
        <w:textAlignment w:val="auto"/>
        <w:rPr>
          <w:rFonts w:ascii="Helvetica" w:hAnsi="Helvetica" w:cs="Helvetica"/>
        </w:rPr>
      </w:pPr>
      <w:r>
        <w:rPr>
          <w:rFonts w:ascii="Helvetica" w:hAnsi="Helvetica" w:cs="Helvetica"/>
        </w:rPr>
        <w:br w:type="page"/>
      </w:r>
    </w:p>
    <w:tbl>
      <w:tblPr>
        <w:tblW w:w="9629" w:type="dxa"/>
        <w:tblCellMar>
          <w:left w:w="10" w:type="dxa"/>
          <w:right w:w="10" w:type="dxa"/>
        </w:tblCellMar>
        <w:tblLook w:val="0000" w:firstRow="0" w:lastRow="0" w:firstColumn="0" w:lastColumn="0" w:noHBand="0" w:noVBand="0"/>
      </w:tblPr>
      <w:tblGrid>
        <w:gridCol w:w="9629"/>
      </w:tblGrid>
      <w:tr w:rsidR="006A3227" w14:paraId="4111F995" w14:textId="77777777" w:rsidTr="000D3887">
        <w:trPr>
          <w:trHeight w:val="403"/>
        </w:trPr>
        <w:tc>
          <w:tcPr>
            <w:tcW w:w="9629" w:type="dxa"/>
            <w:shd w:val="clear" w:color="auto" w:fill="00958F"/>
            <w:tcMar>
              <w:top w:w="0" w:type="dxa"/>
              <w:left w:w="108" w:type="dxa"/>
              <w:bottom w:w="0" w:type="dxa"/>
              <w:right w:w="108" w:type="dxa"/>
            </w:tcMar>
          </w:tcPr>
          <w:p w14:paraId="6FC0588D" w14:textId="7ED4728F" w:rsidR="006A3227" w:rsidRPr="00F440B1" w:rsidRDefault="006A3227" w:rsidP="000D3887">
            <w:pPr>
              <w:rPr>
                <w:rFonts w:ascii="Helvetica" w:hAnsi="Helvetica" w:cs="Helvetica"/>
                <w:b/>
                <w:color w:val="FFFFFF"/>
                <w:sz w:val="28"/>
                <w:szCs w:val="28"/>
              </w:rPr>
            </w:pPr>
            <w:r w:rsidRPr="00F440B1">
              <w:rPr>
                <w:rFonts w:ascii="Helvetica" w:hAnsi="Helvetica" w:cs="Helvetica"/>
                <w:b/>
                <w:color w:val="FFFFFF"/>
                <w:sz w:val="28"/>
                <w:szCs w:val="28"/>
              </w:rPr>
              <w:lastRenderedPageBreak/>
              <w:t xml:space="preserve">Annex </w:t>
            </w:r>
            <w:r w:rsidR="00631A5F">
              <w:rPr>
                <w:rFonts w:ascii="Helvetica" w:hAnsi="Helvetica" w:cs="Helvetica"/>
                <w:b/>
                <w:color w:val="FFFFFF"/>
                <w:sz w:val="28"/>
                <w:szCs w:val="28"/>
              </w:rPr>
              <w:t>C</w:t>
            </w:r>
            <w:r w:rsidRPr="00F440B1">
              <w:rPr>
                <w:rFonts w:ascii="Helvetica" w:hAnsi="Helvetica" w:cs="Helvetica"/>
                <w:b/>
                <w:color w:val="FFFFFF"/>
                <w:sz w:val="28"/>
                <w:szCs w:val="28"/>
              </w:rPr>
              <w:t xml:space="preserve"> – </w:t>
            </w:r>
            <w:r>
              <w:rPr>
                <w:rFonts w:ascii="Helvetica" w:hAnsi="Helvetica" w:cs="Helvetica"/>
                <w:b/>
                <w:color w:val="FFFFFF"/>
                <w:sz w:val="28"/>
                <w:szCs w:val="28"/>
              </w:rPr>
              <w:t>Detailed Information on timeliness (</w:t>
            </w:r>
            <w:r w:rsidR="00F205E4">
              <w:rPr>
                <w:rFonts w:ascii="Helvetica" w:hAnsi="Helvetica" w:cs="Helvetica"/>
                <w:b/>
                <w:color w:val="FFFFFF"/>
                <w:sz w:val="28"/>
                <w:szCs w:val="28"/>
              </w:rPr>
              <w:t>May</w:t>
            </w:r>
            <w:r>
              <w:rPr>
                <w:rFonts w:ascii="Helvetica" w:hAnsi="Helvetica" w:cs="Helvetica"/>
                <w:b/>
                <w:color w:val="FFFFFF"/>
                <w:sz w:val="28"/>
                <w:szCs w:val="28"/>
              </w:rPr>
              <w:t>)</w:t>
            </w:r>
          </w:p>
        </w:tc>
      </w:tr>
    </w:tbl>
    <w:p w14:paraId="69A09361" w14:textId="77777777" w:rsidR="006A3227" w:rsidRPr="00B639AA" w:rsidRDefault="006A3227" w:rsidP="006A3227">
      <w:pPr>
        <w:rPr>
          <w:rFonts w:ascii="Helvetica" w:hAnsi="Helvetica" w:cs="Helvetica"/>
          <w:sz w:val="20"/>
          <w:szCs w:val="20"/>
        </w:rPr>
      </w:pPr>
    </w:p>
    <w:p w14:paraId="345B0286" w14:textId="74E60B96" w:rsidR="00E82ABB" w:rsidRPr="00AB506C" w:rsidRDefault="006A3227" w:rsidP="00E82ABB">
      <w:pPr>
        <w:rPr>
          <w:rFonts w:ascii="Helvetica" w:hAnsi="Helvetica" w:cs="Helvetica"/>
        </w:rPr>
      </w:pPr>
      <w:r w:rsidRPr="00511A47">
        <w:rPr>
          <w:rFonts w:ascii="Helvetica" w:hAnsi="Helvetica" w:cs="Helvetica"/>
        </w:rPr>
        <w:t xml:space="preserve">The information below is published today on the number and length of decisions made in </w:t>
      </w:r>
      <w:r w:rsidR="00F17DD8" w:rsidRPr="00511A47">
        <w:rPr>
          <w:rFonts w:ascii="Helvetica" w:hAnsi="Helvetica" w:cs="Helvetica"/>
        </w:rPr>
        <w:t>May</w:t>
      </w:r>
      <w:r w:rsidR="000F6A1A" w:rsidRPr="00511A47">
        <w:rPr>
          <w:rFonts w:ascii="Helvetica" w:hAnsi="Helvetica" w:cs="Helvetica"/>
        </w:rPr>
        <w:t xml:space="preserve"> 2021</w:t>
      </w:r>
      <w:r w:rsidR="002544FE" w:rsidRPr="00511A47">
        <w:rPr>
          <w:rStyle w:val="FootnoteReference"/>
          <w:rFonts w:ascii="Helvetica" w:hAnsi="Helvetica" w:cs="Helvetica"/>
        </w:rPr>
        <w:footnoteReference w:id="16"/>
      </w:r>
      <w:r w:rsidR="00E82ABB" w:rsidRPr="00511A47">
        <w:rPr>
          <w:rFonts w:ascii="Helvetica" w:hAnsi="Helvetica" w:cs="Helvetica"/>
        </w:rPr>
        <w:t>:</w:t>
      </w:r>
    </w:p>
    <w:tbl>
      <w:tblPr>
        <w:tblStyle w:val="TableGrid"/>
        <w:tblW w:w="0" w:type="auto"/>
        <w:tblLook w:val="04A0" w:firstRow="1" w:lastRow="0" w:firstColumn="1" w:lastColumn="0" w:noHBand="0" w:noVBand="1"/>
      </w:tblPr>
      <w:tblGrid>
        <w:gridCol w:w="1925"/>
        <w:gridCol w:w="1926"/>
        <w:gridCol w:w="1926"/>
        <w:gridCol w:w="1926"/>
        <w:gridCol w:w="1926"/>
      </w:tblGrid>
      <w:tr w:rsidR="00E82ABB" w14:paraId="70B1ECBC" w14:textId="77777777" w:rsidTr="00047100">
        <w:trPr>
          <w:trHeight w:val="283"/>
        </w:trPr>
        <w:tc>
          <w:tcPr>
            <w:tcW w:w="1925" w:type="dxa"/>
          </w:tcPr>
          <w:p w14:paraId="227CAC0B" w14:textId="77777777" w:rsidR="00E82ABB" w:rsidRPr="00520EB1" w:rsidRDefault="00E82ABB" w:rsidP="00047100">
            <w:pPr>
              <w:rPr>
                <w:rFonts w:asciiTheme="minorHAnsi" w:hAnsiTheme="minorHAnsi" w:cstheme="minorHAnsi"/>
                <w:sz w:val="20"/>
                <w:szCs w:val="20"/>
              </w:rPr>
            </w:pPr>
            <w:r w:rsidRPr="00520EB1">
              <w:rPr>
                <w:rFonts w:asciiTheme="minorHAnsi" w:hAnsiTheme="minorHAnsi" w:cstheme="minorHAnsi"/>
                <w:sz w:val="20"/>
                <w:szCs w:val="20"/>
              </w:rPr>
              <w:t>Casework Type</w:t>
            </w:r>
          </w:p>
        </w:tc>
        <w:tc>
          <w:tcPr>
            <w:tcW w:w="1926" w:type="dxa"/>
          </w:tcPr>
          <w:p w14:paraId="23E0E1E9" w14:textId="77777777" w:rsidR="00E82ABB" w:rsidRPr="00520EB1" w:rsidRDefault="00E82ABB" w:rsidP="00047100">
            <w:pPr>
              <w:rPr>
                <w:rFonts w:asciiTheme="minorHAnsi" w:hAnsiTheme="minorHAnsi" w:cstheme="minorHAnsi"/>
                <w:sz w:val="20"/>
                <w:szCs w:val="20"/>
              </w:rPr>
            </w:pPr>
            <w:r w:rsidRPr="00520EB1">
              <w:rPr>
                <w:rFonts w:asciiTheme="minorHAnsi" w:hAnsiTheme="minorHAnsi" w:cstheme="minorHAnsi"/>
                <w:sz w:val="20"/>
                <w:szCs w:val="20"/>
              </w:rPr>
              <w:t>Procedure Type</w:t>
            </w:r>
          </w:p>
        </w:tc>
        <w:tc>
          <w:tcPr>
            <w:tcW w:w="1926" w:type="dxa"/>
            <w:vAlign w:val="center"/>
          </w:tcPr>
          <w:p w14:paraId="05477F2A" w14:textId="77777777" w:rsidR="00E82ABB" w:rsidRPr="00520EB1" w:rsidRDefault="00E82ABB" w:rsidP="00047100">
            <w:pPr>
              <w:jc w:val="right"/>
              <w:rPr>
                <w:rFonts w:asciiTheme="minorHAnsi" w:hAnsiTheme="minorHAnsi" w:cstheme="minorHAnsi"/>
                <w:sz w:val="20"/>
                <w:szCs w:val="20"/>
              </w:rPr>
            </w:pPr>
            <w:r w:rsidRPr="00520EB1">
              <w:rPr>
                <w:rFonts w:asciiTheme="minorHAnsi" w:hAnsiTheme="minorHAnsi" w:cstheme="minorHAnsi"/>
                <w:sz w:val="20"/>
                <w:szCs w:val="20"/>
              </w:rPr>
              <w:t>Mean (weeks)</w:t>
            </w:r>
          </w:p>
        </w:tc>
        <w:tc>
          <w:tcPr>
            <w:tcW w:w="1926" w:type="dxa"/>
            <w:vAlign w:val="center"/>
          </w:tcPr>
          <w:p w14:paraId="22E627BB" w14:textId="77777777" w:rsidR="00E82ABB" w:rsidRPr="00520EB1" w:rsidRDefault="00E82ABB" w:rsidP="00047100">
            <w:pPr>
              <w:jc w:val="right"/>
              <w:rPr>
                <w:rFonts w:asciiTheme="minorHAnsi" w:hAnsiTheme="minorHAnsi" w:cstheme="minorHAnsi"/>
                <w:sz w:val="20"/>
                <w:szCs w:val="20"/>
              </w:rPr>
            </w:pPr>
            <w:r w:rsidRPr="00520EB1">
              <w:rPr>
                <w:rFonts w:asciiTheme="minorHAnsi" w:hAnsiTheme="minorHAnsi" w:cstheme="minorHAnsi"/>
                <w:sz w:val="20"/>
                <w:szCs w:val="20"/>
              </w:rPr>
              <w:t>Median (weeks)</w:t>
            </w:r>
          </w:p>
        </w:tc>
        <w:tc>
          <w:tcPr>
            <w:tcW w:w="1926" w:type="dxa"/>
            <w:vAlign w:val="center"/>
          </w:tcPr>
          <w:p w14:paraId="728EF09F" w14:textId="77777777" w:rsidR="00E82ABB" w:rsidRPr="00520EB1" w:rsidRDefault="00E82ABB" w:rsidP="00047100">
            <w:pPr>
              <w:jc w:val="right"/>
              <w:rPr>
                <w:rFonts w:asciiTheme="minorHAnsi" w:hAnsiTheme="minorHAnsi" w:cstheme="minorHAnsi"/>
                <w:sz w:val="20"/>
                <w:szCs w:val="20"/>
              </w:rPr>
            </w:pPr>
            <w:r w:rsidRPr="00520EB1">
              <w:rPr>
                <w:rFonts w:asciiTheme="minorHAnsi" w:hAnsiTheme="minorHAnsi" w:cstheme="minorHAnsi"/>
                <w:sz w:val="20"/>
                <w:szCs w:val="20"/>
              </w:rPr>
              <w:t>Decisions</w:t>
            </w:r>
          </w:p>
        </w:tc>
      </w:tr>
      <w:tr w:rsidR="009C2225" w14:paraId="177A0472" w14:textId="77777777" w:rsidTr="009C2225">
        <w:trPr>
          <w:trHeight w:val="283"/>
        </w:trPr>
        <w:tc>
          <w:tcPr>
            <w:tcW w:w="1925" w:type="dxa"/>
            <w:vMerge w:val="restart"/>
          </w:tcPr>
          <w:p w14:paraId="74D3D491" w14:textId="77777777" w:rsidR="009C2225" w:rsidRPr="00520EB1"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s78 planning appeals</w:t>
            </w:r>
          </w:p>
        </w:tc>
        <w:tc>
          <w:tcPr>
            <w:tcW w:w="1926" w:type="dxa"/>
          </w:tcPr>
          <w:p w14:paraId="4E72BA00" w14:textId="509EE7CD" w:rsidR="009C2225" w:rsidRPr="007B3B1E"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Written Representations</w:t>
            </w:r>
          </w:p>
        </w:tc>
        <w:tc>
          <w:tcPr>
            <w:tcW w:w="1926" w:type="dxa"/>
            <w:tcBorders>
              <w:top w:val="nil"/>
              <w:left w:val="nil"/>
              <w:bottom w:val="single" w:sz="4" w:space="0" w:color="auto"/>
              <w:right w:val="single" w:sz="4" w:space="0" w:color="auto"/>
            </w:tcBorders>
            <w:shd w:val="clear" w:color="auto" w:fill="auto"/>
            <w:vAlign w:val="center"/>
          </w:tcPr>
          <w:p w14:paraId="7AB07E23" w14:textId="33223B98" w:rsidR="009C2225" w:rsidRPr="009C2225" w:rsidRDefault="009C2225" w:rsidP="009C2225">
            <w:pPr>
              <w:jc w:val="right"/>
              <w:rPr>
                <w:rFonts w:asciiTheme="minorHAnsi" w:hAnsiTheme="minorHAnsi" w:cstheme="minorHAnsi"/>
              </w:rPr>
            </w:pPr>
            <w:r w:rsidRPr="009C2225">
              <w:rPr>
                <w:rFonts w:ascii="Calibri" w:hAnsi="Calibri" w:cs="Calibri"/>
                <w:color w:val="000000"/>
              </w:rPr>
              <w:t>25.5</w:t>
            </w:r>
          </w:p>
        </w:tc>
        <w:tc>
          <w:tcPr>
            <w:tcW w:w="1926" w:type="dxa"/>
            <w:tcBorders>
              <w:top w:val="nil"/>
              <w:left w:val="single" w:sz="4" w:space="0" w:color="auto"/>
              <w:bottom w:val="single" w:sz="4" w:space="0" w:color="auto"/>
              <w:right w:val="single" w:sz="4" w:space="0" w:color="auto"/>
            </w:tcBorders>
            <w:shd w:val="clear" w:color="auto" w:fill="auto"/>
            <w:vAlign w:val="center"/>
          </w:tcPr>
          <w:p w14:paraId="05449777" w14:textId="2D2B881B" w:rsidR="009C2225" w:rsidRPr="009C2225" w:rsidRDefault="009C2225" w:rsidP="009C2225">
            <w:pPr>
              <w:jc w:val="right"/>
              <w:rPr>
                <w:rFonts w:asciiTheme="minorHAnsi" w:hAnsiTheme="minorHAnsi" w:cstheme="minorHAnsi"/>
              </w:rPr>
            </w:pPr>
            <w:r w:rsidRPr="009C2225">
              <w:rPr>
                <w:rFonts w:ascii="Calibri" w:hAnsi="Calibri" w:cs="Calibri"/>
                <w:color w:val="000000"/>
              </w:rPr>
              <w:t>22.9</w:t>
            </w:r>
          </w:p>
        </w:tc>
        <w:tc>
          <w:tcPr>
            <w:tcW w:w="1926" w:type="dxa"/>
            <w:tcBorders>
              <w:top w:val="nil"/>
              <w:left w:val="single" w:sz="4" w:space="0" w:color="auto"/>
              <w:bottom w:val="single" w:sz="4" w:space="0" w:color="auto"/>
              <w:right w:val="single" w:sz="4" w:space="0" w:color="auto"/>
            </w:tcBorders>
            <w:shd w:val="clear" w:color="auto" w:fill="auto"/>
            <w:vAlign w:val="center"/>
          </w:tcPr>
          <w:p w14:paraId="0FCBC610" w14:textId="0298051B" w:rsidR="009C2225" w:rsidRPr="009C2225" w:rsidRDefault="009C2225" w:rsidP="009C2225">
            <w:pPr>
              <w:jc w:val="right"/>
              <w:rPr>
                <w:rFonts w:asciiTheme="minorHAnsi" w:hAnsiTheme="minorHAnsi" w:cstheme="minorHAnsi"/>
              </w:rPr>
            </w:pPr>
            <w:r w:rsidRPr="009C2225">
              <w:rPr>
                <w:rFonts w:ascii="Calibri" w:hAnsi="Calibri" w:cs="Calibri"/>
                <w:color w:val="000000"/>
              </w:rPr>
              <w:t>804</w:t>
            </w:r>
          </w:p>
        </w:tc>
      </w:tr>
      <w:tr w:rsidR="009C2225" w14:paraId="5BA528CF" w14:textId="77777777" w:rsidTr="009C2225">
        <w:trPr>
          <w:trHeight w:val="283"/>
        </w:trPr>
        <w:tc>
          <w:tcPr>
            <w:tcW w:w="1925" w:type="dxa"/>
            <w:vMerge/>
          </w:tcPr>
          <w:p w14:paraId="0DB39987" w14:textId="77777777" w:rsidR="009C2225" w:rsidRPr="00520EB1" w:rsidRDefault="009C2225" w:rsidP="009C2225">
            <w:pPr>
              <w:rPr>
                <w:rFonts w:asciiTheme="minorHAnsi" w:hAnsiTheme="minorHAnsi" w:cstheme="minorHAnsi"/>
                <w:sz w:val="20"/>
                <w:szCs w:val="20"/>
              </w:rPr>
            </w:pPr>
          </w:p>
        </w:tc>
        <w:tc>
          <w:tcPr>
            <w:tcW w:w="1926" w:type="dxa"/>
          </w:tcPr>
          <w:p w14:paraId="3E157CED" w14:textId="1A6A0D94" w:rsidR="009C2225" w:rsidRPr="00520EB1"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Hearings</w:t>
            </w:r>
          </w:p>
        </w:tc>
        <w:tc>
          <w:tcPr>
            <w:tcW w:w="1926" w:type="dxa"/>
            <w:tcBorders>
              <w:top w:val="single" w:sz="4" w:space="0" w:color="auto"/>
              <w:left w:val="nil"/>
              <w:bottom w:val="single" w:sz="4" w:space="0" w:color="auto"/>
              <w:right w:val="single" w:sz="4" w:space="0" w:color="auto"/>
            </w:tcBorders>
            <w:shd w:val="clear" w:color="auto" w:fill="auto"/>
            <w:vAlign w:val="center"/>
          </w:tcPr>
          <w:p w14:paraId="5966625E" w14:textId="6AC826E2" w:rsidR="009C2225" w:rsidRPr="009C2225" w:rsidRDefault="009C2225" w:rsidP="009C2225">
            <w:pPr>
              <w:jc w:val="right"/>
              <w:rPr>
                <w:rFonts w:asciiTheme="minorHAnsi" w:hAnsiTheme="minorHAnsi" w:cstheme="minorHAnsi"/>
              </w:rPr>
            </w:pPr>
            <w:r w:rsidRPr="009C2225">
              <w:rPr>
                <w:rFonts w:ascii="Calibri" w:hAnsi="Calibri" w:cs="Calibri"/>
                <w:color w:val="000000"/>
              </w:rPr>
              <w:t>41.4</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7D89AEC" w14:textId="63FC6CE1" w:rsidR="009C2225" w:rsidRPr="009C2225" w:rsidRDefault="009C2225" w:rsidP="009C2225">
            <w:pPr>
              <w:jc w:val="right"/>
              <w:rPr>
                <w:rFonts w:asciiTheme="minorHAnsi" w:hAnsiTheme="minorHAnsi" w:cstheme="minorHAnsi"/>
              </w:rPr>
            </w:pPr>
            <w:r w:rsidRPr="009C2225">
              <w:rPr>
                <w:rFonts w:ascii="Calibri" w:hAnsi="Calibri" w:cs="Calibri"/>
                <w:color w:val="000000"/>
              </w:rPr>
              <w:t>37.5</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BBC235A" w14:textId="577781CE" w:rsidR="009C2225" w:rsidRPr="009C2225" w:rsidRDefault="009C2225" w:rsidP="009C2225">
            <w:pPr>
              <w:jc w:val="right"/>
              <w:rPr>
                <w:rFonts w:asciiTheme="minorHAnsi" w:hAnsiTheme="minorHAnsi" w:cstheme="minorHAnsi"/>
              </w:rPr>
            </w:pPr>
            <w:r w:rsidRPr="009C2225">
              <w:rPr>
                <w:rFonts w:ascii="Calibri" w:hAnsi="Calibri" w:cs="Calibri"/>
                <w:color w:val="000000"/>
              </w:rPr>
              <w:t>50</w:t>
            </w:r>
          </w:p>
        </w:tc>
      </w:tr>
      <w:tr w:rsidR="009C2225" w14:paraId="27F84FB5" w14:textId="77777777" w:rsidTr="009C2225">
        <w:trPr>
          <w:trHeight w:val="283"/>
        </w:trPr>
        <w:tc>
          <w:tcPr>
            <w:tcW w:w="1925" w:type="dxa"/>
            <w:vMerge/>
          </w:tcPr>
          <w:p w14:paraId="58FE0560" w14:textId="77777777" w:rsidR="009C2225" w:rsidRPr="00520EB1" w:rsidRDefault="009C2225" w:rsidP="009C2225">
            <w:pPr>
              <w:rPr>
                <w:rFonts w:asciiTheme="minorHAnsi" w:hAnsiTheme="minorHAnsi" w:cstheme="minorHAnsi"/>
                <w:sz w:val="20"/>
                <w:szCs w:val="20"/>
              </w:rPr>
            </w:pPr>
          </w:p>
        </w:tc>
        <w:tc>
          <w:tcPr>
            <w:tcW w:w="1926" w:type="dxa"/>
          </w:tcPr>
          <w:p w14:paraId="24211F19" w14:textId="341E6D9C" w:rsidR="009C2225" w:rsidRPr="00520EB1"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Inquiries</w:t>
            </w:r>
          </w:p>
        </w:tc>
        <w:tc>
          <w:tcPr>
            <w:tcW w:w="1926" w:type="dxa"/>
            <w:tcBorders>
              <w:top w:val="single" w:sz="4" w:space="0" w:color="auto"/>
              <w:left w:val="nil"/>
              <w:bottom w:val="single" w:sz="4" w:space="0" w:color="auto"/>
              <w:right w:val="single" w:sz="4" w:space="0" w:color="auto"/>
            </w:tcBorders>
            <w:shd w:val="clear" w:color="000000" w:fill="D9D9D9"/>
            <w:vAlign w:val="center"/>
          </w:tcPr>
          <w:p w14:paraId="25B2D927" w14:textId="1E80B2FA" w:rsidR="009C2225" w:rsidRPr="009C2225" w:rsidRDefault="009C2225" w:rsidP="009C2225">
            <w:pPr>
              <w:jc w:val="right"/>
              <w:rPr>
                <w:rFonts w:asciiTheme="minorHAnsi" w:hAnsiTheme="minorHAnsi" w:cstheme="minorHAnsi"/>
              </w:rPr>
            </w:pPr>
            <w:r w:rsidRPr="009C2225">
              <w:rPr>
                <w:rFonts w:ascii="Calibri" w:hAnsi="Calibri" w:cs="Calibri"/>
                <w:color w:val="000000"/>
              </w:rPr>
              <w:t>43.4</w:t>
            </w:r>
          </w:p>
        </w:tc>
        <w:tc>
          <w:tcPr>
            <w:tcW w:w="1926" w:type="dxa"/>
            <w:tcBorders>
              <w:top w:val="single" w:sz="4" w:space="0" w:color="auto"/>
              <w:left w:val="single" w:sz="4" w:space="0" w:color="auto"/>
              <w:bottom w:val="single" w:sz="4" w:space="0" w:color="auto"/>
              <w:right w:val="single" w:sz="4" w:space="0" w:color="auto"/>
            </w:tcBorders>
            <w:shd w:val="clear" w:color="000000" w:fill="D9D9D9"/>
            <w:vAlign w:val="center"/>
          </w:tcPr>
          <w:p w14:paraId="59416331" w14:textId="3647B3A6" w:rsidR="009C2225" w:rsidRPr="009C2225" w:rsidRDefault="009C2225" w:rsidP="009C2225">
            <w:pPr>
              <w:jc w:val="right"/>
              <w:rPr>
                <w:rFonts w:asciiTheme="minorHAnsi" w:hAnsiTheme="minorHAnsi" w:cstheme="minorHAnsi"/>
              </w:rPr>
            </w:pPr>
            <w:r w:rsidRPr="009C2225">
              <w:rPr>
                <w:rFonts w:ascii="Calibri" w:hAnsi="Calibri" w:cs="Calibri"/>
                <w:color w:val="000000"/>
              </w:rPr>
              <w:t>30.9</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C872737" w14:textId="2A45EC17" w:rsidR="009C2225" w:rsidRPr="009C2225" w:rsidRDefault="009C2225" w:rsidP="009C2225">
            <w:pPr>
              <w:jc w:val="right"/>
              <w:rPr>
                <w:rFonts w:asciiTheme="minorHAnsi" w:hAnsiTheme="minorHAnsi" w:cstheme="minorHAnsi"/>
              </w:rPr>
            </w:pPr>
            <w:r w:rsidRPr="009C2225">
              <w:rPr>
                <w:rFonts w:ascii="Calibri" w:hAnsi="Calibri" w:cs="Calibri"/>
                <w:color w:val="000000"/>
              </w:rPr>
              <w:t>18</w:t>
            </w:r>
          </w:p>
        </w:tc>
      </w:tr>
      <w:tr w:rsidR="009C2225" w14:paraId="1907589B" w14:textId="77777777" w:rsidTr="009C2225">
        <w:trPr>
          <w:trHeight w:val="283"/>
        </w:trPr>
        <w:tc>
          <w:tcPr>
            <w:tcW w:w="1925" w:type="dxa"/>
          </w:tcPr>
          <w:p w14:paraId="3F093878" w14:textId="77777777" w:rsidR="009C2225" w:rsidRPr="00520EB1"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Householder appeals</w:t>
            </w:r>
          </w:p>
        </w:tc>
        <w:tc>
          <w:tcPr>
            <w:tcW w:w="1926" w:type="dxa"/>
          </w:tcPr>
          <w:p w14:paraId="5FC83021" w14:textId="77777777" w:rsidR="009C2225" w:rsidRPr="00520EB1"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Written Representations</w:t>
            </w:r>
          </w:p>
        </w:tc>
        <w:tc>
          <w:tcPr>
            <w:tcW w:w="1926" w:type="dxa"/>
            <w:tcBorders>
              <w:top w:val="nil"/>
              <w:left w:val="nil"/>
              <w:bottom w:val="single" w:sz="4" w:space="0" w:color="auto"/>
              <w:right w:val="single" w:sz="4" w:space="0" w:color="auto"/>
            </w:tcBorders>
            <w:shd w:val="clear" w:color="auto" w:fill="auto"/>
            <w:vAlign w:val="center"/>
          </w:tcPr>
          <w:p w14:paraId="1DEB4858" w14:textId="3EF73D02" w:rsidR="009C2225" w:rsidRPr="009C2225" w:rsidRDefault="009C2225" w:rsidP="009C2225">
            <w:pPr>
              <w:jc w:val="right"/>
              <w:rPr>
                <w:rFonts w:asciiTheme="minorHAnsi" w:hAnsiTheme="minorHAnsi" w:cstheme="minorHAnsi"/>
              </w:rPr>
            </w:pPr>
            <w:r w:rsidRPr="009C2225">
              <w:rPr>
                <w:rFonts w:ascii="Calibri" w:hAnsi="Calibri" w:cs="Calibri"/>
                <w:color w:val="000000"/>
              </w:rPr>
              <w:t>19.1</w:t>
            </w:r>
          </w:p>
        </w:tc>
        <w:tc>
          <w:tcPr>
            <w:tcW w:w="1926" w:type="dxa"/>
            <w:tcBorders>
              <w:top w:val="nil"/>
              <w:left w:val="single" w:sz="4" w:space="0" w:color="auto"/>
              <w:bottom w:val="single" w:sz="4" w:space="0" w:color="auto"/>
              <w:right w:val="single" w:sz="4" w:space="0" w:color="auto"/>
            </w:tcBorders>
            <w:shd w:val="clear" w:color="auto" w:fill="auto"/>
            <w:vAlign w:val="center"/>
          </w:tcPr>
          <w:p w14:paraId="66431017" w14:textId="5F58EC77" w:rsidR="009C2225" w:rsidRPr="009C2225" w:rsidRDefault="009C2225" w:rsidP="009C2225">
            <w:pPr>
              <w:jc w:val="right"/>
              <w:rPr>
                <w:rFonts w:asciiTheme="minorHAnsi" w:hAnsiTheme="minorHAnsi" w:cstheme="minorHAnsi"/>
              </w:rPr>
            </w:pPr>
            <w:r w:rsidRPr="009C2225">
              <w:rPr>
                <w:rFonts w:ascii="Calibri" w:hAnsi="Calibri" w:cs="Calibri"/>
                <w:color w:val="000000"/>
              </w:rPr>
              <w:t>16.4</w:t>
            </w:r>
          </w:p>
        </w:tc>
        <w:tc>
          <w:tcPr>
            <w:tcW w:w="1926" w:type="dxa"/>
            <w:tcBorders>
              <w:top w:val="nil"/>
              <w:left w:val="single" w:sz="4" w:space="0" w:color="auto"/>
              <w:bottom w:val="single" w:sz="4" w:space="0" w:color="auto"/>
              <w:right w:val="single" w:sz="4" w:space="0" w:color="auto"/>
            </w:tcBorders>
            <w:shd w:val="clear" w:color="auto" w:fill="auto"/>
            <w:vAlign w:val="center"/>
          </w:tcPr>
          <w:p w14:paraId="35CD1E12" w14:textId="1BFCCF0A" w:rsidR="009C2225" w:rsidRPr="009C2225" w:rsidRDefault="009C2225" w:rsidP="009C2225">
            <w:pPr>
              <w:jc w:val="right"/>
              <w:rPr>
                <w:rFonts w:asciiTheme="minorHAnsi" w:hAnsiTheme="minorHAnsi" w:cstheme="minorHAnsi"/>
              </w:rPr>
            </w:pPr>
            <w:r w:rsidRPr="009C2225">
              <w:rPr>
                <w:rFonts w:ascii="Calibri" w:hAnsi="Calibri" w:cs="Calibri"/>
                <w:color w:val="000000"/>
              </w:rPr>
              <w:t>344</w:t>
            </w:r>
          </w:p>
        </w:tc>
      </w:tr>
      <w:tr w:rsidR="009C2225" w14:paraId="02F1685A" w14:textId="77777777" w:rsidTr="009C2225">
        <w:trPr>
          <w:trHeight w:val="283"/>
        </w:trPr>
        <w:tc>
          <w:tcPr>
            <w:tcW w:w="1925" w:type="dxa"/>
            <w:vMerge w:val="restart"/>
          </w:tcPr>
          <w:p w14:paraId="49DEF166" w14:textId="77777777" w:rsidR="009C2225" w:rsidRPr="00520EB1"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Enforcement appeals</w:t>
            </w:r>
          </w:p>
        </w:tc>
        <w:tc>
          <w:tcPr>
            <w:tcW w:w="1926" w:type="dxa"/>
          </w:tcPr>
          <w:p w14:paraId="3AEC4FF5" w14:textId="216C633D" w:rsidR="009C2225" w:rsidRPr="00520EB1"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Written Representations</w:t>
            </w:r>
          </w:p>
        </w:tc>
        <w:tc>
          <w:tcPr>
            <w:tcW w:w="1926" w:type="dxa"/>
            <w:tcBorders>
              <w:top w:val="nil"/>
              <w:left w:val="nil"/>
              <w:bottom w:val="single" w:sz="4" w:space="0" w:color="auto"/>
              <w:right w:val="single" w:sz="4" w:space="0" w:color="auto"/>
            </w:tcBorders>
            <w:shd w:val="clear" w:color="auto" w:fill="auto"/>
            <w:vAlign w:val="center"/>
          </w:tcPr>
          <w:p w14:paraId="104820D2" w14:textId="1B760254" w:rsidR="009C2225" w:rsidRPr="009C2225" w:rsidRDefault="009C2225" w:rsidP="009C2225">
            <w:pPr>
              <w:jc w:val="right"/>
              <w:rPr>
                <w:rFonts w:asciiTheme="minorHAnsi" w:hAnsiTheme="minorHAnsi" w:cstheme="minorHAnsi"/>
              </w:rPr>
            </w:pPr>
            <w:r w:rsidRPr="009C2225">
              <w:rPr>
                <w:rFonts w:ascii="Calibri" w:hAnsi="Calibri" w:cs="Calibri"/>
                <w:color w:val="000000"/>
              </w:rPr>
              <w:t>31.5</w:t>
            </w:r>
          </w:p>
        </w:tc>
        <w:tc>
          <w:tcPr>
            <w:tcW w:w="1926" w:type="dxa"/>
            <w:tcBorders>
              <w:top w:val="nil"/>
              <w:left w:val="single" w:sz="4" w:space="0" w:color="auto"/>
              <w:bottom w:val="single" w:sz="4" w:space="0" w:color="auto"/>
              <w:right w:val="single" w:sz="4" w:space="0" w:color="auto"/>
            </w:tcBorders>
            <w:shd w:val="clear" w:color="auto" w:fill="auto"/>
            <w:vAlign w:val="center"/>
          </w:tcPr>
          <w:p w14:paraId="45DBAD82" w14:textId="61E9B27A" w:rsidR="009C2225" w:rsidRPr="009C2225" w:rsidRDefault="009C2225" w:rsidP="009C2225">
            <w:pPr>
              <w:jc w:val="right"/>
              <w:rPr>
                <w:rFonts w:asciiTheme="minorHAnsi" w:hAnsiTheme="minorHAnsi" w:cstheme="minorHAnsi"/>
              </w:rPr>
            </w:pPr>
            <w:r w:rsidRPr="009C2225">
              <w:rPr>
                <w:rFonts w:ascii="Calibri" w:hAnsi="Calibri" w:cs="Calibri"/>
                <w:color w:val="000000"/>
              </w:rPr>
              <w:t>24.9</w:t>
            </w:r>
          </w:p>
        </w:tc>
        <w:tc>
          <w:tcPr>
            <w:tcW w:w="1926" w:type="dxa"/>
            <w:tcBorders>
              <w:top w:val="nil"/>
              <w:left w:val="single" w:sz="4" w:space="0" w:color="auto"/>
              <w:bottom w:val="single" w:sz="4" w:space="0" w:color="auto"/>
              <w:right w:val="single" w:sz="4" w:space="0" w:color="auto"/>
            </w:tcBorders>
            <w:shd w:val="clear" w:color="auto" w:fill="auto"/>
            <w:vAlign w:val="center"/>
          </w:tcPr>
          <w:p w14:paraId="7E6850D1" w14:textId="4EE169B3" w:rsidR="009C2225" w:rsidRPr="009C2225" w:rsidRDefault="009C2225" w:rsidP="009C2225">
            <w:pPr>
              <w:jc w:val="right"/>
              <w:rPr>
                <w:rFonts w:asciiTheme="minorHAnsi" w:hAnsiTheme="minorHAnsi" w:cstheme="minorHAnsi"/>
              </w:rPr>
            </w:pPr>
            <w:r w:rsidRPr="009C2225">
              <w:rPr>
                <w:rFonts w:ascii="Calibri" w:hAnsi="Calibri" w:cs="Calibri"/>
                <w:color w:val="000000"/>
              </w:rPr>
              <w:t>118</w:t>
            </w:r>
          </w:p>
        </w:tc>
      </w:tr>
      <w:tr w:rsidR="009C2225" w14:paraId="21716384" w14:textId="77777777" w:rsidTr="009C2225">
        <w:trPr>
          <w:trHeight w:val="283"/>
        </w:trPr>
        <w:tc>
          <w:tcPr>
            <w:tcW w:w="1925" w:type="dxa"/>
            <w:vMerge/>
          </w:tcPr>
          <w:p w14:paraId="2016FECF" w14:textId="77777777" w:rsidR="009C2225" w:rsidRPr="00520EB1" w:rsidRDefault="009C2225" w:rsidP="009C2225">
            <w:pPr>
              <w:rPr>
                <w:rFonts w:asciiTheme="minorHAnsi" w:hAnsiTheme="minorHAnsi" w:cstheme="minorHAnsi"/>
                <w:sz w:val="20"/>
                <w:szCs w:val="20"/>
              </w:rPr>
            </w:pPr>
          </w:p>
        </w:tc>
        <w:tc>
          <w:tcPr>
            <w:tcW w:w="1926" w:type="dxa"/>
          </w:tcPr>
          <w:p w14:paraId="2D3A057F" w14:textId="28C5BE47" w:rsidR="009C2225" w:rsidRPr="00520EB1"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Hearings</w:t>
            </w:r>
          </w:p>
        </w:tc>
        <w:tc>
          <w:tcPr>
            <w:tcW w:w="1926" w:type="dxa"/>
            <w:tcBorders>
              <w:top w:val="single" w:sz="4" w:space="0" w:color="auto"/>
              <w:left w:val="nil"/>
              <w:bottom w:val="single" w:sz="4" w:space="0" w:color="auto"/>
              <w:right w:val="single" w:sz="4" w:space="0" w:color="auto"/>
            </w:tcBorders>
            <w:shd w:val="clear" w:color="000000" w:fill="D9D9D9"/>
            <w:vAlign w:val="center"/>
          </w:tcPr>
          <w:p w14:paraId="25F198C1" w14:textId="0CDF407B" w:rsidR="009C2225" w:rsidRPr="009C2225" w:rsidRDefault="009C2225" w:rsidP="009C2225">
            <w:pPr>
              <w:jc w:val="right"/>
              <w:rPr>
                <w:rFonts w:asciiTheme="minorHAnsi" w:hAnsiTheme="minorHAnsi" w:cstheme="minorHAnsi"/>
              </w:rPr>
            </w:pPr>
            <w:r w:rsidRPr="009C2225">
              <w:rPr>
                <w:rFonts w:ascii="Calibri" w:hAnsi="Calibri" w:cs="Calibri"/>
                <w:color w:val="000000"/>
              </w:rPr>
              <w:t>50.9</w:t>
            </w:r>
          </w:p>
        </w:tc>
        <w:tc>
          <w:tcPr>
            <w:tcW w:w="1926" w:type="dxa"/>
            <w:tcBorders>
              <w:top w:val="single" w:sz="4" w:space="0" w:color="auto"/>
              <w:left w:val="single" w:sz="4" w:space="0" w:color="auto"/>
              <w:bottom w:val="single" w:sz="4" w:space="0" w:color="auto"/>
              <w:right w:val="single" w:sz="4" w:space="0" w:color="auto"/>
            </w:tcBorders>
            <w:shd w:val="clear" w:color="000000" w:fill="D9D9D9"/>
            <w:vAlign w:val="center"/>
          </w:tcPr>
          <w:p w14:paraId="407DDFC2" w14:textId="3FCFA966" w:rsidR="009C2225" w:rsidRPr="009C2225" w:rsidRDefault="009C2225" w:rsidP="009C2225">
            <w:pPr>
              <w:jc w:val="right"/>
              <w:rPr>
                <w:rFonts w:asciiTheme="minorHAnsi" w:hAnsiTheme="minorHAnsi" w:cstheme="minorHAnsi"/>
              </w:rPr>
            </w:pPr>
            <w:r w:rsidRPr="009C2225">
              <w:rPr>
                <w:rFonts w:ascii="Calibri" w:hAnsi="Calibri" w:cs="Calibri"/>
                <w:color w:val="000000"/>
              </w:rPr>
              <w:t>45.2</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7FDDF6E" w14:textId="2010C737" w:rsidR="009C2225" w:rsidRPr="009C2225" w:rsidRDefault="009C2225" w:rsidP="009C2225">
            <w:pPr>
              <w:jc w:val="right"/>
              <w:rPr>
                <w:rFonts w:asciiTheme="minorHAnsi" w:hAnsiTheme="minorHAnsi" w:cstheme="minorHAnsi"/>
              </w:rPr>
            </w:pPr>
            <w:r w:rsidRPr="009C2225">
              <w:rPr>
                <w:rFonts w:ascii="Calibri" w:hAnsi="Calibri" w:cs="Calibri"/>
                <w:color w:val="000000"/>
              </w:rPr>
              <w:t>12</w:t>
            </w:r>
          </w:p>
        </w:tc>
      </w:tr>
      <w:tr w:rsidR="009C2225" w14:paraId="04438141" w14:textId="77777777" w:rsidTr="00F205E4">
        <w:trPr>
          <w:trHeight w:val="283"/>
        </w:trPr>
        <w:tc>
          <w:tcPr>
            <w:tcW w:w="1925" w:type="dxa"/>
            <w:vMerge/>
          </w:tcPr>
          <w:p w14:paraId="4C26528D" w14:textId="77777777" w:rsidR="009C2225" w:rsidRPr="00520EB1" w:rsidRDefault="009C2225" w:rsidP="009C2225">
            <w:pPr>
              <w:rPr>
                <w:rFonts w:asciiTheme="minorHAnsi" w:hAnsiTheme="minorHAnsi" w:cstheme="minorHAnsi"/>
                <w:sz w:val="20"/>
                <w:szCs w:val="20"/>
              </w:rPr>
            </w:pPr>
          </w:p>
        </w:tc>
        <w:tc>
          <w:tcPr>
            <w:tcW w:w="1926" w:type="dxa"/>
          </w:tcPr>
          <w:p w14:paraId="7539CEF3" w14:textId="1C6AB72F" w:rsidR="009C2225" w:rsidRPr="00520EB1" w:rsidRDefault="009C2225" w:rsidP="009C2225">
            <w:pPr>
              <w:rPr>
                <w:rFonts w:asciiTheme="minorHAnsi" w:hAnsiTheme="minorHAnsi" w:cstheme="minorHAnsi"/>
                <w:sz w:val="20"/>
                <w:szCs w:val="20"/>
              </w:rPr>
            </w:pPr>
            <w:r w:rsidRPr="00520EB1">
              <w:rPr>
                <w:rFonts w:asciiTheme="minorHAnsi" w:hAnsiTheme="minorHAnsi" w:cstheme="minorHAnsi"/>
                <w:sz w:val="20"/>
                <w:szCs w:val="20"/>
              </w:rPr>
              <w:t>Inquiries</w:t>
            </w:r>
          </w:p>
        </w:tc>
        <w:tc>
          <w:tcPr>
            <w:tcW w:w="1926" w:type="dxa"/>
            <w:tcBorders>
              <w:top w:val="single" w:sz="4" w:space="0" w:color="auto"/>
              <w:left w:val="nil"/>
              <w:bottom w:val="single" w:sz="4" w:space="0" w:color="auto"/>
              <w:right w:val="single" w:sz="4" w:space="0" w:color="auto"/>
            </w:tcBorders>
            <w:shd w:val="clear" w:color="auto" w:fill="auto"/>
            <w:vAlign w:val="center"/>
          </w:tcPr>
          <w:p w14:paraId="45C5376A" w14:textId="16D66355" w:rsidR="009C2225" w:rsidRPr="009C2225" w:rsidRDefault="009C2225" w:rsidP="009C2225">
            <w:pPr>
              <w:jc w:val="right"/>
              <w:rPr>
                <w:rFonts w:asciiTheme="minorHAnsi" w:hAnsiTheme="minorHAnsi" w:cstheme="minorHAnsi"/>
              </w:rPr>
            </w:pPr>
            <w:r w:rsidRPr="009C2225">
              <w:rPr>
                <w:rFonts w:ascii="Calibri" w:hAnsi="Calibri" w:cs="Calibri"/>
                <w:color w:val="000000"/>
              </w:rPr>
              <w:t>71.3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9EBB028" w14:textId="4FFAB658" w:rsidR="009C2225" w:rsidRPr="009C2225" w:rsidRDefault="009C2225" w:rsidP="009C2225">
            <w:pPr>
              <w:jc w:val="right"/>
              <w:rPr>
                <w:rFonts w:asciiTheme="minorHAnsi" w:hAnsiTheme="minorHAnsi" w:cstheme="minorHAnsi"/>
              </w:rPr>
            </w:pPr>
            <w:r w:rsidRPr="009C2225">
              <w:rPr>
                <w:rFonts w:ascii="Calibri" w:hAnsi="Calibri" w:cs="Calibri"/>
                <w:color w:val="000000"/>
              </w:rPr>
              <w:t>66.0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1D1AF6C" w14:textId="02B49944" w:rsidR="009C2225" w:rsidRPr="009C2225" w:rsidRDefault="009C2225" w:rsidP="009C2225">
            <w:pPr>
              <w:jc w:val="right"/>
              <w:rPr>
                <w:rFonts w:asciiTheme="minorHAnsi" w:hAnsiTheme="minorHAnsi" w:cstheme="minorHAnsi"/>
              </w:rPr>
            </w:pPr>
            <w:r w:rsidRPr="009C2225">
              <w:rPr>
                <w:rFonts w:ascii="Calibri" w:hAnsi="Calibri" w:cs="Calibri"/>
                <w:color w:val="000000"/>
              </w:rPr>
              <w:t>31</w:t>
            </w:r>
          </w:p>
        </w:tc>
      </w:tr>
    </w:tbl>
    <w:p w14:paraId="3F1609D4" w14:textId="023CF314" w:rsidR="002A35E0" w:rsidRPr="00B639AA" w:rsidRDefault="002A35E0" w:rsidP="00E82ABB">
      <w:pPr>
        <w:rPr>
          <w:rFonts w:ascii="Helvetica" w:hAnsi="Helvetica" w:cs="Helvetica"/>
          <w:sz w:val="16"/>
          <w:szCs w:val="16"/>
        </w:rPr>
      </w:pPr>
    </w:p>
    <w:p w14:paraId="083A9810" w14:textId="433CD44E" w:rsidR="006A3227" w:rsidRPr="0010569F" w:rsidRDefault="006A3227" w:rsidP="006A3227">
      <w:pPr>
        <w:rPr>
          <w:rFonts w:ascii="Helvetica" w:hAnsi="Helvetica" w:cs="Helvetica"/>
        </w:rPr>
      </w:pPr>
      <w:r w:rsidRPr="0010569F">
        <w:rPr>
          <w:rFonts w:ascii="Helvetica" w:hAnsi="Helvetica" w:cs="Helvetica"/>
        </w:rPr>
        <w:t xml:space="preserve">The smaller the number of decisions, the less helpful the mean and median are as measures for summarising performance. </w:t>
      </w:r>
      <w:proofErr w:type="gramStart"/>
      <w:r w:rsidRPr="0010569F">
        <w:rPr>
          <w:rFonts w:ascii="Helvetica" w:hAnsi="Helvetica" w:cs="Helvetica"/>
        </w:rPr>
        <w:t>Particular care</w:t>
      </w:r>
      <w:proofErr w:type="gramEnd"/>
      <w:r w:rsidRPr="0010569F">
        <w:rPr>
          <w:rFonts w:ascii="Helvetica" w:hAnsi="Helvetica" w:cs="Helvetica"/>
        </w:rPr>
        <w:t xml:space="preserve"> should be taken when there are fewer than twenty decisions. These are </w:t>
      </w:r>
      <w:r w:rsidR="00711B3E" w:rsidRPr="0010569F">
        <w:rPr>
          <w:rFonts w:ascii="Helvetica" w:hAnsi="Helvetica" w:cs="Helvetica"/>
        </w:rPr>
        <w:t xml:space="preserve">shaded grey in </w:t>
      </w:r>
      <w:r w:rsidRPr="0010569F">
        <w:rPr>
          <w:rFonts w:ascii="Helvetica" w:hAnsi="Helvetica" w:cs="Helvetica"/>
        </w:rPr>
        <w:t>the table but have been provided for completeness and transparency.</w:t>
      </w:r>
    </w:p>
    <w:p w14:paraId="2C40AD27" w14:textId="77777777" w:rsidR="00F34FCA" w:rsidRPr="00306433" w:rsidRDefault="00F34FCA" w:rsidP="006A3227">
      <w:pPr>
        <w:rPr>
          <w:rFonts w:ascii="Helvetica" w:hAnsi="Helvetica" w:cs="Helvetica"/>
          <w:sz w:val="20"/>
          <w:szCs w:val="20"/>
          <w:highlight w:val="yellow"/>
        </w:rPr>
      </w:pPr>
    </w:p>
    <w:p w14:paraId="4AE85256" w14:textId="77777777" w:rsidR="006A3227" w:rsidRPr="00624D22" w:rsidRDefault="006A3227" w:rsidP="006A3227">
      <w:pPr>
        <w:rPr>
          <w:rFonts w:ascii="Helvetica" w:hAnsi="Helvetica" w:cs="Helvetica"/>
        </w:rPr>
      </w:pPr>
      <w:r w:rsidRPr="00511A47">
        <w:rPr>
          <w:rFonts w:ascii="Helvetica" w:hAnsi="Helvetica" w:cs="Helvetica"/>
        </w:rPr>
        <w:t>The information published below shows the time taken for different stages of the appeals process:</w:t>
      </w:r>
    </w:p>
    <w:tbl>
      <w:tblPr>
        <w:tblStyle w:val="TableGrid"/>
        <w:tblW w:w="0" w:type="auto"/>
        <w:tblLook w:val="04A0" w:firstRow="1" w:lastRow="0" w:firstColumn="1" w:lastColumn="0" w:noHBand="0" w:noVBand="1"/>
      </w:tblPr>
      <w:tblGrid>
        <w:gridCol w:w="1925"/>
        <w:gridCol w:w="1926"/>
        <w:gridCol w:w="1926"/>
        <w:gridCol w:w="1926"/>
        <w:gridCol w:w="1926"/>
      </w:tblGrid>
      <w:tr w:rsidR="00624D22" w14:paraId="4580B3F4" w14:textId="77777777" w:rsidTr="00047100">
        <w:tc>
          <w:tcPr>
            <w:tcW w:w="1925" w:type="dxa"/>
            <w:vMerge w:val="restart"/>
          </w:tcPr>
          <w:p w14:paraId="5F277568" w14:textId="77777777" w:rsidR="00624D22" w:rsidRPr="00AB506C" w:rsidRDefault="00624D22" w:rsidP="00047100">
            <w:pPr>
              <w:rPr>
                <w:rFonts w:asciiTheme="minorHAnsi" w:hAnsiTheme="minorHAnsi" w:cstheme="minorHAnsi"/>
              </w:rPr>
            </w:pPr>
          </w:p>
        </w:tc>
        <w:tc>
          <w:tcPr>
            <w:tcW w:w="5778" w:type="dxa"/>
            <w:gridSpan w:val="3"/>
            <w:vAlign w:val="center"/>
          </w:tcPr>
          <w:p w14:paraId="07CFFABD" w14:textId="77777777" w:rsidR="00624D22" w:rsidRPr="00AB506C" w:rsidRDefault="00624D22" w:rsidP="00047100">
            <w:pPr>
              <w:jc w:val="center"/>
              <w:rPr>
                <w:rFonts w:asciiTheme="minorHAnsi" w:hAnsiTheme="minorHAnsi" w:cstheme="minorHAnsi"/>
              </w:rPr>
            </w:pPr>
            <w:r w:rsidRPr="00AB506C">
              <w:rPr>
                <w:rFonts w:asciiTheme="minorHAnsi" w:hAnsiTheme="minorHAnsi" w:cstheme="minorHAnsi"/>
              </w:rPr>
              <w:t>s78 planning appeals</w:t>
            </w:r>
          </w:p>
        </w:tc>
        <w:tc>
          <w:tcPr>
            <w:tcW w:w="1926" w:type="dxa"/>
            <w:vMerge w:val="restart"/>
            <w:vAlign w:val="center"/>
          </w:tcPr>
          <w:p w14:paraId="50D2E3F9" w14:textId="77777777" w:rsidR="00624D22" w:rsidRPr="00AB506C" w:rsidRDefault="00624D22" w:rsidP="00047100">
            <w:pPr>
              <w:jc w:val="center"/>
              <w:rPr>
                <w:rFonts w:asciiTheme="minorHAnsi" w:hAnsiTheme="minorHAnsi" w:cstheme="minorHAnsi"/>
              </w:rPr>
            </w:pPr>
            <w:r w:rsidRPr="00AB506C">
              <w:rPr>
                <w:rFonts w:asciiTheme="minorHAnsi" w:hAnsiTheme="minorHAnsi" w:cstheme="minorHAnsi"/>
              </w:rPr>
              <w:t>Householder appeals</w:t>
            </w:r>
          </w:p>
        </w:tc>
      </w:tr>
      <w:tr w:rsidR="00624D22" w14:paraId="00FA796E" w14:textId="77777777" w:rsidTr="00047100">
        <w:tc>
          <w:tcPr>
            <w:tcW w:w="1925" w:type="dxa"/>
            <w:vMerge/>
          </w:tcPr>
          <w:p w14:paraId="75847213" w14:textId="77777777" w:rsidR="00624D22" w:rsidRPr="00AB506C" w:rsidRDefault="00624D22" w:rsidP="00047100">
            <w:pPr>
              <w:rPr>
                <w:rFonts w:asciiTheme="minorHAnsi" w:hAnsiTheme="minorHAnsi" w:cstheme="minorHAnsi"/>
              </w:rPr>
            </w:pPr>
          </w:p>
        </w:tc>
        <w:tc>
          <w:tcPr>
            <w:tcW w:w="1926" w:type="dxa"/>
            <w:vAlign w:val="center"/>
          </w:tcPr>
          <w:p w14:paraId="75194C51" w14:textId="77777777" w:rsidR="00624D22" w:rsidRPr="00C107A3" w:rsidRDefault="00624D22" w:rsidP="00047100">
            <w:pPr>
              <w:jc w:val="center"/>
              <w:rPr>
                <w:rFonts w:asciiTheme="minorHAnsi" w:hAnsiTheme="minorHAnsi" w:cstheme="minorHAnsi"/>
                <w:sz w:val="20"/>
                <w:szCs w:val="20"/>
              </w:rPr>
            </w:pPr>
            <w:r w:rsidRPr="00C107A3">
              <w:rPr>
                <w:rFonts w:asciiTheme="minorHAnsi" w:hAnsiTheme="minorHAnsi" w:cstheme="minorHAnsi"/>
                <w:sz w:val="20"/>
                <w:szCs w:val="20"/>
              </w:rPr>
              <w:t>Written Representations</w:t>
            </w:r>
          </w:p>
        </w:tc>
        <w:tc>
          <w:tcPr>
            <w:tcW w:w="1926" w:type="dxa"/>
            <w:vAlign w:val="center"/>
          </w:tcPr>
          <w:p w14:paraId="6691C4B9" w14:textId="77777777" w:rsidR="00624D22" w:rsidRPr="00C107A3" w:rsidRDefault="00624D22" w:rsidP="00047100">
            <w:pPr>
              <w:jc w:val="center"/>
              <w:rPr>
                <w:rFonts w:asciiTheme="minorHAnsi" w:hAnsiTheme="minorHAnsi" w:cstheme="minorHAnsi"/>
                <w:sz w:val="20"/>
                <w:szCs w:val="20"/>
              </w:rPr>
            </w:pPr>
            <w:r w:rsidRPr="00C107A3">
              <w:rPr>
                <w:rFonts w:asciiTheme="minorHAnsi" w:hAnsiTheme="minorHAnsi" w:cstheme="minorHAnsi"/>
                <w:sz w:val="20"/>
                <w:szCs w:val="20"/>
              </w:rPr>
              <w:t>Hearings</w:t>
            </w:r>
          </w:p>
        </w:tc>
        <w:tc>
          <w:tcPr>
            <w:tcW w:w="1926" w:type="dxa"/>
            <w:vAlign w:val="center"/>
          </w:tcPr>
          <w:p w14:paraId="0134CC72" w14:textId="77777777" w:rsidR="00624D22" w:rsidRPr="00C107A3" w:rsidRDefault="00624D22" w:rsidP="00047100">
            <w:pPr>
              <w:jc w:val="center"/>
              <w:rPr>
                <w:rFonts w:asciiTheme="minorHAnsi" w:hAnsiTheme="minorHAnsi" w:cstheme="minorHAnsi"/>
                <w:sz w:val="20"/>
                <w:szCs w:val="20"/>
              </w:rPr>
            </w:pPr>
            <w:r w:rsidRPr="00C107A3">
              <w:rPr>
                <w:rFonts w:asciiTheme="minorHAnsi" w:hAnsiTheme="minorHAnsi" w:cstheme="minorHAnsi"/>
                <w:sz w:val="20"/>
                <w:szCs w:val="20"/>
              </w:rPr>
              <w:t>Inquiries</w:t>
            </w:r>
          </w:p>
        </w:tc>
        <w:tc>
          <w:tcPr>
            <w:tcW w:w="1926" w:type="dxa"/>
            <w:vMerge/>
          </w:tcPr>
          <w:p w14:paraId="6193DFB8" w14:textId="77777777" w:rsidR="00624D22" w:rsidRPr="00AB506C" w:rsidRDefault="00624D22" w:rsidP="00047100">
            <w:pPr>
              <w:rPr>
                <w:rFonts w:asciiTheme="minorHAnsi" w:hAnsiTheme="minorHAnsi" w:cstheme="minorHAnsi"/>
              </w:rPr>
            </w:pPr>
          </w:p>
        </w:tc>
      </w:tr>
      <w:tr w:rsidR="00624D22" w14:paraId="3EF50247" w14:textId="77777777" w:rsidTr="00527BDE">
        <w:trPr>
          <w:trHeight w:hRule="exact" w:val="85"/>
        </w:trPr>
        <w:tc>
          <w:tcPr>
            <w:tcW w:w="9629" w:type="dxa"/>
            <w:gridSpan w:val="5"/>
          </w:tcPr>
          <w:p w14:paraId="241118E6" w14:textId="77777777" w:rsidR="00624D22" w:rsidRPr="00AB506C" w:rsidRDefault="00624D22" w:rsidP="00047100">
            <w:pPr>
              <w:rPr>
                <w:rFonts w:asciiTheme="minorHAnsi" w:hAnsiTheme="minorHAnsi" w:cstheme="minorHAnsi"/>
              </w:rPr>
            </w:pPr>
          </w:p>
        </w:tc>
      </w:tr>
      <w:tr w:rsidR="00624D22" w14:paraId="3D1B6EC0" w14:textId="77777777" w:rsidTr="00CA4A8E">
        <w:tc>
          <w:tcPr>
            <w:tcW w:w="9629" w:type="dxa"/>
            <w:gridSpan w:val="5"/>
            <w:tcBorders>
              <w:right w:val="single" w:sz="4" w:space="0" w:color="auto"/>
            </w:tcBorders>
            <w:shd w:val="clear" w:color="auto" w:fill="E7E6E6" w:themeFill="background2"/>
          </w:tcPr>
          <w:p w14:paraId="58653126" w14:textId="77777777" w:rsidR="00624D22" w:rsidRPr="00AB506C" w:rsidRDefault="00624D22" w:rsidP="00047100">
            <w:pPr>
              <w:rPr>
                <w:rFonts w:asciiTheme="minorHAnsi" w:hAnsiTheme="minorHAnsi" w:cstheme="minorHAnsi"/>
              </w:rPr>
            </w:pPr>
            <w:r w:rsidRPr="00AB506C">
              <w:rPr>
                <w:rFonts w:asciiTheme="minorHAnsi" w:hAnsiTheme="minorHAnsi" w:cstheme="minorHAnsi"/>
              </w:rPr>
              <w:t>Weeks between valid date &amp; start date</w:t>
            </w:r>
          </w:p>
        </w:tc>
      </w:tr>
      <w:tr w:rsidR="001C4E87" w14:paraId="287077B0" w14:textId="77777777" w:rsidTr="005F5FAE">
        <w:tc>
          <w:tcPr>
            <w:tcW w:w="1925" w:type="dxa"/>
          </w:tcPr>
          <w:p w14:paraId="60747D76" w14:textId="77777777" w:rsidR="001C4E87" w:rsidRPr="00AB506C" w:rsidRDefault="001C4E87" w:rsidP="001C4E87">
            <w:pPr>
              <w:rPr>
                <w:rFonts w:asciiTheme="minorHAnsi" w:hAnsiTheme="minorHAnsi" w:cstheme="minorHAnsi"/>
                <w:sz w:val="20"/>
                <w:szCs w:val="20"/>
              </w:rPr>
            </w:pPr>
            <w:r w:rsidRPr="00AB506C">
              <w:rPr>
                <w:rFonts w:asciiTheme="minorHAnsi" w:hAnsiTheme="minorHAnsi" w:cstheme="minorHAnsi"/>
                <w:sz w:val="20"/>
                <w:szCs w:val="20"/>
              </w:rPr>
              <w:t>Mean (average)</w:t>
            </w:r>
          </w:p>
        </w:tc>
        <w:tc>
          <w:tcPr>
            <w:tcW w:w="1926" w:type="dxa"/>
            <w:tcBorders>
              <w:top w:val="nil"/>
              <w:left w:val="nil"/>
              <w:bottom w:val="single" w:sz="4" w:space="0" w:color="auto"/>
              <w:right w:val="single" w:sz="4" w:space="0" w:color="auto"/>
            </w:tcBorders>
            <w:shd w:val="clear" w:color="auto" w:fill="auto"/>
            <w:vAlign w:val="center"/>
          </w:tcPr>
          <w:p w14:paraId="6FFDFD2B" w14:textId="24616300" w:rsidR="001C4E87" w:rsidRPr="001C4E87" w:rsidRDefault="001C4E87" w:rsidP="001C4E87">
            <w:pPr>
              <w:jc w:val="right"/>
              <w:rPr>
                <w:rFonts w:asciiTheme="minorHAnsi" w:hAnsiTheme="minorHAnsi" w:cstheme="minorHAnsi"/>
              </w:rPr>
            </w:pPr>
            <w:r w:rsidRPr="001C4E87">
              <w:rPr>
                <w:rFonts w:ascii="Calibri" w:hAnsi="Calibri" w:cs="Calibri"/>
                <w:color w:val="000000"/>
              </w:rPr>
              <w:t>8.1</w:t>
            </w:r>
          </w:p>
        </w:tc>
        <w:tc>
          <w:tcPr>
            <w:tcW w:w="192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E64AA3" w14:textId="274E7FCD" w:rsidR="001C4E87" w:rsidRPr="001C4E87" w:rsidRDefault="001C4E87" w:rsidP="001C4E87">
            <w:pPr>
              <w:jc w:val="right"/>
              <w:rPr>
                <w:rFonts w:asciiTheme="minorHAnsi" w:hAnsiTheme="minorHAnsi" w:cstheme="minorHAnsi"/>
              </w:rPr>
            </w:pPr>
            <w:r w:rsidRPr="001C4E87">
              <w:rPr>
                <w:rFonts w:ascii="Calibri" w:hAnsi="Calibri" w:cs="Calibri"/>
                <w:color w:val="000000"/>
              </w:rPr>
              <w:t>24.7</w:t>
            </w:r>
          </w:p>
        </w:tc>
        <w:tc>
          <w:tcPr>
            <w:tcW w:w="1926" w:type="dxa"/>
            <w:tcBorders>
              <w:top w:val="nil"/>
              <w:left w:val="single" w:sz="4" w:space="0" w:color="auto"/>
              <w:bottom w:val="single" w:sz="4" w:space="0" w:color="auto"/>
              <w:right w:val="single" w:sz="4" w:space="0" w:color="auto"/>
            </w:tcBorders>
            <w:shd w:val="clear" w:color="auto" w:fill="auto"/>
            <w:vAlign w:val="center"/>
          </w:tcPr>
          <w:p w14:paraId="06CA3E56" w14:textId="00852C31" w:rsidR="001C4E87" w:rsidRPr="001C4E87" w:rsidRDefault="001C4E87" w:rsidP="001C4E87">
            <w:pPr>
              <w:jc w:val="right"/>
              <w:rPr>
                <w:rFonts w:asciiTheme="minorHAnsi" w:hAnsiTheme="minorHAnsi" w:cstheme="minorHAnsi"/>
              </w:rPr>
            </w:pPr>
            <w:r w:rsidRPr="001C4E87">
              <w:rPr>
                <w:rFonts w:ascii="Calibri" w:hAnsi="Calibri" w:cs="Calibri"/>
                <w:color w:val="000000"/>
              </w:rPr>
              <w:t>4.7</w:t>
            </w:r>
          </w:p>
        </w:tc>
        <w:tc>
          <w:tcPr>
            <w:tcW w:w="1926" w:type="dxa"/>
            <w:tcBorders>
              <w:top w:val="nil"/>
              <w:left w:val="single" w:sz="4" w:space="0" w:color="auto"/>
              <w:bottom w:val="single" w:sz="4" w:space="0" w:color="auto"/>
              <w:right w:val="single" w:sz="4" w:space="0" w:color="auto"/>
            </w:tcBorders>
            <w:shd w:val="clear" w:color="auto" w:fill="auto"/>
            <w:vAlign w:val="center"/>
          </w:tcPr>
          <w:p w14:paraId="17C62B1B" w14:textId="76DF598D" w:rsidR="001C4E87" w:rsidRPr="001C4E87" w:rsidRDefault="001C4E87" w:rsidP="001C4E87">
            <w:pPr>
              <w:jc w:val="right"/>
              <w:rPr>
                <w:rFonts w:asciiTheme="minorHAnsi" w:hAnsiTheme="minorHAnsi" w:cstheme="minorHAnsi"/>
              </w:rPr>
            </w:pPr>
            <w:r w:rsidRPr="001C4E87">
              <w:rPr>
                <w:rFonts w:ascii="Calibri" w:hAnsi="Calibri" w:cs="Calibri"/>
                <w:color w:val="000000"/>
              </w:rPr>
              <w:t>7.8</w:t>
            </w:r>
          </w:p>
        </w:tc>
      </w:tr>
      <w:tr w:rsidR="001C4E87" w14:paraId="0FCF01BD" w14:textId="77777777" w:rsidTr="005F5FAE">
        <w:tc>
          <w:tcPr>
            <w:tcW w:w="1925" w:type="dxa"/>
          </w:tcPr>
          <w:p w14:paraId="7DAC5C59" w14:textId="77777777" w:rsidR="001C4E87" w:rsidRPr="00AB506C" w:rsidRDefault="001C4E87" w:rsidP="001C4E87">
            <w:pPr>
              <w:rPr>
                <w:rFonts w:asciiTheme="minorHAnsi" w:hAnsiTheme="minorHAnsi" w:cstheme="minorHAnsi"/>
                <w:sz w:val="20"/>
                <w:szCs w:val="20"/>
              </w:rPr>
            </w:pPr>
            <w:r w:rsidRPr="00AB506C">
              <w:rPr>
                <w:rFonts w:asciiTheme="minorHAnsi" w:hAnsiTheme="minorHAnsi" w:cstheme="minorHAnsi"/>
                <w:sz w:val="20"/>
                <w:szCs w:val="20"/>
              </w:rPr>
              <w:t>Median (average)</w:t>
            </w:r>
          </w:p>
        </w:tc>
        <w:tc>
          <w:tcPr>
            <w:tcW w:w="1926" w:type="dxa"/>
            <w:tcBorders>
              <w:top w:val="single" w:sz="4" w:space="0" w:color="auto"/>
              <w:left w:val="nil"/>
              <w:bottom w:val="single" w:sz="4" w:space="0" w:color="auto"/>
              <w:right w:val="single" w:sz="4" w:space="0" w:color="auto"/>
            </w:tcBorders>
            <w:shd w:val="clear" w:color="auto" w:fill="auto"/>
            <w:vAlign w:val="center"/>
          </w:tcPr>
          <w:p w14:paraId="585FB220" w14:textId="29374CEA" w:rsidR="001C4E87" w:rsidRPr="001C4E87" w:rsidRDefault="001C4E87" w:rsidP="001C4E87">
            <w:pPr>
              <w:jc w:val="right"/>
              <w:rPr>
                <w:rFonts w:asciiTheme="minorHAnsi" w:hAnsiTheme="minorHAnsi" w:cstheme="minorHAnsi"/>
              </w:rPr>
            </w:pPr>
            <w:r w:rsidRPr="001C4E87">
              <w:rPr>
                <w:rFonts w:ascii="Calibri" w:hAnsi="Calibri" w:cs="Calibri"/>
                <w:color w:val="000000"/>
              </w:rPr>
              <w:t>6.4</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14FC3" w14:textId="7765B7B7" w:rsidR="001C4E87" w:rsidRPr="001C4E87" w:rsidRDefault="001C4E87" w:rsidP="001C4E87">
            <w:pPr>
              <w:jc w:val="right"/>
              <w:rPr>
                <w:rFonts w:asciiTheme="minorHAnsi" w:hAnsiTheme="minorHAnsi" w:cstheme="minorHAnsi"/>
              </w:rPr>
            </w:pPr>
            <w:r w:rsidRPr="001C4E87">
              <w:rPr>
                <w:rFonts w:ascii="Calibri" w:hAnsi="Calibri" w:cs="Calibri"/>
                <w:color w:val="000000"/>
              </w:rPr>
              <w:t>19.7</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69DD962" w14:textId="561E559E" w:rsidR="001C4E87" w:rsidRPr="001C4E87" w:rsidRDefault="001C4E87" w:rsidP="001C4E87">
            <w:pPr>
              <w:jc w:val="right"/>
              <w:rPr>
                <w:rFonts w:asciiTheme="minorHAnsi" w:hAnsiTheme="minorHAnsi" w:cstheme="minorHAnsi"/>
              </w:rPr>
            </w:pPr>
            <w:r w:rsidRPr="001C4E87">
              <w:rPr>
                <w:rFonts w:ascii="Calibri" w:hAnsi="Calibri" w:cs="Calibri"/>
                <w:color w:val="000000"/>
              </w:rPr>
              <w:t>2.6</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0A973DF" w14:textId="51EB12D7" w:rsidR="001C4E87" w:rsidRPr="001C4E87" w:rsidRDefault="001C4E87" w:rsidP="001C4E87">
            <w:pPr>
              <w:jc w:val="right"/>
              <w:rPr>
                <w:rFonts w:asciiTheme="minorHAnsi" w:hAnsiTheme="minorHAnsi" w:cstheme="minorHAnsi"/>
              </w:rPr>
            </w:pPr>
            <w:r w:rsidRPr="001C4E87">
              <w:rPr>
                <w:rFonts w:ascii="Calibri" w:hAnsi="Calibri" w:cs="Calibri"/>
                <w:color w:val="000000"/>
              </w:rPr>
              <w:t>8.1</w:t>
            </w:r>
          </w:p>
        </w:tc>
      </w:tr>
      <w:tr w:rsidR="001C4E87" w14:paraId="68FCFBAE" w14:textId="77777777" w:rsidTr="007E7B89">
        <w:tc>
          <w:tcPr>
            <w:tcW w:w="1925" w:type="dxa"/>
          </w:tcPr>
          <w:p w14:paraId="13826D54" w14:textId="43BD3C83" w:rsidR="001C4E87" w:rsidRPr="00AB506C" w:rsidRDefault="001C4E87" w:rsidP="001C4E87">
            <w:pPr>
              <w:rPr>
                <w:rFonts w:asciiTheme="minorHAnsi" w:hAnsiTheme="minorHAnsi" w:cstheme="minorHAnsi"/>
                <w:sz w:val="20"/>
                <w:szCs w:val="20"/>
              </w:rPr>
            </w:pPr>
            <w:r w:rsidRPr="00AB506C">
              <w:rPr>
                <w:rFonts w:asciiTheme="minorHAnsi" w:hAnsiTheme="minorHAnsi" w:cstheme="minorHAnsi"/>
                <w:sz w:val="20"/>
                <w:szCs w:val="20"/>
              </w:rPr>
              <w:t xml:space="preserve">Cases that started in </w:t>
            </w:r>
            <w:r w:rsidR="00053A8F">
              <w:rPr>
                <w:rFonts w:asciiTheme="minorHAnsi" w:hAnsiTheme="minorHAnsi" w:cstheme="minorHAnsi"/>
                <w:sz w:val="20"/>
                <w:szCs w:val="20"/>
              </w:rPr>
              <w:t>May</w:t>
            </w:r>
            <w:r>
              <w:rPr>
                <w:rFonts w:asciiTheme="minorHAnsi" w:hAnsiTheme="minorHAnsi" w:cstheme="minorHAnsi"/>
                <w:sz w:val="20"/>
                <w:szCs w:val="20"/>
              </w:rPr>
              <w:t xml:space="preserve"> 21</w:t>
            </w:r>
          </w:p>
        </w:tc>
        <w:tc>
          <w:tcPr>
            <w:tcW w:w="1926" w:type="dxa"/>
            <w:tcBorders>
              <w:top w:val="single" w:sz="4" w:space="0" w:color="auto"/>
              <w:left w:val="nil"/>
              <w:bottom w:val="nil"/>
              <w:right w:val="single" w:sz="4" w:space="0" w:color="auto"/>
            </w:tcBorders>
            <w:shd w:val="clear" w:color="auto" w:fill="auto"/>
            <w:vAlign w:val="center"/>
          </w:tcPr>
          <w:p w14:paraId="0DA8F5CD" w14:textId="761F8E06" w:rsidR="001C4E87" w:rsidRPr="001C4E87" w:rsidRDefault="001C4E87" w:rsidP="001C4E87">
            <w:pPr>
              <w:jc w:val="right"/>
              <w:rPr>
                <w:rFonts w:asciiTheme="minorHAnsi" w:hAnsiTheme="minorHAnsi" w:cstheme="minorHAnsi"/>
              </w:rPr>
            </w:pPr>
            <w:r w:rsidRPr="001C4E87">
              <w:rPr>
                <w:rFonts w:ascii="Calibri" w:hAnsi="Calibri" w:cs="Calibri"/>
                <w:color w:val="000000"/>
              </w:rPr>
              <w:t>552</w:t>
            </w:r>
          </w:p>
        </w:tc>
        <w:tc>
          <w:tcPr>
            <w:tcW w:w="1926" w:type="dxa"/>
            <w:tcBorders>
              <w:top w:val="single" w:sz="4" w:space="0" w:color="auto"/>
              <w:left w:val="single" w:sz="4" w:space="0" w:color="auto"/>
              <w:bottom w:val="nil"/>
              <w:right w:val="single" w:sz="4" w:space="0" w:color="auto"/>
            </w:tcBorders>
            <w:shd w:val="clear" w:color="auto" w:fill="auto"/>
            <w:vAlign w:val="center"/>
          </w:tcPr>
          <w:p w14:paraId="25EA7B7D" w14:textId="7AEE7885" w:rsidR="001C4E87" w:rsidRPr="001C4E87" w:rsidRDefault="001C4E87" w:rsidP="001C4E87">
            <w:pPr>
              <w:jc w:val="right"/>
              <w:rPr>
                <w:rFonts w:asciiTheme="minorHAnsi" w:hAnsiTheme="minorHAnsi" w:cstheme="minorHAnsi"/>
              </w:rPr>
            </w:pPr>
            <w:r w:rsidRPr="001C4E87">
              <w:rPr>
                <w:rFonts w:ascii="Calibri" w:hAnsi="Calibri" w:cs="Calibri"/>
                <w:color w:val="000000"/>
              </w:rPr>
              <w:t>17</w:t>
            </w:r>
          </w:p>
        </w:tc>
        <w:tc>
          <w:tcPr>
            <w:tcW w:w="1926" w:type="dxa"/>
            <w:tcBorders>
              <w:top w:val="single" w:sz="4" w:space="0" w:color="auto"/>
              <w:left w:val="single" w:sz="4" w:space="0" w:color="auto"/>
              <w:bottom w:val="nil"/>
              <w:right w:val="single" w:sz="4" w:space="0" w:color="auto"/>
            </w:tcBorders>
            <w:shd w:val="clear" w:color="auto" w:fill="auto"/>
            <w:vAlign w:val="center"/>
          </w:tcPr>
          <w:p w14:paraId="2F901EDC" w14:textId="772AF805" w:rsidR="001C4E87" w:rsidRPr="001C4E87" w:rsidRDefault="001C4E87" w:rsidP="001C4E87">
            <w:pPr>
              <w:jc w:val="right"/>
              <w:rPr>
                <w:rFonts w:asciiTheme="minorHAnsi" w:hAnsiTheme="minorHAnsi" w:cstheme="minorHAnsi"/>
              </w:rPr>
            </w:pPr>
            <w:r w:rsidRPr="001C4E87">
              <w:rPr>
                <w:rFonts w:ascii="Calibri" w:hAnsi="Calibri" w:cs="Calibri"/>
                <w:color w:val="000000"/>
              </w:rPr>
              <w:t>20</w:t>
            </w:r>
          </w:p>
        </w:tc>
        <w:tc>
          <w:tcPr>
            <w:tcW w:w="1926" w:type="dxa"/>
            <w:tcBorders>
              <w:top w:val="single" w:sz="4" w:space="0" w:color="auto"/>
              <w:left w:val="single" w:sz="4" w:space="0" w:color="auto"/>
              <w:bottom w:val="nil"/>
              <w:right w:val="single" w:sz="4" w:space="0" w:color="auto"/>
            </w:tcBorders>
            <w:shd w:val="clear" w:color="auto" w:fill="auto"/>
            <w:vAlign w:val="center"/>
          </w:tcPr>
          <w:p w14:paraId="46FCBD75" w14:textId="4B472ACD" w:rsidR="001C4E87" w:rsidRPr="001C4E87" w:rsidRDefault="001C4E87" w:rsidP="001C4E87">
            <w:pPr>
              <w:jc w:val="right"/>
              <w:rPr>
                <w:rFonts w:asciiTheme="minorHAnsi" w:hAnsiTheme="minorHAnsi" w:cstheme="minorHAnsi"/>
              </w:rPr>
            </w:pPr>
            <w:r w:rsidRPr="001C4E87">
              <w:rPr>
                <w:rFonts w:ascii="Calibri" w:hAnsi="Calibri" w:cs="Calibri"/>
                <w:color w:val="000000"/>
              </w:rPr>
              <w:t>377</w:t>
            </w:r>
          </w:p>
        </w:tc>
      </w:tr>
      <w:tr w:rsidR="00624D22" w14:paraId="3D0DF9D2" w14:textId="77777777" w:rsidTr="00755100">
        <w:trPr>
          <w:trHeight w:hRule="exact" w:val="85"/>
        </w:trPr>
        <w:tc>
          <w:tcPr>
            <w:tcW w:w="9629" w:type="dxa"/>
            <w:gridSpan w:val="5"/>
            <w:tcBorders>
              <w:right w:val="single" w:sz="4" w:space="0" w:color="auto"/>
            </w:tcBorders>
          </w:tcPr>
          <w:p w14:paraId="4C503BAB" w14:textId="77777777" w:rsidR="00624D22" w:rsidRPr="00AB506C" w:rsidRDefault="00624D22" w:rsidP="00047100">
            <w:pPr>
              <w:rPr>
                <w:rFonts w:asciiTheme="minorHAnsi" w:hAnsiTheme="minorHAnsi" w:cstheme="minorHAnsi"/>
              </w:rPr>
            </w:pPr>
          </w:p>
        </w:tc>
      </w:tr>
      <w:tr w:rsidR="00624D22" w14:paraId="142B256D" w14:textId="77777777" w:rsidTr="00755100">
        <w:tc>
          <w:tcPr>
            <w:tcW w:w="9629" w:type="dxa"/>
            <w:gridSpan w:val="5"/>
            <w:tcBorders>
              <w:right w:val="single" w:sz="4" w:space="0" w:color="auto"/>
            </w:tcBorders>
            <w:shd w:val="clear" w:color="auto" w:fill="E7E6E6" w:themeFill="background2"/>
          </w:tcPr>
          <w:p w14:paraId="5C35B9F0" w14:textId="77777777" w:rsidR="00624D22" w:rsidRPr="00AB506C" w:rsidRDefault="00624D22" w:rsidP="00047100">
            <w:pPr>
              <w:rPr>
                <w:rFonts w:asciiTheme="minorHAnsi" w:hAnsiTheme="minorHAnsi" w:cstheme="minorHAnsi"/>
              </w:rPr>
            </w:pPr>
            <w:r w:rsidRPr="00AB506C">
              <w:rPr>
                <w:rFonts w:asciiTheme="minorHAnsi" w:hAnsiTheme="minorHAnsi" w:cstheme="minorHAnsi"/>
              </w:rPr>
              <w:t>Weeks between start date &amp; event date</w:t>
            </w:r>
          </w:p>
        </w:tc>
      </w:tr>
      <w:tr w:rsidR="002D44E1" w14:paraId="4185CFA6" w14:textId="77777777" w:rsidTr="005F5FAE">
        <w:tc>
          <w:tcPr>
            <w:tcW w:w="1925" w:type="dxa"/>
          </w:tcPr>
          <w:p w14:paraId="56477607" w14:textId="77777777" w:rsidR="002D44E1" w:rsidRPr="00AB506C" w:rsidRDefault="002D44E1" w:rsidP="002D44E1">
            <w:pPr>
              <w:rPr>
                <w:rFonts w:asciiTheme="minorHAnsi" w:hAnsiTheme="minorHAnsi" w:cstheme="minorHAnsi"/>
                <w:sz w:val="20"/>
                <w:szCs w:val="20"/>
              </w:rPr>
            </w:pPr>
            <w:r w:rsidRPr="00AB506C">
              <w:rPr>
                <w:rFonts w:asciiTheme="minorHAnsi" w:hAnsiTheme="minorHAnsi" w:cstheme="minorHAnsi"/>
                <w:sz w:val="20"/>
                <w:szCs w:val="20"/>
              </w:rPr>
              <w:t>Mean (average)</w:t>
            </w:r>
          </w:p>
        </w:tc>
        <w:tc>
          <w:tcPr>
            <w:tcW w:w="1926" w:type="dxa"/>
            <w:tcBorders>
              <w:top w:val="nil"/>
              <w:left w:val="nil"/>
              <w:bottom w:val="single" w:sz="4" w:space="0" w:color="auto"/>
              <w:right w:val="single" w:sz="4" w:space="0" w:color="auto"/>
            </w:tcBorders>
            <w:shd w:val="clear" w:color="auto" w:fill="auto"/>
            <w:vAlign w:val="center"/>
          </w:tcPr>
          <w:p w14:paraId="0E87C390" w14:textId="382795D4" w:rsidR="002D44E1" w:rsidRPr="002D44E1" w:rsidRDefault="002D44E1" w:rsidP="002D44E1">
            <w:pPr>
              <w:jc w:val="right"/>
              <w:rPr>
                <w:rFonts w:asciiTheme="minorHAnsi" w:hAnsiTheme="minorHAnsi" w:cstheme="minorHAnsi"/>
              </w:rPr>
            </w:pPr>
            <w:r w:rsidRPr="002D44E1">
              <w:rPr>
                <w:rFonts w:ascii="Calibri" w:hAnsi="Calibri" w:cs="Calibri"/>
                <w:color w:val="000000"/>
              </w:rPr>
              <w:t>13.7</w:t>
            </w:r>
          </w:p>
        </w:tc>
        <w:tc>
          <w:tcPr>
            <w:tcW w:w="1926" w:type="dxa"/>
            <w:tcBorders>
              <w:top w:val="nil"/>
              <w:left w:val="single" w:sz="4" w:space="0" w:color="auto"/>
              <w:bottom w:val="single" w:sz="4" w:space="0" w:color="auto"/>
              <w:right w:val="single" w:sz="4" w:space="0" w:color="auto"/>
            </w:tcBorders>
            <w:shd w:val="clear" w:color="auto" w:fill="auto"/>
            <w:vAlign w:val="center"/>
          </w:tcPr>
          <w:p w14:paraId="096616B3" w14:textId="126DE2F2" w:rsidR="002D44E1" w:rsidRPr="002D44E1" w:rsidRDefault="002D44E1" w:rsidP="002D44E1">
            <w:pPr>
              <w:jc w:val="right"/>
              <w:rPr>
                <w:rFonts w:asciiTheme="minorHAnsi" w:hAnsiTheme="minorHAnsi" w:cstheme="minorHAnsi"/>
              </w:rPr>
            </w:pPr>
            <w:r w:rsidRPr="002D44E1">
              <w:rPr>
                <w:rFonts w:ascii="Calibri" w:hAnsi="Calibri" w:cs="Calibri"/>
                <w:color w:val="000000"/>
              </w:rPr>
              <w:t>17.7</w:t>
            </w:r>
          </w:p>
        </w:tc>
        <w:tc>
          <w:tcPr>
            <w:tcW w:w="192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818B06" w14:textId="75BE85DC" w:rsidR="002D44E1" w:rsidRPr="002D44E1" w:rsidRDefault="002D44E1" w:rsidP="002D44E1">
            <w:pPr>
              <w:jc w:val="right"/>
              <w:rPr>
                <w:rFonts w:asciiTheme="minorHAnsi" w:hAnsiTheme="minorHAnsi" w:cstheme="minorHAnsi"/>
              </w:rPr>
            </w:pPr>
            <w:r w:rsidRPr="002D44E1">
              <w:rPr>
                <w:rFonts w:ascii="Calibri" w:hAnsi="Calibri" w:cs="Calibri"/>
                <w:color w:val="000000"/>
              </w:rPr>
              <w:t>18.0</w:t>
            </w:r>
          </w:p>
        </w:tc>
        <w:tc>
          <w:tcPr>
            <w:tcW w:w="1926" w:type="dxa"/>
            <w:tcBorders>
              <w:top w:val="nil"/>
              <w:left w:val="single" w:sz="4" w:space="0" w:color="auto"/>
              <w:bottom w:val="single" w:sz="4" w:space="0" w:color="auto"/>
              <w:right w:val="single" w:sz="4" w:space="0" w:color="auto"/>
            </w:tcBorders>
            <w:shd w:val="clear" w:color="auto" w:fill="auto"/>
            <w:vAlign w:val="center"/>
          </w:tcPr>
          <w:p w14:paraId="00BF2F4A" w14:textId="236D6199" w:rsidR="002D44E1" w:rsidRPr="002D44E1" w:rsidRDefault="002D44E1" w:rsidP="002D44E1">
            <w:pPr>
              <w:jc w:val="right"/>
              <w:rPr>
                <w:rFonts w:asciiTheme="minorHAnsi" w:hAnsiTheme="minorHAnsi" w:cstheme="minorHAnsi"/>
              </w:rPr>
            </w:pPr>
            <w:r w:rsidRPr="002D44E1">
              <w:rPr>
                <w:rFonts w:ascii="Calibri" w:hAnsi="Calibri" w:cs="Calibri"/>
                <w:color w:val="000000"/>
              </w:rPr>
              <w:t>9.9</w:t>
            </w:r>
          </w:p>
        </w:tc>
      </w:tr>
      <w:tr w:rsidR="002D44E1" w14:paraId="20D7C16C" w14:textId="77777777" w:rsidTr="005F5FAE">
        <w:tc>
          <w:tcPr>
            <w:tcW w:w="1925" w:type="dxa"/>
          </w:tcPr>
          <w:p w14:paraId="457BDBC3" w14:textId="77777777" w:rsidR="002D44E1" w:rsidRPr="00AB506C" w:rsidRDefault="002D44E1" w:rsidP="002D44E1">
            <w:pPr>
              <w:rPr>
                <w:rFonts w:asciiTheme="minorHAnsi" w:hAnsiTheme="minorHAnsi" w:cstheme="minorHAnsi"/>
                <w:sz w:val="20"/>
                <w:szCs w:val="20"/>
              </w:rPr>
            </w:pPr>
            <w:r w:rsidRPr="00AB506C">
              <w:rPr>
                <w:rFonts w:asciiTheme="minorHAnsi" w:hAnsiTheme="minorHAnsi" w:cstheme="minorHAnsi"/>
                <w:sz w:val="20"/>
                <w:szCs w:val="20"/>
              </w:rPr>
              <w:t>Median (average)</w:t>
            </w:r>
          </w:p>
        </w:tc>
        <w:tc>
          <w:tcPr>
            <w:tcW w:w="1926" w:type="dxa"/>
            <w:tcBorders>
              <w:top w:val="single" w:sz="4" w:space="0" w:color="auto"/>
              <w:left w:val="nil"/>
              <w:bottom w:val="single" w:sz="4" w:space="0" w:color="auto"/>
              <w:right w:val="single" w:sz="4" w:space="0" w:color="auto"/>
            </w:tcBorders>
            <w:shd w:val="clear" w:color="auto" w:fill="auto"/>
            <w:vAlign w:val="center"/>
          </w:tcPr>
          <w:p w14:paraId="3BAA9F95" w14:textId="3469F455" w:rsidR="002D44E1" w:rsidRPr="002D44E1" w:rsidRDefault="002D44E1" w:rsidP="002D44E1">
            <w:pPr>
              <w:jc w:val="right"/>
              <w:rPr>
                <w:rFonts w:asciiTheme="minorHAnsi" w:hAnsiTheme="minorHAnsi" w:cstheme="minorHAnsi"/>
              </w:rPr>
            </w:pPr>
            <w:r w:rsidRPr="002D44E1">
              <w:rPr>
                <w:rFonts w:ascii="Calibri" w:hAnsi="Calibri" w:cs="Calibri"/>
                <w:color w:val="000000"/>
              </w:rPr>
              <w:t>9.9</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BB8E582" w14:textId="2C939070" w:rsidR="002D44E1" w:rsidRPr="002D44E1" w:rsidRDefault="002D44E1" w:rsidP="002D44E1">
            <w:pPr>
              <w:jc w:val="right"/>
              <w:rPr>
                <w:rFonts w:asciiTheme="minorHAnsi" w:hAnsiTheme="minorHAnsi" w:cstheme="minorHAnsi"/>
              </w:rPr>
            </w:pPr>
            <w:r w:rsidRPr="002D44E1">
              <w:rPr>
                <w:rFonts w:ascii="Calibri" w:hAnsi="Calibri" w:cs="Calibri"/>
                <w:color w:val="000000"/>
              </w:rPr>
              <w:t>13.0</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95F8E" w14:textId="3BC3DAB9" w:rsidR="002D44E1" w:rsidRPr="002D44E1" w:rsidRDefault="002D44E1" w:rsidP="002D44E1">
            <w:pPr>
              <w:jc w:val="right"/>
              <w:rPr>
                <w:rFonts w:asciiTheme="minorHAnsi" w:hAnsiTheme="minorHAnsi" w:cstheme="minorHAnsi"/>
              </w:rPr>
            </w:pPr>
            <w:r w:rsidRPr="002D44E1">
              <w:rPr>
                <w:rFonts w:ascii="Calibri" w:hAnsi="Calibri" w:cs="Calibri"/>
                <w:color w:val="000000"/>
              </w:rPr>
              <w:t>14.7</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CE38E52" w14:textId="2B2AB9F4" w:rsidR="002D44E1" w:rsidRPr="002D44E1" w:rsidRDefault="002D44E1" w:rsidP="002D44E1">
            <w:pPr>
              <w:jc w:val="right"/>
              <w:rPr>
                <w:rFonts w:asciiTheme="minorHAnsi" w:hAnsiTheme="minorHAnsi" w:cstheme="minorHAnsi"/>
              </w:rPr>
            </w:pPr>
            <w:r w:rsidRPr="002D44E1">
              <w:rPr>
                <w:rFonts w:ascii="Calibri" w:hAnsi="Calibri" w:cs="Calibri"/>
                <w:color w:val="000000"/>
              </w:rPr>
              <w:t>8.1</w:t>
            </w:r>
          </w:p>
        </w:tc>
      </w:tr>
      <w:tr w:rsidR="002D44E1" w14:paraId="64CA0908" w14:textId="77777777" w:rsidTr="007E7B89">
        <w:tc>
          <w:tcPr>
            <w:tcW w:w="1925" w:type="dxa"/>
          </w:tcPr>
          <w:p w14:paraId="102419B7" w14:textId="1BCE4987" w:rsidR="002D44E1" w:rsidRPr="00AB506C" w:rsidRDefault="002D44E1" w:rsidP="002D44E1">
            <w:pPr>
              <w:rPr>
                <w:rFonts w:asciiTheme="minorHAnsi" w:hAnsiTheme="minorHAnsi" w:cstheme="minorHAnsi"/>
                <w:sz w:val="20"/>
                <w:szCs w:val="20"/>
              </w:rPr>
            </w:pPr>
            <w:r w:rsidRPr="00AB506C">
              <w:rPr>
                <w:rFonts w:asciiTheme="minorHAnsi" w:hAnsiTheme="minorHAnsi" w:cstheme="minorHAnsi"/>
                <w:sz w:val="20"/>
                <w:szCs w:val="20"/>
              </w:rPr>
              <w:t xml:space="preserve">Cases where an event occurred during </w:t>
            </w:r>
            <w:r w:rsidR="00053A8F">
              <w:rPr>
                <w:rFonts w:asciiTheme="minorHAnsi" w:hAnsiTheme="minorHAnsi" w:cstheme="minorHAnsi"/>
                <w:sz w:val="20"/>
                <w:szCs w:val="20"/>
              </w:rPr>
              <w:t>May</w:t>
            </w:r>
            <w:r>
              <w:rPr>
                <w:rFonts w:asciiTheme="minorHAnsi" w:hAnsiTheme="minorHAnsi" w:cstheme="minorHAnsi"/>
                <w:sz w:val="20"/>
                <w:szCs w:val="20"/>
              </w:rPr>
              <w:t xml:space="preserve"> 21</w:t>
            </w:r>
          </w:p>
        </w:tc>
        <w:tc>
          <w:tcPr>
            <w:tcW w:w="1926" w:type="dxa"/>
            <w:tcBorders>
              <w:top w:val="single" w:sz="4" w:space="0" w:color="auto"/>
              <w:left w:val="nil"/>
              <w:bottom w:val="nil"/>
              <w:right w:val="single" w:sz="4" w:space="0" w:color="auto"/>
            </w:tcBorders>
            <w:shd w:val="clear" w:color="auto" w:fill="auto"/>
            <w:vAlign w:val="center"/>
          </w:tcPr>
          <w:p w14:paraId="53FB2DE9" w14:textId="44EF85E3" w:rsidR="002D44E1" w:rsidRPr="002D44E1" w:rsidRDefault="002D44E1" w:rsidP="002D44E1">
            <w:pPr>
              <w:jc w:val="right"/>
              <w:rPr>
                <w:rFonts w:asciiTheme="minorHAnsi" w:hAnsiTheme="minorHAnsi" w:cstheme="minorHAnsi"/>
              </w:rPr>
            </w:pPr>
            <w:r w:rsidRPr="002D44E1">
              <w:rPr>
                <w:rFonts w:ascii="Calibri" w:hAnsi="Calibri" w:cs="Calibri"/>
                <w:color w:val="000000"/>
              </w:rPr>
              <w:t>854</w:t>
            </w:r>
          </w:p>
        </w:tc>
        <w:tc>
          <w:tcPr>
            <w:tcW w:w="1926" w:type="dxa"/>
            <w:tcBorders>
              <w:top w:val="single" w:sz="4" w:space="0" w:color="auto"/>
              <w:left w:val="single" w:sz="4" w:space="0" w:color="auto"/>
              <w:bottom w:val="nil"/>
              <w:right w:val="single" w:sz="4" w:space="0" w:color="auto"/>
            </w:tcBorders>
            <w:shd w:val="clear" w:color="auto" w:fill="auto"/>
            <w:vAlign w:val="center"/>
          </w:tcPr>
          <w:p w14:paraId="661D38D5" w14:textId="1E6DCADE" w:rsidR="002D44E1" w:rsidRPr="002D44E1" w:rsidRDefault="002D44E1" w:rsidP="002D44E1">
            <w:pPr>
              <w:jc w:val="right"/>
              <w:rPr>
                <w:rFonts w:asciiTheme="minorHAnsi" w:hAnsiTheme="minorHAnsi" w:cstheme="minorHAnsi"/>
              </w:rPr>
            </w:pPr>
            <w:r w:rsidRPr="002D44E1">
              <w:rPr>
                <w:rFonts w:ascii="Calibri" w:hAnsi="Calibri" w:cs="Calibri"/>
                <w:color w:val="000000"/>
              </w:rPr>
              <w:t>43</w:t>
            </w:r>
          </w:p>
        </w:tc>
        <w:tc>
          <w:tcPr>
            <w:tcW w:w="1926" w:type="dxa"/>
            <w:tcBorders>
              <w:top w:val="single" w:sz="4" w:space="0" w:color="auto"/>
              <w:left w:val="single" w:sz="4" w:space="0" w:color="auto"/>
              <w:bottom w:val="nil"/>
              <w:right w:val="single" w:sz="4" w:space="0" w:color="auto"/>
            </w:tcBorders>
            <w:shd w:val="clear" w:color="auto" w:fill="auto"/>
            <w:vAlign w:val="center"/>
          </w:tcPr>
          <w:p w14:paraId="0A1A2085" w14:textId="76BC25DA" w:rsidR="002D44E1" w:rsidRPr="002D44E1" w:rsidRDefault="002D44E1" w:rsidP="002D44E1">
            <w:pPr>
              <w:jc w:val="right"/>
              <w:rPr>
                <w:rFonts w:asciiTheme="minorHAnsi" w:hAnsiTheme="minorHAnsi" w:cstheme="minorHAnsi"/>
              </w:rPr>
            </w:pPr>
            <w:r w:rsidRPr="002D44E1">
              <w:rPr>
                <w:rFonts w:ascii="Calibri" w:hAnsi="Calibri" w:cs="Calibri"/>
                <w:color w:val="000000"/>
              </w:rPr>
              <w:t>19</w:t>
            </w:r>
          </w:p>
        </w:tc>
        <w:tc>
          <w:tcPr>
            <w:tcW w:w="1926" w:type="dxa"/>
            <w:tcBorders>
              <w:top w:val="single" w:sz="4" w:space="0" w:color="auto"/>
              <w:left w:val="single" w:sz="4" w:space="0" w:color="auto"/>
              <w:bottom w:val="nil"/>
              <w:right w:val="single" w:sz="4" w:space="0" w:color="auto"/>
            </w:tcBorders>
            <w:shd w:val="clear" w:color="auto" w:fill="auto"/>
            <w:vAlign w:val="center"/>
          </w:tcPr>
          <w:p w14:paraId="275E3954" w14:textId="7EF9BCF8" w:rsidR="002D44E1" w:rsidRPr="002D44E1" w:rsidRDefault="002D44E1" w:rsidP="002D44E1">
            <w:pPr>
              <w:jc w:val="right"/>
              <w:rPr>
                <w:rFonts w:asciiTheme="minorHAnsi" w:hAnsiTheme="minorHAnsi" w:cstheme="minorHAnsi"/>
              </w:rPr>
            </w:pPr>
            <w:r w:rsidRPr="002D44E1">
              <w:rPr>
                <w:rFonts w:ascii="Calibri" w:hAnsi="Calibri" w:cs="Calibri"/>
                <w:color w:val="000000"/>
              </w:rPr>
              <w:t>357</w:t>
            </w:r>
          </w:p>
        </w:tc>
      </w:tr>
      <w:tr w:rsidR="00624D22" w14:paraId="080CB5A8" w14:textId="77777777" w:rsidTr="00755100">
        <w:trPr>
          <w:trHeight w:hRule="exact" w:val="85"/>
        </w:trPr>
        <w:tc>
          <w:tcPr>
            <w:tcW w:w="9629" w:type="dxa"/>
            <w:gridSpan w:val="5"/>
            <w:tcBorders>
              <w:right w:val="single" w:sz="4" w:space="0" w:color="auto"/>
            </w:tcBorders>
          </w:tcPr>
          <w:p w14:paraId="35C9569E" w14:textId="77777777" w:rsidR="00624D22" w:rsidRPr="00AB506C" w:rsidRDefault="00624D22" w:rsidP="00047100">
            <w:pPr>
              <w:rPr>
                <w:rFonts w:asciiTheme="minorHAnsi" w:hAnsiTheme="minorHAnsi" w:cstheme="minorHAnsi"/>
              </w:rPr>
            </w:pPr>
          </w:p>
        </w:tc>
      </w:tr>
      <w:tr w:rsidR="00624D22" w14:paraId="55C66982" w14:textId="77777777" w:rsidTr="00755100">
        <w:tc>
          <w:tcPr>
            <w:tcW w:w="9629" w:type="dxa"/>
            <w:gridSpan w:val="5"/>
            <w:tcBorders>
              <w:right w:val="single" w:sz="4" w:space="0" w:color="auto"/>
            </w:tcBorders>
            <w:shd w:val="clear" w:color="auto" w:fill="E7E6E6" w:themeFill="background2"/>
          </w:tcPr>
          <w:p w14:paraId="6AA1A1BB" w14:textId="77777777" w:rsidR="00624D22" w:rsidRPr="00AB506C" w:rsidRDefault="00624D22" w:rsidP="00047100">
            <w:pPr>
              <w:rPr>
                <w:rFonts w:asciiTheme="minorHAnsi" w:hAnsiTheme="minorHAnsi" w:cstheme="minorHAnsi"/>
              </w:rPr>
            </w:pPr>
            <w:r w:rsidRPr="00AB506C">
              <w:rPr>
                <w:rFonts w:asciiTheme="minorHAnsi" w:hAnsiTheme="minorHAnsi" w:cstheme="minorHAnsi"/>
              </w:rPr>
              <w:t>Weeks between event date &amp; decision date</w:t>
            </w:r>
          </w:p>
        </w:tc>
      </w:tr>
      <w:tr w:rsidR="002D44E1" w14:paraId="4AC8457E" w14:textId="77777777" w:rsidTr="005F5FAE">
        <w:tc>
          <w:tcPr>
            <w:tcW w:w="1925" w:type="dxa"/>
          </w:tcPr>
          <w:p w14:paraId="37CA939E" w14:textId="77777777" w:rsidR="002D44E1" w:rsidRPr="00AB506C" w:rsidRDefault="002D44E1" w:rsidP="002D44E1">
            <w:pPr>
              <w:rPr>
                <w:rFonts w:asciiTheme="minorHAnsi" w:hAnsiTheme="minorHAnsi" w:cstheme="minorHAnsi"/>
                <w:sz w:val="20"/>
                <w:szCs w:val="20"/>
              </w:rPr>
            </w:pPr>
            <w:r w:rsidRPr="00AB506C">
              <w:rPr>
                <w:rFonts w:asciiTheme="minorHAnsi" w:hAnsiTheme="minorHAnsi" w:cstheme="minorHAnsi"/>
                <w:sz w:val="20"/>
                <w:szCs w:val="20"/>
              </w:rPr>
              <w:t>Mean (average)</w:t>
            </w:r>
          </w:p>
        </w:tc>
        <w:tc>
          <w:tcPr>
            <w:tcW w:w="1926" w:type="dxa"/>
            <w:tcBorders>
              <w:top w:val="nil"/>
              <w:left w:val="nil"/>
              <w:bottom w:val="single" w:sz="4" w:space="0" w:color="auto"/>
              <w:right w:val="single" w:sz="4" w:space="0" w:color="auto"/>
            </w:tcBorders>
            <w:shd w:val="clear" w:color="auto" w:fill="auto"/>
            <w:vAlign w:val="center"/>
          </w:tcPr>
          <w:p w14:paraId="718DE3BF" w14:textId="561221AD" w:rsidR="002D44E1" w:rsidRPr="002D44E1" w:rsidRDefault="002D44E1" w:rsidP="002D44E1">
            <w:pPr>
              <w:jc w:val="right"/>
              <w:rPr>
                <w:rFonts w:asciiTheme="minorHAnsi" w:hAnsiTheme="minorHAnsi" w:cstheme="minorHAnsi"/>
              </w:rPr>
            </w:pPr>
            <w:r w:rsidRPr="002D44E1">
              <w:rPr>
                <w:rFonts w:ascii="Calibri" w:hAnsi="Calibri" w:cs="Calibri"/>
                <w:color w:val="000000"/>
              </w:rPr>
              <w:t>4.3</w:t>
            </w:r>
          </w:p>
        </w:tc>
        <w:tc>
          <w:tcPr>
            <w:tcW w:w="1926" w:type="dxa"/>
            <w:tcBorders>
              <w:top w:val="nil"/>
              <w:left w:val="single" w:sz="4" w:space="0" w:color="auto"/>
              <w:bottom w:val="single" w:sz="4" w:space="0" w:color="auto"/>
              <w:right w:val="single" w:sz="4" w:space="0" w:color="auto"/>
            </w:tcBorders>
            <w:shd w:val="clear" w:color="auto" w:fill="auto"/>
            <w:vAlign w:val="center"/>
          </w:tcPr>
          <w:p w14:paraId="6B66FDEF" w14:textId="50B297AB" w:rsidR="002D44E1" w:rsidRPr="002D44E1" w:rsidRDefault="002D44E1" w:rsidP="002D44E1">
            <w:pPr>
              <w:jc w:val="right"/>
              <w:rPr>
                <w:rFonts w:asciiTheme="minorHAnsi" w:hAnsiTheme="minorHAnsi" w:cstheme="minorHAnsi"/>
              </w:rPr>
            </w:pPr>
            <w:r w:rsidRPr="002D44E1">
              <w:rPr>
                <w:rFonts w:ascii="Calibri" w:hAnsi="Calibri" w:cs="Calibri"/>
                <w:color w:val="000000"/>
              </w:rPr>
              <w:t>6.6</w:t>
            </w:r>
          </w:p>
        </w:tc>
        <w:tc>
          <w:tcPr>
            <w:tcW w:w="192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28BB39" w14:textId="0C59989B" w:rsidR="002D44E1" w:rsidRPr="002D44E1" w:rsidRDefault="002D44E1" w:rsidP="002D44E1">
            <w:pPr>
              <w:jc w:val="right"/>
              <w:rPr>
                <w:rFonts w:asciiTheme="minorHAnsi" w:hAnsiTheme="minorHAnsi" w:cstheme="minorHAnsi"/>
              </w:rPr>
            </w:pPr>
            <w:r w:rsidRPr="002D44E1">
              <w:rPr>
                <w:rFonts w:ascii="Calibri" w:hAnsi="Calibri" w:cs="Calibri"/>
                <w:color w:val="000000"/>
              </w:rPr>
              <w:t>9.6</w:t>
            </w:r>
          </w:p>
        </w:tc>
        <w:tc>
          <w:tcPr>
            <w:tcW w:w="1926" w:type="dxa"/>
            <w:tcBorders>
              <w:top w:val="nil"/>
              <w:left w:val="single" w:sz="4" w:space="0" w:color="auto"/>
              <w:bottom w:val="single" w:sz="4" w:space="0" w:color="auto"/>
              <w:right w:val="single" w:sz="4" w:space="0" w:color="auto"/>
            </w:tcBorders>
            <w:shd w:val="clear" w:color="auto" w:fill="auto"/>
            <w:vAlign w:val="center"/>
          </w:tcPr>
          <w:p w14:paraId="5AA36E38" w14:textId="09B77B8F" w:rsidR="002D44E1" w:rsidRPr="002D44E1" w:rsidRDefault="002D44E1" w:rsidP="002D44E1">
            <w:pPr>
              <w:jc w:val="right"/>
              <w:rPr>
                <w:rFonts w:asciiTheme="minorHAnsi" w:hAnsiTheme="minorHAnsi" w:cstheme="minorHAnsi"/>
              </w:rPr>
            </w:pPr>
            <w:r w:rsidRPr="002D44E1">
              <w:rPr>
                <w:rFonts w:ascii="Calibri" w:hAnsi="Calibri" w:cs="Calibri"/>
                <w:color w:val="000000"/>
              </w:rPr>
              <w:t>3.6</w:t>
            </w:r>
          </w:p>
        </w:tc>
      </w:tr>
      <w:tr w:rsidR="002D44E1" w14:paraId="78BA1F85" w14:textId="77777777" w:rsidTr="005F5FAE">
        <w:tc>
          <w:tcPr>
            <w:tcW w:w="1925" w:type="dxa"/>
          </w:tcPr>
          <w:p w14:paraId="001EC2E0" w14:textId="77777777" w:rsidR="002D44E1" w:rsidRPr="00AB506C" w:rsidRDefault="002D44E1" w:rsidP="002D44E1">
            <w:pPr>
              <w:rPr>
                <w:rFonts w:asciiTheme="minorHAnsi" w:hAnsiTheme="minorHAnsi" w:cstheme="minorHAnsi"/>
                <w:sz w:val="20"/>
                <w:szCs w:val="20"/>
              </w:rPr>
            </w:pPr>
            <w:r w:rsidRPr="00AB506C">
              <w:rPr>
                <w:rFonts w:asciiTheme="minorHAnsi" w:hAnsiTheme="minorHAnsi" w:cstheme="minorHAnsi"/>
                <w:sz w:val="20"/>
                <w:szCs w:val="20"/>
              </w:rPr>
              <w:t>Median (average)</w:t>
            </w:r>
          </w:p>
        </w:tc>
        <w:tc>
          <w:tcPr>
            <w:tcW w:w="1926" w:type="dxa"/>
            <w:tcBorders>
              <w:top w:val="single" w:sz="4" w:space="0" w:color="auto"/>
              <w:left w:val="nil"/>
              <w:bottom w:val="single" w:sz="4" w:space="0" w:color="auto"/>
              <w:right w:val="single" w:sz="4" w:space="0" w:color="auto"/>
            </w:tcBorders>
            <w:shd w:val="clear" w:color="auto" w:fill="auto"/>
            <w:vAlign w:val="center"/>
          </w:tcPr>
          <w:p w14:paraId="3726C585" w14:textId="65FF57F8" w:rsidR="002D44E1" w:rsidRPr="002D44E1" w:rsidRDefault="002D44E1" w:rsidP="002D44E1">
            <w:pPr>
              <w:jc w:val="right"/>
              <w:rPr>
                <w:rFonts w:asciiTheme="minorHAnsi" w:hAnsiTheme="minorHAnsi" w:cstheme="minorHAnsi"/>
              </w:rPr>
            </w:pPr>
            <w:r w:rsidRPr="002D44E1">
              <w:rPr>
                <w:rFonts w:ascii="Calibri" w:hAnsi="Calibri" w:cs="Calibri"/>
                <w:color w:val="000000"/>
              </w:rPr>
              <w:t>3.1</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574575B" w14:textId="703846CC" w:rsidR="002D44E1" w:rsidRPr="002D44E1" w:rsidRDefault="002D44E1" w:rsidP="002D44E1">
            <w:pPr>
              <w:jc w:val="right"/>
              <w:rPr>
                <w:rFonts w:asciiTheme="minorHAnsi" w:hAnsiTheme="minorHAnsi" w:cstheme="minorHAnsi"/>
              </w:rPr>
            </w:pPr>
            <w:r w:rsidRPr="002D44E1">
              <w:rPr>
                <w:rFonts w:ascii="Calibri" w:hAnsi="Calibri" w:cs="Calibri"/>
                <w:color w:val="000000"/>
              </w:rPr>
              <w:t>5.0</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836B2" w14:textId="501D3559" w:rsidR="002D44E1" w:rsidRPr="002D44E1" w:rsidRDefault="002D44E1" w:rsidP="002D44E1">
            <w:pPr>
              <w:jc w:val="right"/>
              <w:rPr>
                <w:rFonts w:asciiTheme="minorHAnsi" w:hAnsiTheme="minorHAnsi" w:cstheme="minorHAnsi"/>
              </w:rPr>
            </w:pPr>
            <w:r w:rsidRPr="002D44E1">
              <w:rPr>
                <w:rFonts w:ascii="Calibri" w:hAnsi="Calibri" w:cs="Calibri"/>
                <w:color w:val="000000"/>
              </w:rPr>
              <w:t>8.9</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C670F12" w14:textId="59D1CAA1" w:rsidR="002D44E1" w:rsidRPr="002D44E1" w:rsidRDefault="002D44E1" w:rsidP="002D44E1">
            <w:pPr>
              <w:jc w:val="right"/>
              <w:rPr>
                <w:rFonts w:asciiTheme="minorHAnsi" w:hAnsiTheme="minorHAnsi" w:cstheme="minorHAnsi"/>
              </w:rPr>
            </w:pPr>
            <w:r w:rsidRPr="002D44E1">
              <w:rPr>
                <w:rFonts w:ascii="Calibri" w:hAnsi="Calibri" w:cs="Calibri"/>
                <w:color w:val="000000"/>
              </w:rPr>
              <w:t>2.4</w:t>
            </w:r>
          </w:p>
        </w:tc>
      </w:tr>
      <w:tr w:rsidR="002D44E1" w14:paraId="5747A259" w14:textId="77777777" w:rsidTr="007E7B89">
        <w:tc>
          <w:tcPr>
            <w:tcW w:w="1925" w:type="dxa"/>
          </w:tcPr>
          <w:p w14:paraId="1758266F" w14:textId="0B0CD1D9" w:rsidR="002D44E1" w:rsidRPr="00AB506C" w:rsidRDefault="002D44E1" w:rsidP="002D44E1">
            <w:pPr>
              <w:rPr>
                <w:rFonts w:asciiTheme="minorHAnsi" w:hAnsiTheme="minorHAnsi" w:cstheme="minorHAnsi"/>
                <w:sz w:val="20"/>
                <w:szCs w:val="20"/>
              </w:rPr>
            </w:pPr>
            <w:r w:rsidRPr="00AB506C">
              <w:rPr>
                <w:rFonts w:asciiTheme="minorHAnsi" w:hAnsiTheme="minorHAnsi" w:cstheme="minorHAnsi"/>
                <w:sz w:val="20"/>
                <w:szCs w:val="20"/>
              </w:rPr>
              <w:t xml:space="preserve">Cases that have been decided in </w:t>
            </w:r>
            <w:r w:rsidR="00053A8F">
              <w:rPr>
                <w:rFonts w:asciiTheme="minorHAnsi" w:hAnsiTheme="minorHAnsi" w:cstheme="minorHAnsi"/>
                <w:sz w:val="20"/>
                <w:szCs w:val="20"/>
              </w:rPr>
              <w:t>May</w:t>
            </w:r>
            <w:r>
              <w:rPr>
                <w:rFonts w:asciiTheme="minorHAnsi" w:hAnsiTheme="minorHAnsi" w:cstheme="minorHAnsi"/>
                <w:sz w:val="20"/>
                <w:szCs w:val="20"/>
              </w:rPr>
              <w:t xml:space="preserve"> 21</w:t>
            </w:r>
          </w:p>
        </w:tc>
        <w:tc>
          <w:tcPr>
            <w:tcW w:w="1926" w:type="dxa"/>
            <w:tcBorders>
              <w:top w:val="single" w:sz="4" w:space="0" w:color="auto"/>
              <w:left w:val="nil"/>
              <w:bottom w:val="single" w:sz="4" w:space="0" w:color="auto"/>
              <w:right w:val="single" w:sz="4" w:space="0" w:color="auto"/>
            </w:tcBorders>
            <w:shd w:val="clear" w:color="auto" w:fill="auto"/>
            <w:vAlign w:val="center"/>
          </w:tcPr>
          <w:p w14:paraId="2BC72034" w14:textId="127AF452" w:rsidR="002D44E1" w:rsidRPr="002D44E1" w:rsidRDefault="002D44E1" w:rsidP="002D44E1">
            <w:pPr>
              <w:jc w:val="right"/>
              <w:rPr>
                <w:rFonts w:asciiTheme="minorHAnsi" w:hAnsiTheme="minorHAnsi" w:cstheme="minorHAnsi"/>
              </w:rPr>
            </w:pPr>
            <w:r w:rsidRPr="002D44E1">
              <w:rPr>
                <w:rFonts w:ascii="Calibri" w:hAnsi="Calibri" w:cs="Calibri"/>
                <w:color w:val="000000"/>
              </w:rPr>
              <w:t>796</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12B475B" w14:textId="7DF35909" w:rsidR="002D44E1" w:rsidRPr="002D44E1" w:rsidRDefault="002D44E1" w:rsidP="002D44E1">
            <w:pPr>
              <w:jc w:val="right"/>
              <w:rPr>
                <w:rFonts w:asciiTheme="minorHAnsi" w:hAnsiTheme="minorHAnsi" w:cstheme="minorHAnsi"/>
              </w:rPr>
            </w:pPr>
            <w:r w:rsidRPr="002D44E1">
              <w:rPr>
                <w:rFonts w:ascii="Calibri" w:hAnsi="Calibri" w:cs="Calibri"/>
                <w:color w:val="000000"/>
              </w:rPr>
              <w:t>49</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45D2714" w14:textId="02BBDC05" w:rsidR="002D44E1" w:rsidRPr="002D44E1" w:rsidRDefault="002D44E1" w:rsidP="002D44E1">
            <w:pPr>
              <w:jc w:val="right"/>
              <w:rPr>
                <w:rFonts w:asciiTheme="minorHAnsi" w:hAnsiTheme="minorHAnsi" w:cstheme="minorHAnsi"/>
              </w:rPr>
            </w:pPr>
            <w:r w:rsidRPr="002D44E1">
              <w:rPr>
                <w:rFonts w:ascii="Calibri" w:hAnsi="Calibri" w:cs="Calibri"/>
                <w:color w:val="000000"/>
              </w:rPr>
              <w:t>18</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4B10CDF" w14:textId="6618B307" w:rsidR="002D44E1" w:rsidRPr="002D44E1" w:rsidRDefault="002D44E1" w:rsidP="002D44E1">
            <w:pPr>
              <w:jc w:val="right"/>
              <w:rPr>
                <w:rFonts w:asciiTheme="minorHAnsi" w:hAnsiTheme="minorHAnsi" w:cstheme="minorHAnsi"/>
              </w:rPr>
            </w:pPr>
            <w:r w:rsidRPr="002D44E1">
              <w:rPr>
                <w:rFonts w:ascii="Calibri" w:hAnsi="Calibri" w:cs="Calibri"/>
                <w:color w:val="000000"/>
              </w:rPr>
              <w:t>343</w:t>
            </w:r>
          </w:p>
        </w:tc>
      </w:tr>
    </w:tbl>
    <w:p w14:paraId="4A4FCC72" w14:textId="672DB28B" w:rsidR="006A3227" w:rsidRPr="00C107A3" w:rsidRDefault="006A3227" w:rsidP="006A3227">
      <w:pPr>
        <w:rPr>
          <w:sz w:val="12"/>
          <w:szCs w:val="12"/>
        </w:rPr>
      </w:pPr>
    </w:p>
    <w:p w14:paraId="52053747" w14:textId="7D1CE400" w:rsidR="006A3227" w:rsidRPr="0010569F" w:rsidRDefault="006A3227" w:rsidP="002A0818">
      <w:pPr>
        <w:pStyle w:val="ListParagraph"/>
        <w:numPr>
          <w:ilvl w:val="0"/>
          <w:numId w:val="7"/>
        </w:numPr>
        <w:rPr>
          <w:rFonts w:ascii="Helvetica" w:eastAsia="Calibri" w:hAnsi="Helvetica" w:cs="Helvetica"/>
          <w:sz w:val="20"/>
          <w:szCs w:val="20"/>
        </w:rPr>
      </w:pPr>
      <w:r w:rsidRPr="0010569F">
        <w:rPr>
          <w:rFonts w:ascii="Helvetica" w:eastAsia="Calibri" w:hAnsi="Helvetica" w:cs="Helvetica"/>
        </w:rPr>
        <w:t>Valid date – the date a case is deemed to have been validly received</w:t>
      </w:r>
    </w:p>
    <w:p w14:paraId="38368D4B" w14:textId="31770746" w:rsidR="006A3227" w:rsidRPr="0010569F" w:rsidRDefault="006A3227" w:rsidP="002A0818">
      <w:pPr>
        <w:pStyle w:val="ListParagraph"/>
        <w:numPr>
          <w:ilvl w:val="0"/>
          <w:numId w:val="7"/>
        </w:numPr>
        <w:rPr>
          <w:rFonts w:ascii="Helvetica" w:eastAsia="Calibri" w:hAnsi="Helvetica" w:cs="Helvetica"/>
          <w:sz w:val="20"/>
          <w:szCs w:val="20"/>
        </w:rPr>
      </w:pPr>
      <w:r w:rsidRPr="0010569F">
        <w:rPr>
          <w:rFonts w:ascii="Helvetica" w:eastAsia="Calibri" w:hAnsi="Helvetica" w:cs="Helvetica"/>
        </w:rPr>
        <w:t>Start date – date when a case has started its documentation phase (requesting statements and additional information) and an Inspector resource has usually been identified to carry out the case</w:t>
      </w:r>
    </w:p>
    <w:p w14:paraId="1E25FBD6" w14:textId="270319F8" w:rsidR="006A3227" w:rsidRPr="0010569F" w:rsidRDefault="006A3227" w:rsidP="002A0818">
      <w:pPr>
        <w:pStyle w:val="ListParagraph"/>
        <w:numPr>
          <w:ilvl w:val="0"/>
          <w:numId w:val="7"/>
        </w:numPr>
        <w:rPr>
          <w:rFonts w:ascii="Helvetica" w:eastAsia="Calibri" w:hAnsi="Helvetica" w:cs="Helvetica"/>
          <w:sz w:val="20"/>
          <w:szCs w:val="20"/>
        </w:rPr>
      </w:pPr>
      <w:r w:rsidRPr="0010569F">
        <w:rPr>
          <w:rFonts w:ascii="Helvetica" w:eastAsia="Calibri" w:hAnsi="Helvetica" w:cs="Helvetica"/>
        </w:rPr>
        <w:t xml:space="preserve">Event date – the date of either a site visit, </w:t>
      </w:r>
      <w:proofErr w:type="gramStart"/>
      <w:r w:rsidRPr="0010569F">
        <w:rPr>
          <w:rFonts w:ascii="Helvetica" w:eastAsia="Calibri" w:hAnsi="Helvetica" w:cs="Helvetica"/>
        </w:rPr>
        <w:t>hearing</w:t>
      </w:r>
      <w:proofErr w:type="gramEnd"/>
      <w:r w:rsidRPr="0010569F">
        <w:rPr>
          <w:rFonts w:ascii="Helvetica" w:eastAsia="Calibri" w:hAnsi="Helvetica" w:cs="Helvetica"/>
        </w:rPr>
        <w:t xml:space="preserve"> or inquiry</w:t>
      </w:r>
    </w:p>
    <w:p w14:paraId="330EDFF1" w14:textId="77777777" w:rsidR="0079593C" w:rsidRPr="0079593C" w:rsidRDefault="006A3227" w:rsidP="00564D47">
      <w:pPr>
        <w:pStyle w:val="ListParagraph"/>
        <w:numPr>
          <w:ilvl w:val="0"/>
          <w:numId w:val="7"/>
        </w:numPr>
      </w:pPr>
      <w:r w:rsidRPr="0010569F">
        <w:rPr>
          <w:rFonts w:ascii="Helvetica" w:eastAsia="Calibri" w:hAnsi="Helvetica" w:cs="Helvetica"/>
        </w:rPr>
        <w:lastRenderedPageBreak/>
        <w:t xml:space="preserve">Decision date – the date the decision was issued by The Planning Inspectorate </w:t>
      </w:r>
    </w:p>
    <w:p w14:paraId="1AEC4810" w14:textId="77777777" w:rsidR="0079593C" w:rsidRDefault="0079593C" w:rsidP="0079593C"/>
    <w:tbl>
      <w:tblPr>
        <w:tblW w:w="9629" w:type="dxa"/>
        <w:tblCellMar>
          <w:left w:w="10" w:type="dxa"/>
          <w:right w:w="10" w:type="dxa"/>
        </w:tblCellMar>
        <w:tblLook w:val="0000" w:firstRow="0" w:lastRow="0" w:firstColumn="0" w:lastColumn="0" w:noHBand="0" w:noVBand="0"/>
      </w:tblPr>
      <w:tblGrid>
        <w:gridCol w:w="9629"/>
      </w:tblGrid>
      <w:tr w:rsidR="006A3227" w14:paraId="04D9F3C7" w14:textId="77777777" w:rsidTr="000D3887">
        <w:trPr>
          <w:trHeight w:val="403"/>
        </w:trPr>
        <w:tc>
          <w:tcPr>
            <w:tcW w:w="9629" w:type="dxa"/>
            <w:shd w:val="clear" w:color="auto" w:fill="00958F"/>
            <w:tcMar>
              <w:top w:w="0" w:type="dxa"/>
              <w:left w:w="108" w:type="dxa"/>
              <w:bottom w:w="0" w:type="dxa"/>
              <w:right w:w="108" w:type="dxa"/>
            </w:tcMar>
          </w:tcPr>
          <w:p w14:paraId="1FC933EE" w14:textId="129CFA96" w:rsidR="006A3227" w:rsidRPr="00F440B1" w:rsidRDefault="006A3227" w:rsidP="000D3887">
            <w:pPr>
              <w:rPr>
                <w:rFonts w:ascii="Helvetica" w:hAnsi="Helvetica" w:cs="Helvetica"/>
                <w:b/>
                <w:color w:val="FFFFFF"/>
                <w:sz w:val="28"/>
                <w:szCs w:val="28"/>
              </w:rPr>
            </w:pPr>
            <w:r w:rsidRPr="00F440B1">
              <w:rPr>
                <w:rFonts w:ascii="Helvetica" w:hAnsi="Helvetica" w:cs="Helvetica"/>
                <w:b/>
                <w:color w:val="FFFFFF"/>
                <w:sz w:val="28"/>
                <w:szCs w:val="28"/>
              </w:rPr>
              <w:t xml:space="preserve">Annex </w:t>
            </w:r>
            <w:r w:rsidR="00B97CE7">
              <w:rPr>
                <w:rFonts w:ascii="Helvetica" w:hAnsi="Helvetica" w:cs="Helvetica"/>
                <w:b/>
                <w:color w:val="FFFFFF"/>
                <w:sz w:val="28"/>
                <w:szCs w:val="28"/>
              </w:rPr>
              <w:t>D</w:t>
            </w:r>
            <w:r w:rsidRPr="00F440B1">
              <w:rPr>
                <w:rFonts w:ascii="Helvetica" w:hAnsi="Helvetica" w:cs="Helvetica"/>
                <w:b/>
                <w:color w:val="FFFFFF"/>
                <w:sz w:val="28"/>
                <w:szCs w:val="28"/>
              </w:rPr>
              <w:t xml:space="preserve"> – </w:t>
            </w:r>
            <w:r>
              <w:rPr>
                <w:rFonts w:ascii="Helvetica" w:hAnsi="Helvetica" w:cs="Helvetica"/>
                <w:b/>
                <w:color w:val="FFFFFF"/>
                <w:sz w:val="28"/>
                <w:szCs w:val="28"/>
              </w:rPr>
              <w:t>Casework types included in this release</w:t>
            </w:r>
          </w:p>
        </w:tc>
      </w:tr>
    </w:tbl>
    <w:p w14:paraId="3869C341" w14:textId="77777777" w:rsidR="006A3227" w:rsidRDefault="006A3227" w:rsidP="006A3227"/>
    <w:p w14:paraId="4C7463AA" w14:textId="77777777" w:rsidR="006A3227" w:rsidRPr="0048623C" w:rsidRDefault="006A3227" w:rsidP="006A3227">
      <w:pPr>
        <w:rPr>
          <w:rFonts w:ascii="Helvetica" w:eastAsiaTheme="minorHAnsi" w:hAnsi="Helvetica" w:cs="Helvetica"/>
          <w:lang w:eastAsia="en-US"/>
        </w:rPr>
      </w:pPr>
      <w:r w:rsidRPr="0048623C">
        <w:rPr>
          <w:rFonts w:ascii="Helvetica" w:eastAsiaTheme="minorHAnsi" w:hAnsi="Helvetica" w:cs="Helvetica"/>
          <w:lang w:eastAsia="en-US"/>
        </w:rPr>
        <w:t xml:space="preserve">Planning covers s78 planning appeals, Householder appeals, Commercial appeals, s20 Listed Building appeals, Advertisement appeals, s106 Planning Obligation appeals and Called </w:t>
      </w:r>
      <w:proofErr w:type="gramStart"/>
      <w:r w:rsidRPr="0048623C">
        <w:rPr>
          <w:rFonts w:ascii="Helvetica" w:eastAsiaTheme="minorHAnsi" w:hAnsi="Helvetica" w:cs="Helvetica"/>
          <w:lang w:eastAsia="en-US"/>
        </w:rPr>
        <w:t>In</w:t>
      </w:r>
      <w:proofErr w:type="gramEnd"/>
      <w:r w:rsidRPr="0048623C">
        <w:rPr>
          <w:rFonts w:ascii="Helvetica" w:eastAsiaTheme="minorHAnsi" w:hAnsi="Helvetica" w:cs="Helvetica"/>
          <w:lang w:eastAsia="en-US"/>
        </w:rPr>
        <w:t xml:space="preserve"> Planning Applications.</w:t>
      </w:r>
    </w:p>
    <w:p w14:paraId="28203C70" w14:textId="77777777" w:rsidR="006A3227" w:rsidRPr="0048623C" w:rsidRDefault="006A3227" w:rsidP="006A3227">
      <w:pPr>
        <w:rPr>
          <w:rFonts w:ascii="Helvetica" w:eastAsiaTheme="minorHAnsi" w:hAnsi="Helvetica" w:cs="Helvetica"/>
          <w:lang w:eastAsia="en-US"/>
        </w:rPr>
      </w:pPr>
    </w:p>
    <w:p w14:paraId="77BB59B2" w14:textId="77777777" w:rsidR="006A3227" w:rsidRPr="0048623C" w:rsidRDefault="006A3227" w:rsidP="006A3227">
      <w:pPr>
        <w:rPr>
          <w:rFonts w:ascii="Helvetica" w:eastAsiaTheme="minorHAnsi" w:hAnsi="Helvetica" w:cs="Helvetica"/>
          <w:lang w:eastAsia="en-US"/>
        </w:rPr>
      </w:pPr>
      <w:r w:rsidRPr="0048623C">
        <w:rPr>
          <w:rFonts w:ascii="Helvetica" w:eastAsiaTheme="minorHAnsi" w:hAnsi="Helvetica" w:cs="Helvetica"/>
          <w:lang w:eastAsia="en-US"/>
        </w:rPr>
        <w:t>Enforcement covers s174 Enforcement appeals, s39 Enforcement Listed Building appeals and Lawful Development Certificate appeals.</w:t>
      </w:r>
    </w:p>
    <w:p w14:paraId="696CE6AA" w14:textId="77777777" w:rsidR="006A3227" w:rsidRPr="00306433" w:rsidRDefault="006A3227" w:rsidP="006A3227">
      <w:pPr>
        <w:rPr>
          <w:rFonts w:ascii="Helvetica" w:eastAsiaTheme="minorHAnsi" w:hAnsi="Helvetica" w:cs="Helvetica"/>
          <w:highlight w:val="yellow"/>
          <w:lang w:eastAsia="en-US"/>
        </w:rPr>
      </w:pPr>
    </w:p>
    <w:p w14:paraId="11DA0245" w14:textId="6EA744EF" w:rsidR="006A3227" w:rsidRPr="00165A23" w:rsidRDefault="006A3227" w:rsidP="006A3227">
      <w:pPr>
        <w:rPr>
          <w:rFonts w:ascii="Helvetica" w:eastAsiaTheme="minorHAnsi" w:hAnsi="Helvetica" w:cs="Helvetica"/>
          <w:lang w:eastAsia="en-US"/>
        </w:rPr>
      </w:pPr>
      <w:bookmarkStart w:id="2" w:name="_Hlk56499629"/>
      <w:r w:rsidRPr="00165A23">
        <w:rPr>
          <w:rFonts w:ascii="Helvetica" w:eastAsiaTheme="minorHAnsi" w:hAnsi="Helvetica" w:cs="Helvetica"/>
          <w:lang w:eastAsia="en-US"/>
        </w:rPr>
        <w:t>Specialist casework includes Common Land, Rights of Way orders,</w:t>
      </w:r>
      <w:r w:rsidR="001C0C03" w:rsidRPr="00165A23">
        <w:rPr>
          <w:rFonts w:ascii="Helvetica" w:eastAsiaTheme="minorHAnsi" w:hAnsi="Helvetica" w:cs="Helvetica"/>
          <w:lang w:eastAsia="en-US"/>
        </w:rPr>
        <w:t xml:space="preserve"> Purchase orders, </w:t>
      </w:r>
      <w:r w:rsidRPr="00165A23">
        <w:rPr>
          <w:rFonts w:ascii="Helvetica" w:eastAsiaTheme="minorHAnsi" w:hAnsi="Helvetica" w:cs="Helvetica"/>
          <w:lang w:eastAsia="en-US"/>
        </w:rPr>
        <w:t>Tree Preservation Orders, High Hedges appeals and Hedgerow appeals</w:t>
      </w:r>
      <w:bookmarkEnd w:id="2"/>
      <w:r w:rsidRPr="00165A23">
        <w:rPr>
          <w:rFonts w:ascii="Helvetica" w:eastAsiaTheme="minorHAnsi" w:hAnsi="Helvetica" w:cs="Helvetica"/>
          <w:lang w:eastAsia="en-US"/>
        </w:rPr>
        <w:t>.</w:t>
      </w:r>
    </w:p>
    <w:p w14:paraId="7395C3DD" w14:textId="44FD7057" w:rsidR="006A3227" w:rsidRDefault="001026FE" w:rsidP="006A3227">
      <w:r>
        <w:rPr>
          <w:rFonts w:ascii="Helvetica" w:eastAsiaTheme="minorHAnsi" w:hAnsi="Helvetica" w:cs="Helvetica"/>
          <w:lang w:eastAsia="en-US"/>
        </w:rPr>
        <w:t>(</w:t>
      </w:r>
      <w:r w:rsidR="00290A7B" w:rsidRPr="00165A23">
        <w:rPr>
          <w:rFonts w:ascii="Helvetica" w:eastAsiaTheme="minorHAnsi" w:hAnsi="Helvetica" w:cs="Helvetica"/>
          <w:lang w:eastAsia="en-US"/>
        </w:rPr>
        <w:t xml:space="preserve">Note that the data on Open Cases </w:t>
      </w:r>
      <w:r w:rsidR="003F4424">
        <w:rPr>
          <w:rFonts w:ascii="Helvetica" w:eastAsiaTheme="minorHAnsi" w:hAnsi="Helvetica" w:cs="Helvetica"/>
          <w:lang w:eastAsia="en-US"/>
        </w:rPr>
        <w:t xml:space="preserve">in previous publications </w:t>
      </w:r>
      <w:r w:rsidR="00290A7B" w:rsidRPr="00165A23">
        <w:rPr>
          <w:rFonts w:ascii="Helvetica" w:eastAsiaTheme="minorHAnsi" w:hAnsi="Helvetica" w:cs="Helvetica"/>
          <w:lang w:eastAsia="en-US"/>
        </w:rPr>
        <w:t>exclude</w:t>
      </w:r>
      <w:r w:rsidR="003F4424">
        <w:rPr>
          <w:rFonts w:ascii="Helvetica" w:eastAsiaTheme="minorHAnsi" w:hAnsi="Helvetica" w:cs="Helvetica"/>
          <w:lang w:eastAsia="en-US"/>
        </w:rPr>
        <w:t>d</w:t>
      </w:r>
      <w:r w:rsidR="00290A7B" w:rsidRPr="00165A23">
        <w:rPr>
          <w:rFonts w:ascii="Helvetica" w:eastAsiaTheme="minorHAnsi" w:hAnsi="Helvetica" w:cs="Helvetica"/>
          <w:lang w:eastAsia="en-US"/>
        </w:rPr>
        <w:t xml:space="preserve"> Tree Prese</w:t>
      </w:r>
      <w:r w:rsidR="006843D8" w:rsidRPr="00165A23">
        <w:rPr>
          <w:rFonts w:ascii="Helvetica" w:eastAsiaTheme="minorHAnsi" w:hAnsi="Helvetica" w:cs="Helvetica"/>
          <w:lang w:eastAsia="en-US"/>
        </w:rPr>
        <w:t>r</w:t>
      </w:r>
      <w:r w:rsidR="00290A7B" w:rsidRPr="00165A23">
        <w:rPr>
          <w:rFonts w:ascii="Helvetica" w:eastAsiaTheme="minorHAnsi" w:hAnsi="Helvetica" w:cs="Helvetica"/>
          <w:lang w:eastAsia="en-US"/>
        </w:rPr>
        <w:t xml:space="preserve">vation Orders and High Hedges </w:t>
      </w:r>
      <w:r w:rsidR="00E90619" w:rsidRPr="00165A23">
        <w:rPr>
          <w:rFonts w:ascii="Helvetica" w:eastAsiaTheme="minorHAnsi" w:hAnsi="Helvetica" w:cs="Helvetica"/>
          <w:lang w:eastAsia="en-US"/>
        </w:rPr>
        <w:t xml:space="preserve">and Hedgerow </w:t>
      </w:r>
      <w:r w:rsidR="006F0631" w:rsidRPr="00165A23">
        <w:rPr>
          <w:rFonts w:ascii="Helvetica" w:eastAsiaTheme="minorHAnsi" w:hAnsi="Helvetica" w:cs="Helvetica"/>
          <w:lang w:eastAsia="en-US"/>
        </w:rPr>
        <w:t>a</w:t>
      </w:r>
      <w:r w:rsidR="00290A7B" w:rsidRPr="00165A23">
        <w:rPr>
          <w:rFonts w:ascii="Helvetica" w:eastAsiaTheme="minorHAnsi" w:hAnsi="Helvetica" w:cs="Helvetica"/>
          <w:lang w:eastAsia="en-US"/>
        </w:rPr>
        <w:t>ppeals</w:t>
      </w:r>
      <w:r w:rsidR="00290A7B" w:rsidRPr="00165A23">
        <w:t>.</w:t>
      </w:r>
      <w:r>
        <w:t>)</w:t>
      </w:r>
    </w:p>
    <w:p w14:paraId="5387FB55" w14:textId="77777777" w:rsidR="006A3227" w:rsidRDefault="006A3227" w:rsidP="006A3227"/>
    <w:tbl>
      <w:tblPr>
        <w:tblW w:w="9629" w:type="dxa"/>
        <w:tblCellMar>
          <w:left w:w="10" w:type="dxa"/>
          <w:right w:w="10" w:type="dxa"/>
        </w:tblCellMar>
        <w:tblLook w:val="0000" w:firstRow="0" w:lastRow="0" w:firstColumn="0" w:lastColumn="0" w:noHBand="0" w:noVBand="0"/>
      </w:tblPr>
      <w:tblGrid>
        <w:gridCol w:w="9629"/>
      </w:tblGrid>
      <w:tr w:rsidR="006A3227" w14:paraId="7E8BB85B" w14:textId="77777777" w:rsidTr="000D3887">
        <w:trPr>
          <w:trHeight w:val="403"/>
        </w:trPr>
        <w:tc>
          <w:tcPr>
            <w:tcW w:w="9629" w:type="dxa"/>
            <w:shd w:val="clear" w:color="auto" w:fill="00958F"/>
            <w:tcMar>
              <w:top w:w="0" w:type="dxa"/>
              <w:left w:w="108" w:type="dxa"/>
              <w:bottom w:w="0" w:type="dxa"/>
              <w:right w:w="108" w:type="dxa"/>
            </w:tcMar>
          </w:tcPr>
          <w:p w14:paraId="22C1C412" w14:textId="77777777" w:rsidR="006A3227" w:rsidRDefault="006A3227" w:rsidP="000D3887">
            <w:r>
              <w:rPr>
                <w:rFonts w:ascii="Helvetica" w:hAnsi="Helvetica" w:cs="Helvetica"/>
                <w:b/>
                <w:color w:val="FFFFFF"/>
                <w:sz w:val="28"/>
                <w:szCs w:val="28"/>
              </w:rPr>
              <w:t>Background notes</w:t>
            </w:r>
          </w:p>
        </w:tc>
      </w:tr>
    </w:tbl>
    <w:p w14:paraId="512C88BF" w14:textId="77777777" w:rsidR="006A3227" w:rsidRDefault="006A3227" w:rsidP="006A3227">
      <w:pPr>
        <w:rPr>
          <w:rFonts w:ascii="Helvetica" w:eastAsia="Verdana" w:hAnsi="Helvetica" w:cs="Helvetica"/>
          <w:b/>
        </w:rPr>
      </w:pPr>
    </w:p>
    <w:p w14:paraId="3486F3CF" w14:textId="77777777" w:rsidR="006A3227" w:rsidRPr="0010569F" w:rsidRDefault="006A3227" w:rsidP="006A3227">
      <w:r w:rsidRPr="0010569F">
        <w:rPr>
          <w:rFonts w:ascii="Helvetica" w:eastAsia="Verdana" w:hAnsi="Helvetica" w:cs="Helvetica"/>
          <w:b/>
          <w:bCs/>
        </w:rPr>
        <w:t>Data sources</w:t>
      </w:r>
      <w:r w:rsidRPr="0010569F">
        <w:rPr>
          <w:rFonts w:ascii="Helvetica" w:eastAsia="Verdana" w:hAnsi="Helvetica" w:cs="Helvetica"/>
        </w:rPr>
        <w:t xml:space="preserve"> </w:t>
      </w:r>
    </w:p>
    <w:p w14:paraId="38441FAC" w14:textId="4DC245E2" w:rsidR="006A3227" w:rsidRPr="0010569F" w:rsidRDefault="006A3227" w:rsidP="006A3227">
      <w:pPr>
        <w:rPr>
          <w:rFonts w:ascii="Helvetica" w:eastAsia="Verdana" w:hAnsi="Helvetica" w:cs="Helvetica"/>
        </w:rPr>
      </w:pPr>
      <w:r w:rsidRPr="0010569F">
        <w:rPr>
          <w:rFonts w:ascii="Helvetica" w:eastAsia="Verdana" w:hAnsi="Helvetica" w:cs="Helvetica"/>
        </w:rPr>
        <w:t xml:space="preserve">Horizon / </w:t>
      </w:r>
      <w:proofErr w:type="spellStart"/>
      <w:r w:rsidRPr="0010569F">
        <w:rPr>
          <w:rFonts w:ascii="Helvetica" w:eastAsia="Verdana" w:hAnsi="Helvetica" w:cs="Helvetica"/>
        </w:rPr>
        <w:t>Picaso</w:t>
      </w:r>
      <w:proofErr w:type="spellEnd"/>
      <w:r w:rsidRPr="0010569F">
        <w:rPr>
          <w:rFonts w:ascii="Helvetica" w:eastAsia="Verdana" w:hAnsi="Helvetica" w:cs="Helvetica"/>
        </w:rPr>
        <w:t xml:space="preserve"> – The main casework management systems used for processing appeals casework</w:t>
      </w:r>
      <w:r w:rsidR="004067A4">
        <w:rPr>
          <w:rFonts w:ascii="Helvetica" w:eastAsia="Verdana" w:hAnsi="Helvetica" w:cs="Helvetica"/>
        </w:rPr>
        <w:t xml:space="preserve"> (note that </w:t>
      </w:r>
      <w:proofErr w:type="spellStart"/>
      <w:r w:rsidR="004067A4">
        <w:rPr>
          <w:rFonts w:ascii="Helvetica" w:eastAsia="Verdana" w:hAnsi="Helvetica" w:cs="Helvetica"/>
        </w:rPr>
        <w:t>Picaso</w:t>
      </w:r>
      <w:proofErr w:type="spellEnd"/>
      <w:r w:rsidR="004067A4">
        <w:rPr>
          <w:rFonts w:ascii="Helvetica" w:eastAsia="Verdana" w:hAnsi="Helvetica" w:cs="Helvetica"/>
        </w:rPr>
        <w:t xml:space="preserve"> is no longer a live system</w:t>
      </w:r>
      <w:r w:rsidR="007816BA">
        <w:rPr>
          <w:rFonts w:ascii="Helvetica" w:eastAsia="Verdana" w:hAnsi="Helvetica" w:cs="Helvetica"/>
        </w:rPr>
        <w:t>)</w:t>
      </w:r>
      <w:r w:rsidRPr="0010569F">
        <w:rPr>
          <w:rFonts w:ascii="Helvetica" w:eastAsia="Verdana" w:hAnsi="Helvetica" w:cs="Helvetica"/>
        </w:rPr>
        <w:t>.</w:t>
      </w:r>
    </w:p>
    <w:p w14:paraId="287FCA4D" w14:textId="77777777" w:rsidR="006A3227" w:rsidRPr="0010569F" w:rsidRDefault="006A3227" w:rsidP="006A3227">
      <w:pPr>
        <w:rPr>
          <w:rFonts w:ascii="Helvetica" w:eastAsia="Verdana" w:hAnsi="Helvetica" w:cs="Helvetica"/>
        </w:rPr>
      </w:pPr>
      <w:r w:rsidRPr="0010569F">
        <w:rPr>
          <w:rFonts w:ascii="Helvetica" w:eastAsia="Verdana" w:hAnsi="Helvetica" w:cs="Helvetica"/>
        </w:rPr>
        <w:t>SAP HR – The Human Resources system database used to store all information regarding members of staff.</w:t>
      </w:r>
    </w:p>
    <w:p w14:paraId="4980A405" w14:textId="77777777" w:rsidR="006A3227" w:rsidRPr="0010569F" w:rsidRDefault="006A3227" w:rsidP="006A3227">
      <w:pPr>
        <w:rPr>
          <w:rFonts w:ascii="Helvetica" w:eastAsia="Verdana" w:hAnsi="Helvetica" w:cs="Helvetica"/>
        </w:rPr>
      </w:pPr>
    </w:p>
    <w:tbl>
      <w:tblPr>
        <w:tblStyle w:val="TableGrid"/>
        <w:tblW w:w="0" w:type="auto"/>
        <w:tblLook w:val="04A0" w:firstRow="1" w:lastRow="0" w:firstColumn="1" w:lastColumn="0" w:noHBand="0" w:noVBand="1"/>
      </w:tblPr>
      <w:tblGrid>
        <w:gridCol w:w="2405"/>
        <w:gridCol w:w="7224"/>
      </w:tblGrid>
      <w:tr w:rsidR="00716784" w:rsidRPr="0010569F" w14:paraId="12029581" w14:textId="77777777" w:rsidTr="00312450">
        <w:tc>
          <w:tcPr>
            <w:tcW w:w="2405" w:type="dxa"/>
          </w:tcPr>
          <w:p w14:paraId="234A6938" w14:textId="77777777" w:rsidR="00716784" w:rsidRPr="0010569F" w:rsidRDefault="00716784" w:rsidP="00312450">
            <w:pPr>
              <w:rPr>
                <w:rFonts w:ascii="Helvetica" w:hAnsi="Helvetica" w:cs="Helvetica"/>
              </w:rPr>
            </w:pPr>
            <w:r w:rsidRPr="0010569F">
              <w:rPr>
                <w:rFonts w:ascii="Helvetica" w:hAnsi="Helvetica" w:cs="Helvetica"/>
              </w:rPr>
              <w:t>Measure</w:t>
            </w:r>
          </w:p>
        </w:tc>
        <w:tc>
          <w:tcPr>
            <w:tcW w:w="7224" w:type="dxa"/>
          </w:tcPr>
          <w:p w14:paraId="78B34FA0" w14:textId="77777777" w:rsidR="00716784" w:rsidRPr="0010569F" w:rsidRDefault="00716784" w:rsidP="00312450">
            <w:pPr>
              <w:rPr>
                <w:rFonts w:ascii="Helvetica" w:hAnsi="Helvetica" w:cs="Helvetica"/>
              </w:rPr>
            </w:pPr>
            <w:r w:rsidRPr="0010569F">
              <w:rPr>
                <w:rFonts w:ascii="Helvetica" w:hAnsi="Helvetica" w:cs="Helvetica"/>
              </w:rPr>
              <w:t>Definition</w:t>
            </w:r>
          </w:p>
        </w:tc>
      </w:tr>
      <w:tr w:rsidR="00716784" w:rsidRPr="0010569F" w14:paraId="695B07A6" w14:textId="77777777" w:rsidTr="00312450">
        <w:tc>
          <w:tcPr>
            <w:tcW w:w="2405" w:type="dxa"/>
          </w:tcPr>
          <w:p w14:paraId="082E2A64" w14:textId="77777777" w:rsidR="00716784" w:rsidRPr="0010569F" w:rsidRDefault="00716784" w:rsidP="00312450">
            <w:pPr>
              <w:rPr>
                <w:rFonts w:ascii="Helvetica" w:hAnsi="Helvetica" w:cs="Helvetica"/>
              </w:rPr>
            </w:pPr>
            <w:r w:rsidRPr="0010569F">
              <w:rPr>
                <w:rFonts w:ascii="Helvetica" w:hAnsi="Helvetica" w:cs="Helvetica"/>
              </w:rPr>
              <w:t>Mean</w:t>
            </w:r>
          </w:p>
        </w:tc>
        <w:tc>
          <w:tcPr>
            <w:tcW w:w="7224" w:type="dxa"/>
          </w:tcPr>
          <w:p w14:paraId="6E1CFE77" w14:textId="77777777" w:rsidR="00716784" w:rsidRPr="0010569F" w:rsidRDefault="00716784" w:rsidP="00312450">
            <w:pPr>
              <w:rPr>
                <w:rFonts w:ascii="Helvetica" w:hAnsi="Helvetica" w:cs="Helvetica"/>
              </w:rPr>
            </w:pPr>
            <w:r w:rsidRPr="0010569F">
              <w:rPr>
                <w:rFonts w:ascii="Helvetica" w:hAnsi="Helvetica" w:cs="Helvetica"/>
              </w:rPr>
              <w:t>The total time taken divided by the number of cases. Also referred to as the ‘average’. A measure of how long each case would take, if the total time taken was spread evenly across all cases.</w:t>
            </w:r>
          </w:p>
        </w:tc>
      </w:tr>
      <w:tr w:rsidR="00716784" w:rsidRPr="0010569F" w14:paraId="6A743120" w14:textId="77777777" w:rsidTr="00312450">
        <w:tc>
          <w:tcPr>
            <w:tcW w:w="2405" w:type="dxa"/>
          </w:tcPr>
          <w:p w14:paraId="64416536" w14:textId="77777777" w:rsidR="00716784" w:rsidRPr="0010569F" w:rsidRDefault="00716784" w:rsidP="00312450">
            <w:pPr>
              <w:rPr>
                <w:rFonts w:ascii="Helvetica" w:hAnsi="Helvetica" w:cs="Helvetica"/>
              </w:rPr>
            </w:pPr>
            <w:r w:rsidRPr="0010569F">
              <w:rPr>
                <w:rFonts w:ascii="Helvetica" w:hAnsi="Helvetica" w:cs="Helvetica"/>
              </w:rPr>
              <w:t>Median</w:t>
            </w:r>
          </w:p>
        </w:tc>
        <w:tc>
          <w:tcPr>
            <w:tcW w:w="7224" w:type="dxa"/>
          </w:tcPr>
          <w:p w14:paraId="3BD4B6C3" w14:textId="77777777" w:rsidR="00716784" w:rsidRPr="0010569F" w:rsidRDefault="00716784" w:rsidP="00312450">
            <w:pPr>
              <w:rPr>
                <w:rFonts w:ascii="Helvetica" w:hAnsi="Helvetica" w:cs="Helvetica"/>
              </w:rPr>
            </w:pPr>
            <w:r w:rsidRPr="0010569F">
              <w:rPr>
                <w:rFonts w:ascii="Helvetica" w:hAnsi="Helvetica" w:cs="Helvetica"/>
              </w:rPr>
              <w:t>This is the time taken by the ‘middle’ case if all cases were sorted from quickest to longest</w:t>
            </w:r>
          </w:p>
        </w:tc>
      </w:tr>
      <w:tr w:rsidR="00716784" w:rsidRPr="0010569F" w14:paraId="0BAE0038" w14:textId="77777777" w:rsidTr="00312450">
        <w:tc>
          <w:tcPr>
            <w:tcW w:w="2405" w:type="dxa"/>
          </w:tcPr>
          <w:p w14:paraId="068D941C" w14:textId="77777777" w:rsidR="00716784" w:rsidRPr="0010569F" w:rsidRDefault="00716784" w:rsidP="00312450">
            <w:pPr>
              <w:rPr>
                <w:rFonts w:ascii="Helvetica" w:hAnsi="Helvetica" w:cs="Helvetica"/>
              </w:rPr>
            </w:pPr>
            <w:r w:rsidRPr="0010569F">
              <w:rPr>
                <w:rFonts w:ascii="Helvetica" w:hAnsi="Helvetica" w:cs="Helvetica"/>
              </w:rPr>
              <w:t>Standard deviation</w:t>
            </w:r>
          </w:p>
        </w:tc>
        <w:tc>
          <w:tcPr>
            <w:tcW w:w="7224" w:type="dxa"/>
          </w:tcPr>
          <w:p w14:paraId="0077B6D7" w14:textId="77777777" w:rsidR="00716784" w:rsidRPr="0010569F" w:rsidRDefault="00716784" w:rsidP="00312450">
            <w:pPr>
              <w:rPr>
                <w:rFonts w:ascii="Helvetica" w:hAnsi="Helvetica" w:cs="Helvetica"/>
              </w:rPr>
            </w:pPr>
            <w:r w:rsidRPr="0010569F">
              <w:rPr>
                <w:rFonts w:ascii="Helvetica" w:hAnsi="Helvetica" w:cs="Helvetica"/>
              </w:rPr>
              <w:t>This is a measure of variability or spread. It is calculated by examining how much each value differs from the mean. A higher standard deviation means the individual decision times vary more widely around the mean.</w:t>
            </w:r>
          </w:p>
        </w:tc>
      </w:tr>
    </w:tbl>
    <w:p w14:paraId="35566B08" w14:textId="77777777" w:rsidR="00716784" w:rsidRPr="0010569F" w:rsidRDefault="00716784" w:rsidP="006A3227">
      <w:pPr>
        <w:rPr>
          <w:rFonts w:ascii="Helvetica" w:hAnsi="Helvetica" w:cs="Helvetica"/>
          <w:b/>
        </w:rPr>
      </w:pPr>
    </w:p>
    <w:p w14:paraId="722FC6CA" w14:textId="77777777" w:rsidR="00251F04" w:rsidRPr="0010569F" w:rsidRDefault="00251F04" w:rsidP="00251F04">
      <w:pPr>
        <w:rPr>
          <w:rFonts w:ascii="Helvetica" w:hAnsi="Helvetica" w:cs="Helvetica"/>
          <w:b/>
        </w:rPr>
      </w:pPr>
      <w:r w:rsidRPr="0010569F">
        <w:rPr>
          <w:rFonts w:ascii="Helvetica" w:hAnsi="Helvetica" w:cs="Helvetica"/>
          <w:b/>
        </w:rPr>
        <w:t>Compliance with the Code of Practice for Statistics</w:t>
      </w:r>
    </w:p>
    <w:p w14:paraId="2DEA1A30" w14:textId="699AF89B" w:rsidR="00251F04" w:rsidRPr="0010569F" w:rsidRDefault="00251F04" w:rsidP="004366FF">
      <w:pPr>
        <w:jc w:val="both"/>
        <w:rPr>
          <w:rFonts w:ascii="Helvetica" w:eastAsia="Verdana" w:hAnsi="Helvetica" w:cs="Helvetica"/>
        </w:rPr>
      </w:pPr>
      <w:r w:rsidRPr="0010569F">
        <w:rPr>
          <w:rFonts w:ascii="Helvetica" w:eastAsia="Verdana" w:hAnsi="Helvetica" w:cs="Helvetica"/>
        </w:rPr>
        <w:t xml:space="preserve">These statistics have been published in accordance with the Code of Practice for Statistics, which cover trustworthiness, </w:t>
      </w:r>
      <w:proofErr w:type="gramStart"/>
      <w:r w:rsidRPr="0010569F">
        <w:rPr>
          <w:rFonts w:ascii="Helvetica" w:eastAsia="Verdana" w:hAnsi="Helvetica" w:cs="Helvetica"/>
        </w:rPr>
        <w:t>quality</w:t>
      </w:r>
      <w:proofErr w:type="gramEnd"/>
      <w:r w:rsidRPr="0010569F">
        <w:rPr>
          <w:rFonts w:ascii="Helvetica" w:eastAsia="Verdana" w:hAnsi="Helvetica" w:cs="Helvetica"/>
        </w:rPr>
        <w:t xml:space="preserve"> and value. They have been pre-</w:t>
      </w:r>
      <w:r w:rsidR="0049489E" w:rsidRPr="0010569F">
        <w:rPr>
          <w:rFonts w:ascii="Helvetica" w:eastAsia="Verdana" w:hAnsi="Helvetica" w:cs="Helvetica"/>
        </w:rPr>
        <w:t>announced,</w:t>
      </w:r>
      <w:r w:rsidRPr="0010569F">
        <w:rPr>
          <w:rFonts w:ascii="Helvetica" w:eastAsia="Verdana" w:hAnsi="Helvetica" w:cs="Helvetica"/>
        </w:rPr>
        <w:t xml:space="preserve"> and publication is overseen by the Head of Profession.</w:t>
      </w:r>
    </w:p>
    <w:p w14:paraId="2E7892B7" w14:textId="77777777" w:rsidR="00251F04" w:rsidRPr="0010569F" w:rsidRDefault="00251F04" w:rsidP="006A3227">
      <w:pPr>
        <w:rPr>
          <w:rFonts w:ascii="Helvetica" w:hAnsi="Helvetica" w:cs="Helvetica"/>
          <w:b/>
        </w:rPr>
      </w:pPr>
    </w:p>
    <w:p w14:paraId="6721288F" w14:textId="74312F1E" w:rsidR="006A3227" w:rsidRPr="0010569F" w:rsidRDefault="006A3227" w:rsidP="006A3227">
      <w:pPr>
        <w:rPr>
          <w:rFonts w:ascii="Helvetica" w:hAnsi="Helvetica" w:cs="Helvetica"/>
          <w:b/>
        </w:rPr>
      </w:pPr>
      <w:r w:rsidRPr="0010569F">
        <w:rPr>
          <w:rFonts w:ascii="Helvetica" w:hAnsi="Helvetica" w:cs="Helvetica"/>
          <w:b/>
        </w:rPr>
        <w:t>Technical Notes</w:t>
      </w:r>
    </w:p>
    <w:p w14:paraId="02F8F1A8" w14:textId="3A5BF0ED" w:rsidR="004209D0" w:rsidRPr="0010569F" w:rsidRDefault="004209D0" w:rsidP="004366FF">
      <w:pPr>
        <w:jc w:val="both"/>
        <w:rPr>
          <w:rFonts w:ascii="Helvetica" w:hAnsi="Helvetica" w:cs="Helvetica"/>
          <w:bCs/>
        </w:rPr>
      </w:pPr>
      <w:r w:rsidRPr="0010569F">
        <w:rPr>
          <w:rFonts w:ascii="Helvetica" w:hAnsi="Helvetica" w:cs="Helvetica"/>
          <w:bCs/>
        </w:rPr>
        <w:t xml:space="preserve">A Background Quality Report is published alongside this </w:t>
      </w:r>
      <w:r w:rsidR="00B170EC" w:rsidRPr="0010569F">
        <w:rPr>
          <w:rFonts w:ascii="Helvetica" w:hAnsi="Helvetica" w:cs="Helvetica"/>
          <w:bCs/>
        </w:rPr>
        <w:t xml:space="preserve">Statistical Release. It provides more detail on </w:t>
      </w:r>
      <w:r w:rsidR="000E39E4" w:rsidRPr="0010569F">
        <w:rPr>
          <w:rFonts w:ascii="Helvetica" w:hAnsi="Helvetica" w:cs="Helvetica"/>
          <w:bCs/>
        </w:rPr>
        <w:t xml:space="preserve">the quality of statistics in </w:t>
      </w:r>
      <w:r w:rsidR="004B7825" w:rsidRPr="0010569F">
        <w:rPr>
          <w:rFonts w:ascii="Helvetica" w:hAnsi="Helvetica" w:cs="Helvetica"/>
          <w:bCs/>
        </w:rPr>
        <w:t>this publication.</w:t>
      </w:r>
    </w:p>
    <w:p w14:paraId="7436974D" w14:textId="77777777" w:rsidR="006E4E4A" w:rsidRPr="0010569F" w:rsidRDefault="006E4E4A" w:rsidP="006A3227">
      <w:pPr>
        <w:rPr>
          <w:rFonts w:ascii="Helvetica" w:hAnsi="Helvetica" w:cs="Helvetica"/>
          <w:bCs/>
        </w:rPr>
      </w:pPr>
    </w:p>
    <w:tbl>
      <w:tblPr>
        <w:tblW w:w="9629" w:type="dxa"/>
        <w:tblCellMar>
          <w:left w:w="10" w:type="dxa"/>
          <w:right w:w="10" w:type="dxa"/>
        </w:tblCellMar>
        <w:tblLook w:val="0000" w:firstRow="0" w:lastRow="0" w:firstColumn="0" w:lastColumn="0" w:noHBand="0" w:noVBand="0"/>
      </w:tblPr>
      <w:tblGrid>
        <w:gridCol w:w="2063"/>
        <w:gridCol w:w="7566"/>
      </w:tblGrid>
      <w:tr w:rsidR="006A3227" w:rsidRPr="0010569F" w14:paraId="66B1122B" w14:textId="77777777" w:rsidTr="000D3887">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E07E" w14:textId="6EB018A1" w:rsidR="006A3227" w:rsidRPr="0010569F" w:rsidRDefault="006A3227" w:rsidP="000D3887">
            <w:pPr>
              <w:rPr>
                <w:rFonts w:ascii="Helvetica" w:hAnsi="Helvetica" w:cs="Helvetica"/>
              </w:rPr>
            </w:pPr>
            <w:r w:rsidRPr="0010569F">
              <w:rPr>
                <w:rFonts w:ascii="Helvetica" w:hAnsi="Helvetica" w:cs="Helvetica"/>
              </w:rPr>
              <w:t>Data quality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A740F" w14:textId="25347A00" w:rsidR="00F50B6F" w:rsidRPr="0010569F" w:rsidRDefault="00A96D68" w:rsidP="000D3887">
            <w:pPr>
              <w:rPr>
                <w:rFonts w:ascii="Helvetica" w:hAnsi="Helvetica" w:cs="Helvetica"/>
              </w:rPr>
            </w:pPr>
            <w:r w:rsidRPr="0010569F">
              <w:rPr>
                <w:rFonts w:ascii="Helvetica" w:hAnsi="Helvetica" w:cs="Helvetica"/>
              </w:rPr>
              <w:t xml:space="preserve">Data </w:t>
            </w:r>
            <w:r w:rsidR="004D4078" w:rsidRPr="0010569F">
              <w:rPr>
                <w:rFonts w:ascii="Helvetica" w:hAnsi="Helvetica" w:cs="Helvetica"/>
              </w:rPr>
              <w:t xml:space="preserve">on cases is taken from a live casework system, and </w:t>
            </w:r>
            <w:r w:rsidR="00192E36" w:rsidRPr="0010569F">
              <w:rPr>
                <w:rFonts w:ascii="Helvetica" w:hAnsi="Helvetica" w:cs="Helvetica"/>
              </w:rPr>
              <w:t xml:space="preserve">details of </w:t>
            </w:r>
            <w:r w:rsidR="004D4078" w:rsidRPr="0010569F">
              <w:rPr>
                <w:rFonts w:ascii="Helvetica" w:hAnsi="Helvetica" w:cs="Helvetica"/>
              </w:rPr>
              <w:t xml:space="preserve">cases can change for </w:t>
            </w:r>
            <w:proofErr w:type="gramStart"/>
            <w:r w:rsidR="004D4078" w:rsidRPr="0010569F">
              <w:rPr>
                <w:rFonts w:ascii="Helvetica" w:hAnsi="Helvetica" w:cs="Helvetica"/>
              </w:rPr>
              <w:t>a number of</w:t>
            </w:r>
            <w:proofErr w:type="gramEnd"/>
            <w:r w:rsidR="004D4078" w:rsidRPr="0010569F">
              <w:rPr>
                <w:rFonts w:ascii="Helvetica" w:hAnsi="Helvetica" w:cs="Helvetica"/>
              </w:rPr>
              <w:t xml:space="preserve"> reasons even after a decision has been made.</w:t>
            </w:r>
            <w:r w:rsidRPr="0010569F">
              <w:rPr>
                <w:rFonts w:ascii="Helvetica" w:hAnsi="Helvetica" w:cs="Helvetica"/>
              </w:rPr>
              <w:t xml:space="preserve"> </w:t>
            </w:r>
            <w:r w:rsidR="00F50B6F" w:rsidRPr="0010569F">
              <w:rPr>
                <w:rFonts w:ascii="Helvetica" w:hAnsi="Helvetica" w:cs="Helvetica"/>
              </w:rPr>
              <w:t xml:space="preserve">We </w:t>
            </w:r>
            <w:r w:rsidR="00EA306E" w:rsidRPr="0010569F">
              <w:rPr>
                <w:rFonts w:ascii="Helvetica" w:hAnsi="Helvetica" w:cs="Helvetica"/>
              </w:rPr>
              <w:t xml:space="preserve">are seeking to get a better understanding of the nature and volume of these changes and </w:t>
            </w:r>
            <w:r w:rsidR="00590DAF" w:rsidRPr="0010569F">
              <w:rPr>
                <w:rFonts w:ascii="Helvetica" w:hAnsi="Helvetica" w:cs="Helvetica"/>
              </w:rPr>
              <w:t xml:space="preserve">will </w:t>
            </w:r>
            <w:r w:rsidR="00B22705" w:rsidRPr="0010569F">
              <w:rPr>
                <w:rFonts w:ascii="Helvetica" w:hAnsi="Helvetica" w:cs="Helvetica"/>
              </w:rPr>
              <w:t xml:space="preserve">provide </w:t>
            </w:r>
            <w:r w:rsidR="00945975" w:rsidRPr="0010569F">
              <w:rPr>
                <w:rFonts w:ascii="Helvetica" w:hAnsi="Helvetica" w:cs="Helvetica"/>
              </w:rPr>
              <w:t>further information as it is available.</w:t>
            </w:r>
          </w:p>
          <w:p w14:paraId="7CE3F67A" w14:textId="77777777" w:rsidR="00253A78" w:rsidRPr="0010569F" w:rsidRDefault="006A3227" w:rsidP="000D3887">
            <w:pPr>
              <w:rPr>
                <w:rFonts w:ascii="Helvetica" w:hAnsi="Helvetica" w:cs="Helvetica"/>
              </w:rPr>
            </w:pPr>
            <w:r w:rsidRPr="0010569F">
              <w:rPr>
                <w:rFonts w:ascii="Helvetica" w:hAnsi="Helvetica" w:cs="Helvetica"/>
              </w:rPr>
              <w:lastRenderedPageBreak/>
              <w:t xml:space="preserve">We carry out regular checks on the quality of our data and may undertake ad hoc data cleansing exercises.  Therefore, all the data for the last 12 rolling months is published in provisional form.  </w:t>
            </w:r>
          </w:p>
          <w:p w14:paraId="5B3A4D37" w14:textId="3D3F5906" w:rsidR="006A3227" w:rsidRPr="0010569F" w:rsidRDefault="00253A78" w:rsidP="000D3887">
            <w:pPr>
              <w:rPr>
                <w:rFonts w:ascii="Helvetica" w:hAnsi="Helvetica" w:cs="Helvetica"/>
              </w:rPr>
            </w:pPr>
            <w:r w:rsidRPr="0010569F">
              <w:rPr>
                <w:rFonts w:ascii="Helvetica" w:hAnsi="Helvetica" w:cs="Helvetica"/>
              </w:rPr>
              <w:t xml:space="preserve">We have indicated in this publication any data where </w:t>
            </w:r>
            <w:proofErr w:type="gramStart"/>
            <w:r w:rsidRPr="0010569F">
              <w:rPr>
                <w:rFonts w:ascii="Helvetica" w:hAnsi="Helvetica" w:cs="Helvetica"/>
              </w:rPr>
              <w:t>a number of</w:t>
            </w:r>
            <w:proofErr w:type="gramEnd"/>
            <w:r w:rsidRPr="0010569F">
              <w:rPr>
                <w:rFonts w:ascii="Helvetica" w:hAnsi="Helvetica" w:cs="Helvetica"/>
              </w:rPr>
              <w:t xml:space="preserve"> cases has changed by more than five cases </w:t>
            </w:r>
            <w:r w:rsidR="003F4CD2" w:rsidRPr="0010569F">
              <w:rPr>
                <w:rFonts w:ascii="Helvetica" w:hAnsi="Helvetica" w:cs="Helvetica"/>
              </w:rPr>
              <w:t>in a month; or where a measure (mean, median or standard deviation) has changed by more than 0.5 weeks</w:t>
            </w:r>
            <w:r w:rsidR="00DE47EC" w:rsidRPr="0010569F">
              <w:rPr>
                <w:rFonts w:ascii="Helvetica" w:hAnsi="Helvetica" w:cs="Helvetica"/>
              </w:rPr>
              <w:t xml:space="preserve">. </w:t>
            </w:r>
          </w:p>
        </w:tc>
      </w:tr>
      <w:tr w:rsidR="00FE0F83" w:rsidRPr="0010569F" w14:paraId="075F5E09" w14:textId="77777777" w:rsidTr="000D3887">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BA8F" w14:textId="1DD9A501" w:rsidR="00FE0F83" w:rsidRPr="00137688" w:rsidRDefault="005758A1" w:rsidP="000D3887">
            <w:pPr>
              <w:rPr>
                <w:rFonts w:ascii="Helvetica" w:hAnsi="Helvetica" w:cs="Helvetica"/>
              </w:rPr>
            </w:pPr>
            <w:r w:rsidRPr="00137688">
              <w:rPr>
                <w:rFonts w:ascii="Helvetica" w:hAnsi="Helvetica" w:cs="Helvetica"/>
              </w:rPr>
              <w:lastRenderedPageBreak/>
              <w:t>Virtual Events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39B5A" w14:textId="77777777" w:rsidR="00FE0F83" w:rsidRPr="00137688" w:rsidRDefault="005F336D" w:rsidP="000D3887">
            <w:pPr>
              <w:rPr>
                <w:rFonts w:ascii="Helvetica" w:hAnsi="Helvetica" w:cs="Helvetica"/>
              </w:rPr>
            </w:pPr>
            <w:r w:rsidRPr="00137688">
              <w:rPr>
                <w:rFonts w:ascii="Helvetica" w:hAnsi="Helvetica" w:cs="Helvetica"/>
              </w:rPr>
              <w:t xml:space="preserve">Data is currently being sourced from an </w:t>
            </w:r>
            <w:r w:rsidR="00CC73E6" w:rsidRPr="00137688">
              <w:rPr>
                <w:rFonts w:ascii="Helvetica" w:hAnsi="Helvetica" w:cs="Helvetica"/>
              </w:rPr>
              <w:t>operational</w:t>
            </w:r>
            <w:r w:rsidRPr="00137688">
              <w:rPr>
                <w:rFonts w:ascii="Helvetica" w:hAnsi="Helvetica" w:cs="Helvetica"/>
              </w:rPr>
              <w:t xml:space="preserve"> MS Excel workbook.  It is therefore </w:t>
            </w:r>
            <w:r w:rsidR="00CC73E6" w:rsidRPr="00137688">
              <w:rPr>
                <w:rFonts w:ascii="Helvetica" w:hAnsi="Helvetica" w:cs="Helvetica"/>
              </w:rPr>
              <w:t>being constantly updated and refined</w:t>
            </w:r>
            <w:r w:rsidR="00765112" w:rsidRPr="00137688">
              <w:rPr>
                <w:rFonts w:ascii="Helvetica" w:hAnsi="Helvetica" w:cs="Helvetica"/>
              </w:rPr>
              <w:t xml:space="preserve"> and</w:t>
            </w:r>
            <w:r w:rsidR="00CC73E6" w:rsidRPr="00137688">
              <w:rPr>
                <w:rFonts w:ascii="Helvetica" w:hAnsi="Helvetica" w:cs="Helvetica"/>
              </w:rPr>
              <w:t xml:space="preserve"> may </w:t>
            </w:r>
            <w:r w:rsidR="00765112" w:rsidRPr="00137688">
              <w:rPr>
                <w:rFonts w:ascii="Helvetica" w:hAnsi="Helvetica" w:cs="Helvetica"/>
              </w:rPr>
              <w:t>result in d</w:t>
            </w:r>
            <w:r w:rsidR="00CC73E6" w:rsidRPr="00137688">
              <w:rPr>
                <w:rFonts w:ascii="Helvetica" w:hAnsi="Helvetica" w:cs="Helvetica"/>
              </w:rPr>
              <w:t>ata may chang</w:t>
            </w:r>
            <w:r w:rsidR="00765112" w:rsidRPr="00137688">
              <w:rPr>
                <w:rFonts w:ascii="Helvetica" w:hAnsi="Helvetica" w:cs="Helvetica"/>
              </w:rPr>
              <w:t>ing</w:t>
            </w:r>
            <w:r w:rsidR="00CC73E6" w:rsidRPr="00137688">
              <w:rPr>
                <w:rFonts w:ascii="Helvetica" w:hAnsi="Helvetica" w:cs="Helvetica"/>
              </w:rPr>
              <w:t xml:space="preserve"> between mo</w:t>
            </w:r>
            <w:r w:rsidR="0026082A" w:rsidRPr="00137688">
              <w:rPr>
                <w:rFonts w:ascii="Helvetica" w:hAnsi="Helvetica" w:cs="Helvetica"/>
              </w:rPr>
              <w:t>nthly publications.</w:t>
            </w:r>
            <w:r w:rsidR="00E6779B" w:rsidRPr="00137688">
              <w:rPr>
                <w:rFonts w:ascii="Helvetica" w:hAnsi="Helvetica" w:cs="Helvetica"/>
              </w:rPr>
              <w:t xml:space="preserve"> </w:t>
            </w:r>
            <w:r w:rsidR="00AB0463" w:rsidRPr="00137688">
              <w:rPr>
                <w:rFonts w:ascii="Helvetica" w:hAnsi="Helvetica" w:cs="Helvetica"/>
              </w:rPr>
              <w:br/>
            </w:r>
            <w:r w:rsidR="00AF2F71" w:rsidRPr="00137688">
              <w:rPr>
                <w:rFonts w:ascii="Helvetica" w:hAnsi="Helvetica" w:cs="Helvetica"/>
              </w:rPr>
              <w:t>There</w:t>
            </w:r>
            <w:r w:rsidR="00AB0463" w:rsidRPr="00137688">
              <w:rPr>
                <w:rFonts w:ascii="Helvetica" w:hAnsi="Helvetica" w:cs="Helvetica"/>
              </w:rPr>
              <w:t xml:space="preserve"> are concern</w:t>
            </w:r>
            <w:r w:rsidR="00AF2F71" w:rsidRPr="00137688">
              <w:rPr>
                <w:rFonts w:ascii="Helvetica" w:hAnsi="Helvetica" w:cs="Helvetica"/>
              </w:rPr>
              <w:t>s</w:t>
            </w:r>
            <w:r w:rsidR="00AB0463" w:rsidRPr="00137688">
              <w:rPr>
                <w:rFonts w:ascii="Helvetica" w:hAnsi="Helvetica" w:cs="Helvetica"/>
              </w:rPr>
              <w:t xml:space="preserve"> about the quality and accuracy of the data collection methods. </w:t>
            </w:r>
            <w:r w:rsidR="00AF2F71" w:rsidRPr="00137688">
              <w:rPr>
                <w:rFonts w:ascii="Helvetica" w:hAnsi="Helvetica" w:cs="Helvetica"/>
              </w:rPr>
              <w:t>D</w:t>
            </w:r>
            <w:r w:rsidR="00E6779B" w:rsidRPr="00137688">
              <w:rPr>
                <w:rFonts w:ascii="Helvetica" w:hAnsi="Helvetica" w:cs="Helvetica"/>
              </w:rPr>
              <w:t>efinitions of what constitutes an event</w:t>
            </w:r>
            <w:r w:rsidR="00AF2F71" w:rsidRPr="00137688">
              <w:rPr>
                <w:rFonts w:ascii="Helvetica" w:hAnsi="Helvetica" w:cs="Helvetica"/>
              </w:rPr>
              <w:t xml:space="preserve"> are being refined</w:t>
            </w:r>
            <w:r w:rsidR="00E6779B" w:rsidRPr="00137688">
              <w:rPr>
                <w:rFonts w:ascii="Helvetica" w:hAnsi="Helvetica" w:cs="Helvetica"/>
              </w:rPr>
              <w:t>, as this differs according to the type of casework.</w:t>
            </w:r>
            <w:r w:rsidR="003C0F81" w:rsidRPr="00137688">
              <w:rPr>
                <w:rFonts w:ascii="Helvetica" w:hAnsi="Helvetica" w:cs="Helvetica"/>
              </w:rPr>
              <w:t xml:space="preserve"> Whilst this work is in progress these numbers should be treated as provisional.</w:t>
            </w:r>
          </w:p>
          <w:p w14:paraId="504BCF5F" w14:textId="1BA12660" w:rsidR="00FE0F83" w:rsidRPr="0010569F" w:rsidRDefault="0077570E" w:rsidP="000D3887">
            <w:pPr>
              <w:rPr>
                <w:rFonts w:ascii="Helvetica" w:hAnsi="Helvetica" w:cs="Helvetica"/>
              </w:rPr>
            </w:pPr>
            <w:r w:rsidRPr="00137688">
              <w:rPr>
                <w:rFonts w:ascii="Helvetica" w:hAnsi="Helvetica" w:cs="Helvetica"/>
              </w:rPr>
              <w:t xml:space="preserve">Data for Local Plans is now being sourced </w:t>
            </w:r>
            <w:r w:rsidR="00137688" w:rsidRPr="00137688">
              <w:rPr>
                <w:rFonts w:ascii="Helvetica" w:hAnsi="Helvetica" w:cs="Helvetica"/>
              </w:rPr>
              <w:t xml:space="preserve">from information </w:t>
            </w:r>
            <w:r w:rsidRPr="00137688">
              <w:rPr>
                <w:rFonts w:ascii="Helvetica" w:hAnsi="Helvetica" w:cs="Helvetica"/>
              </w:rPr>
              <w:t xml:space="preserve">recorded by Inspectors on </w:t>
            </w:r>
            <w:r w:rsidR="00137688" w:rsidRPr="00137688">
              <w:rPr>
                <w:rFonts w:ascii="Helvetica" w:hAnsi="Helvetica" w:cs="Helvetica"/>
              </w:rPr>
              <w:t>their timesheets.</w:t>
            </w:r>
          </w:p>
        </w:tc>
      </w:tr>
      <w:tr w:rsidR="006A3227" w:rsidRPr="0010569F" w14:paraId="4D57CF88" w14:textId="77777777" w:rsidTr="000D3887">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D7A2" w14:textId="77777777" w:rsidR="006A3227" w:rsidRPr="0010569F" w:rsidRDefault="006A3227" w:rsidP="000D3887">
            <w:pPr>
              <w:rPr>
                <w:rFonts w:ascii="Helvetica" w:hAnsi="Helvetica" w:cs="Helvetica"/>
              </w:rPr>
            </w:pPr>
            <w:r w:rsidRPr="0010569F">
              <w:rPr>
                <w:rFonts w:ascii="Helvetica" w:hAnsi="Helvetica" w:cs="Helvetica"/>
              </w:rPr>
              <w:t>Measuring weeks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3DCB" w14:textId="77777777" w:rsidR="006A3227" w:rsidRPr="0010569F" w:rsidRDefault="006A3227" w:rsidP="000D3887">
            <w:pPr>
              <w:rPr>
                <w:rFonts w:ascii="Helvetica" w:hAnsi="Helvetica" w:cs="Helvetica"/>
              </w:rPr>
            </w:pPr>
            <w:r w:rsidRPr="0010569F">
              <w:rPr>
                <w:rFonts w:ascii="Helvetica" w:hAnsi="Helvetica" w:cs="Helvetica"/>
              </w:rPr>
              <w:t xml:space="preserve">Data are measured in days and then converted to weeks. </w:t>
            </w:r>
          </w:p>
          <w:p w14:paraId="1D3A435B" w14:textId="77777777" w:rsidR="006A3227" w:rsidRPr="0010569F" w:rsidRDefault="006A3227" w:rsidP="000D3887">
            <w:pPr>
              <w:rPr>
                <w:rFonts w:ascii="Helvetica" w:hAnsi="Helvetica" w:cs="Helvetica"/>
              </w:rPr>
            </w:pPr>
            <w:r w:rsidRPr="0010569F">
              <w:rPr>
                <w:rFonts w:ascii="Helvetica" w:hAnsi="Helvetica" w:cs="Helvetica"/>
              </w:rPr>
              <w:t>Note that not all decimal values are possible where converting days to weeks. 1 day is 1/7 of a week, or 0.14 weeks (to two decimal places). 2 days = 0.29; 3 days = 0.43; 4 days = 0.57; 5 days = 0.71; 6 days = 0.86.</w:t>
            </w:r>
          </w:p>
          <w:p w14:paraId="5F36ACC9" w14:textId="77777777" w:rsidR="006A3227" w:rsidRPr="0010569F" w:rsidRDefault="006A3227" w:rsidP="000D3887">
            <w:pPr>
              <w:rPr>
                <w:rFonts w:ascii="Helvetica" w:hAnsi="Helvetica" w:cs="Helvetica"/>
              </w:rPr>
            </w:pPr>
          </w:p>
          <w:p w14:paraId="4F8F73BC" w14:textId="77777777" w:rsidR="006A3227" w:rsidRPr="0010569F" w:rsidRDefault="006A3227" w:rsidP="000D3887">
            <w:pPr>
              <w:rPr>
                <w:rFonts w:ascii="Helvetica" w:hAnsi="Helvetica" w:cs="Helvetica"/>
              </w:rPr>
            </w:pPr>
            <w:r w:rsidRPr="0010569F">
              <w:rPr>
                <w:rFonts w:ascii="Helvetica" w:hAnsi="Helvetica" w:cs="Helvetica"/>
              </w:rPr>
              <w:t>When these are used to calculate averages, or displayed to one decimal place, the result will not equate to a full day which can be misleading: it may appear that we are measuring part days (e.g. 19.8 weeks) but we only measure in whole days.</w:t>
            </w:r>
          </w:p>
        </w:tc>
      </w:tr>
    </w:tbl>
    <w:p w14:paraId="014A345F" w14:textId="77777777" w:rsidR="005A3577" w:rsidRPr="0010569F" w:rsidRDefault="005A3577" w:rsidP="005A3577">
      <w:pPr>
        <w:rPr>
          <w:rFonts w:ascii="Helvetica" w:hAnsi="Helvetica" w:cs="Helvetica"/>
        </w:rPr>
      </w:pPr>
    </w:p>
    <w:p w14:paraId="4FDCEF6A" w14:textId="77777777" w:rsidR="006A3227" w:rsidRPr="0010569F" w:rsidRDefault="006A3227" w:rsidP="006A3227">
      <w:r w:rsidRPr="0010569F">
        <w:rPr>
          <w:rFonts w:ascii="Helvetica" w:eastAsia="Verdana" w:hAnsi="Helvetica" w:cs="Helvetica"/>
          <w:b/>
          <w:bCs/>
        </w:rPr>
        <w:t xml:space="preserve">Glossary </w:t>
      </w:r>
    </w:p>
    <w:tbl>
      <w:tblPr>
        <w:tblW w:w="9629" w:type="dxa"/>
        <w:tblCellMar>
          <w:left w:w="10" w:type="dxa"/>
          <w:right w:w="10" w:type="dxa"/>
        </w:tblCellMar>
        <w:tblLook w:val="0000" w:firstRow="0" w:lastRow="0" w:firstColumn="0" w:lastColumn="0" w:noHBand="0" w:noVBand="0"/>
      </w:tblPr>
      <w:tblGrid>
        <w:gridCol w:w="2031"/>
        <w:gridCol w:w="7598"/>
      </w:tblGrid>
      <w:tr w:rsidR="006A3227" w:rsidRPr="0010569F" w14:paraId="412008F7" w14:textId="77777777" w:rsidTr="000D3887">
        <w:tc>
          <w:tcPr>
            <w:tcW w:w="203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9D9859B" w14:textId="77777777" w:rsidR="006A3227" w:rsidRPr="0010569F" w:rsidRDefault="006A3227" w:rsidP="000D3887">
            <w:pPr>
              <w:rPr>
                <w:rFonts w:ascii="Helvetica" w:eastAsia="Verdana" w:hAnsi="Helvetica" w:cs="Helvetica"/>
                <w:b/>
                <w:bCs/>
              </w:rPr>
            </w:pPr>
            <w:r w:rsidRPr="0010569F">
              <w:rPr>
                <w:rFonts w:ascii="Helvetica" w:eastAsia="Verdana" w:hAnsi="Helvetica" w:cs="Helvetica"/>
                <w:b/>
                <w:bCs/>
              </w:rPr>
              <w:t>Term</w:t>
            </w:r>
          </w:p>
        </w:tc>
        <w:tc>
          <w:tcPr>
            <w:tcW w:w="75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8E76BD1" w14:textId="77777777" w:rsidR="006A3227" w:rsidRPr="0010569F" w:rsidRDefault="006A3227" w:rsidP="000D3887">
            <w:pPr>
              <w:rPr>
                <w:rFonts w:ascii="Helvetica" w:eastAsia="Verdana" w:hAnsi="Helvetica" w:cs="Helvetica"/>
                <w:b/>
                <w:bCs/>
              </w:rPr>
            </w:pPr>
            <w:r w:rsidRPr="0010569F">
              <w:rPr>
                <w:rFonts w:ascii="Helvetica" w:eastAsia="Verdana" w:hAnsi="Helvetica" w:cs="Helvetica"/>
                <w:b/>
                <w:bCs/>
              </w:rPr>
              <w:t>Explanation</w:t>
            </w:r>
          </w:p>
        </w:tc>
      </w:tr>
      <w:tr w:rsidR="006A3227" w:rsidRPr="0010569F" w14:paraId="649B0C8F" w14:textId="77777777" w:rsidTr="000D3887">
        <w:tc>
          <w:tcPr>
            <w:tcW w:w="2031"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504D5FC"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Appeals</w:t>
            </w:r>
          </w:p>
        </w:tc>
        <w:tc>
          <w:tcPr>
            <w:tcW w:w="7598"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91C764" w14:textId="77777777" w:rsidR="006A3227" w:rsidRPr="0010569F" w:rsidRDefault="006A3227" w:rsidP="000D3887">
            <w:pPr>
              <w:rPr>
                <w:rFonts w:ascii="Helvetica" w:eastAsia="Verdana" w:hAnsi="Helvetica" w:cs="Helvetica"/>
              </w:rPr>
            </w:pPr>
            <w:r w:rsidRPr="0010569F">
              <w:rPr>
                <w:rFonts w:ascii="Arial" w:hAnsi="Arial" w:cs="Arial"/>
                <w:shd w:val="clear" w:color="auto" w:fill="FFFFFF"/>
              </w:rPr>
              <w:t>The right to appeal a planning decision made by a local authority is a key feature of the planning system, as is appealing when an authority is taking too long.</w:t>
            </w:r>
          </w:p>
        </w:tc>
      </w:tr>
      <w:tr w:rsidR="006A3227" w:rsidRPr="0010569F" w14:paraId="4E9551AE"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C3DC" w14:textId="77777777" w:rsidR="006A3227" w:rsidRPr="0010569F" w:rsidRDefault="006A3227" w:rsidP="000D3887">
            <w:pPr>
              <w:rPr>
                <w:rFonts w:ascii="Helvetica" w:hAnsi="Helvetica" w:cs="Helvetica"/>
              </w:rPr>
            </w:pPr>
            <w:r w:rsidRPr="0010569F">
              <w:rPr>
                <w:rFonts w:ascii="Helvetica" w:hAnsi="Helvetica" w:cs="Helvetica"/>
              </w:rPr>
              <w:t>Appeals decided</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F96B3"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Number of appeals by the date the appeal was decided by The Planning Inspectorate.</w:t>
            </w:r>
          </w:p>
        </w:tc>
      </w:tr>
      <w:tr w:rsidR="006A3227" w:rsidRPr="0010569F" w14:paraId="403F34DC" w14:textId="77777777" w:rsidTr="000D3887">
        <w:tc>
          <w:tcPr>
            <w:tcW w:w="203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5567" w14:textId="77777777" w:rsidR="006A3227" w:rsidRPr="0010569F" w:rsidRDefault="006A3227" w:rsidP="000D3887">
            <w:pPr>
              <w:rPr>
                <w:rFonts w:ascii="Helvetica" w:hAnsi="Helvetica" w:cs="Helvetica"/>
              </w:rPr>
            </w:pPr>
            <w:r w:rsidRPr="0010569F">
              <w:rPr>
                <w:rFonts w:ascii="Helvetica" w:hAnsi="Helvetica" w:cs="Helvetica"/>
              </w:rPr>
              <w:t>Appeals received</w:t>
            </w:r>
          </w:p>
        </w:tc>
        <w:tc>
          <w:tcPr>
            <w:tcW w:w="759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3E6A" w14:textId="77777777" w:rsidR="006A3227" w:rsidRPr="0010569F" w:rsidRDefault="006A3227" w:rsidP="000D3887">
            <w:pPr>
              <w:rPr>
                <w:rFonts w:ascii="Helvetica" w:hAnsi="Helvetica" w:cs="Helvetica"/>
              </w:rPr>
            </w:pPr>
            <w:r w:rsidRPr="0010569F">
              <w:rPr>
                <w:rFonts w:ascii="Helvetica" w:hAnsi="Helvetica" w:cs="Helvetica"/>
              </w:rPr>
              <w:t>Number of appeals by the date the appeal was received by The Planning Inspectorate.</w:t>
            </w:r>
          </w:p>
        </w:tc>
      </w:tr>
      <w:tr w:rsidR="006A3227" w:rsidRPr="0010569F" w14:paraId="0CF1AAD8" w14:textId="77777777" w:rsidTr="000D3887">
        <w:tc>
          <w:tcPr>
            <w:tcW w:w="203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3DBB948" w14:textId="77777777" w:rsidR="006A3227" w:rsidRPr="0010569F" w:rsidRDefault="006A3227" w:rsidP="000D3887">
            <w:pPr>
              <w:rPr>
                <w:rFonts w:ascii="Helvetica" w:hAnsi="Helvetica" w:cs="Helvetica"/>
              </w:rPr>
            </w:pPr>
            <w:r w:rsidRPr="0010569F">
              <w:rPr>
                <w:rFonts w:ascii="Helvetica" w:hAnsi="Helvetica" w:cs="Helvetica"/>
              </w:rPr>
              <w:t>Applications</w:t>
            </w:r>
          </w:p>
        </w:tc>
        <w:tc>
          <w:tcPr>
            <w:tcW w:w="75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F5FE56F" w14:textId="77777777" w:rsidR="006A3227" w:rsidRPr="0010569F" w:rsidRDefault="006A3227" w:rsidP="000D3887">
            <w:pPr>
              <w:rPr>
                <w:rFonts w:ascii="Helvetica" w:hAnsi="Helvetica" w:cs="Helvetica"/>
              </w:rPr>
            </w:pPr>
            <w:r w:rsidRPr="0010569F">
              <w:rPr>
                <w:rFonts w:ascii="Helvetica" w:hAnsi="Helvetica" w:cs="Helvetica"/>
              </w:rPr>
              <w:t xml:space="preserve">Planning Inspectorate manage the application process for proposed Nationally Significant Infrastructure Projects (NSIPs) within England and Wales in line with the 2008 Planning Act. </w:t>
            </w:r>
          </w:p>
        </w:tc>
      </w:tr>
      <w:tr w:rsidR="006A3227" w:rsidRPr="0010569F" w14:paraId="318EB723"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D9F1" w14:textId="77777777" w:rsidR="006A3227" w:rsidRPr="0010569F" w:rsidRDefault="006A3227" w:rsidP="000D3887">
            <w:r w:rsidRPr="0010569F">
              <w:rPr>
                <w:rFonts w:ascii="Helvetica" w:hAnsi="Helvetica" w:cs="Helvetica"/>
              </w:rPr>
              <w:t>Closed</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CB23E" w14:textId="77777777" w:rsidR="006A3227" w:rsidRPr="0010569F" w:rsidRDefault="006A3227" w:rsidP="000D3887">
            <w:r w:rsidRPr="0010569F">
              <w:rPr>
                <w:rFonts w:ascii="Helvetica" w:hAnsi="Helvetica" w:cs="Helvetica"/>
              </w:rPr>
              <w:t xml:space="preserve">The total number of appeals decided, </w:t>
            </w:r>
            <w:proofErr w:type="gramStart"/>
            <w:r w:rsidRPr="0010569F">
              <w:rPr>
                <w:rFonts w:ascii="Helvetica" w:hAnsi="Helvetica" w:cs="Helvetica"/>
              </w:rPr>
              <w:t>withdrawn</w:t>
            </w:r>
            <w:proofErr w:type="gramEnd"/>
            <w:r w:rsidRPr="0010569F">
              <w:rPr>
                <w:rFonts w:ascii="Helvetica" w:hAnsi="Helvetica" w:cs="Helvetica"/>
              </w:rPr>
              <w:t xml:space="preserve"> or turned away.</w:t>
            </w:r>
          </w:p>
        </w:tc>
      </w:tr>
      <w:tr w:rsidR="00162BB1" w:rsidRPr="0010569F" w14:paraId="32F65EA5"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D6A5" w14:textId="4A5B33DC" w:rsidR="00162BB1" w:rsidRPr="0010569F" w:rsidRDefault="00162BB1" w:rsidP="000D3887">
            <w:pPr>
              <w:rPr>
                <w:rFonts w:ascii="Helvetica" w:hAnsi="Helvetica" w:cs="Helvetica"/>
              </w:rPr>
            </w:pPr>
            <w:r w:rsidRPr="0010569F">
              <w:rPr>
                <w:rFonts w:ascii="Helvetica" w:hAnsi="Helvetica" w:cs="Helvetica"/>
              </w:rPr>
              <w:t>Decision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3B00" w14:textId="59383E36" w:rsidR="00162BB1" w:rsidRPr="0010569F" w:rsidRDefault="00731BB0" w:rsidP="000D3887">
            <w:pPr>
              <w:rPr>
                <w:rFonts w:ascii="Helvetica" w:eastAsia="Calibri" w:hAnsi="Helvetica" w:cs="Helvetica"/>
              </w:rPr>
            </w:pPr>
            <w:r w:rsidRPr="0010569F">
              <w:rPr>
                <w:rFonts w:ascii="Helvetica" w:eastAsia="Calibri" w:hAnsi="Helvetica" w:cs="Helvetica"/>
              </w:rPr>
              <w:t xml:space="preserve">The </w:t>
            </w:r>
            <w:r w:rsidR="00182925" w:rsidRPr="0010569F">
              <w:rPr>
                <w:rFonts w:ascii="Helvetica" w:eastAsia="Calibri" w:hAnsi="Helvetica" w:cs="Helvetica"/>
              </w:rPr>
              <w:t>outcome of the case e.g. appeal allowed or rejected. The date of the decision is taken as the date a decision letter is sent to the appellant.</w:t>
            </w:r>
          </w:p>
        </w:tc>
      </w:tr>
      <w:tr w:rsidR="00402F06" w:rsidRPr="0010569F" w14:paraId="07149FDA"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834D2" w14:textId="1D65385A" w:rsidR="00402F06" w:rsidRPr="0010569F" w:rsidRDefault="00402F06" w:rsidP="000D3887">
            <w:pPr>
              <w:rPr>
                <w:rFonts w:ascii="Helvetica" w:hAnsi="Helvetica" w:cs="Helvetica"/>
              </w:rPr>
            </w:pPr>
            <w:r w:rsidRPr="0010569F">
              <w:rPr>
                <w:rFonts w:ascii="Helvetica" w:hAnsi="Helvetica" w:cs="Helvetica"/>
              </w:rPr>
              <w:t>Event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372D" w14:textId="03B08C57" w:rsidR="00402F06" w:rsidRPr="0010569F" w:rsidRDefault="00623614" w:rsidP="000D3887">
            <w:pPr>
              <w:rPr>
                <w:rFonts w:ascii="Helvetica" w:eastAsia="Verdana" w:hAnsi="Helvetica" w:cs="Helvetica"/>
              </w:rPr>
            </w:pPr>
            <w:r w:rsidRPr="0010569F">
              <w:rPr>
                <w:rFonts w:ascii="Helvetica" w:eastAsia="Calibri" w:hAnsi="Helvetica" w:cs="Helvetica"/>
              </w:rPr>
              <w:t xml:space="preserve">A site visit, </w:t>
            </w:r>
            <w:proofErr w:type="gramStart"/>
            <w:r w:rsidRPr="0010569F">
              <w:rPr>
                <w:rFonts w:ascii="Helvetica" w:eastAsia="Calibri" w:hAnsi="Helvetica" w:cs="Helvetica"/>
              </w:rPr>
              <w:t>hearing</w:t>
            </w:r>
            <w:proofErr w:type="gramEnd"/>
            <w:r w:rsidRPr="0010569F">
              <w:rPr>
                <w:rFonts w:ascii="Helvetica" w:eastAsia="Calibri" w:hAnsi="Helvetica" w:cs="Helvetica"/>
              </w:rPr>
              <w:t xml:space="preserve"> or inquiry</w:t>
            </w:r>
            <w:r w:rsidR="00162BB1" w:rsidRPr="0010569F">
              <w:rPr>
                <w:rFonts w:ascii="Helvetica" w:eastAsia="Calibri" w:hAnsi="Helvetica" w:cs="Helvetica"/>
              </w:rPr>
              <w:t xml:space="preserve"> (may be virtual)</w:t>
            </w:r>
          </w:p>
        </w:tc>
      </w:tr>
      <w:tr w:rsidR="006A3227" w:rsidRPr="0010569F" w14:paraId="536DCC8F"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7F8C" w14:textId="77777777" w:rsidR="006A3227" w:rsidRPr="0010569F" w:rsidRDefault="006A3227" w:rsidP="000D3887">
            <w:pPr>
              <w:rPr>
                <w:rFonts w:ascii="Helvetica" w:hAnsi="Helvetica" w:cs="Helvetica"/>
              </w:rPr>
            </w:pPr>
            <w:r w:rsidRPr="0010569F">
              <w:rPr>
                <w:rFonts w:ascii="Helvetica" w:hAnsi="Helvetica" w:cs="Helvetica"/>
              </w:rPr>
              <w:t>Event Type</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02C9"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The different options of how an Inspector visits a site for a written representations appeal.</w:t>
            </w:r>
          </w:p>
        </w:tc>
      </w:tr>
      <w:tr w:rsidR="006A3227" w:rsidRPr="0010569F" w14:paraId="31730848" w14:textId="77777777" w:rsidTr="000D3887">
        <w:tc>
          <w:tcPr>
            <w:tcW w:w="203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4D6763" w14:textId="77777777" w:rsidR="006A3227" w:rsidRPr="0010569F" w:rsidRDefault="006A3227" w:rsidP="000D3887">
            <w:pPr>
              <w:rPr>
                <w:rFonts w:ascii="Helvetica" w:hAnsi="Helvetica" w:cs="Helvetica"/>
              </w:rPr>
            </w:pPr>
            <w:r w:rsidRPr="0010569F">
              <w:rPr>
                <w:rFonts w:ascii="Helvetica" w:hAnsi="Helvetica" w:cs="Helvetica"/>
              </w:rPr>
              <w:t>Examinations</w:t>
            </w:r>
          </w:p>
        </w:tc>
        <w:tc>
          <w:tcPr>
            <w:tcW w:w="75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8407D9"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 xml:space="preserve">The process of examining local plans is dealt with by the Planning Inspectorate. Every Local Planning Authority is required to have a local plan.  This includes a vision for the future and plan to address housing needs in the area. </w:t>
            </w:r>
          </w:p>
          <w:p w14:paraId="2E2DE33B" w14:textId="77777777" w:rsidR="006A3227" w:rsidRPr="0010569F" w:rsidRDefault="006A3227" w:rsidP="000D3887">
            <w:pPr>
              <w:rPr>
                <w:rFonts w:ascii="Helvetica" w:eastAsia="Verdana" w:hAnsi="Helvetica" w:cs="Helvetica"/>
              </w:rPr>
            </w:pPr>
            <w:r w:rsidRPr="0010569F">
              <w:rPr>
                <w:rFonts w:ascii="Helvetica" w:eastAsia="Verdana" w:hAnsi="Helvetica" w:cs="Helvetica"/>
              </w:rPr>
              <w:lastRenderedPageBreak/>
              <w:t xml:space="preserve">When a Local Planning Authority has finished preparing and consulting on a local plan it must be submitted to the Secretary of State who appoints an Inspector to carry out an independent examination. </w:t>
            </w:r>
          </w:p>
        </w:tc>
      </w:tr>
      <w:tr w:rsidR="006A3227" w:rsidRPr="0010569F" w14:paraId="3E4BEE63"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6E53" w14:textId="77777777" w:rsidR="006A3227" w:rsidRPr="0010569F" w:rsidRDefault="006A3227" w:rsidP="000D3887">
            <w:pPr>
              <w:rPr>
                <w:rStyle w:val="normaltextrun"/>
                <w:rFonts w:ascii="Helvetica" w:hAnsi="Helvetica" w:cs="Helvetica"/>
                <w:shd w:val="clear" w:color="auto" w:fill="FFFF00"/>
              </w:rPr>
            </w:pPr>
            <w:r w:rsidRPr="0010569F">
              <w:rPr>
                <w:rFonts w:ascii="Helvetica" w:hAnsi="Helvetica" w:cs="Helvetica"/>
              </w:rPr>
              <w:lastRenderedPageBreak/>
              <w:t>FTE</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3A86" w14:textId="77777777" w:rsidR="006A3227" w:rsidRPr="0010569F" w:rsidRDefault="006A3227" w:rsidP="000D3887">
            <w:pPr>
              <w:tabs>
                <w:tab w:val="left" w:pos="6319"/>
              </w:tabs>
              <w:spacing w:line="256" w:lineRule="auto"/>
              <w:rPr>
                <w:rStyle w:val="normaltextrun"/>
                <w:rFonts w:ascii="Helvetica" w:eastAsia="Calibri" w:hAnsi="Helvetica" w:cs="Helvetica"/>
              </w:rPr>
            </w:pPr>
            <w:r w:rsidRPr="0010569F">
              <w:rPr>
                <w:rFonts w:ascii="Helvetica" w:eastAsia="Calibri" w:hAnsi="Helvetica" w:cs="Helvetica"/>
              </w:rPr>
              <w:t>Full Time Equivalent – a count of employees where those working part time are counted in proportion with their contracted hours.</w:t>
            </w:r>
          </w:p>
        </w:tc>
      </w:tr>
      <w:tr w:rsidR="006A3227" w:rsidRPr="0010569F" w14:paraId="798C5521"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1F4A" w14:textId="77777777" w:rsidR="006A3227" w:rsidRPr="0010569F" w:rsidRDefault="006A3227" w:rsidP="000D3887">
            <w:pPr>
              <w:rPr>
                <w:rFonts w:ascii="Helvetica" w:hAnsi="Helvetica" w:cs="Helvetica"/>
              </w:rPr>
            </w:pPr>
            <w:r w:rsidRPr="0010569F">
              <w:rPr>
                <w:rFonts w:ascii="Helvetica" w:hAnsi="Helvetica" w:cs="Helvetica"/>
              </w:rPr>
              <w:t>Headcount</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0CC3" w14:textId="77777777" w:rsidR="006A3227" w:rsidRPr="0010569F" w:rsidRDefault="006A3227" w:rsidP="000D3887">
            <w:pPr>
              <w:rPr>
                <w:rStyle w:val="normaltextrun"/>
                <w:rFonts w:ascii="Helvetica" w:hAnsi="Helvetica" w:cs="Helvetica"/>
                <w:shd w:val="clear" w:color="auto" w:fill="FFFF00"/>
              </w:rPr>
            </w:pPr>
            <w:r w:rsidRPr="0010569F">
              <w:rPr>
                <w:rFonts w:ascii="Helvetica" w:hAnsi="Helvetica" w:cs="Helvetica"/>
              </w:rPr>
              <w:t xml:space="preserve">Total number of staff employed regardless of how many hours they work </w:t>
            </w:r>
            <w:r w:rsidRPr="0010569F">
              <w:rPr>
                <w:rFonts w:ascii="Helvetica" w:eastAsia="Calibri" w:hAnsi="Helvetica" w:cs="Helvetica"/>
              </w:rPr>
              <w:t>(i.e. the number of different individuals).</w:t>
            </w:r>
          </w:p>
        </w:tc>
      </w:tr>
      <w:tr w:rsidR="006A3227" w:rsidRPr="0010569F" w14:paraId="70955B46"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ABDFD" w14:textId="77777777" w:rsidR="006A3227" w:rsidRPr="0010569F" w:rsidRDefault="006A3227" w:rsidP="000D3887">
            <w:pPr>
              <w:rPr>
                <w:rFonts w:ascii="Helvetica" w:hAnsi="Helvetica" w:cs="Helvetica"/>
              </w:rPr>
            </w:pPr>
            <w:r w:rsidRPr="0010569F">
              <w:rPr>
                <w:rFonts w:ascii="Helvetica" w:hAnsi="Helvetica" w:cs="Helvetica"/>
              </w:rPr>
              <w:t>Hearings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75513"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 hearing involves the submission of written evidence by the main parties and a hearing once all the written submissions have been received.</w:t>
            </w:r>
          </w:p>
          <w:p w14:paraId="27977C4A" w14:textId="77777777" w:rsidR="006A3227" w:rsidRPr="0010569F" w:rsidRDefault="006A3227" w:rsidP="000D3887">
            <w:r w:rsidRPr="0010569F">
              <w:rPr>
                <w:rFonts w:ascii="Helvetica" w:eastAsia="Verdana" w:hAnsi="Helvetica" w:cs="Helvetica"/>
              </w:rPr>
              <w:t>This takes the form of a round-the-table discussion (in person or virtually) that will be led by the planning inspector. It allows for all parties to respond to any questions that the inspector might have, and to let everyone make their case known.</w:t>
            </w:r>
            <w:r w:rsidRPr="0010569F">
              <w:t xml:space="preserve">  </w:t>
            </w:r>
          </w:p>
          <w:p w14:paraId="7987FA2C" w14:textId="77777777" w:rsidR="006A3227" w:rsidRPr="0010569F" w:rsidRDefault="006A3227" w:rsidP="000D3887">
            <w:pPr>
              <w:rPr>
                <w:rFonts w:ascii="Helvetica" w:eastAsia="Verdana" w:hAnsi="Helvetica" w:cs="Helvetica"/>
              </w:rPr>
            </w:pPr>
            <w:r w:rsidRPr="0010569F">
              <w:t>Source: Planning Portal</w:t>
            </w:r>
          </w:p>
        </w:tc>
      </w:tr>
      <w:tr w:rsidR="006A3227" w:rsidRPr="0010569F" w14:paraId="6A1E9114" w14:textId="77777777" w:rsidTr="008403E0">
        <w:trPr>
          <w:cantSplit/>
        </w:trPr>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B7ED9" w14:textId="77777777" w:rsidR="006A3227" w:rsidRPr="0010569F" w:rsidRDefault="006A3227" w:rsidP="000D3887">
            <w:pPr>
              <w:rPr>
                <w:rFonts w:ascii="Helvetica" w:hAnsi="Helvetica" w:cs="Helvetica"/>
              </w:rPr>
            </w:pPr>
            <w:r w:rsidRPr="0010569F">
              <w:rPr>
                <w:rFonts w:ascii="Helvetica" w:hAnsi="Helvetica" w:cs="Helvetica"/>
              </w:rPr>
              <w:t>Inquiries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0C64"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An inquiry is usually used for complex cases where legal issues may need to be considered. The main parties will usually have legal representatives to present their case and to cross-examine any witnesses. Prior to the inquiry date, the Planning Inspectorate will expect to have received various documents from all parties that will be taking part in the appeal. These may include statements of case and proofs of evidence from expert witnesses. Third parties may also take part. The inquiry will be led by the inspector and will follow a formal procedure.</w:t>
            </w:r>
          </w:p>
          <w:p w14:paraId="794E560E"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At some point during or on conclusion of the inquiry the inspector and the main parties will undertake a site visit.</w:t>
            </w:r>
          </w:p>
          <w:p w14:paraId="4D484F7F" w14:textId="77777777" w:rsidR="006A3227" w:rsidRPr="0010569F" w:rsidRDefault="006A3227" w:rsidP="000D3887">
            <w:pPr>
              <w:rPr>
                <w:rFonts w:ascii="Helvetica" w:eastAsia="Verdana" w:hAnsi="Helvetica" w:cs="Helvetica"/>
              </w:rPr>
            </w:pPr>
            <w:r w:rsidRPr="0010569F">
              <w:rPr>
                <w:rFonts w:eastAsia="Verdana"/>
              </w:rPr>
              <w:t>Source: Planning Portal</w:t>
            </w:r>
          </w:p>
        </w:tc>
      </w:tr>
      <w:tr w:rsidR="006A3227" w:rsidRPr="0010569F" w14:paraId="23B729F1"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09338" w14:textId="77777777" w:rsidR="006A3227" w:rsidRPr="0010569F" w:rsidRDefault="006A3227" w:rsidP="000D3887">
            <w:pPr>
              <w:rPr>
                <w:rFonts w:ascii="Helvetica" w:hAnsi="Helvetica" w:cs="Helvetica"/>
              </w:rPr>
            </w:pPr>
            <w:r w:rsidRPr="0010569F">
              <w:rPr>
                <w:rFonts w:ascii="Helvetica" w:hAnsi="Helvetica" w:cs="Helvetica"/>
              </w:rPr>
              <w:t>Live appeals</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94D9"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Number of live appeals in that have an appeal valid date but no end date (either decision date or a closed date, e.g. for appeals that have been withdrawn).</w:t>
            </w:r>
          </w:p>
        </w:tc>
      </w:tr>
      <w:tr w:rsidR="006A3227" w:rsidRPr="0010569F" w14:paraId="7F85ACA0"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C59D" w14:textId="77777777" w:rsidR="006A3227" w:rsidRPr="0010569F" w:rsidRDefault="006A3227" w:rsidP="000D3887">
            <w:pPr>
              <w:rPr>
                <w:rFonts w:ascii="Helvetica" w:hAnsi="Helvetica" w:cs="Helvetica"/>
              </w:rPr>
            </w:pPr>
            <w:r w:rsidRPr="0010569F">
              <w:rPr>
                <w:rFonts w:ascii="Helvetica" w:hAnsi="Helvetica" w:cs="Helvetica"/>
              </w:rPr>
              <w:t>Open Cases</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E151"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Number of cases that have been received but on which a decision has not yet been made/ issued. Will differ from Live Appeals as it includes those received but not yet verified.</w:t>
            </w:r>
          </w:p>
        </w:tc>
      </w:tr>
      <w:tr w:rsidR="006A3227" w:rsidRPr="0010569F" w14:paraId="2B19FA07"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6BEA" w14:textId="77777777" w:rsidR="006A3227" w:rsidRPr="0010569F" w:rsidRDefault="006A3227" w:rsidP="000D3887">
            <w:pPr>
              <w:rPr>
                <w:rFonts w:ascii="Helvetica" w:hAnsi="Helvetica" w:cs="Helvetica"/>
              </w:rPr>
            </w:pPr>
            <w:r w:rsidRPr="0010569F">
              <w:rPr>
                <w:rFonts w:ascii="Helvetica" w:hAnsi="Helvetica" w:cs="Helvetica"/>
              </w:rPr>
              <w:t>Procedure Type</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B82B"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The method by which The Planning Inspectorate processes and decides appeals.</w:t>
            </w:r>
          </w:p>
        </w:tc>
      </w:tr>
      <w:tr w:rsidR="006A3227" w14:paraId="3BCCDCC7"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9F0F" w14:textId="77777777" w:rsidR="006A3227" w:rsidRPr="0010569F" w:rsidRDefault="006A3227" w:rsidP="000D3887">
            <w:pPr>
              <w:rPr>
                <w:rFonts w:ascii="Helvetica" w:hAnsi="Helvetica" w:cs="Helvetica"/>
              </w:rPr>
            </w:pPr>
            <w:r w:rsidRPr="0010569F">
              <w:rPr>
                <w:rFonts w:ascii="Helvetica" w:hAnsi="Helvetica" w:cs="Helvetica"/>
              </w:rPr>
              <w:t>Written Representations</w:t>
            </w:r>
            <w:r w:rsidRPr="0010569F">
              <w:rPr>
                <w:rStyle w:val="eop"/>
                <w:rFonts w:ascii="Helvetica" w:hAnsi="Helvetica" w:cs="Helvetica"/>
              </w:rPr>
              <w:t>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7C4FD" w14:textId="69E719DE" w:rsidR="006A3227" w:rsidRDefault="006A3227" w:rsidP="000D3887">
            <w:pPr>
              <w:rPr>
                <w:rFonts w:ascii="Helvetica" w:eastAsia="Verdana" w:hAnsi="Helvetica" w:cs="Helvetica"/>
              </w:rPr>
            </w:pPr>
            <w:r w:rsidRPr="0010569F">
              <w:rPr>
                <w:rFonts w:ascii="Helvetica" w:eastAsia="Verdana" w:hAnsi="Helvetica" w:cs="Helvetica"/>
              </w:rPr>
              <w:t xml:space="preserve">Most planning appeals are decided by the written </w:t>
            </w:r>
            <w:r w:rsidR="003C0F81" w:rsidRPr="0010569F">
              <w:rPr>
                <w:rFonts w:ascii="Helvetica" w:eastAsia="Verdana" w:hAnsi="Helvetica" w:cs="Helvetica"/>
              </w:rPr>
              <w:t>representations’</w:t>
            </w:r>
            <w:r w:rsidRPr="0010569F">
              <w:rPr>
                <w:rFonts w:ascii="Helvetica" w:eastAsia="Verdana" w:hAnsi="Helvetica" w:cs="Helvetica"/>
              </w:rPr>
              <w:t xml:space="preserve"> procedure. With this procedure the Inspector considers written evidence from the appellant, the LPA and anyone else who has an interest in the appeal. The site is also likely to be visited.</w:t>
            </w:r>
          </w:p>
        </w:tc>
      </w:tr>
    </w:tbl>
    <w:p w14:paraId="3D3E80FB" w14:textId="77777777" w:rsidR="006A3227" w:rsidRDefault="006A3227" w:rsidP="006A3227">
      <w:pPr>
        <w:rPr>
          <w:rFonts w:ascii="Helvetica" w:eastAsia="Verdana" w:hAnsi="Helvetica" w:cs="Helvetica"/>
        </w:rPr>
      </w:pPr>
    </w:p>
    <w:tbl>
      <w:tblPr>
        <w:tblW w:w="9629" w:type="dxa"/>
        <w:tblCellMar>
          <w:left w:w="10" w:type="dxa"/>
          <w:right w:w="10" w:type="dxa"/>
        </w:tblCellMar>
        <w:tblLook w:val="0000" w:firstRow="0" w:lastRow="0" w:firstColumn="0" w:lastColumn="0" w:noHBand="0" w:noVBand="0"/>
      </w:tblPr>
      <w:tblGrid>
        <w:gridCol w:w="9629"/>
      </w:tblGrid>
      <w:tr w:rsidR="006A3227" w14:paraId="7029F59B" w14:textId="77777777" w:rsidTr="000D3887">
        <w:trPr>
          <w:trHeight w:val="403"/>
        </w:trPr>
        <w:tc>
          <w:tcPr>
            <w:tcW w:w="9629" w:type="dxa"/>
            <w:shd w:val="clear" w:color="auto" w:fill="00958F"/>
            <w:tcMar>
              <w:top w:w="0" w:type="dxa"/>
              <w:left w:w="108" w:type="dxa"/>
              <w:bottom w:w="0" w:type="dxa"/>
              <w:right w:w="108" w:type="dxa"/>
            </w:tcMar>
          </w:tcPr>
          <w:p w14:paraId="32AB495B" w14:textId="77777777" w:rsidR="006A3227" w:rsidRDefault="006A3227" w:rsidP="000D3887">
            <w:r>
              <w:rPr>
                <w:rFonts w:ascii="Helvetica" w:hAnsi="Helvetica" w:cs="Helvetica"/>
                <w:b/>
                <w:color w:val="FFFFFF"/>
                <w:sz w:val="28"/>
                <w:szCs w:val="28"/>
              </w:rPr>
              <w:t>Contact Us</w:t>
            </w:r>
          </w:p>
        </w:tc>
      </w:tr>
    </w:tbl>
    <w:p w14:paraId="14C03B70" w14:textId="77777777" w:rsidR="006A3227" w:rsidRDefault="006A3227" w:rsidP="006A3227">
      <w:pPr>
        <w:rPr>
          <w:rFonts w:ascii="Helvetica" w:hAnsi="Helvetica" w:cs="Helvetica"/>
          <w:b/>
        </w:rPr>
      </w:pPr>
    </w:p>
    <w:p w14:paraId="2DB5028B" w14:textId="77777777" w:rsidR="006A3227" w:rsidRDefault="006A3227" w:rsidP="004366FF">
      <w:pPr>
        <w:jc w:val="both"/>
        <w:rPr>
          <w:rFonts w:ascii="Helvetica" w:hAnsi="Helvetica" w:cs="Helvetica"/>
        </w:rPr>
      </w:pPr>
      <w:r>
        <w:rPr>
          <w:rFonts w:ascii="Helvetica" w:hAnsi="Helvetica" w:cs="Helvetica"/>
        </w:rPr>
        <w:t xml:space="preserve">The Planning Inspectorate welcome feedback on our statistical products. If you have any comments or questions about this publication or about our statistics in general, you can contact us as follows: </w:t>
      </w:r>
    </w:p>
    <w:p w14:paraId="142F5395" w14:textId="77777777" w:rsidR="006A3227" w:rsidRDefault="006A3227" w:rsidP="004366FF">
      <w:pPr>
        <w:jc w:val="both"/>
      </w:pPr>
      <w:r>
        <w:rPr>
          <w:rFonts w:ascii="Helvetica" w:hAnsi="Helvetica" w:cs="Helvetica"/>
          <w:b/>
          <w:bCs/>
        </w:rPr>
        <w:t>Media enquiries</w:t>
      </w:r>
      <w:r>
        <w:rPr>
          <w:rFonts w:ascii="Helvetica" w:hAnsi="Helvetica" w:cs="Helvetica"/>
        </w:rPr>
        <w:tab/>
        <w:t>0303 444 5004</w:t>
      </w:r>
    </w:p>
    <w:p w14:paraId="76A640BC" w14:textId="77777777" w:rsidR="006A3227" w:rsidRDefault="006A3227" w:rsidP="004366FF">
      <w:pPr>
        <w:ind w:left="1440" w:firstLine="720"/>
        <w:jc w:val="both"/>
        <w:rPr>
          <w:rFonts w:ascii="Helvetica" w:hAnsi="Helvetica" w:cs="Helvetica"/>
        </w:rPr>
      </w:pPr>
      <w:r w:rsidRPr="545BAC2B">
        <w:rPr>
          <w:rFonts w:ascii="Helvetica" w:hAnsi="Helvetica" w:cs="Helvetica"/>
        </w:rPr>
        <w:t xml:space="preserve">email </w:t>
      </w:r>
      <w:hyperlink r:id="rId31">
        <w:r w:rsidRPr="545BAC2B">
          <w:rPr>
            <w:rStyle w:val="Hyperlink"/>
            <w:rFonts w:ascii="Helvetica" w:hAnsi="Helvetica" w:cs="Helvetica"/>
          </w:rPr>
          <w:t>press.office@planninginspectorate.gov.uk</w:t>
        </w:r>
      </w:hyperlink>
    </w:p>
    <w:p w14:paraId="630E62AF" w14:textId="77777777" w:rsidR="006A3227" w:rsidRDefault="006A3227" w:rsidP="004366FF">
      <w:pPr>
        <w:ind w:left="1440" w:firstLine="720"/>
        <w:jc w:val="both"/>
        <w:rPr>
          <w:rFonts w:ascii="Helvetica" w:hAnsi="Helvetica" w:cs="Helvetica"/>
        </w:rPr>
      </w:pPr>
    </w:p>
    <w:p w14:paraId="39ECAD1D" w14:textId="77777777" w:rsidR="006A3227" w:rsidRDefault="006A3227" w:rsidP="004366FF">
      <w:pPr>
        <w:jc w:val="both"/>
      </w:pPr>
      <w:r>
        <w:rPr>
          <w:rFonts w:ascii="Helvetica" w:hAnsi="Helvetica" w:cs="Helvetica"/>
          <w:b/>
          <w:bCs/>
        </w:rPr>
        <w:t xml:space="preserve">Public enquiries </w:t>
      </w:r>
      <w:r>
        <w:rPr>
          <w:rFonts w:ascii="Helvetica" w:hAnsi="Helvetica" w:cs="Helvetica"/>
          <w:b/>
          <w:bCs/>
        </w:rPr>
        <w:tab/>
      </w:r>
      <w:r>
        <w:rPr>
          <w:rFonts w:ascii="Helvetica" w:hAnsi="Helvetica" w:cs="Helvetica"/>
        </w:rPr>
        <w:t xml:space="preserve">email </w:t>
      </w:r>
      <w:hyperlink r:id="rId32">
        <w:r w:rsidRPr="545BAC2B">
          <w:rPr>
            <w:rStyle w:val="Hyperlink"/>
            <w:rFonts w:ascii="Helvetica" w:hAnsi="Helvetica" w:cs="Helvetica"/>
          </w:rPr>
          <w:t>statistics@planninginspectorate.gov.uk</w:t>
        </w:r>
      </w:hyperlink>
    </w:p>
    <w:p w14:paraId="47BA0DB2" w14:textId="77777777" w:rsidR="006A3227" w:rsidRDefault="006A3227" w:rsidP="004366FF">
      <w:pPr>
        <w:jc w:val="both"/>
        <w:rPr>
          <w:rFonts w:ascii="Helvetica" w:hAnsi="Helvetica" w:cs="Helvetica"/>
        </w:rPr>
      </w:pPr>
    </w:p>
    <w:p w14:paraId="47AC4F8A" w14:textId="77777777" w:rsidR="006A3227" w:rsidRDefault="006A3227" w:rsidP="004366FF">
      <w:pPr>
        <w:jc w:val="both"/>
        <w:rPr>
          <w:rFonts w:ascii="Helvetica" w:hAnsi="Helvetica" w:cs="Helvetica"/>
        </w:rPr>
      </w:pPr>
      <w:r w:rsidRPr="092991CE">
        <w:rPr>
          <w:rFonts w:ascii="Helvetica" w:hAnsi="Helvetica" w:cs="Helvetica"/>
          <w:b/>
          <w:bCs/>
        </w:rPr>
        <w:t>Please note</w:t>
      </w:r>
      <w:r w:rsidRPr="092991CE">
        <w:rPr>
          <w:rFonts w:ascii="Helvetica" w:hAnsi="Helvetica" w:cs="Helvetica"/>
        </w:rPr>
        <w:t xml:space="preserve"> we are currently reviewing our statistics with a view to </w:t>
      </w:r>
      <w:r>
        <w:rPr>
          <w:rFonts w:ascii="Helvetica" w:hAnsi="Helvetica" w:cs="Helvetica"/>
        </w:rPr>
        <w:t>making them as clear and helpful as possible for users</w:t>
      </w:r>
      <w:r w:rsidRPr="092991CE">
        <w:rPr>
          <w:rFonts w:ascii="Helvetica" w:hAnsi="Helvetica" w:cs="Helvetica"/>
        </w:rPr>
        <w:t>. We would be delighted if you could contact us via the address below with any views on this approach; particularly on what content would be most useful and why.</w:t>
      </w:r>
    </w:p>
    <w:p w14:paraId="38742DDC" w14:textId="77777777" w:rsidR="006A3227" w:rsidRDefault="006A3227" w:rsidP="006A3227">
      <w:pPr>
        <w:rPr>
          <w:rFonts w:ascii="Helvetica" w:hAnsi="Helvetica" w:cs="Helvetica"/>
        </w:rPr>
      </w:pPr>
    </w:p>
    <w:p w14:paraId="5C102AC2" w14:textId="77777777" w:rsidR="006A3227" w:rsidRDefault="006A3227" w:rsidP="006A3227">
      <w:pPr>
        <w:ind w:firstLine="720"/>
      </w:pPr>
      <w:r w:rsidRPr="545BAC2B">
        <w:rPr>
          <w:rFonts w:ascii="Helvetica" w:hAnsi="Helvetica" w:cs="Helvetica"/>
        </w:rPr>
        <w:t xml:space="preserve">email </w:t>
      </w:r>
      <w:hyperlink r:id="rId33">
        <w:r w:rsidRPr="545BAC2B">
          <w:rPr>
            <w:rStyle w:val="Hyperlink"/>
            <w:rFonts w:ascii="Helvetica" w:hAnsi="Helvetica" w:cs="Helvetica"/>
          </w:rPr>
          <w:t>statistics@planninginspectorate.gov.uk</w:t>
        </w:r>
      </w:hyperlink>
    </w:p>
    <w:p w14:paraId="73454C82" w14:textId="77777777" w:rsidR="006A3227" w:rsidRDefault="006A3227" w:rsidP="006A3227">
      <w:pPr>
        <w:ind w:firstLine="720"/>
        <w:rPr>
          <w:rFonts w:ascii="Helvetica" w:hAnsi="Helvetica" w:cs="Helvetica"/>
        </w:rPr>
      </w:pPr>
    </w:p>
    <w:p w14:paraId="449516FB" w14:textId="1F802309" w:rsidR="006A3227" w:rsidRDefault="006A3227" w:rsidP="004366FF">
      <w:pPr>
        <w:jc w:val="both"/>
      </w:pPr>
      <w:r>
        <w:rPr>
          <w:rFonts w:ascii="Helvetica" w:hAnsi="Helvetica" w:cs="Helvetica"/>
        </w:rPr>
        <w:t xml:space="preserve">If you require information which is not available within this or other available publications, you may wish to submit a Request for Information under the Freedom of Information Act 2000 to the Planning Inspectorate.  For more information, see: </w:t>
      </w:r>
      <w:hyperlink r:id="rId34" w:history="1">
        <w:r>
          <w:rPr>
            <w:rStyle w:val="Hyperlink"/>
            <w:rFonts w:ascii="Helvetica" w:hAnsi="Helvetica" w:cs="Helvetica"/>
          </w:rPr>
          <w:t>https://www.gov.uk/make-a-freedom-of-information-request/the-freedom-of-information-act</w:t>
        </w:r>
      </w:hyperlink>
      <w:r>
        <w:rPr>
          <w:rFonts w:ascii="Helvetica" w:hAnsi="Helvetica" w:cs="Helvetica"/>
        </w:rPr>
        <w:t xml:space="preserve"> </w:t>
      </w:r>
    </w:p>
    <w:p w14:paraId="269F697C" w14:textId="77777777" w:rsidR="003D1FD9" w:rsidRDefault="003D1FD9" w:rsidP="004366FF">
      <w:pPr>
        <w:jc w:val="both"/>
        <w:rPr>
          <w:rFonts w:ascii="Helvetica" w:hAnsi="Helvetica" w:cs="Helvetica"/>
        </w:rPr>
      </w:pPr>
    </w:p>
    <w:sectPr w:rsidR="003D1FD9" w:rsidSect="000D3887">
      <w:headerReference w:type="default" r:id="rId35"/>
      <w:footerReference w:type="default" r:id="rId36"/>
      <w:headerReference w:type="first" r:id="rId37"/>
      <w:footerReference w:type="first" r:id="rId38"/>
      <w:pgSz w:w="11907" w:h="16840"/>
      <w:pgMar w:top="851" w:right="1134" w:bottom="709"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2CDA" w14:textId="77777777" w:rsidR="002B5CFC" w:rsidRDefault="002B5CFC" w:rsidP="006A3227">
      <w:r>
        <w:separator/>
      </w:r>
    </w:p>
  </w:endnote>
  <w:endnote w:type="continuationSeparator" w:id="0">
    <w:p w14:paraId="1D5E0B1B" w14:textId="77777777" w:rsidR="002B5CFC" w:rsidRDefault="002B5CFC" w:rsidP="006A3227">
      <w:r>
        <w:continuationSeparator/>
      </w:r>
    </w:p>
  </w:endnote>
  <w:endnote w:type="continuationNotice" w:id="1">
    <w:p w14:paraId="1EADA5FF" w14:textId="77777777" w:rsidR="002B5CFC" w:rsidRDefault="002B5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B573" w14:textId="77777777" w:rsidR="005C2584" w:rsidRDefault="005C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3CAA31B4" w14:textId="77777777" w:rsidTr="7DB8D5EE">
      <w:tc>
        <w:tcPr>
          <w:tcW w:w="3210" w:type="dxa"/>
        </w:tcPr>
        <w:p w14:paraId="235BA329" w14:textId="7E800DC2" w:rsidR="00EC1AA1" w:rsidRDefault="00EC1AA1" w:rsidP="7DB8D5EE">
          <w:pPr>
            <w:pStyle w:val="Header"/>
            <w:ind w:left="-115"/>
          </w:pPr>
        </w:p>
      </w:tc>
      <w:tc>
        <w:tcPr>
          <w:tcW w:w="3210" w:type="dxa"/>
        </w:tcPr>
        <w:p w14:paraId="4DBE95B7" w14:textId="546E8CE3" w:rsidR="00EC1AA1" w:rsidRDefault="00EC1AA1" w:rsidP="7DB8D5EE">
          <w:pPr>
            <w:pStyle w:val="Header"/>
            <w:jc w:val="center"/>
          </w:pPr>
        </w:p>
      </w:tc>
      <w:tc>
        <w:tcPr>
          <w:tcW w:w="3210" w:type="dxa"/>
        </w:tcPr>
        <w:p w14:paraId="78EE4FDB" w14:textId="418D72F1" w:rsidR="00EC1AA1" w:rsidRDefault="00EC1AA1" w:rsidP="7DB8D5EE">
          <w:pPr>
            <w:pStyle w:val="Header"/>
            <w:ind w:right="-115"/>
            <w:jc w:val="right"/>
          </w:pPr>
        </w:p>
      </w:tc>
    </w:tr>
  </w:tbl>
  <w:p w14:paraId="53C14C53" w14:textId="1CE2E0EA" w:rsidR="00EC1AA1" w:rsidRDefault="00EC1AA1" w:rsidP="7DB8D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65FA" w14:textId="77777777" w:rsidR="00EC1AA1" w:rsidRDefault="00EC1AA1">
    <w:pPr>
      <w:pStyle w:val="Footer"/>
      <w:jc w:val="center"/>
    </w:pPr>
    <w:r>
      <w:fldChar w:fldCharType="begin"/>
    </w:r>
    <w:r>
      <w:instrText xml:space="preserve"> PAGE </w:instrText>
    </w:r>
    <w:r>
      <w:fldChar w:fldCharType="separate"/>
    </w:r>
    <w:r>
      <w:t>1</w:t>
    </w:r>
    <w:r>
      <w:fldChar w:fldCharType="end"/>
    </w:r>
  </w:p>
  <w:tbl>
    <w:tblPr>
      <w:tblW w:w="10206" w:type="dxa"/>
      <w:tblCellMar>
        <w:left w:w="10" w:type="dxa"/>
        <w:right w:w="10" w:type="dxa"/>
      </w:tblCellMar>
      <w:tblLook w:val="0000" w:firstRow="0" w:lastRow="0" w:firstColumn="0" w:lastColumn="0" w:noHBand="0" w:noVBand="0"/>
    </w:tblPr>
    <w:tblGrid>
      <w:gridCol w:w="10206"/>
    </w:tblGrid>
    <w:tr w:rsidR="00EC1AA1" w14:paraId="62896B42" w14:textId="77777777" w:rsidTr="00F07276">
      <w:trPr>
        <w:trHeight w:val="827"/>
      </w:trPr>
      <w:tc>
        <w:tcPr>
          <w:tcW w:w="10206" w:type="dxa"/>
          <w:shd w:val="clear" w:color="auto" w:fill="00958F"/>
          <w:tcMar>
            <w:top w:w="0" w:type="dxa"/>
            <w:left w:w="108" w:type="dxa"/>
            <w:bottom w:w="0" w:type="dxa"/>
            <w:right w:w="108" w:type="dxa"/>
          </w:tcMar>
        </w:tcPr>
        <w:p w14:paraId="66D5F00D" w14:textId="77777777" w:rsidR="00EC1AA1" w:rsidRDefault="00EC1AA1">
          <w:pPr>
            <w:pStyle w:val="Footer"/>
          </w:pPr>
          <w:r>
            <w:rPr>
              <w:rFonts w:ascii="Helvetica" w:hAnsi="Helvetica" w:cs="Helvetica"/>
              <w:sz w:val="20"/>
              <w:szCs w:val="20"/>
            </w:rPr>
            <w:t xml:space="preserve">Issued By: Head of Data and Performance | The Planning Inspectorate | Temple Quay House | Eagle Wing | Telephone: 0303 444 5104 | Email: </w:t>
          </w:r>
          <w:hyperlink r:id="rId1" w:history="1">
            <w:r>
              <w:rPr>
                <w:rStyle w:val="Hyperlink"/>
                <w:rFonts w:ascii="Helvetica" w:hAnsi="Helvetica" w:cs="Helvetica"/>
                <w:sz w:val="20"/>
                <w:szCs w:val="20"/>
              </w:rPr>
              <w:t>Statistics@planninginspectorate.gov.uk</w:t>
            </w:r>
          </w:hyperlink>
        </w:p>
        <w:p w14:paraId="38670075" w14:textId="77777777" w:rsidR="00EC1AA1" w:rsidRDefault="00EC1AA1">
          <w:pPr>
            <w:pStyle w:val="Footer"/>
          </w:pPr>
          <w:r>
            <w:rPr>
              <w:rFonts w:ascii="Helvetica" w:hAnsi="Helvetica" w:cs="Helvetica"/>
              <w:sz w:val="20"/>
              <w:szCs w:val="20"/>
            </w:rPr>
            <w:t xml:space="preserve">Media enquiries | Telephone: 0303 444 5004 | Email: </w:t>
          </w:r>
          <w:hyperlink r:id="rId2" w:history="1">
            <w:r>
              <w:rPr>
                <w:rStyle w:val="Hyperlink"/>
                <w:rFonts w:ascii="Helvetica" w:hAnsi="Helvetica" w:cs="Helvetica"/>
                <w:sz w:val="20"/>
                <w:szCs w:val="20"/>
              </w:rPr>
              <w:t>press.office@planninginspectorate.gov.uk</w:t>
            </w:r>
          </w:hyperlink>
        </w:p>
      </w:tc>
    </w:tr>
  </w:tbl>
  <w:p w14:paraId="4CE4AC40" w14:textId="77777777" w:rsidR="00EC1AA1" w:rsidRDefault="00EC1AA1" w:rsidP="001358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90"/>
      <w:gridCol w:w="5090"/>
      <w:gridCol w:w="5090"/>
    </w:tblGrid>
    <w:tr w:rsidR="00EC1AA1" w14:paraId="09C6E3C2" w14:textId="77777777" w:rsidTr="7DB8D5EE">
      <w:tc>
        <w:tcPr>
          <w:tcW w:w="5090" w:type="dxa"/>
        </w:tcPr>
        <w:p w14:paraId="50F2EA33" w14:textId="0B55AFA5" w:rsidR="00EC1AA1" w:rsidRDefault="00EC1AA1" w:rsidP="7DB8D5EE">
          <w:pPr>
            <w:pStyle w:val="Header"/>
            <w:ind w:left="-115"/>
          </w:pPr>
        </w:p>
      </w:tc>
      <w:tc>
        <w:tcPr>
          <w:tcW w:w="5090" w:type="dxa"/>
        </w:tcPr>
        <w:p w14:paraId="284838EE" w14:textId="4B254E6D" w:rsidR="00EC1AA1" w:rsidRDefault="00EC1AA1" w:rsidP="7DB8D5EE">
          <w:pPr>
            <w:pStyle w:val="Header"/>
            <w:jc w:val="center"/>
          </w:pPr>
        </w:p>
      </w:tc>
      <w:tc>
        <w:tcPr>
          <w:tcW w:w="5090" w:type="dxa"/>
        </w:tcPr>
        <w:p w14:paraId="1A83EAF6" w14:textId="7553168B" w:rsidR="00EC1AA1" w:rsidRDefault="00EC1AA1" w:rsidP="7DB8D5EE">
          <w:pPr>
            <w:pStyle w:val="Header"/>
            <w:ind w:right="-115"/>
            <w:jc w:val="right"/>
          </w:pPr>
        </w:p>
      </w:tc>
    </w:tr>
  </w:tbl>
  <w:p w14:paraId="0051FC23" w14:textId="755DAA23" w:rsidR="00EC1AA1" w:rsidRDefault="00EC1AA1" w:rsidP="7DB8D5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B731" w14:textId="77777777" w:rsidR="00EC1AA1" w:rsidRDefault="00EC1AA1">
    <w:pPr>
      <w:pStyle w:val="Footer"/>
      <w:jc w:val="center"/>
    </w:pPr>
    <w:r>
      <w:fldChar w:fldCharType="begin"/>
    </w:r>
    <w:r>
      <w:instrText xml:space="preserve"> PAGE </w:instrText>
    </w:r>
    <w:r>
      <w:fldChar w:fldCharType="separate"/>
    </w:r>
    <w:r>
      <w:t>1</w:t>
    </w:r>
    <w:r>
      <w:fldChar w:fldCharType="end"/>
    </w:r>
  </w:p>
  <w:p w14:paraId="5DF5BDF9" w14:textId="77777777" w:rsidR="00EC1AA1" w:rsidRPr="00F35844" w:rsidRDefault="00EC1AA1" w:rsidP="00F35844">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5CC97C00" w14:textId="77777777" w:rsidTr="7DB8D5EE">
      <w:tc>
        <w:tcPr>
          <w:tcW w:w="3210" w:type="dxa"/>
        </w:tcPr>
        <w:p w14:paraId="594A6689" w14:textId="4C8D3C92" w:rsidR="00EC1AA1" w:rsidRDefault="00EC1AA1" w:rsidP="7DB8D5EE">
          <w:pPr>
            <w:pStyle w:val="Header"/>
            <w:ind w:left="-115"/>
          </w:pPr>
        </w:p>
      </w:tc>
      <w:tc>
        <w:tcPr>
          <w:tcW w:w="3210" w:type="dxa"/>
        </w:tcPr>
        <w:p w14:paraId="48845803" w14:textId="6825994B" w:rsidR="00EC1AA1" w:rsidRDefault="00EC1AA1" w:rsidP="7DB8D5EE">
          <w:pPr>
            <w:pStyle w:val="Header"/>
            <w:jc w:val="center"/>
          </w:pPr>
        </w:p>
      </w:tc>
      <w:tc>
        <w:tcPr>
          <w:tcW w:w="3210" w:type="dxa"/>
        </w:tcPr>
        <w:p w14:paraId="43DA801E" w14:textId="41A48D4D" w:rsidR="00EC1AA1" w:rsidRDefault="00EC1AA1" w:rsidP="7DB8D5EE">
          <w:pPr>
            <w:pStyle w:val="Header"/>
            <w:ind w:right="-115"/>
            <w:jc w:val="right"/>
          </w:pPr>
        </w:p>
      </w:tc>
    </w:tr>
  </w:tbl>
  <w:p w14:paraId="70861A49" w14:textId="6D7B7C11" w:rsidR="00EC1AA1" w:rsidRDefault="00EC1AA1" w:rsidP="7DB8D5E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0FE5" w14:textId="77777777" w:rsidR="00EC1AA1" w:rsidRDefault="00EC1AA1">
    <w:pPr>
      <w:pStyle w:val="Footer"/>
      <w:jc w:val="center"/>
    </w:pPr>
    <w:r>
      <w:fldChar w:fldCharType="begin"/>
    </w:r>
    <w:r>
      <w:instrText xml:space="preserve"> PAGE </w:instrText>
    </w:r>
    <w:r>
      <w:fldChar w:fldCharType="separate"/>
    </w:r>
    <w:r>
      <w:t>1</w:t>
    </w:r>
    <w:r>
      <w:fldChar w:fldCharType="end"/>
    </w:r>
  </w:p>
  <w:p w14:paraId="5DDE26C5" w14:textId="77777777" w:rsidR="00EC1AA1" w:rsidRDefault="00EC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77B70" w14:textId="77777777" w:rsidR="002B5CFC" w:rsidRDefault="002B5CFC" w:rsidP="006A3227">
      <w:bookmarkStart w:id="0" w:name="_Hlk57123976"/>
      <w:bookmarkEnd w:id="0"/>
      <w:r>
        <w:separator/>
      </w:r>
    </w:p>
  </w:footnote>
  <w:footnote w:type="continuationSeparator" w:id="0">
    <w:p w14:paraId="41C4812A" w14:textId="77777777" w:rsidR="002B5CFC" w:rsidRDefault="002B5CFC" w:rsidP="006A3227">
      <w:r>
        <w:continuationSeparator/>
      </w:r>
    </w:p>
  </w:footnote>
  <w:footnote w:type="continuationNotice" w:id="1">
    <w:p w14:paraId="3D14F5BF" w14:textId="77777777" w:rsidR="002B5CFC" w:rsidRDefault="002B5CFC"/>
  </w:footnote>
  <w:footnote w:id="2">
    <w:p w14:paraId="3804A022" w14:textId="48C0E73A" w:rsidR="00EC1AA1" w:rsidDel="000219AD" w:rsidRDefault="00EC1AA1" w:rsidP="006A3227">
      <w:pPr>
        <w:pStyle w:val="FootnoteText"/>
      </w:pPr>
      <w:r w:rsidRPr="001258C6" w:rsidDel="000219AD">
        <w:rPr>
          <w:rStyle w:val="FootnoteReference"/>
          <w:rFonts w:ascii="Helvetica" w:hAnsi="Helvetica" w:cs="Helvetica"/>
        </w:rPr>
        <w:footnoteRef/>
      </w:r>
      <w:r w:rsidRPr="001258C6" w:rsidDel="000219AD">
        <w:rPr>
          <w:rFonts w:ascii="Helvetica" w:hAnsi="Helvetica" w:cs="Helvetica"/>
        </w:rPr>
        <w:t xml:space="preserve"> </w:t>
      </w:r>
      <w:r w:rsidRPr="00D829EF" w:rsidDel="000219AD">
        <w:rPr>
          <w:rFonts w:ascii="Helvetica" w:hAnsi="Helvetica" w:cs="Helvetica"/>
        </w:rPr>
        <w:t>See Annex A for breakdown of what has been included in recent releases.</w:t>
      </w:r>
    </w:p>
  </w:footnote>
  <w:footnote w:id="3">
    <w:p w14:paraId="7BCE4DCF" w14:textId="77777777" w:rsidR="00E1317B" w:rsidRDefault="00E1317B" w:rsidP="00E1317B">
      <w:r w:rsidRPr="00F11840">
        <w:rPr>
          <w:rStyle w:val="FootnoteReference"/>
          <w:rFonts w:ascii="Helvetica" w:hAnsi="Helvetica" w:cs="Helvetica"/>
          <w:sz w:val="20"/>
          <w:szCs w:val="20"/>
        </w:rPr>
        <w:footnoteRef/>
      </w:r>
      <w:r w:rsidRPr="00F11840">
        <w:rPr>
          <w:rFonts w:ascii="Helvetica" w:hAnsi="Helvetica" w:cs="Helvetica"/>
          <w:sz w:val="20"/>
          <w:szCs w:val="20"/>
        </w:rPr>
        <w:t xml:space="preserve"> The appeal types include planning &amp; related appeals, Enforcement and Specialist casework (covering a range of casework types).</w:t>
      </w:r>
      <w:r w:rsidRPr="00F11840">
        <w:rPr>
          <w:rFonts w:ascii="Helvetica" w:hAnsi="Helvetica" w:cs="Helvetica"/>
          <w:color w:val="FF0000"/>
          <w:sz w:val="20"/>
          <w:szCs w:val="20"/>
        </w:rPr>
        <w:t xml:space="preserve"> </w:t>
      </w:r>
      <w:r w:rsidRPr="00F11840">
        <w:rPr>
          <w:rFonts w:ascii="Helvetica" w:hAnsi="Helvetica" w:cs="Helvetica"/>
          <w:sz w:val="20"/>
          <w:szCs w:val="20"/>
        </w:rPr>
        <w:t>Please note that some previous releases covered only Rights of Way orders within Specialist casework. Annex A details the scope of previous releases, Annex D the scope of this release and Background Notes has further information.</w:t>
      </w:r>
    </w:p>
  </w:footnote>
  <w:footnote w:id="4">
    <w:p w14:paraId="2C3C1240" w14:textId="77777777" w:rsidR="00921232" w:rsidRPr="00E879D7" w:rsidRDefault="00921232" w:rsidP="00921232">
      <w:pPr>
        <w:pStyle w:val="FootnoteText"/>
        <w:rPr>
          <w:rFonts w:ascii="Helvetica" w:hAnsi="Helvetica" w:cs="Helvetica"/>
        </w:rPr>
      </w:pPr>
      <w:r w:rsidRPr="00E879D7">
        <w:rPr>
          <w:rStyle w:val="FootnoteReference"/>
          <w:rFonts w:ascii="Helvetica" w:hAnsi="Helvetica" w:cs="Helvetica"/>
        </w:rPr>
        <w:footnoteRef/>
      </w:r>
      <w:r w:rsidRPr="00E879D7">
        <w:rPr>
          <w:rFonts w:ascii="Helvetica" w:hAnsi="Helvetica" w:cs="Helvetica"/>
        </w:rPr>
        <w:t xml:space="preserve"> Open cases are any that have been received but on which a decision has not yet been made/ issued. Cases included comprise Planning, Enforcement, and the following Specialist cases: Common Land, Environment, Purchase Notice and </w:t>
      </w:r>
      <w:r w:rsidRPr="002939D9">
        <w:rPr>
          <w:rFonts w:ascii="Helvetica" w:hAnsi="Helvetica" w:cs="Helvetica"/>
        </w:rPr>
        <w:t xml:space="preserve">Rights of Way, Tree Preservation Orders, Hedgerows and High Hedges cases. </w:t>
      </w:r>
      <w:r w:rsidRPr="002939D9">
        <w:rPr>
          <w:rFonts w:ascii="Helvetica" w:hAnsi="Helvetica" w:cs="Helvetica"/>
        </w:rPr>
        <w:br/>
        <w:t>Note that previous publications excluded Tree Preservation Order, Hedgerow and High Hedge cases from open cases totals. See Background Quality report for more information.</w:t>
      </w:r>
    </w:p>
  </w:footnote>
  <w:footnote w:id="5">
    <w:p w14:paraId="0FA85E90" w14:textId="69D095A3" w:rsidR="00BE0B34" w:rsidRPr="00EE2029" w:rsidRDefault="00BE0B34" w:rsidP="00BE0B34">
      <w:pPr>
        <w:pStyle w:val="FootnoteText"/>
        <w:rPr>
          <w:rFonts w:ascii="Helvetica" w:hAnsi="Helvetica" w:cs="Helvetica"/>
        </w:rPr>
      </w:pPr>
      <w:r w:rsidRPr="00EE2029">
        <w:rPr>
          <w:rStyle w:val="FootnoteReference"/>
          <w:rFonts w:ascii="Helvetica" w:hAnsi="Helvetica" w:cs="Helvetica"/>
        </w:rPr>
        <w:footnoteRef/>
      </w:r>
      <w:r w:rsidRPr="00EE2029">
        <w:rPr>
          <w:rFonts w:ascii="Helvetica" w:hAnsi="Helvetica" w:cs="Helvetica"/>
        </w:rPr>
        <w:t xml:space="preserve"> See the section on Decision timeliness for more, including definitions of the average measures used in this release.</w:t>
      </w:r>
    </w:p>
  </w:footnote>
  <w:footnote w:id="6">
    <w:p w14:paraId="247FFB57" w14:textId="39C6748E" w:rsidR="00EC1AA1" w:rsidRDefault="00EC1AA1" w:rsidP="006A3227">
      <w:r w:rsidRPr="00F11840">
        <w:rPr>
          <w:rStyle w:val="FootnoteReference"/>
          <w:rFonts w:ascii="Helvetica" w:hAnsi="Helvetica" w:cs="Helvetica"/>
          <w:sz w:val="20"/>
          <w:szCs w:val="20"/>
        </w:rPr>
        <w:footnoteRef/>
      </w:r>
      <w:r w:rsidRPr="00F11840">
        <w:rPr>
          <w:rFonts w:ascii="Helvetica" w:hAnsi="Helvetica" w:cs="Helvetica"/>
          <w:sz w:val="20"/>
          <w:szCs w:val="20"/>
        </w:rPr>
        <w:t xml:space="preserve"> The appeal types include planning &amp; related appeals, Enforcement and Specialist casework (covering a range of casework types).</w:t>
      </w:r>
      <w:r w:rsidRPr="00F11840">
        <w:rPr>
          <w:rFonts w:ascii="Helvetica" w:hAnsi="Helvetica" w:cs="Helvetica"/>
          <w:color w:val="FF0000"/>
          <w:sz w:val="20"/>
          <w:szCs w:val="20"/>
        </w:rPr>
        <w:t xml:space="preserve"> </w:t>
      </w:r>
      <w:r w:rsidRPr="00F11840">
        <w:rPr>
          <w:rFonts w:ascii="Helvetica" w:hAnsi="Helvetica" w:cs="Helvetica"/>
          <w:sz w:val="20"/>
          <w:szCs w:val="20"/>
        </w:rPr>
        <w:t>Please note that some previous releases covered only Rights of Way orders within Specialist casework. Annex A details the scope of previous releases, Annex D the scope of this release and Background Notes has further information.</w:t>
      </w:r>
    </w:p>
  </w:footnote>
  <w:footnote w:id="7">
    <w:p w14:paraId="3EBF55E9" w14:textId="5BA98520" w:rsidR="00D27B99" w:rsidRPr="00F74E8F" w:rsidRDefault="00D27B99">
      <w:pPr>
        <w:pStyle w:val="FootnoteText"/>
        <w:rPr>
          <w:rFonts w:ascii="Helvetica" w:hAnsi="Helvetica" w:cs="Helvetica"/>
        </w:rPr>
      </w:pPr>
      <w:r w:rsidRPr="00F74E8F">
        <w:rPr>
          <w:rStyle w:val="FootnoteReference"/>
          <w:rFonts w:ascii="Helvetica" w:hAnsi="Helvetica" w:cs="Helvetica"/>
        </w:rPr>
        <w:footnoteRef/>
      </w:r>
      <w:r w:rsidRPr="00F74E8F">
        <w:rPr>
          <w:rFonts w:ascii="Helvetica" w:hAnsi="Helvetica" w:cs="Helvetica"/>
        </w:rPr>
        <w:t xml:space="preserve"> </w:t>
      </w:r>
      <w:r w:rsidR="00A46D91" w:rsidRPr="00F74E8F">
        <w:rPr>
          <w:rFonts w:ascii="Helvetica" w:hAnsi="Helvetica" w:cs="Helvetica"/>
        </w:rPr>
        <w:t xml:space="preserve">Data on volumes for Nationally Significant Infrastructure projects and Local Plans can be seen here; </w:t>
      </w:r>
      <w:hyperlink r:id="rId1" w:history="1">
        <w:r w:rsidR="00A46D91" w:rsidRPr="00F74E8F">
          <w:rPr>
            <w:rStyle w:val="Hyperlink"/>
            <w:rFonts w:ascii="Helvetica" w:eastAsia="Calibri" w:hAnsi="Helvetica" w:cs="Helvetica"/>
            <w:noProof/>
          </w:rPr>
          <w:t>https://www.gov.uk/government/publications/planning-inspectorate-statistics</w:t>
        </w:r>
      </w:hyperlink>
      <w:r w:rsidR="00A46D91" w:rsidRPr="00F74E8F">
        <w:rPr>
          <w:rFonts w:ascii="Helvetica" w:eastAsia="Calibri" w:hAnsi="Helvetica" w:cs="Helvetica"/>
          <w:noProof/>
        </w:rPr>
        <w:t xml:space="preserve"> (Tables 1.1 and 1.2)</w:t>
      </w:r>
    </w:p>
  </w:footnote>
  <w:footnote w:id="8">
    <w:p w14:paraId="5CD9FAEA" w14:textId="3FC91A17" w:rsidR="00EC1AA1" w:rsidRPr="00AE0062" w:rsidRDefault="00EC1AA1" w:rsidP="006A3227">
      <w:pPr>
        <w:pStyle w:val="FootnoteText"/>
        <w:rPr>
          <w:rFonts w:ascii="Helvetica" w:hAnsi="Helvetica" w:cs="Helvetica"/>
        </w:rPr>
      </w:pPr>
      <w:r w:rsidRPr="00AE0062">
        <w:rPr>
          <w:rStyle w:val="FootnoteReference"/>
          <w:rFonts w:ascii="Helvetica" w:hAnsi="Helvetica" w:cs="Helvetica"/>
        </w:rPr>
        <w:footnoteRef/>
      </w:r>
      <w:r w:rsidRPr="00AE0062">
        <w:rPr>
          <w:rFonts w:ascii="Helvetica" w:hAnsi="Helvetica" w:cs="Helvetica"/>
        </w:rPr>
        <w:t xml:space="preserve"> The time to </w:t>
      </w:r>
      <w:proofErr w:type="gramStart"/>
      <w:r w:rsidRPr="00AE0062">
        <w:rPr>
          <w:rFonts w:ascii="Helvetica" w:hAnsi="Helvetica" w:cs="Helvetica"/>
        </w:rPr>
        <w:t>make a decision</w:t>
      </w:r>
      <w:proofErr w:type="gramEnd"/>
      <w:r w:rsidRPr="00AE0062">
        <w:rPr>
          <w:rFonts w:ascii="Helvetica" w:hAnsi="Helvetica" w:cs="Helvetica"/>
        </w:rPr>
        <w:t xml:space="preserve"> is measured from the time we judge we have enough information for the case to proceed (i.e. it is deemed ’valid’) to the time a decision letter is issued</w:t>
      </w:r>
      <w:r w:rsidRPr="00E9602D">
        <w:rPr>
          <w:rFonts w:ascii="Helvetica" w:hAnsi="Helvetica" w:cs="Helvetica"/>
        </w:rPr>
        <w:t>. We estimate that</w:t>
      </w:r>
      <w:r w:rsidRPr="00AE0062">
        <w:rPr>
          <w:rFonts w:ascii="Helvetica" w:hAnsi="Helvetica" w:cs="Helvetica"/>
        </w:rPr>
        <w:t xml:space="preserve"> most cases are ‘validated’ (the difference between receipt date and the validation process being completed) in a week or less.</w:t>
      </w:r>
    </w:p>
  </w:footnote>
  <w:footnote w:id="9">
    <w:p w14:paraId="317BD9B2" w14:textId="177E780F" w:rsidR="00EC1AA1" w:rsidRPr="00557E9B" w:rsidRDefault="00EC1AA1" w:rsidP="006A3227">
      <w:pPr>
        <w:pStyle w:val="FootnoteText"/>
        <w:rPr>
          <w:rFonts w:ascii="Helvetica" w:hAnsi="Helvetica" w:cs="Helvetica"/>
          <w:sz w:val="22"/>
          <w:szCs w:val="22"/>
        </w:rPr>
      </w:pPr>
      <w:r w:rsidRPr="00AE0062">
        <w:rPr>
          <w:rStyle w:val="FootnoteReference"/>
          <w:rFonts w:ascii="Helvetica" w:hAnsi="Helvetica" w:cs="Helvetica"/>
        </w:rPr>
        <w:footnoteRef/>
      </w:r>
      <w:r w:rsidRPr="00AE0062">
        <w:rPr>
          <w:rFonts w:ascii="Helvetica" w:hAnsi="Helvetica" w:cs="Helvetica"/>
        </w:rPr>
        <w:t xml:space="preserve"> The decisions made </w:t>
      </w:r>
      <w:proofErr w:type="gramStart"/>
      <w:r w:rsidRPr="00AE0062">
        <w:rPr>
          <w:rFonts w:ascii="Helvetica" w:hAnsi="Helvetica" w:cs="Helvetica"/>
        </w:rPr>
        <w:t>in a given</w:t>
      </w:r>
      <w:proofErr w:type="gramEnd"/>
      <w:r w:rsidRPr="00AE0062">
        <w:rPr>
          <w:rFonts w:ascii="Helvetica" w:hAnsi="Helvetica" w:cs="Helvetica"/>
        </w:rPr>
        <w:t xml:space="preserve"> month will include those that started many months before, and thus do not give an accurate indication of how decisions submitted, or deemed ‘valid’ in that month, will take.</w:t>
      </w:r>
    </w:p>
  </w:footnote>
  <w:footnote w:id="10">
    <w:p w14:paraId="2BE5EA7B" w14:textId="2EF210E2" w:rsidR="00EC1AA1" w:rsidRPr="00C50EC4" w:rsidRDefault="00EC1AA1" w:rsidP="00CB6A2D">
      <w:pPr>
        <w:pStyle w:val="FootnoteText"/>
        <w:rPr>
          <w:rFonts w:ascii="Helvetica" w:hAnsi="Helvetica" w:cs="Helvetica"/>
        </w:rPr>
      </w:pPr>
      <w:r w:rsidRPr="00C50EC4">
        <w:rPr>
          <w:rStyle w:val="FootnoteReference"/>
          <w:rFonts w:ascii="Helvetica" w:hAnsi="Helvetica" w:cs="Helvetica"/>
        </w:rPr>
        <w:footnoteRef/>
      </w:r>
      <w:r w:rsidRPr="00C50EC4">
        <w:rPr>
          <w:rFonts w:ascii="Helvetica" w:hAnsi="Helvetica" w:cs="Helvetica"/>
        </w:rPr>
        <w:t xml:space="preserve"> Specialist cases comprise Common Land, Rights of Way orders, Tree Preservation Orders, High Hedges appeals and Hedgerow appeals</w:t>
      </w:r>
    </w:p>
  </w:footnote>
  <w:footnote w:id="11">
    <w:p w14:paraId="2C8A102D" w14:textId="4D1D0723" w:rsidR="002B336E" w:rsidRPr="00A04D2F" w:rsidRDefault="002B336E">
      <w:pPr>
        <w:pStyle w:val="FootnoteText"/>
        <w:rPr>
          <w:rFonts w:ascii="Helvetica" w:hAnsi="Helvetica" w:cs="Helvetica"/>
        </w:rPr>
      </w:pPr>
      <w:r w:rsidRPr="00A04D2F">
        <w:rPr>
          <w:rStyle w:val="FootnoteReference"/>
          <w:rFonts w:ascii="Helvetica" w:hAnsi="Helvetica" w:cs="Helvetica"/>
        </w:rPr>
        <w:footnoteRef/>
      </w:r>
      <w:r w:rsidRPr="00A04D2F">
        <w:rPr>
          <w:rFonts w:ascii="Helvetica" w:hAnsi="Helvetica" w:cs="Helvetica"/>
        </w:rPr>
        <w:t xml:space="preserve"> Data also published on </w:t>
      </w:r>
      <w:r w:rsidR="00940B86" w:rsidRPr="00A04D2F">
        <w:rPr>
          <w:rFonts w:ascii="Helvetica" w:hAnsi="Helvetica" w:cs="Helvetica"/>
        </w:rPr>
        <w:t xml:space="preserve">gov.uk at </w:t>
      </w:r>
      <w:hyperlink r:id="rId2" w:history="1">
        <w:r w:rsidR="007E4513" w:rsidRPr="00A04D2F">
          <w:rPr>
            <w:rStyle w:val="Hyperlink"/>
            <w:rFonts w:ascii="Helvetica" w:hAnsi="Helvetica" w:cs="Helvetica"/>
          </w:rPr>
          <w:t>https://www.gov.uk/guidance/appeals-average-timescales-for-arranging-inquiries-and-hearings</w:t>
        </w:r>
      </w:hyperlink>
      <w:r w:rsidR="007E4513" w:rsidRPr="00A04D2F">
        <w:rPr>
          <w:rFonts w:ascii="Helvetica" w:hAnsi="Helvetica" w:cs="Helvetica"/>
        </w:rPr>
        <w:t xml:space="preserve"> </w:t>
      </w:r>
    </w:p>
  </w:footnote>
  <w:footnote w:id="12">
    <w:p w14:paraId="6727F862" w14:textId="55DFF7EF" w:rsidR="00806982" w:rsidRPr="008F41CF" w:rsidRDefault="00806982">
      <w:pPr>
        <w:pStyle w:val="FootnoteText"/>
        <w:rPr>
          <w:rStyle w:val="FootnoteReference"/>
          <w:rFonts w:ascii="Helvetica" w:hAnsi="Helvetica" w:cs="Helvetica"/>
          <w:sz w:val="24"/>
          <w:szCs w:val="24"/>
        </w:rPr>
      </w:pPr>
      <w:r w:rsidRPr="008F41CF">
        <w:rPr>
          <w:rStyle w:val="FootnoteReference"/>
          <w:rFonts w:ascii="Helvetica" w:hAnsi="Helvetica" w:cs="Helvetica"/>
          <w:sz w:val="24"/>
          <w:szCs w:val="24"/>
        </w:rPr>
        <w:footnoteRef/>
      </w:r>
      <w:r w:rsidRPr="008F41CF">
        <w:rPr>
          <w:rStyle w:val="FootnoteReference"/>
          <w:rFonts w:ascii="Helvetica" w:hAnsi="Helvetica" w:cs="Helvetica"/>
          <w:sz w:val="24"/>
          <w:szCs w:val="24"/>
        </w:rPr>
        <w:t xml:space="preserve"> </w:t>
      </w:r>
      <w:r w:rsidR="008F41CF" w:rsidRPr="004129D2">
        <w:rPr>
          <w:rFonts w:ascii="Helvetica" w:hAnsi="Helvetica" w:cs="Helvetica"/>
        </w:rPr>
        <w:t>The ‘Rosewell’ process introduced changes to how the inquiry event date was agreed</w:t>
      </w:r>
      <w:r w:rsidR="004129D2">
        <w:rPr>
          <w:rFonts w:ascii="Helvetica" w:hAnsi="Helvetica" w:cs="Helvetica"/>
        </w:rPr>
        <w:t xml:space="preserve"> and</w:t>
      </w:r>
      <w:r w:rsidR="008F41CF" w:rsidRPr="004129D2">
        <w:rPr>
          <w:rFonts w:ascii="Helvetica" w:hAnsi="Helvetica" w:cs="Helvetica"/>
        </w:rPr>
        <w:t xml:space="preserve"> a</w:t>
      </w:r>
      <w:r w:rsidR="00BC675F">
        <w:rPr>
          <w:rFonts w:ascii="Helvetica" w:hAnsi="Helvetica" w:cs="Helvetica"/>
        </w:rPr>
        <w:t xml:space="preserve"> firm</w:t>
      </w:r>
      <w:r w:rsidR="008F41CF" w:rsidRPr="004129D2">
        <w:rPr>
          <w:rFonts w:ascii="Helvetica" w:hAnsi="Helvetica" w:cs="Helvetica"/>
        </w:rPr>
        <w:t xml:space="preserve"> timetable for submission of documentation</w:t>
      </w:r>
      <w:r w:rsidR="004129D2">
        <w:rPr>
          <w:rFonts w:ascii="Helvetica" w:hAnsi="Helvetica" w:cs="Helvetica"/>
        </w:rPr>
        <w:t xml:space="preserve">.  Further information on what the Rosewell Review concluded is at </w:t>
      </w:r>
      <w:hyperlink r:id="rId3" w:history="1">
        <w:r w:rsidR="00BC675F" w:rsidRPr="00374A91">
          <w:rPr>
            <w:rStyle w:val="Hyperlink"/>
            <w:rFonts w:ascii="Helvetica" w:hAnsi="Helvetica" w:cs="Helvetica"/>
          </w:rPr>
          <w:t>https://www.gov.uk/government/publications/independent-review-of-planning-appeal-inquiries-report</w:t>
        </w:r>
      </w:hyperlink>
      <w:r w:rsidR="00BC675F">
        <w:rPr>
          <w:rFonts w:ascii="Helvetica" w:hAnsi="Helvetica" w:cs="Helvetica"/>
        </w:rPr>
        <w:t xml:space="preserve"> </w:t>
      </w:r>
    </w:p>
  </w:footnote>
  <w:footnote w:id="13">
    <w:p w14:paraId="05344829" w14:textId="4B7B374F" w:rsidR="00EC1AA1" w:rsidRPr="00E879D7" w:rsidRDefault="00EC1AA1" w:rsidP="006A3227">
      <w:pPr>
        <w:pStyle w:val="FootnoteText"/>
        <w:rPr>
          <w:rFonts w:ascii="Helvetica" w:hAnsi="Helvetica" w:cs="Helvetica"/>
        </w:rPr>
      </w:pPr>
      <w:r w:rsidRPr="00E879D7">
        <w:rPr>
          <w:rStyle w:val="FootnoteReference"/>
          <w:rFonts w:ascii="Helvetica" w:hAnsi="Helvetica" w:cs="Helvetica"/>
        </w:rPr>
        <w:footnoteRef/>
      </w:r>
      <w:r w:rsidRPr="00E879D7">
        <w:rPr>
          <w:rFonts w:ascii="Helvetica" w:hAnsi="Helvetica" w:cs="Helvetica"/>
        </w:rPr>
        <w:t xml:space="preserve"> Open cases are any that have been received but on which a decision has not yet been made/ issued. Cases included comprise Planning, Enforcement, and the following Specialist cases: Common Land, Environment, Purchase Notice and </w:t>
      </w:r>
      <w:r w:rsidRPr="002939D9">
        <w:rPr>
          <w:rFonts w:ascii="Helvetica" w:hAnsi="Helvetica" w:cs="Helvetica"/>
        </w:rPr>
        <w:t>Rights of Way</w:t>
      </w:r>
      <w:r w:rsidR="00976510" w:rsidRPr="002939D9">
        <w:rPr>
          <w:rFonts w:ascii="Helvetica" w:hAnsi="Helvetica" w:cs="Helvetica"/>
        </w:rPr>
        <w:t>,</w:t>
      </w:r>
      <w:r w:rsidRPr="002939D9">
        <w:rPr>
          <w:rFonts w:ascii="Helvetica" w:hAnsi="Helvetica" w:cs="Helvetica"/>
        </w:rPr>
        <w:t xml:space="preserve"> Tree Preservation Orders, Hedgerows and High Hedges cases</w:t>
      </w:r>
      <w:r w:rsidR="00976510" w:rsidRPr="002939D9">
        <w:rPr>
          <w:rFonts w:ascii="Helvetica" w:hAnsi="Helvetica" w:cs="Helvetica"/>
        </w:rPr>
        <w:t xml:space="preserve">. </w:t>
      </w:r>
      <w:r w:rsidR="00A20FF2" w:rsidRPr="002939D9">
        <w:rPr>
          <w:rFonts w:ascii="Helvetica" w:hAnsi="Helvetica" w:cs="Helvetica"/>
        </w:rPr>
        <w:br/>
      </w:r>
      <w:r w:rsidR="00976510" w:rsidRPr="002939D9">
        <w:rPr>
          <w:rFonts w:ascii="Helvetica" w:hAnsi="Helvetica" w:cs="Helvetica"/>
        </w:rPr>
        <w:t>Note that previous p</w:t>
      </w:r>
      <w:r w:rsidR="00774322" w:rsidRPr="002939D9">
        <w:rPr>
          <w:rFonts w:ascii="Helvetica" w:hAnsi="Helvetica" w:cs="Helvetica"/>
        </w:rPr>
        <w:t>ublications excluded Tree Preservation Order, Hedgerow and High Hedge cases</w:t>
      </w:r>
      <w:r w:rsidR="00325E73" w:rsidRPr="002939D9">
        <w:rPr>
          <w:rFonts w:ascii="Helvetica" w:hAnsi="Helvetica" w:cs="Helvetica"/>
        </w:rPr>
        <w:t xml:space="preserve"> from open cases totals</w:t>
      </w:r>
      <w:r w:rsidRPr="002939D9">
        <w:rPr>
          <w:rFonts w:ascii="Helvetica" w:hAnsi="Helvetica" w:cs="Helvetica"/>
        </w:rPr>
        <w:t>.</w:t>
      </w:r>
      <w:r w:rsidR="00774322" w:rsidRPr="002939D9">
        <w:rPr>
          <w:rFonts w:ascii="Helvetica" w:hAnsi="Helvetica" w:cs="Helvetica"/>
        </w:rPr>
        <w:t xml:space="preserve"> See Background Quality report for more information.</w:t>
      </w:r>
    </w:p>
  </w:footnote>
  <w:footnote w:id="14">
    <w:p w14:paraId="2F6C5E61" w14:textId="352538B7" w:rsidR="00EC1AA1" w:rsidRPr="0072182B" w:rsidRDefault="00EC1AA1">
      <w:pPr>
        <w:pStyle w:val="FootnoteText"/>
      </w:pPr>
      <w:r w:rsidRPr="00491E91">
        <w:rPr>
          <w:rStyle w:val="FootnoteReference"/>
          <w:rFonts w:ascii="Helvetica" w:hAnsi="Helvetica" w:cs="Helvetica"/>
        </w:rPr>
        <w:footnoteRef/>
      </w:r>
      <w:r w:rsidRPr="00491E91">
        <w:rPr>
          <w:rFonts w:ascii="Helvetica" w:hAnsi="Helvetica" w:cs="Helvetica"/>
        </w:rPr>
        <w:t xml:space="preserve"> Data as at the last day of the month.</w:t>
      </w:r>
    </w:p>
  </w:footnote>
  <w:footnote w:id="15">
    <w:p w14:paraId="26DE6FAA" w14:textId="70595A82" w:rsidR="00EC1AA1" w:rsidRPr="00491E91" w:rsidRDefault="00EC1AA1" w:rsidP="006A3227">
      <w:pPr>
        <w:pStyle w:val="FootnoteText"/>
        <w:rPr>
          <w:rFonts w:ascii="Helvetica" w:hAnsi="Helvetica" w:cs="Helvetica"/>
        </w:rPr>
      </w:pPr>
      <w:r w:rsidRPr="00491E91">
        <w:rPr>
          <w:rStyle w:val="FootnoteReference"/>
          <w:rFonts w:ascii="Helvetica" w:hAnsi="Helvetica" w:cs="Helvetica"/>
        </w:rPr>
        <w:footnoteRef/>
      </w:r>
      <w:r w:rsidRPr="00491E91">
        <w:rPr>
          <w:rFonts w:ascii="Helvetica" w:hAnsi="Helvetica" w:cs="Helvetica"/>
        </w:rPr>
        <w:t xml:space="preserve"> Virtual Events data includes casework types not covered elsewhere in this release, including Local Plans and Nationally Significant Infrastructure Projects.</w:t>
      </w:r>
    </w:p>
  </w:footnote>
  <w:footnote w:id="16">
    <w:p w14:paraId="002F675F" w14:textId="45549215" w:rsidR="002544FE" w:rsidRPr="000855F7" w:rsidRDefault="002544FE">
      <w:pPr>
        <w:pStyle w:val="FootnoteText"/>
        <w:rPr>
          <w:rFonts w:ascii="Helvetica" w:hAnsi="Helvetica" w:cs="Helvetica"/>
        </w:rPr>
      </w:pPr>
      <w:r w:rsidRPr="000855F7">
        <w:rPr>
          <w:rStyle w:val="FootnoteReference"/>
          <w:rFonts w:ascii="Helvetica" w:hAnsi="Helvetica" w:cs="Helvetica"/>
        </w:rPr>
        <w:footnoteRef/>
      </w:r>
      <w:r w:rsidRPr="000855F7">
        <w:rPr>
          <w:rFonts w:ascii="Helvetica" w:hAnsi="Helvetica" w:cs="Helvetica"/>
        </w:rPr>
        <w:t xml:space="preserve"> Also published on gov.uk here </w:t>
      </w:r>
      <w:hyperlink r:id="rId4" w:history="1">
        <w:r w:rsidR="000855F7" w:rsidRPr="000855F7">
          <w:rPr>
            <w:rStyle w:val="Hyperlink"/>
            <w:rFonts w:ascii="Helvetica" w:hAnsi="Helvetica" w:cs="Helvetica"/>
          </w:rPr>
          <w:t>https://www.gov.uk/guidance/appeals-average-timescales-for-arranging-inquiries-and-hearings</w:t>
        </w:r>
      </w:hyperlink>
      <w:r w:rsidR="000855F7" w:rsidRPr="000855F7">
        <w:rPr>
          <w:rFonts w:ascii="Helvetica" w:hAnsi="Helvetica" w:cs="Helveti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E992" w14:textId="77777777" w:rsidR="005C2584" w:rsidRDefault="005C2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06256F4B" w14:textId="77777777" w:rsidTr="7DB8D5EE">
      <w:tc>
        <w:tcPr>
          <w:tcW w:w="3210" w:type="dxa"/>
        </w:tcPr>
        <w:p w14:paraId="13AA8208" w14:textId="6DDB07F0" w:rsidR="00EC1AA1" w:rsidRDefault="00EC1AA1" w:rsidP="7DB8D5EE">
          <w:pPr>
            <w:pStyle w:val="Header"/>
            <w:ind w:left="-115"/>
          </w:pPr>
        </w:p>
      </w:tc>
      <w:tc>
        <w:tcPr>
          <w:tcW w:w="3210" w:type="dxa"/>
        </w:tcPr>
        <w:p w14:paraId="2A039C99" w14:textId="0628E950" w:rsidR="00EC1AA1" w:rsidRDefault="00EC1AA1" w:rsidP="7DB8D5EE">
          <w:pPr>
            <w:pStyle w:val="Header"/>
            <w:jc w:val="center"/>
          </w:pPr>
        </w:p>
      </w:tc>
      <w:tc>
        <w:tcPr>
          <w:tcW w:w="3210" w:type="dxa"/>
        </w:tcPr>
        <w:p w14:paraId="7DA7A9E9" w14:textId="7BCCF012" w:rsidR="00EC1AA1" w:rsidRDefault="00EC1AA1" w:rsidP="7DB8D5EE">
          <w:pPr>
            <w:pStyle w:val="Header"/>
            <w:ind w:right="-115"/>
            <w:jc w:val="right"/>
          </w:pPr>
        </w:p>
      </w:tc>
    </w:tr>
  </w:tbl>
  <w:p w14:paraId="7467DAB3" w14:textId="4DDFD516" w:rsidR="00EC1AA1" w:rsidRPr="00A86E00" w:rsidRDefault="00EC1AA1" w:rsidP="002C3611">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6A23" w14:textId="0C9A0C61" w:rsidR="00EC1AA1" w:rsidRDefault="00EC1AA1" w:rsidP="0060271A">
    <w:pPr>
      <w:pStyle w:val="Header"/>
      <w:jc w:val="center"/>
    </w:pPr>
    <w:r>
      <w:t>OFFICIAL STATISTICS</w:t>
    </w:r>
  </w:p>
  <w:p w14:paraId="794912A0" w14:textId="44F54287" w:rsidR="00EC1AA1" w:rsidRPr="0045123C" w:rsidRDefault="00EC1AA1" w:rsidP="0060271A">
    <w:pPr>
      <w:pStyle w:val="Header"/>
      <w:jc w:val="center"/>
      <w:rPr>
        <w:b/>
        <w:bCs/>
        <w:color w:val="FF0000"/>
      </w:rPr>
    </w:pPr>
    <w:r>
      <w:rPr>
        <w:b/>
        <w:bCs/>
        <w:color w:val="FF0000"/>
      </w:rPr>
      <w:tab/>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5"/>
    </w:tblGrid>
    <w:tr w:rsidR="00EC1AA1" w14:paraId="3D616DDA" w14:textId="77777777" w:rsidTr="4721EDED">
      <w:trPr>
        <w:trHeight w:val="1693"/>
      </w:trPr>
      <w:tc>
        <w:tcPr>
          <w:tcW w:w="5245" w:type="dxa"/>
        </w:tcPr>
        <w:p w14:paraId="5DE007B5" w14:textId="2A53FEC5" w:rsidR="00EC1AA1" w:rsidRDefault="00EC1AA1" w:rsidP="0060271A">
          <w:pPr>
            <w:pStyle w:val="Header"/>
            <w:jc w:val="center"/>
            <w:rPr>
              <w:color w:val="FF0000"/>
            </w:rPr>
          </w:pPr>
          <w:r>
            <w:rPr>
              <w:noProof/>
            </w:rPr>
            <w:drawing>
              <wp:anchor distT="0" distB="0" distL="114300" distR="114300" simplePos="0" relativeHeight="251658240" behindDoc="1" locked="0" layoutInCell="1" allowOverlap="1" wp14:anchorId="4A72435B" wp14:editId="20460367">
                <wp:simplePos x="0" y="0"/>
                <wp:positionH relativeFrom="column">
                  <wp:posOffset>-22396</wp:posOffset>
                </wp:positionH>
                <wp:positionV relativeFrom="paragraph">
                  <wp:posOffset>47729</wp:posOffset>
                </wp:positionV>
                <wp:extent cx="2875915" cy="942975"/>
                <wp:effectExtent l="0" t="0" r="635" b="9525"/>
                <wp:wrapNone/>
                <wp:docPr id="24" name="Picture 24" descr="Small PINS logo (dual) (A4 siz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75915" cy="942975"/>
                        </a:xfrm>
                        <a:prstGeom prst="rect">
                          <a:avLst/>
                        </a:prstGeom>
                        <a:noFill/>
                        <a:ln>
                          <a:noFill/>
                          <a:prstDash/>
                        </a:ln>
                      </pic:spPr>
                    </pic:pic>
                  </a:graphicData>
                </a:graphic>
              </wp:anchor>
            </w:drawing>
          </w:r>
        </w:p>
      </w:tc>
      <w:tc>
        <w:tcPr>
          <w:tcW w:w="4815" w:type="dxa"/>
        </w:tcPr>
        <w:p w14:paraId="3A327D3B" w14:textId="0AB3D698" w:rsidR="00EC1AA1" w:rsidRDefault="00EC1AA1" w:rsidP="0060271A">
          <w:pPr>
            <w:pStyle w:val="Header"/>
            <w:jc w:val="center"/>
            <w:rPr>
              <w:noProof/>
              <w:color w:val="FF0000"/>
            </w:rPr>
          </w:pPr>
        </w:p>
        <w:p w14:paraId="76949693" w14:textId="7603119D" w:rsidR="00EC1AA1" w:rsidRDefault="00EC1AA1" w:rsidP="0060271A">
          <w:pPr>
            <w:pStyle w:val="Header"/>
            <w:jc w:val="center"/>
            <w:rPr>
              <w:color w:val="FF0000"/>
            </w:rPr>
          </w:pPr>
        </w:p>
      </w:tc>
    </w:tr>
  </w:tbl>
  <w:p w14:paraId="35B26057" w14:textId="56987A52" w:rsidR="00EC1AA1" w:rsidRDefault="00EC1A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90"/>
      <w:gridCol w:w="5090"/>
      <w:gridCol w:w="5090"/>
    </w:tblGrid>
    <w:tr w:rsidR="00EC1AA1" w14:paraId="0F44B1A6" w14:textId="77777777" w:rsidTr="7DB8D5EE">
      <w:tc>
        <w:tcPr>
          <w:tcW w:w="5090" w:type="dxa"/>
        </w:tcPr>
        <w:p w14:paraId="38E9DDEE" w14:textId="51AB9CCC" w:rsidR="00EC1AA1" w:rsidRDefault="00EC1AA1" w:rsidP="7DB8D5EE">
          <w:pPr>
            <w:pStyle w:val="Header"/>
            <w:ind w:left="-115"/>
          </w:pPr>
        </w:p>
      </w:tc>
      <w:tc>
        <w:tcPr>
          <w:tcW w:w="5090" w:type="dxa"/>
        </w:tcPr>
        <w:p w14:paraId="7A7063A0" w14:textId="422F4487" w:rsidR="00EC1AA1" w:rsidRDefault="00EC1AA1" w:rsidP="7DB8D5EE">
          <w:pPr>
            <w:pStyle w:val="Header"/>
            <w:jc w:val="center"/>
          </w:pPr>
        </w:p>
      </w:tc>
      <w:tc>
        <w:tcPr>
          <w:tcW w:w="5090" w:type="dxa"/>
        </w:tcPr>
        <w:p w14:paraId="075FE1D4" w14:textId="11247D76" w:rsidR="00EC1AA1" w:rsidRDefault="00EC1AA1" w:rsidP="7DB8D5EE">
          <w:pPr>
            <w:pStyle w:val="Header"/>
            <w:ind w:right="-115"/>
            <w:jc w:val="right"/>
          </w:pPr>
        </w:p>
      </w:tc>
    </w:tr>
  </w:tbl>
  <w:p w14:paraId="22AC40E0" w14:textId="29F352AE" w:rsidR="00EC1AA1" w:rsidRDefault="00EC1AA1" w:rsidP="7DB8D5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EB4B" w14:textId="2E6B14BF" w:rsidR="00EC1AA1" w:rsidRPr="00F35844" w:rsidRDefault="00EC1AA1" w:rsidP="00F358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6C3B02E8" w14:textId="77777777" w:rsidTr="7DB8D5EE">
      <w:tc>
        <w:tcPr>
          <w:tcW w:w="3210" w:type="dxa"/>
        </w:tcPr>
        <w:p w14:paraId="342AC16B" w14:textId="12817195" w:rsidR="00EC1AA1" w:rsidRDefault="00EC1AA1" w:rsidP="7DB8D5EE">
          <w:pPr>
            <w:pStyle w:val="Header"/>
            <w:ind w:left="-115"/>
          </w:pPr>
        </w:p>
      </w:tc>
      <w:tc>
        <w:tcPr>
          <w:tcW w:w="3210" w:type="dxa"/>
        </w:tcPr>
        <w:p w14:paraId="41DC6E90" w14:textId="62C2DBD4" w:rsidR="00EC1AA1" w:rsidRDefault="00EC1AA1" w:rsidP="7DB8D5EE">
          <w:pPr>
            <w:pStyle w:val="Header"/>
            <w:jc w:val="center"/>
          </w:pPr>
        </w:p>
      </w:tc>
      <w:tc>
        <w:tcPr>
          <w:tcW w:w="3210" w:type="dxa"/>
        </w:tcPr>
        <w:p w14:paraId="19644973" w14:textId="1246BF94" w:rsidR="00EC1AA1" w:rsidRDefault="00EC1AA1" w:rsidP="7DB8D5EE">
          <w:pPr>
            <w:pStyle w:val="Header"/>
            <w:ind w:right="-115"/>
            <w:jc w:val="right"/>
          </w:pPr>
        </w:p>
      </w:tc>
    </w:tr>
  </w:tbl>
  <w:p w14:paraId="597958BB" w14:textId="1D3FF9A6" w:rsidR="00EC1AA1" w:rsidRDefault="00EC1AA1" w:rsidP="7DB8D5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A15D" w14:textId="1D528CAE" w:rsidR="00EC1AA1" w:rsidRDefault="00EC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7C8"/>
    <w:multiLevelType w:val="hybridMultilevel"/>
    <w:tmpl w:val="2F42624A"/>
    <w:lvl w:ilvl="0" w:tplc="94E2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3301B"/>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2136C"/>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768C9"/>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757EB"/>
    <w:multiLevelType w:val="hybridMultilevel"/>
    <w:tmpl w:val="50E49CF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282A1FD0"/>
    <w:multiLevelType w:val="hybridMultilevel"/>
    <w:tmpl w:val="2F42624A"/>
    <w:lvl w:ilvl="0" w:tplc="94E2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0573F"/>
    <w:multiLevelType w:val="hybridMultilevel"/>
    <w:tmpl w:val="115C36FE"/>
    <w:lvl w:ilvl="0" w:tplc="FE745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D5255"/>
    <w:multiLevelType w:val="hybridMultilevel"/>
    <w:tmpl w:val="81DE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D207F"/>
    <w:multiLevelType w:val="hybridMultilevel"/>
    <w:tmpl w:val="C486EE6C"/>
    <w:lvl w:ilvl="0" w:tplc="A74A5DFE">
      <w:numFmt w:val="bullet"/>
      <w:lvlText w:val=""/>
      <w:lvlJc w:val="left"/>
      <w:pPr>
        <w:ind w:left="800" w:hanging="360"/>
      </w:pPr>
      <w:rPr>
        <w:rFonts w:ascii="Symbol" w:hAnsi="Symbol"/>
      </w:rPr>
    </w:lvl>
    <w:lvl w:ilvl="1" w:tplc="74323A00">
      <w:numFmt w:val="bullet"/>
      <w:lvlText w:val="o"/>
      <w:lvlJc w:val="left"/>
      <w:pPr>
        <w:ind w:left="1520" w:hanging="360"/>
      </w:pPr>
      <w:rPr>
        <w:rFonts w:ascii="Courier New" w:hAnsi="Courier New" w:cs="Courier New"/>
      </w:rPr>
    </w:lvl>
    <w:lvl w:ilvl="2" w:tplc="60A0522E">
      <w:numFmt w:val="bullet"/>
      <w:lvlText w:val=""/>
      <w:lvlJc w:val="left"/>
      <w:pPr>
        <w:ind w:left="2240" w:hanging="360"/>
      </w:pPr>
      <w:rPr>
        <w:rFonts w:ascii="Wingdings" w:hAnsi="Wingdings"/>
      </w:rPr>
    </w:lvl>
    <w:lvl w:ilvl="3" w:tplc="26644FD6">
      <w:numFmt w:val="bullet"/>
      <w:lvlText w:val=""/>
      <w:lvlJc w:val="left"/>
      <w:pPr>
        <w:ind w:left="2960" w:hanging="360"/>
      </w:pPr>
      <w:rPr>
        <w:rFonts w:ascii="Symbol" w:hAnsi="Symbol"/>
      </w:rPr>
    </w:lvl>
    <w:lvl w:ilvl="4" w:tplc="56A8F03A">
      <w:numFmt w:val="bullet"/>
      <w:lvlText w:val="o"/>
      <w:lvlJc w:val="left"/>
      <w:pPr>
        <w:ind w:left="3680" w:hanging="360"/>
      </w:pPr>
      <w:rPr>
        <w:rFonts w:ascii="Courier New" w:hAnsi="Courier New" w:cs="Courier New"/>
      </w:rPr>
    </w:lvl>
    <w:lvl w:ilvl="5" w:tplc="689CAFA6">
      <w:numFmt w:val="bullet"/>
      <w:lvlText w:val=""/>
      <w:lvlJc w:val="left"/>
      <w:pPr>
        <w:ind w:left="4400" w:hanging="360"/>
      </w:pPr>
      <w:rPr>
        <w:rFonts w:ascii="Wingdings" w:hAnsi="Wingdings"/>
      </w:rPr>
    </w:lvl>
    <w:lvl w:ilvl="6" w:tplc="EDEE71D6">
      <w:numFmt w:val="bullet"/>
      <w:lvlText w:val=""/>
      <w:lvlJc w:val="left"/>
      <w:pPr>
        <w:ind w:left="5120" w:hanging="360"/>
      </w:pPr>
      <w:rPr>
        <w:rFonts w:ascii="Symbol" w:hAnsi="Symbol"/>
      </w:rPr>
    </w:lvl>
    <w:lvl w:ilvl="7" w:tplc="944E0962">
      <w:numFmt w:val="bullet"/>
      <w:lvlText w:val="o"/>
      <w:lvlJc w:val="left"/>
      <w:pPr>
        <w:ind w:left="5840" w:hanging="360"/>
      </w:pPr>
      <w:rPr>
        <w:rFonts w:ascii="Courier New" w:hAnsi="Courier New" w:cs="Courier New"/>
      </w:rPr>
    </w:lvl>
    <w:lvl w:ilvl="8" w:tplc="4E882032">
      <w:numFmt w:val="bullet"/>
      <w:lvlText w:val=""/>
      <w:lvlJc w:val="left"/>
      <w:pPr>
        <w:ind w:left="6560" w:hanging="360"/>
      </w:pPr>
      <w:rPr>
        <w:rFonts w:ascii="Wingdings" w:hAnsi="Wingdings"/>
      </w:rPr>
    </w:lvl>
  </w:abstractNum>
  <w:abstractNum w:abstractNumId="9" w15:restartNumberingAfterBreak="0">
    <w:nsid w:val="53E543C0"/>
    <w:multiLevelType w:val="hybridMultilevel"/>
    <w:tmpl w:val="DD8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457D2"/>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175D63"/>
    <w:multiLevelType w:val="hybridMultilevel"/>
    <w:tmpl w:val="D43C94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C2667"/>
    <w:multiLevelType w:val="hybridMultilevel"/>
    <w:tmpl w:val="F300F0C0"/>
    <w:lvl w:ilvl="0" w:tplc="B3C89824">
      <w:start w:val="1"/>
      <w:numFmt w:val="bullet"/>
      <w:lvlText w:val=""/>
      <w:lvlJc w:val="left"/>
      <w:pPr>
        <w:tabs>
          <w:tab w:val="num" w:pos="720"/>
        </w:tabs>
        <w:ind w:left="720" w:hanging="360"/>
      </w:pPr>
      <w:rPr>
        <w:rFonts w:ascii="Symbol" w:hAnsi="Symbol" w:hint="default"/>
        <w:sz w:val="20"/>
      </w:rPr>
    </w:lvl>
    <w:lvl w:ilvl="1" w:tplc="19D0AB96">
      <w:start w:val="1"/>
      <w:numFmt w:val="bullet"/>
      <w:lvlText w:val=""/>
      <w:lvlJc w:val="left"/>
      <w:pPr>
        <w:tabs>
          <w:tab w:val="num" w:pos="1440"/>
        </w:tabs>
        <w:ind w:left="1440" w:hanging="360"/>
      </w:pPr>
      <w:rPr>
        <w:rFonts w:ascii="Symbol" w:hAnsi="Symbol" w:hint="default"/>
        <w:sz w:val="20"/>
      </w:rPr>
    </w:lvl>
    <w:lvl w:ilvl="2" w:tplc="185E4DC8">
      <w:start w:val="1"/>
      <w:numFmt w:val="bullet"/>
      <w:lvlText w:val=""/>
      <w:lvlJc w:val="left"/>
      <w:pPr>
        <w:tabs>
          <w:tab w:val="num" w:pos="2160"/>
        </w:tabs>
        <w:ind w:left="2160" w:hanging="360"/>
      </w:pPr>
      <w:rPr>
        <w:rFonts w:ascii="Symbol" w:hAnsi="Symbol" w:hint="default"/>
        <w:sz w:val="20"/>
      </w:rPr>
    </w:lvl>
    <w:lvl w:ilvl="3" w:tplc="3FB8DC56" w:tentative="1">
      <w:start w:val="1"/>
      <w:numFmt w:val="bullet"/>
      <w:lvlText w:val=""/>
      <w:lvlJc w:val="left"/>
      <w:pPr>
        <w:tabs>
          <w:tab w:val="num" w:pos="2880"/>
        </w:tabs>
        <w:ind w:left="2880" w:hanging="360"/>
      </w:pPr>
      <w:rPr>
        <w:rFonts w:ascii="Symbol" w:hAnsi="Symbol" w:hint="default"/>
        <w:sz w:val="20"/>
      </w:rPr>
    </w:lvl>
    <w:lvl w:ilvl="4" w:tplc="83A86044" w:tentative="1">
      <w:start w:val="1"/>
      <w:numFmt w:val="bullet"/>
      <w:lvlText w:val=""/>
      <w:lvlJc w:val="left"/>
      <w:pPr>
        <w:tabs>
          <w:tab w:val="num" w:pos="3600"/>
        </w:tabs>
        <w:ind w:left="3600" w:hanging="360"/>
      </w:pPr>
      <w:rPr>
        <w:rFonts w:ascii="Symbol" w:hAnsi="Symbol" w:hint="default"/>
        <w:sz w:val="20"/>
      </w:rPr>
    </w:lvl>
    <w:lvl w:ilvl="5" w:tplc="8DA20904" w:tentative="1">
      <w:start w:val="1"/>
      <w:numFmt w:val="bullet"/>
      <w:lvlText w:val=""/>
      <w:lvlJc w:val="left"/>
      <w:pPr>
        <w:tabs>
          <w:tab w:val="num" w:pos="4320"/>
        </w:tabs>
        <w:ind w:left="4320" w:hanging="360"/>
      </w:pPr>
      <w:rPr>
        <w:rFonts w:ascii="Symbol" w:hAnsi="Symbol" w:hint="default"/>
        <w:sz w:val="20"/>
      </w:rPr>
    </w:lvl>
    <w:lvl w:ilvl="6" w:tplc="3A96FA36" w:tentative="1">
      <w:start w:val="1"/>
      <w:numFmt w:val="bullet"/>
      <w:lvlText w:val=""/>
      <w:lvlJc w:val="left"/>
      <w:pPr>
        <w:tabs>
          <w:tab w:val="num" w:pos="5040"/>
        </w:tabs>
        <w:ind w:left="5040" w:hanging="360"/>
      </w:pPr>
      <w:rPr>
        <w:rFonts w:ascii="Symbol" w:hAnsi="Symbol" w:hint="default"/>
        <w:sz w:val="20"/>
      </w:rPr>
    </w:lvl>
    <w:lvl w:ilvl="7" w:tplc="99CEF716" w:tentative="1">
      <w:start w:val="1"/>
      <w:numFmt w:val="bullet"/>
      <w:lvlText w:val=""/>
      <w:lvlJc w:val="left"/>
      <w:pPr>
        <w:tabs>
          <w:tab w:val="num" w:pos="5760"/>
        </w:tabs>
        <w:ind w:left="5760" w:hanging="360"/>
      </w:pPr>
      <w:rPr>
        <w:rFonts w:ascii="Symbol" w:hAnsi="Symbol" w:hint="default"/>
        <w:sz w:val="20"/>
      </w:rPr>
    </w:lvl>
    <w:lvl w:ilvl="8" w:tplc="CCDCA42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8F398B"/>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0"/>
  </w:num>
  <w:num w:numId="5">
    <w:abstractNumId w:val="4"/>
  </w:num>
  <w:num w:numId="6">
    <w:abstractNumId w:val="13"/>
  </w:num>
  <w:num w:numId="7">
    <w:abstractNumId w:val="9"/>
  </w:num>
  <w:num w:numId="8">
    <w:abstractNumId w:val="2"/>
  </w:num>
  <w:num w:numId="9">
    <w:abstractNumId w:val="6"/>
  </w:num>
  <w:num w:numId="10">
    <w:abstractNumId w:val="3"/>
  </w:num>
  <w:num w:numId="11">
    <w:abstractNumId w:val="5"/>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27"/>
    <w:rsid w:val="000000B8"/>
    <w:rsid w:val="0000092E"/>
    <w:rsid w:val="00000B50"/>
    <w:rsid w:val="00001F56"/>
    <w:rsid w:val="0000240F"/>
    <w:rsid w:val="00002691"/>
    <w:rsid w:val="00003AB1"/>
    <w:rsid w:val="00004481"/>
    <w:rsid w:val="00004F6E"/>
    <w:rsid w:val="00005CBE"/>
    <w:rsid w:val="00005DB7"/>
    <w:rsid w:val="00005F1D"/>
    <w:rsid w:val="000067E0"/>
    <w:rsid w:val="00006F04"/>
    <w:rsid w:val="000071A1"/>
    <w:rsid w:val="0001035A"/>
    <w:rsid w:val="00010C34"/>
    <w:rsid w:val="00010C49"/>
    <w:rsid w:val="000112A1"/>
    <w:rsid w:val="00011B6B"/>
    <w:rsid w:val="00011C39"/>
    <w:rsid w:val="00011F1F"/>
    <w:rsid w:val="000122DF"/>
    <w:rsid w:val="000122E4"/>
    <w:rsid w:val="000133DB"/>
    <w:rsid w:val="00013AC3"/>
    <w:rsid w:val="0001437E"/>
    <w:rsid w:val="00015313"/>
    <w:rsid w:val="000153D9"/>
    <w:rsid w:val="00015696"/>
    <w:rsid w:val="000156F4"/>
    <w:rsid w:val="000163D3"/>
    <w:rsid w:val="00016496"/>
    <w:rsid w:val="00016544"/>
    <w:rsid w:val="000168DF"/>
    <w:rsid w:val="00017DDA"/>
    <w:rsid w:val="00017E87"/>
    <w:rsid w:val="000202FE"/>
    <w:rsid w:val="000207D8"/>
    <w:rsid w:val="00020903"/>
    <w:rsid w:val="00020B25"/>
    <w:rsid w:val="000211EE"/>
    <w:rsid w:val="000219AD"/>
    <w:rsid w:val="00021B63"/>
    <w:rsid w:val="00022C11"/>
    <w:rsid w:val="00022CA7"/>
    <w:rsid w:val="00023686"/>
    <w:rsid w:val="00023C92"/>
    <w:rsid w:val="00024026"/>
    <w:rsid w:val="00024973"/>
    <w:rsid w:val="0002525B"/>
    <w:rsid w:val="00025998"/>
    <w:rsid w:val="00025B21"/>
    <w:rsid w:val="00026248"/>
    <w:rsid w:val="000262D7"/>
    <w:rsid w:val="00026680"/>
    <w:rsid w:val="0002672C"/>
    <w:rsid w:val="00027287"/>
    <w:rsid w:val="000272E4"/>
    <w:rsid w:val="00027D11"/>
    <w:rsid w:val="00027EBF"/>
    <w:rsid w:val="00030B1F"/>
    <w:rsid w:val="0003127F"/>
    <w:rsid w:val="000320DF"/>
    <w:rsid w:val="0003220F"/>
    <w:rsid w:val="0003297B"/>
    <w:rsid w:val="00032AC9"/>
    <w:rsid w:val="00032EE8"/>
    <w:rsid w:val="000333E8"/>
    <w:rsid w:val="00033E21"/>
    <w:rsid w:val="000343DA"/>
    <w:rsid w:val="00034643"/>
    <w:rsid w:val="00035036"/>
    <w:rsid w:val="0003654A"/>
    <w:rsid w:val="00036E02"/>
    <w:rsid w:val="000371FF"/>
    <w:rsid w:val="0003728F"/>
    <w:rsid w:val="000378BD"/>
    <w:rsid w:val="00037CE5"/>
    <w:rsid w:val="00040639"/>
    <w:rsid w:val="00040E2A"/>
    <w:rsid w:val="0004102B"/>
    <w:rsid w:val="00041851"/>
    <w:rsid w:val="00041CA3"/>
    <w:rsid w:val="00041CEE"/>
    <w:rsid w:val="00041D72"/>
    <w:rsid w:val="000420C6"/>
    <w:rsid w:val="000421C2"/>
    <w:rsid w:val="00042422"/>
    <w:rsid w:val="00042515"/>
    <w:rsid w:val="00042D03"/>
    <w:rsid w:val="00043087"/>
    <w:rsid w:val="00043311"/>
    <w:rsid w:val="000438DD"/>
    <w:rsid w:val="0004470E"/>
    <w:rsid w:val="00044D7E"/>
    <w:rsid w:val="00044FA5"/>
    <w:rsid w:val="000459F9"/>
    <w:rsid w:val="00046442"/>
    <w:rsid w:val="0004681E"/>
    <w:rsid w:val="00047100"/>
    <w:rsid w:val="000473EC"/>
    <w:rsid w:val="00050D31"/>
    <w:rsid w:val="00050DD3"/>
    <w:rsid w:val="00050FE0"/>
    <w:rsid w:val="000512DC"/>
    <w:rsid w:val="00052330"/>
    <w:rsid w:val="00053640"/>
    <w:rsid w:val="00053659"/>
    <w:rsid w:val="000538EB"/>
    <w:rsid w:val="00053A8F"/>
    <w:rsid w:val="00053CC7"/>
    <w:rsid w:val="00053DC0"/>
    <w:rsid w:val="000542C7"/>
    <w:rsid w:val="00054523"/>
    <w:rsid w:val="00054F98"/>
    <w:rsid w:val="00055554"/>
    <w:rsid w:val="00055712"/>
    <w:rsid w:val="00055942"/>
    <w:rsid w:val="00055966"/>
    <w:rsid w:val="00055E4D"/>
    <w:rsid w:val="0005625A"/>
    <w:rsid w:val="0005679A"/>
    <w:rsid w:val="00057258"/>
    <w:rsid w:val="0005730E"/>
    <w:rsid w:val="000573EE"/>
    <w:rsid w:val="0005749A"/>
    <w:rsid w:val="000575C3"/>
    <w:rsid w:val="00057735"/>
    <w:rsid w:val="00057B31"/>
    <w:rsid w:val="00057FEB"/>
    <w:rsid w:val="000607FB"/>
    <w:rsid w:val="00060CF1"/>
    <w:rsid w:val="000610BA"/>
    <w:rsid w:val="000614B6"/>
    <w:rsid w:val="000618B3"/>
    <w:rsid w:val="00061C49"/>
    <w:rsid w:val="00063983"/>
    <w:rsid w:val="00064112"/>
    <w:rsid w:val="0006442F"/>
    <w:rsid w:val="0006450C"/>
    <w:rsid w:val="0006508A"/>
    <w:rsid w:val="0006663A"/>
    <w:rsid w:val="00066715"/>
    <w:rsid w:val="00067417"/>
    <w:rsid w:val="00067443"/>
    <w:rsid w:val="000710BA"/>
    <w:rsid w:val="00071703"/>
    <w:rsid w:val="0007212F"/>
    <w:rsid w:val="00072179"/>
    <w:rsid w:val="000725C0"/>
    <w:rsid w:val="000734E7"/>
    <w:rsid w:val="0007491B"/>
    <w:rsid w:val="000752AC"/>
    <w:rsid w:val="00075CD9"/>
    <w:rsid w:val="000761E8"/>
    <w:rsid w:val="00076539"/>
    <w:rsid w:val="00076949"/>
    <w:rsid w:val="00076FAD"/>
    <w:rsid w:val="0007765F"/>
    <w:rsid w:val="00077EC0"/>
    <w:rsid w:val="00080A45"/>
    <w:rsid w:val="00080B63"/>
    <w:rsid w:val="0008183D"/>
    <w:rsid w:val="00081B5B"/>
    <w:rsid w:val="000821E6"/>
    <w:rsid w:val="00082427"/>
    <w:rsid w:val="00082568"/>
    <w:rsid w:val="00082860"/>
    <w:rsid w:val="00082C1F"/>
    <w:rsid w:val="00082EAD"/>
    <w:rsid w:val="00083069"/>
    <w:rsid w:val="00083656"/>
    <w:rsid w:val="00083B24"/>
    <w:rsid w:val="00083C49"/>
    <w:rsid w:val="000840FA"/>
    <w:rsid w:val="000855F7"/>
    <w:rsid w:val="00085E3D"/>
    <w:rsid w:val="00086BEB"/>
    <w:rsid w:val="00087274"/>
    <w:rsid w:val="0008795E"/>
    <w:rsid w:val="00090B77"/>
    <w:rsid w:val="00090FDD"/>
    <w:rsid w:val="00091254"/>
    <w:rsid w:val="000915CD"/>
    <w:rsid w:val="000915F0"/>
    <w:rsid w:val="0009203F"/>
    <w:rsid w:val="00092065"/>
    <w:rsid w:val="00092073"/>
    <w:rsid w:val="000921E6"/>
    <w:rsid w:val="000933E5"/>
    <w:rsid w:val="00093E0D"/>
    <w:rsid w:val="00094837"/>
    <w:rsid w:val="000956EA"/>
    <w:rsid w:val="00095AA3"/>
    <w:rsid w:val="0009662F"/>
    <w:rsid w:val="00096BFD"/>
    <w:rsid w:val="000972F2"/>
    <w:rsid w:val="0009734E"/>
    <w:rsid w:val="000A0296"/>
    <w:rsid w:val="000A036E"/>
    <w:rsid w:val="000A102C"/>
    <w:rsid w:val="000A1166"/>
    <w:rsid w:val="000A2B4C"/>
    <w:rsid w:val="000A2B76"/>
    <w:rsid w:val="000A39C5"/>
    <w:rsid w:val="000A42CA"/>
    <w:rsid w:val="000A4522"/>
    <w:rsid w:val="000A45DD"/>
    <w:rsid w:val="000A5281"/>
    <w:rsid w:val="000A546A"/>
    <w:rsid w:val="000A5983"/>
    <w:rsid w:val="000A6622"/>
    <w:rsid w:val="000A6E80"/>
    <w:rsid w:val="000B02DA"/>
    <w:rsid w:val="000B0714"/>
    <w:rsid w:val="000B0D03"/>
    <w:rsid w:val="000B0DA1"/>
    <w:rsid w:val="000B13D8"/>
    <w:rsid w:val="000B2401"/>
    <w:rsid w:val="000B249E"/>
    <w:rsid w:val="000B2669"/>
    <w:rsid w:val="000B3B7A"/>
    <w:rsid w:val="000B3DDA"/>
    <w:rsid w:val="000B47A8"/>
    <w:rsid w:val="000B49AA"/>
    <w:rsid w:val="000B4CF5"/>
    <w:rsid w:val="000B5088"/>
    <w:rsid w:val="000B555E"/>
    <w:rsid w:val="000B60F8"/>
    <w:rsid w:val="000B6660"/>
    <w:rsid w:val="000C0097"/>
    <w:rsid w:val="000C0172"/>
    <w:rsid w:val="000C0364"/>
    <w:rsid w:val="000C0458"/>
    <w:rsid w:val="000C1569"/>
    <w:rsid w:val="000C1A0D"/>
    <w:rsid w:val="000C3C9B"/>
    <w:rsid w:val="000C453D"/>
    <w:rsid w:val="000C457C"/>
    <w:rsid w:val="000C4655"/>
    <w:rsid w:val="000C4FAB"/>
    <w:rsid w:val="000C504B"/>
    <w:rsid w:val="000C5127"/>
    <w:rsid w:val="000C5527"/>
    <w:rsid w:val="000C5BC5"/>
    <w:rsid w:val="000C5C3F"/>
    <w:rsid w:val="000C657C"/>
    <w:rsid w:val="000C6633"/>
    <w:rsid w:val="000C67B4"/>
    <w:rsid w:val="000C6BBC"/>
    <w:rsid w:val="000C7D49"/>
    <w:rsid w:val="000D1159"/>
    <w:rsid w:val="000D1294"/>
    <w:rsid w:val="000D12E7"/>
    <w:rsid w:val="000D16F2"/>
    <w:rsid w:val="000D20FA"/>
    <w:rsid w:val="000D21B3"/>
    <w:rsid w:val="000D341D"/>
    <w:rsid w:val="000D3887"/>
    <w:rsid w:val="000D3B48"/>
    <w:rsid w:val="000D3ED8"/>
    <w:rsid w:val="000D521D"/>
    <w:rsid w:val="000D581C"/>
    <w:rsid w:val="000D699D"/>
    <w:rsid w:val="000D69A5"/>
    <w:rsid w:val="000D6C43"/>
    <w:rsid w:val="000D6CDD"/>
    <w:rsid w:val="000D6E21"/>
    <w:rsid w:val="000D79FC"/>
    <w:rsid w:val="000E0284"/>
    <w:rsid w:val="000E0E34"/>
    <w:rsid w:val="000E1845"/>
    <w:rsid w:val="000E1E3A"/>
    <w:rsid w:val="000E264B"/>
    <w:rsid w:val="000E2766"/>
    <w:rsid w:val="000E2B0C"/>
    <w:rsid w:val="000E3116"/>
    <w:rsid w:val="000E34E5"/>
    <w:rsid w:val="000E39E4"/>
    <w:rsid w:val="000E3B15"/>
    <w:rsid w:val="000E3B68"/>
    <w:rsid w:val="000E3C8B"/>
    <w:rsid w:val="000E3D7A"/>
    <w:rsid w:val="000E3EBB"/>
    <w:rsid w:val="000E44EA"/>
    <w:rsid w:val="000E4545"/>
    <w:rsid w:val="000E4EAD"/>
    <w:rsid w:val="000E5341"/>
    <w:rsid w:val="000E62AA"/>
    <w:rsid w:val="000E6485"/>
    <w:rsid w:val="000E666A"/>
    <w:rsid w:val="000E67CD"/>
    <w:rsid w:val="000E69CD"/>
    <w:rsid w:val="000E6CAE"/>
    <w:rsid w:val="000E727B"/>
    <w:rsid w:val="000F03E8"/>
    <w:rsid w:val="000F0619"/>
    <w:rsid w:val="000F0886"/>
    <w:rsid w:val="000F0F87"/>
    <w:rsid w:val="000F1331"/>
    <w:rsid w:val="000F1F16"/>
    <w:rsid w:val="000F2482"/>
    <w:rsid w:val="000F29E7"/>
    <w:rsid w:val="000F2DC6"/>
    <w:rsid w:val="000F3076"/>
    <w:rsid w:val="000F3D65"/>
    <w:rsid w:val="000F405A"/>
    <w:rsid w:val="000F43DB"/>
    <w:rsid w:val="000F4929"/>
    <w:rsid w:val="000F4955"/>
    <w:rsid w:val="000F4E68"/>
    <w:rsid w:val="000F54B1"/>
    <w:rsid w:val="000F594F"/>
    <w:rsid w:val="000F5CFD"/>
    <w:rsid w:val="000F60D4"/>
    <w:rsid w:val="000F6A1A"/>
    <w:rsid w:val="000F6CDB"/>
    <w:rsid w:val="000F72A1"/>
    <w:rsid w:val="000F7488"/>
    <w:rsid w:val="000F7756"/>
    <w:rsid w:val="0010023E"/>
    <w:rsid w:val="0010033F"/>
    <w:rsid w:val="001004B8"/>
    <w:rsid w:val="00100622"/>
    <w:rsid w:val="00100F09"/>
    <w:rsid w:val="00101B3E"/>
    <w:rsid w:val="00101E0B"/>
    <w:rsid w:val="0010256F"/>
    <w:rsid w:val="00102577"/>
    <w:rsid w:val="001026FE"/>
    <w:rsid w:val="001029B3"/>
    <w:rsid w:val="00102B43"/>
    <w:rsid w:val="00103230"/>
    <w:rsid w:val="001036BC"/>
    <w:rsid w:val="00103F56"/>
    <w:rsid w:val="001042EF"/>
    <w:rsid w:val="00104CCA"/>
    <w:rsid w:val="00104D84"/>
    <w:rsid w:val="0010569F"/>
    <w:rsid w:val="00105DE2"/>
    <w:rsid w:val="001061E8"/>
    <w:rsid w:val="00106243"/>
    <w:rsid w:val="001063A4"/>
    <w:rsid w:val="0010663F"/>
    <w:rsid w:val="00106645"/>
    <w:rsid w:val="00107139"/>
    <w:rsid w:val="00107CDA"/>
    <w:rsid w:val="001109BE"/>
    <w:rsid w:val="001113F3"/>
    <w:rsid w:val="00111D51"/>
    <w:rsid w:val="00112694"/>
    <w:rsid w:val="00112E2A"/>
    <w:rsid w:val="00113049"/>
    <w:rsid w:val="00113184"/>
    <w:rsid w:val="001131A4"/>
    <w:rsid w:val="0011341A"/>
    <w:rsid w:val="00114F0D"/>
    <w:rsid w:val="00115235"/>
    <w:rsid w:val="00116C0F"/>
    <w:rsid w:val="00116D39"/>
    <w:rsid w:val="00116E61"/>
    <w:rsid w:val="0011792B"/>
    <w:rsid w:val="00117D69"/>
    <w:rsid w:val="00117E00"/>
    <w:rsid w:val="00117F1A"/>
    <w:rsid w:val="00121151"/>
    <w:rsid w:val="00121C9C"/>
    <w:rsid w:val="001220A1"/>
    <w:rsid w:val="00122AB0"/>
    <w:rsid w:val="00122C5B"/>
    <w:rsid w:val="0012390B"/>
    <w:rsid w:val="00123B6E"/>
    <w:rsid w:val="00124026"/>
    <w:rsid w:val="00124A80"/>
    <w:rsid w:val="001251AA"/>
    <w:rsid w:val="00125478"/>
    <w:rsid w:val="00125889"/>
    <w:rsid w:val="001258C6"/>
    <w:rsid w:val="00125F40"/>
    <w:rsid w:val="001263D1"/>
    <w:rsid w:val="00126818"/>
    <w:rsid w:val="00126BA4"/>
    <w:rsid w:val="00126CB0"/>
    <w:rsid w:val="0012757C"/>
    <w:rsid w:val="001276D3"/>
    <w:rsid w:val="00127D0A"/>
    <w:rsid w:val="00127F25"/>
    <w:rsid w:val="001302EF"/>
    <w:rsid w:val="0013094D"/>
    <w:rsid w:val="00130BA7"/>
    <w:rsid w:val="00131CA5"/>
    <w:rsid w:val="00131E32"/>
    <w:rsid w:val="00131F9E"/>
    <w:rsid w:val="00132461"/>
    <w:rsid w:val="001327E9"/>
    <w:rsid w:val="00132E34"/>
    <w:rsid w:val="00133F9D"/>
    <w:rsid w:val="001340DF"/>
    <w:rsid w:val="00134EA2"/>
    <w:rsid w:val="00134FA6"/>
    <w:rsid w:val="00135383"/>
    <w:rsid w:val="0013579B"/>
    <w:rsid w:val="001358AF"/>
    <w:rsid w:val="00135E43"/>
    <w:rsid w:val="00135EB2"/>
    <w:rsid w:val="00136162"/>
    <w:rsid w:val="001364AC"/>
    <w:rsid w:val="00136637"/>
    <w:rsid w:val="00136929"/>
    <w:rsid w:val="00136EE1"/>
    <w:rsid w:val="00137688"/>
    <w:rsid w:val="00140313"/>
    <w:rsid w:val="00140520"/>
    <w:rsid w:val="00140B1A"/>
    <w:rsid w:val="00140C7A"/>
    <w:rsid w:val="00141645"/>
    <w:rsid w:val="001416EC"/>
    <w:rsid w:val="001421C8"/>
    <w:rsid w:val="00142A06"/>
    <w:rsid w:val="00143BFC"/>
    <w:rsid w:val="00143E05"/>
    <w:rsid w:val="00143FE9"/>
    <w:rsid w:val="0014405A"/>
    <w:rsid w:val="00144524"/>
    <w:rsid w:val="001447E9"/>
    <w:rsid w:val="001450AE"/>
    <w:rsid w:val="0014523A"/>
    <w:rsid w:val="00146017"/>
    <w:rsid w:val="001463AF"/>
    <w:rsid w:val="00146517"/>
    <w:rsid w:val="00146DCC"/>
    <w:rsid w:val="001473CC"/>
    <w:rsid w:val="001476B8"/>
    <w:rsid w:val="001478BA"/>
    <w:rsid w:val="00147B02"/>
    <w:rsid w:val="0015013F"/>
    <w:rsid w:val="00150FF5"/>
    <w:rsid w:val="001510C9"/>
    <w:rsid w:val="001510F0"/>
    <w:rsid w:val="00151311"/>
    <w:rsid w:val="001521F9"/>
    <w:rsid w:val="001524DE"/>
    <w:rsid w:val="00152C39"/>
    <w:rsid w:val="00152C64"/>
    <w:rsid w:val="00152C86"/>
    <w:rsid w:val="001538B3"/>
    <w:rsid w:val="0015426A"/>
    <w:rsid w:val="00155185"/>
    <w:rsid w:val="00155DF1"/>
    <w:rsid w:val="001560BE"/>
    <w:rsid w:val="00156507"/>
    <w:rsid w:val="00156F9C"/>
    <w:rsid w:val="00156FA6"/>
    <w:rsid w:val="00156FAE"/>
    <w:rsid w:val="00157257"/>
    <w:rsid w:val="0015732E"/>
    <w:rsid w:val="001578E0"/>
    <w:rsid w:val="00160536"/>
    <w:rsid w:val="001606A2"/>
    <w:rsid w:val="0016071E"/>
    <w:rsid w:val="0016092E"/>
    <w:rsid w:val="00161CCD"/>
    <w:rsid w:val="00162047"/>
    <w:rsid w:val="0016218D"/>
    <w:rsid w:val="00162485"/>
    <w:rsid w:val="00162978"/>
    <w:rsid w:val="00162BB1"/>
    <w:rsid w:val="00163004"/>
    <w:rsid w:val="00163219"/>
    <w:rsid w:val="00163430"/>
    <w:rsid w:val="001648C8"/>
    <w:rsid w:val="00164C13"/>
    <w:rsid w:val="00164DCC"/>
    <w:rsid w:val="0016567A"/>
    <w:rsid w:val="001658C3"/>
    <w:rsid w:val="00165A23"/>
    <w:rsid w:val="00165A95"/>
    <w:rsid w:val="00166034"/>
    <w:rsid w:val="0016633E"/>
    <w:rsid w:val="001664C4"/>
    <w:rsid w:val="001669B9"/>
    <w:rsid w:val="00166E63"/>
    <w:rsid w:val="0016702A"/>
    <w:rsid w:val="001703C5"/>
    <w:rsid w:val="00170AFE"/>
    <w:rsid w:val="00170DF2"/>
    <w:rsid w:val="001716B2"/>
    <w:rsid w:val="00171DE7"/>
    <w:rsid w:val="0017204D"/>
    <w:rsid w:val="00172596"/>
    <w:rsid w:val="0017278D"/>
    <w:rsid w:val="00172882"/>
    <w:rsid w:val="0017326A"/>
    <w:rsid w:val="0017458E"/>
    <w:rsid w:val="00174C1A"/>
    <w:rsid w:val="0017519E"/>
    <w:rsid w:val="0017528F"/>
    <w:rsid w:val="00175665"/>
    <w:rsid w:val="00175862"/>
    <w:rsid w:val="001760DB"/>
    <w:rsid w:val="0017617B"/>
    <w:rsid w:val="001762A5"/>
    <w:rsid w:val="00176714"/>
    <w:rsid w:val="00176DD1"/>
    <w:rsid w:val="001772A0"/>
    <w:rsid w:val="00180071"/>
    <w:rsid w:val="001802FE"/>
    <w:rsid w:val="00180562"/>
    <w:rsid w:val="00181A0D"/>
    <w:rsid w:val="00181D3B"/>
    <w:rsid w:val="0018201B"/>
    <w:rsid w:val="0018211F"/>
    <w:rsid w:val="00182180"/>
    <w:rsid w:val="00182925"/>
    <w:rsid w:val="00182960"/>
    <w:rsid w:val="001830B0"/>
    <w:rsid w:val="00183812"/>
    <w:rsid w:val="00183B70"/>
    <w:rsid w:val="0018455E"/>
    <w:rsid w:val="0018528B"/>
    <w:rsid w:val="00185CA7"/>
    <w:rsid w:val="0018604D"/>
    <w:rsid w:val="0018615D"/>
    <w:rsid w:val="00186C3F"/>
    <w:rsid w:val="00186CE0"/>
    <w:rsid w:val="00186E38"/>
    <w:rsid w:val="001875C8"/>
    <w:rsid w:val="00190250"/>
    <w:rsid w:val="00190352"/>
    <w:rsid w:val="00190438"/>
    <w:rsid w:val="001906F4"/>
    <w:rsid w:val="00190A5E"/>
    <w:rsid w:val="001916C0"/>
    <w:rsid w:val="00191863"/>
    <w:rsid w:val="00191DA9"/>
    <w:rsid w:val="00191EE3"/>
    <w:rsid w:val="001925E8"/>
    <w:rsid w:val="00192B7F"/>
    <w:rsid w:val="00192DA6"/>
    <w:rsid w:val="00192E36"/>
    <w:rsid w:val="00193BCD"/>
    <w:rsid w:val="00194FCB"/>
    <w:rsid w:val="00195C7F"/>
    <w:rsid w:val="00195E05"/>
    <w:rsid w:val="00196559"/>
    <w:rsid w:val="00196847"/>
    <w:rsid w:val="00196BDA"/>
    <w:rsid w:val="00197819"/>
    <w:rsid w:val="00197C25"/>
    <w:rsid w:val="001A09A7"/>
    <w:rsid w:val="001A12B1"/>
    <w:rsid w:val="001A1334"/>
    <w:rsid w:val="001A1DA6"/>
    <w:rsid w:val="001A217C"/>
    <w:rsid w:val="001A220D"/>
    <w:rsid w:val="001A253C"/>
    <w:rsid w:val="001A2B33"/>
    <w:rsid w:val="001A2D07"/>
    <w:rsid w:val="001A2D29"/>
    <w:rsid w:val="001A36C5"/>
    <w:rsid w:val="001A37CA"/>
    <w:rsid w:val="001A3881"/>
    <w:rsid w:val="001A391C"/>
    <w:rsid w:val="001A41C0"/>
    <w:rsid w:val="001A4C85"/>
    <w:rsid w:val="001A4F64"/>
    <w:rsid w:val="001A5032"/>
    <w:rsid w:val="001A5336"/>
    <w:rsid w:val="001A6592"/>
    <w:rsid w:val="001A799E"/>
    <w:rsid w:val="001A7E0D"/>
    <w:rsid w:val="001B05B6"/>
    <w:rsid w:val="001B07A6"/>
    <w:rsid w:val="001B0A12"/>
    <w:rsid w:val="001B0AA4"/>
    <w:rsid w:val="001B0AC4"/>
    <w:rsid w:val="001B188A"/>
    <w:rsid w:val="001B19BC"/>
    <w:rsid w:val="001B1A04"/>
    <w:rsid w:val="001B230A"/>
    <w:rsid w:val="001B28D9"/>
    <w:rsid w:val="001B2CDC"/>
    <w:rsid w:val="001B2DBA"/>
    <w:rsid w:val="001B34B4"/>
    <w:rsid w:val="001B3553"/>
    <w:rsid w:val="001B3FDE"/>
    <w:rsid w:val="001B431F"/>
    <w:rsid w:val="001B496E"/>
    <w:rsid w:val="001B4E78"/>
    <w:rsid w:val="001B5383"/>
    <w:rsid w:val="001B5932"/>
    <w:rsid w:val="001B5960"/>
    <w:rsid w:val="001B5A8B"/>
    <w:rsid w:val="001B5ABC"/>
    <w:rsid w:val="001B728E"/>
    <w:rsid w:val="001B76D7"/>
    <w:rsid w:val="001B7C25"/>
    <w:rsid w:val="001B7F76"/>
    <w:rsid w:val="001BFF0A"/>
    <w:rsid w:val="001C0956"/>
    <w:rsid w:val="001C0C03"/>
    <w:rsid w:val="001C1198"/>
    <w:rsid w:val="001C1F64"/>
    <w:rsid w:val="001C2448"/>
    <w:rsid w:val="001C2893"/>
    <w:rsid w:val="001C2B54"/>
    <w:rsid w:val="001C2EC8"/>
    <w:rsid w:val="001C316F"/>
    <w:rsid w:val="001C3354"/>
    <w:rsid w:val="001C3ED9"/>
    <w:rsid w:val="001C417C"/>
    <w:rsid w:val="001C4282"/>
    <w:rsid w:val="001C4663"/>
    <w:rsid w:val="001C4A7D"/>
    <w:rsid w:val="001C4B18"/>
    <w:rsid w:val="001C4E87"/>
    <w:rsid w:val="001C4E8B"/>
    <w:rsid w:val="001C53A3"/>
    <w:rsid w:val="001C53B1"/>
    <w:rsid w:val="001C6064"/>
    <w:rsid w:val="001C66CE"/>
    <w:rsid w:val="001C7192"/>
    <w:rsid w:val="001C7273"/>
    <w:rsid w:val="001C72B1"/>
    <w:rsid w:val="001C74B8"/>
    <w:rsid w:val="001C7B7A"/>
    <w:rsid w:val="001C7BAD"/>
    <w:rsid w:val="001C7C76"/>
    <w:rsid w:val="001D0035"/>
    <w:rsid w:val="001D008E"/>
    <w:rsid w:val="001D0091"/>
    <w:rsid w:val="001D00EC"/>
    <w:rsid w:val="001D0957"/>
    <w:rsid w:val="001D0E37"/>
    <w:rsid w:val="001D17C4"/>
    <w:rsid w:val="001D2622"/>
    <w:rsid w:val="001D2D03"/>
    <w:rsid w:val="001D31A9"/>
    <w:rsid w:val="001D38A4"/>
    <w:rsid w:val="001D38EC"/>
    <w:rsid w:val="001D3918"/>
    <w:rsid w:val="001D39D5"/>
    <w:rsid w:val="001D406D"/>
    <w:rsid w:val="001D440A"/>
    <w:rsid w:val="001D473A"/>
    <w:rsid w:val="001D5865"/>
    <w:rsid w:val="001D5CC4"/>
    <w:rsid w:val="001D5F0B"/>
    <w:rsid w:val="001D5FC9"/>
    <w:rsid w:val="001D627E"/>
    <w:rsid w:val="001D648E"/>
    <w:rsid w:val="001D67C9"/>
    <w:rsid w:val="001D6A13"/>
    <w:rsid w:val="001D7864"/>
    <w:rsid w:val="001E004A"/>
    <w:rsid w:val="001E0940"/>
    <w:rsid w:val="001E0F23"/>
    <w:rsid w:val="001E1260"/>
    <w:rsid w:val="001E1813"/>
    <w:rsid w:val="001E353D"/>
    <w:rsid w:val="001E3E91"/>
    <w:rsid w:val="001E3F37"/>
    <w:rsid w:val="001E40AA"/>
    <w:rsid w:val="001E4E53"/>
    <w:rsid w:val="001E4E80"/>
    <w:rsid w:val="001E57EC"/>
    <w:rsid w:val="001E58A0"/>
    <w:rsid w:val="001E5D5F"/>
    <w:rsid w:val="001E5DD1"/>
    <w:rsid w:val="001E6384"/>
    <w:rsid w:val="001E6970"/>
    <w:rsid w:val="001E6B35"/>
    <w:rsid w:val="001E6EFE"/>
    <w:rsid w:val="001E78A0"/>
    <w:rsid w:val="001E7FF4"/>
    <w:rsid w:val="001F0AF0"/>
    <w:rsid w:val="001F0D3D"/>
    <w:rsid w:val="001F147F"/>
    <w:rsid w:val="001F14DC"/>
    <w:rsid w:val="001F1AFE"/>
    <w:rsid w:val="001F214D"/>
    <w:rsid w:val="001F2B7E"/>
    <w:rsid w:val="001F3431"/>
    <w:rsid w:val="001F393B"/>
    <w:rsid w:val="001F3CB1"/>
    <w:rsid w:val="001F4A14"/>
    <w:rsid w:val="001F4AD5"/>
    <w:rsid w:val="001F6ADA"/>
    <w:rsid w:val="001F7C04"/>
    <w:rsid w:val="001F7FCB"/>
    <w:rsid w:val="00200044"/>
    <w:rsid w:val="00200C95"/>
    <w:rsid w:val="00201B66"/>
    <w:rsid w:val="0020214D"/>
    <w:rsid w:val="00202242"/>
    <w:rsid w:val="00202DB1"/>
    <w:rsid w:val="002030CE"/>
    <w:rsid w:val="0020424D"/>
    <w:rsid w:val="00206520"/>
    <w:rsid w:val="00206C34"/>
    <w:rsid w:val="00207FFD"/>
    <w:rsid w:val="0021065F"/>
    <w:rsid w:val="002106B2"/>
    <w:rsid w:val="00210A1E"/>
    <w:rsid w:val="00211BE6"/>
    <w:rsid w:val="002126BA"/>
    <w:rsid w:val="00212D97"/>
    <w:rsid w:val="00212E0E"/>
    <w:rsid w:val="00212EF4"/>
    <w:rsid w:val="00213B78"/>
    <w:rsid w:val="0021422B"/>
    <w:rsid w:val="00214713"/>
    <w:rsid w:val="002162A8"/>
    <w:rsid w:val="00216C2F"/>
    <w:rsid w:val="00216CC2"/>
    <w:rsid w:val="002175B4"/>
    <w:rsid w:val="002176E7"/>
    <w:rsid w:val="002178DD"/>
    <w:rsid w:val="00217918"/>
    <w:rsid w:val="002207AA"/>
    <w:rsid w:val="00221237"/>
    <w:rsid w:val="002215BE"/>
    <w:rsid w:val="00221B2C"/>
    <w:rsid w:val="00222EF4"/>
    <w:rsid w:val="002231E1"/>
    <w:rsid w:val="0022400D"/>
    <w:rsid w:val="002241F2"/>
    <w:rsid w:val="00224901"/>
    <w:rsid w:val="00225C3B"/>
    <w:rsid w:val="00225CBE"/>
    <w:rsid w:val="00225F6D"/>
    <w:rsid w:val="00226E5D"/>
    <w:rsid w:val="00226F76"/>
    <w:rsid w:val="002270F3"/>
    <w:rsid w:val="00227858"/>
    <w:rsid w:val="00230322"/>
    <w:rsid w:val="00230B11"/>
    <w:rsid w:val="00230FC6"/>
    <w:rsid w:val="0023109F"/>
    <w:rsid w:val="0023115A"/>
    <w:rsid w:val="00232611"/>
    <w:rsid w:val="00232CC8"/>
    <w:rsid w:val="002333D5"/>
    <w:rsid w:val="0023358F"/>
    <w:rsid w:val="002336ED"/>
    <w:rsid w:val="00233AC2"/>
    <w:rsid w:val="00233D6E"/>
    <w:rsid w:val="00234035"/>
    <w:rsid w:val="00234725"/>
    <w:rsid w:val="00234E1B"/>
    <w:rsid w:val="002357A6"/>
    <w:rsid w:val="00235E0E"/>
    <w:rsid w:val="00235F92"/>
    <w:rsid w:val="00235FC4"/>
    <w:rsid w:val="002365EC"/>
    <w:rsid w:val="00236BE0"/>
    <w:rsid w:val="00237269"/>
    <w:rsid w:val="002377C4"/>
    <w:rsid w:val="00240520"/>
    <w:rsid w:val="00241114"/>
    <w:rsid w:val="0024113B"/>
    <w:rsid w:val="00241BD4"/>
    <w:rsid w:val="00241E76"/>
    <w:rsid w:val="00241F4D"/>
    <w:rsid w:val="002424C8"/>
    <w:rsid w:val="00242B4B"/>
    <w:rsid w:val="002436C0"/>
    <w:rsid w:val="00243BBB"/>
    <w:rsid w:val="002444A3"/>
    <w:rsid w:val="00244970"/>
    <w:rsid w:val="00244CB1"/>
    <w:rsid w:val="00244D2F"/>
    <w:rsid w:val="00244E3E"/>
    <w:rsid w:val="00244ED3"/>
    <w:rsid w:val="00244F73"/>
    <w:rsid w:val="00245235"/>
    <w:rsid w:val="00245451"/>
    <w:rsid w:val="00245486"/>
    <w:rsid w:val="00245ABE"/>
    <w:rsid w:val="00246264"/>
    <w:rsid w:val="0024682F"/>
    <w:rsid w:val="0024692D"/>
    <w:rsid w:val="00247E05"/>
    <w:rsid w:val="002509ED"/>
    <w:rsid w:val="0025107C"/>
    <w:rsid w:val="00251206"/>
    <w:rsid w:val="00251731"/>
    <w:rsid w:val="00251F04"/>
    <w:rsid w:val="00251FEB"/>
    <w:rsid w:val="00252248"/>
    <w:rsid w:val="00252357"/>
    <w:rsid w:val="002523B4"/>
    <w:rsid w:val="00252DC5"/>
    <w:rsid w:val="00253795"/>
    <w:rsid w:val="00253A78"/>
    <w:rsid w:val="00253C93"/>
    <w:rsid w:val="00254058"/>
    <w:rsid w:val="002544FE"/>
    <w:rsid w:val="002546C0"/>
    <w:rsid w:val="0025470E"/>
    <w:rsid w:val="00254B87"/>
    <w:rsid w:val="0025552A"/>
    <w:rsid w:val="00256B92"/>
    <w:rsid w:val="00256D61"/>
    <w:rsid w:val="00257142"/>
    <w:rsid w:val="0025722C"/>
    <w:rsid w:val="002572DE"/>
    <w:rsid w:val="002574E0"/>
    <w:rsid w:val="002574F3"/>
    <w:rsid w:val="002577DB"/>
    <w:rsid w:val="00257836"/>
    <w:rsid w:val="00257A58"/>
    <w:rsid w:val="002601C6"/>
    <w:rsid w:val="0026082A"/>
    <w:rsid w:val="00260997"/>
    <w:rsid w:val="002609E3"/>
    <w:rsid w:val="00261250"/>
    <w:rsid w:val="002612FE"/>
    <w:rsid w:val="00261A19"/>
    <w:rsid w:val="00261DD6"/>
    <w:rsid w:val="00261E32"/>
    <w:rsid w:val="00261FF2"/>
    <w:rsid w:val="002622B8"/>
    <w:rsid w:val="00262656"/>
    <w:rsid w:val="00262C98"/>
    <w:rsid w:val="00262DC1"/>
    <w:rsid w:val="00263891"/>
    <w:rsid w:val="00263904"/>
    <w:rsid w:val="00263A6F"/>
    <w:rsid w:val="00263BC1"/>
    <w:rsid w:val="0026422B"/>
    <w:rsid w:val="00264800"/>
    <w:rsid w:val="00264D22"/>
    <w:rsid w:val="00264EE5"/>
    <w:rsid w:val="00265005"/>
    <w:rsid w:val="00265393"/>
    <w:rsid w:val="002667A8"/>
    <w:rsid w:val="00270654"/>
    <w:rsid w:val="00270C85"/>
    <w:rsid w:val="00270D3E"/>
    <w:rsid w:val="0027135F"/>
    <w:rsid w:val="00271435"/>
    <w:rsid w:val="00271A4C"/>
    <w:rsid w:val="00271E4F"/>
    <w:rsid w:val="00272560"/>
    <w:rsid w:val="00273103"/>
    <w:rsid w:val="00275410"/>
    <w:rsid w:val="00275F23"/>
    <w:rsid w:val="00276667"/>
    <w:rsid w:val="002768B1"/>
    <w:rsid w:val="00277673"/>
    <w:rsid w:val="002778FE"/>
    <w:rsid w:val="00280DE4"/>
    <w:rsid w:val="00281143"/>
    <w:rsid w:val="00281840"/>
    <w:rsid w:val="00281F99"/>
    <w:rsid w:val="002821B6"/>
    <w:rsid w:val="00282500"/>
    <w:rsid w:val="002827DF"/>
    <w:rsid w:val="0028342B"/>
    <w:rsid w:val="0028355B"/>
    <w:rsid w:val="00283EB3"/>
    <w:rsid w:val="002842F2"/>
    <w:rsid w:val="00284552"/>
    <w:rsid w:val="00284597"/>
    <w:rsid w:val="00285DDC"/>
    <w:rsid w:val="00285ECB"/>
    <w:rsid w:val="00286487"/>
    <w:rsid w:val="00286C46"/>
    <w:rsid w:val="002876B8"/>
    <w:rsid w:val="00290A7B"/>
    <w:rsid w:val="00291BE8"/>
    <w:rsid w:val="00292275"/>
    <w:rsid w:val="002924A9"/>
    <w:rsid w:val="002925BD"/>
    <w:rsid w:val="00292C91"/>
    <w:rsid w:val="00292CCE"/>
    <w:rsid w:val="002932E1"/>
    <w:rsid w:val="00293477"/>
    <w:rsid w:val="002939D9"/>
    <w:rsid w:val="00294143"/>
    <w:rsid w:val="00294970"/>
    <w:rsid w:val="00294BEC"/>
    <w:rsid w:val="00294C09"/>
    <w:rsid w:val="00294C6F"/>
    <w:rsid w:val="00294CB8"/>
    <w:rsid w:val="00294F49"/>
    <w:rsid w:val="002954B7"/>
    <w:rsid w:val="0029594D"/>
    <w:rsid w:val="00295C96"/>
    <w:rsid w:val="00296414"/>
    <w:rsid w:val="002964D6"/>
    <w:rsid w:val="00296622"/>
    <w:rsid w:val="00296C21"/>
    <w:rsid w:val="0029737F"/>
    <w:rsid w:val="002A0190"/>
    <w:rsid w:val="002A0608"/>
    <w:rsid w:val="002A0818"/>
    <w:rsid w:val="002A08C2"/>
    <w:rsid w:val="002A0A18"/>
    <w:rsid w:val="002A0DA0"/>
    <w:rsid w:val="002A1B00"/>
    <w:rsid w:val="002A1F70"/>
    <w:rsid w:val="002A2B8B"/>
    <w:rsid w:val="002A2F71"/>
    <w:rsid w:val="002A31E5"/>
    <w:rsid w:val="002A35E0"/>
    <w:rsid w:val="002A39FC"/>
    <w:rsid w:val="002A3BD8"/>
    <w:rsid w:val="002A3F0C"/>
    <w:rsid w:val="002A431C"/>
    <w:rsid w:val="002A555D"/>
    <w:rsid w:val="002A5860"/>
    <w:rsid w:val="002A58F5"/>
    <w:rsid w:val="002A67EA"/>
    <w:rsid w:val="002A6CB8"/>
    <w:rsid w:val="002A6DE5"/>
    <w:rsid w:val="002A6F75"/>
    <w:rsid w:val="002A6FCB"/>
    <w:rsid w:val="002A7395"/>
    <w:rsid w:val="002A74BB"/>
    <w:rsid w:val="002A7775"/>
    <w:rsid w:val="002A7B1E"/>
    <w:rsid w:val="002A7B37"/>
    <w:rsid w:val="002A7CDA"/>
    <w:rsid w:val="002B01FC"/>
    <w:rsid w:val="002B0CB6"/>
    <w:rsid w:val="002B0E5C"/>
    <w:rsid w:val="002B12BD"/>
    <w:rsid w:val="002B12C3"/>
    <w:rsid w:val="002B1A20"/>
    <w:rsid w:val="002B21CF"/>
    <w:rsid w:val="002B24C3"/>
    <w:rsid w:val="002B24ED"/>
    <w:rsid w:val="002B299A"/>
    <w:rsid w:val="002B336E"/>
    <w:rsid w:val="002B3A47"/>
    <w:rsid w:val="002B3E4D"/>
    <w:rsid w:val="002B3F5F"/>
    <w:rsid w:val="002B442A"/>
    <w:rsid w:val="002B4A4A"/>
    <w:rsid w:val="002B4D26"/>
    <w:rsid w:val="002B55B8"/>
    <w:rsid w:val="002B5999"/>
    <w:rsid w:val="002B5CFC"/>
    <w:rsid w:val="002B60A1"/>
    <w:rsid w:val="002B6B07"/>
    <w:rsid w:val="002B73F7"/>
    <w:rsid w:val="002B7E8F"/>
    <w:rsid w:val="002C0219"/>
    <w:rsid w:val="002C0AC5"/>
    <w:rsid w:val="002C166B"/>
    <w:rsid w:val="002C16A4"/>
    <w:rsid w:val="002C1715"/>
    <w:rsid w:val="002C1AE9"/>
    <w:rsid w:val="002C353C"/>
    <w:rsid w:val="002C35E8"/>
    <w:rsid w:val="002C3611"/>
    <w:rsid w:val="002C3735"/>
    <w:rsid w:val="002C385A"/>
    <w:rsid w:val="002C3880"/>
    <w:rsid w:val="002C42D8"/>
    <w:rsid w:val="002C44B2"/>
    <w:rsid w:val="002C4597"/>
    <w:rsid w:val="002C50EE"/>
    <w:rsid w:val="002C51A6"/>
    <w:rsid w:val="002C54B8"/>
    <w:rsid w:val="002C5EE1"/>
    <w:rsid w:val="002C6098"/>
    <w:rsid w:val="002C6FA6"/>
    <w:rsid w:val="002C71AF"/>
    <w:rsid w:val="002C79AF"/>
    <w:rsid w:val="002D079A"/>
    <w:rsid w:val="002D0CD4"/>
    <w:rsid w:val="002D1196"/>
    <w:rsid w:val="002D163C"/>
    <w:rsid w:val="002D1D90"/>
    <w:rsid w:val="002D1ECE"/>
    <w:rsid w:val="002D2088"/>
    <w:rsid w:val="002D20C3"/>
    <w:rsid w:val="002D2DB4"/>
    <w:rsid w:val="002D3B95"/>
    <w:rsid w:val="002D44E1"/>
    <w:rsid w:val="002D4D7D"/>
    <w:rsid w:val="002D53EB"/>
    <w:rsid w:val="002D5D15"/>
    <w:rsid w:val="002D614D"/>
    <w:rsid w:val="002D654D"/>
    <w:rsid w:val="002D695E"/>
    <w:rsid w:val="002D75B3"/>
    <w:rsid w:val="002D77D9"/>
    <w:rsid w:val="002D797F"/>
    <w:rsid w:val="002E002F"/>
    <w:rsid w:val="002E022C"/>
    <w:rsid w:val="002E0371"/>
    <w:rsid w:val="002E066E"/>
    <w:rsid w:val="002E0FAF"/>
    <w:rsid w:val="002E125C"/>
    <w:rsid w:val="002E12F9"/>
    <w:rsid w:val="002E18A5"/>
    <w:rsid w:val="002E1A89"/>
    <w:rsid w:val="002E2122"/>
    <w:rsid w:val="002E2DDE"/>
    <w:rsid w:val="002E3DE8"/>
    <w:rsid w:val="002E5181"/>
    <w:rsid w:val="002E56C9"/>
    <w:rsid w:val="002E5D3C"/>
    <w:rsid w:val="002E6475"/>
    <w:rsid w:val="002E6522"/>
    <w:rsid w:val="002E68D6"/>
    <w:rsid w:val="002E6E10"/>
    <w:rsid w:val="002E7BD2"/>
    <w:rsid w:val="002F03F0"/>
    <w:rsid w:val="002F0AB6"/>
    <w:rsid w:val="002F0D65"/>
    <w:rsid w:val="002F1316"/>
    <w:rsid w:val="002F1EB3"/>
    <w:rsid w:val="002F1FBE"/>
    <w:rsid w:val="002F20B2"/>
    <w:rsid w:val="002F20D5"/>
    <w:rsid w:val="002F211D"/>
    <w:rsid w:val="002F242B"/>
    <w:rsid w:val="002F248D"/>
    <w:rsid w:val="002F2C27"/>
    <w:rsid w:val="002F3F6B"/>
    <w:rsid w:val="002F4403"/>
    <w:rsid w:val="002F4A5D"/>
    <w:rsid w:val="002F4D0A"/>
    <w:rsid w:val="002F51EC"/>
    <w:rsid w:val="002F5BA0"/>
    <w:rsid w:val="002F5FAF"/>
    <w:rsid w:val="002F6394"/>
    <w:rsid w:val="002F66DD"/>
    <w:rsid w:val="002F770C"/>
    <w:rsid w:val="002F7DF6"/>
    <w:rsid w:val="003002BB"/>
    <w:rsid w:val="00300EDF"/>
    <w:rsid w:val="0030148C"/>
    <w:rsid w:val="003015E2"/>
    <w:rsid w:val="00301A96"/>
    <w:rsid w:val="00301DB7"/>
    <w:rsid w:val="003022F5"/>
    <w:rsid w:val="003024B5"/>
    <w:rsid w:val="00302AE8"/>
    <w:rsid w:val="00302B19"/>
    <w:rsid w:val="003035B8"/>
    <w:rsid w:val="00304EF7"/>
    <w:rsid w:val="003054DC"/>
    <w:rsid w:val="00306433"/>
    <w:rsid w:val="003065D5"/>
    <w:rsid w:val="00306642"/>
    <w:rsid w:val="00306935"/>
    <w:rsid w:val="003071A8"/>
    <w:rsid w:val="00310A3C"/>
    <w:rsid w:val="00310F47"/>
    <w:rsid w:val="0031177B"/>
    <w:rsid w:val="00311E86"/>
    <w:rsid w:val="003120D9"/>
    <w:rsid w:val="003121AD"/>
    <w:rsid w:val="003121FB"/>
    <w:rsid w:val="00312252"/>
    <w:rsid w:val="00312450"/>
    <w:rsid w:val="0031273B"/>
    <w:rsid w:val="003131ED"/>
    <w:rsid w:val="00314986"/>
    <w:rsid w:val="00314B70"/>
    <w:rsid w:val="00314C5F"/>
    <w:rsid w:val="00314D89"/>
    <w:rsid w:val="00314EA6"/>
    <w:rsid w:val="00315288"/>
    <w:rsid w:val="00315359"/>
    <w:rsid w:val="00315497"/>
    <w:rsid w:val="00315DFE"/>
    <w:rsid w:val="00316248"/>
    <w:rsid w:val="0031638E"/>
    <w:rsid w:val="003167FC"/>
    <w:rsid w:val="00316E4E"/>
    <w:rsid w:val="00317597"/>
    <w:rsid w:val="00317612"/>
    <w:rsid w:val="0031772B"/>
    <w:rsid w:val="0031772C"/>
    <w:rsid w:val="00317FB5"/>
    <w:rsid w:val="00320306"/>
    <w:rsid w:val="00320C97"/>
    <w:rsid w:val="00320D3D"/>
    <w:rsid w:val="00320F46"/>
    <w:rsid w:val="00321BD5"/>
    <w:rsid w:val="00321CEA"/>
    <w:rsid w:val="00321FEB"/>
    <w:rsid w:val="00322945"/>
    <w:rsid w:val="00322B7C"/>
    <w:rsid w:val="0032324D"/>
    <w:rsid w:val="0032386E"/>
    <w:rsid w:val="00323E94"/>
    <w:rsid w:val="00323FE6"/>
    <w:rsid w:val="00324029"/>
    <w:rsid w:val="00324522"/>
    <w:rsid w:val="00325046"/>
    <w:rsid w:val="00325127"/>
    <w:rsid w:val="003255AA"/>
    <w:rsid w:val="00325855"/>
    <w:rsid w:val="00325E73"/>
    <w:rsid w:val="00326191"/>
    <w:rsid w:val="00326B79"/>
    <w:rsid w:val="00326D42"/>
    <w:rsid w:val="003279ED"/>
    <w:rsid w:val="003301CC"/>
    <w:rsid w:val="003301D3"/>
    <w:rsid w:val="00331CD8"/>
    <w:rsid w:val="00331FF9"/>
    <w:rsid w:val="00332A55"/>
    <w:rsid w:val="00332AE4"/>
    <w:rsid w:val="00333441"/>
    <w:rsid w:val="003335B6"/>
    <w:rsid w:val="0033464C"/>
    <w:rsid w:val="00334849"/>
    <w:rsid w:val="003348AD"/>
    <w:rsid w:val="003354E4"/>
    <w:rsid w:val="00335706"/>
    <w:rsid w:val="0033575C"/>
    <w:rsid w:val="003367E0"/>
    <w:rsid w:val="003369AF"/>
    <w:rsid w:val="00336DE2"/>
    <w:rsid w:val="003379B9"/>
    <w:rsid w:val="00340527"/>
    <w:rsid w:val="00340566"/>
    <w:rsid w:val="003407AF"/>
    <w:rsid w:val="00340D35"/>
    <w:rsid w:val="00342567"/>
    <w:rsid w:val="003432F3"/>
    <w:rsid w:val="00343F7F"/>
    <w:rsid w:val="00344325"/>
    <w:rsid w:val="00344B4A"/>
    <w:rsid w:val="00344B92"/>
    <w:rsid w:val="00344C3B"/>
    <w:rsid w:val="00345CAC"/>
    <w:rsid w:val="00346119"/>
    <w:rsid w:val="00346B94"/>
    <w:rsid w:val="00347002"/>
    <w:rsid w:val="0034786B"/>
    <w:rsid w:val="00347C46"/>
    <w:rsid w:val="00347CD2"/>
    <w:rsid w:val="003508B3"/>
    <w:rsid w:val="003518BB"/>
    <w:rsid w:val="00351B39"/>
    <w:rsid w:val="00351F8C"/>
    <w:rsid w:val="00352736"/>
    <w:rsid w:val="00353A89"/>
    <w:rsid w:val="00353F6C"/>
    <w:rsid w:val="0035435D"/>
    <w:rsid w:val="00354BFE"/>
    <w:rsid w:val="00354E4A"/>
    <w:rsid w:val="00355AFD"/>
    <w:rsid w:val="00356E0B"/>
    <w:rsid w:val="00357A30"/>
    <w:rsid w:val="00357DCA"/>
    <w:rsid w:val="00357E0E"/>
    <w:rsid w:val="003600A0"/>
    <w:rsid w:val="003606A5"/>
    <w:rsid w:val="00360D27"/>
    <w:rsid w:val="00361594"/>
    <w:rsid w:val="0036175B"/>
    <w:rsid w:val="0036181B"/>
    <w:rsid w:val="00361ACE"/>
    <w:rsid w:val="003627E8"/>
    <w:rsid w:val="00362AC4"/>
    <w:rsid w:val="00362C65"/>
    <w:rsid w:val="00363332"/>
    <w:rsid w:val="003634A3"/>
    <w:rsid w:val="003647C2"/>
    <w:rsid w:val="00365025"/>
    <w:rsid w:val="00365694"/>
    <w:rsid w:val="003658A6"/>
    <w:rsid w:val="00365AF7"/>
    <w:rsid w:val="00367817"/>
    <w:rsid w:val="00367BB8"/>
    <w:rsid w:val="003704DE"/>
    <w:rsid w:val="0037092A"/>
    <w:rsid w:val="00370E2F"/>
    <w:rsid w:val="00371193"/>
    <w:rsid w:val="00371213"/>
    <w:rsid w:val="0037181C"/>
    <w:rsid w:val="003719E5"/>
    <w:rsid w:val="00372448"/>
    <w:rsid w:val="00372812"/>
    <w:rsid w:val="00372A82"/>
    <w:rsid w:val="00372C00"/>
    <w:rsid w:val="00373122"/>
    <w:rsid w:val="003731B9"/>
    <w:rsid w:val="0037388F"/>
    <w:rsid w:val="00373AF4"/>
    <w:rsid w:val="00374085"/>
    <w:rsid w:val="00374110"/>
    <w:rsid w:val="00374277"/>
    <w:rsid w:val="00374386"/>
    <w:rsid w:val="00374D38"/>
    <w:rsid w:val="00374ECB"/>
    <w:rsid w:val="00375279"/>
    <w:rsid w:val="00375429"/>
    <w:rsid w:val="003755FE"/>
    <w:rsid w:val="00376167"/>
    <w:rsid w:val="00376176"/>
    <w:rsid w:val="0037759D"/>
    <w:rsid w:val="003778C8"/>
    <w:rsid w:val="00377CE2"/>
    <w:rsid w:val="00377E7A"/>
    <w:rsid w:val="00380271"/>
    <w:rsid w:val="003806D0"/>
    <w:rsid w:val="00380AD7"/>
    <w:rsid w:val="00380B03"/>
    <w:rsid w:val="00380B4E"/>
    <w:rsid w:val="00381B90"/>
    <w:rsid w:val="00381F5D"/>
    <w:rsid w:val="003826EB"/>
    <w:rsid w:val="003826F9"/>
    <w:rsid w:val="00383001"/>
    <w:rsid w:val="0038303D"/>
    <w:rsid w:val="00383096"/>
    <w:rsid w:val="003841EE"/>
    <w:rsid w:val="003842A9"/>
    <w:rsid w:val="00384AB2"/>
    <w:rsid w:val="00385FED"/>
    <w:rsid w:val="00386642"/>
    <w:rsid w:val="00386C44"/>
    <w:rsid w:val="00387EC5"/>
    <w:rsid w:val="003900A7"/>
    <w:rsid w:val="00390B48"/>
    <w:rsid w:val="003926FD"/>
    <w:rsid w:val="00392D35"/>
    <w:rsid w:val="00393126"/>
    <w:rsid w:val="00393C14"/>
    <w:rsid w:val="00394085"/>
    <w:rsid w:val="00394D9F"/>
    <w:rsid w:val="003957D4"/>
    <w:rsid w:val="003958E9"/>
    <w:rsid w:val="00395DB6"/>
    <w:rsid w:val="003964F4"/>
    <w:rsid w:val="0039687B"/>
    <w:rsid w:val="003974A7"/>
    <w:rsid w:val="0039788E"/>
    <w:rsid w:val="00397FB2"/>
    <w:rsid w:val="003A0131"/>
    <w:rsid w:val="003A06EE"/>
    <w:rsid w:val="003A09DB"/>
    <w:rsid w:val="003A0D14"/>
    <w:rsid w:val="003A1669"/>
    <w:rsid w:val="003A19AF"/>
    <w:rsid w:val="003A1B80"/>
    <w:rsid w:val="003A2244"/>
    <w:rsid w:val="003A26CC"/>
    <w:rsid w:val="003A27DA"/>
    <w:rsid w:val="003A3C13"/>
    <w:rsid w:val="003A3F00"/>
    <w:rsid w:val="003A441E"/>
    <w:rsid w:val="003A5D68"/>
    <w:rsid w:val="003A6988"/>
    <w:rsid w:val="003A70C4"/>
    <w:rsid w:val="003A70DE"/>
    <w:rsid w:val="003A77C8"/>
    <w:rsid w:val="003B078B"/>
    <w:rsid w:val="003B0D50"/>
    <w:rsid w:val="003B0E0D"/>
    <w:rsid w:val="003B1357"/>
    <w:rsid w:val="003B1DFC"/>
    <w:rsid w:val="003B236E"/>
    <w:rsid w:val="003B336C"/>
    <w:rsid w:val="003B352F"/>
    <w:rsid w:val="003B371E"/>
    <w:rsid w:val="003B37B8"/>
    <w:rsid w:val="003B3C2D"/>
    <w:rsid w:val="003B3D23"/>
    <w:rsid w:val="003B426E"/>
    <w:rsid w:val="003B43B1"/>
    <w:rsid w:val="003B4D5F"/>
    <w:rsid w:val="003B4F37"/>
    <w:rsid w:val="003B5153"/>
    <w:rsid w:val="003B55BD"/>
    <w:rsid w:val="003B59C3"/>
    <w:rsid w:val="003B5D51"/>
    <w:rsid w:val="003B62B5"/>
    <w:rsid w:val="003B62EC"/>
    <w:rsid w:val="003B6362"/>
    <w:rsid w:val="003B650A"/>
    <w:rsid w:val="003B6E86"/>
    <w:rsid w:val="003B76BB"/>
    <w:rsid w:val="003B7C7A"/>
    <w:rsid w:val="003B7F79"/>
    <w:rsid w:val="003C054D"/>
    <w:rsid w:val="003C0A3F"/>
    <w:rsid w:val="003C0F81"/>
    <w:rsid w:val="003C1BE1"/>
    <w:rsid w:val="003C24D5"/>
    <w:rsid w:val="003C2E3B"/>
    <w:rsid w:val="003C336D"/>
    <w:rsid w:val="003C449B"/>
    <w:rsid w:val="003C48C8"/>
    <w:rsid w:val="003C4E26"/>
    <w:rsid w:val="003C4EFA"/>
    <w:rsid w:val="003C50B2"/>
    <w:rsid w:val="003C69F1"/>
    <w:rsid w:val="003C7311"/>
    <w:rsid w:val="003C7ADC"/>
    <w:rsid w:val="003C7D29"/>
    <w:rsid w:val="003D038D"/>
    <w:rsid w:val="003D07E3"/>
    <w:rsid w:val="003D0D43"/>
    <w:rsid w:val="003D0FDB"/>
    <w:rsid w:val="003D134A"/>
    <w:rsid w:val="003D1E38"/>
    <w:rsid w:val="003D1FD9"/>
    <w:rsid w:val="003D23FC"/>
    <w:rsid w:val="003D3FBA"/>
    <w:rsid w:val="003D3FE7"/>
    <w:rsid w:val="003D4F4C"/>
    <w:rsid w:val="003D5177"/>
    <w:rsid w:val="003D57B4"/>
    <w:rsid w:val="003D5C0D"/>
    <w:rsid w:val="003D5E2C"/>
    <w:rsid w:val="003D61E0"/>
    <w:rsid w:val="003D75DF"/>
    <w:rsid w:val="003D774D"/>
    <w:rsid w:val="003E03B7"/>
    <w:rsid w:val="003E0C82"/>
    <w:rsid w:val="003E0E47"/>
    <w:rsid w:val="003E130E"/>
    <w:rsid w:val="003E17E7"/>
    <w:rsid w:val="003E19B8"/>
    <w:rsid w:val="003E1FCC"/>
    <w:rsid w:val="003E227F"/>
    <w:rsid w:val="003E27E3"/>
    <w:rsid w:val="003E318C"/>
    <w:rsid w:val="003E54FE"/>
    <w:rsid w:val="003E5712"/>
    <w:rsid w:val="003E5F59"/>
    <w:rsid w:val="003E6BAC"/>
    <w:rsid w:val="003E73EE"/>
    <w:rsid w:val="003E7610"/>
    <w:rsid w:val="003E7DE4"/>
    <w:rsid w:val="003F0113"/>
    <w:rsid w:val="003F02F4"/>
    <w:rsid w:val="003F0337"/>
    <w:rsid w:val="003F141C"/>
    <w:rsid w:val="003F1BC8"/>
    <w:rsid w:val="003F3249"/>
    <w:rsid w:val="003F3377"/>
    <w:rsid w:val="003F36C0"/>
    <w:rsid w:val="003F422A"/>
    <w:rsid w:val="003F4265"/>
    <w:rsid w:val="003F4424"/>
    <w:rsid w:val="003F4546"/>
    <w:rsid w:val="003F49BA"/>
    <w:rsid w:val="003F4BEC"/>
    <w:rsid w:val="003F4CD2"/>
    <w:rsid w:val="003F4EB5"/>
    <w:rsid w:val="003F4F0B"/>
    <w:rsid w:val="003F5160"/>
    <w:rsid w:val="003F51A9"/>
    <w:rsid w:val="003F5CBC"/>
    <w:rsid w:val="003F5F5C"/>
    <w:rsid w:val="003F626F"/>
    <w:rsid w:val="003F65CB"/>
    <w:rsid w:val="003F6BD0"/>
    <w:rsid w:val="003F6BF5"/>
    <w:rsid w:val="003F6D0C"/>
    <w:rsid w:val="003F6F87"/>
    <w:rsid w:val="003F7188"/>
    <w:rsid w:val="004000F6"/>
    <w:rsid w:val="004016EE"/>
    <w:rsid w:val="00402F06"/>
    <w:rsid w:val="0040317B"/>
    <w:rsid w:val="004033CB"/>
    <w:rsid w:val="00403657"/>
    <w:rsid w:val="004037B2"/>
    <w:rsid w:val="00403EA5"/>
    <w:rsid w:val="004059C9"/>
    <w:rsid w:val="004060B4"/>
    <w:rsid w:val="0040621C"/>
    <w:rsid w:val="004067A4"/>
    <w:rsid w:val="00406E0F"/>
    <w:rsid w:val="0040704E"/>
    <w:rsid w:val="00407C38"/>
    <w:rsid w:val="004105D6"/>
    <w:rsid w:val="00410D5C"/>
    <w:rsid w:val="004115CE"/>
    <w:rsid w:val="0041164A"/>
    <w:rsid w:val="00411A11"/>
    <w:rsid w:val="00411AC1"/>
    <w:rsid w:val="00411F44"/>
    <w:rsid w:val="004129D2"/>
    <w:rsid w:val="00412C98"/>
    <w:rsid w:val="00412CBC"/>
    <w:rsid w:val="0041313A"/>
    <w:rsid w:val="004135C2"/>
    <w:rsid w:val="0041439F"/>
    <w:rsid w:val="00414B09"/>
    <w:rsid w:val="00414C18"/>
    <w:rsid w:val="00414C56"/>
    <w:rsid w:val="00414D6F"/>
    <w:rsid w:val="00415ADD"/>
    <w:rsid w:val="00416041"/>
    <w:rsid w:val="00416045"/>
    <w:rsid w:val="0041672C"/>
    <w:rsid w:val="00417C66"/>
    <w:rsid w:val="0041CDB1"/>
    <w:rsid w:val="0042057A"/>
    <w:rsid w:val="00420719"/>
    <w:rsid w:val="004209D0"/>
    <w:rsid w:val="00420C68"/>
    <w:rsid w:val="0042111B"/>
    <w:rsid w:val="0042172E"/>
    <w:rsid w:val="0042194A"/>
    <w:rsid w:val="004220C3"/>
    <w:rsid w:val="00422422"/>
    <w:rsid w:val="00422522"/>
    <w:rsid w:val="00422E07"/>
    <w:rsid w:val="004231C8"/>
    <w:rsid w:val="0042396C"/>
    <w:rsid w:val="00423AD2"/>
    <w:rsid w:val="00423AF0"/>
    <w:rsid w:val="004243F9"/>
    <w:rsid w:val="004246E6"/>
    <w:rsid w:val="00424B78"/>
    <w:rsid w:val="00425671"/>
    <w:rsid w:val="0042622E"/>
    <w:rsid w:val="00426573"/>
    <w:rsid w:val="00426BCE"/>
    <w:rsid w:val="00427047"/>
    <w:rsid w:val="0042753B"/>
    <w:rsid w:val="00427B04"/>
    <w:rsid w:val="004300B8"/>
    <w:rsid w:val="004305D2"/>
    <w:rsid w:val="00431131"/>
    <w:rsid w:val="0043174C"/>
    <w:rsid w:val="00431EB6"/>
    <w:rsid w:val="0043252D"/>
    <w:rsid w:val="00432641"/>
    <w:rsid w:val="0043295B"/>
    <w:rsid w:val="00432978"/>
    <w:rsid w:val="00432F78"/>
    <w:rsid w:val="00433332"/>
    <w:rsid w:val="00433E6A"/>
    <w:rsid w:val="00433E9F"/>
    <w:rsid w:val="004342D6"/>
    <w:rsid w:val="00434A96"/>
    <w:rsid w:val="004350B6"/>
    <w:rsid w:val="004353CA"/>
    <w:rsid w:val="004356E8"/>
    <w:rsid w:val="0043578C"/>
    <w:rsid w:val="00435C2E"/>
    <w:rsid w:val="0043608B"/>
    <w:rsid w:val="004366FF"/>
    <w:rsid w:val="00437066"/>
    <w:rsid w:val="004370EA"/>
    <w:rsid w:val="00437A66"/>
    <w:rsid w:val="00437C04"/>
    <w:rsid w:val="004403AD"/>
    <w:rsid w:val="004403B1"/>
    <w:rsid w:val="0044152A"/>
    <w:rsid w:val="004416BF"/>
    <w:rsid w:val="00441EC1"/>
    <w:rsid w:val="0044237A"/>
    <w:rsid w:val="00442424"/>
    <w:rsid w:val="0044288B"/>
    <w:rsid w:val="0044295B"/>
    <w:rsid w:val="00442C7E"/>
    <w:rsid w:val="00442D67"/>
    <w:rsid w:val="00444714"/>
    <w:rsid w:val="00444C67"/>
    <w:rsid w:val="00444D9D"/>
    <w:rsid w:val="004455DE"/>
    <w:rsid w:val="00445746"/>
    <w:rsid w:val="00446319"/>
    <w:rsid w:val="00446632"/>
    <w:rsid w:val="004469F4"/>
    <w:rsid w:val="00446D42"/>
    <w:rsid w:val="0044773F"/>
    <w:rsid w:val="00447B7D"/>
    <w:rsid w:val="00447B7F"/>
    <w:rsid w:val="00447E91"/>
    <w:rsid w:val="004508DA"/>
    <w:rsid w:val="00450BE9"/>
    <w:rsid w:val="004510F3"/>
    <w:rsid w:val="004513C0"/>
    <w:rsid w:val="0045187A"/>
    <w:rsid w:val="00451D46"/>
    <w:rsid w:val="004521C0"/>
    <w:rsid w:val="004525D8"/>
    <w:rsid w:val="004528F5"/>
    <w:rsid w:val="00452DB2"/>
    <w:rsid w:val="00452E14"/>
    <w:rsid w:val="00452F5F"/>
    <w:rsid w:val="0045307C"/>
    <w:rsid w:val="0045368C"/>
    <w:rsid w:val="004539F8"/>
    <w:rsid w:val="00453A8B"/>
    <w:rsid w:val="0045444A"/>
    <w:rsid w:val="0045483D"/>
    <w:rsid w:val="00454D92"/>
    <w:rsid w:val="0045570F"/>
    <w:rsid w:val="004558FF"/>
    <w:rsid w:val="00455A3D"/>
    <w:rsid w:val="00455B06"/>
    <w:rsid w:val="004568A4"/>
    <w:rsid w:val="00456F7F"/>
    <w:rsid w:val="004576ED"/>
    <w:rsid w:val="004579F5"/>
    <w:rsid w:val="00457CC4"/>
    <w:rsid w:val="00460216"/>
    <w:rsid w:val="00460512"/>
    <w:rsid w:val="00460ECD"/>
    <w:rsid w:val="004611DC"/>
    <w:rsid w:val="0046209B"/>
    <w:rsid w:val="004622F1"/>
    <w:rsid w:val="00462F1D"/>
    <w:rsid w:val="00464C96"/>
    <w:rsid w:val="00464DC7"/>
    <w:rsid w:val="00465017"/>
    <w:rsid w:val="0046514B"/>
    <w:rsid w:val="00465B58"/>
    <w:rsid w:val="00465EA5"/>
    <w:rsid w:val="00465F0F"/>
    <w:rsid w:val="00466153"/>
    <w:rsid w:val="00466226"/>
    <w:rsid w:val="004663C0"/>
    <w:rsid w:val="004665B8"/>
    <w:rsid w:val="00467148"/>
    <w:rsid w:val="00467167"/>
    <w:rsid w:val="004672C8"/>
    <w:rsid w:val="00467590"/>
    <w:rsid w:val="00467A31"/>
    <w:rsid w:val="00470063"/>
    <w:rsid w:val="00470311"/>
    <w:rsid w:val="00471091"/>
    <w:rsid w:val="004722A8"/>
    <w:rsid w:val="004725C0"/>
    <w:rsid w:val="00472C4B"/>
    <w:rsid w:val="00472E9C"/>
    <w:rsid w:val="00472EF2"/>
    <w:rsid w:val="00473094"/>
    <w:rsid w:val="00473246"/>
    <w:rsid w:val="004732A0"/>
    <w:rsid w:val="00473364"/>
    <w:rsid w:val="00473447"/>
    <w:rsid w:val="004734C0"/>
    <w:rsid w:val="00473659"/>
    <w:rsid w:val="00473D63"/>
    <w:rsid w:val="00473FE3"/>
    <w:rsid w:val="00474181"/>
    <w:rsid w:val="0047483A"/>
    <w:rsid w:val="004748D5"/>
    <w:rsid w:val="00474E37"/>
    <w:rsid w:val="00475351"/>
    <w:rsid w:val="00475EE7"/>
    <w:rsid w:val="00475F97"/>
    <w:rsid w:val="00476AD4"/>
    <w:rsid w:val="00476F66"/>
    <w:rsid w:val="00476FFD"/>
    <w:rsid w:val="0047723F"/>
    <w:rsid w:val="004774CD"/>
    <w:rsid w:val="0047797C"/>
    <w:rsid w:val="00477E9E"/>
    <w:rsid w:val="004802DC"/>
    <w:rsid w:val="00480E15"/>
    <w:rsid w:val="00480FDE"/>
    <w:rsid w:val="00481AE3"/>
    <w:rsid w:val="00481B09"/>
    <w:rsid w:val="00481DD5"/>
    <w:rsid w:val="00481E02"/>
    <w:rsid w:val="00482475"/>
    <w:rsid w:val="004828E3"/>
    <w:rsid w:val="004848F2"/>
    <w:rsid w:val="00484DFA"/>
    <w:rsid w:val="00485036"/>
    <w:rsid w:val="0048623C"/>
    <w:rsid w:val="0048671D"/>
    <w:rsid w:val="004869D7"/>
    <w:rsid w:val="00486A5D"/>
    <w:rsid w:val="00486E30"/>
    <w:rsid w:val="004878D2"/>
    <w:rsid w:val="00487B1C"/>
    <w:rsid w:val="0049010A"/>
    <w:rsid w:val="00490545"/>
    <w:rsid w:val="00490D4E"/>
    <w:rsid w:val="004918C6"/>
    <w:rsid w:val="00491E91"/>
    <w:rsid w:val="004925FE"/>
    <w:rsid w:val="0049374A"/>
    <w:rsid w:val="004945FC"/>
    <w:rsid w:val="0049489E"/>
    <w:rsid w:val="0049553D"/>
    <w:rsid w:val="004971CC"/>
    <w:rsid w:val="00497BA9"/>
    <w:rsid w:val="00497D9D"/>
    <w:rsid w:val="004A0D38"/>
    <w:rsid w:val="004A0E6B"/>
    <w:rsid w:val="004A119E"/>
    <w:rsid w:val="004A1257"/>
    <w:rsid w:val="004A12A0"/>
    <w:rsid w:val="004A152B"/>
    <w:rsid w:val="004A2C86"/>
    <w:rsid w:val="004A2D80"/>
    <w:rsid w:val="004A3631"/>
    <w:rsid w:val="004A391B"/>
    <w:rsid w:val="004A398A"/>
    <w:rsid w:val="004A399C"/>
    <w:rsid w:val="004A4079"/>
    <w:rsid w:val="004A4316"/>
    <w:rsid w:val="004A45BB"/>
    <w:rsid w:val="004A4724"/>
    <w:rsid w:val="004A4954"/>
    <w:rsid w:val="004A4C46"/>
    <w:rsid w:val="004A517F"/>
    <w:rsid w:val="004A6CF8"/>
    <w:rsid w:val="004A6DEF"/>
    <w:rsid w:val="004A6E28"/>
    <w:rsid w:val="004A6F81"/>
    <w:rsid w:val="004A7518"/>
    <w:rsid w:val="004B0667"/>
    <w:rsid w:val="004B0CB1"/>
    <w:rsid w:val="004B105E"/>
    <w:rsid w:val="004B1579"/>
    <w:rsid w:val="004B15AF"/>
    <w:rsid w:val="004B2055"/>
    <w:rsid w:val="004B2BCE"/>
    <w:rsid w:val="004B36FC"/>
    <w:rsid w:val="004B37DC"/>
    <w:rsid w:val="004B3A52"/>
    <w:rsid w:val="004B3F42"/>
    <w:rsid w:val="004B4326"/>
    <w:rsid w:val="004B5161"/>
    <w:rsid w:val="004B541F"/>
    <w:rsid w:val="004B659D"/>
    <w:rsid w:val="004B66DC"/>
    <w:rsid w:val="004B68D8"/>
    <w:rsid w:val="004B757C"/>
    <w:rsid w:val="004B7825"/>
    <w:rsid w:val="004B7C3D"/>
    <w:rsid w:val="004C03E9"/>
    <w:rsid w:val="004C06DB"/>
    <w:rsid w:val="004C072C"/>
    <w:rsid w:val="004C073A"/>
    <w:rsid w:val="004C08D3"/>
    <w:rsid w:val="004C0AE4"/>
    <w:rsid w:val="004C2040"/>
    <w:rsid w:val="004C2263"/>
    <w:rsid w:val="004C2E80"/>
    <w:rsid w:val="004C4326"/>
    <w:rsid w:val="004C4E9A"/>
    <w:rsid w:val="004C5C53"/>
    <w:rsid w:val="004C6172"/>
    <w:rsid w:val="004C6346"/>
    <w:rsid w:val="004C6A1B"/>
    <w:rsid w:val="004C6C46"/>
    <w:rsid w:val="004C73B7"/>
    <w:rsid w:val="004D029E"/>
    <w:rsid w:val="004D0451"/>
    <w:rsid w:val="004D0B54"/>
    <w:rsid w:val="004D1905"/>
    <w:rsid w:val="004D196D"/>
    <w:rsid w:val="004D1BC7"/>
    <w:rsid w:val="004D1C36"/>
    <w:rsid w:val="004D1E44"/>
    <w:rsid w:val="004D2D22"/>
    <w:rsid w:val="004D2FAC"/>
    <w:rsid w:val="004D32AB"/>
    <w:rsid w:val="004D35C6"/>
    <w:rsid w:val="004D39F6"/>
    <w:rsid w:val="004D3CD6"/>
    <w:rsid w:val="004D4078"/>
    <w:rsid w:val="004D42CA"/>
    <w:rsid w:val="004D44FB"/>
    <w:rsid w:val="004D4C05"/>
    <w:rsid w:val="004D57A2"/>
    <w:rsid w:val="004D6590"/>
    <w:rsid w:val="004D6818"/>
    <w:rsid w:val="004D6E3F"/>
    <w:rsid w:val="004D6EB8"/>
    <w:rsid w:val="004D7616"/>
    <w:rsid w:val="004D7775"/>
    <w:rsid w:val="004D7AE2"/>
    <w:rsid w:val="004E02DA"/>
    <w:rsid w:val="004E0456"/>
    <w:rsid w:val="004E0AA1"/>
    <w:rsid w:val="004E0AC0"/>
    <w:rsid w:val="004E0BF5"/>
    <w:rsid w:val="004E1C8C"/>
    <w:rsid w:val="004E1CD1"/>
    <w:rsid w:val="004E1E4C"/>
    <w:rsid w:val="004E2037"/>
    <w:rsid w:val="004E2865"/>
    <w:rsid w:val="004E29F1"/>
    <w:rsid w:val="004E2A2C"/>
    <w:rsid w:val="004E35A6"/>
    <w:rsid w:val="004E3BF1"/>
    <w:rsid w:val="004E3BFF"/>
    <w:rsid w:val="004E3DB9"/>
    <w:rsid w:val="004E3F5D"/>
    <w:rsid w:val="004E4114"/>
    <w:rsid w:val="004E43A6"/>
    <w:rsid w:val="004E5179"/>
    <w:rsid w:val="004E5368"/>
    <w:rsid w:val="004E59A9"/>
    <w:rsid w:val="004E5EF9"/>
    <w:rsid w:val="004E7A24"/>
    <w:rsid w:val="004E7C0F"/>
    <w:rsid w:val="004E7DEB"/>
    <w:rsid w:val="004E7E32"/>
    <w:rsid w:val="004E7FB8"/>
    <w:rsid w:val="004F0676"/>
    <w:rsid w:val="004F15C5"/>
    <w:rsid w:val="004F1665"/>
    <w:rsid w:val="004F1BF9"/>
    <w:rsid w:val="004F28F5"/>
    <w:rsid w:val="004F2A69"/>
    <w:rsid w:val="004F2A87"/>
    <w:rsid w:val="004F3026"/>
    <w:rsid w:val="004F3ACC"/>
    <w:rsid w:val="004F3E9D"/>
    <w:rsid w:val="004F3FFC"/>
    <w:rsid w:val="004F44A2"/>
    <w:rsid w:val="004F4839"/>
    <w:rsid w:val="004F4DF4"/>
    <w:rsid w:val="004F605A"/>
    <w:rsid w:val="004F7B7C"/>
    <w:rsid w:val="004F7DB7"/>
    <w:rsid w:val="00500162"/>
    <w:rsid w:val="00500D15"/>
    <w:rsid w:val="0050165B"/>
    <w:rsid w:val="00501AFB"/>
    <w:rsid w:val="00502003"/>
    <w:rsid w:val="00502073"/>
    <w:rsid w:val="00502250"/>
    <w:rsid w:val="005027F2"/>
    <w:rsid w:val="005036C8"/>
    <w:rsid w:val="005039D5"/>
    <w:rsid w:val="00503BD2"/>
    <w:rsid w:val="00504632"/>
    <w:rsid w:val="005049AF"/>
    <w:rsid w:val="00505ADE"/>
    <w:rsid w:val="00507EBE"/>
    <w:rsid w:val="0051012F"/>
    <w:rsid w:val="005104E3"/>
    <w:rsid w:val="005108AE"/>
    <w:rsid w:val="005109C7"/>
    <w:rsid w:val="00510BE5"/>
    <w:rsid w:val="005111F3"/>
    <w:rsid w:val="00511489"/>
    <w:rsid w:val="00511495"/>
    <w:rsid w:val="00511516"/>
    <w:rsid w:val="00511A47"/>
    <w:rsid w:val="00511D33"/>
    <w:rsid w:val="00511EE6"/>
    <w:rsid w:val="0051259A"/>
    <w:rsid w:val="005129DB"/>
    <w:rsid w:val="00512EDB"/>
    <w:rsid w:val="00513311"/>
    <w:rsid w:val="005140E3"/>
    <w:rsid w:val="0051513C"/>
    <w:rsid w:val="00515F75"/>
    <w:rsid w:val="0051614E"/>
    <w:rsid w:val="0051616D"/>
    <w:rsid w:val="005162A7"/>
    <w:rsid w:val="00516CF2"/>
    <w:rsid w:val="00517766"/>
    <w:rsid w:val="005179C5"/>
    <w:rsid w:val="00520720"/>
    <w:rsid w:val="005207F5"/>
    <w:rsid w:val="00520E61"/>
    <w:rsid w:val="00521E0F"/>
    <w:rsid w:val="005222E9"/>
    <w:rsid w:val="00523359"/>
    <w:rsid w:val="00523AAD"/>
    <w:rsid w:val="005247B3"/>
    <w:rsid w:val="005248DC"/>
    <w:rsid w:val="00524A18"/>
    <w:rsid w:val="00524B17"/>
    <w:rsid w:val="00524B75"/>
    <w:rsid w:val="00525909"/>
    <w:rsid w:val="005268EB"/>
    <w:rsid w:val="00526B10"/>
    <w:rsid w:val="0052770D"/>
    <w:rsid w:val="00527BDE"/>
    <w:rsid w:val="00527C32"/>
    <w:rsid w:val="00530581"/>
    <w:rsid w:val="005306C5"/>
    <w:rsid w:val="00530ED9"/>
    <w:rsid w:val="00530F6B"/>
    <w:rsid w:val="0053108A"/>
    <w:rsid w:val="005312C3"/>
    <w:rsid w:val="005319E4"/>
    <w:rsid w:val="00533686"/>
    <w:rsid w:val="005336AB"/>
    <w:rsid w:val="00533906"/>
    <w:rsid w:val="00534A42"/>
    <w:rsid w:val="00534E95"/>
    <w:rsid w:val="00535481"/>
    <w:rsid w:val="0053645F"/>
    <w:rsid w:val="00536A53"/>
    <w:rsid w:val="0053709C"/>
    <w:rsid w:val="00537272"/>
    <w:rsid w:val="00537DAA"/>
    <w:rsid w:val="00540403"/>
    <w:rsid w:val="0054059F"/>
    <w:rsid w:val="00540A59"/>
    <w:rsid w:val="00541032"/>
    <w:rsid w:val="0054107F"/>
    <w:rsid w:val="00542D12"/>
    <w:rsid w:val="0054340F"/>
    <w:rsid w:val="00543C77"/>
    <w:rsid w:val="00543EA8"/>
    <w:rsid w:val="00543EDB"/>
    <w:rsid w:val="00544086"/>
    <w:rsid w:val="005440CB"/>
    <w:rsid w:val="00544657"/>
    <w:rsid w:val="005448BB"/>
    <w:rsid w:val="00544A91"/>
    <w:rsid w:val="0054575F"/>
    <w:rsid w:val="0054597E"/>
    <w:rsid w:val="00545E96"/>
    <w:rsid w:val="005472E4"/>
    <w:rsid w:val="00547767"/>
    <w:rsid w:val="00550209"/>
    <w:rsid w:val="00551333"/>
    <w:rsid w:val="00551366"/>
    <w:rsid w:val="00551782"/>
    <w:rsid w:val="00551C59"/>
    <w:rsid w:val="00551F9F"/>
    <w:rsid w:val="0055259D"/>
    <w:rsid w:val="005527FE"/>
    <w:rsid w:val="00552983"/>
    <w:rsid w:val="00552D99"/>
    <w:rsid w:val="0055384C"/>
    <w:rsid w:val="00553C0E"/>
    <w:rsid w:val="00553E19"/>
    <w:rsid w:val="005542F8"/>
    <w:rsid w:val="00554A1B"/>
    <w:rsid w:val="00554C27"/>
    <w:rsid w:val="0055561C"/>
    <w:rsid w:val="00556D78"/>
    <w:rsid w:val="00557E12"/>
    <w:rsid w:val="00557E9B"/>
    <w:rsid w:val="005600F2"/>
    <w:rsid w:val="00560F0D"/>
    <w:rsid w:val="0056142F"/>
    <w:rsid w:val="0056170D"/>
    <w:rsid w:val="00562DE7"/>
    <w:rsid w:val="00563066"/>
    <w:rsid w:val="005630C0"/>
    <w:rsid w:val="005634E0"/>
    <w:rsid w:val="00564418"/>
    <w:rsid w:val="005649AA"/>
    <w:rsid w:val="00564D47"/>
    <w:rsid w:val="00564E25"/>
    <w:rsid w:val="00565DAC"/>
    <w:rsid w:val="00566312"/>
    <w:rsid w:val="00566374"/>
    <w:rsid w:val="00567221"/>
    <w:rsid w:val="0056736B"/>
    <w:rsid w:val="00567716"/>
    <w:rsid w:val="00567875"/>
    <w:rsid w:val="005678FF"/>
    <w:rsid w:val="0057000C"/>
    <w:rsid w:val="00570928"/>
    <w:rsid w:val="00570ADA"/>
    <w:rsid w:val="005717A2"/>
    <w:rsid w:val="005717A5"/>
    <w:rsid w:val="0057303A"/>
    <w:rsid w:val="00573826"/>
    <w:rsid w:val="00573A9A"/>
    <w:rsid w:val="005741B3"/>
    <w:rsid w:val="005749F8"/>
    <w:rsid w:val="00574B5A"/>
    <w:rsid w:val="005758A1"/>
    <w:rsid w:val="00575C34"/>
    <w:rsid w:val="00576326"/>
    <w:rsid w:val="005764FC"/>
    <w:rsid w:val="00576F1B"/>
    <w:rsid w:val="0057703B"/>
    <w:rsid w:val="00577B9F"/>
    <w:rsid w:val="00577D2B"/>
    <w:rsid w:val="00577D6C"/>
    <w:rsid w:val="0058066D"/>
    <w:rsid w:val="00580E17"/>
    <w:rsid w:val="0058198F"/>
    <w:rsid w:val="00581BD9"/>
    <w:rsid w:val="00581C19"/>
    <w:rsid w:val="005837A0"/>
    <w:rsid w:val="00584185"/>
    <w:rsid w:val="00584E77"/>
    <w:rsid w:val="005862C4"/>
    <w:rsid w:val="005862DA"/>
    <w:rsid w:val="005865DC"/>
    <w:rsid w:val="00586A5C"/>
    <w:rsid w:val="0058791A"/>
    <w:rsid w:val="00590245"/>
    <w:rsid w:val="0059063C"/>
    <w:rsid w:val="00590DAF"/>
    <w:rsid w:val="0059106F"/>
    <w:rsid w:val="00592DAA"/>
    <w:rsid w:val="005931AD"/>
    <w:rsid w:val="00593AE1"/>
    <w:rsid w:val="00593D9E"/>
    <w:rsid w:val="00593DBF"/>
    <w:rsid w:val="005945F7"/>
    <w:rsid w:val="00594A5C"/>
    <w:rsid w:val="0059584D"/>
    <w:rsid w:val="00595B9E"/>
    <w:rsid w:val="00595BCE"/>
    <w:rsid w:val="00597BE1"/>
    <w:rsid w:val="00597F15"/>
    <w:rsid w:val="005A0C67"/>
    <w:rsid w:val="005A0DE3"/>
    <w:rsid w:val="005A0F5D"/>
    <w:rsid w:val="005A1BB6"/>
    <w:rsid w:val="005A216C"/>
    <w:rsid w:val="005A239A"/>
    <w:rsid w:val="005A2533"/>
    <w:rsid w:val="005A26B9"/>
    <w:rsid w:val="005A28A2"/>
    <w:rsid w:val="005A304F"/>
    <w:rsid w:val="005A3344"/>
    <w:rsid w:val="005A3577"/>
    <w:rsid w:val="005A3D73"/>
    <w:rsid w:val="005A3D88"/>
    <w:rsid w:val="005A3DCB"/>
    <w:rsid w:val="005A45B6"/>
    <w:rsid w:val="005A5DD4"/>
    <w:rsid w:val="005A616E"/>
    <w:rsid w:val="005A686E"/>
    <w:rsid w:val="005A7F36"/>
    <w:rsid w:val="005B0207"/>
    <w:rsid w:val="005B13DA"/>
    <w:rsid w:val="005B1997"/>
    <w:rsid w:val="005B1D1B"/>
    <w:rsid w:val="005B1E3D"/>
    <w:rsid w:val="005B1FBC"/>
    <w:rsid w:val="005B28D7"/>
    <w:rsid w:val="005B2DBE"/>
    <w:rsid w:val="005B3178"/>
    <w:rsid w:val="005B3F43"/>
    <w:rsid w:val="005B4C32"/>
    <w:rsid w:val="005B53FF"/>
    <w:rsid w:val="005B55A1"/>
    <w:rsid w:val="005B5FC7"/>
    <w:rsid w:val="005B6025"/>
    <w:rsid w:val="005B613C"/>
    <w:rsid w:val="005B62D6"/>
    <w:rsid w:val="005B65A8"/>
    <w:rsid w:val="005B704A"/>
    <w:rsid w:val="005B70FE"/>
    <w:rsid w:val="005B7983"/>
    <w:rsid w:val="005C05E9"/>
    <w:rsid w:val="005C10E7"/>
    <w:rsid w:val="005C2584"/>
    <w:rsid w:val="005C284A"/>
    <w:rsid w:val="005C298B"/>
    <w:rsid w:val="005C339D"/>
    <w:rsid w:val="005C388F"/>
    <w:rsid w:val="005C391A"/>
    <w:rsid w:val="005C3C55"/>
    <w:rsid w:val="005C442F"/>
    <w:rsid w:val="005C45F8"/>
    <w:rsid w:val="005C4B40"/>
    <w:rsid w:val="005C50AB"/>
    <w:rsid w:val="005C52EF"/>
    <w:rsid w:val="005C554E"/>
    <w:rsid w:val="005C5564"/>
    <w:rsid w:val="005C5927"/>
    <w:rsid w:val="005C5B3A"/>
    <w:rsid w:val="005C5BB2"/>
    <w:rsid w:val="005C5BED"/>
    <w:rsid w:val="005C5D90"/>
    <w:rsid w:val="005C5EB3"/>
    <w:rsid w:val="005C6156"/>
    <w:rsid w:val="005C6658"/>
    <w:rsid w:val="005C6EDD"/>
    <w:rsid w:val="005C7183"/>
    <w:rsid w:val="005C721E"/>
    <w:rsid w:val="005C7BF9"/>
    <w:rsid w:val="005C7C7C"/>
    <w:rsid w:val="005D003C"/>
    <w:rsid w:val="005D08BE"/>
    <w:rsid w:val="005D1A5F"/>
    <w:rsid w:val="005D279C"/>
    <w:rsid w:val="005D29AD"/>
    <w:rsid w:val="005D2BED"/>
    <w:rsid w:val="005D2CC8"/>
    <w:rsid w:val="005D2DF3"/>
    <w:rsid w:val="005D3DE2"/>
    <w:rsid w:val="005D4112"/>
    <w:rsid w:val="005D41A5"/>
    <w:rsid w:val="005D4836"/>
    <w:rsid w:val="005D6353"/>
    <w:rsid w:val="005D6676"/>
    <w:rsid w:val="005D692D"/>
    <w:rsid w:val="005D6D39"/>
    <w:rsid w:val="005D6E6A"/>
    <w:rsid w:val="005E0596"/>
    <w:rsid w:val="005E0E6E"/>
    <w:rsid w:val="005E1564"/>
    <w:rsid w:val="005E169A"/>
    <w:rsid w:val="005E177C"/>
    <w:rsid w:val="005E1ADF"/>
    <w:rsid w:val="005E1E72"/>
    <w:rsid w:val="005E2ADA"/>
    <w:rsid w:val="005E2D25"/>
    <w:rsid w:val="005E3096"/>
    <w:rsid w:val="005E32FA"/>
    <w:rsid w:val="005E370F"/>
    <w:rsid w:val="005E3C98"/>
    <w:rsid w:val="005E4680"/>
    <w:rsid w:val="005E48C2"/>
    <w:rsid w:val="005E4A90"/>
    <w:rsid w:val="005E4B28"/>
    <w:rsid w:val="005E556A"/>
    <w:rsid w:val="005E5576"/>
    <w:rsid w:val="005E67DE"/>
    <w:rsid w:val="005E7AD5"/>
    <w:rsid w:val="005F045F"/>
    <w:rsid w:val="005F0EA3"/>
    <w:rsid w:val="005F1425"/>
    <w:rsid w:val="005F19B0"/>
    <w:rsid w:val="005F1A06"/>
    <w:rsid w:val="005F23F8"/>
    <w:rsid w:val="005F2EF6"/>
    <w:rsid w:val="005F336D"/>
    <w:rsid w:val="005F350E"/>
    <w:rsid w:val="005F3FE5"/>
    <w:rsid w:val="005F41DA"/>
    <w:rsid w:val="005F45D3"/>
    <w:rsid w:val="005F487F"/>
    <w:rsid w:val="005F4E16"/>
    <w:rsid w:val="005F5D72"/>
    <w:rsid w:val="005F5FAE"/>
    <w:rsid w:val="005F63D2"/>
    <w:rsid w:val="005F71FA"/>
    <w:rsid w:val="005F7751"/>
    <w:rsid w:val="005F776E"/>
    <w:rsid w:val="005F7A14"/>
    <w:rsid w:val="005F7D2D"/>
    <w:rsid w:val="005F7F0D"/>
    <w:rsid w:val="006002CB"/>
    <w:rsid w:val="00600589"/>
    <w:rsid w:val="0060074A"/>
    <w:rsid w:val="006011A6"/>
    <w:rsid w:val="006014A7"/>
    <w:rsid w:val="00601896"/>
    <w:rsid w:val="0060271A"/>
    <w:rsid w:val="00602DD9"/>
    <w:rsid w:val="006032CC"/>
    <w:rsid w:val="006039E2"/>
    <w:rsid w:val="00603DE0"/>
    <w:rsid w:val="00604125"/>
    <w:rsid w:val="006044E4"/>
    <w:rsid w:val="00604792"/>
    <w:rsid w:val="00604869"/>
    <w:rsid w:val="00604DF5"/>
    <w:rsid w:val="00604F21"/>
    <w:rsid w:val="00605ADB"/>
    <w:rsid w:val="00605EA0"/>
    <w:rsid w:val="0060669C"/>
    <w:rsid w:val="00606964"/>
    <w:rsid w:val="00606E45"/>
    <w:rsid w:val="00606F59"/>
    <w:rsid w:val="00607384"/>
    <w:rsid w:val="006073BA"/>
    <w:rsid w:val="0060758C"/>
    <w:rsid w:val="006079B0"/>
    <w:rsid w:val="006079CD"/>
    <w:rsid w:val="006102AF"/>
    <w:rsid w:val="0061037C"/>
    <w:rsid w:val="00611206"/>
    <w:rsid w:val="00611751"/>
    <w:rsid w:val="00611AF1"/>
    <w:rsid w:val="00612273"/>
    <w:rsid w:val="00612590"/>
    <w:rsid w:val="00612F14"/>
    <w:rsid w:val="00613B83"/>
    <w:rsid w:val="00613D74"/>
    <w:rsid w:val="00613F1B"/>
    <w:rsid w:val="006145A6"/>
    <w:rsid w:val="006146F0"/>
    <w:rsid w:val="00614A08"/>
    <w:rsid w:val="00614AB9"/>
    <w:rsid w:val="00614D43"/>
    <w:rsid w:val="00614EF8"/>
    <w:rsid w:val="00616246"/>
    <w:rsid w:val="00616BB6"/>
    <w:rsid w:val="00617414"/>
    <w:rsid w:val="0061769B"/>
    <w:rsid w:val="006179E9"/>
    <w:rsid w:val="006204FF"/>
    <w:rsid w:val="0062098B"/>
    <w:rsid w:val="00620D46"/>
    <w:rsid w:val="00621077"/>
    <w:rsid w:val="006212AB"/>
    <w:rsid w:val="00621640"/>
    <w:rsid w:val="00621B9C"/>
    <w:rsid w:val="00621D75"/>
    <w:rsid w:val="0062228A"/>
    <w:rsid w:val="00622956"/>
    <w:rsid w:val="00622998"/>
    <w:rsid w:val="00623530"/>
    <w:rsid w:val="00623606"/>
    <w:rsid w:val="00623614"/>
    <w:rsid w:val="00623D39"/>
    <w:rsid w:val="00623ED6"/>
    <w:rsid w:val="00623F37"/>
    <w:rsid w:val="0062469C"/>
    <w:rsid w:val="00624C3F"/>
    <w:rsid w:val="00624CFA"/>
    <w:rsid w:val="00624D22"/>
    <w:rsid w:val="00625054"/>
    <w:rsid w:val="006259B2"/>
    <w:rsid w:val="00626B32"/>
    <w:rsid w:val="00626D49"/>
    <w:rsid w:val="006270A6"/>
    <w:rsid w:val="006272A0"/>
    <w:rsid w:val="00627443"/>
    <w:rsid w:val="0062776F"/>
    <w:rsid w:val="00627D7D"/>
    <w:rsid w:val="006302EF"/>
    <w:rsid w:val="006307EF"/>
    <w:rsid w:val="006311EB"/>
    <w:rsid w:val="00631368"/>
    <w:rsid w:val="0063184B"/>
    <w:rsid w:val="00631A5F"/>
    <w:rsid w:val="00632ECB"/>
    <w:rsid w:val="0063319B"/>
    <w:rsid w:val="0063367F"/>
    <w:rsid w:val="00633805"/>
    <w:rsid w:val="006341BE"/>
    <w:rsid w:val="006342CC"/>
    <w:rsid w:val="0063451D"/>
    <w:rsid w:val="00634784"/>
    <w:rsid w:val="006347B8"/>
    <w:rsid w:val="00634F56"/>
    <w:rsid w:val="006350B3"/>
    <w:rsid w:val="00635445"/>
    <w:rsid w:val="00635DB7"/>
    <w:rsid w:val="00635F72"/>
    <w:rsid w:val="00636854"/>
    <w:rsid w:val="00636CD5"/>
    <w:rsid w:val="00636D52"/>
    <w:rsid w:val="006375B4"/>
    <w:rsid w:val="0063787E"/>
    <w:rsid w:val="00637CD0"/>
    <w:rsid w:val="00640781"/>
    <w:rsid w:val="0064099D"/>
    <w:rsid w:val="006413B9"/>
    <w:rsid w:val="00641B42"/>
    <w:rsid w:val="00641ED9"/>
    <w:rsid w:val="0064208C"/>
    <w:rsid w:val="0064291B"/>
    <w:rsid w:val="00642D2D"/>
    <w:rsid w:val="00643162"/>
    <w:rsid w:val="0064371E"/>
    <w:rsid w:val="00643A45"/>
    <w:rsid w:val="00643C70"/>
    <w:rsid w:val="00643D45"/>
    <w:rsid w:val="0064434D"/>
    <w:rsid w:val="006447B3"/>
    <w:rsid w:val="006448B6"/>
    <w:rsid w:val="006448E3"/>
    <w:rsid w:val="00644A57"/>
    <w:rsid w:val="00645EDA"/>
    <w:rsid w:val="006474EE"/>
    <w:rsid w:val="00647BB9"/>
    <w:rsid w:val="00647E26"/>
    <w:rsid w:val="0065073E"/>
    <w:rsid w:val="00650903"/>
    <w:rsid w:val="00650933"/>
    <w:rsid w:val="00650C8D"/>
    <w:rsid w:val="00651187"/>
    <w:rsid w:val="006518CE"/>
    <w:rsid w:val="00651A92"/>
    <w:rsid w:val="00651C85"/>
    <w:rsid w:val="006523CA"/>
    <w:rsid w:val="006528FC"/>
    <w:rsid w:val="00654051"/>
    <w:rsid w:val="00654C63"/>
    <w:rsid w:val="00654F2B"/>
    <w:rsid w:val="0065664B"/>
    <w:rsid w:val="00657D83"/>
    <w:rsid w:val="006609F8"/>
    <w:rsid w:val="00660CB0"/>
    <w:rsid w:val="00661673"/>
    <w:rsid w:val="00661773"/>
    <w:rsid w:val="00661DA3"/>
    <w:rsid w:val="00662DD0"/>
    <w:rsid w:val="00663424"/>
    <w:rsid w:val="006638B5"/>
    <w:rsid w:val="00664F91"/>
    <w:rsid w:val="006650BC"/>
    <w:rsid w:val="006654D9"/>
    <w:rsid w:val="00665618"/>
    <w:rsid w:val="006656DC"/>
    <w:rsid w:val="00666422"/>
    <w:rsid w:val="006666EB"/>
    <w:rsid w:val="00667885"/>
    <w:rsid w:val="0066793F"/>
    <w:rsid w:val="00667AEB"/>
    <w:rsid w:val="00667C01"/>
    <w:rsid w:val="006701A2"/>
    <w:rsid w:val="00670A1A"/>
    <w:rsid w:val="0067110C"/>
    <w:rsid w:val="00671886"/>
    <w:rsid w:val="00671A1D"/>
    <w:rsid w:val="00671AAD"/>
    <w:rsid w:val="00672175"/>
    <w:rsid w:val="00672E77"/>
    <w:rsid w:val="0067338D"/>
    <w:rsid w:val="00673B8C"/>
    <w:rsid w:val="00673CBB"/>
    <w:rsid w:val="00675282"/>
    <w:rsid w:val="00675290"/>
    <w:rsid w:val="0067590C"/>
    <w:rsid w:val="00675A96"/>
    <w:rsid w:val="00675E4D"/>
    <w:rsid w:val="006761BC"/>
    <w:rsid w:val="0067642A"/>
    <w:rsid w:val="00676CCC"/>
    <w:rsid w:val="00677620"/>
    <w:rsid w:val="006777F1"/>
    <w:rsid w:val="006810F0"/>
    <w:rsid w:val="0068265D"/>
    <w:rsid w:val="00682B3E"/>
    <w:rsid w:val="00682F7D"/>
    <w:rsid w:val="00682FA0"/>
    <w:rsid w:val="006834D4"/>
    <w:rsid w:val="00683A89"/>
    <w:rsid w:val="00683EDF"/>
    <w:rsid w:val="006843D8"/>
    <w:rsid w:val="00684699"/>
    <w:rsid w:val="00684C4D"/>
    <w:rsid w:val="006851B3"/>
    <w:rsid w:val="0068570D"/>
    <w:rsid w:val="00685E2F"/>
    <w:rsid w:val="00686590"/>
    <w:rsid w:val="00686B55"/>
    <w:rsid w:val="006910D5"/>
    <w:rsid w:val="0069114E"/>
    <w:rsid w:val="0069122E"/>
    <w:rsid w:val="006918EA"/>
    <w:rsid w:val="00691C53"/>
    <w:rsid w:val="00692C7B"/>
    <w:rsid w:val="00693103"/>
    <w:rsid w:val="00693199"/>
    <w:rsid w:val="00693B62"/>
    <w:rsid w:val="006942E0"/>
    <w:rsid w:val="0069433C"/>
    <w:rsid w:val="00694734"/>
    <w:rsid w:val="00695052"/>
    <w:rsid w:val="0069536D"/>
    <w:rsid w:val="00695829"/>
    <w:rsid w:val="00695B1C"/>
    <w:rsid w:val="006961F4"/>
    <w:rsid w:val="0069630E"/>
    <w:rsid w:val="00696ED7"/>
    <w:rsid w:val="00696FBB"/>
    <w:rsid w:val="00697F58"/>
    <w:rsid w:val="00697FAE"/>
    <w:rsid w:val="006A0529"/>
    <w:rsid w:val="006A0985"/>
    <w:rsid w:val="006A1429"/>
    <w:rsid w:val="006A2016"/>
    <w:rsid w:val="006A2026"/>
    <w:rsid w:val="006A238B"/>
    <w:rsid w:val="006A3227"/>
    <w:rsid w:val="006A34F2"/>
    <w:rsid w:val="006A37CC"/>
    <w:rsid w:val="006A393D"/>
    <w:rsid w:val="006A3CCA"/>
    <w:rsid w:val="006A3F48"/>
    <w:rsid w:val="006A4572"/>
    <w:rsid w:val="006A48B2"/>
    <w:rsid w:val="006A492D"/>
    <w:rsid w:val="006A4987"/>
    <w:rsid w:val="006A4A90"/>
    <w:rsid w:val="006A5503"/>
    <w:rsid w:val="006A56E2"/>
    <w:rsid w:val="006A5733"/>
    <w:rsid w:val="006A5B65"/>
    <w:rsid w:val="006A7479"/>
    <w:rsid w:val="006A7644"/>
    <w:rsid w:val="006A7AE4"/>
    <w:rsid w:val="006A7F71"/>
    <w:rsid w:val="006B0209"/>
    <w:rsid w:val="006B041C"/>
    <w:rsid w:val="006B09BB"/>
    <w:rsid w:val="006B10EE"/>
    <w:rsid w:val="006B2D77"/>
    <w:rsid w:val="006B2E44"/>
    <w:rsid w:val="006B34A3"/>
    <w:rsid w:val="006B3CB5"/>
    <w:rsid w:val="006B4C3B"/>
    <w:rsid w:val="006B4C5B"/>
    <w:rsid w:val="006B544C"/>
    <w:rsid w:val="006B5C41"/>
    <w:rsid w:val="006B68B4"/>
    <w:rsid w:val="006B74F9"/>
    <w:rsid w:val="006B778B"/>
    <w:rsid w:val="006C036D"/>
    <w:rsid w:val="006C068F"/>
    <w:rsid w:val="006C0B1E"/>
    <w:rsid w:val="006C0B32"/>
    <w:rsid w:val="006C1170"/>
    <w:rsid w:val="006C1870"/>
    <w:rsid w:val="006C1A22"/>
    <w:rsid w:val="006C1E57"/>
    <w:rsid w:val="006C204D"/>
    <w:rsid w:val="006C2090"/>
    <w:rsid w:val="006C2AB8"/>
    <w:rsid w:val="006C3903"/>
    <w:rsid w:val="006C3A36"/>
    <w:rsid w:val="006C3F7C"/>
    <w:rsid w:val="006C4AEA"/>
    <w:rsid w:val="006C4C23"/>
    <w:rsid w:val="006C5330"/>
    <w:rsid w:val="006C53CF"/>
    <w:rsid w:val="006C544D"/>
    <w:rsid w:val="006C5D60"/>
    <w:rsid w:val="006C5F1B"/>
    <w:rsid w:val="006C6319"/>
    <w:rsid w:val="006C6773"/>
    <w:rsid w:val="006C705B"/>
    <w:rsid w:val="006C72C1"/>
    <w:rsid w:val="006C795D"/>
    <w:rsid w:val="006D04EA"/>
    <w:rsid w:val="006D08E1"/>
    <w:rsid w:val="006D0FBD"/>
    <w:rsid w:val="006D11A3"/>
    <w:rsid w:val="006D1A44"/>
    <w:rsid w:val="006D1A8A"/>
    <w:rsid w:val="006D2023"/>
    <w:rsid w:val="006D25E2"/>
    <w:rsid w:val="006D2B16"/>
    <w:rsid w:val="006D2F97"/>
    <w:rsid w:val="006D31EC"/>
    <w:rsid w:val="006D3AC3"/>
    <w:rsid w:val="006D4FE8"/>
    <w:rsid w:val="006D5061"/>
    <w:rsid w:val="006D677C"/>
    <w:rsid w:val="006D67A1"/>
    <w:rsid w:val="006D714C"/>
    <w:rsid w:val="006D7239"/>
    <w:rsid w:val="006D77FE"/>
    <w:rsid w:val="006D781D"/>
    <w:rsid w:val="006E09FC"/>
    <w:rsid w:val="006E0D4F"/>
    <w:rsid w:val="006E1118"/>
    <w:rsid w:val="006E1377"/>
    <w:rsid w:val="006E2760"/>
    <w:rsid w:val="006E2823"/>
    <w:rsid w:val="006E2900"/>
    <w:rsid w:val="006E35F9"/>
    <w:rsid w:val="006E376B"/>
    <w:rsid w:val="006E3BED"/>
    <w:rsid w:val="006E40C2"/>
    <w:rsid w:val="006E4E4A"/>
    <w:rsid w:val="006E5575"/>
    <w:rsid w:val="006E584D"/>
    <w:rsid w:val="006E59EC"/>
    <w:rsid w:val="006E5C62"/>
    <w:rsid w:val="006E6D5A"/>
    <w:rsid w:val="006E6E2E"/>
    <w:rsid w:val="006E6EB2"/>
    <w:rsid w:val="006E70DD"/>
    <w:rsid w:val="006E7A3D"/>
    <w:rsid w:val="006F00BD"/>
    <w:rsid w:val="006F0631"/>
    <w:rsid w:val="006F0F1F"/>
    <w:rsid w:val="006F0F6A"/>
    <w:rsid w:val="006F1719"/>
    <w:rsid w:val="006F183F"/>
    <w:rsid w:val="006F213D"/>
    <w:rsid w:val="006F23EB"/>
    <w:rsid w:val="006F2BB9"/>
    <w:rsid w:val="006F2E7A"/>
    <w:rsid w:val="006F2F1E"/>
    <w:rsid w:val="006F3657"/>
    <w:rsid w:val="006F3668"/>
    <w:rsid w:val="006F4A7B"/>
    <w:rsid w:val="006F4C37"/>
    <w:rsid w:val="006F51F0"/>
    <w:rsid w:val="006F51FF"/>
    <w:rsid w:val="006F5413"/>
    <w:rsid w:val="006F5CF2"/>
    <w:rsid w:val="006F63D7"/>
    <w:rsid w:val="006F6A41"/>
    <w:rsid w:val="006F774B"/>
    <w:rsid w:val="006F7D69"/>
    <w:rsid w:val="0070053D"/>
    <w:rsid w:val="007006C7"/>
    <w:rsid w:val="0070096C"/>
    <w:rsid w:val="00700C4D"/>
    <w:rsid w:val="0070148F"/>
    <w:rsid w:val="00701817"/>
    <w:rsid w:val="00702C84"/>
    <w:rsid w:val="00703319"/>
    <w:rsid w:val="007033F6"/>
    <w:rsid w:val="0070343B"/>
    <w:rsid w:val="00704598"/>
    <w:rsid w:val="007049EC"/>
    <w:rsid w:val="0070517D"/>
    <w:rsid w:val="00705217"/>
    <w:rsid w:val="0070530E"/>
    <w:rsid w:val="00705DB4"/>
    <w:rsid w:val="007062B5"/>
    <w:rsid w:val="00706478"/>
    <w:rsid w:val="00707A96"/>
    <w:rsid w:val="00707AB0"/>
    <w:rsid w:val="00707C1F"/>
    <w:rsid w:val="00707C4D"/>
    <w:rsid w:val="00710959"/>
    <w:rsid w:val="007109D5"/>
    <w:rsid w:val="00710B4D"/>
    <w:rsid w:val="00711AA6"/>
    <w:rsid w:val="00711B3E"/>
    <w:rsid w:val="00711DBA"/>
    <w:rsid w:val="00712405"/>
    <w:rsid w:val="00713ECF"/>
    <w:rsid w:val="007147D1"/>
    <w:rsid w:val="0071534B"/>
    <w:rsid w:val="007158CB"/>
    <w:rsid w:val="00715B18"/>
    <w:rsid w:val="00715EAD"/>
    <w:rsid w:val="00716784"/>
    <w:rsid w:val="007168CB"/>
    <w:rsid w:val="00716B93"/>
    <w:rsid w:val="00717448"/>
    <w:rsid w:val="007177F0"/>
    <w:rsid w:val="00717DCE"/>
    <w:rsid w:val="0072048F"/>
    <w:rsid w:val="007204FE"/>
    <w:rsid w:val="007208B5"/>
    <w:rsid w:val="007208D7"/>
    <w:rsid w:val="00721415"/>
    <w:rsid w:val="0072182B"/>
    <w:rsid w:val="00722AE2"/>
    <w:rsid w:val="0072329A"/>
    <w:rsid w:val="0072331C"/>
    <w:rsid w:val="00723368"/>
    <w:rsid w:val="0072384E"/>
    <w:rsid w:val="0072441B"/>
    <w:rsid w:val="00724B11"/>
    <w:rsid w:val="00724FBA"/>
    <w:rsid w:val="00725124"/>
    <w:rsid w:val="0072527C"/>
    <w:rsid w:val="00725332"/>
    <w:rsid w:val="007260C5"/>
    <w:rsid w:val="0072663D"/>
    <w:rsid w:val="00726F9B"/>
    <w:rsid w:val="007272AE"/>
    <w:rsid w:val="007272AF"/>
    <w:rsid w:val="007301D6"/>
    <w:rsid w:val="00730276"/>
    <w:rsid w:val="00731109"/>
    <w:rsid w:val="007311EE"/>
    <w:rsid w:val="007315F2"/>
    <w:rsid w:val="00731BB0"/>
    <w:rsid w:val="007323B8"/>
    <w:rsid w:val="007327CF"/>
    <w:rsid w:val="00732C26"/>
    <w:rsid w:val="0073301A"/>
    <w:rsid w:val="00733249"/>
    <w:rsid w:val="00733416"/>
    <w:rsid w:val="007338F3"/>
    <w:rsid w:val="007341AB"/>
    <w:rsid w:val="00734770"/>
    <w:rsid w:val="007347FC"/>
    <w:rsid w:val="00734B0C"/>
    <w:rsid w:val="0073505A"/>
    <w:rsid w:val="00735A66"/>
    <w:rsid w:val="00735B07"/>
    <w:rsid w:val="00736C7F"/>
    <w:rsid w:val="00737878"/>
    <w:rsid w:val="00737B0F"/>
    <w:rsid w:val="00740516"/>
    <w:rsid w:val="007406E5"/>
    <w:rsid w:val="007409B8"/>
    <w:rsid w:val="00740CA9"/>
    <w:rsid w:val="00740E6E"/>
    <w:rsid w:val="00740F45"/>
    <w:rsid w:val="00740F8B"/>
    <w:rsid w:val="0074138D"/>
    <w:rsid w:val="00741917"/>
    <w:rsid w:val="00741BA1"/>
    <w:rsid w:val="00742491"/>
    <w:rsid w:val="00742685"/>
    <w:rsid w:val="00742DEA"/>
    <w:rsid w:val="007442B3"/>
    <w:rsid w:val="0074442D"/>
    <w:rsid w:val="007447A1"/>
    <w:rsid w:val="00744F63"/>
    <w:rsid w:val="007453D6"/>
    <w:rsid w:val="00745CBC"/>
    <w:rsid w:val="007469C3"/>
    <w:rsid w:val="00746FC2"/>
    <w:rsid w:val="007474E1"/>
    <w:rsid w:val="0074793B"/>
    <w:rsid w:val="00750C4B"/>
    <w:rsid w:val="00750FDC"/>
    <w:rsid w:val="00751065"/>
    <w:rsid w:val="007516CF"/>
    <w:rsid w:val="00751D72"/>
    <w:rsid w:val="00752B28"/>
    <w:rsid w:val="0075368E"/>
    <w:rsid w:val="0075432B"/>
    <w:rsid w:val="00754A3A"/>
    <w:rsid w:val="00754DD7"/>
    <w:rsid w:val="00755100"/>
    <w:rsid w:val="007553A4"/>
    <w:rsid w:val="00755ACB"/>
    <w:rsid w:val="00755D71"/>
    <w:rsid w:val="00757454"/>
    <w:rsid w:val="007575A0"/>
    <w:rsid w:val="00760977"/>
    <w:rsid w:val="00760F15"/>
    <w:rsid w:val="00761012"/>
    <w:rsid w:val="007611C6"/>
    <w:rsid w:val="007619FA"/>
    <w:rsid w:val="00761EA3"/>
    <w:rsid w:val="00761EDD"/>
    <w:rsid w:val="00762085"/>
    <w:rsid w:val="007624EE"/>
    <w:rsid w:val="00763200"/>
    <w:rsid w:val="0076352E"/>
    <w:rsid w:val="00763982"/>
    <w:rsid w:val="00765112"/>
    <w:rsid w:val="007651DD"/>
    <w:rsid w:val="00765337"/>
    <w:rsid w:val="00765926"/>
    <w:rsid w:val="007661EC"/>
    <w:rsid w:val="00766303"/>
    <w:rsid w:val="00767370"/>
    <w:rsid w:val="007677F6"/>
    <w:rsid w:val="00767AFF"/>
    <w:rsid w:val="00767F01"/>
    <w:rsid w:val="007709D5"/>
    <w:rsid w:val="00770C49"/>
    <w:rsid w:val="00770F1D"/>
    <w:rsid w:val="007711CC"/>
    <w:rsid w:val="007723C6"/>
    <w:rsid w:val="0077274F"/>
    <w:rsid w:val="00772E8C"/>
    <w:rsid w:val="007736E3"/>
    <w:rsid w:val="007737D9"/>
    <w:rsid w:val="00773A78"/>
    <w:rsid w:val="00774093"/>
    <w:rsid w:val="007741D7"/>
    <w:rsid w:val="00774322"/>
    <w:rsid w:val="007745BE"/>
    <w:rsid w:val="00775202"/>
    <w:rsid w:val="00775397"/>
    <w:rsid w:val="00775551"/>
    <w:rsid w:val="0077570E"/>
    <w:rsid w:val="0077574B"/>
    <w:rsid w:val="00775B99"/>
    <w:rsid w:val="007767AA"/>
    <w:rsid w:val="00776F11"/>
    <w:rsid w:val="00776F7A"/>
    <w:rsid w:val="00777150"/>
    <w:rsid w:val="007775DD"/>
    <w:rsid w:val="0077762B"/>
    <w:rsid w:val="00777889"/>
    <w:rsid w:val="0077791F"/>
    <w:rsid w:val="00777A87"/>
    <w:rsid w:val="00777CF1"/>
    <w:rsid w:val="0078014C"/>
    <w:rsid w:val="007803B0"/>
    <w:rsid w:val="00780DA7"/>
    <w:rsid w:val="00780E5D"/>
    <w:rsid w:val="007816BA"/>
    <w:rsid w:val="007828A4"/>
    <w:rsid w:val="00783D42"/>
    <w:rsid w:val="0078426E"/>
    <w:rsid w:val="0078445F"/>
    <w:rsid w:val="00784508"/>
    <w:rsid w:val="00784666"/>
    <w:rsid w:val="007854AD"/>
    <w:rsid w:val="007856C3"/>
    <w:rsid w:val="00785920"/>
    <w:rsid w:val="00785B79"/>
    <w:rsid w:val="007860DB"/>
    <w:rsid w:val="00786272"/>
    <w:rsid w:val="00786324"/>
    <w:rsid w:val="00786568"/>
    <w:rsid w:val="00787389"/>
    <w:rsid w:val="007873D0"/>
    <w:rsid w:val="0078740A"/>
    <w:rsid w:val="00787426"/>
    <w:rsid w:val="00787977"/>
    <w:rsid w:val="00790C1B"/>
    <w:rsid w:val="0079118D"/>
    <w:rsid w:val="00791646"/>
    <w:rsid w:val="00791D88"/>
    <w:rsid w:val="00791D91"/>
    <w:rsid w:val="0079236D"/>
    <w:rsid w:val="0079247B"/>
    <w:rsid w:val="007924BB"/>
    <w:rsid w:val="00793439"/>
    <w:rsid w:val="00793556"/>
    <w:rsid w:val="00793BAD"/>
    <w:rsid w:val="00794114"/>
    <w:rsid w:val="00794A6A"/>
    <w:rsid w:val="00794BAA"/>
    <w:rsid w:val="0079550B"/>
    <w:rsid w:val="0079572B"/>
    <w:rsid w:val="0079593C"/>
    <w:rsid w:val="00795AD9"/>
    <w:rsid w:val="00795B95"/>
    <w:rsid w:val="00795C25"/>
    <w:rsid w:val="00795E18"/>
    <w:rsid w:val="00796311"/>
    <w:rsid w:val="007966ED"/>
    <w:rsid w:val="00796AAC"/>
    <w:rsid w:val="0079727B"/>
    <w:rsid w:val="007A0C6F"/>
    <w:rsid w:val="007A13FA"/>
    <w:rsid w:val="007A2425"/>
    <w:rsid w:val="007A24A8"/>
    <w:rsid w:val="007A27A1"/>
    <w:rsid w:val="007A29F1"/>
    <w:rsid w:val="007A2FD2"/>
    <w:rsid w:val="007A37CA"/>
    <w:rsid w:val="007A3AAD"/>
    <w:rsid w:val="007A4215"/>
    <w:rsid w:val="007A43A2"/>
    <w:rsid w:val="007A43EB"/>
    <w:rsid w:val="007A4C4D"/>
    <w:rsid w:val="007A4CF6"/>
    <w:rsid w:val="007A5938"/>
    <w:rsid w:val="007A5EB0"/>
    <w:rsid w:val="007A6157"/>
    <w:rsid w:val="007A6221"/>
    <w:rsid w:val="007A624E"/>
    <w:rsid w:val="007A7069"/>
    <w:rsid w:val="007A716B"/>
    <w:rsid w:val="007A7937"/>
    <w:rsid w:val="007B00CD"/>
    <w:rsid w:val="007B04C1"/>
    <w:rsid w:val="007B08F3"/>
    <w:rsid w:val="007B0956"/>
    <w:rsid w:val="007B1C1F"/>
    <w:rsid w:val="007B1E8D"/>
    <w:rsid w:val="007B2156"/>
    <w:rsid w:val="007B230B"/>
    <w:rsid w:val="007B265C"/>
    <w:rsid w:val="007B2BED"/>
    <w:rsid w:val="007B2F3E"/>
    <w:rsid w:val="007B2F7C"/>
    <w:rsid w:val="007B32AD"/>
    <w:rsid w:val="007B374E"/>
    <w:rsid w:val="007B3B1E"/>
    <w:rsid w:val="007B419C"/>
    <w:rsid w:val="007B431A"/>
    <w:rsid w:val="007B44D9"/>
    <w:rsid w:val="007B6251"/>
    <w:rsid w:val="007B67A8"/>
    <w:rsid w:val="007B68F1"/>
    <w:rsid w:val="007B69A0"/>
    <w:rsid w:val="007B7155"/>
    <w:rsid w:val="007C0760"/>
    <w:rsid w:val="007C07AF"/>
    <w:rsid w:val="007C0988"/>
    <w:rsid w:val="007C0B8A"/>
    <w:rsid w:val="007C0DBE"/>
    <w:rsid w:val="007C0E18"/>
    <w:rsid w:val="007C118E"/>
    <w:rsid w:val="007C19DB"/>
    <w:rsid w:val="007C1B34"/>
    <w:rsid w:val="007C232C"/>
    <w:rsid w:val="007C26A3"/>
    <w:rsid w:val="007C53D0"/>
    <w:rsid w:val="007C54F2"/>
    <w:rsid w:val="007C5C5A"/>
    <w:rsid w:val="007C6ED3"/>
    <w:rsid w:val="007C6EDE"/>
    <w:rsid w:val="007C6FBD"/>
    <w:rsid w:val="007C7301"/>
    <w:rsid w:val="007C7691"/>
    <w:rsid w:val="007C770B"/>
    <w:rsid w:val="007C7883"/>
    <w:rsid w:val="007C7C9B"/>
    <w:rsid w:val="007C7FB6"/>
    <w:rsid w:val="007D0080"/>
    <w:rsid w:val="007D0528"/>
    <w:rsid w:val="007D0965"/>
    <w:rsid w:val="007D0AC4"/>
    <w:rsid w:val="007D0EA5"/>
    <w:rsid w:val="007D1394"/>
    <w:rsid w:val="007D1E76"/>
    <w:rsid w:val="007D1EA2"/>
    <w:rsid w:val="007D20F8"/>
    <w:rsid w:val="007D2255"/>
    <w:rsid w:val="007D2D38"/>
    <w:rsid w:val="007D2F8C"/>
    <w:rsid w:val="007D3228"/>
    <w:rsid w:val="007D3C62"/>
    <w:rsid w:val="007D3E34"/>
    <w:rsid w:val="007D4199"/>
    <w:rsid w:val="007D44D2"/>
    <w:rsid w:val="007D4634"/>
    <w:rsid w:val="007D495B"/>
    <w:rsid w:val="007D530E"/>
    <w:rsid w:val="007D5756"/>
    <w:rsid w:val="007D5A27"/>
    <w:rsid w:val="007D73C2"/>
    <w:rsid w:val="007D7FEA"/>
    <w:rsid w:val="007E0C98"/>
    <w:rsid w:val="007E101B"/>
    <w:rsid w:val="007E1049"/>
    <w:rsid w:val="007E11C9"/>
    <w:rsid w:val="007E13A8"/>
    <w:rsid w:val="007E1911"/>
    <w:rsid w:val="007E19D0"/>
    <w:rsid w:val="007E1B6C"/>
    <w:rsid w:val="007E2993"/>
    <w:rsid w:val="007E2A03"/>
    <w:rsid w:val="007E3465"/>
    <w:rsid w:val="007E3773"/>
    <w:rsid w:val="007E3775"/>
    <w:rsid w:val="007E4513"/>
    <w:rsid w:val="007E466B"/>
    <w:rsid w:val="007E5406"/>
    <w:rsid w:val="007E5428"/>
    <w:rsid w:val="007E5448"/>
    <w:rsid w:val="007E5C0A"/>
    <w:rsid w:val="007E5C86"/>
    <w:rsid w:val="007E6726"/>
    <w:rsid w:val="007E6FA6"/>
    <w:rsid w:val="007E774E"/>
    <w:rsid w:val="007E7A79"/>
    <w:rsid w:val="007E7B89"/>
    <w:rsid w:val="007F0661"/>
    <w:rsid w:val="007F0D76"/>
    <w:rsid w:val="007F11F3"/>
    <w:rsid w:val="007F1C2D"/>
    <w:rsid w:val="007F1CE2"/>
    <w:rsid w:val="007F226C"/>
    <w:rsid w:val="007F23B6"/>
    <w:rsid w:val="007F2870"/>
    <w:rsid w:val="007F299B"/>
    <w:rsid w:val="007F2C43"/>
    <w:rsid w:val="007F2D29"/>
    <w:rsid w:val="007F2DA8"/>
    <w:rsid w:val="007F2DD7"/>
    <w:rsid w:val="007F2EF6"/>
    <w:rsid w:val="007F3508"/>
    <w:rsid w:val="007F3680"/>
    <w:rsid w:val="007F37DA"/>
    <w:rsid w:val="007F4154"/>
    <w:rsid w:val="007F4BE7"/>
    <w:rsid w:val="007F4FD1"/>
    <w:rsid w:val="007F5181"/>
    <w:rsid w:val="007F5D27"/>
    <w:rsid w:val="007F5DB1"/>
    <w:rsid w:val="007F7692"/>
    <w:rsid w:val="007F7696"/>
    <w:rsid w:val="007F7E1D"/>
    <w:rsid w:val="0080077B"/>
    <w:rsid w:val="0080097F"/>
    <w:rsid w:val="00801C99"/>
    <w:rsid w:val="008021CA"/>
    <w:rsid w:val="008023B3"/>
    <w:rsid w:val="00802538"/>
    <w:rsid w:val="00802772"/>
    <w:rsid w:val="00802923"/>
    <w:rsid w:val="00802A0A"/>
    <w:rsid w:val="00802C8A"/>
    <w:rsid w:val="00803D47"/>
    <w:rsid w:val="00803FE6"/>
    <w:rsid w:val="008043BA"/>
    <w:rsid w:val="00804457"/>
    <w:rsid w:val="0080471F"/>
    <w:rsid w:val="00804AF2"/>
    <w:rsid w:val="00804D57"/>
    <w:rsid w:val="00804E2E"/>
    <w:rsid w:val="00804F27"/>
    <w:rsid w:val="0080519F"/>
    <w:rsid w:val="00805928"/>
    <w:rsid w:val="00805BF6"/>
    <w:rsid w:val="008066FD"/>
    <w:rsid w:val="008068EF"/>
    <w:rsid w:val="00806982"/>
    <w:rsid w:val="00806D8F"/>
    <w:rsid w:val="00807387"/>
    <w:rsid w:val="0080770C"/>
    <w:rsid w:val="00807E3E"/>
    <w:rsid w:val="008101B5"/>
    <w:rsid w:val="0081099C"/>
    <w:rsid w:val="00811433"/>
    <w:rsid w:val="008124E1"/>
    <w:rsid w:val="008124F4"/>
    <w:rsid w:val="00812FBF"/>
    <w:rsid w:val="008133FD"/>
    <w:rsid w:val="00813667"/>
    <w:rsid w:val="008139E7"/>
    <w:rsid w:val="008141EA"/>
    <w:rsid w:val="00814A71"/>
    <w:rsid w:val="00814AD2"/>
    <w:rsid w:val="00814B1C"/>
    <w:rsid w:val="00814BA8"/>
    <w:rsid w:val="00814F9C"/>
    <w:rsid w:val="00815191"/>
    <w:rsid w:val="00815496"/>
    <w:rsid w:val="0081640F"/>
    <w:rsid w:val="00816926"/>
    <w:rsid w:val="00816CA2"/>
    <w:rsid w:val="00816CA6"/>
    <w:rsid w:val="00817276"/>
    <w:rsid w:val="00820299"/>
    <w:rsid w:val="00820883"/>
    <w:rsid w:val="00820F10"/>
    <w:rsid w:val="00822748"/>
    <w:rsid w:val="00824618"/>
    <w:rsid w:val="00824E6F"/>
    <w:rsid w:val="00825543"/>
    <w:rsid w:val="008258AB"/>
    <w:rsid w:val="00825C37"/>
    <w:rsid w:val="00826858"/>
    <w:rsid w:val="00826A71"/>
    <w:rsid w:val="00826F47"/>
    <w:rsid w:val="00826F64"/>
    <w:rsid w:val="008279B9"/>
    <w:rsid w:val="00827AC1"/>
    <w:rsid w:val="00827D69"/>
    <w:rsid w:val="008300A7"/>
    <w:rsid w:val="00830F8B"/>
    <w:rsid w:val="00831347"/>
    <w:rsid w:val="00831772"/>
    <w:rsid w:val="00831C75"/>
    <w:rsid w:val="008323F3"/>
    <w:rsid w:val="00832D17"/>
    <w:rsid w:val="00832D25"/>
    <w:rsid w:val="00832E0A"/>
    <w:rsid w:val="0083303B"/>
    <w:rsid w:val="008334AE"/>
    <w:rsid w:val="008342E1"/>
    <w:rsid w:val="00834C89"/>
    <w:rsid w:val="008352A4"/>
    <w:rsid w:val="00835D1E"/>
    <w:rsid w:val="00836255"/>
    <w:rsid w:val="00836860"/>
    <w:rsid w:val="00836894"/>
    <w:rsid w:val="00836B73"/>
    <w:rsid w:val="0083755A"/>
    <w:rsid w:val="008378B5"/>
    <w:rsid w:val="0083797D"/>
    <w:rsid w:val="0084016A"/>
    <w:rsid w:val="008403E0"/>
    <w:rsid w:val="008407A6"/>
    <w:rsid w:val="0084181E"/>
    <w:rsid w:val="0084282C"/>
    <w:rsid w:val="00843876"/>
    <w:rsid w:val="00843EF5"/>
    <w:rsid w:val="008442EA"/>
    <w:rsid w:val="0084447D"/>
    <w:rsid w:val="00844607"/>
    <w:rsid w:val="0084463A"/>
    <w:rsid w:val="00844B73"/>
    <w:rsid w:val="008454BA"/>
    <w:rsid w:val="008459D3"/>
    <w:rsid w:val="00845FB8"/>
    <w:rsid w:val="00846FEC"/>
    <w:rsid w:val="008470DA"/>
    <w:rsid w:val="0084781E"/>
    <w:rsid w:val="00847973"/>
    <w:rsid w:val="00847B18"/>
    <w:rsid w:val="00847D9E"/>
    <w:rsid w:val="0085043B"/>
    <w:rsid w:val="008504CA"/>
    <w:rsid w:val="00850C54"/>
    <w:rsid w:val="00850C62"/>
    <w:rsid w:val="008519C0"/>
    <w:rsid w:val="00852A62"/>
    <w:rsid w:val="008535BC"/>
    <w:rsid w:val="00853B6C"/>
    <w:rsid w:val="008546E9"/>
    <w:rsid w:val="0085497E"/>
    <w:rsid w:val="008549F3"/>
    <w:rsid w:val="00854B69"/>
    <w:rsid w:val="00854D16"/>
    <w:rsid w:val="00854F4D"/>
    <w:rsid w:val="008550FD"/>
    <w:rsid w:val="008558A5"/>
    <w:rsid w:val="00855A11"/>
    <w:rsid w:val="00855C9F"/>
    <w:rsid w:val="008562A2"/>
    <w:rsid w:val="00856F92"/>
    <w:rsid w:val="0085707D"/>
    <w:rsid w:val="008570F1"/>
    <w:rsid w:val="008577D1"/>
    <w:rsid w:val="00857A5B"/>
    <w:rsid w:val="0086031F"/>
    <w:rsid w:val="008604F4"/>
    <w:rsid w:val="00860A76"/>
    <w:rsid w:val="00860B7D"/>
    <w:rsid w:val="00860F52"/>
    <w:rsid w:val="00861E81"/>
    <w:rsid w:val="008623F3"/>
    <w:rsid w:val="00863967"/>
    <w:rsid w:val="0086410C"/>
    <w:rsid w:val="00864484"/>
    <w:rsid w:val="00865329"/>
    <w:rsid w:val="008662DA"/>
    <w:rsid w:val="0086656E"/>
    <w:rsid w:val="0086675F"/>
    <w:rsid w:val="00866843"/>
    <w:rsid w:val="00866B84"/>
    <w:rsid w:val="00866E3F"/>
    <w:rsid w:val="008675DA"/>
    <w:rsid w:val="0086775A"/>
    <w:rsid w:val="0086776A"/>
    <w:rsid w:val="0086785B"/>
    <w:rsid w:val="008678C5"/>
    <w:rsid w:val="00867A70"/>
    <w:rsid w:val="00867AD9"/>
    <w:rsid w:val="00867AF6"/>
    <w:rsid w:val="00867C53"/>
    <w:rsid w:val="00870DB2"/>
    <w:rsid w:val="00871267"/>
    <w:rsid w:val="008715FE"/>
    <w:rsid w:val="00871943"/>
    <w:rsid w:val="00871E89"/>
    <w:rsid w:val="0087245B"/>
    <w:rsid w:val="00873666"/>
    <w:rsid w:val="00873E0B"/>
    <w:rsid w:val="008740B4"/>
    <w:rsid w:val="00874573"/>
    <w:rsid w:val="008747D7"/>
    <w:rsid w:val="00875847"/>
    <w:rsid w:val="0087590F"/>
    <w:rsid w:val="008760A2"/>
    <w:rsid w:val="0087691A"/>
    <w:rsid w:val="00877250"/>
    <w:rsid w:val="008772D2"/>
    <w:rsid w:val="008806A0"/>
    <w:rsid w:val="00880968"/>
    <w:rsid w:val="00881F45"/>
    <w:rsid w:val="0088262E"/>
    <w:rsid w:val="008828B8"/>
    <w:rsid w:val="00882D22"/>
    <w:rsid w:val="00883085"/>
    <w:rsid w:val="00884039"/>
    <w:rsid w:val="00884404"/>
    <w:rsid w:val="00884653"/>
    <w:rsid w:val="00884B7D"/>
    <w:rsid w:val="00884CC8"/>
    <w:rsid w:val="00885504"/>
    <w:rsid w:val="00885654"/>
    <w:rsid w:val="00886248"/>
    <w:rsid w:val="008867E9"/>
    <w:rsid w:val="00886B6B"/>
    <w:rsid w:val="0088739C"/>
    <w:rsid w:val="008875D9"/>
    <w:rsid w:val="00887F06"/>
    <w:rsid w:val="008902AF"/>
    <w:rsid w:val="00890AD8"/>
    <w:rsid w:val="00890D7E"/>
    <w:rsid w:val="008914F9"/>
    <w:rsid w:val="0089184E"/>
    <w:rsid w:val="00891E53"/>
    <w:rsid w:val="0089216F"/>
    <w:rsid w:val="00892529"/>
    <w:rsid w:val="008926F0"/>
    <w:rsid w:val="00892A93"/>
    <w:rsid w:val="00892C05"/>
    <w:rsid w:val="0089391A"/>
    <w:rsid w:val="00893A83"/>
    <w:rsid w:val="0089411D"/>
    <w:rsid w:val="008951DB"/>
    <w:rsid w:val="00895834"/>
    <w:rsid w:val="008963A1"/>
    <w:rsid w:val="00897108"/>
    <w:rsid w:val="00897485"/>
    <w:rsid w:val="008976CB"/>
    <w:rsid w:val="00897F79"/>
    <w:rsid w:val="008A13AB"/>
    <w:rsid w:val="008A1822"/>
    <w:rsid w:val="008A287A"/>
    <w:rsid w:val="008A298D"/>
    <w:rsid w:val="008A359C"/>
    <w:rsid w:val="008A5058"/>
    <w:rsid w:val="008A575D"/>
    <w:rsid w:val="008A5B38"/>
    <w:rsid w:val="008A5FEF"/>
    <w:rsid w:val="008A61B7"/>
    <w:rsid w:val="008A70AC"/>
    <w:rsid w:val="008A71D5"/>
    <w:rsid w:val="008B055D"/>
    <w:rsid w:val="008B07AB"/>
    <w:rsid w:val="008B07C4"/>
    <w:rsid w:val="008B0908"/>
    <w:rsid w:val="008B09A6"/>
    <w:rsid w:val="008B0AAB"/>
    <w:rsid w:val="008B0E2A"/>
    <w:rsid w:val="008B149A"/>
    <w:rsid w:val="008B164D"/>
    <w:rsid w:val="008B2027"/>
    <w:rsid w:val="008B2597"/>
    <w:rsid w:val="008B31C8"/>
    <w:rsid w:val="008B3514"/>
    <w:rsid w:val="008B42F0"/>
    <w:rsid w:val="008B4BC9"/>
    <w:rsid w:val="008B59A0"/>
    <w:rsid w:val="008B5D50"/>
    <w:rsid w:val="008B6213"/>
    <w:rsid w:val="008B62E4"/>
    <w:rsid w:val="008B69BE"/>
    <w:rsid w:val="008B702E"/>
    <w:rsid w:val="008B7858"/>
    <w:rsid w:val="008C02F9"/>
    <w:rsid w:val="008C0324"/>
    <w:rsid w:val="008C05FE"/>
    <w:rsid w:val="008C0969"/>
    <w:rsid w:val="008C0BCE"/>
    <w:rsid w:val="008C11F0"/>
    <w:rsid w:val="008C282E"/>
    <w:rsid w:val="008C2C79"/>
    <w:rsid w:val="008C30A0"/>
    <w:rsid w:val="008C3561"/>
    <w:rsid w:val="008C377C"/>
    <w:rsid w:val="008C404A"/>
    <w:rsid w:val="008C4A8B"/>
    <w:rsid w:val="008C5450"/>
    <w:rsid w:val="008C5A0F"/>
    <w:rsid w:val="008C5DB2"/>
    <w:rsid w:val="008C5F29"/>
    <w:rsid w:val="008C671B"/>
    <w:rsid w:val="008C6B26"/>
    <w:rsid w:val="008D00E6"/>
    <w:rsid w:val="008D0DAB"/>
    <w:rsid w:val="008D1515"/>
    <w:rsid w:val="008D2A25"/>
    <w:rsid w:val="008D2C89"/>
    <w:rsid w:val="008D2DA7"/>
    <w:rsid w:val="008D2E23"/>
    <w:rsid w:val="008D3B05"/>
    <w:rsid w:val="008D3FB7"/>
    <w:rsid w:val="008D40FE"/>
    <w:rsid w:val="008D4C0B"/>
    <w:rsid w:val="008D4CD0"/>
    <w:rsid w:val="008D5A24"/>
    <w:rsid w:val="008D5EDB"/>
    <w:rsid w:val="008D6014"/>
    <w:rsid w:val="008D6175"/>
    <w:rsid w:val="008D6F2F"/>
    <w:rsid w:val="008D7613"/>
    <w:rsid w:val="008D78DE"/>
    <w:rsid w:val="008D79E7"/>
    <w:rsid w:val="008E025E"/>
    <w:rsid w:val="008E05BC"/>
    <w:rsid w:val="008E2F58"/>
    <w:rsid w:val="008E4606"/>
    <w:rsid w:val="008E4726"/>
    <w:rsid w:val="008E4CD4"/>
    <w:rsid w:val="008E5247"/>
    <w:rsid w:val="008E5626"/>
    <w:rsid w:val="008E579C"/>
    <w:rsid w:val="008E5F56"/>
    <w:rsid w:val="008E6627"/>
    <w:rsid w:val="008E7095"/>
    <w:rsid w:val="008F0C24"/>
    <w:rsid w:val="008F0D9B"/>
    <w:rsid w:val="008F0F72"/>
    <w:rsid w:val="008F1644"/>
    <w:rsid w:val="008F1BE4"/>
    <w:rsid w:val="008F347A"/>
    <w:rsid w:val="008F3645"/>
    <w:rsid w:val="008F41CF"/>
    <w:rsid w:val="008F45D7"/>
    <w:rsid w:val="008F4656"/>
    <w:rsid w:val="008F4FF7"/>
    <w:rsid w:val="008F5BF0"/>
    <w:rsid w:val="008F5EBF"/>
    <w:rsid w:val="008F6139"/>
    <w:rsid w:val="008F66FC"/>
    <w:rsid w:val="008F67F2"/>
    <w:rsid w:val="008F6B78"/>
    <w:rsid w:val="008F71A3"/>
    <w:rsid w:val="008F73D7"/>
    <w:rsid w:val="008F7E87"/>
    <w:rsid w:val="009004BA"/>
    <w:rsid w:val="0090056A"/>
    <w:rsid w:val="00900D78"/>
    <w:rsid w:val="009011B6"/>
    <w:rsid w:val="009022C2"/>
    <w:rsid w:val="0090334F"/>
    <w:rsid w:val="00903BF7"/>
    <w:rsid w:val="009041C4"/>
    <w:rsid w:val="009048C2"/>
    <w:rsid w:val="00904BD0"/>
    <w:rsid w:val="00904C0D"/>
    <w:rsid w:val="00905181"/>
    <w:rsid w:val="00905627"/>
    <w:rsid w:val="009056FE"/>
    <w:rsid w:val="00905CBB"/>
    <w:rsid w:val="00905F7C"/>
    <w:rsid w:val="0090675E"/>
    <w:rsid w:val="009079B2"/>
    <w:rsid w:val="00910107"/>
    <w:rsid w:val="0091028F"/>
    <w:rsid w:val="0091058A"/>
    <w:rsid w:val="009108E3"/>
    <w:rsid w:val="0091094A"/>
    <w:rsid w:val="0091271C"/>
    <w:rsid w:val="0091291E"/>
    <w:rsid w:val="00912F1D"/>
    <w:rsid w:val="009130BC"/>
    <w:rsid w:val="00913710"/>
    <w:rsid w:val="0091390C"/>
    <w:rsid w:val="00913D5D"/>
    <w:rsid w:val="00913EDA"/>
    <w:rsid w:val="0091438A"/>
    <w:rsid w:val="00914585"/>
    <w:rsid w:val="00914841"/>
    <w:rsid w:val="00914ECA"/>
    <w:rsid w:val="00915116"/>
    <w:rsid w:val="00917398"/>
    <w:rsid w:val="00917B35"/>
    <w:rsid w:val="00917B68"/>
    <w:rsid w:val="00920AF7"/>
    <w:rsid w:val="00920D47"/>
    <w:rsid w:val="00921232"/>
    <w:rsid w:val="00921EF8"/>
    <w:rsid w:val="0092210B"/>
    <w:rsid w:val="00922E09"/>
    <w:rsid w:val="00922FAE"/>
    <w:rsid w:val="009233F2"/>
    <w:rsid w:val="009233FA"/>
    <w:rsid w:val="00923585"/>
    <w:rsid w:val="00924FF4"/>
    <w:rsid w:val="0092544A"/>
    <w:rsid w:val="00925B82"/>
    <w:rsid w:val="0092624F"/>
    <w:rsid w:val="009279BF"/>
    <w:rsid w:val="00927D54"/>
    <w:rsid w:val="0093026E"/>
    <w:rsid w:val="00930F16"/>
    <w:rsid w:val="00931A48"/>
    <w:rsid w:val="009325D0"/>
    <w:rsid w:val="0093334E"/>
    <w:rsid w:val="00933737"/>
    <w:rsid w:val="00933B62"/>
    <w:rsid w:val="00933CA2"/>
    <w:rsid w:val="00933F93"/>
    <w:rsid w:val="00934349"/>
    <w:rsid w:val="009343E6"/>
    <w:rsid w:val="009349AC"/>
    <w:rsid w:val="00935716"/>
    <w:rsid w:val="009357CE"/>
    <w:rsid w:val="00935C7D"/>
    <w:rsid w:val="00935E43"/>
    <w:rsid w:val="00935FB5"/>
    <w:rsid w:val="0093754F"/>
    <w:rsid w:val="00937F8D"/>
    <w:rsid w:val="009409EB"/>
    <w:rsid w:val="00940B86"/>
    <w:rsid w:val="00940FAB"/>
    <w:rsid w:val="009410A8"/>
    <w:rsid w:val="009412F0"/>
    <w:rsid w:val="00941AD1"/>
    <w:rsid w:val="00942482"/>
    <w:rsid w:val="00942A97"/>
    <w:rsid w:val="0094328A"/>
    <w:rsid w:val="00944ADD"/>
    <w:rsid w:val="00945975"/>
    <w:rsid w:val="009459AE"/>
    <w:rsid w:val="00945C5E"/>
    <w:rsid w:val="00945E5E"/>
    <w:rsid w:val="00945F94"/>
    <w:rsid w:val="00946083"/>
    <w:rsid w:val="00946601"/>
    <w:rsid w:val="00946820"/>
    <w:rsid w:val="009473F3"/>
    <w:rsid w:val="009478A4"/>
    <w:rsid w:val="00947976"/>
    <w:rsid w:val="00947A8B"/>
    <w:rsid w:val="00947E70"/>
    <w:rsid w:val="00950352"/>
    <w:rsid w:val="00950514"/>
    <w:rsid w:val="009506CF"/>
    <w:rsid w:val="00950846"/>
    <w:rsid w:val="00951F9F"/>
    <w:rsid w:val="009522B5"/>
    <w:rsid w:val="00952319"/>
    <w:rsid w:val="00953BDC"/>
    <w:rsid w:val="0095454B"/>
    <w:rsid w:val="00954A6D"/>
    <w:rsid w:val="00956758"/>
    <w:rsid w:val="00956F8E"/>
    <w:rsid w:val="0095740F"/>
    <w:rsid w:val="009576A5"/>
    <w:rsid w:val="00957AD6"/>
    <w:rsid w:val="00957DFE"/>
    <w:rsid w:val="009600A6"/>
    <w:rsid w:val="009602CE"/>
    <w:rsid w:val="00960ADD"/>
    <w:rsid w:val="00960F10"/>
    <w:rsid w:val="0096173C"/>
    <w:rsid w:val="00961834"/>
    <w:rsid w:val="00961A6B"/>
    <w:rsid w:val="00961AB4"/>
    <w:rsid w:val="00961AD2"/>
    <w:rsid w:val="00963B89"/>
    <w:rsid w:val="00963E48"/>
    <w:rsid w:val="0096458A"/>
    <w:rsid w:val="00964A14"/>
    <w:rsid w:val="00964CFE"/>
    <w:rsid w:val="00964F35"/>
    <w:rsid w:val="009656DC"/>
    <w:rsid w:val="0096579E"/>
    <w:rsid w:val="00965F94"/>
    <w:rsid w:val="009703D7"/>
    <w:rsid w:val="00970879"/>
    <w:rsid w:val="00970C9F"/>
    <w:rsid w:val="00970CF5"/>
    <w:rsid w:val="009716C3"/>
    <w:rsid w:val="00971AEE"/>
    <w:rsid w:val="00971F38"/>
    <w:rsid w:val="0097324A"/>
    <w:rsid w:val="00973274"/>
    <w:rsid w:val="009733BB"/>
    <w:rsid w:val="00973970"/>
    <w:rsid w:val="00973B5D"/>
    <w:rsid w:val="00973F71"/>
    <w:rsid w:val="00974BBF"/>
    <w:rsid w:val="00974EFB"/>
    <w:rsid w:val="009753ED"/>
    <w:rsid w:val="0097559C"/>
    <w:rsid w:val="009761F8"/>
    <w:rsid w:val="00976510"/>
    <w:rsid w:val="009765D5"/>
    <w:rsid w:val="009769AE"/>
    <w:rsid w:val="00976B0B"/>
    <w:rsid w:val="00976FE7"/>
    <w:rsid w:val="00977309"/>
    <w:rsid w:val="00977953"/>
    <w:rsid w:val="00977A95"/>
    <w:rsid w:val="00977B2B"/>
    <w:rsid w:val="00980A4F"/>
    <w:rsid w:val="00980AFA"/>
    <w:rsid w:val="00980C82"/>
    <w:rsid w:val="009812DB"/>
    <w:rsid w:val="0098202A"/>
    <w:rsid w:val="009826A2"/>
    <w:rsid w:val="00982A7F"/>
    <w:rsid w:val="00982C06"/>
    <w:rsid w:val="00982F15"/>
    <w:rsid w:val="00983C54"/>
    <w:rsid w:val="009840D1"/>
    <w:rsid w:val="00984E14"/>
    <w:rsid w:val="0098589C"/>
    <w:rsid w:val="00985F05"/>
    <w:rsid w:val="0098679A"/>
    <w:rsid w:val="00986D65"/>
    <w:rsid w:val="00987224"/>
    <w:rsid w:val="00987AE2"/>
    <w:rsid w:val="00987DFB"/>
    <w:rsid w:val="00987ED2"/>
    <w:rsid w:val="009908DA"/>
    <w:rsid w:val="009913D8"/>
    <w:rsid w:val="009914BA"/>
    <w:rsid w:val="00991FD2"/>
    <w:rsid w:val="009920FC"/>
    <w:rsid w:val="009926AA"/>
    <w:rsid w:val="009926CA"/>
    <w:rsid w:val="00992ED7"/>
    <w:rsid w:val="00993E03"/>
    <w:rsid w:val="0099429C"/>
    <w:rsid w:val="00994598"/>
    <w:rsid w:val="00994932"/>
    <w:rsid w:val="00995341"/>
    <w:rsid w:val="00995703"/>
    <w:rsid w:val="009958D3"/>
    <w:rsid w:val="00995AD5"/>
    <w:rsid w:val="0099623E"/>
    <w:rsid w:val="00996875"/>
    <w:rsid w:val="00996894"/>
    <w:rsid w:val="00996D62"/>
    <w:rsid w:val="00997131"/>
    <w:rsid w:val="009975B9"/>
    <w:rsid w:val="009977B7"/>
    <w:rsid w:val="009A24C1"/>
    <w:rsid w:val="009A33E2"/>
    <w:rsid w:val="009A347C"/>
    <w:rsid w:val="009A603A"/>
    <w:rsid w:val="009A60AD"/>
    <w:rsid w:val="009A614F"/>
    <w:rsid w:val="009A6218"/>
    <w:rsid w:val="009A6749"/>
    <w:rsid w:val="009A76C0"/>
    <w:rsid w:val="009B050F"/>
    <w:rsid w:val="009B0B4B"/>
    <w:rsid w:val="009B17EB"/>
    <w:rsid w:val="009B1BE1"/>
    <w:rsid w:val="009B2CA0"/>
    <w:rsid w:val="009B3842"/>
    <w:rsid w:val="009B420A"/>
    <w:rsid w:val="009B4B0D"/>
    <w:rsid w:val="009B4CDC"/>
    <w:rsid w:val="009B65C6"/>
    <w:rsid w:val="009B665A"/>
    <w:rsid w:val="009B6B27"/>
    <w:rsid w:val="009B6C0C"/>
    <w:rsid w:val="009B6E2A"/>
    <w:rsid w:val="009B74E3"/>
    <w:rsid w:val="009C0CC3"/>
    <w:rsid w:val="009C16F0"/>
    <w:rsid w:val="009C1757"/>
    <w:rsid w:val="009C2059"/>
    <w:rsid w:val="009C2225"/>
    <w:rsid w:val="009C29F4"/>
    <w:rsid w:val="009C2FFF"/>
    <w:rsid w:val="009C318C"/>
    <w:rsid w:val="009C3C33"/>
    <w:rsid w:val="009C4148"/>
    <w:rsid w:val="009C4513"/>
    <w:rsid w:val="009C473A"/>
    <w:rsid w:val="009C5BF7"/>
    <w:rsid w:val="009C5CAB"/>
    <w:rsid w:val="009C698E"/>
    <w:rsid w:val="009C6F4C"/>
    <w:rsid w:val="009C734C"/>
    <w:rsid w:val="009C75E0"/>
    <w:rsid w:val="009C7696"/>
    <w:rsid w:val="009C775E"/>
    <w:rsid w:val="009C7E06"/>
    <w:rsid w:val="009D00B6"/>
    <w:rsid w:val="009D0176"/>
    <w:rsid w:val="009D01FD"/>
    <w:rsid w:val="009D06EC"/>
    <w:rsid w:val="009D0FFC"/>
    <w:rsid w:val="009D11D3"/>
    <w:rsid w:val="009D1286"/>
    <w:rsid w:val="009D19FE"/>
    <w:rsid w:val="009D1B2E"/>
    <w:rsid w:val="009D1EBA"/>
    <w:rsid w:val="009D3394"/>
    <w:rsid w:val="009D361A"/>
    <w:rsid w:val="009D36B2"/>
    <w:rsid w:val="009D3979"/>
    <w:rsid w:val="009D3B9F"/>
    <w:rsid w:val="009D41A9"/>
    <w:rsid w:val="009D4D42"/>
    <w:rsid w:val="009D4DD5"/>
    <w:rsid w:val="009D5566"/>
    <w:rsid w:val="009D5A04"/>
    <w:rsid w:val="009D5CAF"/>
    <w:rsid w:val="009D61B0"/>
    <w:rsid w:val="009D64BA"/>
    <w:rsid w:val="009D69BA"/>
    <w:rsid w:val="009D7100"/>
    <w:rsid w:val="009D79D3"/>
    <w:rsid w:val="009E00D1"/>
    <w:rsid w:val="009E023C"/>
    <w:rsid w:val="009E08E6"/>
    <w:rsid w:val="009E0D85"/>
    <w:rsid w:val="009E0E9E"/>
    <w:rsid w:val="009E0F93"/>
    <w:rsid w:val="009E272E"/>
    <w:rsid w:val="009E2C7C"/>
    <w:rsid w:val="009E30C1"/>
    <w:rsid w:val="009E3528"/>
    <w:rsid w:val="009E38D7"/>
    <w:rsid w:val="009E3EE8"/>
    <w:rsid w:val="009E4F55"/>
    <w:rsid w:val="009E53AC"/>
    <w:rsid w:val="009E626E"/>
    <w:rsid w:val="009E65E2"/>
    <w:rsid w:val="009E6A6A"/>
    <w:rsid w:val="009E792C"/>
    <w:rsid w:val="009E7EC1"/>
    <w:rsid w:val="009F0EEC"/>
    <w:rsid w:val="009F0FD1"/>
    <w:rsid w:val="009F1251"/>
    <w:rsid w:val="009F1B6B"/>
    <w:rsid w:val="009F23D1"/>
    <w:rsid w:val="009F282D"/>
    <w:rsid w:val="009F2B21"/>
    <w:rsid w:val="009F2DDD"/>
    <w:rsid w:val="009F3007"/>
    <w:rsid w:val="009F387F"/>
    <w:rsid w:val="009F493B"/>
    <w:rsid w:val="009F5353"/>
    <w:rsid w:val="009F6181"/>
    <w:rsid w:val="009F66C3"/>
    <w:rsid w:val="009F7E4E"/>
    <w:rsid w:val="00A008B3"/>
    <w:rsid w:val="00A00D36"/>
    <w:rsid w:val="00A01010"/>
    <w:rsid w:val="00A01BF7"/>
    <w:rsid w:val="00A0262D"/>
    <w:rsid w:val="00A0291E"/>
    <w:rsid w:val="00A037C8"/>
    <w:rsid w:val="00A03855"/>
    <w:rsid w:val="00A039D6"/>
    <w:rsid w:val="00A04D2F"/>
    <w:rsid w:val="00A0514D"/>
    <w:rsid w:val="00A05BC6"/>
    <w:rsid w:val="00A05F66"/>
    <w:rsid w:val="00A0736F"/>
    <w:rsid w:val="00A1015C"/>
    <w:rsid w:val="00A102DB"/>
    <w:rsid w:val="00A10A8A"/>
    <w:rsid w:val="00A10EE3"/>
    <w:rsid w:val="00A11D22"/>
    <w:rsid w:val="00A12457"/>
    <w:rsid w:val="00A12811"/>
    <w:rsid w:val="00A12C1F"/>
    <w:rsid w:val="00A134FA"/>
    <w:rsid w:val="00A1394C"/>
    <w:rsid w:val="00A13A6B"/>
    <w:rsid w:val="00A13B82"/>
    <w:rsid w:val="00A13D09"/>
    <w:rsid w:val="00A13ECD"/>
    <w:rsid w:val="00A143B1"/>
    <w:rsid w:val="00A14662"/>
    <w:rsid w:val="00A14B4F"/>
    <w:rsid w:val="00A155B6"/>
    <w:rsid w:val="00A155F1"/>
    <w:rsid w:val="00A156D5"/>
    <w:rsid w:val="00A1590F"/>
    <w:rsid w:val="00A15F93"/>
    <w:rsid w:val="00A16916"/>
    <w:rsid w:val="00A171FA"/>
    <w:rsid w:val="00A175AF"/>
    <w:rsid w:val="00A202AB"/>
    <w:rsid w:val="00A2083D"/>
    <w:rsid w:val="00A20FF2"/>
    <w:rsid w:val="00A2158F"/>
    <w:rsid w:val="00A21DC1"/>
    <w:rsid w:val="00A22382"/>
    <w:rsid w:val="00A24078"/>
    <w:rsid w:val="00A241BD"/>
    <w:rsid w:val="00A249F1"/>
    <w:rsid w:val="00A24BE1"/>
    <w:rsid w:val="00A24DDC"/>
    <w:rsid w:val="00A250E7"/>
    <w:rsid w:val="00A252E7"/>
    <w:rsid w:val="00A25BA8"/>
    <w:rsid w:val="00A26784"/>
    <w:rsid w:val="00A2712E"/>
    <w:rsid w:val="00A27AE9"/>
    <w:rsid w:val="00A301B5"/>
    <w:rsid w:val="00A305BA"/>
    <w:rsid w:val="00A307C5"/>
    <w:rsid w:val="00A30BEB"/>
    <w:rsid w:val="00A31056"/>
    <w:rsid w:val="00A31988"/>
    <w:rsid w:val="00A31A28"/>
    <w:rsid w:val="00A31D53"/>
    <w:rsid w:val="00A31E50"/>
    <w:rsid w:val="00A31F50"/>
    <w:rsid w:val="00A31F87"/>
    <w:rsid w:val="00A3234C"/>
    <w:rsid w:val="00A32AF5"/>
    <w:rsid w:val="00A32B68"/>
    <w:rsid w:val="00A32C0B"/>
    <w:rsid w:val="00A3311C"/>
    <w:rsid w:val="00A33266"/>
    <w:rsid w:val="00A337B4"/>
    <w:rsid w:val="00A33EE8"/>
    <w:rsid w:val="00A340EE"/>
    <w:rsid w:val="00A3410C"/>
    <w:rsid w:val="00A34420"/>
    <w:rsid w:val="00A3467A"/>
    <w:rsid w:val="00A35984"/>
    <w:rsid w:val="00A35C3D"/>
    <w:rsid w:val="00A35D37"/>
    <w:rsid w:val="00A362C6"/>
    <w:rsid w:val="00A364F1"/>
    <w:rsid w:val="00A36928"/>
    <w:rsid w:val="00A375FD"/>
    <w:rsid w:val="00A37CCC"/>
    <w:rsid w:val="00A37D55"/>
    <w:rsid w:val="00A40057"/>
    <w:rsid w:val="00A40162"/>
    <w:rsid w:val="00A4028A"/>
    <w:rsid w:val="00A406AC"/>
    <w:rsid w:val="00A41043"/>
    <w:rsid w:val="00A4133A"/>
    <w:rsid w:val="00A41BBE"/>
    <w:rsid w:val="00A4227F"/>
    <w:rsid w:val="00A429BF"/>
    <w:rsid w:val="00A42FAD"/>
    <w:rsid w:val="00A4368F"/>
    <w:rsid w:val="00A43769"/>
    <w:rsid w:val="00A43A39"/>
    <w:rsid w:val="00A441F0"/>
    <w:rsid w:val="00A4537F"/>
    <w:rsid w:val="00A45BE8"/>
    <w:rsid w:val="00A461CD"/>
    <w:rsid w:val="00A46667"/>
    <w:rsid w:val="00A46A24"/>
    <w:rsid w:val="00A46D91"/>
    <w:rsid w:val="00A46F7C"/>
    <w:rsid w:val="00A46F8E"/>
    <w:rsid w:val="00A476F1"/>
    <w:rsid w:val="00A50052"/>
    <w:rsid w:val="00A500AF"/>
    <w:rsid w:val="00A50422"/>
    <w:rsid w:val="00A506BE"/>
    <w:rsid w:val="00A508D2"/>
    <w:rsid w:val="00A50939"/>
    <w:rsid w:val="00A50F7D"/>
    <w:rsid w:val="00A512B0"/>
    <w:rsid w:val="00A519C9"/>
    <w:rsid w:val="00A54966"/>
    <w:rsid w:val="00A549D1"/>
    <w:rsid w:val="00A549FF"/>
    <w:rsid w:val="00A54FB4"/>
    <w:rsid w:val="00A55090"/>
    <w:rsid w:val="00A550D6"/>
    <w:rsid w:val="00A55B76"/>
    <w:rsid w:val="00A55FC5"/>
    <w:rsid w:val="00A56CCF"/>
    <w:rsid w:val="00A57215"/>
    <w:rsid w:val="00A575ED"/>
    <w:rsid w:val="00A57822"/>
    <w:rsid w:val="00A57E48"/>
    <w:rsid w:val="00A57F49"/>
    <w:rsid w:val="00A60266"/>
    <w:rsid w:val="00A611F2"/>
    <w:rsid w:val="00A61C21"/>
    <w:rsid w:val="00A61C6D"/>
    <w:rsid w:val="00A62088"/>
    <w:rsid w:val="00A626F5"/>
    <w:rsid w:val="00A62BAD"/>
    <w:rsid w:val="00A62E63"/>
    <w:rsid w:val="00A631DB"/>
    <w:rsid w:val="00A63A1B"/>
    <w:rsid w:val="00A641B8"/>
    <w:rsid w:val="00A65E13"/>
    <w:rsid w:val="00A66051"/>
    <w:rsid w:val="00A66525"/>
    <w:rsid w:val="00A66628"/>
    <w:rsid w:val="00A668F5"/>
    <w:rsid w:val="00A66CC5"/>
    <w:rsid w:val="00A66D76"/>
    <w:rsid w:val="00A6702C"/>
    <w:rsid w:val="00A671D2"/>
    <w:rsid w:val="00A67341"/>
    <w:rsid w:val="00A67F6F"/>
    <w:rsid w:val="00A70CE1"/>
    <w:rsid w:val="00A717FF"/>
    <w:rsid w:val="00A71BFD"/>
    <w:rsid w:val="00A71F9C"/>
    <w:rsid w:val="00A72108"/>
    <w:rsid w:val="00A72382"/>
    <w:rsid w:val="00A72AC7"/>
    <w:rsid w:val="00A741EE"/>
    <w:rsid w:val="00A742DB"/>
    <w:rsid w:val="00A742EF"/>
    <w:rsid w:val="00A746B2"/>
    <w:rsid w:val="00A74E18"/>
    <w:rsid w:val="00A75266"/>
    <w:rsid w:val="00A752E6"/>
    <w:rsid w:val="00A75C9D"/>
    <w:rsid w:val="00A76CCB"/>
    <w:rsid w:val="00A770DD"/>
    <w:rsid w:val="00A77D1C"/>
    <w:rsid w:val="00A77DE6"/>
    <w:rsid w:val="00A77F98"/>
    <w:rsid w:val="00A80767"/>
    <w:rsid w:val="00A80BC3"/>
    <w:rsid w:val="00A8117F"/>
    <w:rsid w:val="00A81DB5"/>
    <w:rsid w:val="00A8216B"/>
    <w:rsid w:val="00A823ED"/>
    <w:rsid w:val="00A827C6"/>
    <w:rsid w:val="00A83A18"/>
    <w:rsid w:val="00A83D01"/>
    <w:rsid w:val="00A83E8C"/>
    <w:rsid w:val="00A83FE8"/>
    <w:rsid w:val="00A848FA"/>
    <w:rsid w:val="00A85216"/>
    <w:rsid w:val="00A8586C"/>
    <w:rsid w:val="00A85BE9"/>
    <w:rsid w:val="00A86A29"/>
    <w:rsid w:val="00A86E00"/>
    <w:rsid w:val="00A87D27"/>
    <w:rsid w:val="00A905CF"/>
    <w:rsid w:val="00A907BB"/>
    <w:rsid w:val="00A90D35"/>
    <w:rsid w:val="00A911E2"/>
    <w:rsid w:val="00A91C92"/>
    <w:rsid w:val="00A925EB"/>
    <w:rsid w:val="00A9279D"/>
    <w:rsid w:val="00A93481"/>
    <w:rsid w:val="00A9412C"/>
    <w:rsid w:val="00A9460F"/>
    <w:rsid w:val="00A948B5"/>
    <w:rsid w:val="00A94BE1"/>
    <w:rsid w:val="00A9539B"/>
    <w:rsid w:val="00A95808"/>
    <w:rsid w:val="00A95C91"/>
    <w:rsid w:val="00A9606D"/>
    <w:rsid w:val="00A96643"/>
    <w:rsid w:val="00A96D2D"/>
    <w:rsid w:val="00A96D68"/>
    <w:rsid w:val="00A97B1A"/>
    <w:rsid w:val="00A97D06"/>
    <w:rsid w:val="00A97D40"/>
    <w:rsid w:val="00A97FC2"/>
    <w:rsid w:val="00A97FF9"/>
    <w:rsid w:val="00AA0F45"/>
    <w:rsid w:val="00AA14D8"/>
    <w:rsid w:val="00AA196F"/>
    <w:rsid w:val="00AA24CF"/>
    <w:rsid w:val="00AA2B8B"/>
    <w:rsid w:val="00AA4142"/>
    <w:rsid w:val="00AA436C"/>
    <w:rsid w:val="00AA43EF"/>
    <w:rsid w:val="00AA587D"/>
    <w:rsid w:val="00AA5FF3"/>
    <w:rsid w:val="00AA632B"/>
    <w:rsid w:val="00AA6F5D"/>
    <w:rsid w:val="00AA7823"/>
    <w:rsid w:val="00AB03F5"/>
    <w:rsid w:val="00AB0463"/>
    <w:rsid w:val="00AB0951"/>
    <w:rsid w:val="00AB15A9"/>
    <w:rsid w:val="00AB2301"/>
    <w:rsid w:val="00AB39AE"/>
    <w:rsid w:val="00AB4641"/>
    <w:rsid w:val="00AB4C91"/>
    <w:rsid w:val="00AB4F4E"/>
    <w:rsid w:val="00AB6372"/>
    <w:rsid w:val="00AB6455"/>
    <w:rsid w:val="00AB705F"/>
    <w:rsid w:val="00AB7AD1"/>
    <w:rsid w:val="00AB7EF1"/>
    <w:rsid w:val="00AC02CF"/>
    <w:rsid w:val="00AC0476"/>
    <w:rsid w:val="00AC0515"/>
    <w:rsid w:val="00AC1029"/>
    <w:rsid w:val="00AC20FC"/>
    <w:rsid w:val="00AC3178"/>
    <w:rsid w:val="00AC34E9"/>
    <w:rsid w:val="00AC35C5"/>
    <w:rsid w:val="00AC38D3"/>
    <w:rsid w:val="00AC43ED"/>
    <w:rsid w:val="00AC4644"/>
    <w:rsid w:val="00AC47B3"/>
    <w:rsid w:val="00AC48CD"/>
    <w:rsid w:val="00AC4C5F"/>
    <w:rsid w:val="00AC5903"/>
    <w:rsid w:val="00AC5D52"/>
    <w:rsid w:val="00AC63F1"/>
    <w:rsid w:val="00AC65BD"/>
    <w:rsid w:val="00AC6BEF"/>
    <w:rsid w:val="00AC6C21"/>
    <w:rsid w:val="00AC6E92"/>
    <w:rsid w:val="00AC71B8"/>
    <w:rsid w:val="00AC75F1"/>
    <w:rsid w:val="00AC78AE"/>
    <w:rsid w:val="00AC790C"/>
    <w:rsid w:val="00AD06E5"/>
    <w:rsid w:val="00AD16CF"/>
    <w:rsid w:val="00AD1AAA"/>
    <w:rsid w:val="00AD1B2D"/>
    <w:rsid w:val="00AD2781"/>
    <w:rsid w:val="00AD3187"/>
    <w:rsid w:val="00AD31EB"/>
    <w:rsid w:val="00AD3399"/>
    <w:rsid w:val="00AD4005"/>
    <w:rsid w:val="00AD487E"/>
    <w:rsid w:val="00AD48F7"/>
    <w:rsid w:val="00AD585A"/>
    <w:rsid w:val="00AD5A32"/>
    <w:rsid w:val="00AD5ADD"/>
    <w:rsid w:val="00AD688B"/>
    <w:rsid w:val="00AD6AAF"/>
    <w:rsid w:val="00AD7F46"/>
    <w:rsid w:val="00AE0062"/>
    <w:rsid w:val="00AE017C"/>
    <w:rsid w:val="00AE024D"/>
    <w:rsid w:val="00AE0736"/>
    <w:rsid w:val="00AE0784"/>
    <w:rsid w:val="00AE09F5"/>
    <w:rsid w:val="00AE0C1B"/>
    <w:rsid w:val="00AE1942"/>
    <w:rsid w:val="00AE27E9"/>
    <w:rsid w:val="00AE2B43"/>
    <w:rsid w:val="00AE2DD0"/>
    <w:rsid w:val="00AE3295"/>
    <w:rsid w:val="00AE36B8"/>
    <w:rsid w:val="00AE3D65"/>
    <w:rsid w:val="00AE3FFF"/>
    <w:rsid w:val="00AE48FE"/>
    <w:rsid w:val="00AE4955"/>
    <w:rsid w:val="00AE4CAD"/>
    <w:rsid w:val="00AE4D34"/>
    <w:rsid w:val="00AE514B"/>
    <w:rsid w:val="00AE5332"/>
    <w:rsid w:val="00AE53F9"/>
    <w:rsid w:val="00AE5588"/>
    <w:rsid w:val="00AE5610"/>
    <w:rsid w:val="00AE56AD"/>
    <w:rsid w:val="00AE5D3A"/>
    <w:rsid w:val="00AE60C0"/>
    <w:rsid w:val="00AE62FF"/>
    <w:rsid w:val="00AE631E"/>
    <w:rsid w:val="00AE6742"/>
    <w:rsid w:val="00AE68FD"/>
    <w:rsid w:val="00AE6F92"/>
    <w:rsid w:val="00AE7CA7"/>
    <w:rsid w:val="00AF0C2B"/>
    <w:rsid w:val="00AF11E1"/>
    <w:rsid w:val="00AF12B6"/>
    <w:rsid w:val="00AF1462"/>
    <w:rsid w:val="00AF1D69"/>
    <w:rsid w:val="00AF24A9"/>
    <w:rsid w:val="00AF255D"/>
    <w:rsid w:val="00AF2C16"/>
    <w:rsid w:val="00AF2D5C"/>
    <w:rsid w:val="00AF2F71"/>
    <w:rsid w:val="00AF3425"/>
    <w:rsid w:val="00AF3D8F"/>
    <w:rsid w:val="00AF4B7E"/>
    <w:rsid w:val="00AF6129"/>
    <w:rsid w:val="00AF635B"/>
    <w:rsid w:val="00AF768B"/>
    <w:rsid w:val="00AF7A3E"/>
    <w:rsid w:val="00AF7ACC"/>
    <w:rsid w:val="00AF7E1F"/>
    <w:rsid w:val="00AF7E8C"/>
    <w:rsid w:val="00B013F5"/>
    <w:rsid w:val="00B0143A"/>
    <w:rsid w:val="00B0156A"/>
    <w:rsid w:val="00B01832"/>
    <w:rsid w:val="00B01CB5"/>
    <w:rsid w:val="00B01FD8"/>
    <w:rsid w:val="00B02E16"/>
    <w:rsid w:val="00B03654"/>
    <w:rsid w:val="00B04091"/>
    <w:rsid w:val="00B040FF"/>
    <w:rsid w:val="00B04703"/>
    <w:rsid w:val="00B04AEB"/>
    <w:rsid w:val="00B04CA7"/>
    <w:rsid w:val="00B052D1"/>
    <w:rsid w:val="00B053FF"/>
    <w:rsid w:val="00B055EA"/>
    <w:rsid w:val="00B05E21"/>
    <w:rsid w:val="00B067EE"/>
    <w:rsid w:val="00B068ED"/>
    <w:rsid w:val="00B06A59"/>
    <w:rsid w:val="00B07289"/>
    <w:rsid w:val="00B07BEA"/>
    <w:rsid w:val="00B102FC"/>
    <w:rsid w:val="00B117D0"/>
    <w:rsid w:val="00B11BFA"/>
    <w:rsid w:val="00B11DBC"/>
    <w:rsid w:val="00B11F95"/>
    <w:rsid w:val="00B122FB"/>
    <w:rsid w:val="00B13136"/>
    <w:rsid w:val="00B14B37"/>
    <w:rsid w:val="00B14CC7"/>
    <w:rsid w:val="00B1558C"/>
    <w:rsid w:val="00B15EC6"/>
    <w:rsid w:val="00B163B1"/>
    <w:rsid w:val="00B16E18"/>
    <w:rsid w:val="00B16E1A"/>
    <w:rsid w:val="00B170EC"/>
    <w:rsid w:val="00B1736A"/>
    <w:rsid w:val="00B175FF"/>
    <w:rsid w:val="00B17642"/>
    <w:rsid w:val="00B17FFA"/>
    <w:rsid w:val="00B21294"/>
    <w:rsid w:val="00B21C6A"/>
    <w:rsid w:val="00B222B3"/>
    <w:rsid w:val="00B22637"/>
    <w:rsid w:val="00B22705"/>
    <w:rsid w:val="00B2298C"/>
    <w:rsid w:val="00B22EE4"/>
    <w:rsid w:val="00B23AA6"/>
    <w:rsid w:val="00B245DC"/>
    <w:rsid w:val="00B246F5"/>
    <w:rsid w:val="00B248CE"/>
    <w:rsid w:val="00B24D84"/>
    <w:rsid w:val="00B2503E"/>
    <w:rsid w:val="00B250F1"/>
    <w:rsid w:val="00B25AFC"/>
    <w:rsid w:val="00B266EF"/>
    <w:rsid w:val="00B2672B"/>
    <w:rsid w:val="00B271DA"/>
    <w:rsid w:val="00B2736D"/>
    <w:rsid w:val="00B30341"/>
    <w:rsid w:val="00B30807"/>
    <w:rsid w:val="00B30978"/>
    <w:rsid w:val="00B3097F"/>
    <w:rsid w:val="00B3118B"/>
    <w:rsid w:val="00B322D9"/>
    <w:rsid w:val="00B34563"/>
    <w:rsid w:val="00B353FC"/>
    <w:rsid w:val="00B355EC"/>
    <w:rsid w:val="00B3567F"/>
    <w:rsid w:val="00B360CE"/>
    <w:rsid w:val="00B36579"/>
    <w:rsid w:val="00B36C07"/>
    <w:rsid w:val="00B373BC"/>
    <w:rsid w:val="00B37A05"/>
    <w:rsid w:val="00B401AE"/>
    <w:rsid w:val="00B40575"/>
    <w:rsid w:val="00B41D83"/>
    <w:rsid w:val="00B4242C"/>
    <w:rsid w:val="00B42DC7"/>
    <w:rsid w:val="00B434E6"/>
    <w:rsid w:val="00B4374D"/>
    <w:rsid w:val="00B43C93"/>
    <w:rsid w:val="00B44649"/>
    <w:rsid w:val="00B446D1"/>
    <w:rsid w:val="00B457AC"/>
    <w:rsid w:val="00B45E1F"/>
    <w:rsid w:val="00B464DB"/>
    <w:rsid w:val="00B46516"/>
    <w:rsid w:val="00B46CBD"/>
    <w:rsid w:val="00B47072"/>
    <w:rsid w:val="00B47983"/>
    <w:rsid w:val="00B47B0E"/>
    <w:rsid w:val="00B508AE"/>
    <w:rsid w:val="00B519F9"/>
    <w:rsid w:val="00B51B71"/>
    <w:rsid w:val="00B51D1A"/>
    <w:rsid w:val="00B52144"/>
    <w:rsid w:val="00B52208"/>
    <w:rsid w:val="00B52346"/>
    <w:rsid w:val="00B52888"/>
    <w:rsid w:val="00B5313B"/>
    <w:rsid w:val="00B53C06"/>
    <w:rsid w:val="00B53F0C"/>
    <w:rsid w:val="00B54837"/>
    <w:rsid w:val="00B549E4"/>
    <w:rsid w:val="00B55D66"/>
    <w:rsid w:val="00B561CF"/>
    <w:rsid w:val="00B56601"/>
    <w:rsid w:val="00B5701E"/>
    <w:rsid w:val="00B57730"/>
    <w:rsid w:val="00B57A35"/>
    <w:rsid w:val="00B57CC9"/>
    <w:rsid w:val="00B611A1"/>
    <w:rsid w:val="00B61249"/>
    <w:rsid w:val="00B6140A"/>
    <w:rsid w:val="00B61AE4"/>
    <w:rsid w:val="00B629D2"/>
    <w:rsid w:val="00B6319F"/>
    <w:rsid w:val="00B631AF"/>
    <w:rsid w:val="00B6341B"/>
    <w:rsid w:val="00B639AA"/>
    <w:rsid w:val="00B642CE"/>
    <w:rsid w:val="00B645EE"/>
    <w:rsid w:val="00B64958"/>
    <w:rsid w:val="00B64AFD"/>
    <w:rsid w:val="00B65B8E"/>
    <w:rsid w:val="00B65BD6"/>
    <w:rsid w:val="00B65EAD"/>
    <w:rsid w:val="00B66AA2"/>
    <w:rsid w:val="00B66B43"/>
    <w:rsid w:val="00B677D0"/>
    <w:rsid w:val="00B6782A"/>
    <w:rsid w:val="00B67D75"/>
    <w:rsid w:val="00B709AF"/>
    <w:rsid w:val="00B7197D"/>
    <w:rsid w:val="00B71B71"/>
    <w:rsid w:val="00B71FD3"/>
    <w:rsid w:val="00B7224D"/>
    <w:rsid w:val="00B72977"/>
    <w:rsid w:val="00B729FC"/>
    <w:rsid w:val="00B736E8"/>
    <w:rsid w:val="00B739E6"/>
    <w:rsid w:val="00B73A33"/>
    <w:rsid w:val="00B73F65"/>
    <w:rsid w:val="00B74D06"/>
    <w:rsid w:val="00B74D94"/>
    <w:rsid w:val="00B75058"/>
    <w:rsid w:val="00B75FDC"/>
    <w:rsid w:val="00B76521"/>
    <w:rsid w:val="00B768B8"/>
    <w:rsid w:val="00B768FE"/>
    <w:rsid w:val="00B76DD2"/>
    <w:rsid w:val="00B76F9D"/>
    <w:rsid w:val="00B774BC"/>
    <w:rsid w:val="00B7779E"/>
    <w:rsid w:val="00B77BB0"/>
    <w:rsid w:val="00B77CFA"/>
    <w:rsid w:val="00B80428"/>
    <w:rsid w:val="00B80463"/>
    <w:rsid w:val="00B806FC"/>
    <w:rsid w:val="00B80869"/>
    <w:rsid w:val="00B808E9"/>
    <w:rsid w:val="00B80EA5"/>
    <w:rsid w:val="00B80F34"/>
    <w:rsid w:val="00B81BC6"/>
    <w:rsid w:val="00B82ABD"/>
    <w:rsid w:val="00B8341F"/>
    <w:rsid w:val="00B83655"/>
    <w:rsid w:val="00B83A2B"/>
    <w:rsid w:val="00B83F9D"/>
    <w:rsid w:val="00B8493D"/>
    <w:rsid w:val="00B84CFE"/>
    <w:rsid w:val="00B85F5A"/>
    <w:rsid w:val="00B86DA6"/>
    <w:rsid w:val="00B86E25"/>
    <w:rsid w:val="00B90FAC"/>
    <w:rsid w:val="00B91094"/>
    <w:rsid w:val="00B912C8"/>
    <w:rsid w:val="00B918BD"/>
    <w:rsid w:val="00B92787"/>
    <w:rsid w:val="00B92FAB"/>
    <w:rsid w:val="00B93A1B"/>
    <w:rsid w:val="00B954AB"/>
    <w:rsid w:val="00B9567B"/>
    <w:rsid w:val="00B95710"/>
    <w:rsid w:val="00B9599B"/>
    <w:rsid w:val="00B96B4D"/>
    <w:rsid w:val="00B96B85"/>
    <w:rsid w:val="00B97C63"/>
    <w:rsid w:val="00B97CE7"/>
    <w:rsid w:val="00B97F04"/>
    <w:rsid w:val="00BA003B"/>
    <w:rsid w:val="00BA0253"/>
    <w:rsid w:val="00BA0937"/>
    <w:rsid w:val="00BA0A3F"/>
    <w:rsid w:val="00BA0C40"/>
    <w:rsid w:val="00BA11BB"/>
    <w:rsid w:val="00BA2277"/>
    <w:rsid w:val="00BA36DB"/>
    <w:rsid w:val="00BA406A"/>
    <w:rsid w:val="00BA4838"/>
    <w:rsid w:val="00BA4D67"/>
    <w:rsid w:val="00BA5159"/>
    <w:rsid w:val="00BA5FFF"/>
    <w:rsid w:val="00BA7050"/>
    <w:rsid w:val="00BA7722"/>
    <w:rsid w:val="00BA7785"/>
    <w:rsid w:val="00BA7D5A"/>
    <w:rsid w:val="00BB0160"/>
    <w:rsid w:val="00BB0540"/>
    <w:rsid w:val="00BB091F"/>
    <w:rsid w:val="00BB0F45"/>
    <w:rsid w:val="00BB0FE0"/>
    <w:rsid w:val="00BB1766"/>
    <w:rsid w:val="00BB17C8"/>
    <w:rsid w:val="00BB2315"/>
    <w:rsid w:val="00BB232D"/>
    <w:rsid w:val="00BB23BD"/>
    <w:rsid w:val="00BB30FA"/>
    <w:rsid w:val="00BB3272"/>
    <w:rsid w:val="00BB3F08"/>
    <w:rsid w:val="00BB465B"/>
    <w:rsid w:val="00BB487A"/>
    <w:rsid w:val="00BB5D4D"/>
    <w:rsid w:val="00BB615D"/>
    <w:rsid w:val="00BB6458"/>
    <w:rsid w:val="00BB6F01"/>
    <w:rsid w:val="00BB6FE8"/>
    <w:rsid w:val="00BB7244"/>
    <w:rsid w:val="00BC00AF"/>
    <w:rsid w:val="00BC0176"/>
    <w:rsid w:val="00BC0372"/>
    <w:rsid w:val="00BC091A"/>
    <w:rsid w:val="00BC11A3"/>
    <w:rsid w:val="00BC1B03"/>
    <w:rsid w:val="00BC1CFE"/>
    <w:rsid w:val="00BC1F9C"/>
    <w:rsid w:val="00BC2502"/>
    <w:rsid w:val="00BC2A3F"/>
    <w:rsid w:val="00BC4095"/>
    <w:rsid w:val="00BC427B"/>
    <w:rsid w:val="00BC4D88"/>
    <w:rsid w:val="00BC4DA1"/>
    <w:rsid w:val="00BC4E1D"/>
    <w:rsid w:val="00BC50BF"/>
    <w:rsid w:val="00BC5F0F"/>
    <w:rsid w:val="00BC675F"/>
    <w:rsid w:val="00BC6907"/>
    <w:rsid w:val="00BC690D"/>
    <w:rsid w:val="00BC6ABD"/>
    <w:rsid w:val="00BC74AA"/>
    <w:rsid w:val="00BC78CE"/>
    <w:rsid w:val="00BC7D7D"/>
    <w:rsid w:val="00BC7F7D"/>
    <w:rsid w:val="00BD0D23"/>
    <w:rsid w:val="00BD1068"/>
    <w:rsid w:val="00BD11AC"/>
    <w:rsid w:val="00BD15B5"/>
    <w:rsid w:val="00BD249F"/>
    <w:rsid w:val="00BD2A17"/>
    <w:rsid w:val="00BD2A80"/>
    <w:rsid w:val="00BD3CCB"/>
    <w:rsid w:val="00BD3D96"/>
    <w:rsid w:val="00BD4095"/>
    <w:rsid w:val="00BD44F9"/>
    <w:rsid w:val="00BD4C52"/>
    <w:rsid w:val="00BD4DD6"/>
    <w:rsid w:val="00BD5238"/>
    <w:rsid w:val="00BD572A"/>
    <w:rsid w:val="00BD6642"/>
    <w:rsid w:val="00BD66D1"/>
    <w:rsid w:val="00BD7762"/>
    <w:rsid w:val="00BD7EB2"/>
    <w:rsid w:val="00BD7FB8"/>
    <w:rsid w:val="00BE0579"/>
    <w:rsid w:val="00BE05D7"/>
    <w:rsid w:val="00BE0912"/>
    <w:rsid w:val="00BE0B34"/>
    <w:rsid w:val="00BE12EB"/>
    <w:rsid w:val="00BE1426"/>
    <w:rsid w:val="00BE1755"/>
    <w:rsid w:val="00BE181D"/>
    <w:rsid w:val="00BE18ED"/>
    <w:rsid w:val="00BE1CD4"/>
    <w:rsid w:val="00BE25BD"/>
    <w:rsid w:val="00BE25D8"/>
    <w:rsid w:val="00BE2DB8"/>
    <w:rsid w:val="00BE333F"/>
    <w:rsid w:val="00BE38E9"/>
    <w:rsid w:val="00BE3A4F"/>
    <w:rsid w:val="00BE4181"/>
    <w:rsid w:val="00BE4B6A"/>
    <w:rsid w:val="00BE5914"/>
    <w:rsid w:val="00BE6A2A"/>
    <w:rsid w:val="00BE6FA3"/>
    <w:rsid w:val="00BE74CF"/>
    <w:rsid w:val="00BE74FA"/>
    <w:rsid w:val="00BE7C2D"/>
    <w:rsid w:val="00BE7E56"/>
    <w:rsid w:val="00BF06B2"/>
    <w:rsid w:val="00BF101D"/>
    <w:rsid w:val="00BF133E"/>
    <w:rsid w:val="00BF1352"/>
    <w:rsid w:val="00BF14CD"/>
    <w:rsid w:val="00BF150D"/>
    <w:rsid w:val="00BF27F3"/>
    <w:rsid w:val="00BF2F55"/>
    <w:rsid w:val="00BF3124"/>
    <w:rsid w:val="00BF34E2"/>
    <w:rsid w:val="00BF4031"/>
    <w:rsid w:val="00BF4052"/>
    <w:rsid w:val="00BF4196"/>
    <w:rsid w:val="00BF41B4"/>
    <w:rsid w:val="00BF4CB2"/>
    <w:rsid w:val="00BF51EF"/>
    <w:rsid w:val="00BF58F7"/>
    <w:rsid w:val="00BF5E83"/>
    <w:rsid w:val="00BF635D"/>
    <w:rsid w:val="00BF65C8"/>
    <w:rsid w:val="00BF6952"/>
    <w:rsid w:val="00BF6D5B"/>
    <w:rsid w:val="00BF6FF5"/>
    <w:rsid w:val="00BF7482"/>
    <w:rsid w:val="00BF7E3F"/>
    <w:rsid w:val="00C00749"/>
    <w:rsid w:val="00C0123D"/>
    <w:rsid w:val="00C01567"/>
    <w:rsid w:val="00C015DE"/>
    <w:rsid w:val="00C01B18"/>
    <w:rsid w:val="00C01BB3"/>
    <w:rsid w:val="00C02ACB"/>
    <w:rsid w:val="00C02AF2"/>
    <w:rsid w:val="00C02CCE"/>
    <w:rsid w:val="00C02E94"/>
    <w:rsid w:val="00C0344F"/>
    <w:rsid w:val="00C0441E"/>
    <w:rsid w:val="00C052D4"/>
    <w:rsid w:val="00C05E7B"/>
    <w:rsid w:val="00C0632F"/>
    <w:rsid w:val="00C073DA"/>
    <w:rsid w:val="00C079A7"/>
    <w:rsid w:val="00C07BB2"/>
    <w:rsid w:val="00C07DEE"/>
    <w:rsid w:val="00C10044"/>
    <w:rsid w:val="00C10190"/>
    <w:rsid w:val="00C10446"/>
    <w:rsid w:val="00C107A3"/>
    <w:rsid w:val="00C111DA"/>
    <w:rsid w:val="00C1280C"/>
    <w:rsid w:val="00C12A9B"/>
    <w:rsid w:val="00C12EA9"/>
    <w:rsid w:val="00C12F1C"/>
    <w:rsid w:val="00C13D20"/>
    <w:rsid w:val="00C13F16"/>
    <w:rsid w:val="00C14175"/>
    <w:rsid w:val="00C14D08"/>
    <w:rsid w:val="00C15119"/>
    <w:rsid w:val="00C15839"/>
    <w:rsid w:val="00C15BB6"/>
    <w:rsid w:val="00C16E39"/>
    <w:rsid w:val="00C17676"/>
    <w:rsid w:val="00C17766"/>
    <w:rsid w:val="00C1785F"/>
    <w:rsid w:val="00C17C8A"/>
    <w:rsid w:val="00C2000D"/>
    <w:rsid w:val="00C20442"/>
    <w:rsid w:val="00C205AD"/>
    <w:rsid w:val="00C20CA0"/>
    <w:rsid w:val="00C20E62"/>
    <w:rsid w:val="00C220C4"/>
    <w:rsid w:val="00C230B6"/>
    <w:rsid w:val="00C232EA"/>
    <w:rsid w:val="00C2335B"/>
    <w:rsid w:val="00C23CA6"/>
    <w:rsid w:val="00C24FDB"/>
    <w:rsid w:val="00C250B7"/>
    <w:rsid w:val="00C25281"/>
    <w:rsid w:val="00C25920"/>
    <w:rsid w:val="00C25DBE"/>
    <w:rsid w:val="00C262FE"/>
    <w:rsid w:val="00C26F0C"/>
    <w:rsid w:val="00C27570"/>
    <w:rsid w:val="00C276F9"/>
    <w:rsid w:val="00C2777B"/>
    <w:rsid w:val="00C27A20"/>
    <w:rsid w:val="00C27B29"/>
    <w:rsid w:val="00C3005B"/>
    <w:rsid w:val="00C302B7"/>
    <w:rsid w:val="00C3063B"/>
    <w:rsid w:val="00C309CD"/>
    <w:rsid w:val="00C30CB0"/>
    <w:rsid w:val="00C30D1D"/>
    <w:rsid w:val="00C30DFA"/>
    <w:rsid w:val="00C32B50"/>
    <w:rsid w:val="00C3307B"/>
    <w:rsid w:val="00C333F9"/>
    <w:rsid w:val="00C33524"/>
    <w:rsid w:val="00C33EE0"/>
    <w:rsid w:val="00C34EF8"/>
    <w:rsid w:val="00C35004"/>
    <w:rsid w:val="00C353FF"/>
    <w:rsid w:val="00C3554B"/>
    <w:rsid w:val="00C3591B"/>
    <w:rsid w:val="00C35E92"/>
    <w:rsid w:val="00C35FE0"/>
    <w:rsid w:val="00C36050"/>
    <w:rsid w:val="00C364F8"/>
    <w:rsid w:val="00C37173"/>
    <w:rsid w:val="00C373DD"/>
    <w:rsid w:val="00C37734"/>
    <w:rsid w:val="00C4001D"/>
    <w:rsid w:val="00C40408"/>
    <w:rsid w:val="00C40E8F"/>
    <w:rsid w:val="00C40F88"/>
    <w:rsid w:val="00C41103"/>
    <w:rsid w:val="00C41717"/>
    <w:rsid w:val="00C42113"/>
    <w:rsid w:val="00C423F0"/>
    <w:rsid w:val="00C4285F"/>
    <w:rsid w:val="00C42CAD"/>
    <w:rsid w:val="00C42CFC"/>
    <w:rsid w:val="00C42ED5"/>
    <w:rsid w:val="00C431E6"/>
    <w:rsid w:val="00C439DA"/>
    <w:rsid w:val="00C43E7B"/>
    <w:rsid w:val="00C45847"/>
    <w:rsid w:val="00C45ADC"/>
    <w:rsid w:val="00C45DB3"/>
    <w:rsid w:val="00C469DD"/>
    <w:rsid w:val="00C46B40"/>
    <w:rsid w:val="00C46B8E"/>
    <w:rsid w:val="00C46CAD"/>
    <w:rsid w:val="00C47573"/>
    <w:rsid w:val="00C47653"/>
    <w:rsid w:val="00C47BD1"/>
    <w:rsid w:val="00C5018A"/>
    <w:rsid w:val="00C50680"/>
    <w:rsid w:val="00C50EC4"/>
    <w:rsid w:val="00C5115D"/>
    <w:rsid w:val="00C516EA"/>
    <w:rsid w:val="00C51C4C"/>
    <w:rsid w:val="00C52579"/>
    <w:rsid w:val="00C52BE8"/>
    <w:rsid w:val="00C52D6A"/>
    <w:rsid w:val="00C53A7E"/>
    <w:rsid w:val="00C53CC3"/>
    <w:rsid w:val="00C55487"/>
    <w:rsid w:val="00C556EB"/>
    <w:rsid w:val="00C55714"/>
    <w:rsid w:val="00C56742"/>
    <w:rsid w:val="00C57248"/>
    <w:rsid w:val="00C5725B"/>
    <w:rsid w:val="00C57646"/>
    <w:rsid w:val="00C57AB8"/>
    <w:rsid w:val="00C57DF4"/>
    <w:rsid w:val="00C60735"/>
    <w:rsid w:val="00C60C87"/>
    <w:rsid w:val="00C61275"/>
    <w:rsid w:val="00C6172D"/>
    <w:rsid w:val="00C618FB"/>
    <w:rsid w:val="00C626D6"/>
    <w:rsid w:val="00C62780"/>
    <w:rsid w:val="00C631B5"/>
    <w:rsid w:val="00C63401"/>
    <w:rsid w:val="00C6423A"/>
    <w:rsid w:val="00C64FDE"/>
    <w:rsid w:val="00C6509F"/>
    <w:rsid w:val="00C65214"/>
    <w:rsid w:val="00C657A9"/>
    <w:rsid w:val="00C65F39"/>
    <w:rsid w:val="00C6699D"/>
    <w:rsid w:val="00C67FC2"/>
    <w:rsid w:val="00C7039D"/>
    <w:rsid w:val="00C70446"/>
    <w:rsid w:val="00C705FC"/>
    <w:rsid w:val="00C70CD8"/>
    <w:rsid w:val="00C72CBA"/>
    <w:rsid w:val="00C72E58"/>
    <w:rsid w:val="00C746D1"/>
    <w:rsid w:val="00C74AC0"/>
    <w:rsid w:val="00C75027"/>
    <w:rsid w:val="00C75523"/>
    <w:rsid w:val="00C75665"/>
    <w:rsid w:val="00C759EF"/>
    <w:rsid w:val="00C75FD4"/>
    <w:rsid w:val="00C80614"/>
    <w:rsid w:val="00C80E87"/>
    <w:rsid w:val="00C81679"/>
    <w:rsid w:val="00C82BB8"/>
    <w:rsid w:val="00C835A2"/>
    <w:rsid w:val="00C836F6"/>
    <w:rsid w:val="00C83969"/>
    <w:rsid w:val="00C84C48"/>
    <w:rsid w:val="00C84FE3"/>
    <w:rsid w:val="00C852F4"/>
    <w:rsid w:val="00C85634"/>
    <w:rsid w:val="00C856F2"/>
    <w:rsid w:val="00C85A83"/>
    <w:rsid w:val="00C85D0F"/>
    <w:rsid w:val="00C85DAA"/>
    <w:rsid w:val="00C86633"/>
    <w:rsid w:val="00C86CBD"/>
    <w:rsid w:val="00C8744D"/>
    <w:rsid w:val="00C878E1"/>
    <w:rsid w:val="00C87E62"/>
    <w:rsid w:val="00C90EB3"/>
    <w:rsid w:val="00C914E6"/>
    <w:rsid w:val="00C914FC"/>
    <w:rsid w:val="00C91F74"/>
    <w:rsid w:val="00C924E7"/>
    <w:rsid w:val="00C92BF2"/>
    <w:rsid w:val="00C9368E"/>
    <w:rsid w:val="00C93795"/>
    <w:rsid w:val="00C93A83"/>
    <w:rsid w:val="00C94213"/>
    <w:rsid w:val="00C94BEE"/>
    <w:rsid w:val="00C94D25"/>
    <w:rsid w:val="00C9525F"/>
    <w:rsid w:val="00C95B3B"/>
    <w:rsid w:val="00C96371"/>
    <w:rsid w:val="00C9685F"/>
    <w:rsid w:val="00C97895"/>
    <w:rsid w:val="00C97906"/>
    <w:rsid w:val="00C97B62"/>
    <w:rsid w:val="00CA023F"/>
    <w:rsid w:val="00CA0431"/>
    <w:rsid w:val="00CA05BB"/>
    <w:rsid w:val="00CA11E1"/>
    <w:rsid w:val="00CA1532"/>
    <w:rsid w:val="00CA1C4C"/>
    <w:rsid w:val="00CA23E9"/>
    <w:rsid w:val="00CA2819"/>
    <w:rsid w:val="00CA283A"/>
    <w:rsid w:val="00CA2B85"/>
    <w:rsid w:val="00CA2BD0"/>
    <w:rsid w:val="00CA31CA"/>
    <w:rsid w:val="00CA34FB"/>
    <w:rsid w:val="00CA3C4C"/>
    <w:rsid w:val="00CA4000"/>
    <w:rsid w:val="00CA42EB"/>
    <w:rsid w:val="00CA4314"/>
    <w:rsid w:val="00CA43F4"/>
    <w:rsid w:val="00CA441C"/>
    <w:rsid w:val="00CA497F"/>
    <w:rsid w:val="00CA4A8E"/>
    <w:rsid w:val="00CA4B5F"/>
    <w:rsid w:val="00CA6314"/>
    <w:rsid w:val="00CA667E"/>
    <w:rsid w:val="00CA6F54"/>
    <w:rsid w:val="00CA7072"/>
    <w:rsid w:val="00CA76EB"/>
    <w:rsid w:val="00CA77E9"/>
    <w:rsid w:val="00CA7CC2"/>
    <w:rsid w:val="00CB0210"/>
    <w:rsid w:val="00CB0A44"/>
    <w:rsid w:val="00CB0D29"/>
    <w:rsid w:val="00CB1B80"/>
    <w:rsid w:val="00CB1FFD"/>
    <w:rsid w:val="00CB22F5"/>
    <w:rsid w:val="00CB27DC"/>
    <w:rsid w:val="00CB3876"/>
    <w:rsid w:val="00CB4217"/>
    <w:rsid w:val="00CB45D1"/>
    <w:rsid w:val="00CB4D47"/>
    <w:rsid w:val="00CB4F33"/>
    <w:rsid w:val="00CB504C"/>
    <w:rsid w:val="00CB6494"/>
    <w:rsid w:val="00CB6A2D"/>
    <w:rsid w:val="00CB6CFC"/>
    <w:rsid w:val="00CB6DB4"/>
    <w:rsid w:val="00CB7B24"/>
    <w:rsid w:val="00CC0273"/>
    <w:rsid w:val="00CC062D"/>
    <w:rsid w:val="00CC0906"/>
    <w:rsid w:val="00CC0D73"/>
    <w:rsid w:val="00CC0D94"/>
    <w:rsid w:val="00CC132C"/>
    <w:rsid w:val="00CC14E7"/>
    <w:rsid w:val="00CC16A9"/>
    <w:rsid w:val="00CC1722"/>
    <w:rsid w:val="00CC1EFB"/>
    <w:rsid w:val="00CC2C02"/>
    <w:rsid w:val="00CC2CA1"/>
    <w:rsid w:val="00CC2E82"/>
    <w:rsid w:val="00CC3319"/>
    <w:rsid w:val="00CC3870"/>
    <w:rsid w:val="00CC3A88"/>
    <w:rsid w:val="00CC445C"/>
    <w:rsid w:val="00CC44C0"/>
    <w:rsid w:val="00CC5BCB"/>
    <w:rsid w:val="00CC6001"/>
    <w:rsid w:val="00CC6546"/>
    <w:rsid w:val="00CC6A7B"/>
    <w:rsid w:val="00CC6BE1"/>
    <w:rsid w:val="00CC6D62"/>
    <w:rsid w:val="00CC73E6"/>
    <w:rsid w:val="00CC788D"/>
    <w:rsid w:val="00CC7978"/>
    <w:rsid w:val="00CC7BC8"/>
    <w:rsid w:val="00CC7E73"/>
    <w:rsid w:val="00CD04C7"/>
    <w:rsid w:val="00CD0585"/>
    <w:rsid w:val="00CD0CD4"/>
    <w:rsid w:val="00CD11AA"/>
    <w:rsid w:val="00CD1B87"/>
    <w:rsid w:val="00CD2251"/>
    <w:rsid w:val="00CD2591"/>
    <w:rsid w:val="00CD2936"/>
    <w:rsid w:val="00CD2E3D"/>
    <w:rsid w:val="00CD3870"/>
    <w:rsid w:val="00CD399A"/>
    <w:rsid w:val="00CD4011"/>
    <w:rsid w:val="00CD47DD"/>
    <w:rsid w:val="00CD4D93"/>
    <w:rsid w:val="00CD54FE"/>
    <w:rsid w:val="00CD59A7"/>
    <w:rsid w:val="00CD6C56"/>
    <w:rsid w:val="00CD7FF0"/>
    <w:rsid w:val="00CE01FD"/>
    <w:rsid w:val="00CE0256"/>
    <w:rsid w:val="00CE07DD"/>
    <w:rsid w:val="00CE1DB2"/>
    <w:rsid w:val="00CE20FF"/>
    <w:rsid w:val="00CE2B5A"/>
    <w:rsid w:val="00CE3352"/>
    <w:rsid w:val="00CE3BC9"/>
    <w:rsid w:val="00CE3D97"/>
    <w:rsid w:val="00CE40C9"/>
    <w:rsid w:val="00CE4E60"/>
    <w:rsid w:val="00CE54C8"/>
    <w:rsid w:val="00CE559F"/>
    <w:rsid w:val="00CE5938"/>
    <w:rsid w:val="00CE5C7C"/>
    <w:rsid w:val="00CE5EDF"/>
    <w:rsid w:val="00CE640A"/>
    <w:rsid w:val="00CE65C1"/>
    <w:rsid w:val="00CE6A97"/>
    <w:rsid w:val="00CE6E08"/>
    <w:rsid w:val="00CE6FB6"/>
    <w:rsid w:val="00CE71EF"/>
    <w:rsid w:val="00CE73B6"/>
    <w:rsid w:val="00CE7B6E"/>
    <w:rsid w:val="00CF032A"/>
    <w:rsid w:val="00CF1F36"/>
    <w:rsid w:val="00CF2D2E"/>
    <w:rsid w:val="00CF3454"/>
    <w:rsid w:val="00CF34D9"/>
    <w:rsid w:val="00CF3858"/>
    <w:rsid w:val="00CF3BFC"/>
    <w:rsid w:val="00CF3D3A"/>
    <w:rsid w:val="00CF4194"/>
    <w:rsid w:val="00CF52B2"/>
    <w:rsid w:val="00CF537C"/>
    <w:rsid w:val="00CF5874"/>
    <w:rsid w:val="00CF6B38"/>
    <w:rsid w:val="00CF7639"/>
    <w:rsid w:val="00CF7BE8"/>
    <w:rsid w:val="00CF7DF4"/>
    <w:rsid w:val="00D01ADF"/>
    <w:rsid w:val="00D01AF4"/>
    <w:rsid w:val="00D021DC"/>
    <w:rsid w:val="00D0223F"/>
    <w:rsid w:val="00D0224C"/>
    <w:rsid w:val="00D023FC"/>
    <w:rsid w:val="00D03122"/>
    <w:rsid w:val="00D03C5D"/>
    <w:rsid w:val="00D03FAE"/>
    <w:rsid w:val="00D04EE6"/>
    <w:rsid w:val="00D0516F"/>
    <w:rsid w:val="00D054F8"/>
    <w:rsid w:val="00D0596D"/>
    <w:rsid w:val="00D0664C"/>
    <w:rsid w:val="00D067CF"/>
    <w:rsid w:val="00D06B1F"/>
    <w:rsid w:val="00D07210"/>
    <w:rsid w:val="00D0738E"/>
    <w:rsid w:val="00D07836"/>
    <w:rsid w:val="00D07B9E"/>
    <w:rsid w:val="00D1081A"/>
    <w:rsid w:val="00D10B91"/>
    <w:rsid w:val="00D10C01"/>
    <w:rsid w:val="00D118E5"/>
    <w:rsid w:val="00D12373"/>
    <w:rsid w:val="00D12A64"/>
    <w:rsid w:val="00D12D1C"/>
    <w:rsid w:val="00D13280"/>
    <w:rsid w:val="00D14993"/>
    <w:rsid w:val="00D14EC3"/>
    <w:rsid w:val="00D15835"/>
    <w:rsid w:val="00D15A87"/>
    <w:rsid w:val="00D15CC9"/>
    <w:rsid w:val="00D1621D"/>
    <w:rsid w:val="00D16518"/>
    <w:rsid w:val="00D165CD"/>
    <w:rsid w:val="00D165E0"/>
    <w:rsid w:val="00D167A2"/>
    <w:rsid w:val="00D16B3D"/>
    <w:rsid w:val="00D174A0"/>
    <w:rsid w:val="00D202FE"/>
    <w:rsid w:val="00D20E8A"/>
    <w:rsid w:val="00D20FF7"/>
    <w:rsid w:val="00D2139B"/>
    <w:rsid w:val="00D2164E"/>
    <w:rsid w:val="00D22357"/>
    <w:rsid w:val="00D22457"/>
    <w:rsid w:val="00D22463"/>
    <w:rsid w:val="00D2353C"/>
    <w:rsid w:val="00D23AE9"/>
    <w:rsid w:val="00D23C39"/>
    <w:rsid w:val="00D24014"/>
    <w:rsid w:val="00D24610"/>
    <w:rsid w:val="00D24ED3"/>
    <w:rsid w:val="00D25292"/>
    <w:rsid w:val="00D25739"/>
    <w:rsid w:val="00D26448"/>
    <w:rsid w:val="00D2661F"/>
    <w:rsid w:val="00D27B99"/>
    <w:rsid w:val="00D27F28"/>
    <w:rsid w:val="00D30CC3"/>
    <w:rsid w:val="00D31813"/>
    <w:rsid w:val="00D31EE5"/>
    <w:rsid w:val="00D33877"/>
    <w:rsid w:val="00D338D5"/>
    <w:rsid w:val="00D34B1B"/>
    <w:rsid w:val="00D34F58"/>
    <w:rsid w:val="00D35108"/>
    <w:rsid w:val="00D35807"/>
    <w:rsid w:val="00D359E3"/>
    <w:rsid w:val="00D35D76"/>
    <w:rsid w:val="00D3631D"/>
    <w:rsid w:val="00D36CCE"/>
    <w:rsid w:val="00D3726C"/>
    <w:rsid w:val="00D37758"/>
    <w:rsid w:val="00D40D0F"/>
    <w:rsid w:val="00D412BC"/>
    <w:rsid w:val="00D416EF"/>
    <w:rsid w:val="00D41C6F"/>
    <w:rsid w:val="00D42FA0"/>
    <w:rsid w:val="00D43792"/>
    <w:rsid w:val="00D4479B"/>
    <w:rsid w:val="00D45A29"/>
    <w:rsid w:val="00D4605D"/>
    <w:rsid w:val="00D46084"/>
    <w:rsid w:val="00D46518"/>
    <w:rsid w:val="00D466A1"/>
    <w:rsid w:val="00D469EA"/>
    <w:rsid w:val="00D46D02"/>
    <w:rsid w:val="00D46FB0"/>
    <w:rsid w:val="00D47636"/>
    <w:rsid w:val="00D47A4C"/>
    <w:rsid w:val="00D47B17"/>
    <w:rsid w:val="00D50556"/>
    <w:rsid w:val="00D506C1"/>
    <w:rsid w:val="00D50750"/>
    <w:rsid w:val="00D50B28"/>
    <w:rsid w:val="00D51E73"/>
    <w:rsid w:val="00D533CA"/>
    <w:rsid w:val="00D535D9"/>
    <w:rsid w:val="00D538C0"/>
    <w:rsid w:val="00D53AF9"/>
    <w:rsid w:val="00D53B5A"/>
    <w:rsid w:val="00D54BB4"/>
    <w:rsid w:val="00D54D6B"/>
    <w:rsid w:val="00D5593F"/>
    <w:rsid w:val="00D55A14"/>
    <w:rsid w:val="00D55E91"/>
    <w:rsid w:val="00D55EDF"/>
    <w:rsid w:val="00D56E3A"/>
    <w:rsid w:val="00D576FD"/>
    <w:rsid w:val="00D57729"/>
    <w:rsid w:val="00D57BA0"/>
    <w:rsid w:val="00D60157"/>
    <w:rsid w:val="00D60452"/>
    <w:rsid w:val="00D60C1F"/>
    <w:rsid w:val="00D6173F"/>
    <w:rsid w:val="00D61EF5"/>
    <w:rsid w:val="00D6239D"/>
    <w:rsid w:val="00D625B3"/>
    <w:rsid w:val="00D62F76"/>
    <w:rsid w:val="00D63A81"/>
    <w:rsid w:val="00D63BDD"/>
    <w:rsid w:val="00D64A0E"/>
    <w:rsid w:val="00D64C7B"/>
    <w:rsid w:val="00D64E52"/>
    <w:rsid w:val="00D64EDF"/>
    <w:rsid w:val="00D65981"/>
    <w:rsid w:val="00D65C76"/>
    <w:rsid w:val="00D66DDD"/>
    <w:rsid w:val="00D67260"/>
    <w:rsid w:val="00D677C1"/>
    <w:rsid w:val="00D67E47"/>
    <w:rsid w:val="00D703A2"/>
    <w:rsid w:val="00D704DE"/>
    <w:rsid w:val="00D708EC"/>
    <w:rsid w:val="00D70CD9"/>
    <w:rsid w:val="00D711A6"/>
    <w:rsid w:val="00D72402"/>
    <w:rsid w:val="00D72810"/>
    <w:rsid w:val="00D7282B"/>
    <w:rsid w:val="00D7314B"/>
    <w:rsid w:val="00D737BD"/>
    <w:rsid w:val="00D73AD7"/>
    <w:rsid w:val="00D740EE"/>
    <w:rsid w:val="00D7414F"/>
    <w:rsid w:val="00D74ADA"/>
    <w:rsid w:val="00D7518C"/>
    <w:rsid w:val="00D75520"/>
    <w:rsid w:val="00D759D4"/>
    <w:rsid w:val="00D7639D"/>
    <w:rsid w:val="00D76429"/>
    <w:rsid w:val="00D76681"/>
    <w:rsid w:val="00D767D1"/>
    <w:rsid w:val="00D76D13"/>
    <w:rsid w:val="00D76DD2"/>
    <w:rsid w:val="00D77016"/>
    <w:rsid w:val="00D770B1"/>
    <w:rsid w:val="00D774E1"/>
    <w:rsid w:val="00D77E37"/>
    <w:rsid w:val="00D80436"/>
    <w:rsid w:val="00D80B2B"/>
    <w:rsid w:val="00D817E2"/>
    <w:rsid w:val="00D81CF4"/>
    <w:rsid w:val="00D81DBD"/>
    <w:rsid w:val="00D821BF"/>
    <w:rsid w:val="00D827A2"/>
    <w:rsid w:val="00D82859"/>
    <w:rsid w:val="00D829EF"/>
    <w:rsid w:val="00D82B0C"/>
    <w:rsid w:val="00D82BAC"/>
    <w:rsid w:val="00D837F3"/>
    <w:rsid w:val="00D83BA8"/>
    <w:rsid w:val="00D841A8"/>
    <w:rsid w:val="00D84707"/>
    <w:rsid w:val="00D8576C"/>
    <w:rsid w:val="00D85992"/>
    <w:rsid w:val="00D85F5B"/>
    <w:rsid w:val="00D860D2"/>
    <w:rsid w:val="00D86445"/>
    <w:rsid w:val="00D86DB0"/>
    <w:rsid w:val="00D8751B"/>
    <w:rsid w:val="00D87727"/>
    <w:rsid w:val="00D8795D"/>
    <w:rsid w:val="00D87EEF"/>
    <w:rsid w:val="00D9165E"/>
    <w:rsid w:val="00D9256C"/>
    <w:rsid w:val="00D92FB4"/>
    <w:rsid w:val="00D939F3"/>
    <w:rsid w:val="00D93C80"/>
    <w:rsid w:val="00D953CC"/>
    <w:rsid w:val="00D9543E"/>
    <w:rsid w:val="00D96552"/>
    <w:rsid w:val="00D96650"/>
    <w:rsid w:val="00D9677A"/>
    <w:rsid w:val="00D969FE"/>
    <w:rsid w:val="00D96EF2"/>
    <w:rsid w:val="00D97467"/>
    <w:rsid w:val="00D97476"/>
    <w:rsid w:val="00D97562"/>
    <w:rsid w:val="00D97AAD"/>
    <w:rsid w:val="00DA03C7"/>
    <w:rsid w:val="00DA1236"/>
    <w:rsid w:val="00DA1378"/>
    <w:rsid w:val="00DA2421"/>
    <w:rsid w:val="00DA2753"/>
    <w:rsid w:val="00DA27D7"/>
    <w:rsid w:val="00DA284D"/>
    <w:rsid w:val="00DA2EC2"/>
    <w:rsid w:val="00DA2F75"/>
    <w:rsid w:val="00DA44F9"/>
    <w:rsid w:val="00DA5044"/>
    <w:rsid w:val="00DA5B5B"/>
    <w:rsid w:val="00DA5D86"/>
    <w:rsid w:val="00DA6245"/>
    <w:rsid w:val="00DA6401"/>
    <w:rsid w:val="00DA6B56"/>
    <w:rsid w:val="00DA718E"/>
    <w:rsid w:val="00DA76C7"/>
    <w:rsid w:val="00DB001A"/>
    <w:rsid w:val="00DB02A9"/>
    <w:rsid w:val="00DB0822"/>
    <w:rsid w:val="00DB085F"/>
    <w:rsid w:val="00DB10C4"/>
    <w:rsid w:val="00DB14DE"/>
    <w:rsid w:val="00DB1C06"/>
    <w:rsid w:val="00DB1E7E"/>
    <w:rsid w:val="00DB2A7D"/>
    <w:rsid w:val="00DB3D77"/>
    <w:rsid w:val="00DB3DFB"/>
    <w:rsid w:val="00DB479E"/>
    <w:rsid w:val="00DB4B31"/>
    <w:rsid w:val="00DB4BA8"/>
    <w:rsid w:val="00DB4E6B"/>
    <w:rsid w:val="00DB52E4"/>
    <w:rsid w:val="00DB587B"/>
    <w:rsid w:val="00DB5E1D"/>
    <w:rsid w:val="00DC01A5"/>
    <w:rsid w:val="00DC022D"/>
    <w:rsid w:val="00DC02E7"/>
    <w:rsid w:val="00DC03B0"/>
    <w:rsid w:val="00DC125E"/>
    <w:rsid w:val="00DC1528"/>
    <w:rsid w:val="00DC193A"/>
    <w:rsid w:val="00DC2957"/>
    <w:rsid w:val="00DC2BCB"/>
    <w:rsid w:val="00DC3CDE"/>
    <w:rsid w:val="00DC5076"/>
    <w:rsid w:val="00DC54D7"/>
    <w:rsid w:val="00DC5631"/>
    <w:rsid w:val="00DC5A67"/>
    <w:rsid w:val="00DC5C36"/>
    <w:rsid w:val="00DC5E19"/>
    <w:rsid w:val="00DC5E75"/>
    <w:rsid w:val="00DC6199"/>
    <w:rsid w:val="00DC6A2F"/>
    <w:rsid w:val="00DC6F2C"/>
    <w:rsid w:val="00DC71A9"/>
    <w:rsid w:val="00DC7561"/>
    <w:rsid w:val="00DC76DF"/>
    <w:rsid w:val="00DC7D6F"/>
    <w:rsid w:val="00DD043A"/>
    <w:rsid w:val="00DD0A8C"/>
    <w:rsid w:val="00DD0C24"/>
    <w:rsid w:val="00DD0D10"/>
    <w:rsid w:val="00DD1F28"/>
    <w:rsid w:val="00DD20EF"/>
    <w:rsid w:val="00DD21E0"/>
    <w:rsid w:val="00DD2782"/>
    <w:rsid w:val="00DD2C7C"/>
    <w:rsid w:val="00DD337E"/>
    <w:rsid w:val="00DD3C42"/>
    <w:rsid w:val="00DD43F2"/>
    <w:rsid w:val="00DD446B"/>
    <w:rsid w:val="00DD4ADF"/>
    <w:rsid w:val="00DD5E20"/>
    <w:rsid w:val="00DD6FAD"/>
    <w:rsid w:val="00DD7403"/>
    <w:rsid w:val="00DE0220"/>
    <w:rsid w:val="00DE03FF"/>
    <w:rsid w:val="00DE0879"/>
    <w:rsid w:val="00DE0C2C"/>
    <w:rsid w:val="00DE10B9"/>
    <w:rsid w:val="00DE14A4"/>
    <w:rsid w:val="00DE1F7C"/>
    <w:rsid w:val="00DE1FB6"/>
    <w:rsid w:val="00DE2A11"/>
    <w:rsid w:val="00DE3152"/>
    <w:rsid w:val="00DE379C"/>
    <w:rsid w:val="00DE47EC"/>
    <w:rsid w:val="00DE4B1F"/>
    <w:rsid w:val="00DE4E12"/>
    <w:rsid w:val="00DE4F0D"/>
    <w:rsid w:val="00DE586F"/>
    <w:rsid w:val="00DE5F02"/>
    <w:rsid w:val="00DE68B8"/>
    <w:rsid w:val="00DE6FE5"/>
    <w:rsid w:val="00DE7024"/>
    <w:rsid w:val="00DE7C10"/>
    <w:rsid w:val="00DE7CA9"/>
    <w:rsid w:val="00DF0503"/>
    <w:rsid w:val="00DF072C"/>
    <w:rsid w:val="00DF0C58"/>
    <w:rsid w:val="00DF1296"/>
    <w:rsid w:val="00DF1AAC"/>
    <w:rsid w:val="00DF2114"/>
    <w:rsid w:val="00DF21D7"/>
    <w:rsid w:val="00DF2FEC"/>
    <w:rsid w:val="00DF3BF4"/>
    <w:rsid w:val="00DF4D06"/>
    <w:rsid w:val="00DF4EAB"/>
    <w:rsid w:val="00DF4FB6"/>
    <w:rsid w:val="00DF5160"/>
    <w:rsid w:val="00DF5407"/>
    <w:rsid w:val="00DF63CC"/>
    <w:rsid w:val="00DF64F2"/>
    <w:rsid w:val="00DF761F"/>
    <w:rsid w:val="00DF7AC4"/>
    <w:rsid w:val="00DF7BBB"/>
    <w:rsid w:val="00E00AAB"/>
    <w:rsid w:val="00E014DF"/>
    <w:rsid w:val="00E01707"/>
    <w:rsid w:val="00E01720"/>
    <w:rsid w:val="00E01EF8"/>
    <w:rsid w:val="00E02227"/>
    <w:rsid w:val="00E022E1"/>
    <w:rsid w:val="00E024D0"/>
    <w:rsid w:val="00E02A0F"/>
    <w:rsid w:val="00E032E4"/>
    <w:rsid w:val="00E03753"/>
    <w:rsid w:val="00E03804"/>
    <w:rsid w:val="00E03881"/>
    <w:rsid w:val="00E03CC8"/>
    <w:rsid w:val="00E042F5"/>
    <w:rsid w:val="00E046E6"/>
    <w:rsid w:val="00E04B08"/>
    <w:rsid w:val="00E06260"/>
    <w:rsid w:val="00E0675D"/>
    <w:rsid w:val="00E0686A"/>
    <w:rsid w:val="00E06BC9"/>
    <w:rsid w:val="00E06BEF"/>
    <w:rsid w:val="00E06C42"/>
    <w:rsid w:val="00E07764"/>
    <w:rsid w:val="00E07C92"/>
    <w:rsid w:val="00E10B8D"/>
    <w:rsid w:val="00E10DB9"/>
    <w:rsid w:val="00E11365"/>
    <w:rsid w:val="00E123F0"/>
    <w:rsid w:val="00E125CC"/>
    <w:rsid w:val="00E12D1B"/>
    <w:rsid w:val="00E1317B"/>
    <w:rsid w:val="00E132AA"/>
    <w:rsid w:val="00E13918"/>
    <w:rsid w:val="00E13E0A"/>
    <w:rsid w:val="00E14130"/>
    <w:rsid w:val="00E14188"/>
    <w:rsid w:val="00E141F7"/>
    <w:rsid w:val="00E14509"/>
    <w:rsid w:val="00E149FD"/>
    <w:rsid w:val="00E14F01"/>
    <w:rsid w:val="00E152FF"/>
    <w:rsid w:val="00E15323"/>
    <w:rsid w:val="00E159D5"/>
    <w:rsid w:val="00E160F5"/>
    <w:rsid w:val="00E16467"/>
    <w:rsid w:val="00E17659"/>
    <w:rsid w:val="00E179FA"/>
    <w:rsid w:val="00E17C4E"/>
    <w:rsid w:val="00E204E2"/>
    <w:rsid w:val="00E213A4"/>
    <w:rsid w:val="00E21B25"/>
    <w:rsid w:val="00E21E34"/>
    <w:rsid w:val="00E21F23"/>
    <w:rsid w:val="00E2228B"/>
    <w:rsid w:val="00E23699"/>
    <w:rsid w:val="00E241A0"/>
    <w:rsid w:val="00E26EF4"/>
    <w:rsid w:val="00E26F7A"/>
    <w:rsid w:val="00E270B3"/>
    <w:rsid w:val="00E27149"/>
    <w:rsid w:val="00E30703"/>
    <w:rsid w:val="00E3070A"/>
    <w:rsid w:val="00E309B0"/>
    <w:rsid w:val="00E30E19"/>
    <w:rsid w:val="00E30EBF"/>
    <w:rsid w:val="00E30F91"/>
    <w:rsid w:val="00E327EC"/>
    <w:rsid w:val="00E32AE5"/>
    <w:rsid w:val="00E332C4"/>
    <w:rsid w:val="00E338B9"/>
    <w:rsid w:val="00E339D1"/>
    <w:rsid w:val="00E34490"/>
    <w:rsid w:val="00E354B2"/>
    <w:rsid w:val="00E365FF"/>
    <w:rsid w:val="00E367B2"/>
    <w:rsid w:val="00E36938"/>
    <w:rsid w:val="00E36B72"/>
    <w:rsid w:val="00E37715"/>
    <w:rsid w:val="00E37AE1"/>
    <w:rsid w:val="00E4121F"/>
    <w:rsid w:val="00E41788"/>
    <w:rsid w:val="00E41B6C"/>
    <w:rsid w:val="00E421DD"/>
    <w:rsid w:val="00E42740"/>
    <w:rsid w:val="00E428FD"/>
    <w:rsid w:val="00E42CD6"/>
    <w:rsid w:val="00E430A2"/>
    <w:rsid w:val="00E43231"/>
    <w:rsid w:val="00E445CA"/>
    <w:rsid w:val="00E45673"/>
    <w:rsid w:val="00E45DD8"/>
    <w:rsid w:val="00E468CB"/>
    <w:rsid w:val="00E46AE2"/>
    <w:rsid w:val="00E50740"/>
    <w:rsid w:val="00E5081C"/>
    <w:rsid w:val="00E50BB4"/>
    <w:rsid w:val="00E51170"/>
    <w:rsid w:val="00E514DF"/>
    <w:rsid w:val="00E519D6"/>
    <w:rsid w:val="00E51A88"/>
    <w:rsid w:val="00E5291A"/>
    <w:rsid w:val="00E52A39"/>
    <w:rsid w:val="00E5335E"/>
    <w:rsid w:val="00E543FC"/>
    <w:rsid w:val="00E549E8"/>
    <w:rsid w:val="00E5528F"/>
    <w:rsid w:val="00E557E8"/>
    <w:rsid w:val="00E5585D"/>
    <w:rsid w:val="00E55D4A"/>
    <w:rsid w:val="00E56171"/>
    <w:rsid w:val="00E562AF"/>
    <w:rsid w:val="00E56529"/>
    <w:rsid w:val="00E56B1D"/>
    <w:rsid w:val="00E56CDB"/>
    <w:rsid w:val="00E578DB"/>
    <w:rsid w:val="00E600CF"/>
    <w:rsid w:val="00E60E49"/>
    <w:rsid w:val="00E61662"/>
    <w:rsid w:val="00E61893"/>
    <w:rsid w:val="00E6198A"/>
    <w:rsid w:val="00E61B5F"/>
    <w:rsid w:val="00E61E85"/>
    <w:rsid w:val="00E62772"/>
    <w:rsid w:val="00E63480"/>
    <w:rsid w:val="00E63AFB"/>
    <w:rsid w:val="00E63ED8"/>
    <w:rsid w:val="00E64AF0"/>
    <w:rsid w:val="00E65114"/>
    <w:rsid w:val="00E654F1"/>
    <w:rsid w:val="00E655F2"/>
    <w:rsid w:val="00E66EBC"/>
    <w:rsid w:val="00E67027"/>
    <w:rsid w:val="00E676F8"/>
    <w:rsid w:val="00E6779B"/>
    <w:rsid w:val="00E71319"/>
    <w:rsid w:val="00E71363"/>
    <w:rsid w:val="00E72008"/>
    <w:rsid w:val="00E73893"/>
    <w:rsid w:val="00E738B7"/>
    <w:rsid w:val="00E73D34"/>
    <w:rsid w:val="00E74D9D"/>
    <w:rsid w:val="00E74FC3"/>
    <w:rsid w:val="00E75372"/>
    <w:rsid w:val="00E7629C"/>
    <w:rsid w:val="00E76FFE"/>
    <w:rsid w:val="00E77735"/>
    <w:rsid w:val="00E77A1F"/>
    <w:rsid w:val="00E77D4F"/>
    <w:rsid w:val="00E77E2D"/>
    <w:rsid w:val="00E77F85"/>
    <w:rsid w:val="00E8025F"/>
    <w:rsid w:val="00E8053C"/>
    <w:rsid w:val="00E80D92"/>
    <w:rsid w:val="00E812D9"/>
    <w:rsid w:val="00E8160E"/>
    <w:rsid w:val="00E816D5"/>
    <w:rsid w:val="00E81864"/>
    <w:rsid w:val="00E822CF"/>
    <w:rsid w:val="00E824EA"/>
    <w:rsid w:val="00E82812"/>
    <w:rsid w:val="00E82ABB"/>
    <w:rsid w:val="00E83D2D"/>
    <w:rsid w:val="00E8401A"/>
    <w:rsid w:val="00E84141"/>
    <w:rsid w:val="00E847A9"/>
    <w:rsid w:val="00E84B9A"/>
    <w:rsid w:val="00E84C59"/>
    <w:rsid w:val="00E85017"/>
    <w:rsid w:val="00E851A1"/>
    <w:rsid w:val="00E85845"/>
    <w:rsid w:val="00E85EEE"/>
    <w:rsid w:val="00E861D8"/>
    <w:rsid w:val="00E86BEE"/>
    <w:rsid w:val="00E879D7"/>
    <w:rsid w:val="00E90619"/>
    <w:rsid w:val="00E90641"/>
    <w:rsid w:val="00E90BA9"/>
    <w:rsid w:val="00E91755"/>
    <w:rsid w:val="00E92090"/>
    <w:rsid w:val="00E92542"/>
    <w:rsid w:val="00E929A9"/>
    <w:rsid w:val="00E92D2A"/>
    <w:rsid w:val="00E92EF8"/>
    <w:rsid w:val="00E9335B"/>
    <w:rsid w:val="00E93859"/>
    <w:rsid w:val="00E93A62"/>
    <w:rsid w:val="00E94517"/>
    <w:rsid w:val="00E94A12"/>
    <w:rsid w:val="00E957EE"/>
    <w:rsid w:val="00E9602D"/>
    <w:rsid w:val="00E96585"/>
    <w:rsid w:val="00E96FBB"/>
    <w:rsid w:val="00EA03F3"/>
    <w:rsid w:val="00EA0524"/>
    <w:rsid w:val="00EA07B2"/>
    <w:rsid w:val="00EA0BDD"/>
    <w:rsid w:val="00EA17A1"/>
    <w:rsid w:val="00EA262F"/>
    <w:rsid w:val="00EA306E"/>
    <w:rsid w:val="00EA367B"/>
    <w:rsid w:val="00EA3D68"/>
    <w:rsid w:val="00EA45F1"/>
    <w:rsid w:val="00EA48AF"/>
    <w:rsid w:val="00EA588C"/>
    <w:rsid w:val="00EA730A"/>
    <w:rsid w:val="00EA7B00"/>
    <w:rsid w:val="00EB0C1E"/>
    <w:rsid w:val="00EB12DF"/>
    <w:rsid w:val="00EB17CE"/>
    <w:rsid w:val="00EB19FB"/>
    <w:rsid w:val="00EB1A3F"/>
    <w:rsid w:val="00EB2964"/>
    <w:rsid w:val="00EB29C9"/>
    <w:rsid w:val="00EB2FE6"/>
    <w:rsid w:val="00EB3425"/>
    <w:rsid w:val="00EB37EB"/>
    <w:rsid w:val="00EB3C0E"/>
    <w:rsid w:val="00EB3F2B"/>
    <w:rsid w:val="00EB4C3B"/>
    <w:rsid w:val="00EB4E73"/>
    <w:rsid w:val="00EB4F68"/>
    <w:rsid w:val="00EB5A01"/>
    <w:rsid w:val="00EB5B78"/>
    <w:rsid w:val="00EB6483"/>
    <w:rsid w:val="00EB746F"/>
    <w:rsid w:val="00EB7D6C"/>
    <w:rsid w:val="00EC02E3"/>
    <w:rsid w:val="00EC04CC"/>
    <w:rsid w:val="00EC051A"/>
    <w:rsid w:val="00EC1A16"/>
    <w:rsid w:val="00EC1AA1"/>
    <w:rsid w:val="00EC2932"/>
    <w:rsid w:val="00EC3D80"/>
    <w:rsid w:val="00EC4E23"/>
    <w:rsid w:val="00EC5BD1"/>
    <w:rsid w:val="00EC64FB"/>
    <w:rsid w:val="00EC65E0"/>
    <w:rsid w:val="00EC738E"/>
    <w:rsid w:val="00EC7AC5"/>
    <w:rsid w:val="00EC7D7B"/>
    <w:rsid w:val="00ED036C"/>
    <w:rsid w:val="00ED08F6"/>
    <w:rsid w:val="00ED09F0"/>
    <w:rsid w:val="00ED0D01"/>
    <w:rsid w:val="00ED1467"/>
    <w:rsid w:val="00ED18DE"/>
    <w:rsid w:val="00ED1A65"/>
    <w:rsid w:val="00ED1A8A"/>
    <w:rsid w:val="00ED1F63"/>
    <w:rsid w:val="00ED21F4"/>
    <w:rsid w:val="00ED2412"/>
    <w:rsid w:val="00ED2920"/>
    <w:rsid w:val="00ED29DC"/>
    <w:rsid w:val="00ED3423"/>
    <w:rsid w:val="00ED37E4"/>
    <w:rsid w:val="00ED46A3"/>
    <w:rsid w:val="00ED4B20"/>
    <w:rsid w:val="00ED4B62"/>
    <w:rsid w:val="00ED52B4"/>
    <w:rsid w:val="00ED590B"/>
    <w:rsid w:val="00ED5F57"/>
    <w:rsid w:val="00ED7084"/>
    <w:rsid w:val="00ED736B"/>
    <w:rsid w:val="00ED7D68"/>
    <w:rsid w:val="00ED7FAC"/>
    <w:rsid w:val="00EE0A08"/>
    <w:rsid w:val="00EE0C70"/>
    <w:rsid w:val="00EE0E70"/>
    <w:rsid w:val="00EE10A7"/>
    <w:rsid w:val="00EE1286"/>
    <w:rsid w:val="00EE18BE"/>
    <w:rsid w:val="00EE1E8A"/>
    <w:rsid w:val="00EE2029"/>
    <w:rsid w:val="00EE2BFC"/>
    <w:rsid w:val="00EE3579"/>
    <w:rsid w:val="00EE3711"/>
    <w:rsid w:val="00EE3BA8"/>
    <w:rsid w:val="00EE40C7"/>
    <w:rsid w:val="00EE40CF"/>
    <w:rsid w:val="00EE4B7B"/>
    <w:rsid w:val="00EE4D59"/>
    <w:rsid w:val="00EE517B"/>
    <w:rsid w:val="00EE52CF"/>
    <w:rsid w:val="00EE55D2"/>
    <w:rsid w:val="00EE572E"/>
    <w:rsid w:val="00EE58C6"/>
    <w:rsid w:val="00EE5905"/>
    <w:rsid w:val="00EE5982"/>
    <w:rsid w:val="00EE6309"/>
    <w:rsid w:val="00EE6AB0"/>
    <w:rsid w:val="00EE6EC3"/>
    <w:rsid w:val="00EE7CEA"/>
    <w:rsid w:val="00EF07C9"/>
    <w:rsid w:val="00EF0B00"/>
    <w:rsid w:val="00EF15AE"/>
    <w:rsid w:val="00EF1680"/>
    <w:rsid w:val="00EF18AF"/>
    <w:rsid w:val="00EF1BC1"/>
    <w:rsid w:val="00EF285E"/>
    <w:rsid w:val="00EF3185"/>
    <w:rsid w:val="00EF34A5"/>
    <w:rsid w:val="00EF34FE"/>
    <w:rsid w:val="00EF357E"/>
    <w:rsid w:val="00EF364E"/>
    <w:rsid w:val="00EF3DC0"/>
    <w:rsid w:val="00EF42D9"/>
    <w:rsid w:val="00EF4B3F"/>
    <w:rsid w:val="00EF5324"/>
    <w:rsid w:val="00EF6871"/>
    <w:rsid w:val="00EF69F0"/>
    <w:rsid w:val="00EF6A78"/>
    <w:rsid w:val="00EF6C18"/>
    <w:rsid w:val="00EF7201"/>
    <w:rsid w:val="00EF7734"/>
    <w:rsid w:val="00EF784F"/>
    <w:rsid w:val="00EF7C5F"/>
    <w:rsid w:val="00F00BE9"/>
    <w:rsid w:val="00F00CB2"/>
    <w:rsid w:val="00F0183F"/>
    <w:rsid w:val="00F0208E"/>
    <w:rsid w:val="00F02E70"/>
    <w:rsid w:val="00F02F27"/>
    <w:rsid w:val="00F04BB4"/>
    <w:rsid w:val="00F051EC"/>
    <w:rsid w:val="00F05AB8"/>
    <w:rsid w:val="00F05E0B"/>
    <w:rsid w:val="00F0647E"/>
    <w:rsid w:val="00F06854"/>
    <w:rsid w:val="00F068CE"/>
    <w:rsid w:val="00F06970"/>
    <w:rsid w:val="00F06B4A"/>
    <w:rsid w:val="00F07211"/>
    <w:rsid w:val="00F07276"/>
    <w:rsid w:val="00F072CD"/>
    <w:rsid w:val="00F07720"/>
    <w:rsid w:val="00F11840"/>
    <w:rsid w:val="00F11D26"/>
    <w:rsid w:val="00F11EE6"/>
    <w:rsid w:val="00F11FB6"/>
    <w:rsid w:val="00F12002"/>
    <w:rsid w:val="00F128D7"/>
    <w:rsid w:val="00F135F8"/>
    <w:rsid w:val="00F14039"/>
    <w:rsid w:val="00F14047"/>
    <w:rsid w:val="00F143A1"/>
    <w:rsid w:val="00F1453A"/>
    <w:rsid w:val="00F14543"/>
    <w:rsid w:val="00F14607"/>
    <w:rsid w:val="00F147FB"/>
    <w:rsid w:val="00F150B2"/>
    <w:rsid w:val="00F158C1"/>
    <w:rsid w:val="00F158CC"/>
    <w:rsid w:val="00F1600D"/>
    <w:rsid w:val="00F166F7"/>
    <w:rsid w:val="00F16AEB"/>
    <w:rsid w:val="00F17DD8"/>
    <w:rsid w:val="00F205E4"/>
    <w:rsid w:val="00F221E4"/>
    <w:rsid w:val="00F225F9"/>
    <w:rsid w:val="00F2274C"/>
    <w:rsid w:val="00F23A5F"/>
    <w:rsid w:val="00F23AD2"/>
    <w:rsid w:val="00F23F37"/>
    <w:rsid w:val="00F2424D"/>
    <w:rsid w:val="00F2431C"/>
    <w:rsid w:val="00F24B8E"/>
    <w:rsid w:val="00F2550C"/>
    <w:rsid w:val="00F26F06"/>
    <w:rsid w:val="00F27862"/>
    <w:rsid w:val="00F307F9"/>
    <w:rsid w:val="00F314A2"/>
    <w:rsid w:val="00F315E5"/>
    <w:rsid w:val="00F31D2B"/>
    <w:rsid w:val="00F31F79"/>
    <w:rsid w:val="00F327E3"/>
    <w:rsid w:val="00F32DFD"/>
    <w:rsid w:val="00F32E10"/>
    <w:rsid w:val="00F336FB"/>
    <w:rsid w:val="00F33946"/>
    <w:rsid w:val="00F3440A"/>
    <w:rsid w:val="00F3447A"/>
    <w:rsid w:val="00F347D8"/>
    <w:rsid w:val="00F3491A"/>
    <w:rsid w:val="00F34B97"/>
    <w:rsid w:val="00F34FCA"/>
    <w:rsid w:val="00F35844"/>
    <w:rsid w:val="00F37570"/>
    <w:rsid w:val="00F378F2"/>
    <w:rsid w:val="00F37CAC"/>
    <w:rsid w:val="00F403A0"/>
    <w:rsid w:val="00F4046C"/>
    <w:rsid w:val="00F412D3"/>
    <w:rsid w:val="00F412DF"/>
    <w:rsid w:val="00F416F8"/>
    <w:rsid w:val="00F41BE1"/>
    <w:rsid w:val="00F426E8"/>
    <w:rsid w:val="00F429B7"/>
    <w:rsid w:val="00F42CDA"/>
    <w:rsid w:val="00F42EF0"/>
    <w:rsid w:val="00F43035"/>
    <w:rsid w:val="00F43064"/>
    <w:rsid w:val="00F4307B"/>
    <w:rsid w:val="00F4336E"/>
    <w:rsid w:val="00F439CC"/>
    <w:rsid w:val="00F44EB2"/>
    <w:rsid w:val="00F44FC6"/>
    <w:rsid w:val="00F456C8"/>
    <w:rsid w:val="00F46CDD"/>
    <w:rsid w:val="00F46FFD"/>
    <w:rsid w:val="00F478C4"/>
    <w:rsid w:val="00F47AB2"/>
    <w:rsid w:val="00F47DC7"/>
    <w:rsid w:val="00F5069D"/>
    <w:rsid w:val="00F50942"/>
    <w:rsid w:val="00F50B6F"/>
    <w:rsid w:val="00F519E3"/>
    <w:rsid w:val="00F51AB8"/>
    <w:rsid w:val="00F52ED7"/>
    <w:rsid w:val="00F53489"/>
    <w:rsid w:val="00F53EB1"/>
    <w:rsid w:val="00F5415B"/>
    <w:rsid w:val="00F5452C"/>
    <w:rsid w:val="00F5458D"/>
    <w:rsid w:val="00F548A6"/>
    <w:rsid w:val="00F555B6"/>
    <w:rsid w:val="00F55715"/>
    <w:rsid w:val="00F55B65"/>
    <w:rsid w:val="00F55CF2"/>
    <w:rsid w:val="00F55E32"/>
    <w:rsid w:val="00F56D9B"/>
    <w:rsid w:val="00F60494"/>
    <w:rsid w:val="00F604E2"/>
    <w:rsid w:val="00F604FE"/>
    <w:rsid w:val="00F60E53"/>
    <w:rsid w:val="00F61969"/>
    <w:rsid w:val="00F61FB5"/>
    <w:rsid w:val="00F62329"/>
    <w:rsid w:val="00F6252D"/>
    <w:rsid w:val="00F64F96"/>
    <w:rsid w:val="00F65158"/>
    <w:rsid w:val="00F652CE"/>
    <w:rsid w:val="00F65652"/>
    <w:rsid w:val="00F665F0"/>
    <w:rsid w:val="00F66760"/>
    <w:rsid w:val="00F66D9C"/>
    <w:rsid w:val="00F66FA4"/>
    <w:rsid w:val="00F67760"/>
    <w:rsid w:val="00F67DE6"/>
    <w:rsid w:val="00F67EE2"/>
    <w:rsid w:val="00F7042A"/>
    <w:rsid w:val="00F70BDD"/>
    <w:rsid w:val="00F70C5B"/>
    <w:rsid w:val="00F70F55"/>
    <w:rsid w:val="00F70F9D"/>
    <w:rsid w:val="00F71F5D"/>
    <w:rsid w:val="00F72145"/>
    <w:rsid w:val="00F72416"/>
    <w:rsid w:val="00F724A5"/>
    <w:rsid w:val="00F724D7"/>
    <w:rsid w:val="00F7361C"/>
    <w:rsid w:val="00F736E2"/>
    <w:rsid w:val="00F7475C"/>
    <w:rsid w:val="00F74D42"/>
    <w:rsid w:val="00F74DB9"/>
    <w:rsid w:val="00F74E8F"/>
    <w:rsid w:val="00F75291"/>
    <w:rsid w:val="00F76036"/>
    <w:rsid w:val="00F763B6"/>
    <w:rsid w:val="00F76D7B"/>
    <w:rsid w:val="00F773D5"/>
    <w:rsid w:val="00F77448"/>
    <w:rsid w:val="00F77ED3"/>
    <w:rsid w:val="00F80709"/>
    <w:rsid w:val="00F810F4"/>
    <w:rsid w:val="00F813EA"/>
    <w:rsid w:val="00F82F00"/>
    <w:rsid w:val="00F833EE"/>
    <w:rsid w:val="00F84055"/>
    <w:rsid w:val="00F84B88"/>
    <w:rsid w:val="00F84E07"/>
    <w:rsid w:val="00F84FAE"/>
    <w:rsid w:val="00F8568A"/>
    <w:rsid w:val="00F861DD"/>
    <w:rsid w:val="00F86F56"/>
    <w:rsid w:val="00F87258"/>
    <w:rsid w:val="00F87CFD"/>
    <w:rsid w:val="00F87F04"/>
    <w:rsid w:val="00F90196"/>
    <w:rsid w:val="00F9082A"/>
    <w:rsid w:val="00F909D1"/>
    <w:rsid w:val="00F92E29"/>
    <w:rsid w:val="00F935BA"/>
    <w:rsid w:val="00F94D6D"/>
    <w:rsid w:val="00F94F18"/>
    <w:rsid w:val="00F9569D"/>
    <w:rsid w:val="00F95E2C"/>
    <w:rsid w:val="00F96029"/>
    <w:rsid w:val="00F96C50"/>
    <w:rsid w:val="00F96D8A"/>
    <w:rsid w:val="00F96EDE"/>
    <w:rsid w:val="00F973C7"/>
    <w:rsid w:val="00F97C8B"/>
    <w:rsid w:val="00FA00C0"/>
    <w:rsid w:val="00FA0173"/>
    <w:rsid w:val="00FA02E8"/>
    <w:rsid w:val="00FA04CD"/>
    <w:rsid w:val="00FA0E32"/>
    <w:rsid w:val="00FA1959"/>
    <w:rsid w:val="00FA1A45"/>
    <w:rsid w:val="00FA1E05"/>
    <w:rsid w:val="00FA1FCA"/>
    <w:rsid w:val="00FA2651"/>
    <w:rsid w:val="00FA2E54"/>
    <w:rsid w:val="00FA2EBC"/>
    <w:rsid w:val="00FA44B4"/>
    <w:rsid w:val="00FA5434"/>
    <w:rsid w:val="00FA553B"/>
    <w:rsid w:val="00FA5FCA"/>
    <w:rsid w:val="00FA74D6"/>
    <w:rsid w:val="00FA768F"/>
    <w:rsid w:val="00FA7765"/>
    <w:rsid w:val="00FA7F97"/>
    <w:rsid w:val="00FA7FC6"/>
    <w:rsid w:val="00FB19E2"/>
    <w:rsid w:val="00FB2ABD"/>
    <w:rsid w:val="00FB2B94"/>
    <w:rsid w:val="00FB2BBB"/>
    <w:rsid w:val="00FB3CE8"/>
    <w:rsid w:val="00FB4310"/>
    <w:rsid w:val="00FB4395"/>
    <w:rsid w:val="00FB453B"/>
    <w:rsid w:val="00FB46C7"/>
    <w:rsid w:val="00FB4DC9"/>
    <w:rsid w:val="00FB50D9"/>
    <w:rsid w:val="00FB54B7"/>
    <w:rsid w:val="00FB5DB6"/>
    <w:rsid w:val="00FB6545"/>
    <w:rsid w:val="00FB67F3"/>
    <w:rsid w:val="00FB6B39"/>
    <w:rsid w:val="00FB6C29"/>
    <w:rsid w:val="00FB6DD7"/>
    <w:rsid w:val="00FB77A8"/>
    <w:rsid w:val="00FB7CAD"/>
    <w:rsid w:val="00FC0776"/>
    <w:rsid w:val="00FC08A9"/>
    <w:rsid w:val="00FC0FEB"/>
    <w:rsid w:val="00FC1564"/>
    <w:rsid w:val="00FC1E79"/>
    <w:rsid w:val="00FC22B1"/>
    <w:rsid w:val="00FC2895"/>
    <w:rsid w:val="00FC2A7A"/>
    <w:rsid w:val="00FC344C"/>
    <w:rsid w:val="00FC445E"/>
    <w:rsid w:val="00FC4A00"/>
    <w:rsid w:val="00FC4E17"/>
    <w:rsid w:val="00FC53BE"/>
    <w:rsid w:val="00FC54B9"/>
    <w:rsid w:val="00FC5764"/>
    <w:rsid w:val="00FC57C6"/>
    <w:rsid w:val="00FC588A"/>
    <w:rsid w:val="00FC5E60"/>
    <w:rsid w:val="00FC6581"/>
    <w:rsid w:val="00FC6B7C"/>
    <w:rsid w:val="00FC6D6A"/>
    <w:rsid w:val="00FD0214"/>
    <w:rsid w:val="00FD0326"/>
    <w:rsid w:val="00FD1024"/>
    <w:rsid w:val="00FD11B7"/>
    <w:rsid w:val="00FD1BB0"/>
    <w:rsid w:val="00FD1BE0"/>
    <w:rsid w:val="00FD2298"/>
    <w:rsid w:val="00FD2395"/>
    <w:rsid w:val="00FD28A4"/>
    <w:rsid w:val="00FD3788"/>
    <w:rsid w:val="00FD3CA0"/>
    <w:rsid w:val="00FD3DC1"/>
    <w:rsid w:val="00FD436B"/>
    <w:rsid w:val="00FD4694"/>
    <w:rsid w:val="00FD53BE"/>
    <w:rsid w:val="00FD5990"/>
    <w:rsid w:val="00FD5F96"/>
    <w:rsid w:val="00FD651D"/>
    <w:rsid w:val="00FD6659"/>
    <w:rsid w:val="00FD6D6A"/>
    <w:rsid w:val="00FD7156"/>
    <w:rsid w:val="00FD7DB8"/>
    <w:rsid w:val="00FE0C82"/>
    <w:rsid w:val="00FE0EC6"/>
    <w:rsid w:val="00FE0F83"/>
    <w:rsid w:val="00FE2202"/>
    <w:rsid w:val="00FE3410"/>
    <w:rsid w:val="00FE34BC"/>
    <w:rsid w:val="00FE35A1"/>
    <w:rsid w:val="00FE3751"/>
    <w:rsid w:val="00FE38B7"/>
    <w:rsid w:val="00FE3A78"/>
    <w:rsid w:val="00FE3C0B"/>
    <w:rsid w:val="00FE49BF"/>
    <w:rsid w:val="00FE4B3D"/>
    <w:rsid w:val="00FE5CFA"/>
    <w:rsid w:val="00FE68BD"/>
    <w:rsid w:val="00FE6952"/>
    <w:rsid w:val="00FE6EA1"/>
    <w:rsid w:val="00FE714E"/>
    <w:rsid w:val="00FE7380"/>
    <w:rsid w:val="00FE7D1C"/>
    <w:rsid w:val="00FE7E6B"/>
    <w:rsid w:val="00FE7EC1"/>
    <w:rsid w:val="00FF2463"/>
    <w:rsid w:val="00FF4CE9"/>
    <w:rsid w:val="00FF4E0D"/>
    <w:rsid w:val="00FF4EC7"/>
    <w:rsid w:val="00FF623A"/>
    <w:rsid w:val="00FF6E7A"/>
    <w:rsid w:val="00FF761D"/>
    <w:rsid w:val="00FF791A"/>
    <w:rsid w:val="00FF7BDF"/>
    <w:rsid w:val="00FF7CEB"/>
    <w:rsid w:val="013B7FB6"/>
    <w:rsid w:val="0239E058"/>
    <w:rsid w:val="029E1773"/>
    <w:rsid w:val="0320019A"/>
    <w:rsid w:val="036711D5"/>
    <w:rsid w:val="04F0206C"/>
    <w:rsid w:val="052566C6"/>
    <w:rsid w:val="06887F92"/>
    <w:rsid w:val="06E2A385"/>
    <w:rsid w:val="080A2195"/>
    <w:rsid w:val="08C232A3"/>
    <w:rsid w:val="0AAA5CEA"/>
    <w:rsid w:val="0ABC9A1B"/>
    <w:rsid w:val="0ADE1460"/>
    <w:rsid w:val="0C095ABA"/>
    <w:rsid w:val="0C79E4C1"/>
    <w:rsid w:val="0C82041D"/>
    <w:rsid w:val="0C8A326C"/>
    <w:rsid w:val="0D49C5AD"/>
    <w:rsid w:val="0D7DE66C"/>
    <w:rsid w:val="0DAEAC76"/>
    <w:rsid w:val="0DF5B5B8"/>
    <w:rsid w:val="0E5B192A"/>
    <w:rsid w:val="0E66C18A"/>
    <w:rsid w:val="0E9A0C28"/>
    <w:rsid w:val="0F12CE98"/>
    <w:rsid w:val="1016EA89"/>
    <w:rsid w:val="112C0E2B"/>
    <w:rsid w:val="113C4CE3"/>
    <w:rsid w:val="1174E089"/>
    <w:rsid w:val="11BB52BF"/>
    <w:rsid w:val="11BF0562"/>
    <w:rsid w:val="12F04982"/>
    <w:rsid w:val="12FBCCBF"/>
    <w:rsid w:val="13572320"/>
    <w:rsid w:val="140456E8"/>
    <w:rsid w:val="1438132C"/>
    <w:rsid w:val="147FA3B3"/>
    <w:rsid w:val="16514A82"/>
    <w:rsid w:val="1669EBDB"/>
    <w:rsid w:val="16D30160"/>
    <w:rsid w:val="1739EFF4"/>
    <w:rsid w:val="175787B0"/>
    <w:rsid w:val="17828C3E"/>
    <w:rsid w:val="180EFEAC"/>
    <w:rsid w:val="18892E05"/>
    <w:rsid w:val="19489287"/>
    <w:rsid w:val="19909A1A"/>
    <w:rsid w:val="199D6DB0"/>
    <w:rsid w:val="19F759BC"/>
    <w:rsid w:val="1B4646A3"/>
    <w:rsid w:val="1B93DDE0"/>
    <w:rsid w:val="1BCA508C"/>
    <w:rsid w:val="1BF01A79"/>
    <w:rsid w:val="1D1341B5"/>
    <w:rsid w:val="1D5F5052"/>
    <w:rsid w:val="1ECB5952"/>
    <w:rsid w:val="1FE73480"/>
    <w:rsid w:val="217320EE"/>
    <w:rsid w:val="21B7AAE6"/>
    <w:rsid w:val="21F06681"/>
    <w:rsid w:val="22574FAA"/>
    <w:rsid w:val="22691DB8"/>
    <w:rsid w:val="2307D0D0"/>
    <w:rsid w:val="2316148C"/>
    <w:rsid w:val="2316A52D"/>
    <w:rsid w:val="23628C88"/>
    <w:rsid w:val="23AE73E3"/>
    <w:rsid w:val="23C60F80"/>
    <w:rsid w:val="245DDE36"/>
    <w:rsid w:val="25BFD31A"/>
    <w:rsid w:val="27957EF8"/>
    <w:rsid w:val="28047E11"/>
    <w:rsid w:val="28939506"/>
    <w:rsid w:val="28ACC4E9"/>
    <w:rsid w:val="29204658"/>
    <w:rsid w:val="29855FF2"/>
    <w:rsid w:val="29FC7B13"/>
    <w:rsid w:val="2A417F27"/>
    <w:rsid w:val="2BE128BA"/>
    <w:rsid w:val="2C047104"/>
    <w:rsid w:val="2C50C3DD"/>
    <w:rsid w:val="2CFE2C56"/>
    <w:rsid w:val="2D06080B"/>
    <w:rsid w:val="2E8D7F70"/>
    <w:rsid w:val="2F08728C"/>
    <w:rsid w:val="309D03CD"/>
    <w:rsid w:val="30F1558C"/>
    <w:rsid w:val="31063456"/>
    <w:rsid w:val="312338E1"/>
    <w:rsid w:val="3238D42E"/>
    <w:rsid w:val="332418FA"/>
    <w:rsid w:val="343AF3AB"/>
    <w:rsid w:val="3446A003"/>
    <w:rsid w:val="34F30DFB"/>
    <w:rsid w:val="353EF556"/>
    <w:rsid w:val="3593C656"/>
    <w:rsid w:val="35A333EE"/>
    <w:rsid w:val="37C36DD7"/>
    <w:rsid w:val="389AA1BE"/>
    <w:rsid w:val="38D38674"/>
    <w:rsid w:val="38F36C6C"/>
    <w:rsid w:val="393EE849"/>
    <w:rsid w:val="393F53C7"/>
    <w:rsid w:val="398B3B22"/>
    <w:rsid w:val="39A53765"/>
    <w:rsid w:val="3A4CE98F"/>
    <w:rsid w:val="3A7BBDFA"/>
    <w:rsid w:val="3A8730FB"/>
    <w:rsid w:val="3B07258B"/>
    <w:rsid w:val="3B13C574"/>
    <w:rsid w:val="3B492722"/>
    <w:rsid w:val="3B4F04A4"/>
    <w:rsid w:val="3B530CE6"/>
    <w:rsid w:val="3B5C42F0"/>
    <w:rsid w:val="3B5DD87A"/>
    <w:rsid w:val="3B71F6BF"/>
    <w:rsid w:val="3BD69AF9"/>
    <w:rsid w:val="3BD70677"/>
    <w:rsid w:val="3C2A110F"/>
    <w:rsid w:val="3D05677B"/>
    <w:rsid w:val="3D0EEA33"/>
    <w:rsid w:val="3D429A9D"/>
    <w:rsid w:val="3DBE52B5"/>
    <w:rsid w:val="3DD82334"/>
    <w:rsid w:val="3E57D7D5"/>
    <w:rsid w:val="3FCEBDA5"/>
    <w:rsid w:val="3FD5E2EA"/>
    <w:rsid w:val="417B1BFA"/>
    <w:rsid w:val="422DB03F"/>
    <w:rsid w:val="427DDFE7"/>
    <w:rsid w:val="42E96A6F"/>
    <w:rsid w:val="435D22AC"/>
    <w:rsid w:val="436445E9"/>
    <w:rsid w:val="43CE2C21"/>
    <w:rsid w:val="43F85543"/>
    <w:rsid w:val="4416A7A4"/>
    <w:rsid w:val="442D0398"/>
    <w:rsid w:val="44F498FD"/>
    <w:rsid w:val="451969A6"/>
    <w:rsid w:val="454BFDA5"/>
    <w:rsid w:val="455BC4CC"/>
    <w:rsid w:val="46A3A065"/>
    <w:rsid w:val="4721EDED"/>
    <w:rsid w:val="483093CF"/>
    <w:rsid w:val="484AC22D"/>
    <w:rsid w:val="4861174A"/>
    <w:rsid w:val="48ACFEA5"/>
    <w:rsid w:val="48C15947"/>
    <w:rsid w:val="492F64E6"/>
    <w:rsid w:val="4934B041"/>
    <w:rsid w:val="494538D9"/>
    <w:rsid w:val="49984371"/>
    <w:rsid w:val="4AE09DBC"/>
    <w:rsid w:val="4B4F0C34"/>
    <w:rsid w:val="4C0B21DD"/>
    <w:rsid w:val="4C8A0553"/>
    <w:rsid w:val="4C9EF53A"/>
    <w:rsid w:val="4E2E4F6B"/>
    <w:rsid w:val="4E40C375"/>
    <w:rsid w:val="4E64BEEB"/>
    <w:rsid w:val="4FC93F20"/>
    <w:rsid w:val="5029A094"/>
    <w:rsid w:val="505845CD"/>
    <w:rsid w:val="509EE82D"/>
    <w:rsid w:val="51836F5E"/>
    <w:rsid w:val="51EE4092"/>
    <w:rsid w:val="54A90B00"/>
    <w:rsid w:val="54B0522A"/>
    <w:rsid w:val="55CEB90B"/>
    <w:rsid w:val="565B0264"/>
    <w:rsid w:val="56C2B7B6"/>
    <w:rsid w:val="57EAB9E9"/>
    <w:rsid w:val="58B76C78"/>
    <w:rsid w:val="58C461D3"/>
    <w:rsid w:val="59A5DC61"/>
    <w:rsid w:val="59D24942"/>
    <w:rsid w:val="59F2064B"/>
    <w:rsid w:val="5B1D2ABB"/>
    <w:rsid w:val="5B411C21"/>
    <w:rsid w:val="5B5260DA"/>
    <w:rsid w:val="5BA7FBDE"/>
    <w:rsid w:val="5BD9E6F6"/>
    <w:rsid w:val="5DD7A34A"/>
    <w:rsid w:val="5EE81892"/>
    <w:rsid w:val="5F649250"/>
    <w:rsid w:val="5F759B51"/>
    <w:rsid w:val="5FC1172E"/>
    <w:rsid w:val="6048AE03"/>
    <w:rsid w:val="61227E50"/>
    <w:rsid w:val="627105DA"/>
    <w:rsid w:val="6289A34A"/>
    <w:rsid w:val="62A50EB6"/>
    <w:rsid w:val="6419E761"/>
    <w:rsid w:val="64701F8B"/>
    <w:rsid w:val="64C8186F"/>
    <w:rsid w:val="656B644F"/>
    <w:rsid w:val="670B5EC6"/>
    <w:rsid w:val="676784D9"/>
    <w:rsid w:val="68F01011"/>
    <w:rsid w:val="6913F2BD"/>
    <w:rsid w:val="69749F63"/>
    <w:rsid w:val="6A335848"/>
    <w:rsid w:val="6A4B1EE4"/>
    <w:rsid w:val="6B83414E"/>
    <w:rsid w:val="6BBD04D7"/>
    <w:rsid w:val="6CF82AFF"/>
    <w:rsid w:val="6CFBCFA3"/>
    <w:rsid w:val="6F43F84C"/>
    <w:rsid w:val="6FC843D0"/>
    <w:rsid w:val="706FF8A2"/>
    <w:rsid w:val="709A7A70"/>
    <w:rsid w:val="70A6D387"/>
    <w:rsid w:val="71D670F3"/>
    <w:rsid w:val="72784A37"/>
    <w:rsid w:val="72A7A9F4"/>
    <w:rsid w:val="733B4227"/>
    <w:rsid w:val="73423F9D"/>
    <w:rsid w:val="738CF172"/>
    <w:rsid w:val="73B923FA"/>
    <w:rsid w:val="73D8D8CD"/>
    <w:rsid w:val="73F110DD"/>
    <w:rsid w:val="7602F7C2"/>
    <w:rsid w:val="76885BFB"/>
    <w:rsid w:val="7727A627"/>
    <w:rsid w:val="77342BEC"/>
    <w:rsid w:val="7785D1E1"/>
    <w:rsid w:val="77A1C826"/>
    <w:rsid w:val="7816D2FD"/>
    <w:rsid w:val="78B6F9FD"/>
    <w:rsid w:val="799065A3"/>
    <w:rsid w:val="799FDB0D"/>
    <w:rsid w:val="79A16EA4"/>
    <w:rsid w:val="7A8524B5"/>
    <w:rsid w:val="7BC86D6D"/>
    <w:rsid w:val="7BD503F9"/>
    <w:rsid w:val="7C056F1E"/>
    <w:rsid w:val="7C0C2CB9"/>
    <w:rsid w:val="7DB8D5EE"/>
    <w:rsid w:val="7DCB8C06"/>
    <w:rsid w:val="7E9A91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5701"/>
  <w15:chartTrackingRefBased/>
  <w15:docId w15:val="{2C856F95-76FE-416F-B43A-8C0DF255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6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A32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22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rsid w:val="006A3227"/>
    <w:pPr>
      <w:tabs>
        <w:tab w:val="center" w:pos="4320"/>
        <w:tab w:val="right" w:pos="8640"/>
      </w:tabs>
    </w:pPr>
  </w:style>
  <w:style w:type="character" w:customStyle="1" w:styleId="HeaderChar">
    <w:name w:val="Header Char"/>
    <w:basedOn w:val="DefaultParagraphFont"/>
    <w:link w:val="Header"/>
    <w:uiPriority w:val="99"/>
    <w:rsid w:val="006A3227"/>
    <w:rPr>
      <w:rFonts w:ascii="Times New Roman" w:eastAsia="Times New Roman" w:hAnsi="Times New Roman" w:cs="Times New Roman"/>
      <w:sz w:val="24"/>
      <w:szCs w:val="24"/>
      <w:lang w:eastAsia="en-GB"/>
    </w:rPr>
  </w:style>
  <w:style w:type="paragraph" w:styleId="Footer">
    <w:name w:val="footer"/>
    <w:basedOn w:val="Normal"/>
    <w:link w:val="FooterChar"/>
    <w:rsid w:val="006A3227"/>
    <w:pPr>
      <w:tabs>
        <w:tab w:val="center" w:pos="4320"/>
        <w:tab w:val="right" w:pos="8640"/>
      </w:tabs>
    </w:pPr>
  </w:style>
  <w:style w:type="character" w:customStyle="1" w:styleId="FooterChar">
    <w:name w:val="Footer Char"/>
    <w:basedOn w:val="DefaultParagraphFont"/>
    <w:link w:val="Footer"/>
    <w:rsid w:val="006A3227"/>
    <w:rPr>
      <w:rFonts w:ascii="Times New Roman" w:eastAsia="Times New Roman" w:hAnsi="Times New Roman" w:cs="Times New Roman"/>
      <w:sz w:val="24"/>
      <w:szCs w:val="24"/>
      <w:lang w:eastAsia="en-GB"/>
    </w:rPr>
  </w:style>
  <w:style w:type="paragraph" w:styleId="BodyText">
    <w:name w:val="Body Text"/>
    <w:basedOn w:val="Normal"/>
    <w:link w:val="BodyTextChar"/>
    <w:rsid w:val="006A3227"/>
    <w:pPr>
      <w:spacing w:line="220" w:lineRule="atLeast"/>
    </w:pPr>
    <w:rPr>
      <w:sz w:val="18"/>
      <w:szCs w:val="18"/>
    </w:rPr>
  </w:style>
  <w:style w:type="character" w:customStyle="1" w:styleId="BodyTextChar">
    <w:name w:val="Body Text Char"/>
    <w:basedOn w:val="DefaultParagraphFont"/>
    <w:link w:val="BodyText"/>
    <w:rsid w:val="006A3227"/>
    <w:rPr>
      <w:rFonts w:ascii="Times New Roman" w:eastAsia="Times New Roman" w:hAnsi="Times New Roman" w:cs="Times New Roman"/>
      <w:sz w:val="18"/>
      <w:szCs w:val="18"/>
      <w:lang w:eastAsia="en-GB"/>
    </w:rPr>
  </w:style>
  <w:style w:type="character" w:styleId="Hyperlink">
    <w:name w:val="Hyperlink"/>
    <w:rsid w:val="006A3227"/>
    <w:rPr>
      <w:color w:val="0000FF"/>
      <w:u w:val="single"/>
    </w:rPr>
  </w:style>
  <w:style w:type="paragraph" w:styleId="ListParagraph">
    <w:name w:val="List Paragraph"/>
    <w:basedOn w:val="Normal"/>
    <w:uiPriority w:val="34"/>
    <w:qFormat/>
    <w:rsid w:val="006A3227"/>
    <w:pPr>
      <w:ind w:left="720"/>
    </w:pPr>
  </w:style>
  <w:style w:type="paragraph" w:styleId="FootnoteText">
    <w:name w:val="footnote text"/>
    <w:basedOn w:val="Normal"/>
    <w:link w:val="FootnoteTextChar"/>
    <w:rsid w:val="006A3227"/>
    <w:rPr>
      <w:sz w:val="20"/>
      <w:szCs w:val="20"/>
    </w:rPr>
  </w:style>
  <w:style w:type="character" w:customStyle="1" w:styleId="FootnoteTextChar">
    <w:name w:val="Footnote Text Char"/>
    <w:basedOn w:val="DefaultParagraphFont"/>
    <w:link w:val="FootnoteText"/>
    <w:rsid w:val="006A322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A3227"/>
    <w:rPr>
      <w:position w:val="0"/>
      <w:vertAlign w:val="superscript"/>
    </w:rPr>
  </w:style>
  <w:style w:type="character" w:customStyle="1" w:styleId="normaltextrun">
    <w:name w:val="normaltextrun"/>
    <w:basedOn w:val="DefaultParagraphFont"/>
    <w:rsid w:val="006A3227"/>
  </w:style>
  <w:style w:type="character" w:customStyle="1" w:styleId="eop">
    <w:name w:val="eop"/>
    <w:basedOn w:val="DefaultParagraphFont"/>
    <w:rsid w:val="006A3227"/>
  </w:style>
  <w:style w:type="table" w:styleId="TableGrid">
    <w:name w:val="Table Grid"/>
    <w:basedOn w:val="TableNormal"/>
    <w:uiPriority w:val="59"/>
    <w:rsid w:val="006A32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44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A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0BF5"/>
    <w:rPr>
      <w:sz w:val="16"/>
      <w:szCs w:val="16"/>
    </w:rPr>
  </w:style>
  <w:style w:type="paragraph" w:styleId="CommentText">
    <w:name w:val="annotation text"/>
    <w:basedOn w:val="Normal"/>
    <w:link w:val="CommentTextChar"/>
    <w:uiPriority w:val="99"/>
    <w:semiHidden/>
    <w:unhideWhenUsed/>
    <w:rsid w:val="004E0BF5"/>
    <w:rPr>
      <w:sz w:val="20"/>
      <w:szCs w:val="20"/>
    </w:rPr>
  </w:style>
  <w:style w:type="character" w:customStyle="1" w:styleId="CommentTextChar">
    <w:name w:val="Comment Text Char"/>
    <w:basedOn w:val="DefaultParagraphFont"/>
    <w:link w:val="CommentText"/>
    <w:uiPriority w:val="99"/>
    <w:semiHidden/>
    <w:rsid w:val="004E0B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0BF5"/>
    <w:rPr>
      <w:b/>
      <w:bCs/>
    </w:rPr>
  </w:style>
  <w:style w:type="character" w:customStyle="1" w:styleId="CommentSubjectChar">
    <w:name w:val="Comment Subject Char"/>
    <w:basedOn w:val="CommentTextChar"/>
    <w:link w:val="CommentSubject"/>
    <w:uiPriority w:val="99"/>
    <w:semiHidden/>
    <w:rsid w:val="004E0BF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unhideWhenUsed/>
    <w:rsid w:val="0003654A"/>
    <w:rPr>
      <w:color w:val="605E5C"/>
      <w:shd w:val="clear" w:color="auto" w:fill="E1DFDD"/>
    </w:rPr>
  </w:style>
  <w:style w:type="character" w:styleId="FollowedHyperlink">
    <w:name w:val="FollowedHyperlink"/>
    <w:basedOn w:val="DefaultParagraphFont"/>
    <w:uiPriority w:val="99"/>
    <w:semiHidden/>
    <w:unhideWhenUsed/>
    <w:rsid w:val="00AF7A3E"/>
    <w:rPr>
      <w:color w:val="954F72" w:themeColor="followedHyperlink"/>
      <w:u w:val="single"/>
    </w:rPr>
  </w:style>
  <w:style w:type="paragraph" w:customStyle="1" w:styleId="paragraph">
    <w:name w:val="paragraph"/>
    <w:basedOn w:val="Normal"/>
    <w:rsid w:val="006A4987"/>
    <w:pPr>
      <w:suppressAutoHyphens w:val="0"/>
      <w:autoSpaceDN/>
      <w:spacing w:before="100" w:beforeAutospacing="1" w:after="100" w:afterAutospacing="1"/>
      <w:textAlignment w:val="auto"/>
    </w:pPr>
  </w:style>
  <w:style w:type="character" w:styleId="Mention">
    <w:name w:val="Mention"/>
    <w:basedOn w:val="DefaultParagraphFont"/>
    <w:uiPriority w:val="99"/>
    <w:unhideWhenUsed/>
    <w:rsid w:val="00E30E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870">
      <w:bodyDiv w:val="1"/>
      <w:marLeft w:val="0"/>
      <w:marRight w:val="0"/>
      <w:marTop w:val="0"/>
      <w:marBottom w:val="0"/>
      <w:divBdr>
        <w:top w:val="none" w:sz="0" w:space="0" w:color="auto"/>
        <w:left w:val="none" w:sz="0" w:space="0" w:color="auto"/>
        <w:bottom w:val="none" w:sz="0" w:space="0" w:color="auto"/>
        <w:right w:val="none" w:sz="0" w:space="0" w:color="auto"/>
      </w:divBdr>
    </w:div>
    <w:div w:id="177283390">
      <w:bodyDiv w:val="1"/>
      <w:marLeft w:val="0"/>
      <w:marRight w:val="0"/>
      <w:marTop w:val="0"/>
      <w:marBottom w:val="0"/>
      <w:divBdr>
        <w:top w:val="none" w:sz="0" w:space="0" w:color="auto"/>
        <w:left w:val="none" w:sz="0" w:space="0" w:color="auto"/>
        <w:bottom w:val="none" w:sz="0" w:space="0" w:color="auto"/>
        <w:right w:val="none" w:sz="0" w:space="0" w:color="auto"/>
      </w:divBdr>
    </w:div>
    <w:div w:id="327442405">
      <w:bodyDiv w:val="1"/>
      <w:marLeft w:val="0"/>
      <w:marRight w:val="0"/>
      <w:marTop w:val="0"/>
      <w:marBottom w:val="0"/>
      <w:divBdr>
        <w:top w:val="none" w:sz="0" w:space="0" w:color="auto"/>
        <w:left w:val="none" w:sz="0" w:space="0" w:color="auto"/>
        <w:bottom w:val="none" w:sz="0" w:space="0" w:color="auto"/>
        <w:right w:val="none" w:sz="0" w:space="0" w:color="auto"/>
      </w:divBdr>
    </w:div>
    <w:div w:id="374694697">
      <w:bodyDiv w:val="1"/>
      <w:marLeft w:val="0"/>
      <w:marRight w:val="0"/>
      <w:marTop w:val="0"/>
      <w:marBottom w:val="0"/>
      <w:divBdr>
        <w:top w:val="none" w:sz="0" w:space="0" w:color="auto"/>
        <w:left w:val="none" w:sz="0" w:space="0" w:color="auto"/>
        <w:bottom w:val="none" w:sz="0" w:space="0" w:color="auto"/>
        <w:right w:val="none" w:sz="0" w:space="0" w:color="auto"/>
      </w:divBdr>
    </w:div>
    <w:div w:id="522133740">
      <w:bodyDiv w:val="1"/>
      <w:marLeft w:val="0"/>
      <w:marRight w:val="0"/>
      <w:marTop w:val="0"/>
      <w:marBottom w:val="0"/>
      <w:divBdr>
        <w:top w:val="none" w:sz="0" w:space="0" w:color="auto"/>
        <w:left w:val="none" w:sz="0" w:space="0" w:color="auto"/>
        <w:bottom w:val="none" w:sz="0" w:space="0" w:color="auto"/>
        <w:right w:val="none" w:sz="0" w:space="0" w:color="auto"/>
      </w:divBdr>
    </w:div>
    <w:div w:id="601373938">
      <w:bodyDiv w:val="1"/>
      <w:marLeft w:val="0"/>
      <w:marRight w:val="0"/>
      <w:marTop w:val="0"/>
      <w:marBottom w:val="0"/>
      <w:divBdr>
        <w:top w:val="none" w:sz="0" w:space="0" w:color="auto"/>
        <w:left w:val="none" w:sz="0" w:space="0" w:color="auto"/>
        <w:bottom w:val="none" w:sz="0" w:space="0" w:color="auto"/>
        <w:right w:val="none" w:sz="0" w:space="0" w:color="auto"/>
      </w:divBdr>
    </w:div>
    <w:div w:id="831719279">
      <w:bodyDiv w:val="1"/>
      <w:marLeft w:val="0"/>
      <w:marRight w:val="0"/>
      <w:marTop w:val="0"/>
      <w:marBottom w:val="0"/>
      <w:divBdr>
        <w:top w:val="none" w:sz="0" w:space="0" w:color="auto"/>
        <w:left w:val="none" w:sz="0" w:space="0" w:color="auto"/>
        <w:bottom w:val="none" w:sz="0" w:space="0" w:color="auto"/>
        <w:right w:val="none" w:sz="0" w:space="0" w:color="auto"/>
      </w:divBdr>
    </w:div>
    <w:div w:id="849637701">
      <w:bodyDiv w:val="1"/>
      <w:marLeft w:val="0"/>
      <w:marRight w:val="0"/>
      <w:marTop w:val="0"/>
      <w:marBottom w:val="0"/>
      <w:divBdr>
        <w:top w:val="none" w:sz="0" w:space="0" w:color="auto"/>
        <w:left w:val="none" w:sz="0" w:space="0" w:color="auto"/>
        <w:bottom w:val="none" w:sz="0" w:space="0" w:color="auto"/>
        <w:right w:val="none" w:sz="0" w:space="0" w:color="auto"/>
      </w:divBdr>
    </w:div>
    <w:div w:id="969634089">
      <w:bodyDiv w:val="1"/>
      <w:marLeft w:val="0"/>
      <w:marRight w:val="0"/>
      <w:marTop w:val="0"/>
      <w:marBottom w:val="0"/>
      <w:divBdr>
        <w:top w:val="none" w:sz="0" w:space="0" w:color="auto"/>
        <w:left w:val="none" w:sz="0" w:space="0" w:color="auto"/>
        <w:bottom w:val="none" w:sz="0" w:space="0" w:color="auto"/>
        <w:right w:val="none" w:sz="0" w:space="0" w:color="auto"/>
      </w:divBdr>
    </w:div>
    <w:div w:id="1176383162">
      <w:bodyDiv w:val="1"/>
      <w:marLeft w:val="0"/>
      <w:marRight w:val="0"/>
      <w:marTop w:val="0"/>
      <w:marBottom w:val="0"/>
      <w:divBdr>
        <w:top w:val="none" w:sz="0" w:space="0" w:color="auto"/>
        <w:left w:val="none" w:sz="0" w:space="0" w:color="auto"/>
        <w:bottom w:val="none" w:sz="0" w:space="0" w:color="auto"/>
        <w:right w:val="none" w:sz="0" w:space="0" w:color="auto"/>
      </w:divBdr>
    </w:div>
    <w:div w:id="1452671947">
      <w:bodyDiv w:val="1"/>
      <w:marLeft w:val="0"/>
      <w:marRight w:val="0"/>
      <w:marTop w:val="0"/>
      <w:marBottom w:val="0"/>
      <w:divBdr>
        <w:top w:val="none" w:sz="0" w:space="0" w:color="auto"/>
        <w:left w:val="none" w:sz="0" w:space="0" w:color="auto"/>
        <w:bottom w:val="none" w:sz="0" w:space="0" w:color="auto"/>
        <w:right w:val="none" w:sz="0" w:space="0" w:color="auto"/>
      </w:divBdr>
    </w:div>
    <w:div w:id="1549301532">
      <w:bodyDiv w:val="1"/>
      <w:marLeft w:val="0"/>
      <w:marRight w:val="0"/>
      <w:marTop w:val="0"/>
      <w:marBottom w:val="0"/>
      <w:divBdr>
        <w:top w:val="none" w:sz="0" w:space="0" w:color="auto"/>
        <w:left w:val="none" w:sz="0" w:space="0" w:color="auto"/>
        <w:bottom w:val="none" w:sz="0" w:space="0" w:color="auto"/>
        <w:right w:val="none" w:sz="0" w:space="0" w:color="auto"/>
      </w:divBdr>
    </w:div>
    <w:div w:id="1596132812">
      <w:bodyDiv w:val="1"/>
      <w:marLeft w:val="0"/>
      <w:marRight w:val="0"/>
      <w:marTop w:val="0"/>
      <w:marBottom w:val="0"/>
      <w:divBdr>
        <w:top w:val="none" w:sz="0" w:space="0" w:color="auto"/>
        <w:left w:val="none" w:sz="0" w:space="0" w:color="auto"/>
        <w:bottom w:val="none" w:sz="0" w:space="0" w:color="auto"/>
        <w:right w:val="none" w:sz="0" w:space="0" w:color="auto"/>
      </w:divBdr>
    </w:div>
    <w:div w:id="1749495293">
      <w:bodyDiv w:val="1"/>
      <w:marLeft w:val="0"/>
      <w:marRight w:val="0"/>
      <w:marTop w:val="0"/>
      <w:marBottom w:val="0"/>
      <w:divBdr>
        <w:top w:val="none" w:sz="0" w:space="0" w:color="auto"/>
        <w:left w:val="none" w:sz="0" w:space="0" w:color="auto"/>
        <w:bottom w:val="none" w:sz="0" w:space="0" w:color="auto"/>
        <w:right w:val="none" w:sz="0" w:space="0" w:color="auto"/>
      </w:divBdr>
    </w:div>
    <w:div w:id="1846944096">
      <w:bodyDiv w:val="1"/>
      <w:marLeft w:val="0"/>
      <w:marRight w:val="0"/>
      <w:marTop w:val="0"/>
      <w:marBottom w:val="0"/>
      <w:divBdr>
        <w:top w:val="none" w:sz="0" w:space="0" w:color="auto"/>
        <w:left w:val="none" w:sz="0" w:space="0" w:color="auto"/>
        <w:bottom w:val="none" w:sz="0" w:space="0" w:color="auto"/>
        <w:right w:val="none" w:sz="0" w:space="0" w:color="auto"/>
      </w:divBdr>
    </w:div>
    <w:div w:id="20191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gov.uk/make-a-freedom-of-information-request/the-freedom-of-information-ac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33" Type="http://schemas.openxmlformats.org/officeDocument/2006/relationships/hyperlink" Target="mailto:statistics@planninginspectorate.gov.uk"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cs@planninginspectorate.gov.uk" TargetMode="External"/><Relationship Id="rId24" Type="http://schemas.openxmlformats.org/officeDocument/2006/relationships/footer" Target="footer2.xml"/><Relationship Id="rId32" Type="http://schemas.openxmlformats.org/officeDocument/2006/relationships/hyperlink" Target="mailto:statistics@planninginspectorate.gov.uk"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mailto:press.office@planninginspectorat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hyperlink" Target="mailto:press.office@planninginspectorate.gov.uk" TargetMode="External"/><Relationship Id="rId1" Type="http://schemas.openxmlformats.org/officeDocument/2006/relationships/hyperlink" Target="mailto:Statistics@planninginspectorate.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independent-review-of-planning-appeal-inquiries-report" TargetMode="External"/><Relationship Id="rId2" Type="http://schemas.openxmlformats.org/officeDocument/2006/relationships/hyperlink" Target="https://www.gov.uk/guidance/appeals-average-timescales-for-arranging-inquiries-and-hearings" TargetMode="External"/><Relationship Id="rId1" Type="http://schemas.openxmlformats.org/officeDocument/2006/relationships/hyperlink" Target="https://www.gov.uk/government/publications/planning-inspectorate-statistics" TargetMode="External"/><Relationship Id="rId4" Type="http://schemas.openxmlformats.org/officeDocument/2006/relationships/hyperlink" Target="https://www.gov.uk/guidance/appeals-average-timescales-for-arranging-inquiries-and-hear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2F9C3F780FB14E87852D40CF54ABBB" ma:contentTypeVersion="11" ma:contentTypeDescription="Create a new document." ma:contentTypeScope="" ma:versionID="0f339b85a88b8a779e1660b3fd599289">
  <xsd:schema xmlns:xsd="http://www.w3.org/2001/XMLSchema" xmlns:xs="http://www.w3.org/2001/XMLSchema" xmlns:p="http://schemas.microsoft.com/office/2006/metadata/properties" xmlns:ns2="811f8c68-ce00-413e-a331-39e35077626f" xmlns:ns3="55c71498-654d-4428-bb4e-8cbe11e89608" targetNamespace="http://schemas.microsoft.com/office/2006/metadata/properties" ma:root="true" ma:fieldsID="5911fb4ed4b1d0aacdd54b1ad4033bf5" ns2:_="" ns3:_="">
    <xsd:import namespace="811f8c68-ce00-413e-a331-39e35077626f"/>
    <xsd:import namespace="55c71498-654d-4428-bb4e-8cbe11e89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8c68-ce00-413e-a331-39e350776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71498-654d-4428-bb4e-8cbe11e89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c71498-654d-4428-bb4e-8cbe11e89608">
      <UserInfo>
        <DisplayName>Graham, Rachel</DisplayName>
        <AccountId>15</AccountId>
        <AccountType/>
      </UserInfo>
      <UserInfo>
        <DisplayName>Oakes, Duane</DisplayName>
        <AccountId>60</AccountId>
        <AccountType/>
      </UserInfo>
      <UserInfo>
        <DisplayName>Scribbins, Matthew</DisplayName>
        <AccountId>218</AccountId>
        <AccountType/>
      </UserInfo>
      <UserInfo>
        <DisplayName>Grout, Zara</DisplayName>
        <AccountId>400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8FAED-7887-4224-8934-93C6E879032D}">
  <ds:schemaRefs>
    <ds:schemaRef ds:uri="http://schemas.openxmlformats.org/officeDocument/2006/bibliography"/>
  </ds:schemaRefs>
</ds:datastoreItem>
</file>

<file path=customXml/itemProps2.xml><?xml version="1.0" encoding="utf-8"?>
<ds:datastoreItem xmlns:ds="http://schemas.openxmlformats.org/officeDocument/2006/customXml" ds:itemID="{90966453-2DB8-420A-9A38-BA7F5E472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8c68-ce00-413e-a331-39e35077626f"/>
    <ds:schemaRef ds:uri="55c71498-654d-4428-bb4e-8cbe11e8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15BF4-6CD5-4F94-8F22-BCA7C5D77BEE}">
  <ds:schemaRefs>
    <ds:schemaRef ds:uri="http://schemas.microsoft.com/office/2006/metadata/properties"/>
    <ds:schemaRef ds:uri="http://schemas.microsoft.com/office/infopath/2007/PartnerControls"/>
    <ds:schemaRef ds:uri="55c71498-654d-4428-bb4e-8cbe11e89608"/>
  </ds:schemaRefs>
</ds:datastoreItem>
</file>

<file path=customXml/itemProps4.xml><?xml version="1.0" encoding="utf-8"?>
<ds:datastoreItem xmlns:ds="http://schemas.openxmlformats.org/officeDocument/2006/customXml" ds:itemID="{B74960EF-B3D7-4047-92F5-EACD24509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6928</Words>
  <Characters>39493</Characters>
  <Application>Microsoft Office Word</Application>
  <DocSecurity>0</DocSecurity>
  <Lines>329</Lines>
  <Paragraphs>92</Paragraphs>
  <ScaleCrop>false</ScaleCrop>
  <Company/>
  <LinksUpToDate>false</LinksUpToDate>
  <CharactersWithSpaces>46329</CharactersWithSpaces>
  <SharedDoc>false</SharedDoc>
  <HLinks>
    <vt:vector size="66" baseType="variant">
      <vt:variant>
        <vt:i4>4063292</vt:i4>
      </vt:variant>
      <vt:variant>
        <vt:i4>12</vt:i4>
      </vt:variant>
      <vt:variant>
        <vt:i4>0</vt:i4>
      </vt:variant>
      <vt:variant>
        <vt:i4>5</vt:i4>
      </vt:variant>
      <vt:variant>
        <vt:lpwstr>https://www.gov.uk/make-a-freedom-of-information-request/the-freedom-of-information-act</vt:lpwstr>
      </vt:variant>
      <vt:variant>
        <vt:lpwstr/>
      </vt:variant>
      <vt:variant>
        <vt:i4>3145808</vt:i4>
      </vt:variant>
      <vt:variant>
        <vt:i4>9</vt:i4>
      </vt:variant>
      <vt:variant>
        <vt:i4>0</vt:i4>
      </vt:variant>
      <vt:variant>
        <vt:i4>5</vt:i4>
      </vt:variant>
      <vt:variant>
        <vt:lpwstr>mailto:statistics@planninginspectorate.gov.uk</vt:lpwstr>
      </vt:variant>
      <vt:variant>
        <vt:lpwstr/>
      </vt:variant>
      <vt:variant>
        <vt:i4>3145808</vt:i4>
      </vt:variant>
      <vt:variant>
        <vt:i4>6</vt:i4>
      </vt:variant>
      <vt:variant>
        <vt:i4>0</vt:i4>
      </vt:variant>
      <vt:variant>
        <vt:i4>5</vt:i4>
      </vt:variant>
      <vt:variant>
        <vt:lpwstr>mailto:statistics@planninginspectorate.gov.uk</vt:lpwstr>
      </vt:variant>
      <vt:variant>
        <vt:lpwstr/>
      </vt:variant>
      <vt:variant>
        <vt:i4>5243004</vt:i4>
      </vt:variant>
      <vt:variant>
        <vt:i4>3</vt:i4>
      </vt:variant>
      <vt:variant>
        <vt:i4>0</vt:i4>
      </vt:variant>
      <vt:variant>
        <vt:i4>5</vt:i4>
      </vt:variant>
      <vt:variant>
        <vt:lpwstr>mailto:press.office@planninginspectorate.gov.uk</vt:lpwstr>
      </vt:variant>
      <vt:variant>
        <vt:lpwstr/>
      </vt:variant>
      <vt:variant>
        <vt:i4>3145808</vt:i4>
      </vt:variant>
      <vt:variant>
        <vt:i4>0</vt:i4>
      </vt:variant>
      <vt:variant>
        <vt:i4>0</vt:i4>
      </vt:variant>
      <vt:variant>
        <vt:i4>5</vt:i4>
      </vt:variant>
      <vt:variant>
        <vt:lpwstr>mailto:statistics@planninginspectorate.gov.uk</vt:lpwstr>
      </vt:variant>
      <vt:variant>
        <vt:lpwstr/>
      </vt:variant>
      <vt:variant>
        <vt:i4>2424895</vt:i4>
      </vt:variant>
      <vt:variant>
        <vt:i4>9</vt:i4>
      </vt:variant>
      <vt:variant>
        <vt:i4>0</vt:i4>
      </vt:variant>
      <vt:variant>
        <vt:i4>5</vt:i4>
      </vt:variant>
      <vt:variant>
        <vt:lpwstr>https://www.gov.uk/guidance/appeals-average-timescales-for-arranging-inquiries-and-hearings</vt:lpwstr>
      </vt:variant>
      <vt:variant>
        <vt:lpwstr/>
      </vt:variant>
      <vt:variant>
        <vt:i4>4784198</vt:i4>
      </vt:variant>
      <vt:variant>
        <vt:i4>6</vt:i4>
      </vt:variant>
      <vt:variant>
        <vt:i4>0</vt:i4>
      </vt:variant>
      <vt:variant>
        <vt:i4>5</vt:i4>
      </vt:variant>
      <vt:variant>
        <vt:lpwstr>https://www.gov.uk/government/publications/independent-review-of-planning-appeal-inquiries-report</vt:lpwstr>
      </vt:variant>
      <vt:variant>
        <vt:lpwstr/>
      </vt:variant>
      <vt:variant>
        <vt:i4>2424895</vt:i4>
      </vt:variant>
      <vt:variant>
        <vt:i4>3</vt:i4>
      </vt:variant>
      <vt:variant>
        <vt:i4>0</vt:i4>
      </vt:variant>
      <vt:variant>
        <vt:i4>5</vt:i4>
      </vt:variant>
      <vt:variant>
        <vt:lpwstr>https://www.gov.uk/guidance/appeals-average-timescales-for-arranging-inquiries-and-hearings</vt:lpwstr>
      </vt:variant>
      <vt:variant>
        <vt:lpwstr/>
      </vt:variant>
      <vt:variant>
        <vt:i4>7929978</vt:i4>
      </vt:variant>
      <vt:variant>
        <vt:i4>0</vt:i4>
      </vt:variant>
      <vt:variant>
        <vt:i4>0</vt:i4>
      </vt:variant>
      <vt:variant>
        <vt:i4>5</vt:i4>
      </vt:variant>
      <vt:variant>
        <vt:lpwstr>https://www.gov.uk/government/publications/planning-inspectorate-statistics</vt:lpwstr>
      </vt:variant>
      <vt:variant>
        <vt:lpwstr/>
      </vt:variant>
      <vt:variant>
        <vt:i4>5243004</vt:i4>
      </vt:variant>
      <vt:variant>
        <vt:i4>6</vt:i4>
      </vt:variant>
      <vt:variant>
        <vt:i4>0</vt:i4>
      </vt:variant>
      <vt:variant>
        <vt:i4>5</vt:i4>
      </vt:variant>
      <vt:variant>
        <vt:lpwstr>mailto:press.office@planninginspectorate.gov.uk</vt:lpwstr>
      </vt:variant>
      <vt:variant>
        <vt:lpwstr/>
      </vt:variant>
      <vt:variant>
        <vt:i4>3145808</vt:i4>
      </vt:variant>
      <vt:variant>
        <vt:i4>3</vt:i4>
      </vt:variant>
      <vt:variant>
        <vt:i4>0</vt:i4>
      </vt:variant>
      <vt:variant>
        <vt:i4>5</vt:i4>
      </vt:variant>
      <vt:variant>
        <vt:lpwstr>mailto:Statistics@planninginspectorate.gov.uk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Scribbins, Matthew</dc:creator>
  <cp:keywords/>
  <dc:description/>
  <cp:lastModifiedBy>Scribbins, Matthew</cp:lastModifiedBy>
  <cp:revision>3</cp:revision>
  <cp:lastPrinted>2020-12-15T10:28:00Z</cp:lastPrinted>
  <dcterms:created xsi:type="dcterms:W3CDTF">2021-06-22T18:46:00Z</dcterms:created>
  <dcterms:modified xsi:type="dcterms:W3CDTF">2021-06-22T19:03:00Z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0x010100C82F9C3F780FB14E87852D40CF54ABBB</vt:lpwstr>
  </property>
</Properties>
</file>