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4E24" w14:textId="6724346D" w:rsidR="0013045B" w:rsidRDefault="0AD1ECC8">
      <w:pPr>
        <w:keepLines w:val="0"/>
        <w:spacing w:before="0" w:after="0"/>
      </w:pPr>
      <w:r w:rsidRPr="75A5557D">
        <w:rPr>
          <w:rFonts w:eastAsia="Times New Roman"/>
          <w:b/>
          <w:bCs/>
          <w:color w:val="000000" w:themeColor="text1"/>
          <w:sz w:val="36"/>
          <w:szCs w:val="36"/>
          <w:lang w:eastAsia="en-GB"/>
        </w:rPr>
        <w:t>Guidance for shared ownership providers when completing 'Summary of costs'</w:t>
      </w:r>
    </w:p>
    <w:p w14:paraId="7FAF9C7B" w14:textId="77777777" w:rsidR="0013045B" w:rsidRDefault="00000000">
      <w:pPr>
        <w:keepLines w:val="0"/>
        <w:spacing w:before="0" w:after="0"/>
        <w:rPr>
          <w:rFonts w:eastAsia="Times New Roman"/>
          <w:lang w:eastAsia="en-GB"/>
        </w:rPr>
      </w:pPr>
    </w:p>
    <w:p w14:paraId="0F131FFC" w14:textId="5613F7DF" w:rsidR="0013045B" w:rsidRDefault="00C21A92">
      <w:r>
        <w:t xml:space="preserve">The information in this document is for the </w:t>
      </w:r>
      <w:r w:rsidR="000A1762">
        <w:rPr>
          <w:b/>
          <w:bCs/>
        </w:rPr>
        <w:t xml:space="preserve">new </w:t>
      </w:r>
      <w:r>
        <w:rPr>
          <w:b/>
          <w:bCs/>
        </w:rPr>
        <w:t>shared ownership model</w:t>
      </w:r>
      <w:r>
        <w:t>. These homes will conform to the requirements of the Affordable Homes Programme (AHP) 20</w:t>
      </w:r>
      <w:r w:rsidR="000A1762">
        <w:t>2</w:t>
      </w:r>
      <w:r>
        <w:t>1 to 202</w:t>
      </w:r>
      <w:r w:rsidR="000A1762">
        <w:t>6</w:t>
      </w:r>
      <w:r>
        <w:t>.</w:t>
      </w:r>
    </w:p>
    <w:p w14:paraId="6BBEBF6A" w14:textId="77777777" w:rsidR="0013045B" w:rsidRDefault="00C21A92">
      <w:r>
        <w:rPr>
          <w:rFonts w:eastAsia="Arial"/>
        </w:rPr>
        <w:t xml:space="preserve">This document is </w:t>
      </w:r>
      <w:r>
        <w:t>intended for initial sales and resales.</w:t>
      </w:r>
    </w:p>
    <w:p w14:paraId="0FC2408B" w14:textId="77777777" w:rsidR="0013045B" w:rsidRDefault="00C21A92">
      <w:r>
        <w:t>It's for prospective homebuyers:</w:t>
      </w:r>
    </w:p>
    <w:p w14:paraId="7AA9DC0E" w14:textId="77777777" w:rsidR="0013045B" w:rsidRDefault="00C21A92">
      <w:pPr>
        <w:keepLines w:val="0"/>
        <w:spacing w:before="0" w:after="0"/>
        <w:ind w:left="1080"/>
        <w:rPr>
          <w:rFonts w:eastAsia="Times New Roman"/>
          <w:lang w:eastAsia="en-GB"/>
        </w:rPr>
      </w:pPr>
      <w:r>
        <w:rPr>
          <w:rFonts w:ascii="Symbol" w:hAnsi="Symbol"/>
          <w:sz w:val="20"/>
        </w:rPr>
        <w:t></w:t>
      </w:r>
      <w:r>
        <w:tab/>
      </w:r>
      <w:r>
        <w:rPr>
          <w:rFonts w:eastAsia="Times New Roman"/>
          <w:lang w:eastAsia="en-GB"/>
        </w:rPr>
        <w:t>after they have gone through a financial assessment </w:t>
      </w:r>
    </w:p>
    <w:p w14:paraId="616BFDF2" w14:textId="77777777" w:rsidR="0013045B" w:rsidRDefault="00C21A92">
      <w:pPr>
        <w:keepLines w:val="0"/>
        <w:spacing w:before="0" w:after="0"/>
        <w:ind w:left="1440" w:hanging="360"/>
        <w:rPr>
          <w:rFonts w:eastAsia="Times New Roman"/>
          <w:lang w:eastAsia="en-GB"/>
        </w:rPr>
      </w:pPr>
      <w:r>
        <w:rPr>
          <w:rFonts w:ascii="Symbol" w:hAnsi="Symbol"/>
          <w:sz w:val="20"/>
        </w:rPr>
        <w:t></w:t>
      </w:r>
      <w:r>
        <w:tab/>
      </w:r>
      <w:r>
        <w:rPr>
          <w:rFonts w:eastAsia="Times New Roman"/>
          <w:lang w:eastAsia="en-GB"/>
        </w:rPr>
        <w:t>before they pay the reservation fee to secure a shared ownership home </w:t>
      </w:r>
    </w:p>
    <w:p w14:paraId="06FA064F" w14:textId="77777777" w:rsidR="0013045B" w:rsidRDefault="00000000">
      <w:pPr>
        <w:keepLines w:val="0"/>
        <w:spacing w:before="0" w:after="0"/>
        <w:rPr>
          <w:rFonts w:eastAsia="Times New Roman"/>
          <w:lang w:eastAsia="en-GB"/>
        </w:rPr>
      </w:pPr>
    </w:p>
    <w:p w14:paraId="40D0AC90" w14:textId="77777777" w:rsidR="0013045B" w:rsidRDefault="00C21A92">
      <w:r>
        <w:rPr>
          <w:rFonts w:eastAsia="Times New Roman"/>
          <w:lang w:eastAsia="en-GB"/>
        </w:rPr>
        <w:t xml:space="preserve">Use it to give the homebuyer a personalised summary of all the costs involved in buying, owning and selling a shared ownership home. </w:t>
      </w:r>
      <w:r>
        <w:t>Providers may brand the document but must not alter the content or order of information.</w:t>
      </w:r>
      <w:r>
        <w:rPr>
          <w:rFonts w:eastAsia="Times New Roman"/>
          <w:lang w:eastAsia="en-GB"/>
        </w:rPr>
        <w:t> </w:t>
      </w:r>
    </w:p>
    <w:p w14:paraId="2078DC11" w14:textId="77777777" w:rsidR="0013045B" w:rsidRDefault="00C21A92">
      <w:r>
        <w:t xml:space="preserve">The document should be explained to the customer and they should be given the opportunity to ask questions. </w:t>
      </w:r>
    </w:p>
    <w:p w14:paraId="579F4427" w14:textId="77777777" w:rsidR="0013045B" w:rsidRDefault="00C21A92">
      <w:pPr>
        <w:keepLines w:val="0"/>
        <w:spacing w:before="0" w:after="0"/>
      </w:pPr>
      <w:r>
        <w:rPr>
          <w:rFonts w:eastAsia="Times New Roman"/>
          <w:lang w:eastAsia="en-GB"/>
        </w:rPr>
        <w:t xml:space="preserve">This document should be provided to the homebuyer at the same time as the </w:t>
      </w:r>
      <w:r>
        <w:t>‘</w:t>
      </w:r>
      <w:r>
        <w:rPr>
          <w:rFonts w:eastAsia="Times New Roman"/>
          <w:lang w:eastAsia="en-GB"/>
        </w:rPr>
        <w:t>Key information about shared ownership’.</w:t>
      </w:r>
    </w:p>
    <w:p w14:paraId="14066D0E" w14:textId="77777777" w:rsidR="0013045B" w:rsidRDefault="00000000">
      <w:pPr>
        <w:keepLines w:val="0"/>
        <w:spacing w:before="0" w:after="0"/>
        <w:rPr>
          <w:rFonts w:eastAsia="Times New Roman"/>
          <w:b/>
          <w:bCs/>
          <w:color w:val="000000"/>
          <w:sz w:val="32"/>
          <w:szCs w:val="32"/>
          <w:lang w:eastAsia="en-GB"/>
        </w:rPr>
      </w:pPr>
    </w:p>
    <w:p w14:paraId="5592603E" w14:textId="77777777" w:rsidR="0013045B" w:rsidRDefault="00C21A92">
      <w:pPr>
        <w:keepLines w:val="0"/>
        <w:spacing w:before="0" w:after="0"/>
        <w:rPr>
          <w:rFonts w:eastAsia="Times New Roman"/>
          <w:b/>
          <w:bCs/>
          <w:color w:val="000000"/>
          <w:sz w:val="32"/>
          <w:szCs w:val="32"/>
          <w:lang w:eastAsia="en-GB"/>
        </w:rPr>
      </w:pPr>
      <w:r>
        <w:rPr>
          <w:rFonts w:eastAsia="Times New Roman"/>
          <w:b/>
          <w:bCs/>
          <w:color w:val="000000"/>
          <w:sz w:val="32"/>
          <w:szCs w:val="32"/>
          <w:lang w:eastAsia="en-GB"/>
        </w:rPr>
        <w:t>To complete the document: </w:t>
      </w:r>
    </w:p>
    <w:p w14:paraId="6B83002A" w14:textId="77777777" w:rsidR="0013045B" w:rsidRDefault="00000000">
      <w:pPr>
        <w:keepLines w:val="0"/>
        <w:spacing w:before="0" w:after="0"/>
        <w:rPr>
          <w:rFonts w:ascii="Segoe UI" w:eastAsia="Times New Roman" w:hAnsi="Segoe UI" w:cs="Segoe UI"/>
          <w:b/>
          <w:bCs/>
          <w:color w:val="000000"/>
          <w:sz w:val="18"/>
          <w:szCs w:val="18"/>
          <w:lang w:eastAsia="en-GB"/>
        </w:rPr>
      </w:pPr>
    </w:p>
    <w:p w14:paraId="1BAA3CB4" w14:textId="77777777" w:rsidR="0013045B" w:rsidRDefault="00C21A92">
      <w:pPr>
        <w:keepLines w:val="0"/>
        <w:spacing w:before="0" w:after="0"/>
        <w:ind w:left="1080"/>
        <w:rPr>
          <w:rFonts w:eastAsia="Times New Roman"/>
          <w:lang w:eastAsia="en-GB"/>
        </w:rPr>
      </w:pPr>
      <w:r>
        <w:t>1.</w:t>
      </w:r>
      <w:r>
        <w:tab/>
      </w:r>
      <w:r>
        <w:rPr>
          <w:rFonts w:eastAsia="Times New Roman"/>
          <w:lang w:eastAsia="en-GB"/>
        </w:rPr>
        <w:t>Follow the instructions highlighted in yellow. </w:t>
      </w:r>
    </w:p>
    <w:p w14:paraId="6CE7792A" w14:textId="77777777" w:rsidR="0013045B" w:rsidRDefault="00C21A92">
      <w:pPr>
        <w:keepLines w:val="0"/>
        <w:spacing w:before="0" w:after="0"/>
        <w:ind w:left="1080"/>
        <w:rPr>
          <w:rFonts w:eastAsia="Times New Roman"/>
          <w:lang w:eastAsia="en-GB"/>
        </w:rPr>
      </w:pPr>
      <w:r>
        <w:t>2.</w:t>
      </w:r>
      <w:r>
        <w:tab/>
      </w:r>
      <w:r>
        <w:rPr>
          <w:rFonts w:eastAsia="Times New Roman"/>
          <w:lang w:eastAsia="en-GB"/>
        </w:rPr>
        <w:t>Enter the costs and fees in the highlighted fields. </w:t>
      </w:r>
    </w:p>
    <w:p w14:paraId="07202DCF" w14:textId="77777777" w:rsidR="0013045B" w:rsidRDefault="00C21A92">
      <w:pPr>
        <w:keepLines w:val="0"/>
        <w:spacing w:before="0" w:after="0"/>
        <w:ind w:left="1080"/>
        <w:rPr>
          <w:rFonts w:eastAsia="Times New Roman"/>
          <w:lang w:eastAsia="en-GB"/>
        </w:rPr>
      </w:pPr>
      <w:r>
        <w:t>3.</w:t>
      </w:r>
      <w:r>
        <w:tab/>
      </w:r>
      <w:r>
        <w:rPr>
          <w:rFonts w:eastAsia="Times New Roman"/>
          <w:lang w:eastAsia="en-GB"/>
        </w:rPr>
        <w:t>Delete the statements that do not apply to the home. </w:t>
      </w:r>
    </w:p>
    <w:p w14:paraId="788A00E3" w14:textId="77777777" w:rsidR="0013045B" w:rsidRDefault="00C21A92">
      <w:pPr>
        <w:keepLines w:val="0"/>
        <w:spacing w:before="0" w:after="0"/>
        <w:ind w:left="1080"/>
        <w:rPr>
          <w:rFonts w:eastAsia="Times New Roman"/>
          <w:lang w:eastAsia="en-GB"/>
        </w:rPr>
      </w:pPr>
      <w:r>
        <w:t>4.</w:t>
      </w:r>
      <w:r>
        <w:tab/>
      </w:r>
      <w:r>
        <w:rPr>
          <w:rFonts w:eastAsia="Times New Roman"/>
          <w:lang w:eastAsia="en-GB"/>
        </w:rPr>
        <w:t>Delete the instructions about how to complete the document. </w:t>
      </w:r>
    </w:p>
    <w:p w14:paraId="6151087D" w14:textId="77777777" w:rsidR="0013045B" w:rsidRDefault="00000000">
      <w:pPr>
        <w:keepLines w:val="0"/>
        <w:spacing w:before="0" w:after="0"/>
        <w:rPr>
          <w:rFonts w:eastAsia="Times New Roman"/>
          <w:lang w:eastAsia="en-GB"/>
        </w:rPr>
      </w:pPr>
    </w:p>
    <w:p w14:paraId="7CBF7F58" w14:textId="77777777" w:rsidR="0013045B" w:rsidRDefault="00C21A92">
      <w:pPr>
        <w:keepLines w:val="0"/>
        <w:spacing w:before="0" w:after="0"/>
        <w:rPr>
          <w:rFonts w:eastAsia="Times New Roman"/>
          <w:b/>
          <w:bCs/>
          <w:color w:val="000000"/>
          <w:sz w:val="32"/>
          <w:szCs w:val="32"/>
          <w:lang w:eastAsia="en-GB"/>
        </w:rPr>
      </w:pPr>
      <w:r>
        <w:rPr>
          <w:rFonts w:eastAsia="Times New Roman"/>
          <w:b/>
          <w:bCs/>
          <w:color w:val="000000"/>
          <w:sz w:val="32"/>
          <w:szCs w:val="32"/>
          <w:lang w:eastAsia="en-GB"/>
        </w:rPr>
        <w:t>Feedback </w:t>
      </w:r>
    </w:p>
    <w:p w14:paraId="59854E4D" w14:textId="77777777" w:rsidR="0013045B" w:rsidRDefault="00000000">
      <w:pPr>
        <w:keepLines w:val="0"/>
        <w:spacing w:before="0" w:after="0"/>
        <w:rPr>
          <w:rFonts w:ascii="Segoe UI" w:eastAsia="Times New Roman" w:hAnsi="Segoe UI" w:cs="Segoe UI"/>
          <w:b/>
          <w:bCs/>
          <w:color w:val="000000"/>
          <w:sz w:val="18"/>
          <w:szCs w:val="18"/>
          <w:lang w:eastAsia="en-GB"/>
        </w:rPr>
      </w:pPr>
    </w:p>
    <w:p w14:paraId="6A19B936" w14:textId="77777777" w:rsidR="0013045B" w:rsidRDefault="00C21A92">
      <w:pPr>
        <w:keepLines w:val="0"/>
        <w:spacing w:before="0" w:after="0"/>
        <w:rPr>
          <w:rFonts w:eastAsia="Times New Roman"/>
          <w:lang w:eastAsia="en-GB"/>
        </w:rPr>
      </w:pPr>
      <w:r>
        <w:rPr>
          <w:rFonts w:eastAsia="Times New Roman"/>
          <w:lang w:eastAsia="en-GB"/>
        </w:rPr>
        <w:t>If you have any feedback about this document, contact: </w:t>
      </w:r>
    </w:p>
    <w:p w14:paraId="77E33344" w14:textId="77777777" w:rsidR="0013045B" w:rsidRDefault="00000000">
      <w:pPr>
        <w:keepLines w:val="0"/>
        <w:spacing w:before="0" w:after="0"/>
        <w:rPr>
          <w:rFonts w:ascii="Segoe UI" w:eastAsia="Times New Roman" w:hAnsi="Segoe UI" w:cs="Segoe UI"/>
          <w:sz w:val="18"/>
          <w:szCs w:val="18"/>
          <w:lang w:eastAsia="en-GB"/>
        </w:rPr>
      </w:pPr>
    </w:p>
    <w:p w14:paraId="6232B20F" w14:textId="77777777" w:rsidR="0013045B" w:rsidRDefault="00C21A92">
      <w:pPr>
        <w:keepLines w:val="0"/>
        <w:spacing w:before="0" w:after="0"/>
      </w:pPr>
      <w:r>
        <w:rPr>
          <w:rFonts w:eastAsia="Times New Roman"/>
          <w:lang w:eastAsia="en-GB"/>
        </w:rPr>
        <w:t>Affordable Housing Products team </w:t>
      </w:r>
      <w:r>
        <w:rPr>
          <w:rFonts w:eastAsia="Times New Roman"/>
          <w:lang w:eastAsia="en-GB"/>
        </w:rPr>
        <w:br/>
        <w:t>Homes England </w:t>
      </w:r>
      <w:r>
        <w:rPr>
          <w:rFonts w:eastAsia="Times New Roman"/>
          <w:lang w:eastAsia="en-GB"/>
        </w:rPr>
        <w:br/>
        <w:t xml:space="preserve">Email: </w:t>
      </w:r>
      <w:r>
        <w:rPr>
          <w:rFonts w:eastAsia="Times New Roman"/>
          <w:color w:val="0563C1"/>
          <w:u w:val="single"/>
          <w:lang w:eastAsia="en-GB"/>
        </w:rPr>
        <w:t>sharedownership@homesengland.gov.uk</w:t>
      </w:r>
      <w:r>
        <w:rPr>
          <w:rFonts w:eastAsia="Times New Roman"/>
          <w:lang w:eastAsia="en-GB"/>
        </w:rPr>
        <w:t> </w:t>
      </w:r>
    </w:p>
    <w:p w14:paraId="4DE5DB1D" w14:textId="77777777" w:rsidR="0013045B" w:rsidRDefault="00000000"/>
    <w:p w14:paraId="10B53A40" w14:textId="77777777" w:rsidR="007468AA" w:rsidRDefault="007468AA">
      <w:pPr>
        <w:keepLines w:val="0"/>
        <w:suppressAutoHyphens w:val="0"/>
        <w:spacing w:before="0" w:after="0"/>
        <w:rPr>
          <w:rFonts w:eastAsia="Yu Gothic Light"/>
          <w:b/>
          <w:bCs/>
          <w:color w:val="000000"/>
          <w:sz w:val="36"/>
          <w:szCs w:val="32"/>
        </w:rPr>
      </w:pPr>
      <w:r>
        <w:br w:type="page"/>
      </w:r>
    </w:p>
    <w:p w14:paraId="0613D66F" w14:textId="173CC098" w:rsidR="002B49F5" w:rsidRDefault="00395B2F">
      <w:pPr>
        <w:pStyle w:val="Heading1"/>
      </w:pPr>
      <w:r>
        <w:lastRenderedPageBreak/>
        <w:t>Summary of costs</w:t>
      </w:r>
    </w:p>
    <w:p w14:paraId="42160D35" w14:textId="5D2C7DB3" w:rsidR="0013045B" w:rsidRDefault="00C21A92">
      <w:r>
        <w:t xml:space="preserve">The information in this document is for the </w:t>
      </w:r>
      <w:r w:rsidR="002470FB">
        <w:rPr>
          <w:b/>
          <w:bCs/>
        </w:rPr>
        <w:t xml:space="preserve">new </w:t>
      </w:r>
      <w:r>
        <w:rPr>
          <w:b/>
          <w:bCs/>
        </w:rPr>
        <w:t>shared ownership model</w:t>
      </w:r>
      <w:r>
        <w:t xml:space="preserve">. There are variations of shared ownership which have different features. For more information on the variations, see the ‘Key information about the home’ document. </w:t>
      </w:r>
    </w:p>
    <w:p w14:paraId="63057C86" w14:textId="77777777" w:rsidR="0013045B" w:rsidRDefault="00C21A92">
      <w:r>
        <w:t>When you are looking for shared ownership homes, you should always check the Key Information Document to see which model covers that specific home.</w:t>
      </w:r>
    </w:p>
    <w:p w14:paraId="64870B73" w14:textId="77777777" w:rsidR="002B49F5" w:rsidRDefault="00395B2F">
      <w:r>
        <w:t xml:space="preserve">When you buy a home through shared ownership, you enter into a shared ownership lease. The lease is a legal agreement between you (the ‘leaseholder’) and the landlord. It sets out the rights and responsibilities of both parties. </w:t>
      </w:r>
    </w:p>
    <w:p w14:paraId="2BCF34C3" w14:textId="77777777" w:rsidR="002B49F5" w:rsidRDefault="00395B2F">
      <w:r>
        <w:t>Before committing to buy a shared ownership property, you should ensure you take independent legal and financial advice.</w:t>
      </w:r>
    </w:p>
    <w:p w14:paraId="4727EB97" w14:textId="77777777" w:rsidR="002B49F5" w:rsidRDefault="00395B2F">
      <w:r>
        <w:t>This summary of costs document is to help you decide if shared ownership is right for you. You should read this document carefully so that you understand what you are buying, and then keep it safe for future reference.</w:t>
      </w:r>
    </w:p>
    <w:p w14:paraId="6185D605" w14:textId="26A36612" w:rsidR="002B49F5" w:rsidRDefault="00395B2F">
      <w:r>
        <w:t>It does not form part of the lease. You should carefully consider the information and the accompanying lease, and discuss any issues with your legal adviser before signing the lease.</w:t>
      </w:r>
    </w:p>
    <w:p w14:paraId="250C5D2F" w14:textId="77777777" w:rsidR="002B18BD" w:rsidRDefault="002B18BD" w:rsidP="002B18BD"/>
    <w:tbl>
      <w:tblPr>
        <w:tblW w:w="9414" w:type="dxa"/>
        <w:tblCellMar>
          <w:left w:w="10" w:type="dxa"/>
          <w:right w:w="10" w:type="dxa"/>
        </w:tblCellMar>
        <w:tblLook w:val="04A0" w:firstRow="1" w:lastRow="0" w:firstColumn="1" w:lastColumn="0" w:noHBand="0" w:noVBand="1"/>
      </w:tblPr>
      <w:tblGrid>
        <w:gridCol w:w="9414"/>
      </w:tblGrid>
      <w:tr w:rsidR="002B18BD" w14:paraId="7AE8378C" w14:textId="77777777" w:rsidTr="002B18BD">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hideMark/>
          </w:tcPr>
          <w:p w14:paraId="665FA718" w14:textId="77777777" w:rsidR="002B18BD" w:rsidRDefault="002B18BD">
            <w:pPr>
              <w:spacing w:line="249" w:lineRule="auto"/>
              <w:rPr>
                <w:lang w:val="en-US"/>
              </w:rPr>
            </w:pPr>
            <w:r>
              <w:rPr>
                <w:lang w:val="en-US"/>
              </w:rPr>
              <w:t>Failure to pay your rent, service charge, or mortgage could mean your home is at risk of repossession.</w:t>
            </w:r>
          </w:p>
          <w:p w14:paraId="7E9A2772" w14:textId="77777777" w:rsidR="002B18BD" w:rsidRDefault="002B18BD">
            <w:pPr>
              <w:spacing w:line="249" w:lineRule="auto"/>
            </w:pPr>
            <w:r>
              <w:t xml:space="preserve">The costs in this document are the costs as at the date issued. These will increase (typically on an annual basis) and you should take financial advice on whether this will be sustainable for you.  </w:t>
            </w:r>
          </w:p>
        </w:tc>
      </w:tr>
    </w:tbl>
    <w:p w14:paraId="3810DC09" w14:textId="77777777" w:rsidR="002B49F5" w:rsidRDefault="002B49F5">
      <w:pPr>
        <w:pageBreakBefore/>
      </w:pPr>
    </w:p>
    <w:p w14:paraId="79D612D1" w14:textId="77777777" w:rsidR="002B49F5" w:rsidRDefault="00395B2F">
      <w:pPr>
        <w:pStyle w:val="Heading2"/>
      </w:pPr>
      <w:r>
        <w:t>Purchase costs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56E015A2"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49CDC0E" w14:textId="77777777" w:rsidR="002B49F5" w:rsidRDefault="00395B2F">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B2CFF1" w14:textId="77777777" w:rsidR="002B49F5" w:rsidRDefault="00395B2F">
            <w:pPr>
              <w:pStyle w:val="Normalintable"/>
            </w:pPr>
            <w:r>
              <w:t>£</w:t>
            </w:r>
            <w:r>
              <w:rPr>
                <w:shd w:val="clear" w:color="auto" w:fill="FFFF00"/>
              </w:rPr>
              <w:t>______</w:t>
            </w:r>
          </w:p>
        </w:tc>
      </w:tr>
      <w:tr w:rsidR="002B49F5" w14:paraId="1F4F9136"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DAAD3D2" w14:textId="77777777" w:rsidR="002B49F5" w:rsidRDefault="00395B2F">
            <w:pPr>
              <w:pStyle w:val="Normalintable"/>
              <w:rPr>
                <w:b/>
                <w:bCs/>
              </w:rPr>
            </w:pPr>
            <w:r>
              <w:rPr>
                <w:b/>
                <w:bCs/>
              </w:rPr>
              <w:t>Share purchase price</w:t>
            </w:r>
          </w:p>
          <w:p w14:paraId="4D8D15AD" w14:textId="77777777" w:rsidR="0013045B" w:rsidRDefault="00C21A92">
            <w:pPr>
              <w:pStyle w:val="Normalintable"/>
              <w:rPr>
                <w:b/>
                <w:bCs/>
              </w:rPr>
            </w:pPr>
            <w:r>
              <w:rPr>
                <w:b/>
                <w:bCs/>
              </w:rPr>
              <w:t>and percentage share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8856763" w14:textId="77777777" w:rsidR="002B49F5" w:rsidRDefault="00395B2F">
            <w:pPr>
              <w:pStyle w:val="Normalintable"/>
            </w:pPr>
            <w:r>
              <w:rPr>
                <w:i/>
                <w:iCs/>
                <w:shd w:val="clear" w:color="auto" w:fill="FFFF00"/>
              </w:rPr>
              <w:t>Enter the share price and percentage share offered based on the financial assessment.</w:t>
            </w:r>
          </w:p>
          <w:p w14:paraId="70DC1D20" w14:textId="77777777" w:rsidR="002B49F5" w:rsidRDefault="002B49F5">
            <w:pPr>
              <w:pStyle w:val="Normalintable"/>
            </w:pPr>
          </w:p>
          <w:p w14:paraId="47563E80" w14:textId="77777777" w:rsidR="002B49F5" w:rsidRDefault="00395B2F">
            <w:pPr>
              <w:pStyle w:val="Normalintable"/>
            </w:pPr>
            <w:r>
              <w:t>£</w:t>
            </w:r>
            <w:r>
              <w:rPr>
                <w:shd w:val="clear" w:color="auto" w:fill="FFFF00"/>
              </w:rPr>
              <w:t>______</w:t>
            </w:r>
            <w:r>
              <w:t xml:space="preserve"> (</w:t>
            </w:r>
            <w:r>
              <w:rPr>
                <w:shd w:val="clear" w:color="auto" w:fill="FFFF00"/>
              </w:rPr>
              <w:t>__</w:t>
            </w:r>
            <w:r>
              <w:t>% share)</w:t>
            </w:r>
          </w:p>
          <w:p w14:paraId="52A8814D" w14:textId="77777777" w:rsidR="002B49F5" w:rsidRDefault="002B49F5">
            <w:pPr>
              <w:pStyle w:val="Normalintable"/>
            </w:pPr>
          </w:p>
          <w:p w14:paraId="257547C8" w14:textId="40E79620" w:rsidR="002B49F5" w:rsidRDefault="00395B2F">
            <w:pPr>
              <w:pStyle w:val="Normalintable"/>
            </w:pPr>
            <w:r>
              <w:t>The share purchase price is calculated using the full market value and the percentage share purchased.</w:t>
            </w:r>
          </w:p>
        </w:tc>
      </w:tr>
      <w:tr w:rsidR="002B49F5" w14:paraId="7D87826E"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827805" w14:textId="77777777" w:rsidR="002B49F5" w:rsidRDefault="00395B2F">
            <w:pPr>
              <w:pStyle w:val="Normalintable"/>
              <w:rPr>
                <w:b/>
                <w:bCs/>
              </w:rPr>
            </w:pPr>
            <w:r>
              <w:rPr>
                <w:b/>
                <w:bCs/>
              </w:rPr>
              <w:t>Deposit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432286" w14:textId="77777777" w:rsidR="0013045B" w:rsidRDefault="00C21A92">
            <w:pPr>
              <w:pStyle w:val="Normalintable"/>
            </w:pPr>
            <w:r>
              <w:rPr>
                <w:i/>
                <w:iCs/>
                <w:shd w:val="clear" w:color="auto" w:fill="FFFF00"/>
              </w:rPr>
              <w:t>Enter the deposit amount and % of sale purchase price</w:t>
            </w:r>
          </w:p>
          <w:p w14:paraId="4C9025D4" w14:textId="77777777" w:rsidR="0013045B" w:rsidRDefault="00000000">
            <w:pPr>
              <w:pStyle w:val="Normalintable"/>
              <w:rPr>
                <w:shd w:val="clear" w:color="auto" w:fill="FFFF00"/>
              </w:rPr>
            </w:pPr>
          </w:p>
          <w:p w14:paraId="510803DE" w14:textId="77777777" w:rsidR="002B49F5" w:rsidRDefault="00395B2F">
            <w:pPr>
              <w:pStyle w:val="Normalintable"/>
            </w:pPr>
            <w:r>
              <w:t>£</w:t>
            </w:r>
            <w:r>
              <w:rPr>
                <w:shd w:val="clear" w:color="auto" w:fill="FFFF00"/>
              </w:rPr>
              <w:t>____</w:t>
            </w:r>
            <w:r>
              <w:t>(</w:t>
            </w:r>
            <w:r>
              <w:rPr>
                <w:shd w:val="clear" w:color="auto" w:fill="FFFF00"/>
              </w:rPr>
              <w:t>___</w:t>
            </w:r>
            <w:r>
              <w:t xml:space="preserve"> % of the sale purchase price)</w:t>
            </w:r>
          </w:p>
          <w:p w14:paraId="3B892AEC" w14:textId="77777777" w:rsidR="0013045B" w:rsidRDefault="00000000">
            <w:pPr>
              <w:pStyle w:val="Normalintable"/>
            </w:pPr>
          </w:p>
          <w:p w14:paraId="18408052" w14:textId="77777777" w:rsidR="0013045B" w:rsidRDefault="00C21A92">
            <w:pPr>
              <w:pStyle w:val="Normalintable"/>
            </w:pPr>
            <w:r>
              <w:t>The deposit is payable when you exchange contracts to buy the home. It will be taken off of the final amount you pay on completion. For more information, speak to your legal adviser.</w:t>
            </w:r>
          </w:p>
        </w:tc>
      </w:tr>
      <w:tr w:rsidR="002B49F5" w14:paraId="0C380DAD"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A3C273" w14:textId="77777777" w:rsidR="002B49F5" w:rsidRDefault="00395B2F">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67A5CB" w14:textId="77777777" w:rsidR="0013045B" w:rsidRDefault="00C21A92">
            <w:pPr>
              <w:pStyle w:val="Normalintable"/>
            </w:pPr>
            <w:r>
              <w:rPr>
                <w:i/>
                <w:iCs/>
                <w:shd w:val="clear" w:color="auto" w:fill="FFFF00"/>
              </w:rPr>
              <w:t>Enter the reservation fee. If you do not charge a fee, for example on a resale home, enter £0.</w:t>
            </w:r>
            <w:r>
              <w:rPr>
                <w:i/>
                <w:iCs/>
              </w:rPr>
              <w:t xml:space="preserve"> </w:t>
            </w:r>
          </w:p>
          <w:p w14:paraId="76504BC9" w14:textId="77777777" w:rsidR="0013045B" w:rsidRDefault="00000000">
            <w:pPr>
              <w:pStyle w:val="Normalintable"/>
            </w:pPr>
          </w:p>
          <w:p w14:paraId="017865B8" w14:textId="77777777" w:rsidR="002B49F5" w:rsidRDefault="00395B2F">
            <w:pPr>
              <w:pStyle w:val="Normalintable"/>
              <w:rPr>
                <w:shd w:val="clear" w:color="auto" w:fill="FFFF00"/>
              </w:rPr>
            </w:pPr>
            <w:r>
              <w:t>£</w:t>
            </w:r>
            <w:r>
              <w:rPr>
                <w:shd w:val="clear" w:color="auto" w:fill="FFFF00"/>
              </w:rPr>
              <w:t>___</w:t>
            </w:r>
          </w:p>
          <w:p w14:paraId="546C29C1" w14:textId="77777777" w:rsidR="00CA08B0" w:rsidRDefault="00CA08B0">
            <w:pPr>
              <w:pStyle w:val="Normalintable"/>
            </w:pPr>
          </w:p>
          <w:p w14:paraId="02E2F586" w14:textId="77777777" w:rsidR="0013045B" w:rsidRDefault="00C21A92">
            <w:pPr>
              <w:pStyle w:val="Normalintable"/>
            </w:pPr>
            <w:r>
              <w:t xml:space="preserve">You’ll need to pay a reservation fee to secure your home. When you pay the fee, no one else will be able to reserve the home. </w:t>
            </w:r>
          </w:p>
          <w:p w14:paraId="57F1D991" w14:textId="77777777" w:rsidR="0013045B" w:rsidRDefault="00000000">
            <w:pPr>
              <w:pStyle w:val="Normalintable"/>
            </w:pPr>
          </w:p>
          <w:p w14:paraId="74346461" w14:textId="77777777" w:rsidR="0013045B" w:rsidRDefault="00C21A92">
            <w:pPr>
              <w:pStyle w:val="Normalintable"/>
            </w:pPr>
            <w:r>
              <w:rPr>
                <w:i/>
                <w:iCs/>
                <w:shd w:val="clear" w:color="auto" w:fill="FFFF00"/>
              </w:rPr>
              <w:t>Edit the following statement to reflect your policy on how long you'll reserve the home for and refunds.</w:t>
            </w:r>
          </w:p>
          <w:p w14:paraId="18FBC085" w14:textId="77777777" w:rsidR="0013045B" w:rsidRDefault="00000000">
            <w:pPr>
              <w:pStyle w:val="Normalintable"/>
            </w:pPr>
          </w:p>
          <w:p w14:paraId="0D157BB9" w14:textId="77777777" w:rsidR="0013045B" w:rsidRDefault="00C21A92">
            <w:pPr>
              <w:pStyle w:val="Normalintable"/>
            </w:pPr>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fee </w:t>
            </w:r>
            <w:r>
              <w:rPr>
                <w:shd w:val="clear" w:color="auto" w:fill="FFFF00"/>
              </w:rPr>
              <w:t>is/is not</w:t>
            </w:r>
            <w:r>
              <w:t xml:space="preserve"> refundable.</w:t>
            </w:r>
          </w:p>
        </w:tc>
      </w:tr>
      <w:tr w:rsidR="002B49F5" w14:paraId="1144E60D"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71526E" w14:textId="5EE7E7A6" w:rsidR="002B49F5" w:rsidRDefault="00395B2F">
            <w:pPr>
              <w:pStyle w:val="Normalintable"/>
              <w:rPr>
                <w:b/>
                <w:bCs/>
              </w:rPr>
            </w:pPr>
            <w:r>
              <w:rPr>
                <w:b/>
                <w:bCs/>
              </w:rPr>
              <w:lastRenderedPageBreak/>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7422B8" w14:textId="01AEBA81" w:rsidR="002B49F5" w:rsidRDefault="00395B2F">
            <w:pPr>
              <w:pStyle w:val="Normalintable"/>
            </w:pPr>
            <w:r>
              <w:t>Legal adviser’s fees can vary. You can expect to pay fees including:</w:t>
            </w:r>
          </w:p>
          <w:p w14:paraId="0564E81B" w14:textId="77777777" w:rsidR="002B49F5" w:rsidRDefault="002B49F5">
            <w:pPr>
              <w:pStyle w:val="Normalintable"/>
            </w:pPr>
          </w:p>
          <w:p w14:paraId="0B28FF92" w14:textId="77777777" w:rsidR="002B49F5" w:rsidRDefault="00395B2F">
            <w:pPr>
              <w:pStyle w:val="Normalintable"/>
              <w:numPr>
                <w:ilvl w:val="0"/>
                <w:numId w:val="1"/>
              </w:numPr>
            </w:pPr>
            <w:r>
              <w:t>legal services fee</w:t>
            </w:r>
          </w:p>
          <w:p w14:paraId="3EE13A83" w14:textId="77777777" w:rsidR="002B49F5" w:rsidRDefault="00395B2F">
            <w:pPr>
              <w:pStyle w:val="Normalintable"/>
              <w:numPr>
                <w:ilvl w:val="0"/>
                <w:numId w:val="1"/>
              </w:numPr>
            </w:pPr>
            <w:r>
              <w:t>search costs</w:t>
            </w:r>
          </w:p>
          <w:p w14:paraId="618E8F73" w14:textId="77777777" w:rsidR="002B49F5" w:rsidRDefault="00395B2F">
            <w:pPr>
              <w:pStyle w:val="Normalintable"/>
              <w:numPr>
                <w:ilvl w:val="0"/>
                <w:numId w:val="1"/>
              </w:numPr>
            </w:pPr>
            <w:r>
              <w:t>banking charges</w:t>
            </w:r>
          </w:p>
          <w:p w14:paraId="35222324" w14:textId="77777777" w:rsidR="002B49F5" w:rsidRDefault="00395B2F">
            <w:pPr>
              <w:pStyle w:val="Normalintable"/>
              <w:numPr>
                <w:ilvl w:val="0"/>
                <w:numId w:val="1"/>
              </w:numPr>
            </w:pPr>
            <w:r>
              <w:t>Land Registry fee</w:t>
            </w:r>
          </w:p>
          <w:p w14:paraId="79AAF949" w14:textId="77777777" w:rsidR="002B49F5" w:rsidRDefault="00395B2F">
            <w:pPr>
              <w:pStyle w:val="Normalintable"/>
              <w:numPr>
                <w:ilvl w:val="0"/>
                <w:numId w:val="1"/>
              </w:numPr>
            </w:pPr>
            <w:r>
              <w:t>document pack fee</w:t>
            </w:r>
          </w:p>
          <w:p w14:paraId="2F2A643A" w14:textId="77777777" w:rsidR="002B49F5" w:rsidRDefault="00395B2F">
            <w:pPr>
              <w:pStyle w:val="Normalintable"/>
              <w:numPr>
                <w:ilvl w:val="0"/>
                <w:numId w:val="1"/>
              </w:numPr>
            </w:pPr>
            <w:r>
              <w:t>management agent consent fee - subject to development and terms of the management company</w:t>
            </w:r>
          </w:p>
          <w:p w14:paraId="0853BE8B" w14:textId="77777777" w:rsidR="002B49F5" w:rsidRDefault="002B49F5">
            <w:pPr>
              <w:pStyle w:val="Normalintable"/>
            </w:pPr>
          </w:p>
          <w:p w14:paraId="0FC19A30" w14:textId="626880E9" w:rsidR="002B49F5" w:rsidRDefault="00395B2F">
            <w:pPr>
              <w:pStyle w:val="Normalintable"/>
            </w:pPr>
            <w:r>
              <w:t>You'll need to ask your legal adviser what the fees cover and the cost for your purchase.</w:t>
            </w:r>
          </w:p>
        </w:tc>
      </w:tr>
      <w:tr w:rsidR="002B49F5" w14:paraId="081BC44D"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3A468F" w14:textId="77777777" w:rsidR="002B49F5" w:rsidRDefault="00395B2F">
            <w:pPr>
              <w:pStyle w:val="Normalintable"/>
              <w:rPr>
                <w:b/>
                <w:bCs/>
              </w:rPr>
            </w:pPr>
            <w:r>
              <w:rPr>
                <w:b/>
                <w:bCs/>
              </w:rPr>
              <w:t>Stamp Duty Land Tax (SDLT)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19A84" w14:textId="5E26647A" w:rsidR="002B49F5" w:rsidRDefault="00395B2F">
            <w:pPr>
              <w:pStyle w:val="Normalintable"/>
            </w:pPr>
            <w:r>
              <w:t>You may have to pay Stamp Duty Land Tax (SDLT) depending on your circumstances and the home's market value. Discuss this with your legal adviser. There is more guidance on the GOV.UK website:</w:t>
            </w:r>
          </w:p>
          <w:p w14:paraId="29818722" w14:textId="77777777" w:rsidR="002B49F5" w:rsidRDefault="002B49F5">
            <w:pPr>
              <w:pStyle w:val="Normalintable"/>
            </w:pPr>
          </w:p>
          <w:p w14:paraId="76106042" w14:textId="77777777" w:rsidR="00952613" w:rsidRDefault="00000000" w:rsidP="00952613">
            <w:pPr>
              <w:pStyle w:val="ListParagraph"/>
              <w:keepNext w:val="0"/>
              <w:numPr>
                <w:ilvl w:val="0"/>
                <w:numId w:val="2"/>
              </w:numPr>
              <w:spacing w:before="0" w:after="0"/>
              <w:textAlignment w:val="auto"/>
            </w:pPr>
            <w:hyperlink r:id="rId10" w:history="1">
              <w:r w:rsidR="00952613">
                <w:rPr>
                  <w:rStyle w:val="Hyperlink"/>
                </w:rPr>
                <w:t>Stamp Duty Land Tax: shared ownership property</w:t>
              </w:r>
            </w:hyperlink>
          </w:p>
          <w:p w14:paraId="123149AC" w14:textId="6D49AB13" w:rsidR="00952613" w:rsidRDefault="00000000" w:rsidP="00952613">
            <w:pPr>
              <w:pStyle w:val="ListParagraph"/>
              <w:numPr>
                <w:ilvl w:val="0"/>
                <w:numId w:val="2"/>
              </w:numPr>
              <w:spacing w:before="0" w:after="0" w:line="251" w:lineRule="auto"/>
            </w:pPr>
            <w:hyperlink r:id="rId11" w:history="1">
              <w:r w:rsidR="00952613">
                <w:rPr>
                  <w:rStyle w:val="Hyperlink"/>
                </w:rPr>
                <w:t>Calculate Stamp Duty Land Tax (SDLT)</w:t>
              </w:r>
            </w:hyperlink>
          </w:p>
          <w:p w14:paraId="05A78EBE" w14:textId="5DB24C5A" w:rsidR="002B49F5" w:rsidRDefault="002B49F5" w:rsidP="00952613">
            <w:pPr>
              <w:pStyle w:val="Normalintable"/>
              <w:ind w:left="749"/>
            </w:pPr>
          </w:p>
        </w:tc>
      </w:tr>
    </w:tbl>
    <w:p w14:paraId="2C467712" w14:textId="77777777" w:rsidR="002B49F5" w:rsidRDefault="002B49F5"/>
    <w:p w14:paraId="2652B0C0" w14:textId="77777777" w:rsidR="002B49F5" w:rsidRDefault="002B49F5">
      <w:pPr>
        <w:pageBreakBefore/>
        <w:spacing w:before="0" w:after="0"/>
      </w:pPr>
    </w:p>
    <w:p w14:paraId="4D538CF7" w14:textId="77777777" w:rsidR="002B49F5" w:rsidRDefault="00395B2F">
      <w:pPr>
        <w:pStyle w:val="Heading2"/>
      </w:pPr>
      <w:r>
        <w:t>Your monthly payments to the landlord</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3275E97C"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953CA0E" w14:textId="77777777" w:rsidR="002B49F5" w:rsidRDefault="00395B2F">
            <w:pPr>
              <w:pStyle w:val="Normalintable"/>
              <w:rPr>
                <w:b/>
                <w:bCs/>
              </w:rPr>
            </w:pPr>
            <w:r>
              <w:rPr>
                <w:b/>
                <w:bCs/>
              </w:rPr>
              <w:t>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7B4B42" w14:textId="77777777" w:rsidR="002B49F5" w:rsidRDefault="00395B2F">
            <w:pPr>
              <w:pStyle w:val="Normalintable"/>
            </w:pPr>
            <w:r>
              <w:rPr>
                <w:i/>
                <w:iCs/>
                <w:shd w:val="clear" w:color="auto" w:fill="FFFF00"/>
              </w:rPr>
              <w:t>Enter the percentage share and the monthly rent based on the financial assessment.</w:t>
            </w:r>
          </w:p>
          <w:p w14:paraId="1B030A75" w14:textId="77777777" w:rsidR="002B49F5" w:rsidRDefault="002B49F5">
            <w:pPr>
              <w:pStyle w:val="Normalintable"/>
            </w:pPr>
          </w:p>
          <w:p w14:paraId="5EB4D80F" w14:textId="77777777" w:rsidR="002B49F5" w:rsidRDefault="00395B2F">
            <w:pPr>
              <w:pStyle w:val="Normalintable"/>
            </w:pPr>
            <w:r>
              <w:t xml:space="preserve">If you buy a </w:t>
            </w:r>
            <w:r>
              <w:rPr>
                <w:shd w:val="clear" w:color="auto" w:fill="FFFF00"/>
              </w:rPr>
              <w:t>__</w:t>
            </w:r>
            <w:r>
              <w:t>% share, the rent will be £</w:t>
            </w:r>
            <w:r>
              <w:rPr>
                <w:shd w:val="clear" w:color="auto" w:fill="FFFF00"/>
              </w:rPr>
              <w:t>___</w:t>
            </w:r>
            <w:r>
              <w:t xml:space="preserve"> a month.</w:t>
            </w:r>
          </w:p>
          <w:p w14:paraId="37437896" w14:textId="5CE753C0" w:rsidR="002B49F5" w:rsidRDefault="002B49F5">
            <w:pPr>
              <w:pStyle w:val="Normalintable"/>
            </w:pPr>
          </w:p>
        </w:tc>
      </w:tr>
      <w:tr w:rsidR="002B49F5" w14:paraId="562CE878"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8B0F76" w14:textId="77777777" w:rsidR="002B49F5" w:rsidRDefault="00395B2F">
            <w:pPr>
              <w:pStyle w:val="Normalintable"/>
              <w:rPr>
                <w:b/>
                <w:bCs/>
              </w:rPr>
            </w:pPr>
            <w:r>
              <w:rPr>
                <w:b/>
                <w:bCs/>
              </w:rPr>
              <w:t>Service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DD24C5" w14:textId="77777777" w:rsidR="002B49F5" w:rsidRDefault="00395B2F">
            <w:pPr>
              <w:pStyle w:val="Normalintable"/>
            </w:pPr>
            <w:r>
              <w:rPr>
                <w:i/>
                <w:iCs/>
                <w:shd w:val="clear" w:color="auto" w:fill="FFFF00"/>
              </w:rPr>
              <w:t>If there is a service charge, enter the amount. If this does not apply, enter "There is no service charge to pay." Delete as applicable.</w:t>
            </w:r>
          </w:p>
          <w:p w14:paraId="3BD859A1" w14:textId="77777777" w:rsidR="002B49F5" w:rsidRDefault="002B49F5">
            <w:pPr>
              <w:pStyle w:val="Normalintable"/>
            </w:pPr>
          </w:p>
          <w:p w14:paraId="75F35AF0" w14:textId="77777777" w:rsidR="002B49F5" w:rsidRDefault="00395B2F">
            <w:pPr>
              <w:pStyle w:val="Normalintable"/>
            </w:pPr>
            <w:r>
              <w:t>£</w:t>
            </w:r>
            <w:r>
              <w:rPr>
                <w:shd w:val="clear" w:color="auto" w:fill="FFFF00"/>
              </w:rPr>
              <w:t>___</w:t>
            </w:r>
            <w:r>
              <w:t xml:space="preserve"> a month / There is no service charge to pay.</w:t>
            </w:r>
          </w:p>
          <w:p w14:paraId="13F4A725" w14:textId="77777777" w:rsidR="002B49F5" w:rsidRDefault="002B49F5">
            <w:pPr>
              <w:pStyle w:val="Normalintable"/>
            </w:pPr>
          </w:p>
          <w:p w14:paraId="2BBCF6F5" w14:textId="77777777" w:rsidR="002B49F5" w:rsidRDefault="00395B2F">
            <w:pPr>
              <w:pStyle w:val="Normalintable"/>
            </w:pPr>
            <w:r>
              <w:rPr>
                <w:i/>
                <w:iCs/>
                <w:shd w:val="clear" w:color="auto" w:fill="FFFF00"/>
              </w:rPr>
              <w:t>Specify what the service charge covers. If there is no service charge, delete the following statement.</w:t>
            </w:r>
          </w:p>
          <w:p w14:paraId="0B5AD78B" w14:textId="77777777" w:rsidR="002B49F5" w:rsidRDefault="002B49F5">
            <w:pPr>
              <w:pStyle w:val="Normalintable"/>
            </w:pPr>
          </w:p>
          <w:p w14:paraId="370BAE5D" w14:textId="77777777" w:rsidR="002B49F5" w:rsidRDefault="00395B2F">
            <w:pPr>
              <w:pStyle w:val="Normalintable"/>
            </w:pPr>
            <w:r>
              <w:t xml:space="preserve">The service charge is for </w:t>
            </w:r>
            <w:r>
              <w:rPr>
                <w:shd w:val="clear" w:color="auto" w:fill="FFFF00"/>
              </w:rPr>
              <w:t>___________</w:t>
            </w:r>
            <w:r>
              <w:t>.</w:t>
            </w:r>
          </w:p>
        </w:tc>
      </w:tr>
      <w:tr w:rsidR="002B49F5" w14:paraId="3EB3F836"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DF36C3" w14:textId="77777777" w:rsidR="002B49F5" w:rsidRDefault="00395B2F">
            <w:pPr>
              <w:pStyle w:val="Normalintable"/>
              <w:rPr>
                <w:b/>
                <w:bCs/>
              </w:rPr>
            </w:pPr>
            <w:r>
              <w:rPr>
                <w:b/>
                <w:bCs/>
              </w:rPr>
              <w:t>Estate charge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5449148" w14:textId="77777777" w:rsidR="002B49F5" w:rsidRDefault="00395B2F">
            <w:pPr>
              <w:pStyle w:val="Normalintable"/>
            </w:pPr>
            <w:r>
              <w:rPr>
                <w:i/>
                <w:iCs/>
                <w:shd w:val="clear" w:color="auto" w:fill="FFFF00"/>
              </w:rPr>
              <w:t>If there is an estate charge, enter the amount. If this does not apply, enter "There is no estate charge to pay." instead. Delete as applicable.</w:t>
            </w:r>
          </w:p>
          <w:p w14:paraId="62866B12" w14:textId="77777777" w:rsidR="002B49F5" w:rsidRDefault="002B49F5">
            <w:pPr>
              <w:pStyle w:val="Normalintable"/>
            </w:pPr>
          </w:p>
          <w:p w14:paraId="59C66B60" w14:textId="77777777" w:rsidR="002B49F5" w:rsidRDefault="00395B2F">
            <w:pPr>
              <w:pStyle w:val="Normalintable"/>
            </w:pPr>
            <w:r>
              <w:t>£</w:t>
            </w:r>
            <w:r>
              <w:rPr>
                <w:shd w:val="clear" w:color="auto" w:fill="FFFF00"/>
              </w:rPr>
              <w:t>___</w:t>
            </w:r>
            <w:r>
              <w:t xml:space="preserve"> a month / There is no estate charge to pay.</w:t>
            </w:r>
          </w:p>
          <w:p w14:paraId="2C1239E9" w14:textId="77777777" w:rsidR="002B49F5" w:rsidRDefault="002B49F5">
            <w:pPr>
              <w:pStyle w:val="Normalintable"/>
            </w:pPr>
          </w:p>
          <w:p w14:paraId="52447908" w14:textId="77777777" w:rsidR="002B49F5" w:rsidRDefault="00395B2F">
            <w:pPr>
              <w:pStyle w:val="Normalintable"/>
            </w:pPr>
            <w:r>
              <w:rPr>
                <w:i/>
                <w:iCs/>
                <w:shd w:val="clear" w:color="auto" w:fill="FFFF00"/>
              </w:rPr>
              <w:t>Specify what the estate charge covers. If there is no estate charge, delete the following statement.</w:t>
            </w:r>
          </w:p>
          <w:p w14:paraId="27E41C7F" w14:textId="77777777" w:rsidR="002B49F5" w:rsidRDefault="002B49F5">
            <w:pPr>
              <w:pStyle w:val="Normalintable"/>
            </w:pPr>
          </w:p>
          <w:p w14:paraId="7525FFE3" w14:textId="77777777" w:rsidR="002B49F5" w:rsidRDefault="00395B2F">
            <w:pPr>
              <w:pStyle w:val="Normalintable"/>
            </w:pPr>
            <w:r>
              <w:t xml:space="preserve">The estate charge is for </w:t>
            </w:r>
            <w:r>
              <w:rPr>
                <w:shd w:val="clear" w:color="auto" w:fill="FFFF00"/>
              </w:rPr>
              <w:t>___________</w:t>
            </w:r>
            <w:r>
              <w:t>.</w:t>
            </w:r>
          </w:p>
          <w:p w14:paraId="5FB7CCC8" w14:textId="77777777" w:rsidR="00CC1BF0" w:rsidRDefault="00CC1BF0">
            <w:pPr>
              <w:pStyle w:val="Normalintable"/>
              <w:rPr>
                <w:i/>
                <w:iCs/>
                <w:shd w:val="clear" w:color="auto" w:fill="FFFF00"/>
              </w:rPr>
            </w:pPr>
          </w:p>
          <w:p w14:paraId="4DD699CE" w14:textId="6CD26D4B" w:rsidR="0013045B" w:rsidRDefault="00C21A92">
            <w:pPr>
              <w:pStyle w:val="Normalintable"/>
            </w:pPr>
            <w:r>
              <w:rPr>
                <w:i/>
                <w:iCs/>
                <w:shd w:val="clear" w:color="auto" w:fill="FFFF00"/>
              </w:rPr>
              <w:t>Delete as applicable.</w:t>
            </w:r>
          </w:p>
          <w:p w14:paraId="3CD754DE" w14:textId="77777777" w:rsidR="0013045B" w:rsidRDefault="00000000">
            <w:pPr>
              <w:pStyle w:val="Normalintable"/>
            </w:pPr>
          </w:p>
          <w:p w14:paraId="2BDFAB1B" w14:textId="77777777" w:rsidR="0013045B" w:rsidRDefault="00C21A92">
            <w:pPr>
              <w:pStyle w:val="Normalintable"/>
            </w:pPr>
            <w:r>
              <w:t xml:space="preserve">The estate charge will continue to be payable if you reach 100% ownership. </w:t>
            </w:r>
          </w:p>
        </w:tc>
      </w:tr>
      <w:tr w:rsidR="002B49F5" w14:paraId="2CA9012F"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945FB73" w14:textId="77777777" w:rsidR="002B49F5" w:rsidRDefault="00395B2F">
            <w:pPr>
              <w:pStyle w:val="Normalintable"/>
              <w:rPr>
                <w:b/>
                <w:bCs/>
              </w:rPr>
            </w:pPr>
            <w:r>
              <w:rPr>
                <w:b/>
                <w:bCs/>
              </w:rPr>
              <w:t>Buildings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CC175C" w14:textId="77777777" w:rsidR="002B49F5" w:rsidRDefault="00395B2F">
            <w:pPr>
              <w:pStyle w:val="Normalintable"/>
            </w:pPr>
            <w:r>
              <w:t>£</w:t>
            </w:r>
            <w:r>
              <w:rPr>
                <w:shd w:val="clear" w:color="auto" w:fill="FFFF00"/>
              </w:rPr>
              <w:t>___</w:t>
            </w:r>
            <w:r>
              <w:t xml:space="preserve"> a month</w:t>
            </w:r>
          </w:p>
        </w:tc>
      </w:tr>
      <w:tr w:rsidR="002B49F5" w14:paraId="15CEE8EC"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9F3CF7" w14:textId="77777777" w:rsidR="002B49F5" w:rsidRDefault="00395B2F">
            <w:pPr>
              <w:pStyle w:val="Normalintable"/>
              <w:rPr>
                <w:b/>
                <w:bCs/>
              </w:rPr>
            </w:pPr>
            <w:r>
              <w:rPr>
                <w:b/>
                <w:bCs/>
              </w:rPr>
              <w:lastRenderedPageBreak/>
              <w:t>Management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F2C836" w14:textId="77777777" w:rsidR="002B49F5" w:rsidRDefault="00395B2F">
            <w:pPr>
              <w:pStyle w:val="Normalintable"/>
            </w:pPr>
            <w:r>
              <w:rPr>
                <w:i/>
                <w:iCs/>
                <w:shd w:val="clear" w:color="auto" w:fill="FFFF00"/>
              </w:rPr>
              <w:t>If there is a management fee, enter the amount and who it's payable to. If this does not apply, enter "There is no management fee to pay." Delete as applicable.</w:t>
            </w:r>
          </w:p>
          <w:p w14:paraId="71F7C2D0" w14:textId="77777777" w:rsidR="002B49F5" w:rsidRDefault="002B49F5">
            <w:pPr>
              <w:pStyle w:val="Normalintable"/>
            </w:pPr>
          </w:p>
          <w:p w14:paraId="48F9A7DD" w14:textId="77777777" w:rsidR="002B49F5" w:rsidRDefault="00395B2F">
            <w:pPr>
              <w:pStyle w:val="Normalintable"/>
            </w:pPr>
            <w:r>
              <w:t>£</w:t>
            </w:r>
            <w:r>
              <w:rPr>
                <w:shd w:val="clear" w:color="auto" w:fill="FFFF00"/>
              </w:rPr>
              <w:t>___</w:t>
            </w:r>
            <w:r>
              <w:t xml:space="preserve"> a month / There is no management fee to pay.</w:t>
            </w:r>
          </w:p>
          <w:p w14:paraId="2CA99E55" w14:textId="77777777" w:rsidR="002B49F5" w:rsidRDefault="002B49F5">
            <w:pPr>
              <w:pStyle w:val="Normalintable"/>
            </w:pPr>
          </w:p>
          <w:p w14:paraId="022BDC94" w14:textId="77777777" w:rsidR="002B49F5" w:rsidRDefault="00395B2F">
            <w:pPr>
              <w:pStyle w:val="Normalintable"/>
            </w:pPr>
            <w:r>
              <w:t xml:space="preserve">The management fee is payable to </w:t>
            </w:r>
            <w:r>
              <w:rPr>
                <w:shd w:val="clear" w:color="auto" w:fill="FFFF00"/>
              </w:rPr>
              <w:t>_________</w:t>
            </w:r>
            <w:r>
              <w:t>.</w:t>
            </w:r>
          </w:p>
          <w:p w14:paraId="67B9C7FF" w14:textId="77777777" w:rsidR="002B49F5" w:rsidRDefault="002B49F5">
            <w:pPr>
              <w:pStyle w:val="Normalintable"/>
              <w:rPr>
                <w:shd w:val="clear" w:color="auto" w:fill="FFFF00"/>
              </w:rPr>
            </w:pPr>
          </w:p>
          <w:p w14:paraId="5D3A5E40" w14:textId="77777777" w:rsidR="002B49F5" w:rsidRDefault="00395B2F">
            <w:pPr>
              <w:pStyle w:val="Normalintable"/>
            </w:pPr>
            <w:r>
              <w:rPr>
                <w:i/>
                <w:iCs/>
                <w:shd w:val="clear" w:color="auto" w:fill="FFFF00"/>
              </w:rPr>
              <w:t>Specify what the management fee covers. If there is no management fee, delete the following sentence.</w:t>
            </w:r>
          </w:p>
          <w:p w14:paraId="233E9B36" w14:textId="77777777" w:rsidR="002B49F5" w:rsidRDefault="002B49F5">
            <w:pPr>
              <w:pStyle w:val="Normalintable"/>
            </w:pPr>
          </w:p>
          <w:p w14:paraId="33D537EA" w14:textId="77777777" w:rsidR="002B49F5" w:rsidRDefault="00395B2F">
            <w:pPr>
              <w:pStyle w:val="Normalintable"/>
            </w:pPr>
            <w:r>
              <w:t xml:space="preserve">The management fee is for </w:t>
            </w:r>
            <w:r>
              <w:rPr>
                <w:shd w:val="clear" w:color="auto" w:fill="FFFF00"/>
              </w:rPr>
              <w:t>_________</w:t>
            </w:r>
            <w:r>
              <w:t>.</w:t>
            </w:r>
          </w:p>
        </w:tc>
      </w:tr>
      <w:tr w:rsidR="002B49F5" w14:paraId="3CBE2D00"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CA6234" w14:textId="77777777" w:rsidR="002B49F5" w:rsidRDefault="00395B2F">
            <w:pPr>
              <w:pStyle w:val="Normalintable"/>
              <w:rPr>
                <w:b/>
                <w:bCs/>
              </w:rPr>
            </w:pPr>
            <w:r>
              <w:rPr>
                <w:b/>
                <w:bCs/>
              </w:rPr>
              <w:t>Reserve (sinking) fund payment</w:t>
            </w:r>
          </w:p>
          <w:p w14:paraId="18262EC6" w14:textId="77777777" w:rsidR="002B49F5" w:rsidRDefault="002B49F5">
            <w:pPr>
              <w:pStyle w:val="Normalintable"/>
              <w:rPr>
                <w:b/>
                <w:bCs/>
              </w:rPr>
            </w:pPr>
          </w:p>
          <w:p w14:paraId="0BDD1928"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AC1FD" w14:textId="77777777" w:rsidR="002B49F5" w:rsidRDefault="00395B2F">
            <w:pPr>
              <w:pStyle w:val="Normalintable"/>
            </w:pPr>
            <w:r>
              <w:rPr>
                <w:i/>
                <w:iCs/>
                <w:shd w:val="clear" w:color="auto" w:fill="FFFF00"/>
              </w:rPr>
              <w:t>If there is a reserve fund payment, enter the amount. If this does not apply, enter "There is no reserve fund payment." Delete as applicable.</w:t>
            </w:r>
          </w:p>
          <w:p w14:paraId="6990D210" w14:textId="77777777" w:rsidR="002B49F5" w:rsidRDefault="002B49F5">
            <w:pPr>
              <w:pStyle w:val="Normalintable"/>
            </w:pPr>
          </w:p>
          <w:p w14:paraId="73D790C4" w14:textId="77777777" w:rsidR="002B49F5" w:rsidRDefault="00395B2F">
            <w:pPr>
              <w:pStyle w:val="Normalintable"/>
            </w:pPr>
            <w:r>
              <w:t>£</w:t>
            </w:r>
            <w:r>
              <w:rPr>
                <w:shd w:val="clear" w:color="auto" w:fill="FFFF00"/>
              </w:rPr>
              <w:t>__</w:t>
            </w:r>
            <w:r>
              <w:t xml:space="preserve"> a month / There is no reserve fund payment.</w:t>
            </w:r>
          </w:p>
          <w:p w14:paraId="2FD9B10E" w14:textId="77777777" w:rsidR="002B49F5" w:rsidRDefault="002B49F5">
            <w:pPr>
              <w:pStyle w:val="Normalintable"/>
            </w:pPr>
          </w:p>
          <w:p w14:paraId="4D6A37AF" w14:textId="77777777" w:rsidR="002B49F5" w:rsidRDefault="00395B2F">
            <w:pPr>
              <w:pStyle w:val="Normalintable"/>
            </w:pPr>
            <w:r>
              <w:rPr>
                <w:i/>
                <w:iCs/>
                <w:shd w:val="clear" w:color="auto" w:fill="FFFF00"/>
              </w:rPr>
              <w:t>If there is no reserve fund payment, delete the following sentence.</w:t>
            </w:r>
          </w:p>
          <w:p w14:paraId="7EE706FE" w14:textId="77777777" w:rsidR="002B49F5" w:rsidRDefault="002B49F5">
            <w:pPr>
              <w:pStyle w:val="Normalintable"/>
              <w:rPr>
                <w:i/>
                <w:iCs/>
              </w:rPr>
            </w:pPr>
          </w:p>
          <w:p w14:paraId="000436FD" w14:textId="77777777" w:rsidR="002B49F5" w:rsidRDefault="00395B2F">
            <w:pPr>
              <w:pStyle w:val="Normalintable"/>
            </w:pPr>
            <w:r>
              <w:t>For more information, see section 5.7, 'Repairs reserve fund', in the 'Key information about shared ownership' document.</w:t>
            </w:r>
          </w:p>
        </w:tc>
      </w:tr>
      <w:tr w:rsidR="002B49F5" w14:paraId="5AF43E6A"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D12F77" w14:textId="77777777" w:rsidR="002B49F5" w:rsidRDefault="00395B2F">
            <w:pPr>
              <w:pStyle w:val="Normalintable"/>
              <w:rPr>
                <w:b/>
                <w:bCs/>
              </w:rPr>
            </w:pPr>
            <w:r>
              <w:rPr>
                <w:b/>
                <w:bCs/>
              </w:rPr>
              <w:t>Total 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16E776" w14:textId="77777777" w:rsidR="002B49F5" w:rsidRDefault="00395B2F">
            <w:pPr>
              <w:pStyle w:val="Normalintable"/>
            </w:pPr>
            <w:r>
              <w:t>Your total monthly payment for the rent and other charges described above will be:</w:t>
            </w:r>
          </w:p>
          <w:p w14:paraId="43BA5DAD" w14:textId="77777777" w:rsidR="002B49F5" w:rsidRDefault="002B49F5">
            <w:pPr>
              <w:pStyle w:val="Normalintable"/>
            </w:pPr>
          </w:p>
          <w:p w14:paraId="5FA89E73" w14:textId="77777777" w:rsidR="002B49F5" w:rsidRDefault="00395B2F">
            <w:pPr>
              <w:pStyle w:val="Normalintable"/>
            </w:pPr>
            <w:r>
              <w:t>£</w:t>
            </w:r>
            <w:r>
              <w:rPr>
                <w:shd w:val="clear" w:color="auto" w:fill="FFFF00"/>
              </w:rPr>
              <w:t>____</w:t>
            </w:r>
            <w:r>
              <w:t xml:space="preserve"> a month</w:t>
            </w:r>
          </w:p>
          <w:p w14:paraId="62D38222" w14:textId="77777777" w:rsidR="002B49F5" w:rsidRDefault="002B49F5">
            <w:pPr>
              <w:pStyle w:val="Normalintable"/>
            </w:pPr>
          </w:p>
          <w:p w14:paraId="673442D1" w14:textId="77777777" w:rsidR="002B49F5" w:rsidRDefault="00395B2F">
            <w:pPr>
              <w:pStyle w:val="Normalintable"/>
            </w:pPr>
            <w:r>
              <w:t>You'll need to budget for your other costs of owning a home, which are not included in the monthly payment to the landlord. For example, mortgage repayment, contents insurance, Council Tax, gas and electricity, and water.</w:t>
            </w:r>
          </w:p>
        </w:tc>
      </w:tr>
    </w:tbl>
    <w:p w14:paraId="670B5753" w14:textId="77777777" w:rsidR="002B49F5" w:rsidRDefault="002B49F5"/>
    <w:p w14:paraId="3921FDCB" w14:textId="77777777" w:rsidR="002B49F5" w:rsidRDefault="00395B2F">
      <w:pPr>
        <w:pStyle w:val="Heading2"/>
      </w:pPr>
      <w:r>
        <w:t>Rent review</w:t>
      </w:r>
    </w:p>
    <w:tbl>
      <w:tblPr>
        <w:tblW w:w="9498" w:type="dxa"/>
        <w:tblInd w:w="-5" w:type="dxa"/>
        <w:tblCellMar>
          <w:left w:w="10" w:type="dxa"/>
          <w:right w:w="10" w:type="dxa"/>
        </w:tblCellMar>
        <w:tblLook w:val="04A0" w:firstRow="1" w:lastRow="0" w:firstColumn="1" w:lastColumn="0" w:noHBand="0" w:noVBand="1"/>
      </w:tblPr>
      <w:tblGrid>
        <w:gridCol w:w="2187"/>
        <w:gridCol w:w="7311"/>
      </w:tblGrid>
      <w:tr w:rsidR="002B49F5" w14:paraId="64C3FE2F" w14:textId="77777777" w:rsidTr="009261B1">
        <w:trPr>
          <w:cantSplit/>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122B23" w14:textId="77777777" w:rsidR="002B49F5" w:rsidRDefault="00395B2F">
            <w:pPr>
              <w:pStyle w:val="Normalintable"/>
              <w:rPr>
                <w:b/>
                <w:bCs/>
              </w:rPr>
            </w:pPr>
            <w:r>
              <w:rPr>
                <w:b/>
                <w:bCs/>
              </w:rPr>
              <w:t>Rent review period</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0DC81E" w14:textId="77777777" w:rsidR="002B49F5" w:rsidRDefault="00395B2F">
            <w:pPr>
              <w:pStyle w:val="Normalintable"/>
            </w:pPr>
            <w:r>
              <w:rPr>
                <w:i/>
                <w:iCs/>
                <w:shd w:val="clear" w:color="auto" w:fill="FFFF00"/>
              </w:rPr>
              <w:t>Enter the date when the rent will be reviewed.</w:t>
            </w:r>
          </w:p>
          <w:p w14:paraId="57C2D7AD" w14:textId="77777777" w:rsidR="002B49F5" w:rsidRDefault="002B49F5">
            <w:pPr>
              <w:pStyle w:val="Normalintable"/>
            </w:pPr>
          </w:p>
          <w:p w14:paraId="68D8EB33" w14:textId="77777777" w:rsidR="002B49F5" w:rsidRDefault="00395B2F">
            <w:pPr>
              <w:pStyle w:val="Normalintable"/>
            </w:pPr>
            <w:r>
              <w:t xml:space="preserve">Your rent will be reviewed every year on </w:t>
            </w:r>
            <w:r>
              <w:rPr>
                <w:u w:val="single"/>
                <w:shd w:val="clear" w:color="auto" w:fill="FFFF00"/>
              </w:rPr>
              <w:t>______</w:t>
            </w:r>
            <w:r>
              <w:rPr>
                <w:i/>
                <w:iCs/>
                <w:u w:val="single"/>
                <w:shd w:val="clear" w:color="auto" w:fill="FFFF00"/>
              </w:rPr>
              <w:t xml:space="preserve"> (the Review Date</w:t>
            </w:r>
            <w:r>
              <w:rPr>
                <w:u w:val="single"/>
                <w:shd w:val="clear" w:color="auto" w:fill="FFFF00"/>
              </w:rPr>
              <w:t>)</w:t>
            </w:r>
            <w:r>
              <w:t xml:space="preserve"> commencing from </w:t>
            </w:r>
            <w:r>
              <w:rPr>
                <w:shd w:val="clear" w:color="auto" w:fill="FFFF00"/>
              </w:rPr>
              <w:t>[</w:t>
            </w:r>
            <w:r>
              <w:rPr>
                <w:i/>
                <w:iCs/>
                <w:shd w:val="clear" w:color="auto" w:fill="FFFF00"/>
              </w:rPr>
              <w:t>date including year</w:t>
            </w:r>
            <w:r>
              <w:rPr>
                <w:shd w:val="clear" w:color="auto" w:fill="FFFF00"/>
              </w:rPr>
              <w:t>]</w:t>
            </w:r>
            <w:r>
              <w:t>.</w:t>
            </w:r>
          </w:p>
        </w:tc>
      </w:tr>
      <w:tr w:rsidR="009261B1" w14:paraId="414E5962" w14:textId="77777777" w:rsidTr="009261B1">
        <w:trPr>
          <w:cantSplit/>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FB382D" w14:textId="0A18165E" w:rsidR="009261B1" w:rsidRPr="00843DEF" w:rsidRDefault="009261B1" w:rsidP="009261B1">
            <w:pPr>
              <w:pStyle w:val="Normalintable"/>
              <w:rPr>
                <w:b/>
                <w:bCs/>
              </w:rPr>
            </w:pPr>
            <w:r>
              <w:rPr>
                <w:b/>
                <w:bCs/>
              </w:rPr>
              <w:lastRenderedPageBreak/>
              <w:t xml:space="preserve">Rent </w:t>
            </w:r>
            <w:r w:rsidR="007E5864">
              <w:rPr>
                <w:b/>
                <w:bCs/>
              </w:rPr>
              <w:t>r</w:t>
            </w:r>
            <w:r>
              <w:rPr>
                <w:b/>
                <w:bCs/>
              </w:rPr>
              <w:t>eview</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05B859" w14:textId="77777777" w:rsidR="009261B1" w:rsidRDefault="009261B1" w:rsidP="009261B1">
            <w:pPr>
              <w:pStyle w:val="Normalintable"/>
            </w:pPr>
            <w:r>
              <w:rPr>
                <w:i/>
                <w:iCs/>
                <w:shd w:val="clear" w:color="auto" w:fill="FFFF00"/>
              </w:rPr>
              <w:t>State your additional percentage increase on top of the RPI increase (maximum 0.5%) or CPI (maximum 1%).</w:t>
            </w:r>
          </w:p>
          <w:p w14:paraId="517DF031" w14:textId="77777777" w:rsidR="009261B1" w:rsidRDefault="009261B1" w:rsidP="009261B1">
            <w:pPr>
              <w:pStyle w:val="Normalintable"/>
            </w:pPr>
          </w:p>
          <w:p w14:paraId="67747B0A" w14:textId="77777777" w:rsidR="009261B1" w:rsidRDefault="009261B1" w:rsidP="009261B1">
            <w:pPr>
              <w:pStyle w:val="Normalintable"/>
            </w:pPr>
            <w:r>
              <w:t xml:space="preserve">The maximum amount your rent can go up by is the same as the percentage increase in </w:t>
            </w:r>
            <w:r>
              <w:rPr>
                <w:highlight w:val="yellow"/>
              </w:rPr>
              <w:t xml:space="preserve">[the </w:t>
            </w:r>
            <w:r>
              <w:rPr>
                <w:rFonts w:eastAsia="Yu Mincho"/>
                <w:highlight w:val="yellow"/>
              </w:rPr>
              <w:t>Retail Prices Index</w:t>
            </w:r>
            <w:r>
              <w:rPr>
                <w:highlight w:val="yellow"/>
              </w:rPr>
              <w:t xml:space="preserve"> (RPI) / Consumer Price Index (CPI</w:t>
            </w:r>
            <w:r>
              <w:t xml:space="preserve">)] for the previous 12 months plus </w:t>
            </w:r>
            <w:r>
              <w:rPr>
                <w:shd w:val="clear" w:color="auto" w:fill="FFFF00"/>
              </w:rPr>
              <w:t>__</w:t>
            </w:r>
            <w:r>
              <w:t>%.</w:t>
            </w:r>
          </w:p>
          <w:p w14:paraId="7AA11668" w14:textId="77777777" w:rsidR="009261B1" w:rsidRDefault="009261B1" w:rsidP="009261B1">
            <w:pPr>
              <w:pStyle w:val="Normalintable"/>
            </w:pPr>
          </w:p>
          <w:p w14:paraId="10E58394" w14:textId="77777777" w:rsidR="009261B1" w:rsidRDefault="009261B1" w:rsidP="009261B1">
            <w:pPr>
              <w:pStyle w:val="Normalintable"/>
              <w:rPr>
                <w:rFonts w:eastAsia="Arial"/>
              </w:rPr>
            </w:pPr>
            <w:r>
              <w:rPr>
                <w:rFonts w:eastAsia="Arial"/>
              </w:rPr>
              <w:t>Your landlord will notify you each year what this amount will be and tell you the date from which the new rent will be payable.</w:t>
            </w:r>
          </w:p>
          <w:p w14:paraId="4FF5788A" w14:textId="77777777" w:rsidR="009261B1" w:rsidRDefault="009261B1" w:rsidP="009261B1">
            <w:pPr>
              <w:pStyle w:val="Normalintable"/>
              <w:rPr>
                <w:rFonts w:eastAsia="Arial"/>
                <w:u w:val="single"/>
              </w:rPr>
            </w:pPr>
          </w:p>
          <w:p w14:paraId="171E33AE" w14:textId="77777777" w:rsidR="009261B1" w:rsidRDefault="009261B1" w:rsidP="009261B1">
            <w:pPr>
              <w:pStyle w:val="Normalintable"/>
            </w:pPr>
            <w:r>
              <w:t xml:space="preserve">You should expect your rent to go up by the maximum amount possible each year when it is reviewed. </w:t>
            </w:r>
          </w:p>
          <w:p w14:paraId="7CB1631D" w14:textId="77777777" w:rsidR="009261B1" w:rsidRDefault="009261B1" w:rsidP="009261B1">
            <w:pPr>
              <w:pStyle w:val="Normalintable"/>
              <w:rPr>
                <w:rFonts w:eastAsia="Arial"/>
                <w:u w:val="single"/>
              </w:rPr>
            </w:pPr>
          </w:p>
          <w:p w14:paraId="3C34459F" w14:textId="77777777" w:rsidR="009261B1" w:rsidRDefault="009261B1" w:rsidP="009261B1">
            <w:pPr>
              <w:pStyle w:val="Normalintable"/>
            </w:pPr>
            <w:r>
              <w:rPr>
                <w:rFonts w:eastAsia="Arial"/>
                <w:b/>
                <w:bCs/>
              </w:rPr>
              <w:t xml:space="preserve">Example rent increases </w:t>
            </w:r>
          </w:p>
          <w:p w14:paraId="3C5FC8CB" w14:textId="77777777" w:rsidR="009261B1" w:rsidRDefault="009261B1" w:rsidP="009261B1">
            <w:pPr>
              <w:spacing w:before="0" w:after="0"/>
              <w:rPr>
                <w:rFonts w:eastAsia="Arial"/>
              </w:rPr>
            </w:pPr>
          </w:p>
          <w:p w14:paraId="41A6DA07" w14:textId="77777777" w:rsidR="009261B1" w:rsidRDefault="009261B1" w:rsidP="009261B1">
            <w:pPr>
              <w:pStyle w:val="Normalintable"/>
            </w:pPr>
            <w:r>
              <w:t>The example below illustrates how the Rent shown in this document (£[</w:t>
            </w:r>
            <w:r>
              <w:rPr>
                <w:highlight w:val="yellow"/>
              </w:rPr>
              <w:t>600</w:t>
            </w:r>
            <w:r>
              <w:t>] per month) would rise during the first five Review Dates based on an example percentage increase each year of [</w:t>
            </w:r>
            <w:r>
              <w:rPr>
                <w:highlight w:val="yellow"/>
              </w:rPr>
              <w:t>6%*/5%**]</w:t>
            </w:r>
            <w:r>
              <w:t>.</w:t>
            </w:r>
          </w:p>
          <w:p w14:paraId="390726EB" w14:textId="77777777" w:rsidR="009261B1" w:rsidRDefault="009261B1" w:rsidP="009261B1">
            <w:pPr>
              <w:pStyle w:val="Normalintable"/>
            </w:pPr>
          </w:p>
          <w:p w14:paraId="626CE02F" w14:textId="77777777" w:rsidR="009261B1" w:rsidRDefault="009261B1" w:rsidP="009261B1">
            <w:pPr>
              <w:pStyle w:val="Normalintable"/>
              <w:rPr>
                <w:i/>
                <w:iCs/>
                <w:shd w:val="clear" w:color="auto" w:fill="FFFF00"/>
              </w:rPr>
            </w:pPr>
            <w:r>
              <w:rPr>
                <w:i/>
                <w:iCs/>
                <w:shd w:val="clear" w:color="auto" w:fill="FFFF00"/>
              </w:rPr>
              <w:t>*If using RPI, insert the total of 5.5% + the Additional Percentage above (maximum 6%).</w:t>
            </w:r>
          </w:p>
          <w:p w14:paraId="05E14A9D" w14:textId="77777777" w:rsidR="009261B1" w:rsidRDefault="009261B1" w:rsidP="009261B1">
            <w:pPr>
              <w:pStyle w:val="Normalintable"/>
              <w:rPr>
                <w:i/>
                <w:iCs/>
                <w:shd w:val="clear" w:color="auto" w:fill="FFFF00"/>
              </w:rPr>
            </w:pPr>
          </w:p>
          <w:p w14:paraId="2EF80CDA" w14:textId="77777777" w:rsidR="009261B1" w:rsidRDefault="009261B1" w:rsidP="009261B1">
            <w:pPr>
              <w:pStyle w:val="Normalintable"/>
              <w:rPr>
                <w:i/>
                <w:iCs/>
                <w:shd w:val="clear" w:color="auto" w:fill="FFFF00"/>
              </w:rPr>
            </w:pPr>
            <w:r>
              <w:rPr>
                <w:i/>
                <w:iCs/>
                <w:shd w:val="clear" w:color="auto" w:fill="FFFF00"/>
              </w:rPr>
              <w:t xml:space="preserve">**If using CPI, insert the total of 4% + the Additional Percentage above (Max 5% total). </w:t>
            </w:r>
          </w:p>
          <w:p w14:paraId="7D11DA4A" w14:textId="77777777" w:rsidR="009261B1" w:rsidRDefault="009261B1" w:rsidP="009261B1">
            <w:pPr>
              <w:pStyle w:val="Normalintable"/>
              <w:rPr>
                <w:rFonts w:eastAsia="Arial"/>
              </w:rPr>
            </w:pPr>
          </w:p>
          <w:p w14:paraId="30F03395" w14:textId="77777777" w:rsidR="009261B1" w:rsidRDefault="009261B1" w:rsidP="009261B1">
            <w:pPr>
              <w:pStyle w:val="Normalintable"/>
              <w:rPr>
                <w:rFonts w:eastAsia="Arial"/>
              </w:rPr>
            </w:pPr>
            <w:r>
              <w:rPr>
                <w:rFonts w:eastAsia="Arial"/>
              </w:rPr>
              <w:t xml:space="preserve">Please note that the below table is for illustration purposes only, using an example rate increase and the actual </w:t>
            </w:r>
            <w:r>
              <w:rPr>
                <w:rFonts w:eastAsia="Arial"/>
                <w:highlight w:val="yellow"/>
              </w:rPr>
              <w:t>[RPI/CPI]</w:t>
            </w:r>
            <w:r>
              <w:rPr>
                <w:rFonts w:eastAsia="Arial"/>
              </w:rPr>
              <w:t xml:space="preserve"> for the relevant period will be used to calculate your new rent which may be more or less than the percentage shown.</w:t>
            </w:r>
          </w:p>
          <w:p w14:paraId="09F7A7C9" w14:textId="77777777" w:rsidR="009261B1" w:rsidRDefault="009261B1" w:rsidP="009261B1">
            <w:pPr>
              <w:pStyle w:val="Normalintable"/>
              <w:rPr>
                <w:rFonts w:eastAsia="Arial"/>
              </w:rPr>
            </w:pPr>
          </w:p>
          <w:tbl>
            <w:tblPr>
              <w:tblStyle w:val="TableGrid"/>
              <w:tblW w:w="0" w:type="auto"/>
              <w:tblInd w:w="0" w:type="dxa"/>
              <w:tblLook w:val="04A0" w:firstRow="1" w:lastRow="0" w:firstColumn="1" w:lastColumn="0" w:noHBand="0" w:noVBand="1"/>
            </w:tblPr>
            <w:tblGrid>
              <w:gridCol w:w="1417"/>
              <w:gridCol w:w="1417"/>
              <w:gridCol w:w="1417"/>
              <w:gridCol w:w="1417"/>
              <w:gridCol w:w="1417"/>
            </w:tblGrid>
            <w:tr w:rsidR="009261B1" w14:paraId="71ED697B" w14:textId="77777777">
              <w:tc>
                <w:tcPr>
                  <w:tcW w:w="1417" w:type="dxa"/>
                  <w:tcBorders>
                    <w:top w:val="single" w:sz="4" w:space="0" w:color="auto"/>
                    <w:left w:val="single" w:sz="4" w:space="0" w:color="auto"/>
                    <w:bottom w:val="single" w:sz="4" w:space="0" w:color="auto"/>
                    <w:right w:val="single" w:sz="4" w:space="0" w:color="auto"/>
                  </w:tcBorders>
                  <w:hideMark/>
                </w:tcPr>
                <w:p w14:paraId="7CEC7686" w14:textId="77777777" w:rsidR="009261B1" w:rsidRDefault="009261B1" w:rsidP="009261B1">
                  <w:pPr>
                    <w:pStyle w:val="Normalintable"/>
                    <w:rPr>
                      <w:rFonts w:eastAsia="Arial"/>
                      <w:color w:val="000000" w:themeColor="text1"/>
                    </w:rPr>
                  </w:pPr>
                  <w:r>
                    <w:rPr>
                      <w:rFonts w:eastAsia="Arial"/>
                      <w:color w:val="000000" w:themeColor="text1"/>
                    </w:rPr>
                    <w:t>New rent at Year 1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68BEED7" w14:textId="77777777" w:rsidR="009261B1" w:rsidRDefault="009261B1" w:rsidP="009261B1">
                  <w:pPr>
                    <w:pStyle w:val="Normalintable"/>
                    <w:rPr>
                      <w:rFonts w:eastAsia="Arial"/>
                      <w:color w:val="000000" w:themeColor="text1"/>
                    </w:rPr>
                  </w:pPr>
                  <w:r>
                    <w:rPr>
                      <w:rFonts w:eastAsia="Arial"/>
                      <w:color w:val="000000" w:themeColor="text1"/>
                    </w:rPr>
                    <w:t>New rent at Year 2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15660D6" w14:textId="77777777" w:rsidR="009261B1" w:rsidRDefault="009261B1" w:rsidP="009261B1">
                  <w:pPr>
                    <w:pStyle w:val="Normalintable"/>
                    <w:rPr>
                      <w:rFonts w:eastAsia="Arial"/>
                      <w:color w:val="000000" w:themeColor="text1"/>
                    </w:rPr>
                  </w:pPr>
                  <w:r>
                    <w:rPr>
                      <w:rFonts w:eastAsia="Arial"/>
                      <w:color w:val="000000" w:themeColor="text1"/>
                    </w:rPr>
                    <w:t>New rent at Year 3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9CDA418" w14:textId="77777777" w:rsidR="009261B1" w:rsidRDefault="009261B1" w:rsidP="009261B1">
                  <w:pPr>
                    <w:pStyle w:val="Normalintable"/>
                    <w:rPr>
                      <w:rFonts w:eastAsia="Arial"/>
                      <w:color w:val="000000" w:themeColor="text1"/>
                    </w:rPr>
                  </w:pPr>
                  <w:r>
                    <w:rPr>
                      <w:rFonts w:eastAsia="Arial"/>
                      <w:color w:val="000000" w:themeColor="text1"/>
                    </w:rPr>
                    <w:t>New rent at Year 4 Review Date   (applying an example percentage increase of [</w:t>
                  </w:r>
                  <w:r>
                    <w:rPr>
                      <w:rFonts w:eastAsia="Arial"/>
                      <w:color w:val="000000" w:themeColor="text1"/>
                      <w:highlight w:val="yellow"/>
                    </w:rPr>
                    <w:t>6%</w:t>
                  </w:r>
                  <w:r>
                    <w:rPr>
                      <w:rFonts w:eastAsia="Arial"/>
                      <w:color w:val="000000" w:themeColor="text1"/>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211D08F5" w14:textId="77777777" w:rsidR="009261B1" w:rsidRDefault="009261B1" w:rsidP="009261B1">
                  <w:pPr>
                    <w:pStyle w:val="Normalintable"/>
                    <w:rPr>
                      <w:rFonts w:eastAsia="Arial"/>
                      <w:color w:val="000000" w:themeColor="text1"/>
                    </w:rPr>
                  </w:pPr>
                  <w:r>
                    <w:rPr>
                      <w:rFonts w:eastAsia="Arial"/>
                      <w:color w:val="000000" w:themeColor="text1"/>
                    </w:rPr>
                    <w:t>New rent at Year 5 Review Date   (applying an example percentage increase of [</w:t>
                  </w:r>
                  <w:r>
                    <w:rPr>
                      <w:rFonts w:eastAsia="Arial"/>
                      <w:color w:val="000000" w:themeColor="text1"/>
                      <w:highlight w:val="yellow"/>
                    </w:rPr>
                    <w:t>6%</w:t>
                  </w:r>
                  <w:r>
                    <w:rPr>
                      <w:rFonts w:eastAsia="Arial"/>
                      <w:color w:val="000000" w:themeColor="text1"/>
                    </w:rPr>
                    <w:t xml:space="preserve"> ])</w:t>
                  </w:r>
                </w:p>
              </w:tc>
            </w:tr>
            <w:tr w:rsidR="009261B1" w14:paraId="1BD64102" w14:textId="77777777">
              <w:tc>
                <w:tcPr>
                  <w:tcW w:w="1417" w:type="dxa"/>
                  <w:tcBorders>
                    <w:top w:val="single" w:sz="4" w:space="0" w:color="auto"/>
                    <w:left w:val="single" w:sz="4" w:space="0" w:color="auto"/>
                    <w:bottom w:val="single" w:sz="4" w:space="0" w:color="auto"/>
                    <w:right w:val="single" w:sz="4" w:space="0" w:color="auto"/>
                  </w:tcBorders>
                </w:tcPr>
                <w:p w14:paraId="3BF482A7" w14:textId="77777777" w:rsidR="009261B1" w:rsidRDefault="009261B1" w:rsidP="009261B1">
                  <w:pPr>
                    <w:pStyle w:val="Normalintable"/>
                    <w:rPr>
                      <w:rFonts w:eastAsia="Arial"/>
                      <w:highlight w:val="yellow"/>
                    </w:rPr>
                  </w:pPr>
                </w:p>
                <w:p w14:paraId="2E451AF5" w14:textId="77777777" w:rsidR="009261B1" w:rsidRDefault="009261B1" w:rsidP="009261B1">
                  <w:pPr>
                    <w:pStyle w:val="Normalintable"/>
                    <w:rPr>
                      <w:rFonts w:eastAsia="Arial"/>
                      <w:highlight w:val="yellow"/>
                    </w:rPr>
                  </w:pPr>
                  <w:r>
                    <w:rPr>
                      <w:rFonts w:eastAsia="Arial"/>
                      <w:highlight w:val="yellow"/>
                    </w:rPr>
                    <w:t>[£636.00] per month</w:t>
                  </w:r>
                </w:p>
              </w:tc>
              <w:tc>
                <w:tcPr>
                  <w:tcW w:w="1417" w:type="dxa"/>
                  <w:tcBorders>
                    <w:top w:val="single" w:sz="4" w:space="0" w:color="auto"/>
                    <w:left w:val="single" w:sz="4" w:space="0" w:color="auto"/>
                    <w:bottom w:val="single" w:sz="4" w:space="0" w:color="auto"/>
                    <w:right w:val="single" w:sz="4" w:space="0" w:color="auto"/>
                  </w:tcBorders>
                </w:tcPr>
                <w:p w14:paraId="2C27FE20" w14:textId="77777777" w:rsidR="009261B1" w:rsidRDefault="009261B1" w:rsidP="009261B1">
                  <w:pPr>
                    <w:pStyle w:val="Normalintable"/>
                    <w:rPr>
                      <w:rFonts w:eastAsia="Arial"/>
                      <w:highlight w:val="yellow"/>
                    </w:rPr>
                  </w:pPr>
                </w:p>
                <w:p w14:paraId="154CD24B" w14:textId="77777777" w:rsidR="009261B1" w:rsidRDefault="009261B1" w:rsidP="009261B1">
                  <w:pPr>
                    <w:pStyle w:val="Normalintable"/>
                    <w:rPr>
                      <w:rFonts w:eastAsia="Arial"/>
                      <w:highlight w:val="yellow"/>
                    </w:rPr>
                  </w:pPr>
                  <w:r>
                    <w:rPr>
                      <w:rFonts w:eastAsia="Arial"/>
                      <w:highlight w:val="yellow"/>
                    </w:rPr>
                    <w:t>[£674.16] per month</w:t>
                  </w:r>
                </w:p>
              </w:tc>
              <w:tc>
                <w:tcPr>
                  <w:tcW w:w="1417" w:type="dxa"/>
                  <w:tcBorders>
                    <w:top w:val="single" w:sz="4" w:space="0" w:color="auto"/>
                    <w:left w:val="single" w:sz="4" w:space="0" w:color="auto"/>
                    <w:bottom w:val="single" w:sz="4" w:space="0" w:color="auto"/>
                    <w:right w:val="single" w:sz="4" w:space="0" w:color="auto"/>
                  </w:tcBorders>
                </w:tcPr>
                <w:p w14:paraId="3F2C315B" w14:textId="77777777" w:rsidR="009261B1" w:rsidRDefault="009261B1" w:rsidP="009261B1">
                  <w:pPr>
                    <w:pStyle w:val="Normalintable"/>
                    <w:rPr>
                      <w:rFonts w:eastAsia="Arial"/>
                      <w:highlight w:val="yellow"/>
                    </w:rPr>
                  </w:pPr>
                </w:p>
                <w:p w14:paraId="1D6E4D0C" w14:textId="77777777" w:rsidR="009261B1" w:rsidRDefault="009261B1" w:rsidP="009261B1">
                  <w:pPr>
                    <w:pStyle w:val="Normalintable"/>
                    <w:rPr>
                      <w:rFonts w:eastAsia="Arial"/>
                      <w:highlight w:val="yellow"/>
                    </w:rPr>
                  </w:pPr>
                  <w:r>
                    <w:rPr>
                      <w:rFonts w:eastAsia="Arial"/>
                      <w:highlight w:val="yellow"/>
                    </w:rPr>
                    <w:t>[£714.61] per month</w:t>
                  </w:r>
                </w:p>
              </w:tc>
              <w:tc>
                <w:tcPr>
                  <w:tcW w:w="1417" w:type="dxa"/>
                  <w:tcBorders>
                    <w:top w:val="single" w:sz="4" w:space="0" w:color="auto"/>
                    <w:left w:val="single" w:sz="4" w:space="0" w:color="auto"/>
                    <w:bottom w:val="single" w:sz="4" w:space="0" w:color="auto"/>
                    <w:right w:val="single" w:sz="4" w:space="0" w:color="auto"/>
                  </w:tcBorders>
                </w:tcPr>
                <w:p w14:paraId="2B8E88CC" w14:textId="77777777" w:rsidR="009261B1" w:rsidRDefault="009261B1" w:rsidP="009261B1">
                  <w:pPr>
                    <w:pStyle w:val="Normalintable"/>
                    <w:rPr>
                      <w:rFonts w:eastAsia="Arial"/>
                      <w:highlight w:val="yellow"/>
                    </w:rPr>
                  </w:pPr>
                </w:p>
                <w:p w14:paraId="1622BFDF" w14:textId="77777777" w:rsidR="009261B1" w:rsidRDefault="009261B1" w:rsidP="009261B1">
                  <w:pPr>
                    <w:pStyle w:val="Normalintable"/>
                    <w:rPr>
                      <w:rFonts w:eastAsia="Arial"/>
                      <w:highlight w:val="yellow"/>
                    </w:rPr>
                  </w:pPr>
                  <w:r>
                    <w:rPr>
                      <w:rFonts w:eastAsia="Arial"/>
                      <w:highlight w:val="yellow"/>
                    </w:rPr>
                    <w:t>[£757.49] per month</w:t>
                  </w:r>
                </w:p>
              </w:tc>
              <w:tc>
                <w:tcPr>
                  <w:tcW w:w="1417" w:type="dxa"/>
                  <w:tcBorders>
                    <w:top w:val="single" w:sz="4" w:space="0" w:color="auto"/>
                    <w:left w:val="single" w:sz="4" w:space="0" w:color="auto"/>
                    <w:bottom w:val="single" w:sz="4" w:space="0" w:color="auto"/>
                    <w:right w:val="single" w:sz="4" w:space="0" w:color="auto"/>
                  </w:tcBorders>
                </w:tcPr>
                <w:p w14:paraId="4E27859C" w14:textId="77777777" w:rsidR="009261B1" w:rsidRDefault="009261B1" w:rsidP="009261B1">
                  <w:pPr>
                    <w:pStyle w:val="Normalintable"/>
                    <w:rPr>
                      <w:rFonts w:eastAsia="Arial"/>
                      <w:highlight w:val="yellow"/>
                    </w:rPr>
                  </w:pPr>
                </w:p>
                <w:p w14:paraId="5D3D82F8" w14:textId="77777777" w:rsidR="009261B1" w:rsidRDefault="009261B1" w:rsidP="009261B1">
                  <w:pPr>
                    <w:pStyle w:val="Normalintable"/>
                    <w:rPr>
                      <w:rFonts w:eastAsia="Arial"/>
                      <w:highlight w:val="yellow"/>
                    </w:rPr>
                  </w:pPr>
                  <w:r>
                    <w:rPr>
                      <w:rFonts w:eastAsia="Arial"/>
                      <w:highlight w:val="yellow"/>
                    </w:rPr>
                    <w:t>[£802.94] per month</w:t>
                  </w:r>
                </w:p>
              </w:tc>
            </w:tr>
          </w:tbl>
          <w:p w14:paraId="0588A633" w14:textId="77777777" w:rsidR="009261B1" w:rsidRDefault="009261B1" w:rsidP="009261B1">
            <w:pPr>
              <w:pStyle w:val="Normalintable"/>
              <w:rPr>
                <w:rFonts w:eastAsia="Arial"/>
              </w:rPr>
            </w:pPr>
          </w:p>
          <w:p w14:paraId="665C960B" w14:textId="77777777" w:rsidR="009261B1" w:rsidRDefault="009261B1" w:rsidP="009261B1">
            <w:pPr>
              <w:pStyle w:val="Normalintable"/>
              <w:rPr>
                <w:rFonts w:eastAsia="Arial"/>
              </w:rPr>
            </w:pPr>
          </w:p>
          <w:p w14:paraId="20DFB5CE" w14:textId="77777777" w:rsidR="009261B1" w:rsidRDefault="009261B1" w:rsidP="009261B1">
            <w:pPr>
              <w:pStyle w:val="Normalintable"/>
              <w:rPr>
                <w:rFonts w:eastAsia="Arial"/>
              </w:rPr>
            </w:pPr>
          </w:p>
        </w:tc>
      </w:tr>
    </w:tbl>
    <w:p w14:paraId="75C7CB42" w14:textId="77777777" w:rsidR="002B49F5" w:rsidRDefault="002B49F5"/>
    <w:p w14:paraId="0CCD87D5" w14:textId="77777777" w:rsidR="002B49F5" w:rsidRDefault="00395B2F">
      <w:pPr>
        <w:pStyle w:val="Heading2"/>
      </w:pPr>
      <w:r>
        <w:t>Future costs if you buy more shares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5F64E569"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E0BCBD" w14:textId="77777777" w:rsidR="002B49F5" w:rsidRDefault="00395B2F">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3D9A49" w14:textId="62090469" w:rsidR="00EC4747" w:rsidRDefault="003F1EE9">
            <w:pPr>
              <w:pStyle w:val="Normalintable"/>
            </w:pPr>
            <w:r>
              <w:rPr>
                <w:rStyle w:val="normaltextrun"/>
                <w:shd w:val="clear" w:color="auto" w:fill="FFFFFF"/>
              </w:rPr>
              <w:t xml:space="preserve">If you want to buy shares of 5% or more, you'll need to pay for a valuation by a surveyor who is registered with the </w:t>
            </w:r>
            <w:hyperlink r:id="rId12" w:tgtFrame="_blank" w:history="1">
              <w:r>
                <w:rPr>
                  <w:rStyle w:val="normaltextrun"/>
                  <w:color w:val="0563C1"/>
                  <w:u w:val="single"/>
                  <w:shd w:val="clear" w:color="auto" w:fill="FFFFFF"/>
                </w:rPr>
                <w:t>Royal Institution of Chartered Surveyors</w:t>
              </w:r>
            </w:hyperlink>
            <w:r>
              <w:rPr>
                <w:rStyle w:val="normaltextrun"/>
                <w:shd w:val="clear" w:color="auto" w:fill="FFFFFF"/>
              </w:rPr>
              <w:t xml:space="preserve"> (RICS). The estimated current cost is £</w:t>
            </w:r>
            <w:r>
              <w:rPr>
                <w:rStyle w:val="normaltextrun"/>
                <w:shd w:val="clear" w:color="auto" w:fill="FFFF00"/>
              </w:rPr>
              <w:t>___</w:t>
            </w:r>
            <w:r>
              <w:rPr>
                <w:rStyle w:val="normaltextrun"/>
                <w:shd w:val="clear" w:color="auto" w:fill="FFFFFF"/>
              </w:rPr>
              <w:t>.</w:t>
            </w:r>
            <w:r>
              <w:rPr>
                <w:rStyle w:val="eop"/>
                <w:color w:val="000000"/>
                <w:shd w:val="clear" w:color="auto" w:fill="FFFFFF"/>
              </w:rPr>
              <w:t> </w:t>
            </w:r>
          </w:p>
          <w:p w14:paraId="0D55D546" w14:textId="77777777" w:rsidR="002B49F5" w:rsidRDefault="002B49F5">
            <w:pPr>
              <w:pStyle w:val="Normalintable"/>
            </w:pPr>
          </w:p>
          <w:p w14:paraId="30E397FA" w14:textId="77777777" w:rsidR="002B49F5" w:rsidRDefault="00395B2F">
            <w:pPr>
              <w:pStyle w:val="Normalintable"/>
            </w:pPr>
            <w:r>
              <w:rPr>
                <w:i/>
                <w:iCs/>
                <w:shd w:val="clear" w:color="auto" w:fill="FFFF00"/>
              </w:rPr>
              <w:t>State who needs to arrange the valuation (please refer to the Capital Funding Guide for more information on shared ownership valuation requirements).</w:t>
            </w:r>
          </w:p>
          <w:p w14:paraId="264A187B" w14:textId="77777777" w:rsidR="002B49F5" w:rsidRDefault="002B49F5">
            <w:pPr>
              <w:pStyle w:val="Normalintable"/>
            </w:pPr>
          </w:p>
          <w:p w14:paraId="0399E52E" w14:textId="77777777" w:rsidR="002B49F5" w:rsidRDefault="00395B2F">
            <w:pPr>
              <w:pStyle w:val="Normalintable"/>
            </w:pPr>
            <w:r>
              <w:rPr>
                <w:shd w:val="clear" w:color="auto" w:fill="FFFF00"/>
              </w:rPr>
              <w:t>You/the landlord</w:t>
            </w:r>
            <w:r>
              <w:t xml:space="preserve"> will need to arrange the valuation.</w:t>
            </w:r>
          </w:p>
          <w:p w14:paraId="41F9B58E" w14:textId="77777777" w:rsidR="002B49F5" w:rsidRDefault="002B49F5">
            <w:pPr>
              <w:pStyle w:val="Normalintable"/>
            </w:pPr>
          </w:p>
          <w:p w14:paraId="599EF9D5" w14:textId="77777777" w:rsidR="002877CD" w:rsidRDefault="00395B2F" w:rsidP="002877CD">
            <w:pPr>
              <w:pStyle w:val="Normalintable"/>
            </w:pPr>
            <w:r>
              <w:t xml:space="preserve">If you need to arrange the valuation, you can </w:t>
            </w:r>
            <w:hyperlink r:id="rId13" w:history="1">
              <w:r w:rsidR="002877CD">
                <w:rPr>
                  <w:rStyle w:val="Hyperlink"/>
                </w:rPr>
                <w:t>find a registered surveyor on the RICS website</w:t>
              </w:r>
            </w:hyperlink>
            <w:r w:rsidR="002877CD">
              <w:t>.</w:t>
            </w:r>
          </w:p>
          <w:p w14:paraId="3B3B9435" w14:textId="77777777" w:rsidR="002B49F5" w:rsidRDefault="002B49F5">
            <w:pPr>
              <w:pStyle w:val="Normalintable"/>
            </w:pPr>
          </w:p>
          <w:p w14:paraId="77B19469" w14:textId="77777777" w:rsidR="002B49F5" w:rsidRDefault="00395B2F">
            <w:pPr>
              <w:pStyle w:val="Normalintable"/>
            </w:pPr>
            <w:r>
              <w:t xml:space="preserve">The price of a 1% share is based on the original full market value adjusted up or down each year in line with the House Price Index (HPI). You'll receive an HPI valuation at least once a year. You or the landlord can choose to use a RICS valuation instead of HPI. The party who chooses to instruct a RICS surveyor pays for the cost of the valuation. </w:t>
            </w:r>
          </w:p>
          <w:p w14:paraId="72977435" w14:textId="77777777" w:rsidR="002B49F5" w:rsidRDefault="002B49F5">
            <w:pPr>
              <w:pStyle w:val="Normalintable"/>
            </w:pPr>
          </w:p>
          <w:p w14:paraId="3751FD08" w14:textId="77777777" w:rsidR="002B49F5" w:rsidRDefault="00395B2F">
            <w:pPr>
              <w:pStyle w:val="Normalintable"/>
            </w:pPr>
            <w:r>
              <w:t>For more information, see section 6, ‘Buying more shares’, in the 'Key information about shared ownership' document.</w:t>
            </w:r>
          </w:p>
        </w:tc>
      </w:tr>
      <w:tr w:rsidR="002B49F5" w14:paraId="28078142"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C1CE41" w14:textId="1BA0B9DC" w:rsidR="002B49F5" w:rsidRDefault="00395B2F">
            <w:pPr>
              <w:pStyle w:val="Normalintable"/>
              <w:rPr>
                <w:b/>
                <w:bCs/>
              </w:rPr>
            </w:pPr>
            <w:r>
              <w:rPr>
                <w:b/>
                <w:bCs/>
              </w:rPr>
              <w:t>Share purchase admin</w:t>
            </w:r>
            <w:r w:rsidR="0054443C">
              <w:rPr>
                <w:b/>
                <w:bCs/>
              </w:rPr>
              <w:t>istration</w:t>
            </w:r>
            <w:r>
              <w:rPr>
                <w:b/>
                <w:bCs/>
              </w:rPr>
              <w:t xml:space="preserve">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1256AC" w14:textId="7CF026BE" w:rsidR="002B49F5" w:rsidRDefault="00395B2F">
            <w:pPr>
              <w:pStyle w:val="Normalintable"/>
            </w:pPr>
            <w:r>
              <w:rPr>
                <w:i/>
                <w:iCs/>
                <w:shd w:val="clear" w:color="auto" w:fill="FFFF00"/>
              </w:rPr>
              <w:t>Enter your admin</w:t>
            </w:r>
            <w:r w:rsidR="003C6E08">
              <w:rPr>
                <w:i/>
                <w:iCs/>
                <w:shd w:val="clear" w:color="auto" w:fill="FFFF00"/>
              </w:rPr>
              <w:t>istration</w:t>
            </w:r>
            <w:r>
              <w:rPr>
                <w:i/>
                <w:iCs/>
                <w:shd w:val="clear" w:color="auto" w:fill="FFFF00"/>
              </w:rPr>
              <w:t xml:space="preserve"> fee for staircasing transactions of 5% or more. If you do not charge a fee, state this. For example:</w:t>
            </w:r>
          </w:p>
          <w:p w14:paraId="4493F421" w14:textId="77777777" w:rsidR="002B49F5" w:rsidRDefault="002B49F5">
            <w:pPr>
              <w:pStyle w:val="Normalintable"/>
            </w:pPr>
          </w:p>
          <w:p w14:paraId="6D3C867E" w14:textId="77777777" w:rsidR="00B479BA" w:rsidRDefault="00395B2F">
            <w:pPr>
              <w:pStyle w:val="Normalintable"/>
            </w:pPr>
            <w:r>
              <w:t>The administration fee for buying more shares will be</w:t>
            </w:r>
            <w:r w:rsidR="00B479BA">
              <w:t>:</w:t>
            </w:r>
          </w:p>
          <w:p w14:paraId="341676DA" w14:textId="77777777" w:rsidR="004F4513" w:rsidRDefault="004F4513">
            <w:pPr>
              <w:pStyle w:val="Normalintable"/>
            </w:pPr>
          </w:p>
          <w:p w14:paraId="7B096256" w14:textId="341EED34" w:rsidR="002B49F5" w:rsidRDefault="00395B2F">
            <w:pPr>
              <w:pStyle w:val="Normalintable"/>
            </w:pPr>
            <w:r>
              <w:t>Buy shares of 1% - no admin</w:t>
            </w:r>
            <w:r w:rsidR="00925EB8">
              <w:t>istration</w:t>
            </w:r>
            <w:r>
              <w:t xml:space="preserve"> fee.</w:t>
            </w:r>
          </w:p>
          <w:p w14:paraId="320E80F8" w14:textId="77777777" w:rsidR="002B49F5" w:rsidRDefault="002B49F5">
            <w:pPr>
              <w:pStyle w:val="Normalintable"/>
            </w:pPr>
          </w:p>
          <w:p w14:paraId="71766A28" w14:textId="77777777" w:rsidR="002B49F5" w:rsidRDefault="00395B2F">
            <w:pPr>
              <w:pStyle w:val="Normalintable"/>
            </w:pPr>
            <w:r>
              <w:t>Buy shares of 5% or more - £</w:t>
            </w:r>
            <w:r>
              <w:rPr>
                <w:shd w:val="clear" w:color="auto" w:fill="FFFF00"/>
              </w:rPr>
              <w:t>___</w:t>
            </w:r>
          </w:p>
          <w:p w14:paraId="66D365FB" w14:textId="77777777" w:rsidR="002B49F5" w:rsidRDefault="002B49F5">
            <w:pPr>
              <w:pStyle w:val="Normalintable"/>
            </w:pPr>
          </w:p>
          <w:p w14:paraId="56FC4C49" w14:textId="77777777" w:rsidR="002B49F5" w:rsidRDefault="00395B2F">
            <w:pPr>
              <w:pStyle w:val="Normalintable"/>
            </w:pPr>
            <w:r>
              <w:t>You cannot buy shares of 2%, 3% or 4%.</w:t>
            </w:r>
          </w:p>
        </w:tc>
      </w:tr>
      <w:tr w:rsidR="002B49F5" w14:paraId="34229431"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F69AAA" w14:textId="214F7CBF" w:rsidR="002B49F5" w:rsidRDefault="00395B2F">
            <w:pPr>
              <w:pStyle w:val="Normalintable"/>
              <w:rPr>
                <w:b/>
                <w:bCs/>
              </w:rPr>
            </w:pPr>
            <w:r>
              <w:rPr>
                <w:b/>
                <w:bCs/>
              </w:rPr>
              <w:lastRenderedPageBreak/>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45CA2" w14:textId="77777777" w:rsidR="00FD3AC5" w:rsidRDefault="00395B2F">
            <w:pPr>
              <w:pStyle w:val="Normalintable"/>
            </w:pPr>
            <w:r>
              <w:t xml:space="preserve">If you require legal advice when buying more shares, you are responsible for paying your own legal fees. Regardless of whether you require legal advice, it is likely that your mortgage lender will require you to instruct a suitably qualified legal adviser if you are borrowing money to fund any purchase of additional shares. </w:t>
            </w:r>
          </w:p>
          <w:p w14:paraId="736F19FE" w14:textId="77777777" w:rsidR="00FD3AC5" w:rsidRDefault="00FD3AC5">
            <w:pPr>
              <w:pStyle w:val="Normalintable"/>
            </w:pPr>
          </w:p>
          <w:p w14:paraId="099855DC" w14:textId="036276AA" w:rsidR="002B49F5" w:rsidRDefault="00395B2F">
            <w:pPr>
              <w:pStyle w:val="Normalintable"/>
            </w:pPr>
            <w:r>
              <w:t>The landlord is responsible for paying their own legal fees related to share purchase transactions.</w:t>
            </w:r>
          </w:p>
        </w:tc>
      </w:tr>
    </w:tbl>
    <w:p w14:paraId="2D9BE947" w14:textId="77777777" w:rsidR="002B49F5" w:rsidRDefault="002B49F5"/>
    <w:p w14:paraId="51511B97" w14:textId="77777777" w:rsidR="002B49F5" w:rsidRDefault="00395B2F">
      <w:pPr>
        <w:pStyle w:val="Heading2"/>
      </w:pPr>
      <w:r>
        <w:t>Future costs if you sell your home</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6D1318D4"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9C3EAE" w14:textId="77777777" w:rsidR="002B49F5" w:rsidRDefault="00395B2F">
            <w:pPr>
              <w:pStyle w:val="Normalintable"/>
              <w:rPr>
                <w:b/>
                <w:bCs/>
              </w:rPr>
            </w:pPr>
            <w:r>
              <w:rPr>
                <w:b/>
                <w:bCs/>
              </w:rPr>
              <w:t>Landlord's current selling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1D7659" w14:textId="360B5A04" w:rsidR="0013045B" w:rsidRDefault="00C21A92">
            <w:pPr>
              <w:pStyle w:val="Normalintable"/>
            </w:pPr>
            <w:r>
              <w:rPr>
                <w:i/>
                <w:iCs/>
                <w:shd w:val="clear" w:color="auto" w:fill="FFFF00"/>
              </w:rPr>
              <w:t>Enter your resales admin</w:t>
            </w:r>
            <w:r w:rsidR="00E32525">
              <w:rPr>
                <w:i/>
                <w:iCs/>
                <w:shd w:val="clear" w:color="auto" w:fill="FFFF00"/>
              </w:rPr>
              <w:t>istration</w:t>
            </w:r>
            <w:r>
              <w:rPr>
                <w:i/>
                <w:iCs/>
                <w:shd w:val="clear" w:color="auto" w:fill="FFFF00"/>
              </w:rPr>
              <w:t xml:space="preserve"> fee. Delete as appropriate. </w:t>
            </w:r>
          </w:p>
          <w:p w14:paraId="3D5205B4" w14:textId="77777777" w:rsidR="0013045B" w:rsidRDefault="00000000">
            <w:pPr>
              <w:pStyle w:val="Normalintable"/>
            </w:pPr>
          </w:p>
          <w:p w14:paraId="0EB1AE46" w14:textId="77777777" w:rsidR="002B49F5" w:rsidRDefault="00395B2F">
            <w:pPr>
              <w:pStyle w:val="Normalintable"/>
            </w:pPr>
            <w:r>
              <w:t>£</w:t>
            </w:r>
            <w:r>
              <w:rPr>
                <w:shd w:val="clear" w:color="auto" w:fill="FFFF00"/>
              </w:rPr>
              <w:t>___</w:t>
            </w:r>
          </w:p>
          <w:p w14:paraId="51776BC6" w14:textId="77777777" w:rsidR="0013045B" w:rsidRDefault="00C21A92">
            <w:pPr>
              <w:pStyle w:val="Normalintable"/>
            </w:pPr>
            <w:r>
              <w:rPr>
                <w:shd w:val="clear" w:color="auto" w:fill="FFFF00"/>
              </w:rPr>
              <w:t xml:space="preserve">___% </w:t>
            </w:r>
            <w:r>
              <w:t xml:space="preserve">of the </w:t>
            </w:r>
            <w:r>
              <w:rPr>
                <w:shd w:val="clear" w:color="auto" w:fill="FFFF00"/>
              </w:rPr>
              <w:t xml:space="preserve">share/market </w:t>
            </w:r>
            <w:r>
              <w:t>value</w:t>
            </w:r>
            <w:r>
              <w:rPr>
                <w:shd w:val="clear" w:color="auto" w:fill="FFFF00"/>
              </w:rPr>
              <w:t>(</w:t>
            </w:r>
            <w:r>
              <w:rPr>
                <w:i/>
                <w:iCs/>
                <w:shd w:val="clear" w:color="auto" w:fill="FFFF00"/>
              </w:rPr>
              <w:t>Delete as applicable)</w:t>
            </w:r>
          </w:p>
          <w:p w14:paraId="6D6E7B8B" w14:textId="77777777" w:rsidR="0013045B" w:rsidRDefault="00C21A92">
            <w:pPr>
              <w:pStyle w:val="Normalintable"/>
            </w:pPr>
            <w:r>
              <w:t xml:space="preserve">This will be subject to change in the future. </w:t>
            </w:r>
            <w:r>
              <w:rPr>
                <w:shd w:val="clear" w:color="auto" w:fill="FFFF00"/>
              </w:rPr>
              <w:t>(</w:t>
            </w:r>
            <w:r>
              <w:rPr>
                <w:i/>
                <w:iCs/>
                <w:shd w:val="clear" w:color="auto" w:fill="FFFF00"/>
              </w:rPr>
              <w:t>Delete if the fee will remain fixed)</w:t>
            </w:r>
          </w:p>
          <w:p w14:paraId="428683EC" w14:textId="77777777" w:rsidR="0013045B" w:rsidRDefault="00000000">
            <w:pPr>
              <w:pStyle w:val="Normalintable"/>
            </w:pPr>
          </w:p>
          <w:p w14:paraId="3D7FDB76" w14:textId="77777777" w:rsidR="0013045B" w:rsidRDefault="00C21A92">
            <w:pPr>
              <w:pStyle w:val="Normalintable"/>
            </w:pPr>
            <w:r>
              <w:t>Your landlord may charge a fee for marketing and finding a buyer for your home when you sell. If they do not find a buyer, this will not apply.</w:t>
            </w:r>
          </w:p>
        </w:tc>
      </w:tr>
      <w:tr w:rsidR="002B49F5" w14:paraId="19BCAD0D"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AC6A7D" w14:textId="77777777" w:rsidR="002B49F5" w:rsidRDefault="00395B2F">
            <w:pPr>
              <w:pStyle w:val="Normalintable"/>
              <w:rPr>
                <w:b/>
                <w:bCs/>
              </w:rPr>
            </w:pPr>
            <w:r>
              <w:rPr>
                <w:b/>
                <w:bCs/>
              </w:rPr>
              <w:t>Estate agent's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17DFF6C" w14:textId="308EEC47" w:rsidR="002B49F5" w:rsidRDefault="00395B2F">
            <w:pPr>
              <w:pStyle w:val="Normalintable"/>
            </w:pPr>
            <w:r>
              <w:t>You will only pay this if you use an estate agent. You can usually negotiate their fee. You can normally only choose to use an estate agent when the Landlord’s nomination period has ended.</w:t>
            </w:r>
            <w:r>
              <w:rPr>
                <w:b/>
                <w:bCs/>
              </w:rPr>
              <w:t xml:space="preserve"> </w:t>
            </w:r>
            <w:r>
              <w:t>See the ‘Landlord’s nomination period’ section of the ‘Key information about your home’ document for more information.</w:t>
            </w:r>
          </w:p>
        </w:tc>
      </w:tr>
      <w:tr w:rsidR="002B49F5" w14:paraId="1FD482C2"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64784E4" w14:textId="01717D70" w:rsidR="002B49F5" w:rsidRDefault="00395B2F">
            <w:pPr>
              <w:pStyle w:val="Normalintable"/>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C20F5F" w14:textId="77777777" w:rsidR="002B49F5" w:rsidRDefault="00395B2F">
            <w:pPr>
              <w:pStyle w:val="Normalintable"/>
            </w:pPr>
            <w:r>
              <w:t>You are responsible for seeking legal advice when you sell your home. You will need to pay your legal fees.</w:t>
            </w:r>
          </w:p>
        </w:tc>
      </w:tr>
      <w:tr w:rsidR="002B49F5" w14:paraId="4B94A884"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A91EC0" w14:textId="77777777" w:rsidR="002B49F5" w:rsidRDefault="00395B2F">
            <w:pPr>
              <w:pStyle w:val="Normalintable"/>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614C6D" w14:textId="77777777" w:rsidR="00243F6E" w:rsidRDefault="00395B2F">
            <w:pPr>
              <w:pStyle w:val="Normalintable"/>
              <w:rPr>
                <w:i/>
                <w:iCs/>
                <w:shd w:val="clear" w:color="auto" w:fill="FFFF00"/>
              </w:rPr>
            </w:pPr>
            <w:r>
              <w:rPr>
                <w:i/>
                <w:iCs/>
                <w:shd w:val="clear" w:color="auto" w:fill="FFFF00"/>
              </w:rPr>
              <w:t>State who needs to arrange the valuation (please refer to the Capital Funding Guide for more information on shared ownership valuation requirements).</w:t>
            </w:r>
          </w:p>
          <w:p w14:paraId="730F83E3" w14:textId="77777777" w:rsidR="00243F6E" w:rsidRDefault="00243F6E">
            <w:pPr>
              <w:pStyle w:val="Normalintable"/>
              <w:rPr>
                <w:i/>
                <w:iCs/>
                <w:shd w:val="clear" w:color="auto" w:fill="FFFF00"/>
              </w:rPr>
            </w:pPr>
          </w:p>
          <w:p w14:paraId="110D702A" w14:textId="71100F92" w:rsidR="002B49F5" w:rsidRDefault="00395B2F">
            <w:pPr>
              <w:pStyle w:val="Normalintable"/>
            </w:pPr>
            <w:r>
              <w:rPr>
                <w:shd w:val="clear" w:color="auto" w:fill="FFFF00"/>
              </w:rPr>
              <w:t xml:space="preserve">You/the </w:t>
            </w:r>
            <w:r>
              <w:t>landlord will arrange the valuation from a surveyor who is registered with the Royal Institution of Chartered Surveyors (RICS). You are responsible for paying the cost.</w:t>
            </w:r>
          </w:p>
        </w:tc>
      </w:tr>
    </w:tbl>
    <w:p w14:paraId="21119EB4" w14:textId="77777777" w:rsidR="002B49F5" w:rsidRDefault="002B49F5"/>
    <w:p w14:paraId="3C02358F" w14:textId="77777777" w:rsidR="0013045B" w:rsidRDefault="00C21A92">
      <w:pPr>
        <w:keepLines w:val="0"/>
        <w:spacing w:before="0" w:after="0"/>
      </w:pPr>
      <w:r>
        <w:rPr>
          <w:rStyle w:val="normaltextrun"/>
          <w:b/>
          <w:bCs/>
          <w:sz w:val="32"/>
          <w:szCs w:val="32"/>
        </w:rPr>
        <w:t>Future costs if you need to extend your lease term</w:t>
      </w:r>
      <w:r>
        <w:rPr>
          <w:rStyle w:val="eop"/>
          <w:sz w:val="32"/>
          <w:szCs w:val="32"/>
          <w:shd w:val="clear" w:color="auto" w:fill="FFFFFF"/>
        </w:rPr>
        <w:t> </w:t>
      </w:r>
    </w:p>
    <w:p w14:paraId="3BCD8471" w14:textId="77777777" w:rsidR="0013045B" w:rsidRDefault="00000000">
      <w:pPr>
        <w:keepLines w:val="0"/>
        <w:spacing w:before="0" w:after="0"/>
        <w:rPr>
          <w:rFonts w:eastAsia="Times New Roman"/>
          <w:lang w:eastAsia="en-GB"/>
        </w:rPr>
      </w:pPr>
    </w:p>
    <w:p w14:paraId="565EC68E" w14:textId="77777777" w:rsidR="0013045B" w:rsidRDefault="00C21A92">
      <w:pPr>
        <w:keepLines w:val="0"/>
        <w:spacing w:before="0" w:after="0"/>
      </w:pPr>
      <w:r>
        <w:rPr>
          <w:rFonts w:eastAsia="Times New Roman"/>
          <w:color w:val="000000"/>
          <w:lang w:eastAsia="en-GB"/>
        </w:rPr>
        <w:t>All shared ownership homes are sold as leasehold, even houses</w:t>
      </w:r>
      <w:r>
        <w:rPr>
          <w:rFonts w:eastAsia="Times New Roman"/>
          <w:lang w:eastAsia="en-GB"/>
        </w:rPr>
        <w:t xml:space="preserve">. You may need to </w:t>
      </w:r>
    </w:p>
    <w:p w14:paraId="0CF417D2" w14:textId="77777777" w:rsidR="0013045B" w:rsidRDefault="00C21A92">
      <w:pPr>
        <w:keepLines w:val="0"/>
        <w:spacing w:before="0" w:after="0"/>
        <w:rPr>
          <w:rFonts w:eastAsia="Times New Roman"/>
          <w:lang w:eastAsia="en-GB"/>
        </w:rPr>
      </w:pPr>
      <w:r>
        <w:rPr>
          <w:rFonts w:eastAsia="Times New Roman"/>
          <w:lang w:eastAsia="en-GB"/>
        </w:rPr>
        <w:t>extend the term of your lease. This is because a short lease can affect the value of your home and can make it more difficult to sell or get a mortgage on the home. A short lease is generally considered as one with 80 years or less left on the term, although different lenders have different criteria. It can be significantly more expensive to extend a short lease.  </w:t>
      </w:r>
    </w:p>
    <w:p w14:paraId="0B428BCA" w14:textId="77777777" w:rsidR="0013045B" w:rsidRDefault="00000000">
      <w:pPr>
        <w:keepLines w:val="0"/>
        <w:spacing w:before="0" w:after="0"/>
        <w:rPr>
          <w:rFonts w:eastAsia="Times New Roman"/>
          <w:lang w:eastAsia="en-GB"/>
        </w:rPr>
      </w:pPr>
    </w:p>
    <w:tbl>
      <w:tblPr>
        <w:tblW w:w="9490" w:type="dxa"/>
        <w:tblCellMar>
          <w:left w:w="10" w:type="dxa"/>
          <w:right w:w="10" w:type="dxa"/>
        </w:tblCellMar>
        <w:tblLook w:val="0000" w:firstRow="0" w:lastRow="0" w:firstColumn="0" w:lastColumn="0" w:noHBand="0" w:noVBand="0"/>
      </w:tblPr>
      <w:tblGrid>
        <w:gridCol w:w="3536"/>
        <w:gridCol w:w="5954"/>
      </w:tblGrid>
      <w:tr w:rsidR="0013045B" w14:paraId="2847FB04" w14:textId="77777777" w:rsidTr="003C1D2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F97637" w14:textId="77777777" w:rsidR="0013045B" w:rsidRDefault="00C21A92">
            <w:pPr>
              <w:keepLines w:val="0"/>
              <w:spacing w:before="0" w:after="0"/>
            </w:pPr>
            <w:r>
              <w:rPr>
                <w:rFonts w:eastAsia="Times New Roman"/>
                <w:b/>
                <w:bCs/>
                <w:lang w:eastAsia="en-GB"/>
              </w:rPr>
              <w:t>Lease term</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38C771" w14:textId="77777777" w:rsidR="0013045B" w:rsidRDefault="00C21A92">
            <w:pPr>
              <w:keepLines w:val="0"/>
              <w:spacing w:before="0" w:after="0"/>
            </w:pPr>
            <w:r>
              <w:rPr>
                <w:rFonts w:eastAsia="Times New Roman"/>
                <w:shd w:val="clear" w:color="auto" w:fill="FFFF00"/>
                <w:lang w:eastAsia="en-GB"/>
              </w:rPr>
              <w:t xml:space="preserve"> ___ years</w:t>
            </w:r>
            <w:r>
              <w:rPr>
                <w:rFonts w:eastAsia="Times New Roman"/>
                <w:lang w:eastAsia="en-GB"/>
              </w:rPr>
              <w:t> </w:t>
            </w:r>
          </w:p>
        </w:tc>
      </w:tr>
      <w:tr w:rsidR="0013045B" w14:paraId="3D13BBCF" w14:textId="77777777" w:rsidTr="003C1D2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758E6F" w14:textId="77777777" w:rsidR="0013045B" w:rsidRDefault="00C21A92">
            <w:pPr>
              <w:keepLines w:val="0"/>
              <w:spacing w:before="0" w:after="0"/>
            </w:pPr>
            <w:r>
              <w:rPr>
                <w:rFonts w:eastAsia="Times New Roman"/>
                <w:b/>
                <w:bCs/>
                <w:lang w:eastAsia="en-GB"/>
              </w:rPr>
              <w:t>Maximum share you can own</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E62B30" w14:textId="77777777" w:rsidR="0013045B" w:rsidRDefault="00C21A92">
            <w:pPr>
              <w:keepLines w:val="0"/>
              <w:spacing w:before="0" w:after="0"/>
              <w:rPr>
                <w:rFonts w:eastAsia="Times New Roman"/>
                <w:lang w:eastAsia="en-GB"/>
              </w:rPr>
            </w:pPr>
            <w:r>
              <w:rPr>
                <w:rFonts w:eastAsia="Times New Roman"/>
                <w:lang w:eastAsia="en-GB"/>
              </w:rPr>
              <w:t>You can buy up to 100% of your home. </w:t>
            </w:r>
          </w:p>
        </w:tc>
      </w:tr>
      <w:tr w:rsidR="0013045B" w14:paraId="0323C054" w14:textId="77777777" w:rsidTr="003C1D23">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18D947" w14:textId="77777777" w:rsidR="0013045B" w:rsidRDefault="00C21A92">
            <w:pPr>
              <w:keepLines w:val="0"/>
              <w:spacing w:before="0" w:after="0"/>
            </w:pPr>
            <w:r>
              <w:rPr>
                <w:rFonts w:eastAsia="Times New Roman"/>
                <w:b/>
                <w:bCs/>
                <w:lang w:eastAsia="en-GB"/>
              </w:rPr>
              <w:t>Transfer of freehold</w:t>
            </w:r>
            <w:r>
              <w:rPr>
                <w:rFonts w:eastAsia="Times New Roman"/>
                <w:lang w:eastAsia="en-GB"/>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8FC94A" w14:textId="77777777" w:rsidR="0013045B" w:rsidRDefault="00C21A92">
            <w:pPr>
              <w:keepLines w:val="0"/>
              <w:spacing w:before="0" w:after="0"/>
              <w:rPr>
                <w:rFonts w:eastAsia="Times New Roman"/>
                <w:lang w:eastAsia="en-GB"/>
              </w:rPr>
            </w:pPr>
            <w:r>
              <w:rPr>
                <w:rFonts w:eastAsia="Times New Roman"/>
                <w:lang w:eastAsia="en-GB"/>
              </w:rPr>
              <w:t xml:space="preserve">At 100% ownership, the freehold </w:t>
            </w:r>
            <w:r w:rsidRPr="00C85AEA">
              <w:rPr>
                <w:rFonts w:eastAsia="Times New Roman"/>
                <w:highlight w:val="yellow"/>
                <w:lang w:eastAsia="en-GB"/>
              </w:rPr>
              <w:t>will</w:t>
            </w:r>
            <w:r w:rsidR="005C34BB" w:rsidRPr="00C85AEA">
              <w:rPr>
                <w:rFonts w:eastAsia="Times New Roman"/>
                <w:highlight w:val="yellow"/>
                <w:lang w:eastAsia="en-GB"/>
              </w:rPr>
              <w:t>/will not</w:t>
            </w:r>
            <w:r>
              <w:rPr>
                <w:rFonts w:eastAsia="Times New Roman"/>
                <w:lang w:eastAsia="en-GB"/>
              </w:rPr>
              <w:t xml:space="preserve"> transfer to you. </w:t>
            </w:r>
          </w:p>
          <w:p w14:paraId="50F3635C" w14:textId="77777777" w:rsidR="005C34BB" w:rsidRDefault="005C34BB">
            <w:pPr>
              <w:keepLines w:val="0"/>
              <w:spacing w:before="0" w:after="0"/>
              <w:rPr>
                <w:rFonts w:eastAsia="Times New Roman"/>
                <w:lang w:eastAsia="en-GB"/>
              </w:rPr>
            </w:pPr>
          </w:p>
          <w:p w14:paraId="095453E9" w14:textId="28389945" w:rsidR="005C34BB" w:rsidRDefault="00C40ECF">
            <w:pPr>
              <w:keepLines w:val="0"/>
              <w:spacing w:before="0" w:after="0"/>
              <w:rPr>
                <w:rFonts w:eastAsia="Times New Roman"/>
                <w:lang w:eastAsia="en-GB"/>
              </w:rPr>
            </w:pPr>
            <w:r>
              <w:rPr>
                <w:rFonts w:eastAsia="Times New Roman"/>
                <w:lang w:eastAsia="en-GB"/>
              </w:rPr>
              <w:t>S</w:t>
            </w:r>
            <w:r w:rsidR="004A441C" w:rsidRPr="004A441C">
              <w:rPr>
                <w:rFonts w:eastAsia="Times New Roman"/>
                <w:lang w:eastAsia="en-GB"/>
              </w:rPr>
              <w:t>ee section `Transfer of Freehold' in the `Key information about the home' document</w:t>
            </w:r>
            <w:r w:rsidR="00D36283">
              <w:rPr>
                <w:rFonts w:eastAsia="Times New Roman"/>
                <w:lang w:eastAsia="en-GB"/>
              </w:rPr>
              <w:t xml:space="preserve"> for more information</w:t>
            </w:r>
            <w:r w:rsidR="004A441C" w:rsidRPr="004A441C">
              <w:rPr>
                <w:rFonts w:eastAsia="Times New Roman"/>
                <w:lang w:eastAsia="en-GB"/>
              </w:rPr>
              <w:t>.</w:t>
            </w:r>
          </w:p>
        </w:tc>
      </w:tr>
    </w:tbl>
    <w:p w14:paraId="0D961037" w14:textId="77777777" w:rsidR="00D60B1C" w:rsidRDefault="00D60B1C"/>
    <w:p w14:paraId="50F8BC36" w14:textId="77777777" w:rsidR="0013045B" w:rsidRDefault="00C21A92">
      <w:pPr>
        <w:keepLines w:val="0"/>
        <w:spacing w:before="0" w:after="0"/>
        <w:rPr>
          <w:rFonts w:eastAsia="Times New Roman"/>
          <w:lang w:eastAsia="en-GB"/>
        </w:rPr>
      </w:pPr>
      <w:r>
        <w:rPr>
          <w:rFonts w:eastAsia="Times New Roman"/>
          <w:lang w:eastAsia="en-GB"/>
        </w:rPr>
        <w:t>Shared owners who own less than 100% of their home do not currently have a legal right to extend their lease term. Your landlord will confirm their policy on lease extensions for shared owners including how they apportion costs. </w:t>
      </w:r>
    </w:p>
    <w:p w14:paraId="7159573B" w14:textId="77777777" w:rsidR="0013045B" w:rsidRDefault="00000000">
      <w:pPr>
        <w:keepLines w:val="0"/>
        <w:spacing w:before="0" w:after="0"/>
        <w:rPr>
          <w:rFonts w:eastAsia="Times New Roman"/>
          <w:lang w:eastAsia="en-GB"/>
        </w:rPr>
      </w:pPr>
    </w:p>
    <w:p w14:paraId="0B7456B1" w14:textId="77777777" w:rsidR="0013045B" w:rsidRDefault="00C21A92">
      <w:pPr>
        <w:keepLines w:val="0"/>
        <w:spacing w:before="0" w:after="0"/>
      </w:pPr>
      <w:r>
        <w:rPr>
          <w:rFonts w:eastAsia="Times New Roman"/>
          <w:lang w:eastAsia="en-GB"/>
        </w:rPr>
        <w:t xml:space="preserve">For more information see section 2.5 in the </w:t>
      </w:r>
      <w:r>
        <w:t>‘</w:t>
      </w:r>
      <w:r>
        <w:rPr>
          <w:rFonts w:eastAsia="Times New Roman"/>
          <w:lang w:eastAsia="en-GB"/>
        </w:rPr>
        <w:t>Key information about shared ownership’ document.</w:t>
      </w:r>
    </w:p>
    <w:p w14:paraId="092E7947" w14:textId="77777777" w:rsidR="0013045B" w:rsidRDefault="00000000"/>
    <w:p w14:paraId="56EF5C61" w14:textId="77777777" w:rsidR="002B49F5" w:rsidRDefault="00395B2F">
      <w:pPr>
        <w:pStyle w:val="Heading2"/>
      </w:pPr>
      <w:r>
        <w:t>Other potential costs from the landlord</w:t>
      </w:r>
    </w:p>
    <w:p w14:paraId="37B7C8EF" w14:textId="77777777" w:rsidR="002B49F5" w:rsidRDefault="00395B2F">
      <w:pPr>
        <w:rPr>
          <w:i/>
          <w:iCs/>
          <w:shd w:val="clear" w:color="auto" w:fill="FFFF00"/>
        </w:rPr>
      </w:pPr>
      <w:r>
        <w:rPr>
          <w:i/>
          <w:iCs/>
          <w:shd w:val="clear" w:color="auto" w:fill="FFFF00"/>
        </w:rPr>
        <w:t>Tell the homebuyer all other potential costs now and in the future - for example, permission fees and third-party fees / new costs payable on final staircasing. You can:</w:t>
      </w:r>
    </w:p>
    <w:p w14:paraId="20A44E8B" w14:textId="77777777" w:rsidR="002B49F5" w:rsidRDefault="00395B2F">
      <w:pPr>
        <w:pStyle w:val="ListParagraph"/>
        <w:numPr>
          <w:ilvl w:val="0"/>
          <w:numId w:val="3"/>
        </w:numPr>
      </w:pPr>
      <w:r>
        <w:rPr>
          <w:i/>
          <w:iCs/>
          <w:shd w:val="clear" w:color="auto" w:fill="FFFF00"/>
        </w:rPr>
        <w:t>link to a full list of fees on your website</w:t>
      </w:r>
    </w:p>
    <w:p w14:paraId="5A65FC8B" w14:textId="77777777" w:rsidR="002B49F5" w:rsidRDefault="00395B2F">
      <w:pPr>
        <w:pStyle w:val="ListParagraph"/>
        <w:numPr>
          <w:ilvl w:val="0"/>
          <w:numId w:val="3"/>
        </w:numPr>
        <w:rPr>
          <w:i/>
          <w:iCs/>
        </w:rPr>
      </w:pPr>
      <w:r>
        <w:rPr>
          <w:i/>
          <w:iCs/>
        </w:rPr>
        <w:t>send a separate document to the homebuyer</w:t>
      </w:r>
    </w:p>
    <w:p w14:paraId="1596365E" w14:textId="77777777" w:rsidR="002B49F5" w:rsidRDefault="00395B2F">
      <w:pPr>
        <w:pStyle w:val="ListParagraph"/>
        <w:numPr>
          <w:ilvl w:val="0"/>
          <w:numId w:val="3"/>
        </w:numPr>
      </w:pPr>
      <w:r>
        <w:rPr>
          <w:i/>
          <w:iCs/>
          <w:shd w:val="clear" w:color="auto" w:fill="FFFF00"/>
        </w:rPr>
        <w:t>enter the fees in the table</w:t>
      </w:r>
      <w:r>
        <w:rPr>
          <w:i/>
          <w:iCs/>
        </w:rPr>
        <w:t xml:space="preserve"> below</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0DC4F489"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B06DC5"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6FEC32" w14:textId="77777777" w:rsidR="002B49F5" w:rsidRDefault="00395B2F">
            <w:pPr>
              <w:pStyle w:val="Normalintable"/>
            </w:pPr>
            <w:r>
              <w:t>£____</w:t>
            </w:r>
          </w:p>
        </w:tc>
      </w:tr>
      <w:tr w:rsidR="002B49F5" w14:paraId="3246D275"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E5F25A"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8F4495" w14:textId="77777777" w:rsidR="002B49F5" w:rsidRDefault="00395B2F">
            <w:pPr>
              <w:pStyle w:val="Normalintable"/>
            </w:pPr>
            <w:r>
              <w:t>£____</w:t>
            </w:r>
          </w:p>
        </w:tc>
      </w:tr>
      <w:tr w:rsidR="002B49F5" w14:paraId="66CC8B78"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04B389"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687139" w14:textId="77777777" w:rsidR="002B49F5" w:rsidRDefault="00395B2F">
            <w:pPr>
              <w:pStyle w:val="Normalintable"/>
            </w:pPr>
            <w:r>
              <w:t>£____</w:t>
            </w:r>
          </w:p>
        </w:tc>
      </w:tr>
      <w:tr w:rsidR="002B49F5" w14:paraId="2C69397E"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F6CC9"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CD2DF6" w14:textId="77777777" w:rsidR="002B49F5" w:rsidRDefault="00395B2F">
            <w:pPr>
              <w:pStyle w:val="Normalintable"/>
            </w:pPr>
            <w:r>
              <w:t>£____</w:t>
            </w:r>
          </w:p>
        </w:tc>
      </w:tr>
      <w:tr w:rsidR="002B49F5" w14:paraId="16606825"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CF6BD1" w14:textId="77777777" w:rsidR="002B49F5" w:rsidRDefault="002B49F5">
            <w:pPr>
              <w:pStyle w:val="Normalintable"/>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6810FC" w14:textId="77777777" w:rsidR="002B49F5" w:rsidRDefault="00395B2F">
            <w:pPr>
              <w:pStyle w:val="Normalintable"/>
            </w:pPr>
            <w:r>
              <w:t>£____</w:t>
            </w:r>
          </w:p>
        </w:tc>
      </w:tr>
    </w:tbl>
    <w:p w14:paraId="0B8809B1" w14:textId="77777777" w:rsidR="002B49F5" w:rsidRDefault="002B49F5">
      <w:pPr>
        <w:rPr>
          <w:rFonts w:eastAsia="Yu Gothic Light"/>
          <w:color w:val="000000"/>
        </w:rPr>
      </w:pPr>
    </w:p>
    <w:p w14:paraId="7CE89241" w14:textId="77777777" w:rsidR="002B49F5" w:rsidRDefault="00395B2F">
      <w:pPr>
        <w:pStyle w:val="Heading2"/>
      </w:pPr>
      <w:r>
        <w:t>Your own payments</w:t>
      </w:r>
    </w:p>
    <w:p w14:paraId="013FC858" w14:textId="77777777" w:rsidR="002B49F5" w:rsidRDefault="00395B2F">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B49F5" w14:paraId="216D7B63"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F58DD9" w14:textId="77777777" w:rsidR="002B49F5" w:rsidRDefault="00395B2F">
            <w:pPr>
              <w:pStyle w:val="Normalintable"/>
              <w:rPr>
                <w:b/>
                <w:bCs/>
              </w:rPr>
            </w:pPr>
            <w:r>
              <w:rPr>
                <w:b/>
                <w:bCs/>
              </w:rPr>
              <w:t>Mortgage repayment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4F61F4" w14:textId="77777777" w:rsidR="002B49F5" w:rsidRDefault="00395B2F">
            <w:pPr>
              <w:pStyle w:val="Normalintable"/>
            </w:pPr>
            <w:r>
              <w:t>£____ a month</w:t>
            </w:r>
          </w:p>
        </w:tc>
      </w:tr>
      <w:tr w:rsidR="002B49F5" w14:paraId="219C39AE"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234778" w14:textId="77777777" w:rsidR="002B49F5" w:rsidRDefault="00395B2F">
            <w:pPr>
              <w:pStyle w:val="Normalintable"/>
              <w:rPr>
                <w:b/>
                <w:bCs/>
              </w:rPr>
            </w:pPr>
            <w:r>
              <w:rPr>
                <w:b/>
                <w:bCs/>
              </w:rPr>
              <w:t>Contents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4796ECA" w14:textId="77777777" w:rsidR="002B49F5" w:rsidRDefault="00395B2F">
            <w:pPr>
              <w:pStyle w:val="Normalintable"/>
            </w:pPr>
            <w:r>
              <w:t>£____ a month</w:t>
            </w:r>
          </w:p>
        </w:tc>
      </w:tr>
      <w:tr w:rsidR="002B49F5" w14:paraId="1AFBCE6D"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5D7CD1" w14:textId="77777777" w:rsidR="002B49F5" w:rsidRDefault="00395B2F">
            <w:pPr>
              <w:pStyle w:val="Normalintable"/>
              <w:rPr>
                <w:b/>
                <w:bCs/>
              </w:rPr>
            </w:pPr>
            <w:r>
              <w:rPr>
                <w:b/>
                <w:bCs/>
              </w:rPr>
              <w:t>Council Tax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89FEAB" w14:textId="77777777" w:rsidR="002B49F5" w:rsidRDefault="00395B2F">
            <w:pPr>
              <w:pStyle w:val="Normalintable"/>
            </w:pPr>
            <w:r>
              <w:t>£____ a month</w:t>
            </w:r>
          </w:p>
        </w:tc>
      </w:tr>
      <w:tr w:rsidR="002B49F5" w14:paraId="1DB655B4"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2AE49E" w14:textId="77777777" w:rsidR="002B49F5" w:rsidRDefault="00395B2F">
            <w:pPr>
              <w:pStyle w:val="Normalintable"/>
              <w:rPr>
                <w:b/>
                <w:bCs/>
              </w:rPr>
            </w:pPr>
            <w:r>
              <w:rPr>
                <w:b/>
                <w:bCs/>
              </w:rPr>
              <w:t>Gas and electricity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916402" w14:textId="77777777" w:rsidR="002B49F5" w:rsidRDefault="00395B2F">
            <w:pPr>
              <w:pStyle w:val="Normalintable"/>
            </w:pPr>
            <w:r>
              <w:t>£____</w:t>
            </w:r>
          </w:p>
        </w:tc>
      </w:tr>
      <w:tr w:rsidR="002B49F5" w14:paraId="7557C4BE"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029DF9" w14:textId="77777777" w:rsidR="002B49F5" w:rsidRDefault="00395B2F">
            <w:pPr>
              <w:pStyle w:val="Normalintable"/>
              <w:rPr>
                <w:b/>
                <w:bCs/>
              </w:rPr>
            </w:pPr>
            <w:r>
              <w:rPr>
                <w:b/>
                <w:bCs/>
              </w:rPr>
              <w:t>Water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735384" w14:textId="77777777" w:rsidR="002B49F5" w:rsidRDefault="00395B2F">
            <w:pPr>
              <w:pStyle w:val="Normalintable"/>
            </w:pPr>
            <w:r>
              <w:t>£____</w:t>
            </w:r>
          </w:p>
        </w:tc>
      </w:tr>
      <w:tr w:rsidR="002B49F5" w14:paraId="06FAD49F"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23AC67" w14:textId="77777777" w:rsidR="002B49F5" w:rsidRDefault="00395B2F">
            <w:pPr>
              <w:pStyle w:val="Normalintable"/>
              <w:rPr>
                <w:b/>
                <w:bCs/>
              </w:rPr>
            </w:pPr>
            <w:r>
              <w:rPr>
                <w:b/>
                <w:bCs/>
              </w:rPr>
              <w:t>Annual boiler service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99BD2A" w14:textId="77777777" w:rsidR="002B49F5" w:rsidRDefault="00395B2F">
            <w:pPr>
              <w:pStyle w:val="Normalintable"/>
            </w:pPr>
            <w:r>
              <w:t>£____ a year</w:t>
            </w:r>
          </w:p>
        </w:tc>
      </w:tr>
      <w:tr w:rsidR="002B49F5" w14:paraId="61F090C4" w14:textId="77777777">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BB7B80" w14:textId="77777777" w:rsidR="002B49F5" w:rsidRDefault="00395B2F">
            <w:pPr>
              <w:pStyle w:val="Normalintable"/>
              <w:rPr>
                <w:b/>
                <w:bCs/>
              </w:rPr>
            </w:pPr>
            <w:r>
              <w:rPr>
                <w:b/>
                <w:bCs/>
              </w:rPr>
              <w:t>Other payments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7DCFFE" w14:textId="77777777" w:rsidR="002B49F5" w:rsidRDefault="002B49F5">
            <w:pPr>
              <w:pStyle w:val="Normalintable"/>
            </w:pPr>
          </w:p>
          <w:p w14:paraId="13A10BBB" w14:textId="77777777" w:rsidR="002B49F5" w:rsidRDefault="002B49F5">
            <w:pPr>
              <w:pStyle w:val="Normalintable"/>
            </w:pPr>
          </w:p>
          <w:p w14:paraId="244BD136" w14:textId="77777777" w:rsidR="002B49F5" w:rsidRDefault="002B49F5">
            <w:pPr>
              <w:pStyle w:val="Normalintable"/>
            </w:pPr>
          </w:p>
          <w:p w14:paraId="0BA5DB03" w14:textId="77777777" w:rsidR="002B49F5" w:rsidRDefault="002B49F5">
            <w:pPr>
              <w:pStyle w:val="Normalintable"/>
            </w:pPr>
          </w:p>
          <w:p w14:paraId="74CFC61F" w14:textId="77777777" w:rsidR="002B49F5" w:rsidRDefault="002B49F5">
            <w:pPr>
              <w:pStyle w:val="Normalintable"/>
            </w:pPr>
          </w:p>
        </w:tc>
      </w:tr>
    </w:tbl>
    <w:p w14:paraId="64EE92A2" w14:textId="77777777" w:rsidR="002B49F5" w:rsidRDefault="002B49F5"/>
    <w:p w14:paraId="6CF8C89F" w14:textId="77777777" w:rsidR="00104F36" w:rsidRPr="00637457" w:rsidRDefault="00000000" w:rsidP="003C1D23">
      <w:pPr>
        <w:spacing w:before="0" w:after="0"/>
        <w:rPr>
          <w:rFonts w:asciiTheme="minorHAnsi" w:hAnsiTheme="minorHAnsi"/>
          <w:sz w:val="20"/>
          <w:szCs w:val="20"/>
        </w:rPr>
      </w:pPr>
    </w:p>
    <w:sectPr w:rsidR="00104F36" w:rsidRPr="00637457">
      <w:headerReference w:type="even" r:id="rId14"/>
      <w:headerReference w:type="default" r:id="rId15"/>
      <w:footerReference w:type="even" r:id="rId16"/>
      <w:footerReference w:type="default" r:id="rId17"/>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373A" w14:textId="77777777" w:rsidR="007765BE" w:rsidRDefault="007765BE">
      <w:pPr>
        <w:spacing w:before="0" w:after="0"/>
      </w:pPr>
      <w:r>
        <w:separator/>
      </w:r>
    </w:p>
  </w:endnote>
  <w:endnote w:type="continuationSeparator" w:id="0">
    <w:p w14:paraId="661890E1" w14:textId="77777777" w:rsidR="007765BE" w:rsidRDefault="007765BE">
      <w:pPr>
        <w:spacing w:before="0" w:after="0"/>
      </w:pPr>
      <w:r>
        <w:continuationSeparator/>
      </w:r>
    </w:p>
  </w:endnote>
  <w:endnote w:type="continuationNotice" w:id="1">
    <w:p w14:paraId="2337B964" w14:textId="77777777" w:rsidR="007765BE" w:rsidRDefault="007765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90F0" w14:textId="62686AAC" w:rsidR="00E376C1" w:rsidRDefault="00AE3FF8">
    <w:r>
      <w:rPr>
        <w:noProof/>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Pr>
        <w:noProof/>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00C21A92">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C96B" w14:textId="77777777" w:rsidR="007765BE" w:rsidRDefault="007765BE">
      <w:pPr>
        <w:spacing w:before="0" w:after="0"/>
      </w:pPr>
      <w:r>
        <w:rPr>
          <w:color w:val="000000"/>
        </w:rPr>
        <w:separator/>
      </w:r>
    </w:p>
  </w:footnote>
  <w:footnote w:type="continuationSeparator" w:id="0">
    <w:p w14:paraId="4F5BA391" w14:textId="77777777" w:rsidR="007765BE" w:rsidRDefault="007765BE">
      <w:pPr>
        <w:spacing w:before="0" w:after="0"/>
      </w:pPr>
      <w:r>
        <w:continuationSeparator/>
      </w:r>
    </w:p>
  </w:footnote>
  <w:footnote w:type="continuationNotice" w:id="1">
    <w:p w14:paraId="2CF22D1E" w14:textId="77777777" w:rsidR="007765BE" w:rsidRDefault="007765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1"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363136048">
    <w:abstractNumId w:val="1"/>
  </w:num>
  <w:num w:numId="2" w16cid:durableId="2007710743">
    <w:abstractNumId w:val="3"/>
  </w:num>
  <w:num w:numId="3" w16cid:durableId="2059012866">
    <w:abstractNumId w:val="0"/>
  </w:num>
  <w:num w:numId="4" w16cid:durableId="73034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A1762"/>
    <w:rsid w:val="000B5793"/>
    <w:rsid w:val="000D432E"/>
    <w:rsid w:val="00137B36"/>
    <w:rsid w:val="00155238"/>
    <w:rsid w:val="00161231"/>
    <w:rsid w:val="00163636"/>
    <w:rsid w:val="0018004B"/>
    <w:rsid w:val="001A207B"/>
    <w:rsid w:val="001C2108"/>
    <w:rsid w:val="00200642"/>
    <w:rsid w:val="002016FD"/>
    <w:rsid w:val="00226BCC"/>
    <w:rsid w:val="00243F6E"/>
    <w:rsid w:val="002470FB"/>
    <w:rsid w:val="002877CD"/>
    <w:rsid w:val="002A2A64"/>
    <w:rsid w:val="002A3922"/>
    <w:rsid w:val="002B18BD"/>
    <w:rsid w:val="002B49F5"/>
    <w:rsid w:val="002E572A"/>
    <w:rsid w:val="00331102"/>
    <w:rsid w:val="00373EC0"/>
    <w:rsid w:val="00374BBA"/>
    <w:rsid w:val="00377B84"/>
    <w:rsid w:val="0039212A"/>
    <w:rsid w:val="003948F6"/>
    <w:rsid w:val="00395B2F"/>
    <w:rsid w:val="003C1D23"/>
    <w:rsid w:val="003C2735"/>
    <w:rsid w:val="003C6E08"/>
    <w:rsid w:val="003E701D"/>
    <w:rsid w:val="003F1EE9"/>
    <w:rsid w:val="003F41A9"/>
    <w:rsid w:val="00405189"/>
    <w:rsid w:val="00436F3C"/>
    <w:rsid w:val="004A441C"/>
    <w:rsid w:val="004B2D24"/>
    <w:rsid w:val="004F4511"/>
    <w:rsid w:val="004F4513"/>
    <w:rsid w:val="0054443C"/>
    <w:rsid w:val="005C34BB"/>
    <w:rsid w:val="005C5678"/>
    <w:rsid w:val="006075ED"/>
    <w:rsid w:val="00621BEA"/>
    <w:rsid w:val="006541E7"/>
    <w:rsid w:val="006B246A"/>
    <w:rsid w:val="006B26F8"/>
    <w:rsid w:val="006D1507"/>
    <w:rsid w:val="006D28D4"/>
    <w:rsid w:val="00744E44"/>
    <w:rsid w:val="007468AA"/>
    <w:rsid w:val="007614F7"/>
    <w:rsid w:val="00773727"/>
    <w:rsid w:val="00775AEE"/>
    <w:rsid w:val="007765BE"/>
    <w:rsid w:val="007A6517"/>
    <w:rsid w:val="007D511F"/>
    <w:rsid w:val="007E5864"/>
    <w:rsid w:val="007F013F"/>
    <w:rsid w:val="00820CB7"/>
    <w:rsid w:val="00821BA0"/>
    <w:rsid w:val="00841595"/>
    <w:rsid w:val="00843DEF"/>
    <w:rsid w:val="00855D63"/>
    <w:rsid w:val="008B5DE2"/>
    <w:rsid w:val="008E5C6E"/>
    <w:rsid w:val="0090069D"/>
    <w:rsid w:val="0092246B"/>
    <w:rsid w:val="00925EB8"/>
    <w:rsid w:val="009261B1"/>
    <w:rsid w:val="009444EE"/>
    <w:rsid w:val="00952613"/>
    <w:rsid w:val="009716B9"/>
    <w:rsid w:val="0097624A"/>
    <w:rsid w:val="009830A6"/>
    <w:rsid w:val="009900B4"/>
    <w:rsid w:val="00995B62"/>
    <w:rsid w:val="00A324BE"/>
    <w:rsid w:val="00A63BCA"/>
    <w:rsid w:val="00A85039"/>
    <w:rsid w:val="00AE3FF8"/>
    <w:rsid w:val="00AE77D6"/>
    <w:rsid w:val="00B10645"/>
    <w:rsid w:val="00B479BA"/>
    <w:rsid w:val="00B71A21"/>
    <w:rsid w:val="00BC5EE6"/>
    <w:rsid w:val="00C20CD8"/>
    <w:rsid w:val="00C21A92"/>
    <w:rsid w:val="00C372AC"/>
    <w:rsid w:val="00C40ECF"/>
    <w:rsid w:val="00C518D9"/>
    <w:rsid w:val="00C72334"/>
    <w:rsid w:val="00C85AEA"/>
    <w:rsid w:val="00CA08B0"/>
    <w:rsid w:val="00CC1BF0"/>
    <w:rsid w:val="00CC2F8A"/>
    <w:rsid w:val="00CD7D82"/>
    <w:rsid w:val="00CF5D12"/>
    <w:rsid w:val="00D3594C"/>
    <w:rsid w:val="00D36283"/>
    <w:rsid w:val="00D60B1C"/>
    <w:rsid w:val="00DD0EEE"/>
    <w:rsid w:val="00E07F4B"/>
    <w:rsid w:val="00E31A18"/>
    <w:rsid w:val="00E32525"/>
    <w:rsid w:val="00E376C1"/>
    <w:rsid w:val="00E7194A"/>
    <w:rsid w:val="00EB1B28"/>
    <w:rsid w:val="00EC4747"/>
    <w:rsid w:val="00F16278"/>
    <w:rsid w:val="00F25C84"/>
    <w:rsid w:val="00F53D9D"/>
    <w:rsid w:val="00F54F4F"/>
    <w:rsid w:val="00F67003"/>
    <w:rsid w:val="00F97C96"/>
    <w:rsid w:val="00FC09B4"/>
    <w:rsid w:val="00FD3AC5"/>
    <w:rsid w:val="00FD5F99"/>
    <w:rsid w:val="00FE5651"/>
    <w:rsid w:val="0AD1ECC8"/>
    <w:rsid w:val="75A555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A63BCA"/>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2454">
      <w:bodyDiv w:val="1"/>
      <w:marLeft w:val="0"/>
      <w:marRight w:val="0"/>
      <w:marTop w:val="0"/>
      <w:marBottom w:val="0"/>
      <w:divBdr>
        <w:top w:val="none" w:sz="0" w:space="0" w:color="auto"/>
        <w:left w:val="none" w:sz="0" w:space="0" w:color="auto"/>
        <w:bottom w:val="none" w:sz="0" w:space="0" w:color="auto"/>
        <w:right w:val="none" w:sz="0" w:space="0" w:color="auto"/>
      </w:divBdr>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csfirms.com/residenti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c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x.service.gov.uk/calculate-stamp-duty-land-ta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guidance/sdlt-shared-ownership-proper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2.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9E9513-4A8E-45E8-B5A9-30F3BD6F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Keith Cornell</cp:lastModifiedBy>
  <cp:revision>8</cp:revision>
  <dcterms:created xsi:type="dcterms:W3CDTF">2023-09-20T12:53:00Z</dcterms:created>
  <dcterms:modified xsi:type="dcterms:W3CDTF">2023-09-20T14:43:00Z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bp_dc_comparedocs">
    <vt:lpwstr>5.0.200.14 _tc</vt:lpwstr>
  </property>
  <property fmtid="{D5CDD505-2E9C-101B-9397-08002B2CF9AE}" pid="4" name="MediaServiceImageTags">
    <vt:lpwstr/>
  </property>
  <property fmtid="{D5CDD505-2E9C-101B-9397-08002B2CF9AE}" pid="5" name="MSIP_Label_727fb50e-81d5-40a5-b712-4eff31972ce4_Enabled">
    <vt:lpwstr>true</vt:lpwstr>
  </property>
  <property fmtid="{D5CDD505-2E9C-101B-9397-08002B2CF9AE}" pid="6" name="MSIP_Label_727fb50e-81d5-40a5-b712-4eff31972ce4_SetDate">
    <vt:lpwstr>2023-05-10T08:48:37Z</vt:lpwstr>
  </property>
  <property fmtid="{D5CDD505-2E9C-101B-9397-08002B2CF9AE}" pid="7" name="MSIP_Label_727fb50e-81d5-40a5-b712-4eff31972ce4_Method">
    <vt:lpwstr>Standard</vt:lpwstr>
  </property>
  <property fmtid="{D5CDD505-2E9C-101B-9397-08002B2CF9AE}" pid="8" name="MSIP_Label_727fb50e-81d5-40a5-b712-4eff31972ce4_Name">
    <vt:lpwstr>727fb50e-81d5-40a5-b712-4eff31972ce4</vt:lpwstr>
  </property>
  <property fmtid="{D5CDD505-2E9C-101B-9397-08002B2CF9AE}" pid="9" name="MSIP_Label_727fb50e-81d5-40a5-b712-4eff31972ce4_SiteId">
    <vt:lpwstr>faa8e269-0811-4538-82e7-4d29009219bf</vt:lpwstr>
  </property>
  <property fmtid="{D5CDD505-2E9C-101B-9397-08002B2CF9AE}" pid="10" name="MSIP_Label_727fb50e-81d5-40a5-b712-4eff31972ce4_ActionId">
    <vt:lpwstr>e94ab579-4616-4c9e-8925-9a37341f5d0c</vt:lpwstr>
  </property>
  <property fmtid="{D5CDD505-2E9C-101B-9397-08002B2CF9AE}" pid="11" name="MSIP_Label_727fb50e-81d5-40a5-b712-4eff31972ce4_ContentBits">
    <vt:lpwstr>2</vt:lpwstr>
  </property>
</Properties>
</file>