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5F119" w14:textId="77777777" w:rsidR="00CF303B" w:rsidRPr="002F470C" w:rsidRDefault="00CF303B" w:rsidP="00CF303B">
      <w:pPr>
        <w:pBdr>
          <w:bottom w:val="single" w:sz="6" w:space="1" w:color="auto"/>
        </w:pBdr>
        <w:autoSpaceDE w:val="0"/>
        <w:autoSpaceDN w:val="0"/>
        <w:adjustRightInd w:val="0"/>
        <w:snapToGrid w:val="0"/>
        <w:ind w:right="237"/>
        <w:jc w:val="center"/>
        <w:rPr>
          <w:b/>
          <w:bCs/>
        </w:rPr>
      </w:pPr>
      <w:r w:rsidRPr="002F470C">
        <w:rPr>
          <w:b/>
          <w:bCs/>
        </w:rPr>
        <w:t>ANNEX 1</w:t>
      </w:r>
    </w:p>
    <w:p w14:paraId="150F4D56" w14:textId="77777777" w:rsidR="00CF303B" w:rsidRPr="00AC56F1" w:rsidRDefault="00CF303B" w:rsidP="00CF303B">
      <w:pPr>
        <w:pBdr>
          <w:bottom w:val="single" w:sz="6" w:space="1" w:color="auto"/>
        </w:pBdr>
        <w:autoSpaceDE w:val="0"/>
        <w:autoSpaceDN w:val="0"/>
        <w:adjustRightInd w:val="0"/>
        <w:snapToGrid w:val="0"/>
        <w:ind w:right="237"/>
        <w:jc w:val="center"/>
        <w:rPr>
          <w:b/>
          <w:bCs/>
        </w:rPr>
      </w:pPr>
      <w:r w:rsidRPr="00AC56F1">
        <w:rPr>
          <w:b/>
          <w:bCs/>
        </w:rPr>
        <w:t xml:space="preserve">Response document for MHRA public consultation on the proposal to make </w:t>
      </w:r>
      <w:proofErr w:type="spellStart"/>
      <w:r w:rsidRPr="00AC56F1">
        <w:rPr>
          <w:b/>
          <w:bCs/>
          <w:szCs w:val="22"/>
        </w:rPr>
        <w:t>Nuromol</w:t>
      </w:r>
      <w:proofErr w:type="spellEnd"/>
      <w:r w:rsidRPr="00AC56F1">
        <w:rPr>
          <w:b/>
          <w:bCs/>
          <w:szCs w:val="22"/>
        </w:rPr>
        <w:t xml:space="preserve"> Dual Action Pain Relief 200mg/500mg tablets</w:t>
      </w:r>
      <w:r w:rsidRPr="00AC56F1">
        <w:rPr>
          <w:b/>
          <w:bCs/>
          <w:sz w:val="24"/>
        </w:rPr>
        <w:t xml:space="preserve"> </w:t>
      </w:r>
      <w:r w:rsidRPr="00AC56F1">
        <w:rPr>
          <w:b/>
          <w:bCs/>
        </w:rPr>
        <w:t>available on General Sale</w:t>
      </w:r>
    </w:p>
    <w:p w14:paraId="07169C76" w14:textId="77777777" w:rsidR="00CF303B" w:rsidRPr="009F24A5" w:rsidRDefault="00CF303B" w:rsidP="00CF303B">
      <w:pPr>
        <w:pBdr>
          <w:bottom w:val="single" w:sz="6" w:space="1" w:color="auto"/>
        </w:pBdr>
        <w:autoSpaceDE w:val="0"/>
        <w:autoSpaceDN w:val="0"/>
        <w:adjustRightInd w:val="0"/>
        <w:snapToGrid w:val="0"/>
        <w:ind w:right="237"/>
        <w:jc w:val="center"/>
        <w:rPr>
          <w:b/>
          <w:bCs/>
          <w:color w:val="FF0000"/>
        </w:rPr>
      </w:pPr>
    </w:p>
    <w:p w14:paraId="097D0189" w14:textId="77777777" w:rsidR="00CF303B" w:rsidRPr="002F470C" w:rsidRDefault="00CF303B" w:rsidP="00CF303B">
      <w:pPr>
        <w:pBdr>
          <w:bottom w:val="single" w:sz="6" w:space="1" w:color="auto"/>
        </w:pBdr>
        <w:autoSpaceDE w:val="0"/>
        <w:autoSpaceDN w:val="0"/>
        <w:adjustRightInd w:val="0"/>
        <w:snapToGrid w:val="0"/>
        <w:ind w:right="237"/>
        <w:jc w:val="center"/>
        <w:rPr>
          <w:b/>
          <w:bCs/>
        </w:rPr>
      </w:pPr>
      <w:r w:rsidRPr="002F470C">
        <w:rPr>
          <w:b/>
          <w:bCs/>
        </w:rPr>
        <w:t xml:space="preserve">Ref: </w:t>
      </w:r>
      <w:r>
        <w:rPr>
          <w:b/>
          <w:bCs/>
        </w:rPr>
        <w:t>ARM 100</w:t>
      </w:r>
    </w:p>
    <w:p w14:paraId="1BB08DC2" w14:textId="77777777" w:rsidR="00CF303B" w:rsidRPr="009F24A5" w:rsidRDefault="00CF303B" w:rsidP="00CF303B">
      <w:pPr>
        <w:pBdr>
          <w:bottom w:val="single" w:sz="6" w:space="1" w:color="auto"/>
        </w:pBdr>
        <w:autoSpaceDE w:val="0"/>
        <w:autoSpaceDN w:val="0"/>
        <w:adjustRightInd w:val="0"/>
        <w:snapToGrid w:val="0"/>
        <w:ind w:right="237"/>
        <w:rPr>
          <w:b/>
          <w:bCs/>
          <w:color w:val="FF0000"/>
        </w:rPr>
      </w:pPr>
    </w:p>
    <w:p w14:paraId="5F3B0CAA" w14:textId="77777777" w:rsidR="00CF303B" w:rsidRPr="002F470C" w:rsidRDefault="00CF303B" w:rsidP="00CF303B">
      <w:pPr>
        <w:rPr>
          <w:b/>
          <w:bCs/>
        </w:rPr>
      </w:pPr>
      <w:r w:rsidRPr="002F470C">
        <w:rPr>
          <w:rFonts w:cs="Arial"/>
          <w:b/>
          <w:bCs/>
        </w:rPr>
        <w:t>MHRA proposes to permit supply of</w:t>
      </w:r>
      <w:r w:rsidRPr="002F470C">
        <w:rPr>
          <w:b/>
          <w:bCs/>
          <w:szCs w:val="22"/>
        </w:rPr>
        <w:t xml:space="preserve"> </w:t>
      </w:r>
      <w:proofErr w:type="spellStart"/>
      <w:r w:rsidRPr="002F470C">
        <w:rPr>
          <w:b/>
          <w:bCs/>
          <w:szCs w:val="22"/>
        </w:rPr>
        <w:t>Nuromol</w:t>
      </w:r>
      <w:proofErr w:type="spellEnd"/>
      <w:r w:rsidRPr="002F470C">
        <w:rPr>
          <w:b/>
          <w:bCs/>
          <w:szCs w:val="22"/>
        </w:rPr>
        <w:t xml:space="preserve"> Dual Action Pain Relief 200mg/500mg tablets</w:t>
      </w:r>
      <w:r w:rsidRPr="002F470C">
        <w:rPr>
          <w:b/>
          <w:bCs/>
          <w:sz w:val="24"/>
        </w:rPr>
        <w:t xml:space="preserve"> </w:t>
      </w:r>
      <w:r w:rsidRPr="002F470C">
        <w:rPr>
          <w:rFonts w:cs="Arial"/>
          <w:b/>
          <w:bCs/>
        </w:rPr>
        <w:t xml:space="preserve">on general sale </w:t>
      </w:r>
      <w:r>
        <w:rPr>
          <w:rFonts w:cs="Arial"/>
          <w:b/>
          <w:bCs/>
        </w:rPr>
        <w:t xml:space="preserve">outside </w:t>
      </w:r>
      <w:r w:rsidRPr="002F470C">
        <w:rPr>
          <w:rFonts w:cs="Arial"/>
          <w:b/>
          <w:bCs/>
        </w:rPr>
        <w:t xml:space="preserve">pharmacies because we consider that the evidence presented in this application demonstrates that the product meets the </w:t>
      </w:r>
      <w:r>
        <w:rPr>
          <w:rFonts w:cs="Arial"/>
          <w:b/>
          <w:bCs/>
        </w:rPr>
        <w:t xml:space="preserve">GSL </w:t>
      </w:r>
      <w:r w:rsidRPr="002F470C">
        <w:rPr>
          <w:rFonts w:cs="Arial"/>
          <w:b/>
          <w:bCs/>
        </w:rPr>
        <w:t xml:space="preserve">criterion set out in the legislation.  Your response should address why you agree or disagree with this conclusion and any additional safeguards you consider to be necessary.  We </w:t>
      </w:r>
      <w:proofErr w:type="gramStart"/>
      <w:r w:rsidRPr="002F470C">
        <w:rPr>
          <w:rFonts w:cs="Arial"/>
          <w:b/>
          <w:bCs/>
        </w:rPr>
        <w:t>will</w:t>
      </w:r>
      <w:proofErr w:type="gramEnd"/>
      <w:r w:rsidRPr="002F470C">
        <w:rPr>
          <w:rFonts w:cs="Arial"/>
          <w:b/>
          <w:bCs/>
        </w:rPr>
        <w:t xml:space="preserve"> review all responses received to see if the evidence presented changes our conclusion </w:t>
      </w:r>
      <w:r>
        <w:rPr>
          <w:rFonts w:cs="Arial"/>
          <w:b/>
          <w:bCs/>
        </w:rPr>
        <w:t>that</w:t>
      </w:r>
      <w:r w:rsidRPr="002F470C">
        <w:rPr>
          <w:rFonts w:cs="Arial"/>
          <w:b/>
          <w:bCs/>
        </w:rPr>
        <w:t xml:space="preserve"> the product does meet the GSL criterion. </w:t>
      </w:r>
    </w:p>
    <w:p w14:paraId="7761B0A5" w14:textId="77777777" w:rsidR="00CF303B" w:rsidRPr="009F24A5" w:rsidRDefault="00CF303B" w:rsidP="00CF303B">
      <w:pPr>
        <w:pBdr>
          <w:bottom w:val="single" w:sz="6" w:space="1" w:color="auto"/>
        </w:pBdr>
        <w:autoSpaceDE w:val="0"/>
        <w:autoSpaceDN w:val="0"/>
        <w:adjustRightInd w:val="0"/>
        <w:snapToGrid w:val="0"/>
        <w:ind w:right="237"/>
        <w:rPr>
          <w:b/>
          <w:bCs/>
          <w:color w:val="FF0000"/>
        </w:rPr>
      </w:pPr>
      <w:r w:rsidRPr="009F24A5">
        <w:rPr>
          <w:b/>
          <w:bCs/>
          <w:color w:val="FF0000"/>
        </w:rPr>
        <w:tab/>
      </w:r>
      <w:r w:rsidRPr="009F24A5">
        <w:rPr>
          <w:b/>
          <w:bCs/>
          <w:color w:val="FF0000"/>
        </w:rPr>
        <w:tab/>
      </w:r>
    </w:p>
    <w:p w14:paraId="79C29071" w14:textId="77777777" w:rsidR="00CF303B" w:rsidRPr="009F24A5" w:rsidRDefault="00CF303B" w:rsidP="00CF303B">
      <w:pPr>
        <w:autoSpaceDE w:val="0"/>
        <w:autoSpaceDN w:val="0"/>
        <w:adjustRightInd w:val="0"/>
        <w:rPr>
          <w:b/>
          <w:color w:val="FF0000"/>
          <w:sz w:val="20"/>
          <w:szCs w:val="20"/>
          <w:u w:val="single"/>
        </w:rPr>
      </w:pPr>
    </w:p>
    <w:p w14:paraId="382C2B79" w14:textId="77777777" w:rsidR="00CF303B" w:rsidRPr="00AC56F1" w:rsidRDefault="00CF303B" w:rsidP="00CF303B">
      <w:pPr>
        <w:autoSpaceDE w:val="0"/>
        <w:autoSpaceDN w:val="0"/>
        <w:adjustRightInd w:val="0"/>
        <w:rPr>
          <w:b/>
          <w:sz w:val="20"/>
          <w:szCs w:val="20"/>
        </w:rPr>
      </w:pPr>
      <w:r w:rsidRPr="00AC56F1">
        <w:rPr>
          <w:b/>
          <w:sz w:val="20"/>
          <w:szCs w:val="20"/>
          <w:u w:val="single"/>
        </w:rPr>
        <w:t>Your details</w:t>
      </w:r>
    </w:p>
    <w:p w14:paraId="118C9481" w14:textId="77777777" w:rsidR="00CF303B" w:rsidRPr="00AC56F1" w:rsidRDefault="00CF303B" w:rsidP="00CF303B">
      <w:pPr>
        <w:autoSpaceDE w:val="0"/>
        <w:autoSpaceDN w:val="0"/>
        <w:adjustRightInd w:val="0"/>
        <w:rPr>
          <w:b/>
          <w:sz w:val="20"/>
          <w:szCs w:val="20"/>
        </w:rPr>
      </w:pPr>
      <w:r w:rsidRPr="00AC56F1">
        <w:rPr>
          <w:b/>
          <w:sz w:val="20"/>
          <w:szCs w:val="20"/>
        </w:rPr>
        <w:t>Name:</w:t>
      </w:r>
    </w:p>
    <w:p w14:paraId="5929E0A5" w14:textId="77777777" w:rsidR="00CF303B" w:rsidRPr="00AC56F1" w:rsidRDefault="00CF303B" w:rsidP="00CF303B">
      <w:pPr>
        <w:autoSpaceDE w:val="0"/>
        <w:autoSpaceDN w:val="0"/>
        <w:adjustRightInd w:val="0"/>
        <w:rPr>
          <w:b/>
          <w:sz w:val="20"/>
          <w:szCs w:val="20"/>
          <w:u w:val="single"/>
        </w:rPr>
      </w:pPr>
    </w:p>
    <w:p w14:paraId="369BF43B" w14:textId="77777777" w:rsidR="00CF303B" w:rsidRPr="00AC56F1" w:rsidRDefault="00CF303B" w:rsidP="00CF303B">
      <w:pPr>
        <w:autoSpaceDE w:val="0"/>
        <w:autoSpaceDN w:val="0"/>
        <w:adjustRightInd w:val="0"/>
        <w:rPr>
          <w:b/>
          <w:sz w:val="20"/>
          <w:szCs w:val="20"/>
        </w:rPr>
      </w:pPr>
      <w:r w:rsidRPr="00AC56F1">
        <w:rPr>
          <w:b/>
          <w:sz w:val="20"/>
          <w:szCs w:val="20"/>
        </w:rPr>
        <w:t>Position (if applicable):</w:t>
      </w:r>
    </w:p>
    <w:p w14:paraId="17F5508E" w14:textId="77777777" w:rsidR="00CF303B" w:rsidRPr="00AC56F1" w:rsidRDefault="00CF303B" w:rsidP="00CF303B">
      <w:pPr>
        <w:autoSpaceDE w:val="0"/>
        <w:autoSpaceDN w:val="0"/>
        <w:adjustRightInd w:val="0"/>
        <w:rPr>
          <w:b/>
          <w:sz w:val="20"/>
          <w:szCs w:val="20"/>
          <w:u w:val="single"/>
        </w:rPr>
      </w:pPr>
    </w:p>
    <w:p w14:paraId="39201840" w14:textId="77777777" w:rsidR="00CF303B" w:rsidRPr="00AC56F1" w:rsidRDefault="00CF303B" w:rsidP="00CF303B">
      <w:pPr>
        <w:autoSpaceDE w:val="0"/>
        <w:autoSpaceDN w:val="0"/>
        <w:adjustRightInd w:val="0"/>
        <w:rPr>
          <w:b/>
          <w:sz w:val="20"/>
          <w:szCs w:val="20"/>
        </w:rPr>
      </w:pPr>
      <w:r w:rsidRPr="00AC56F1">
        <w:rPr>
          <w:b/>
          <w:sz w:val="20"/>
          <w:szCs w:val="20"/>
        </w:rPr>
        <w:t>Organisation (if applicable):</w:t>
      </w:r>
    </w:p>
    <w:p w14:paraId="1F4F1FBA" w14:textId="77777777" w:rsidR="00CF303B" w:rsidRPr="00AC56F1" w:rsidRDefault="00CF303B" w:rsidP="00CF303B">
      <w:pPr>
        <w:autoSpaceDE w:val="0"/>
        <w:autoSpaceDN w:val="0"/>
        <w:adjustRightInd w:val="0"/>
        <w:rPr>
          <w:b/>
          <w:sz w:val="20"/>
          <w:szCs w:val="20"/>
        </w:rPr>
      </w:pPr>
    </w:p>
    <w:p w14:paraId="3980D932" w14:textId="77777777" w:rsidR="00CF303B" w:rsidRPr="00AC56F1" w:rsidRDefault="00CF303B" w:rsidP="00CF303B">
      <w:pPr>
        <w:autoSpaceDE w:val="0"/>
        <w:autoSpaceDN w:val="0"/>
        <w:adjustRightInd w:val="0"/>
        <w:rPr>
          <w:b/>
          <w:sz w:val="20"/>
          <w:szCs w:val="20"/>
        </w:rPr>
      </w:pPr>
      <w:r w:rsidRPr="00AC56F1">
        <w:rPr>
          <w:b/>
          <w:sz w:val="20"/>
          <w:szCs w:val="20"/>
        </w:rPr>
        <w:t xml:space="preserve">Email: </w:t>
      </w:r>
    </w:p>
    <w:p w14:paraId="1F19169A" w14:textId="77777777" w:rsidR="00CF303B" w:rsidRPr="009F24A5" w:rsidRDefault="00CF303B" w:rsidP="00CF303B">
      <w:pPr>
        <w:autoSpaceDE w:val="0"/>
        <w:autoSpaceDN w:val="0"/>
        <w:adjustRightInd w:val="0"/>
        <w:rPr>
          <w:b/>
          <w:color w:val="FF0000"/>
          <w:sz w:val="20"/>
          <w:szCs w:val="20"/>
        </w:rPr>
      </w:pPr>
    </w:p>
    <w:p w14:paraId="2084D7B5" w14:textId="77777777" w:rsidR="00CF303B" w:rsidRPr="009F24A5" w:rsidRDefault="00CF303B" w:rsidP="00CF303B">
      <w:pPr>
        <w:autoSpaceDE w:val="0"/>
        <w:autoSpaceDN w:val="0"/>
        <w:adjustRightInd w:val="0"/>
        <w:rPr>
          <w:b/>
          <w:color w:val="FF0000"/>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303B" w:rsidRPr="009F24A5" w14:paraId="2730ABA3" w14:textId="77777777" w:rsidTr="006C7C2D">
        <w:tc>
          <w:tcPr>
            <w:tcW w:w="10456" w:type="dxa"/>
            <w:shd w:val="clear" w:color="auto" w:fill="auto"/>
          </w:tcPr>
          <w:p w14:paraId="2353F25A" w14:textId="77777777" w:rsidR="00CF303B" w:rsidRPr="00AC56F1" w:rsidRDefault="00CF303B" w:rsidP="006C7C2D">
            <w:pPr>
              <w:numPr>
                <w:ilvl w:val="1"/>
                <w:numId w:val="1"/>
              </w:numPr>
              <w:spacing w:after="60"/>
              <w:rPr>
                <w:b/>
              </w:rPr>
            </w:pPr>
            <w:r w:rsidRPr="00AC56F1">
              <w:rPr>
                <w:b/>
              </w:rPr>
              <w:t>Do you consider that</w:t>
            </w:r>
            <w:r w:rsidRPr="00AC56F1">
              <w:rPr>
                <w:b/>
                <w:bCs/>
                <w:szCs w:val="22"/>
              </w:rPr>
              <w:t xml:space="preserve"> </w:t>
            </w:r>
            <w:proofErr w:type="spellStart"/>
            <w:r w:rsidRPr="00AC56F1">
              <w:rPr>
                <w:b/>
                <w:bCs/>
                <w:szCs w:val="22"/>
              </w:rPr>
              <w:t>Nuromol</w:t>
            </w:r>
            <w:proofErr w:type="spellEnd"/>
            <w:r w:rsidRPr="00AC56F1">
              <w:rPr>
                <w:b/>
                <w:bCs/>
                <w:szCs w:val="22"/>
              </w:rPr>
              <w:t xml:space="preserve"> Dual Action Pain Relief 200mg/500mg tablets</w:t>
            </w:r>
            <w:r w:rsidRPr="00AC56F1">
              <w:rPr>
                <w:b/>
              </w:rPr>
              <w:t xml:space="preserve"> </w:t>
            </w:r>
            <w:r>
              <w:rPr>
                <w:b/>
              </w:rPr>
              <w:t xml:space="preserve">meets the criterion for a medicine to be classified as a medicinal product subject to general </w:t>
            </w:r>
            <w:proofErr w:type="gramStart"/>
            <w:r>
              <w:rPr>
                <w:b/>
              </w:rPr>
              <w:t>sale</w:t>
            </w:r>
            <w:proofErr w:type="gramEnd"/>
          </w:p>
          <w:p w14:paraId="668537FE" w14:textId="77777777" w:rsidR="00CF303B" w:rsidRPr="00AC56F1" w:rsidRDefault="00CF303B" w:rsidP="006C7C2D">
            <w:r w:rsidRPr="00AC56F1">
              <w:t xml:space="preserve">Yes </w:t>
            </w:r>
            <w:r w:rsidRPr="00AC56F1">
              <w:sym w:font="Wingdings" w:char="F06F"/>
            </w:r>
            <w:r w:rsidRPr="00AC56F1">
              <w:t xml:space="preserve">                    No </w:t>
            </w:r>
            <w:r w:rsidRPr="00AC56F1">
              <w:sym w:font="Wingdings" w:char="F06F"/>
            </w:r>
            <w:r w:rsidRPr="00AC56F1">
              <w:t xml:space="preserve">                    Not sure </w:t>
            </w:r>
            <w:r w:rsidRPr="00AC56F1">
              <w:sym w:font="Wingdings" w:char="F06F"/>
            </w:r>
          </w:p>
          <w:p w14:paraId="1FC1E830" w14:textId="77777777" w:rsidR="00CF303B" w:rsidRPr="00AC56F1" w:rsidRDefault="00CF303B" w:rsidP="006C7C2D"/>
          <w:p w14:paraId="6CF535E7" w14:textId="77777777" w:rsidR="00CF303B" w:rsidRPr="00AC56F1" w:rsidRDefault="00CF303B" w:rsidP="006C7C2D">
            <w:r w:rsidRPr="00AC56F1">
              <w:t>Please provide any comments or evidence to support your response:</w:t>
            </w:r>
          </w:p>
          <w:p w14:paraId="1621CF2A" w14:textId="77777777" w:rsidR="00CF303B" w:rsidRPr="009F24A5" w:rsidRDefault="00CF303B" w:rsidP="006C7C2D">
            <w:pPr>
              <w:rPr>
                <w:color w:val="FF0000"/>
              </w:rPr>
            </w:pPr>
          </w:p>
          <w:p w14:paraId="2A1535A2" w14:textId="77777777" w:rsidR="00CF303B" w:rsidRPr="009F24A5" w:rsidRDefault="00CF303B" w:rsidP="006C7C2D">
            <w:pPr>
              <w:rPr>
                <w:color w:val="FF0000"/>
              </w:rPr>
            </w:pPr>
          </w:p>
          <w:p w14:paraId="0AB7443F" w14:textId="77777777" w:rsidR="00CF303B" w:rsidRPr="009F24A5" w:rsidRDefault="00CF303B" w:rsidP="006C7C2D">
            <w:pPr>
              <w:rPr>
                <w:color w:val="FF0000"/>
              </w:rPr>
            </w:pPr>
          </w:p>
          <w:p w14:paraId="33C1E7CC" w14:textId="77777777" w:rsidR="00CF303B" w:rsidRPr="009F24A5" w:rsidRDefault="00CF303B" w:rsidP="006C7C2D">
            <w:pPr>
              <w:rPr>
                <w:color w:val="FF0000"/>
              </w:rPr>
            </w:pPr>
          </w:p>
          <w:p w14:paraId="30E65ED1" w14:textId="77777777" w:rsidR="00CF303B" w:rsidRPr="009F24A5" w:rsidRDefault="00CF303B" w:rsidP="006C7C2D">
            <w:pPr>
              <w:rPr>
                <w:color w:val="FF0000"/>
              </w:rPr>
            </w:pPr>
          </w:p>
          <w:p w14:paraId="10D04C60" w14:textId="77777777" w:rsidR="00CF303B" w:rsidRPr="009F24A5" w:rsidRDefault="00CF303B" w:rsidP="006C7C2D">
            <w:pPr>
              <w:rPr>
                <w:color w:val="FF0000"/>
              </w:rPr>
            </w:pPr>
          </w:p>
          <w:p w14:paraId="220EA730" w14:textId="77777777" w:rsidR="00CF303B" w:rsidRPr="009F24A5" w:rsidRDefault="00CF303B" w:rsidP="006C7C2D">
            <w:pPr>
              <w:rPr>
                <w:color w:val="FF0000"/>
              </w:rPr>
            </w:pPr>
          </w:p>
        </w:tc>
      </w:tr>
    </w:tbl>
    <w:p w14:paraId="113565D5" w14:textId="77777777" w:rsidR="00CF303B" w:rsidRPr="009F24A5" w:rsidRDefault="00CF303B" w:rsidP="00CF303B">
      <w:pPr>
        <w:rPr>
          <w:color w:val="FF0000"/>
        </w:rPr>
      </w:pPr>
    </w:p>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CF303B" w:rsidRPr="009F24A5" w14:paraId="328311E9" w14:textId="77777777" w:rsidTr="006C7C2D">
        <w:tc>
          <w:tcPr>
            <w:tcW w:w="10459" w:type="dxa"/>
            <w:shd w:val="clear" w:color="auto" w:fill="auto"/>
          </w:tcPr>
          <w:p w14:paraId="48905925" w14:textId="77777777" w:rsidR="00CF303B" w:rsidRPr="00AC56F1" w:rsidRDefault="00CF303B" w:rsidP="006C7C2D">
            <w:pPr>
              <w:numPr>
                <w:ilvl w:val="1"/>
                <w:numId w:val="1"/>
              </w:numPr>
              <w:spacing w:after="60"/>
              <w:rPr>
                <w:b/>
              </w:rPr>
            </w:pPr>
            <w:r w:rsidRPr="00AC56F1">
              <w:rPr>
                <w:b/>
              </w:rPr>
              <w:t>Do you have any specific comments on the leaflet</w:t>
            </w:r>
            <w:r>
              <w:rPr>
                <w:b/>
              </w:rPr>
              <w:t xml:space="preserve"> or</w:t>
            </w:r>
            <w:r w:rsidRPr="00AC56F1">
              <w:rPr>
                <w:b/>
              </w:rPr>
              <w:t xml:space="preserve"> label provided at Annexes, </w:t>
            </w:r>
            <w:r>
              <w:rPr>
                <w:b/>
              </w:rPr>
              <w:t>2</w:t>
            </w:r>
            <w:r w:rsidRPr="00AC56F1">
              <w:rPr>
                <w:b/>
              </w:rPr>
              <w:t xml:space="preserve"> &amp; </w:t>
            </w:r>
            <w:r>
              <w:rPr>
                <w:b/>
              </w:rPr>
              <w:t>3</w:t>
            </w:r>
            <w:r w:rsidRPr="00AC56F1">
              <w:rPr>
                <w:b/>
              </w:rPr>
              <w:t>?</w:t>
            </w:r>
          </w:p>
          <w:p w14:paraId="64B8C631" w14:textId="77777777" w:rsidR="00CF303B" w:rsidRPr="009F24A5" w:rsidRDefault="00CF303B" w:rsidP="006C7C2D">
            <w:pPr>
              <w:rPr>
                <w:color w:val="FF0000"/>
              </w:rPr>
            </w:pPr>
          </w:p>
          <w:p w14:paraId="1F983945" w14:textId="77777777" w:rsidR="00CF303B" w:rsidRPr="009F24A5" w:rsidRDefault="00CF303B" w:rsidP="006C7C2D">
            <w:pPr>
              <w:rPr>
                <w:color w:val="FF0000"/>
              </w:rPr>
            </w:pPr>
          </w:p>
          <w:p w14:paraId="2DD9BC06" w14:textId="77777777" w:rsidR="00CF303B" w:rsidRPr="009F24A5" w:rsidRDefault="00CF303B" w:rsidP="006C7C2D">
            <w:pPr>
              <w:rPr>
                <w:color w:val="FF0000"/>
              </w:rPr>
            </w:pPr>
          </w:p>
          <w:p w14:paraId="150EEF40" w14:textId="77777777" w:rsidR="00CF303B" w:rsidRPr="009F24A5" w:rsidRDefault="00CF303B" w:rsidP="006C7C2D">
            <w:pPr>
              <w:rPr>
                <w:color w:val="FF0000"/>
              </w:rPr>
            </w:pPr>
          </w:p>
          <w:p w14:paraId="78FD1F25" w14:textId="77777777" w:rsidR="00CF303B" w:rsidRPr="009F24A5" w:rsidRDefault="00CF303B" w:rsidP="006C7C2D">
            <w:pPr>
              <w:rPr>
                <w:color w:val="FF0000"/>
              </w:rPr>
            </w:pPr>
          </w:p>
          <w:p w14:paraId="21A0D7CA" w14:textId="77777777" w:rsidR="00CF303B" w:rsidRPr="009F24A5" w:rsidRDefault="00CF303B" w:rsidP="006C7C2D">
            <w:pPr>
              <w:rPr>
                <w:color w:val="FF0000"/>
              </w:rPr>
            </w:pPr>
          </w:p>
        </w:tc>
      </w:tr>
    </w:tbl>
    <w:p w14:paraId="6952F3F4" w14:textId="77777777" w:rsidR="00CF303B" w:rsidRPr="009F24A5" w:rsidRDefault="00CF303B" w:rsidP="00CF303B">
      <w:pPr>
        <w:rPr>
          <w:color w:val="FF0000"/>
        </w:rPr>
      </w:pPr>
    </w:p>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CF303B" w:rsidRPr="009F24A5" w14:paraId="430AE2D0" w14:textId="77777777" w:rsidTr="006C7C2D">
        <w:tc>
          <w:tcPr>
            <w:tcW w:w="10459" w:type="dxa"/>
            <w:shd w:val="clear" w:color="auto" w:fill="auto"/>
          </w:tcPr>
          <w:p w14:paraId="2E65CF74" w14:textId="77777777" w:rsidR="00CF303B" w:rsidRPr="00AC56F1" w:rsidRDefault="00CF303B" w:rsidP="006C7C2D">
            <w:pPr>
              <w:numPr>
                <w:ilvl w:val="1"/>
                <w:numId w:val="1"/>
              </w:numPr>
              <w:spacing w:after="60"/>
              <w:rPr>
                <w:b/>
              </w:rPr>
            </w:pPr>
            <w:r w:rsidRPr="00AC56F1">
              <w:rPr>
                <w:b/>
              </w:rPr>
              <w:t>Do you have any other comments on the reclassification?</w:t>
            </w:r>
          </w:p>
          <w:p w14:paraId="12D459A1" w14:textId="77777777" w:rsidR="00CF303B" w:rsidRPr="009F24A5" w:rsidRDefault="00CF303B" w:rsidP="006C7C2D">
            <w:pPr>
              <w:ind w:left="357"/>
              <w:rPr>
                <w:color w:val="FF0000"/>
              </w:rPr>
            </w:pPr>
          </w:p>
          <w:p w14:paraId="777F29B6" w14:textId="77777777" w:rsidR="00CF303B" w:rsidRPr="009F24A5" w:rsidRDefault="00CF303B" w:rsidP="006C7C2D">
            <w:pPr>
              <w:ind w:left="357"/>
              <w:rPr>
                <w:color w:val="FF0000"/>
              </w:rPr>
            </w:pPr>
          </w:p>
          <w:p w14:paraId="64701C1B" w14:textId="77777777" w:rsidR="00CF303B" w:rsidRPr="009F24A5" w:rsidRDefault="00CF303B" w:rsidP="006C7C2D">
            <w:pPr>
              <w:ind w:left="357"/>
              <w:rPr>
                <w:color w:val="FF0000"/>
              </w:rPr>
            </w:pPr>
          </w:p>
          <w:p w14:paraId="3BF334B7" w14:textId="77777777" w:rsidR="00CF303B" w:rsidRPr="009F24A5" w:rsidRDefault="00CF303B" w:rsidP="006C7C2D">
            <w:pPr>
              <w:ind w:left="357"/>
              <w:rPr>
                <w:color w:val="FF0000"/>
              </w:rPr>
            </w:pPr>
          </w:p>
          <w:p w14:paraId="7C3A2273" w14:textId="77777777" w:rsidR="00CF303B" w:rsidRPr="009F24A5" w:rsidRDefault="00CF303B" w:rsidP="006C7C2D">
            <w:pPr>
              <w:ind w:left="357"/>
              <w:rPr>
                <w:color w:val="FF0000"/>
              </w:rPr>
            </w:pPr>
          </w:p>
          <w:p w14:paraId="5D488B0A" w14:textId="77777777" w:rsidR="00CF303B" w:rsidRPr="009F24A5" w:rsidRDefault="00CF303B" w:rsidP="006C7C2D">
            <w:pPr>
              <w:rPr>
                <w:color w:val="FF0000"/>
              </w:rPr>
            </w:pPr>
          </w:p>
        </w:tc>
      </w:tr>
    </w:tbl>
    <w:p w14:paraId="13AC19C9" w14:textId="77777777" w:rsidR="00CF303B" w:rsidRPr="009F24A5" w:rsidRDefault="00CF303B" w:rsidP="00CF303B">
      <w:pPr>
        <w:rPr>
          <w:color w:val="FF0000"/>
        </w:rPr>
      </w:pPr>
    </w:p>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9"/>
      </w:tblGrid>
      <w:tr w:rsidR="00CF303B" w:rsidRPr="009F24A5" w14:paraId="1F1E0497" w14:textId="77777777" w:rsidTr="006C7C2D">
        <w:tc>
          <w:tcPr>
            <w:tcW w:w="10459" w:type="dxa"/>
            <w:shd w:val="clear" w:color="auto" w:fill="auto"/>
          </w:tcPr>
          <w:p w14:paraId="4C65EDCA" w14:textId="77777777" w:rsidR="00CF303B" w:rsidRPr="00AC56F1" w:rsidRDefault="00CF303B" w:rsidP="006C7C2D">
            <w:pPr>
              <w:numPr>
                <w:ilvl w:val="1"/>
                <w:numId w:val="1"/>
              </w:numPr>
              <w:spacing w:after="60"/>
              <w:rPr>
                <w:b/>
              </w:rPr>
            </w:pPr>
            <w:r w:rsidRPr="00AC56F1">
              <w:rPr>
                <w:b/>
              </w:rPr>
              <w:t>The MHRA may publish consultation responses. Do you want your response to remain confidential?</w:t>
            </w:r>
          </w:p>
          <w:p w14:paraId="7D6039F1" w14:textId="77777777" w:rsidR="00CF303B" w:rsidRPr="00AC56F1" w:rsidRDefault="00CF303B" w:rsidP="006C7C2D">
            <w:r w:rsidRPr="00AC56F1">
              <w:t xml:space="preserve">Yes </w:t>
            </w:r>
            <w:r w:rsidRPr="00AC56F1">
              <w:sym w:font="Wingdings" w:char="F06F"/>
            </w:r>
            <w:r w:rsidRPr="00AC56F1">
              <w:tab/>
            </w:r>
            <w:r w:rsidRPr="00AC56F1">
              <w:tab/>
            </w:r>
            <w:r w:rsidRPr="00AC56F1">
              <w:tab/>
              <w:t xml:space="preserve">Partially* </w:t>
            </w:r>
            <w:r w:rsidRPr="00AC56F1">
              <w:sym w:font="Wingdings" w:char="F06F"/>
            </w:r>
            <w:r w:rsidRPr="00AC56F1">
              <w:t xml:space="preserve"> </w:t>
            </w:r>
            <w:r w:rsidRPr="00AC56F1">
              <w:tab/>
            </w:r>
            <w:r w:rsidRPr="00AC56F1">
              <w:tab/>
            </w:r>
            <w:r w:rsidRPr="00AC56F1">
              <w:tab/>
              <w:t xml:space="preserve">No </w:t>
            </w:r>
            <w:r w:rsidRPr="00AC56F1">
              <w:sym w:font="Wingdings" w:char="F06F"/>
            </w:r>
            <w:r w:rsidRPr="00AC56F1">
              <w:tab/>
            </w:r>
            <w:r w:rsidRPr="00AC56F1">
              <w:tab/>
            </w:r>
          </w:p>
          <w:p w14:paraId="6F9BD167" w14:textId="77777777" w:rsidR="00CF303B" w:rsidRPr="00AC56F1" w:rsidRDefault="00CF303B" w:rsidP="006C7C2D">
            <w:pPr>
              <w:ind w:left="357"/>
            </w:pPr>
          </w:p>
          <w:p w14:paraId="47BD4A30" w14:textId="77777777" w:rsidR="00CF303B" w:rsidRPr="00AC56F1" w:rsidRDefault="00CF303B" w:rsidP="006C7C2D">
            <w:pPr>
              <w:ind w:left="145"/>
              <w:rPr>
                <w:sz w:val="18"/>
                <w:szCs w:val="18"/>
              </w:rPr>
            </w:pPr>
            <w:r w:rsidRPr="00AC56F1">
              <w:rPr>
                <w:sz w:val="18"/>
                <w:szCs w:val="18"/>
              </w:rPr>
              <w:t xml:space="preserve">*If partially, please indicate which parts you wish to remain confidential. In line with the Freedom of Information Act 2000, if we receive a request for disclosure of the </w:t>
            </w:r>
            <w:proofErr w:type="gramStart"/>
            <w:r w:rsidRPr="00AC56F1">
              <w:rPr>
                <w:sz w:val="18"/>
                <w:szCs w:val="18"/>
              </w:rPr>
              <w:t>information</w:t>
            </w:r>
            <w:proofErr w:type="gramEnd"/>
            <w:r w:rsidRPr="00AC56F1">
              <w:rPr>
                <w:sz w:val="18"/>
                <w:szCs w:val="18"/>
              </w:rPr>
              <w:t xml:space="preserve"> we will take full account of your explanation, but we cannot give an assurance that confidentiality can be maintained in all circumstances. Responses to consultation will not normally be released under FOI until the regulatory process is complete.</w:t>
            </w:r>
          </w:p>
          <w:p w14:paraId="43D3F153" w14:textId="77777777" w:rsidR="00CF303B" w:rsidRPr="009F24A5" w:rsidRDefault="00CF303B" w:rsidP="006C7C2D">
            <w:pPr>
              <w:ind w:left="357"/>
              <w:rPr>
                <w:color w:val="FF0000"/>
              </w:rPr>
            </w:pPr>
          </w:p>
          <w:p w14:paraId="34DDC77B" w14:textId="77777777" w:rsidR="00CF303B" w:rsidRPr="009F24A5" w:rsidRDefault="00CF303B" w:rsidP="006C7C2D">
            <w:pPr>
              <w:ind w:left="357"/>
              <w:rPr>
                <w:color w:val="FF0000"/>
              </w:rPr>
            </w:pPr>
          </w:p>
          <w:p w14:paraId="3B3A9AB7" w14:textId="77777777" w:rsidR="00CF303B" w:rsidRPr="009F24A5" w:rsidRDefault="00CF303B" w:rsidP="006C7C2D">
            <w:pPr>
              <w:ind w:left="357"/>
              <w:rPr>
                <w:color w:val="FF0000"/>
              </w:rPr>
            </w:pPr>
          </w:p>
          <w:p w14:paraId="524E40EF" w14:textId="77777777" w:rsidR="00CF303B" w:rsidRPr="009F24A5" w:rsidRDefault="00CF303B" w:rsidP="006C7C2D">
            <w:pPr>
              <w:ind w:left="357"/>
              <w:rPr>
                <w:color w:val="FF0000"/>
              </w:rPr>
            </w:pPr>
          </w:p>
        </w:tc>
      </w:tr>
    </w:tbl>
    <w:p w14:paraId="5DA2E0AE" w14:textId="77777777" w:rsidR="00CF303B" w:rsidRPr="009F24A5" w:rsidRDefault="00CF303B" w:rsidP="00CF303B">
      <w:pPr>
        <w:rPr>
          <w:color w:val="FF0000"/>
        </w:rPr>
      </w:pPr>
    </w:p>
    <w:p w14:paraId="4C926C85" w14:textId="0CAC03E2" w:rsidR="00CF303B" w:rsidRPr="00AC56F1" w:rsidRDefault="00CF303B" w:rsidP="00CF303B">
      <w:pPr>
        <w:rPr>
          <w:b/>
        </w:rPr>
      </w:pPr>
      <w:r w:rsidRPr="00AC56F1">
        <w:t>Responses can be continued onto a separate page if required. This form should be returned by email (</w:t>
      </w:r>
      <w:r w:rsidRPr="00AC56F1">
        <w:rPr>
          <w:u w:val="single"/>
        </w:rPr>
        <w:t>reclassification@mhra.gov.uk</w:t>
      </w:r>
      <w:r w:rsidRPr="00AC56F1">
        <w:t xml:space="preserve">) to arrive by </w:t>
      </w:r>
      <w:r w:rsidR="00513670">
        <w:rPr>
          <w:b/>
          <w:bCs/>
        </w:rPr>
        <w:t>3</w:t>
      </w:r>
      <w:r>
        <w:rPr>
          <w:b/>
          <w:bCs/>
        </w:rPr>
        <w:t xml:space="preserve"> June</w:t>
      </w:r>
      <w:r w:rsidRPr="00AC56F1">
        <w:rPr>
          <w:b/>
          <w:bCs/>
        </w:rPr>
        <w:t xml:space="preserve"> 202</w:t>
      </w:r>
      <w:r>
        <w:rPr>
          <w:b/>
          <w:bCs/>
        </w:rPr>
        <w:t>1</w:t>
      </w:r>
      <w:r w:rsidRPr="00AC56F1">
        <w:rPr>
          <w:b/>
          <w:bCs/>
        </w:rPr>
        <w:t xml:space="preserve">. </w:t>
      </w:r>
      <w:r w:rsidRPr="00AC56F1">
        <w:rPr>
          <w:bCs/>
        </w:rPr>
        <w:t>Contributions</w:t>
      </w:r>
      <w:r w:rsidRPr="00AC56F1">
        <w:t xml:space="preserve"> received after that date cannot be included in the exercise.</w:t>
      </w:r>
    </w:p>
    <w:p w14:paraId="792B040B" w14:textId="77777777" w:rsidR="00B8761D" w:rsidRDefault="00B8761D"/>
    <w:sectPr w:rsidR="00B8761D" w:rsidSect="00A13C5E">
      <w:footerReference w:type="even" r:id="rId7"/>
      <w:footerReference w:type="default" r:id="rId8"/>
      <w:headerReference w:type="first" r:id="rId9"/>
      <w:pgSz w:w="11906" w:h="16838" w:code="9"/>
      <w:pgMar w:top="851" w:right="1134" w:bottom="1701" w:left="851"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8843B" w14:textId="77777777" w:rsidR="0027325C" w:rsidRDefault="0027325C">
      <w:r>
        <w:separator/>
      </w:r>
    </w:p>
  </w:endnote>
  <w:endnote w:type="continuationSeparator" w:id="0">
    <w:p w14:paraId="37776882" w14:textId="77777777" w:rsidR="0027325C" w:rsidRDefault="0027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7A05" w14:textId="77777777" w:rsidR="007D4E80" w:rsidRDefault="00CF303B"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6C84A" w14:textId="77777777" w:rsidR="007D4E80" w:rsidRDefault="0027325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5F63" w14:textId="77777777" w:rsidR="000F5CA6" w:rsidRDefault="00CF303B">
    <w:pPr>
      <w:pStyle w:val="Footer"/>
      <w:jc w:val="center"/>
    </w:pPr>
    <w:r>
      <w:fldChar w:fldCharType="begin"/>
    </w:r>
    <w:r>
      <w:instrText xml:space="preserve"> PAGE   \* MERGEFORMAT </w:instrText>
    </w:r>
    <w:r>
      <w:fldChar w:fldCharType="separate"/>
    </w:r>
    <w:r>
      <w:rPr>
        <w:noProof/>
      </w:rPr>
      <w:t>2</w:t>
    </w:r>
    <w:r>
      <w:rPr>
        <w:noProof/>
      </w:rPr>
      <w:fldChar w:fldCharType="end"/>
    </w:r>
  </w:p>
  <w:p w14:paraId="08EF362E" w14:textId="77777777" w:rsidR="000F5CA6" w:rsidRDefault="00273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6CC4B" w14:textId="77777777" w:rsidR="0027325C" w:rsidRDefault="0027325C">
      <w:r>
        <w:separator/>
      </w:r>
    </w:p>
  </w:footnote>
  <w:footnote w:type="continuationSeparator" w:id="0">
    <w:p w14:paraId="6C51A7B5" w14:textId="77777777" w:rsidR="0027325C" w:rsidRDefault="0027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823B2" w14:textId="60AE4E2D" w:rsidR="007D4E80" w:rsidRPr="005758AD" w:rsidRDefault="00CF303B" w:rsidP="005758AD">
    <w:pPr>
      <w:pStyle w:val="Header"/>
      <w:spacing w:after="480"/>
      <w:rPr>
        <w:sz w:val="22"/>
        <w:szCs w:val="22"/>
      </w:rPr>
    </w:pPr>
    <w:r>
      <w:rPr>
        <w:noProof/>
      </w:rPr>
      <w:drawing>
        <wp:anchor distT="0" distB="0" distL="114300" distR="114300" simplePos="0" relativeHeight="251659264" behindDoc="1" locked="0" layoutInCell="1" allowOverlap="1" wp14:anchorId="285A0714" wp14:editId="51EBDDF1">
          <wp:simplePos x="0" y="0"/>
          <wp:positionH relativeFrom="page">
            <wp:posOffset>4770755</wp:posOffset>
          </wp:positionH>
          <wp:positionV relativeFrom="page">
            <wp:posOffset>532130</wp:posOffset>
          </wp:positionV>
          <wp:extent cx="2160270" cy="6654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3628" t="34924" r="4620"/>
                  <a:stretch>
                    <a:fillRect/>
                  </a:stretch>
                </pic:blipFill>
                <pic:spPr bwMode="auto">
                  <a:xfrm>
                    <a:off x="0" y="0"/>
                    <a:ext cx="2160270" cy="665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0CE5F29" wp14:editId="7CFE4FD7">
          <wp:extent cx="27908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08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8A27AC"/>
    <w:multiLevelType w:val="hybridMultilevel"/>
    <w:tmpl w:val="D40C826A"/>
    <w:lvl w:ilvl="0" w:tplc="D8605728">
      <w:start w:val="1"/>
      <w:numFmt w:val="bullet"/>
      <w:lvlText w:val="-"/>
      <w:lvlJc w:val="left"/>
      <w:pPr>
        <w:tabs>
          <w:tab w:val="num" w:pos="927"/>
        </w:tabs>
        <w:ind w:left="927" w:hanging="360"/>
      </w:pPr>
      <w:rPr>
        <w:rFonts w:ascii="Courier New" w:hAnsi="Courier New" w:hint="default"/>
      </w:rPr>
    </w:lvl>
    <w:lvl w:ilvl="1" w:tplc="FFFFFFFF">
      <w:start w:val="1"/>
      <w:numFmt w:val="decimal"/>
      <w:lvlText w:val="%2."/>
      <w:lvlJc w:val="left"/>
      <w:pPr>
        <w:tabs>
          <w:tab w:val="num" w:pos="357"/>
        </w:tabs>
        <w:ind w:left="357" w:hanging="360"/>
      </w:pPr>
      <w:rPr>
        <w:rFonts w:hint="default"/>
        <w:effect w:val="none"/>
      </w:rPr>
    </w:lvl>
    <w:lvl w:ilvl="2" w:tplc="08090005">
      <w:start w:val="1"/>
      <w:numFmt w:val="bullet"/>
      <w:lvlText w:val=""/>
      <w:lvlJc w:val="left"/>
      <w:pPr>
        <w:tabs>
          <w:tab w:val="num" w:pos="1077"/>
        </w:tabs>
        <w:ind w:left="1077" w:hanging="360"/>
      </w:pPr>
      <w:rPr>
        <w:rFonts w:ascii="Wingdings" w:hAnsi="Wingdings" w:hint="default"/>
      </w:rPr>
    </w:lvl>
    <w:lvl w:ilvl="3" w:tplc="08090001">
      <w:start w:val="1"/>
      <w:numFmt w:val="bullet"/>
      <w:lvlText w:val=""/>
      <w:lvlJc w:val="left"/>
      <w:pPr>
        <w:tabs>
          <w:tab w:val="num" w:pos="1797"/>
        </w:tabs>
        <w:ind w:left="1797" w:hanging="360"/>
      </w:pPr>
      <w:rPr>
        <w:rFonts w:ascii="Symbol" w:hAnsi="Symbol" w:hint="default"/>
      </w:rPr>
    </w:lvl>
    <w:lvl w:ilvl="4" w:tplc="08090003" w:tentative="1">
      <w:start w:val="1"/>
      <w:numFmt w:val="bullet"/>
      <w:lvlText w:val="o"/>
      <w:lvlJc w:val="left"/>
      <w:pPr>
        <w:tabs>
          <w:tab w:val="num" w:pos="2517"/>
        </w:tabs>
        <w:ind w:left="2517" w:hanging="360"/>
      </w:pPr>
      <w:rPr>
        <w:rFonts w:ascii="Courier New" w:hAnsi="Courier New" w:cs="Courier New" w:hint="default"/>
      </w:rPr>
    </w:lvl>
    <w:lvl w:ilvl="5" w:tplc="08090005" w:tentative="1">
      <w:start w:val="1"/>
      <w:numFmt w:val="bullet"/>
      <w:lvlText w:val=""/>
      <w:lvlJc w:val="left"/>
      <w:pPr>
        <w:tabs>
          <w:tab w:val="num" w:pos="3237"/>
        </w:tabs>
        <w:ind w:left="3237" w:hanging="360"/>
      </w:pPr>
      <w:rPr>
        <w:rFonts w:ascii="Wingdings" w:hAnsi="Wingdings" w:hint="default"/>
      </w:rPr>
    </w:lvl>
    <w:lvl w:ilvl="6" w:tplc="08090001" w:tentative="1">
      <w:start w:val="1"/>
      <w:numFmt w:val="bullet"/>
      <w:lvlText w:val=""/>
      <w:lvlJc w:val="left"/>
      <w:pPr>
        <w:tabs>
          <w:tab w:val="num" w:pos="3957"/>
        </w:tabs>
        <w:ind w:left="3957" w:hanging="360"/>
      </w:pPr>
      <w:rPr>
        <w:rFonts w:ascii="Symbol" w:hAnsi="Symbol" w:hint="default"/>
      </w:rPr>
    </w:lvl>
    <w:lvl w:ilvl="7" w:tplc="08090003" w:tentative="1">
      <w:start w:val="1"/>
      <w:numFmt w:val="bullet"/>
      <w:lvlText w:val="o"/>
      <w:lvlJc w:val="left"/>
      <w:pPr>
        <w:tabs>
          <w:tab w:val="num" w:pos="4677"/>
        </w:tabs>
        <w:ind w:left="4677" w:hanging="360"/>
      </w:pPr>
      <w:rPr>
        <w:rFonts w:ascii="Courier New" w:hAnsi="Courier New" w:cs="Courier New" w:hint="default"/>
      </w:rPr>
    </w:lvl>
    <w:lvl w:ilvl="8" w:tplc="08090005" w:tentative="1">
      <w:start w:val="1"/>
      <w:numFmt w:val="bullet"/>
      <w:lvlText w:val=""/>
      <w:lvlJc w:val="left"/>
      <w:pPr>
        <w:tabs>
          <w:tab w:val="num" w:pos="5397"/>
        </w:tabs>
        <w:ind w:left="53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3B"/>
    <w:rsid w:val="0027325C"/>
    <w:rsid w:val="00513670"/>
    <w:rsid w:val="00B8761D"/>
    <w:rsid w:val="00CF3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B1A10"/>
  <w15:chartTrackingRefBased/>
  <w15:docId w15:val="{C1D94A25-8919-4333-B93E-9C587A4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03B"/>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rsid w:val="00CF303B"/>
    <w:pPr>
      <w:spacing w:after="0" w:line="240" w:lineRule="auto"/>
    </w:pPr>
    <w:rPr>
      <w:rFonts w:ascii="Arial" w:eastAsia="Times New Roman" w:hAnsi="Arial" w:cs="Times New Roman"/>
      <w:sz w:val="18"/>
      <w:szCs w:val="24"/>
      <w:lang w:eastAsia="en-GB"/>
    </w:rPr>
  </w:style>
  <w:style w:type="character" w:customStyle="1" w:styleId="HeaderChar">
    <w:name w:val="Header Char"/>
    <w:basedOn w:val="DefaultParagraphFont"/>
    <w:link w:val="Header"/>
    <w:semiHidden/>
    <w:rsid w:val="00CF303B"/>
    <w:rPr>
      <w:rFonts w:ascii="Arial" w:eastAsia="Times New Roman" w:hAnsi="Arial" w:cs="Times New Roman"/>
      <w:sz w:val="18"/>
      <w:szCs w:val="24"/>
      <w:lang w:eastAsia="en-GB"/>
    </w:rPr>
  </w:style>
  <w:style w:type="paragraph" w:styleId="Footer">
    <w:name w:val="footer"/>
    <w:link w:val="FooterChar"/>
    <w:uiPriority w:val="99"/>
    <w:rsid w:val="00CF303B"/>
    <w:pPr>
      <w:spacing w:after="0" w:line="240" w:lineRule="auto"/>
      <w:jc w:val="right"/>
    </w:pPr>
    <w:rPr>
      <w:rFonts w:ascii="Arial" w:eastAsia="Times New Roman" w:hAnsi="Arial" w:cs="Times New Roman"/>
      <w:sz w:val="18"/>
      <w:szCs w:val="24"/>
      <w:lang w:eastAsia="en-GB"/>
    </w:rPr>
  </w:style>
  <w:style w:type="character" w:customStyle="1" w:styleId="FooterChar">
    <w:name w:val="Footer Char"/>
    <w:basedOn w:val="DefaultParagraphFont"/>
    <w:link w:val="Footer"/>
    <w:uiPriority w:val="99"/>
    <w:rsid w:val="00CF303B"/>
    <w:rPr>
      <w:rFonts w:ascii="Arial" w:eastAsia="Times New Roman" w:hAnsi="Arial" w:cs="Times New Roman"/>
      <w:sz w:val="18"/>
      <w:szCs w:val="24"/>
      <w:lang w:eastAsia="en-GB"/>
    </w:rPr>
  </w:style>
  <w:style w:type="character" w:styleId="PageNumber">
    <w:name w:val="page number"/>
    <w:basedOn w:val="DefaultParagraphFont"/>
    <w:semiHidden/>
    <w:rsid w:val="00CF3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Woolley, Hannah</dc:creator>
  <cp:keywords/>
  <dc:description/>
  <cp:lastModifiedBy>Woolley, Hannah</cp:lastModifiedBy>
  <cp:revision>2</cp:revision>
  <dcterms:created xsi:type="dcterms:W3CDTF">2021-05-10T10:43:00Z</dcterms:created>
  <dcterms:modified xsi:type="dcterms:W3CDTF">2021-05-13T09:53:00Z</dcterms:modified>
</cp:coreProperties>
</file>