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0CA1" w14:textId="77777777" w:rsidR="000B0589" w:rsidRDefault="000B0589" w:rsidP="00BC2702">
      <w:pPr>
        <w:pStyle w:val="Conditions1"/>
        <w:numPr>
          <w:ilvl w:val="0"/>
          <w:numId w:val="0"/>
        </w:numPr>
      </w:pPr>
      <w:r>
        <w:rPr>
          <w:noProof/>
        </w:rPr>
        <w:drawing>
          <wp:inline distT="0" distB="0" distL="0" distR="0" wp14:anchorId="303DA62A" wp14:editId="481C6D41">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FB835F5" w14:textId="77777777" w:rsidR="000B0589" w:rsidRDefault="000B0589" w:rsidP="00A5760C"/>
    <w:p w14:paraId="18FADE0F"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EAD33A6" w14:textId="77777777" w:rsidTr="006C1DD0">
        <w:trPr>
          <w:cantSplit/>
          <w:trHeight w:val="23"/>
        </w:trPr>
        <w:tc>
          <w:tcPr>
            <w:tcW w:w="9356" w:type="dxa"/>
            <w:shd w:val="clear" w:color="auto" w:fill="auto"/>
          </w:tcPr>
          <w:p w14:paraId="6B25A80F" w14:textId="3B1E58C6" w:rsidR="000B0589" w:rsidRPr="006C1DD0" w:rsidRDefault="006C1DD0"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0EF0A931" w14:textId="77777777" w:rsidTr="006C1DD0">
        <w:trPr>
          <w:cantSplit/>
          <w:trHeight w:val="23"/>
        </w:trPr>
        <w:tc>
          <w:tcPr>
            <w:tcW w:w="9356" w:type="dxa"/>
            <w:shd w:val="clear" w:color="auto" w:fill="auto"/>
            <w:vAlign w:val="center"/>
          </w:tcPr>
          <w:p w14:paraId="75A325DE" w14:textId="4D2F6849" w:rsidR="000B0589" w:rsidRPr="006C1DD0" w:rsidRDefault="006C1DD0" w:rsidP="006C1DD0">
            <w:pPr>
              <w:spacing w:before="60"/>
              <w:ind w:left="-108" w:right="34"/>
              <w:rPr>
                <w:color w:val="000000"/>
                <w:szCs w:val="22"/>
              </w:rPr>
            </w:pPr>
            <w:r>
              <w:rPr>
                <w:color w:val="000000"/>
                <w:szCs w:val="22"/>
              </w:rPr>
              <w:t xml:space="preserve">Site visit made on </w:t>
            </w:r>
            <w:r w:rsidR="00A970E3">
              <w:rPr>
                <w:color w:val="000000"/>
                <w:szCs w:val="22"/>
              </w:rPr>
              <w:t>19</w:t>
            </w:r>
            <w:r w:rsidR="002723E8">
              <w:rPr>
                <w:color w:val="000000"/>
                <w:szCs w:val="22"/>
              </w:rPr>
              <w:t xml:space="preserve"> February</w:t>
            </w:r>
            <w:r>
              <w:rPr>
                <w:color w:val="000000"/>
                <w:szCs w:val="22"/>
              </w:rPr>
              <w:t xml:space="preserve"> 2021</w:t>
            </w:r>
          </w:p>
        </w:tc>
      </w:tr>
      <w:tr w:rsidR="000B0589" w:rsidRPr="00361890" w14:paraId="6A451F41" w14:textId="77777777" w:rsidTr="006C1DD0">
        <w:trPr>
          <w:cantSplit/>
          <w:trHeight w:val="23"/>
        </w:trPr>
        <w:tc>
          <w:tcPr>
            <w:tcW w:w="9356" w:type="dxa"/>
            <w:shd w:val="clear" w:color="auto" w:fill="auto"/>
          </w:tcPr>
          <w:p w14:paraId="419773E0" w14:textId="63B702B4" w:rsidR="000B0589" w:rsidRPr="006C1DD0" w:rsidRDefault="006C1DD0" w:rsidP="006C1DD0">
            <w:pPr>
              <w:spacing w:before="180"/>
              <w:ind w:left="-108" w:right="34"/>
              <w:rPr>
                <w:b/>
                <w:color w:val="000000"/>
                <w:sz w:val="16"/>
                <w:szCs w:val="22"/>
              </w:rPr>
            </w:pPr>
            <w:r>
              <w:rPr>
                <w:b/>
                <w:color w:val="000000"/>
                <w:szCs w:val="22"/>
              </w:rPr>
              <w:t xml:space="preserve">by R J Perrins MA </w:t>
            </w:r>
          </w:p>
        </w:tc>
      </w:tr>
      <w:tr w:rsidR="000B0589" w:rsidRPr="00361890" w14:paraId="6AADEEB8" w14:textId="77777777" w:rsidTr="006C1DD0">
        <w:trPr>
          <w:cantSplit/>
          <w:trHeight w:val="23"/>
        </w:trPr>
        <w:tc>
          <w:tcPr>
            <w:tcW w:w="9356" w:type="dxa"/>
            <w:shd w:val="clear" w:color="auto" w:fill="auto"/>
          </w:tcPr>
          <w:p w14:paraId="78CCFA5E" w14:textId="77777777" w:rsidR="000B0589" w:rsidRPr="006C1DD0" w:rsidRDefault="006C1DD0"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771963F" w14:textId="77777777" w:rsidTr="006C1DD0">
        <w:trPr>
          <w:cantSplit/>
          <w:trHeight w:val="23"/>
        </w:trPr>
        <w:tc>
          <w:tcPr>
            <w:tcW w:w="9356" w:type="dxa"/>
            <w:shd w:val="clear" w:color="auto" w:fill="auto"/>
          </w:tcPr>
          <w:p w14:paraId="2DABEB60" w14:textId="678EDAF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506AEB">
              <w:rPr>
                <w:b/>
                <w:color w:val="000000"/>
                <w:sz w:val="16"/>
                <w:szCs w:val="16"/>
              </w:rPr>
              <w:t xml:space="preserve"> 1 March 2021</w:t>
            </w:r>
          </w:p>
        </w:tc>
      </w:tr>
    </w:tbl>
    <w:p w14:paraId="4E5ADAAF" w14:textId="77777777" w:rsidR="006C1DD0" w:rsidRDefault="006C1DD0" w:rsidP="000B0589"/>
    <w:tbl>
      <w:tblPr>
        <w:tblW w:w="0" w:type="auto"/>
        <w:tblLayout w:type="fixed"/>
        <w:tblLook w:val="0000" w:firstRow="0" w:lastRow="0" w:firstColumn="0" w:lastColumn="0" w:noHBand="0" w:noVBand="0"/>
      </w:tblPr>
      <w:tblGrid>
        <w:gridCol w:w="9520"/>
      </w:tblGrid>
      <w:tr w:rsidR="006C1DD0" w14:paraId="232CB324" w14:textId="77777777" w:rsidTr="006C1DD0">
        <w:tc>
          <w:tcPr>
            <w:tcW w:w="9520" w:type="dxa"/>
            <w:shd w:val="clear" w:color="auto" w:fill="auto"/>
          </w:tcPr>
          <w:p w14:paraId="5328387A" w14:textId="13631E6E" w:rsidR="006C1DD0" w:rsidRDefault="006C1DD0" w:rsidP="000B0589">
            <w:pPr>
              <w:rPr>
                <w:b/>
                <w:color w:val="000000"/>
              </w:rPr>
            </w:pPr>
            <w:r>
              <w:rPr>
                <w:b/>
                <w:color w:val="000000"/>
              </w:rPr>
              <w:t>Ap</w:t>
            </w:r>
            <w:r w:rsidR="00FF6FFF">
              <w:rPr>
                <w:b/>
                <w:color w:val="000000"/>
              </w:rPr>
              <w:t>plication</w:t>
            </w:r>
            <w:r>
              <w:rPr>
                <w:b/>
                <w:color w:val="000000"/>
              </w:rPr>
              <w:t xml:space="preserve"> Ref: COM/326</w:t>
            </w:r>
            <w:r w:rsidR="002723E8">
              <w:rPr>
                <w:b/>
                <w:color w:val="000000"/>
              </w:rPr>
              <w:t>57</w:t>
            </w:r>
            <w:r w:rsidR="00676BD8">
              <w:rPr>
                <w:b/>
                <w:color w:val="000000"/>
              </w:rPr>
              <w:t>9</w:t>
            </w:r>
            <w:r w:rsidR="002723E8">
              <w:rPr>
                <w:b/>
                <w:color w:val="000000"/>
              </w:rPr>
              <w:t>7</w:t>
            </w:r>
          </w:p>
          <w:p w14:paraId="050B724D" w14:textId="3CFFA51E" w:rsidR="006C1DD0" w:rsidRPr="006C1DD0" w:rsidRDefault="002723E8" w:rsidP="006C1DD0">
            <w:pPr>
              <w:spacing w:after="60"/>
              <w:rPr>
                <w:b/>
                <w:color w:val="000000"/>
              </w:rPr>
            </w:pPr>
            <w:r>
              <w:rPr>
                <w:b/>
                <w:color w:val="000000"/>
              </w:rPr>
              <w:t>Tooting Bec</w:t>
            </w:r>
            <w:r w:rsidR="006C1DD0">
              <w:rPr>
                <w:b/>
                <w:color w:val="000000"/>
              </w:rPr>
              <w:t xml:space="preserve"> Common, </w:t>
            </w:r>
            <w:r>
              <w:rPr>
                <w:b/>
                <w:color w:val="000000"/>
              </w:rPr>
              <w:t>London SW16</w:t>
            </w:r>
          </w:p>
        </w:tc>
      </w:tr>
      <w:tr w:rsidR="006C1DD0" w14:paraId="6653C6D7" w14:textId="77777777" w:rsidTr="006C1DD0">
        <w:tc>
          <w:tcPr>
            <w:tcW w:w="9520" w:type="dxa"/>
            <w:shd w:val="clear" w:color="auto" w:fill="auto"/>
          </w:tcPr>
          <w:p w14:paraId="06A0EA93" w14:textId="16498E3D" w:rsidR="006C1DD0" w:rsidRDefault="006C1DD0" w:rsidP="00600169">
            <w:pPr>
              <w:pStyle w:val="TBullet"/>
            </w:pPr>
            <w:r>
              <w:t xml:space="preserve">The application, </w:t>
            </w:r>
            <w:r w:rsidR="006E43AB">
              <w:t xml:space="preserve">dated </w:t>
            </w:r>
            <w:r w:rsidR="00546020">
              <w:t>11 December</w:t>
            </w:r>
            <w:r w:rsidR="006E43AB">
              <w:t xml:space="preserve"> 2020</w:t>
            </w:r>
            <w:r>
              <w:t xml:space="preserve">, </w:t>
            </w:r>
            <w:r w:rsidR="00600169">
              <w:t>is made under Article 12 of the Ministry of Housing and Local Government Provisional Order Confirmation (Greater London Parks and Open Spaces) Act 1967 (‘the 1967 Act’) for consent to construct works on common land.</w:t>
            </w:r>
          </w:p>
        </w:tc>
      </w:tr>
      <w:tr w:rsidR="006C1DD0" w14:paraId="71DFED77" w14:textId="77777777" w:rsidTr="006C1DD0">
        <w:tc>
          <w:tcPr>
            <w:tcW w:w="9520" w:type="dxa"/>
            <w:shd w:val="clear" w:color="auto" w:fill="auto"/>
          </w:tcPr>
          <w:p w14:paraId="31785EF7" w14:textId="19FCB22F" w:rsidR="006C1DD0" w:rsidRDefault="006C1DD0" w:rsidP="006C1DD0">
            <w:pPr>
              <w:pStyle w:val="TBullet"/>
            </w:pPr>
            <w:r>
              <w:t>The app</w:t>
            </w:r>
            <w:r w:rsidR="00143236">
              <w:t>lication</w:t>
            </w:r>
            <w:r>
              <w:t xml:space="preserve"> is made by </w:t>
            </w:r>
            <w:r w:rsidR="001F44F4">
              <w:t>Wandsworth Borough Council</w:t>
            </w:r>
            <w:r>
              <w:t>.</w:t>
            </w:r>
          </w:p>
        </w:tc>
      </w:tr>
      <w:tr w:rsidR="006C1DD0" w14:paraId="6FD532ED" w14:textId="77777777" w:rsidTr="006C1DD0">
        <w:tc>
          <w:tcPr>
            <w:tcW w:w="9520" w:type="dxa"/>
            <w:shd w:val="clear" w:color="auto" w:fill="auto"/>
          </w:tcPr>
          <w:p w14:paraId="3189D0C4" w14:textId="77777777" w:rsidR="008568DC" w:rsidRDefault="006C1DD0" w:rsidP="00143236">
            <w:pPr>
              <w:pStyle w:val="TBullet"/>
            </w:pPr>
            <w:r>
              <w:t xml:space="preserve">The </w:t>
            </w:r>
            <w:r w:rsidR="00143236">
              <w:t xml:space="preserve">works are described as: </w:t>
            </w:r>
          </w:p>
          <w:p w14:paraId="0A12384B" w14:textId="6C09B855" w:rsidR="00481ACD" w:rsidRDefault="008568DC" w:rsidP="00481ACD">
            <w:pPr>
              <w:pStyle w:val="TBullet"/>
              <w:numPr>
                <w:ilvl w:val="0"/>
                <w:numId w:val="0"/>
              </w:numPr>
              <w:ind w:left="360"/>
            </w:pPr>
            <w:r>
              <w:t>Phase 1</w:t>
            </w:r>
            <w:r w:rsidR="00481ACD">
              <w:t>: T</w:t>
            </w:r>
            <w:r w:rsidR="00481ACD" w:rsidRPr="00481ACD">
              <w:t>he construction of a new electrical substation adjacent to the Lido pavilion and situated within the existing external boundary of the Lido</w:t>
            </w:r>
            <w:r w:rsidR="009C1E24">
              <w:t>.</w:t>
            </w:r>
          </w:p>
          <w:p w14:paraId="322B6B4F" w14:textId="6C6B9B6B" w:rsidR="00143236" w:rsidRDefault="00481ACD" w:rsidP="00481ACD">
            <w:pPr>
              <w:pStyle w:val="TBullet"/>
              <w:numPr>
                <w:ilvl w:val="0"/>
                <w:numId w:val="0"/>
              </w:numPr>
              <w:ind w:left="360"/>
            </w:pPr>
            <w:r>
              <w:t xml:space="preserve">Phase 2: </w:t>
            </w:r>
            <w:r w:rsidR="009C1E24">
              <w:t>T</w:t>
            </w:r>
            <w:r w:rsidR="009C1E24" w:rsidRPr="009C1E24">
              <w:t>he excavation of trenches for new high and low voltage power cables, the installation of those cables and their connections into the main supply (off site) and new equipment (on site), the backfilling of the trenches once cable installations are completed and the restoration of tarmac and grass surfaces to existing conditions as appropriate. Phase 2 works will run concurrently with Phase 1</w:t>
            </w:r>
            <w:r w:rsidR="00AC7B7F">
              <w:t>.</w:t>
            </w:r>
            <w:r w:rsidR="00143236">
              <w:t xml:space="preserve"> </w:t>
            </w:r>
          </w:p>
          <w:p w14:paraId="44853FDC" w14:textId="5AE05D64" w:rsidR="005F251C" w:rsidRDefault="005F251C" w:rsidP="00481ACD">
            <w:pPr>
              <w:pStyle w:val="TBullet"/>
              <w:numPr>
                <w:ilvl w:val="0"/>
                <w:numId w:val="0"/>
              </w:numPr>
              <w:ind w:left="360"/>
            </w:pPr>
            <w:r>
              <w:t xml:space="preserve">Phase 3: </w:t>
            </w:r>
            <w:r w:rsidR="00BC71A7">
              <w:t>T</w:t>
            </w:r>
            <w:r w:rsidR="00BC71A7" w:rsidRPr="00BC71A7">
              <w:t>he partial demolition of the lido pump house (south room) including the dismantling, removal and disposal of existing mechanical equipment and reconstruction on the existing footprint including the installation of new plant/equipment. The current built footprint remains unchanged</w:t>
            </w:r>
          </w:p>
          <w:p w14:paraId="0EBFD182" w14:textId="6A814182" w:rsidR="006C1DD0" w:rsidRDefault="006C1DD0" w:rsidP="00143236">
            <w:pPr>
              <w:pStyle w:val="TBullet"/>
              <w:numPr>
                <w:ilvl w:val="0"/>
                <w:numId w:val="0"/>
              </w:numPr>
              <w:ind w:left="360"/>
            </w:pPr>
          </w:p>
        </w:tc>
      </w:tr>
      <w:tr w:rsidR="006C1DD0" w14:paraId="008355F5" w14:textId="77777777" w:rsidTr="006C1DD0">
        <w:tc>
          <w:tcPr>
            <w:tcW w:w="9520" w:type="dxa"/>
            <w:tcBorders>
              <w:bottom w:val="single" w:sz="6" w:space="0" w:color="000000"/>
            </w:tcBorders>
            <w:shd w:val="clear" w:color="auto" w:fill="auto"/>
          </w:tcPr>
          <w:p w14:paraId="5CF36555" w14:textId="77777777" w:rsidR="006C1DD0" w:rsidRPr="006C1DD0" w:rsidRDefault="006C1DD0" w:rsidP="006C1DD0">
            <w:pPr>
              <w:rPr>
                <w:b/>
                <w:color w:val="000000"/>
                <w:sz w:val="4"/>
              </w:rPr>
            </w:pPr>
            <w:bookmarkStart w:id="1" w:name="bmkReturn"/>
            <w:bookmarkEnd w:id="1"/>
          </w:p>
        </w:tc>
      </w:tr>
    </w:tbl>
    <w:p w14:paraId="1B9DB698" w14:textId="3D0044C4" w:rsidR="000B0589" w:rsidRDefault="000B0589" w:rsidP="000B0589"/>
    <w:p w14:paraId="17851596" w14:textId="093832A2" w:rsidR="006C1DD0" w:rsidRDefault="006C1DD0" w:rsidP="006C1DD0">
      <w:pPr>
        <w:pStyle w:val="Heading6blackfont"/>
      </w:pPr>
      <w:r>
        <w:t>Decision</w:t>
      </w:r>
    </w:p>
    <w:p w14:paraId="2EE23F59" w14:textId="63E88BB0" w:rsidR="00FD4649" w:rsidRDefault="00FD4649" w:rsidP="007B2F73">
      <w:pPr>
        <w:pStyle w:val="Style1"/>
      </w:pPr>
      <w:r>
        <w:t>Consent is granted for the works in accordance with the application dated 11 December 2</w:t>
      </w:r>
      <w:r w:rsidR="005862F5">
        <w:t xml:space="preserve">020 </w:t>
      </w:r>
      <w:r>
        <w:t xml:space="preserve">and accompanying plans, subject to the following </w:t>
      </w:r>
      <w:r w:rsidR="00560EA4">
        <w:t>conditions: -</w:t>
      </w:r>
    </w:p>
    <w:p w14:paraId="38A511AC" w14:textId="3B91EBC6" w:rsidR="00FD4649" w:rsidRDefault="00DE50BA" w:rsidP="00DE50BA">
      <w:pPr>
        <w:pStyle w:val="Style1"/>
        <w:numPr>
          <w:ilvl w:val="0"/>
          <w:numId w:val="0"/>
        </w:numPr>
        <w:ind w:left="426" w:hanging="142"/>
      </w:pPr>
      <w:r>
        <w:tab/>
      </w:r>
      <w:r>
        <w:tab/>
      </w:r>
      <w:proofErr w:type="spellStart"/>
      <w:r w:rsidR="00FD4649">
        <w:t>i</w:t>
      </w:r>
      <w:proofErr w:type="spellEnd"/>
      <w:r w:rsidR="00FD4649">
        <w:t xml:space="preserve">. </w:t>
      </w:r>
      <w:r w:rsidR="007F6D1D">
        <w:t>T</w:t>
      </w:r>
      <w:r w:rsidR="00FD4649">
        <w:t>he works shall begin no later than three years from the date of this decision</w:t>
      </w:r>
      <w:r w:rsidR="007F6D1D">
        <w:t>.</w:t>
      </w:r>
    </w:p>
    <w:p w14:paraId="3AEBD09C" w14:textId="1DF8306A" w:rsidR="00FD4649" w:rsidRDefault="00FD4649" w:rsidP="00A574A3">
      <w:pPr>
        <w:pStyle w:val="Style1"/>
        <w:numPr>
          <w:ilvl w:val="0"/>
          <w:numId w:val="0"/>
        </w:numPr>
        <w:ind w:left="431"/>
      </w:pPr>
      <w:r>
        <w:t xml:space="preserve">ii. </w:t>
      </w:r>
      <w:r w:rsidR="007F6D1D">
        <w:t>A</w:t>
      </w:r>
      <w:r>
        <w:t>ll fencing shall be removed and the common shall be fully restored within one month</w:t>
      </w:r>
      <w:r w:rsidR="00A574A3">
        <w:t xml:space="preserve"> </w:t>
      </w:r>
      <w:r>
        <w:t>from the completion of the works.</w:t>
      </w:r>
      <w:r w:rsidR="00997348">
        <w:t xml:space="preserve"> </w:t>
      </w:r>
    </w:p>
    <w:p w14:paraId="4BFB27D9" w14:textId="1D1F01DA" w:rsidR="00143236" w:rsidRDefault="00FD4649" w:rsidP="00B453B3">
      <w:pPr>
        <w:pStyle w:val="Style1"/>
      </w:pPr>
      <w:r>
        <w:t>For the purposes of identification only</w:t>
      </w:r>
      <w:r w:rsidR="00E53DD1">
        <w:t>,</w:t>
      </w:r>
      <w:r>
        <w:t xml:space="preserve"> the location of the works is shown outlined on the attached </w:t>
      </w:r>
      <w:r w:rsidR="00E53DD1">
        <w:t>drawing</w:t>
      </w:r>
      <w:r>
        <w:t>.</w:t>
      </w:r>
    </w:p>
    <w:p w14:paraId="23D642A8" w14:textId="40CB05F7" w:rsidR="00491600" w:rsidRDefault="00491600" w:rsidP="006C1DD0">
      <w:pPr>
        <w:pStyle w:val="Heading6blackfont"/>
      </w:pPr>
      <w:r>
        <w:t>Preliminary Matters</w:t>
      </w:r>
    </w:p>
    <w:p w14:paraId="0B37709C" w14:textId="6A3C4AAB" w:rsidR="00491600" w:rsidRDefault="00491600" w:rsidP="00491600">
      <w:pPr>
        <w:pStyle w:val="Style1"/>
      </w:pPr>
      <w:r>
        <w:t xml:space="preserve">Following advertisement of the </w:t>
      </w:r>
      <w:r w:rsidR="00E71C9C">
        <w:t>application</w:t>
      </w:r>
      <w:r>
        <w:t xml:space="preserve">, </w:t>
      </w:r>
      <w:r w:rsidR="00F3342C">
        <w:t>r</w:t>
      </w:r>
      <w:r>
        <w:t xml:space="preserve">epresentation </w:t>
      </w:r>
      <w:r w:rsidR="0005477A">
        <w:t>was</w:t>
      </w:r>
      <w:r>
        <w:t xml:space="preserve"> received from </w:t>
      </w:r>
      <w:r w:rsidR="00BD344C">
        <w:t>Natural England and the</w:t>
      </w:r>
      <w:r w:rsidR="00FC731C">
        <w:t xml:space="preserve"> </w:t>
      </w:r>
      <w:r w:rsidR="00BD344C">
        <w:t>Op</w:t>
      </w:r>
      <w:r w:rsidR="00FC731C">
        <w:t>en</w:t>
      </w:r>
      <w:r w:rsidR="00BD344C">
        <w:t xml:space="preserve"> </w:t>
      </w:r>
      <w:r w:rsidR="00FC731C">
        <w:t>S</w:t>
      </w:r>
      <w:r w:rsidR="00BD344C">
        <w:t>paces Socie</w:t>
      </w:r>
      <w:r w:rsidR="00FC731C">
        <w:t xml:space="preserve">ty </w:t>
      </w:r>
      <w:r w:rsidR="00F04BE9">
        <w:t xml:space="preserve">who </w:t>
      </w:r>
      <w:r w:rsidR="00FC731C">
        <w:t>r</w:t>
      </w:r>
      <w:r w:rsidR="00F3342C">
        <w:t>a</w:t>
      </w:r>
      <w:r w:rsidR="00FC731C">
        <w:t>ise</w:t>
      </w:r>
      <w:r w:rsidR="00F04BE9">
        <w:t xml:space="preserve"> </w:t>
      </w:r>
      <w:r>
        <w:t>no objections</w:t>
      </w:r>
      <w:r w:rsidR="00FC731C">
        <w:t xml:space="preserve"> to</w:t>
      </w:r>
      <w:r>
        <w:t xml:space="preserve"> the proposal</w:t>
      </w:r>
      <w:r w:rsidR="00D86FBA">
        <w:t>. No other representations were received</w:t>
      </w:r>
      <w:r w:rsidR="00B212A8">
        <w:t>.</w:t>
      </w:r>
    </w:p>
    <w:p w14:paraId="2A0574F8" w14:textId="34E6F5E9" w:rsidR="00491600" w:rsidRDefault="00491600" w:rsidP="00AD2867">
      <w:pPr>
        <w:pStyle w:val="Style1"/>
      </w:pPr>
      <w:r>
        <w:t xml:space="preserve">I carried out an unaccompanied site visit on </w:t>
      </w:r>
      <w:r w:rsidR="00A970E3">
        <w:t>19</w:t>
      </w:r>
      <w:r w:rsidR="00BE64F8">
        <w:t xml:space="preserve"> </w:t>
      </w:r>
      <w:r w:rsidR="00FC731C">
        <w:t>February</w:t>
      </w:r>
      <w:r w:rsidR="0005477A">
        <w:t xml:space="preserve"> 2021</w:t>
      </w:r>
      <w:r>
        <w:t>. The weather</w:t>
      </w:r>
      <w:r w:rsidR="0005477A">
        <w:t xml:space="preserve"> </w:t>
      </w:r>
      <w:r>
        <w:t xml:space="preserve">on the day </w:t>
      </w:r>
      <w:r w:rsidRPr="00BE6C44">
        <w:t xml:space="preserve">was overcast </w:t>
      </w:r>
      <w:r w:rsidR="00BE64F8" w:rsidRPr="00BE6C44">
        <w:t>but dry</w:t>
      </w:r>
      <w:r w:rsidRPr="00BE6C44">
        <w:t>.</w:t>
      </w:r>
      <w:r>
        <w:t xml:space="preserve"> I walked extensively around the area of </w:t>
      </w:r>
      <w:r w:rsidR="00FC731C">
        <w:t xml:space="preserve">Tooting </w:t>
      </w:r>
      <w:r w:rsidR="00FC731C">
        <w:lastRenderedPageBreak/>
        <w:t>Bec</w:t>
      </w:r>
      <w:r w:rsidR="0005477A">
        <w:t xml:space="preserve"> </w:t>
      </w:r>
      <w:r w:rsidR="00BE6C44">
        <w:t xml:space="preserve">Lido and Common </w:t>
      </w:r>
      <w:r>
        <w:t>to familiarise myself</w:t>
      </w:r>
      <w:r w:rsidR="0005477A">
        <w:t xml:space="preserve"> </w:t>
      </w:r>
      <w:r>
        <w:t>with the general area and the location</w:t>
      </w:r>
      <w:r w:rsidR="00FC731C">
        <w:t>.</w:t>
      </w:r>
    </w:p>
    <w:p w14:paraId="2AF63248" w14:textId="5F47B48C" w:rsidR="00491600" w:rsidRPr="00491600" w:rsidRDefault="00491600" w:rsidP="00BF1C0D">
      <w:pPr>
        <w:pStyle w:val="Style1"/>
      </w:pPr>
      <w:r>
        <w:t xml:space="preserve">This application has been determined </w:t>
      </w:r>
      <w:proofErr w:type="gramStart"/>
      <w:r>
        <w:t>on the basis of</w:t>
      </w:r>
      <w:proofErr w:type="gramEnd"/>
      <w:r>
        <w:t xml:space="preserve"> the written evidence and my own observation of the site</w:t>
      </w:r>
      <w:r w:rsidR="003E75BE">
        <w:t xml:space="preserve"> and surrounds.</w:t>
      </w:r>
    </w:p>
    <w:p w14:paraId="1626A96B" w14:textId="22708804" w:rsidR="006C1DD0" w:rsidRDefault="006C1DD0" w:rsidP="006C1DD0">
      <w:pPr>
        <w:pStyle w:val="Heading6blackfont"/>
      </w:pPr>
      <w:r>
        <w:t>Main Issues</w:t>
      </w:r>
    </w:p>
    <w:p w14:paraId="2EF5A4F6" w14:textId="2A15AF74" w:rsidR="000A7AB3" w:rsidRDefault="000A7AB3" w:rsidP="00635F99">
      <w:pPr>
        <w:pStyle w:val="Style1"/>
      </w:pPr>
      <w:r>
        <w:t xml:space="preserve">I am required by section 39 of the </w:t>
      </w:r>
      <w:r w:rsidR="00A46F36">
        <w:t xml:space="preserve">Commons Act </w:t>
      </w:r>
      <w:r>
        <w:t xml:space="preserve">2006 to have regard to the following in </w:t>
      </w:r>
      <w:r w:rsidR="00436861">
        <w:t xml:space="preserve">determining </w:t>
      </w:r>
      <w:r w:rsidR="00436861" w:rsidRPr="009605B8">
        <w:t>applications</w:t>
      </w:r>
      <w:r w:rsidR="009605B8" w:rsidRPr="009605B8">
        <w:t xml:space="preserve"> under Article 12 of the 1967 </w:t>
      </w:r>
      <w:proofErr w:type="gramStart"/>
      <w:r w:rsidR="009605B8" w:rsidRPr="009605B8">
        <w:t>Act</w:t>
      </w:r>
      <w:r>
        <w:t>:-</w:t>
      </w:r>
      <w:proofErr w:type="gramEnd"/>
    </w:p>
    <w:p w14:paraId="6F436453" w14:textId="07980749" w:rsidR="000A7AB3" w:rsidRDefault="000A7AB3" w:rsidP="000A7AB3">
      <w:pPr>
        <w:pStyle w:val="Style1"/>
        <w:numPr>
          <w:ilvl w:val="0"/>
          <w:numId w:val="0"/>
        </w:numPr>
        <w:ind w:left="431"/>
      </w:pPr>
      <w:r>
        <w:t>a. the interests of persons having rights in relation to, or occupying, the land (and in particular persons exercising rights of common over it</w:t>
      </w:r>
      <w:proofErr w:type="gramStart"/>
      <w:r>
        <w:t>);</w:t>
      </w:r>
      <w:proofErr w:type="gramEnd"/>
    </w:p>
    <w:p w14:paraId="076CB393" w14:textId="77777777" w:rsidR="000A7AB3" w:rsidRDefault="000A7AB3" w:rsidP="000A7AB3">
      <w:pPr>
        <w:pStyle w:val="Style1"/>
        <w:numPr>
          <w:ilvl w:val="0"/>
          <w:numId w:val="0"/>
        </w:numPr>
        <w:ind w:left="431"/>
      </w:pPr>
      <w:r>
        <w:t xml:space="preserve">b. the interests of the </w:t>
      </w:r>
      <w:proofErr w:type="gramStart"/>
      <w:r>
        <w:t>neighbourhood;</w:t>
      </w:r>
      <w:proofErr w:type="gramEnd"/>
    </w:p>
    <w:p w14:paraId="7031C5C6" w14:textId="316AD9F6" w:rsidR="000A7AB3" w:rsidRDefault="000A7AB3" w:rsidP="00EA2B93">
      <w:pPr>
        <w:pStyle w:val="Style1"/>
        <w:numPr>
          <w:ilvl w:val="0"/>
          <w:numId w:val="0"/>
        </w:numPr>
        <w:ind w:left="431"/>
      </w:pPr>
      <w:r>
        <w:t>c. the public interest</w:t>
      </w:r>
      <w:r w:rsidR="00544ABB">
        <w:rPr>
          <w:rStyle w:val="FootnoteReference"/>
        </w:rPr>
        <w:footnoteReference w:id="1"/>
      </w:r>
      <w:r>
        <w:t>; and</w:t>
      </w:r>
    </w:p>
    <w:p w14:paraId="407D1FAF" w14:textId="77777777" w:rsidR="000A7AB3" w:rsidRDefault="000A7AB3" w:rsidP="00EA2B93">
      <w:pPr>
        <w:pStyle w:val="Style1"/>
        <w:numPr>
          <w:ilvl w:val="0"/>
          <w:numId w:val="0"/>
        </w:numPr>
        <w:ind w:left="431"/>
      </w:pPr>
      <w:r>
        <w:t>d. any other matter considered to be relevant.</w:t>
      </w:r>
    </w:p>
    <w:p w14:paraId="521EC710" w14:textId="00A5FC5A" w:rsidR="000A7AB3" w:rsidRPr="000A7AB3" w:rsidRDefault="000A7AB3" w:rsidP="00CA78D3">
      <w:pPr>
        <w:pStyle w:val="Style1"/>
      </w:pPr>
      <w:r>
        <w:t>In determining this application, I have had regard to the latest edition of</w:t>
      </w:r>
      <w:r w:rsidR="00EA2B93">
        <w:t xml:space="preserve"> </w:t>
      </w:r>
      <w:r>
        <w:t>Defra’s Common Land Consents Policy</w:t>
      </w:r>
      <w:r w:rsidR="002677F7">
        <w:rPr>
          <w:rStyle w:val="FootnoteReference"/>
        </w:rPr>
        <w:footnoteReference w:id="2"/>
      </w:r>
      <w:r w:rsidR="003F74B1">
        <w:t xml:space="preserve"> </w:t>
      </w:r>
      <w:r>
        <w:t>(‘the 2015 Policy’) which has been</w:t>
      </w:r>
      <w:r w:rsidR="003F74B1">
        <w:t xml:space="preserve"> </w:t>
      </w:r>
      <w:r>
        <w:t>published for the guidance of both the Planning Inspectorate and applicants.</w:t>
      </w:r>
      <w:r w:rsidR="003F74B1">
        <w:t xml:space="preserve"> </w:t>
      </w:r>
      <w:r>
        <w:t>However, every application will be considered on its merits and a determination</w:t>
      </w:r>
      <w:r w:rsidR="003F74B1">
        <w:t xml:space="preserve"> </w:t>
      </w:r>
      <w:r>
        <w:t>will depart from the policy if it appears appropriate to do so. In such cases, the</w:t>
      </w:r>
      <w:r w:rsidR="004A054B">
        <w:t xml:space="preserve"> </w:t>
      </w:r>
      <w:r>
        <w:t>decision will explain why it has departed from the policy.</w:t>
      </w:r>
    </w:p>
    <w:p w14:paraId="0C72B88B" w14:textId="1395940A" w:rsidR="00355FCC" w:rsidRDefault="006C1DD0" w:rsidP="006C1DD0">
      <w:pPr>
        <w:pStyle w:val="Heading6blackfont"/>
      </w:pPr>
      <w:r>
        <w:t>Reasons</w:t>
      </w:r>
    </w:p>
    <w:p w14:paraId="6C5D06EB" w14:textId="6335FC70" w:rsidR="00AA32A5" w:rsidRPr="00AA32A5" w:rsidRDefault="00AA32A5" w:rsidP="00AA32A5">
      <w:pPr>
        <w:pStyle w:val="Style1"/>
        <w:numPr>
          <w:ilvl w:val="0"/>
          <w:numId w:val="0"/>
        </w:numPr>
        <w:ind w:left="431" w:hanging="431"/>
        <w:rPr>
          <w:b/>
          <w:bCs/>
          <w:i/>
          <w:iCs/>
        </w:rPr>
      </w:pPr>
      <w:r w:rsidRPr="00AA32A5">
        <w:rPr>
          <w:b/>
          <w:bCs/>
          <w:i/>
          <w:iCs/>
        </w:rPr>
        <w:t>The interests of those occupying or having rights over the land</w:t>
      </w:r>
    </w:p>
    <w:p w14:paraId="3921EC20" w14:textId="0FBA70E9" w:rsidR="0065038F" w:rsidRDefault="00D81E04" w:rsidP="002911DA">
      <w:pPr>
        <w:pStyle w:val="Style1"/>
      </w:pPr>
      <w:r>
        <w:t>T</w:t>
      </w:r>
      <w:r w:rsidR="00294BD7">
        <w:t>here are no rights registered over the area of</w:t>
      </w:r>
      <w:r>
        <w:t xml:space="preserve"> </w:t>
      </w:r>
      <w:r w:rsidR="00294BD7">
        <w:t xml:space="preserve">common impacted by the works. I am </w:t>
      </w:r>
      <w:r w:rsidR="00D30A74">
        <w:t xml:space="preserve">also </w:t>
      </w:r>
      <w:r w:rsidR="00294BD7">
        <w:t>satisfied that the interests of those occupying the land is not at issue.</w:t>
      </w:r>
    </w:p>
    <w:p w14:paraId="37D2D715" w14:textId="2489458D" w:rsidR="00AA32A5" w:rsidRPr="00851B7E" w:rsidRDefault="00851B7E" w:rsidP="00851B7E">
      <w:pPr>
        <w:pStyle w:val="Style1"/>
        <w:numPr>
          <w:ilvl w:val="0"/>
          <w:numId w:val="0"/>
        </w:numPr>
        <w:rPr>
          <w:b/>
          <w:bCs/>
          <w:i/>
          <w:iCs/>
        </w:rPr>
      </w:pPr>
      <w:r w:rsidRPr="00851B7E">
        <w:rPr>
          <w:b/>
          <w:bCs/>
          <w:i/>
          <w:iCs/>
        </w:rPr>
        <w:t>The interests of the neighbourhood and public rights of access</w:t>
      </w:r>
    </w:p>
    <w:p w14:paraId="322EE0BC" w14:textId="775B82A2" w:rsidR="0001603A" w:rsidRDefault="0001603A" w:rsidP="00720D1C">
      <w:pPr>
        <w:pStyle w:val="Style1"/>
      </w:pPr>
      <w:r>
        <w:t xml:space="preserve">The interests of the neighbourhood test </w:t>
      </w:r>
      <w:r w:rsidR="00D30A74">
        <w:t>relate</w:t>
      </w:r>
      <w:r>
        <w:t xml:space="preserve"> to whether the works w</w:t>
      </w:r>
      <w:r w:rsidR="006C4D26">
        <w:t>ould</w:t>
      </w:r>
      <w:r>
        <w:t xml:space="preserve"> unacceptably interfere with the way the common is used by local people and is closely linked with public rights of access.</w:t>
      </w:r>
      <w:r w:rsidR="00424E29">
        <w:t xml:space="preserve">  The works are need</w:t>
      </w:r>
      <w:r w:rsidR="001406FF">
        <w:t>ed</w:t>
      </w:r>
      <w:r w:rsidR="00424E29">
        <w:t xml:space="preserve"> to replace the </w:t>
      </w:r>
      <w:r w:rsidR="00882F05">
        <w:t xml:space="preserve">Lido Pump House </w:t>
      </w:r>
      <w:r w:rsidR="00722C62">
        <w:t>which</w:t>
      </w:r>
      <w:r w:rsidR="006B5A54">
        <w:t>,</w:t>
      </w:r>
      <w:r w:rsidR="00722C62">
        <w:t xml:space="preserve"> as </w:t>
      </w:r>
      <w:r w:rsidR="002646CD">
        <w:t xml:space="preserve">I have </w:t>
      </w:r>
      <w:r w:rsidR="006B5A54">
        <w:t>observed,</w:t>
      </w:r>
      <w:r w:rsidR="00722C62">
        <w:t xml:space="preserve"> has suffered </w:t>
      </w:r>
      <w:r w:rsidR="006B5A54">
        <w:t xml:space="preserve">extensive </w:t>
      </w:r>
      <w:r w:rsidR="00722C62">
        <w:t xml:space="preserve">structural damage.  </w:t>
      </w:r>
      <w:r w:rsidR="00D93CF6">
        <w:t>At the same time the</w:t>
      </w:r>
      <w:r w:rsidR="00A81343">
        <w:t xml:space="preserve"> mechanical</w:t>
      </w:r>
      <w:r w:rsidR="00D93CF6">
        <w:t xml:space="preserve"> equipment </w:t>
      </w:r>
      <w:r w:rsidR="00CA5EE0">
        <w:t xml:space="preserve">within the pump house </w:t>
      </w:r>
      <w:r w:rsidR="00D93CF6">
        <w:t>w</w:t>
      </w:r>
      <w:r w:rsidR="005779A1">
        <w:t>ould</w:t>
      </w:r>
      <w:r w:rsidR="00D93CF6">
        <w:t xml:space="preserve"> be </w:t>
      </w:r>
      <w:r w:rsidR="00251090">
        <w:t>replaced,</w:t>
      </w:r>
      <w:r w:rsidR="00D93CF6">
        <w:t xml:space="preserve"> and a new electrical substation </w:t>
      </w:r>
      <w:r w:rsidR="00A81343">
        <w:t xml:space="preserve">installed to </w:t>
      </w:r>
      <w:r w:rsidR="00D46C26">
        <w:t xml:space="preserve">service the increase in power </w:t>
      </w:r>
      <w:r w:rsidR="00567BF0">
        <w:t xml:space="preserve">required for </w:t>
      </w:r>
      <w:r w:rsidR="00251090">
        <w:t xml:space="preserve">the </w:t>
      </w:r>
      <w:r w:rsidR="00567BF0">
        <w:t>new equipment</w:t>
      </w:r>
      <w:r w:rsidR="00BA73A2">
        <w:t>,</w:t>
      </w:r>
      <w:r w:rsidR="00567BF0">
        <w:t xml:space="preserve"> including water filtration systems.</w:t>
      </w:r>
    </w:p>
    <w:p w14:paraId="57CF59FC" w14:textId="56D2CC07" w:rsidR="00211273" w:rsidRDefault="0001603A" w:rsidP="0001603A">
      <w:pPr>
        <w:pStyle w:val="Style1"/>
      </w:pPr>
      <w:r>
        <w:t xml:space="preserve">The </w:t>
      </w:r>
      <w:r w:rsidR="009532E8">
        <w:t>works have been given planning</w:t>
      </w:r>
      <w:r w:rsidR="00542408">
        <w:t xml:space="preserve"> permission</w:t>
      </w:r>
      <w:r w:rsidR="00005989">
        <w:rPr>
          <w:rStyle w:val="FootnoteReference"/>
        </w:rPr>
        <w:footnoteReference w:id="3"/>
      </w:r>
      <w:r w:rsidR="00542408">
        <w:t xml:space="preserve"> </w:t>
      </w:r>
      <w:r w:rsidR="00005989">
        <w:t xml:space="preserve">subject to </w:t>
      </w:r>
      <w:proofErr w:type="gramStart"/>
      <w:r w:rsidR="00005989">
        <w:t>a number of</w:t>
      </w:r>
      <w:proofErr w:type="gramEnd"/>
      <w:r w:rsidR="00005989">
        <w:t xml:space="preserve"> </w:t>
      </w:r>
      <w:r w:rsidR="006954DA">
        <w:t xml:space="preserve">planning </w:t>
      </w:r>
      <w:r w:rsidR="00005989">
        <w:t xml:space="preserve">conditions </w:t>
      </w:r>
      <w:r w:rsidR="006954DA">
        <w:t>to protect the character and appearance of the area</w:t>
      </w:r>
      <w:r w:rsidR="00211273">
        <w:t xml:space="preserve">, the common itself, local wildlife/biodiversity and trees. </w:t>
      </w:r>
      <w:r w:rsidR="00281FBB">
        <w:t xml:space="preserve">The works will </w:t>
      </w:r>
      <w:r w:rsidR="00110F1C">
        <w:t>restrict</w:t>
      </w:r>
      <w:r w:rsidR="00281FBB">
        <w:t xml:space="preserve"> access to </w:t>
      </w:r>
      <w:r w:rsidR="00E075F3">
        <w:t xml:space="preserve">parts of </w:t>
      </w:r>
      <w:r w:rsidR="00281FBB">
        <w:t>the common for the duration</w:t>
      </w:r>
      <w:r w:rsidR="00224A8A">
        <w:rPr>
          <w:rStyle w:val="FootnoteReference"/>
        </w:rPr>
        <w:footnoteReference w:id="4"/>
      </w:r>
      <w:r w:rsidR="00281FBB">
        <w:t xml:space="preserve"> of the works.  Th</w:t>
      </w:r>
      <w:r w:rsidR="00D9616C">
        <w:t>ose</w:t>
      </w:r>
      <w:r w:rsidR="00281FBB">
        <w:t xml:space="preserve"> </w:t>
      </w:r>
      <w:r w:rsidR="00281FBB">
        <w:lastRenderedPageBreak/>
        <w:t>restriction</w:t>
      </w:r>
      <w:r w:rsidR="00D9616C">
        <w:t>s</w:t>
      </w:r>
      <w:r w:rsidR="00281FBB">
        <w:t xml:space="preserve"> </w:t>
      </w:r>
      <w:r w:rsidR="00834165">
        <w:t>w</w:t>
      </w:r>
      <w:r w:rsidR="000A3CA4">
        <w:t>ould</w:t>
      </w:r>
      <w:r w:rsidR="00834165">
        <w:t xml:space="preserve"> be way of a </w:t>
      </w:r>
      <w:r w:rsidR="00110F1C">
        <w:t>low-level</w:t>
      </w:r>
      <w:r w:rsidR="00834165">
        <w:t xml:space="preserve"> barrier</w:t>
      </w:r>
      <w:r w:rsidR="00D10CE9">
        <w:t xml:space="preserve"> for cable trench excavation running along the </w:t>
      </w:r>
      <w:r w:rsidR="003A02E0">
        <w:t xml:space="preserve">eastern side of the access to the Lido car park </w:t>
      </w:r>
      <w:r w:rsidR="00D9616C">
        <w:t xml:space="preserve">and </w:t>
      </w:r>
      <w:r w:rsidR="00965016">
        <w:t xml:space="preserve">temporary hoarding around </w:t>
      </w:r>
      <w:r w:rsidR="009249DF">
        <w:t>substation</w:t>
      </w:r>
      <w:r w:rsidR="00E4213F">
        <w:t xml:space="preserve"> and pump house.  All as </w:t>
      </w:r>
      <w:r w:rsidR="004932A6">
        <w:t>indicated</w:t>
      </w:r>
      <w:r w:rsidR="00E4213F">
        <w:t xml:space="preserve"> on the drawing att</w:t>
      </w:r>
      <w:r w:rsidR="009249DF">
        <w:t>ached to this decision.</w:t>
      </w:r>
    </w:p>
    <w:p w14:paraId="35BFC76C" w14:textId="38069C7C" w:rsidR="00100B26" w:rsidRDefault="009249DF" w:rsidP="007D6A9C">
      <w:pPr>
        <w:pStyle w:val="Style1"/>
      </w:pPr>
      <w:r>
        <w:t>Th</w:t>
      </w:r>
      <w:r w:rsidR="00110F1C">
        <w:t xml:space="preserve">e fencing </w:t>
      </w:r>
      <w:r w:rsidR="00863607">
        <w:t xml:space="preserve">would be required </w:t>
      </w:r>
      <w:r w:rsidR="0058394F">
        <w:t xml:space="preserve">to meet health and safety requirements </w:t>
      </w:r>
      <w:r w:rsidR="00CA6638">
        <w:t xml:space="preserve">and </w:t>
      </w:r>
      <w:r w:rsidR="00F96274">
        <w:t xml:space="preserve">would </w:t>
      </w:r>
      <w:r w:rsidR="00F45B4B">
        <w:t xml:space="preserve">be </w:t>
      </w:r>
      <w:r w:rsidR="00F96274">
        <w:t xml:space="preserve">an inconvenience to users </w:t>
      </w:r>
      <w:r w:rsidR="0001603A">
        <w:t>of the common</w:t>
      </w:r>
      <w:r w:rsidR="00F96274">
        <w:t xml:space="preserve"> be that</w:t>
      </w:r>
      <w:r w:rsidR="0001603A">
        <w:t xml:space="preserve"> </w:t>
      </w:r>
      <w:r w:rsidR="009A7D9E">
        <w:t>walking</w:t>
      </w:r>
      <w:r w:rsidR="00FF148F">
        <w:t xml:space="preserve">, cycling or </w:t>
      </w:r>
      <w:r w:rsidR="009A7D9E">
        <w:t>other informal recreation</w:t>
      </w:r>
      <w:r w:rsidR="005B38E4">
        <w:t xml:space="preserve">.  </w:t>
      </w:r>
      <w:r w:rsidR="00FF148F">
        <w:t>However, the inconvenience would be minimal and only likely to require minor detours around the protected areas.  Access would remain to the car park and main footpaths nearby</w:t>
      </w:r>
      <w:r w:rsidR="004932A6">
        <w:t>.</w:t>
      </w:r>
      <w:r w:rsidR="00FF148F">
        <w:t xml:space="preserve"> Furthermore</w:t>
      </w:r>
      <w:r w:rsidR="008913BF">
        <w:t xml:space="preserve">, the works and fencing would be </w:t>
      </w:r>
      <w:r w:rsidR="001142D9">
        <w:t>temporary,</w:t>
      </w:r>
      <w:r w:rsidR="008913BF">
        <w:t xml:space="preserve"> and I am satisfie</w:t>
      </w:r>
      <w:r w:rsidR="00100B26">
        <w:t>d they would not have a significant or lasting impact on the common and would not harm the interests of the neighbourhood or public rights of access.</w:t>
      </w:r>
      <w:r w:rsidR="008913BF">
        <w:t xml:space="preserve"> </w:t>
      </w:r>
    </w:p>
    <w:p w14:paraId="76EBC967" w14:textId="1556E0A1" w:rsidR="00577118" w:rsidRPr="00577118" w:rsidRDefault="00CE66E8" w:rsidP="00D14539">
      <w:pPr>
        <w:pStyle w:val="Style1"/>
        <w:numPr>
          <w:ilvl w:val="0"/>
          <w:numId w:val="0"/>
        </w:numPr>
        <w:rPr>
          <w:i/>
          <w:iCs/>
        </w:rPr>
      </w:pPr>
      <w:r>
        <w:rPr>
          <w:i/>
          <w:iCs/>
        </w:rPr>
        <w:t>A</w:t>
      </w:r>
      <w:r w:rsidR="004F0E79" w:rsidRPr="004F0E79">
        <w:rPr>
          <w:i/>
          <w:iCs/>
        </w:rPr>
        <w:t>rchaeological remains and features of historic interes</w:t>
      </w:r>
      <w:r w:rsidR="004F0E79">
        <w:rPr>
          <w:i/>
          <w:iCs/>
        </w:rPr>
        <w:t>t</w:t>
      </w:r>
    </w:p>
    <w:p w14:paraId="712CF821" w14:textId="140CF525" w:rsidR="00125CDB" w:rsidRDefault="007461C9" w:rsidP="000A5A4A">
      <w:pPr>
        <w:pStyle w:val="Style1"/>
      </w:pPr>
      <w:r>
        <w:t>There is no evidence before me to indicate that the works w</w:t>
      </w:r>
      <w:r w:rsidR="001142D9">
        <w:t>ould</w:t>
      </w:r>
      <w:r>
        <w:t xml:space="preserve"> harm archaeological remains and features of historic interest</w:t>
      </w:r>
      <w:r w:rsidR="00125CDB">
        <w:t>.</w:t>
      </w:r>
    </w:p>
    <w:p w14:paraId="51621720" w14:textId="278B9FB0" w:rsidR="00A468E7" w:rsidRDefault="00EE0FFC" w:rsidP="00125CDB">
      <w:pPr>
        <w:pStyle w:val="Style1"/>
        <w:numPr>
          <w:ilvl w:val="0"/>
          <w:numId w:val="0"/>
        </w:numPr>
      </w:pPr>
      <w:r>
        <w:rPr>
          <w:i/>
          <w:iCs/>
        </w:rPr>
        <w:t xml:space="preserve">Nature </w:t>
      </w:r>
      <w:r w:rsidR="00CD7930">
        <w:rPr>
          <w:i/>
          <w:iCs/>
        </w:rPr>
        <w:t>c</w:t>
      </w:r>
      <w:r w:rsidR="00ED5A3A">
        <w:rPr>
          <w:i/>
          <w:iCs/>
        </w:rPr>
        <w:t xml:space="preserve">onservation </w:t>
      </w:r>
      <w:r w:rsidR="00CD7930">
        <w:rPr>
          <w:i/>
          <w:iCs/>
        </w:rPr>
        <w:t xml:space="preserve">and conservation </w:t>
      </w:r>
      <w:r w:rsidR="00ED5A3A">
        <w:rPr>
          <w:i/>
          <w:iCs/>
        </w:rPr>
        <w:t>of the landscape</w:t>
      </w:r>
      <w:r w:rsidR="00A468E7">
        <w:t xml:space="preserve"> </w:t>
      </w:r>
    </w:p>
    <w:p w14:paraId="2D77C747" w14:textId="533572C8" w:rsidR="00145491" w:rsidRDefault="00145491" w:rsidP="00145491">
      <w:pPr>
        <w:pStyle w:val="Style1"/>
      </w:pPr>
      <w:r>
        <w:t>The proposal would see 37</w:t>
      </w:r>
      <w:r w:rsidRPr="000F0DD0">
        <w:t xml:space="preserve"> meters of permanent fencing </w:t>
      </w:r>
      <w:r>
        <w:t xml:space="preserve">removed.  Whilst some </w:t>
      </w:r>
      <w:r w:rsidR="006C190C">
        <w:t xml:space="preserve">of that </w:t>
      </w:r>
      <w:r>
        <w:t xml:space="preserve">would be replaced with new </w:t>
      </w:r>
      <w:r w:rsidR="00253EB7">
        <w:t>façades</w:t>
      </w:r>
      <w:r>
        <w:t xml:space="preserve"> to the sub-station, an area of 126 square meters would be returned to open access land. </w:t>
      </w:r>
      <w:r w:rsidR="00721006">
        <w:t>The temporary fencing would be painted green</w:t>
      </w:r>
      <w:r w:rsidR="00FC32A8">
        <w:t xml:space="preserve"> and sections of fencing removed as soon as works progress with </w:t>
      </w:r>
      <w:r w:rsidR="008459B5">
        <w:t xml:space="preserve">the </w:t>
      </w:r>
      <w:r w:rsidR="00FC32A8">
        <w:t xml:space="preserve">common reinstated to </w:t>
      </w:r>
      <w:r w:rsidR="00B768B2">
        <w:t>its</w:t>
      </w:r>
      <w:r w:rsidR="008459B5">
        <w:t xml:space="preserve"> </w:t>
      </w:r>
      <w:r w:rsidR="00FC32A8">
        <w:t>previous condition.</w:t>
      </w:r>
      <w:r w:rsidR="00FC32A8" w:rsidRPr="00FC32A8">
        <w:t xml:space="preserve"> </w:t>
      </w:r>
    </w:p>
    <w:p w14:paraId="7944625E" w14:textId="13906326" w:rsidR="00145491" w:rsidRDefault="00FC32A8" w:rsidP="00E231BB">
      <w:pPr>
        <w:pStyle w:val="Style1"/>
      </w:pPr>
      <w:r>
        <w:t xml:space="preserve">Natural England confirmed that it would not be commenting on the application. </w:t>
      </w:r>
      <w:r w:rsidR="004F73BD">
        <w:t xml:space="preserve">Furthermore, </w:t>
      </w:r>
      <w:r>
        <w:t>I am satisfied, based on the evidence before</w:t>
      </w:r>
      <w:r w:rsidR="00145491">
        <w:t xml:space="preserve"> me</w:t>
      </w:r>
      <w:r>
        <w:t xml:space="preserve">, that there is nothing to indicate that the works would </w:t>
      </w:r>
      <w:r w:rsidR="00145491">
        <w:t xml:space="preserve">unduly </w:t>
      </w:r>
      <w:r>
        <w:t>impact on nature conservation interests. The permanent works would either be underground or subject to planning</w:t>
      </w:r>
      <w:r w:rsidR="00145491">
        <w:t xml:space="preserve"> conditions</w:t>
      </w:r>
      <w:r w:rsidR="008873DB">
        <w:t xml:space="preserve"> to ensure the cha</w:t>
      </w:r>
      <w:r w:rsidR="00FC7674">
        <w:t>ra</w:t>
      </w:r>
      <w:r w:rsidR="008873DB">
        <w:t xml:space="preserve">cter and appearance of the area remains unharmed. </w:t>
      </w:r>
      <w:r w:rsidR="00593E0E">
        <w:t>P</w:t>
      </w:r>
      <w:r w:rsidR="00D8546E">
        <w:t xml:space="preserve">lanning </w:t>
      </w:r>
      <w:r w:rsidR="008873DB">
        <w:t xml:space="preserve">conditions </w:t>
      </w:r>
      <w:r w:rsidR="00D8546E">
        <w:t>would also secure</w:t>
      </w:r>
      <w:r w:rsidR="00145491">
        <w:t xml:space="preserve"> protection of trees and biodiversity.  </w:t>
      </w:r>
    </w:p>
    <w:p w14:paraId="7776014F" w14:textId="0E0F8CBD" w:rsidR="00721006" w:rsidRDefault="00B95B26" w:rsidP="00916D1D">
      <w:pPr>
        <w:pStyle w:val="Style1"/>
      </w:pPr>
      <w:r>
        <w:t xml:space="preserve">For these reasons I </w:t>
      </w:r>
      <w:r w:rsidR="00E76299">
        <w:t>find</w:t>
      </w:r>
      <w:r>
        <w:t xml:space="preserve"> the </w:t>
      </w:r>
      <w:r w:rsidR="0077405F">
        <w:t>works w</w:t>
      </w:r>
      <w:r w:rsidR="00E76299">
        <w:t>ould</w:t>
      </w:r>
      <w:r w:rsidR="0077405F">
        <w:t xml:space="preserve"> conserve the landscape in the long term and would </w:t>
      </w:r>
      <w:r w:rsidR="00E76299">
        <w:t xml:space="preserve">not </w:t>
      </w:r>
      <w:r w:rsidR="008134FB">
        <w:t xml:space="preserve">have any adverse effect upon nature conservation. </w:t>
      </w:r>
    </w:p>
    <w:p w14:paraId="02A38F2E" w14:textId="77777777" w:rsidR="00D97129" w:rsidRPr="00D97129" w:rsidRDefault="00D97129" w:rsidP="00D97129">
      <w:pPr>
        <w:pStyle w:val="Style1"/>
        <w:numPr>
          <w:ilvl w:val="0"/>
          <w:numId w:val="0"/>
        </w:numPr>
        <w:rPr>
          <w:b/>
          <w:bCs/>
        </w:rPr>
      </w:pPr>
      <w:r w:rsidRPr="00D97129">
        <w:rPr>
          <w:b/>
          <w:bCs/>
        </w:rPr>
        <w:t>Conclusion</w:t>
      </w:r>
    </w:p>
    <w:p w14:paraId="061CBEBD" w14:textId="5FAA2883" w:rsidR="003C7A60" w:rsidRDefault="00997DBC" w:rsidP="006B4B98">
      <w:pPr>
        <w:pStyle w:val="Style1"/>
      </w:pPr>
      <w:r>
        <w:t>Defra’s policy guidance advises that “</w:t>
      </w:r>
      <w:r w:rsidRPr="003C7A60">
        <w:rPr>
          <w:i/>
          <w:iCs/>
        </w:rPr>
        <w:t>works may be proposed in relation to common land which do not benefit the common, but confer some wider benefit on the local community, such as minor works undertaken by a statutory undertaker (e.g. a water utility) to provide or improve the public service to local residents and businesses … consent under section may be appropriate where the works are of temporary duration (such as a worksite), where the works will be installed underground (such as a pipeline or pumping station), or</w:t>
      </w:r>
      <w:r w:rsidR="00C31E19">
        <w:rPr>
          <w:i/>
          <w:iCs/>
        </w:rPr>
        <w:t xml:space="preserve"> </w:t>
      </w:r>
      <w:r w:rsidR="003C7A60" w:rsidRPr="003C7A60">
        <w:rPr>
          <w:i/>
          <w:iCs/>
        </w:rPr>
        <w:t>where their physical presence would be so slight as to cause negligible impact on the land in question (such as a control booth or manhole), and the proposals ensure the full restoration of the land affected and confer a public benefit</w:t>
      </w:r>
      <w:r w:rsidR="003C7A60">
        <w:t xml:space="preserve">”. </w:t>
      </w:r>
    </w:p>
    <w:p w14:paraId="08E50AE6" w14:textId="414656DB" w:rsidR="00997DBC" w:rsidRDefault="003C7A60" w:rsidP="006B4B98">
      <w:pPr>
        <w:pStyle w:val="Style1"/>
      </w:pPr>
      <w:r>
        <w:t>The works w</w:t>
      </w:r>
      <w:r w:rsidR="0026246A">
        <w:t>ould</w:t>
      </w:r>
      <w:r>
        <w:t xml:space="preserve"> secure the</w:t>
      </w:r>
      <w:r w:rsidR="00692D08">
        <w:t xml:space="preserve"> future of </w:t>
      </w:r>
      <w:r w:rsidR="002D3475">
        <w:t>the Lido pump house and associated equipment</w:t>
      </w:r>
      <w:r w:rsidR="0026246A">
        <w:t>, a public benefit. Thus,</w:t>
      </w:r>
      <w:r>
        <w:t xml:space="preserve"> I am satisfied that the works </w:t>
      </w:r>
      <w:r w:rsidR="007270A6">
        <w:t xml:space="preserve">would </w:t>
      </w:r>
      <w:r>
        <w:t>accord with this policy objective.</w:t>
      </w:r>
    </w:p>
    <w:p w14:paraId="405272E8" w14:textId="48A62A95" w:rsidR="00D97129" w:rsidRDefault="00D97129" w:rsidP="00377AC5">
      <w:pPr>
        <w:pStyle w:val="Style1"/>
      </w:pPr>
      <w:r>
        <w:lastRenderedPageBreak/>
        <w:t xml:space="preserve">Having regard to the criteria set out above, </w:t>
      </w:r>
      <w:r w:rsidR="0015185B">
        <w:t>I conclude that the works would not have a significant or lasting impact, or harm the interests set out in paragraph 6 above and w</w:t>
      </w:r>
      <w:r w:rsidR="0083640F">
        <w:t>ould</w:t>
      </w:r>
      <w:r w:rsidR="0015185B">
        <w:t xml:space="preserve"> confer a public benefit. Consent is therefore</w:t>
      </w:r>
      <w:r w:rsidR="0083640F">
        <w:t xml:space="preserve"> </w:t>
      </w:r>
      <w:r w:rsidR="0015185B">
        <w:t>granted for the works subject to the conditions</w:t>
      </w:r>
      <w:r w:rsidR="002E4D6C">
        <w:t xml:space="preserve"> set out in paragraph 1</w:t>
      </w:r>
      <w:r w:rsidR="0015185B">
        <w:t xml:space="preserve"> </w:t>
      </w:r>
      <w:r w:rsidR="00746A07">
        <w:t xml:space="preserve">to ensure the works will progress and </w:t>
      </w:r>
      <w:r w:rsidR="00E76299">
        <w:t>reinstatement of the common will be timely.</w:t>
      </w:r>
    </w:p>
    <w:p w14:paraId="360EF28B" w14:textId="0DD234F2" w:rsidR="00D97129" w:rsidRPr="00D97129" w:rsidRDefault="00D97129" w:rsidP="00D97129">
      <w:pPr>
        <w:pStyle w:val="Style1"/>
        <w:numPr>
          <w:ilvl w:val="0"/>
          <w:numId w:val="0"/>
        </w:numPr>
        <w:rPr>
          <w:rFonts w:ascii="Monotype Corsiva" w:hAnsi="Monotype Corsiva"/>
          <w:sz w:val="36"/>
          <w:szCs w:val="36"/>
        </w:rPr>
      </w:pPr>
      <w:r w:rsidRPr="00D97129">
        <w:rPr>
          <w:rFonts w:ascii="Monotype Corsiva" w:hAnsi="Monotype Corsiva"/>
          <w:sz w:val="36"/>
          <w:szCs w:val="36"/>
        </w:rPr>
        <w:t>Richard Perrins</w:t>
      </w:r>
    </w:p>
    <w:p w14:paraId="69B84E2F" w14:textId="767B842D" w:rsidR="0065038F" w:rsidRDefault="00D97129" w:rsidP="00D97129">
      <w:pPr>
        <w:pStyle w:val="Style1"/>
        <w:numPr>
          <w:ilvl w:val="0"/>
          <w:numId w:val="0"/>
        </w:numPr>
        <w:ind w:left="431" w:hanging="431"/>
      </w:pPr>
      <w:r>
        <w:t>Inspector</w:t>
      </w:r>
    </w:p>
    <w:p w14:paraId="0C08EB54" w14:textId="120337CB" w:rsidR="0065038F" w:rsidRDefault="0065038F" w:rsidP="0065038F">
      <w:pPr>
        <w:pStyle w:val="Style1"/>
        <w:numPr>
          <w:ilvl w:val="0"/>
          <w:numId w:val="0"/>
        </w:numPr>
        <w:ind w:left="431" w:hanging="431"/>
      </w:pPr>
    </w:p>
    <w:p w14:paraId="20801FD8" w14:textId="6E5264AD" w:rsidR="008C7BD8" w:rsidRDefault="008C7BD8" w:rsidP="0065038F">
      <w:pPr>
        <w:pStyle w:val="Style1"/>
        <w:numPr>
          <w:ilvl w:val="0"/>
          <w:numId w:val="0"/>
        </w:numPr>
        <w:ind w:left="431" w:hanging="431"/>
      </w:pPr>
    </w:p>
    <w:p w14:paraId="69ED3E6D" w14:textId="4D80C5EC" w:rsidR="008C7BD8" w:rsidRDefault="008C7BD8" w:rsidP="0065038F">
      <w:pPr>
        <w:pStyle w:val="Style1"/>
        <w:numPr>
          <w:ilvl w:val="0"/>
          <w:numId w:val="0"/>
        </w:numPr>
        <w:ind w:left="431" w:hanging="431"/>
      </w:pPr>
    </w:p>
    <w:p w14:paraId="6035BEE8" w14:textId="08E9B1C3" w:rsidR="008C7BD8" w:rsidRDefault="008C7BD8" w:rsidP="0065038F">
      <w:pPr>
        <w:pStyle w:val="Style1"/>
        <w:numPr>
          <w:ilvl w:val="0"/>
          <w:numId w:val="0"/>
        </w:numPr>
        <w:ind w:left="431" w:hanging="431"/>
      </w:pPr>
    </w:p>
    <w:p w14:paraId="08553366" w14:textId="47A19450" w:rsidR="008C7BD8" w:rsidRDefault="008C7BD8" w:rsidP="0065038F">
      <w:pPr>
        <w:pStyle w:val="Style1"/>
        <w:numPr>
          <w:ilvl w:val="0"/>
          <w:numId w:val="0"/>
        </w:numPr>
        <w:ind w:left="431" w:hanging="431"/>
      </w:pPr>
    </w:p>
    <w:p w14:paraId="1CC3AD1D" w14:textId="452A4FAB" w:rsidR="008C7BD8" w:rsidRDefault="008C7BD8" w:rsidP="0065038F">
      <w:pPr>
        <w:pStyle w:val="Style1"/>
        <w:numPr>
          <w:ilvl w:val="0"/>
          <w:numId w:val="0"/>
        </w:numPr>
        <w:ind w:left="431" w:hanging="431"/>
      </w:pPr>
    </w:p>
    <w:p w14:paraId="033F3894" w14:textId="2B6A36FF" w:rsidR="008C7BD8" w:rsidRDefault="008C7BD8" w:rsidP="0065038F">
      <w:pPr>
        <w:pStyle w:val="Style1"/>
        <w:numPr>
          <w:ilvl w:val="0"/>
          <w:numId w:val="0"/>
        </w:numPr>
        <w:ind w:left="431" w:hanging="431"/>
      </w:pPr>
    </w:p>
    <w:p w14:paraId="24CC9514" w14:textId="577FF2D6" w:rsidR="008C7BD8" w:rsidRDefault="008C7BD8" w:rsidP="0065038F">
      <w:pPr>
        <w:pStyle w:val="Style1"/>
        <w:numPr>
          <w:ilvl w:val="0"/>
          <w:numId w:val="0"/>
        </w:numPr>
        <w:ind w:left="431" w:hanging="431"/>
      </w:pPr>
    </w:p>
    <w:p w14:paraId="6293DC06" w14:textId="5D6CBBAD" w:rsidR="008C7BD8" w:rsidRDefault="008C7BD8" w:rsidP="0065038F">
      <w:pPr>
        <w:pStyle w:val="Style1"/>
        <w:numPr>
          <w:ilvl w:val="0"/>
          <w:numId w:val="0"/>
        </w:numPr>
        <w:ind w:left="431" w:hanging="431"/>
      </w:pPr>
    </w:p>
    <w:p w14:paraId="2F68D276" w14:textId="635EC0F2" w:rsidR="008C7BD8" w:rsidRDefault="008C7BD8" w:rsidP="0065038F">
      <w:pPr>
        <w:pStyle w:val="Style1"/>
        <w:numPr>
          <w:ilvl w:val="0"/>
          <w:numId w:val="0"/>
        </w:numPr>
        <w:ind w:left="431" w:hanging="431"/>
      </w:pPr>
    </w:p>
    <w:p w14:paraId="451CFA13" w14:textId="03B295E7" w:rsidR="008C7BD8" w:rsidRDefault="008C7BD8" w:rsidP="0065038F">
      <w:pPr>
        <w:pStyle w:val="Style1"/>
        <w:numPr>
          <w:ilvl w:val="0"/>
          <w:numId w:val="0"/>
        </w:numPr>
        <w:ind w:left="431" w:hanging="431"/>
      </w:pPr>
    </w:p>
    <w:p w14:paraId="752D8114" w14:textId="6DBDC503" w:rsidR="008C7BD8" w:rsidRDefault="008C7BD8" w:rsidP="0065038F">
      <w:pPr>
        <w:pStyle w:val="Style1"/>
        <w:numPr>
          <w:ilvl w:val="0"/>
          <w:numId w:val="0"/>
        </w:numPr>
        <w:ind w:left="431" w:hanging="431"/>
      </w:pPr>
    </w:p>
    <w:p w14:paraId="243C01E5" w14:textId="2D218722" w:rsidR="008C7BD8" w:rsidRDefault="008C7BD8" w:rsidP="0065038F">
      <w:pPr>
        <w:pStyle w:val="Style1"/>
        <w:numPr>
          <w:ilvl w:val="0"/>
          <w:numId w:val="0"/>
        </w:numPr>
        <w:ind w:left="431" w:hanging="431"/>
      </w:pPr>
    </w:p>
    <w:p w14:paraId="7A49EE20" w14:textId="01414C79" w:rsidR="008C7BD8" w:rsidRDefault="008C7BD8" w:rsidP="0065038F">
      <w:pPr>
        <w:pStyle w:val="Style1"/>
        <w:numPr>
          <w:ilvl w:val="0"/>
          <w:numId w:val="0"/>
        </w:numPr>
        <w:ind w:left="431" w:hanging="431"/>
      </w:pPr>
    </w:p>
    <w:p w14:paraId="411F6166" w14:textId="6BE85CAC" w:rsidR="008C7BD8" w:rsidRDefault="008C7BD8" w:rsidP="0065038F">
      <w:pPr>
        <w:pStyle w:val="Style1"/>
        <w:numPr>
          <w:ilvl w:val="0"/>
          <w:numId w:val="0"/>
        </w:numPr>
        <w:ind w:left="431" w:hanging="431"/>
      </w:pPr>
    </w:p>
    <w:p w14:paraId="4C3816E3" w14:textId="1ED2EB97" w:rsidR="008C7BD8" w:rsidRDefault="008C7BD8" w:rsidP="0065038F">
      <w:pPr>
        <w:pStyle w:val="Style1"/>
        <w:numPr>
          <w:ilvl w:val="0"/>
          <w:numId w:val="0"/>
        </w:numPr>
        <w:ind w:left="431" w:hanging="431"/>
      </w:pPr>
    </w:p>
    <w:p w14:paraId="1CA4D3A1" w14:textId="7A577DCF" w:rsidR="008C7BD8" w:rsidRDefault="008C7BD8" w:rsidP="0065038F">
      <w:pPr>
        <w:pStyle w:val="Style1"/>
        <w:numPr>
          <w:ilvl w:val="0"/>
          <w:numId w:val="0"/>
        </w:numPr>
        <w:ind w:left="431" w:hanging="431"/>
      </w:pPr>
    </w:p>
    <w:p w14:paraId="0982627E" w14:textId="6A092BA6" w:rsidR="008C7BD8" w:rsidRDefault="008C7BD8" w:rsidP="0065038F">
      <w:pPr>
        <w:pStyle w:val="Style1"/>
        <w:numPr>
          <w:ilvl w:val="0"/>
          <w:numId w:val="0"/>
        </w:numPr>
        <w:ind w:left="431" w:hanging="431"/>
      </w:pPr>
    </w:p>
    <w:p w14:paraId="7CDC8220" w14:textId="32790B60" w:rsidR="008C7BD8" w:rsidRDefault="008C7BD8" w:rsidP="0065038F">
      <w:pPr>
        <w:pStyle w:val="Style1"/>
        <w:numPr>
          <w:ilvl w:val="0"/>
          <w:numId w:val="0"/>
        </w:numPr>
        <w:ind w:left="431" w:hanging="431"/>
      </w:pPr>
    </w:p>
    <w:p w14:paraId="68B61E31" w14:textId="2DB1201C" w:rsidR="008C7BD8" w:rsidRDefault="008C7BD8" w:rsidP="0065038F">
      <w:pPr>
        <w:pStyle w:val="Style1"/>
        <w:numPr>
          <w:ilvl w:val="0"/>
          <w:numId w:val="0"/>
        </w:numPr>
        <w:ind w:left="431" w:hanging="431"/>
      </w:pPr>
    </w:p>
    <w:p w14:paraId="7F2991A2" w14:textId="78C4EE48" w:rsidR="008C7BD8" w:rsidRDefault="008C7BD8" w:rsidP="0065038F">
      <w:pPr>
        <w:pStyle w:val="Style1"/>
        <w:numPr>
          <w:ilvl w:val="0"/>
          <w:numId w:val="0"/>
        </w:numPr>
        <w:ind w:left="431" w:hanging="431"/>
      </w:pPr>
    </w:p>
    <w:p w14:paraId="35F638DE" w14:textId="41F0681A" w:rsidR="008C7BD8" w:rsidRDefault="008C7BD8" w:rsidP="0065038F">
      <w:pPr>
        <w:pStyle w:val="Style1"/>
        <w:numPr>
          <w:ilvl w:val="0"/>
          <w:numId w:val="0"/>
        </w:numPr>
        <w:ind w:left="431" w:hanging="431"/>
      </w:pPr>
    </w:p>
    <w:p w14:paraId="4B7E3E56" w14:textId="7725575D" w:rsidR="008C7BD8" w:rsidRPr="0065038F" w:rsidRDefault="008C7BD8" w:rsidP="0065038F">
      <w:pPr>
        <w:pStyle w:val="Style1"/>
        <w:numPr>
          <w:ilvl w:val="0"/>
          <w:numId w:val="0"/>
        </w:numPr>
        <w:ind w:left="431" w:hanging="431"/>
      </w:pPr>
      <w:r>
        <w:rPr>
          <w:noProof/>
        </w:rPr>
        <w:lastRenderedPageBreak/>
        <w:drawing>
          <wp:inline distT="0" distB="0" distL="0" distR="0" wp14:anchorId="451C8D62" wp14:editId="3771D870">
            <wp:extent cx="8761121" cy="6074591"/>
            <wp:effectExtent l="0" t="9207"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769791" cy="6080602"/>
                    </a:xfrm>
                    <a:prstGeom prst="rect">
                      <a:avLst/>
                    </a:prstGeom>
                    <a:noFill/>
                    <a:ln>
                      <a:noFill/>
                    </a:ln>
                  </pic:spPr>
                </pic:pic>
              </a:graphicData>
            </a:graphic>
          </wp:inline>
        </w:drawing>
      </w:r>
    </w:p>
    <w:sectPr w:rsidR="008C7BD8" w:rsidRPr="0065038F"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B73C" w14:textId="77777777" w:rsidR="002765A4" w:rsidRDefault="002765A4" w:rsidP="00F62916">
      <w:r>
        <w:separator/>
      </w:r>
    </w:p>
  </w:endnote>
  <w:endnote w:type="continuationSeparator" w:id="0">
    <w:p w14:paraId="7CBF22B1" w14:textId="77777777" w:rsidR="002765A4" w:rsidRDefault="002765A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DA1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437E9"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8EB1"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FA9C54E" wp14:editId="7F02F74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FD58"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642E463" w14:textId="77777777" w:rsidR="00366F95" w:rsidRPr="00E45340" w:rsidRDefault="002765A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5BB6" w14:textId="77777777" w:rsidR="00366F95" w:rsidRDefault="00366F95" w:rsidP="006C1DD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FD57CF8" wp14:editId="2C27FAA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62F6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FEB3361" w14:textId="77777777" w:rsidR="00366F95" w:rsidRPr="00451EE4" w:rsidRDefault="002765A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8C6CE" w14:textId="77777777" w:rsidR="002765A4" w:rsidRDefault="002765A4" w:rsidP="00F62916">
      <w:r>
        <w:separator/>
      </w:r>
    </w:p>
  </w:footnote>
  <w:footnote w:type="continuationSeparator" w:id="0">
    <w:p w14:paraId="26E27A9F" w14:textId="77777777" w:rsidR="002765A4" w:rsidRDefault="002765A4" w:rsidP="00F62916">
      <w:r>
        <w:continuationSeparator/>
      </w:r>
    </w:p>
  </w:footnote>
  <w:footnote w:id="1">
    <w:p w14:paraId="0451077F" w14:textId="77777777" w:rsidR="00544ABB" w:rsidRDefault="00544ABB" w:rsidP="00544ABB">
      <w:pPr>
        <w:pStyle w:val="FootnoteText"/>
      </w:pPr>
      <w:r>
        <w:rPr>
          <w:rStyle w:val="FootnoteReference"/>
        </w:rPr>
        <w:footnoteRef/>
      </w:r>
      <w:r>
        <w:t xml:space="preserve"> Section 39(2) of the 2006 Act provides that the public interest includes the public interest </w:t>
      </w:r>
      <w:proofErr w:type="gramStart"/>
      <w:r>
        <w:t>in;</w:t>
      </w:r>
      <w:proofErr w:type="gramEnd"/>
      <w:r>
        <w:t xml:space="preserve"> nature</w:t>
      </w:r>
    </w:p>
    <w:p w14:paraId="339936BB" w14:textId="77777777" w:rsidR="00544ABB" w:rsidRDefault="00544ABB" w:rsidP="00544ABB">
      <w:pPr>
        <w:pStyle w:val="FootnoteText"/>
      </w:pPr>
      <w:r>
        <w:t>conservation; the conservation of the landscape; the protection of public rights of access to any area of land; and</w:t>
      </w:r>
    </w:p>
    <w:p w14:paraId="6B3884C9" w14:textId="17D56220" w:rsidR="00544ABB" w:rsidRDefault="00544ABB" w:rsidP="00544ABB">
      <w:pPr>
        <w:pStyle w:val="FootnoteText"/>
      </w:pPr>
      <w:r>
        <w:t>the protection of archaeological remains and features of historic interest.</w:t>
      </w:r>
    </w:p>
  </w:footnote>
  <w:footnote w:id="2">
    <w:p w14:paraId="7ACEBC05" w14:textId="313013AE" w:rsidR="002677F7" w:rsidRDefault="002677F7">
      <w:pPr>
        <w:pStyle w:val="FootnoteText"/>
      </w:pPr>
      <w:r>
        <w:rPr>
          <w:rStyle w:val="FootnoteReference"/>
        </w:rPr>
        <w:footnoteRef/>
      </w:r>
      <w:r>
        <w:t xml:space="preserve"> </w:t>
      </w:r>
      <w:r w:rsidR="0065038F" w:rsidRPr="0065038F">
        <w:t>Common Land Consents Policy (Defra November 2015)</w:t>
      </w:r>
    </w:p>
  </w:footnote>
  <w:footnote w:id="3">
    <w:p w14:paraId="3503D1F8" w14:textId="067BA852" w:rsidR="00005989" w:rsidRDefault="00005989" w:rsidP="006E4466">
      <w:pPr>
        <w:pStyle w:val="FootnoteText"/>
      </w:pPr>
      <w:r>
        <w:rPr>
          <w:rStyle w:val="FootnoteReference"/>
        </w:rPr>
        <w:footnoteRef/>
      </w:r>
      <w:r>
        <w:t xml:space="preserve"> Ref: 2019</w:t>
      </w:r>
      <w:r w:rsidR="006E4466">
        <w:t xml:space="preserve">/2987 for the </w:t>
      </w:r>
      <w:r w:rsidR="006E4466" w:rsidRPr="006E4466">
        <w:rPr>
          <w:i/>
          <w:iCs/>
        </w:rPr>
        <w:t>Erection of replacement of south room of pump house and</w:t>
      </w:r>
      <w:r w:rsidR="006E4466">
        <w:rPr>
          <w:i/>
          <w:iCs/>
        </w:rPr>
        <w:t xml:space="preserve"> </w:t>
      </w:r>
      <w:r w:rsidR="006E4466" w:rsidRPr="006E4466">
        <w:rPr>
          <w:i/>
          <w:iCs/>
        </w:rPr>
        <w:t>excavation to south room to house mechanical equipment</w:t>
      </w:r>
      <w:r w:rsidR="006E4466">
        <w:t>.</w:t>
      </w:r>
    </w:p>
    <w:p w14:paraId="50F50AE2" w14:textId="3323C8EF" w:rsidR="000846A9" w:rsidRPr="00913B25" w:rsidRDefault="004C1AF1" w:rsidP="00913B25">
      <w:pPr>
        <w:pStyle w:val="FootnoteText"/>
        <w:rPr>
          <w:i/>
          <w:iCs/>
        </w:rPr>
      </w:pPr>
      <w:r>
        <w:t xml:space="preserve">Ref: 2020/1826 </w:t>
      </w:r>
      <w:r w:rsidR="00913B25">
        <w:rPr>
          <w:i/>
          <w:iCs/>
        </w:rPr>
        <w:t xml:space="preserve">for the </w:t>
      </w:r>
      <w:r w:rsidR="00913B25" w:rsidRPr="00913B25">
        <w:rPr>
          <w:i/>
          <w:iCs/>
        </w:rPr>
        <w:t>Erection of a single storey electrical substation with green roof</w:t>
      </w:r>
      <w:r w:rsidR="00913B25">
        <w:rPr>
          <w:i/>
          <w:iCs/>
        </w:rPr>
        <w:t xml:space="preserve"> </w:t>
      </w:r>
      <w:r w:rsidR="00913B25" w:rsidRPr="00913B25">
        <w:rPr>
          <w:i/>
          <w:iCs/>
        </w:rPr>
        <w:t>adjacent to the Tooting Bec Lido Pavilion, to upgrade the electrical</w:t>
      </w:r>
      <w:r w:rsidR="00913B25">
        <w:rPr>
          <w:i/>
          <w:iCs/>
        </w:rPr>
        <w:t xml:space="preserve"> </w:t>
      </w:r>
      <w:r w:rsidR="00913B25" w:rsidRPr="00913B25">
        <w:rPr>
          <w:i/>
          <w:iCs/>
        </w:rPr>
        <w:t>supply serving Tooting Bec Lido. Installation of six new bicycle racks</w:t>
      </w:r>
    </w:p>
  </w:footnote>
  <w:footnote w:id="4">
    <w:p w14:paraId="110B9A8B" w14:textId="424AD9DA" w:rsidR="00224A8A" w:rsidRDefault="00224A8A">
      <w:pPr>
        <w:pStyle w:val="FootnoteText"/>
      </w:pPr>
      <w:r>
        <w:rPr>
          <w:rStyle w:val="FootnoteReference"/>
        </w:rPr>
        <w:footnoteRef/>
      </w:r>
      <w:r>
        <w:t xml:space="preserve"> </w:t>
      </w:r>
      <w:r w:rsidR="00182E35">
        <w:t>Phase 1 &amp; 2 – 5 months duration</w:t>
      </w:r>
      <w:r w:rsidR="00C73BEB">
        <w:t>;</w:t>
      </w:r>
      <w:r w:rsidR="00182E35">
        <w:t xml:space="preserve"> Phase 3</w:t>
      </w:r>
      <w:r w:rsidR="00C73BEB">
        <w:t xml:space="preserve"> – 9 months after completion of Phase 1 and 2 works</w:t>
      </w:r>
      <w:r w:rsidR="009A41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256F46D1" w14:textId="77777777">
      <w:tc>
        <w:tcPr>
          <w:tcW w:w="9520" w:type="dxa"/>
        </w:tcPr>
        <w:p w14:paraId="236CF13C" w14:textId="34A3E578" w:rsidR="00366F95" w:rsidRDefault="006C1DD0">
          <w:pPr>
            <w:pStyle w:val="Footer"/>
          </w:pPr>
          <w:r>
            <w:t>App</w:t>
          </w:r>
          <w:r w:rsidR="00FF6FFF">
            <w:t>lication</w:t>
          </w:r>
          <w:r>
            <w:t xml:space="preserve"> Decision COM/</w:t>
          </w:r>
          <w:r w:rsidR="003F6349" w:rsidRPr="003F6349">
            <w:t>32657</w:t>
          </w:r>
          <w:r w:rsidR="00676BD8">
            <w:t>97</w:t>
          </w:r>
        </w:p>
      </w:tc>
    </w:tr>
  </w:tbl>
  <w:p w14:paraId="38FC865C"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4FA0A59" wp14:editId="476BDA7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AC27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5B0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C1DD0"/>
    <w:rsid w:val="0000335F"/>
    <w:rsid w:val="00005989"/>
    <w:rsid w:val="0001603A"/>
    <w:rsid w:val="00024500"/>
    <w:rsid w:val="000247B2"/>
    <w:rsid w:val="00026139"/>
    <w:rsid w:val="00036F82"/>
    <w:rsid w:val="00046145"/>
    <w:rsid w:val="0004625F"/>
    <w:rsid w:val="00050D7D"/>
    <w:rsid w:val="00053135"/>
    <w:rsid w:val="0005477A"/>
    <w:rsid w:val="00061032"/>
    <w:rsid w:val="000714B8"/>
    <w:rsid w:val="000768E6"/>
    <w:rsid w:val="00077358"/>
    <w:rsid w:val="000808EA"/>
    <w:rsid w:val="000846A9"/>
    <w:rsid w:val="0008644F"/>
    <w:rsid w:val="00087477"/>
    <w:rsid w:val="00087DEC"/>
    <w:rsid w:val="00094A44"/>
    <w:rsid w:val="000A3CA4"/>
    <w:rsid w:val="000A4AEB"/>
    <w:rsid w:val="000A64AE"/>
    <w:rsid w:val="000A6E58"/>
    <w:rsid w:val="000A7AB3"/>
    <w:rsid w:val="000B02BC"/>
    <w:rsid w:val="000B0589"/>
    <w:rsid w:val="000B6A1E"/>
    <w:rsid w:val="000C3F13"/>
    <w:rsid w:val="000C5098"/>
    <w:rsid w:val="000C698E"/>
    <w:rsid w:val="000D0673"/>
    <w:rsid w:val="000D10A9"/>
    <w:rsid w:val="000E57C1"/>
    <w:rsid w:val="000F0DD0"/>
    <w:rsid w:val="000F16F4"/>
    <w:rsid w:val="000F6EC2"/>
    <w:rsid w:val="001000CB"/>
    <w:rsid w:val="00100B26"/>
    <w:rsid w:val="001019DE"/>
    <w:rsid w:val="00104D93"/>
    <w:rsid w:val="00105BBE"/>
    <w:rsid w:val="00107C36"/>
    <w:rsid w:val="00110F1C"/>
    <w:rsid w:val="001142D9"/>
    <w:rsid w:val="00121630"/>
    <w:rsid w:val="00121D58"/>
    <w:rsid w:val="0012394D"/>
    <w:rsid w:val="00125CDB"/>
    <w:rsid w:val="00134C87"/>
    <w:rsid w:val="00136628"/>
    <w:rsid w:val="001406FF"/>
    <w:rsid w:val="001412CF"/>
    <w:rsid w:val="00142F35"/>
    <w:rsid w:val="00143236"/>
    <w:rsid w:val="001440C3"/>
    <w:rsid w:val="00145491"/>
    <w:rsid w:val="00150F0B"/>
    <w:rsid w:val="0015185B"/>
    <w:rsid w:val="00152C92"/>
    <w:rsid w:val="00161B5C"/>
    <w:rsid w:val="00173206"/>
    <w:rsid w:val="00182E35"/>
    <w:rsid w:val="001855A1"/>
    <w:rsid w:val="001962E1"/>
    <w:rsid w:val="00196445"/>
    <w:rsid w:val="00196584"/>
    <w:rsid w:val="00197B5B"/>
    <w:rsid w:val="001A551D"/>
    <w:rsid w:val="001B37BF"/>
    <w:rsid w:val="001C0544"/>
    <w:rsid w:val="001F44F4"/>
    <w:rsid w:val="001F517B"/>
    <w:rsid w:val="001F5990"/>
    <w:rsid w:val="00207816"/>
    <w:rsid w:val="00211273"/>
    <w:rsid w:val="00212C8F"/>
    <w:rsid w:val="00213745"/>
    <w:rsid w:val="00217D0D"/>
    <w:rsid w:val="00222E73"/>
    <w:rsid w:val="00224A8A"/>
    <w:rsid w:val="00234683"/>
    <w:rsid w:val="00242A5E"/>
    <w:rsid w:val="0024307C"/>
    <w:rsid w:val="00251090"/>
    <w:rsid w:val="00253EB7"/>
    <w:rsid w:val="0026246A"/>
    <w:rsid w:val="002630BC"/>
    <w:rsid w:val="002646CD"/>
    <w:rsid w:val="002677F7"/>
    <w:rsid w:val="00271CB3"/>
    <w:rsid w:val="002723E8"/>
    <w:rsid w:val="00273E96"/>
    <w:rsid w:val="002751D2"/>
    <w:rsid w:val="00275694"/>
    <w:rsid w:val="002765A4"/>
    <w:rsid w:val="002819AB"/>
    <w:rsid w:val="00281FBB"/>
    <w:rsid w:val="002931EB"/>
    <w:rsid w:val="00294BD7"/>
    <w:rsid w:val="002958D9"/>
    <w:rsid w:val="002A1F77"/>
    <w:rsid w:val="002B5A3A"/>
    <w:rsid w:val="002C068A"/>
    <w:rsid w:val="002C2524"/>
    <w:rsid w:val="002C7FE8"/>
    <w:rsid w:val="002D3475"/>
    <w:rsid w:val="002D5A7C"/>
    <w:rsid w:val="002E4D6C"/>
    <w:rsid w:val="002E6315"/>
    <w:rsid w:val="002E64E9"/>
    <w:rsid w:val="002F1C7D"/>
    <w:rsid w:val="002F2A2B"/>
    <w:rsid w:val="002F421A"/>
    <w:rsid w:val="00303CA5"/>
    <w:rsid w:val="0030500E"/>
    <w:rsid w:val="003206EA"/>
    <w:rsid w:val="003206FD"/>
    <w:rsid w:val="003271A8"/>
    <w:rsid w:val="00330522"/>
    <w:rsid w:val="003375CC"/>
    <w:rsid w:val="00337B56"/>
    <w:rsid w:val="00343A1F"/>
    <w:rsid w:val="00344294"/>
    <w:rsid w:val="00344CD1"/>
    <w:rsid w:val="00355FCC"/>
    <w:rsid w:val="00360664"/>
    <w:rsid w:val="00361890"/>
    <w:rsid w:val="00364E17"/>
    <w:rsid w:val="00366F95"/>
    <w:rsid w:val="003753FE"/>
    <w:rsid w:val="00376DF1"/>
    <w:rsid w:val="0038176D"/>
    <w:rsid w:val="003941CF"/>
    <w:rsid w:val="003A02E0"/>
    <w:rsid w:val="003B2FE6"/>
    <w:rsid w:val="003C119D"/>
    <w:rsid w:val="003C2470"/>
    <w:rsid w:val="003C2A5A"/>
    <w:rsid w:val="003C7A60"/>
    <w:rsid w:val="003D1D4A"/>
    <w:rsid w:val="003D268E"/>
    <w:rsid w:val="003D3715"/>
    <w:rsid w:val="003D7F21"/>
    <w:rsid w:val="003E2FBC"/>
    <w:rsid w:val="003E54CC"/>
    <w:rsid w:val="003E6B96"/>
    <w:rsid w:val="003E7400"/>
    <w:rsid w:val="003E75BE"/>
    <w:rsid w:val="003F3533"/>
    <w:rsid w:val="003F4726"/>
    <w:rsid w:val="003F6349"/>
    <w:rsid w:val="003F74B1"/>
    <w:rsid w:val="003F7DFB"/>
    <w:rsid w:val="004029F3"/>
    <w:rsid w:val="004156F0"/>
    <w:rsid w:val="00424E29"/>
    <w:rsid w:val="00434739"/>
    <w:rsid w:val="00436861"/>
    <w:rsid w:val="004474DE"/>
    <w:rsid w:val="00451EE4"/>
    <w:rsid w:val="004522C1"/>
    <w:rsid w:val="00453A90"/>
    <w:rsid w:val="00453E15"/>
    <w:rsid w:val="00455266"/>
    <w:rsid w:val="00473787"/>
    <w:rsid w:val="0047718B"/>
    <w:rsid w:val="0048041A"/>
    <w:rsid w:val="00481ACD"/>
    <w:rsid w:val="00483D15"/>
    <w:rsid w:val="00491600"/>
    <w:rsid w:val="004932A6"/>
    <w:rsid w:val="00494A94"/>
    <w:rsid w:val="004976CF"/>
    <w:rsid w:val="004A0203"/>
    <w:rsid w:val="004A054B"/>
    <w:rsid w:val="004A2EB8"/>
    <w:rsid w:val="004A323F"/>
    <w:rsid w:val="004A348C"/>
    <w:rsid w:val="004C07CB"/>
    <w:rsid w:val="004C1AF1"/>
    <w:rsid w:val="004C5576"/>
    <w:rsid w:val="004D7549"/>
    <w:rsid w:val="004E04E0"/>
    <w:rsid w:val="004E17CB"/>
    <w:rsid w:val="004E1ED8"/>
    <w:rsid w:val="004E6091"/>
    <w:rsid w:val="004E798E"/>
    <w:rsid w:val="004F0E79"/>
    <w:rsid w:val="004F274A"/>
    <w:rsid w:val="004F73BD"/>
    <w:rsid w:val="004F742C"/>
    <w:rsid w:val="005032FF"/>
    <w:rsid w:val="00505DAC"/>
    <w:rsid w:val="00506851"/>
    <w:rsid w:val="00506AEB"/>
    <w:rsid w:val="00522F78"/>
    <w:rsid w:val="0052347F"/>
    <w:rsid w:val="00523706"/>
    <w:rsid w:val="0052656E"/>
    <w:rsid w:val="00536390"/>
    <w:rsid w:val="00541734"/>
    <w:rsid w:val="00542408"/>
    <w:rsid w:val="00542B4C"/>
    <w:rsid w:val="00544ABB"/>
    <w:rsid w:val="00546020"/>
    <w:rsid w:val="00550C13"/>
    <w:rsid w:val="00552100"/>
    <w:rsid w:val="0056098C"/>
    <w:rsid w:val="00560EA4"/>
    <w:rsid w:val="00561E69"/>
    <w:rsid w:val="0056634F"/>
    <w:rsid w:val="00567BF0"/>
    <w:rsid w:val="0057098A"/>
    <w:rsid w:val="005718AF"/>
    <w:rsid w:val="00571FD4"/>
    <w:rsid w:val="00572879"/>
    <w:rsid w:val="0057471E"/>
    <w:rsid w:val="00576095"/>
    <w:rsid w:val="00577118"/>
    <w:rsid w:val="0057782A"/>
    <w:rsid w:val="005779A1"/>
    <w:rsid w:val="00581C37"/>
    <w:rsid w:val="0058224F"/>
    <w:rsid w:val="0058394F"/>
    <w:rsid w:val="005862F5"/>
    <w:rsid w:val="00591235"/>
    <w:rsid w:val="005928C7"/>
    <w:rsid w:val="00593E0E"/>
    <w:rsid w:val="005A0799"/>
    <w:rsid w:val="005A3A64"/>
    <w:rsid w:val="005B38E4"/>
    <w:rsid w:val="005C0CA0"/>
    <w:rsid w:val="005D739E"/>
    <w:rsid w:val="005E34E1"/>
    <w:rsid w:val="005E34FF"/>
    <w:rsid w:val="005E3542"/>
    <w:rsid w:val="005E52F9"/>
    <w:rsid w:val="005F1261"/>
    <w:rsid w:val="005F251C"/>
    <w:rsid w:val="005F43D1"/>
    <w:rsid w:val="00600169"/>
    <w:rsid w:val="00602315"/>
    <w:rsid w:val="006052EF"/>
    <w:rsid w:val="006127F0"/>
    <w:rsid w:val="00614E46"/>
    <w:rsid w:val="00615462"/>
    <w:rsid w:val="00621FAB"/>
    <w:rsid w:val="006267E4"/>
    <w:rsid w:val="00630E94"/>
    <w:rsid w:val="006319E6"/>
    <w:rsid w:val="0063365C"/>
    <w:rsid w:val="0063373D"/>
    <w:rsid w:val="00647164"/>
    <w:rsid w:val="0065038F"/>
    <w:rsid w:val="0065719B"/>
    <w:rsid w:val="0066322F"/>
    <w:rsid w:val="00676BD8"/>
    <w:rsid w:val="00681108"/>
    <w:rsid w:val="00683417"/>
    <w:rsid w:val="00685A46"/>
    <w:rsid w:val="00692D08"/>
    <w:rsid w:val="006954DA"/>
    <w:rsid w:val="0069559D"/>
    <w:rsid w:val="00696368"/>
    <w:rsid w:val="006A39C6"/>
    <w:rsid w:val="006A5BB3"/>
    <w:rsid w:val="006A7B8B"/>
    <w:rsid w:val="006B5A54"/>
    <w:rsid w:val="006C083E"/>
    <w:rsid w:val="006C0FD4"/>
    <w:rsid w:val="006C126E"/>
    <w:rsid w:val="006C190C"/>
    <w:rsid w:val="006C1DD0"/>
    <w:rsid w:val="006C2421"/>
    <w:rsid w:val="006C4C25"/>
    <w:rsid w:val="006C4D26"/>
    <w:rsid w:val="006C6D1A"/>
    <w:rsid w:val="006C7915"/>
    <w:rsid w:val="006C7C0C"/>
    <w:rsid w:val="006D2842"/>
    <w:rsid w:val="006D5133"/>
    <w:rsid w:val="006E007B"/>
    <w:rsid w:val="006E43AB"/>
    <w:rsid w:val="006E4466"/>
    <w:rsid w:val="006E6C12"/>
    <w:rsid w:val="006F16D9"/>
    <w:rsid w:val="006F6496"/>
    <w:rsid w:val="00704126"/>
    <w:rsid w:val="0071604A"/>
    <w:rsid w:val="00721006"/>
    <w:rsid w:val="00722C62"/>
    <w:rsid w:val="00723878"/>
    <w:rsid w:val="007270A6"/>
    <w:rsid w:val="00727655"/>
    <w:rsid w:val="007461C9"/>
    <w:rsid w:val="00746A07"/>
    <w:rsid w:val="007556E3"/>
    <w:rsid w:val="0077405F"/>
    <w:rsid w:val="0078325C"/>
    <w:rsid w:val="0078514A"/>
    <w:rsid w:val="00785862"/>
    <w:rsid w:val="0079376F"/>
    <w:rsid w:val="00793D0B"/>
    <w:rsid w:val="007A0537"/>
    <w:rsid w:val="007A06BE"/>
    <w:rsid w:val="007A3E4D"/>
    <w:rsid w:val="007B4C9B"/>
    <w:rsid w:val="007C1DBC"/>
    <w:rsid w:val="007C1FBF"/>
    <w:rsid w:val="007C499F"/>
    <w:rsid w:val="007D00D0"/>
    <w:rsid w:val="007D65B4"/>
    <w:rsid w:val="007E1CF6"/>
    <w:rsid w:val="007F1352"/>
    <w:rsid w:val="007F3F10"/>
    <w:rsid w:val="007F59EB"/>
    <w:rsid w:val="007F6D1D"/>
    <w:rsid w:val="00806F2A"/>
    <w:rsid w:val="00807BD6"/>
    <w:rsid w:val="008134FB"/>
    <w:rsid w:val="00817B4A"/>
    <w:rsid w:val="00823751"/>
    <w:rsid w:val="00825D0B"/>
    <w:rsid w:val="00827937"/>
    <w:rsid w:val="00834165"/>
    <w:rsid w:val="00834368"/>
    <w:rsid w:val="0083640F"/>
    <w:rsid w:val="008411A4"/>
    <w:rsid w:val="008459B5"/>
    <w:rsid w:val="00851B7E"/>
    <w:rsid w:val="0085219C"/>
    <w:rsid w:val="008568DC"/>
    <w:rsid w:val="008610A7"/>
    <w:rsid w:val="00863607"/>
    <w:rsid w:val="00882B66"/>
    <w:rsid w:val="00882F05"/>
    <w:rsid w:val="008873DB"/>
    <w:rsid w:val="008913BF"/>
    <w:rsid w:val="008A03E3"/>
    <w:rsid w:val="008C6FA3"/>
    <w:rsid w:val="008C7BD8"/>
    <w:rsid w:val="008E359C"/>
    <w:rsid w:val="00901334"/>
    <w:rsid w:val="009124CE"/>
    <w:rsid w:val="00912954"/>
    <w:rsid w:val="0091370C"/>
    <w:rsid w:val="00913B25"/>
    <w:rsid w:val="00914C25"/>
    <w:rsid w:val="00916D1D"/>
    <w:rsid w:val="00921F34"/>
    <w:rsid w:val="0092304C"/>
    <w:rsid w:val="00923F06"/>
    <w:rsid w:val="009249DF"/>
    <w:rsid w:val="0092562E"/>
    <w:rsid w:val="009316A1"/>
    <w:rsid w:val="0094711E"/>
    <w:rsid w:val="009532E8"/>
    <w:rsid w:val="00953FB1"/>
    <w:rsid w:val="009605B8"/>
    <w:rsid w:val="00960B10"/>
    <w:rsid w:val="00965016"/>
    <w:rsid w:val="00966156"/>
    <w:rsid w:val="00975097"/>
    <w:rsid w:val="00982597"/>
    <w:rsid w:val="009841DA"/>
    <w:rsid w:val="00986627"/>
    <w:rsid w:val="00986AFE"/>
    <w:rsid w:val="00991AA7"/>
    <w:rsid w:val="00994A8E"/>
    <w:rsid w:val="00997348"/>
    <w:rsid w:val="00997DBC"/>
    <w:rsid w:val="009A4127"/>
    <w:rsid w:val="009A7D9E"/>
    <w:rsid w:val="009B3075"/>
    <w:rsid w:val="009B4399"/>
    <w:rsid w:val="009B72ED"/>
    <w:rsid w:val="009B7BD4"/>
    <w:rsid w:val="009B7F3F"/>
    <w:rsid w:val="009C0A3D"/>
    <w:rsid w:val="009C1BA7"/>
    <w:rsid w:val="009C1E24"/>
    <w:rsid w:val="009E1447"/>
    <w:rsid w:val="009E1653"/>
    <w:rsid w:val="009E179D"/>
    <w:rsid w:val="009E3C69"/>
    <w:rsid w:val="009E4076"/>
    <w:rsid w:val="009E5AFC"/>
    <w:rsid w:val="009E6FB7"/>
    <w:rsid w:val="009F218F"/>
    <w:rsid w:val="009F527E"/>
    <w:rsid w:val="00A00FCD"/>
    <w:rsid w:val="00A101CD"/>
    <w:rsid w:val="00A23FC7"/>
    <w:rsid w:val="00A418A7"/>
    <w:rsid w:val="00A41D2A"/>
    <w:rsid w:val="00A468E7"/>
    <w:rsid w:val="00A46F36"/>
    <w:rsid w:val="00A51523"/>
    <w:rsid w:val="00A574A3"/>
    <w:rsid w:val="00A5760C"/>
    <w:rsid w:val="00A60DB3"/>
    <w:rsid w:val="00A64F79"/>
    <w:rsid w:val="00A7322E"/>
    <w:rsid w:val="00A81343"/>
    <w:rsid w:val="00A81CB5"/>
    <w:rsid w:val="00A970E3"/>
    <w:rsid w:val="00AA32A5"/>
    <w:rsid w:val="00AA568A"/>
    <w:rsid w:val="00AB5946"/>
    <w:rsid w:val="00AC7B7F"/>
    <w:rsid w:val="00AD0E39"/>
    <w:rsid w:val="00AD2F56"/>
    <w:rsid w:val="00AE2C76"/>
    <w:rsid w:val="00AE2FAA"/>
    <w:rsid w:val="00AE7D51"/>
    <w:rsid w:val="00AF28D9"/>
    <w:rsid w:val="00AF45A7"/>
    <w:rsid w:val="00B049F2"/>
    <w:rsid w:val="00B13CCB"/>
    <w:rsid w:val="00B17152"/>
    <w:rsid w:val="00B212A8"/>
    <w:rsid w:val="00B32324"/>
    <w:rsid w:val="00B345C9"/>
    <w:rsid w:val="00B45E99"/>
    <w:rsid w:val="00B51D9F"/>
    <w:rsid w:val="00B56990"/>
    <w:rsid w:val="00B61A59"/>
    <w:rsid w:val="00B61D8E"/>
    <w:rsid w:val="00B65992"/>
    <w:rsid w:val="00B7142C"/>
    <w:rsid w:val="00B768B2"/>
    <w:rsid w:val="00B81A07"/>
    <w:rsid w:val="00B913D8"/>
    <w:rsid w:val="00B95B26"/>
    <w:rsid w:val="00B970B1"/>
    <w:rsid w:val="00BA6A93"/>
    <w:rsid w:val="00BA73A2"/>
    <w:rsid w:val="00BC0524"/>
    <w:rsid w:val="00BC2702"/>
    <w:rsid w:val="00BC71A7"/>
    <w:rsid w:val="00BD09CD"/>
    <w:rsid w:val="00BD1A72"/>
    <w:rsid w:val="00BD20D1"/>
    <w:rsid w:val="00BD344C"/>
    <w:rsid w:val="00BE262D"/>
    <w:rsid w:val="00BE38C4"/>
    <w:rsid w:val="00BE6377"/>
    <w:rsid w:val="00BE64F8"/>
    <w:rsid w:val="00BE6C44"/>
    <w:rsid w:val="00BF34D7"/>
    <w:rsid w:val="00C00E8A"/>
    <w:rsid w:val="00C0774D"/>
    <w:rsid w:val="00C11BD0"/>
    <w:rsid w:val="00C17A83"/>
    <w:rsid w:val="00C274BD"/>
    <w:rsid w:val="00C3023E"/>
    <w:rsid w:val="00C31E19"/>
    <w:rsid w:val="00C36797"/>
    <w:rsid w:val="00C37F85"/>
    <w:rsid w:val="00C40EA6"/>
    <w:rsid w:val="00C41C7C"/>
    <w:rsid w:val="00C43769"/>
    <w:rsid w:val="00C57B84"/>
    <w:rsid w:val="00C665F9"/>
    <w:rsid w:val="00C70EF1"/>
    <w:rsid w:val="00C73BEB"/>
    <w:rsid w:val="00C74873"/>
    <w:rsid w:val="00C763E9"/>
    <w:rsid w:val="00C8343C"/>
    <w:rsid w:val="00C857CB"/>
    <w:rsid w:val="00C8740F"/>
    <w:rsid w:val="00C87C7D"/>
    <w:rsid w:val="00C915A8"/>
    <w:rsid w:val="00CA2E3C"/>
    <w:rsid w:val="00CA5EE0"/>
    <w:rsid w:val="00CA6638"/>
    <w:rsid w:val="00CA6FEF"/>
    <w:rsid w:val="00CA776D"/>
    <w:rsid w:val="00CC50AC"/>
    <w:rsid w:val="00CC5EAE"/>
    <w:rsid w:val="00CD63AF"/>
    <w:rsid w:val="00CD7930"/>
    <w:rsid w:val="00CE21C0"/>
    <w:rsid w:val="00CE66E8"/>
    <w:rsid w:val="00D02B48"/>
    <w:rsid w:val="00D10CBC"/>
    <w:rsid w:val="00D10CE9"/>
    <w:rsid w:val="00D1120A"/>
    <w:rsid w:val="00D125BE"/>
    <w:rsid w:val="00D1410D"/>
    <w:rsid w:val="00D14539"/>
    <w:rsid w:val="00D2128B"/>
    <w:rsid w:val="00D21A54"/>
    <w:rsid w:val="00D30A74"/>
    <w:rsid w:val="00D354A3"/>
    <w:rsid w:val="00D423EB"/>
    <w:rsid w:val="00D46C26"/>
    <w:rsid w:val="00D53B25"/>
    <w:rsid w:val="00D555DA"/>
    <w:rsid w:val="00D65024"/>
    <w:rsid w:val="00D81E04"/>
    <w:rsid w:val="00D8546E"/>
    <w:rsid w:val="00D86FBA"/>
    <w:rsid w:val="00D90A14"/>
    <w:rsid w:val="00D93CF6"/>
    <w:rsid w:val="00D9616C"/>
    <w:rsid w:val="00D97129"/>
    <w:rsid w:val="00DA3ACB"/>
    <w:rsid w:val="00DA7FFB"/>
    <w:rsid w:val="00DB1128"/>
    <w:rsid w:val="00DB19DE"/>
    <w:rsid w:val="00DB6974"/>
    <w:rsid w:val="00DB750D"/>
    <w:rsid w:val="00DB7937"/>
    <w:rsid w:val="00DC1387"/>
    <w:rsid w:val="00DD0F21"/>
    <w:rsid w:val="00DD49C4"/>
    <w:rsid w:val="00DD757B"/>
    <w:rsid w:val="00DE265F"/>
    <w:rsid w:val="00DE50BA"/>
    <w:rsid w:val="00DE5B64"/>
    <w:rsid w:val="00E075F3"/>
    <w:rsid w:val="00E07C3A"/>
    <w:rsid w:val="00E11244"/>
    <w:rsid w:val="00E15353"/>
    <w:rsid w:val="00E16CAE"/>
    <w:rsid w:val="00E32E15"/>
    <w:rsid w:val="00E41A8A"/>
    <w:rsid w:val="00E4213F"/>
    <w:rsid w:val="00E43A06"/>
    <w:rsid w:val="00E445A0"/>
    <w:rsid w:val="00E45340"/>
    <w:rsid w:val="00E47922"/>
    <w:rsid w:val="00E47EE0"/>
    <w:rsid w:val="00E515DB"/>
    <w:rsid w:val="00E53DD1"/>
    <w:rsid w:val="00E54DB6"/>
    <w:rsid w:val="00E54F7C"/>
    <w:rsid w:val="00E630AE"/>
    <w:rsid w:val="00E674DD"/>
    <w:rsid w:val="00E67B22"/>
    <w:rsid w:val="00E71C9C"/>
    <w:rsid w:val="00E76299"/>
    <w:rsid w:val="00E81323"/>
    <w:rsid w:val="00E85E3D"/>
    <w:rsid w:val="00E974ED"/>
    <w:rsid w:val="00EA2B93"/>
    <w:rsid w:val="00EA2BDA"/>
    <w:rsid w:val="00EA406E"/>
    <w:rsid w:val="00EA43AC"/>
    <w:rsid w:val="00EA52D3"/>
    <w:rsid w:val="00EA6954"/>
    <w:rsid w:val="00EA73CE"/>
    <w:rsid w:val="00EB2329"/>
    <w:rsid w:val="00EB5620"/>
    <w:rsid w:val="00EC6D31"/>
    <w:rsid w:val="00EC762D"/>
    <w:rsid w:val="00ED043A"/>
    <w:rsid w:val="00ED3727"/>
    <w:rsid w:val="00ED3DDF"/>
    <w:rsid w:val="00ED3FF4"/>
    <w:rsid w:val="00ED50F4"/>
    <w:rsid w:val="00ED5A3A"/>
    <w:rsid w:val="00EE0FFC"/>
    <w:rsid w:val="00EE1C1A"/>
    <w:rsid w:val="00EE2613"/>
    <w:rsid w:val="00EE550A"/>
    <w:rsid w:val="00EF1E98"/>
    <w:rsid w:val="00EF5820"/>
    <w:rsid w:val="00F02EED"/>
    <w:rsid w:val="00F04BE9"/>
    <w:rsid w:val="00F1025A"/>
    <w:rsid w:val="00F2297F"/>
    <w:rsid w:val="00F277E2"/>
    <w:rsid w:val="00F31105"/>
    <w:rsid w:val="00F3342C"/>
    <w:rsid w:val="00F35EDC"/>
    <w:rsid w:val="00F45B4B"/>
    <w:rsid w:val="00F62916"/>
    <w:rsid w:val="00F63D9A"/>
    <w:rsid w:val="00F659A3"/>
    <w:rsid w:val="00F66EC4"/>
    <w:rsid w:val="00F679F4"/>
    <w:rsid w:val="00F7417F"/>
    <w:rsid w:val="00F96274"/>
    <w:rsid w:val="00FA02D2"/>
    <w:rsid w:val="00FA462D"/>
    <w:rsid w:val="00FA5400"/>
    <w:rsid w:val="00FB743C"/>
    <w:rsid w:val="00FC32A8"/>
    <w:rsid w:val="00FC4DA8"/>
    <w:rsid w:val="00FC6E8D"/>
    <w:rsid w:val="00FC731C"/>
    <w:rsid w:val="00FC7674"/>
    <w:rsid w:val="00FD307B"/>
    <w:rsid w:val="00FD4649"/>
    <w:rsid w:val="00FD5B78"/>
    <w:rsid w:val="00FE68E4"/>
    <w:rsid w:val="00FF148F"/>
    <w:rsid w:val="00FF34A3"/>
    <w:rsid w:val="00FF51DF"/>
    <w:rsid w:val="00FF5DDD"/>
    <w:rsid w:val="00FF6FFF"/>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00994"/>
  <w15:docId w15:val="{9C22FA81-EFC4-4984-8EB7-64D8EA85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544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0563-7CF6-41E8-99D0-CCF078A4A0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B68FF-19D2-44D5-988D-2F32D7B8D183}">
  <ds:schemaRefs>
    <ds:schemaRef ds:uri="http://schemas.microsoft.com/sharepoint/v3/contenttype/forms"/>
  </ds:schemaRefs>
</ds:datastoreItem>
</file>

<file path=customXml/itemProps3.xml><?xml version="1.0" encoding="utf-8"?>
<ds:datastoreItem xmlns:ds="http://schemas.openxmlformats.org/officeDocument/2006/customXml" ds:itemID="{DE2B938B-4AA1-49C6-B33D-297B37BE83A0}"/>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A1B4E3D-6A90-4CCF-837C-64179DC4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Perrins, Richard</dc:creator>
  <cp:lastModifiedBy>Margoum, Naoual</cp:lastModifiedBy>
  <cp:revision>2</cp:revision>
  <cp:lastPrinted>2013-05-29T14:27:00Z</cp:lastPrinted>
  <dcterms:created xsi:type="dcterms:W3CDTF">2021-03-01T15:54:00Z</dcterms:created>
  <dcterms:modified xsi:type="dcterms:W3CDTF">2021-03-01T15:54:00Z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