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DB2DA" w14:textId="77777777" w:rsidR="00A1629D" w:rsidRDefault="00A1629D" w:rsidP="00A1629D">
      <w:pPr>
        <w:pStyle w:val="Conditions1"/>
        <w:numPr>
          <w:ilvl w:val="0"/>
          <w:numId w:val="0"/>
        </w:numPr>
        <w:ind w:left="1440"/>
      </w:pPr>
      <w:r>
        <w:rPr>
          <w:noProof/>
        </w:rPr>
        <w:drawing>
          <wp:anchor distT="0" distB="0" distL="114300" distR="114300" simplePos="0" relativeHeight="251658240" behindDoc="0" locked="0" layoutInCell="1" allowOverlap="1" wp14:anchorId="06E35AC1" wp14:editId="5B1D4C6B">
            <wp:simplePos x="1883410" y="562610"/>
            <wp:positionH relativeFrom="margin">
              <wp:align>left</wp:align>
            </wp:positionH>
            <wp:positionV relativeFrom="margin">
              <wp:align>top</wp:align>
            </wp:positionV>
            <wp:extent cx="3419475" cy="359410"/>
            <wp:effectExtent l="0" t="0" r="9525" b="254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410"/>
                    </a:xfrm>
                    <a:prstGeom prst="rect">
                      <a:avLst/>
                    </a:prstGeom>
                    <a:noFill/>
                    <a:ln>
                      <a:noFill/>
                    </a:ln>
                  </pic:spPr>
                </pic:pic>
              </a:graphicData>
            </a:graphic>
          </wp:anchor>
        </w:drawing>
      </w:r>
    </w:p>
    <w:p w14:paraId="1D8326DF" w14:textId="77777777" w:rsidR="00A1629D" w:rsidRDefault="00A1629D" w:rsidP="00A1629D"/>
    <w:p w14:paraId="4B76EC0A" w14:textId="77777777" w:rsidR="00A1629D" w:rsidRDefault="00A1629D" w:rsidP="00A1629D">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A1629D" w:rsidRPr="005A0799" w14:paraId="2F6908AD" w14:textId="77777777" w:rsidTr="00DF552B">
        <w:trPr>
          <w:cantSplit/>
          <w:trHeight w:val="23"/>
        </w:trPr>
        <w:tc>
          <w:tcPr>
            <w:tcW w:w="9356" w:type="dxa"/>
            <w:shd w:val="clear" w:color="auto" w:fill="auto"/>
          </w:tcPr>
          <w:p w14:paraId="2C4A09DC" w14:textId="77777777" w:rsidR="00A1629D" w:rsidRPr="00000D75" w:rsidRDefault="00A1629D" w:rsidP="00DF552B">
            <w:pPr>
              <w:spacing w:before="120"/>
              <w:ind w:left="-108" w:right="34"/>
              <w:rPr>
                <w:b/>
                <w:color w:val="000000"/>
                <w:sz w:val="40"/>
                <w:szCs w:val="40"/>
              </w:rPr>
            </w:pPr>
            <w:bookmarkStart w:id="0" w:name="bmkTable00"/>
            <w:bookmarkEnd w:id="0"/>
            <w:r>
              <w:rPr>
                <w:b/>
                <w:color w:val="000000"/>
                <w:sz w:val="40"/>
                <w:szCs w:val="40"/>
              </w:rPr>
              <w:t>Appeal Decision</w:t>
            </w:r>
          </w:p>
        </w:tc>
      </w:tr>
      <w:tr w:rsidR="00A1629D" w:rsidRPr="000C3F13" w14:paraId="73EC9F88" w14:textId="77777777" w:rsidTr="00DF552B">
        <w:trPr>
          <w:cantSplit/>
          <w:trHeight w:val="23"/>
        </w:trPr>
        <w:tc>
          <w:tcPr>
            <w:tcW w:w="9356" w:type="dxa"/>
            <w:shd w:val="clear" w:color="auto" w:fill="auto"/>
            <w:vAlign w:val="center"/>
          </w:tcPr>
          <w:p w14:paraId="6B7EA0D3" w14:textId="77777777" w:rsidR="00A1629D" w:rsidRPr="00000D75" w:rsidRDefault="00A1629D" w:rsidP="00DF552B">
            <w:pPr>
              <w:spacing w:before="60"/>
              <w:ind w:left="-108" w:right="34"/>
              <w:rPr>
                <w:color w:val="000000"/>
                <w:szCs w:val="22"/>
              </w:rPr>
            </w:pPr>
          </w:p>
        </w:tc>
      </w:tr>
      <w:tr w:rsidR="00A1629D" w:rsidRPr="00361890" w14:paraId="410D0F79" w14:textId="77777777" w:rsidTr="00DF552B">
        <w:trPr>
          <w:cantSplit/>
          <w:trHeight w:val="23"/>
        </w:trPr>
        <w:tc>
          <w:tcPr>
            <w:tcW w:w="9356" w:type="dxa"/>
            <w:shd w:val="clear" w:color="auto" w:fill="auto"/>
          </w:tcPr>
          <w:p w14:paraId="57B11F5D" w14:textId="77777777" w:rsidR="00A1629D" w:rsidRPr="00000D75" w:rsidRDefault="00A1629D" w:rsidP="00DF552B">
            <w:pPr>
              <w:spacing w:before="180"/>
              <w:ind w:left="-108" w:right="34"/>
              <w:rPr>
                <w:b/>
                <w:color w:val="000000"/>
                <w:sz w:val="16"/>
                <w:szCs w:val="22"/>
              </w:rPr>
            </w:pPr>
            <w:r>
              <w:rPr>
                <w:b/>
                <w:color w:val="000000"/>
                <w:szCs w:val="22"/>
              </w:rPr>
              <w:t xml:space="preserve">by </w:t>
            </w:r>
            <w:bookmarkStart w:id="1" w:name="_Hlk31897650"/>
            <w:r w:rsidRPr="00E515B5">
              <w:rPr>
                <w:b/>
                <w:color w:val="000000"/>
                <w:szCs w:val="22"/>
              </w:rPr>
              <w:t>Edward Cousins</w:t>
            </w:r>
            <w:bookmarkEnd w:id="1"/>
            <w:r w:rsidRPr="00E515B5">
              <w:rPr>
                <w:b/>
                <w:color w:val="000000"/>
                <w:szCs w:val="22"/>
              </w:rPr>
              <w:t xml:space="preserve"> BA, BL, LLM, Barrister</w:t>
            </w:r>
          </w:p>
        </w:tc>
      </w:tr>
      <w:tr w:rsidR="00A1629D" w:rsidRPr="00361890" w14:paraId="75394E57" w14:textId="77777777" w:rsidTr="00DF552B">
        <w:trPr>
          <w:cantSplit/>
          <w:trHeight w:val="23"/>
        </w:trPr>
        <w:tc>
          <w:tcPr>
            <w:tcW w:w="9356" w:type="dxa"/>
            <w:shd w:val="clear" w:color="auto" w:fill="auto"/>
          </w:tcPr>
          <w:p w14:paraId="2D1762E2" w14:textId="683B0615" w:rsidR="00A1629D" w:rsidRPr="00F504A3" w:rsidRDefault="00A1629D" w:rsidP="00DF552B">
            <w:pPr>
              <w:spacing w:before="120"/>
              <w:ind w:left="-108" w:right="34"/>
              <w:rPr>
                <w:color w:val="000000"/>
                <w:sz w:val="16"/>
                <w:szCs w:val="16"/>
              </w:rPr>
            </w:pPr>
            <w:r w:rsidRPr="00C45F47">
              <w:rPr>
                <w:sz w:val="16"/>
                <w:szCs w:val="16"/>
              </w:rPr>
              <w:t xml:space="preserve">an Inspector </w:t>
            </w:r>
            <w:r w:rsidR="00603B45" w:rsidRPr="00C45F47">
              <w:rPr>
                <w:sz w:val="16"/>
                <w:szCs w:val="16"/>
              </w:rPr>
              <w:t xml:space="preserve">on the direction </w:t>
            </w:r>
            <w:r w:rsidR="00603B45">
              <w:rPr>
                <w:color w:val="000000"/>
                <w:sz w:val="16"/>
                <w:szCs w:val="16"/>
              </w:rPr>
              <w:t xml:space="preserve">of </w:t>
            </w:r>
            <w:r w:rsidRPr="00F504A3">
              <w:rPr>
                <w:color w:val="000000"/>
                <w:sz w:val="16"/>
                <w:szCs w:val="16"/>
              </w:rPr>
              <w:t xml:space="preserve"> the Secretary of State for Environment, Food and Rural Affairs</w:t>
            </w:r>
          </w:p>
        </w:tc>
      </w:tr>
      <w:tr w:rsidR="00A1629D" w:rsidRPr="00A101CD" w14:paraId="5BEFF57E" w14:textId="77777777" w:rsidTr="00DF552B">
        <w:trPr>
          <w:cantSplit/>
          <w:trHeight w:val="23"/>
        </w:trPr>
        <w:tc>
          <w:tcPr>
            <w:tcW w:w="9356" w:type="dxa"/>
            <w:shd w:val="clear" w:color="auto" w:fill="auto"/>
          </w:tcPr>
          <w:p w14:paraId="327F626E" w14:textId="7A5F33DA" w:rsidR="00A1629D" w:rsidRPr="008828E6" w:rsidRDefault="00A1629D" w:rsidP="00DF552B">
            <w:pPr>
              <w:spacing w:before="120"/>
              <w:ind w:left="-108" w:right="176"/>
              <w:rPr>
                <w:color w:val="000000"/>
                <w:sz w:val="16"/>
                <w:szCs w:val="16"/>
              </w:rPr>
            </w:pPr>
            <w:r w:rsidRPr="00A101CD">
              <w:rPr>
                <w:b/>
                <w:color w:val="000000"/>
                <w:sz w:val="16"/>
                <w:szCs w:val="16"/>
              </w:rPr>
              <w:t>Decision date:</w:t>
            </w:r>
            <w:r w:rsidR="009B16D3">
              <w:rPr>
                <w:b/>
                <w:color w:val="000000"/>
                <w:sz w:val="16"/>
                <w:szCs w:val="16"/>
              </w:rPr>
              <w:t xml:space="preserve"> 23 March 2021</w:t>
            </w:r>
            <w:r>
              <w:rPr>
                <w:b/>
                <w:color w:val="000000"/>
                <w:sz w:val="16"/>
                <w:szCs w:val="16"/>
              </w:rPr>
              <w:t xml:space="preserve"> </w:t>
            </w:r>
            <w:r>
              <w:rPr>
                <w:color w:val="000000"/>
                <w:sz w:val="16"/>
                <w:szCs w:val="16"/>
              </w:rPr>
              <w:t xml:space="preserve"> </w:t>
            </w:r>
          </w:p>
        </w:tc>
      </w:tr>
    </w:tbl>
    <w:p w14:paraId="1FA9D351" w14:textId="77777777" w:rsidR="00A1629D" w:rsidRDefault="00A1629D" w:rsidP="00A1629D"/>
    <w:tbl>
      <w:tblPr>
        <w:tblW w:w="9520" w:type="dxa"/>
        <w:tblLayout w:type="fixed"/>
        <w:tblLook w:val="0000" w:firstRow="0" w:lastRow="0" w:firstColumn="0" w:lastColumn="0" w:noHBand="0" w:noVBand="0"/>
      </w:tblPr>
      <w:tblGrid>
        <w:gridCol w:w="9520"/>
      </w:tblGrid>
      <w:tr w:rsidR="00A1629D" w14:paraId="3633DEDF" w14:textId="77777777" w:rsidTr="6C2DB232">
        <w:trPr>
          <w:trHeight w:val="436"/>
        </w:trPr>
        <w:tc>
          <w:tcPr>
            <w:tcW w:w="9520" w:type="dxa"/>
            <w:shd w:val="clear" w:color="auto" w:fill="auto"/>
          </w:tcPr>
          <w:p w14:paraId="511C9D85" w14:textId="77777777" w:rsidR="00A1629D" w:rsidRDefault="00A1629D" w:rsidP="00DF552B">
            <w:pPr>
              <w:rPr>
                <w:b/>
                <w:color w:val="000000"/>
              </w:rPr>
            </w:pPr>
            <w:r>
              <w:rPr>
                <w:b/>
                <w:color w:val="000000"/>
              </w:rPr>
              <w:t>Appeal Ref: FPS/P2745/14A/7</w:t>
            </w:r>
          </w:p>
          <w:tbl>
            <w:tblPr>
              <w:tblW w:w="9520" w:type="dxa"/>
              <w:tblLayout w:type="fixed"/>
              <w:tblLook w:val="0000" w:firstRow="0" w:lastRow="0" w:firstColumn="0" w:lastColumn="0" w:noHBand="0" w:noVBand="0"/>
            </w:tblPr>
            <w:tblGrid>
              <w:gridCol w:w="9520"/>
            </w:tblGrid>
            <w:tr w:rsidR="00A1629D" w14:paraId="4892801B" w14:textId="77777777" w:rsidTr="00DF552B">
              <w:tc>
                <w:tcPr>
                  <w:tcW w:w="9520" w:type="dxa"/>
                  <w:shd w:val="clear" w:color="auto" w:fill="auto"/>
                </w:tcPr>
                <w:p w14:paraId="51D3E203" w14:textId="77777777" w:rsidR="00A1629D" w:rsidRPr="00000D75" w:rsidRDefault="00A1629D" w:rsidP="00DF552B">
                  <w:pPr>
                    <w:spacing w:after="60"/>
                    <w:rPr>
                      <w:b/>
                      <w:color w:val="000000"/>
                    </w:rPr>
                  </w:pPr>
                </w:p>
              </w:tc>
            </w:tr>
            <w:tr w:rsidR="00A1629D" w14:paraId="73C67260" w14:textId="77777777" w:rsidTr="00DF552B">
              <w:tc>
                <w:tcPr>
                  <w:tcW w:w="9520" w:type="dxa"/>
                  <w:shd w:val="clear" w:color="auto" w:fill="auto"/>
                </w:tcPr>
                <w:p w14:paraId="37495EAE" w14:textId="4BB64D0E" w:rsidR="00A1629D" w:rsidRDefault="00A1629D" w:rsidP="00DF552B">
                  <w:pPr>
                    <w:pStyle w:val="TBullet"/>
                  </w:pPr>
                  <w:r>
                    <w:t xml:space="preserve">This appeal is made under </w:t>
                  </w:r>
                  <w:r w:rsidRPr="00C45F47">
                    <w:rPr>
                      <w:color w:val="auto"/>
                    </w:rPr>
                    <w:t xml:space="preserve">section 53(5) and paragraph 4(1) </w:t>
                  </w:r>
                  <w:r>
                    <w:t>Schedule 14 of the Wildlife and Countryside Act 1981 against the decision of North Yorkshire County Council (‘the County Council’) not to make an Order under section 53(2) of that Act.</w:t>
                  </w:r>
                </w:p>
                <w:p w14:paraId="14C20F02" w14:textId="77777777" w:rsidR="00A1629D" w:rsidRDefault="00A1629D" w:rsidP="00DF552B">
                  <w:pPr>
                    <w:pStyle w:val="TBullet"/>
                    <w:numPr>
                      <w:ilvl w:val="0"/>
                      <w:numId w:val="0"/>
                    </w:numPr>
                    <w:ind w:left="360"/>
                  </w:pPr>
                </w:p>
              </w:tc>
            </w:tr>
            <w:tr w:rsidR="00A1629D" w14:paraId="62A58941" w14:textId="77777777" w:rsidTr="00DF552B">
              <w:tc>
                <w:tcPr>
                  <w:tcW w:w="9520" w:type="dxa"/>
                  <w:shd w:val="clear" w:color="auto" w:fill="auto"/>
                </w:tcPr>
                <w:p w14:paraId="1F1EC4FD" w14:textId="77777777" w:rsidR="00A1629D" w:rsidRDefault="00A1629D" w:rsidP="00DF552B">
                  <w:pPr>
                    <w:pStyle w:val="TBullet"/>
                  </w:pPr>
                  <w:r>
                    <w:t>The application dated 27 May 2019 (‘the Application’) made by Mrs Caroline Bradley, as Applicant, for and on behalf of the British Horse Society was refused by way of notice from the County Council dated 11 May 2020.</w:t>
                  </w:r>
                </w:p>
                <w:p w14:paraId="7A77D7FA" w14:textId="77777777" w:rsidR="00A1629D" w:rsidRDefault="00A1629D" w:rsidP="00DF552B">
                  <w:pPr>
                    <w:pStyle w:val="TBullet"/>
                    <w:numPr>
                      <w:ilvl w:val="0"/>
                      <w:numId w:val="0"/>
                    </w:numPr>
                    <w:ind w:left="360"/>
                  </w:pPr>
                </w:p>
              </w:tc>
            </w:tr>
            <w:tr w:rsidR="00A1629D" w14:paraId="1B1BF1C7" w14:textId="77777777" w:rsidTr="00DF552B">
              <w:tc>
                <w:tcPr>
                  <w:tcW w:w="9520" w:type="dxa"/>
                  <w:shd w:val="clear" w:color="auto" w:fill="auto"/>
                </w:tcPr>
                <w:p w14:paraId="038F7123" w14:textId="39392CE9" w:rsidR="00A1629D" w:rsidRPr="009D22D8" w:rsidRDefault="00A1629D" w:rsidP="00DF552B">
                  <w:pPr>
                    <w:pStyle w:val="TBullet"/>
                  </w:pPr>
                  <w:r w:rsidRPr="009D22D8">
                    <w:t>The Appellant</w:t>
                  </w:r>
                  <w:r>
                    <w:t>s</w:t>
                  </w:r>
                  <w:r w:rsidRPr="009D22D8">
                    <w:t xml:space="preserve"> claim that a</w:t>
                  </w:r>
                  <w:r>
                    <w:t xml:space="preserve"> public bridleway along Scot Pit Lane, Brompton, North Yorkshire </w:t>
                  </w:r>
                  <w:r w:rsidRPr="009D22D8">
                    <w:t xml:space="preserve">should be recorded </w:t>
                  </w:r>
                  <w:r w:rsidR="00726CFE">
                    <w:t xml:space="preserve">in </w:t>
                  </w:r>
                  <w:r w:rsidRPr="009D22D8">
                    <w:t>the Definitive Map and Statement for the area.</w:t>
                  </w:r>
                </w:p>
                <w:p w14:paraId="30F3FC1F" w14:textId="77777777" w:rsidR="00A1629D" w:rsidRDefault="00A1629D" w:rsidP="00DF552B">
                  <w:pPr>
                    <w:pStyle w:val="TBullet"/>
                    <w:numPr>
                      <w:ilvl w:val="0"/>
                      <w:numId w:val="0"/>
                    </w:numPr>
                    <w:ind w:left="360"/>
                  </w:pPr>
                </w:p>
              </w:tc>
            </w:tr>
            <w:tr w:rsidR="00A1629D" w14:paraId="0479A73F" w14:textId="77777777" w:rsidTr="00DF552B">
              <w:tc>
                <w:tcPr>
                  <w:tcW w:w="9520" w:type="dxa"/>
                  <w:tcBorders>
                    <w:bottom w:val="single" w:sz="6" w:space="0" w:color="000000"/>
                  </w:tcBorders>
                  <w:shd w:val="clear" w:color="auto" w:fill="auto"/>
                </w:tcPr>
                <w:p w14:paraId="1A1721D5" w14:textId="77777777" w:rsidR="00A1629D" w:rsidRPr="00000D75" w:rsidRDefault="00A1629D" w:rsidP="00DF552B">
                  <w:pPr>
                    <w:rPr>
                      <w:b/>
                      <w:color w:val="000000"/>
                      <w:sz w:val="4"/>
                    </w:rPr>
                  </w:pPr>
                </w:p>
              </w:tc>
            </w:tr>
          </w:tbl>
          <w:p w14:paraId="4A11DE93" w14:textId="77777777" w:rsidR="00A1629D" w:rsidRDefault="00A1629D" w:rsidP="00DF552B">
            <w:pPr>
              <w:pStyle w:val="Heading6blackfont"/>
            </w:pPr>
            <w:r>
              <w:t>SUMMARY OF DECISION: The Appeal is allowed</w:t>
            </w:r>
          </w:p>
          <w:p w14:paraId="2A947A35" w14:textId="77777777" w:rsidR="00A1629D" w:rsidRPr="00260CFF" w:rsidRDefault="00A1629D" w:rsidP="00DF552B">
            <w:pPr>
              <w:pStyle w:val="Style1"/>
              <w:numPr>
                <w:ilvl w:val="0"/>
                <w:numId w:val="0"/>
              </w:numPr>
              <w:ind w:left="630" w:hanging="630"/>
              <w:rPr>
                <w:b/>
              </w:rPr>
            </w:pPr>
            <w:r w:rsidRPr="00260CFF">
              <w:rPr>
                <w:b/>
              </w:rPr>
              <w:t>PR</w:t>
            </w:r>
            <w:r>
              <w:rPr>
                <w:b/>
              </w:rPr>
              <w:t xml:space="preserve">ELIMINARY </w:t>
            </w:r>
            <w:r w:rsidRPr="00260CFF">
              <w:rPr>
                <w:b/>
              </w:rPr>
              <w:t>MATTERS</w:t>
            </w:r>
          </w:p>
          <w:p w14:paraId="1D20FDB3" w14:textId="7C1FD56C" w:rsidR="00A1629D" w:rsidRDefault="00A1629D" w:rsidP="003D071E">
            <w:pPr>
              <w:pStyle w:val="Style1"/>
              <w:tabs>
                <w:tab w:val="clear" w:pos="432"/>
              </w:tabs>
              <w:ind w:left="630" w:hanging="630"/>
            </w:pPr>
            <w:r>
              <w:t xml:space="preserve">I have been directed by the Secretary of State </w:t>
            </w:r>
            <w:r w:rsidRPr="00A0447D">
              <w:rPr>
                <w:color w:val="auto"/>
              </w:rPr>
              <w:t>for</w:t>
            </w:r>
            <w:r>
              <w:t xml:space="preserve"> </w:t>
            </w:r>
            <w:r w:rsidRPr="00C45F47">
              <w:rPr>
                <w:color w:val="auto"/>
              </w:rPr>
              <w:t>the</w:t>
            </w:r>
            <w:r w:rsidR="00D52C94" w:rsidRPr="003D071E">
              <w:rPr>
                <w:color w:val="FF0000"/>
              </w:rPr>
              <w:t xml:space="preserve"> </w:t>
            </w:r>
            <w:r>
              <w:t xml:space="preserve">Environment, Food and Rural Affairs to determine an appeal (‘the Appeal’) under </w:t>
            </w:r>
            <w:r w:rsidRPr="00C45F47">
              <w:rPr>
                <w:color w:val="auto"/>
              </w:rPr>
              <w:t>Section 53(5) of, and Paragraph 4(1) to, Schedule 14</w:t>
            </w:r>
            <w:r w:rsidR="00135FCA" w:rsidRPr="00C45F47">
              <w:rPr>
                <w:color w:val="auto"/>
              </w:rPr>
              <w:t xml:space="preserve"> </w:t>
            </w:r>
            <w:r>
              <w:t>of the Wildlife and Countryside Act 1981 (‘the 1981 Act’).</w:t>
            </w:r>
          </w:p>
          <w:p w14:paraId="15B18995" w14:textId="45544AD0" w:rsidR="00A1629D" w:rsidRDefault="00A1629D" w:rsidP="003D071E">
            <w:pPr>
              <w:pStyle w:val="Style1"/>
              <w:tabs>
                <w:tab w:val="clear" w:pos="432"/>
              </w:tabs>
              <w:ind w:left="630" w:hanging="630"/>
              <w:rPr>
                <w:color w:val="auto"/>
              </w:rPr>
            </w:pPr>
            <w:r w:rsidRPr="001F2842">
              <w:rPr>
                <w:color w:val="auto"/>
              </w:rPr>
              <w:t xml:space="preserve">I have not visited the site. However, I am satisfied that I can make my decision without the need to do so. </w:t>
            </w:r>
          </w:p>
          <w:p w14:paraId="4DC6F2A4" w14:textId="5A91CC17" w:rsidR="00743C2D" w:rsidRPr="001F2842" w:rsidRDefault="00743C2D" w:rsidP="003D071E">
            <w:pPr>
              <w:pStyle w:val="Style1"/>
              <w:tabs>
                <w:tab w:val="clear" w:pos="432"/>
              </w:tabs>
              <w:ind w:left="630" w:hanging="630"/>
              <w:rPr>
                <w:color w:val="auto"/>
              </w:rPr>
            </w:pPr>
            <w:r>
              <w:rPr>
                <w:color w:val="auto"/>
              </w:rPr>
              <w:t>The Appellant relies upon historical documentation</w:t>
            </w:r>
            <w:r w:rsidR="006D67B6">
              <w:rPr>
                <w:color w:val="auto"/>
              </w:rPr>
              <w:t xml:space="preserve"> in support of the Appeal, to which reference will be made below.</w:t>
            </w:r>
          </w:p>
          <w:p w14:paraId="56F7CC87" w14:textId="77777777" w:rsidR="00A1629D" w:rsidRPr="001D4D8D" w:rsidRDefault="00A1629D" w:rsidP="00DF552B">
            <w:pPr>
              <w:pStyle w:val="Style1"/>
              <w:numPr>
                <w:ilvl w:val="0"/>
                <w:numId w:val="0"/>
              </w:numPr>
              <w:tabs>
                <w:tab w:val="clear" w:pos="432"/>
              </w:tabs>
              <w:ind w:left="630" w:hanging="630"/>
              <w:rPr>
                <w:b/>
                <w:bCs/>
              </w:rPr>
            </w:pPr>
            <w:r>
              <w:rPr>
                <w:b/>
                <w:bCs/>
              </w:rPr>
              <w:t xml:space="preserve">        </w:t>
            </w:r>
            <w:r w:rsidRPr="001D4D8D">
              <w:rPr>
                <w:b/>
                <w:bCs/>
              </w:rPr>
              <w:t>The Appeal</w:t>
            </w:r>
          </w:p>
          <w:p w14:paraId="7B6E481B" w14:textId="49D6C50D" w:rsidR="00A1629D" w:rsidRPr="007F014D" w:rsidRDefault="00A1629D" w:rsidP="003D071E">
            <w:pPr>
              <w:pStyle w:val="Style1"/>
              <w:tabs>
                <w:tab w:val="clear" w:pos="432"/>
              </w:tabs>
              <w:ind w:left="630" w:hanging="630"/>
            </w:pPr>
            <w:r w:rsidRPr="00641443">
              <w:t xml:space="preserve">The Appeal is made against the County Council’s decision not to make an order in respect of the Application to </w:t>
            </w:r>
            <w:r>
              <w:t>add</w:t>
            </w:r>
            <w:r w:rsidRPr="00641443">
              <w:t xml:space="preserve"> a public </w:t>
            </w:r>
            <w:r w:rsidR="007D3386" w:rsidRPr="00F5365A">
              <w:rPr>
                <w:color w:val="auto"/>
              </w:rPr>
              <w:t>b</w:t>
            </w:r>
            <w:r w:rsidRPr="00641443">
              <w:t>ridleway</w:t>
            </w:r>
            <w:r w:rsidR="003B6ED3">
              <w:t xml:space="preserve"> </w:t>
            </w:r>
            <w:r w:rsidRPr="00A26A3C">
              <w:rPr>
                <w:bCs/>
              </w:rPr>
              <w:t>from the A167 to Brompton Lane along a route known as Scott Pit Lane, North Yorkshire</w:t>
            </w:r>
            <w:r>
              <w:rPr>
                <w:bCs/>
              </w:rPr>
              <w:t xml:space="preserve"> (‘the Application Route’)</w:t>
            </w:r>
            <w:r w:rsidRPr="00A26A3C">
              <w:rPr>
                <w:bCs/>
              </w:rPr>
              <w:t>,</w:t>
            </w:r>
            <w:r>
              <w:rPr>
                <w:bCs/>
              </w:rPr>
              <w:t xml:space="preserve"> and thereby</w:t>
            </w:r>
            <w:r w:rsidRPr="00A26A3C">
              <w:rPr>
                <w:bCs/>
              </w:rPr>
              <w:t xml:space="preserve"> should</w:t>
            </w:r>
            <w:r w:rsidRPr="00A26A3C">
              <w:rPr>
                <w:i/>
                <w:iCs/>
              </w:rPr>
              <w:t xml:space="preserve"> </w:t>
            </w:r>
            <w:r w:rsidRPr="007F014D">
              <w:t>be recorded on</w:t>
            </w:r>
            <w:r w:rsidRPr="00641443">
              <w:t xml:space="preserve"> the definitive map and statement</w:t>
            </w:r>
            <w:r>
              <w:t xml:space="preserve"> for the area.</w:t>
            </w:r>
          </w:p>
          <w:p w14:paraId="50D137AF" w14:textId="77777777" w:rsidR="00A1629D" w:rsidRPr="007D53FC" w:rsidRDefault="00A1629D" w:rsidP="00DF552B">
            <w:pPr>
              <w:pStyle w:val="Style1"/>
              <w:numPr>
                <w:ilvl w:val="0"/>
                <w:numId w:val="0"/>
              </w:numPr>
              <w:tabs>
                <w:tab w:val="clear" w:pos="432"/>
              </w:tabs>
              <w:ind w:left="567"/>
              <w:rPr>
                <w:b/>
                <w:bCs/>
                <w:color w:val="000000" w:themeColor="text1"/>
              </w:rPr>
            </w:pPr>
            <w:r w:rsidRPr="00844579">
              <w:rPr>
                <w:i/>
                <w:iCs/>
                <w:color w:val="FF0000"/>
              </w:rPr>
              <w:t xml:space="preserve"> </w:t>
            </w:r>
            <w:r w:rsidRPr="007D53FC">
              <w:rPr>
                <w:b/>
                <w:bCs/>
                <w:color w:val="000000" w:themeColor="text1"/>
              </w:rPr>
              <w:t>The Application Route</w:t>
            </w:r>
          </w:p>
          <w:p w14:paraId="0552026E" w14:textId="6C4B88F1" w:rsidR="00A1629D" w:rsidRPr="00831FB8" w:rsidRDefault="00A1629D" w:rsidP="00F5365A">
            <w:pPr>
              <w:pStyle w:val="Style1"/>
              <w:tabs>
                <w:tab w:val="clear" w:pos="432"/>
              </w:tabs>
              <w:ind w:left="630" w:hanging="630"/>
              <w:rPr>
                <w:szCs w:val="22"/>
              </w:rPr>
            </w:pPr>
            <w:r w:rsidRPr="007D53FC">
              <w:rPr>
                <w:bCs/>
                <w:color w:val="000000" w:themeColor="text1"/>
              </w:rPr>
              <w:t xml:space="preserve">The Application Route is identified on the Location Map and Order Plan contained in Appendices 1 and 2 to the statement of reasons (‘the Statement of Reasons’) filed by the County Council </w:t>
            </w:r>
            <w:r w:rsidR="003B6ED3">
              <w:rPr>
                <w:color w:val="000000" w:themeColor="text1"/>
                <w:szCs w:val="22"/>
              </w:rPr>
              <w:t>in support of</w:t>
            </w:r>
            <w:r w:rsidRPr="007D53FC">
              <w:rPr>
                <w:color w:val="000000" w:themeColor="text1"/>
                <w:szCs w:val="22"/>
              </w:rPr>
              <w:t xml:space="preserve"> the refusal to make a Definitive Map Modification Order (‘a DMMO’) to add the </w:t>
            </w:r>
            <w:r w:rsidR="00502E1B" w:rsidRPr="007D53FC">
              <w:rPr>
                <w:color w:val="000000" w:themeColor="text1"/>
                <w:szCs w:val="22"/>
              </w:rPr>
              <w:t>b</w:t>
            </w:r>
            <w:r w:rsidRPr="007D53FC">
              <w:rPr>
                <w:color w:val="000000" w:themeColor="text1"/>
                <w:szCs w:val="22"/>
              </w:rPr>
              <w:t xml:space="preserve">ridleway identified </w:t>
            </w:r>
            <w:r w:rsidRPr="007D53FC">
              <w:rPr>
                <w:color w:val="000000" w:themeColor="text1"/>
                <w:szCs w:val="22"/>
              </w:rPr>
              <w:lastRenderedPageBreak/>
              <w:t>as commencing from the A167 at Grid Reference 4359 4973 along Scot Pit Lane to Brompton Lane (C40) at Grid Reference 4366 4976.</w:t>
            </w:r>
            <w:r w:rsidRPr="007D53FC">
              <w:rPr>
                <w:color w:val="000000" w:themeColor="text1"/>
                <w:szCs w:val="22"/>
              </w:rPr>
              <w:footnoteReference w:id="2"/>
            </w:r>
            <w:r w:rsidR="006E5AE8" w:rsidRPr="007D53FC">
              <w:rPr>
                <w:color w:val="000000" w:themeColor="text1"/>
                <w:szCs w:val="22"/>
              </w:rPr>
              <w:t xml:space="preserve">. </w:t>
            </w:r>
          </w:p>
        </w:tc>
      </w:tr>
      <w:tr w:rsidR="00A1629D" w14:paraId="10F3AAA0" w14:textId="77777777" w:rsidTr="6C2DB232">
        <w:tc>
          <w:tcPr>
            <w:tcW w:w="9520" w:type="dxa"/>
            <w:shd w:val="clear" w:color="auto" w:fill="auto"/>
          </w:tcPr>
          <w:p w14:paraId="7EF9F197" w14:textId="77777777" w:rsidR="00A1629D" w:rsidRPr="00F83C32" w:rsidRDefault="00A1629D" w:rsidP="00DF552B">
            <w:pPr>
              <w:pStyle w:val="Style1"/>
              <w:numPr>
                <w:ilvl w:val="0"/>
                <w:numId w:val="0"/>
              </w:numPr>
              <w:rPr>
                <w:b/>
                <w:bCs/>
                <w:szCs w:val="22"/>
              </w:rPr>
            </w:pPr>
            <w:r w:rsidRPr="00F83C32">
              <w:rPr>
                <w:b/>
                <w:bCs/>
                <w:szCs w:val="22"/>
              </w:rPr>
              <w:lastRenderedPageBreak/>
              <w:t>MAIN ISSUES</w:t>
            </w:r>
          </w:p>
          <w:p w14:paraId="55B6333A" w14:textId="41D742C5" w:rsidR="00A1629D" w:rsidRPr="00F83C32" w:rsidRDefault="00A1629D" w:rsidP="00BB7F76">
            <w:pPr>
              <w:pStyle w:val="Style1"/>
              <w:numPr>
                <w:ilvl w:val="0"/>
                <w:numId w:val="0"/>
              </w:numPr>
              <w:tabs>
                <w:tab w:val="clear" w:pos="432"/>
              </w:tabs>
              <w:ind w:left="567" w:hanging="567"/>
              <w:rPr>
                <w:b/>
                <w:bCs/>
                <w:szCs w:val="22"/>
              </w:rPr>
            </w:pPr>
            <w:r w:rsidRPr="00324F7A">
              <w:rPr>
                <w:b/>
                <w:bCs/>
                <w:szCs w:val="22"/>
              </w:rPr>
              <w:tab/>
            </w:r>
            <w:r>
              <w:rPr>
                <w:b/>
                <w:bCs/>
                <w:szCs w:val="22"/>
              </w:rPr>
              <w:t xml:space="preserve"> </w:t>
            </w:r>
            <w:r w:rsidRPr="00F83C32">
              <w:rPr>
                <w:b/>
                <w:bCs/>
                <w:szCs w:val="22"/>
              </w:rPr>
              <w:t>Summary</w:t>
            </w:r>
          </w:p>
          <w:p w14:paraId="49D81E33" w14:textId="77777777" w:rsidR="00A1629D" w:rsidRPr="00E10626" w:rsidRDefault="00A1629D" w:rsidP="00DF552B">
            <w:pPr>
              <w:pStyle w:val="Style1"/>
              <w:numPr>
                <w:ilvl w:val="0"/>
                <w:numId w:val="0"/>
              </w:numPr>
              <w:tabs>
                <w:tab w:val="clear" w:pos="432"/>
              </w:tabs>
              <w:ind w:left="630"/>
              <w:rPr>
                <w:b/>
                <w:bCs/>
                <w:i/>
                <w:iCs/>
              </w:rPr>
            </w:pPr>
            <w:r w:rsidRPr="00E10626">
              <w:rPr>
                <w:b/>
                <w:bCs/>
                <w:i/>
                <w:iCs/>
              </w:rPr>
              <w:t xml:space="preserve">The Definitive Map and Statement </w:t>
            </w:r>
          </w:p>
          <w:p w14:paraId="030B541C" w14:textId="55D23819" w:rsidR="00A1629D" w:rsidRDefault="00A1629D" w:rsidP="00FB325A">
            <w:pPr>
              <w:pStyle w:val="Style1"/>
              <w:tabs>
                <w:tab w:val="clear" w:pos="432"/>
              </w:tabs>
              <w:ind w:left="601" w:hanging="567"/>
            </w:pPr>
            <w:r>
              <w:t>Insofar as definitive maps and statements are concerned, local authorities are required</w:t>
            </w:r>
            <w:r w:rsidR="00B602B3">
              <w:t>, subject to the determination of objections,</w:t>
            </w:r>
            <w:r>
              <w:t xml:space="preserve"> to maintain definitive maps and statements of public footpaths and bridleways in their areas.  These maps are conclusive as to the rights shown.  However, the local authority is under a duty to keep them under continuous review and to amend them accordingly.  It therefore follows that the definitive map is always subject to modification under section 53 of the 1981 Act. </w:t>
            </w:r>
          </w:p>
          <w:p w14:paraId="64A677E2" w14:textId="77777777" w:rsidR="00A1629D" w:rsidRPr="0059420E" w:rsidRDefault="00A1629D" w:rsidP="00DF552B">
            <w:pPr>
              <w:pStyle w:val="Style1"/>
              <w:numPr>
                <w:ilvl w:val="0"/>
                <w:numId w:val="0"/>
              </w:numPr>
              <w:tabs>
                <w:tab w:val="clear" w:pos="432"/>
                <w:tab w:val="left" w:pos="0"/>
              </w:tabs>
              <w:ind w:left="567"/>
              <w:rPr>
                <w:b/>
                <w:bCs/>
                <w:i/>
                <w:iCs/>
                <w:szCs w:val="22"/>
              </w:rPr>
            </w:pPr>
            <w:r w:rsidRPr="0059420E">
              <w:rPr>
                <w:b/>
                <w:bCs/>
                <w:i/>
                <w:iCs/>
                <w:szCs w:val="22"/>
              </w:rPr>
              <w:t>The Tests</w:t>
            </w:r>
          </w:p>
          <w:p w14:paraId="6151FE68" w14:textId="4EBDD891" w:rsidR="00A1629D" w:rsidRPr="00324F7A" w:rsidRDefault="00A1629D" w:rsidP="00A068BB">
            <w:pPr>
              <w:pStyle w:val="Style1"/>
              <w:tabs>
                <w:tab w:val="clear" w:pos="432"/>
              </w:tabs>
              <w:ind w:left="601" w:hanging="567"/>
              <w:rPr>
                <w:szCs w:val="22"/>
              </w:rPr>
            </w:pPr>
            <w:r w:rsidRPr="00831FB8">
              <w:t>Section</w:t>
            </w:r>
            <w:r w:rsidRPr="00324F7A">
              <w:rPr>
                <w:szCs w:val="22"/>
              </w:rPr>
              <w:t xml:space="preserve"> 53(3)(c)(i) </w:t>
            </w:r>
            <w:r>
              <w:rPr>
                <w:szCs w:val="22"/>
              </w:rPr>
              <w:t xml:space="preserve">of </w:t>
            </w:r>
            <w:r w:rsidRPr="00324F7A">
              <w:rPr>
                <w:szCs w:val="22"/>
              </w:rPr>
              <w:t xml:space="preserve">1981 Act specifies that an order should be made following the discovery of evidence which, when considered with all other relevant evidence, shows that </w:t>
            </w:r>
            <w:r w:rsidR="00575379">
              <w:rPr>
                <w:i/>
                <w:szCs w:val="22"/>
              </w:rPr>
              <w:t>‘</w:t>
            </w:r>
            <w:r w:rsidRPr="00324F7A">
              <w:rPr>
                <w:i/>
                <w:szCs w:val="22"/>
              </w:rPr>
              <w:t>a right of way which is not shown in the map and statement subsists or is reasonably alleged to subsist…</w:t>
            </w:r>
            <w:r>
              <w:rPr>
                <w:i/>
                <w:szCs w:val="22"/>
              </w:rPr>
              <w:t>’</w:t>
            </w:r>
            <w:r w:rsidRPr="00324F7A">
              <w:rPr>
                <w:i/>
                <w:szCs w:val="22"/>
              </w:rPr>
              <w:t>.</w:t>
            </w:r>
            <w:r w:rsidRPr="00324F7A">
              <w:rPr>
                <w:szCs w:val="22"/>
              </w:rPr>
              <w:t xml:space="preserve"> </w:t>
            </w:r>
          </w:p>
          <w:p w14:paraId="2199BC71" w14:textId="77777777" w:rsidR="00A1629D" w:rsidRPr="00FA28EE" w:rsidRDefault="00A1629D" w:rsidP="00A068BB">
            <w:pPr>
              <w:pStyle w:val="Style1"/>
              <w:tabs>
                <w:tab w:val="clear" w:pos="432"/>
              </w:tabs>
              <w:ind w:left="601" w:hanging="567"/>
              <w:rPr>
                <w:bCs/>
                <w:iCs/>
                <w:szCs w:val="22"/>
              </w:rPr>
            </w:pPr>
            <w:r w:rsidRPr="00FA28EE">
              <w:rPr>
                <w:szCs w:val="22"/>
              </w:rPr>
              <w:t xml:space="preserve">In considering this issue there are two tests to be applied: </w:t>
            </w:r>
          </w:p>
          <w:p w14:paraId="21DEFAAB" w14:textId="23FD0CD8" w:rsidR="00A1629D" w:rsidRPr="005137F7" w:rsidRDefault="00A1629D" w:rsidP="00461719">
            <w:pPr>
              <w:pStyle w:val="Style1"/>
              <w:numPr>
                <w:ilvl w:val="0"/>
                <w:numId w:val="5"/>
              </w:numPr>
              <w:tabs>
                <w:tab w:val="clear" w:pos="432"/>
              </w:tabs>
              <w:rPr>
                <w:szCs w:val="22"/>
              </w:rPr>
            </w:pPr>
            <w:r w:rsidRPr="005137F7">
              <w:rPr>
                <w:szCs w:val="22"/>
              </w:rPr>
              <w:t xml:space="preserve">Test A: Does a right of way subsist on the balance of probabilities? </w:t>
            </w:r>
          </w:p>
          <w:p w14:paraId="02432DC5" w14:textId="32C80553" w:rsidR="00A1629D" w:rsidRPr="005137F7" w:rsidRDefault="00A1629D" w:rsidP="00461719">
            <w:pPr>
              <w:pStyle w:val="Style1"/>
              <w:numPr>
                <w:ilvl w:val="0"/>
                <w:numId w:val="5"/>
              </w:numPr>
              <w:tabs>
                <w:tab w:val="clear" w:pos="432"/>
              </w:tabs>
              <w:rPr>
                <w:szCs w:val="22"/>
              </w:rPr>
            </w:pPr>
            <w:r w:rsidRPr="005137F7">
              <w:rPr>
                <w:szCs w:val="22"/>
              </w:rPr>
              <w:t xml:space="preserve">Test B: Is it reasonable to allege that a right of way subsists? For this possibility to </w:t>
            </w:r>
            <w:r>
              <w:rPr>
                <w:szCs w:val="22"/>
              </w:rPr>
              <w:t>arise</w:t>
            </w:r>
            <w:r w:rsidRPr="005137F7">
              <w:rPr>
                <w:szCs w:val="22"/>
              </w:rPr>
              <w:t xml:space="preserve"> it will be necessary to </w:t>
            </w:r>
            <w:r>
              <w:rPr>
                <w:szCs w:val="22"/>
              </w:rPr>
              <w:t>demonstrate</w:t>
            </w:r>
            <w:r w:rsidRPr="005137F7">
              <w:rPr>
                <w:szCs w:val="22"/>
              </w:rPr>
              <w:t xml:space="preserve"> that a reasonable person, having considered all the relevant evidence available, could reasonably allege a right of way to subsist. If there is a conflict of credible evidence, but no incontrovertible evidence that a right of way could not be reasonably alleged to subsist, then it is reasonable to allege that one does.</w:t>
            </w:r>
            <w:r>
              <w:rPr>
                <w:rStyle w:val="FootnoteReference"/>
                <w:szCs w:val="22"/>
              </w:rPr>
              <w:footnoteReference w:id="3"/>
            </w:r>
          </w:p>
          <w:p w14:paraId="663F8228" w14:textId="6A9ED04C" w:rsidR="00A1629D" w:rsidRPr="00F10380" w:rsidRDefault="00A1629D" w:rsidP="00A068BB">
            <w:pPr>
              <w:pStyle w:val="Style1"/>
              <w:tabs>
                <w:tab w:val="clear" w:pos="432"/>
              </w:tabs>
              <w:ind w:left="601" w:hanging="567"/>
              <w:rPr>
                <w:szCs w:val="22"/>
              </w:rPr>
            </w:pPr>
            <w:r w:rsidRPr="00831FB8">
              <w:t>Thus</w:t>
            </w:r>
            <w:r>
              <w:rPr>
                <w:szCs w:val="22"/>
              </w:rPr>
              <w:t>, f</w:t>
            </w:r>
            <w:r w:rsidRPr="00F10380">
              <w:rPr>
                <w:szCs w:val="22"/>
              </w:rPr>
              <w:t xml:space="preserve">or the purposes of this </w:t>
            </w:r>
            <w:r>
              <w:rPr>
                <w:szCs w:val="22"/>
              </w:rPr>
              <w:t>Appeal Decision</w:t>
            </w:r>
            <w:r w:rsidRPr="00F10380">
              <w:rPr>
                <w:szCs w:val="22"/>
              </w:rPr>
              <w:t xml:space="preserve">, </w:t>
            </w:r>
            <w:r>
              <w:rPr>
                <w:szCs w:val="22"/>
              </w:rPr>
              <w:t xml:space="preserve">and having regard to the legal principles and evidential base which I analyse below, in my judgment, I </w:t>
            </w:r>
            <w:r w:rsidRPr="00F10380">
              <w:rPr>
                <w:szCs w:val="22"/>
              </w:rPr>
              <w:t>need only be satisfied that the evidence meets Test B</w:t>
            </w:r>
            <w:r w:rsidR="00A4231E">
              <w:rPr>
                <w:szCs w:val="22"/>
              </w:rPr>
              <w:t xml:space="preserve"> -</w:t>
            </w:r>
            <w:r w:rsidRPr="00F10380">
              <w:rPr>
                <w:szCs w:val="22"/>
              </w:rPr>
              <w:t xml:space="preserve"> the lesser test.</w:t>
            </w:r>
          </w:p>
          <w:p w14:paraId="2D711D17" w14:textId="33FDABE3" w:rsidR="00A1629D" w:rsidRPr="007B2F67" w:rsidRDefault="00A4231E" w:rsidP="00A068BB">
            <w:pPr>
              <w:pStyle w:val="Style1"/>
              <w:tabs>
                <w:tab w:val="clear" w:pos="432"/>
              </w:tabs>
              <w:ind w:left="601" w:hanging="567"/>
              <w:rPr>
                <w:u w:val="single"/>
              </w:rPr>
            </w:pPr>
            <w:r>
              <w:rPr>
                <w:iCs/>
                <w:szCs w:val="22"/>
              </w:rPr>
              <w:t>For the purposes of this Appeal Decision</w:t>
            </w:r>
            <w:r w:rsidR="000E3BB0">
              <w:rPr>
                <w:iCs/>
                <w:szCs w:val="22"/>
              </w:rPr>
              <w:t>,</w:t>
            </w:r>
            <w:r>
              <w:rPr>
                <w:iCs/>
                <w:szCs w:val="22"/>
              </w:rPr>
              <w:t xml:space="preserve"> </w:t>
            </w:r>
            <w:r w:rsidR="00A1629D" w:rsidRPr="007B2F67">
              <w:rPr>
                <w:iCs/>
                <w:szCs w:val="22"/>
              </w:rPr>
              <w:t xml:space="preserve">I </w:t>
            </w:r>
            <w:r w:rsidR="00A1629D" w:rsidRPr="00831FB8">
              <w:t>also</w:t>
            </w:r>
            <w:r w:rsidR="00A1629D" w:rsidRPr="007B2F67">
              <w:rPr>
                <w:iCs/>
                <w:szCs w:val="22"/>
              </w:rPr>
              <w:t xml:space="preserve"> find </w:t>
            </w:r>
            <w:r>
              <w:rPr>
                <w:iCs/>
                <w:szCs w:val="22"/>
              </w:rPr>
              <w:t xml:space="preserve">that </w:t>
            </w:r>
            <w:r w:rsidR="00A1629D">
              <w:rPr>
                <w:iCs/>
                <w:szCs w:val="22"/>
              </w:rPr>
              <w:t>any historic</w:t>
            </w:r>
            <w:r w:rsidR="00A1629D" w:rsidRPr="007B2F67">
              <w:rPr>
                <w:szCs w:val="22"/>
              </w:rPr>
              <w:t xml:space="preserve"> user </w:t>
            </w:r>
            <w:r w:rsidR="00A1629D">
              <w:rPr>
                <w:szCs w:val="22"/>
              </w:rPr>
              <w:t>evidence referred to by the Appellant is not relevant</w:t>
            </w:r>
            <w:r w:rsidR="00A1629D" w:rsidRPr="007B2F67">
              <w:rPr>
                <w:szCs w:val="22"/>
              </w:rPr>
              <w:t xml:space="preserve"> to support dedication in accordance with Section 31 of the 1980 Act.</w:t>
            </w:r>
            <w:r w:rsidR="00082BCD">
              <w:rPr>
                <w:rStyle w:val="FootnoteReference"/>
                <w:szCs w:val="22"/>
              </w:rPr>
              <w:footnoteReference w:id="4"/>
            </w:r>
            <w:r w:rsidR="00082BCD" w:rsidRPr="007B2F67">
              <w:rPr>
                <w:szCs w:val="22"/>
              </w:rPr>
              <w:t xml:space="preserve"> </w:t>
            </w:r>
            <w:r w:rsidR="00F52D89">
              <w:rPr>
                <w:szCs w:val="22"/>
              </w:rPr>
              <w:t xml:space="preserve">However, I am satisfied that </w:t>
            </w:r>
            <w:r w:rsidR="00F52D89">
              <w:rPr>
                <w:szCs w:val="22"/>
              </w:rPr>
              <w:lastRenderedPageBreak/>
              <w:t xml:space="preserve">user evidence may support documentary evidence in relation to a claim for a public right of way at common law. </w:t>
            </w:r>
          </w:p>
          <w:p w14:paraId="6D133893" w14:textId="23498A60" w:rsidR="00A1629D" w:rsidRPr="00884F4E" w:rsidRDefault="00DB6319" w:rsidP="00DF552B">
            <w:pPr>
              <w:pStyle w:val="Style1"/>
              <w:numPr>
                <w:ilvl w:val="0"/>
                <w:numId w:val="0"/>
              </w:numPr>
              <w:tabs>
                <w:tab w:val="clear" w:pos="432"/>
              </w:tabs>
              <w:rPr>
                <w:b/>
              </w:rPr>
            </w:pPr>
            <w:r>
              <w:rPr>
                <w:b/>
              </w:rPr>
              <w:t xml:space="preserve">THE </w:t>
            </w:r>
            <w:r w:rsidR="00A1629D" w:rsidRPr="00884F4E">
              <w:rPr>
                <w:b/>
              </w:rPr>
              <w:t>EVIDENCE</w:t>
            </w:r>
            <w:r w:rsidR="00E03B96">
              <w:rPr>
                <w:b/>
              </w:rPr>
              <w:t xml:space="preserve"> AND ITS ASSESSMENT</w:t>
            </w:r>
          </w:p>
          <w:p w14:paraId="171653E4" w14:textId="43381E20" w:rsidR="00622958" w:rsidRDefault="00C0346D" w:rsidP="00A068BB">
            <w:pPr>
              <w:pStyle w:val="Style1"/>
              <w:tabs>
                <w:tab w:val="clear" w:pos="432"/>
              </w:tabs>
              <w:ind w:left="601" w:hanging="567"/>
            </w:pPr>
            <w:r>
              <w:rPr>
                <w:szCs w:val="22"/>
              </w:rPr>
              <w:t>In this contextual framework</w:t>
            </w:r>
            <w:r w:rsidR="00622958">
              <w:rPr>
                <w:szCs w:val="22"/>
              </w:rPr>
              <w:t xml:space="preserve"> </w:t>
            </w:r>
            <w:r w:rsidR="001271A8">
              <w:t>t</w:t>
            </w:r>
            <w:r w:rsidR="00622958">
              <w:t xml:space="preserve">he common law rule is </w:t>
            </w:r>
            <w:r w:rsidR="00622958">
              <w:rPr>
                <w:i/>
              </w:rPr>
              <w:t>“Once a highway always a highway”</w:t>
            </w:r>
            <w:r w:rsidR="00622958">
              <w:t>.  There is no extinctive presumption or prescription arising from the non-exercise of rights of passage, save only when this arises from natural causes such as inroads of the sea or landslips.  In order to extinguish or even vary a right, intervention by statute has always been necessary.</w:t>
            </w:r>
            <w:r w:rsidR="00622958">
              <w:rPr>
                <w:rStyle w:val="FootnoteReference"/>
              </w:rPr>
              <w:footnoteReference w:id="5"/>
            </w:r>
            <w:r w:rsidR="00622958">
              <w:t xml:space="preserve">  If it can be demonstrated that a way is an ancient highway the fact that it has fallen into disuse, for example because another more convenient highway has been dedicated, does not cause it to cease to be a highway.  </w:t>
            </w:r>
          </w:p>
          <w:p w14:paraId="4E9D0CCC" w14:textId="77777777" w:rsidR="00622958" w:rsidRDefault="00622958" w:rsidP="00622958">
            <w:pPr>
              <w:pStyle w:val="Style1"/>
              <w:numPr>
                <w:ilvl w:val="0"/>
                <w:numId w:val="0"/>
              </w:numPr>
              <w:tabs>
                <w:tab w:val="clear" w:pos="432"/>
              </w:tabs>
              <w:ind w:left="1418" w:right="799"/>
            </w:pPr>
            <w:r>
              <w:rPr>
                <w:i/>
              </w:rPr>
              <w:t>‘Mere disuse of a highway cannot deprive the public of their rights.  Where there has once been a highway no length of time during which it may not have been used would preclude the public from ever resuming the exercise of the rights to use it if and when they think proper’</w:t>
            </w:r>
            <w:r>
              <w:rPr>
                <w:rStyle w:val="FootnoteReference"/>
              </w:rPr>
              <w:footnoteReference w:id="6"/>
            </w:r>
            <w:r>
              <w:t xml:space="preserve">  </w:t>
            </w:r>
          </w:p>
          <w:p w14:paraId="7A00C612" w14:textId="77777777" w:rsidR="00622958" w:rsidRDefault="00622958" w:rsidP="00622958">
            <w:pPr>
              <w:pStyle w:val="Style1"/>
              <w:numPr>
                <w:ilvl w:val="0"/>
                <w:numId w:val="0"/>
              </w:numPr>
              <w:tabs>
                <w:tab w:val="clear" w:pos="432"/>
              </w:tabs>
              <w:ind w:left="630"/>
            </w:pPr>
            <w:r>
              <w:t xml:space="preserve">In </w:t>
            </w:r>
            <w:r w:rsidRPr="00FD186B">
              <w:rPr>
                <w:i/>
              </w:rPr>
              <w:t>Dawes v Hawkins</w:t>
            </w:r>
            <w:r>
              <w:rPr>
                <w:rStyle w:val="FootnoteReference"/>
                <w:i/>
              </w:rPr>
              <w:footnoteReference w:id="7"/>
            </w:r>
            <w:r>
              <w:t xml:space="preserve"> Williams J stated that:</w:t>
            </w:r>
          </w:p>
          <w:p w14:paraId="0ABBAA30" w14:textId="77777777" w:rsidR="00622958" w:rsidRDefault="00622958" w:rsidP="00622958">
            <w:pPr>
              <w:pStyle w:val="Style1"/>
              <w:numPr>
                <w:ilvl w:val="0"/>
                <w:numId w:val="0"/>
              </w:numPr>
              <w:tabs>
                <w:tab w:val="clear" w:pos="432"/>
              </w:tabs>
              <w:ind w:left="1418" w:right="799"/>
            </w:pPr>
            <w:r>
              <w:rPr>
                <w:i/>
              </w:rPr>
              <w:t>‘It is also an established maxim, once a highway always a highway: for, the public cannot release their rights, and there is no extinctive presumption or prescription’</w:t>
            </w:r>
            <w:r>
              <w:t>.</w:t>
            </w:r>
            <w:r>
              <w:rPr>
                <w:rStyle w:val="FootnoteReference"/>
              </w:rPr>
              <w:footnoteReference w:id="8"/>
            </w:r>
          </w:p>
          <w:p w14:paraId="7321FCE4" w14:textId="1569F662" w:rsidR="00876AD3" w:rsidRPr="004C2468" w:rsidRDefault="00876AD3" w:rsidP="00A068BB">
            <w:pPr>
              <w:pStyle w:val="Style1"/>
              <w:tabs>
                <w:tab w:val="clear" w:pos="432"/>
              </w:tabs>
              <w:ind w:left="601" w:hanging="567"/>
            </w:pPr>
            <w:r>
              <w:t xml:space="preserve">Thus, in essence, it is necessary to consider whether the documentary and other evidence is sufficient to support the dedication of a public right of way under common law, or whether such evidence merely indicates that a way existed, but its status was no more than a private right of way. </w:t>
            </w:r>
            <w:r w:rsidRPr="005137F7">
              <w:rPr>
                <w:szCs w:val="22"/>
              </w:rPr>
              <w:t>This requires consideration of three main issues: whether the owner of the land had the capacity to dedicate a highway, whether there was express or implied dedication by the landowner and whether there has been acceptance of the dedication by the public</w:t>
            </w:r>
            <w:r>
              <w:rPr>
                <w:szCs w:val="22"/>
              </w:rPr>
              <w:t>.</w:t>
            </w:r>
            <w:r w:rsidR="00C17C70">
              <w:rPr>
                <w:rStyle w:val="FootnoteReference"/>
                <w:szCs w:val="22"/>
              </w:rPr>
              <w:footnoteReference w:id="9"/>
            </w:r>
            <w:r w:rsidR="00C17C70" w:rsidRPr="004C2468">
              <w:t xml:space="preserve"> </w:t>
            </w:r>
          </w:p>
          <w:p w14:paraId="42BEB871" w14:textId="0E6A1FE6" w:rsidR="00A1629D" w:rsidRDefault="00A1629D" w:rsidP="00DF552B">
            <w:pPr>
              <w:pStyle w:val="Style1"/>
              <w:numPr>
                <w:ilvl w:val="0"/>
                <w:numId w:val="0"/>
              </w:numPr>
              <w:tabs>
                <w:tab w:val="clear" w:pos="432"/>
              </w:tabs>
              <w:ind w:left="630"/>
              <w:rPr>
                <w:b/>
              </w:rPr>
            </w:pPr>
            <w:r w:rsidRPr="00720F90">
              <w:rPr>
                <w:b/>
              </w:rPr>
              <w:t>At Common Law</w:t>
            </w:r>
          </w:p>
          <w:p w14:paraId="18567992" w14:textId="7FF8C0C3" w:rsidR="001E4EB6" w:rsidRPr="001E4EB6" w:rsidRDefault="001E4EB6" w:rsidP="00DF552B">
            <w:pPr>
              <w:pStyle w:val="Style1"/>
              <w:numPr>
                <w:ilvl w:val="0"/>
                <w:numId w:val="0"/>
              </w:numPr>
              <w:tabs>
                <w:tab w:val="clear" w:pos="432"/>
              </w:tabs>
              <w:ind w:left="630"/>
              <w:rPr>
                <w:b/>
                <w:i/>
                <w:iCs/>
              </w:rPr>
            </w:pPr>
            <w:r w:rsidRPr="001E4EB6">
              <w:rPr>
                <w:b/>
                <w:i/>
                <w:iCs/>
              </w:rPr>
              <w:t>Introduction</w:t>
            </w:r>
          </w:p>
          <w:p w14:paraId="48AF4AEF" w14:textId="0E163B8D" w:rsidR="00032C3A" w:rsidRDefault="00A1629D" w:rsidP="00A068BB">
            <w:pPr>
              <w:pStyle w:val="Style1"/>
              <w:tabs>
                <w:tab w:val="clear" w:pos="432"/>
              </w:tabs>
              <w:ind w:left="601" w:hanging="567"/>
              <w:rPr>
                <w:bCs/>
                <w:iCs/>
              </w:rPr>
            </w:pPr>
            <w:r w:rsidRPr="00511B34">
              <w:rPr>
                <w:bCs/>
                <w:iCs/>
              </w:rPr>
              <w:t xml:space="preserve">In </w:t>
            </w:r>
            <w:r w:rsidRPr="00831FB8">
              <w:t>support</w:t>
            </w:r>
            <w:r w:rsidRPr="00511B34">
              <w:rPr>
                <w:bCs/>
                <w:iCs/>
              </w:rPr>
              <w:t xml:space="preserve"> of her case, the Appellant provides a</w:t>
            </w:r>
            <w:r w:rsidR="00656F00">
              <w:rPr>
                <w:bCs/>
                <w:iCs/>
              </w:rPr>
              <w:t xml:space="preserve"> detailed </w:t>
            </w:r>
            <w:r w:rsidRPr="00511B34">
              <w:rPr>
                <w:bCs/>
                <w:iCs/>
              </w:rPr>
              <w:t>analysis of the mapping evidence relied upon</w:t>
            </w:r>
            <w:r w:rsidR="00B37584">
              <w:rPr>
                <w:bCs/>
                <w:iCs/>
              </w:rPr>
              <w:t>,</w:t>
            </w:r>
            <w:r w:rsidRPr="00511B34">
              <w:rPr>
                <w:bCs/>
                <w:iCs/>
              </w:rPr>
              <w:t xml:space="preserve"> together with physical features said to be of relevance to her case.  </w:t>
            </w:r>
            <w:r w:rsidR="00226710">
              <w:rPr>
                <w:bCs/>
                <w:iCs/>
              </w:rPr>
              <w:t xml:space="preserve">It is submitted </w:t>
            </w:r>
            <w:r w:rsidR="00F61C60">
              <w:rPr>
                <w:bCs/>
                <w:iCs/>
              </w:rPr>
              <w:t xml:space="preserve">by her </w:t>
            </w:r>
            <w:r w:rsidR="00310D67">
              <w:rPr>
                <w:bCs/>
                <w:iCs/>
              </w:rPr>
              <w:t xml:space="preserve">that </w:t>
            </w:r>
            <w:r w:rsidR="00FF4F47">
              <w:rPr>
                <w:bCs/>
                <w:iCs/>
              </w:rPr>
              <w:t xml:space="preserve">for the purposes of Test B </w:t>
            </w:r>
            <w:r w:rsidR="00310D67">
              <w:rPr>
                <w:bCs/>
                <w:iCs/>
              </w:rPr>
              <w:t>there is sufficient</w:t>
            </w:r>
            <w:r w:rsidR="00226710">
              <w:rPr>
                <w:bCs/>
                <w:iCs/>
              </w:rPr>
              <w:t xml:space="preserve"> evidence </w:t>
            </w:r>
            <w:r w:rsidR="00310D67">
              <w:rPr>
                <w:bCs/>
                <w:iCs/>
              </w:rPr>
              <w:t>to</w:t>
            </w:r>
            <w:r w:rsidR="00226710">
              <w:rPr>
                <w:bCs/>
                <w:iCs/>
              </w:rPr>
              <w:t xml:space="preserve"> </w:t>
            </w:r>
            <w:r w:rsidR="004318EB">
              <w:rPr>
                <w:bCs/>
                <w:iCs/>
              </w:rPr>
              <w:t xml:space="preserve">support the </w:t>
            </w:r>
            <w:r w:rsidR="005661BC">
              <w:rPr>
                <w:bCs/>
                <w:iCs/>
              </w:rPr>
              <w:t xml:space="preserve">case that </w:t>
            </w:r>
            <w:r w:rsidR="009E4F04">
              <w:rPr>
                <w:bCs/>
                <w:iCs/>
              </w:rPr>
              <w:t>it is reasonable to allege that a right of way subsist</w:t>
            </w:r>
            <w:r w:rsidR="00FF4F47">
              <w:rPr>
                <w:bCs/>
                <w:iCs/>
              </w:rPr>
              <w:t>s</w:t>
            </w:r>
            <w:r w:rsidR="009E4F04">
              <w:rPr>
                <w:bCs/>
                <w:iCs/>
              </w:rPr>
              <w:t xml:space="preserve"> and has subsist</w:t>
            </w:r>
            <w:r w:rsidR="00FF4F47">
              <w:rPr>
                <w:bCs/>
                <w:iCs/>
              </w:rPr>
              <w:t>ed</w:t>
            </w:r>
            <w:r w:rsidR="004318EB">
              <w:rPr>
                <w:bCs/>
                <w:iCs/>
              </w:rPr>
              <w:t xml:space="preserve"> </w:t>
            </w:r>
            <w:r w:rsidR="00FF4F47">
              <w:rPr>
                <w:bCs/>
                <w:iCs/>
              </w:rPr>
              <w:t xml:space="preserve">over the Application Route. </w:t>
            </w:r>
            <w:r w:rsidRPr="00BF55C1">
              <w:rPr>
                <w:bCs/>
                <w:iCs/>
              </w:rPr>
              <w:t xml:space="preserve">  </w:t>
            </w:r>
          </w:p>
          <w:p w14:paraId="51756A0F" w14:textId="3CB3D9EF" w:rsidR="00511B34" w:rsidRDefault="004535B9" w:rsidP="00A068BB">
            <w:pPr>
              <w:pStyle w:val="Style1"/>
              <w:tabs>
                <w:tab w:val="clear" w:pos="432"/>
              </w:tabs>
              <w:ind w:left="601" w:hanging="567"/>
              <w:rPr>
                <w:b/>
                <w:bCs/>
              </w:rPr>
            </w:pPr>
            <w:r w:rsidRPr="00511B34">
              <w:rPr>
                <w:iCs/>
              </w:rPr>
              <w:t>The</w:t>
            </w:r>
            <w:r w:rsidR="00E07478" w:rsidRPr="00511B34">
              <w:rPr>
                <w:iCs/>
              </w:rPr>
              <w:t xml:space="preserve"> County Council </w:t>
            </w:r>
            <w:r w:rsidR="001021CE">
              <w:t xml:space="preserve">having determined not to make an Order, has led the case as to why they say they should not be directed to do so. They </w:t>
            </w:r>
            <w:r w:rsidR="00B74F29">
              <w:rPr>
                <w:iCs/>
              </w:rPr>
              <w:t>ha</w:t>
            </w:r>
            <w:r w:rsidR="001021CE">
              <w:rPr>
                <w:iCs/>
              </w:rPr>
              <w:t>ve</w:t>
            </w:r>
            <w:r w:rsidRPr="00511B34">
              <w:rPr>
                <w:iCs/>
              </w:rPr>
              <w:t xml:space="preserve"> produced a comprehensive Statement of Reasons dated 16</w:t>
            </w:r>
            <w:r w:rsidRPr="00032C3A">
              <w:rPr>
                <w:iCs/>
                <w:vertAlign w:val="superscript"/>
              </w:rPr>
              <w:t>th</w:t>
            </w:r>
            <w:r w:rsidRPr="00125F79">
              <w:rPr>
                <w:iCs/>
              </w:rPr>
              <w:t xml:space="preserve"> June 2020 in </w:t>
            </w:r>
            <w:r w:rsidRPr="00125F79">
              <w:rPr>
                <w:iCs/>
              </w:rPr>
              <w:lastRenderedPageBreak/>
              <w:t xml:space="preserve">response.  </w:t>
            </w:r>
            <w:r w:rsidR="005C72FF">
              <w:rPr>
                <w:iCs/>
              </w:rPr>
              <w:t xml:space="preserve">The County Council acknowledges </w:t>
            </w:r>
            <w:r w:rsidR="00F87ACF" w:rsidRPr="00273CA5">
              <w:t xml:space="preserve">that physically a lane </w:t>
            </w:r>
            <w:r w:rsidR="00084B0C">
              <w:t>has historically</w:t>
            </w:r>
            <w:r w:rsidR="0013454D">
              <w:t xml:space="preserve"> </w:t>
            </w:r>
            <w:r w:rsidR="00F87ACF" w:rsidRPr="00273CA5">
              <w:t>exist</w:t>
            </w:r>
            <w:r w:rsidR="00084B0C">
              <w:t>ed</w:t>
            </w:r>
            <w:r w:rsidR="00F87ACF">
              <w:t xml:space="preserve"> on the ground which follows the line of the Application Route.</w:t>
            </w:r>
            <w:r w:rsidR="0013454D">
              <w:t xml:space="preserve"> </w:t>
            </w:r>
            <w:r w:rsidR="00B643AE" w:rsidRPr="00273CA5">
              <w:t xml:space="preserve">It is also acknowledged that the mapping evidence depicts the presence of </w:t>
            </w:r>
            <w:r w:rsidR="00FD7F6D">
              <w:t>a</w:t>
            </w:r>
            <w:r w:rsidR="00B643AE" w:rsidRPr="00273CA5">
              <w:t xml:space="preserve"> </w:t>
            </w:r>
            <w:r w:rsidR="00764EAB">
              <w:t>way</w:t>
            </w:r>
            <w:r w:rsidR="00841D60">
              <w:t>. However,</w:t>
            </w:r>
            <w:r w:rsidR="00B643AE" w:rsidRPr="00273CA5">
              <w:t xml:space="preserve"> </w:t>
            </w:r>
            <w:r w:rsidR="00BB7F76">
              <w:t xml:space="preserve">it is submitted that </w:t>
            </w:r>
            <w:r w:rsidR="00B643AE" w:rsidRPr="00273CA5">
              <w:t>th</w:t>
            </w:r>
            <w:r w:rsidR="00702A2F">
              <w:t>ese</w:t>
            </w:r>
            <w:r w:rsidR="00B643AE" w:rsidRPr="00273CA5">
              <w:t xml:space="preserve"> fact</w:t>
            </w:r>
            <w:r w:rsidR="00702A2F">
              <w:t>s</w:t>
            </w:r>
            <w:r w:rsidR="00B643AE" w:rsidRPr="00273CA5">
              <w:t xml:space="preserve"> cannot in </w:t>
            </w:r>
            <w:r w:rsidR="00702A2F">
              <w:t>themselves</w:t>
            </w:r>
            <w:r w:rsidR="00B643AE" w:rsidRPr="00273CA5">
              <w:t xml:space="preserve"> be interpreted as implying the existence of public rights. </w:t>
            </w:r>
            <w:r w:rsidR="004B5EE5">
              <w:rPr>
                <w:iCs/>
              </w:rPr>
              <w:t>The County Council therefore</w:t>
            </w:r>
            <w:r w:rsidR="00ED4D68">
              <w:rPr>
                <w:iCs/>
              </w:rPr>
              <w:t xml:space="preserve"> </w:t>
            </w:r>
            <w:r w:rsidR="00ED4D68" w:rsidRPr="00511B34">
              <w:rPr>
                <w:bCs/>
                <w:iCs/>
              </w:rPr>
              <w:t xml:space="preserve">seeks to refute </w:t>
            </w:r>
            <w:r w:rsidR="00ED4D68">
              <w:rPr>
                <w:bCs/>
                <w:iCs/>
              </w:rPr>
              <w:t>the</w:t>
            </w:r>
            <w:r w:rsidR="00ED4D68" w:rsidRPr="00511B34">
              <w:rPr>
                <w:bCs/>
                <w:iCs/>
              </w:rPr>
              <w:t xml:space="preserve"> analysis </w:t>
            </w:r>
            <w:r w:rsidR="00ED4D68">
              <w:rPr>
                <w:bCs/>
                <w:iCs/>
              </w:rPr>
              <w:t xml:space="preserve">promoted by the </w:t>
            </w:r>
            <w:r w:rsidR="00ED4D68">
              <w:rPr>
                <w:bCs/>
                <w:iCs/>
                <w:caps/>
              </w:rPr>
              <w:t>A</w:t>
            </w:r>
            <w:r w:rsidR="00ED4D68">
              <w:rPr>
                <w:bCs/>
                <w:iCs/>
              </w:rPr>
              <w:t>ppellant</w:t>
            </w:r>
            <w:r w:rsidR="00ED4D68">
              <w:rPr>
                <w:bCs/>
                <w:iCs/>
                <w:caps/>
              </w:rPr>
              <w:t xml:space="preserve"> </w:t>
            </w:r>
            <w:r w:rsidR="00ED4D68" w:rsidRPr="00511B34">
              <w:rPr>
                <w:bCs/>
                <w:iCs/>
              </w:rPr>
              <w:t>on the basi</w:t>
            </w:r>
            <w:r w:rsidR="00ED4D68" w:rsidRPr="00C57157">
              <w:rPr>
                <w:bCs/>
                <w:iCs/>
              </w:rPr>
              <w:t>s that it is not possible to draw the conclusions that the Appellant seeks to do</w:t>
            </w:r>
            <w:r w:rsidR="004B5EE5">
              <w:rPr>
                <w:bCs/>
                <w:iCs/>
              </w:rPr>
              <w:t>, and</w:t>
            </w:r>
            <w:r w:rsidR="009647CB" w:rsidRPr="00273CA5">
              <w:t xml:space="preserve"> that the photographs and other evidence fail to address its highway status</w:t>
            </w:r>
            <w:r w:rsidR="008B68D8">
              <w:t>.</w:t>
            </w:r>
          </w:p>
          <w:p w14:paraId="7BAD38D4" w14:textId="0A326328" w:rsidR="000D1A4C" w:rsidRPr="00A068BB" w:rsidRDefault="000D1A4C" w:rsidP="00A068BB">
            <w:pPr>
              <w:pStyle w:val="Style1"/>
              <w:tabs>
                <w:tab w:val="clear" w:pos="432"/>
              </w:tabs>
              <w:ind w:left="601" w:hanging="567"/>
              <w:rPr>
                <w:bCs/>
                <w:iCs/>
              </w:rPr>
            </w:pPr>
            <w:r w:rsidRPr="00A068BB">
              <w:rPr>
                <w:bCs/>
                <w:iCs/>
              </w:rPr>
              <w:t>It is further asserted by the County Council that no single piece of evidence submitted is sufficiently strong to meet the evidential test, i.e., there is not sufficient ‘synergy of evidence’</w:t>
            </w:r>
            <w:r w:rsidR="001C5B59" w:rsidRPr="00A068BB">
              <w:rPr>
                <w:bCs/>
                <w:iCs/>
              </w:rPr>
              <w:t xml:space="preserve"> which allows disparate strands of evidence be woven together to create a single body of evidence</w:t>
            </w:r>
            <w:r w:rsidRPr="00A068BB">
              <w:rPr>
                <w:bCs/>
                <w:iCs/>
              </w:rPr>
              <w:t>.</w:t>
            </w:r>
            <w:r w:rsidR="00413AD8">
              <w:rPr>
                <w:rStyle w:val="FootnoteReference"/>
                <w:bCs/>
                <w:iCs/>
              </w:rPr>
              <w:footnoteReference w:id="10"/>
            </w:r>
            <w:r w:rsidRPr="00A068BB">
              <w:rPr>
                <w:bCs/>
                <w:iCs/>
              </w:rPr>
              <w:t xml:space="preserve"> Nor do the documents when viewed together provide sufficient evidence to satisfactorily and reasonably allege the existence of public rights so as to justify the making of a DMMO.  </w:t>
            </w:r>
            <w:r w:rsidR="001C5B59" w:rsidRPr="00A068BB">
              <w:rPr>
                <w:bCs/>
                <w:iCs/>
              </w:rPr>
              <w:t xml:space="preserve"> It is therefore submitted that there is insufficient evidence to demonstrate that the Application Route is and has always been a public right of way.</w:t>
            </w:r>
          </w:p>
          <w:p w14:paraId="0F455FDE" w14:textId="600EE36D" w:rsidR="00A1629D" w:rsidRPr="00716CF9" w:rsidRDefault="00A068BB" w:rsidP="00A068BB">
            <w:pPr>
              <w:pStyle w:val="Style1"/>
              <w:tabs>
                <w:tab w:val="clear" w:pos="432"/>
              </w:tabs>
              <w:ind w:left="601" w:hanging="567"/>
              <w:rPr>
                <w:iCs/>
              </w:rPr>
            </w:pPr>
            <w:r>
              <w:rPr>
                <w:bCs/>
                <w:iCs/>
              </w:rPr>
              <w:t>O</w:t>
            </w:r>
            <w:r w:rsidR="00F14840" w:rsidRPr="00A068BB">
              <w:rPr>
                <w:bCs/>
                <w:iCs/>
              </w:rPr>
              <w:t>ther</w:t>
            </w:r>
            <w:r w:rsidR="00F14840" w:rsidRPr="00922FBD">
              <w:rPr>
                <w:iCs/>
              </w:rPr>
              <w:t xml:space="preserve"> responses have also been made in opposition to the Appeal from a number of </w:t>
            </w:r>
            <w:r w:rsidR="00764EAB">
              <w:rPr>
                <w:iCs/>
              </w:rPr>
              <w:t>interested parties</w:t>
            </w:r>
            <w:r w:rsidR="00F14840" w:rsidRPr="00922FBD">
              <w:rPr>
                <w:iCs/>
              </w:rPr>
              <w:t>.</w:t>
            </w:r>
            <w:r w:rsidR="008A3415">
              <w:t xml:space="preserve"> </w:t>
            </w:r>
          </w:p>
          <w:p w14:paraId="7B735F58" w14:textId="09C01865" w:rsidR="00D22CFF" w:rsidRPr="005C31D7" w:rsidRDefault="00227736" w:rsidP="00BF55C1">
            <w:pPr>
              <w:pStyle w:val="Style1"/>
              <w:numPr>
                <w:ilvl w:val="0"/>
                <w:numId w:val="0"/>
              </w:numPr>
              <w:tabs>
                <w:tab w:val="clear" w:pos="432"/>
              </w:tabs>
              <w:rPr>
                <w:b/>
                <w:bCs/>
                <w:i/>
                <w:iCs/>
              </w:rPr>
            </w:pPr>
            <w:r>
              <w:rPr>
                <w:b/>
                <w:bCs/>
              </w:rPr>
              <w:t xml:space="preserve">        </w:t>
            </w:r>
            <w:r w:rsidR="00D22CFF" w:rsidRPr="005C31D7">
              <w:rPr>
                <w:b/>
                <w:bCs/>
                <w:i/>
                <w:iCs/>
              </w:rPr>
              <w:t>Historical Mapping</w:t>
            </w:r>
            <w:r w:rsidR="00F223DF" w:rsidRPr="005C31D7">
              <w:rPr>
                <w:b/>
                <w:bCs/>
                <w:i/>
                <w:iCs/>
              </w:rPr>
              <w:t xml:space="preserve"> and other documentation</w:t>
            </w:r>
          </w:p>
          <w:p w14:paraId="737B72E1" w14:textId="4106E2FB" w:rsidR="00A1629D" w:rsidRDefault="00A1629D" w:rsidP="00A068BB">
            <w:pPr>
              <w:pStyle w:val="Style1"/>
              <w:tabs>
                <w:tab w:val="clear" w:pos="432"/>
              </w:tabs>
              <w:ind w:left="601" w:hanging="567"/>
            </w:pPr>
            <w:r>
              <w:t xml:space="preserve">The historical mapping and other evidence led by the </w:t>
            </w:r>
            <w:r w:rsidR="00B21837">
              <w:t xml:space="preserve">parties </w:t>
            </w:r>
            <w:r>
              <w:t xml:space="preserve">for the purposes </w:t>
            </w:r>
            <w:r w:rsidR="00347E87">
              <w:t xml:space="preserve">   </w:t>
            </w:r>
            <w:r>
              <w:t>of this Appeal Decision is as follows:</w:t>
            </w:r>
          </w:p>
          <w:p w14:paraId="460B45DC" w14:textId="73C4AB5A" w:rsidR="003F7E8E" w:rsidRDefault="009F636D" w:rsidP="00A068BB">
            <w:pPr>
              <w:pStyle w:val="Style1"/>
              <w:tabs>
                <w:tab w:val="clear" w:pos="432"/>
              </w:tabs>
              <w:ind w:left="601" w:hanging="567"/>
              <w:rPr>
                <w:iCs/>
              </w:rPr>
            </w:pPr>
            <w:r w:rsidRPr="001D2D14">
              <w:rPr>
                <w:i/>
              </w:rPr>
              <w:t>The 1717 Jeffries map</w:t>
            </w:r>
            <w:r w:rsidR="005B2FD5" w:rsidRPr="001D2D14">
              <w:rPr>
                <w:i/>
              </w:rPr>
              <w:t>;</w:t>
            </w:r>
            <w:r w:rsidR="00571BED" w:rsidRPr="001D2D14">
              <w:rPr>
                <w:i/>
              </w:rPr>
              <w:t xml:space="preserve"> the 1817 Greenwood’s map</w:t>
            </w:r>
            <w:r w:rsidR="005B2FD5" w:rsidRPr="001D2D14">
              <w:rPr>
                <w:i/>
              </w:rPr>
              <w:t>;</w:t>
            </w:r>
            <w:r w:rsidR="00571BED" w:rsidRPr="001D2D14">
              <w:rPr>
                <w:i/>
              </w:rPr>
              <w:t xml:space="preserve"> and the 1822 Langdale’s map</w:t>
            </w:r>
            <w:r w:rsidRPr="001D2D14">
              <w:rPr>
                <w:iCs/>
              </w:rPr>
              <w:t xml:space="preserve"> - </w:t>
            </w:r>
            <w:r w:rsidR="00571BED" w:rsidRPr="001D2D14">
              <w:rPr>
                <w:iCs/>
              </w:rPr>
              <w:t>t</w:t>
            </w:r>
            <w:r w:rsidRPr="001D2D14">
              <w:rPr>
                <w:iCs/>
              </w:rPr>
              <w:t>hose o</w:t>
            </w:r>
            <w:r w:rsidR="00ED607C" w:rsidRPr="001D2D14">
              <w:rPr>
                <w:iCs/>
              </w:rPr>
              <w:t>pposing</w:t>
            </w:r>
            <w:r w:rsidRPr="001D2D14">
              <w:rPr>
                <w:iCs/>
              </w:rPr>
              <w:t xml:space="preserve"> the Appeal</w:t>
            </w:r>
            <w:r w:rsidR="000A6803" w:rsidRPr="001D2D14">
              <w:rPr>
                <w:iCs/>
              </w:rPr>
              <w:t xml:space="preserve"> </w:t>
            </w:r>
            <w:r w:rsidR="00311F06" w:rsidRPr="001D2D14">
              <w:rPr>
                <w:iCs/>
              </w:rPr>
              <w:t xml:space="preserve">submit that the Application Route is not </w:t>
            </w:r>
            <w:r w:rsidR="008C420A">
              <w:rPr>
                <w:iCs/>
              </w:rPr>
              <w:t>depicted</w:t>
            </w:r>
            <w:r w:rsidR="00311F06" w:rsidRPr="001D2D14">
              <w:rPr>
                <w:iCs/>
              </w:rPr>
              <w:t xml:space="preserve"> on th</w:t>
            </w:r>
            <w:r w:rsidR="001054D7" w:rsidRPr="001D2D14">
              <w:rPr>
                <w:iCs/>
              </w:rPr>
              <w:t>ese</w:t>
            </w:r>
            <w:r w:rsidR="00571BED" w:rsidRPr="001D2D14">
              <w:rPr>
                <w:iCs/>
              </w:rPr>
              <w:t xml:space="preserve"> map</w:t>
            </w:r>
            <w:r w:rsidR="001054D7" w:rsidRPr="001D2D14">
              <w:rPr>
                <w:iCs/>
              </w:rPr>
              <w:t>s</w:t>
            </w:r>
            <w:r w:rsidR="00311F06" w:rsidRPr="001D2D14">
              <w:rPr>
                <w:iCs/>
              </w:rPr>
              <w:t xml:space="preserve">    It is</w:t>
            </w:r>
            <w:r w:rsidR="001054D7" w:rsidRPr="001D2D14">
              <w:rPr>
                <w:iCs/>
              </w:rPr>
              <w:t xml:space="preserve"> contended</w:t>
            </w:r>
            <w:r w:rsidR="000E2051" w:rsidRPr="001D2D14">
              <w:rPr>
                <w:iCs/>
              </w:rPr>
              <w:t xml:space="preserve"> </w:t>
            </w:r>
            <w:r w:rsidR="00311F06" w:rsidRPr="001D2D14">
              <w:rPr>
                <w:iCs/>
              </w:rPr>
              <w:t xml:space="preserve">that such commercially produced maps were sold to the public and would only show routes that would only be available to the public to use.  Thus, Scot Pit Lane would have been included if it had been an established public highway at the time that </w:t>
            </w:r>
            <w:r w:rsidR="00EF5D7B" w:rsidRPr="001D2D14">
              <w:rPr>
                <w:iCs/>
              </w:rPr>
              <w:t>each</w:t>
            </w:r>
            <w:r w:rsidR="00311F06" w:rsidRPr="001D2D14">
              <w:rPr>
                <w:iCs/>
              </w:rPr>
              <w:t xml:space="preserve"> map w</w:t>
            </w:r>
            <w:r w:rsidR="00EF5D7B" w:rsidRPr="001D2D14">
              <w:rPr>
                <w:iCs/>
              </w:rPr>
              <w:t>as</w:t>
            </w:r>
            <w:r w:rsidR="00311F06" w:rsidRPr="001D2D14">
              <w:rPr>
                <w:iCs/>
              </w:rPr>
              <w:t xml:space="preserve"> drawn</w:t>
            </w:r>
            <w:r w:rsidR="00DD55D9" w:rsidRPr="001D2D14">
              <w:rPr>
                <w:iCs/>
              </w:rPr>
              <w:t>.</w:t>
            </w:r>
            <w:r w:rsidR="004D6E4E">
              <w:rPr>
                <w:iCs/>
              </w:rPr>
              <w:t xml:space="preserve"> </w:t>
            </w:r>
          </w:p>
          <w:p w14:paraId="40F8F907" w14:textId="288C7CA6" w:rsidR="004D6E4E" w:rsidRPr="001D2D14" w:rsidRDefault="004D6E4E" w:rsidP="00A068BB">
            <w:pPr>
              <w:pStyle w:val="Style1"/>
              <w:tabs>
                <w:tab w:val="clear" w:pos="432"/>
              </w:tabs>
              <w:ind w:left="601" w:hanging="567"/>
            </w:pPr>
            <w:r>
              <w:rPr>
                <w:iCs/>
              </w:rPr>
              <w:t>I consider that</w:t>
            </w:r>
            <w:r w:rsidR="00D77268">
              <w:rPr>
                <w:iCs/>
              </w:rPr>
              <w:t xml:space="preserve"> this contention in </w:t>
            </w:r>
            <w:r w:rsidR="00AF7275">
              <w:rPr>
                <w:iCs/>
              </w:rPr>
              <w:t>itself, when considered in the context of other evi</w:t>
            </w:r>
            <w:r w:rsidR="007118CC">
              <w:rPr>
                <w:iCs/>
              </w:rPr>
              <w:t>dence,</w:t>
            </w:r>
            <w:r w:rsidR="00AF7275">
              <w:rPr>
                <w:iCs/>
              </w:rPr>
              <w:t xml:space="preserve"> does not provide </w:t>
            </w:r>
            <w:r w:rsidR="007118CC">
              <w:rPr>
                <w:iCs/>
              </w:rPr>
              <w:t xml:space="preserve">conclusive evidence </w:t>
            </w:r>
            <w:r w:rsidR="00106CCB">
              <w:rPr>
                <w:iCs/>
              </w:rPr>
              <w:t>that the Application Route did not have the status of a public highway</w:t>
            </w:r>
            <w:r w:rsidR="00805789">
              <w:rPr>
                <w:iCs/>
              </w:rPr>
              <w:t>. This is a factor to weigh in the balance</w:t>
            </w:r>
            <w:r w:rsidR="004811BD">
              <w:rPr>
                <w:iCs/>
              </w:rPr>
              <w:t xml:space="preserve"> when drawing the appropriate conclusions base</w:t>
            </w:r>
            <w:r w:rsidR="00EE1C64">
              <w:rPr>
                <w:iCs/>
              </w:rPr>
              <w:t>d upon the ‘synergy of evidence’</w:t>
            </w:r>
            <w:r w:rsidR="00F70B5C">
              <w:rPr>
                <w:iCs/>
              </w:rPr>
              <w:t>.</w:t>
            </w:r>
          </w:p>
          <w:p w14:paraId="4603EA65" w14:textId="51300701" w:rsidR="00D657B6" w:rsidRDefault="00D657B6" w:rsidP="00A068BB">
            <w:pPr>
              <w:pStyle w:val="Style1"/>
              <w:tabs>
                <w:tab w:val="clear" w:pos="432"/>
              </w:tabs>
              <w:ind w:left="601" w:hanging="567"/>
            </w:pPr>
            <w:r w:rsidRPr="001D2D14">
              <w:rPr>
                <w:i/>
              </w:rPr>
              <w:t>Mr Croffield’s Estate Plan 1765</w:t>
            </w:r>
            <w:r w:rsidRPr="00535157">
              <w:rPr>
                <w:rStyle w:val="FootnoteReference"/>
                <w:iCs/>
              </w:rPr>
              <w:footnoteReference w:id="11"/>
            </w:r>
            <w:r w:rsidRPr="001D2D14">
              <w:rPr>
                <w:iCs/>
              </w:rPr>
              <w:t xml:space="preserve"> </w:t>
            </w:r>
            <w:r>
              <w:t>– This plan was prepared for the owner of the Estate to enable the Estate to be managed</w:t>
            </w:r>
            <w:r w:rsidR="00EE1C64">
              <w:t>,</w:t>
            </w:r>
            <w:r>
              <w:t xml:space="preserve"> and to identify the boundaries of the land holding.  The Application Route is identified as a through route labelled Scot Pit Lane. It is </w:t>
            </w:r>
            <w:r w:rsidR="00F3677B">
              <w:t>submitted</w:t>
            </w:r>
            <w:r>
              <w:t xml:space="preserve"> by the Appellant that it is shown in the same manner as other contemporary public roads, such as Brompton Lane C4.  It is also identified as being open at both ends</w:t>
            </w:r>
            <w:r w:rsidR="00FD1F4B">
              <w:t>,</w:t>
            </w:r>
            <w:r>
              <w:t xml:space="preserve"> thereby depicting it as a road for the use of the public and </w:t>
            </w:r>
            <w:r w:rsidR="0063770B">
              <w:t>noted</w:t>
            </w:r>
            <w:r>
              <w:t xml:space="preserve"> as such by Mr Croffield as the owner </w:t>
            </w:r>
            <w:r>
              <w:lastRenderedPageBreak/>
              <w:t xml:space="preserve">of the Estate.  It is further </w:t>
            </w:r>
            <w:r w:rsidR="00FD1F4B">
              <w:t>contended</w:t>
            </w:r>
            <w:r>
              <w:t xml:space="preserve"> that the Estate Plan shows the Application Route separated and fenced or walled off from the properties on either side for its entire length and continuous with the public highway network.</w:t>
            </w:r>
          </w:p>
          <w:p w14:paraId="36B2AADA" w14:textId="070479EA" w:rsidR="00071BB9" w:rsidRDefault="00071BB9" w:rsidP="00A068BB">
            <w:pPr>
              <w:pStyle w:val="Style1"/>
              <w:tabs>
                <w:tab w:val="clear" w:pos="432"/>
              </w:tabs>
              <w:ind w:left="601" w:hanging="567"/>
              <w:rPr>
                <w:iCs/>
              </w:rPr>
            </w:pPr>
            <w:r>
              <w:rPr>
                <w:iCs/>
              </w:rPr>
              <w:t xml:space="preserve">It is acknowledged </w:t>
            </w:r>
            <w:r w:rsidR="003B35A4">
              <w:rPr>
                <w:iCs/>
              </w:rPr>
              <w:t xml:space="preserve">by the County Council </w:t>
            </w:r>
            <w:r>
              <w:rPr>
                <w:iCs/>
              </w:rPr>
              <w:t xml:space="preserve">that Mr Croffield’s Estate </w:t>
            </w:r>
            <w:r w:rsidR="006962BF">
              <w:rPr>
                <w:iCs/>
              </w:rPr>
              <w:t>P</w:t>
            </w:r>
            <w:r>
              <w:rPr>
                <w:iCs/>
              </w:rPr>
              <w:t xml:space="preserve">lan of 1765 does record Scot Pit Lane, together with the former Turnpike Road.  However, it is contended that this was a privately produced map which was not intended for the public to use, so there would be no requirement to indicate whether or not the lane was a highway.  Indeed, </w:t>
            </w:r>
            <w:r w:rsidR="003B35A4">
              <w:rPr>
                <w:iCs/>
              </w:rPr>
              <w:t xml:space="preserve">it is said that </w:t>
            </w:r>
            <w:r>
              <w:rPr>
                <w:iCs/>
              </w:rPr>
              <w:t>it appears to have been produced to record the landowner’s holdings.</w:t>
            </w:r>
            <w:r w:rsidR="00504156">
              <w:rPr>
                <w:iCs/>
              </w:rPr>
              <w:t xml:space="preserve"> It is therefore </w:t>
            </w:r>
            <w:r w:rsidR="00941820">
              <w:rPr>
                <w:iCs/>
              </w:rPr>
              <w:t>submitted</w:t>
            </w:r>
            <w:r w:rsidR="00504156">
              <w:rPr>
                <w:iCs/>
              </w:rPr>
              <w:t xml:space="preserve"> by the County Council that this plan has no evidential value.</w:t>
            </w:r>
          </w:p>
          <w:p w14:paraId="1DCD0911" w14:textId="3A4B0547" w:rsidR="00172694" w:rsidRDefault="00A068BB" w:rsidP="00A068BB">
            <w:pPr>
              <w:pStyle w:val="Style1"/>
              <w:tabs>
                <w:tab w:val="clear" w:pos="432"/>
              </w:tabs>
              <w:ind w:left="601" w:hanging="567"/>
              <w:rPr>
                <w:iCs/>
              </w:rPr>
            </w:pPr>
            <w:r>
              <w:rPr>
                <w:iCs/>
              </w:rPr>
              <w:t>I</w:t>
            </w:r>
            <w:r w:rsidR="00172694">
              <w:rPr>
                <w:iCs/>
              </w:rPr>
              <w:t xml:space="preserve"> </w:t>
            </w:r>
            <w:r w:rsidR="00F3677B">
              <w:rPr>
                <w:iCs/>
              </w:rPr>
              <w:t>d</w:t>
            </w:r>
            <w:r w:rsidR="00172694">
              <w:rPr>
                <w:iCs/>
              </w:rPr>
              <w:t>isagree with that contention</w:t>
            </w:r>
            <w:r w:rsidR="00A55D71">
              <w:rPr>
                <w:iCs/>
              </w:rPr>
              <w:t xml:space="preserve"> and I note that </w:t>
            </w:r>
            <w:r w:rsidR="00172694">
              <w:rPr>
                <w:iCs/>
              </w:rPr>
              <w:t xml:space="preserve"> </w:t>
            </w:r>
            <w:r w:rsidR="00A55D71">
              <w:t xml:space="preserve">the Application Route is </w:t>
            </w:r>
            <w:r w:rsidR="00B0313A">
              <w:t xml:space="preserve">   </w:t>
            </w:r>
            <w:r w:rsidR="00A55D71">
              <w:t>identified as a through route labelled Scot Pit Lane</w:t>
            </w:r>
            <w:r w:rsidR="009D14A8">
              <w:t xml:space="preserve">, and apparently open at both ends. </w:t>
            </w:r>
            <w:r w:rsidR="00172694">
              <w:rPr>
                <w:iCs/>
              </w:rPr>
              <w:t xml:space="preserve">I find that </w:t>
            </w:r>
            <w:r w:rsidR="00E56E2A">
              <w:rPr>
                <w:iCs/>
              </w:rPr>
              <w:t>the Plan</w:t>
            </w:r>
            <w:r w:rsidR="00941820">
              <w:rPr>
                <w:iCs/>
              </w:rPr>
              <w:t xml:space="preserve"> provides evidential value in support of the Ap</w:t>
            </w:r>
            <w:r w:rsidR="00960615">
              <w:rPr>
                <w:iCs/>
              </w:rPr>
              <w:t>p</w:t>
            </w:r>
            <w:r w:rsidR="00941820">
              <w:rPr>
                <w:iCs/>
              </w:rPr>
              <w:t>ellant’s case</w:t>
            </w:r>
            <w:r w:rsidR="00960615">
              <w:rPr>
                <w:iCs/>
              </w:rPr>
              <w:t xml:space="preserve"> when viewing the overall effect of the </w:t>
            </w:r>
            <w:r w:rsidR="00E9671B">
              <w:rPr>
                <w:iCs/>
              </w:rPr>
              <w:t xml:space="preserve">mapping </w:t>
            </w:r>
            <w:r w:rsidR="00960615">
              <w:rPr>
                <w:iCs/>
              </w:rPr>
              <w:t>evidence as a whole</w:t>
            </w:r>
            <w:r w:rsidR="00941820">
              <w:rPr>
                <w:iCs/>
              </w:rPr>
              <w:t>.</w:t>
            </w:r>
          </w:p>
          <w:p w14:paraId="1A820885" w14:textId="1C609B85" w:rsidR="001F06D9" w:rsidRDefault="00A1629D" w:rsidP="00A068BB">
            <w:pPr>
              <w:pStyle w:val="Style1"/>
              <w:tabs>
                <w:tab w:val="clear" w:pos="432"/>
              </w:tabs>
              <w:ind w:left="601" w:hanging="567"/>
              <w:rPr>
                <w:iCs/>
              </w:rPr>
            </w:pPr>
            <w:r w:rsidRPr="00AA46D0">
              <w:rPr>
                <w:i/>
              </w:rPr>
              <w:t>Highways Act</w:t>
            </w:r>
            <w:r w:rsidR="00ED424F">
              <w:rPr>
                <w:i/>
              </w:rPr>
              <w:t xml:space="preserve"> 1773</w:t>
            </w:r>
            <w:r w:rsidRPr="00AA46D0">
              <w:rPr>
                <w:i/>
              </w:rPr>
              <w:t>, Section 69</w:t>
            </w:r>
            <w:r>
              <w:t xml:space="preserve"> – Named Roads – </w:t>
            </w:r>
            <w:r w:rsidR="00712D53">
              <w:t xml:space="preserve">the Appellant relies upon </w:t>
            </w:r>
            <w:r>
              <w:t>th</w:t>
            </w:r>
            <w:r w:rsidR="00DD55D9">
              <w:t xml:space="preserve">is </w:t>
            </w:r>
            <w:r>
              <w:t xml:space="preserve"> section </w:t>
            </w:r>
            <w:r w:rsidR="00D94AA2">
              <w:t xml:space="preserve">as </w:t>
            </w:r>
            <w:r>
              <w:t>s</w:t>
            </w:r>
            <w:r w:rsidR="00E9671B">
              <w:t>upporting the int</w:t>
            </w:r>
            <w:r w:rsidR="004F7DC2">
              <w:t>erpretation</w:t>
            </w:r>
            <w:r>
              <w:t xml:space="preserve"> that common highways had to be named </w:t>
            </w:r>
            <w:r w:rsidR="004F7DC2">
              <w:t>before</w:t>
            </w:r>
            <w:r>
              <w:t xml:space="preserve"> an indictment for obstruction or disrepair could be pursued.</w:t>
            </w:r>
            <w:r w:rsidR="009E1DCB">
              <w:rPr>
                <w:iCs/>
              </w:rPr>
              <w:t xml:space="preserve">  However, it is contended </w:t>
            </w:r>
            <w:r w:rsidR="008A21AD">
              <w:rPr>
                <w:iCs/>
              </w:rPr>
              <w:t xml:space="preserve">by the County Council </w:t>
            </w:r>
            <w:r w:rsidR="009E1DCB">
              <w:rPr>
                <w:iCs/>
              </w:rPr>
              <w:t>that although the Pins Consistency Guidelines address this issue, and conclude that although the statutory element is probably correct, it is a matter of fact that nowadays many public highways are not named, and some private roads are.</w:t>
            </w:r>
            <w:r w:rsidR="001F06D9">
              <w:rPr>
                <w:iCs/>
              </w:rPr>
              <w:t xml:space="preserve"> Again, it is contended by the County Council that this </w:t>
            </w:r>
            <w:r w:rsidR="003B335B">
              <w:rPr>
                <w:iCs/>
              </w:rPr>
              <w:t>evidence</w:t>
            </w:r>
            <w:r w:rsidR="001F06D9">
              <w:rPr>
                <w:iCs/>
              </w:rPr>
              <w:t xml:space="preserve"> has no evidential value.</w:t>
            </w:r>
          </w:p>
          <w:p w14:paraId="12C42026" w14:textId="24D4868A" w:rsidR="00CA0B2C" w:rsidRPr="00E25ECB" w:rsidRDefault="00CA0B2C" w:rsidP="00A068BB">
            <w:pPr>
              <w:pStyle w:val="Style1"/>
              <w:tabs>
                <w:tab w:val="clear" w:pos="432"/>
              </w:tabs>
              <w:ind w:left="601" w:hanging="567"/>
              <w:rPr>
                <w:iCs/>
              </w:rPr>
            </w:pPr>
            <w:r w:rsidRPr="00E25ECB">
              <w:rPr>
                <w:iCs/>
              </w:rPr>
              <w:t xml:space="preserve">I find that the fact that Application Route </w:t>
            </w:r>
            <w:r w:rsidR="00847BA9" w:rsidRPr="00E25ECB">
              <w:rPr>
                <w:iCs/>
              </w:rPr>
              <w:t xml:space="preserve">has borne a name </w:t>
            </w:r>
            <w:r w:rsidR="00EF5E11" w:rsidRPr="00E25ECB">
              <w:rPr>
                <w:iCs/>
              </w:rPr>
              <w:t>(‘</w:t>
            </w:r>
            <w:r w:rsidR="002F5B42" w:rsidRPr="00E25ECB">
              <w:rPr>
                <w:iCs/>
              </w:rPr>
              <w:t xml:space="preserve">Scot Pit Lane) </w:t>
            </w:r>
            <w:r w:rsidR="00847BA9" w:rsidRPr="00E25ECB">
              <w:rPr>
                <w:iCs/>
              </w:rPr>
              <w:t>through the centuries</w:t>
            </w:r>
            <w:r w:rsidR="002F5B42" w:rsidRPr="00E25ECB">
              <w:rPr>
                <w:iCs/>
              </w:rPr>
              <w:t xml:space="preserve">, together with other </w:t>
            </w:r>
            <w:r w:rsidR="00F126DC">
              <w:rPr>
                <w:iCs/>
              </w:rPr>
              <w:t xml:space="preserve">evidential </w:t>
            </w:r>
            <w:r w:rsidR="002F5B42" w:rsidRPr="00E25ECB">
              <w:rPr>
                <w:iCs/>
              </w:rPr>
              <w:t>factor</w:t>
            </w:r>
            <w:r w:rsidR="002C26A3" w:rsidRPr="00E25ECB">
              <w:rPr>
                <w:iCs/>
              </w:rPr>
              <w:t xml:space="preserve">s, </w:t>
            </w:r>
            <w:r w:rsidR="00527AE3" w:rsidRPr="00E25ECB">
              <w:rPr>
                <w:iCs/>
              </w:rPr>
              <w:t>provide</w:t>
            </w:r>
            <w:r w:rsidR="002C26A3" w:rsidRPr="00E25ECB">
              <w:rPr>
                <w:iCs/>
              </w:rPr>
              <w:t xml:space="preserve"> support </w:t>
            </w:r>
            <w:r w:rsidR="00527AE3" w:rsidRPr="00E25ECB">
              <w:rPr>
                <w:iCs/>
              </w:rPr>
              <w:t xml:space="preserve">for </w:t>
            </w:r>
            <w:r w:rsidR="002C26A3" w:rsidRPr="00E25ECB">
              <w:rPr>
                <w:iCs/>
              </w:rPr>
              <w:t>the propos</w:t>
            </w:r>
            <w:r w:rsidR="00527AE3" w:rsidRPr="00E25ECB">
              <w:rPr>
                <w:iCs/>
              </w:rPr>
              <w:t>i</w:t>
            </w:r>
            <w:r w:rsidR="002C26A3" w:rsidRPr="00E25ECB">
              <w:rPr>
                <w:iCs/>
              </w:rPr>
              <w:t xml:space="preserve">tion that </w:t>
            </w:r>
            <w:r w:rsidR="00E74DE6" w:rsidRPr="00E25ECB">
              <w:rPr>
                <w:iCs/>
              </w:rPr>
              <w:t xml:space="preserve">the way </w:t>
            </w:r>
            <w:r w:rsidR="00E25ECB">
              <w:rPr>
                <w:iCs/>
              </w:rPr>
              <w:t xml:space="preserve">historically </w:t>
            </w:r>
            <w:r w:rsidR="00E74DE6" w:rsidRPr="00E25ECB">
              <w:rPr>
                <w:iCs/>
              </w:rPr>
              <w:t>ha</w:t>
            </w:r>
            <w:r w:rsidR="00E25ECB">
              <w:rPr>
                <w:iCs/>
              </w:rPr>
              <w:t>s had the status</w:t>
            </w:r>
            <w:r w:rsidR="00E74DE6" w:rsidRPr="00E25ECB">
              <w:rPr>
                <w:iCs/>
              </w:rPr>
              <w:t xml:space="preserve"> a public highway</w:t>
            </w:r>
            <w:r w:rsidR="00E25ECB" w:rsidRPr="00E25ECB">
              <w:rPr>
                <w:iCs/>
              </w:rPr>
              <w:t>.</w:t>
            </w:r>
          </w:p>
          <w:p w14:paraId="7CFA893D" w14:textId="4B758670" w:rsidR="00105817" w:rsidRPr="00105817" w:rsidRDefault="00A1629D" w:rsidP="00A068BB">
            <w:pPr>
              <w:pStyle w:val="Style1"/>
              <w:tabs>
                <w:tab w:val="clear" w:pos="432"/>
              </w:tabs>
              <w:ind w:left="601" w:hanging="567"/>
              <w:rPr>
                <w:iCs/>
              </w:rPr>
            </w:pPr>
            <w:r>
              <w:rPr>
                <w:i/>
              </w:rPr>
              <w:t>Quarter Sessions Records 1809 for Northallerton</w:t>
            </w:r>
            <w:r>
              <w:t xml:space="preserve"> –</w:t>
            </w:r>
            <w:r w:rsidR="003B335B">
              <w:t xml:space="preserve"> </w:t>
            </w:r>
            <w:r>
              <w:t xml:space="preserve">In the Records for year 1809 there is a reference to a request made asking for an adjournment. This related to a charge made against the Inhabitants of Northallerton arising from the non-maintenance of a certain road known as ‘Scot Pit Lane’.  The request for the adjournment states that </w:t>
            </w:r>
            <w:r>
              <w:rPr>
                <w:i/>
              </w:rPr>
              <w:t>“Mr Dixon the overseer of the Highways will prove that a great deal has been done to make the Road good and that he hopes the Defendants will be prepared against the next Sessions to get the Indictment discharged”</w:t>
            </w:r>
            <w:r>
              <w:t>.</w:t>
            </w:r>
            <w:r>
              <w:rPr>
                <w:rStyle w:val="FootnoteReference"/>
              </w:rPr>
              <w:footnoteReference w:id="12"/>
            </w:r>
            <w:r>
              <w:t xml:space="preserve">  </w:t>
            </w:r>
          </w:p>
          <w:p w14:paraId="18A6F465" w14:textId="3222E81C" w:rsidR="00244F10" w:rsidRDefault="00A1629D" w:rsidP="00A068BB">
            <w:pPr>
              <w:pStyle w:val="Style1"/>
              <w:tabs>
                <w:tab w:val="clear" w:pos="432"/>
              </w:tabs>
              <w:ind w:left="601" w:hanging="567"/>
              <w:rPr>
                <w:iCs/>
              </w:rPr>
            </w:pPr>
            <w:r w:rsidRPr="00A068BB">
              <w:rPr>
                <w:iCs/>
              </w:rPr>
              <w:t xml:space="preserve">It is </w:t>
            </w:r>
            <w:r w:rsidR="003B335B" w:rsidRPr="00A068BB">
              <w:rPr>
                <w:iCs/>
              </w:rPr>
              <w:t>submitted</w:t>
            </w:r>
            <w:r w:rsidRPr="00A068BB">
              <w:rPr>
                <w:iCs/>
              </w:rPr>
              <w:t xml:space="preserve"> by the Appellant that th</w:t>
            </w:r>
            <w:r w:rsidR="00F712F5" w:rsidRPr="00A068BB">
              <w:rPr>
                <w:iCs/>
              </w:rPr>
              <w:t>ese Records</w:t>
            </w:r>
            <w:r w:rsidRPr="00A068BB">
              <w:rPr>
                <w:iCs/>
              </w:rPr>
              <w:t xml:space="preserve"> provide evidence that the Application</w:t>
            </w:r>
            <w:r>
              <w:t xml:space="preserve"> Route was considered at that time to be a public road with vehicular access</w:t>
            </w:r>
            <w:r w:rsidR="002E2A2D">
              <w:t>, and its status is a legal Court record</w:t>
            </w:r>
            <w:r>
              <w:t>.</w:t>
            </w:r>
            <w:r w:rsidR="00244F10">
              <w:t xml:space="preserve"> </w:t>
            </w:r>
            <w:r w:rsidR="00105817">
              <w:t xml:space="preserve">However, </w:t>
            </w:r>
            <w:r w:rsidR="00105817">
              <w:rPr>
                <w:iCs/>
              </w:rPr>
              <w:t>th</w:t>
            </w:r>
            <w:r w:rsidR="00B32C96">
              <w:rPr>
                <w:iCs/>
              </w:rPr>
              <w:t>ose objecting to the Appeal take issue</w:t>
            </w:r>
            <w:r w:rsidR="008A1E4F">
              <w:rPr>
                <w:iCs/>
              </w:rPr>
              <w:t xml:space="preserve"> as to</w:t>
            </w:r>
            <w:r w:rsidR="00244F10">
              <w:rPr>
                <w:iCs/>
              </w:rPr>
              <w:t xml:space="preserve"> the accuracy of the</w:t>
            </w:r>
            <w:r w:rsidR="008A1E4F">
              <w:rPr>
                <w:iCs/>
              </w:rPr>
              <w:t>se</w:t>
            </w:r>
            <w:r w:rsidR="00244F10">
              <w:rPr>
                <w:iCs/>
              </w:rPr>
              <w:t xml:space="preserve"> Quarter Sessions Records of 1809</w:t>
            </w:r>
            <w:r w:rsidR="008A1E4F">
              <w:rPr>
                <w:iCs/>
              </w:rPr>
              <w:t xml:space="preserve">. </w:t>
            </w:r>
            <w:r w:rsidR="00705C96">
              <w:rPr>
                <w:iCs/>
              </w:rPr>
              <w:t>I</w:t>
            </w:r>
            <w:r w:rsidR="00244F10">
              <w:rPr>
                <w:iCs/>
              </w:rPr>
              <w:t>t is contended that the Report is not a plea, nor does it constitute a finding of legal fact, but is a</w:t>
            </w:r>
            <w:r w:rsidR="008A1E4F">
              <w:rPr>
                <w:iCs/>
              </w:rPr>
              <w:t xml:space="preserve"> mere</w:t>
            </w:r>
            <w:r w:rsidR="00244F10">
              <w:rPr>
                <w:iCs/>
              </w:rPr>
              <w:t xml:space="preserve"> administrative entry.  </w:t>
            </w:r>
          </w:p>
          <w:p w14:paraId="69B1CE57" w14:textId="183ADECF" w:rsidR="00DE1F10" w:rsidRDefault="00DE1F10" w:rsidP="00A068BB">
            <w:pPr>
              <w:pStyle w:val="Style1"/>
              <w:tabs>
                <w:tab w:val="clear" w:pos="432"/>
              </w:tabs>
              <w:ind w:left="601" w:hanging="567"/>
              <w:rPr>
                <w:iCs/>
              </w:rPr>
            </w:pPr>
            <w:r>
              <w:rPr>
                <w:iCs/>
              </w:rPr>
              <w:lastRenderedPageBreak/>
              <w:t xml:space="preserve">I disagree with that interpretation. </w:t>
            </w:r>
            <w:r w:rsidR="00830F1D">
              <w:rPr>
                <w:iCs/>
              </w:rPr>
              <w:t xml:space="preserve">It does appear that these Records provide evidence in support of the proposition that </w:t>
            </w:r>
            <w:r w:rsidR="00F60209">
              <w:rPr>
                <w:iCs/>
              </w:rPr>
              <w:t xml:space="preserve">as far back as 1809 Scot Pit Lane was treated </w:t>
            </w:r>
            <w:r w:rsidR="00BC550F">
              <w:rPr>
                <w:iCs/>
              </w:rPr>
              <w:t>as a public highway for maintenance purposes.</w:t>
            </w:r>
          </w:p>
          <w:p w14:paraId="205D2CEC" w14:textId="3A899D56" w:rsidR="00A1629D" w:rsidRPr="00DF16D0" w:rsidRDefault="00A1629D" w:rsidP="00A068BB">
            <w:pPr>
              <w:pStyle w:val="Style1"/>
              <w:tabs>
                <w:tab w:val="clear" w:pos="432"/>
              </w:tabs>
              <w:ind w:left="601" w:hanging="567"/>
            </w:pPr>
            <w:r w:rsidRPr="00244F10">
              <w:rPr>
                <w:i/>
              </w:rPr>
              <w:t>Tithe Map for Brompton 1839</w:t>
            </w:r>
            <w:r>
              <w:t xml:space="preserve"> – The Appellant relies upon this map as</w:t>
            </w:r>
            <w:r w:rsidR="00052EC3">
              <w:t xml:space="preserve"> </w:t>
            </w:r>
            <w:r w:rsidR="00F712F5">
              <w:t>identifying</w:t>
            </w:r>
            <w:r>
              <w:t xml:space="preserve"> the Application Route for its entire length. It bears the apportionment number – 235 and is depicted as a ‘Lane’ with a land area, but no value apportioned for the Tithe.  It is </w:t>
            </w:r>
            <w:r w:rsidR="00263B4E">
              <w:t>submitted</w:t>
            </w:r>
            <w:r>
              <w:t xml:space="preserve"> by the Appellant that this depiction of the Application Route on the Tithe Map and its description, and the lack of any Tithe value being apportioned, is consistent with the Application Route being a </w:t>
            </w:r>
            <w:r w:rsidR="00511A51">
              <w:t xml:space="preserve">maintained </w:t>
            </w:r>
            <w:r>
              <w:t xml:space="preserve">vehicular highway </w:t>
            </w:r>
            <w:r w:rsidR="00511A51">
              <w:t xml:space="preserve">used by the public </w:t>
            </w:r>
            <w:r>
              <w:t>at the time of the assessment.</w:t>
            </w:r>
            <w:r>
              <w:rPr>
                <w:rStyle w:val="FootnoteReference"/>
              </w:rPr>
              <w:footnoteReference w:id="13"/>
            </w:r>
            <w:r>
              <w:t xml:space="preserve">  It is further contended by the Appellant that the Application Route is depicted in the same way as the public vehicular highways such as Brompton Lane C4, and that it connects to what are now public routes such as Fullicar Lane which bears the apportionment number - 975.  A minor lane off Fullicar Lane also has an apportionment number - 592 and is listed in the apportionment record as a ‘lane’ in the same manner of depiction as the Application Route, with no value apportioned for Tithes.</w:t>
            </w:r>
            <w:r w:rsidR="00D324C2" w:rsidRPr="00244F10">
              <w:rPr>
                <w:iCs/>
              </w:rPr>
              <w:t xml:space="preserve"> </w:t>
            </w:r>
          </w:p>
          <w:p w14:paraId="001A30AB" w14:textId="5A5276C5" w:rsidR="00DF16D0" w:rsidRDefault="00DF16D0" w:rsidP="00A068BB">
            <w:pPr>
              <w:pStyle w:val="Style1"/>
              <w:tabs>
                <w:tab w:val="clear" w:pos="432"/>
              </w:tabs>
              <w:ind w:left="601" w:hanging="567"/>
              <w:rPr>
                <w:iCs/>
              </w:rPr>
            </w:pPr>
            <w:r>
              <w:rPr>
                <w:iCs/>
              </w:rPr>
              <w:t xml:space="preserve">Again, issue is taken </w:t>
            </w:r>
            <w:r w:rsidR="00AD306E">
              <w:rPr>
                <w:iCs/>
              </w:rPr>
              <w:t>by those objecting to the Appeal as to the</w:t>
            </w:r>
            <w:r>
              <w:rPr>
                <w:iCs/>
              </w:rPr>
              <w:t xml:space="preserve">  accuracy of the Tithe Map and the inclusion of the Scot Pit Lane</w:t>
            </w:r>
            <w:r w:rsidR="006905D3">
              <w:rPr>
                <w:iCs/>
              </w:rPr>
              <w:t>.</w:t>
            </w:r>
            <w:r>
              <w:rPr>
                <w:iCs/>
              </w:rPr>
              <w:t xml:space="preserve"> Apportionment </w:t>
            </w:r>
            <w:r w:rsidR="00CE3AF9">
              <w:rPr>
                <w:iCs/>
              </w:rPr>
              <w:t xml:space="preserve">as </w:t>
            </w:r>
            <w:r w:rsidRPr="00474F98">
              <w:rPr>
                <w:iCs/>
              </w:rPr>
              <w:t>No. 235</w:t>
            </w:r>
            <w:r>
              <w:rPr>
                <w:iCs/>
              </w:rPr>
              <w:t xml:space="preserve"> appears to allocate Scot Pit Lane as a private holding of a named individual. It is said that the Application Route does not appear on the list of Public Highways at the time, which all commence with the number </w:t>
            </w:r>
            <w:r w:rsidR="00CD77B5">
              <w:rPr>
                <w:iCs/>
              </w:rPr>
              <w:t>‘</w:t>
            </w:r>
            <w:r>
              <w:rPr>
                <w:iCs/>
              </w:rPr>
              <w:t xml:space="preserve">9’. This is said to be conclusive evidence that Scot Pit Lane was a private, and not a public way. </w:t>
            </w:r>
            <w:r w:rsidR="00930A78">
              <w:rPr>
                <w:iCs/>
              </w:rPr>
              <w:t xml:space="preserve">It is contended that its </w:t>
            </w:r>
            <w:r w:rsidR="004B11B1">
              <w:rPr>
                <w:iCs/>
              </w:rPr>
              <w:t xml:space="preserve">apparent </w:t>
            </w:r>
            <w:r w:rsidR="00930A78">
              <w:rPr>
                <w:iCs/>
              </w:rPr>
              <w:t xml:space="preserve">omission </w:t>
            </w:r>
            <w:r>
              <w:rPr>
                <w:iCs/>
              </w:rPr>
              <w:t>from the list of public highways negates much of the remaining evidence.</w:t>
            </w:r>
            <w:r w:rsidR="00F06FFB">
              <w:rPr>
                <w:iCs/>
              </w:rPr>
              <w:t xml:space="preserve"> In </w:t>
            </w:r>
            <w:r w:rsidR="009836F8">
              <w:rPr>
                <w:iCs/>
              </w:rPr>
              <w:t>essence</w:t>
            </w:r>
            <w:r w:rsidR="00F06FFB">
              <w:rPr>
                <w:iCs/>
              </w:rPr>
              <w:t>, it is submitted that the evidence relied upon by the Appellant in the form of  the Tithe Map fails to provide clear and cogent evidence that the Application Route is a public highway.  Indeed, it is asserted that there is evidence which suggests a contrary interpretation</w:t>
            </w:r>
            <w:r w:rsidR="009836F8">
              <w:rPr>
                <w:iCs/>
              </w:rPr>
              <w:t>.</w:t>
            </w:r>
          </w:p>
          <w:p w14:paraId="628695CF" w14:textId="0E18A2AE" w:rsidR="00466D0B" w:rsidRDefault="00F63B88" w:rsidP="00A068BB">
            <w:pPr>
              <w:pStyle w:val="Style1"/>
              <w:tabs>
                <w:tab w:val="clear" w:pos="432"/>
              </w:tabs>
              <w:ind w:left="601" w:hanging="567"/>
              <w:rPr>
                <w:iCs/>
              </w:rPr>
            </w:pPr>
            <w:r>
              <w:rPr>
                <w:iCs/>
              </w:rPr>
              <w:t xml:space="preserve">I find that the depiction of the Application Route on the Tithe Map </w:t>
            </w:r>
            <w:r w:rsidR="001735E0">
              <w:rPr>
                <w:iCs/>
              </w:rPr>
              <w:t>with an apportionment number</w:t>
            </w:r>
            <w:r w:rsidR="009548E8">
              <w:t xml:space="preserve"> and its description, and the lack of any Tithe value being apportioned, is s</w:t>
            </w:r>
            <w:r w:rsidR="001021CE">
              <w:t xml:space="preserve">upportive of </w:t>
            </w:r>
            <w:r w:rsidR="009548E8">
              <w:t xml:space="preserve">the Application Route </w:t>
            </w:r>
            <w:r w:rsidR="001021CE">
              <w:t>hav</w:t>
            </w:r>
            <w:r w:rsidR="009548E8">
              <w:t xml:space="preserve">ing </w:t>
            </w:r>
            <w:r w:rsidR="002E2A2D">
              <w:t xml:space="preserve">public rights of access </w:t>
            </w:r>
            <w:r w:rsidR="009548E8">
              <w:t>at the time</w:t>
            </w:r>
            <w:r w:rsidR="00D14ABA">
              <w:t xml:space="preserve">. I find that the fact that </w:t>
            </w:r>
            <w:r w:rsidR="009C6554">
              <w:t xml:space="preserve">the </w:t>
            </w:r>
            <w:r w:rsidR="009C6554">
              <w:rPr>
                <w:iCs/>
              </w:rPr>
              <w:t>number ‘9’ is omitted is not</w:t>
            </w:r>
            <w:r w:rsidR="00B53317">
              <w:rPr>
                <w:iCs/>
              </w:rPr>
              <w:t xml:space="preserve"> conclusive evidence </w:t>
            </w:r>
            <w:r w:rsidR="009C6554">
              <w:rPr>
                <w:iCs/>
              </w:rPr>
              <w:t xml:space="preserve">in itself </w:t>
            </w:r>
            <w:r w:rsidR="00B53317">
              <w:rPr>
                <w:iCs/>
              </w:rPr>
              <w:t xml:space="preserve">that Scot Pit Lane was a private, and not a public </w:t>
            </w:r>
            <w:r w:rsidR="00470193">
              <w:rPr>
                <w:iCs/>
              </w:rPr>
              <w:t xml:space="preserve">right of </w:t>
            </w:r>
            <w:r w:rsidR="00B53317">
              <w:rPr>
                <w:iCs/>
              </w:rPr>
              <w:t>way</w:t>
            </w:r>
            <w:r w:rsidR="00470193">
              <w:rPr>
                <w:iCs/>
              </w:rPr>
              <w:t>.</w:t>
            </w:r>
          </w:p>
          <w:p w14:paraId="14B50B0D" w14:textId="586DB2A4" w:rsidR="00D22CFF" w:rsidRPr="005C31D7" w:rsidRDefault="00D22CFF" w:rsidP="000C52E9">
            <w:pPr>
              <w:pStyle w:val="Style1"/>
              <w:numPr>
                <w:ilvl w:val="0"/>
                <w:numId w:val="0"/>
              </w:numPr>
              <w:tabs>
                <w:tab w:val="clear" w:pos="432"/>
              </w:tabs>
              <w:ind w:left="630"/>
              <w:rPr>
                <w:b/>
                <w:bCs/>
                <w:i/>
                <w:iCs/>
                <w:szCs w:val="22"/>
              </w:rPr>
            </w:pPr>
            <w:r w:rsidRPr="005C31D7">
              <w:rPr>
                <w:b/>
                <w:bCs/>
                <w:i/>
                <w:iCs/>
                <w:szCs w:val="22"/>
              </w:rPr>
              <w:t>O</w:t>
            </w:r>
            <w:r w:rsidR="00CC36BF" w:rsidRPr="005C31D7">
              <w:rPr>
                <w:b/>
                <w:bCs/>
                <w:i/>
                <w:iCs/>
                <w:szCs w:val="22"/>
              </w:rPr>
              <w:t>S</w:t>
            </w:r>
            <w:r w:rsidRPr="005C31D7">
              <w:rPr>
                <w:b/>
                <w:bCs/>
                <w:i/>
                <w:iCs/>
                <w:szCs w:val="22"/>
              </w:rPr>
              <w:t xml:space="preserve"> Mapping</w:t>
            </w:r>
          </w:p>
          <w:p w14:paraId="1EFE61A7" w14:textId="1EBE9CEB" w:rsidR="008758A6" w:rsidRDefault="008758A6" w:rsidP="00A068BB">
            <w:pPr>
              <w:pStyle w:val="Style1"/>
              <w:tabs>
                <w:tab w:val="clear" w:pos="432"/>
              </w:tabs>
              <w:ind w:left="601" w:hanging="567"/>
            </w:pPr>
            <w:r>
              <w:t>The establishment of the Ordnance Survey (“the OS”) in England and Wales was in response to a military need in the early part of the 19</w:t>
            </w:r>
            <w:r w:rsidRPr="00C64C7B">
              <w:rPr>
                <w:vertAlign w:val="superscript"/>
              </w:rPr>
              <w:t>th</w:t>
            </w:r>
            <w:r>
              <w:t xml:space="preserve"> century for detailed accurate mapping arising from the threat of invasion.  Prior to that mapping was produced on a more haphazard basis reflecting a variety of individualistic historical needs, commercial or otherwise. Over the decades since then the OS has developed a variety of maps to meet the growing need for accurate and up-to-date revisions of the United Kingdom.  The production of maps for sale to the public became an activity of increasing importance </w:t>
            </w:r>
            <w:r>
              <w:lastRenderedPageBreak/>
              <w:t>from the early part of the 20</w:t>
            </w:r>
            <w:r w:rsidRPr="00C64C7B">
              <w:rPr>
                <w:vertAlign w:val="superscript"/>
              </w:rPr>
              <w:t>th</w:t>
            </w:r>
            <w:r>
              <w:t xml:space="preserve"> century.  The more recent OS surveys and mapping provide an accurate representation of routes on the ground at the time of survey – historically by means of trigonometry and latterly by means of satellite technology.  </w:t>
            </w:r>
          </w:p>
          <w:p w14:paraId="5BA17D61" w14:textId="399D64B0" w:rsidR="00A1629D" w:rsidRDefault="00A1629D" w:rsidP="00A068BB">
            <w:pPr>
              <w:pStyle w:val="Style1"/>
              <w:tabs>
                <w:tab w:val="clear" w:pos="432"/>
              </w:tabs>
              <w:ind w:left="601" w:hanging="567"/>
            </w:pPr>
            <w:r>
              <w:t xml:space="preserve">Reliance is placed </w:t>
            </w:r>
            <w:r w:rsidR="00EA3E5C">
              <w:t xml:space="preserve">by the Appellant </w:t>
            </w:r>
            <w:r>
              <w:t>upon the following</w:t>
            </w:r>
            <w:r w:rsidR="00FA5EDA">
              <w:t xml:space="preserve"> maps</w:t>
            </w:r>
            <w:r w:rsidR="00413AD8">
              <w:t xml:space="preserve"> -</w:t>
            </w:r>
          </w:p>
          <w:p w14:paraId="3C729702" w14:textId="5D236FEF" w:rsidR="00A1629D" w:rsidRPr="00DD3DEA" w:rsidRDefault="00A1629D" w:rsidP="00A068BB">
            <w:pPr>
              <w:pStyle w:val="Style1"/>
              <w:tabs>
                <w:tab w:val="clear" w:pos="432"/>
              </w:tabs>
              <w:ind w:left="601" w:hanging="567"/>
              <w:rPr>
                <w:szCs w:val="22"/>
              </w:rPr>
            </w:pPr>
            <w:r w:rsidRPr="00DD3DEA">
              <w:rPr>
                <w:i/>
                <w:szCs w:val="22"/>
              </w:rPr>
              <w:t>Ordn</w:t>
            </w:r>
            <w:r w:rsidR="007B7699">
              <w:rPr>
                <w:i/>
                <w:szCs w:val="22"/>
              </w:rPr>
              <w:t>a</w:t>
            </w:r>
            <w:r w:rsidRPr="00DD3DEA">
              <w:rPr>
                <w:i/>
                <w:szCs w:val="22"/>
              </w:rPr>
              <w:t>nce Survey - 1</w:t>
            </w:r>
            <w:r w:rsidRPr="00DD3DEA">
              <w:rPr>
                <w:i/>
                <w:szCs w:val="22"/>
                <w:vertAlign w:val="superscript"/>
              </w:rPr>
              <w:t>st</w:t>
            </w:r>
            <w:r w:rsidRPr="00DD3DEA">
              <w:rPr>
                <w:i/>
                <w:szCs w:val="22"/>
              </w:rPr>
              <w:t xml:space="preserve"> Edition1:10560 - 6 inch to 1mile maps.</w:t>
            </w:r>
            <w:r w:rsidRPr="00684346">
              <w:rPr>
                <w:rStyle w:val="FootnoteReference"/>
                <w:iCs/>
                <w:szCs w:val="22"/>
              </w:rPr>
              <w:footnoteReference w:id="14"/>
            </w:r>
            <w:r w:rsidRPr="00DD3DEA">
              <w:rPr>
                <w:iCs/>
                <w:szCs w:val="22"/>
              </w:rPr>
              <w:t xml:space="preserve"> </w:t>
            </w:r>
            <w:r w:rsidRPr="00DD3DEA">
              <w:rPr>
                <w:szCs w:val="22"/>
              </w:rPr>
              <w:t xml:space="preserve">  The Appellant relies upon the fact that the Application Route existed as an enclosed lane named as ‘Scotpits Lane’</w:t>
            </w:r>
            <w:r w:rsidR="00B15F91">
              <w:rPr>
                <w:szCs w:val="22"/>
              </w:rPr>
              <w:t xml:space="preserve">. </w:t>
            </w:r>
            <w:r w:rsidR="0087400D">
              <w:rPr>
                <w:szCs w:val="22"/>
              </w:rPr>
              <w:t>S</w:t>
            </w:r>
            <w:r w:rsidR="00B15F91">
              <w:rPr>
                <w:szCs w:val="22"/>
              </w:rPr>
              <w:t>he contends</w:t>
            </w:r>
            <w:r w:rsidR="0087400D">
              <w:rPr>
                <w:szCs w:val="22"/>
              </w:rPr>
              <w:t xml:space="preserve"> that th</w:t>
            </w:r>
            <w:r w:rsidRPr="00DD3DEA">
              <w:rPr>
                <w:szCs w:val="22"/>
              </w:rPr>
              <w:t xml:space="preserve">is </w:t>
            </w:r>
            <w:r w:rsidR="00355DA7">
              <w:rPr>
                <w:szCs w:val="22"/>
              </w:rPr>
              <w:t xml:space="preserve">is </w:t>
            </w:r>
            <w:r w:rsidRPr="00DD3DEA">
              <w:rPr>
                <w:szCs w:val="22"/>
              </w:rPr>
              <w:t xml:space="preserve">clearly demonstrated as a road and through route identified in the same manner as other contemporary public roads.  Reference is </w:t>
            </w:r>
            <w:r w:rsidR="00EA3E5C">
              <w:rPr>
                <w:szCs w:val="22"/>
              </w:rPr>
              <w:t>made by the County Council</w:t>
            </w:r>
            <w:r w:rsidRPr="00DD3DEA">
              <w:rPr>
                <w:szCs w:val="22"/>
              </w:rPr>
              <w:t xml:space="preserve"> to the fact that the Application Route appears to be shown as gated at each end.  However, it is </w:t>
            </w:r>
            <w:r w:rsidR="00EA3E5C">
              <w:rPr>
                <w:szCs w:val="22"/>
              </w:rPr>
              <w:t>submitted by the Appellant</w:t>
            </w:r>
            <w:r w:rsidRPr="00DD3DEA">
              <w:rPr>
                <w:szCs w:val="22"/>
              </w:rPr>
              <w:t xml:space="preserve"> that this does not preclude it from being a public route as gates were not uncommon on minor public routes.  In addition, </w:t>
            </w:r>
            <w:r w:rsidR="00830110">
              <w:rPr>
                <w:szCs w:val="22"/>
              </w:rPr>
              <w:t xml:space="preserve">the fact that a gate may be shown at </w:t>
            </w:r>
            <w:r w:rsidRPr="00DD3DEA">
              <w:rPr>
                <w:szCs w:val="22"/>
              </w:rPr>
              <w:t>the junction of the Application Route</w:t>
            </w:r>
            <w:r w:rsidR="00830110">
              <w:rPr>
                <w:szCs w:val="22"/>
              </w:rPr>
              <w:t xml:space="preserve"> with</w:t>
            </w:r>
            <w:r w:rsidRPr="00DD3DEA">
              <w:rPr>
                <w:szCs w:val="22"/>
              </w:rPr>
              <w:t xml:space="preserve"> the Durham Turnpike Road (the current A167)</w:t>
            </w:r>
            <w:r w:rsidR="00830110">
              <w:rPr>
                <w:szCs w:val="22"/>
              </w:rPr>
              <w:t xml:space="preserve">, is likely to be on the basis </w:t>
            </w:r>
            <w:r w:rsidRPr="00DD3DEA">
              <w:rPr>
                <w:szCs w:val="22"/>
              </w:rPr>
              <w:t xml:space="preserve"> that a turnpike road attracted a toll or charge for use</w:t>
            </w:r>
            <w:r w:rsidR="00830110">
              <w:rPr>
                <w:szCs w:val="22"/>
              </w:rPr>
              <w:t xml:space="preserve"> - </w:t>
            </w:r>
            <w:r w:rsidRPr="00DD3DEA">
              <w:rPr>
                <w:szCs w:val="22"/>
              </w:rPr>
              <w:t>hence adjoining public roads were usually gated.</w:t>
            </w:r>
          </w:p>
          <w:p w14:paraId="1317EC4A" w14:textId="1A735679" w:rsidR="00A1629D" w:rsidRDefault="00A1629D" w:rsidP="00A068BB">
            <w:pPr>
              <w:pStyle w:val="Style1"/>
              <w:tabs>
                <w:tab w:val="clear" w:pos="432"/>
              </w:tabs>
              <w:ind w:left="601" w:hanging="567"/>
              <w:rPr>
                <w:szCs w:val="22"/>
              </w:rPr>
            </w:pPr>
            <w:r>
              <w:rPr>
                <w:i/>
                <w:szCs w:val="22"/>
              </w:rPr>
              <w:t>Ordnance Survey – County Series 1:2500 - 25 inch to 1mile maps 1894-1898</w:t>
            </w:r>
            <w:r>
              <w:rPr>
                <w:szCs w:val="22"/>
              </w:rPr>
              <w:t xml:space="preserve"> – It is said </w:t>
            </w:r>
            <w:r w:rsidR="001745AA">
              <w:rPr>
                <w:szCs w:val="22"/>
              </w:rPr>
              <w:t xml:space="preserve">by the Appellant </w:t>
            </w:r>
            <w:r>
              <w:rPr>
                <w:szCs w:val="22"/>
              </w:rPr>
              <w:t xml:space="preserve">that this series contains valuable extra information.  Although the Books of Reference (otherwise known as “Area Books”) were no longer published from the mid 1880’s, at the time that Yorkshire was surveyed for the 25 inch maps the area of individual land plots were still shown on the maps.  The land area is shown on the public maps indicating that they were distinct and separate from the surrounding fields or hereditaments.  The Appellant contends that the Application Route is identified on this map with a </w:t>
            </w:r>
            <w:r w:rsidR="0038398F">
              <w:rPr>
                <w:szCs w:val="22"/>
              </w:rPr>
              <w:t>reference</w:t>
            </w:r>
            <w:r>
              <w:rPr>
                <w:szCs w:val="22"/>
              </w:rPr>
              <w:t xml:space="preserve"> number </w:t>
            </w:r>
            <w:r w:rsidRPr="00C621BA">
              <w:rPr>
                <w:szCs w:val="22"/>
              </w:rPr>
              <w:t>419</w:t>
            </w:r>
            <w:r>
              <w:rPr>
                <w:rStyle w:val="FootnoteReference"/>
                <w:szCs w:val="22"/>
              </w:rPr>
              <w:footnoteReference w:id="15"/>
            </w:r>
            <w:r>
              <w:rPr>
                <w:szCs w:val="22"/>
              </w:rPr>
              <w:t xml:space="preserve"> identified as Scotpit Lane.  This indicated, so it is </w:t>
            </w:r>
            <w:r w:rsidR="003C0A35">
              <w:rPr>
                <w:szCs w:val="22"/>
              </w:rPr>
              <w:t>contended</w:t>
            </w:r>
            <w:r>
              <w:rPr>
                <w:szCs w:val="22"/>
              </w:rPr>
              <w:t xml:space="preserve">, that </w:t>
            </w:r>
            <w:r w:rsidR="003C0A35">
              <w:rPr>
                <w:szCs w:val="22"/>
              </w:rPr>
              <w:t>this is identified as</w:t>
            </w:r>
            <w:r>
              <w:rPr>
                <w:szCs w:val="22"/>
              </w:rPr>
              <w:t xml:space="preserve"> a separate and distinct route with public rights.</w:t>
            </w:r>
          </w:p>
          <w:p w14:paraId="36E75BC6" w14:textId="7A85FDBB" w:rsidR="00A1629D" w:rsidRDefault="00A1629D" w:rsidP="00A068BB">
            <w:pPr>
              <w:pStyle w:val="Style1"/>
              <w:tabs>
                <w:tab w:val="clear" w:pos="432"/>
              </w:tabs>
              <w:ind w:left="601" w:hanging="567"/>
              <w:rPr>
                <w:szCs w:val="22"/>
              </w:rPr>
            </w:pPr>
            <w:r>
              <w:rPr>
                <w:i/>
                <w:szCs w:val="22"/>
              </w:rPr>
              <w:t xml:space="preserve">Ordnance Survey </w:t>
            </w:r>
            <w:r w:rsidR="007B7699">
              <w:rPr>
                <w:i/>
                <w:szCs w:val="22"/>
              </w:rPr>
              <w:t>r</w:t>
            </w:r>
            <w:r>
              <w:rPr>
                <w:i/>
                <w:szCs w:val="22"/>
              </w:rPr>
              <w:t xml:space="preserve">evised New Edition - </w:t>
            </w:r>
            <w:r w:rsidR="009154BE">
              <w:rPr>
                <w:i/>
                <w:szCs w:val="22"/>
              </w:rPr>
              <w:t>1-inch</w:t>
            </w:r>
            <w:r>
              <w:rPr>
                <w:i/>
                <w:szCs w:val="22"/>
              </w:rPr>
              <w:t xml:space="preserve"> map 1898 –</w:t>
            </w:r>
            <w:r>
              <w:rPr>
                <w:szCs w:val="22"/>
              </w:rPr>
              <w:t xml:space="preserve"> The Appellant </w:t>
            </w:r>
            <w:r w:rsidR="000B076E">
              <w:rPr>
                <w:szCs w:val="22"/>
              </w:rPr>
              <w:t xml:space="preserve">  </w:t>
            </w:r>
            <w:r>
              <w:rPr>
                <w:szCs w:val="22"/>
              </w:rPr>
              <w:t xml:space="preserve">relies upon this edition of the Ordnance Survey as being of value in relation to the recording of roads. Map sheet 42 Northallerton identifies the Application Route by reference to the Map Key as an enclosed third-class metalled road (fenced) as a through route and open at both ends.  Again, this, so it is said, provides evidence that the Application Route was a public carriage road.  </w:t>
            </w:r>
          </w:p>
          <w:p w14:paraId="4D64D939" w14:textId="77777777" w:rsidR="001021CE" w:rsidRDefault="00A1629D" w:rsidP="00A068BB">
            <w:pPr>
              <w:pStyle w:val="Style1"/>
              <w:tabs>
                <w:tab w:val="clear" w:pos="432"/>
              </w:tabs>
              <w:ind w:left="601" w:hanging="567"/>
              <w:rPr>
                <w:szCs w:val="22"/>
              </w:rPr>
            </w:pPr>
            <w:r>
              <w:rPr>
                <w:i/>
                <w:szCs w:val="22"/>
              </w:rPr>
              <w:t>OS 1:25,000 (2½ inch) Maps of Great Britain 1937-1961</w:t>
            </w:r>
            <w:r>
              <w:rPr>
                <w:rStyle w:val="FootnoteReference"/>
                <w:i/>
                <w:szCs w:val="22"/>
              </w:rPr>
              <w:footnoteReference w:id="16"/>
            </w:r>
            <w:r>
              <w:rPr>
                <w:i/>
                <w:szCs w:val="22"/>
              </w:rPr>
              <w:t xml:space="preserve"> –</w:t>
            </w:r>
            <w:r>
              <w:rPr>
                <w:szCs w:val="22"/>
              </w:rPr>
              <w:t xml:space="preserve">  OS Map Sheet SE39 published in 1952 shows the Application Route as a vehicular route in the same manner as other contemporary public vehicular roads. It is identified as ‘The Scot Pits’. Also, it is not labelled with the designation ‘FP’ for ‘footpath’ indicating, so it is said</w:t>
            </w:r>
            <w:r w:rsidR="00492044">
              <w:rPr>
                <w:szCs w:val="22"/>
              </w:rPr>
              <w:t xml:space="preserve"> by the App</w:t>
            </w:r>
            <w:r w:rsidR="0091088F">
              <w:rPr>
                <w:szCs w:val="22"/>
              </w:rPr>
              <w:t>ell</w:t>
            </w:r>
            <w:r w:rsidR="00492044">
              <w:rPr>
                <w:szCs w:val="22"/>
              </w:rPr>
              <w:t>ant</w:t>
            </w:r>
            <w:r>
              <w:rPr>
                <w:szCs w:val="22"/>
              </w:rPr>
              <w:t xml:space="preserve">, that </w:t>
            </w:r>
            <w:r w:rsidR="0091088F">
              <w:rPr>
                <w:szCs w:val="22"/>
              </w:rPr>
              <w:t xml:space="preserve">this demonstrates that </w:t>
            </w:r>
            <w:r w:rsidR="00F62478">
              <w:rPr>
                <w:szCs w:val="22"/>
              </w:rPr>
              <w:t>Application Route</w:t>
            </w:r>
            <w:r>
              <w:rPr>
                <w:szCs w:val="22"/>
              </w:rPr>
              <w:t xml:space="preserve"> was an ancient roadway with higher user rights.</w:t>
            </w:r>
          </w:p>
          <w:p w14:paraId="791D0748" w14:textId="6E6DBD11" w:rsidR="003F2AAA" w:rsidRDefault="001021CE" w:rsidP="003F2AAA">
            <w:pPr>
              <w:pStyle w:val="Style1"/>
              <w:tabs>
                <w:tab w:val="clear" w:pos="432"/>
              </w:tabs>
              <w:ind w:left="601" w:hanging="567"/>
            </w:pPr>
            <w:r>
              <w:t xml:space="preserve">However, it must be reiterated that the depiction of a way on an OS map is not, of itself, evidence of a highway.  Similarly, the lack of depiction of a </w:t>
            </w:r>
            <w:r>
              <w:lastRenderedPageBreak/>
              <w:t xml:space="preserve">route on the OS mapping cannot necessarily be relied upon as an indication that there was not a publicly used way on the ground.  </w:t>
            </w:r>
            <w:r w:rsidR="003F2AAA">
              <w:t>The County Council in general seeks to discount such evidence on the mantra that the depiction of a way on an OS map is not, of itself, evidence of a highway. I agree with this interpretation.  However, they provide strong evidence of an existing route on the ground throughout the last two centuries.</w:t>
            </w:r>
          </w:p>
          <w:p w14:paraId="55791634" w14:textId="77777777" w:rsidR="003F2AAA" w:rsidRPr="006E10EA" w:rsidRDefault="003F2AAA" w:rsidP="003F2AAA">
            <w:pPr>
              <w:pStyle w:val="Style1"/>
              <w:numPr>
                <w:ilvl w:val="0"/>
                <w:numId w:val="0"/>
              </w:numPr>
              <w:tabs>
                <w:tab w:val="clear" w:pos="432"/>
              </w:tabs>
              <w:ind w:left="567"/>
              <w:rPr>
                <w:b/>
                <w:bCs/>
                <w:i/>
                <w:iCs/>
                <w:szCs w:val="22"/>
              </w:rPr>
            </w:pPr>
            <w:r>
              <w:rPr>
                <w:b/>
                <w:bCs/>
                <w:i/>
                <w:iCs/>
                <w:szCs w:val="22"/>
              </w:rPr>
              <w:t>L</w:t>
            </w:r>
            <w:r w:rsidRPr="006E10EA">
              <w:rPr>
                <w:b/>
                <w:bCs/>
                <w:i/>
                <w:iCs/>
                <w:szCs w:val="22"/>
              </w:rPr>
              <w:t>and ownership</w:t>
            </w:r>
          </w:p>
          <w:p w14:paraId="0F803724" w14:textId="63D6AC8D" w:rsidR="00A1629D" w:rsidRDefault="00A1629D" w:rsidP="00A068BB">
            <w:pPr>
              <w:pStyle w:val="Style1"/>
              <w:tabs>
                <w:tab w:val="clear" w:pos="432"/>
              </w:tabs>
              <w:ind w:left="601" w:hanging="567"/>
              <w:rPr>
                <w:szCs w:val="22"/>
              </w:rPr>
            </w:pPr>
            <w:r w:rsidRPr="00933C2A">
              <w:rPr>
                <w:i/>
                <w:szCs w:val="22"/>
              </w:rPr>
              <w:t>Land Registry Mapping Inspire 2019</w:t>
            </w:r>
            <w:r w:rsidRPr="00933C2A">
              <w:rPr>
                <w:szCs w:val="22"/>
              </w:rPr>
              <w:t xml:space="preserve"> – The Appellant contends that this show</w:t>
            </w:r>
            <w:r w:rsidR="00271F2D">
              <w:rPr>
                <w:szCs w:val="22"/>
              </w:rPr>
              <w:t xml:space="preserve">s </w:t>
            </w:r>
            <w:r w:rsidRPr="00933C2A">
              <w:rPr>
                <w:szCs w:val="22"/>
              </w:rPr>
              <w:t xml:space="preserve">the Application Route as unregistered and separate to the surrounding land holdings.  It is said that his conforms with Mr Croffield’s Estate Plan dated 1765 and supports the public nature of the route.  </w:t>
            </w:r>
            <w:r w:rsidRPr="00D94E09">
              <w:t>The</w:t>
            </w:r>
            <w:r w:rsidRPr="00933C2A">
              <w:rPr>
                <w:szCs w:val="22"/>
              </w:rPr>
              <w:t xml:space="preserve"> Appellant also relies upon the fact that the Application Route links east/west to a corresponding public route which is now a current day public bridleway.</w:t>
            </w:r>
          </w:p>
          <w:p w14:paraId="4349C87F" w14:textId="3DA68EAA" w:rsidR="005D32E9" w:rsidRPr="00A068BB" w:rsidRDefault="00A1629D" w:rsidP="00A068BB">
            <w:pPr>
              <w:pStyle w:val="Style1"/>
              <w:tabs>
                <w:tab w:val="clear" w:pos="432"/>
              </w:tabs>
              <w:ind w:left="601" w:hanging="567"/>
              <w:rPr>
                <w:iCs/>
                <w:szCs w:val="22"/>
              </w:rPr>
            </w:pPr>
            <w:r w:rsidRPr="00A068BB">
              <w:rPr>
                <w:iCs/>
                <w:szCs w:val="22"/>
              </w:rPr>
              <w:t xml:space="preserve">The further point is made by the Appellant that the Application Route </w:t>
            </w:r>
            <w:r w:rsidR="00933C2A" w:rsidRPr="00A068BB">
              <w:rPr>
                <w:iCs/>
                <w:szCs w:val="22"/>
              </w:rPr>
              <w:t xml:space="preserve"> </w:t>
            </w:r>
            <w:r w:rsidRPr="00A068BB">
              <w:rPr>
                <w:iCs/>
                <w:szCs w:val="22"/>
              </w:rPr>
              <w:t>remains unregistered at HM Land Registry</w:t>
            </w:r>
            <w:r w:rsidR="00933C2A" w:rsidRPr="00A068BB">
              <w:rPr>
                <w:iCs/>
                <w:szCs w:val="22"/>
              </w:rPr>
              <w:t>.</w:t>
            </w:r>
            <w:r w:rsidRPr="00A068BB">
              <w:rPr>
                <w:iCs/>
                <w:szCs w:val="22"/>
              </w:rPr>
              <w:t xml:space="preserve"> </w:t>
            </w:r>
            <w:r w:rsidR="00236738" w:rsidRPr="00A068BB">
              <w:rPr>
                <w:iCs/>
                <w:szCs w:val="22"/>
              </w:rPr>
              <w:t>She</w:t>
            </w:r>
            <w:r w:rsidR="00933C2A" w:rsidRPr="00A068BB">
              <w:rPr>
                <w:iCs/>
                <w:szCs w:val="22"/>
              </w:rPr>
              <w:t xml:space="preserve"> acknowledges in her </w:t>
            </w:r>
            <w:r w:rsidR="00236738" w:rsidRPr="00A068BB">
              <w:rPr>
                <w:iCs/>
                <w:szCs w:val="22"/>
              </w:rPr>
              <w:t>F</w:t>
            </w:r>
            <w:r w:rsidR="00933C2A" w:rsidRPr="00A068BB">
              <w:rPr>
                <w:iCs/>
                <w:szCs w:val="22"/>
              </w:rPr>
              <w:t xml:space="preserve">inal </w:t>
            </w:r>
            <w:r w:rsidR="00236738" w:rsidRPr="00A068BB">
              <w:rPr>
                <w:iCs/>
                <w:szCs w:val="22"/>
              </w:rPr>
              <w:t>C</w:t>
            </w:r>
            <w:r w:rsidR="00933C2A" w:rsidRPr="00A068BB">
              <w:rPr>
                <w:iCs/>
                <w:szCs w:val="22"/>
              </w:rPr>
              <w:t xml:space="preserve">omments that the land on each side of the Application Route has recently been registered to the same owner but </w:t>
            </w:r>
            <w:r w:rsidR="00236738" w:rsidRPr="00A068BB">
              <w:rPr>
                <w:iCs/>
                <w:szCs w:val="22"/>
              </w:rPr>
              <w:t>contends</w:t>
            </w:r>
            <w:r w:rsidR="00933C2A" w:rsidRPr="00A068BB">
              <w:rPr>
                <w:iCs/>
                <w:szCs w:val="22"/>
              </w:rPr>
              <w:t xml:space="preserve"> that it is therefore doubtful that there is an existing owner. </w:t>
            </w:r>
            <w:r w:rsidR="00236738" w:rsidRPr="00A068BB">
              <w:rPr>
                <w:iCs/>
                <w:szCs w:val="22"/>
              </w:rPr>
              <w:t>Further the Appellant</w:t>
            </w:r>
            <w:r w:rsidR="00933C2A" w:rsidRPr="00A068BB">
              <w:rPr>
                <w:iCs/>
                <w:szCs w:val="22"/>
              </w:rPr>
              <w:t xml:space="preserve"> </w:t>
            </w:r>
            <w:r w:rsidR="00236738" w:rsidRPr="00A068BB">
              <w:rPr>
                <w:iCs/>
                <w:szCs w:val="22"/>
              </w:rPr>
              <w:t>asserts</w:t>
            </w:r>
            <w:r w:rsidR="00933C2A" w:rsidRPr="00A068BB">
              <w:rPr>
                <w:iCs/>
                <w:szCs w:val="22"/>
              </w:rPr>
              <w:t xml:space="preserve"> that </w:t>
            </w:r>
            <w:r w:rsidR="00236738" w:rsidRPr="00A068BB">
              <w:rPr>
                <w:iCs/>
                <w:szCs w:val="22"/>
              </w:rPr>
              <w:t xml:space="preserve">the fact </w:t>
            </w:r>
            <w:r w:rsidR="00933C2A" w:rsidRPr="00A068BB">
              <w:rPr>
                <w:iCs/>
                <w:szCs w:val="22"/>
              </w:rPr>
              <w:t xml:space="preserve">it remains unregistered supports the view that it is a public right of way. </w:t>
            </w:r>
          </w:p>
          <w:p w14:paraId="00E95977" w14:textId="3AFDF093" w:rsidR="00A1629D" w:rsidRPr="00422AE9" w:rsidRDefault="00933C2A" w:rsidP="00A068BB">
            <w:pPr>
              <w:pStyle w:val="Style1"/>
              <w:tabs>
                <w:tab w:val="clear" w:pos="432"/>
              </w:tabs>
              <w:ind w:left="601" w:hanging="567"/>
              <w:rPr>
                <w:szCs w:val="22"/>
              </w:rPr>
            </w:pPr>
            <w:r w:rsidRPr="00A068BB">
              <w:rPr>
                <w:iCs/>
                <w:szCs w:val="22"/>
              </w:rPr>
              <w:t>I</w:t>
            </w:r>
            <w:r>
              <w:rPr>
                <w:szCs w:val="22"/>
              </w:rPr>
              <w:t xml:space="preserve"> agree that it is some</w:t>
            </w:r>
            <w:r w:rsidR="00236738">
              <w:rPr>
                <w:szCs w:val="22"/>
              </w:rPr>
              <w:t xml:space="preserve">what odd that the land forming the Application Route remains unregistered, but the simple explanation may be that no-one could prove title to it. </w:t>
            </w:r>
            <w:r w:rsidR="003F2AAA">
              <w:rPr>
                <w:szCs w:val="22"/>
              </w:rPr>
              <w:t xml:space="preserve"> </w:t>
            </w:r>
            <w:r w:rsidR="00236738">
              <w:rPr>
                <w:szCs w:val="22"/>
              </w:rPr>
              <w:t xml:space="preserve">However, I find that in itself </w:t>
            </w:r>
            <w:r w:rsidR="008B107D">
              <w:rPr>
                <w:szCs w:val="22"/>
              </w:rPr>
              <w:t xml:space="preserve">this </w:t>
            </w:r>
            <w:r w:rsidR="00236738">
              <w:rPr>
                <w:szCs w:val="22"/>
              </w:rPr>
              <w:t xml:space="preserve">does not </w:t>
            </w:r>
            <w:r w:rsidR="008B107D">
              <w:rPr>
                <w:szCs w:val="22"/>
              </w:rPr>
              <w:t xml:space="preserve">provide the </w:t>
            </w:r>
            <w:r w:rsidR="00236738">
              <w:rPr>
                <w:szCs w:val="22"/>
              </w:rPr>
              <w:t>infer</w:t>
            </w:r>
            <w:r w:rsidR="008B107D">
              <w:rPr>
                <w:szCs w:val="22"/>
              </w:rPr>
              <w:t>ence</w:t>
            </w:r>
            <w:r w:rsidR="00236738">
              <w:rPr>
                <w:szCs w:val="22"/>
              </w:rPr>
              <w:t xml:space="preserve"> that the Application Route therefore is a public right of way, but merely </w:t>
            </w:r>
            <w:r w:rsidR="00A1629D" w:rsidRPr="00422AE9">
              <w:rPr>
                <w:szCs w:val="22"/>
              </w:rPr>
              <w:t>that the</w:t>
            </w:r>
            <w:r w:rsidR="00236738">
              <w:rPr>
                <w:szCs w:val="22"/>
              </w:rPr>
              <w:t xml:space="preserve">re is no known </w:t>
            </w:r>
            <w:r w:rsidR="00A1629D" w:rsidRPr="00422AE9">
              <w:rPr>
                <w:szCs w:val="22"/>
              </w:rPr>
              <w:t>owner</w:t>
            </w:r>
            <w:r w:rsidR="00236738">
              <w:rPr>
                <w:szCs w:val="22"/>
              </w:rPr>
              <w:t xml:space="preserve"> of </w:t>
            </w:r>
            <w:r w:rsidR="00A1629D" w:rsidRPr="00422AE9">
              <w:rPr>
                <w:szCs w:val="22"/>
              </w:rPr>
              <w:t xml:space="preserve"> the </w:t>
            </w:r>
            <w:r w:rsidR="00236738">
              <w:rPr>
                <w:szCs w:val="22"/>
              </w:rPr>
              <w:t xml:space="preserve">land. </w:t>
            </w:r>
            <w:r w:rsidR="00A1629D" w:rsidRPr="00422AE9">
              <w:rPr>
                <w:szCs w:val="22"/>
              </w:rPr>
              <w:t xml:space="preserve"> </w:t>
            </w:r>
            <w:r w:rsidR="003F2AAA">
              <w:rPr>
                <w:szCs w:val="22"/>
              </w:rPr>
              <w:t>I</w:t>
            </w:r>
            <w:r w:rsidR="00236738">
              <w:rPr>
                <w:szCs w:val="22"/>
              </w:rPr>
              <w:t>n the absence of such evidence of ownership</w:t>
            </w:r>
            <w:r w:rsidR="0093025A">
              <w:rPr>
                <w:szCs w:val="22"/>
              </w:rPr>
              <w:t>,</w:t>
            </w:r>
            <w:r w:rsidR="00236738">
              <w:rPr>
                <w:szCs w:val="22"/>
              </w:rPr>
              <w:t xml:space="preserve"> the land </w:t>
            </w:r>
            <w:r w:rsidR="00A1629D" w:rsidRPr="00422AE9">
              <w:rPr>
                <w:szCs w:val="22"/>
              </w:rPr>
              <w:t xml:space="preserve">belongs to the owners on either side under the </w:t>
            </w:r>
            <w:r w:rsidR="00A1629D" w:rsidRPr="00422AE9">
              <w:rPr>
                <w:i/>
                <w:iCs/>
                <w:szCs w:val="22"/>
              </w:rPr>
              <w:t>ad medium filum</w:t>
            </w:r>
            <w:r w:rsidR="00A1629D" w:rsidRPr="00422AE9">
              <w:rPr>
                <w:szCs w:val="22"/>
              </w:rPr>
              <w:t xml:space="preserve"> presumption</w:t>
            </w:r>
            <w:r w:rsidR="003F2AAA">
              <w:rPr>
                <w:szCs w:val="22"/>
              </w:rPr>
              <w:t xml:space="preserve"> if the route is in fact a highway</w:t>
            </w:r>
            <w:r w:rsidR="00A1629D" w:rsidRPr="00422AE9">
              <w:rPr>
                <w:szCs w:val="22"/>
              </w:rPr>
              <w:t>.</w:t>
            </w:r>
            <w:r w:rsidR="00A1629D">
              <w:rPr>
                <w:iCs/>
              </w:rPr>
              <w:t xml:space="preserve"> </w:t>
            </w:r>
          </w:p>
          <w:p w14:paraId="409EAD15" w14:textId="2262DF5D" w:rsidR="00181729" w:rsidRPr="00181729" w:rsidRDefault="00A1629D" w:rsidP="0093025A">
            <w:pPr>
              <w:pStyle w:val="Style1"/>
              <w:numPr>
                <w:ilvl w:val="0"/>
                <w:numId w:val="0"/>
              </w:numPr>
              <w:tabs>
                <w:tab w:val="clear" w:pos="432"/>
              </w:tabs>
              <w:ind w:left="567"/>
              <w:rPr>
                <w:szCs w:val="22"/>
              </w:rPr>
            </w:pPr>
            <w:r w:rsidRPr="00181729">
              <w:rPr>
                <w:b/>
                <w:bCs/>
                <w:i/>
              </w:rPr>
              <w:t>The Dropped Kerb</w:t>
            </w:r>
            <w:r w:rsidRPr="00181729">
              <w:rPr>
                <w:b/>
                <w:bCs/>
                <w:iCs/>
              </w:rPr>
              <w:t xml:space="preserve"> </w:t>
            </w:r>
            <w:r w:rsidRPr="00181729">
              <w:rPr>
                <w:szCs w:val="22"/>
              </w:rPr>
              <w:t xml:space="preserve"> </w:t>
            </w:r>
          </w:p>
          <w:p w14:paraId="3E827E5E" w14:textId="76C388C1" w:rsidR="00511A51" w:rsidRPr="00A068BB" w:rsidRDefault="00A833FA" w:rsidP="00A068BB">
            <w:pPr>
              <w:pStyle w:val="Style1"/>
              <w:tabs>
                <w:tab w:val="clear" w:pos="432"/>
              </w:tabs>
              <w:ind w:left="601" w:hanging="567"/>
              <w:rPr>
                <w:iCs/>
                <w:szCs w:val="22"/>
              </w:rPr>
            </w:pPr>
            <w:r w:rsidRPr="00A068BB">
              <w:rPr>
                <w:iCs/>
                <w:szCs w:val="22"/>
              </w:rPr>
              <w:t xml:space="preserve">In addition, an issue has arisen over the presence of a dropped kerb (‘the Dropped Kerb’) on the main A167 road at the junction with the western end of the Application Route. </w:t>
            </w:r>
            <w:r w:rsidR="00E20FCF" w:rsidRPr="00A068BB">
              <w:rPr>
                <w:iCs/>
                <w:szCs w:val="22"/>
              </w:rPr>
              <w:t>This can be seen from the photo</w:t>
            </w:r>
            <w:r w:rsidR="005B7EB7" w:rsidRPr="00A068BB">
              <w:rPr>
                <w:iCs/>
                <w:szCs w:val="22"/>
              </w:rPr>
              <w:t>graphs included as part of the evidence.</w:t>
            </w:r>
            <w:r w:rsidRPr="00A068BB">
              <w:rPr>
                <w:iCs/>
                <w:szCs w:val="22"/>
              </w:rPr>
              <w:t xml:space="preserve"> </w:t>
            </w:r>
            <w:r w:rsidR="005B7EB7" w:rsidRPr="00A068BB">
              <w:rPr>
                <w:iCs/>
                <w:szCs w:val="22"/>
              </w:rPr>
              <w:t>I</w:t>
            </w:r>
            <w:r w:rsidR="00A1629D" w:rsidRPr="00A068BB">
              <w:rPr>
                <w:iCs/>
                <w:szCs w:val="22"/>
              </w:rPr>
              <w:t xml:space="preserve">t is submitted </w:t>
            </w:r>
            <w:r w:rsidR="002F2473" w:rsidRPr="00A068BB">
              <w:rPr>
                <w:iCs/>
                <w:szCs w:val="22"/>
              </w:rPr>
              <w:t xml:space="preserve">by those opposing the Appeal </w:t>
            </w:r>
            <w:r w:rsidR="00A1629D" w:rsidRPr="00A068BB">
              <w:rPr>
                <w:iCs/>
                <w:szCs w:val="22"/>
              </w:rPr>
              <w:t>that</w:t>
            </w:r>
            <w:r w:rsidR="00511A51" w:rsidRPr="00A068BB">
              <w:rPr>
                <w:iCs/>
                <w:szCs w:val="22"/>
              </w:rPr>
              <w:t xml:space="preserve"> had the Application Route been historically a public route the expectation would be that there should be no kerb – dropped or otherwise, across its end.</w:t>
            </w:r>
            <w:r w:rsidR="00A1629D" w:rsidRPr="00A068BB">
              <w:rPr>
                <w:iCs/>
                <w:szCs w:val="22"/>
              </w:rPr>
              <w:t xml:space="preserve">  </w:t>
            </w:r>
            <w:r w:rsidR="00511A51" w:rsidRPr="00A068BB">
              <w:rPr>
                <w:iCs/>
                <w:szCs w:val="22"/>
              </w:rPr>
              <w:t>D</w:t>
            </w:r>
            <w:r w:rsidR="00A1629D" w:rsidRPr="00A068BB">
              <w:rPr>
                <w:iCs/>
                <w:szCs w:val="22"/>
              </w:rPr>
              <w:t>ropped kerbs may be authorised by the Highway Authority where the landowner may require vehicular access to private land</w:t>
            </w:r>
            <w:r w:rsidR="00A902D6" w:rsidRPr="00A068BB">
              <w:rPr>
                <w:iCs/>
                <w:szCs w:val="22"/>
              </w:rPr>
              <w:t>, so it is argued</w:t>
            </w:r>
            <w:r w:rsidR="00A1629D" w:rsidRPr="00A068BB">
              <w:rPr>
                <w:iCs/>
                <w:szCs w:val="22"/>
              </w:rPr>
              <w:t xml:space="preserve">.  </w:t>
            </w:r>
          </w:p>
          <w:p w14:paraId="280B137E" w14:textId="0384A0C9" w:rsidR="00410DE8" w:rsidRDefault="00511A51" w:rsidP="00A068BB">
            <w:pPr>
              <w:pStyle w:val="Style1"/>
              <w:tabs>
                <w:tab w:val="clear" w:pos="432"/>
              </w:tabs>
              <w:ind w:left="601" w:hanging="567"/>
              <w:rPr>
                <w:iCs/>
              </w:rPr>
            </w:pPr>
            <w:r w:rsidRPr="00A068BB">
              <w:rPr>
                <w:iCs/>
                <w:szCs w:val="22"/>
              </w:rPr>
              <w:t>For her part, t</w:t>
            </w:r>
            <w:r w:rsidR="00410DE8" w:rsidRPr="00A068BB">
              <w:rPr>
                <w:iCs/>
                <w:szCs w:val="22"/>
              </w:rPr>
              <w:t xml:space="preserve">he Appellant submits that this is an irrelevant consideration as </w:t>
            </w:r>
            <w:r w:rsidR="0093025A" w:rsidRPr="00A068BB">
              <w:rPr>
                <w:iCs/>
                <w:szCs w:val="22"/>
              </w:rPr>
              <w:t xml:space="preserve">   </w:t>
            </w:r>
            <w:r w:rsidR="00410DE8" w:rsidRPr="00A068BB">
              <w:rPr>
                <w:iCs/>
                <w:szCs w:val="22"/>
              </w:rPr>
              <w:t>to whether the Application Route is a public thoroughfare</w:t>
            </w:r>
            <w:r w:rsidRPr="00A068BB">
              <w:rPr>
                <w:iCs/>
                <w:szCs w:val="22"/>
              </w:rPr>
              <w:t>, or not</w:t>
            </w:r>
            <w:r w:rsidR="00410DE8" w:rsidRPr="00A068BB">
              <w:rPr>
                <w:iCs/>
                <w:szCs w:val="22"/>
              </w:rPr>
              <w:t>.</w:t>
            </w:r>
            <w:r w:rsidRPr="00A068BB">
              <w:rPr>
                <w:iCs/>
                <w:szCs w:val="22"/>
              </w:rPr>
              <w:t xml:space="preserve"> </w:t>
            </w:r>
            <w:r w:rsidR="006916C9" w:rsidRPr="00A068BB">
              <w:rPr>
                <w:iCs/>
                <w:szCs w:val="22"/>
              </w:rPr>
              <w:t>T</w:t>
            </w:r>
            <w:r w:rsidRPr="00A068BB">
              <w:rPr>
                <w:iCs/>
                <w:szCs w:val="22"/>
              </w:rPr>
              <w:t>his evidence should be disregarded due to the presence of other similar features where public access is allowed</w:t>
            </w:r>
            <w:r w:rsidR="00E87FDB" w:rsidRPr="00A068BB">
              <w:rPr>
                <w:iCs/>
                <w:szCs w:val="22"/>
              </w:rPr>
              <w:t xml:space="preserve"> from public roads. Indeed</w:t>
            </w:r>
            <w:r w:rsidR="007078FA" w:rsidRPr="00A068BB">
              <w:rPr>
                <w:iCs/>
                <w:szCs w:val="22"/>
              </w:rPr>
              <w:t>,</w:t>
            </w:r>
            <w:r w:rsidR="00E87FDB" w:rsidRPr="00A068BB">
              <w:rPr>
                <w:iCs/>
                <w:szCs w:val="22"/>
              </w:rPr>
              <w:t xml:space="preserve"> it could be arg</w:t>
            </w:r>
            <w:r w:rsidR="007078FA" w:rsidRPr="00A068BB">
              <w:rPr>
                <w:iCs/>
                <w:szCs w:val="22"/>
              </w:rPr>
              <w:t xml:space="preserve">ued that the presence of the Dropped Kerb is intended in fact to facilitate access </w:t>
            </w:r>
            <w:r w:rsidR="001A52F3" w:rsidRPr="00A068BB">
              <w:rPr>
                <w:iCs/>
                <w:szCs w:val="22"/>
              </w:rPr>
              <w:t xml:space="preserve">by the public </w:t>
            </w:r>
            <w:r w:rsidR="009D24CF" w:rsidRPr="00A068BB">
              <w:rPr>
                <w:iCs/>
                <w:szCs w:val="22"/>
              </w:rPr>
              <w:t xml:space="preserve">to </w:t>
            </w:r>
            <w:r w:rsidR="007078FA" w:rsidRPr="00A068BB">
              <w:rPr>
                <w:iCs/>
                <w:szCs w:val="22"/>
              </w:rPr>
              <w:t>the Application Route</w:t>
            </w:r>
            <w:r w:rsidR="009D24CF" w:rsidRPr="00A068BB">
              <w:rPr>
                <w:iCs/>
                <w:szCs w:val="22"/>
              </w:rPr>
              <w:t>, similar to a pavement cross over</w:t>
            </w:r>
            <w:r w:rsidR="007078FA" w:rsidRPr="00A068BB">
              <w:rPr>
                <w:iCs/>
                <w:szCs w:val="22"/>
              </w:rPr>
              <w:t xml:space="preserve">. </w:t>
            </w:r>
            <w:r w:rsidR="00253B65" w:rsidRPr="00A068BB">
              <w:rPr>
                <w:iCs/>
                <w:szCs w:val="22"/>
              </w:rPr>
              <w:t xml:space="preserve">I </w:t>
            </w:r>
            <w:r w:rsidR="007078FA" w:rsidRPr="00A068BB">
              <w:rPr>
                <w:iCs/>
                <w:szCs w:val="22"/>
              </w:rPr>
              <w:t xml:space="preserve">therefore </w:t>
            </w:r>
            <w:r w:rsidR="009D24CF" w:rsidRPr="00A068BB">
              <w:rPr>
                <w:iCs/>
                <w:szCs w:val="22"/>
              </w:rPr>
              <w:t xml:space="preserve">discount </w:t>
            </w:r>
            <w:r w:rsidR="0087634D" w:rsidRPr="00A068BB">
              <w:rPr>
                <w:iCs/>
                <w:szCs w:val="22"/>
              </w:rPr>
              <w:t>this evidence as being supportive of the case presented by the County</w:t>
            </w:r>
            <w:r w:rsidR="0087634D">
              <w:rPr>
                <w:iCs/>
              </w:rPr>
              <w:t xml:space="preserve"> Council</w:t>
            </w:r>
            <w:r w:rsidR="0056743E">
              <w:rPr>
                <w:iCs/>
              </w:rPr>
              <w:t>, and other interested parties.</w:t>
            </w:r>
            <w:r w:rsidR="00253B65">
              <w:rPr>
                <w:iCs/>
              </w:rPr>
              <w:t xml:space="preserve"> </w:t>
            </w:r>
          </w:p>
          <w:p w14:paraId="1218F4E5" w14:textId="6277BFAB" w:rsidR="00DB3C49" w:rsidRDefault="00DB3C49" w:rsidP="00DB3C49">
            <w:pPr>
              <w:pStyle w:val="Style1"/>
              <w:numPr>
                <w:ilvl w:val="0"/>
                <w:numId w:val="0"/>
              </w:numPr>
              <w:tabs>
                <w:tab w:val="clear" w:pos="432"/>
              </w:tabs>
              <w:ind w:left="601"/>
              <w:rPr>
                <w:iCs/>
              </w:rPr>
            </w:pPr>
          </w:p>
          <w:p w14:paraId="2700F217" w14:textId="77777777" w:rsidR="00DB3C49" w:rsidRDefault="00DB3C49" w:rsidP="00DB3C49">
            <w:pPr>
              <w:pStyle w:val="Style1"/>
              <w:numPr>
                <w:ilvl w:val="0"/>
                <w:numId w:val="0"/>
              </w:numPr>
              <w:tabs>
                <w:tab w:val="clear" w:pos="432"/>
              </w:tabs>
              <w:ind w:left="601"/>
              <w:rPr>
                <w:iCs/>
              </w:rPr>
            </w:pPr>
          </w:p>
          <w:p w14:paraId="454F85F7" w14:textId="70CACAA7" w:rsidR="00AE2BCA" w:rsidRPr="00AE2BCA" w:rsidRDefault="00AE2BCA" w:rsidP="0093025A">
            <w:pPr>
              <w:pStyle w:val="Style1"/>
              <w:numPr>
                <w:ilvl w:val="0"/>
                <w:numId w:val="0"/>
              </w:numPr>
              <w:tabs>
                <w:tab w:val="clear" w:pos="432"/>
              </w:tabs>
              <w:ind w:left="567" w:hanging="567"/>
              <w:rPr>
                <w:b/>
                <w:bCs/>
                <w:i/>
              </w:rPr>
            </w:pPr>
            <w:r w:rsidRPr="00AE2BCA">
              <w:rPr>
                <w:b/>
                <w:bCs/>
                <w:i/>
              </w:rPr>
              <w:lastRenderedPageBreak/>
              <w:t xml:space="preserve">       Level of the Application Route</w:t>
            </w:r>
          </w:p>
          <w:p w14:paraId="10257AF3" w14:textId="2612A8A3" w:rsidR="00511694" w:rsidRDefault="00511694" w:rsidP="00A068BB">
            <w:pPr>
              <w:pStyle w:val="Style1"/>
              <w:tabs>
                <w:tab w:val="clear" w:pos="432"/>
              </w:tabs>
              <w:ind w:left="601" w:hanging="567"/>
              <w:rPr>
                <w:iCs/>
              </w:rPr>
            </w:pPr>
            <w:r>
              <w:rPr>
                <w:iCs/>
              </w:rPr>
              <w:t>As to the submission that the level of the Application Route is physically higher than the surrounding land</w:t>
            </w:r>
            <w:r w:rsidR="009946A1">
              <w:rPr>
                <w:iCs/>
              </w:rPr>
              <w:t>, it is said by the County Council that</w:t>
            </w:r>
            <w:r>
              <w:rPr>
                <w:iCs/>
              </w:rPr>
              <w:t xml:space="preserve"> this </w:t>
            </w:r>
            <w:r w:rsidRPr="00176957">
              <w:t>aspect</w:t>
            </w:r>
            <w:r>
              <w:rPr>
                <w:iCs/>
              </w:rPr>
              <w:t xml:space="preserve"> has not been investigated due to the Covid-19 restrictions.  However, it is stated that this could only be interpreted that the landowner wished to ensure that the Application Route remained dryer, and more accessible </w:t>
            </w:r>
            <w:r w:rsidR="009946A1">
              <w:rPr>
                <w:iCs/>
              </w:rPr>
              <w:t xml:space="preserve">as part of </w:t>
            </w:r>
            <w:r w:rsidR="00FA50F0">
              <w:rPr>
                <w:iCs/>
              </w:rPr>
              <w:t xml:space="preserve">the requirement for private access to the </w:t>
            </w:r>
            <w:r w:rsidR="007D3A7E">
              <w:rPr>
                <w:iCs/>
              </w:rPr>
              <w:t>surrounding fields</w:t>
            </w:r>
            <w:r>
              <w:rPr>
                <w:iCs/>
              </w:rPr>
              <w:t xml:space="preserve">. This, so it is submitted by the Council, in itself cannot be interpreted to the effect that </w:t>
            </w:r>
            <w:r w:rsidR="00472B93">
              <w:rPr>
                <w:iCs/>
              </w:rPr>
              <w:t>the Application Route</w:t>
            </w:r>
            <w:r>
              <w:rPr>
                <w:iCs/>
              </w:rPr>
              <w:t xml:space="preserve"> was </w:t>
            </w:r>
            <w:r w:rsidR="00472B93">
              <w:rPr>
                <w:iCs/>
              </w:rPr>
              <w:t xml:space="preserve">therefore </w:t>
            </w:r>
            <w:r>
              <w:rPr>
                <w:iCs/>
              </w:rPr>
              <w:t xml:space="preserve">necessarily available for public use. </w:t>
            </w:r>
          </w:p>
          <w:p w14:paraId="08EA8782" w14:textId="5508B52D" w:rsidR="00511694" w:rsidRDefault="00511694" w:rsidP="00A068BB">
            <w:pPr>
              <w:pStyle w:val="Style1"/>
              <w:tabs>
                <w:tab w:val="clear" w:pos="432"/>
              </w:tabs>
              <w:ind w:left="601" w:hanging="567"/>
              <w:rPr>
                <w:iCs/>
              </w:rPr>
            </w:pPr>
            <w:r>
              <w:rPr>
                <w:iCs/>
              </w:rPr>
              <w:t>I reject this submission as having little relevance as to the determination of the status of Application Route</w:t>
            </w:r>
            <w:r w:rsidR="009F425A">
              <w:rPr>
                <w:iCs/>
              </w:rPr>
              <w:t>.</w:t>
            </w:r>
          </w:p>
          <w:p w14:paraId="037D27F8" w14:textId="06B6E7D7" w:rsidR="009F425A" w:rsidRPr="009F425A" w:rsidRDefault="009F425A" w:rsidP="00512678">
            <w:pPr>
              <w:pStyle w:val="Style1"/>
              <w:numPr>
                <w:ilvl w:val="0"/>
                <w:numId w:val="0"/>
              </w:numPr>
              <w:tabs>
                <w:tab w:val="clear" w:pos="432"/>
              </w:tabs>
              <w:ind w:left="567" w:hanging="567"/>
              <w:rPr>
                <w:b/>
                <w:bCs/>
                <w:i/>
              </w:rPr>
            </w:pPr>
            <w:r>
              <w:rPr>
                <w:b/>
                <w:bCs/>
                <w:i/>
              </w:rPr>
              <w:t xml:space="preserve">       </w:t>
            </w:r>
            <w:r w:rsidRPr="009F425A">
              <w:rPr>
                <w:b/>
                <w:bCs/>
                <w:i/>
              </w:rPr>
              <w:t>Direct Access</w:t>
            </w:r>
          </w:p>
          <w:p w14:paraId="285D47CA" w14:textId="31538ACB" w:rsidR="00511694" w:rsidRDefault="00A068BB" w:rsidP="00A068BB">
            <w:pPr>
              <w:pStyle w:val="Style1"/>
              <w:tabs>
                <w:tab w:val="clear" w:pos="432"/>
              </w:tabs>
              <w:ind w:left="601" w:hanging="567"/>
              <w:rPr>
                <w:iCs/>
              </w:rPr>
            </w:pPr>
            <w:r>
              <w:rPr>
                <w:iCs/>
              </w:rPr>
              <w:t>A</w:t>
            </w:r>
            <w:r w:rsidR="009F425A">
              <w:rPr>
                <w:iCs/>
              </w:rPr>
              <w:t xml:space="preserve"> further submission is made </w:t>
            </w:r>
            <w:r w:rsidR="00F31E9C">
              <w:rPr>
                <w:iCs/>
              </w:rPr>
              <w:t xml:space="preserve">by the Appellant to the effect that the </w:t>
            </w:r>
            <w:r w:rsidR="00511694">
              <w:rPr>
                <w:iCs/>
              </w:rPr>
              <w:t xml:space="preserve"> Application Route would have served as a direct access to Brompton township is rejected </w:t>
            </w:r>
            <w:r w:rsidR="00C9780E">
              <w:rPr>
                <w:iCs/>
              </w:rPr>
              <w:t xml:space="preserve">by the County Council </w:t>
            </w:r>
            <w:r w:rsidR="00511694">
              <w:rPr>
                <w:iCs/>
              </w:rPr>
              <w:t xml:space="preserve">for the reasons set out in paragraph 8.5 of the </w:t>
            </w:r>
            <w:r w:rsidR="00511694" w:rsidRPr="00176957">
              <w:t>Statement</w:t>
            </w:r>
            <w:r w:rsidR="00511694">
              <w:rPr>
                <w:iCs/>
              </w:rPr>
              <w:t xml:space="preserve"> of Reasons. Based upon the measurements set out, it is submitted that the effect that any use made of Scot Pit Lane would have to shorten journeys in fact would result in longer journeys.  </w:t>
            </w:r>
          </w:p>
          <w:p w14:paraId="170F319A" w14:textId="5F609E29" w:rsidR="00BE0DF8" w:rsidRDefault="008D48FA" w:rsidP="00A068BB">
            <w:pPr>
              <w:pStyle w:val="Style1"/>
              <w:tabs>
                <w:tab w:val="clear" w:pos="432"/>
              </w:tabs>
              <w:ind w:left="601" w:hanging="567"/>
            </w:pPr>
            <w:r>
              <w:t xml:space="preserve">Without </w:t>
            </w:r>
            <w:r w:rsidR="00FD5DCA">
              <w:t>being able</w:t>
            </w:r>
            <w:r>
              <w:t xml:space="preserve"> </w:t>
            </w:r>
            <w:r w:rsidR="0053154A">
              <w:t xml:space="preserve">to conduct </w:t>
            </w:r>
            <w:r>
              <w:t>a detailed physical assessment on site</w:t>
            </w:r>
            <w:r w:rsidR="0053154A">
              <w:t xml:space="preserve"> owing to Covid-19 restrictions, I do not propose to </w:t>
            </w:r>
            <w:r w:rsidR="00B93D01">
              <w:t>consider this point as part of the analyse</w:t>
            </w:r>
            <w:r w:rsidR="003A10C5">
              <w:t xml:space="preserve"> of this Decision.</w:t>
            </w:r>
          </w:p>
          <w:p w14:paraId="31E2FE40" w14:textId="55A56913" w:rsidR="00F52D89" w:rsidRDefault="7971C09F" w:rsidP="00A068BB">
            <w:pPr>
              <w:pStyle w:val="Style1"/>
              <w:numPr>
                <w:ilvl w:val="0"/>
                <w:numId w:val="0"/>
              </w:numPr>
              <w:tabs>
                <w:tab w:val="clear" w:pos="432"/>
              </w:tabs>
              <w:ind w:left="567"/>
              <w:rPr>
                <w:b/>
                <w:bCs/>
                <w:i/>
                <w:iCs/>
              </w:rPr>
            </w:pPr>
            <w:r w:rsidRPr="6C2DB232">
              <w:rPr>
                <w:b/>
                <w:bCs/>
                <w:i/>
                <w:iCs/>
              </w:rPr>
              <w:t>User Evidence</w:t>
            </w:r>
          </w:p>
          <w:p w14:paraId="41B5D1E2" w14:textId="727B63A3" w:rsidR="00F52D89" w:rsidRPr="001021CE" w:rsidRDefault="001021CE" w:rsidP="001021CE">
            <w:pPr>
              <w:pStyle w:val="Style1"/>
              <w:tabs>
                <w:tab w:val="clear" w:pos="432"/>
              </w:tabs>
              <w:ind w:left="601" w:hanging="567"/>
            </w:pPr>
            <w:r>
              <w:t xml:space="preserve">In relation to user evidence </w:t>
            </w:r>
            <w:r w:rsidRPr="001021CE">
              <w:t>the County Council states in its letter dated 17 November 2020</w:t>
            </w:r>
            <w:r>
              <w:t xml:space="preserve"> that </w:t>
            </w:r>
            <w:r w:rsidRPr="001021CE">
              <w:t>there has not been any</w:t>
            </w:r>
            <w:r>
              <w:t xml:space="preserve"> </w:t>
            </w:r>
            <w:r w:rsidRPr="001021CE">
              <w:t xml:space="preserve">change in circumstances </w:t>
            </w:r>
            <w:r>
              <w:t>such that th</w:t>
            </w:r>
            <w:r w:rsidRPr="001021CE">
              <w:t>e</w:t>
            </w:r>
            <w:r>
              <w:t xml:space="preserve"> </w:t>
            </w:r>
            <w:r w:rsidRPr="001021CE">
              <w:t xml:space="preserve">user evidence </w:t>
            </w:r>
            <w:r>
              <w:t>can b</w:t>
            </w:r>
            <w:r w:rsidRPr="001021CE">
              <w:t xml:space="preserve">e relied upon in this Appeal.  I </w:t>
            </w:r>
            <w:r>
              <w:t xml:space="preserve">have not dealt with the user evidence in detail but consider that at face value the evidence, </w:t>
            </w:r>
            <w:r w:rsidR="002E0109">
              <w:t xml:space="preserve">some of which dates </w:t>
            </w:r>
            <w:r>
              <w:t xml:space="preserve">back to </w:t>
            </w:r>
            <w:r w:rsidR="002E0109">
              <w:t xml:space="preserve">the 1920’s, </w:t>
            </w:r>
            <w:r>
              <w:t xml:space="preserve">is supportive of </w:t>
            </w:r>
            <w:r w:rsidRPr="001021CE">
              <w:t>th</w:t>
            </w:r>
            <w:r>
              <w:t>e documentary evidence in s</w:t>
            </w:r>
            <w:r w:rsidRPr="001021CE">
              <w:t>h</w:t>
            </w:r>
            <w:r>
              <w:t xml:space="preserve">owing continued use over </w:t>
            </w:r>
            <w:r w:rsidRPr="001021CE">
              <w:t>t</w:t>
            </w:r>
            <w:r>
              <w:t xml:space="preserve">he claimed </w:t>
            </w:r>
            <w:r w:rsidRPr="001021CE">
              <w:t>ro</w:t>
            </w:r>
            <w:r>
              <w:t>u</w:t>
            </w:r>
            <w:r w:rsidRPr="001021CE">
              <w:t>t</w:t>
            </w:r>
            <w:r>
              <w:t>e</w:t>
            </w:r>
            <w:r w:rsidRPr="001021CE">
              <w:t>.</w:t>
            </w:r>
          </w:p>
          <w:p w14:paraId="08FE23CB" w14:textId="5F6BB2C3" w:rsidR="00257B2F" w:rsidRPr="00181729" w:rsidRDefault="00257B2F" w:rsidP="0056743E">
            <w:pPr>
              <w:pStyle w:val="Style1"/>
              <w:numPr>
                <w:ilvl w:val="0"/>
                <w:numId w:val="0"/>
              </w:numPr>
              <w:tabs>
                <w:tab w:val="clear" w:pos="432"/>
              </w:tabs>
              <w:ind w:left="567"/>
              <w:rPr>
                <w:b/>
                <w:bCs/>
                <w:i/>
                <w:iCs/>
              </w:rPr>
            </w:pPr>
            <w:r w:rsidRPr="00181729">
              <w:rPr>
                <w:b/>
                <w:bCs/>
                <w:i/>
                <w:iCs/>
              </w:rPr>
              <w:t xml:space="preserve">Other Interested Parties </w:t>
            </w:r>
          </w:p>
          <w:p w14:paraId="70368D18" w14:textId="1663A1A2" w:rsidR="00B26308" w:rsidRDefault="00257B2F" w:rsidP="00A068BB">
            <w:pPr>
              <w:pStyle w:val="Style1"/>
              <w:tabs>
                <w:tab w:val="clear" w:pos="432"/>
              </w:tabs>
              <w:ind w:left="601" w:hanging="567"/>
              <w:rPr>
                <w:iCs/>
              </w:rPr>
            </w:pPr>
            <w:r w:rsidRPr="00640F74">
              <w:rPr>
                <w:iCs/>
              </w:rPr>
              <w:t xml:space="preserve">Letters of Objection have also been received from Mr T Howard, Mr Mark Corner, </w:t>
            </w:r>
            <w:r w:rsidR="000D1A4C" w:rsidRPr="00640F74">
              <w:rPr>
                <w:iCs/>
              </w:rPr>
              <w:t xml:space="preserve">and </w:t>
            </w:r>
            <w:r w:rsidRPr="00640F74">
              <w:rPr>
                <w:iCs/>
              </w:rPr>
              <w:t xml:space="preserve">Ms Gill Evans, together with a detailed letter from Mr Paul Langthorne, who lives at Crawford Grange, Brompton.  Mr Langthorne makes specific and detailed reference to the Brompton Tithe Maps and Schedules dated 1839 to demonstrate that Scot Pit Lane is not included as a public highway.  He also makes reference to the various other points that have already been raised by the County Council relating to the fact that the Application Route is gated at both ends, and that there is evidence of the Dropped Kerb which, so it is said, provides evidence that it is not a public roadway.  </w:t>
            </w:r>
          </w:p>
          <w:p w14:paraId="5B857698" w14:textId="1B07404E" w:rsidR="00B26308" w:rsidRDefault="00257B2F" w:rsidP="00A068BB">
            <w:pPr>
              <w:pStyle w:val="Style1"/>
              <w:tabs>
                <w:tab w:val="clear" w:pos="432"/>
              </w:tabs>
              <w:ind w:left="601" w:hanging="567"/>
              <w:rPr>
                <w:iCs/>
              </w:rPr>
            </w:pPr>
            <w:r>
              <w:rPr>
                <w:iCs/>
              </w:rPr>
              <w:t xml:space="preserve">Issue is also taken as to the mapping evidence relied upon by the Appellant.  Mr Langthorne rejects such evidence as not being supportive of the claim that the Application Route is, and historically has been, a public highway. He submits that such evidence is insufficient for such a finding to be made.  He </w:t>
            </w:r>
            <w:r>
              <w:rPr>
                <w:iCs/>
              </w:rPr>
              <w:lastRenderedPageBreak/>
              <w:t xml:space="preserve">also  relies upon the fact that the original Committee decision </w:t>
            </w:r>
            <w:r w:rsidR="000D1A4C">
              <w:rPr>
                <w:iCs/>
              </w:rPr>
              <w:t xml:space="preserve">of the County Council </w:t>
            </w:r>
            <w:r>
              <w:rPr>
                <w:iCs/>
              </w:rPr>
              <w:t>in 2004 referred to the fact that Scot Pit Lane was not shown as excluded from the Finance Act 1910 Assessment.  Mr Langthorne submits that if it had been shown as excluded, then this Assessment would have indicated that Scot Pit Lane at the time was believed to be a public way maintainable at public expense. Therefore, in such circumstances, the implication to be made is that it was in private ownership at the time.</w:t>
            </w:r>
          </w:p>
          <w:p w14:paraId="725A6578" w14:textId="2A1831A2" w:rsidR="00A1629D" w:rsidRPr="00A068BB" w:rsidRDefault="006E0DE3" w:rsidP="00A068BB">
            <w:pPr>
              <w:pStyle w:val="Style1"/>
              <w:tabs>
                <w:tab w:val="clear" w:pos="432"/>
              </w:tabs>
              <w:ind w:left="601" w:hanging="567"/>
              <w:rPr>
                <w:iCs/>
              </w:rPr>
            </w:pPr>
            <w:r>
              <w:rPr>
                <w:iCs/>
              </w:rPr>
              <w:t xml:space="preserve">I find that these submissions </w:t>
            </w:r>
            <w:r w:rsidR="00315E70">
              <w:rPr>
                <w:iCs/>
              </w:rPr>
              <w:t xml:space="preserve">do not take the matter </w:t>
            </w:r>
            <w:r w:rsidR="00DA7FBE">
              <w:rPr>
                <w:iCs/>
              </w:rPr>
              <w:t xml:space="preserve">much </w:t>
            </w:r>
            <w:r w:rsidR="00315E70">
              <w:rPr>
                <w:iCs/>
              </w:rPr>
              <w:t xml:space="preserve">further </w:t>
            </w:r>
            <w:r w:rsidR="00DA7FBE">
              <w:rPr>
                <w:iCs/>
              </w:rPr>
              <w:t xml:space="preserve">for the reason </w:t>
            </w:r>
            <w:r w:rsidR="00315E70">
              <w:rPr>
                <w:iCs/>
              </w:rPr>
              <w:t>that they broadly repeat the submissions made by the County Coun</w:t>
            </w:r>
            <w:r w:rsidR="00656EEA">
              <w:rPr>
                <w:iCs/>
              </w:rPr>
              <w:t>cil</w:t>
            </w:r>
            <w:r w:rsidR="00315E70">
              <w:rPr>
                <w:iCs/>
              </w:rPr>
              <w:t xml:space="preserve">. </w:t>
            </w:r>
            <w:r w:rsidR="00656EEA">
              <w:rPr>
                <w:iCs/>
              </w:rPr>
              <w:t>These I have alread</w:t>
            </w:r>
            <w:r w:rsidR="00050723">
              <w:rPr>
                <w:iCs/>
              </w:rPr>
              <w:t>y considered</w:t>
            </w:r>
            <w:r w:rsidR="00656EEA">
              <w:rPr>
                <w:iCs/>
              </w:rPr>
              <w:t xml:space="preserve"> in my findings, </w:t>
            </w:r>
            <w:r w:rsidR="006242C3">
              <w:rPr>
                <w:iCs/>
              </w:rPr>
              <w:t>a</w:t>
            </w:r>
            <w:r w:rsidR="00656EEA">
              <w:rPr>
                <w:iCs/>
              </w:rPr>
              <w:t>bove</w:t>
            </w:r>
            <w:r w:rsidR="00A068BB">
              <w:rPr>
                <w:iCs/>
              </w:rPr>
              <w:t>.</w:t>
            </w:r>
          </w:p>
        </w:tc>
      </w:tr>
      <w:tr w:rsidR="00A1629D" w14:paraId="75F995F4" w14:textId="77777777" w:rsidTr="6C2DB232">
        <w:tc>
          <w:tcPr>
            <w:tcW w:w="9520" w:type="dxa"/>
            <w:shd w:val="clear" w:color="auto" w:fill="auto"/>
          </w:tcPr>
          <w:p w14:paraId="6EE583AE" w14:textId="77777777" w:rsidR="00A1629D" w:rsidRPr="003F3BD6" w:rsidRDefault="00A1629D" w:rsidP="00222FF1">
            <w:pPr>
              <w:pStyle w:val="Style1"/>
              <w:numPr>
                <w:ilvl w:val="0"/>
                <w:numId w:val="0"/>
              </w:numPr>
              <w:tabs>
                <w:tab w:val="clear" w:pos="432"/>
              </w:tabs>
              <w:spacing w:before="0"/>
              <w:ind w:left="601"/>
              <w:rPr>
                <w:i/>
                <w:iCs/>
                <w:szCs w:val="22"/>
              </w:rPr>
            </w:pPr>
          </w:p>
        </w:tc>
      </w:tr>
      <w:tr w:rsidR="00A1629D" w14:paraId="0FFB5499" w14:textId="77777777" w:rsidTr="6C2DB232">
        <w:tc>
          <w:tcPr>
            <w:tcW w:w="9520" w:type="dxa"/>
            <w:shd w:val="clear" w:color="auto" w:fill="auto"/>
          </w:tcPr>
          <w:p w14:paraId="67B06FC3" w14:textId="77777777" w:rsidR="00A1629D" w:rsidRPr="00BB1F4C" w:rsidRDefault="00A1629D" w:rsidP="00DF552B">
            <w:pPr>
              <w:spacing w:before="9"/>
              <w:rPr>
                <w:rFonts w:eastAsia="Arial" w:cs="Arial"/>
                <w:b/>
                <w:bCs/>
                <w:szCs w:val="22"/>
              </w:rPr>
            </w:pPr>
            <w:r w:rsidRPr="00BB1F4C">
              <w:rPr>
                <w:rFonts w:eastAsia="Arial" w:cs="Arial"/>
                <w:b/>
                <w:bCs/>
                <w:szCs w:val="22"/>
              </w:rPr>
              <w:t>SUMMARY</w:t>
            </w:r>
          </w:p>
          <w:p w14:paraId="476245AA" w14:textId="5F09F506" w:rsidR="002B5486" w:rsidRDefault="00A1629D" w:rsidP="00A068BB">
            <w:pPr>
              <w:pStyle w:val="Style1"/>
              <w:tabs>
                <w:tab w:val="clear" w:pos="432"/>
              </w:tabs>
              <w:ind w:left="601" w:hanging="567"/>
              <w:rPr>
                <w:szCs w:val="22"/>
              </w:rPr>
            </w:pPr>
            <w:r w:rsidRPr="00D90F22">
              <w:rPr>
                <w:szCs w:val="22"/>
              </w:rPr>
              <w:t xml:space="preserve">Drawing together the various strands, and taking into account the competing submissions, I remind myself that the test to be applied under Test B is not whether the evidence establishes that a right of way exists, but whether a right of way can from the </w:t>
            </w:r>
            <w:r w:rsidR="00BC35C5">
              <w:rPr>
                <w:szCs w:val="22"/>
              </w:rPr>
              <w:t>available</w:t>
            </w:r>
            <w:r w:rsidR="00BC35C5" w:rsidRPr="00D90F22">
              <w:rPr>
                <w:szCs w:val="22"/>
              </w:rPr>
              <w:t xml:space="preserve"> </w:t>
            </w:r>
            <w:r w:rsidRPr="00D90F22">
              <w:rPr>
                <w:szCs w:val="22"/>
              </w:rPr>
              <w:t>evidence reasonably be alleged to exist. If it can, the authority must make the DMMO notwithstanding that it may not consider that the evidence is sufficient to establish that the right of way in fact does exist.</w:t>
            </w:r>
          </w:p>
          <w:p w14:paraId="674E6831" w14:textId="512B7123" w:rsidR="00BC35C5" w:rsidRDefault="00A068BB" w:rsidP="00A068BB">
            <w:pPr>
              <w:pStyle w:val="Style1"/>
              <w:tabs>
                <w:tab w:val="clear" w:pos="432"/>
              </w:tabs>
              <w:ind w:left="601" w:hanging="567"/>
              <w:rPr>
                <w:szCs w:val="22"/>
              </w:rPr>
            </w:pPr>
            <w:r>
              <w:rPr>
                <w:szCs w:val="22"/>
              </w:rPr>
              <w:t>I</w:t>
            </w:r>
            <w:r w:rsidR="00BC35C5">
              <w:rPr>
                <w:szCs w:val="22"/>
              </w:rPr>
              <w:t xml:space="preserve">n </w:t>
            </w:r>
            <w:r w:rsidR="00BC35C5" w:rsidRPr="00A068BB">
              <w:rPr>
                <w:szCs w:val="22"/>
              </w:rPr>
              <w:t>my</w:t>
            </w:r>
            <w:r w:rsidR="00BC35C5">
              <w:rPr>
                <w:szCs w:val="22"/>
              </w:rPr>
              <w:t xml:space="preserve"> judgment</w:t>
            </w:r>
            <w:r w:rsidR="00C45F47">
              <w:rPr>
                <w:szCs w:val="22"/>
              </w:rPr>
              <w:t>,</w:t>
            </w:r>
            <w:r w:rsidR="00BC35C5">
              <w:rPr>
                <w:szCs w:val="22"/>
              </w:rPr>
              <w:t xml:space="preserve"> </w:t>
            </w:r>
            <w:r w:rsidR="004E5CDB">
              <w:rPr>
                <w:szCs w:val="22"/>
              </w:rPr>
              <w:t xml:space="preserve">for the purposes of the Appeal </w:t>
            </w:r>
            <w:r w:rsidR="00BC35C5">
              <w:rPr>
                <w:szCs w:val="22"/>
              </w:rPr>
              <w:t>there is sufficien</w:t>
            </w:r>
            <w:r w:rsidR="004E5CDB">
              <w:rPr>
                <w:szCs w:val="22"/>
              </w:rPr>
              <w:t>t available evidence</w:t>
            </w:r>
            <w:r w:rsidR="00BC35C5">
              <w:rPr>
                <w:szCs w:val="22"/>
              </w:rPr>
              <w:t xml:space="preserve"> </w:t>
            </w:r>
            <w:r w:rsidR="00C45F47">
              <w:rPr>
                <w:szCs w:val="22"/>
              </w:rPr>
              <w:t xml:space="preserve">of the historical existence of a long-standing dedicated physical route </w:t>
            </w:r>
            <w:r w:rsidR="00BC35C5">
              <w:rPr>
                <w:szCs w:val="22"/>
              </w:rPr>
              <w:t xml:space="preserve">to support the proposition </w:t>
            </w:r>
            <w:r w:rsidR="00E34CEA">
              <w:rPr>
                <w:szCs w:val="22"/>
              </w:rPr>
              <w:t xml:space="preserve">that a </w:t>
            </w:r>
            <w:r w:rsidR="00C45F47">
              <w:rPr>
                <w:szCs w:val="22"/>
              </w:rPr>
              <w:t xml:space="preserve">public </w:t>
            </w:r>
            <w:r w:rsidR="00E34CEA">
              <w:rPr>
                <w:szCs w:val="22"/>
              </w:rPr>
              <w:t>right of way</w:t>
            </w:r>
            <w:r w:rsidR="00C45F47">
              <w:rPr>
                <w:szCs w:val="22"/>
              </w:rPr>
              <w:t xml:space="preserve"> on the ground along the line of the Application Route </w:t>
            </w:r>
            <w:r w:rsidR="00E34CEA">
              <w:rPr>
                <w:szCs w:val="22"/>
              </w:rPr>
              <w:t xml:space="preserve">can reasonably be alleged </w:t>
            </w:r>
            <w:r w:rsidR="00C45F47">
              <w:rPr>
                <w:szCs w:val="22"/>
              </w:rPr>
              <w:t>to have arisen</w:t>
            </w:r>
            <w:r w:rsidR="00E34CEA">
              <w:rPr>
                <w:szCs w:val="22"/>
              </w:rPr>
              <w:t xml:space="preserve"> </w:t>
            </w:r>
            <w:r w:rsidR="00DB30F4">
              <w:rPr>
                <w:szCs w:val="22"/>
              </w:rPr>
              <w:t>for the use of the public</w:t>
            </w:r>
            <w:r w:rsidR="00BC35C5">
              <w:rPr>
                <w:szCs w:val="22"/>
              </w:rPr>
              <w:t xml:space="preserve">. </w:t>
            </w:r>
          </w:p>
          <w:p w14:paraId="126EEA4F" w14:textId="0E7DA70A" w:rsidR="00BC35C5" w:rsidRPr="00EE0C50" w:rsidRDefault="00BC35C5" w:rsidP="00A068BB">
            <w:pPr>
              <w:pStyle w:val="Style1"/>
              <w:tabs>
                <w:tab w:val="clear" w:pos="432"/>
              </w:tabs>
              <w:ind w:left="601" w:hanging="567"/>
              <w:rPr>
                <w:szCs w:val="22"/>
              </w:rPr>
            </w:pPr>
            <w:r w:rsidRPr="00A068BB">
              <w:rPr>
                <w:szCs w:val="22"/>
              </w:rPr>
              <w:t>My</w:t>
            </w:r>
            <w:r w:rsidRPr="00EE0C50">
              <w:rPr>
                <w:szCs w:val="22"/>
              </w:rPr>
              <w:t xml:space="preserve"> reasons are as follows:</w:t>
            </w:r>
          </w:p>
          <w:p w14:paraId="18E546B7" w14:textId="68B5FD24" w:rsidR="00DB30F4" w:rsidRDefault="00AB1423" w:rsidP="00461719">
            <w:pPr>
              <w:pStyle w:val="Style1"/>
              <w:numPr>
                <w:ilvl w:val="0"/>
                <w:numId w:val="6"/>
              </w:numPr>
              <w:tabs>
                <w:tab w:val="clear" w:pos="432"/>
              </w:tabs>
              <w:rPr>
                <w:szCs w:val="22"/>
              </w:rPr>
            </w:pPr>
            <w:r>
              <w:rPr>
                <w:szCs w:val="22"/>
              </w:rPr>
              <w:t>W</w:t>
            </w:r>
            <w:r w:rsidR="00010A09">
              <w:rPr>
                <w:szCs w:val="22"/>
              </w:rPr>
              <w:t xml:space="preserve">ith </w:t>
            </w:r>
            <w:r>
              <w:rPr>
                <w:szCs w:val="22"/>
              </w:rPr>
              <w:t>three</w:t>
            </w:r>
            <w:r w:rsidR="00010A09">
              <w:rPr>
                <w:szCs w:val="22"/>
              </w:rPr>
              <w:t xml:space="preserve"> exceptions</w:t>
            </w:r>
            <w:r>
              <w:rPr>
                <w:szCs w:val="22"/>
              </w:rPr>
              <w:t>,</w:t>
            </w:r>
            <w:r w:rsidR="00010A09">
              <w:rPr>
                <w:szCs w:val="22"/>
              </w:rPr>
              <w:t xml:space="preserve"> t</w:t>
            </w:r>
            <w:r w:rsidR="00BC35C5">
              <w:rPr>
                <w:szCs w:val="22"/>
              </w:rPr>
              <w:t xml:space="preserve">he balance of the historical mapping evidence </w:t>
            </w:r>
            <w:r w:rsidR="00010A09">
              <w:rPr>
                <w:szCs w:val="22"/>
              </w:rPr>
              <w:t xml:space="preserve">on successive maps </w:t>
            </w:r>
            <w:r w:rsidR="00BC35C5">
              <w:rPr>
                <w:szCs w:val="22"/>
              </w:rPr>
              <w:t xml:space="preserve">since at least 1765 </w:t>
            </w:r>
            <w:r w:rsidR="00010A09">
              <w:rPr>
                <w:szCs w:val="22"/>
              </w:rPr>
              <w:t>until the most recent edition of the OS map,</w:t>
            </w:r>
            <w:r w:rsidR="008245A1">
              <w:rPr>
                <w:szCs w:val="22"/>
              </w:rPr>
              <w:t xml:space="preserve"> together with</w:t>
            </w:r>
            <w:r w:rsidR="00E34CEA">
              <w:rPr>
                <w:szCs w:val="22"/>
              </w:rPr>
              <w:t xml:space="preserve"> other documentary evidence</w:t>
            </w:r>
            <w:r w:rsidR="008245A1">
              <w:rPr>
                <w:szCs w:val="22"/>
              </w:rPr>
              <w:t>,</w:t>
            </w:r>
            <w:r w:rsidR="00E34CEA">
              <w:rPr>
                <w:szCs w:val="22"/>
              </w:rPr>
              <w:t xml:space="preserve"> </w:t>
            </w:r>
            <w:r w:rsidR="008245A1">
              <w:rPr>
                <w:szCs w:val="22"/>
              </w:rPr>
              <w:t xml:space="preserve">is strongly suggestive of the fact that </w:t>
            </w:r>
            <w:r w:rsidR="00BC35C5">
              <w:rPr>
                <w:szCs w:val="22"/>
              </w:rPr>
              <w:t>there has been a through route</w:t>
            </w:r>
            <w:r w:rsidR="008245A1">
              <w:rPr>
                <w:szCs w:val="22"/>
              </w:rPr>
              <w:t xml:space="preserve"> dedicated for the use of the public</w:t>
            </w:r>
            <w:r w:rsidR="00BC35C5">
              <w:rPr>
                <w:szCs w:val="22"/>
              </w:rPr>
              <w:t xml:space="preserve"> along the Application Route</w:t>
            </w:r>
            <w:r w:rsidR="00DB30F4">
              <w:rPr>
                <w:szCs w:val="22"/>
              </w:rPr>
              <w:t>;</w:t>
            </w:r>
          </w:p>
          <w:p w14:paraId="6C3CA854" w14:textId="5E602EF0" w:rsidR="00DB30F4" w:rsidRDefault="008245A1" w:rsidP="00461719">
            <w:pPr>
              <w:pStyle w:val="Style1"/>
              <w:numPr>
                <w:ilvl w:val="0"/>
                <w:numId w:val="6"/>
              </w:numPr>
              <w:tabs>
                <w:tab w:val="clear" w:pos="432"/>
              </w:tabs>
              <w:rPr>
                <w:szCs w:val="22"/>
              </w:rPr>
            </w:pPr>
            <w:r>
              <w:rPr>
                <w:szCs w:val="22"/>
              </w:rPr>
              <w:t>Further, a</w:t>
            </w:r>
            <w:r w:rsidR="00684353">
              <w:rPr>
                <w:szCs w:val="22"/>
              </w:rPr>
              <w:t xml:space="preserve">lthough it is not conclusive evidence in itself, </w:t>
            </w:r>
            <w:r w:rsidR="00DB30F4">
              <w:rPr>
                <w:szCs w:val="22"/>
              </w:rPr>
              <w:t>I consider the fact that the Application Route is a</w:t>
            </w:r>
            <w:r w:rsidR="00684353">
              <w:rPr>
                <w:szCs w:val="22"/>
              </w:rPr>
              <w:t xml:space="preserve"> </w:t>
            </w:r>
            <w:r>
              <w:rPr>
                <w:szCs w:val="22"/>
              </w:rPr>
              <w:t>lane</w:t>
            </w:r>
            <w:r w:rsidR="00DB30F4">
              <w:rPr>
                <w:szCs w:val="22"/>
              </w:rPr>
              <w:t xml:space="preserve"> </w:t>
            </w:r>
            <w:r w:rsidR="00684353">
              <w:rPr>
                <w:szCs w:val="22"/>
              </w:rPr>
              <w:t xml:space="preserve">identified within the local community by name </w:t>
            </w:r>
            <w:r w:rsidR="00F759F3">
              <w:rPr>
                <w:szCs w:val="22"/>
              </w:rPr>
              <w:t>i.e.,</w:t>
            </w:r>
            <w:r>
              <w:rPr>
                <w:szCs w:val="22"/>
              </w:rPr>
              <w:t>’</w:t>
            </w:r>
            <w:r w:rsidR="00DB30F4">
              <w:rPr>
                <w:szCs w:val="22"/>
              </w:rPr>
              <w:t xml:space="preserve"> Scot Pit Lane</w:t>
            </w:r>
            <w:r>
              <w:rPr>
                <w:szCs w:val="22"/>
              </w:rPr>
              <w:t>’</w:t>
            </w:r>
            <w:r w:rsidR="00684353">
              <w:rPr>
                <w:szCs w:val="22"/>
              </w:rPr>
              <w:t xml:space="preserve"> </w:t>
            </w:r>
            <w:r w:rsidR="00DB30F4">
              <w:rPr>
                <w:szCs w:val="22"/>
              </w:rPr>
              <w:t xml:space="preserve">is </w:t>
            </w:r>
            <w:r>
              <w:rPr>
                <w:szCs w:val="22"/>
              </w:rPr>
              <w:t xml:space="preserve">also </w:t>
            </w:r>
            <w:r w:rsidR="00DB30F4">
              <w:rPr>
                <w:szCs w:val="22"/>
              </w:rPr>
              <w:t xml:space="preserve">a matter of </w:t>
            </w:r>
            <w:r w:rsidR="00684353">
              <w:rPr>
                <w:szCs w:val="22"/>
              </w:rPr>
              <w:t xml:space="preserve">some </w:t>
            </w:r>
            <w:r w:rsidR="00DB30F4">
              <w:rPr>
                <w:szCs w:val="22"/>
              </w:rPr>
              <w:t>significance</w:t>
            </w:r>
            <w:r w:rsidR="00684353">
              <w:rPr>
                <w:szCs w:val="22"/>
              </w:rPr>
              <w:t>;</w:t>
            </w:r>
            <w:r w:rsidR="00DB30F4">
              <w:rPr>
                <w:szCs w:val="22"/>
              </w:rPr>
              <w:t xml:space="preserve"> </w:t>
            </w:r>
          </w:p>
          <w:p w14:paraId="498F3799" w14:textId="32A9C674" w:rsidR="00684353" w:rsidRDefault="00684353" w:rsidP="00461719">
            <w:pPr>
              <w:pStyle w:val="Style1"/>
              <w:numPr>
                <w:ilvl w:val="0"/>
                <w:numId w:val="6"/>
              </w:numPr>
              <w:tabs>
                <w:tab w:val="clear" w:pos="432"/>
              </w:tabs>
              <w:rPr>
                <w:szCs w:val="22"/>
              </w:rPr>
            </w:pPr>
            <w:r>
              <w:rPr>
                <w:szCs w:val="22"/>
              </w:rPr>
              <w:t xml:space="preserve">The fact that the County Council acknowledges that the mapping evidence has consistently depicted </w:t>
            </w:r>
            <w:r w:rsidR="008245A1">
              <w:rPr>
                <w:szCs w:val="22"/>
              </w:rPr>
              <w:t>the</w:t>
            </w:r>
            <w:r>
              <w:rPr>
                <w:szCs w:val="22"/>
              </w:rPr>
              <w:t xml:space="preserve"> existence</w:t>
            </w:r>
            <w:r w:rsidR="008245A1">
              <w:rPr>
                <w:szCs w:val="22"/>
              </w:rPr>
              <w:t xml:space="preserve"> of the Application Route</w:t>
            </w:r>
            <w:r w:rsidR="00AB1423">
              <w:rPr>
                <w:szCs w:val="22"/>
              </w:rPr>
              <w:t>,</w:t>
            </w:r>
            <w:r>
              <w:rPr>
                <w:szCs w:val="22"/>
              </w:rPr>
              <w:t xml:space="preserve"> and </w:t>
            </w:r>
            <w:r w:rsidR="00AB1423">
              <w:rPr>
                <w:szCs w:val="22"/>
              </w:rPr>
              <w:t>that</w:t>
            </w:r>
            <w:r>
              <w:rPr>
                <w:szCs w:val="22"/>
              </w:rPr>
              <w:t xml:space="preserve"> there is no dispute that </w:t>
            </w:r>
            <w:r w:rsidR="008245A1">
              <w:rPr>
                <w:szCs w:val="22"/>
              </w:rPr>
              <w:t>it</w:t>
            </w:r>
            <w:r>
              <w:rPr>
                <w:szCs w:val="22"/>
              </w:rPr>
              <w:t xml:space="preserve"> exists </w:t>
            </w:r>
            <w:r w:rsidR="008245A1">
              <w:rPr>
                <w:szCs w:val="22"/>
              </w:rPr>
              <w:t xml:space="preserve">as a way </w:t>
            </w:r>
            <w:r>
              <w:rPr>
                <w:szCs w:val="22"/>
              </w:rPr>
              <w:t>on the ground</w:t>
            </w:r>
            <w:r w:rsidR="00AB1423">
              <w:rPr>
                <w:szCs w:val="22"/>
              </w:rPr>
              <w:t>,</w:t>
            </w:r>
            <w:r>
              <w:rPr>
                <w:szCs w:val="22"/>
              </w:rPr>
              <w:t xml:space="preserve"> is also of some significance;  </w:t>
            </w:r>
          </w:p>
          <w:p w14:paraId="4FB00BCA" w14:textId="6C2E1A2F" w:rsidR="00BC35C5" w:rsidRDefault="00684353" w:rsidP="00461719">
            <w:pPr>
              <w:pStyle w:val="Style1"/>
              <w:numPr>
                <w:ilvl w:val="0"/>
                <w:numId w:val="6"/>
              </w:numPr>
              <w:tabs>
                <w:tab w:val="clear" w:pos="432"/>
              </w:tabs>
              <w:rPr>
                <w:szCs w:val="22"/>
              </w:rPr>
            </w:pPr>
            <w:r>
              <w:rPr>
                <w:szCs w:val="22"/>
              </w:rPr>
              <w:t xml:space="preserve">I do not accept the </w:t>
            </w:r>
            <w:r w:rsidR="00010A09">
              <w:rPr>
                <w:szCs w:val="22"/>
              </w:rPr>
              <w:t xml:space="preserve">significance of the apparent </w:t>
            </w:r>
            <w:r>
              <w:rPr>
                <w:szCs w:val="22"/>
              </w:rPr>
              <w:t xml:space="preserve">depiction </w:t>
            </w:r>
            <w:r w:rsidR="00010A09">
              <w:rPr>
                <w:szCs w:val="22"/>
              </w:rPr>
              <w:t xml:space="preserve">of gated ends to the Application Route </w:t>
            </w:r>
            <w:r w:rsidR="008245A1">
              <w:rPr>
                <w:szCs w:val="22"/>
              </w:rPr>
              <w:t xml:space="preserve">on the maps </w:t>
            </w:r>
            <w:r w:rsidR="00010A09">
              <w:rPr>
                <w:szCs w:val="22"/>
              </w:rPr>
              <w:t xml:space="preserve">as demonstrating the lack of public access. There are many public routes throughout England and Wales which are gated, the purpose of to prevent straying animals; </w:t>
            </w:r>
          </w:p>
          <w:p w14:paraId="066880D3" w14:textId="209EC912" w:rsidR="00010A09" w:rsidRDefault="00AB1423" w:rsidP="00461719">
            <w:pPr>
              <w:pStyle w:val="Style1"/>
              <w:numPr>
                <w:ilvl w:val="0"/>
                <w:numId w:val="6"/>
              </w:numPr>
              <w:tabs>
                <w:tab w:val="clear" w:pos="432"/>
              </w:tabs>
              <w:rPr>
                <w:szCs w:val="22"/>
              </w:rPr>
            </w:pPr>
            <w:r>
              <w:rPr>
                <w:szCs w:val="22"/>
              </w:rPr>
              <w:t>I also do not accept the challenges made by the County Council to the accuracy of the evidence provided by the 1809 Quarter Sessions Record, or the 1839 Tithe Map for Brompton;</w:t>
            </w:r>
          </w:p>
          <w:p w14:paraId="33598C53" w14:textId="553C14CC" w:rsidR="00AB1423" w:rsidRPr="008245A1" w:rsidRDefault="00AB1423" w:rsidP="00461719">
            <w:pPr>
              <w:pStyle w:val="Style1"/>
              <w:numPr>
                <w:ilvl w:val="0"/>
                <w:numId w:val="6"/>
              </w:numPr>
              <w:tabs>
                <w:tab w:val="clear" w:pos="432"/>
              </w:tabs>
              <w:rPr>
                <w:rFonts w:ascii="Monotype Corsiva" w:hAnsi="Monotype Corsiva"/>
                <w:sz w:val="36"/>
                <w:szCs w:val="36"/>
              </w:rPr>
            </w:pPr>
            <w:r>
              <w:rPr>
                <w:szCs w:val="22"/>
              </w:rPr>
              <w:lastRenderedPageBreak/>
              <w:t xml:space="preserve">I </w:t>
            </w:r>
            <w:r w:rsidR="008245A1">
              <w:rPr>
                <w:szCs w:val="22"/>
              </w:rPr>
              <w:t xml:space="preserve">further reject the suggestion that the Dropped Kerb provides any or any sufficient evidence that the Application  Route is a private way. In fact, I </w:t>
            </w:r>
            <w:r>
              <w:rPr>
                <w:szCs w:val="22"/>
              </w:rPr>
              <w:t xml:space="preserve">find that the evidence of the </w:t>
            </w:r>
            <w:r w:rsidR="008245A1">
              <w:rPr>
                <w:szCs w:val="22"/>
              </w:rPr>
              <w:t>D</w:t>
            </w:r>
            <w:r>
              <w:rPr>
                <w:szCs w:val="22"/>
              </w:rPr>
              <w:t xml:space="preserve">ropped </w:t>
            </w:r>
            <w:r w:rsidR="008245A1">
              <w:rPr>
                <w:szCs w:val="22"/>
              </w:rPr>
              <w:t>K</w:t>
            </w:r>
            <w:r>
              <w:rPr>
                <w:szCs w:val="22"/>
              </w:rPr>
              <w:t xml:space="preserve">erb, if anything, is supportive of the Appellants’ case in that it could be construed as providing an easier method of access from other public highways to </w:t>
            </w:r>
            <w:r w:rsidR="00E34CEA">
              <w:rPr>
                <w:szCs w:val="22"/>
              </w:rPr>
              <w:t xml:space="preserve">and through </w:t>
            </w:r>
            <w:r>
              <w:rPr>
                <w:szCs w:val="22"/>
              </w:rPr>
              <w:t>the Application Route</w:t>
            </w:r>
            <w:r w:rsidR="008245A1">
              <w:rPr>
                <w:szCs w:val="22"/>
              </w:rPr>
              <w:t>;</w:t>
            </w:r>
          </w:p>
          <w:p w14:paraId="1F4E2BF2" w14:textId="7CF6CB25" w:rsidR="00AB1423" w:rsidRDefault="00E34CEA" w:rsidP="00461719">
            <w:pPr>
              <w:pStyle w:val="Style1"/>
              <w:numPr>
                <w:ilvl w:val="0"/>
                <w:numId w:val="6"/>
              </w:numPr>
              <w:tabs>
                <w:tab w:val="clear" w:pos="432"/>
              </w:tabs>
              <w:rPr>
                <w:szCs w:val="22"/>
              </w:rPr>
            </w:pPr>
            <w:r>
              <w:rPr>
                <w:szCs w:val="22"/>
              </w:rPr>
              <w:t>Finally</w:t>
            </w:r>
            <w:r w:rsidR="008245A1">
              <w:rPr>
                <w:szCs w:val="22"/>
              </w:rPr>
              <w:t>,</w:t>
            </w:r>
            <w:r>
              <w:rPr>
                <w:szCs w:val="22"/>
              </w:rPr>
              <w:t xml:space="preserve"> I disagree with the County Council’s submission that when the various pieces of evidence when viewed together fail to provide overall a sufficiency of evidence  to support the Appellant’s case.</w:t>
            </w:r>
          </w:p>
          <w:p w14:paraId="26F04B2B" w14:textId="180B96CA" w:rsidR="00176957" w:rsidRDefault="00C90BB6" w:rsidP="00176957">
            <w:pPr>
              <w:pStyle w:val="Style1"/>
              <w:numPr>
                <w:ilvl w:val="0"/>
                <w:numId w:val="0"/>
              </w:numPr>
              <w:rPr>
                <w:b/>
                <w:bCs/>
              </w:rPr>
            </w:pPr>
            <w:r w:rsidRPr="00BB1F4C">
              <w:rPr>
                <w:b/>
                <w:bCs/>
              </w:rPr>
              <w:t>CONCLUSION</w:t>
            </w:r>
            <w:r>
              <w:rPr>
                <w:b/>
                <w:bCs/>
              </w:rPr>
              <w:t>S</w:t>
            </w:r>
            <w:r w:rsidRPr="00BB1F4C">
              <w:rPr>
                <w:b/>
                <w:bCs/>
              </w:rPr>
              <w:t xml:space="preserve">  </w:t>
            </w:r>
          </w:p>
          <w:p w14:paraId="0BA3AEEC" w14:textId="670E846E" w:rsidR="00A1629D" w:rsidRPr="00A068BB" w:rsidRDefault="00A1629D" w:rsidP="00A068BB">
            <w:pPr>
              <w:pStyle w:val="Style1"/>
              <w:tabs>
                <w:tab w:val="clear" w:pos="432"/>
              </w:tabs>
              <w:ind w:left="601" w:hanging="567"/>
              <w:rPr>
                <w:szCs w:val="22"/>
              </w:rPr>
            </w:pPr>
            <w:r w:rsidRPr="00A068BB">
              <w:rPr>
                <w:szCs w:val="22"/>
              </w:rPr>
              <w:t xml:space="preserve">I therefore conclude that in all the circumstances there has been discovery of sufficient evidence upon which it is reasonable to allege that a right of way subsists in accordance with Test B.  In other words, a reasonable person having considered all the relevant evidence available could reasonably allege a right of way to subsist. </w:t>
            </w:r>
          </w:p>
          <w:p w14:paraId="65B7B290" w14:textId="692B7DA7" w:rsidR="00A1629D" w:rsidRDefault="00A068BB" w:rsidP="00A068BB">
            <w:pPr>
              <w:pStyle w:val="Style1"/>
              <w:tabs>
                <w:tab w:val="clear" w:pos="432"/>
              </w:tabs>
              <w:ind w:left="601" w:hanging="567"/>
            </w:pPr>
            <w:r>
              <w:rPr>
                <w:szCs w:val="22"/>
              </w:rPr>
              <w:t>T</w:t>
            </w:r>
            <w:r w:rsidR="000D1A4C" w:rsidRPr="00A068BB">
              <w:rPr>
                <w:szCs w:val="22"/>
              </w:rPr>
              <w:t>hus</w:t>
            </w:r>
            <w:r w:rsidR="000D1A4C">
              <w:t>, h</w:t>
            </w:r>
            <w:r w:rsidR="00A1629D">
              <w:t xml:space="preserve">aving regard to these and all other matters raised in the written representations I conclude that the Appeal should be allowed. </w:t>
            </w:r>
          </w:p>
          <w:p w14:paraId="534A2171" w14:textId="77777777" w:rsidR="00A1629D" w:rsidRPr="000F764A" w:rsidRDefault="00A1629D" w:rsidP="00DF552B">
            <w:pPr>
              <w:pStyle w:val="Style1"/>
              <w:numPr>
                <w:ilvl w:val="0"/>
                <w:numId w:val="0"/>
              </w:numPr>
              <w:tabs>
                <w:tab w:val="clear" w:pos="432"/>
              </w:tabs>
              <w:rPr>
                <w:b/>
                <w:bCs/>
                <w:iCs/>
              </w:rPr>
            </w:pPr>
            <w:r w:rsidRPr="000F764A">
              <w:rPr>
                <w:b/>
                <w:bCs/>
              </w:rPr>
              <w:t xml:space="preserve">FORMAL DECISION </w:t>
            </w:r>
          </w:p>
          <w:p w14:paraId="5DF1D1CD" w14:textId="040CFF3C" w:rsidR="00A1629D" w:rsidRPr="00A068BB" w:rsidRDefault="000D1A4C" w:rsidP="00A068BB">
            <w:pPr>
              <w:pStyle w:val="Style1"/>
              <w:tabs>
                <w:tab w:val="clear" w:pos="432"/>
              </w:tabs>
              <w:ind w:left="601" w:hanging="567"/>
              <w:rPr>
                <w:szCs w:val="22"/>
              </w:rPr>
            </w:pPr>
            <w:r w:rsidRPr="00A068BB">
              <w:rPr>
                <w:szCs w:val="22"/>
              </w:rPr>
              <w:t>I</w:t>
            </w:r>
            <w:r w:rsidR="00A1629D" w:rsidRPr="00A068BB">
              <w:rPr>
                <w:szCs w:val="22"/>
              </w:rPr>
              <w:t xml:space="preserve">n accordance with paragraph 4(2) of Schedule 14 </w:t>
            </w:r>
            <w:r w:rsidR="00404F0A" w:rsidRPr="00A068BB">
              <w:rPr>
                <w:szCs w:val="22"/>
              </w:rPr>
              <w:t>to</w:t>
            </w:r>
            <w:r w:rsidR="00A1629D" w:rsidRPr="00A068BB">
              <w:rPr>
                <w:szCs w:val="22"/>
              </w:rPr>
              <w:t xml:space="preserve"> the 1981 Act North Yorkshire County Council is directed within 12 months of the date of issue of this Appeal Decision to make an order under Section 53(2) and Schedule 15 of the Act to modify the  </w:t>
            </w:r>
            <w:r w:rsidRPr="00A068BB">
              <w:rPr>
                <w:szCs w:val="22"/>
              </w:rPr>
              <w:t xml:space="preserve">Definitive Map and Statement </w:t>
            </w:r>
            <w:r w:rsidR="00A1629D" w:rsidRPr="00A068BB">
              <w:rPr>
                <w:szCs w:val="22"/>
              </w:rPr>
              <w:t xml:space="preserve">for the area to add a public bridleway </w:t>
            </w:r>
            <w:r w:rsidR="00A1629D">
              <w:rPr>
                <w:szCs w:val="22"/>
              </w:rPr>
              <w:t>identified as commencing from the A167 at Grid Reference 4359 4973 along Scot Pit Lane to Brompton Lane (C40) at Grid Reference 4366 4976</w:t>
            </w:r>
            <w:r w:rsidR="00A1629D" w:rsidRPr="00A068BB">
              <w:rPr>
                <w:szCs w:val="22"/>
              </w:rPr>
              <w:t xml:space="preserve"> identified in the Application dated 27 May 2019, and more particularly delineated as lying between points A–B-C-D on the </w:t>
            </w:r>
            <w:r w:rsidR="008E1807" w:rsidRPr="00A068BB">
              <w:rPr>
                <w:szCs w:val="22"/>
              </w:rPr>
              <w:t>d</w:t>
            </w:r>
            <w:r w:rsidR="00A7514C" w:rsidRPr="00A068BB">
              <w:rPr>
                <w:szCs w:val="22"/>
              </w:rPr>
              <w:t xml:space="preserve">raft </w:t>
            </w:r>
            <w:r w:rsidR="00A1629D" w:rsidRPr="00A068BB">
              <w:rPr>
                <w:szCs w:val="22"/>
              </w:rPr>
              <w:t xml:space="preserve">Order Map contained in Appendix 2 to the Statement of Reasons. </w:t>
            </w:r>
          </w:p>
          <w:p w14:paraId="210A98F0" w14:textId="11E03487" w:rsidR="00A1629D" w:rsidRPr="009F518F" w:rsidRDefault="00A1629D" w:rsidP="00A068BB">
            <w:pPr>
              <w:pStyle w:val="Style1"/>
              <w:tabs>
                <w:tab w:val="clear" w:pos="432"/>
              </w:tabs>
              <w:ind w:left="601" w:hanging="567"/>
              <w:rPr>
                <w:iCs/>
              </w:rPr>
            </w:pPr>
            <w:r w:rsidRPr="00A068BB">
              <w:rPr>
                <w:szCs w:val="22"/>
              </w:rPr>
              <w:t>Thi</w:t>
            </w:r>
            <w:r>
              <w:t>s decision is made without prejudice to any decisions that may be given by the Secretary of State in accordance with his powers under Schedule 15 of the 1981 Act.</w:t>
            </w:r>
          </w:p>
          <w:p w14:paraId="2E9A0582" w14:textId="77777777" w:rsidR="00A1629D" w:rsidRPr="00D23D5D" w:rsidRDefault="00A1629D" w:rsidP="00DF552B">
            <w:pPr>
              <w:pStyle w:val="TBullet"/>
              <w:numPr>
                <w:ilvl w:val="0"/>
                <w:numId w:val="0"/>
              </w:numPr>
              <w:ind w:left="360"/>
              <w:rPr>
                <w:i/>
                <w:iCs/>
              </w:rPr>
            </w:pPr>
          </w:p>
          <w:tbl>
            <w:tblPr>
              <w:tblW w:w="9520" w:type="dxa"/>
              <w:tblLayout w:type="fixed"/>
              <w:tblLook w:val="0000" w:firstRow="0" w:lastRow="0" w:firstColumn="0" w:lastColumn="0" w:noHBand="0" w:noVBand="0"/>
            </w:tblPr>
            <w:tblGrid>
              <w:gridCol w:w="9520"/>
            </w:tblGrid>
            <w:tr w:rsidR="00A1629D" w14:paraId="3F932BE2" w14:textId="77777777" w:rsidTr="00DF552B">
              <w:tc>
                <w:tcPr>
                  <w:tcW w:w="9520" w:type="dxa"/>
                  <w:shd w:val="clear" w:color="auto" w:fill="auto"/>
                </w:tcPr>
                <w:p w14:paraId="65D2094B" w14:textId="77777777" w:rsidR="00A1629D" w:rsidRPr="007E4035" w:rsidRDefault="00A1629D" w:rsidP="00DF552B">
                  <w:pPr>
                    <w:pStyle w:val="Style1"/>
                    <w:numPr>
                      <w:ilvl w:val="0"/>
                      <w:numId w:val="0"/>
                    </w:numPr>
                    <w:rPr>
                      <w:rFonts w:ascii="Monotype Corsiva" w:hAnsi="Monotype Corsiva"/>
                      <w:sz w:val="36"/>
                      <w:szCs w:val="36"/>
                    </w:rPr>
                  </w:pPr>
                  <w:r w:rsidRPr="00E515B5">
                    <w:rPr>
                      <w:rFonts w:ascii="Monotype Corsiva" w:hAnsi="Monotype Corsiva"/>
                      <w:sz w:val="36"/>
                      <w:szCs w:val="36"/>
                    </w:rPr>
                    <w:t>Edward Cousins</w:t>
                  </w:r>
                </w:p>
                <w:p w14:paraId="45BB5D82" w14:textId="77777777" w:rsidR="00A1629D" w:rsidRDefault="00A1629D" w:rsidP="00DF552B">
                  <w:pPr>
                    <w:pStyle w:val="Style1"/>
                    <w:numPr>
                      <w:ilvl w:val="0"/>
                      <w:numId w:val="0"/>
                    </w:numPr>
                    <w:spacing w:before="0"/>
                    <w:ind w:left="431" w:hanging="431"/>
                  </w:pPr>
                </w:p>
                <w:p w14:paraId="3FFF2735" w14:textId="77777777" w:rsidR="00A1629D" w:rsidRPr="00A65692" w:rsidRDefault="00A1629D" w:rsidP="00DF552B">
                  <w:pPr>
                    <w:pStyle w:val="Style1"/>
                    <w:numPr>
                      <w:ilvl w:val="0"/>
                      <w:numId w:val="0"/>
                    </w:numPr>
                    <w:spacing w:before="0"/>
                    <w:ind w:left="431" w:hanging="431"/>
                    <w:rPr>
                      <w:b/>
                      <w:bCs/>
                    </w:rPr>
                  </w:pPr>
                  <w:r>
                    <w:rPr>
                      <w:b/>
                      <w:bCs/>
                    </w:rPr>
                    <w:t>I</w:t>
                  </w:r>
                  <w:r w:rsidRPr="00A65692">
                    <w:rPr>
                      <w:b/>
                      <w:bCs/>
                    </w:rPr>
                    <w:t>nspector</w:t>
                  </w:r>
                </w:p>
                <w:p w14:paraId="3A8FF412" w14:textId="77777777" w:rsidR="00A1629D" w:rsidRPr="00000D75" w:rsidRDefault="00A1629D" w:rsidP="00DF552B">
                  <w:pPr>
                    <w:spacing w:after="60"/>
                    <w:rPr>
                      <w:b/>
                      <w:color w:val="000000"/>
                    </w:rPr>
                  </w:pPr>
                </w:p>
              </w:tc>
            </w:tr>
          </w:tbl>
          <w:p w14:paraId="0C0752AC" w14:textId="77777777" w:rsidR="00A1629D" w:rsidRPr="00D23D5D" w:rsidRDefault="00A1629D" w:rsidP="00DF552B">
            <w:pPr>
              <w:pStyle w:val="Heading6blackfont"/>
              <w:rPr>
                <w:i/>
                <w:iCs/>
              </w:rPr>
            </w:pPr>
          </w:p>
        </w:tc>
      </w:tr>
      <w:tr w:rsidR="00BC35C5" w14:paraId="586B0F5D" w14:textId="77777777" w:rsidTr="6C2DB232">
        <w:tc>
          <w:tcPr>
            <w:tcW w:w="9520" w:type="dxa"/>
            <w:shd w:val="clear" w:color="auto" w:fill="auto"/>
          </w:tcPr>
          <w:p w14:paraId="0A542062" w14:textId="77777777" w:rsidR="00BC35C5" w:rsidRPr="00D23D5D" w:rsidRDefault="00BC35C5" w:rsidP="00DF552B">
            <w:pPr>
              <w:pStyle w:val="TBullet"/>
              <w:numPr>
                <w:ilvl w:val="0"/>
                <w:numId w:val="0"/>
              </w:numPr>
              <w:ind w:left="360"/>
              <w:rPr>
                <w:i/>
                <w:iCs/>
              </w:rPr>
            </w:pPr>
          </w:p>
        </w:tc>
      </w:tr>
    </w:tbl>
    <w:p w14:paraId="72F91EF6" w14:textId="77777777" w:rsidR="00F51049" w:rsidRDefault="00F51049">
      <w:bookmarkStart w:id="2" w:name="bmkReturn"/>
      <w:bookmarkEnd w:id="2"/>
    </w:p>
    <w:sectPr w:rsidR="00F51049" w:rsidSect="00E770EC">
      <w:headerReference w:type="default" r:id="rId9"/>
      <w:footerReference w:type="even" r:id="rId10"/>
      <w:footerReference w:type="default" r:id="rId11"/>
      <w:headerReference w:type="first" r:id="rId12"/>
      <w:footerReference w:type="first" r:id="rId13"/>
      <w:pgSz w:w="11906" w:h="16838" w:code="9"/>
      <w:pgMar w:top="680" w:right="1077" w:bottom="1276" w:left="1525" w:header="624" w:footer="47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6A60F" w14:textId="77777777" w:rsidR="00D05843" w:rsidRDefault="00D05843" w:rsidP="00A1629D">
      <w:r>
        <w:separator/>
      </w:r>
    </w:p>
  </w:endnote>
  <w:endnote w:type="continuationSeparator" w:id="0">
    <w:p w14:paraId="75AF1894" w14:textId="77777777" w:rsidR="00D05843" w:rsidRDefault="00D05843" w:rsidP="00A1629D">
      <w:r>
        <w:continuationSeparator/>
      </w:r>
    </w:p>
  </w:endnote>
  <w:endnote w:type="continuationNotice" w:id="1">
    <w:p w14:paraId="42DEEC95" w14:textId="77777777" w:rsidR="00D05843" w:rsidRDefault="00D058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261C6" w14:textId="77777777" w:rsidR="00DF552B" w:rsidRDefault="007C50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DD6C6" w14:textId="77777777" w:rsidR="00DF552B" w:rsidRDefault="00DF552B">
    <w:pPr>
      <w:pStyle w:val="Footer"/>
      <w:ind w:right="360"/>
    </w:pPr>
  </w:p>
  <w:p w14:paraId="5FF54EDB" w14:textId="77777777" w:rsidR="00DF552B" w:rsidRDefault="00DF55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2648179"/>
      <w:docPartObj>
        <w:docPartGallery w:val="Page Numbers (Bottom of Page)"/>
        <w:docPartUnique/>
      </w:docPartObj>
    </w:sdtPr>
    <w:sdtEndPr>
      <w:rPr>
        <w:noProof/>
      </w:rPr>
    </w:sdtEndPr>
    <w:sdtContent>
      <w:p w14:paraId="2804E2EA" w14:textId="77777777" w:rsidR="00E770EC" w:rsidRDefault="00E770EC" w:rsidP="00E770EC">
        <w:pPr>
          <w:pStyle w:val="Noindent"/>
          <w:spacing w:before="120"/>
          <w:jc w:val="center"/>
          <w:rPr>
            <w:rStyle w:val="PageNumber"/>
          </w:rPr>
        </w:pPr>
        <w:r>
          <w:rPr>
            <w:noProof/>
            <w:sz w:val="18"/>
          </w:rPr>
          <mc:AlternateContent>
            <mc:Choice Requires="wps">
              <w:drawing>
                <wp:anchor distT="0" distB="0" distL="114300" distR="114300" simplePos="0" relativeHeight="251658242" behindDoc="0" locked="0" layoutInCell="1" allowOverlap="1" wp14:anchorId="0F0A9520" wp14:editId="240794F1">
                  <wp:simplePos x="0" y="0"/>
                  <wp:positionH relativeFrom="page">
                    <wp:posOffset>965835</wp:posOffset>
                  </wp:positionH>
                  <wp:positionV relativeFrom="paragraph">
                    <wp:posOffset>159385</wp:posOffset>
                  </wp:positionV>
                  <wp:extent cx="5943600"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656C0BAE">
                <v:line id="Line 21"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from="76.05pt,12.55pt" to="544.05pt,12.55pt" w14:anchorId="7D0630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">
                  <w10:wrap anchorx="page"/>
                </v:line>
              </w:pict>
            </mc:Fallback>
          </mc:AlternateContent>
        </w:r>
      </w:p>
      <w:p w14:paraId="5E81E261" w14:textId="77777777" w:rsidR="00E770EC" w:rsidRPr="003827EC" w:rsidRDefault="00E770EC" w:rsidP="00E770EC">
        <w:pPr>
          <w:pStyle w:val="Noindent"/>
          <w:tabs>
            <w:tab w:val="left" w:pos="4536"/>
          </w:tabs>
          <w:jc w:val="center"/>
          <w:rPr>
            <w:rStyle w:val="PageNumber"/>
            <w:sz w:val="4"/>
            <w:szCs w:val="4"/>
          </w:rPr>
        </w:pPr>
      </w:p>
      <w:p w14:paraId="37D685FF" w14:textId="77777777" w:rsidR="00E770EC" w:rsidRDefault="00E770EC" w:rsidP="00E770EC">
        <w:pPr>
          <w:pStyle w:val="Noindent"/>
          <w:tabs>
            <w:tab w:val="left" w:pos="4536"/>
          </w:tabs>
          <w:jc w:val="center"/>
          <w:rPr>
            <w:rStyle w:val="PageNumber"/>
          </w:rPr>
        </w:pPr>
      </w:p>
      <w:p w14:paraId="6A1F6B5E" w14:textId="26870A87" w:rsidR="00DF552B" w:rsidRDefault="00E770EC" w:rsidP="00E770EC">
        <w:pPr>
          <w:pStyle w:val="Noindent"/>
          <w:tabs>
            <w:tab w:val="left" w:pos="4536"/>
          </w:tabs>
          <w:jc w:val="cen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5266D475" w14:textId="77777777" w:rsidR="00DF552B" w:rsidRDefault="00DF55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7341194"/>
      <w:docPartObj>
        <w:docPartGallery w:val="Page Numbers (Bottom of Page)"/>
        <w:docPartUnique/>
      </w:docPartObj>
    </w:sdtPr>
    <w:sdtEndPr>
      <w:rPr>
        <w:noProof/>
      </w:rPr>
    </w:sdtEndPr>
    <w:sdtContent>
      <w:p w14:paraId="65B243C4" w14:textId="77777777" w:rsidR="00A01DF9" w:rsidRDefault="00A01DF9" w:rsidP="00A01DF9">
        <w:pPr>
          <w:pStyle w:val="Noindent"/>
          <w:spacing w:before="120"/>
          <w:jc w:val="center"/>
          <w:rPr>
            <w:rStyle w:val="PageNumber"/>
          </w:rPr>
        </w:pPr>
        <w:r>
          <w:rPr>
            <w:noProof/>
            <w:sz w:val="18"/>
          </w:rPr>
          <mc:AlternateContent>
            <mc:Choice Requires="wps">
              <w:drawing>
                <wp:anchor distT="0" distB="0" distL="114300" distR="114300" simplePos="0" relativeHeight="251658241" behindDoc="0" locked="0" layoutInCell="1" allowOverlap="1" wp14:anchorId="775E9123" wp14:editId="01F2DBF6">
                  <wp:simplePos x="0" y="0"/>
                  <wp:positionH relativeFrom="page">
                    <wp:posOffset>965835</wp:posOffset>
                  </wp:positionH>
                  <wp:positionV relativeFrom="paragraph">
                    <wp:posOffset>159385</wp:posOffset>
                  </wp:positionV>
                  <wp:extent cx="5943600" cy="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2576F1C">
                <v:line id="Line 21"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from="76.05pt,12.55pt" to="544.05pt,12.55pt" w14:anchorId="3BCC26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">
                  <w10:wrap anchorx="page"/>
                </v:line>
              </w:pict>
            </mc:Fallback>
          </mc:AlternateContent>
        </w:r>
      </w:p>
      <w:p w14:paraId="02DEA567" w14:textId="77777777" w:rsidR="00A01DF9" w:rsidRPr="003827EC" w:rsidRDefault="00A01DF9" w:rsidP="00A01DF9">
        <w:pPr>
          <w:pStyle w:val="Noindent"/>
          <w:tabs>
            <w:tab w:val="left" w:pos="4536"/>
          </w:tabs>
          <w:jc w:val="center"/>
          <w:rPr>
            <w:rStyle w:val="PageNumber"/>
            <w:sz w:val="4"/>
            <w:szCs w:val="4"/>
          </w:rPr>
        </w:pPr>
      </w:p>
      <w:p w14:paraId="327C02D0" w14:textId="77777777" w:rsidR="00A01DF9" w:rsidRDefault="00A01DF9" w:rsidP="00A01DF9">
        <w:pPr>
          <w:pStyle w:val="Noindent"/>
          <w:tabs>
            <w:tab w:val="left" w:pos="4536"/>
          </w:tabs>
          <w:jc w:val="center"/>
          <w:rPr>
            <w:rStyle w:val="PageNumber"/>
          </w:rPr>
        </w:pPr>
      </w:p>
      <w:p w14:paraId="7AC58F57" w14:textId="22CB259C" w:rsidR="007D53FC" w:rsidRDefault="00D05843" w:rsidP="00A01DF9">
        <w:pPr>
          <w:pStyle w:val="Noindent"/>
          <w:tabs>
            <w:tab w:val="left" w:pos="4536"/>
          </w:tabs>
          <w:jc w:val="center"/>
        </w:pPr>
      </w:p>
    </w:sdtContent>
  </w:sdt>
  <w:p w14:paraId="38AA7566" w14:textId="2A78E3BD" w:rsidR="00DF552B" w:rsidRPr="00451EE4" w:rsidRDefault="00DF552B">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20494" w14:textId="77777777" w:rsidR="00D05843" w:rsidRDefault="00D05843" w:rsidP="00A1629D">
      <w:r>
        <w:separator/>
      </w:r>
    </w:p>
  </w:footnote>
  <w:footnote w:type="continuationSeparator" w:id="0">
    <w:p w14:paraId="161F7BC2" w14:textId="77777777" w:rsidR="00D05843" w:rsidRDefault="00D05843" w:rsidP="00A1629D">
      <w:r>
        <w:continuationSeparator/>
      </w:r>
    </w:p>
  </w:footnote>
  <w:footnote w:type="continuationNotice" w:id="1">
    <w:p w14:paraId="11C5DC6A" w14:textId="77777777" w:rsidR="00D05843" w:rsidRDefault="00D05843"/>
  </w:footnote>
  <w:footnote w:id="2">
    <w:p w14:paraId="0E098874" w14:textId="67595C87" w:rsidR="00A1629D" w:rsidRPr="0034489E" w:rsidRDefault="00A1629D" w:rsidP="00BF12A8">
      <w:pPr>
        <w:pStyle w:val="FootnoteText"/>
        <w:ind w:left="567" w:hanging="567"/>
        <w:jc w:val="both"/>
        <w:rPr>
          <w:szCs w:val="16"/>
        </w:rPr>
      </w:pPr>
      <w:r>
        <w:rPr>
          <w:rStyle w:val="FootnoteReference"/>
        </w:rPr>
        <w:footnoteRef/>
      </w:r>
      <w:r>
        <w:t xml:space="preserve"> </w:t>
      </w:r>
      <w:r>
        <w:tab/>
      </w:r>
      <w:r w:rsidRPr="0034489E">
        <w:rPr>
          <w:szCs w:val="16"/>
        </w:rPr>
        <w:t>27 May 2019 HAM/201906DMMO Scot Pit Lane, Brompton.</w:t>
      </w:r>
      <w:r>
        <w:rPr>
          <w:szCs w:val="16"/>
        </w:rPr>
        <w:t xml:space="preserve"> </w:t>
      </w:r>
      <w:r>
        <w:t>The Application Route is delineated as</w:t>
      </w:r>
      <w:r w:rsidR="00A86ABF">
        <w:t xml:space="preserve"> </w:t>
      </w:r>
      <w:r>
        <w:t>lying between points A–B-C-D on the Order Map.</w:t>
      </w:r>
    </w:p>
  </w:footnote>
  <w:footnote w:id="3">
    <w:p w14:paraId="75612D8E" w14:textId="77777777" w:rsidR="00A1629D" w:rsidRPr="0034489E" w:rsidRDefault="00A1629D" w:rsidP="00BF12A8">
      <w:pPr>
        <w:pStyle w:val="FootnoteText"/>
        <w:ind w:left="567" w:hanging="567"/>
        <w:rPr>
          <w:szCs w:val="16"/>
        </w:rPr>
      </w:pPr>
      <w:r w:rsidRPr="0034489E">
        <w:rPr>
          <w:rStyle w:val="FootnoteReference"/>
          <w:szCs w:val="16"/>
        </w:rPr>
        <w:footnoteRef/>
      </w:r>
      <w:r w:rsidRPr="0034489E">
        <w:rPr>
          <w:szCs w:val="16"/>
        </w:rPr>
        <w:t xml:space="preserve">          See the judgment of Owen J</w:t>
      </w:r>
      <w:r w:rsidRPr="0034489E">
        <w:rPr>
          <w:i/>
          <w:iCs/>
          <w:szCs w:val="16"/>
        </w:rPr>
        <w:t xml:space="preserve"> in </w:t>
      </w:r>
      <w:r w:rsidRPr="0034489E">
        <w:rPr>
          <w:i/>
          <w:szCs w:val="16"/>
        </w:rPr>
        <w:t xml:space="preserve">R v Secretary of State for the Environment, </w:t>
      </w:r>
      <w:r w:rsidRPr="0034489E">
        <w:rPr>
          <w:szCs w:val="16"/>
        </w:rPr>
        <w:t>ex p.</w:t>
      </w:r>
      <w:r w:rsidRPr="0034489E">
        <w:rPr>
          <w:i/>
          <w:szCs w:val="16"/>
        </w:rPr>
        <w:t xml:space="preserve"> Bagshaw and Norton </w:t>
      </w:r>
      <w:r w:rsidRPr="0034489E">
        <w:rPr>
          <w:szCs w:val="16"/>
        </w:rPr>
        <w:t>(1994) 68 P&amp;CR 402.</w:t>
      </w:r>
      <w:r w:rsidRPr="0034489E">
        <w:rPr>
          <w:i/>
          <w:szCs w:val="16"/>
        </w:rPr>
        <w:t xml:space="preserve">  </w:t>
      </w:r>
      <w:r w:rsidRPr="0034489E">
        <w:rPr>
          <w:iCs/>
          <w:szCs w:val="16"/>
        </w:rPr>
        <w:t xml:space="preserve">Also see </w:t>
      </w:r>
      <w:r w:rsidRPr="0034489E">
        <w:rPr>
          <w:i/>
          <w:szCs w:val="16"/>
        </w:rPr>
        <w:t xml:space="preserve"> </w:t>
      </w:r>
      <w:r w:rsidRPr="0034489E">
        <w:rPr>
          <w:i/>
          <w:iCs/>
          <w:szCs w:val="16"/>
        </w:rPr>
        <w:t>Todd v The Secretary of State for Environment, Food and Rural Affairs</w:t>
      </w:r>
      <w:r w:rsidRPr="0034489E">
        <w:rPr>
          <w:szCs w:val="16"/>
        </w:rPr>
        <w:t xml:space="preserve"> [2004] 1 WLR 2471 per Evans-Lombe J. Thus, the test to be applied under Test B is not whether the evidence establishes that a right of way exists, but whether a right of way can from the evidence reasonably be alleged to exist. If it can, the authority must make the DMMO notwithstanding that it may not consider that the evidence is sufficient to establish that the right of way in fact does exist.</w:t>
      </w:r>
    </w:p>
  </w:footnote>
  <w:footnote w:id="4">
    <w:p w14:paraId="7648FA13" w14:textId="69BC0872" w:rsidR="009D0641" w:rsidRPr="0034489E" w:rsidRDefault="00082BCD" w:rsidP="009D0641">
      <w:pPr>
        <w:pStyle w:val="FootnoteText"/>
        <w:ind w:left="567" w:hanging="567"/>
        <w:rPr>
          <w:szCs w:val="16"/>
        </w:rPr>
      </w:pPr>
      <w:r>
        <w:rPr>
          <w:rStyle w:val="FootnoteReference"/>
        </w:rPr>
        <w:footnoteRef/>
      </w:r>
      <w:r>
        <w:t xml:space="preserve"> </w:t>
      </w:r>
      <w:r w:rsidR="009D0641">
        <w:tab/>
      </w:r>
      <w:r w:rsidR="009D0641" w:rsidRPr="0034489E">
        <w:rPr>
          <w:szCs w:val="16"/>
        </w:rPr>
        <w:t xml:space="preserve">On 10 May 2004 the County Committee for Hambleton met to determine an application for a DMMO relating to the </w:t>
      </w:r>
      <w:r w:rsidR="00F52D89">
        <w:rPr>
          <w:szCs w:val="16"/>
        </w:rPr>
        <w:t>b</w:t>
      </w:r>
      <w:r w:rsidR="009D0641" w:rsidRPr="0034489E">
        <w:rPr>
          <w:szCs w:val="16"/>
        </w:rPr>
        <w:t>ridleway based upon user evidence. Item 277 of the Committee Report it was resolved that the application be not purs</w:t>
      </w:r>
      <w:r w:rsidR="00F52D89">
        <w:rPr>
          <w:szCs w:val="16"/>
        </w:rPr>
        <w:t>u</w:t>
      </w:r>
      <w:r w:rsidR="009D0641" w:rsidRPr="0034489E">
        <w:rPr>
          <w:szCs w:val="16"/>
        </w:rPr>
        <w:t xml:space="preserve">ed for the reasons stated in the Officer’s Report to </w:t>
      </w:r>
      <w:r w:rsidR="009D0641" w:rsidRPr="00C17C70">
        <w:rPr>
          <w:color w:val="000000" w:themeColor="text1"/>
          <w:szCs w:val="16"/>
        </w:rPr>
        <w:t>the</w:t>
      </w:r>
      <w:r w:rsidR="009D0641">
        <w:rPr>
          <w:szCs w:val="16"/>
        </w:rPr>
        <w:t xml:space="preserve"> </w:t>
      </w:r>
      <w:r w:rsidR="009D0641" w:rsidRPr="0034489E">
        <w:rPr>
          <w:szCs w:val="16"/>
        </w:rPr>
        <w:t xml:space="preserve">Director of Environment Services. This decision was not the subject of any appeal made following this decision. </w:t>
      </w:r>
    </w:p>
    <w:p w14:paraId="7556BFB7" w14:textId="68AEB1D9" w:rsidR="00082BCD" w:rsidRDefault="00082BCD">
      <w:pPr>
        <w:pStyle w:val="FootnoteText"/>
      </w:pPr>
    </w:p>
  </w:footnote>
  <w:footnote w:id="5">
    <w:p w14:paraId="333F0626" w14:textId="77777777" w:rsidR="00622958" w:rsidRDefault="00622958" w:rsidP="00622958">
      <w:pPr>
        <w:pStyle w:val="FootnoteText"/>
      </w:pPr>
      <w:r>
        <w:rPr>
          <w:rStyle w:val="FootnoteReference"/>
        </w:rPr>
        <w:footnoteRef/>
      </w:r>
      <w:r>
        <w:t xml:space="preserve"> </w:t>
      </w:r>
      <w:r>
        <w:tab/>
        <w:t xml:space="preserve">See </w:t>
      </w:r>
      <w:r w:rsidRPr="00A84C89">
        <w:rPr>
          <w:i/>
        </w:rPr>
        <w:t>Eyre v New Forest Highway Board</w:t>
      </w:r>
      <w:r>
        <w:t xml:space="preserve"> (1892) 56 JP 517.</w:t>
      </w:r>
    </w:p>
  </w:footnote>
  <w:footnote w:id="6">
    <w:p w14:paraId="13DBB2C1" w14:textId="77777777" w:rsidR="00622958" w:rsidRPr="00FD186B" w:rsidRDefault="00622958" w:rsidP="00622958">
      <w:pPr>
        <w:pStyle w:val="FootnoteText"/>
      </w:pPr>
      <w:r>
        <w:rPr>
          <w:rStyle w:val="FootnoteReference"/>
        </w:rPr>
        <w:footnoteRef/>
      </w:r>
      <w:r>
        <w:t xml:space="preserve"> </w:t>
      </w:r>
      <w:r>
        <w:tab/>
        <w:t xml:space="preserve">See </w:t>
      </w:r>
      <w:r>
        <w:rPr>
          <w:i/>
        </w:rPr>
        <w:t>Harvey v Truro Rural District Council</w:t>
      </w:r>
      <w:r>
        <w:t xml:space="preserve"> [1903] 2 CH 638, at 644, per Joyce J.</w:t>
      </w:r>
    </w:p>
  </w:footnote>
  <w:footnote w:id="7">
    <w:p w14:paraId="6E654C82" w14:textId="77777777" w:rsidR="00622958" w:rsidRDefault="00622958" w:rsidP="00622958">
      <w:pPr>
        <w:pStyle w:val="FootnoteText"/>
      </w:pPr>
      <w:r>
        <w:rPr>
          <w:rStyle w:val="FootnoteReference"/>
        </w:rPr>
        <w:footnoteRef/>
      </w:r>
      <w:r>
        <w:t xml:space="preserve"> </w:t>
      </w:r>
      <w:r>
        <w:tab/>
        <w:t>(1860) 8CB (NS) 848.</w:t>
      </w:r>
    </w:p>
  </w:footnote>
  <w:footnote w:id="8">
    <w:p w14:paraId="3F35127C" w14:textId="77777777" w:rsidR="00622958" w:rsidRPr="00FD186B" w:rsidRDefault="00622958" w:rsidP="00622958">
      <w:pPr>
        <w:pStyle w:val="FootnoteText"/>
      </w:pPr>
      <w:r>
        <w:rPr>
          <w:rStyle w:val="FootnoteReference"/>
        </w:rPr>
        <w:footnoteRef/>
      </w:r>
      <w:r>
        <w:t xml:space="preserve"> </w:t>
      </w:r>
      <w:r>
        <w:tab/>
        <w:t xml:space="preserve">See also </w:t>
      </w:r>
      <w:r>
        <w:rPr>
          <w:i/>
        </w:rPr>
        <w:t>Robinson Webster (Holdings) Ltd v Agombar</w:t>
      </w:r>
      <w:r>
        <w:t xml:space="preserve"> (2002) 1 P &amp; CR 20.</w:t>
      </w:r>
    </w:p>
  </w:footnote>
  <w:footnote w:id="9">
    <w:p w14:paraId="50DF5F0C" w14:textId="77777777" w:rsidR="00C17C70" w:rsidRPr="0034489E" w:rsidRDefault="00C17C70" w:rsidP="00C17C70">
      <w:pPr>
        <w:pStyle w:val="FootnoteText"/>
        <w:ind w:left="709" w:hanging="709"/>
        <w:rPr>
          <w:szCs w:val="16"/>
        </w:rPr>
      </w:pPr>
      <w:r>
        <w:rPr>
          <w:rStyle w:val="FootnoteReference"/>
        </w:rPr>
        <w:footnoteRef/>
      </w:r>
      <w:r>
        <w:t xml:space="preserve"> </w:t>
      </w:r>
      <w:r>
        <w:tab/>
      </w:r>
      <w:r w:rsidRPr="0034489E">
        <w:rPr>
          <w:szCs w:val="16"/>
        </w:rPr>
        <w:t xml:space="preserve">See </w:t>
      </w:r>
      <w:r w:rsidRPr="0034489E">
        <w:rPr>
          <w:i/>
          <w:iCs/>
          <w:szCs w:val="16"/>
        </w:rPr>
        <w:t>The</w:t>
      </w:r>
      <w:r w:rsidRPr="0034489E">
        <w:rPr>
          <w:szCs w:val="16"/>
        </w:rPr>
        <w:t xml:space="preserve"> </w:t>
      </w:r>
      <w:r w:rsidRPr="0034489E">
        <w:rPr>
          <w:i/>
          <w:iCs/>
          <w:szCs w:val="16"/>
        </w:rPr>
        <w:t>Secretary of State for the Environment, Transport, and the Regions v Baylis</w:t>
      </w:r>
      <w:r w:rsidRPr="0034489E">
        <w:rPr>
          <w:szCs w:val="16"/>
        </w:rPr>
        <w:t xml:space="preserve"> [2000] EWCA Civ.    361 where there can be acceptance by the local authority on behalf of the public.</w:t>
      </w:r>
    </w:p>
    <w:p w14:paraId="1D1DDC47" w14:textId="244E236E" w:rsidR="00C17C70" w:rsidRDefault="00C17C70">
      <w:pPr>
        <w:pStyle w:val="FootnoteText"/>
      </w:pPr>
    </w:p>
  </w:footnote>
  <w:footnote w:id="10">
    <w:p w14:paraId="4A129CA2" w14:textId="3412D2DC" w:rsidR="00413AD8" w:rsidRDefault="00413AD8" w:rsidP="00413AD8">
      <w:pPr>
        <w:pStyle w:val="FootnoteText"/>
        <w:ind w:left="709" w:hanging="709"/>
      </w:pPr>
      <w:r>
        <w:rPr>
          <w:rStyle w:val="FootnoteReference"/>
        </w:rPr>
        <w:footnoteRef/>
      </w:r>
      <w:r>
        <w:t xml:space="preserve"> </w:t>
      </w:r>
      <w:r>
        <w:tab/>
      </w:r>
      <w:r w:rsidRPr="0034489E">
        <w:rPr>
          <w:szCs w:val="16"/>
        </w:rPr>
        <w:t xml:space="preserve">The </w:t>
      </w:r>
      <w:r>
        <w:rPr>
          <w:szCs w:val="16"/>
        </w:rPr>
        <w:t>County Council</w:t>
      </w:r>
      <w:r w:rsidRPr="0034489E">
        <w:rPr>
          <w:szCs w:val="16"/>
        </w:rPr>
        <w:t xml:space="preserve"> relies upon the concept of ‘synergy of evidence’ </w:t>
      </w:r>
      <w:r>
        <w:rPr>
          <w:szCs w:val="16"/>
        </w:rPr>
        <w:t xml:space="preserve">as not being sufficiently present in this case. This was a </w:t>
      </w:r>
      <w:r w:rsidRPr="0034489E">
        <w:rPr>
          <w:szCs w:val="16"/>
        </w:rPr>
        <w:t xml:space="preserve">phrase </w:t>
      </w:r>
      <w:r>
        <w:rPr>
          <w:szCs w:val="16"/>
        </w:rPr>
        <w:t>adopted</w:t>
      </w:r>
      <w:r w:rsidRPr="0034489E">
        <w:rPr>
          <w:szCs w:val="16"/>
        </w:rPr>
        <w:t xml:space="preserve"> by Evans-Lombe J in the case of </w:t>
      </w:r>
      <w:r w:rsidRPr="0034489E">
        <w:rPr>
          <w:i/>
          <w:iCs/>
          <w:szCs w:val="16"/>
        </w:rPr>
        <w:t>Todd v The Secretary of State for Environment, Food and Rural Affairs</w:t>
      </w:r>
      <w:r w:rsidRPr="0034489E">
        <w:rPr>
          <w:szCs w:val="16"/>
        </w:rPr>
        <w:t xml:space="preserve"> [2004] 1 WLR 2471.</w:t>
      </w:r>
    </w:p>
  </w:footnote>
  <w:footnote w:id="11">
    <w:p w14:paraId="1F43F5C4" w14:textId="77777777" w:rsidR="00D657B6" w:rsidRPr="0034489E" w:rsidRDefault="00D657B6" w:rsidP="00D657B6">
      <w:pPr>
        <w:pStyle w:val="FootnoteText"/>
        <w:rPr>
          <w:szCs w:val="16"/>
        </w:rPr>
      </w:pPr>
      <w:r w:rsidRPr="0034489E">
        <w:rPr>
          <w:rStyle w:val="FootnoteReference"/>
          <w:szCs w:val="16"/>
        </w:rPr>
        <w:footnoteRef/>
      </w:r>
      <w:r w:rsidRPr="0034489E">
        <w:rPr>
          <w:szCs w:val="16"/>
        </w:rPr>
        <w:t xml:space="preserve"> </w:t>
      </w:r>
      <w:r w:rsidRPr="0034489E">
        <w:rPr>
          <w:szCs w:val="16"/>
        </w:rPr>
        <w:tab/>
        <w:t>NYCRO ref. ZEK 1/10</w:t>
      </w:r>
    </w:p>
  </w:footnote>
  <w:footnote w:id="12">
    <w:p w14:paraId="6102E8EB" w14:textId="77777777" w:rsidR="00A1629D" w:rsidRPr="0034489E" w:rsidRDefault="00A1629D" w:rsidP="00A1629D">
      <w:pPr>
        <w:pStyle w:val="FootnoteText"/>
        <w:rPr>
          <w:szCs w:val="16"/>
        </w:rPr>
      </w:pPr>
      <w:r w:rsidRPr="0034489E">
        <w:rPr>
          <w:rStyle w:val="FootnoteReference"/>
          <w:szCs w:val="16"/>
        </w:rPr>
        <w:footnoteRef/>
      </w:r>
      <w:r w:rsidRPr="0034489E">
        <w:rPr>
          <w:szCs w:val="16"/>
        </w:rPr>
        <w:t xml:space="preserve"> </w:t>
      </w:r>
      <w:r w:rsidRPr="0034489E">
        <w:rPr>
          <w:szCs w:val="16"/>
        </w:rPr>
        <w:tab/>
        <w:t>NYCRO Reference QSB 1809/1/9/8.</w:t>
      </w:r>
    </w:p>
  </w:footnote>
  <w:footnote w:id="13">
    <w:p w14:paraId="47AE72B0" w14:textId="77777777" w:rsidR="00A1629D" w:rsidRPr="0034489E" w:rsidRDefault="00A1629D" w:rsidP="00A1629D">
      <w:pPr>
        <w:pStyle w:val="FootnoteText"/>
        <w:ind w:left="709" w:hanging="709"/>
        <w:rPr>
          <w:szCs w:val="16"/>
        </w:rPr>
      </w:pPr>
      <w:r w:rsidRPr="0034489E">
        <w:rPr>
          <w:rStyle w:val="FootnoteReference"/>
          <w:szCs w:val="16"/>
        </w:rPr>
        <w:footnoteRef/>
      </w:r>
      <w:r w:rsidRPr="0034489E">
        <w:rPr>
          <w:szCs w:val="16"/>
        </w:rPr>
        <w:t xml:space="preserve"> </w:t>
      </w:r>
      <w:r w:rsidRPr="0034489E">
        <w:rPr>
          <w:szCs w:val="16"/>
        </w:rPr>
        <w:tab/>
        <w:t>National Archives IR30/42/55, and IR29/42/55. It is said that it was common for no Tithes to be payable in respect of roads as such areas were deemed to be unproductive.</w:t>
      </w:r>
    </w:p>
  </w:footnote>
  <w:footnote w:id="14">
    <w:p w14:paraId="68641918" w14:textId="4AA54570" w:rsidR="00A1629D" w:rsidRPr="0034489E" w:rsidRDefault="00A1629D" w:rsidP="00413AD8">
      <w:pPr>
        <w:pStyle w:val="FootnoteText"/>
        <w:ind w:left="709" w:hanging="567"/>
        <w:rPr>
          <w:szCs w:val="16"/>
        </w:rPr>
      </w:pPr>
      <w:r w:rsidRPr="0034489E">
        <w:rPr>
          <w:rStyle w:val="FootnoteReference"/>
          <w:szCs w:val="16"/>
        </w:rPr>
        <w:footnoteRef/>
      </w:r>
      <w:r w:rsidRPr="0034489E">
        <w:rPr>
          <w:szCs w:val="16"/>
        </w:rPr>
        <w:t xml:space="preserve"> </w:t>
      </w:r>
      <w:r w:rsidRPr="0034489E">
        <w:rPr>
          <w:szCs w:val="16"/>
        </w:rPr>
        <w:tab/>
        <w:t>Yorkshire Sheets 55 and 56 published in 1857.</w:t>
      </w:r>
    </w:p>
  </w:footnote>
  <w:footnote w:id="15">
    <w:p w14:paraId="6323AE98" w14:textId="2BFE7E8A" w:rsidR="00A1629D" w:rsidRDefault="00A1629D" w:rsidP="00413AD8">
      <w:pPr>
        <w:pStyle w:val="FootnoteText"/>
        <w:ind w:left="709" w:hanging="567"/>
        <w:jc w:val="both"/>
      </w:pPr>
      <w:r>
        <w:rPr>
          <w:rStyle w:val="FootnoteReference"/>
        </w:rPr>
        <w:footnoteRef/>
      </w:r>
      <w:r>
        <w:t xml:space="preserve"> </w:t>
      </w:r>
      <w:r>
        <w:tab/>
        <w:t xml:space="preserve">It is to be noted that this number is the OS field numbering system – not to be confused with the Tithe Apportionment No 235. Both relate to </w:t>
      </w:r>
      <w:r w:rsidR="00F759F3">
        <w:t>what</w:t>
      </w:r>
      <w:r>
        <w:t xml:space="preserve"> is now described as the Application Route.</w:t>
      </w:r>
    </w:p>
  </w:footnote>
  <w:footnote w:id="16">
    <w:p w14:paraId="6AEDE73D" w14:textId="020C0F24" w:rsidR="00A1629D" w:rsidRPr="0034489E" w:rsidRDefault="00A1629D" w:rsidP="00413AD8">
      <w:pPr>
        <w:pStyle w:val="FootnoteText"/>
        <w:ind w:left="709" w:hanging="567"/>
        <w:jc w:val="both"/>
        <w:rPr>
          <w:szCs w:val="16"/>
        </w:rPr>
      </w:pPr>
      <w:r w:rsidRPr="0034489E">
        <w:rPr>
          <w:rStyle w:val="FootnoteReference"/>
          <w:szCs w:val="16"/>
        </w:rPr>
        <w:footnoteRef/>
      </w:r>
      <w:r w:rsidRPr="0034489E">
        <w:rPr>
          <w:szCs w:val="16"/>
        </w:rPr>
        <w:t xml:space="preserve">  </w:t>
      </w:r>
      <w:r w:rsidR="00401690">
        <w:rPr>
          <w:szCs w:val="16"/>
        </w:rPr>
        <w:t xml:space="preserve">  </w:t>
      </w:r>
      <w:r w:rsidR="00413AD8">
        <w:rPr>
          <w:szCs w:val="16"/>
        </w:rPr>
        <w:t xml:space="preserve">    </w:t>
      </w:r>
      <w:r w:rsidR="009154BE">
        <w:rPr>
          <w:szCs w:val="16"/>
        </w:rPr>
        <w:t xml:space="preserve"> </w:t>
      </w:r>
      <w:r w:rsidRPr="0034489E">
        <w:rPr>
          <w:szCs w:val="16"/>
        </w:rPr>
        <w:t xml:space="preserve">Otherwise known as the 1:25,000 is known as the </w:t>
      </w:r>
      <w:r w:rsidRPr="0034489E">
        <w:rPr>
          <w:i/>
          <w:szCs w:val="16"/>
        </w:rPr>
        <w:t>‘Provisional Edition’</w:t>
      </w:r>
      <w:r w:rsidRPr="0034489E">
        <w:rPr>
          <w:szCs w:val="16"/>
        </w:rPr>
        <w:t xml:space="preserve"> or </w:t>
      </w:r>
      <w:r w:rsidRPr="0034489E">
        <w:rPr>
          <w:i/>
          <w:szCs w:val="16"/>
        </w:rPr>
        <w:t>‘First Series</w:t>
      </w:r>
      <w:r w:rsidR="009154BE" w:rsidRPr="0034489E">
        <w:rPr>
          <w:i/>
          <w:szCs w:val="16"/>
        </w:rPr>
        <w:t>’ and</w:t>
      </w:r>
      <w:r w:rsidRPr="0034489E">
        <w:rPr>
          <w:szCs w:val="16"/>
        </w:rPr>
        <w:t xml:space="preserve"> was the forerunner</w:t>
      </w:r>
      <w:r w:rsidR="00AB2C1B">
        <w:rPr>
          <w:szCs w:val="16"/>
        </w:rPr>
        <w:t xml:space="preserve"> </w:t>
      </w:r>
      <w:r w:rsidRPr="0034489E">
        <w:rPr>
          <w:szCs w:val="16"/>
        </w:rPr>
        <w:t>of the modern Explorer and Outdoor Leisure maps.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DF552B" w14:paraId="63AA766D" w14:textId="77777777">
      <w:tc>
        <w:tcPr>
          <w:tcW w:w="9520" w:type="dxa"/>
        </w:tcPr>
        <w:p w14:paraId="7A9C926E" w14:textId="77777777" w:rsidR="00DF552B" w:rsidRDefault="007C5082" w:rsidP="00DF552B">
          <w:pPr>
            <w:pStyle w:val="Footer"/>
          </w:pPr>
          <w:r>
            <w:t xml:space="preserve">Appeal Decision </w:t>
          </w:r>
          <w:r w:rsidRPr="009D22D8">
            <w:rPr>
              <w:color w:val="000000"/>
            </w:rPr>
            <w:t>FPS/</w:t>
          </w:r>
          <w:r>
            <w:rPr>
              <w:color w:val="000000"/>
            </w:rPr>
            <w:t>P2745</w:t>
          </w:r>
          <w:r w:rsidRPr="009D22D8">
            <w:rPr>
              <w:color w:val="000000"/>
            </w:rPr>
            <w:t>/14</w:t>
          </w:r>
          <w:r>
            <w:rPr>
              <w:color w:val="000000"/>
            </w:rPr>
            <w:t>A</w:t>
          </w:r>
          <w:r w:rsidRPr="009D22D8">
            <w:rPr>
              <w:color w:val="000000"/>
            </w:rPr>
            <w:t>/</w:t>
          </w:r>
          <w:r>
            <w:rPr>
              <w:color w:val="000000"/>
            </w:rPr>
            <w:t>7</w:t>
          </w:r>
        </w:p>
      </w:tc>
    </w:tr>
  </w:tbl>
  <w:p w14:paraId="1D8E262A" w14:textId="77777777" w:rsidR="00DF552B" w:rsidRDefault="007C5082" w:rsidP="00DF552B">
    <w:pPr>
      <w:pStyle w:val="Footer"/>
      <w:spacing w:after="180"/>
    </w:pPr>
    <w:r>
      <w:rPr>
        <w:noProof/>
      </w:rPr>
      <mc:AlternateContent>
        <mc:Choice Requires="wps">
          <w:drawing>
            <wp:anchor distT="0" distB="0" distL="114300" distR="114300" simplePos="0" relativeHeight="251658240" behindDoc="0" locked="0" layoutInCell="1" allowOverlap="1" wp14:anchorId="41378A8C" wp14:editId="0ACAF0DC">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18959CE8">
            <v:line id="Line 14"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0,9pt" to="468pt,9pt" w14:anchorId="2E4E60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w:pict>
        </mc:Fallback>
      </mc:AlternateContent>
    </w:r>
  </w:p>
  <w:p w14:paraId="715AE8AE" w14:textId="77777777" w:rsidR="00DF552B" w:rsidRDefault="00DF55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50C89" w14:textId="77777777" w:rsidR="00DF552B" w:rsidRDefault="007C5082">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574B4"/>
    <w:multiLevelType w:val="hybridMultilevel"/>
    <w:tmpl w:val="20FA627A"/>
    <w:lvl w:ilvl="0" w:tplc="4F888BDE">
      <w:start w:val="1"/>
      <w:numFmt w:val="decimal"/>
      <w:lvlText w:val="(%1)"/>
      <w:lvlJc w:val="left"/>
      <w:pPr>
        <w:ind w:left="1359" w:hanging="720"/>
      </w:pPr>
      <w:rPr>
        <w:rFonts w:ascii="Verdana" w:hAnsi="Verdana" w:hint="default"/>
        <w:sz w:val="22"/>
        <w:szCs w:val="22"/>
      </w:rPr>
    </w:lvl>
    <w:lvl w:ilvl="1" w:tplc="08090019" w:tentative="1">
      <w:start w:val="1"/>
      <w:numFmt w:val="lowerLetter"/>
      <w:lvlText w:val="%2."/>
      <w:lvlJc w:val="left"/>
      <w:pPr>
        <w:ind w:left="1719" w:hanging="360"/>
      </w:pPr>
    </w:lvl>
    <w:lvl w:ilvl="2" w:tplc="0809001B" w:tentative="1">
      <w:start w:val="1"/>
      <w:numFmt w:val="lowerRoman"/>
      <w:lvlText w:val="%3."/>
      <w:lvlJc w:val="right"/>
      <w:pPr>
        <w:ind w:left="2439" w:hanging="180"/>
      </w:pPr>
    </w:lvl>
    <w:lvl w:ilvl="3" w:tplc="0809000F" w:tentative="1">
      <w:start w:val="1"/>
      <w:numFmt w:val="decimal"/>
      <w:lvlText w:val="%4."/>
      <w:lvlJc w:val="left"/>
      <w:pPr>
        <w:ind w:left="3159" w:hanging="360"/>
      </w:pPr>
    </w:lvl>
    <w:lvl w:ilvl="4" w:tplc="08090019" w:tentative="1">
      <w:start w:val="1"/>
      <w:numFmt w:val="lowerLetter"/>
      <w:lvlText w:val="%5."/>
      <w:lvlJc w:val="left"/>
      <w:pPr>
        <w:ind w:left="3879" w:hanging="360"/>
      </w:pPr>
    </w:lvl>
    <w:lvl w:ilvl="5" w:tplc="0809001B" w:tentative="1">
      <w:start w:val="1"/>
      <w:numFmt w:val="lowerRoman"/>
      <w:lvlText w:val="%6."/>
      <w:lvlJc w:val="right"/>
      <w:pPr>
        <w:ind w:left="4599" w:hanging="180"/>
      </w:pPr>
    </w:lvl>
    <w:lvl w:ilvl="6" w:tplc="0809000F" w:tentative="1">
      <w:start w:val="1"/>
      <w:numFmt w:val="decimal"/>
      <w:lvlText w:val="%7."/>
      <w:lvlJc w:val="left"/>
      <w:pPr>
        <w:ind w:left="5319" w:hanging="360"/>
      </w:pPr>
    </w:lvl>
    <w:lvl w:ilvl="7" w:tplc="08090019" w:tentative="1">
      <w:start w:val="1"/>
      <w:numFmt w:val="lowerLetter"/>
      <w:lvlText w:val="%8."/>
      <w:lvlJc w:val="left"/>
      <w:pPr>
        <w:ind w:left="6039" w:hanging="360"/>
      </w:pPr>
    </w:lvl>
    <w:lvl w:ilvl="8" w:tplc="0809001B" w:tentative="1">
      <w:start w:val="1"/>
      <w:numFmt w:val="lowerRoman"/>
      <w:lvlText w:val="%9."/>
      <w:lvlJc w:val="right"/>
      <w:pPr>
        <w:ind w:left="6759" w:hanging="180"/>
      </w:pPr>
    </w:lvl>
  </w:abstractNum>
  <w:abstractNum w:abstractNumId="1" w15:restartNumberingAfterBreak="0">
    <w:nsid w:val="3DE235E7"/>
    <w:multiLevelType w:val="hybridMultilevel"/>
    <w:tmpl w:val="15524CA2"/>
    <w:lvl w:ilvl="0" w:tplc="6E4263B2">
      <w:start w:val="1"/>
      <w:numFmt w:val="decimal"/>
      <w:lvlText w:val="(%1)"/>
      <w:lvlJc w:val="left"/>
      <w:pPr>
        <w:ind w:left="1321" w:hanging="720"/>
      </w:pPr>
      <w:rPr>
        <w:rFonts w:hint="default"/>
      </w:r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abstractNum w:abstractNumId="2" w15:restartNumberingAfterBreak="0">
    <w:nsid w:val="48DD7A15"/>
    <w:multiLevelType w:val="multilevel"/>
    <w:tmpl w:val="0008A0F6"/>
    <w:styleLink w:val="StylesList"/>
    <w:lvl w:ilvl="0">
      <w:start w:val="1"/>
      <w:numFmt w:val="decimal"/>
      <w:pStyle w:val="Style1"/>
      <w:lvlText w:val="%1."/>
      <w:lvlJc w:val="left"/>
      <w:pPr>
        <w:tabs>
          <w:tab w:val="num" w:pos="4832"/>
        </w:tabs>
        <w:ind w:left="4543"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3"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5B7639F"/>
    <w:multiLevelType w:val="multilevel"/>
    <w:tmpl w:val="A22611FC"/>
    <w:numStyleLink w:val="ConditionsList"/>
  </w:abstractNum>
  <w:abstractNum w:abstractNumId="5"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lvlOverride w:ilvl="0">
      <w:lvl w:ilvl="0">
        <w:start w:val="1"/>
        <w:numFmt w:val="decimal"/>
        <w:pStyle w:val="Style1"/>
        <w:lvlText w:val="%1."/>
        <w:lvlJc w:val="left"/>
        <w:pPr>
          <w:tabs>
            <w:tab w:val="num" w:pos="4832"/>
          </w:tabs>
          <w:ind w:left="4543" w:hanging="431"/>
        </w:pPr>
        <w:rPr>
          <w:rFonts w:hint="default"/>
          <w:b w:val="0"/>
          <w:bCs w:val="0"/>
        </w:rPr>
      </w:lvl>
    </w:lvlOverride>
  </w:num>
  <w:num w:numId="4">
    <w:abstractNumId w:val="4"/>
  </w:num>
  <w:num w:numId="5">
    <w:abstractNumId w:val="1"/>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9D"/>
    <w:rsid w:val="000014D6"/>
    <w:rsid w:val="00005649"/>
    <w:rsid w:val="00010A09"/>
    <w:rsid w:val="00014E0C"/>
    <w:rsid w:val="00032BD6"/>
    <w:rsid w:val="00032C3A"/>
    <w:rsid w:val="00035311"/>
    <w:rsid w:val="0003578C"/>
    <w:rsid w:val="00050723"/>
    <w:rsid w:val="0005090C"/>
    <w:rsid w:val="00052EC3"/>
    <w:rsid w:val="00054D69"/>
    <w:rsid w:val="000650C3"/>
    <w:rsid w:val="00071BB9"/>
    <w:rsid w:val="00071CDF"/>
    <w:rsid w:val="00082BCD"/>
    <w:rsid w:val="00084B0C"/>
    <w:rsid w:val="000A5D95"/>
    <w:rsid w:val="000A67F8"/>
    <w:rsid w:val="000A6803"/>
    <w:rsid w:val="000B076E"/>
    <w:rsid w:val="000B37C2"/>
    <w:rsid w:val="000C44E3"/>
    <w:rsid w:val="000C52E9"/>
    <w:rsid w:val="000C5631"/>
    <w:rsid w:val="000C6C6B"/>
    <w:rsid w:val="000C7448"/>
    <w:rsid w:val="000D1A4C"/>
    <w:rsid w:val="000E2051"/>
    <w:rsid w:val="000E3BB0"/>
    <w:rsid w:val="000E71F7"/>
    <w:rsid w:val="000F0DD2"/>
    <w:rsid w:val="000F7D80"/>
    <w:rsid w:val="00100E71"/>
    <w:rsid w:val="001014B5"/>
    <w:rsid w:val="001021CE"/>
    <w:rsid w:val="001054D7"/>
    <w:rsid w:val="00105817"/>
    <w:rsid w:val="00106CCB"/>
    <w:rsid w:val="0011696C"/>
    <w:rsid w:val="00120315"/>
    <w:rsid w:val="0012090C"/>
    <w:rsid w:val="00125F79"/>
    <w:rsid w:val="001271A8"/>
    <w:rsid w:val="00131EC0"/>
    <w:rsid w:val="0013454D"/>
    <w:rsid w:val="001346B1"/>
    <w:rsid w:val="00135FCA"/>
    <w:rsid w:val="00147170"/>
    <w:rsid w:val="0015772E"/>
    <w:rsid w:val="00157E45"/>
    <w:rsid w:val="00170E34"/>
    <w:rsid w:val="0017139F"/>
    <w:rsid w:val="00172694"/>
    <w:rsid w:val="001735E0"/>
    <w:rsid w:val="001745AA"/>
    <w:rsid w:val="00176957"/>
    <w:rsid w:val="001771D0"/>
    <w:rsid w:val="00181729"/>
    <w:rsid w:val="001819D1"/>
    <w:rsid w:val="00192237"/>
    <w:rsid w:val="001A48B9"/>
    <w:rsid w:val="001A4F94"/>
    <w:rsid w:val="001A52F3"/>
    <w:rsid w:val="001A5464"/>
    <w:rsid w:val="001B12EF"/>
    <w:rsid w:val="001C19ED"/>
    <w:rsid w:val="001C5B59"/>
    <w:rsid w:val="001D1F7E"/>
    <w:rsid w:val="001D2D14"/>
    <w:rsid w:val="001E4EB6"/>
    <w:rsid w:val="001F06D9"/>
    <w:rsid w:val="001F2842"/>
    <w:rsid w:val="002038D7"/>
    <w:rsid w:val="00205C34"/>
    <w:rsid w:val="00216BC8"/>
    <w:rsid w:val="002214F5"/>
    <w:rsid w:val="00222FF1"/>
    <w:rsid w:val="00226710"/>
    <w:rsid w:val="00227736"/>
    <w:rsid w:val="00236738"/>
    <w:rsid w:val="00244F10"/>
    <w:rsid w:val="00245CDA"/>
    <w:rsid w:val="00253B65"/>
    <w:rsid w:val="0025469B"/>
    <w:rsid w:val="00257B2F"/>
    <w:rsid w:val="00263B4E"/>
    <w:rsid w:val="00264C0E"/>
    <w:rsid w:val="00264EC0"/>
    <w:rsid w:val="002655B7"/>
    <w:rsid w:val="00271F2D"/>
    <w:rsid w:val="002725EE"/>
    <w:rsid w:val="00273CA5"/>
    <w:rsid w:val="00287E5A"/>
    <w:rsid w:val="0029282E"/>
    <w:rsid w:val="002A46FD"/>
    <w:rsid w:val="002B1136"/>
    <w:rsid w:val="002B5486"/>
    <w:rsid w:val="002C26A3"/>
    <w:rsid w:val="002C79CA"/>
    <w:rsid w:val="002E0109"/>
    <w:rsid w:val="002E2A2D"/>
    <w:rsid w:val="002E52BB"/>
    <w:rsid w:val="002F2473"/>
    <w:rsid w:val="002F5B42"/>
    <w:rsid w:val="00302712"/>
    <w:rsid w:val="0030557B"/>
    <w:rsid w:val="00307BC4"/>
    <w:rsid w:val="00310D67"/>
    <w:rsid w:val="00311F06"/>
    <w:rsid w:val="00315E70"/>
    <w:rsid w:val="0032503A"/>
    <w:rsid w:val="003440AA"/>
    <w:rsid w:val="003454AD"/>
    <w:rsid w:val="00347E87"/>
    <w:rsid w:val="00355DA7"/>
    <w:rsid w:val="0036216C"/>
    <w:rsid w:val="003653DA"/>
    <w:rsid w:val="00375607"/>
    <w:rsid w:val="00377261"/>
    <w:rsid w:val="00377357"/>
    <w:rsid w:val="00377C68"/>
    <w:rsid w:val="0038394B"/>
    <w:rsid w:val="0038398F"/>
    <w:rsid w:val="00387533"/>
    <w:rsid w:val="003A10C5"/>
    <w:rsid w:val="003B08B2"/>
    <w:rsid w:val="003B335B"/>
    <w:rsid w:val="003B35A4"/>
    <w:rsid w:val="003B6ED3"/>
    <w:rsid w:val="003C0A35"/>
    <w:rsid w:val="003C41FA"/>
    <w:rsid w:val="003C790A"/>
    <w:rsid w:val="003D071E"/>
    <w:rsid w:val="003F064A"/>
    <w:rsid w:val="003F2AAA"/>
    <w:rsid w:val="003F7E8E"/>
    <w:rsid w:val="00401690"/>
    <w:rsid w:val="00404F0A"/>
    <w:rsid w:val="00410DE8"/>
    <w:rsid w:val="00413AD8"/>
    <w:rsid w:val="00422880"/>
    <w:rsid w:val="004318EB"/>
    <w:rsid w:val="00446166"/>
    <w:rsid w:val="0045135A"/>
    <w:rsid w:val="004535B9"/>
    <w:rsid w:val="00461719"/>
    <w:rsid w:val="00466D0B"/>
    <w:rsid w:val="00470193"/>
    <w:rsid w:val="00472B93"/>
    <w:rsid w:val="004811BD"/>
    <w:rsid w:val="00483094"/>
    <w:rsid w:val="00484675"/>
    <w:rsid w:val="00492044"/>
    <w:rsid w:val="004A4C62"/>
    <w:rsid w:val="004B11B1"/>
    <w:rsid w:val="004B5EE5"/>
    <w:rsid w:val="004C2468"/>
    <w:rsid w:val="004D6E4E"/>
    <w:rsid w:val="004E5CDB"/>
    <w:rsid w:val="004F5B93"/>
    <w:rsid w:val="004F7010"/>
    <w:rsid w:val="004F7DC2"/>
    <w:rsid w:val="00502E1B"/>
    <w:rsid w:val="00504156"/>
    <w:rsid w:val="00506B85"/>
    <w:rsid w:val="0051005B"/>
    <w:rsid w:val="00511694"/>
    <w:rsid w:val="00511A51"/>
    <w:rsid w:val="00511B34"/>
    <w:rsid w:val="00512678"/>
    <w:rsid w:val="00517896"/>
    <w:rsid w:val="00522248"/>
    <w:rsid w:val="00523532"/>
    <w:rsid w:val="00526BB1"/>
    <w:rsid w:val="00527735"/>
    <w:rsid w:val="00527AE3"/>
    <w:rsid w:val="0053038B"/>
    <w:rsid w:val="0053154A"/>
    <w:rsid w:val="005317BE"/>
    <w:rsid w:val="00540B70"/>
    <w:rsid w:val="00557CD6"/>
    <w:rsid w:val="005661BC"/>
    <w:rsid w:val="0056743E"/>
    <w:rsid w:val="00571BED"/>
    <w:rsid w:val="00572464"/>
    <w:rsid w:val="00575379"/>
    <w:rsid w:val="00582EA5"/>
    <w:rsid w:val="005909C9"/>
    <w:rsid w:val="005B2FD5"/>
    <w:rsid w:val="005B5ED7"/>
    <w:rsid w:val="005B7EB7"/>
    <w:rsid w:val="005C31D7"/>
    <w:rsid w:val="005C35E9"/>
    <w:rsid w:val="005C45DD"/>
    <w:rsid w:val="005C72FF"/>
    <w:rsid w:val="005D0431"/>
    <w:rsid w:val="005D0609"/>
    <w:rsid w:val="005D32E9"/>
    <w:rsid w:val="005D353B"/>
    <w:rsid w:val="005E02EC"/>
    <w:rsid w:val="005F1464"/>
    <w:rsid w:val="00603B45"/>
    <w:rsid w:val="0062094E"/>
    <w:rsid w:val="00622958"/>
    <w:rsid w:val="006242C3"/>
    <w:rsid w:val="00631B1C"/>
    <w:rsid w:val="0063770B"/>
    <w:rsid w:val="00640F74"/>
    <w:rsid w:val="00646BFF"/>
    <w:rsid w:val="00656027"/>
    <w:rsid w:val="00656EEA"/>
    <w:rsid w:val="00656F00"/>
    <w:rsid w:val="00674713"/>
    <w:rsid w:val="00684353"/>
    <w:rsid w:val="00685C2E"/>
    <w:rsid w:val="006905D3"/>
    <w:rsid w:val="006916C9"/>
    <w:rsid w:val="00691DC8"/>
    <w:rsid w:val="006962BF"/>
    <w:rsid w:val="006A4346"/>
    <w:rsid w:val="006A4FBC"/>
    <w:rsid w:val="006A53A7"/>
    <w:rsid w:val="006B5A8F"/>
    <w:rsid w:val="006B7C94"/>
    <w:rsid w:val="006D67B6"/>
    <w:rsid w:val="006E03DB"/>
    <w:rsid w:val="006E0DE3"/>
    <w:rsid w:val="006E10EA"/>
    <w:rsid w:val="006E5AE8"/>
    <w:rsid w:val="006E6A15"/>
    <w:rsid w:val="00702A2F"/>
    <w:rsid w:val="0070534B"/>
    <w:rsid w:val="00705C96"/>
    <w:rsid w:val="007078FA"/>
    <w:rsid w:val="007118CC"/>
    <w:rsid w:val="00712D53"/>
    <w:rsid w:val="00716CF9"/>
    <w:rsid w:val="007219B2"/>
    <w:rsid w:val="00726CFE"/>
    <w:rsid w:val="00732C58"/>
    <w:rsid w:val="00734D77"/>
    <w:rsid w:val="00740240"/>
    <w:rsid w:val="00743AB6"/>
    <w:rsid w:val="00743C2D"/>
    <w:rsid w:val="00764EAB"/>
    <w:rsid w:val="0077437E"/>
    <w:rsid w:val="007765CD"/>
    <w:rsid w:val="007B7699"/>
    <w:rsid w:val="007C255D"/>
    <w:rsid w:val="007C416F"/>
    <w:rsid w:val="007C5082"/>
    <w:rsid w:val="007C5E93"/>
    <w:rsid w:val="007C6D6C"/>
    <w:rsid w:val="007D3386"/>
    <w:rsid w:val="007D3A7E"/>
    <w:rsid w:val="007D52D6"/>
    <w:rsid w:val="007D53FC"/>
    <w:rsid w:val="007D5FC6"/>
    <w:rsid w:val="007D77A4"/>
    <w:rsid w:val="0080336D"/>
    <w:rsid w:val="00805789"/>
    <w:rsid w:val="00812BC8"/>
    <w:rsid w:val="00814F38"/>
    <w:rsid w:val="008222B2"/>
    <w:rsid w:val="008245A1"/>
    <w:rsid w:val="00825B19"/>
    <w:rsid w:val="00830110"/>
    <w:rsid w:val="00830F1D"/>
    <w:rsid w:val="008325FA"/>
    <w:rsid w:val="00832650"/>
    <w:rsid w:val="00837207"/>
    <w:rsid w:val="00841D60"/>
    <w:rsid w:val="00844579"/>
    <w:rsid w:val="00847BA9"/>
    <w:rsid w:val="00870B75"/>
    <w:rsid w:val="0087400D"/>
    <w:rsid w:val="00875715"/>
    <w:rsid w:val="008758A6"/>
    <w:rsid w:val="0087634D"/>
    <w:rsid w:val="00876AD3"/>
    <w:rsid w:val="008A1E4F"/>
    <w:rsid w:val="008A21AD"/>
    <w:rsid w:val="008A3415"/>
    <w:rsid w:val="008A7B55"/>
    <w:rsid w:val="008B107D"/>
    <w:rsid w:val="008B3443"/>
    <w:rsid w:val="008B68D8"/>
    <w:rsid w:val="008C420A"/>
    <w:rsid w:val="008D26CA"/>
    <w:rsid w:val="008D48FA"/>
    <w:rsid w:val="008D7E0A"/>
    <w:rsid w:val="008E0012"/>
    <w:rsid w:val="008E119E"/>
    <w:rsid w:val="008E1807"/>
    <w:rsid w:val="008E51D0"/>
    <w:rsid w:val="00902F45"/>
    <w:rsid w:val="0090759B"/>
    <w:rsid w:val="0091088F"/>
    <w:rsid w:val="009133F5"/>
    <w:rsid w:val="009154BE"/>
    <w:rsid w:val="00922FBD"/>
    <w:rsid w:val="009245F6"/>
    <w:rsid w:val="00926407"/>
    <w:rsid w:val="0093025A"/>
    <w:rsid w:val="00930A78"/>
    <w:rsid w:val="00933C2A"/>
    <w:rsid w:val="00941820"/>
    <w:rsid w:val="00946317"/>
    <w:rsid w:val="009548E8"/>
    <w:rsid w:val="009558E9"/>
    <w:rsid w:val="00960615"/>
    <w:rsid w:val="009647CB"/>
    <w:rsid w:val="00964C0F"/>
    <w:rsid w:val="00972EBD"/>
    <w:rsid w:val="009747C3"/>
    <w:rsid w:val="00977E2F"/>
    <w:rsid w:val="009836F8"/>
    <w:rsid w:val="00987CDC"/>
    <w:rsid w:val="009946A1"/>
    <w:rsid w:val="009A62E3"/>
    <w:rsid w:val="009B16D3"/>
    <w:rsid w:val="009B359A"/>
    <w:rsid w:val="009B4474"/>
    <w:rsid w:val="009C6554"/>
    <w:rsid w:val="009C69F0"/>
    <w:rsid w:val="009D0641"/>
    <w:rsid w:val="009D14A8"/>
    <w:rsid w:val="009D24CF"/>
    <w:rsid w:val="009D4F5C"/>
    <w:rsid w:val="009E1DCB"/>
    <w:rsid w:val="009E4434"/>
    <w:rsid w:val="009E4F04"/>
    <w:rsid w:val="009F0165"/>
    <w:rsid w:val="009F2553"/>
    <w:rsid w:val="009F425A"/>
    <w:rsid w:val="009F636D"/>
    <w:rsid w:val="00A01DF9"/>
    <w:rsid w:val="00A0447D"/>
    <w:rsid w:val="00A068BB"/>
    <w:rsid w:val="00A1377E"/>
    <w:rsid w:val="00A1629D"/>
    <w:rsid w:val="00A202B9"/>
    <w:rsid w:val="00A2703E"/>
    <w:rsid w:val="00A40CD5"/>
    <w:rsid w:val="00A4231E"/>
    <w:rsid w:val="00A55D71"/>
    <w:rsid w:val="00A5613A"/>
    <w:rsid w:val="00A60D1B"/>
    <w:rsid w:val="00A740B2"/>
    <w:rsid w:val="00A7514C"/>
    <w:rsid w:val="00A75530"/>
    <w:rsid w:val="00A833FA"/>
    <w:rsid w:val="00A86ABF"/>
    <w:rsid w:val="00A902D6"/>
    <w:rsid w:val="00A93CAD"/>
    <w:rsid w:val="00A971AC"/>
    <w:rsid w:val="00AB1423"/>
    <w:rsid w:val="00AB2C1B"/>
    <w:rsid w:val="00AD306E"/>
    <w:rsid w:val="00AE2BCA"/>
    <w:rsid w:val="00AF001F"/>
    <w:rsid w:val="00AF6DD8"/>
    <w:rsid w:val="00AF7275"/>
    <w:rsid w:val="00B0313A"/>
    <w:rsid w:val="00B10549"/>
    <w:rsid w:val="00B1161F"/>
    <w:rsid w:val="00B12934"/>
    <w:rsid w:val="00B13782"/>
    <w:rsid w:val="00B15F91"/>
    <w:rsid w:val="00B21837"/>
    <w:rsid w:val="00B26308"/>
    <w:rsid w:val="00B26CF2"/>
    <w:rsid w:val="00B32B8C"/>
    <w:rsid w:val="00B32C96"/>
    <w:rsid w:val="00B3488C"/>
    <w:rsid w:val="00B37584"/>
    <w:rsid w:val="00B51DCA"/>
    <w:rsid w:val="00B53317"/>
    <w:rsid w:val="00B602B3"/>
    <w:rsid w:val="00B635D8"/>
    <w:rsid w:val="00B63A2A"/>
    <w:rsid w:val="00B643AE"/>
    <w:rsid w:val="00B71331"/>
    <w:rsid w:val="00B723AF"/>
    <w:rsid w:val="00B74F29"/>
    <w:rsid w:val="00B8217C"/>
    <w:rsid w:val="00B87CFA"/>
    <w:rsid w:val="00B93D01"/>
    <w:rsid w:val="00BB6917"/>
    <w:rsid w:val="00BB7CAC"/>
    <w:rsid w:val="00BB7F76"/>
    <w:rsid w:val="00BC35C5"/>
    <w:rsid w:val="00BC550F"/>
    <w:rsid w:val="00BD2094"/>
    <w:rsid w:val="00BE0DF8"/>
    <w:rsid w:val="00BF12A8"/>
    <w:rsid w:val="00BF35E6"/>
    <w:rsid w:val="00BF55C1"/>
    <w:rsid w:val="00BF68BA"/>
    <w:rsid w:val="00C01A4B"/>
    <w:rsid w:val="00C0346D"/>
    <w:rsid w:val="00C04CCC"/>
    <w:rsid w:val="00C05E91"/>
    <w:rsid w:val="00C06B6C"/>
    <w:rsid w:val="00C10898"/>
    <w:rsid w:val="00C17C70"/>
    <w:rsid w:val="00C3123B"/>
    <w:rsid w:val="00C31FE9"/>
    <w:rsid w:val="00C45F47"/>
    <w:rsid w:val="00C468E4"/>
    <w:rsid w:val="00C46F2A"/>
    <w:rsid w:val="00C51AB0"/>
    <w:rsid w:val="00C60E56"/>
    <w:rsid w:val="00C634BA"/>
    <w:rsid w:val="00C85A90"/>
    <w:rsid w:val="00C86EF4"/>
    <w:rsid w:val="00C90BB6"/>
    <w:rsid w:val="00C9780E"/>
    <w:rsid w:val="00CA0B2C"/>
    <w:rsid w:val="00CC0193"/>
    <w:rsid w:val="00CC36BF"/>
    <w:rsid w:val="00CD2D06"/>
    <w:rsid w:val="00CD4B19"/>
    <w:rsid w:val="00CD5EB0"/>
    <w:rsid w:val="00CD77B5"/>
    <w:rsid w:val="00CE0020"/>
    <w:rsid w:val="00CE125C"/>
    <w:rsid w:val="00CE15CE"/>
    <w:rsid w:val="00CE16FE"/>
    <w:rsid w:val="00CE3AF9"/>
    <w:rsid w:val="00CE5C1E"/>
    <w:rsid w:val="00CE75E8"/>
    <w:rsid w:val="00CF3E1E"/>
    <w:rsid w:val="00D05843"/>
    <w:rsid w:val="00D14ABA"/>
    <w:rsid w:val="00D22CFF"/>
    <w:rsid w:val="00D324C2"/>
    <w:rsid w:val="00D51016"/>
    <w:rsid w:val="00D52C94"/>
    <w:rsid w:val="00D60185"/>
    <w:rsid w:val="00D60B41"/>
    <w:rsid w:val="00D6260F"/>
    <w:rsid w:val="00D639D6"/>
    <w:rsid w:val="00D657B6"/>
    <w:rsid w:val="00D76E24"/>
    <w:rsid w:val="00D77268"/>
    <w:rsid w:val="00D94AA2"/>
    <w:rsid w:val="00D97669"/>
    <w:rsid w:val="00D97EB5"/>
    <w:rsid w:val="00DA29AA"/>
    <w:rsid w:val="00DA59D5"/>
    <w:rsid w:val="00DA7FBE"/>
    <w:rsid w:val="00DB30F4"/>
    <w:rsid w:val="00DB3C49"/>
    <w:rsid w:val="00DB6319"/>
    <w:rsid w:val="00DC12C6"/>
    <w:rsid w:val="00DD29F8"/>
    <w:rsid w:val="00DD3DEA"/>
    <w:rsid w:val="00DD55D9"/>
    <w:rsid w:val="00DE1F10"/>
    <w:rsid w:val="00DF16D0"/>
    <w:rsid w:val="00DF552B"/>
    <w:rsid w:val="00E03B96"/>
    <w:rsid w:val="00E06A0E"/>
    <w:rsid w:val="00E07478"/>
    <w:rsid w:val="00E1211B"/>
    <w:rsid w:val="00E20405"/>
    <w:rsid w:val="00E20FCF"/>
    <w:rsid w:val="00E25ECB"/>
    <w:rsid w:val="00E34CEA"/>
    <w:rsid w:val="00E442CF"/>
    <w:rsid w:val="00E527E1"/>
    <w:rsid w:val="00E56E2A"/>
    <w:rsid w:val="00E62BF2"/>
    <w:rsid w:val="00E62D76"/>
    <w:rsid w:val="00E70505"/>
    <w:rsid w:val="00E74655"/>
    <w:rsid w:val="00E74DE6"/>
    <w:rsid w:val="00E770EC"/>
    <w:rsid w:val="00E87FDB"/>
    <w:rsid w:val="00E9671B"/>
    <w:rsid w:val="00EA3E5C"/>
    <w:rsid w:val="00EB0BBB"/>
    <w:rsid w:val="00EB105D"/>
    <w:rsid w:val="00EB37C5"/>
    <w:rsid w:val="00EC5409"/>
    <w:rsid w:val="00EC5440"/>
    <w:rsid w:val="00EC5ED7"/>
    <w:rsid w:val="00ED0D06"/>
    <w:rsid w:val="00ED424F"/>
    <w:rsid w:val="00ED4D68"/>
    <w:rsid w:val="00ED54A5"/>
    <w:rsid w:val="00ED607C"/>
    <w:rsid w:val="00EE0C50"/>
    <w:rsid w:val="00EE1C64"/>
    <w:rsid w:val="00EE2960"/>
    <w:rsid w:val="00EF2E56"/>
    <w:rsid w:val="00EF4A34"/>
    <w:rsid w:val="00EF5D7B"/>
    <w:rsid w:val="00EF5E11"/>
    <w:rsid w:val="00EF7CF4"/>
    <w:rsid w:val="00F020D1"/>
    <w:rsid w:val="00F06FFB"/>
    <w:rsid w:val="00F126DC"/>
    <w:rsid w:val="00F12E3E"/>
    <w:rsid w:val="00F14840"/>
    <w:rsid w:val="00F201C3"/>
    <w:rsid w:val="00F21BA8"/>
    <w:rsid w:val="00F223DF"/>
    <w:rsid w:val="00F31E9C"/>
    <w:rsid w:val="00F3677B"/>
    <w:rsid w:val="00F43E0A"/>
    <w:rsid w:val="00F51049"/>
    <w:rsid w:val="00F52D89"/>
    <w:rsid w:val="00F5365A"/>
    <w:rsid w:val="00F5535E"/>
    <w:rsid w:val="00F55FD4"/>
    <w:rsid w:val="00F56ADA"/>
    <w:rsid w:val="00F60209"/>
    <w:rsid w:val="00F61C60"/>
    <w:rsid w:val="00F62478"/>
    <w:rsid w:val="00F63B88"/>
    <w:rsid w:val="00F70B5C"/>
    <w:rsid w:val="00F712F5"/>
    <w:rsid w:val="00F759F3"/>
    <w:rsid w:val="00F87ACF"/>
    <w:rsid w:val="00F92F1E"/>
    <w:rsid w:val="00F947E2"/>
    <w:rsid w:val="00F948BB"/>
    <w:rsid w:val="00F960ED"/>
    <w:rsid w:val="00FA50F0"/>
    <w:rsid w:val="00FA5703"/>
    <w:rsid w:val="00FA5EDA"/>
    <w:rsid w:val="00FA7162"/>
    <w:rsid w:val="00FB325A"/>
    <w:rsid w:val="00FB399E"/>
    <w:rsid w:val="00FB4CA5"/>
    <w:rsid w:val="00FB4CDD"/>
    <w:rsid w:val="00FB5424"/>
    <w:rsid w:val="00FB7048"/>
    <w:rsid w:val="00FB7969"/>
    <w:rsid w:val="00FC2EC4"/>
    <w:rsid w:val="00FC3406"/>
    <w:rsid w:val="00FD1BE3"/>
    <w:rsid w:val="00FD1F4B"/>
    <w:rsid w:val="00FD3ABD"/>
    <w:rsid w:val="00FD5DCA"/>
    <w:rsid w:val="00FD7F6D"/>
    <w:rsid w:val="00FF4F47"/>
    <w:rsid w:val="3C51B752"/>
    <w:rsid w:val="44D7A74D"/>
    <w:rsid w:val="54432CF8"/>
    <w:rsid w:val="6C2DB232"/>
    <w:rsid w:val="70EBBA99"/>
    <w:rsid w:val="74AA2110"/>
    <w:rsid w:val="7971C0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D889E"/>
  <w15:docId w15:val="{71F33A4D-2301-4163-AFDE-64951E41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29D"/>
    <w:pPr>
      <w:spacing w:after="0" w:line="240" w:lineRule="auto"/>
    </w:pPr>
    <w:rPr>
      <w:rFonts w:ascii="Verdana" w:eastAsia="Times New Roman" w:hAnsi="Verdana" w:cs="Times New Roman"/>
      <w:szCs w:val="20"/>
      <w:lang w:eastAsia="en-GB"/>
    </w:rPr>
  </w:style>
  <w:style w:type="paragraph" w:styleId="Heading1">
    <w:name w:val="heading 1"/>
    <w:basedOn w:val="Normal"/>
    <w:next w:val="Normal"/>
    <w:link w:val="Heading1Char"/>
    <w:uiPriority w:val="9"/>
    <w:qFormat/>
    <w:rsid w:val="00A162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1629D"/>
    <w:pPr>
      <w:keepNext/>
      <w:numPr>
        <w:ilvl w:val="1"/>
        <w:numId w:val="3"/>
      </w:numPr>
      <w:spacing w:before="360" w:after="60"/>
      <w:outlineLvl w:val="1"/>
    </w:pPr>
    <w:rPr>
      <w:color w:val="000000"/>
      <w:sz w:val="44"/>
    </w:rPr>
  </w:style>
  <w:style w:type="paragraph" w:styleId="Heading3">
    <w:name w:val="heading 3"/>
    <w:basedOn w:val="Normal"/>
    <w:next w:val="Normal"/>
    <w:link w:val="Heading3Char"/>
    <w:qFormat/>
    <w:rsid w:val="00A1629D"/>
    <w:pPr>
      <w:keepNext/>
      <w:widowControl w:val="0"/>
      <w:numPr>
        <w:ilvl w:val="2"/>
        <w:numId w:val="3"/>
      </w:numPr>
      <w:spacing w:before="320" w:after="60"/>
      <w:outlineLvl w:val="2"/>
    </w:pPr>
    <w:rPr>
      <w:caps/>
      <w:color w:val="000000"/>
      <w:sz w:val="28"/>
    </w:rPr>
  </w:style>
  <w:style w:type="paragraph" w:styleId="Heading4">
    <w:name w:val="heading 4"/>
    <w:basedOn w:val="Normal"/>
    <w:next w:val="Normal"/>
    <w:link w:val="Heading4Char"/>
    <w:qFormat/>
    <w:rsid w:val="00A1629D"/>
    <w:pPr>
      <w:keepNext/>
      <w:widowControl w:val="0"/>
      <w:numPr>
        <w:ilvl w:val="3"/>
        <w:numId w:val="3"/>
      </w:numPr>
      <w:spacing w:before="240" w:after="40"/>
      <w:outlineLvl w:val="3"/>
    </w:pPr>
    <w:rPr>
      <w:b/>
      <w:i/>
      <w:color w:val="000000"/>
    </w:rPr>
  </w:style>
  <w:style w:type="paragraph" w:styleId="Heading5">
    <w:name w:val="heading 5"/>
    <w:basedOn w:val="Normal"/>
    <w:next w:val="Normal"/>
    <w:link w:val="Heading5Char"/>
    <w:qFormat/>
    <w:rsid w:val="00A1629D"/>
    <w:pPr>
      <w:keepNext/>
      <w:numPr>
        <w:ilvl w:val="4"/>
        <w:numId w:val="3"/>
      </w:numPr>
      <w:spacing w:before="220" w:after="40"/>
      <w:outlineLvl w:val="4"/>
    </w:pPr>
    <w:rPr>
      <w:color w:val="000000"/>
    </w:rPr>
  </w:style>
  <w:style w:type="paragraph" w:styleId="Heading6">
    <w:name w:val="heading 6"/>
    <w:basedOn w:val="Normal"/>
    <w:next w:val="Normal"/>
    <w:link w:val="Heading6Char"/>
    <w:uiPriority w:val="9"/>
    <w:semiHidden/>
    <w:unhideWhenUsed/>
    <w:qFormat/>
    <w:rsid w:val="00A1629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A1629D"/>
    <w:pPr>
      <w:numPr>
        <w:ilvl w:val="6"/>
        <w:numId w:val="3"/>
      </w:numPr>
      <w:tabs>
        <w:tab w:val="left" w:pos="993"/>
      </w:tabs>
      <w:spacing w:after="60"/>
      <w:outlineLvl w:val="6"/>
    </w:pPr>
    <w:rPr>
      <w:color w:val="000000"/>
      <w:sz w:val="20"/>
    </w:rPr>
  </w:style>
  <w:style w:type="paragraph" w:styleId="Heading8">
    <w:name w:val="heading 8"/>
    <w:basedOn w:val="Normal"/>
    <w:next w:val="Normal"/>
    <w:link w:val="Heading8Char"/>
    <w:qFormat/>
    <w:rsid w:val="00A1629D"/>
    <w:pPr>
      <w:numPr>
        <w:ilvl w:val="7"/>
        <w:numId w:val="3"/>
      </w:numPr>
      <w:spacing w:before="140" w:after="20"/>
      <w:outlineLvl w:val="7"/>
    </w:pPr>
    <w:rPr>
      <w:i/>
      <w:color w:val="000000"/>
      <w:sz w:val="18"/>
    </w:rPr>
  </w:style>
  <w:style w:type="paragraph" w:styleId="Heading9">
    <w:name w:val="heading 9"/>
    <w:basedOn w:val="Normal"/>
    <w:next w:val="Normal"/>
    <w:link w:val="Heading9Char"/>
    <w:qFormat/>
    <w:rsid w:val="00A1629D"/>
    <w:pPr>
      <w:keepNext/>
      <w:widowControl w:val="0"/>
      <w:numPr>
        <w:ilvl w:val="8"/>
        <w:numId w:val="3"/>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629D"/>
    <w:rPr>
      <w:rFonts w:ascii="Verdana" w:eastAsia="Times New Roman" w:hAnsi="Verdana" w:cs="Times New Roman"/>
      <w:color w:val="000000"/>
      <w:sz w:val="44"/>
      <w:szCs w:val="20"/>
      <w:lang w:eastAsia="en-GB"/>
    </w:rPr>
  </w:style>
  <w:style w:type="character" w:customStyle="1" w:styleId="Heading3Char">
    <w:name w:val="Heading 3 Char"/>
    <w:basedOn w:val="DefaultParagraphFont"/>
    <w:link w:val="Heading3"/>
    <w:rsid w:val="00A1629D"/>
    <w:rPr>
      <w:rFonts w:ascii="Verdana" w:eastAsia="Times New Roman" w:hAnsi="Verdana" w:cs="Times New Roman"/>
      <w:caps/>
      <w:color w:val="000000"/>
      <w:sz w:val="28"/>
      <w:szCs w:val="20"/>
      <w:lang w:eastAsia="en-GB"/>
    </w:rPr>
  </w:style>
  <w:style w:type="character" w:customStyle="1" w:styleId="Heading4Char">
    <w:name w:val="Heading 4 Char"/>
    <w:basedOn w:val="DefaultParagraphFont"/>
    <w:link w:val="Heading4"/>
    <w:rsid w:val="00A1629D"/>
    <w:rPr>
      <w:rFonts w:ascii="Verdana" w:eastAsia="Times New Roman" w:hAnsi="Verdana" w:cs="Times New Roman"/>
      <w:b/>
      <w:i/>
      <w:color w:val="000000"/>
      <w:szCs w:val="20"/>
      <w:lang w:eastAsia="en-GB"/>
    </w:rPr>
  </w:style>
  <w:style w:type="character" w:customStyle="1" w:styleId="Heading5Char">
    <w:name w:val="Heading 5 Char"/>
    <w:basedOn w:val="DefaultParagraphFont"/>
    <w:link w:val="Heading5"/>
    <w:rsid w:val="00A1629D"/>
    <w:rPr>
      <w:rFonts w:ascii="Verdana" w:eastAsia="Times New Roman" w:hAnsi="Verdana" w:cs="Times New Roman"/>
      <w:color w:val="000000"/>
      <w:szCs w:val="20"/>
      <w:lang w:eastAsia="en-GB"/>
    </w:rPr>
  </w:style>
  <w:style w:type="character" w:customStyle="1" w:styleId="Heading7Char">
    <w:name w:val="Heading 7 Char"/>
    <w:basedOn w:val="DefaultParagraphFont"/>
    <w:link w:val="Heading7"/>
    <w:rsid w:val="00A1629D"/>
    <w:rPr>
      <w:rFonts w:ascii="Verdana" w:eastAsia="Times New Roman" w:hAnsi="Verdana" w:cs="Times New Roman"/>
      <w:color w:val="000000"/>
      <w:sz w:val="20"/>
      <w:szCs w:val="20"/>
      <w:lang w:eastAsia="en-GB"/>
    </w:rPr>
  </w:style>
  <w:style w:type="character" w:customStyle="1" w:styleId="Heading8Char">
    <w:name w:val="Heading 8 Char"/>
    <w:basedOn w:val="DefaultParagraphFont"/>
    <w:link w:val="Heading8"/>
    <w:rsid w:val="00A1629D"/>
    <w:rPr>
      <w:rFonts w:ascii="Verdana" w:eastAsia="Times New Roman" w:hAnsi="Verdana" w:cs="Times New Roman"/>
      <w:i/>
      <w:color w:val="000000"/>
      <w:sz w:val="18"/>
      <w:szCs w:val="20"/>
      <w:lang w:eastAsia="en-GB"/>
    </w:rPr>
  </w:style>
  <w:style w:type="character" w:customStyle="1" w:styleId="Heading9Char">
    <w:name w:val="Heading 9 Char"/>
    <w:basedOn w:val="DefaultParagraphFont"/>
    <w:link w:val="Heading9"/>
    <w:rsid w:val="00A1629D"/>
    <w:rPr>
      <w:rFonts w:ascii="Verdana" w:eastAsia="Times New Roman" w:hAnsi="Verdana" w:cs="Times New Roman"/>
      <w:color w:val="000000"/>
      <w:sz w:val="14"/>
      <w:szCs w:val="20"/>
      <w:lang w:eastAsia="en-GB"/>
    </w:rPr>
  </w:style>
  <w:style w:type="paragraph" w:styleId="Header">
    <w:name w:val="header"/>
    <w:basedOn w:val="Normal"/>
    <w:link w:val="HeaderChar"/>
    <w:uiPriority w:val="99"/>
    <w:rsid w:val="00A1629D"/>
    <w:pPr>
      <w:tabs>
        <w:tab w:val="center" w:pos="4153"/>
        <w:tab w:val="right" w:pos="8306"/>
      </w:tabs>
    </w:pPr>
  </w:style>
  <w:style w:type="character" w:customStyle="1" w:styleId="HeaderChar">
    <w:name w:val="Header Char"/>
    <w:basedOn w:val="DefaultParagraphFont"/>
    <w:link w:val="Header"/>
    <w:uiPriority w:val="99"/>
    <w:rsid w:val="00A1629D"/>
    <w:rPr>
      <w:rFonts w:ascii="Verdana" w:eastAsia="Times New Roman" w:hAnsi="Verdana" w:cs="Times New Roman"/>
      <w:szCs w:val="20"/>
      <w:lang w:eastAsia="en-GB"/>
    </w:rPr>
  </w:style>
  <w:style w:type="paragraph" w:styleId="Footer">
    <w:name w:val="footer"/>
    <w:basedOn w:val="Normal"/>
    <w:link w:val="FooterChar"/>
    <w:uiPriority w:val="99"/>
    <w:rsid w:val="00A1629D"/>
    <w:pPr>
      <w:tabs>
        <w:tab w:val="center" w:pos="4153"/>
        <w:tab w:val="right" w:pos="8306"/>
      </w:tabs>
    </w:pPr>
    <w:rPr>
      <w:sz w:val="18"/>
    </w:rPr>
  </w:style>
  <w:style w:type="character" w:customStyle="1" w:styleId="FooterChar">
    <w:name w:val="Footer Char"/>
    <w:basedOn w:val="DefaultParagraphFont"/>
    <w:link w:val="Footer"/>
    <w:uiPriority w:val="99"/>
    <w:rsid w:val="00A1629D"/>
    <w:rPr>
      <w:rFonts w:ascii="Verdana" w:eastAsia="Times New Roman" w:hAnsi="Verdana" w:cs="Times New Roman"/>
      <w:sz w:val="18"/>
      <w:szCs w:val="20"/>
      <w:lang w:eastAsia="en-GB"/>
    </w:rPr>
  </w:style>
  <w:style w:type="character" w:styleId="PageNumber">
    <w:name w:val="page number"/>
    <w:basedOn w:val="DefaultParagraphFont"/>
    <w:rsid w:val="00A1629D"/>
    <w:rPr>
      <w:rFonts w:ascii="Verdana" w:hAnsi="Verdana"/>
      <w:sz w:val="18"/>
    </w:rPr>
  </w:style>
  <w:style w:type="paragraph" w:customStyle="1" w:styleId="TBullet">
    <w:name w:val="T_Bullet"/>
    <w:basedOn w:val="Normal"/>
    <w:rsid w:val="00A1629D"/>
    <w:pPr>
      <w:numPr>
        <w:numId w:val="1"/>
      </w:numPr>
      <w:tabs>
        <w:tab w:val="left" w:pos="851"/>
      </w:tabs>
    </w:pPr>
    <w:rPr>
      <w:color w:val="000000"/>
      <w:sz w:val="20"/>
    </w:rPr>
  </w:style>
  <w:style w:type="paragraph" w:customStyle="1" w:styleId="Style1">
    <w:name w:val="Style1"/>
    <w:basedOn w:val="Heading1"/>
    <w:rsid w:val="00A1629D"/>
    <w:pPr>
      <w:keepNext w:val="0"/>
      <w:keepLines w:val="0"/>
      <w:numPr>
        <w:numId w:val="3"/>
      </w:numPr>
      <w:tabs>
        <w:tab w:val="left" w:pos="432"/>
      </w:tabs>
      <w:spacing w:before="180"/>
    </w:pPr>
    <w:rPr>
      <w:rFonts w:ascii="Verdana" w:eastAsia="Times New Roman" w:hAnsi="Verdana" w:cs="Times New Roman"/>
      <w:color w:val="000000"/>
      <w:kern w:val="28"/>
      <w:sz w:val="22"/>
      <w:szCs w:val="20"/>
    </w:rPr>
  </w:style>
  <w:style w:type="paragraph" w:customStyle="1" w:styleId="Conditions1">
    <w:name w:val="Conditions1"/>
    <w:rsid w:val="00A1629D"/>
    <w:pPr>
      <w:numPr>
        <w:numId w:val="4"/>
      </w:numPr>
      <w:spacing w:before="120" w:after="0" w:line="240" w:lineRule="auto"/>
    </w:pPr>
    <w:rPr>
      <w:rFonts w:ascii="Verdana" w:eastAsia="Times New Roman" w:hAnsi="Verdana" w:cs="Times New Roman"/>
      <w:szCs w:val="20"/>
      <w:lang w:eastAsia="en-GB"/>
    </w:rPr>
  </w:style>
  <w:style w:type="paragraph" w:customStyle="1" w:styleId="Conditions2">
    <w:name w:val="Conditions2"/>
    <w:rsid w:val="00A1629D"/>
    <w:pPr>
      <w:numPr>
        <w:ilvl w:val="2"/>
        <w:numId w:val="4"/>
      </w:numPr>
      <w:spacing w:before="60" w:after="0" w:line="240" w:lineRule="auto"/>
    </w:pPr>
    <w:rPr>
      <w:rFonts w:ascii="Verdana" w:eastAsia="Times New Roman" w:hAnsi="Verdana" w:cs="Times New Roman"/>
      <w:szCs w:val="20"/>
      <w:lang w:eastAsia="en-GB"/>
    </w:rPr>
  </w:style>
  <w:style w:type="paragraph" w:customStyle="1" w:styleId="Heading6blackfont">
    <w:name w:val="Heading 6 + black font"/>
    <w:basedOn w:val="Heading6"/>
    <w:next w:val="Style1"/>
    <w:rsid w:val="00A1629D"/>
    <w:pPr>
      <w:keepLines w:val="0"/>
      <w:widowControl w:val="0"/>
      <w:spacing w:before="180"/>
    </w:pPr>
    <w:rPr>
      <w:rFonts w:ascii="Verdana" w:eastAsia="Times New Roman" w:hAnsi="Verdana" w:cs="Times New Roman"/>
      <w:b/>
      <w:color w:val="000000"/>
      <w:szCs w:val="22"/>
    </w:rPr>
  </w:style>
  <w:style w:type="paragraph" w:styleId="FootnoteText">
    <w:name w:val="footnote text"/>
    <w:basedOn w:val="Normal"/>
    <w:link w:val="FootnoteTextChar"/>
    <w:semiHidden/>
    <w:rsid w:val="00A1629D"/>
    <w:rPr>
      <w:sz w:val="16"/>
    </w:rPr>
  </w:style>
  <w:style w:type="character" w:customStyle="1" w:styleId="FootnoteTextChar">
    <w:name w:val="Footnote Text Char"/>
    <w:basedOn w:val="DefaultParagraphFont"/>
    <w:link w:val="FootnoteText"/>
    <w:semiHidden/>
    <w:rsid w:val="00A1629D"/>
    <w:rPr>
      <w:rFonts w:ascii="Verdana" w:eastAsia="Times New Roman" w:hAnsi="Verdana" w:cs="Times New Roman"/>
      <w:sz w:val="16"/>
      <w:szCs w:val="20"/>
      <w:lang w:eastAsia="en-GB"/>
    </w:rPr>
  </w:style>
  <w:style w:type="character" w:styleId="Hyperlink">
    <w:name w:val="Hyperlink"/>
    <w:basedOn w:val="DefaultParagraphFont"/>
    <w:rsid w:val="00A1629D"/>
    <w:rPr>
      <w:color w:val="0000FF"/>
      <w:u w:val="single"/>
    </w:rPr>
  </w:style>
  <w:style w:type="paragraph" w:customStyle="1" w:styleId="ConditionsBullet">
    <w:name w:val="ConditionsBullet"/>
    <w:basedOn w:val="Conditions2"/>
    <w:qFormat/>
    <w:rsid w:val="00A1629D"/>
    <w:pPr>
      <w:numPr>
        <w:ilvl w:val="3"/>
      </w:numPr>
      <w:spacing w:before="0"/>
    </w:pPr>
  </w:style>
  <w:style w:type="numbering" w:customStyle="1" w:styleId="ConditionsList">
    <w:name w:val="ConditionsList"/>
    <w:uiPriority w:val="99"/>
    <w:rsid w:val="00A1629D"/>
    <w:pPr>
      <w:numPr>
        <w:numId w:val="2"/>
      </w:numPr>
    </w:pPr>
  </w:style>
  <w:style w:type="paragraph" w:customStyle="1" w:styleId="ConditionsNoNumber">
    <w:name w:val="ConditionsNoNumber"/>
    <w:basedOn w:val="Normal"/>
    <w:qFormat/>
    <w:rsid w:val="00A1629D"/>
    <w:pPr>
      <w:numPr>
        <w:ilvl w:val="1"/>
        <w:numId w:val="4"/>
      </w:numPr>
      <w:spacing w:before="120"/>
    </w:pPr>
  </w:style>
  <w:style w:type="paragraph" w:customStyle="1" w:styleId="ConditionsNoNumberNoSpaceBefore">
    <w:name w:val="ConditionsNoNumberNoSpaceBefore"/>
    <w:basedOn w:val="ConditionsNoNumber"/>
    <w:qFormat/>
    <w:rsid w:val="00A1629D"/>
    <w:pPr>
      <w:numPr>
        <w:ilvl w:val="4"/>
      </w:numPr>
      <w:spacing w:before="0"/>
    </w:pPr>
  </w:style>
  <w:style w:type="numbering" w:customStyle="1" w:styleId="StylesList">
    <w:name w:val="StylesList"/>
    <w:uiPriority w:val="99"/>
    <w:rsid w:val="00A1629D"/>
    <w:pPr>
      <w:numPr>
        <w:numId w:val="7"/>
      </w:numPr>
    </w:pPr>
  </w:style>
  <w:style w:type="character" w:styleId="FootnoteReference">
    <w:name w:val="footnote reference"/>
    <w:basedOn w:val="DefaultParagraphFont"/>
    <w:semiHidden/>
    <w:unhideWhenUsed/>
    <w:rsid w:val="00A1629D"/>
    <w:rPr>
      <w:vertAlign w:val="superscript"/>
    </w:rPr>
  </w:style>
  <w:style w:type="paragraph" w:styleId="ListParagraph">
    <w:name w:val="List Paragraph"/>
    <w:basedOn w:val="Normal"/>
    <w:uiPriority w:val="1"/>
    <w:qFormat/>
    <w:rsid w:val="00A1629D"/>
    <w:pPr>
      <w:ind w:left="720"/>
      <w:contextualSpacing/>
    </w:pPr>
  </w:style>
  <w:style w:type="character" w:customStyle="1" w:styleId="Heading1Char">
    <w:name w:val="Heading 1 Char"/>
    <w:basedOn w:val="DefaultParagraphFont"/>
    <w:link w:val="Heading1"/>
    <w:uiPriority w:val="9"/>
    <w:rsid w:val="00A1629D"/>
    <w:rPr>
      <w:rFonts w:asciiTheme="majorHAnsi" w:eastAsiaTheme="majorEastAsia" w:hAnsiTheme="majorHAnsi" w:cstheme="majorBidi"/>
      <w:color w:val="2F5496" w:themeColor="accent1" w:themeShade="BF"/>
      <w:sz w:val="32"/>
      <w:szCs w:val="32"/>
      <w:lang w:eastAsia="en-GB"/>
    </w:rPr>
  </w:style>
  <w:style w:type="character" w:customStyle="1" w:styleId="Heading6Char">
    <w:name w:val="Heading 6 Char"/>
    <w:basedOn w:val="DefaultParagraphFont"/>
    <w:link w:val="Heading6"/>
    <w:uiPriority w:val="9"/>
    <w:semiHidden/>
    <w:rsid w:val="00A1629D"/>
    <w:rPr>
      <w:rFonts w:asciiTheme="majorHAnsi" w:eastAsiaTheme="majorEastAsia" w:hAnsiTheme="majorHAnsi" w:cstheme="majorBidi"/>
      <w:color w:val="1F3763" w:themeColor="accent1" w:themeShade="7F"/>
      <w:szCs w:val="20"/>
      <w:lang w:eastAsia="en-GB"/>
    </w:rPr>
  </w:style>
  <w:style w:type="paragraph" w:styleId="Quote">
    <w:name w:val="Quote"/>
    <w:basedOn w:val="Normal"/>
    <w:next w:val="Normal"/>
    <w:link w:val="QuoteChar"/>
    <w:uiPriority w:val="29"/>
    <w:qFormat/>
    <w:rsid w:val="00B1161F"/>
    <w:rPr>
      <w:i/>
      <w:iCs/>
      <w:color w:val="000000" w:themeColor="text1"/>
    </w:rPr>
  </w:style>
  <w:style w:type="character" w:customStyle="1" w:styleId="QuoteChar">
    <w:name w:val="Quote Char"/>
    <w:basedOn w:val="DefaultParagraphFont"/>
    <w:link w:val="Quote"/>
    <w:uiPriority w:val="29"/>
    <w:rsid w:val="00B1161F"/>
    <w:rPr>
      <w:rFonts w:ascii="Verdana" w:eastAsia="Times New Roman" w:hAnsi="Verdana" w:cs="Times New Roman"/>
      <w:i/>
      <w:iCs/>
      <w:color w:val="000000" w:themeColor="text1"/>
      <w:szCs w:val="20"/>
      <w:lang w:eastAsia="en-GB"/>
    </w:rPr>
  </w:style>
  <w:style w:type="paragraph" w:styleId="BalloonText">
    <w:name w:val="Balloon Text"/>
    <w:basedOn w:val="Normal"/>
    <w:link w:val="BalloonTextChar"/>
    <w:uiPriority w:val="99"/>
    <w:semiHidden/>
    <w:unhideWhenUsed/>
    <w:rsid w:val="00E44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2CF"/>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D76E24"/>
    <w:rPr>
      <w:sz w:val="16"/>
      <w:szCs w:val="16"/>
    </w:rPr>
  </w:style>
  <w:style w:type="paragraph" w:styleId="CommentText">
    <w:name w:val="annotation text"/>
    <w:basedOn w:val="Normal"/>
    <w:link w:val="CommentTextChar"/>
    <w:uiPriority w:val="99"/>
    <w:semiHidden/>
    <w:unhideWhenUsed/>
    <w:rsid w:val="00D76E24"/>
    <w:rPr>
      <w:sz w:val="20"/>
    </w:rPr>
  </w:style>
  <w:style w:type="character" w:customStyle="1" w:styleId="CommentTextChar">
    <w:name w:val="Comment Text Char"/>
    <w:basedOn w:val="DefaultParagraphFont"/>
    <w:link w:val="CommentText"/>
    <w:uiPriority w:val="99"/>
    <w:semiHidden/>
    <w:rsid w:val="00D76E24"/>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76E24"/>
    <w:rPr>
      <w:b/>
      <w:bCs/>
    </w:rPr>
  </w:style>
  <w:style w:type="character" w:customStyle="1" w:styleId="CommentSubjectChar">
    <w:name w:val="Comment Subject Char"/>
    <w:basedOn w:val="CommentTextChar"/>
    <w:link w:val="CommentSubject"/>
    <w:uiPriority w:val="99"/>
    <w:semiHidden/>
    <w:rsid w:val="00D76E24"/>
    <w:rPr>
      <w:rFonts w:ascii="Verdana" w:eastAsia="Times New Roman" w:hAnsi="Verdana" w:cs="Times New Roman"/>
      <w:b/>
      <w:bCs/>
      <w:sz w:val="20"/>
      <w:szCs w:val="20"/>
      <w:lang w:eastAsia="en-GB"/>
    </w:rPr>
  </w:style>
  <w:style w:type="paragraph" w:customStyle="1" w:styleId="Noindent">
    <w:name w:val="No indent"/>
    <w:basedOn w:val="Normal"/>
    <w:rsid w:val="00A01DF9"/>
    <w:pPr>
      <w:tabs>
        <w:tab w:val="left" w:pos="4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358D9F-7497-4EB2-A398-91D94A2D2A1E}">
  <ds:schemaRefs>
    <ds:schemaRef ds:uri="http://schemas.openxmlformats.org/officeDocument/2006/bibliography"/>
  </ds:schemaRefs>
</ds:datastoreItem>
</file>

<file path=customXml/itemProps2.xml><?xml version="1.0" encoding="utf-8"?>
<ds:datastoreItem xmlns:ds="http://schemas.openxmlformats.org/officeDocument/2006/customXml" ds:itemID="{EA18F1C7-03C9-4DFE-B502-472D53EE9902}"/>
</file>

<file path=customXml/itemProps3.xml><?xml version="1.0" encoding="utf-8"?>
<ds:datastoreItem xmlns:ds="http://schemas.openxmlformats.org/officeDocument/2006/customXml" ds:itemID="{F391CD57-6A26-4E6F-9CCC-9EE088D8DC9F}"/>
</file>

<file path=customXml/itemProps4.xml><?xml version="1.0" encoding="utf-8"?>
<ds:datastoreItem xmlns:ds="http://schemas.openxmlformats.org/officeDocument/2006/customXml" ds:itemID="{F57BB79E-1E11-42AB-9C4B-7990351CAC6D}"/>
</file>

<file path=docProps/app.xml><?xml version="1.0" encoding="utf-8"?>
<Properties xmlns="http://schemas.openxmlformats.org/officeDocument/2006/extended-properties" xmlns:vt="http://schemas.openxmlformats.org/officeDocument/2006/docPropsVTypes">
  <Template>Normal.dotm</Template>
  <TotalTime>45</TotalTime>
  <Pages>11</Pages>
  <Words>4338</Words>
  <Characters>24729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Appeal Decision</vt:lpstr>
    </vt:vector>
  </TitlesOfParts>
  <Company/>
  <LinksUpToDate>false</LinksUpToDate>
  <CharactersWithSpaces>29009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Decision - FPS/P2745/14A/7</dc:title>
  <dc:subject/>
  <dc:creator>Edward Cousins</dc:creator>
  <cp:keywords/>
  <cp:lastModifiedBy>Parsons, Jacky</cp:lastModifiedBy>
  <cp:revision>8</cp:revision>
  <cp:lastPrinted>2021-03-23T12:12:00Z</cp:lastPrinted>
  <dcterms:created xsi:type="dcterms:W3CDTF">2021-03-16T07:11:00Z</dcterms:created>
  <dcterms:modified xsi:type="dcterms:W3CDTF">2021-03-23T12:15:00Z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ies>
</file>