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E088" w14:textId="515D47D1" w:rsidR="00555B2B" w:rsidRPr="00D11BF5" w:rsidRDefault="00555B2B" w:rsidP="003B21A6">
      <w:pPr>
        <w:pStyle w:val="NoSpacing"/>
        <w:spacing w:line="276" w:lineRule="auto"/>
        <w:jc w:val="center"/>
        <w:rPr>
          <w:rFonts w:ascii="Arial" w:hAnsi="Arial" w:cs="Arial"/>
          <w:b/>
          <w:bCs/>
          <w:sz w:val="22"/>
          <w:szCs w:val="22"/>
          <w:u w:val="single"/>
        </w:rPr>
      </w:pPr>
      <w:bookmarkStart w:id="0" w:name="_Hlk45273689"/>
      <w:r w:rsidRPr="00D11BF5">
        <w:rPr>
          <w:rFonts w:ascii="Arial" w:hAnsi="Arial" w:cs="Arial"/>
          <w:b/>
          <w:bCs/>
          <w:sz w:val="22"/>
          <w:szCs w:val="22"/>
          <w:u w:val="single"/>
        </w:rPr>
        <w:t xml:space="preserve">MINUTES OF THE </w:t>
      </w:r>
      <w:r w:rsidRPr="00D11BF5">
        <w:rPr>
          <w:rFonts w:ascii="Arial" w:hAnsi="Arial" w:cs="Arial"/>
          <w:b/>
          <w:bCs/>
          <w:color w:val="000000"/>
          <w:sz w:val="22"/>
          <w:szCs w:val="22"/>
          <w:u w:val="single"/>
        </w:rPr>
        <w:t xml:space="preserve">DEVICES EXPERT ADVISORY COMMITTEE </w:t>
      </w:r>
      <w:r w:rsidRPr="00D11BF5">
        <w:rPr>
          <w:rFonts w:ascii="Arial" w:hAnsi="Arial" w:cs="Arial"/>
          <w:b/>
          <w:bCs/>
          <w:sz w:val="22"/>
          <w:szCs w:val="22"/>
          <w:u w:val="single"/>
        </w:rPr>
        <w:t>MEETING HELD ON 1</w:t>
      </w:r>
      <w:r w:rsidR="00D11BF5" w:rsidRPr="00D11BF5">
        <w:rPr>
          <w:rFonts w:ascii="Arial" w:hAnsi="Arial" w:cs="Arial"/>
          <w:b/>
          <w:bCs/>
          <w:sz w:val="22"/>
          <w:szCs w:val="22"/>
          <w:u w:val="single"/>
        </w:rPr>
        <w:t>9</w:t>
      </w:r>
      <w:r w:rsidRPr="00D11BF5">
        <w:rPr>
          <w:rFonts w:ascii="Arial" w:hAnsi="Arial" w:cs="Arial"/>
          <w:b/>
          <w:bCs/>
          <w:sz w:val="22"/>
          <w:szCs w:val="22"/>
          <w:u w:val="single"/>
          <w:vertAlign w:val="superscript"/>
        </w:rPr>
        <w:t xml:space="preserve">TH </w:t>
      </w:r>
      <w:r w:rsidR="00D11BF5" w:rsidRPr="00D11BF5">
        <w:rPr>
          <w:rFonts w:ascii="Arial" w:hAnsi="Arial" w:cs="Arial"/>
          <w:b/>
          <w:bCs/>
          <w:sz w:val="22"/>
          <w:szCs w:val="22"/>
          <w:u w:val="single"/>
        </w:rPr>
        <w:t>NOV</w:t>
      </w:r>
      <w:r w:rsidRPr="00D11BF5">
        <w:rPr>
          <w:rFonts w:ascii="Arial" w:hAnsi="Arial" w:cs="Arial"/>
          <w:b/>
          <w:bCs/>
          <w:sz w:val="22"/>
          <w:szCs w:val="22"/>
          <w:u w:val="single"/>
        </w:rPr>
        <w:t>EMBER 2020</w:t>
      </w:r>
    </w:p>
    <w:p w14:paraId="62C4FE6C" w14:textId="77777777" w:rsidR="003A568B" w:rsidRPr="00D11BF5" w:rsidRDefault="003A568B" w:rsidP="003A568B">
      <w:pPr>
        <w:pStyle w:val="NoSpacing"/>
        <w:rPr>
          <w:rFonts w:ascii="Arial" w:hAnsi="Arial" w:cs="Arial"/>
          <w:sz w:val="22"/>
          <w:szCs w:val="22"/>
        </w:rPr>
      </w:pPr>
    </w:p>
    <w:p w14:paraId="3182BA91" w14:textId="6425F0A9" w:rsidR="00555B2B" w:rsidRPr="00BE54CE" w:rsidRDefault="00555B2B" w:rsidP="006705FF">
      <w:pPr>
        <w:pStyle w:val="NoSpacing"/>
        <w:jc w:val="center"/>
        <w:rPr>
          <w:rFonts w:ascii="Arial" w:hAnsi="Arial" w:cs="Arial"/>
          <w:i/>
          <w:iCs/>
          <w:sz w:val="22"/>
          <w:szCs w:val="22"/>
        </w:rPr>
      </w:pPr>
      <w:r w:rsidRPr="00BE54CE">
        <w:rPr>
          <w:rFonts w:ascii="Arial" w:hAnsi="Arial" w:cs="Arial"/>
          <w:i/>
          <w:iCs/>
          <w:sz w:val="22"/>
          <w:szCs w:val="22"/>
        </w:rPr>
        <w:t>Meeting held remotely via Zoom videoconferenc</w:t>
      </w:r>
      <w:r w:rsidR="00D11BF5" w:rsidRPr="00BE54CE">
        <w:rPr>
          <w:rFonts w:ascii="Arial" w:hAnsi="Arial" w:cs="Arial"/>
          <w:i/>
          <w:iCs/>
          <w:sz w:val="22"/>
          <w:szCs w:val="22"/>
        </w:rPr>
        <w:t>e</w:t>
      </w:r>
      <w:r w:rsidRPr="00BE54CE">
        <w:rPr>
          <w:rFonts w:ascii="Arial" w:hAnsi="Arial" w:cs="Arial"/>
          <w:i/>
          <w:iCs/>
          <w:sz w:val="22"/>
          <w:szCs w:val="22"/>
        </w:rPr>
        <w:t xml:space="preserve"> from 10:0</w:t>
      </w:r>
      <w:r w:rsidR="00D11BF5" w:rsidRPr="00BE54CE">
        <w:rPr>
          <w:rFonts w:ascii="Arial" w:hAnsi="Arial" w:cs="Arial"/>
          <w:i/>
          <w:iCs/>
          <w:sz w:val="22"/>
          <w:szCs w:val="22"/>
        </w:rPr>
        <w:t>4</w:t>
      </w:r>
      <w:r w:rsidRPr="00BE54CE">
        <w:rPr>
          <w:rFonts w:ascii="Arial" w:hAnsi="Arial" w:cs="Arial"/>
          <w:i/>
          <w:iCs/>
          <w:sz w:val="22"/>
          <w:szCs w:val="22"/>
        </w:rPr>
        <w:t xml:space="preserve"> to</w:t>
      </w:r>
      <w:r w:rsidR="00867DAF" w:rsidRPr="00BE54CE">
        <w:rPr>
          <w:rFonts w:ascii="Arial" w:hAnsi="Arial" w:cs="Arial"/>
          <w:i/>
          <w:iCs/>
          <w:sz w:val="22"/>
          <w:szCs w:val="22"/>
        </w:rPr>
        <w:t xml:space="preserve"> 13:0</w:t>
      </w:r>
      <w:r w:rsidR="00D11BF5" w:rsidRPr="00BE54CE">
        <w:rPr>
          <w:rFonts w:ascii="Arial" w:hAnsi="Arial" w:cs="Arial"/>
          <w:i/>
          <w:iCs/>
          <w:sz w:val="22"/>
          <w:szCs w:val="22"/>
        </w:rPr>
        <w:t>7</w:t>
      </w:r>
    </w:p>
    <w:p w14:paraId="6097548C" w14:textId="77777777" w:rsidR="006705FF" w:rsidRPr="00BE54CE" w:rsidRDefault="006705FF" w:rsidP="003A568B">
      <w:pPr>
        <w:pStyle w:val="NoSpacing"/>
        <w:rPr>
          <w:rFonts w:ascii="Arial" w:hAnsi="Arial" w:cs="Arial"/>
          <w:bCs/>
          <w:i/>
          <w:iCs/>
          <w:sz w:val="22"/>
          <w:szCs w:val="22"/>
          <w:highlight w:val="yellow"/>
        </w:rPr>
      </w:pPr>
    </w:p>
    <w:p w14:paraId="086AA971" w14:textId="77777777" w:rsidR="006705FF" w:rsidRPr="00BE54CE" w:rsidRDefault="006705FF" w:rsidP="003A568B">
      <w:pPr>
        <w:pStyle w:val="NoSpacing"/>
        <w:rPr>
          <w:rFonts w:ascii="Arial" w:hAnsi="Arial" w:cs="Arial"/>
          <w:b/>
          <w:sz w:val="22"/>
          <w:szCs w:val="22"/>
          <w:highlight w:val="yellow"/>
        </w:rPr>
      </w:pPr>
    </w:p>
    <w:p w14:paraId="7F3C1B7F" w14:textId="28936B82" w:rsidR="00555B2B" w:rsidRPr="00BE54CE" w:rsidRDefault="00555B2B" w:rsidP="003A568B">
      <w:pPr>
        <w:pStyle w:val="NoSpacing"/>
        <w:rPr>
          <w:rFonts w:ascii="Arial" w:hAnsi="Arial" w:cs="Arial"/>
          <w:b/>
          <w:sz w:val="22"/>
          <w:szCs w:val="22"/>
        </w:rPr>
      </w:pPr>
      <w:r w:rsidRPr="00BE54CE">
        <w:rPr>
          <w:rFonts w:ascii="Arial" w:hAnsi="Arial" w:cs="Arial"/>
          <w:b/>
          <w:sz w:val="22"/>
          <w:szCs w:val="22"/>
        </w:rPr>
        <w:t>Background</w:t>
      </w:r>
    </w:p>
    <w:p w14:paraId="467BCB86" w14:textId="77777777" w:rsidR="003A568B" w:rsidRPr="00BE54CE" w:rsidRDefault="003A568B" w:rsidP="003A568B">
      <w:pPr>
        <w:pStyle w:val="NoSpacing"/>
        <w:rPr>
          <w:rFonts w:ascii="Arial" w:hAnsi="Arial" w:cs="Arial"/>
          <w:bCs/>
          <w:sz w:val="22"/>
          <w:szCs w:val="22"/>
        </w:rPr>
      </w:pPr>
    </w:p>
    <w:p w14:paraId="3FF7DAA3" w14:textId="5068636B" w:rsidR="00555B2B" w:rsidRPr="00BE54CE" w:rsidRDefault="00555B2B" w:rsidP="006705FF">
      <w:pPr>
        <w:pStyle w:val="NoSpacing"/>
        <w:jc w:val="both"/>
        <w:rPr>
          <w:rFonts w:ascii="Arial" w:hAnsi="Arial" w:cs="Arial"/>
          <w:sz w:val="22"/>
          <w:szCs w:val="22"/>
        </w:rPr>
      </w:pPr>
      <w:r w:rsidRPr="00BE54CE">
        <w:rPr>
          <w:rFonts w:ascii="Arial" w:hAnsi="Arial" w:cs="Arial"/>
          <w:sz w:val="22"/>
          <w:szCs w:val="22"/>
        </w:rPr>
        <w:t xml:space="preserve">The Devices Expert Advisory Committee </w:t>
      </w:r>
      <w:r w:rsidR="003D2026" w:rsidRPr="00BE54CE">
        <w:rPr>
          <w:rFonts w:ascii="Arial" w:hAnsi="Arial" w:cs="Arial"/>
          <w:sz w:val="22"/>
          <w:szCs w:val="22"/>
        </w:rPr>
        <w:t xml:space="preserve">(DEAC) </w:t>
      </w:r>
      <w:r w:rsidRPr="00BE54CE">
        <w:rPr>
          <w:rFonts w:ascii="Arial" w:hAnsi="Arial" w:cs="Arial"/>
          <w:sz w:val="22"/>
          <w:szCs w:val="22"/>
        </w:rPr>
        <w:t xml:space="preserve">is responsible for providing </w:t>
      </w:r>
      <w:r w:rsidR="003D2026" w:rsidRPr="00BE54CE">
        <w:rPr>
          <w:rFonts w:ascii="Arial" w:hAnsi="Arial" w:cs="Arial"/>
          <w:sz w:val="22"/>
          <w:szCs w:val="22"/>
        </w:rPr>
        <w:t>the Medicines and Healthcare products Regulatory Agency (</w:t>
      </w:r>
      <w:r w:rsidRPr="00BE54CE">
        <w:rPr>
          <w:rFonts w:ascii="Arial" w:hAnsi="Arial" w:cs="Arial"/>
          <w:sz w:val="22"/>
          <w:szCs w:val="22"/>
        </w:rPr>
        <w:t>MHRA</w:t>
      </w:r>
      <w:r w:rsidR="003D2026" w:rsidRPr="00BE54CE">
        <w:rPr>
          <w:rFonts w:ascii="Arial" w:hAnsi="Arial" w:cs="Arial"/>
          <w:sz w:val="22"/>
          <w:szCs w:val="22"/>
        </w:rPr>
        <w:t>)</w:t>
      </w:r>
      <w:r w:rsidRPr="00BE54CE">
        <w:rPr>
          <w:rFonts w:ascii="Arial" w:hAnsi="Arial" w:cs="Arial"/>
          <w:sz w:val="22"/>
          <w:szCs w:val="22"/>
        </w:rPr>
        <w:t xml:space="preserve"> with independent, external, expert clinical and scientific input and advice on a wide range of aspects relating to the introduction and safe use of medical devices. The </w:t>
      </w:r>
      <w:r w:rsidR="00250C54" w:rsidRPr="00BE54CE">
        <w:rPr>
          <w:rFonts w:ascii="Arial" w:hAnsi="Arial" w:cs="Arial"/>
          <w:sz w:val="22"/>
          <w:szCs w:val="22"/>
        </w:rPr>
        <w:t>Committee</w:t>
      </w:r>
      <w:r w:rsidRPr="00BE54CE">
        <w:rPr>
          <w:rFonts w:ascii="Arial" w:hAnsi="Arial" w:cs="Arial"/>
          <w:sz w:val="22"/>
          <w:szCs w:val="22"/>
        </w:rPr>
        <w:t xml:space="preserve"> meets approximately </w:t>
      </w:r>
      <w:r w:rsidR="003D2026" w:rsidRPr="00BE54CE">
        <w:rPr>
          <w:rFonts w:ascii="Arial" w:hAnsi="Arial" w:cs="Arial"/>
          <w:sz w:val="22"/>
          <w:szCs w:val="22"/>
        </w:rPr>
        <w:t>four times per year.</w:t>
      </w:r>
    </w:p>
    <w:p w14:paraId="228B70AA" w14:textId="77777777" w:rsidR="00555B2B" w:rsidRPr="00BE54CE" w:rsidRDefault="00555B2B" w:rsidP="006705FF">
      <w:pPr>
        <w:pStyle w:val="NoSpacing"/>
        <w:jc w:val="both"/>
        <w:rPr>
          <w:rFonts w:ascii="Arial" w:hAnsi="Arial" w:cs="Arial"/>
          <w:sz w:val="22"/>
          <w:szCs w:val="22"/>
        </w:rPr>
      </w:pPr>
    </w:p>
    <w:p w14:paraId="5A6DEE3E" w14:textId="31FEFE15" w:rsidR="00555B2B" w:rsidRPr="00BE54CE" w:rsidRDefault="00555B2B" w:rsidP="006705FF">
      <w:pPr>
        <w:pStyle w:val="NoSpacing"/>
        <w:jc w:val="both"/>
        <w:rPr>
          <w:rFonts w:ascii="Arial" w:hAnsi="Arial" w:cs="Arial"/>
          <w:sz w:val="22"/>
          <w:szCs w:val="22"/>
        </w:rPr>
      </w:pPr>
      <w:r w:rsidRPr="00BE54CE">
        <w:rPr>
          <w:rFonts w:ascii="Arial" w:hAnsi="Arial" w:cs="Arial"/>
          <w:sz w:val="22"/>
          <w:szCs w:val="22"/>
        </w:rPr>
        <w:t xml:space="preserve">DEAC was formed following an independent review on MHRA access to clinical advice and engagement with the clinical community. DEAC also aims to support </w:t>
      </w:r>
      <w:r w:rsidR="00290B42">
        <w:rPr>
          <w:rFonts w:ascii="Arial" w:hAnsi="Arial" w:cs="Arial"/>
          <w:sz w:val="22"/>
          <w:szCs w:val="22"/>
        </w:rPr>
        <w:t xml:space="preserve">the </w:t>
      </w:r>
      <w:r w:rsidRPr="00BE54CE">
        <w:rPr>
          <w:rFonts w:ascii="Arial" w:hAnsi="Arial" w:cs="Arial"/>
          <w:sz w:val="22"/>
          <w:szCs w:val="22"/>
        </w:rPr>
        <w:t xml:space="preserve">MHRA in developing and maintaining collaborative relationships with clinical professional bodies. Full details of the composition of the </w:t>
      </w:r>
      <w:r w:rsidR="00250C54" w:rsidRPr="00BE54CE">
        <w:rPr>
          <w:rFonts w:ascii="Arial" w:hAnsi="Arial" w:cs="Arial"/>
          <w:sz w:val="22"/>
          <w:szCs w:val="22"/>
        </w:rPr>
        <w:t>Committee</w:t>
      </w:r>
      <w:r w:rsidRPr="00BE54CE">
        <w:rPr>
          <w:rFonts w:ascii="Arial" w:hAnsi="Arial" w:cs="Arial"/>
          <w:sz w:val="22"/>
          <w:szCs w:val="22"/>
        </w:rPr>
        <w:t xml:space="preserve">, including qualifications and affiliations of members, can be seen in Annex </w:t>
      </w:r>
      <w:r w:rsidR="00E416EE" w:rsidRPr="00BE54CE">
        <w:rPr>
          <w:rFonts w:ascii="Arial" w:hAnsi="Arial" w:cs="Arial"/>
          <w:sz w:val="22"/>
          <w:szCs w:val="22"/>
        </w:rPr>
        <w:t>A.</w:t>
      </w:r>
      <w:r w:rsidRPr="00BE54CE">
        <w:rPr>
          <w:rFonts w:ascii="Arial" w:hAnsi="Arial" w:cs="Arial"/>
          <w:sz w:val="22"/>
          <w:szCs w:val="22"/>
        </w:rPr>
        <w:t xml:space="preserve"> </w:t>
      </w:r>
    </w:p>
    <w:p w14:paraId="46599B1D" w14:textId="77777777" w:rsidR="00555B2B" w:rsidRPr="00BE54CE" w:rsidRDefault="00555B2B" w:rsidP="006705FF">
      <w:pPr>
        <w:pStyle w:val="NoSpacing"/>
        <w:jc w:val="both"/>
        <w:rPr>
          <w:rFonts w:ascii="Arial" w:hAnsi="Arial" w:cs="Arial"/>
          <w:sz w:val="22"/>
          <w:szCs w:val="22"/>
        </w:rPr>
      </w:pPr>
      <w:r w:rsidRPr="00BE54CE">
        <w:rPr>
          <w:rFonts w:ascii="Arial" w:hAnsi="Arial" w:cs="Arial"/>
          <w:sz w:val="22"/>
          <w:szCs w:val="22"/>
        </w:rPr>
        <w:tab/>
      </w:r>
    </w:p>
    <w:p w14:paraId="76A07229" w14:textId="425EEA14" w:rsidR="00555B2B" w:rsidRPr="00BE54CE" w:rsidRDefault="00555B2B" w:rsidP="006705FF">
      <w:pPr>
        <w:pStyle w:val="NoSpacing"/>
        <w:jc w:val="both"/>
        <w:rPr>
          <w:rFonts w:ascii="Arial" w:hAnsi="Arial" w:cs="Arial"/>
          <w:sz w:val="22"/>
          <w:szCs w:val="22"/>
        </w:rPr>
      </w:pPr>
      <w:r w:rsidRPr="00BE54CE">
        <w:rPr>
          <w:rFonts w:ascii="Arial" w:hAnsi="Arial" w:cs="Arial"/>
          <w:sz w:val="22"/>
          <w:szCs w:val="22"/>
        </w:rPr>
        <w:t xml:space="preserve">The role of DEAC is to provide advice to </w:t>
      </w:r>
      <w:r w:rsidR="00290B42">
        <w:rPr>
          <w:rFonts w:ascii="Arial" w:hAnsi="Arial" w:cs="Arial"/>
          <w:sz w:val="22"/>
          <w:szCs w:val="22"/>
        </w:rPr>
        <w:t xml:space="preserve">the </w:t>
      </w:r>
      <w:r w:rsidRPr="00BE54CE">
        <w:rPr>
          <w:rFonts w:ascii="Arial" w:hAnsi="Arial" w:cs="Arial"/>
          <w:sz w:val="22"/>
          <w:szCs w:val="22"/>
        </w:rPr>
        <w:t xml:space="preserve">MHRA on the 'core' areas of: Strategic, Communication, Professional Networking, Quality Assurance, Professional Advice and e-Health. The </w:t>
      </w:r>
      <w:r w:rsidR="00250C54" w:rsidRPr="00BE54CE">
        <w:rPr>
          <w:rFonts w:ascii="Arial" w:hAnsi="Arial" w:cs="Arial"/>
          <w:sz w:val="22"/>
          <w:szCs w:val="22"/>
        </w:rPr>
        <w:t>Committee</w:t>
      </w:r>
      <w:r w:rsidRPr="00BE54CE">
        <w:rPr>
          <w:rFonts w:ascii="Arial" w:hAnsi="Arial" w:cs="Arial"/>
          <w:sz w:val="22"/>
          <w:szCs w:val="22"/>
        </w:rPr>
        <w:t xml:space="preserve"> reviews their performance against these core activities on an annual basis. </w:t>
      </w:r>
    </w:p>
    <w:p w14:paraId="299C1603" w14:textId="77777777" w:rsidR="003A568B" w:rsidRPr="00BE54CE" w:rsidRDefault="003A568B" w:rsidP="003A568B">
      <w:pPr>
        <w:pStyle w:val="NoSpacing"/>
        <w:rPr>
          <w:rFonts w:ascii="Arial" w:hAnsi="Arial" w:cs="Arial"/>
          <w:sz w:val="22"/>
          <w:szCs w:val="22"/>
        </w:rPr>
      </w:pPr>
    </w:p>
    <w:p w14:paraId="57DB6882" w14:textId="3689DB1F" w:rsidR="00555B2B" w:rsidRPr="00BE54CE" w:rsidRDefault="003D2026" w:rsidP="003B21A6">
      <w:pPr>
        <w:pStyle w:val="NoSpacing"/>
        <w:jc w:val="both"/>
        <w:rPr>
          <w:rFonts w:ascii="Arial" w:hAnsi="Arial" w:cs="Arial"/>
          <w:i/>
          <w:iCs/>
          <w:sz w:val="22"/>
          <w:szCs w:val="22"/>
        </w:rPr>
      </w:pPr>
      <w:r w:rsidRPr="00BE54CE">
        <w:rPr>
          <w:rFonts w:ascii="Arial" w:hAnsi="Arial" w:cs="Arial"/>
          <w:i/>
          <w:iCs/>
          <w:sz w:val="22"/>
          <w:szCs w:val="22"/>
        </w:rPr>
        <w:t>Please note that regulatory terms in this document are</w:t>
      </w:r>
      <w:r w:rsidR="00EA6B2F" w:rsidRPr="00BE54CE">
        <w:rPr>
          <w:rFonts w:ascii="Arial" w:hAnsi="Arial" w:cs="Arial"/>
          <w:i/>
          <w:iCs/>
          <w:sz w:val="22"/>
          <w:szCs w:val="22"/>
        </w:rPr>
        <w:t xml:space="preserve"> summarised in </w:t>
      </w:r>
      <w:r w:rsidRPr="00BE54CE">
        <w:rPr>
          <w:rFonts w:ascii="Arial" w:hAnsi="Arial" w:cs="Arial"/>
          <w:i/>
          <w:iCs/>
          <w:sz w:val="22"/>
          <w:szCs w:val="22"/>
        </w:rPr>
        <w:t>a glossary at the end of the document. Click on the underlined term to be taken to the definition. This publication summarises the discussions of the meeting held on 1</w:t>
      </w:r>
      <w:r w:rsidR="00E31803" w:rsidRPr="00BE54CE">
        <w:rPr>
          <w:rFonts w:ascii="Arial" w:hAnsi="Arial" w:cs="Arial"/>
          <w:i/>
          <w:iCs/>
          <w:sz w:val="22"/>
          <w:szCs w:val="22"/>
        </w:rPr>
        <w:t>9</w:t>
      </w:r>
      <w:r w:rsidR="003B21A6" w:rsidRPr="00BE54CE">
        <w:rPr>
          <w:rFonts w:ascii="Arial" w:hAnsi="Arial" w:cs="Arial"/>
          <w:i/>
          <w:iCs/>
          <w:sz w:val="22"/>
          <w:szCs w:val="22"/>
          <w:vertAlign w:val="superscript"/>
        </w:rPr>
        <w:t>th</w:t>
      </w:r>
      <w:r w:rsidR="003B21A6" w:rsidRPr="00BE54CE">
        <w:rPr>
          <w:rFonts w:ascii="Arial" w:hAnsi="Arial" w:cs="Arial"/>
          <w:i/>
          <w:iCs/>
          <w:sz w:val="22"/>
          <w:szCs w:val="22"/>
        </w:rPr>
        <w:t xml:space="preserve"> </w:t>
      </w:r>
      <w:r w:rsidR="00E31803" w:rsidRPr="00BE54CE">
        <w:rPr>
          <w:rFonts w:ascii="Arial" w:hAnsi="Arial" w:cs="Arial"/>
          <w:i/>
          <w:iCs/>
          <w:sz w:val="22"/>
          <w:szCs w:val="22"/>
        </w:rPr>
        <w:t>Nov</w:t>
      </w:r>
      <w:r w:rsidRPr="00BE54CE">
        <w:rPr>
          <w:rFonts w:ascii="Arial" w:hAnsi="Arial" w:cs="Arial"/>
          <w:i/>
          <w:iCs/>
          <w:sz w:val="22"/>
          <w:szCs w:val="22"/>
        </w:rPr>
        <w:t>ember 2020.</w:t>
      </w:r>
    </w:p>
    <w:p w14:paraId="5C9353DF" w14:textId="7E21EF6F" w:rsidR="005D1205" w:rsidRPr="00BE54CE" w:rsidRDefault="005D1205" w:rsidP="003A568B">
      <w:pPr>
        <w:pStyle w:val="NoSpacing"/>
        <w:rPr>
          <w:rFonts w:ascii="Arial" w:hAnsi="Arial" w:cs="Arial"/>
          <w:bCs/>
          <w:sz w:val="22"/>
          <w:szCs w:val="22"/>
        </w:rPr>
      </w:pPr>
    </w:p>
    <w:p w14:paraId="76EB7A52" w14:textId="77777777" w:rsidR="003B21A6" w:rsidRPr="00BE54CE" w:rsidRDefault="003B21A6" w:rsidP="003A568B">
      <w:pPr>
        <w:pStyle w:val="NoSpacing"/>
        <w:rPr>
          <w:rFonts w:ascii="Arial" w:hAnsi="Arial" w:cs="Arial"/>
          <w:bCs/>
          <w:sz w:val="22"/>
          <w:szCs w:val="22"/>
        </w:rPr>
      </w:pPr>
    </w:p>
    <w:p w14:paraId="64F3B20D" w14:textId="46C4F5D1" w:rsidR="002167B3" w:rsidRPr="00BE54CE" w:rsidRDefault="00AD0F0A" w:rsidP="00884D23">
      <w:pPr>
        <w:pStyle w:val="NoSpacing"/>
        <w:rPr>
          <w:rFonts w:ascii="Arial" w:hAnsi="Arial" w:cs="Arial"/>
          <w:b/>
          <w:sz w:val="22"/>
          <w:szCs w:val="22"/>
          <w:highlight w:val="yellow"/>
        </w:rPr>
      </w:pPr>
      <w:bookmarkStart w:id="1" w:name="_Hlk54948904"/>
      <w:r w:rsidRPr="00BE54CE">
        <w:rPr>
          <w:rFonts w:ascii="Arial" w:hAnsi="Arial" w:cs="Arial"/>
          <w:b/>
          <w:sz w:val="22"/>
          <w:szCs w:val="22"/>
        </w:rPr>
        <w:t>Paclitaxel coated balloons and stents</w:t>
      </w:r>
      <w:r w:rsidR="00884D23" w:rsidRPr="00BE54CE">
        <w:rPr>
          <w:rFonts w:ascii="Arial" w:hAnsi="Arial" w:cs="Arial"/>
          <w:b/>
          <w:sz w:val="22"/>
          <w:szCs w:val="22"/>
          <w:highlight w:val="yellow"/>
        </w:rPr>
        <w:br/>
      </w:r>
    </w:p>
    <w:bookmarkEnd w:id="1"/>
    <w:p w14:paraId="1A20F4CD" w14:textId="07F44784" w:rsidR="00CC109A" w:rsidRPr="00BE54CE" w:rsidRDefault="00CC109A" w:rsidP="00CC109A">
      <w:pPr>
        <w:pStyle w:val="NoSpacing"/>
        <w:jc w:val="both"/>
        <w:rPr>
          <w:rFonts w:ascii="Arial" w:hAnsi="Arial" w:cs="Arial"/>
          <w:sz w:val="22"/>
          <w:szCs w:val="22"/>
        </w:rPr>
      </w:pPr>
      <w:r w:rsidRPr="00BE54CE">
        <w:rPr>
          <w:rFonts w:ascii="Arial" w:hAnsi="Arial" w:cs="Arial"/>
          <w:sz w:val="22"/>
          <w:szCs w:val="22"/>
        </w:rPr>
        <w:t>Paclitaxel coated balloons and eluting stents are used to treat patients who have a build-up of fatty deposits in their arteries which restricts blood supply to leg muscles, also known as peripheral arterial disease (PAD).</w:t>
      </w:r>
      <w:r w:rsidR="00625FAE">
        <w:rPr>
          <w:rFonts w:ascii="Arial" w:hAnsi="Arial" w:cs="Arial"/>
          <w:sz w:val="22"/>
          <w:szCs w:val="22"/>
        </w:rPr>
        <w:t xml:space="preserve"> </w:t>
      </w:r>
      <w:r w:rsidRPr="00BE54CE">
        <w:rPr>
          <w:rFonts w:ascii="Arial" w:hAnsi="Arial" w:cs="Arial"/>
          <w:sz w:val="22"/>
          <w:szCs w:val="22"/>
        </w:rPr>
        <w:t>This can cause exercise-induced pain in the muscles (intermittent claudication) or a dangerous restriction in blood flow at rest (critical limb ischaemia). The drug paclitaxel is released into the wall of arteries when they are opened using Drug Coated Balloons (DCBs) and Drug-eluting stents (DESs).</w:t>
      </w:r>
      <w:r w:rsidR="00625FAE">
        <w:rPr>
          <w:rFonts w:ascii="Arial" w:hAnsi="Arial" w:cs="Arial"/>
          <w:sz w:val="22"/>
          <w:szCs w:val="22"/>
        </w:rPr>
        <w:t xml:space="preserve"> </w:t>
      </w:r>
      <w:r w:rsidRPr="00BE54CE">
        <w:rPr>
          <w:rFonts w:ascii="Arial" w:hAnsi="Arial" w:cs="Arial"/>
          <w:sz w:val="22"/>
          <w:szCs w:val="22"/>
        </w:rPr>
        <w:t xml:space="preserve">This drug </w:t>
      </w:r>
      <w:r w:rsidRPr="00BE54CE">
        <w:rPr>
          <w:rStyle w:val="hgkelc"/>
          <w:rFonts w:ascii="Arial" w:hAnsi="Arial" w:cs="Arial"/>
          <w:color w:val="222222"/>
          <w:sz w:val="22"/>
          <w:szCs w:val="22"/>
        </w:rPr>
        <w:t>helps to prevent the growth of excessive scar tissue inside the artery</w:t>
      </w:r>
      <w:r w:rsidR="00290B42">
        <w:rPr>
          <w:rStyle w:val="hgkelc"/>
          <w:rFonts w:ascii="Arial" w:hAnsi="Arial" w:cs="Arial"/>
          <w:color w:val="222222"/>
          <w:sz w:val="22"/>
          <w:szCs w:val="22"/>
        </w:rPr>
        <w:t>,</w:t>
      </w:r>
      <w:r w:rsidRPr="00BE54CE">
        <w:rPr>
          <w:rStyle w:val="hgkelc"/>
          <w:rFonts w:ascii="Arial" w:hAnsi="Arial" w:cs="Arial"/>
          <w:color w:val="222222"/>
          <w:sz w:val="22"/>
          <w:szCs w:val="22"/>
        </w:rPr>
        <w:t xml:space="preserve"> which can sometimes cause re-narrowing and a return of leg symptoms.</w:t>
      </w:r>
    </w:p>
    <w:p w14:paraId="7D5C1843" w14:textId="77777777" w:rsidR="00CC109A" w:rsidRPr="00BE54CE" w:rsidRDefault="00CC109A" w:rsidP="00CC109A">
      <w:pPr>
        <w:pStyle w:val="NoSpacing"/>
        <w:ind w:left="0"/>
        <w:jc w:val="both"/>
        <w:rPr>
          <w:rFonts w:ascii="Arial" w:hAnsi="Arial" w:cs="Arial"/>
          <w:sz w:val="22"/>
          <w:szCs w:val="22"/>
        </w:rPr>
      </w:pPr>
    </w:p>
    <w:p w14:paraId="511BC098" w14:textId="02E41936" w:rsidR="00CC109A" w:rsidRPr="00BE54CE" w:rsidRDefault="00CC109A" w:rsidP="00CC109A">
      <w:pPr>
        <w:pStyle w:val="NoSpacing"/>
        <w:jc w:val="both"/>
        <w:rPr>
          <w:rFonts w:ascii="Arial" w:hAnsi="Arial" w:cs="Arial"/>
          <w:sz w:val="22"/>
          <w:szCs w:val="22"/>
        </w:rPr>
      </w:pPr>
      <w:r w:rsidRPr="00BE54CE">
        <w:rPr>
          <w:rFonts w:ascii="Arial" w:hAnsi="Arial" w:cs="Arial"/>
          <w:sz w:val="22"/>
          <w:szCs w:val="22"/>
        </w:rPr>
        <w:t>The MHRA conduct</w:t>
      </w:r>
      <w:r w:rsidR="00290B42">
        <w:rPr>
          <w:rFonts w:ascii="Arial" w:hAnsi="Arial" w:cs="Arial"/>
          <w:sz w:val="22"/>
          <w:szCs w:val="22"/>
        </w:rPr>
        <w:t>s</w:t>
      </w:r>
      <w:r w:rsidRPr="00BE54CE">
        <w:rPr>
          <w:rFonts w:ascii="Arial" w:hAnsi="Arial" w:cs="Arial"/>
          <w:sz w:val="22"/>
          <w:szCs w:val="22"/>
        </w:rPr>
        <w:t xml:space="preserve"> safety and surveillance o</w:t>
      </w:r>
      <w:r w:rsidR="00625FAE">
        <w:rPr>
          <w:rFonts w:ascii="Arial" w:hAnsi="Arial" w:cs="Arial"/>
          <w:sz w:val="22"/>
          <w:szCs w:val="22"/>
        </w:rPr>
        <w:t>ver</w:t>
      </w:r>
      <w:r w:rsidRPr="00BE54CE">
        <w:rPr>
          <w:rFonts w:ascii="Arial" w:hAnsi="Arial" w:cs="Arial"/>
          <w:sz w:val="22"/>
          <w:szCs w:val="22"/>
        </w:rPr>
        <w:t xml:space="preserve"> medical devices once they are on the UK market and draw</w:t>
      </w:r>
      <w:r w:rsidR="00290B42">
        <w:rPr>
          <w:rFonts w:ascii="Arial" w:hAnsi="Arial" w:cs="Arial"/>
          <w:sz w:val="22"/>
          <w:szCs w:val="22"/>
        </w:rPr>
        <w:t>s</w:t>
      </w:r>
      <w:r w:rsidRPr="00BE54CE">
        <w:rPr>
          <w:rFonts w:ascii="Arial" w:hAnsi="Arial" w:cs="Arial"/>
          <w:sz w:val="22"/>
          <w:szCs w:val="22"/>
        </w:rPr>
        <w:t xml:space="preserve"> on a range of data sources as part of its surveillance activities, including published literature which is scanned for potential safety signals. The MHRA </w:t>
      </w:r>
      <w:hyperlink r:id="rId11" w:history="1">
        <w:r w:rsidRPr="00BE54CE">
          <w:rPr>
            <w:rStyle w:val="Hyperlink"/>
            <w:rFonts w:ascii="Arial" w:hAnsi="Arial" w:cs="Arial"/>
            <w:sz w:val="22"/>
            <w:szCs w:val="22"/>
          </w:rPr>
          <w:t>established an expert advisory group</w:t>
        </w:r>
      </w:hyperlink>
      <w:r w:rsidRPr="00BE54CE">
        <w:rPr>
          <w:rFonts w:ascii="Arial" w:hAnsi="Arial" w:cs="Arial"/>
          <w:sz w:val="22"/>
          <w:szCs w:val="22"/>
        </w:rPr>
        <w:t xml:space="preserve"> (EAG) in March 2019 following findings by </w:t>
      </w:r>
      <w:hyperlink r:id="rId12" w:history="1">
        <w:r w:rsidRPr="00625FAE">
          <w:rPr>
            <w:rStyle w:val="Hyperlink"/>
            <w:rFonts w:ascii="Arial" w:hAnsi="Arial" w:cs="Arial"/>
            <w:sz w:val="22"/>
            <w:szCs w:val="22"/>
          </w:rPr>
          <w:t>Katsanos et al</w:t>
        </w:r>
      </w:hyperlink>
      <w:r w:rsidRPr="00BE54CE">
        <w:rPr>
          <w:rFonts w:ascii="Arial" w:hAnsi="Arial" w:cs="Arial"/>
          <w:sz w:val="22"/>
          <w:szCs w:val="22"/>
        </w:rPr>
        <w:t xml:space="preserve"> that raised concerns about the use of paclitaxel eluting balloons and stents in the treatment of patients with peripheral arterial disease (PAD)</w:t>
      </w:r>
      <w:r w:rsidR="00625FAE">
        <w:rPr>
          <w:rFonts w:ascii="Arial" w:hAnsi="Arial" w:cs="Arial"/>
          <w:sz w:val="22"/>
          <w:szCs w:val="22"/>
        </w:rPr>
        <w:t>,</w:t>
      </w:r>
      <w:r w:rsidRPr="00BE54CE">
        <w:rPr>
          <w:rFonts w:ascii="Arial" w:hAnsi="Arial" w:cs="Arial"/>
          <w:sz w:val="22"/>
          <w:szCs w:val="22"/>
        </w:rPr>
        <w:t xml:space="preserve"> which suggested increased mortality rates from their use. You can find the findings and recommendations of the EAG </w:t>
      </w:r>
      <w:hyperlink r:id="rId13" w:history="1">
        <w:r w:rsidRPr="00BE54CE">
          <w:rPr>
            <w:rStyle w:val="Hyperlink"/>
            <w:rFonts w:ascii="Arial" w:hAnsi="Arial" w:cs="Arial"/>
            <w:sz w:val="22"/>
            <w:szCs w:val="22"/>
          </w:rPr>
          <w:t>here</w:t>
        </w:r>
      </w:hyperlink>
      <w:r w:rsidRPr="00BE54CE">
        <w:rPr>
          <w:rFonts w:ascii="Arial" w:hAnsi="Arial" w:cs="Arial"/>
          <w:sz w:val="22"/>
          <w:szCs w:val="22"/>
        </w:rPr>
        <w:t xml:space="preserve">. The recommendations of the EAG led to the issuing of a </w:t>
      </w:r>
      <w:hyperlink r:id="rId14" w:history="1">
        <w:r w:rsidRPr="00BE54CE">
          <w:rPr>
            <w:rStyle w:val="Hyperlink"/>
            <w:rFonts w:ascii="Arial" w:hAnsi="Arial" w:cs="Arial"/>
            <w:sz w:val="22"/>
            <w:szCs w:val="22"/>
          </w:rPr>
          <w:t>Medical Device Alert</w:t>
        </w:r>
      </w:hyperlink>
      <w:r w:rsidRPr="00BE54CE">
        <w:rPr>
          <w:rFonts w:ascii="Arial" w:hAnsi="Arial" w:cs="Arial"/>
          <w:sz w:val="22"/>
          <w:szCs w:val="22"/>
        </w:rPr>
        <w:t xml:space="preserve"> </w:t>
      </w:r>
      <w:r w:rsidR="00ED13D7" w:rsidRPr="00BE54CE">
        <w:rPr>
          <w:rFonts w:ascii="Arial" w:hAnsi="Arial" w:cs="Arial"/>
          <w:sz w:val="22"/>
          <w:szCs w:val="22"/>
        </w:rPr>
        <w:t xml:space="preserve">(MDA) </w:t>
      </w:r>
      <w:r w:rsidRPr="00BE54CE">
        <w:rPr>
          <w:rFonts w:ascii="Arial" w:hAnsi="Arial" w:cs="Arial"/>
          <w:sz w:val="22"/>
          <w:szCs w:val="22"/>
        </w:rPr>
        <w:t>in June 2019</w:t>
      </w:r>
      <w:r w:rsidR="00625FAE">
        <w:rPr>
          <w:rFonts w:ascii="Arial" w:hAnsi="Arial" w:cs="Arial"/>
          <w:sz w:val="22"/>
          <w:szCs w:val="22"/>
        </w:rPr>
        <w:t xml:space="preserve"> to limit the</w:t>
      </w:r>
      <w:r w:rsidRPr="00BE54CE">
        <w:rPr>
          <w:rFonts w:ascii="Arial" w:hAnsi="Arial" w:cs="Arial"/>
          <w:sz w:val="22"/>
          <w:szCs w:val="22"/>
        </w:rPr>
        <w:t xml:space="preserve"> of these devices</w:t>
      </w:r>
      <w:r w:rsidR="00625FAE">
        <w:rPr>
          <w:rFonts w:ascii="Arial" w:hAnsi="Arial" w:cs="Arial"/>
          <w:sz w:val="22"/>
          <w:szCs w:val="22"/>
        </w:rPr>
        <w:t xml:space="preserve"> for </w:t>
      </w:r>
      <w:r w:rsidR="00625FAE" w:rsidRPr="00625FAE">
        <w:rPr>
          <w:rFonts w:ascii="Arial" w:hAnsi="Arial" w:cs="Arial"/>
          <w:sz w:val="22"/>
          <w:szCs w:val="22"/>
        </w:rPr>
        <w:t>routine treatment of patients with intermittent claudicatio</w:t>
      </w:r>
      <w:r w:rsidR="00625FAE">
        <w:rPr>
          <w:rFonts w:ascii="Arial" w:hAnsi="Arial" w:cs="Arial"/>
          <w:sz w:val="22"/>
          <w:szCs w:val="22"/>
        </w:rPr>
        <w:t>n</w:t>
      </w:r>
      <w:r w:rsidRPr="00BE54CE">
        <w:rPr>
          <w:rFonts w:ascii="Arial" w:hAnsi="Arial" w:cs="Arial"/>
          <w:sz w:val="22"/>
          <w:szCs w:val="22"/>
        </w:rPr>
        <w:t>.</w:t>
      </w:r>
      <w:r w:rsidR="00F74297" w:rsidRPr="00BE54CE">
        <w:rPr>
          <w:rFonts w:ascii="Arial" w:hAnsi="Arial" w:cs="Arial"/>
          <w:sz w:val="22"/>
          <w:szCs w:val="22"/>
        </w:rPr>
        <w:t xml:space="preserve"> Paclitaxel has been previously discussed by DEAC, most recently at the </w:t>
      </w:r>
      <w:r w:rsidR="00ED13D7" w:rsidRPr="00BE54CE">
        <w:rPr>
          <w:rFonts w:ascii="Arial" w:hAnsi="Arial" w:cs="Arial"/>
          <w:sz w:val="22"/>
          <w:szCs w:val="22"/>
        </w:rPr>
        <w:t>17 September</w:t>
      </w:r>
      <w:r w:rsidR="00F74297" w:rsidRPr="00BE54CE">
        <w:rPr>
          <w:rFonts w:ascii="Arial" w:hAnsi="Arial" w:cs="Arial"/>
          <w:sz w:val="22"/>
          <w:szCs w:val="22"/>
        </w:rPr>
        <w:t xml:space="preserve"> 2020 DEAC meeting. </w:t>
      </w:r>
    </w:p>
    <w:p w14:paraId="12252181" w14:textId="77777777" w:rsidR="000139AB" w:rsidRDefault="000139AB" w:rsidP="00CC109A">
      <w:pPr>
        <w:pStyle w:val="NoSpacing"/>
        <w:jc w:val="both"/>
        <w:rPr>
          <w:rFonts w:ascii="Arial" w:hAnsi="Arial" w:cs="Arial"/>
          <w:sz w:val="22"/>
          <w:szCs w:val="22"/>
        </w:rPr>
      </w:pPr>
    </w:p>
    <w:p w14:paraId="2E545D0B" w14:textId="420951E9" w:rsidR="00FF689A" w:rsidRPr="00BE54CE" w:rsidRDefault="00FF689A" w:rsidP="00CC109A">
      <w:pPr>
        <w:pStyle w:val="NoSpacing"/>
        <w:jc w:val="both"/>
        <w:rPr>
          <w:rFonts w:ascii="Arial" w:hAnsi="Arial" w:cs="Arial"/>
          <w:sz w:val="22"/>
          <w:szCs w:val="22"/>
        </w:rPr>
      </w:pPr>
      <w:r w:rsidRPr="00BE54CE">
        <w:rPr>
          <w:rFonts w:ascii="Arial" w:hAnsi="Arial" w:cs="Arial"/>
          <w:sz w:val="22"/>
          <w:szCs w:val="22"/>
        </w:rPr>
        <w:t xml:space="preserve">The </w:t>
      </w:r>
      <w:r w:rsidR="00431339">
        <w:rPr>
          <w:rFonts w:ascii="Arial" w:hAnsi="Arial" w:cs="Arial"/>
          <w:sz w:val="22"/>
          <w:szCs w:val="22"/>
        </w:rPr>
        <w:t xml:space="preserve">discussion in this meeting focused on the use of Paclitaxel-coated devices for the treatment of critical limb ischaemia. </w:t>
      </w:r>
      <w:r w:rsidR="00625FAE">
        <w:rPr>
          <w:rFonts w:ascii="Arial" w:hAnsi="Arial" w:cs="Arial"/>
          <w:sz w:val="22"/>
          <w:szCs w:val="22"/>
        </w:rPr>
        <w:t>The</w:t>
      </w:r>
      <w:r w:rsidR="00431339">
        <w:rPr>
          <w:rFonts w:ascii="Arial" w:hAnsi="Arial" w:cs="Arial"/>
          <w:sz w:val="22"/>
          <w:szCs w:val="22"/>
        </w:rPr>
        <w:t xml:space="preserve"> </w:t>
      </w:r>
      <w:r w:rsidRPr="00BE54CE">
        <w:rPr>
          <w:rFonts w:ascii="Arial" w:hAnsi="Arial" w:cs="Arial"/>
          <w:sz w:val="22"/>
          <w:szCs w:val="22"/>
        </w:rPr>
        <w:t xml:space="preserve">Chair summarised discussions so far and </w:t>
      </w:r>
      <w:r w:rsidRPr="00BE54CE">
        <w:rPr>
          <w:rFonts w:ascii="Arial" w:hAnsi="Arial" w:cs="Arial"/>
          <w:sz w:val="22"/>
          <w:szCs w:val="22"/>
        </w:rPr>
        <w:lastRenderedPageBreak/>
        <w:t>introduced Dr Teik Choon See</w:t>
      </w:r>
      <w:r w:rsidR="00431339">
        <w:rPr>
          <w:rFonts w:ascii="Arial" w:hAnsi="Arial" w:cs="Arial"/>
          <w:sz w:val="22"/>
          <w:szCs w:val="22"/>
        </w:rPr>
        <w:t xml:space="preserve">, the </w:t>
      </w:r>
      <w:r w:rsidR="00101864">
        <w:rPr>
          <w:rFonts w:ascii="Arial" w:hAnsi="Arial" w:cs="Arial"/>
          <w:sz w:val="22"/>
          <w:szCs w:val="22"/>
        </w:rPr>
        <w:t>Chair</w:t>
      </w:r>
      <w:r w:rsidR="00431339">
        <w:rPr>
          <w:rFonts w:ascii="Arial" w:hAnsi="Arial" w:cs="Arial"/>
          <w:sz w:val="22"/>
          <w:szCs w:val="22"/>
        </w:rPr>
        <w:t xml:space="preserve"> of the</w:t>
      </w:r>
      <w:r w:rsidR="00101864">
        <w:rPr>
          <w:rFonts w:ascii="Arial" w:hAnsi="Arial" w:cs="Arial"/>
          <w:sz w:val="22"/>
          <w:szCs w:val="22"/>
        </w:rPr>
        <w:t xml:space="preserve"> </w:t>
      </w:r>
      <w:r w:rsidRPr="00BE54CE">
        <w:rPr>
          <w:rFonts w:ascii="Arial" w:hAnsi="Arial" w:cs="Arial"/>
          <w:sz w:val="22"/>
          <w:szCs w:val="22"/>
        </w:rPr>
        <w:t>Paclitaxel EAG</w:t>
      </w:r>
      <w:r w:rsidR="00290B42">
        <w:rPr>
          <w:rFonts w:ascii="Arial" w:hAnsi="Arial" w:cs="Arial"/>
          <w:sz w:val="22"/>
          <w:szCs w:val="22"/>
        </w:rPr>
        <w:t>,</w:t>
      </w:r>
      <w:r w:rsidRPr="00BE54CE">
        <w:rPr>
          <w:rFonts w:ascii="Arial" w:hAnsi="Arial" w:cs="Arial"/>
          <w:sz w:val="22"/>
          <w:szCs w:val="22"/>
        </w:rPr>
        <w:t xml:space="preserve"> to present an overview of its review and conclusions</w:t>
      </w:r>
      <w:r w:rsidR="00431339">
        <w:rPr>
          <w:rFonts w:ascii="Arial" w:hAnsi="Arial" w:cs="Arial"/>
          <w:sz w:val="22"/>
          <w:szCs w:val="22"/>
        </w:rPr>
        <w:t xml:space="preserve"> on the use of these devices for this specific indication</w:t>
      </w:r>
      <w:r w:rsidRPr="00BE54CE">
        <w:rPr>
          <w:rFonts w:ascii="Arial" w:hAnsi="Arial" w:cs="Arial"/>
          <w:sz w:val="22"/>
          <w:szCs w:val="22"/>
        </w:rPr>
        <w:t xml:space="preserve">. </w:t>
      </w:r>
    </w:p>
    <w:p w14:paraId="26023242" w14:textId="77777777" w:rsidR="00430334" w:rsidRPr="00BE54CE" w:rsidRDefault="00430334" w:rsidP="00CC109A">
      <w:pPr>
        <w:pStyle w:val="NoSpacing"/>
        <w:jc w:val="both"/>
        <w:rPr>
          <w:rFonts w:ascii="Arial" w:hAnsi="Arial" w:cs="Arial"/>
          <w:sz w:val="22"/>
          <w:szCs w:val="22"/>
        </w:rPr>
      </w:pPr>
    </w:p>
    <w:p w14:paraId="02B2F9EA" w14:textId="4DA5AF9F" w:rsidR="00722856" w:rsidRPr="00BE54CE" w:rsidRDefault="00FF689A" w:rsidP="00CC109A">
      <w:pPr>
        <w:pStyle w:val="NoSpacing"/>
        <w:jc w:val="both"/>
        <w:rPr>
          <w:rFonts w:ascii="Arial" w:hAnsi="Arial" w:cs="Arial"/>
          <w:sz w:val="22"/>
          <w:szCs w:val="22"/>
        </w:rPr>
      </w:pPr>
      <w:r w:rsidRPr="00BE54CE">
        <w:rPr>
          <w:rFonts w:ascii="Arial" w:hAnsi="Arial" w:cs="Arial"/>
          <w:sz w:val="22"/>
          <w:szCs w:val="22"/>
        </w:rPr>
        <w:t xml:space="preserve">The Committee were informed </w:t>
      </w:r>
      <w:r w:rsidR="00431339">
        <w:rPr>
          <w:rFonts w:ascii="Arial" w:hAnsi="Arial" w:cs="Arial"/>
          <w:sz w:val="22"/>
          <w:szCs w:val="22"/>
        </w:rPr>
        <w:t xml:space="preserve">about concerns that the use of Paclitaxel-coated devices may be associated with an increase in mortality and limb amputation. The </w:t>
      </w:r>
      <w:r w:rsidR="00ED13D7" w:rsidRPr="00BE54CE">
        <w:rPr>
          <w:rFonts w:ascii="Arial" w:hAnsi="Arial" w:cs="Arial"/>
          <w:sz w:val="22"/>
          <w:szCs w:val="22"/>
        </w:rPr>
        <w:t xml:space="preserve">EAG </w:t>
      </w:r>
      <w:r w:rsidR="00431339">
        <w:rPr>
          <w:rFonts w:ascii="Arial" w:hAnsi="Arial" w:cs="Arial"/>
          <w:sz w:val="22"/>
          <w:szCs w:val="22"/>
        </w:rPr>
        <w:t>had concluded</w:t>
      </w:r>
      <w:r w:rsidR="00431339" w:rsidRPr="00BE54CE">
        <w:rPr>
          <w:rFonts w:ascii="Arial" w:hAnsi="Arial" w:cs="Arial"/>
          <w:sz w:val="22"/>
          <w:szCs w:val="22"/>
        </w:rPr>
        <w:t xml:space="preserve"> </w:t>
      </w:r>
      <w:r w:rsidR="001E198F">
        <w:rPr>
          <w:rFonts w:ascii="Arial" w:hAnsi="Arial" w:cs="Arial"/>
          <w:sz w:val="22"/>
          <w:szCs w:val="22"/>
        </w:rPr>
        <w:t xml:space="preserve">that </w:t>
      </w:r>
      <w:r w:rsidR="00431339">
        <w:rPr>
          <w:rFonts w:ascii="Arial" w:hAnsi="Arial" w:cs="Arial"/>
          <w:sz w:val="22"/>
          <w:szCs w:val="22"/>
        </w:rPr>
        <w:t>the evidence to support this concern was inconsistent and a recommendation had been made not to restrict the use of these technologies for this indication.</w:t>
      </w:r>
      <w:r w:rsidR="00625FAE">
        <w:rPr>
          <w:rFonts w:ascii="Arial" w:hAnsi="Arial" w:cs="Arial"/>
          <w:sz w:val="22"/>
          <w:szCs w:val="22"/>
        </w:rPr>
        <w:t xml:space="preserve"> </w:t>
      </w:r>
      <w:r w:rsidR="00431339">
        <w:rPr>
          <w:rFonts w:ascii="Arial" w:hAnsi="Arial" w:cs="Arial"/>
          <w:sz w:val="22"/>
          <w:szCs w:val="22"/>
        </w:rPr>
        <w:t>DEAC also reviewed the evidence and agreed with this conclusion. It was concluded that this topic should be kept under careful surveillance and that enhanced information sharing and communication w</w:t>
      </w:r>
      <w:r w:rsidR="00290B42">
        <w:rPr>
          <w:rFonts w:ascii="Arial" w:hAnsi="Arial" w:cs="Arial"/>
          <w:sz w:val="22"/>
          <w:szCs w:val="22"/>
        </w:rPr>
        <w:t>ere</w:t>
      </w:r>
      <w:r w:rsidR="00431339">
        <w:rPr>
          <w:rFonts w:ascii="Arial" w:hAnsi="Arial" w:cs="Arial"/>
          <w:sz w:val="22"/>
          <w:szCs w:val="22"/>
        </w:rPr>
        <w:t xml:space="preserve"> needed</w:t>
      </w:r>
      <w:r w:rsidR="00290B42">
        <w:rPr>
          <w:rFonts w:ascii="Arial" w:hAnsi="Arial" w:cs="Arial"/>
          <w:sz w:val="22"/>
          <w:szCs w:val="22"/>
        </w:rPr>
        <w:t>,</w:t>
      </w:r>
      <w:r w:rsidR="00431339">
        <w:rPr>
          <w:rFonts w:ascii="Arial" w:hAnsi="Arial" w:cs="Arial"/>
          <w:sz w:val="22"/>
          <w:szCs w:val="22"/>
        </w:rPr>
        <w:t xml:space="preserve"> emphasizing the importance of multi-disciplinary clinical decision-making and the need to discuss treatment choices appropriately with patients. </w:t>
      </w:r>
    </w:p>
    <w:p w14:paraId="260D40D7" w14:textId="684F3F53" w:rsidR="00722856" w:rsidRPr="00BE54CE" w:rsidRDefault="00722856" w:rsidP="00722856">
      <w:pPr>
        <w:pStyle w:val="NoSpacing"/>
        <w:jc w:val="both"/>
        <w:rPr>
          <w:rFonts w:ascii="Arial" w:hAnsi="Arial" w:cs="Arial"/>
          <w:sz w:val="22"/>
          <w:szCs w:val="22"/>
        </w:rPr>
      </w:pPr>
      <w:r w:rsidRPr="00BE54CE">
        <w:rPr>
          <w:rFonts w:ascii="Arial" w:hAnsi="Arial" w:cs="Arial"/>
          <w:sz w:val="22"/>
          <w:szCs w:val="22"/>
        </w:rPr>
        <w:t>Readers can send incident reports</w:t>
      </w:r>
      <w:r w:rsidR="00ED13D7" w:rsidRPr="00BE54CE">
        <w:rPr>
          <w:rFonts w:ascii="Arial" w:hAnsi="Arial" w:cs="Arial"/>
          <w:sz w:val="22"/>
          <w:szCs w:val="22"/>
        </w:rPr>
        <w:t xml:space="preserve"> relating to medical devices, including paclitaxel coated stents and</w:t>
      </w:r>
      <w:r w:rsidR="00625FAE">
        <w:rPr>
          <w:rFonts w:ascii="Arial" w:hAnsi="Arial" w:cs="Arial"/>
          <w:sz w:val="22"/>
          <w:szCs w:val="22"/>
        </w:rPr>
        <w:t xml:space="preserve"> </w:t>
      </w:r>
      <w:r w:rsidR="00ED13D7" w:rsidRPr="00BE54CE">
        <w:rPr>
          <w:rFonts w:ascii="Arial" w:hAnsi="Arial" w:cs="Arial"/>
          <w:sz w:val="22"/>
          <w:szCs w:val="22"/>
        </w:rPr>
        <w:t>balloons,</w:t>
      </w:r>
      <w:r w:rsidRPr="00BE54CE">
        <w:rPr>
          <w:rFonts w:ascii="Arial" w:hAnsi="Arial" w:cs="Arial"/>
          <w:sz w:val="22"/>
          <w:szCs w:val="22"/>
        </w:rPr>
        <w:t xml:space="preserve"> to the MHRA </w:t>
      </w:r>
      <w:r w:rsidR="00614FE2" w:rsidRPr="00BE54CE">
        <w:rPr>
          <w:rFonts w:ascii="Arial" w:hAnsi="Arial" w:cs="Arial"/>
          <w:sz w:val="22"/>
          <w:szCs w:val="22"/>
        </w:rPr>
        <w:t>through</w:t>
      </w:r>
      <w:r w:rsidRPr="00BE54CE">
        <w:rPr>
          <w:rFonts w:ascii="Arial" w:hAnsi="Arial" w:cs="Arial"/>
          <w:sz w:val="22"/>
          <w:szCs w:val="22"/>
        </w:rPr>
        <w:t xml:space="preserve"> the </w:t>
      </w:r>
      <w:hyperlink r:id="rId15" w:history="1">
        <w:r w:rsidRPr="00BE54CE">
          <w:rPr>
            <w:rStyle w:val="Hyperlink"/>
            <w:rFonts w:ascii="Arial" w:hAnsi="Arial" w:cs="Arial"/>
            <w:sz w:val="22"/>
            <w:szCs w:val="22"/>
          </w:rPr>
          <w:t>Yellow Card Scheme</w:t>
        </w:r>
      </w:hyperlink>
      <w:r w:rsidRPr="00BE54CE">
        <w:rPr>
          <w:rFonts w:ascii="Arial" w:hAnsi="Arial" w:cs="Arial"/>
          <w:sz w:val="22"/>
          <w:szCs w:val="22"/>
        </w:rPr>
        <w:t>.</w:t>
      </w:r>
    </w:p>
    <w:p w14:paraId="176558D2" w14:textId="77777777" w:rsidR="00722856" w:rsidRPr="00BE54CE" w:rsidRDefault="00722856" w:rsidP="00CC109A">
      <w:pPr>
        <w:pStyle w:val="NoSpacing"/>
        <w:jc w:val="both"/>
        <w:rPr>
          <w:rFonts w:ascii="Arial" w:hAnsi="Arial" w:cs="Arial"/>
          <w:sz w:val="22"/>
          <w:szCs w:val="22"/>
        </w:rPr>
      </w:pPr>
    </w:p>
    <w:p w14:paraId="2EB8EB5D" w14:textId="77777777" w:rsidR="00250C54" w:rsidRPr="00BE54CE" w:rsidRDefault="00250C54" w:rsidP="00415F3A">
      <w:pPr>
        <w:pStyle w:val="NoSpacing"/>
        <w:ind w:left="0"/>
        <w:jc w:val="both"/>
        <w:rPr>
          <w:rFonts w:ascii="Arial" w:hAnsi="Arial" w:cs="Arial"/>
          <w:bCs/>
          <w:sz w:val="22"/>
          <w:szCs w:val="22"/>
          <w:highlight w:val="yellow"/>
        </w:rPr>
      </w:pPr>
    </w:p>
    <w:p w14:paraId="2A98FBA4" w14:textId="293B5C67" w:rsidR="001B0084" w:rsidRPr="00BE54CE" w:rsidRDefault="00B532DF" w:rsidP="008F0F05">
      <w:pPr>
        <w:pStyle w:val="NoSpacing"/>
        <w:rPr>
          <w:rFonts w:ascii="Arial" w:hAnsi="Arial" w:cs="Arial"/>
          <w:b/>
          <w:bCs/>
          <w:sz w:val="22"/>
          <w:szCs w:val="22"/>
        </w:rPr>
      </w:pPr>
      <w:bookmarkStart w:id="2" w:name="_Hlk54614346"/>
      <w:bookmarkStart w:id="3" w:name="_Hlk54948933"/>
      <w:bookmarkStart w:id="4" w:name="_Hlk63859101"/>
      <w:r w:rsidRPr="00BE54CE">
        <w:rPr>
          <w:rFonts w:ascii="Arial" w:hAnsi="Arial" w:cs="Arial"/>
          <w:b/>
          <w:bCs/>
          <w:sz w:val="22"/>
          <w:szCs w:val="22"/>
        </w:rPr>
        <w:t>Breast Implant Associated- Anaplastic Large Cell Lymphoma (</w:t>
      </w:r>
      <w:r w:rsidR="00AB3FFE" w:rsidRPr="00BE54CE">
        <w:rPr>
          <w:rFonts w:ascii="Arial" w:hAnsi="Arial" w:cs="Arial"/>
          <w:b/>
          <w:bCs/>
          <w:sz w:val="22"/>
          <w:szCs w:val="22"/>
        </w:rPr>
        <w:t>BIA ALCL</w:t>
      </w:r>
      <w:r w:rsidRPr="00BE54CE">
        <w:rPr>
          <w:rFonts w:ascii="Arial" w:hAnsi="Arial" w:cs="Arial"/>
          <w:b/>
          <w:bCs/>
          <w:sz w:val="22"/>
          <w:szCs w:val="22"/>
        </w:rPr>
        <w:t>)</w:t>
      </w:r>
      <w:r w:rsidR="00AB3FFE" w:rsidRPr="00BE54CE">
        <w:rPr>
          <w:rFonts w:ascii="Arial" w:hAnsi="Arial" w:cs="Arial"/>
          <w:b/>
          <w:bCs/>
          <w:sz w:val="22"/>
          <w:szCs w:val="22"/>
        </w:rPr>
        <w:t xml:space="preserve"> and patient involvement: an update</w:t>
      </w:r>
    </w:p>
    <w:bookmarkEnd w:id="2"/>
    <w:bookmarkEnd w:id="3"/>
    <w:p w14:paraId="63FCFC41" w14:textId="77777777" w:rsidR="00364975" w:rsidRPr="00BE54CE" w:rsidRDefault="00364975" w:rsidP="008F0F05">
      <w:pPr>
        <w:pStyle w:val="NoSpacing"/>
        <w:ind w:left="0"/>
        <w:jc w:val="both"/>
        <w:rPr>
          <w:rFonts w:ascii="Arial" w:hAnsi="Arial" w:cs="Arial"/>
          <w:i/>
          <w:iCs/>
          <w:sz w:val="22"/>
          <w:szCs w:val="22"/>
        </w:rPr>
      </w:pPr>
    </w:p>
    <w:p w14:paraId="7B6634FB" w14:textId="0B97B528" w:rsidR="00364975" w:rsidRPr="00BE54CE" w:rsidRDefault="00364975" w:rsidP="00101864">
      <w:pPr>
        <w:pStyle w:val="NoSpacing"/>
        <w:jc w:val="both"/>
        <w:rPr>
          <w:rFonts w:ascii="Arial" w:hAnsi="Arial" w:cs="Arial"/>
          <w:sz w:val="22"/>
          <w:szCs w:val="22"/>
          <w:lang w:val="en-GB"/>
        </w:rPr>
      </w:pPr>
      <w:r w:rsidRPr="00BE54CE">
        <w:rPr>
          <w:rFonts w:ascii="Arial" w:hAnsi="Arial" w:cs="Arial"/>
          <w:sz w:val="22"/>
          <w:szCs w:val="22"/>
        </w:rPr>
        <w:t>There is an estimated 10</w:t>
      </w:r>
      <w:r w:rsidR="00625FAE">
        <w:rPr>
          <w:rFonts w:ascii="Arial" w:hAnsi="Arial" w:cs="Arial"/>
          <w:sz w:val="22"/>
          <w:szCs w:val="22"/>
        </w:rPr>
        <w:t xml:space="preserve"> to </w:t>
      </w:r>
      <w:r w:rsidRPr="00BE54CE">
        <w:rPr>
          <w:rFonts w:ascii="Arial" w:hAnsi="Arial" w:cs="Arial"/>
          <w:sz w:val="22"/>
          <w:szCs w:val="22"/>
        </w:rPr>
        <w:t xml:space="preserve">35 million women who have received breast implants world-wide, with over a million sold in the UK. Breast </w:t>
      </w:r>
      <w:r w:rsidR="00625FAE">
        <w:rPr>
          <w:rFonts w:ascii="Arial" w:hAnsi="Arial" w:cs="Arial"/>
          <w:sz w:val="22"/>
          <w:szCs w:val="22"/>
        </w:rPr>
        <w:t>I</w:t>
      </w:r>
      <w:r w:rsidRPr="00BE54CE">
        <w:rPr>
          <w:rFonts w:ascii="Arial" w:hAnsi="Arial" w:cs="Arial"/>
          <w:sz w:val="22"/>
          <w:szCs w:val="22"/>
        </w:rPr>
        <w:t>mplant Associated - Anaplastic Large Cell Lymphoma (BIA-ALCL) is a rare sub-type of ALCL which is a form of Non-Hodgkin’s Lymphoma. Since 2012</w:t>
      </w:r>
      <w:r w:rsidR="0081275E">
        <w:rPr>
          <w:rFonts w:ascii="Arial" w:hAnsi="Arial" w:cs="Arial"/>
          <w:sz w:val="22"/>
          <w:szCs w:val="22"/>
        </w:rPr>
        <w:t>, the</w:t>
      </w:r>
      <w:r w:rsidRPr="00BE54CE">
        <w:rPr>
          <w:rFonts w:ascii="Arial" w:hAnsi="Arial" w:cs="Arial"/>
          <w:sz w:val="22"/>
          <w:szCs w:val="22"/>
        </w:rPr>
        <w:t xml:space="preserve"> MHRA has been investigating risks associated with breast implants and BIA-ALCL. The Plastic, Reconstructive and Aesthetic Surgery Expert Advisory Group (PRASEAG) was formed to continue to review the issue and BIA-ALCL information, </w:t>
      </w:r>
      <w:r w:rsidR="00625FAE">
        <w:rPr>
          <w:rFonts w:ascii="Arial" w:hAnsi="Arial" w:cs="Arial"/>
          <w:sz w:val="22"/>
          <w:szCs w:val="22"/>
        </w:rPr>
        <w:t>as well as</w:t>
      </w:r>
      <w:r w:rsidR="00625FAE" w:rsidRPr="00BE54CE">
        <w:rPr>
          <w:rFonts w:ascii="Arial" w:hAnsi="Arial" w:cs="Arial"/>
          <w:sz w:val="22"/>
          <w:szCs w:val="22"/>
        </w:rPr>
        <w:t xml:space="preserve"> </w:t>
      </w:r>
      <w:r w:rsidRPr="00BE54CE">
        <w:rPr>
          <w:rFonts w:ascii="Arial" w:hAnsi="Arial" w:cs="Arial"/>
          <w:sz w:val="22"/>
          <w:szCs w:val="22"/>
        </w:rPr>
        <w:t>the UK cases</w:t>
      </w:r>
      <w:r w:rsidR="0081275E">
        <w:rPr>
          <w:rFonts w:ascii="Arial" w:hAnsi="Arial" w:cs="Arial"/>
          <w:sz w:val="22"/>
          <w:szCs w:val="22"/>
        </w:rPr>
        <w:t>,</w:t>
      </w:r>
      <w:r w:rsidRPr="00BE54CE">
        <w:rPr>
          <w:rFonts w:ascii="Arial" w:hAnsi="Arial" w:cs="Arial"/>
          <w:sz w:val="22"/>
          <w:szCs w:val="22"/>
        </w:rPr>
        <w:t xml:space="preserve"> to assess whether the UK position should be updated. DEAC advice is sought as part of this work.</w:t>
      </w:r>
    </w:p>
    <w:p w14:paraId="1B0B8C8E" w14:textId="77777777" w:rsidR="00364975" w:rsidRPr="00BE54CE" w:rsidRDefault="00364975" w:rsidP="00101864">
      <w:pPr>
        <w:pStyle w:val="NoSpacing"/>
        <w:jc w:val="both"/>
        <w:rPr>
          <w:rFonts w:ascii="Arial" w:hAnsi="Arial" w:cs="Arial"/>
          <w:sz w:val="22"/>
          <w:szCs w:val="22"/>
        </w:rPr>
      </w:pPr>
    </w:p>
    <w:p w14:paraId="251BD15E" w14:textId="30CB7DC9" w:rsidR="00364975" w:rsidRPr="00BE54CE" w:rsidRDefault="00364975" w:rsidP="00101864">
      <w:pPr>
        <w:pStyle w:val="NoSpacing"/>
        <w:jc w:val="both"/>
        <w:rPr>
          <w:rFonts w:ascii="Arial" w:hAnsi="Arial" w:cs="Arial"/>
          <w:sz w:val="22"/>
          <w:szCs w:val="22"/>
        </w:rPr>
      </w:pPr>
      <w:r w:rsidRPr="00BE54CE">
        <w:rPr>
          <w:rFonts w:ascii="Arial" w:hAnsi="Arial" w:cs="Arial"/>
          <w:sz w:val="22"/>
          <w:szCs w:val="22"/>
        </w:rPr>
        <w:t xml:space="preserve">The Committee were presented with a paper summarising evidence and regulatory activity on BIA-ALCL. They were presented with an update on the MHRA’s action on patient involvement in the assessment of </w:t>
      </w:r>
      <w:r w:rsidR="00EC7B76">
        <w:rPr>
          <w:rFonts w:ascii="Arial" w:hAnsi="Arial" w:cs="Arial"/>
          <w:sz w:val="22"/>
          <w:szCs w:val="22"/>
        </w:rPr>
        <w:t>risk.</w:t>
      </w:r>
    </w:p>
    <w:p w14:paraId="373BDC50" w14:textId="77777777" w:rsidR="00364975" w:rsidRPr="00BE54CE" w:rsidRDefault="00364975" w:rsidP="00101864">
      <w:pPr>
        <w:pStyle w:val="NoSpacing"/>
        <w:jc w:val="both"/>
        <w:rPr>
          <w:rFonts w:ascii="Arial" w:hAnsi="Arial" w:cs="Arial"/>
          <w:sz w:val="22"/>
          <w:szCs w:val="22"/>
        </w:rPr>
      </w:pPr>
    </w:p>
    <w:p w14:paraId="0E7FC8C0" w14:textId="58558458" w:rsidR="00364975" w:rsidRPr="00BE54CE" w:rsidRDefault="00364975" w:rsidP="00101864">
      <w:pPr>
        <w:pStyle w:val="NoSpacing"/>
        <w:jc w:val="both"/>
        <w:rPr>
          <w:rFonts w:ascii="Arial" w:hAnsi="Arial" w:cs="Arial"/>
          <w:sz w:val="22"/>
          <w:szCs w:val="22"/>
          <w:lang w:val="en-GB"/>
        </w:rPr>
      </w:pPr>
      <w:r w:rsidRPr="00BE54CE">
        <w:rPr>
          <w:rFonts w:ascii="Arial" w:hAnsi="Arial" w:cs="Arial"/>
          <w:sz w:val="22"/>
          <w:szCs w:val="22"/>
        </w:rPr>
        <w:t xml:space="preserve">The Committee were informed about </w:t>
      </w:r>
      <w:r w:rsidR="001E198F">
        <w:rPr>
          <w:rFonts w:ascii="Arial" w:hAnsi="Arial" w:cs="Arial"/>
          <w:sz w:val="22"/>
          <w:szCs w:val="22"/>
        </w:rPr>
        <w:t xml:space="preserve">planned </w:t>
      </w:r>
      <w:r w:rsidRPr="00BE54CE">
        <w:rPr>
          <w:rFonts w:ascii="Arial" w:hAnsi="Arial" w:cs="Arial"/>
          <w:sz w:val="22"/>
          <w:szCs w:val="22"/>
        </w:rPr>
        <w:t>research to gauge public perception of acceptable levels of risk</w:t>
      </w:r>
      <w:r w:rsidR="001E198F">
        <w:rPr>
          <w:rFonts w:ascii="Arial" w:hAnsi="Arial" w:cs="Arial"/>
          <w:sz w:val="22"/>
          <w:szCs w:val="22"/>
        </w:rPr>
        <w:t xml:space="preserve"> </w:t>
      </w:r>
      <w:r w:rsidR="0081275E">
        <w:rPr>
          <w:rFonts w:ascii="Arial" w:hAnsi="Arial" w:cs="Arial"/>
          <w:sz w:val="22"/>
          <w:szCs w:val="22"/>
        </w:rPr>
        <w:t>regarding</w:t>
      </w:r>
      <w:r w:rsidR="001E198F">
        <w:rPr>
          <w:rFonts w:ascii="Arial" w:hAnsi="Arial" w:cs="Arial"/>
          <w:sz w:val="22"/>
          <w:szCs w:val="22"/>
        </w:rPr>
        <w:t xml:space="preserve"> the development of ALCL after breast implant</w:t>
      </w:r>
      <w:r w:rsidRPr="00BE54CE">
        <w:rPr>
          <w:rFonts w:ascii="Arial" w:hAnsi="Arial" w:cs="Arial"/>
          <w:sz w:val="22"/>
          <w:szCs w:val="22"/>
        </w:rPr>
        <w:t xml:space="preserve"> and </w:t>
      </w:r>
      <w:r w:rsidR="001E198F">
        <w:rPr>
          <w:rFonts w:ascii="Arial" w:hAnsi="Arial" w:cs="Arial"/>
          <w:sz w:val="22"/>
          <w:szCs w:val="22"/>
        </w:rPr>
        <w:t xml:space="preserve">to </w:t>
      </w:r>
      <w:r w:rsidRPr="00BE54CE">
        <w:rPr>
          <w:rFonts w:ascii="Arial" w:hAnsi="Arial" w:cs="Arial"/>
          <w:sz w:val="22"/>
          <w:szCs w:val="22"/>
        </w:rPr>
        <w:t>determine how attitudes to risk may vary amongst different groups. Target groups include the general population</w:t>
      </w:r>
      <w:r w:rsidR="0081275E">
        <w:rPr>
          <w:rFonts w:ascii="Arial" w:hAnsi="Arial" w:cs="Arial"/>
          <w:sz w:val="22"/>
          <w:szCs w:val="22"/>
        </w:rPr>
        <w:t>,</w:t>
      </w:r>
      <w:r w:rsidRPr="00BE54CE">
        <w:rPr>
          <w:rFonts w:ascii="Arial" w:hAnsi="Arial" w:cs="Arial"/>
          <w:sz w:val="22"/>
          <w:szCs w:val="22"/>
        </w:rPr>
        <w:t xml:space="preserve"> as well as patients who </w:t>
      </w:r>
      <w:r w:rsidR="001E198F">
        <w:rPr>
          <w:rFonts w:ascii="Arial" w:hAnsi="Arial" w:cs="Arial"/>
          <w:sz w:val="22"/>
          <w:szCs w:val="22"/>
        </w:rPr>
        <w:t>have had</w:t>
      </w:r>
      <w:r w:rsidRPr="00BE54CE">
        <w:rPr>
          <w:rFonts w:ascii="Arial" w:hAnsi="Arial" w:cs="Arial"/>
          <w:sz w:val="22"/>
          <w:szCs w:val="22"/>
        </w:rPr>
        <w:t xml:space="preserve"> reconstructive surgery and breast augmentation (including trans-gender </w:t>
      </w:r>
      <w:r w:rsidR="00625FAE">
        <w:rPr>
          <w:rFonts w:ascii="Arial" w:hAnsi="Arial" w:cs="Arial"/>
          <w:sz w:val="22"/>
          <w:szCs w:val="22"/>
        </w:rPr>
        <w:t>b</w:t>
      </w:r>
      <w:r w:rsidRPr="00BE54CE">
        <w:rPr>
          <w:rFonts w:ascii="Arial" w:hAnsi="Arial" w:cs="Arial"/>
          <w:sz w:val="22"/>
          <w:szCs w:val="22"/>
        </w:rPr>
        <w:t xml:space="preserve">reast augmentation). The research team includes colleagues from Devices and </w:t>
      </w:r>
      <w:r w:rsidR="00671D6E" w:rsidRPr="00BE54CE">
        <w:rPr>
          <w:rFonts w:ascii="Arial" w:hAnsi="Arial" w:cs="Arial"/>
          <w:sz w:val="22"/>
          <w:szCs w:val="22"/>
        </w:rPr>
        <w:t xml:space="preserve">the </w:t>
      </w:r>
      <w:r w:rsidRPr="00BE54CE">
        <w:rPr>
          <w:rFonts w:ascii="Arial" w:hAnsi="Arial" w:cs="Arial"/>
          <w:sz w:val="22"/>
          <w:szCs w:val="22"/>
        </w:rPr>
        <w:t>MHRA communications teams. The project team provided information on its strategy for involving patients in its work. The Committee commended the decisions on progress so far, and one member highlighted the need to approach a variety of organisations who can represent the transgender community.</w:t>
      </w:r>
    </w:p>
    <w:bookmarkEnd w:id="4"/>
    <w:p w14:paraId="6F8FF651" w14:textId="2F21AB16" w:rsidR="007B4672" w:rsidRDefault="007B4672" w:rsidP="00101864">
      <w:pPr>
        <w:pStyle w:val="NoSpacing"/>
        <w:jc w:val="both"/>
        <w:rPr>
          <w:rFonts w:ascii="Arial" w:hAnsi="Arial" w:cs="Arial"/>
          <w:b/>
          <w:sz w:val="22"/>
          <w:szCs w:val="22"/>
        </w:rPr>
      </w:pPr>
    </w:p>
    <w:p w14:paraId="39AD40F0" w14:textId="77777777" w:rsidR="00101864" w:rsidRPr="00BE54CE" w:rsidRDefault="00101864" w:rsidP="00101864">
      <w:pPr>
        <w:pStyle w:val="NoSpacing"/>
        <w:jc w:val="both"/>
        <w:rPr>
          <w:rFonts w:ascii="Arial" w:hAnsi="Arial" w:cs="Arial"/>
          <w:b/>
          <w:sz w:val="22"/>
          <w:szCs w:val="22"/>
        </w:rPr>
      </w:pPr>
    </w:p>
    <w:p w14:paraId="565080CE" w14:textId="74A8173A" w:rsidR="00AA1A58" w:rsidRPr="00BE54CE" w:rsidRDefault="00185D90" w:rsidP="00101864">
      <w:pPr>
        <w:pStyle w:val="NoSpacing"/>
        <w:jc w:val="both"/>
        <w:rPr>
          <w:rFonts w:ascii="Arial" w:hAnsi="Arial" w:cs="Arial"/>
          <w:bCs/>
          <w:sz w:val="22"/>
          <w:szCs w:val="22"/>
          <w:highlight w:val="yellow"/>
        </w:rPr>
      </w:pPr>
      <w:r w:rsidRPr="00BE54CE">
        <w:rPr>
          <w:rFonts w:ascii="Arial" w:hAnsi="Arial" w:cs="Arial"/>
          <w:b/>
          <w:sz w:val="22"/>
          <w:szCs w:val="22"/>
        </w:rPr>
        <w:t>Inguinal Hernia Mesh discussion and next steps</w:t>
      </w:r>
    </w:p>
    <w:p w14:paraId="5A65EE2B" w14:textId="00E97126" w:rsidR="00185D90" w:rsidRPr="00BE54CE" w:rsidRDefault="00185D90" w:rsidP="00AA1A58">
      <w:pPr>
        <w:pStyle w:val="NoSpacing"/>
        <w:jc w:val="both"/>
        <w:rPr>
          <w:rFonts w:ascii="Arial" w:hAnsi="Arial" w:cs="Arial"/>
          <w:sz w:val="22"/>
          <w:szCs w:val="22"/>
        </w:rPr>
      </w:pPr>
    </w:p>
    <w:p w14:paraId="3C24D958" w14:textId="77777777" w:rsidR="008464BB" w:rsidRPr="00BE54CE" w:rsidRDefault="008464BB" w:rsidP="008464BB">
      <w:pPr>
        <w:pStyle w:val="NoSpacing"/>
        <w:jc w:val="both"/>
        <w:rPr>
          <w:rFonts w:ascii="Arial" w:hAnsi="Arial" w:cs="Arial"/>
          <w:sz w:val="22"/>
          <w:szCs w:val="22"/>
        </w:rPr>
      </w:pPr>
      <w:bookmarkStart w:id="5" w:name="_Hlk63863772"/>
      <w:bookmarkStart w:id="6" w:name="_Hlk62214606"/>
      <w:r w:rsidRPr="00BE54CE">
        <w:rPr>
          <w:rFonts w:ascii="Arial" w:hAnsi="Arial" w:cs="Arial"/>
          <w:sz w:val="22"/>
          <w:szCs w:val="22"/>
        </w:rPr>
        <w:t xml:space="preserve">An inguinal hernia is the most common type of hernia, which can appear as a swelling or lump in the groin, or as an enlarged scrotum. Inguinal hernias can be repaired using surgery to push the bulge back into place and strengthen the weakness in the abdominal wall. This involves placing the lump of fatty tissue or loop of bowel back into the abdomen, and placement of mesh in the abdominal wall, to strengthen it. </w:t>
      </w:r>
    </w:p>
    <w:p w14:paraId="6CB2D79D" w14:textId="77777777" w:rsidR="008464BB" w:rsidRPr="00BE54CE" w:rsidRDefault="008464BB" w:rsidP="008464BB">
      <w:pPr>
        <w:pStyle w:val="NoSpacing"/>
        <w:jc w:val="both"/>
        <w:rPr>
          <w:rFonts w:ascii="Arial" w:hAnsi="Arial" w:cs="Arial"/>
          <w:sz w:val="22"/>
          <w:szCs w:val="22"/>
        </w:rPr>
      </w:pPr>
    </w:p>
    <w:p w14:paraId="2406894A" w14:textId="06EE9A11" w:rsidR="008464BB" w:rsidRPr="00BE54CE" w:rsidRDefault="00BE2167" w:rsidP="008464BB">
      <w:pPr>
        <w:pStyle w:val="NoSpacing"/>
        <w:jc w:val="both"/>
        <w:rPr>
          <w:rFonts w:ascii="Arial" w:hAnsi="Arial" w:cs="Arial"/>
          <w:sz w:val="22"/>
          <w:szCs w:val="22"/>
        </w:rPr>
      </w:pPr>
      <w:r>
        <w:rPr>
          <w:rFonts w:ascii="Arial" w:hAnsi="Arial" w:cs="Arial"/>
          <w:sz w:val="22"/>
          <w:szCs w:val="22"/>
        </w:rPr>
        <w:t xml:space="preserve">The </w:t>
      </w:r>
      <w:r w:rsidR="008464BB" w:rsidRPr="00BE54CE">
        <w:rPr>
          <w:rFonts w:ascii="Arial" w:hAnsi="Arial" w:cs="Arial"/>
          <w:sz w:val="22"/>
          <w:szCs w:val="22"/>
        </w:rPr>
        <w:t xml:space="preserve">MHRA </w:t>
      </w:r>
      <w:r w:rsidR="00625FAE">
        <w:rPr>
          <w:rFonts w:ascii="Arial" w:hAnsi="Arial" w:cs="Arial"/>
          <w:sz w:val="22"/>
          <w:szCs w:val="22"/>
        </w:rPr>
        <w:t>has been</w:t>
      </w:r>
      <w:r w:rsidR="008464BB" w:rsidRPr="00BE54CE">
        <w:rPr>
          <w:rFonts w:ascii="Arial" w:hAnsi="Arial" w:cs="Arial"/>
          <w:sz w:val="22"/>
          <w:szCs w:val="22"/>
        </w:rPr>
        <w:t xml:space="preserve"> made aware of increasing concerns </w:t>
      </w:r>
      <w:r w:rsidR="001E198F">
        <w:rPr>
          <w:rFonts w:ascii="Arial" w:hAnsi="Arial" w:cs="Arial"/>
          <w:sz w:val="22"/>
          <w:szCs w:val="22"/>
        </w:rPr>
        <w:t>about</w:t>
      </w:r>
      <w:r w:rsidR="008464BB" w:rsidRPr="00BE54CE">
        <w:rPr>
          <w:rFonts w:ascii="Arial" w:hAnsi="Arial" w:cs="Arial"/>
          <w:sz w:val="22"/>
          <w:szCs w:val="22"/>
        </w:rPr>
        <w:t xml:space="preserve"> complications following inguinal hernia mesh procedures. </w:t>
      </w:r>
      <w:r>
        <w:rPr>
          <w:rFonts w:ascii="Arial" w:hAnsi="Arial" w:cs="Arial"/>
          <w:sz w:val="22"/>
          <w:szCs w:val="22"/>
        </w:rPr>
        <w:t xml:space="preserve">The </w:t>
      </w:r>
      <w:r w:rsidR="00607DCA" w:rsidRPr="00BE54CE">
        <w:rPr>
          <w:rFonts w:ascii="Arial" w:hAnsi="Arial" w:cs="Arial"/>
          <w:sz w:val="22"/>
          <w:szCs w:val="22"/>
        </w:rPr>
        <w:t xml:space="preserve">MHRA </w:t>
      </w:r>
      <w:r w:rsidR="00607DCA">
        <w:rPr>
          <w:rFonts w:ascii="Arial" w:hAnsi="Arial" w:cs="Arial"/>
          <w:sz w:val="22"/>
          <w:szCs w:val="22"/>
        </w:rPr>
        <w:t>summarised</w:t>
      </w:r>
      <w:r w:rsidR="008464BB" w:rsidRPr="00BE54CE">
        <w:rPr>
          <w:rFonts w:ascii="Arial" w:hAnsi="Arial" w:cs="Arial"/>
          <w:sz w:val="22"/>
          <w:szCs w:val="22"/>
        </w:rPr>
        <w:t xml:space="preserve"> </w:t>
      </w:r>
      <w:r w:rsidR="001E198F">
        <w:rPr>
          <w:rFonts w:ascii="Arial" w:hAnsi="Arial" w:cs="Arial"/>
          <w:sz w:val="22"/>
          <w:szCs w:val="22"/>
        </w:rPr>
        <w:t xml:space="preserve">the evidence in </w:t>
      </w:r>
      <w:r w:rsidR="008464BB" w:rsidRPr="00BE54CE">
        <w:rPr>
          <w:rFonts w:ascii="Arial" w:hAnsi="Arial" w:cs="Arial"/>
          <w:sz w:val="22"/>
          <w:szCs w:val="22"/>
        </w:rPr>
        <w:t>a paper</w:t>
      </w:r>
      <w:r>
        <w:rPr>
          <w:rFonts w:ascii="Arial" w:hAnsi="Arial" w:cs="Arial"/>
          <w:sz w:val="22"/>
          <w:szCs w:val="22"/>
        </w:rPr>
        <w:t>,</w:t>
      </w:r>
      <w:r w:rsidR="008464BB" w:rsidRPr="00BE54CE">
        <w:rPr>
          <w:rFonts w:ascii="Arial" w:hAnsi="Arial" w:cs="Arial"/>
          <w:sz w:val="22"/>
          <w:szCs w:val="22"/>
        </w:rPr>
        <w:t xml:space="preserve"> </w:t>
      </w:r>
      <w:r w:rsidR="001E198F">
        <w:rPr>
          <w:rFonts w:ascii="Arial" w:hAnsi="Arial" w:cs="Arial"/>
          <w:sz w:val="22"/>
          <w:szCs w:val="22"/>
        </w:rPr>
        <w:t xml:space="preserve">that </w:t>
      </w:r>
      <w:r>
        <w:rPr>
          <w:rFonts w:ascii="Arial" w:hAnsi="Arial" w:cs="Arial"/>
          <w:sz w:val="22"/>
          <w:szCs w:val="22"/>
        </w:rPr>
        <w:t>was</w:t>
      </w:r>
      <w:r w:rsidR="001E198F">
        <w:rPr>
          <w:rFonts w:ascii="Arial" w:hAnsi="Arial" w:cs="Arial"/>
          <w:sz w:val="22"/>
          <w:szCs w:val="22"/>
        </w:rPr>
        <w:t xml:space="preserve"> shared with DEAC members in</w:t>
      </w:r>
      <w:r w:rsidR="00101864">
        <w:rPr>
          <w:rFonts w:ascii="Arial" w:hAnsi="Arial" w:cs="Arial"/>
          <w:sz w:val="22"/>
          <w:szCs w:val="22"/>
        </w:rPr>
        <w:t xml:space="preserve"> </w:t>
      </w:r>
      <w:r w:rsidR="008464BB" w:rsidRPr="00BE54CE">
        <w:rPr>
          <w:rFonts w:ascii="Arial" w:hAnsi="Arial" w:cs="Arial"/>
          <w:sz w:val="22"/>
          <w:szCs w:val="22"/>
        </w:rPr>
        <w:t>February 2020</w:t>
      </w:r>
      <w:r>
        <w:rPr>
          <w:rFonts w:ascii="Arial" w:hAnsi="Arial" w:cs="Arial"/>
          <w:sz w:val="22"/>
          <w:szCs w:val="22"/>
        </w:rPr>
        <w:t>,</w:t>
      </w:r>
      <w:r w:rsidR="008464BB" w:rsidRPr="00BE54CE">
        <w:rPr>
          <w:rFonts w:ascii="Arial" w:hAnsi="Arial" w:cs="Arial"/>
          <w:sz w:val="22"/>
          <w:szCs w:val="22"/>
        </w:rPr>
        <w:t xml:space="preserve"> </w:t>
      </w:r>
      <w:r w:rsidR="001E198F">
        <w:rPr>
          <w:rFonts w:ascii="Arial" w:hAnsi="Arial" w:cs="Arial"/>
          <w:sz w:val="22"/>
          <w:szCs w:val="22"/>
        </w:rPr>
        <w:t xml:space="preserve">on </w:t>
      </w:r>
      <w:r w:rsidR="008464BB" w:rsidRPr="00BE54CE">
        <w:rPr>
          <w:rFonts w:ascii="Arial" w:hAnsi="Arial" w:cs="Arial"/>
          <w:sz w:val="22"/>
          <w:szCs w:val="22"/>
        </w:rPr>
        <w:t xml:space="preserve">which </w:t>
      </w:r>
      <w:r w:rsidR="001E198F">
        <w:rPr>
          <w:rFonts w:ascii="Arial" w:hAnsi="Arial" w:cs="Arial"/>
          <w:sz w:val="22"/>
          <w:szCs w:val="22"/>
        </w:rPr>
        <w:t xml:space="preserve">members had provided </w:t>
      </w:r>
      <w:r w:rsidR="008464BB" w:rsidRPr="00BE54CE">
        <w:rPr>
          <w:rFonts w:ascii="Arial" w:hAnsi="Arial" w:cs="Arial"/>
          <w:sz w:val="22"/>
          <w:szCs w:val="22"/>
        </w:rPr>
        <w:t xml:space="preserve">feedback </w:t>
      </w:r>
      <w:r w:rsidR="001E198F">
        <w:rPr>
          <w:rFonts w:ascii="Arial" w:hAnsi="Arial" w:cs="Arial"/>
          <w:sz w:val="22"/>
          <w:szCs w:val="22"/>
        </w:rPr>
        <w:t xml:space="preserve">to </w:t>
      </w:r>
      <w:r>
        <w:rPr>
          <w:rFonts w:ascii="Arial" w:hAnsi="Arial" w:cs="Arial"/>
          <w:sz w:val="22"/>
          <w:szCs w:val="22"/>
        </w:rPr>
        <w:t xml:space="preserve">the </w:t>
      </w:r>
      <w:r w:rsidR="001E198F">
        <w:rPr>
          <w:rFonts w:ascii="Arial" w:hAnsi="Arial" w:cs="Arial"/>
          <w:sz w:val="22"/>
          <w:szCs w:val="22"/>
        </w:rPr>
        <w:t>MHRA to inform its regulatory decision-making.</w:t>
      </w:r>
      <w:r w:rsidR="00625FAE">
        <w:rPr>
          <w:rFonts w:ascii="Arial" w:hAnsi="Arial" w:cs="Arial"/>
          <w:sz w:val="22"/>
          <w:szCs w:val="22"/>
        </w:rPr>
        <w:t xml:space="preserve"> </w:t>
      </w:r>
      <w:r w:rsidR="001E198F">
        <w:rPr>
          <w:rFonts w:ascii="Arial" w:hAnsi="Arial" w:cs="Arial"/>
          <w:sz w:val="22"/>
          <w:szCs w:val="22"/>
        </w:rPr>
        <w:t>On this occasion, the</w:t>
      </w:r>
      <w:r w:rsidR="008464BB" w:rsidRPr="00BE54CE">
        <w:rPr>
          <w:rFonts w:ascii="Arial" w:hAnsi="Arial" w:cs="Arial"/>
          <w:sz w:val="22"/>
          <w:szCs w:val="22"/>
        </w:rPr>
        <w:t xml:space="preserve"> topic was brought to open </w:t>
      </w:r>
      <w:r w:rsidR="00625FAE">
        <w:rPr>
          <w:rFonts w:ascii="Arial" w:hAnsi="Arial" w:cs="Arial"/>
          <w:sz w:val="22"/>
          <w:szCs w:val="22"/>
        </w:rPr>
        <w:t>c</w:t>
      </w:r>
      <w:r w:rsidR="008464BB" w:rsidRPr="00BE54CE">
        <w:rPr>
          <w:rFonts w:ascii="Arial" w:hAnsi="Arial" w:cs="Arial"/>
          <w:sz w:val="22"/>
          <w:szCs w:val="22"/>
        </w:rPr>
        <w:t>ommittee</w:t>
      </w:r>
      <w:r w:rsidR="001E198F">
        <w:rPr>
          <w:rFonts w:ascii="Arial" w:hAnsi="Arial" w:cs="Arial"/>
          <w:sz w:val="22"/>
          <w:szCs w:val="22"/>
        </w:rPr>
        <w:t xml:space="preserve"> for further consideration</w:t>
      </w:r>
      <w:r w:rsidR="008464BB" w:rsidRPr="00BE54CE">
        <w:rPr>
          <w:rFonts w:ascii="Arial" w:hAnsi="Arial" w:cs="Arial"/>
          <w:sz w:val="22"/>
          <w:szCs w:val="22"/>
        </w:rPr>
        <w:t xml:space="preserve">. </w:t>
      </w:r>
      <w:r w:rsidR="001E198F">
        <w:rPr>
          <w:rFonts w:ascii="Arial" w:hAnsi="Arial" w:cs="Arial"/>
          <w:sz w:val="22"/>
          <w:szCs w:val="22"/>
        </w:rPr>
        <w:t>DEAC</w:t>
      </w:r>
      <w:r w:rsidR="00101864">
        <w:rPr>
          <w:rFonts w:ascii="Arial" w:hAnsi="Arial" w:cs="Arial"/>
          <w:sz w:val="22"/>
          <w:szCs w:val="22"/>
        </w:rPr>
        <w:t xml:space="preserve"> </w:t>
      </w:r>
      <w:r w:rsidR="001E198F">
        <w:rPr>
          <w:rFonts w:ascii="Arial" w:hAnsi="Arial" w:cs="Arial"/>
          <w:sz w:val="22"/>
          <w:szCs w:val="22"/>
        </w:rPr>
        <w:t xml:space="preserve">concluded </w:t>
      </w:r>
      <w:r w:rsidR="008464BB" w:rsidRPr="00BE54CE">
        <w:rPr>
          <w:rFonts w:ascii="Arial" w:hAnsi="Arial" w:cs="Arial"/>
          <w:sz w:val="22"/>
          <w:szCs w:val="22"/>
        </w:rPr>
        <w:t xml:space="preserve">that the evidence </w:t>
      </w:r>
      <w:r w:rsidR="008464BB" w:rsidRPr="00BE54CE">
        <w:rPr>
          <w:rFonts w:ascii="Arial" w:hAnsi="Arial" w:cs="Arial"/>
          <w:sz w:val="22"/>
          <w:szCs w:val="22"/>
        </w:rPr>
        <w:lastRenderedPageBreak/>
        <w:t xml:space="preserve">currently shows that mesh procedures for inguinal hernia repair do benefit </w:t>
      </w:r>
      <w:proofErr w:type="gramStart"/>
      <w:r w:rsidR="008464BB" w:rsidRPr="00BE54CE">
        <w:rPr>
          <w:rFonts w:ascii="Arial" w:hAnsi="Arial" w:cs="Arial"/>
          <w:sz w:val="22"/>
          <w:szCs w:val="22"/>
        </w:rPr>
        <w:t>the majority of</w:t>
      </w:r>
      <w:proofErr w:type="gramEnd"/>
      <w:r w:rsidR="008464BB" w:rsidRPr="00BE54CE">
        <w:rPr>
          <w:rFonts w:ascii="Arial" w:hAnsi="Arial" w:cs="Arial"/>
          <w:sz w:val="22"/>
          <w:szCs w:val="22"/>
        </w:rPr>
        <w:t xml:space="preserve"> patients, however there was acknowledgement that complications do occur</w:t>
      </w:r>
      <w:r>
        <w:rPr>
          <w:rFonts w:ascii="Arial" w:hAnsi="Arial" w:cs="Arial"/>
          <w:sz w:val="22"/>
          <w:szCs w:val="22"/>
        </w:rPr>
        <w:t>,</w:t>
      </w:r>
      <w:r w:rsidR="001E198F">
        <w:rPr>
          <w:rFonts w:ascii="Arial" w:hAnsi="Arial" w:cs="Arial"/>
          <w:sz w:val="22"/>
          <w:szCs w:val="22"/>
        </w:rPr>
        <w:t xml:space="preserve"> although these tend to be minor</w:t>
      </w:r>
      <w:r w:rsidR="008464BB" w:rsidRPr="00BE54CE">
        <w:rPr>
          <w:rFonts w:ascii="Arial" w:hAnsi="Arial" w:cs="Arial"/>
          <w:sz w:val="22"/>
          <w:szCs w:val="22"/>
        </w:rPr>
        <w:t xml:space="preserve">. It was concluded </w:t>
      </w:r>
      <w:r w:rsidR="001E198F">
        <w:rPr>
          <w:rFonts w:ascii="Arial" w:hAnsi="Arial" w:cs="Arial"/>
          <w:sz w:val="22"/>
          <w:szCs w:val="22"/>
        </w:rPr>
        <w:t xml:space="preserve">by the committee </w:t>
      </w:r>
      <w:r w:rsidR="008464BB" w:rsidRPr="00BE54CE">
        <w:rPr>
          <w:rFonts w:ascii="Arial" w:hAnsi="Arial" w:cs="Arial"/>
          <w:sz w:val="22"/>
          <w:szCs w:val="22"/>
        </w:rPr>
        <w:t xml:space="preserve">that restriction on the use of hernia mesh devices for inguinal hernia repair was </w:t>
      </w:r>
      <w:r w:rsidR="001E198F">
        <w:rPr>
          <w:rFonts w:ascii="Arial" w:hAnsi="Arial" w:cs="Arial"/>
          <w:sz w:val="22"/>
          <w:szCs w:val="22"/>
        </w:rPr>
        <w:t xml:space="preserve">currently </w:t>
      </w:r>
      <w:r w:rsidR="008464BB" w:rsidRPr="00BE54CE">
        <w:rPr>
          <w:rFonts w:ascii="Arial" w:hAnsi="Arial" w:cs="Arial"/>
          <w:sz w:val="22"/>
          <w:szCs w:val="22"/>
        </w:rPr>
        <w:t xml:space="preserve">not required and that instead a registry to effectively monitor the safety and performance of these devices </w:t>
      </w:r>
      <w:r w:rsidR="001E198F">
        <w:rPr>
          <w:rFonts w:ascii="Arial" w:hAnsi="Arial" w:cs="Arial"/>
          <w:sz w:val="22"/>
          <w:szCs w:val="22"/>
        </w:rPr>
        <w:t>needs to be established</w:t>
      </w:r>
      <w:r w:rsidR="008464BB" w:rsidRPr="00BE54CE">
        <w:rPr>
          <w:rFonts w:ascii="Arial" w:hAnsi="Arial" w:cs="Arial"/>
          <w:sz w:val="22"/>
          <w:szCs w:val="22"/>
        </w:rPr>
        <w:t xml:space="preserve">. </w:t>
      </w:r>
      <w:r>
        <w:rPr>
          <w:rFonts w:ascii="Arial" w:hAnsi="Arial" w:cs="Arial"/>
          <w:sz w:val="22"/>
          <w:szCs w:val="22"/>
        </w:rPr>
        <w:t xml:space="preserve">The </w:t>
      </w:r>
      <w:r w:rsidR="008464BB" w:rsidRPr="00BE54CE">
        <w:rPr>
          <w:rFonts w:ascii="Arial" w:hAnsi="Arial" w:cs="Arial"/>
          <w:sz w:val="22"/>
          <w:szCs w:val="22"/>
        </w:rPr>
        <w:t xml:space="preserve">MHRA will continue to work </w:t>
      </w:r>
      <w:r w:rsidR="001E198F">
        <w:rPr>
          <w:rFonts w:ascii="Arial" w:hAnsi="Arial" w:cs="Arial"/>
          <w:sz w:val="22"/>
          <w:szCs w:val="22"/>
        </w:rPr>
        <w:t xml:space="preserve">with partners to agree the </w:t>
      </w:r>
      <w:r w:rsidR="008464BB" w:rsidRPr="00BE54CE">
        <w:rPr>
          <w:rFonts w:ascii="Arial" w:hAnsi="Arial" w:cs="Arial"/>
          <w:sz w:val="22"/>
          <w:szCs w:val="22"/>
        </w:rPr>
        <w:t>next steps</w:t>
      </w:r>
      <w:r w:rsidR="001E198F">
        <w:rPr>
          <w:rFonts w:ascii="Arial" w:hAnsi="Arial" w:cs="Arial"/>
          <w:sz w:val="22"/>
          <w:szCs w:val="22"/>
        </w:rPr>
        <w:t xml:space="preserve"> in progressing this.</w:t>
      </w:r>
    </w:p>
    <w:p w14:paraId="29CD9B0D" w14:textId="77777777" w:rsidR="008464BB" w:rsidRPr="00BE54CE" w:rsidRDefault="008464BB" w:rsidP="008464BB">
      <w:pPr>
        <w:pStyle w:val="NoSpacing"/>
        <w:jc w:val="both"/>
        <w:rPr>
          <w:rFonts w:ascii="Arial" w:hAnsi="Arial" w:cs="Arial"/>
          <w:sz w:val="22"/>
          <w:szCs w:val="22"/>
        </w:rPr>
      </w:pPr>
    </w:p>
    <w:bookmarkEnd w:id="5"/>
    <w:bookmarkEnd w:id="6"/>
    <w:p w14:paraId="4FDC4511" w14:textId="77777777" w:rsidR="00AA1A58" w:rsidRPr="00BE54CE" w:rsidRDefault="00AA1A58" w:rsidP="007730F4">
      <w:pPr>
        <w:pStyle w:val="NoSpacing"/>
        <w:ind w:left="0"/>
        <w:jc w:val="both"/>
        <w:rPr>
          <w:rFonts w:ascii="Arial" w:hAnsi="Arial" w:cs="Arial"/>
          <w:bCs/>
          <w:sz w:val="22"/>
          <w:szCs w:val="22"/>
          <w:highlight w:val="yellow"/>
        </w:rPr>
      </w:pPr>
    </w:p>
    <w:p w14:paraId="33528F62" w14:textId="3A1C0746" w:rsidR="00250C54" w:rsidRPr="00BE54CE" w:rsidRDefault="001C101A" w:rsidP="003B21A6">
      <w:pPr>
        <w:pStyle w:val="NoSpacing"/>
        <w:jc w:val="both"/>
        <w:rPr>
          <w:rFonts w:ascii="Arial" w:hAnsi="Arial" w:cs="Arial"/>
          <w:b/>
          <w:sz w:val="22"/>
          <w:szCs w:val="22"/>
        </w:rPr>
      </w:pPr>
      <w:r w:rsidRPr="00BE54CE">
        <w:rPr>
          <w:rFonts w:ascii="Arial" w:hAnsi="Arial" w:cs="Arial"/>
          <w:b/>
          <w:sz w:val="22"/>
          <w:szCs w:val="22"/>
        </w:rPr>
        <w:t>Future direction of DEAC and its E</w:t>
      </w:r>
      <w:r w:rsidR="003A68F4" w:rsidRPr="00BE54CE">
        <w:rPr>
          <w:rFonts w:ascii="Arial" w:hAnsi="Arial" w:cs="Arial"/>
          <w:b/>
          <w:sz w:val="22"/>
          <w:szCs w:val="22"/>
        </w:rPr>
        <w:t xml:space="preserve">xpert </w:t>
      </w:r>
      <w:r w:rsidRPr="00BE54CE">
        <w:rPr>
          <w:rFonts w:ascii="Arial" w:hAnsi="Arial" w:cs="Arial"/>
          <w:b/>
          <w:sz w:val="22"/>
          <w:szCs w:val="22"/>
        </w:rPr>
        <w:t>A</w:t>
      </w:r>
      <w:r w:rsidR="003A68F4" w:rsidRPr="00BE54CE">
        <w:rPr>
          <w:rFonts w:ascii="Arial" w:hAnsi="Arial" w:cs="Arial"/>
          <w:b/>
          <w:sz w:val="22"/>
          <w:szCs w:val="22"/>
        </w:rPr>
        <w:t xml:space="preserve">dvisory </w:t>
      </w:r>
      <w:r w:rsidRPr="00BE54CE">
        <w:rPr>
          <w:rFonts w:ascii="Arial" w:hAnsi="Arial" w:cs="Arial"/>
          <w:b/>
          <w:sz w:val="22"/>
          <w:szCs w:val="22"/>
        </w:rPr>
        <w:t>G</w:t>
      </w:r>
      <w:r w:rsidR="003A68F4" w:rsidRPr="00BE54CE">
        <w:rPr>
          <w:rFonts w:ascii="Arial" w:hAnsi="Arial" w:cs="Arial"/>
          <w:b/>
          <w:sz w:val="22"/>
          <w:szCs w:val="22"/>
        </w:rPr>
        <w:t>roups (EAG</w:t>
      </w:r>
      <w:r w:rsidRPr="00BE54CE">
        <w:rPr>
          <w:rFonts w:ascii="Arial" w:hAnsi="Arial" w:cs="Arial"/>
          <w:b/>
          <w:sz w:val="22"/>
          <w:szCs w:val="22"/>
        </w:rPr>
        <w:t>s</w:t>
      </w:r>
      <w:r w:rsidR="003A68F4" w:rsidRPr="00BE54CE">
        <w:rPr>
          <w:rFonts w:ascii="Arial" w:hAnsi="Arial" w:cs="Arial"/>
          <w:b/>
          <w:sz w:val="22"/>
          <w:szCs w:val="22"/>
        </w:rPr>
        <w:t>)</w:t>
      </w:r>
    </w:p>
    <w:p w14:paraId="2B73C244" w14:textId="77777777" w:rsidR="001C101A" w:rsidRPr="00BE54CE" w:rsidRDefault="001C101A" w:rsidP="003B21A6">
      <w:pPr>
        <w:pStyle w:val="NoSpacing"/>
        <w:jc w:val="both"/>
        <w:rPr>
          <w:rFonts w:ascii="Arial" w:hAnsi="Arial" w:cs="Arial"/>
          <w:b/>
          <w:sz w:val="22"/>
          <w:szCs w:val="22"/>
        </w:rPr>
      </w:pPr>
    </w:p>
    <w:p w14:paraId="3D6B2560" w14:textId="25CD56AC" w:rsidR="00A70080" w:rsidRPr="00BE54CE" w:rsidRDefault="00A70080" w:rsidP="008F0F05">
      <w:pPr>
        <w:pStyle w:val="NoSpacing"/>
        <w:jc w:val="both"/>
        <w:rPr>
          <w:rFonts w:ascii="Arial" w:hAnsi="Arial" w:cs="Arial"/>
          <w:sz w:val="22"/>
          <w:szCs w:val="22"/>
        </w:rPr>
      </w:pPr>
      <w:r w:rsidRPr="00BE54CE">
        <w:rPr>
          <w:rFonts w:ascii="Arial" w:hAnsi="Arial" w:cs="Arial"/>
          <w:sz w:val="22"/>
          <w:szCs w:val="22"/>
        </w:rPr>
        <w:t xml:space="preserve">MHRA Senior Management Team provided the Committee with an overview of plans to evolve the operations of DEAC, </w:t>
      </w:r>
      <w:bookmarkStart w:id="7" w:name="_Hlk64951707"/>
      <w:r w:rsidRPr="00BE54CE">
        <w:rPr>
          <w:rFonts w:ascii="Arial" w:hAnsi="Arial" w:cs="Arial"/>
          <w:sz w:val="22"/>
          <w:szCs w:val="22"/>
        </w:rPr>
        <w:t xml:space="preserve">including its role in peer reviews </w:t>
      </w:r>
      <w:r w:rsidR="00614FE2" w:rsidRPr="00BE54CE">
        <w:rPr>
          <w:rFonts w:ascii="Arial" w:hAnsi="Arial" w:cs="Arial"/>
          <w:sz w:val="22"/>
          <w:szCs w:val="22"/>
        </w:rPr>
        <w:t>and providing</w:t>
      </w:r>
      <w:r w:rsidRPr="00BE54CE">
        <w:rPr>
          <w:rFonts w:ascii="Arial" w:hAnsi="Arial" w:cs="Arial"/>
          <w:sz w:val="22"/>
          <w:szCs w:val="22"/>
        </w:rPr>
        <w:t xml:space="preserve"> of professional input. </w:t>
      </w:r>
      <w:bookmarkEnd w:id="7"/>
      <w:r w:rsidRPr="00BE54CE">
        <w:rPr>
          <w:rFonts w:ascii="Arial" w:hAnsi="Arial" w:cs="Arial"/>
          <w:sz w:val="22"/>
          <w:szCs w:val="22"/>
        </w:rPr>
        <w:t xml:space="preserve">A summary of the strategic direction of the MHRA Devices Division regarding signal detection management and the renewed emphasis on </w:t>
      </w:r>
      <w:r w:rsidR="00364975" w:rsidRPr="00BE54CE">
        <w:rPr>
          <w:rFonts w:ascii="Arial" w:hAnsi="Arial" w:cs="Arial"/>
          <w:sz w:val="22"/>
          <w:szCs w:val="22"/>
        </w:rPr>
        <w:t>using expert advisory groups</w:t>
      </w:r>
      <w:r w:rsidRPr="00BE54CE">
        <w:rPr>
          <w:rFonts w:ascii="Arial" w:hAnsi="Arial" w:cs="Arial"/>
          <w:sz w:val="22"/>
          <w:szCs w:val="22"/>
        </w:rPr>
        <w:t xml:space="preserve"> to support data driven decision making was provided. </w:t>
      </w:r>
    </w:p>
    <w:p w14:paraId="40D3FEE9" w14:textId="77777777" w:rsidR="00981FC2" w:rsidRPr="00BE54CE" w:rsidRDefault="00981FC2" w:rsidP="00981FC2">
      <w:pPr>
        <w:pStyle w:val="NoSpacing"/>
        <w:jc w:val="both"/>
        <w:rPr>
          <w:rFonts w:ascii="Arial" w:hAnsi="Arial" w:cs="Arial"/>
          <w:sz w:val="22"/>
          <w:szCs w:val="22"/>
        </w:rPr>
      </w:pPr>
    </w:p>
    <w:p w14:paraId="7323B300" w14:textId="73307ED1" w:rsidR="00A70080" w:rsidRPr="00BE54CE" w:rsidRDefault="00941BE9" w:rsidP="00981FC2">
      <w:pPr>
        <w:pStyle w:val="NoSpacing"/>
        <w:jc w:val="both"/>
        <w:rPr>
          <w:rFonts w:ascii="Arial" w:hAnsi="Arial" w:cs="Arial"/>
          <w:sz w:val="22"/>
          <w:szCs w:val="22"/>
        </w:rPr>
      </w:pPr>
      <w:r>
        <w:rPr>
          <w:rFonts w:ascii="Arial" w:hAnsi="Arial" w:cs="Arial"/>
          <w:sz w:val="22"/>
          <w:szCs w:val="22"/>
        </w:rPr>
        <w:t xml:space="preserve">The </w:t>
      </w:r>
      <w:r w:rsidR="00A70080" w:rsidRPr="00BE54CE">
        <w:rPr>
          <w:rFonts w:ascii="Arial" w:hAnsi="Arial" w:cs="Arial"/>
          <w:sz w:val="22"/>
          <w:szCs w:val="22"/>
        </w:rPr>
        <w:t>MHRA confirmed that a plan for development</w:t>
      </w:r>
      <w:r w:rsidR="00614FE2" w:rsidRPr="00BE54CE">
        <w:rPr>
          <w:rFonts w:ascii="Arial" w:hAnsi="Arial" w:cs="Arial"/>
          <w:sz w:val="22"/>
          <w:szCs w:val="22"/>
        </w:rPr>
        <w:t xml:space="preserve"> </w:t>
      </w:r>
      <w:r w:rsidR="00A70080" w:rsidRPr="00BE54CE">
        <w:rPr>
          <w:rFonts w:ascii="Arial" w:hAnsi="Arial" w:cs="Arial"/>
          <w:sz w:val="22"/>
          <w:szCs w:val="22"/>
        </w:rPr>
        <w:t>is underway, in part focusing on relationships with DEAC and EAGs, and that DEAC will be given the opportunity to assess the</w:t>
      </w:r>
      <w:r w:rsidR="00614FE2" w:rsidRPr="00BE54CE">
        <w:rPr>
          <w:rFonts w:ascii="Arial" w:hAnsi="Arial" w:cs="Arial"/>
          <w:sz w:val="22"/>
          <w:szCs w:val="22"/>
        </w:rPr>
        <w:t>se proposals</w:t>
      </w:r>
      <w:r w:rsidR="00A70080" w:rsidRPr="00BE54CE">
        <w:rPr>
          <w:rFonts w:ascii="Arial" w:hAnsi="Arial" w:cs="Arial"/>
          <w:sz w:val="22"/>
          <w:szCs w:val="22"/>
        </w:rPr>
        <w:t>. The</w:t>
      </w:r>
      <w:r w:rsidR="00614FE2" w:rsidRPr="00BE54CE">
        <w:rPr>
          <w:rFonts w:ascii="Arial" w:hAnsi="Arial" w:cs="Arial"/>
          <w:sz w:val="22"/>
          <w:szCs w:val="22"/>
        </w:rPr>
        <w:t>se developments also intend to increase transparency in operations</w:t>
      </w:r>
      <w:r w:rsidR="00A70080" w:rsidRPr="00BE54CE">
        <w:rPr>
          <w:rFonts w:ascii="Arial" w:hAnsi="Arial" w:cs="Arial"/>
          <w:sz w:val="22"/>
          <w:szCs w:val="22"/>
        </w:rPr>
        <w:t xml:space="preserve">, including providing clarity on membership appointments, establishment </w:t>
      </w:r>
      <w:r w:rsidR="00096E64" w:rsidRPr="00BE54CE">
        <w:rPr>
          <w:rFonts w:ascii="Arial" w:hAnsi="Arial" w:cs="Arial"/>
          <w:sz w:val="22"/>
          <w:szCs w:val="22"/>
        </w:rPr>
        <w:t xml:space="preserve">of </w:t>
      </w:r>
      <w:r w:rsidR="00A70080" w:rsidRPr="00BE54CE">
        <w:rPr>
          <w:rFonts w:ascii="Arial" w:hAnsi="Arial" w:cs="Arial"/>
          <w:sz w:val="22"/>
          <w:szCs w:val="22"/>
        </w:rPr>
        <w:t>groups and influence on decision making.</w:t>
      </w:r>
    </w:p>
    <w:p w14:paraId="7C2598C0" w14:textId="77777777" w:rsidR="00981FC2" w:rsidRPr="00BE54CE" w:rsidRDefault="00981FC2" w:rsidP="00981FC2">
      <w:pPr>
        <w:pStyle w:val="NoSpacing"/>
        <w:jc w:val="both"/>
        <w:rPr>
          <w:rFonts w:ascii="Arial" w:hAnsi="Arial" w:cs="Arial"/>
          <w:sz w:val="22"/>
          <w:szCs w:val="22"/>
        </w:rPr>
      </w:pPr>
    </w:p>
    <w:p w14:paraId="3A02838C" w14:textId="329C9F22" w:rsidR="00D57589" w:rsidRPr="00BE54CE" w:rsidRDefault="00941BE9" w:rsidP="00981FC2">
      <w:pPr>
        <w:pStyle w:val="NoSpacing"/>
        <w:jc w:val="both"/>
        <w:rPr>
          <w:rFonts w:ascii="Arial" w:hAnsi="Arial" w:cs="Arial"/>
          <w:sz w:val="22"/>
          <w:szCs w:val="22"/>
        </w:rPr>
      </w:pPr>
      <w:bookmarkStart w:id="8" w:name="_Hlk65662966"/>
      <w:r>
        <w:rPr>
          <w:rFonts w:ascii="Arial" w:hAnsi="Arial" w:cs="Arial"/>
          <w:sz w:val="22"/>
          <w:szCs w:val="22"/>
        </w:rPr>
        <w:t xml:space="preserve">The </w:t>
      </w:r>
      <w:r w:rsidR="00A70080" w:rsidRPr="00BE54CE">
        <w:rPr>
          <w:rFonts w:ascii="Arial" w:hAnsi="Arial" w:cs="Arial"/>
          <w:sz w:val="22"/>
          <w:szCs w:val="22"/>
        </w:rPr>
        <w:t xml:space="preserve">MHRA outlined </w:t>
      </w:r>
      <w:r w:rsidR="00614FE2" w:rsidRPr="00BE54CE">
        <w:rPr>
          <w:rFonts w:ascii="Arial" w:hAnsi="Arial" w:cs="Arial"/>
          <w:sz w:val="22"/>
          <w:szCs w:val="22"/>
        </w:rPr>
        <w:t>its</w:t>
      </w:r>
      <w:r w:rsidR="00A70080" w:rsidRPr="00BE54CE">
        <w:rPr>
          <w:rFonts w:ascii="Arial" w:hAnsi="Arial" w:cs="Arial"/>
          <w:sz w:val="22"/>
          <w:szCs w:val="22"/>
        </w:rPr>
        <w:t xml:space="preserve"> aim to establish </w:t>
      </w:r>
      <w:r w:rsidR="00614FE2" w:rsidRPr="00BE54CE">
        <w:rPr>
          <w:rFonts w:ascii="Arial" w:hAnsi="Arial" w:cs="Arial"/>
          <w:sz w:val="22"/>
          <w:szCs w:val="22"/>
        </w:rPr>
        <w:t xml:space="preserve">clarity around </w:t>
      </w:r>
      <w:r w:rsidR="00A70080" w:rsidRPr="00BE54CE">
        <w:rPr>
          <w:rFonts w:ascii="Arial" w:hAnsi="Arial" w:cs="Arial"/>
          <w:sz w:val="22"/>
          <w:szCs w:val="22"/>
        </w:rPr>
        <w:t>clear lines of responsibility</w:t>
      </w:r>
      <w:r w:rsidR="00614FE2" w:rsidRPr="00BE54CE">
        <w:rPr>
          <w:rFonts w:ascii="Arial" w:hAnsi="Arial" w:cs="Arial"/>
          <w:sz w:val="22"/>
          <w:szCs w:val="22"/>
        </w:rPr>
        <w:t xml:space="preserve"> and </w:t>
      </w:r>
      <w:r w:rsidR="00080B54">
        <w:rPr>
          <w:rFonts w:ascii="Arial" w:hAnsi="Arial" w:cs="Arial"/>
          <w:sz w:val="22"/>
          <w:szCs w:val="22"/>
        </w:rPr>
        <w:t xml:space="preserve">advisory </w:t>
      </w:r>
      <w:r w:rsidR="008F0F05" w:rsidRPr="00BE54CE">
        <w:rPr>
          <w:rFonts w:ascii="Arial" w:hAnsi="Arial" w:cs="Arial"/>
          <w:sz w:val="22"/>
          <w:szCs w:val="22"/>
        </w:rPr>
        <w:t>roles in the decision-making process</w:t>
      </w:r>
      <w:r w:rsidR="00A70080" w:rsidRPr="00BE54CE">
        <w:rPr>
          <w:rFonts w:ascii="Arial" w:hAnsi="Arial" w:cs="Arial"/>
          <w:sz w:val="22"/>
          <w:szCs w:val="22"/>
        </w:rPr>
        <w:t xml:space="preserve"> between MHRA</w:t>
      </w:r>
      <w:r w:rsidR="00080B54">
        <w:rPr>
          <w:rFonts w:ascii="Arial" w:hAnsi="Arial" w:cs="Arial"/>
          <w:sz w:val="22"/>
          <w:szCs w:val="22"/>
        </w:rPr>
        <w:t>,</w:t>
      </w:r>
      <w:r w:rsidR="00A70080" w:rsidRPr="00BE54CE">
        <w:rPr>
          <w:rFonts w:ascii="Arial" w:hAnsi="Arial" w:cs="Arial"/>
          <w:sz w:val="22"/>
          <w:szCs w:val="22"/>
        </w:rPr>
        <w:t xml:space="preserve"> EAGs</w:t>
      </w:r>
      <w:r w:rsidR="00080B54">
        <w:rPr>
          <w:rFonts w:ascii="Arial" w:hAnsi="Arial" w:cs="Arial"/>
          <w:sz w:val="22"/>
          <w:szCs w:val="22"/>
        </w:rPr>
        <w:t xml:space="preserve"> and DEAC</w:t>
      </w:r>
      <w:r w:rsidR="008F0F05" w:rsidRPr="00BE54CE">
        <w:rPr>
          <w:rFonts w:ascii="Arial" w:hAnsi="Arial" w:cs="Arial"/>
          <w:sz w:val="22"/>
          <w:szCs w:val="22"/>
        </w:rPr>
        <w:t>.</w:t>
      </w:r>
      <w:r w:rsidR="00A70080" w:rsidRPr="00BE54CE">
        <w:rPr>
          <w:rFonts w:ascii="Arial" w:hAnsi="Arial" w:cs="Arial"/>
          <w:sz w:val="22"/>
          <w:szCs w:val="22"/>
        </w:rPr>
        <w:t xml:space="preserve"> The </w:t>
      </w:r>
      <w:r w:rsidR="008F0F05" w:rsidRPr="00BE54CE">
        <w:rPr>
          <w:rFonts w:ascii="Arial" w:hAnsi="Arial" w:cs="Arial"/>
          <w:sz w:val="22"/>
          <w:szCs w:val="22"/>
        </w:rPr>
        <w:t>MHRA also highlighted that there were</w:t>
      </w:r>
      <w:r w:rsidR="00A70080" w:rsidRPr="00BE54CE">
        <w:rPr>
          <w:rFonts w:ascii="Arial" w:hAnsi="Arial" w:cs="Arial"/>
          <w:sz w:val="22"/>
          <w:szCs w:val="22"/>
        </w:rPr>
        <w:t xml:space="preserve"> ongoing projects on</w:t>
      </w:r>
      <w:r w:rsidR="008F0F05" w:rsidRPr="00BE54CE">
        <w:rPr>
          <w:rFonts w:ascii="Arial" w:hAnsi="Arial" w:cs="Arial"/>
          <w:sz w:val="22"/>
          <w:szCs w:val="22"/>
        </w:rPr>
        <w:t xml:space="preserve"> increasing</w:t>
      </w:r>
      <w:r w:rsidR="00A70080" w:rsidRPr="00BE54CE">
        <w:rPr>
          <w:rFonts w:ascii="Arial" w:hAnsi="Arial" w:cs="Arial"/>
          <w:sz w:val="22"/>
          <w:szCs w:val="22"/>
        </w:rPr>
        <w:t xml:space="preserve"> patient voice and</w:t>
      </w:r>
      <w:r w:rsidR="008F0F05" w:rsidRPr="00BE54CE">
        <w:rPr>
          <w:rFonts w:ascii="Arial" w:hAnsi="Arial" w:cs="Arial"/>
          <w:sz w:val="22"/>
          <w:szCs w:val="22"/>
        </w:rPr>
        <w:t xml:space="preserve"> the use of</w:t>
      </w:r>
      <w:r w:rsidR="00A70080" w:rsidRPr="00BE54CE">
        <w:rPr>
          <w:rFonts w:ascii="Arial" w:hAnsi="Arial" w:cs="Arial"/>
          <w:sz w:val="22"/>
          <w:szCs w:val="22"/>
        </w:rPr>
        <w:t xml:space="preserve"> patient panels </w:t>
      </w:r>
      <w:r w:rsidR="008F0F05" w:rsidRPr="00BE54CE">
        <w:rPr>
          <w:rFonts w:ascii="Arial" w:hAnsi="Arial" w:cs="Arial"/>
          <w:sz w:val="22"/>
          <w:szCs w:val="22"/>
        </w:rPr>
        <w:t xml:space="preserve">which are relevant to these efforts. </w:t>
      </w:r>
    </w:p>
    <w:bookmarkEnd w:id="8"/>
    <w:p w14:paraId="1D57BDB2" w14:textId="5A79E3C0" w:rsidR="00D57589" w:rsidRDefault="00D57589" w:rsidP="00A853A4">
      <w:pPr>
        <w:pStyle w:val="NoSpacing"/>
        <w:jc w:val="both"/>
        <w:rPr>
          <w:rFonts w:ascii="Arial" w:hAnsi="Arial" w:cs="Arial"/>
          <w:b/>
          <w:sz w:val="22"/>
          <w:szCs w:val="22"/>
        </w:rPr>
      </w:pPr>
    </w:p>
    <w:p w14:paraId="11232DD2" w14:textId="77777777" w:rsidR="00734523" w:rsidRPr="00BE54CE" w:rsidRDefault="00734523" w:rsidP="00A853A4">
      <w:pPr>
        <w:pStyle w:val="NoSpacing"/>
        <w:jc w:val="both"/>
        <w:rPr>
          <w:rFonts w:ascii="Arial" w:hAnsi="Arial" w:cs="Arial"/>
          <w:b/>
          <w:sz w:val="22"/>
          <w:szCs w:val="22"/>
        </w:rPr>
      </w:pPr>
    </w:p>
    <w:p w14:paraId="5F51D5DC" w14:textId="0D7D5CA4" w:rsidR="003D2026" w:rsidRPr="00BE54CE" w:rsidRDefault="003D2026" w:rsidP="00A853A4">
      <w:pPr>
        <w:pStyle w:val="NoSpacing"/>
        <w:jc w:val="both"/>
        <w:rPr>
          <w:rFonts w:ascii="Arial" w:hAnsi="Arial" w:cs="Arial"/>
          <w:b/>
          <w:iCs/>
          <w:sz w:val="22"/>
          <w:szCs w:val="22"/>
        </w:rPr>
      </w:pPr>
      <w:r w:rsidRPr="00BE54CE">
        <w:rPr>
          <w:rFonts w:ascii="Arial" w:hAnsi="Arial" w:cs="Arial"/>
          <w:b/>
          <w:sz w:val="22"/>
          <w:szCs w:val="22"/>
        </w:rPr>
        <w:t>Procedural</w:t>
      </w:r>
      <w:r w:rsidRPr="00BE54CE">
        <w:rPr>
          <w:rFonts w:ascii="Arial" w:hAnsi="Arial" w:cs="Arial"/>
          <w:b/>
          <w:iCs/>
          <w:sz w:val="22"/>
          <w:szCs w:val="22"/>
        </w:rPr>
        <w:t xml:space="preserve"> Items </w:t>
      </w:r>
    </w:p>
    <w:p w14:paraId="61864424" w14:textId="32A1B858" w:rsidR="003D2026" w:rsidRPr="00BE54CE" w:rsidRDefault="003D2026" w:rsidP="003B21A6">
      <w:pPr>
        <w:pStyle w:val="NoSpacing"/>
        <w:jc w:val="both"/>
        <w:rPr>
          <w:rFonts w:ascii="Arial" w:hAnsi="Arial" w:cs="Arial"/>
          <w:color w:val="000000"/>
          <w:sz w:val="22"/>
          <w:szCs w:val="22"/>
        </w:rPr>
      </w:pPr>
    </w:p>
    <w:p w14:paraId="76F11681" w14:textId="7E52587C" w:rsidR="003D2026" w:rsidRPr="00BE54CE" w:rsidRDefault="003D2026" w:rsidP="003B21A6">
      <w:pPr>
        <w:pStyle w:val="NoSpacing"/>
        <w:jc w:val="both"/>
        <w:rPr>
          <w:rFonts w:ascii="Arial" w:hAnsi="Arial" w:cs="Arial"/>
          <w:sz w:val="22"/>
          <w:szCs w:val="22"/>
        </w:rPr>
      </w:pPr>
      <w:r w:rsidRPr="00BE54CE">
        <w:rPr>
          <w:rFonts w:ascii="Arial" w:hAnsi="Arial" w:cs="Arial"/>
          <w:sz w:val="22"/>
          <w:szCs w:val="22"/>
        </w:rPr>
        <w:t>The Group completed its usual procedural business including the need to observe the confidentiality of the meeting and to declare interests, announcements, apologies, and approval of minutes</w:t>
      </w:r>
      <w:r w:rsidR="002E3AF3" w:rsidRPr="00BE54CE">
        <w:rPr>
          <w:rFonts w:ascii="Arial" w:hAnsi="Arial" w:cs="Arial"/>
          <w:sz w:val="22"/>
          <w:szCs w:val="22"/>
        </w:rPr>
        <w:t>:</w:t>
      </w:r>
    </w:p>
    <w:p w14:paraId="38198635" w14:textId="77777777" w:rsidR="002E3AF3" w:rsidRPr="00BE54CE" w:rsidRDefault="002E3AF3" w:rsidP="003B21A6">
      <w:pPr>
        <w:pStyle w:val="NoSpacing"/>
        <w:jc w:val="both"/>
        <w:rPr>
          <w:rFonts w:ascii="Arial" w:hAnsi="Arial" w:cs="Arial"/>
          <w:color w:val="000000" w:themeColor="text1"/>
          <w:sz w:val="22"/>
          <w:szCs w:val="22"/>
          <w:highlight w:val="yellow"/>
        </w:rPr>
      </w:pPr>
    </w:p>
    <w:p w14:paraId="1E7A851F" w14:textId="3D91AEBF" w:rsidR="003D2026" w:rsidRPr="00BE54CE" w:rsidRDefault="003D2026" w:rsidP="003B21A6">
      <w:pPr>
        <w:pStyle w:val="NoSpacing"/>
        <w:numPr>
          <w:ilvl w:val="0"/>
          <w:numId w:val="5"/>
        </w:numPr>
        <w:jc w:val="both"/>
        <w:rPr>
          <w:rFonts w:ascii="Arial" w:eastAsiaTheme="minorEastAsia" w:hAnsi="Arial" w:cs="Arial"/>
          <w:color w:val="000000"/>
          <w:sz w:val="22"/>
          <w:szCs w:val="22"/>
        </w:rPr>
      </w:pPr>
      <w:r w:rsidRPr="00BE54CE">
        <w:rPr>
          <w:rFonts w:ascii="Arial" w:hAnsi="Arial" w:cs="Arial"/>
          <w:color w:val="000000" w:themeColor="text1"/>
          <w:sz w:val="22"/>
          <w:szCs w:val="22"/>
        </w:rPr>
        <w:t xml:space="preserve">A list of </w:t>
      </w:r>
      <w:r w:rsidR="00941BE9">
        <w:rPr>
          <w:rFonts w:ascii="Arial" w:hAnsi="Arial" w:cs="Arial"/>
          <w:color w:val="000000" w:themeColor="text1"/>
          <w:sz w:val="22"/>
          <w:szCs w:val="22"/>
        </w:rPr>
        <w:t>m</w:t>
      </w:r>
      <w:r w:rsidRPr="00BE54CE">
        <w:rPr>
          <w:rFonts w:ascii="Arial" w:hAnsi="Arial" w:cs="Arial"/>
          <w:color w:val="000000" w:themeColor="text1"/>
          <w:sz w:val="22"/>
          <w:szCs w:val="22"/>
        </w:rPr>
        <w:t xml:space="preserve">embers who attended the meeting is in </w:t>
      </w:r>
      <w:r w:rsidRPr="00BE54CE">
        <w:rPr>
          <w:rFonts w:ascii="Arial" w:hAnsi="Arial" w:cs="Arial"/>
          <w:bCs/>
          <w:color w:val="000000" w:themeColor="text1"/>
          <w:sz w:val="22"/>
          <w:szCs w:val="22"/>
        </w:rPr>
        <w:t>Annex A.</w:t>
      </w:r>
    </w:p>
    <w:p w14:paraId="0C95E154" w14:textId="2E7449AF" w:rsidR="003D2026" w:rsidRPr="00BE54CE" w:rsidRDefault="003D2026" w:rsidP="003B21A6">
      <w:pPr>
        <w:pStyle w:val="NoSpacing"/>
        <w:numPr>
          <w:ilvl w:val="0"/>
          <w:numId w:val="5"/>
        </w:numPr>
        <w:jc w:val="both"/>
        <w:rPr>
          <w:rFonts w:ascii="Arial" w:eastAsiaTheme="minorEastAsia" w:hAnsi="Arial" w:cs="Arial"/>
          <w:color w:val="000000"/>
          <w:sz w:val="22"/>
          <w:szCs w:val="22"/>
        </w:rPr>
      </w:pPr>
      <w:r w:rsidRPr="00BE54CE">
        <w:rPr>
          <w:rFonts w:ascii="Arial" w:hAnsi="Arial" w:cs="Arial"/>
          <w:color w:val="000000" w:themeColor="text1"/>
          <w:sz w:val="22"/>
          <w:szCs w:val="22"/>
        </w:rPr>
        <w:t xml:space="preserve">Apologies were given by </w:t>
      </w:r>
      <w:r w:rsidR="00B67D8D" w:rsidRPr="00BE54CE">
        <w:rPr>
          <w:rFonts w:ascii="Arial" w:hAnsi="Arial" w:cs="Arial"/>
          <w:color w:val="000000" w:themeColor="text1"/>
          <w:sz w:val="22"/>
          <w:szCs w:val="22"/>
        </w:rPr>
        <w:t>Professor Haray and Mr Morris</w:t>
      </w:r>
      <w:r w:rsidRPr="00BE54CE">
        <w:rPr>
          <w:rFonts w:ascii="Arial" w:hAnsi="Arial" w:cs="Arial"/>
          <w:color w:val="000000" w:themeColor="text1"/>
          <w:sz w:val="22"/>
          <w:szCs w:val="22"/>
        </w:rPr>
        <w:t xml:space="preserve">. </w:t>
      </w:r>
    </w:p>
    <w:p w14:paraId="6CF211EE" w14:textId="42535843" w:rsidR="003D2026" w:rsidRPr="00BE54CE" w:rsidRDefault="003D2026" w:rsidP="003B21A6">
      <w:pPr>
        <w:pStyle w:val="NoSpacing"/>
        <w:numPr>
          <w:ilvl w:val="0"/>
          <w:numId w:val="5"/>
        </w:numPr>
        <w:jc w:val="both"/>
        <w:rPr>
          <w:rFonts w:ascii="Arial" w:eastAsiaTheme="minorEastAsia" w:hAnsi="Arial" w:cs="Arial"/>
          <w:color w:val="000000"/>
          <w:sz w:val="22"/>
          <w:szCs w:val="22"/>
        </w:rPr>
      </w:pPr>
      <w:r w:rsidRPr="00BE54CE">
        <w:rPr>
          <w:rFonts w:ascii="Arial" w:hAnsi="Arial" w:cs="Arial"/>
          <w:color w:val="000000" w:themeColor="text1"/>
          <w:sz w:val="22"/>
          <w:szCs w:val="22"/>
        </w:rPr>
        <w:t xml:space="preserve">All members attended the meeting via </w:t>
      </w:r>
      <w:r w:rsidR="002C6541" w:rsidRPr="00BE54CE">
        <w:rPr>
          <w:rFonts w:ascii="Arial" w:hAnsi="Arial" w:cs="Arial"/>
          <w:color w:val="000000" w:themeColor="text1"/>
          <w:sz w:val="22"/>
          <w:szCs w:val="22"/>
        </w:rPr>
        <w:t xml:space="preserve">Zoom </w:t>
      </w:r>
      <w:r w:rsidR="00B67D8D" w:rsidRPr="00BE54CE">
        <w:rPr>
          <w:rFonts w:ascii="Arial" w:hAnsi="Arial" w:cs="Arial"/>
          <w:color w:val="000000" w:themeColor="text1"/>
          <w:sz w:val="22"/>
          <w:szCs w:val="22"/>
        </w:rPr>
        <w:t>video</w:t>
      </w:r>
      <w:r w:rsidRPr="00BE54CE">
        <w:rPr>
          <w:rFonts w:ascii="Arial" w:hAnsi="Arial" w:cs="Arial"/>
          <w:color w:val="000000" w:themeColor="text1"/>
          <w:sz w:val="22"/>
          <w:szCs w:val="22"/>
        </w:rPr>
        <w:t xml:space="preserve">conference. </w:t>
      </w:r>
    </w:p>
    <w:p w14:paraId="20AFF458" w14:textId="0576DD5E" w:rsidR="003D2026" w:rsidRPr="00BE54CE" w:rsidRDefault="003D2026" w:rsidP="003B21A6">
      <w:pPr>
        <w:pStyle w:val="NoSpacing"/>
        <w:numPr>
          <w:ilvl w:val="0"/>
          <w:numId w:val="5"/>
        </w:numPr>
        <w:jc w:val="both"/>
        <w:rPr>
          <w:rFonts w:ascii="Arial" w:hAnsi="Arial" w:cs="Arial"/>
          <w:color w:val="000000"/>
          <w:sz w:val="22"/>
          <w:szCs w:val="22"/>
        </w:rPr>
      </w:pPr>
      <w:r w:rsidRPr="00BE54CE">
        <w:rPr>
          <w:rFonts w:ascii="Arial" w:hAnsi="Arial" w:cs="Arial"/>
          <w:color w:val="000000"/>
          <w:sz w:val="22"/>
          <w:szCs w:val="22"/>
        </w:rPr>
        <w:t>The meeting started 10:0</w:t>
      </w:r>
      <w:r w:rsidR="00071142" w:rsidRPr="00BE54CE">
        <w:rPr>
          <w:rFonts w:ascii="Arial" w:hAnsi="Arial" w:cs="Arial"/>
          <w:color w:val="000000"/>
          <w:sz w:val="22"/>
          <w:szCs w:val="22"/>
        </w:rPr>
        <w:t>4</w:t>
      </w:r>
      <w:r w:rsidRPr="00BE54CE">
        <w:rPr>
          <w:rFonts w:ascii="Arial" w:hAnsi="Arial" w:cs="Arial"/>
          <w:color w:val="000000"/>
          <w:sz w:val="22"/>
          <w:szCs w:val="22"/>
        </w:rPr>
        <w:t xml:space="preserve"> and lasted </w:t>
      </w:r>
      <w:r w:rsidRPr="00BE54CE">
        <w:rPr>
          <w:rFonts w:ascii="Arial" w:hAnsi="Arial" w:cs="Arial"/>
          <w:sz w:val="22"/>
          <w:szCs w:val="22"/>
        </w:rPr>
        <w:t>until</w:t>
      </w:r>
      <w:r w:rsidR="003E01EE" w:rsidRPr="00BE54CE">
        <w:rPr>
          <w:rFonts w:ascii="Arial" w:hAnsi="Arial" w:cs="Arial"/>
          <w:sz w:val="22"/>
          <w:szCs w:val="22"/>
        </w:rPr>
        <w:t xml:space="preserve"> 13:0</w:t>
      </w:r>
      <w:r w:rsidR="00071142" w:rsidRPr="00BE54CE">
        <w:rPr>
          <w:rFonts w:ascii="Arial" w:hAnsi="Arial" w:cs="Arial"/>
          <w:sz w:val="22"/>
          <w:szCs w:val="22"/>
        </w:rPr>
        <w:t>7</w:t>
      </w:r>
      <w:r w:rsidR="00775E00" w:rsidRPr="00BE54CE">
        <w:rPr>
          <w:rFonts w:ascii="Arial" w:hAnsi="Arial" w:cs="Arial"/>
          <w:sz w:val="22"/>
          <w:szCs w:val="22"/>
        </w:rPr>
        <w:t>.</w:t>
      </w:r>
    </w:p>
    <w:p w14:paraId="193D8C2B" w14:textId="3F8BDC80" w:rsidR="003D2026" w:rsidRPr="00BE54CE" w:rsidRDefault="003D2026" w:rsidP="003B21A6">
      <w:pPr>
        <w:pStyle w:val="NoSpacing"/>
        <w:numPr>
          <w:ilvl w:val="0"/>
          <w:numId w:val="5"/>
        </w:numPr>
        <w:jc w:val="both"/>
        <w:rPr>
          <w:rFonts w:ascii="Arial" w:hAnsi="Arial" w:cs="Arial"/>
          <w:color w:val="000000"/>
          <w:sz w:val="22"/>
          <w:szCs w:val="22"/>
        </w:rPr>
      </w:pPr>
      <w:r w:rsidRPr="00BE54CE">
        <w:rPr>
          <w:rFonts w:ascii="Arial" w:hAnsi="Arial" w:cs="Arial"/>
          <w:color w:val="000000" w:themeColor="text1"/>
          <w:sz w:val="22"/>
          <w:szCs w:val="22"/>
        </w:rPr>
        <w:t xml:space="preserve">The next meeting of </w:t>
      </w:r>
      <w:r w:rsidR="0098632A" w:rsidRPr="00BE54CE">
        <w:rPr>
          <w:rFonts w:ascii="Arial" w:hAnsi="Arial" w:cs="Arial"/>
          <w:color w:val="000000" w:themeColor="text1"/>
          <w:sz w:val="22"/>
          <w:szCs w:val="22"/>
        </w:rPr>
        <w:t>DEAC</w:t>
      </w:r>
      <w:r w:rsidRPr="00BE54CE">
        <w:rPr>
          <w:rFonts w:ascii="Arial" w:hAnsi="Arial" w:cs="Arial"/>
          <w:color w:val="000000" w:themeColor="text1"/>
          <w:sz w:val="22"/>
          <w:szCs w:val="22"/>
        </w:rPr>
        <w:t xml:space="preserve"> is due to take place on </w:t>
      </w:r>
      <w:r w:rsidR="00B67D8D" w:rsidRPr="00BE54CE">
        <w:rPr>
          <w:rFonts w:ascii="Arial" w:hAnsi="Arial" w:cs="Arial"/>
          <w:color w:val="000000" w:themeColor="text1"/>
          <w:sz w:val="22"/>
          <w:szCs w:val="22"/>
        </w:rPr>
        <w:t>25</w:t>
      </w:r>
      <w:r w:rsidR="00775E00" w:rsidRPr="00BE54CE">
        <w:rPr>
          <w:rFonts w:ascii="Arial" w:hAnsi="Arial" w:cs="Arial"/>
          <w:color w:val="000000" w:themeColor="text1"/>
          <w:sz w:val="22"/>
          <w:szCs w:val="22"/>
          <w:vertAlign w:val="superscript"/>
        </w:rPr>
        <w:t>th</w:t>
      </w:r>
      <w:r w:rsidR="00775E00" w:rsidRPr="00BE54CE">
        <w:rPr>
          <w:rFonts w:ascii="Arial" w:hAnsi="Arial" w:cs="Arial"/>
          <w:color w:val="000000" w:themeColor="text1"/>
          <w:sz w:val="22"/>
          <w:szCs w:val="22"/>
        </w:rPr>
        <w:t xml:space="preserve"> </w:t>
      </w:r>
      <w:r w:rsidR="00B67D8D" w:rsidRPr="00BE54CE">
        <w:rPr>
          <w:rFonts w:ascii="Arial" w:hAnsi="Arial" w:cs="Arial"/>
          <w:color w:val="000000" w:themeColor="text1"/>
          <w:sz w:val="22"/>
          <w:szCs w:val="22"/>
        </w:rPr>
        <w:t>February</w:t>
      </w:r>
      <w:r w:rsidRPr="00BE54CE">
        <w:rPr>
          <w:rFonts w:ascii="Arial" w:hAnsi="Arial" w:cs="Arial"/>
          <w:color w:val="000000" w:themeColor="text1"/>
          <w:sz w:val="22"/>
          <w:szCs w:val="22"/>
        </w:rPr>
        <w:t xml:space="preserve"> 202</w:t>
      </w:r>
      <w:bookmarkStart w:id="9" w:name="_GoBack"/>
      <w:r w:rsidR="00506A92">
        <w:rPr>
          <w:rFonts w:ascii="Arial" w:hAnsi="Arial" w:cs="Arial"/>
          <w:color w:val="000000" w:themeColor="text1"/>
          <w:sz w:val="22"/>
          <w:szCs w:val="22"/>
        </w:rPr>
        <w:t>1</w:t>
      </w:r>
      <w:bookmarkEnd w:id="9"/>
      <w:r w:rsidRPr="00BE54CE">
        <w:rPr>
          <w:rFonts w:ascii="Arial" w:hAnsi="Arial" w:cs="Arial"/>
          <w:color w:val="000000" w:themeColor="text1"/>
          <w:sz w:val="22"/>
          <w:szCs w:val="22"/>
        </w:rPr>
        <w:t>.</w:t>
      </w:r>
      <w:r w:rsidR="00625FAE">
        <w:rPr>
          <w:rFonts w:ascii="Arial" w:hAnsi="Arial" w:cs="Arial"/>
          <w:color w:val="000000" w:themeColor="text1"/>
          <w:sz w:val="22"/>
          <w:szCs w:val="22"/>
        </w:rPr>
        <w:t xml:space="preserve"> </w:t>
      </w:r>
    </w:p>
    <w:p w14:paraId="693709F0" w14:textId="77777777" w:rsidR="003D2026" w:rsidRPr="00BE54CE" w:rsidRDefault="003D2026" w:rsidP="003B21A6">
      <w:pPr>
        <w:pStyle w:val="NoSpacing"/>
        <w:jc w:val="both"/>
        <w:rPr>
          <w:rFonts w:ascii="Arial" w:hAnsi="Arial" w:cs="Arial"/>
          <w:sz w:val="22"/>
          <w:szCs w:val="22"/>
          <w:highlight w:val="yellow"/>
        </w:rPr>
      </w:pPr>
    </w:p>
    <w:p w14:paraId="70FD3FC3" w14:textId="77777777" w:rsidR="00CA1700" w:rsidRPr="00BE54CE" w:rsidRDefault="00CA1700" w:rsidP="003B21A6">
      <w:pPr>
        <w:pStyle w:val="NoSpacing"/>
        <w:jc w:val="both"/>
        <w:rPr>
          <w:rFonts w:ascii="Arial" w:hAnsi="Arial" w:cs="Arial"/>
          <w:b/>
          <w:sz w:val="22"/>
          <w:szCs w:val="22"/>
          <w:highlight w:val="yellow"/>
        </w:rPr>
      </w:pPr>
    </w:p>
    <w:p w14:paraId="7F851E7D" w14:textId="1196E4C6" w:rsidR="003D2026" w:rsidRPr="00BE54CE" w:rsidRDefault="003D2026" w:rsidP="0098632A">
      <w:pPr>
        <w:pStyle w:val="NoSpacing"/>
        <w:ind w:left="0"/>
        <w:jc w:val="both"/>
        <w:rPr>
          <w:rFonts w:ascii="Arial" w:hAnsi="Arial" w:cs="Arial"/>
          <w:b/>
          <w:sz w:val="22"/>
          <w:szCs w:val="22"/>
        </w:rPr>
      </w:pPr>
      <w:r w:rsidRPr="00BE54CE">
        <w:rPr>
          <w:rFonts w:ascii="Arial" w:hAnsi="Arial" w:cs="Arial"/>
          <w:b/>
          <w:sz w:val="22"/>
          <w:szCs w:val="22"/>
        </w:rPr>
        <w:t xml:space="preserve">To note: </w:t>
      </w:r>
    </w:p>
    <w:p w14:paraId="225D8353" w14:textId="77777777" w:rsidR="00CA1700" w:rsidRPr="00BE54CE" w:rsidRDefault="00CA1700" w:rsidP="003B21A6">
      <w:pPr>
        <w:pStyle w:val="NoSpacing"/>
        <w:jc w:val="both"/>
        <w:rPr>
          <w:rFonts w:ascii="Arial" w:hAnsi="Arial" w:cs="Arial"/>
          <w:b/>
          <w:sz w:val="22"/>
          <w:szCs w:val="22"/>
        </w:rPr>
      </w:pPr>
    </w:p>
    <w:p w14:paraId="5FF615DB" w14:textId="58E86AC0" w:rsidR="003D2026" w:rsidRPr="00BE54CE" w:rsidRDefault="003D2026" w:rsidP="003B21A6">
      <w:pPr>
        <w:pStyle w:val="NoSpacing"/>
        <w:jc w:val="both"/>
        <w:rPr>
          <w:rFonts w:ascii="Arial" w:hAnsi="Arial" w:cs="Arial"/>
          <w:bCs/>
          <w:sz w:val="22"/>
          <w:szCs w:val="22"/>
          <w:highlight w:val="yellow"/>
          <w:u w:val="single"/>
        </w:rPr>
      </w:pPr>
      <w:r w:rsidRPr="00BE54CE">
        <w:rPr>
          <w:rFonts w:ascii="Arial" w:hAnsi="Arial" w:cs="Arial"/>
          <w:i/>
          <w:iCs/>
          <w:sz w:val="22"/>
          <w:szCs w:val="22"/>
        </w:rPr>
        <w:t xml:space="preserve">Information can be withheld, under Section 43 of the Freedom of Information (FOI) Act 2000. Information regarding the issue under consideration and advice from </w:t>
      </w:r>
      <w:r w:rsidR="005D1205" w:rsidRPr="00BE54CE">
        <w:rPr>
          <w:rFonts w:ascii="Arial" w:hAnsi="Arial" w:cs="Arial"/>
          <w:i/>
          <w:iCs/>
          <w:sz w:val="22"/>
          <w:szCs w:val="22"/>
        </w:rPr>
        <w:t>Devices Expert Advisory</w:t>
      </w:r>
      <w:r w:rsidRPr="00BE54CE">
        <w:rPr>
          <w:rFonts w:ascii="Arial" w:hAnsi="Arial" w:cs="Arial"/>
          <w:i/>
          <w:iCs/>
          <w:sz w:val="22"/>
          <w:szCs w:val="22"/>
        </w:rPr>
        <w:t xml:space="preserve"> remain confidential at the date of this summary and will remain so until a final decision has been taken. There is normally no overriding public interest in releasing such information in advance of the regulatory process being completed. Any request for future information should be made direct to the MHRA (via </w:t>
      </w:r>
      <w:hyperlink r:id="rId16" w:history="1">
        <w:r w:rsidRPr="00BE54CE">
          <w:rPr>
            <w:rStyle w:val="Hyperlink"/>
            <w:rFonts w:ascii="Arial" w:hAnsi="Arial" w:cs="Arial"/>
            <w:i/>
            <w:iCs/>
            <w:sz w:val="22"/>
            <w:szCs w:val="22"/>
          </w:rPr>
          <w:t>info@mhra.gov.uk</w:t>
        </w:r>
      </w:hyperlink>
      <w:r w:rsidRPr="00BE54CE">
        <w:rPr>
          <w:rFonts w:ascii="Arial" w:hAnsi="Arial" w:cs="Arial"/>
          <w:i/>
          <w:iCs/>
          <w:sz w:val="22"/>
          <w:szCs w:val="22"/>
        </w:rPr>
        <w:t>) and will be considered in accordance with the FOI Act.</w:t>
      </w:r>
      <w:r w:rsidR="00625FAE">
        <w:rPr>
          <w:rFonts w:ascii="Arial" w:hAnsi="Arial" w:cs="Arial"/>
          <w:i/>
          <w:iCs/>
          <w:sz w:val="22"/>
          <w:szCs w:val="22"/>
        </w:rPr>
        <w:t xml:space="preserve"> </w:t>
      </w:r>
      <w:r w:rsidRPr="00BE54CE">
        <w:rPr>
          <w:rFonts w:ascii="Arial" w:hAnsi="Arial" w:cs="Arial"/>
          <w:bCs/>
          <w:sz w:val="22"/>
          <w:szCs w:val="22"/>
          <w:highlight w:val="yellow"/>
          <w:u w:val="single"/>
        </w:rPr>
        <w:br w:type="page"/>
      </w:r>
    </w:p>
    <w:p w14:paraId="6B52EFED" w14:textId="70814587" w:rsidR="003D2026" w:rsidRPr="00AA32DF" w:rsidRDefault="003D2026" w:rsidP="00CA1700">
      <w:pPr>
        <w:pStyle w:val="NoSpacing"/>
        <w:jc w:val="right"/>
        <w:rPr>
          <w:rFonts w:ascii="Arial" w:hAnsi="Arial" w:cs="Arial"/>
          <w:b/>
          <w:sz w:val="22"/>
          <w:szCs w:val="22"/>
        </w:rPr>
      </w:pPr>
      <w:r w:rsidRPr="00AA32DF">
        <w:rPr>
          <w:rFonts w:ascii="Arial" w:hAnsi="Arial" w:cs="Arial"/>
          <w:b/>
          <w:sz w:val="22"/>
          <w:szCs w:val="22"/>
        </w:rPr>
        <w:lastRenderedPageBreak/>
        <w:t>ANNEX A</w:t>
      </w:r>
    </w:p>
    <w:p w14:paraId="2A554A39" w14:textId="77777777" w:rsidR="00B41662" w:rsidRPr="00AA32DF" w:rsidRDefault="00B41662" w:rsidP="00B41662">
      <w:pPr>
        <w:pStyle w:val="NoSpacing"/>
        <w:jc w:val="center"/>
        <w:rPr>
          <w:rFonts w:ascii="Arial" w:hAnsi="Arial" w:cs="Arial"/>
          <w:b/>
          <w:sz w:val="22"/>
          <w:szCs w:val="22"/>
        </w:rPr>
      </w:pPr>
    </w:p>
    <w:p w14:paraId="47065B20" w14:textId="2B8B64A0" w:rsidR="000740DD" w:rsidRPr="00AA32DF" w:rsidRDefault="00444634" w:rsidP="00CA1700">
      <w:pPr>
        <w:pStyle w:val="NoSpacing"/>
        <w:jc w:val="center"/>
        <w:rPr>
          <w:rFonts w:ascii="Arial" w:hAnsi="Arial" w:cs="Arial"/>
          <w:b/>
          <w:sz w:val="22"/>
          <w:szCs w:val="22"/>
          <w:u w:val="single"/>
        </w:rPr>
      </w:pPr>
      <w:r w:rsidRPr="00AA32DF">
        <w:rPr>
          <w:rFonts w:ascii="Arial" w:hAnsi="Arial" w:cs="Arial"/>
          <w:b/>
          <w:sz w:val="22"/>
          <w:szCs w:val="22"/>
          <w:u w:val="single"/>
        </w:rPr>
        <w:t>ATTENDING MEMBERS OF THE DEVICES EXPERT ADVISORY COMMITTEE MEETING 1</w:t>
      </w:r>
      <w:r w:rsidR="00221430" w:rsidRPr="00AA32DF">
        <w:rPr>
          <w:rFonts w:ascii="Arial" w:hAnsi="Arial" w:cs="Arial"/>
          <w:b/>
          <w:sz w:val="22"/>
          <w:szCs w:val="22"/>
          <w:u w:val="single"/>
        </w:rPr>
        <w:t>9</w:t>
      </w:r>
      <w:r w:rsidR="00CA1700" w:rsidRPr="00AA32DF">
        <w:rPr>
          <w:rFonts w:ascii="Arial" w:hAnsi="Arial" w:cs="Arial"/>
          <w:b/>
          <w:sz w:val="22"/>
          <w:szCs w:val="22"/>
          <w:u w:val="single"/>
          <w:vertAlign w:val="superscript"/>
        </w:rPr>
        <w:t xml:space="preserve">TH </w:t>
      </w:r>
      <w:r w:rsidR="00221430" w:rsidRPr="00AA32DF">
        <w:rPr>
          <w:rFonts w:ascii="Arial" w:hAnsi="Arial" w:cs="Arial"/>
          <w:b/>
          <w:sz w:val="22"/>
          <w:szCs w:val="22"/>
          <w:u w:val="single"/>
        </w:rPr>
        <w:t>NOV</w:t>
      </w:r>
      <w:r w:rsidRPr="00AA32DF">
        <w:rPr>
          <w:rFonts w:ascii="Arial" w:hAnsi="Arial" w:cs="Arial"/>
          <w:b/>
          <w:sz w:val="22"/>
          <w:szCs w:val="22"/>
          <w:u w:val="single"/>
        </w:rPr>
        <w:t>EMBER 2020</w:t>
      </w:r>
    </w:p>
    <w:p w14:paraId="7220F075" w14:textId="2FDF1D2E" w:rsidR="00444634" w:rsidRPr="00844882" w:rsidRDefault="00444634" w:rsidP="003A568B">
      <w:pPr>
        <w:pStyle w:val="NoSpacing"/>
        <w:rPr>
          <w:rFonts w:ascii="Arial" w:hAnsi="Arial" w:cs="Arial"/>
          <w:bCs/>
          <w:sz w:val="22"/>
          <w:szCs w:val="22"/>
          <w:highlight w:val="yellow"/>
        </w:rPr>
      </w:pPr>
    </w:p>
    <w:p w14:paraId="1D6F3D36" w14:textId="77777777" w:rsidR="0098632A" w:rsidRPr="00C940EB" w:rsidRDefault="0098632A" w:rsidP="003A568B">
      <w:pPr>
        <w:pStyle w:val="NoSpacing"/>
        <w:rPr>
          <w:rFonts w:ascii="Arial" w:hAnsi="Arial" w:cs="Arial"/>
          <w:bCs/>
          <w:sz w:val="22"/>
          <w:szCs w:val="22"/>
        </w:rPr>
      </w:pPr>
    </w:p>
    <w:p w14:paraId="59E2C2D9" w14:textId="0BDE81A9"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Chair</w:t>
      </w:r>
    </w:p>
    <w:p w14:paraId="6B59F212" w14:textId="77777777" w:rsidR="000740DD" w:rsidRPr="00C940EB" w:rsidRDefault="000740DD" w:rsidP="003A568B">
      <w:pPr>
        <w:pStyle w:val="NoSpacing"/>
        <w:rPr>
          <w:rFonts w:ascii="Arial" w:hAnsi="Arial" w:cs="Arial"/>
          <w:bCs/>
          <w:sz w:val="22"/>
          <w:szCs w:val="22"/>
        </w:rPr>
      </w:pPr>
      <w:r w:rsidRPr="00C940EB">
        <w:rPr>
          <w:rFonts w:ascii="Arial" w:hAnsi="Arial" w:cs="Arial"/>
          <w:sz w:val="22"/>
          <w:szCs w:val="22"/>
        </w:rPr>
        <w:t xml:space="preserve">Professor Peter Groves MBBS MD FRCP (Chair) </w:t>
      </w:r>
    </w:p>
    <w:p w14:paraId="74A88450"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Consultant Interventional Cardiologist, Cardiff and Vale UHB</w:t>
      </w:r>
    </w:p>
    <w:p w14:paraId="7FE8E0ED" w14:textId="77777777" w:rsidR="000740DD" w:rsidRPr="00C940EB" w:rsidRDefault="000740DD" w:rsidP="003A568B">
      <w:pPr>
        <w:pStyle w:val="NoSpacing"/>
        <w:rPr>
          <w:rFonts w:ascii="Arial" w:hAnsi="Arial" w:cs="Arial"/>
          <w:bCs/>
          <w:sz w:val="22"/>
          <w:szCs w:val="22"/>
        </w:rPr>
      </w:pPr>
      <w:r w:rsidRPr="00C940EB">
        <w:rPr>
          <w:rFonts w:ascii="Arial" w:hAnsi="Arial" w:cs="Arial"/>
          <w:i/>
          <w:iCs/>
          <w:sz w:val="22"/>
          <w:szCs w:val="22"/>
        </w:rPr>
        <w:t>Chair, Health Technology Wales; Chair, Medical Technologies Advisory Committee, NICE</w:t>
      </w:r>
    </w:p>
    <w:p w14:paraId="2409EBA5" w14:textId="77777777" w:rsidR="000740DD" w:rsidRPr="00C940EB" w:rsidRDefault="000740DD" w:rsidP="003A568B">
      <w:pPr>
        <w:pStyle w:val="NoSpacing"/>
        <w:rPr>
          <w:rFonts w:ascii="Arial" w:hAnsi="Arial" w:cs="Arial"/>
          <w:bCs/>
          <w:sz w:val="22"/>
          <w:szCs w:val="22"/>
        </w:rPr>
      </w:pPr>
    </w:p>
    <w:p w14:paraId="2BA1E30C"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Royal College of Nursing</w:t>
      </w:r>
    </w:p>
    <w:p w14:paraId="7C900F7C" w14:textId="1C695985" w:rsidR="000740DD" w:rsidRPr="00C940EB" w:rsidRDefault="000740DD" w:rsidP="003A568B">
      <w:pPr>
        <w:pStyle w:val="NoSpacing"/>
        <w:rPr>
          <w:rFonts w:ascii="Arial" w:hAnsi="Arial" w:cs="Arial"/>
          <w:sz w:val="22"/>
          <w:szCs w:val="22"/>
        </w:rPr>
      </w:pPr>
      <w:r w:rsidRPr="00C940EB">
        <w:rPr>
          <w:rFonts w:ascii="Arial" w:hAnsi="Arial" w:cs="Arial"/>
          <w:sz w:val="22"/>
          <w:szCs w:val="22"/>
        </w:rPr>
        <w:t>Ms Christine Callender MBA MSc RHV RM RGN</w:t>
      </w:r>
    </w:p>
    <w:p w14:paraId="3DAEF6DE"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Head of Nursing (Quality &amp; Regulation) Royal College of Nursing</w:t>
      </w:r>
    </w:p>
    <w:p w14:paraId="7C416EFF" w14:textId="77777777" w:rsidR="000740DD" w:rsidRPr="00C940EB" w:rsidRDefault="000740DD" w:rsidP="003A568B">
      <w:pPr>
        <w:pStyle w:val="NoSpacing"/>
        <w:rPr>
          <w:rFonts w:ascii="Arial" w:hAnsi="Arial" w:cs="Arial"/>
          <w:sz w:val="22"/>
          <w:szCs w:val="22"/>
        </w:rPr>
      </w:pPr>
    </w:p>
    <w:p w14:paraId="6455FFDD"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NHS Wales and Royal College of Surgeons</w:t>
      </w:r>
    </w:p>
    <w:p w14:paraId="5245A397" w14:textId="5DFF847A" w:rsidR="000740DD" w:rsidRPr="00C940EB" w:rsidRDefault="000740DD" w:rsidP="003A568B">
      <w:pPr>
        <w:pStyle w:val="NoSpacing"/>
        <w:rPr>
          <w:rFonts w:ascii="Arial" w:hAnsi="Arial" w:cs="Arial"/>
          <w:sz w:val="22"/>
          <w:szCs w:val="22"/>
        </w:rPr>
      </w:pPr>
      <w:r w:rsidRPr="00C940EB">
        <w:rPr>
          <w:rFonts w:ascii="Arial" w:hAnsi="Arial" w:cs="Arial"/>
          <w:sz w:val="22"/>
          <w:szCs w:val="22"/>
        </w:rPr>
        <w:t xml:space="preserve">Professor Puthucode Haray MS DNB FRCS FFST(Ed) </w:t>
      </w:r>
      <w:r w:rsidR="00C2306C" w:rsidRPr="00C940EB">
        <w:rPr>
          <w:rFonts w:ascii="Arial" w:hAnsi="Arial" w:cs="Arial"/>
          <w:b/>
          <w:bCs/>
          <w:i/>
          <w:iCs/>
          <w:color w:val="FF0000"/>
          <w:sz w:val="22"/>
          <w:szCs w:val="22"/>
        </w:rPr>
        <w:t>(apologies)</w:t>
      </w:r>
    </w:p>
    <w:p w14:paraId="54A1BDAF"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Consultant Colorectal Surgeon, Cwm Taf Morgannwg Health Board</w:t>
      </w:r>
    </w:p>
    <w:p w14:paraId="5BF6B6A4"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Professor of Coloproctology, University of South Wales</w:t>
      </w:r>
    </w:p>
    <w:p w14:paraId="22C9AA24" w14:textId="77777777" w:rsidR="000740DD" w:rsidRPr="00C940EB" w:rsidRDefault="000740DD" w:rsidP="003A568B">
      <w:pPr>
        <w:pStyle w:val="NoSpacing"/>
        <w:rPr>
          <w:rFonts w:ascii="Arial" w:hAnsi="Arial" w:cs="Arial"/>
          <w:sz w:val="22"/>
          <w:szCs w:val="22"/>
        </w:rPr>
      </w:pPr>
    </w:p>
    <w:p w14:paraId="2D90E485"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NICE</w:t>
      </w:r>
    </w:p>
    <w:p w14:paraId="2A9B9A0F" w14:textId="77777777" w:rsidR="000740DD" w:rsidRPr="00C940EB" w:rsidRDefault="000740DD" w:rsidP="003A568B">
      <w:pPr>
        <w:pStyle w:val="NoSpacing"/>
        <w:rPr>
          <w:rFonts w:ascii="Arial" w:hAnsi="Arial" w:cs="Arial"/>
          <w:sz w:val="22"/>
          <w:szCs w:val="22"/>
        </w:rPr>
      </w:pPr>
      <w:r w:rsidRPr="00C940EB">
        <w:rPr>
          <w:rFonts w:ascii="Arial" w:hAnsi="Arial" w:cs="Arial"/>
          <w:sz w:val="22"/>
          <w:szCs w:val="22"/>
        </w:rPr>
        <w:t>Professor Kevin Harris MB BS MA MD FRCP</w:t>
      </w:r>
    </w:p>
    <w:p w14:paraId="2E71FFD3"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Programme Director and Clinical Advisor – Interventional Procedures Programme National Institute for Health and Care Excellence</w:t>
      </w:r>
    </w:p>
    <w:p w14:paraId="66701B57" w14:textId="77777777" w:rsidR="000740DD" w:rsidRPr="00C940EB" w:rsidRDefault="000740DD" w:rsidP="003A568B">
      <w:pPr>
        <w:pStyle w:val="NoSpacing"/>
        <w:rPr>
          <w:rFonts w:ascii="Arial" w:hAnsi="Arial" w:cs="Arial"/>
          <w:sz w:val="22"/>
          <w:szCs w:val="22"/>
        </w:rPr>
      </w:pPr>
    </w:p>
    <w:p w14:paraId="75D5C2B3"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Royal College of Paediatrics and Child Health</w:t>
      </w:r>
    </w:p>
    <w:p w14:paraId="249B5506" w14:textId="77777777" w:rsidR="000740DD" w:rsidRPr="00C940EB" w:rsidRDefault="000740DD" w:rsidP="003A568B">
      <w:pPr>
        <w:pStyle w:val="NoSpacing"/>
        <w:rPr>
          <w:rFonts w:ascii="Arial" w:hAnsi="Arial" w:cs="Arial"/>
          <w:sz w:val="22"/>
          <w:szCs w:val="22"/>
        </w:rPr>
      </w:pPr>
      <w:r w:rsidRPr="00C940EB">
        <w:rPr>
          <w:rFonts w:ascii="Arial" w:hAnsi="Arial" w:cs="Arial"/>
          <w:sz w:val="22"/>
          <w:szCs w:val="22"/>
        </w:rPr>
        <w:t xml:space="preserve">Professor Peter C Hindmarsh </w:t>
      </w:r>
    </w:p>
    <w:p w14:paraId="761994BA"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Professor of Paediatric Endocrinology, University College London</w:t>
      </w:r>
    </w:p>
    <w:p w14:paraId="4E6BA3B2" w14:textId="77777777" w:rsidR="000740DD" w:rsidRPr="00C940EB" w:rsidRDefault="000740DD" w:rsidP="003A568B">
      <w:pPr>
        <w:pStyle w:val="NoSpacing"/>
        <w:rPr>
          <w:rFonts w:ascii="Arial" w:hAnsi="Arial" w:cs="Arial"/>
          <w:sz w:val="22"/>
          <w:szCs w:val="22"/>
        </w:rPr>
      </w:pPr>
    </w:p>
    <w:p w14:paraId="1273D4E2"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British Toxicology Society</w:t>
      </w:r>
    </w:p>
    <w:p w14:paraId="00BAA731" w14:textId="77777777" w:rsidR="000740DD" w:rsidRPr="00C940EB" w:rsidRDefault="000740DD" w:rsidP="003A568B">
      <w:pPr>
        <w:pStyle w:val="NoSpacing"/>
        <w:rPr>
          <w:rFonts w:ascii="Arial" w:hAnsi="Arial" w:cs="Arial"/>
          <w:sz w:val="22"/>
          <w:szCs w:val="22"/>
        </w:rPr>
      </w:pPr>
      <w:r w:rsidRPr="00C940EB">
        <w:rPr>
          <w:rFonts w:ascii="Arial" w:hAnsi="Arial" w:cs="Arial"/>
          <w:sz w:val="22"/>
          <w:szCs w:val="22"/>
        </w:rPr>
        <w:t>Professor Ian Kimber OBE PhD FRSB</w:t>
      </w:r>
    </w:p>
    <w:p w14:paraId="13ACA20D"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Emeritus Professor of Toxicology, University of Manchester</w:t>
      </w:r>
    </w:p>
    <w:p w14:paraId="60D17662" w14:textId="77777777" w:rsidR="000740DD" w:rsidRPr="00C940EB" w:rsidRDefault="000740DD" w:rsidP="003A568B">
      <w:pPr>
        <w:pStyle w:val="NoSpacing"/>
        <w:rPr>
          <w:rFonts w:ascii="Arial" w:hAnsi="Arial" w:cs="Arial"/>
          <w:sz w:val="22"/>
          <w:szCs w:val="22"/>
        </w:rPr>
      </w:pPr>
    </w:p>
    <w:p w14:paraId="5EB772A4"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Royal College of Obstetricians and Gynaecologists</w:t>
      </w:r>
    </w:p>
    <w:p w14:paraId="3EB5E86D" w14:textId="0F74AFC1" w:rsidR="000740DD" w:rsidRPr="00C940EB" w:rsidRDefault="000740DD" w:rsidP="003A568B">
      <w:pPr>
        <w:pStyle w:val="NoSpacing"/>
        <w:rPr>
          <w:rFonts w:ascii="Arial" w:hAnsi="Arial" w:cs="Arial"/>
          <w:sz w:val="22"/>
          <w:szCs w:val="22"/>
        </w:rPr>
      </w:pPr>
      <w:r w:rsidRPr="00C940EB">
        <w:rPr>
          <w:rFonts w:ascii="Arial" w:hAnsi="Arial" w:cs="Arial"/>
          <w:sz w:val="22"/>
          <w:szCs w:val="22"/>
        </w:rPr>
        <w:t>Mr Edward Morris MBBS BSc MD MRCOG</w:t>
      </w:r>
      <w:r w:rsidR="00C550F8" w:rsidRPr="00C940EB">
        <w:rPr>
          <w:rFonts w:ascii="Arial" w:hAnsi="Arial" w:cs="Arial"/>
          <w:sz w:val="22"/>
          <w:szCs w:val="22"/>
        </w:rPr>
        <w:t xml:space="preserve"> </w:t>
      </w:r>
      <w:r w:rsidR="00C550F8" w:rsidRPr="00C940EB">
        <w:rPr>
          <w:rFonts w:ascii="Arial" w:hAnsi="Arial" w:cs="Arial"/>
          <w:b/>
          <w:bCs/>
          <w:i/>
          <w:iCs/>
          <w:color w:val="FF0000"/>
          <w:sz w:val="22"/>
          <w:szCs w:val="22"/>
        </w:rPr>
        <w:t>(apologies)</w:t>
      </w:r>
    </w:p>
    <w:p w14:paraId="63A2782F"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Consultant in Obstetrics &amp; Gynaecology at the Norfolk &amp; Norwich University Hospital; Honorary School Senior Lecturer, University of East Anglia</w:t>
      </w:r>
    </w:p>
    <w:p w14:paraId="6AE99410" w14:textId="685BD624" w:rsidR="000740DD" w:rsidRPr="00C940EB" w:rsidRDefault="000740DD" w:rsidP="003A568B">
      <w:pPr>
        <w:pStyle w:val="NoSpacing"/>
        <w:rPr>
          <w:rFonts w:ascii="Arial" w:hAnsi="Arial" w:cs="Arial"/>
          <w:bCs/>
          <w:sz w:val="22"/>
          <w:szCs w:val="22"/>
        </w:rPr>
      </w:pPr>
    </w:p>
    <w:p w14:paraId="764CB206" w14:textId="77777777" w:rsidR="004468E1" w:rsidRPr="00C940EB" w:rsidRDefault="004468E1" w:rsidP="004468E1">
      <w:pPr>
        <w:pStyle w:val="NoSpacing"/>
        <w:rPr>
          <w:rFonts w:ascii="Arial" w:hAnsi="Arial" w:cs="Arial"/>
          <w:b/>
          <w:sz w:val="22"/>
          <w:szCs w:val="22"/>
        </w:rPr>
      </w:pPr>
      <w:r w:rsidRPr="00C940EB">
        <w:rPr>
          <w:rFonts w:ascii="Arial" w:hAnsi="Arial" w:cs="Arial"/>
          <w:b/>
          <w:sz w:val="22"/>
          <w:szCs w:val="22"/>
        </w:rPr>
        <w:t>Royal College of Pathologists</w:t>
      </w:r>
    </w:p>
    <w:p w14:paraId="775684FD" w14:textId="77777777" w:rsidR="004468E1" w:rsidRPr="00C940EB" w:rsidRDefault="004468E1" w:rsidP="004468E1">
      <w:pPr>
        <w:pStyle w:val="NoSpacing"/>
        <w:rPr>
          <w:rFonts w:ascii="Arial" w:hAnsi="Arial" w:cs="Arial"/>
          <w:bCs/>
          <w:sz w:val="22"/>
          <w:szCs w:val="22"/>
        </w:rPr>
      </w:pPr>
      <w:r w:rsidRPr="00C940EB">
        <w:rPr>
          <w:rFonts w:ascii="Arial" w:hAnsi="Arial" w:cs="Arial"/>
          <w:bCs/>
          <w:sz w:val="22"/>
          <w:szCs w:val="22"/>
        </w:rPr>
        <w:t>Dr Martin Myers MBE PhD FRCPath EuSpLM</w:t>
      </w:r>
    </w:p>
    <w:p w14:paraId="263310ED" w14:textId="1AB64463" w:rsidR="004468E1" w:rsidRPr="00C940EB" w:rsidRDefault="004468E1" w:rsidP="004468E1">
      <w:pPr>
        <w:pStyle w:val="NoSpacing"/>
        <w:rPr>
          <w:rFonts w:ascii="Arial" w:hAnsi="Arial" w:cs="Arial"/>
          <w:bCs/>
          <w:i/>
          <w:iCs/>
          <w:sz w:val="22"/>
          <w:szCs w:val="22"/>
        </w:rPr>
      </w:pPr>
      <w:r w:rsidRPr="00C940EB">
        <w:rPr>
          <w:rFonts w:ascii="Arial" w:hAnsi="Arial" w:cs="Arial"/>
          <w:bCs/>
          <w:i/>
          <w:iCs/>
          <w:sz w:val="22"/>
          <w:szCs w:val="22"/>
        </w:rPr>
        <w:t>Royal Preston Hospital</w:t>
      </w:r>
    </w:p>
    <w:p w14:paraId="5D6A4874" w14:textId="77777777" w:rsidR="004468E1" w:rsidRPr="00C940EB" w:rsidRDefault="004468E1" w:rsidP="004468E1">
      <w:pPr>
        <w:pStyle w:val="NoSpacing"/>
        <w:rPr>
          <w:rFonts w:ascii="Arial" w:hAnsi="Arial" w:cs="Arial"/>
          <w:bCs/>
          <w:sz w:val="22"/>
          <w:szCs w:val="22"/>
        </w:rPr>
      </w:pPr>
    </w:p>
    <w:p w14:paraId="1DE226B8"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Institute of Physics and Engineering in Medicine</w:t>
      </w:r>
    </w:p>
    <w:p w14:paraId="07F432E5" w14:textId="77777777" w:rsidR="000740DD" w:rsidRPr="00C940EB" w:rsidRDefault="000740DD" w:rsidP="003A568B">
      <w:pPr>
        <w:pStyle w:val="NoSpacing"/>
        <w:rPr>
          <w:rFonts w:ascii="Arial" w:hAnsi="Arial" w:cs="Arial"/>
          <w:sz w:val="22"/>
          <w:szCs w:val="22"/>
        </w:rPr>
      </w:pPr>
      <w:r w:rsidRPr="00C940EB">
        <w:rPr>
          <w:rFonts w:ascii="Arial" w:hAnsi="Arial" w:cs="Arial"/>
          <w:sz w:val="22"/>
          <w:szCs w:val="22"/>
        </w:rPr>
        <w:t xml:space="preserve">Professor Stephen </w:t>
      </w:r>
      <w:proofErr w:type="gramStart"/>
      <w:r w:rsidRPr="00C940EB">
        <w:rPr>
          <w:rFonts w:ascii="Arial" w:hAnsi="Arial" w:cs="Arial"/>
          <w:sz w:val="22"/>
          <w:szCs w:val="22"/>
        </w:rPr>
        <w:t>A</w:t>
      </w:r>
      <w:proofErr w:type="gramEnd"/>
      <w:r w:rsidRPr="00C940EB">
        <w:rPr>
          <w:rFonts w:ascii="Arial" w:hAnsi="Arial" w:cs="Arial"/>
          <w:sz w:val="22"/>
          <w:szCs w:val="22"/>
        </w:rPr>
        <w:t xml:space="preserve"> O’Connor DSc CEng CPhys FIPEM FInstP Hon FRCP</w:t>
      </w:r>
    </w:p>
    <w:p w14:paraId="3E512AB2"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 xml:space="preserve">President of Institute of Physics and Engineering in Medicine </w:t>
      </w:r>
    </w:p>
    <w:p w14:paraId="4ADFCEA6" w14:textId="77777777" w:rsidR="000740DD" w:rsidRPr="00C940EB" w:rsidRDefault="000740DD" w:rsidP="003A568B">
      <w:pPr>
        <w:pStyle w:val="NoSpacing"/>
        <w:rPr>
          <w:rFonts w:ascii="Arial" w:hAnsi="Arial" w:cs="Arial"/>
          <w:bCs/>
          <w:sz w:val="22"/>
          <w:szCs w:val="22"/>
        </w:rPr>
      </w:pPr>
    </w:p>
    <w:p w14:paraId="070783EF"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Lay Representative</w:t>
      </w:r>
    </w:p>
    <w:p w14:paraId="465D2231" w14:textId="77777777" w:rsidR="000740DD" w:rsidRPr="00C940EB" w:rsidRDefault="000740DD" w:rsidP="003A568B">
      <w:pPr>
        <w:pStyle w:val="NoSpacing"/>
        <w:rPr>
          <w:rFonts w:ascii="Arial" w:hAnsi="Arial" w:cs="Arial"/>
          <w:sz w:val="22"/>
          <w:szCs w:val="22"/>
        </w:rPr>
      </w:pPr>
      <w:r w:rsidRPr="00C940EB">
        <w:rPr>
          <w:rFonts w:ascii="Arial" w:hAnsi="Arial" w:cs="Arial"/>
          <w:sz w:val="22"/>
          <w:szCs w:val="22"/>
        </w:rPr>
        <w:t>Ms Sara Payne BA CPE LPC</w:t>
      </w:r>
    </w:p>
    <w:p w14:paraId="7DF59EBE"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Lay Representative. Solicitor</w:t>
      </w:r>
    </w:p>
    <w:p w14:paraId="52D7E345" w14:textId="77777777" w:rsidR="000740DD" w:rsidRPr="00C940EB" w:rsidRDefault="000740DD" w:rsidP="003A568B">
      <w:pPr>
        <w:pStyle w:val="NoSpacing"/>
        <w:rPr>
          <w:rFonts w:ascii="Arial" w:hAnsi="Arial" w:cs="Arial"/>
          <w:sz w:val="22"/>
          <w:szCs w:val="22"/>
        </w:rPr>
      </w:pPr>
      <w:r w:rsidRPr="00C940EB">
        <w:rPr>
          <w:rFonts w:ascii="Arial" w:hAnsi="Arial" w:cs="Arial"/>
          <w:sz w:val="22"/>
          <w:szCs w:val="22"/>
        </w:rPr>
        <w:t> </w:t>
      </w:r>
    </w:p>
    <w:p w14:paraId="3F36BED5"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Royal College of General Practitioners</w:t>
      </w:r>
    </w:p>
    <w:p w14:paraId="3243D961" w14:textId="77777777" w:rsidR="000740DD" w:rsidRPr="00C940EB" w:rsidRDefault="000740DD" w:rsidP="003A568B">
      <w:pPr>
        <w:pStyle w:val="NoSpacing"/>
        <w:rPr>
          <w:rFonts w:ascii="Arial" w:hAnsi="Arial" w:cs="Arial"/>
          <w:sz w:val="22"/>
          <w:szCs w:val="22"/>
        </w:rPr>
      </w:pPr>
      <w:r w:rsidRPr="00C940EB">
        <w:rPr>
          <w:rFonts w:ascii="Arial" w:hAnsi="Arial" w:cs="Arial"/>
          <w:sz w:val="22"/>
          <w:szCs w:val="22"/>
        </w:rPr>
        <w:t xml:space="preserve">Dr Tom Pelly BSc MB BS (Hons) PGCE DCH MRCGP FRCP </w:t>
      </w:r>
    </w:p>
    <w:p w14:paraId="6FF73C92"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GP Partner, Horfield Health Centre, Bristol; Clinical Director</w:t>
      </w:r>
    </w:p>
    <w:p w14:paraId="7ADBA12D"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Phoenix Primary Care Network, Bristol; Associate Postgraduate Dean for Foundation and Excellence, Severn GP School, Health Education England (South West)</w:t>
      </w:r>
    </w:p>
    <w:p w14:paraId="56C32A2A" w14:textId="77777777" w:rsidR="000740DD" w:rsidRPr="00C940EB" w:rsidRDefault="000740DD" w:rsidP="003A568B">
      <w:pPr>
        <w:pStyle w:val="NoSpacing"/>
        <w:rPr>
          <w:rFonts w:ascii="Arial" w:hAnsi="Arial" w:cs="Arial"/>
          <w:i/>
          <w:iCs/>
          <w:sz w:val="22"/>
          <w:szCs w:val="22"/>
        </w:rPr>
      </w:pPr>
    </w:p>
    <w:p w14:paraId="18357FFA"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NHS Scotland and Royal College of Radiologists</w:t>
      </w:r>
    </w:p>
    <w:p w14:paraId="577B50D1" w14:textId="77777777" w:rsidR="000740DD" w:rsidRPr="00C940EB" w:rsidRDefault="000740DD" w:rsidP="003A568B">
      <w:pPr>
        <w:pStyle w:val="NoSpacing"/>
        <w:rPr>
          <w:rFonts w:ascii="Arial" w:hAnsi="Arial" w:cs="Arial"/>
          <w:sz w:val="22"/>
          <w:szCs w:val="22"/>
        </w:rPr>
      </w:pPr>
      <w:r w:rsidRPr="00C940EB">
        <w:rPr>
          <w:rFonts w:ascii="Arial" w:hAnsi="Arial" w:cs="Arial"/>
          <w:sz w:val="22"/>
          <w:szCs w:val="22"/>
        </w:rPr>
        <w:t>Dr Iain Robertson MBChB MRCP FRCR EBIR</w:t>
      </w:r>
    </w:p>
    <w:p w14:paraId="30D84834"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 xml:space="preserve">Chair of Scottish Health Technologies Group; Consultant Interventional Radiologist, NHS Greater Glasgow and Clyde </w:t>
      </w:r>
    </w:p>
    <w:p w14:paraId="7456CA67" w14:textId="77777777" w:rsidR="000740DD" w:rsidRPr="00C940EB" w:rsidRDefault="000740DD" w:rsidP="003A568B">
      <w:pPr>
        <w:pStyle w:val="NoSpacing"/>
        <w:rPr>
          <w:rFonts w:ascii="Arial" w:hAnsi="Arial" w:cs="Arial"/>
          <w:bCs/>
          <w:sz w:val="22"/>
          <w:szCs w:val="22"/>
        </w:rPr>
      </w:pPr>
    </w:p>
    <w:p w14:paraId="409FD79D"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Faculty of Intensive Care Medicine and Royal College of Anaesthetists</w:t>
      </w:r>
    </w:p>
    <w:p w14:paraId="4F1F8829" w14:textId="77777777" w:rsidR="000740DD" w:rsidRPr="00C940EB" w:rsidRDefault="000740DD" w:rsidP="003A568B">
      <w:pPr>
        <w:pStyle w:val="NoSpacing"/>
        <w:rPr>
          <w:rFonts w:ascii="Arial" w:hAnsi="Arial" w:cs="Arial"/>
          <w:b/>
          <w:sz w:val="22"/>
          <w:szCs w:val="22"/>
        </w:rPr>
      </w:pPr>
      <w:r w:rsidRPr="00C940EB">
        <w:rPr>
          <w:rFonts w:ascii="Arial" w:hAnsi="Arial" w:cs="Arial"/>
          <w:sz w:val="22"/>
          <w:szCs w:val="22"/>
        </w:rPr>
        <w:t>Dr Carl Waldmann MA MB BChir DA FRCA FFICM EDIC</w:t>
      </w:r>
    </w:p>
    <w:p w14:paraId="07B77CD7"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Chair Critical Care Leadership Forum; Immediate ex Dean Faculty of Intensive Care Medicine</w:t>
      </w:r>
    </w:p>
    <w:p w14:paraId="253D05D2" w14:textId="77777777" w:rsidR="000740DD" w:rsidRPr="00C940EB" w:rsidRDefault="000740DD" w:rsidP="003A568B">
      <w:pPr>
        <w:pStyle w:val="NoSpacing"/>
        <w:rPr>
          <w:rFonts w:ascii="Arial" w:hAnsi="Arial" w:cs="Arial"/>
          <w:i/>
          <w:iCs/>
          <w:sz w:val="22"/>
          <w:szCs w:val="22"/>
        </w:rPr>
      </w:pPr>
    </w:p>
    <w:p w14:paraId="3115083B" w14:textId="77777777"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Royal College of Physicians</w:t>
      </w:r>
    </w:p>
    <w:p w14:paraId="0EE98917" w14:textId="77777777" w:rsidR="000740DD" w:rsidRPr="00C940EB" w:rsidRDefault="000740DD" w:rsidP="003A568B">
      <w:pPr>
        <w:pStyle w:val="NoSpacing"/>
        <w:rPr>
          <w:rFonts w:ascii="Arial" w:hAnsi="Arial" w:cs="Arial"/>
          <w:sz w:val="22"/>
          <w:szCs w:val="22"/>
        </w:rPr>
      </w:pPr>
      <w:r w:rsidRPr="00C940EB">
        <w:rPr>
          <w:rFonts w:ascii="Arial" w:hAnsi="Arial" w:cs="Arial"/>
          <w:sz w:val="22"/>
          <w:szCs w:val="22"/>
        </w:rPr>
        <w:t xml:space="preserve">Professor Jeremy Wyatt DM FRCP ACMI Fellow </w:t>
      </w:r>
    </w:p>
    <w:p w14:paraId="303D000A" w14:textId="77777777" w:rsidR="000740DD" w:rsidRPr="00C940EB" w:rsidRDefault="000740DD" w:rsidP="003A568B">
      <w:pPr>
        <w:pStyle w:val="NoSpacing"/>
        <w:rPr>
          <w:rFonts w:ascii="Arial" w:hAnsi="Arial" w:cs="Arial"/>
          <w:i/>
          <w:iCs/>
          <w:sz w:val="22"/>
          <w:szCs w:val="22"/>
        </w:rPr>
      </w:pPr>
      <w:r w:rsidRPr="00C940EB">
        <w:rPr>
          <w:rFonts w:ascii="Arial" w:hAnsi="Arial" w:cs="Arial"/>
          <w:i/>
          <w:iCs/>
          <w:sz w:val="22"/>
          <w:szCs w:val="22"/>
        </w:rPr>
        <w:t>Emeritus Professor of Digital Healthcare, University of Southampton; Chair, Faculty of Clinical Informatics AI Special Interest Group and the UK Steering Group on Mobilising Computable Biomedical Knowledge</w:t>
      </w:r>
    </w:p>
    <w:p w14:paraId="2F373A74" w14:textId="77777777" w:rsidR="000740DD" w:rsidRPr="00C940EB" w:rsidRDefault="000740DD" w:rsidP="003A568B">
      <w:pPr>
        <w:pStyle w:val="NoSpacing"/>
        <w:rPr>
          <w:rFonts w:ascii="Arial" w:hAnsi="Arial" w:cs="Arial"/>
          <w:sz w:val="22"/>
          <w:szCs w:val="22"/>
        </w:rPr>
      </w:pPr>
    </w:p>
    <w:p w14:paraId="74CA3E2B" w14:textId="60E4D76C" w:rsidR="000740DD" w:rsidRPr="00C940EB" w:rsidRDefault="000740DD" w:rsidP="003A568B">
      <w:pPr>
        <w:pStyle w:val="NoSpacing"/>
        <w:rPr>
          <w:rFonts w:ascii="Arial" w:hAnsi="Arial" w:cs="Arial"/>
          <w:b/>
          <w:sz w:val="22"/>
          <w:szCs w:val="22"/>
        </w:rPr>
      </w:pPr>
      <w:r w:rsidRPr="00C940EB">
        <w:rPr>
          <w:rFonts w:ascii="Arial" w:hAnsi="Arial" w:cs="Arial"/>
          <w:b/>
          <w:sz w:val="22"/>
          <w:szCs w:val="22"/>
        </w:rPr>
        <w:t xml:space="preserve">Invited </w:t>
      </w:r>
      <w:r w:rsidR="009423F2" w:rsidRPr="00C940EB">
        <w:rPr>
          <w:rFonts w:ascii="Arial" w:hAnsi="Arial" w:cs="Arial"/>
          <w:b/>
          <w:sz w:val="22"/>
          <w:szCs w:val="22"/>
        </w:rPr>
        <w:t>Expert</w:t>
      </w:r>
    </w:p>
    <w:p w14:paraId="12C5BF37" w14:textId="77777777" w:rsidR="00C22D16" w:rsidRPr="00C940EB" w:rsidRDefault="00C22D16" w:rsidP="00C22D16">
      <w:pPr>
        <w:pStyle w:val="NoSpacing"/>
        <w:rPr>
          <w:rFonts w:ascii="Arial" w:hAnsi="Arial" w:cs="Arial"/>
          <w:bCs/>
          <w:sz w:val="22"/>
          <w:szCs w:val="22"/>
        </w:rPr>
      </w:pPr>
      <w:r w:rsidRPr="00C940EB">
        <w:rPr>
          <w:rFonts w:ascii="Arial" w:hAnsi="Arial" w:cs="Arial"/>
          <w:bCs/>
          <w:sz w:val="22"/>
          <w:szCs w:val="22"/>
        </w:rPr>
        <w:t xml:space="preserve">Dr Teik Choon (TC) See </w:t>
      </w:r>
    </w:p>
    <w:p w14:paraId="1B72DCA7" w14:textId="3A1A12B3" w:rsidR="000740DD" w:rsidRPr="00C22D16" w:rsidRDefault="009423F2" w:rsidP="00C22D16">
      <w:pPr>
        <w:pStyle w:val="NoSpacing"/>
        <w:rPr>
          <w:rFonts w:ascii="Arial" w:hAnsi="Arial" w:cs="Arial"/>
          <w:bCs/>
          <w:i/>
          <w:iCs/>
          <w:sz w:val="22"/>
          <w:szCs w:val="22"/>
        </w:rPr>
      </w:pPr>
      <w:r w:rsidRPr="00C940EB">
        <w:rPr>
          <w:rFonts w:ascii="Arial" w:hAnsi="Arial" w:cs="Arial"/>
          <w:bCs/>
          <w:i/>
          <w:iCs/>
          <w:sz w:val="22"/>
          <w:szCs w:val="22"/>
        </w:rPr>
        <w:t>Paclitaxel</w:t>
      </w:r>
      <w:r w:rsidRPr="009423F2">
        <w:rPr>
          <w:rFonts w:ascii="Arial" w:hAnsi="Arial" w:cs="Arial"/>
          <w:bCs/>
          <w:i/>
          <w:iCs/>
          <w:sz w:val="22"/>
          <w:szCs w:val="22"/>
        </w:rPr>
        <w:t xml:space="preserve"> EAG Chair; </w:t>
      </w:r>
      <w:r w:rsidR="00C22D16" w:rsidRPr="009423F2">
        <w:rPr>
          <w:rFonts w:ascii="Arial" w:hAnsi="Arial" w:cs="Arial"/>
          <w:bCs/>
          <w:i/>
          <w:iCs/>
          <w:sz w:val="22"/>
          <w:szCs w:val="22"/>
        </w:rPr>
        <w:t>BSIR</w:t>
      </w:r>
      <w:r w:rsidR="00C22D16" w:rsidRPr="00C22D16">
        <w:rPr>
          <w:rFonts w:ascii="Arial" w:hAnsi="Arial" w:cs="Arial"/>
          <w:bCs/>
          <w:i/>
          <w:iCs/>
          <w:sz w:val="22"/>
          <w:szCs w:val="22"/>
        </w:rPr>
        <w:t xml:space="preserve"> Safety &amp; Quality Committee/Consultant IR Cambridge</w:t>
      </w:r>
    </w:p>
    <w:bookmarkEnd w:id="0"/>
    <w:p w14:paraId="2087A566" w14:textId="77777777" w:rsidR="000740DD" w:rsidRPr="00C77199" w:rsidRDefault="000740DD" w:rsidP="003A568B">
      <w:pPr>
        <w:pStyle w:val="NoSpacing"/>
        <w:rPr>
          <w:rFonts w:ascii="Arial" w:hAnsi="Arial" w:cs="Arial"/>
          <w:bCs/>
          <w:sz w:val="22"/>
          <w:szCs w:val="22"/>
        </w:rPr>
      </w:pPr>
    </w:p>
    <w:p w14:paraId="65DA2E04" w14:textId="27538D60" w:rsidR="000740DD" w:rsidRPr="0098632A" w:rsidRDefault="000740DD" w:rsidP="0098632A">
      <w:pPr>
        <w:pStyle w:val="NoSpacing"/>
        <w:rPr>
          <w:rFonts w:ascii="Arial" w:hAnsi="Arial" w:cs="Arial"/>
          <w:bCs/>
          <w:sz w:val="22"/>
          <w:szCs w:val="22"/>
        </w:rPr>
      </w:pPr>
      <w:r w:rsidRPr="00C77199">
        <w:rPr>
          <w:rFonts w:ascii="Arial" w:hAnsi="Arial" w:cs="Arial"/>
          <w:bCs/>
          <w:sz w:val="22"/>
          <w:szCs w:val="22"/>
        </w:rPr>
        <w:br w:type="page"/>
      </w:r>
    </w:p>
    <w:p w14:paraId="7E24404B" w14:textId="77777777" w:rsidR="000740DD" w:rsidRPr="00734523" w:rsidRDefault="000740DD" w:rsidP="0098632A">
      <w:pPr>
        <w:pStyle w:val="NoSpacing"/>
        <w:jc w:val="both"/>
        <w:rPr>
          <w:rFonts w:ascii="Arial" w:hAnsi="Arial" w:cs="Arial"/>
          <w:b/>
          <w:sz w:val="22"/>
          <w:szCs w:val="22"/>
          <w:u w:val="single"/>
        </w:rPr>
      </w:pPr>
      <w:r w:rsidRPr="00734523">
        <w:rPr>
          <w:rFonts w:ascii="Arial" w:hAnsi="Arial" w:cs="Arial"/>
          <w:b/>
          <w:sz w:val="22"/>
          <w:szCs w:val="22"/>
          <w:u w:val="single"/>
        </w:rPr>
        <w:lastRenderedPageBreak/>
        <w:t>Glossary of terms, abbreviations and acronyms</w:t>
      </w:r>
    </w:p>
    <w:p w14:paraId="4FC36C37" w14:textId="77777777" w:rsidR="000740DD" w:rsidRPr="00D3626B" w:rsidRDefault="000740DD" w:rsidP="0098632A">
      <w:pPr>
        <w:pStyle w:val="NoSpacing"/>
        <w:jc w:val="both"/>
        <w:rPr>
          <w:rFonts w:ascii="Arial" w:hAnsi="Arial" w:cs="Arial"/>
          <w:bCs/>
          <w:sz w:val="22"/>
          <w:szCs w:val="22"/>
          <w:u w:val="single"/>
        </w:rPr>
      </w:pPr>
    </w:p>
    <w:p w14:paraId="795A3818" w14:textId="77777777" w:rsidR="002C6541" w:rsidRPr="00B914EB" w:rsidRDefault="002C6541" w:rsidP="0098632A">
      <w:pPr>
        <w:pStyle w:val="NoSpacing"/>
        <w:ind w:left="0"/>
        <w:jc w:val="both"/>
        <w:rPr>
          <w:rFonts w:ascii="Arial" w:hAnsi="Arial" w:cs="Arial"/>
          <w:b/>
          <w:bCs/>
          <w:sz w:val="22"/>
          <w:szCs w:val="22"/>
        </w:rPr>
      </w:pPr>
      <w:bookmarkStart w:id="10" w:name="_Hlk54613887"/>
      <w:bookmarkStart w:id="11" w:name="_Hlk54952788"/>
    </w:p>
    <w:p w14:paraId="2DB7BB40" w14:textId="5A134230" w:rsidR="005D2484" w:rsidRPr="00B914EB" w:rsidRDefault="008F5A9A" w:rsidP="0098632A">
      <w:pPr>
        <w:pStyle w:val="NoSpacing"/>
        <w:numPr>
          <w:ilvl w:val="0"/>
          <w:numId w:val="7"/>
        </w:numPr>
        <w:jc w:val="both"/>
        <w:rPr>
          <w:rFonts w:ascii="Arial" w:hAnsi="Arial" w:cs="Arial"/>
          <w:sz w:val="22"/>
          <w:szCs w:val="22"/>
        </w:rPr>
      </w:pPr>
      <w:r w:rsidRPr="00D3626B">
        <w:rPr>
          <w:rFonts w:ascii="Arial" w:hAnsi="Arial" w:cs="Arial"/>
          <w:b/>
          <w:bCs/>
          <w:sz w:val="22"/>
          <w:szCs w:val="22"/>
        </w:rPr>
        <w:t>Clinical community</w:t>
      </w:r>
      <w:r w:rsidR="002C6541" w:rsidRPr="00D3626B">
        <w:rPr>
          <w:rFonts w:ascii="Arial" w:hAnsi="Arial" w:cs="Arial"/>
          <w:b/>
          <w:bCs/>
          <w:sz w:val="22"/>
          <w:szCs w:val="22"/>
        </w:rPr>
        <w:t>:</w:t>
      </w:r>
      <w:r w:rsidR="009956A1" w:rsidRPr="00D3626B">
        <w:rPr>
          <w:rFonts w:ascii="Arial" w:hAnsi="Arial" w:cs="Arial"/>
          <w:b/>
          <w:bCs/>
          <w:sz w:val="22"/>
          <w:szCs w:val="22"/>
        </w:rPr>
        <w:t xml:space="preserve"> </w:t>
      </w:r>
      <w:r w:rsidR="009956A1" w:rsidRPr="00D3626B">
        <w:rPr>
          <w:rFonts w:ascii="Arial" w:hAnsi="Arial" w:cs="Arial"/>
          <w:sz w:val="22"/>
          <w:szCs w:val="22"/>
        </w:rPr>
        <w:t>Qualified healthcare professionals</w:t>
      </w:r>
      <w:r w:rsidR="00B914EB" w:rsidRPr="00D3626B">
        <w:rPr>
          <w:rFonts w:ascii="Arial" w:hAnsi="Arial" w:cs="Arial"/>
          <w:sz w:val="22"/>
          <w:szCs w:val="22"/>
        </w:rPr>
        <w:t xml:space="preserve">, including those who are registered with the </w:t>
      </w:r>
      <w:hyperlink r:id="rId17" w:history="1">
        <w:r w:rsidR="00B914EB" w:rsidRPr="00B914EB">
          <w:rPr>
            <w:rStyle w:val="Hyperlink"/>
            <w:rFonts w:ascii="Arial" w:hAnsi="Arial" w:cs="Arial"/>
            <w:sz w:val="22"/>
            <w:szCs w:val="22"/>
          </w:rPr>
          <w:t>Health and Care Professions Council</w:t>
        </w:r>
        <w:r w:rsidR="0098632A" w:rsidRPr="0098632A">
          <w:rPr>
            <w:rStyle w:val="Hyperlink"/>
            <w:rFonts w:ascii="Arial" w:hAnsi="Arial" w:cs="Arial"/>
            <w:color w:val="auto"/>
            <w:sz w:val="22"/>
            <w:szCs w:val="22"/>
            <w:u w:val="none"/>
          </w:rPr>
          <w:t>.</w:t>
        </w:r>
        <w:r w:rsidR="00B914EB" w:rsidRPr="00B914EB">
          <w:rPr>
            <w:rStyle w:val="Hyperlink"/>
            <w:rFonts w:ascii="Arial" w:hAnsi="Arial" w:cs="Arial"/>
            <w:sz w:val="22"/>
            <w:szCs w:val="22"/>
          </w:rPr>
          <w:t xml:space="preserve"> </w:t>
        </w:r>
      </w:hyperlink>
    </w:p>
    <w:p w14:paraId="549A0A95" w14:textId="77777777" w:rsidR="005D2484" w:rsidRPr="005D2484" w:rsidRDefault="005D2484" w:rsidP="0098632A">
      <w:pPr>
        <w:pStyle w:val="NoSpacing"/>
        <w:ind w:left="0"/>
        <w:jc w:val="both"/>
        <w:rPr>
          <w:rFonts w:ascii="Arial" w:hAnsi="Arial" w:cs="Arial"/>
          <w:b/>
          <w:bCs/>
          <w:color w:val="FF0000"/>
          <w:sz w:val="22"/>
          <w:szCs w:val="22"/>
        </w:rPr>
      </w:pPr>
    </w:p>
    <w:p w14:paraId="64C3C617" w14:textId="747E1198" w:rsidR="002C6541" w:rsidRPr="002C6541" w:rsidRDefault="002C6541" w:rsidP="0098632A">
      <w:pPr>
        <w:pStyle w:val="NoSpacing"/>
        <w:numPr>
          <w:ilvl w:val="0"/>
          <w:numId w:val="7"/>
        </w:numPr>
        <w:jc w:val="both"/>
        <w:rPr>
          <w:rFonts w:ascii="Arial" w:hAnsi="Arial" w:cs="Arial"/>
          <w:b/>
          <w:bCs/>
          <w:sz w:val="22"/>
          <w:szCs w:val="22"/>
        </w:rPr>
      </w:pPr>
      <w:r w:rsidRPr="002C6541">
        <w:rPr>
          <w:rFonts w:ascii="Arial" w:eastAsiaTheme="minorHAnsi" w:hAnsi="Arial" w:cs="Arial"/>
          <w:b/>
          <w:bCs/>
          <w:color w:val="000000"/>
          <w:sz w:val="22"/>
          <w:szCs w:val="22"/>
          <w:lang w:val="en-GB"/>
        </w:rPr>
        <w:t>Declaration of interests</w:t>
      </w:r>
      <w:r>
        <w:rPr>
          <w:rFonts w:ascii="Arial" w:eastAsiaTheme="minorHAnsi" w:hAnsi="Arial" w:cs="Arial"/>
          <w:b/>
          <w:bCs/>
          <w:color w:val="000000"/>
          <w:sz w:val="22"/>
          <w:szCs w:val="22"/>
          <w:lang w:val="en-GB"/>
        </w:rPr>
        <w:t xml:space="preserve">: </w:t>
      </w:r>
      <w:r w:rsidRPr="002C6541">
        <w:rPr>
          <w:rFonts w:ascii="Arial" w:eastAsiaTheme="minorHAnsi" w:hAnsi="Arial" w:cs="Arial"/>
          <w:color w:val="000000"/>
          <w:sz w:val="22"/>
          <w:szCs w:val="22"/>
          <w:lang w:val="en-GB"/>
        </w:rPr>
        <w:t>The Chairman and Members are required to declare any interests that they hold in the pharmaceutical companies concerned with any of the agenda items.</w:t>
      </w:r>
    </w:p>
    <w:p w14:paraId="39852276" w14:textId="77777777" w:rsidR="002C6541" w:rsidRPr="00523AA3" w:rsidRDefault="002C6541" w:rsidP="0098632A">
      <w:pPr>
        <w:pStyle w:val="NoSpacing"/>
        <w:ind w:left="0"/>
        <w:jc w:val="both"/>
        <w:rPr>
          <w:rFonts w:ascii="Arial" w:hAnsi="Arial" w:cs="Arial"/>
          <w:b/>
          <w:bCs/>
          <w:sz w:val="22"/>
          <w:szCs w:val="22"/>
        </w:rPr>
      </w:pPr>
    </w:p>
    <w:p w14:paraId="7D7440A1" w14:textId="48938A47" w:rsidR="002C6541" w:rsidRPr="00D75624" w:rsidRDefault="008F5A9A" w:rsidP="00D75624">
      <w:pPr>
        <w:pStyle w:val="NoSpacing"/>
        <w:numPr>
          <w:ilvl w:val="0"/>
          <w:numId w:val="7"/>
        </w:numPr>
        <w:jc w:val="both"/>
        <w:rPr>
          <w:rFonts w:ascii="Arial" w:hAnsi="Arial" w:cs="Arial"/>
          <w:sz w:val="22"/>
          <w:szCs w:val="22"/>
        </w:rPr>
      </w:pPr>
      <w:r w:rsidRPr="00523AA3">
        <w:rPr>
          <w:rFonts w:ascii="Arial" w:hAnsi="Arial" w:cs="Arial"/>
          <w:b/>
          <w:bCs/>
          <w:sz w:val="22"/>
          <w:szCs w:val="22"/>
        </w:rPr>
        <w:t>Expert Advisory Group</w:t>
      </w:r>
      <w:r w:rsidR="002C6541">
        <w:rPr>
          <w:rFonts w:ascii="Arial" w:hAnsi="Arial" w:cs="Arial"/>
          <w:b/>
          <w:bCs/>
          <w:sz w:val="22"/>
          <w:szCs w:val="22"/>
        </w:rPr>
        <w:t xml:space="preserve">: </w:t>
      </w:r>
      <w:r w:rsidR="002C6541" w:rsidRPr="002C6541">
        <w:rPr>
          <w:rFonts w:ascii="Arial" w:hAnsi="Arial" w:cs="Arial"/>
          <w:sz w:val="22"/>
          <w:szCs w:val="22"/>
        </w:rPr>
        <w:t>An expert advisory group, comprised of the following experts nominated by member governments and other selected governments, has provided advice and feedback on the plan, performance and outputs of the Innovation Strategy</w:t>
      </w:r>
      <w:r w:rsidR="0098632A">
        <w:rPr>
          <w:rFonts w:ascii="Arial" w:hAnsi="Arial" w:cs="Arial"/>
          <w:sz w:val="22"/>
          <w:szCs w:val="22"/>
        </w:rPr>
        <w:t>.</w:t>
      </w:r>
    </w:p>
    <w:p w14:paraId="51B4DB5E" w14:textId="77777777" w:rsidR="002C6541" w:rsidRDefault="002C6541" w:rsidP="0098632A">
      <w:pPr>
        <w:pStyle w:val="NoSpacing"/>
        <w:ind w:left="0"/>
        <w:jc w:val="both"/>
        <w:rPr>
          <w:rFonts w:ascii="Arial" w:hAnsi="Arial" w:cs="Arial"/>
          <w:b/>
          <w:bCs/>
          <w:sz w:val="22"/>
          <w:szCs w:val="22"/>
        </w:rPr>
      </w:pPr>
    </w:p>
    <w:p w14:paraId="0E46701B" w14:textId="63279B67" w:rsidR="002C6541" w:rsidRPr="005D2484" w:rsidRDefault="002C6541" w:rsidP="0098632A">
      <w:pPr>
        <w:pStyle w:val="NoSpacing"/>
        <w:numPr>
          <w:ilvl w:val="0"/>
          <w:numId w:val="7"/>
        </w:numPr>
        <w:jc w:val="both"/>
        <w:rPr>
          <w:rFonts w:ascii="Arial" w:hAnsi="Arial" w:cs="Arial"/>
          <w:b/>
          <w:bCs/>
          <w:sz w:val="22"/>
          <w:szCs w:val="22"/>
        </w:rPr>
      </w:pPr>
      <w:r w:rsidRPr="002C6541">
        <w:rPr>
          <w:rFonts w:ascii="Arial" w:eastAsiaTheme="minorHAnsi" w:hAnsi="Arial" w:cs="Arial"/>
          <w:b/>
          <w:bCs/>
          <w:color w:val="000000"/>
          <w:sz w:val="22"/>
          <w:szCs w:val="22"/>
          <w:lang w:val="en-GB"/>
        </w:rPr>
        <w:t>Freedom of Information (FOI) Act</w:t>
      </w:r>
      <w:r>
        <w:rPr>
          <w:rFonts w:ascii="Arial" w:eastAsiaTheme="minorHAnsi" w:hAnsi="Arial" w:cs="Arial"/>
          <w:b/>
          <w:bCs/>
          <w:color w:val="000000"/>
          <w:sz w:val="22"/>
          <w:szCs w:val="22"/>
          <w:lang w:val="en-GB"/>
        </w:rPr>
        <w:t xml:space="preserve">: </w:t>
      </w:r>
      <w:r w:rsidRPr="002C6541">
        <w:rPr>
          <w:rFonts w:ascii="Arial" w:eastAsiaTheme="minorHAnsi" w:hAnsi="Arial" w:cs="Arial"/>
          <w:color w:val="000000"/>
          <w:sz w:val="22"/>
          <w:szCs w:val="22"/>
          <w:lang w:val="en-GB"/>
        </w:rPr>
        <w:t>An act to make provision for the disclosure of information held by public authorities or by persons providing services for them. For further information, see</w:t>
      </w:r>
      <w:r w:rsidR="005D2484">
        <w:rPr>
          <w:rFonts w:ascii="Arial" w:eastAsiaTheme="minorHAnsi" w:hAnsi="Arial" w:cs="Arial"/>
          <w:color w:val="000000"/>
          <w:sz w:val="22"/>
          <w:szCs w:val="22"/>
          <w:lang w:val="en-GB"/>
        </w:rPr>
        <w:t xml:space="preserve"> </w:t>
      </w:r>
      <w:hyperlink r:id="rId18" w:anchor="pt2-l1g43" w:history="1">
        <w:r w:rsidR="005D2484" w:rsidRPr="005D2484">
          <w:rPr>
            <w:rStyle w:val="Hyperlink"/>
            <w:rFonts w:ascii="Arial" w:eastAsiaTheme="minorHAnsi" w:hAnsi="Arial" w:cs="Arial"/>
            <w:sz w:val="22"/>
            <w:szCs w:val="22"/>
            <w:lang w:val="en-GB"/>
          </w:rPr>
          <w:t>here</w:t>
        </w:r>
      </w:hyperlink>
      <w:r w:rsidR="005D2484">
        <w:rPr>
          <w:rFonts w:ascii="Arial" w:eastAsiaTheme="minorHAnsi" w:hAnsi="Arial" w:cs="Arial"/>
          <w:color w:val="000000"/>
          <w:sz w:val="22"/>
          <w:szCs w:val="22"/>
          <w:lang w:val="en-GB"/>
        </w:rPr>
        <w:t>.</w:t>
      </w:r>
    </w:p>
    <w:p w14:paraId="28DB6DE5" w14:textId="3F795FE6" w:rsidR="005D2484" w:rsidRPr="005D2484" w:rsidRDefault="005D2484" w:rsidP="0098632A">
      <w:pPr>
        <w:pStyle w:val="NoSpacing"/>
        <w:ind w:left="0"/>
        <w:jc w:val="both"/>
        <w:rPr>
          <w:rFonts w:ascii="Arial" w:hAnsi="Arial" w:cs="Arial"/>
          <w:b/>
          <w:bCs/>
          <w:sz w:val="22"/>
          <w:szCs w:val="22"/>
        </w:rPr>
      </w:pPr>
    </w:p>
    <w:p w14:paraId="6B3762A5" w14:textId="2AEA667C" w:rsidR="005D2484" w:rsidRPr="008F0F05" w:rsidRDefault="005D2484" w:rsidP="0098632A">
      <w:pPr>
        <w:pStyle w:val="NoSpacing"/>
        <w:numPr>
          <w:ilvl w:val="0"/>
          <w:numId w:val="7"/>
        </w:numPr>
        <w:jc w:val="both"/>
        <w:rPr>
          <w:rFonts w:ascii="Arial" w:hAnsi="Arial" w:cs="Arial"/>
          <w:b/>
          <w:bCs/>
          <w:sz w:val="22"/>
          <w:szCs w:val="22"/>
        </w:rPr>
      </w:pPr>
      <w:r w:rsidRPr="005D2484">
        <w:rPr>
          <w:rFonts w:ascii="Arial" w:hAnsi="Arial" w:cs="Arial"/>
          <w:b/>
          <w:bCs/>
          <w:sz w:val="22"/>
          <w:szCs w:val="22"/>
        </w:rPr>
        <w:t>Medical Device</w:t>
      </w:r>
      <w:r>
        <w:rPr>
          <w:rFonts w:ascii="Arial" w:hAnsi="Arial" w:cs="Arial"/>
          <w:b/>
          <w:bCs/>
          <w:sz w:val="22"/>
          <w:szCs w:val="22"/>
        </w:rPr>
        <w:t xml:space="preserve">: </w:t>
      </w:r>
      <w:r w:rsidRPr="005D2484">
        <w:rPr>
          <w:rFonts w:ascii="Arial" w:hAnsi="Arial" w:cs="Arial"/>
          <w:sz w:val="22"/>
          <w:szCs w:val="22"/>
        </w:rPr>
        <w:t>A medical device is any device intended to be used for medical purposes. Medical devices benefit patients by helping health care providers diagnose and treat patients and helping patients overcome sickness or disease, improving their quality of life</w:t>
      </w:r>
    </w:p>
    <w:p w14:paraId="23400CCA" w14:textId="77777777" w:rsidR="005D2484" w:rsidRPr="005D2484" w:rsidRDefault="005D2484" w:rsidP="0098632A">
      <w:pPr>
        <w:pStyle w:val="NoSpacing"/>
        <w:jc w:val="both"/>
        <w:rPr>
          <w:rFonts w:ascii="Arial" w:hAnsi="Arial" w:cs="Arial"/>
          <w:b/>
          <w:bCs/>
          <w:sz w:val="22"/>
          <w:szCs w:val="22"/>
        </w:rPr>
      </w:pPr>
    </w:p>
    <w:p w14:paraId="3D287973" w14:textId="7DA31B65" w:rsidR="005D2484" w:rsidRPr="00D3626B" w:rsidRDefault="008F5A9A" w:rsidP="0098632A">
      <w:pPr>
        <w:pStyle w:val="NoSpacing"/>
        <w:numPr>
          <w:ilvl w:val="0"/>
          <w:numId w:val="7"/>
        </w:numPr>
        <w:jc w:val="both"/>
        <w:rPr>
          <w:rFonts w:ascii="Arial" w:hAnsi="Arial" w:cs="Arial"/>
          <w:sz w:val="22"/>
          <w:szCs w:val="22"/>
        </w:rPr>
      </w:pPr>
      <w:r w:rsidRPr="005D2484">
        <w:rPr>
          <w:rFonts w:ascii="Arial" w:hAnsi="Arial" w:cs="Arial"/>
          <w:b/>
          <w:bCs/>
          <w:sz w:val="22"/>
          <w:szCs w:val="22"/>
        </w:rPr>
        <w:t>Medical Device Alert</w:t>
      </w:r>
      <w:r w:rsidR="005D2484" w:rsidRPr="005D2484">
        <w:rPr>
          <w:rFonts w:ascii="Arial" w:hAnsi="Arial" w:cs="Arial"/>
          <w:b/>
          <w:bCs/>
          <w:sz w:val="22"/>
          <w:szCs w:val="22"/>
        </w:rPr>
        <w:t xml:space="preserve"> (MDA): </w:t>
      </w:r>
      <w:r w:rsidR="005D2484" w:rsidRPr="005D2484">
        <w:rPr>
          <w:rFonts w:ascii="Arial" w:hAnsi="Arial" w:cs="Arial"/>
          <w:sz w:val="22"/>
          <w:szCs w:val="22"/>
        </w:rPr>
        <w:t xml:space="preserve">the prime means of communicating safety information to health and social care organisations and the wider healthcare environment on medical devices. They are prepared by the </w:t>
      </w:r>
      <w:r w:rsidR="009956A1" w:rsidRPr="005D2484">
        <w:rPr>
          <w:rFonts w:ascii="Arial" w:hAnsi="Arial" w:cs="Arial"/>
          <w:sz w:val="22"/>
          <w:szCs w:val="22"/>
        </w:rPr>
        <w:t>MHRA and</w:t>
      </w:r>
      <w:r w:rsidR="005D2484" w:rsidRPr="005D2484">
        <w:rPr>
          <w:rFonts w:ascii="Arial" w:hAnsi="Arial" w:cs="Arial"/>
          <w:sz w:val="22"/>
          <w:szCs w:val="22"/>
        </w:rPr>
        <w:t xml:space="preserve"> may come about as a result investigation by any of the UK administrations where the manufacturer cannot demonstrate they have taken appropriate action. Alternatively, they can result through other information received by the MHRA from </w:t>
      </w:r>
      <w:r w:rsidR="005D2484">
        <w:rPr>
          <w:rFonts w:ascii="Arial" w:hAnsi="Arial" w:cs="Arial"/>
          <w:sz w:val="22"/>
          <w:szCs w:val="22"/>
        </w:rPr>
        <w:t>legally delegated competent authorities</w:t>
      </w:r>
      <w:r w:rsidR="005D2484" w:rsidRPr="005D2484">
        <w:rPr>
          <w:rFonts w:ascii="Arial" w:hAnsi="Arial" w:cs="Arial"/>
          <w:sz w:val="22"/>
          <w:szCs w:val="22"/>
        </w:rPr>
        <w:t xml:space="preserve"> around the world.</w:t>
      </w:r>
    </w:p>
    <w:p w14:paraId="7CF82E29" w14:textId="77777777" w:rsidR="007770B5" w:rsidRPr="007770B5" w:rsidRDefault="007770B5" w:rsidP="0098632A">
      <w:pPr>
        <w:pStyle w:val="NoSpacing"/>
        <w:ind w:left="0"/>
        <w:jc w:val="both"/>
        <w:rPr>
          <w:rFonts w:ascii="Arial" w:hAnsi="Arial" w:cs="Arial"/>
          <w:b/>
          <w:bCs/>
          <w:color w:val="FF0000"/>
          <w:sz w:val="22"/>
          <w:szCs w:val="22"/>
        </w:rPr>
      </w:pPr>
    </w:p>
    <w:p w14:paraId="079C742A" w14:textId="56A84DE4" w:rsidR="008F5A9A" w:rsidRDefault="005D2484" w:rsidP="0098632A">
      <w:pPr>
        <w:pStyle w:val="NoSpacing"/>
        <w:numPr>
          <w:ilvl w:val="0"/>
          <w:numId w:val="7"/>
        </w:numPr>
        <w:jc w:val="both"/>
        <w:rPr>
          <w:rFonts w:ascii="Arial" w:hAnsi="Arial" w:cs="Arial"/>
          <w:sz w:val="22"/>
          <w:szCs w:val="22"/>
        </w:rPr>
      </w:pPr>
      <w:r>
        <w:rPr>
          <w:rFonts w:ascii="Arial" w:hAnsi="Arial" w:cs="Arial"/>
          <w:b/>
          <w:bCs/>
          <w:sz w:val="22"/>
          <w:szCs w:val="22"/>
        </w:rPr>
        <w:t>Medicines and Health products Regulatory Agency (</w:t>
      </w:r>
      <w:r w:rsidR="008F5A9A" w:rsidRPr="005D2484">
        <w:rPr>
          <w:rFonts w:ascii="Arial" w:hAnsi="Arial" w:cs="Arial"/>
          <w:b/>
          <w:bCs/>
          <w:sz w:val="22"/>
          <w:szCs w:val="22"/>
        </w:rPr>
        <w:t>MHRA</w:t>
      </w:r>
      <w:r>
        <w:rPr>
          <w:rFonts w:ascii="Arial" w:hAnsi="Arial" w:cs="Arial"/>
          <w:b/>
          <w:bCs/>
          <w:sz w:val="22"/>
          <w:szCs w:val="22"/>
        </w:rPr>
        <w:t xml:space="preserve">): </w:t>
      </w:r>
      <w:r w:rsidR="007770B5">
        <w:rPr>
          <w:rFonts w:ascii="Arial" w:hAnsi="Arial" w:cs="Arial"/>
          <w:sz w:val="22"/>
          <w:szCs w:val="22"/>
        </w:rPr>
        <w:t xml:space="preserve">the government agency that </w:t>
      </w:r>
      <w:r w:rsidR="007770B5" w:rsidRPr="007770B5">
        <w:rPr>
          <w:rFonts w:ascii="Arial" w:hAnsi="Arial" w:cs="Arial"/>
          <w:sz w:val="22"/>
          <w:szCs w:val="22"/>
        </w:rPr>
        <w:t>regulates medicines, medical devices and blood components for transfusion in the UK</w:t>
      </w:r>
      <w:r w:rsidR="007770B5">
        <w:rPr>
          <w:rFonts w:ascii="Arial" w:hAnsi="Arial" w:cs="Arial"/>
          <w:sz w:val="22"/>
          <w:szCs w:val="22"/>
        </w:rPr>
        <w:t xml:space="preserve"> and ensure patient safety</w:t>
      </w:r>
      <w:r w:rsidR="007770B5" w:rsidRPr="007770B5">
        <w:rPr>
          <w:rFonts w:ascii="Arial" w:hAnsi="Arial" w:cs="Arial"/>
          <w:sz w:val="22"/>
          <w:szCs w:val="22"/>
        </w:rPr>
        <w:t>. MHRA is an executive agency, sponsored by the Department of Health and Social Ca</w:t>
      </w:r>
      <w:r w:rsidR="007770B5">
        <w:rPr>
          <w:rFonts w:ascii="Arial" w:hAnsi="Arial" w:cs="Arial"/>
          <w:sz w:val="22"/>
          <w:szCs w:val="22"/>
        </w:rPr>
        <w:t>re.</w:t>
      </w:r>
    </w:p>
    <w:p w14:paraId="56BFCDE9" w14:textId="77777777" w:rsidR="007770B5" w:rsidRPr="007770B5" w:rsidRDefault="007770B5" w:rsidP="0098632A">
      <w:pPr>
        <w:pStyle w:val="NoSpacing"/>
        <w:ind w:left="0"/>
        <w:jc w:val="both"/>
        <w:rPr>
          <w:rFonts w:ascii="Arial" w:hAnsi="Arial" w:cs="Arial"/>
          <w:sz w:val="22"/>
          <w:szCs w:val="22"/>
        </w:rPr>
      </w:pPr>
    </w:p>
    <w:p w14:paraId="1C7C6188" w14:textId="05359D3E" w:rsidR="008F5A9A" w:rsidRPr="00671D6E" w:rsidRDefault="00854EF9" w:rsidP="00614FE2">
      <w:pPr>
        <w:pStyle w:val="NoSpacing"/>
        <w:numPr>
          <w:ilvl w:val="0"/>
          <w:numId w:val="7"/>
        </w:numPr>
        <w:rPr>
          <w:rFonts w:ascii="Arial" w:hAnsi="Arial" w:cs="Arial"/>
          <w:sz w:val="22"/>
          <w:szCs w:val="22"/>
        </w:rPr>
      </w:pPr>
      <w:r w:rsidRPr="00854EF9">
        <w:rPr>
          <w:rFonts w:ascii="Arial" w:hAnsi="Arial" w:cs="Arial"/>
          <w:b/>
          <w:bCs/>
          <w:sz w:val="22"/>
          <w:szCs w:val="22"/>
        </w:rPr>
        <w:t>National Institute for Health and Care Excellence</w:t>
      </w:r>
      <w:r w:rsidR="00DD277F">
        <w:rPr>
          <w:rFonts w:ascii="Arial" w:hAnsi="Arial" w:cs="Arial"/>
          <w:b/>
          <w:bCs/>
          <w:sz w:val="22"/>
          <w:szCs w:val="22"/>
        </w:rPr>
        <w:t xml:space="preserve">: </w:t>
      </w:r>
      <w:r w:rsidR="00DD277F" w:rsidRPr="00DD277F">
        <w:rPr>
          <w:rFonts w:ascii="Arial" w:hAnsi="Arial" w:cs="Arial"/>
          <w:sz w:val="22"/>
          <w:szCs w:val="22"/>
        </w:rPr>
        <w:t>an executive non-departmental public body of the Department of Health in England</w:t>
      </w:r>
      <w:r w:rsidR="00DD277F">
        <w:rPr>
          <w:rFonts w:ascii="Arial" w:hAnsi="Arial" w:cs="Arial"/>
          <w:sz w:val="22"/>
          <w:szCs w:val="22"/>
        </w:rPr>
        <w:t xml:space="preserve"> </w:t>
      </w:r>
      <w:r w:rsidR="00DD277F" w:rsidRPr="00DD277F">
        <w:rPr>
          <w:rFonts w:ascii="Arial" w:hAnsi="Arial" w:cs="Arial"/>
          <w:sz w:val="22"/>
          <w:szCs w:val="22"/>
        </w:rPr>
        <w:t xml:space="preserve">which </w:t>
      </w:r>
      <w:r w:rsidR="00DD277F">
        <w:rPr>
          <w:rFonts w:ascii="Arial" w:hAnsi="Arial" w:cs="Arial"/>
          <w:sz w:val="22"/>
          <w:szCs w:val="22"/>
        </w:rPr>
        <w:t>p</w:t>
      </w:r>
      <w:r w:rsidR="00DD277F" w:rsidRPr="00DD277F">
        <w:rPr>
          <w:rFonts w:ascii="Arial" w:hAnsi="Arial" w:cs="Arial"/>
          <w:sz w:val="22"/>
          <w:szCs w:val="22"/>
        </w:rPr>
        <w:t>roduc</w:t>
      </w:r>
      <w:r w:rsidR="00DD277F">
        <w:rPr>
          <w:rFonts w:ascii="Arial" w:hAnsi="Arial" w:cs="Arial"/>
          <w:sz w:val="22"/>
          <w:szCs w:val="22"/>
        </w:rPr>
        <w:t>es</w:t>
      </w:r>
      <w:r w:rsidR="00DD277F" w:rsidRPr="00DD277F">
        <w:rPr>
          <w:rFonts w:ascii="Arial" w:hAnsi="Arial" w:cs="Arial"/>
          <w:sz w:val="22"/>
          <w:szCs w:val="22"/>
        </w:rPr>
        <w:t xml:space="preserve"> evidence-based guidance and advice for health, public health and social care practitioners </w:t>
      </w:r>
      <w:r w:rsidR="00DD277F">
        <w:rPr>
          <w:rFonts w:ascii="Arial" w:hAnsi="Arial" w:cs="Arial"/>
          <w:sz w:val="22"/>
          <w:szCs w:val="22"/>
        </w:rPr>
        <w:t xml:space="preserve">and </w:t>
      </w:r>
      <w:r w:rsidR="00DD277F" w:rsidRPr="00DD277F">
        <w:rPr>
          <w:rFonts w:ascii="Arial" w:hAnsi="Arial" w:cs="Arial"/>
          <w:sz w:val="22"/>
          <w:szCs w:val="22"/>
        </w:rPr>
        <w:t xml:space="preserve">publishes guidelines to improve outcomes for people using the NHS and other public health and </w:t>
      </w:r>
      <w:r w:rsidR="00DD277F" w:rsidRPr="00671D6E">
        <w:rPr>
          <w:rFonts w:ascii="Arial" w:hAnsi="Arial" w:cs="Arial"/>
          <w:sz w:val="22"/>
          <w:szCs w:val="22"/>
        </w:rPr>
        <w:t xml:space="preserve">social care services. </w:t>
      </w:r>
      <w:r w:rsidR="00614FE2" w:rsidRPr="00671D6E">
        <w:rPr>
          <w:rFonts w:ascii="Arial" w:hAnsi="Arial" w:cs="Arial"/>
          <w:sz w:val="22"/>
          <w:szCs w:val="22"/>
        </w:rPr>
        <w:br/>
      </w:r>
    </w:p>
    <w:p w14:paraId="262B0EBE" w14:textId="654B2A52" w:rsidR="00614FE2" w:rsidRPr="00671D6E" w:rsidRDefault="00614FE2" w:rsidP="00C629F1">
      <w:pPr>
        <w:pStyle w:val="NoSpacing"/>
        <w:numPr>
          <w:ilvl w:val="0"/>
          <w:numId w:val="7"/>
        </w:numPr>
        <w:rPr>
          <w:rFonts w:ascii="Arial" w:hAnsi="Arial" w:cs="Arial"/>
          <w:b/>
          <w:bCs/>
          <w:sz w:val="22"/>
          <w:szCs w:val="22"/>
        </w:rPr>
      </w:pPr>
      <w:r w:rsidRPr="00671D6E">
        <w:rPr>
          <w:rFonts w:ascii="Arial" w:hAnsi="Arial" w:cs="Arial"/>
          <w:b/>
          <w:bCs/>
          <w:sz w:val="22"/>
          <w:szCs w:val="22"/>
        </w:rPr>
        <w:t xml:space="preserve">Patient Panels: </w:t>
      </w:r>
      <w:r w:rsidRPr="00671D6E">
        <w:rPr>
          <w:rFonts w:ascii="Arial" w:hAnsi="Arial" w:cs="Arial"/>
          <w:color w:val="202124"/>
          <w:spacing w:val="2"/>
          <w:sz w:val="22"/>
          <w:szCs w:val="22"/>
          <w:shd w:val="clear" w:color="auto" w:fill="FFFFFF"/>
        </w:rPr>
        <w:t xml:space="preserve">groups of local people who have recent experience of being a patient or </w:t>
      </w:r>
      <w:proofErr w:type="spellStart"/>
      <w:r w:rsidRPr="00671D6E">
        <w:rPr>
          <w:rFonts w:ascii="Arial" w:hAnsi="Arial" w:cs="Arial"/>
          <w:color w:val="202124"/>
          <w:spacing w:val="2"/>
          <w:sz w:val="22"/>
          <w:szCs w:val="22"/>
          <w:shd w:val="clear" w:color="auto" w:fill="FFFFFF"/>
        </w:rPr>
        <w:t>carer</w:t>
      </w:r>
      <w:proofErr w:type="spellEnd"/>
      <w:r w:rsidRPr="00671D6E">
        <w:rPr>
          <w:rFonts w:ascii="Arial" w:hAnsi="Arial" w:cs="Arial"/>
          <w:color w:val="202124"/>
          <w:spacing w:val="2"/>
          <w:sz w:val="22"/>
          <w:szCs w:val="22"/>
          <w:shd w:val="clear" w:color="auto" w:fill="FFFFFF"/>
        </w:rPr>
        <w:t xml:space="preserve">, </w:t>
      </w:r>
      <w:r w:rsidR="00C629F1" w:rsidRPr="00671D6E">
        <w:rPr>
          <w:rFonts w:ascii="Arial" w:hAnsi="Arial" w:cs="Arial"/>
          <w:color w:val="202124"/>
          <w:spacing w:val="2"/>
          <w:sz w:val="22"/>
          <w:szCs w:val="22"/>
          <w:shd w:val="clear" w:color="auto" w:fill="FFFFFF"/>
        </w:rPr>
        <w:t xml:space="preserve">who volunteer their time and skills </w:t>
      </w:r>
      <w:r w:rsidRPr="00671D6E">
        <w:rPr>
          <w:rFonts w:ascii="Arial" w:hAnsi="Arial" w:cs="Arial"/>
          <w:color w:val="202124"/>
          <w:spacing w:val="2"/>
          <w:sz w:val="22"/>
          <w:szCs w:val="22"/>
          <w:shd w:val="clear" w:color="auto" w:fill="FFFFFF"/>
        </w:rPr>
        <w:t>to provide a patient's perspective.</w:t>
      </w:r>
    </w:p>
    <w:p w14:paraId="5BF10172" w14:textId="0074F360" w:rsidR="008F0F05" w:rsidRPr="008F0F05" w:rsidRDefault="008F0F05" w:rsidP="008F0F05">
      <w:pPr>
        <w:pStyle w:val="NoSpacing"/>
        <w:ind w:left="0"/>
        <w:jc w:val="both"/>
        <w:rPr>
          <w:rFonts w:ascii="Arial" w:hAnsi="Arial" w:cs="Arial"/>
          <w:b/>
          <w:bCs/>
          <w:sz w:val="22"/>
          <w:szCs w:val="22"/>
        </w:rPr>
      </w:pPr>
    </w:p>
    <w:p w14:paraId="2388D9CF" w14:textId="1B450C88" w:rsidR="00D75624" w:rsidRPr="00D75624" w:rsidRDefault="00D75624" w:rsidP="00D75624">
      <w:pPr>
        <w:pStyle w:val="NoSpacing"/>
        <w:numPr>
          <w:ilvl w:val="0"/>
          <w:numId w:val="7"/>
        </w:numPr>
        <w:rPr>
          <w:rFonts w:ascii="Arial" w:hAnsi="Arial" w:cs="Arial"/>
          <w:b/>
          <w:bCs/>
          <w:sz w:val="22"/>
          <w:szCs w:val="22"/>
        </w:rPr>
      </w:pPr>
      <w:r>
        <w:rPr>
          <w:rFonts w:ascii="Arial" w:hAnsi="Arial" w:cs="Arial"/>
          <w:b/>
          <w:bCs/>
          <w:sz w:val="22"/>
          <w:szCs w:val="22"/>
        </w:rPr>
        <w:t>Safety Signal:</w:t>
      </w:r>
      <w:r w:rsidR="008F0F05">
        <w:rPr>
          <w:rFonts w:ascii="Arial" w:hAnsi="Arial" w:cs="Arial"/>
          <w:b/>
          <w:bCs/>
          <w:sz w:val="22"/>
          <w:szCs w:val="22"/>
        </w:rPr>
        <w:t xml:space="preserve"> </w:t>
      </w:r>
      <w:r w:rsidRPr="00D75624">
        <w:rPr>
          <w:rFonts w:ascii="Arial" w:hAnsi="Arial" w:cs="Arial"/>
          <w:sz w:val="22"/>
          <w:szCs w:val="22"/>
        </w:rPr>
        <w:t>Information on a new or known adverse event that is potentially caused by a medicine</w:t>
      </w:r>
      <w:r>
        <w:rPr>
          <w:rFonts w:ascii="Arial" w:hAnsi="Arial" w:cs="Arial"/>
          <w:sz w:val="22"/>
          <w:szCs w:val="22"/>
        </w:rPr>
        <w:t xml:space="preserve"> or medical device</w:t>
      </w:r>
      <w:r w:rsidRPr="00D75624">
        <w:rPr>
          <w:rFonts w:ascii="Arial" w:hAnsi="Arial" w:cs="Arial"/>
          <w:sz w:val="22"/>
          <w:szCs w:val="22"/>
        </w:rPr>
        <w:t xml:space="preserve"> and that warrants further investigation. Signals are generated from several sources such as spontaneous reports, clinical studies and the scientific literature.</w:t>
      </w:r>
      <w:r>
        <w:rPr>
          <w:rFonts w:ascii="Arial" w:hAnsi="Arial" w:cs="Arial"/>
          <w:sz w:val="22"/>
          <w:szCs w:val="22"/>
        </w:rPr>
        <w:br/>
      </w:r>
    </w:p>
    <w:p w14:paraId="74E72183" w14:textId="703077D2" w:rsidR="00614FE2" w:rsidRPr="0032038F" w:rsidRDefault="00D75624" w:rsidP="0032038F">
      <w:pPr>
        <w:pStyle w:val="NoSpacing"/>
        <w:numPr>
          <w:ilvl w:val="0"/>
          <w:numId w:val="7"/>
        </w:numPr>
        <w:jc w:val="both"/>
        <w:rPr>
          <w:rFonts w:ascii="Arial" w:hAnsi="Arial" w:cs="Arial"/>
          <w:b/>
          <w:bCs/>
          <w:sz w:val="22"/>
          <w:szCs w:val="22"/>
        </w:rPr>
      </w:pPr>
      <w:r w:rsidRPr="003D7DFE">
        <w:rPr>
          <w:rFonts w:ascii="Arial" w:hAnsi="Arial" w:cs="Arial"/>
          <w:b/>
          <w:bCs/>
          <w:sz w:val="22"/>
          <w:szCs w:val="22"/>
        </w:rPr>
        <w:t xml:space="preserve">Signal detection management: </w:t>
      </w:r>
      <w:bookmarkEnd w:id="10"/>
      <w:bookmarkEnd w:id="11"/>
      <w:r w:rsidR="003D7DFE" w:rsidRPr="003D7DFE">
        <w:rPr>
          <w:rFonts w:ascii="Arial" w:hAnsi="Arial" w:cs="Arial"/>
          <w:sz w:val="22"/>
          <w:szCs w:val="22"/>
        </w:rPr>
        <w:t xml:space="preserve">Signal detection is the process of identifying, as soon as possible, any safety signal. </w:t>
      </w:r>
      <w:r w:rsidR="00E868C5" w:rsidRPr="003D7DFE">
        <w:rPr>
          <w:rFonts w:ascii="Arial" w:hAnsi="Arial" w:cs="Arial"/>
          <w:sz w:val="22"/>
          <w:szCs w:val="22"/>
        </w:rPr>
        <w:t>Several</w:t>
      </w:r>
      <w:r w:rsidR="003D7DFE" w:rsidRPr="003D7DFE">
        <w:rPr>
          <w:rFonts w:ascii="Arial" w:hAnsi="Arial" w:cs="Arial"/>
          <w:sz w:val="22"/>
          <w:szCs w:val="22"/>
        </w:rPr>
        <w:t xml:space="preserve"> data sources are used for signal detection- information from spontaneous reporting systems, clinical trials, the scientific literature or health care databases. Detected signals are further evaluated to determine whether the signal </w:t>
      </w:r>
      <w:proofErr w:type="gramStart"/>
      <w:r w:rsidR="003D7DFE" w:rsidRPr="003D7DFE">
        <w:rPr>
          <w:rFonts w:ascii="Arial" w:hAnsi="Arial" w:cs="Arial"/>
          <w:sz w:val="22"/>
          <w:szCs w:val="22"/>
        </w:rPr>
        <w:t>actually does</w:t>
      </w:r>
      <w:proofErr w:type="gramEnd"/>
      <w:r w:rsidR="003D7DFE" w:rsidRPr="003D7DFE">
        <w:rPr>
          <w:rFonts w:ascii="Arial" w:hAnsi="Arial" w:cs="Arial"/>
          <w:sz w:val="22"/>
          <w:szCs w:val="22"/>
        </w:rPr>
        <w:t xml:space="preserve"> represent a real risk and requires further assessment, communication or risk minimisation actions in accordance with the medical importance of the signal.</w:t>
      </w:r>
    </w:p>
    <w:sectPr w:rsidR="00614FE2" w:rsidRPr="0032038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CBB66" w14:textId="77777777" w:rsidR="009F4A91" w:rsidRDefault="009F4A91" w:rsidP="0098632A">
      <w:pPr>
        <w:spacing w:after="0" w:line="240" w:lineRule="auto"/>
      </w:pPr>
      <w:r>
        <w:separator/>
      </w:r>
    </w:p>
  </w:endnote>
  <w:endnote w:type="continuationSeparator" w:id="0">
    <w:p w14:paraId="72D9628A" w14:textId="77777777" w:rsidR="009F4A91" w:rsidRDefault="009F4A91" w:rsidP="0098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36C5F" w14:textId="77777777" w:rsidR="0031125E" w:rsidRDefault="00311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3963384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C492589" w14:textId="188D3BA7" w:rsidR="0098632A" w:rsidRPr="0098632A" w:rsidRDefault="0098632A" w:rsidP="0098632A">
            <w:pPr>
              <w:pStyle w:val="Footer"/>
              <w:jc w:val="right"/>
              <w:rPr>
                <w:rFonts w:ascii="Arial" w:hAnsi="Arial" w:cs="Arial"/>
                <w:sz w:val="16"/>
                <w:szCs w:val="16"/>
              </w:rPr>
            </w:pPr>
            <w:r w:rsidRPr="0098632A">
              <w:rPr>
                <w:rFonts w:ascii="Arial" w:hAnsi="Arial" w:cs="Arial"/>
                <w:sz w:val="16"/>
                <w:szCs w:val="16"/>
              </w:rPr>
              <w:t xml:space="preserve">Page </w:t>
            </w:r>
            <w:r w:rsidRPr="0098632A">
              <w:rPr>
                <w:rFonts w:ascii="Arial" w:hAnsi="Arial" w:cs="Arial"/>
                <w:sz w:val="16"/>
                <w:szCs w:val="16"/>
              </w:rPr>
              <w:fldChar w:fldCharType="begin"/>
            </w:r>
            <w:r w:rsidRPr="0098632A">
              <w:rPr>
                <w:rFonts w:ascii="Arial" w:hAnsi="Arial" w:cs="Arial"/>
                <w:sz w:val="16"/>
                <w:szCs w:val="16"/>
              </w:rPr>
              <w:instrText xml:space="preserve"> PAGE </w:instrText>
            </w:r>
            <w:r w:rsidRPr="0098632A">
              <w:rPr>
                <w:rFonts w:ascii="Arial" w:hAnsi="Arial" w:cs="Arial"/>
                <w:sz w:val="16"/>
                <w:szCs w:val="16"/>
              </w:rPr>
              <w:fldChar w:fldCharType="separate"/>
            </w:r>
            <w:r w:rsidRPr="0098632A">
              <w:rPr>
                <w:rFonts w:ascii="Arial" w:hAnsi="Arial" w:cs="Arial"/>
                <w:noProof/>
                <w:sz w:val="16"/>
                <w:szCs w:val="16"/>
              </w:rPr>
              <w:t>2</w:t>
            </w:r>
            <w:r w:rsidRPr="0098632A">
              <w:rPr>
                <w:rFonts w:ascii="Arial" w:hAnsi="Arial" w:cs="Arial"/>
                <w:sz w:val="16"/>
                <w:szCs w:val="16"/>
              </w:rPr>
              <w:fldChar w:fldCharType="end"/>
            </w:r>
            <w:r w:rsidRPr="0098632A">
              <w:rPr>
                <w:rFonts w:ascii="Arial" w:hAnsi="Arial" w:cs="Arial"/>
                <w:sz w:val="16"/>
                <w:szCs w:val="16"/>
              </w:rPr>
              <w:t xml:space="preserve"> of </w:t>
            </w:r>
            <w:r w:rsidRPr="0098632A">
              <w:rPr>
                <w:rFonts w:ascii="Arial" w:hAnsi="Arial" w:cs="Arial"/>
                <w:sz w:val="16"/>
                <w:szCs w:val="16"/>
              </w:rPr>
              <w:fldChar w:fldCharType="begin"/>
            </w:r>
            <w:r w:rsidRPr="0098632A">
              <w:rPr>
                <w:rFonts w:ascii="Arial" w:hAnsi="Arial" w:cs="Arial"/>
                <w:sz w:val="16"/>
                <w:szCs w:val="16"/>
              </w:rPr>
              <w:instrText xml:space="preserve"> NUMPAGES  </w:instrText>
            </w:r>
            <w:r w:rsidRPr="0098632A">
              <w:rPr>
                <w:rFonts w:ascii="Arial" w:hAnsi="Arial" w:cs="Arial"/>
                <w:sz w:val="16"/>
                <w:szCs w:val="16"/>
              </w:rPr>
              <w:fldChar w:fldCharType="separate"/>
            </w:r>
            <w:r w:rsidRPr="0098632A">
              <w:rPr>
                <w:rFonts w:ascii="Arial" w:hAnsi="Arial" w:cs="Arial"/>
                <w:noProof/>
                <w:sz w:val="16"/>
                <w:szCs w:val="16"/>
              </w:rPr>
              <w:t>2</w:t>
            </w:r>
            <w:r w:rsidRPr="0098632A">
              <w:rPr>
                <w:rFonts w:ascii="Arial" w:hAnsi="Arial" w:cs="Arial"/>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75E7" w14:textId="77777777" w:rsidR="0031125E" w:rsidRDefault="0031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25DFF" w14:textId="77777777" w:rsidR="009F4A91" w:rsidRDefault="009F4A91" w:rsidP="0098632A">
      <w:pPr>
        <w:spacing w:after="0" w:line="240" w:lineRule="auto"/>
      </w:pPr>
      <w:r>
        <w:separator/>
      </w:r>
    </w:p>
  </w:footnote>
  <w:footnote w:type="continuationSeparator" w:id="0">
    <w:p w14:paraId="5B92167E" w14:textId="77777777" w:rsidR="009F4A91" w:rsidRDefault="009F4A91" w:rsidP="00986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9F953" w14:textId="77777777" w:rsidR="0031125E" w:rsidRDefault="00311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4E8A" w14:textId="7857DCC6" w:rsidR="0031125E" w:rsidRDefault="00311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CDB5" w14:textId="77777777" w:rsidR="0031125E" w:rsidRDefault="00311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489"/>
    <w:multiLevelType w:val="hybridMultilevel"/>
    <w:tmpl w:val="21FE671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2B1169"/>
    <w:multiLevelType w:val="hybridMultilevel"/>
    <w:tmpl w:val="315C25C4"/>
    <w:lvl w:ilvl="0" w:tplc="18329F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C08AB"/>
    <w:multiLevelType w:val="hybridMultilevel"/>
    <w:tmpl w:val="8090BC1A"/>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3" w15:restartNumberingAfterBreak="0">
    <w:nsid w:val="46B3172D"/>
    <w:multiLevelType w:val="multilevel"/>
    <w:tmpl w:val="5598FAEC"/>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3A45A7"/>
    <w:multiLevelType w:val="hybridMultilevel"/>
    <w:tmpl w:val="4678CE50"/>
    <w:lvl w:ilvl="0" w:tplc="2B3ACC32">
      <w:start w:val="1"/>
      <w:numFmt w:val="bullet"/>
      <w:lvlText w:val="-"/>
      <w:lvlJc w:val="left"/>
      <w:pPr>
        <w:ind w:left="792" w:hanging="360"/>
      </w:pPr>
      <w:rPr>
        <w:rFonts w:ascii="Arial" w:eastAsia="Times New Roman" w:hAnsi="Arial" w:cs="Arial" w:hint="default"/>
        <w:b w:val="0"/>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5B6171E1"/>
    <w:multiLevelType w:val="hybridMultilevel"/>
    <w:tmpl w:val="133EA5A8"/>
    <w:lvl w:ilvl="0" w:tplc="2A020D3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6" w15:restartNumberingAfterBreak="0">
    <w:nsid w:val="5D845204"/>
    <w:multiLevelType w:val="hybridMultilevel"/>
    <w:tmpl w:val="F35473FE"/>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6A1B6A"/>
    <w:multiLevelType w:val="multilevel"/>
    <w:tmpl w:val="EF5AD014"/>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4"/>
  </w:num>
  <w:num w:numId="4">
    <w:abstractNumId w:val="6"/>
  </w:num>
  <w:num w:numId="5">
    <w:abstractNumId w:val="2"/>
  </w:num>
  <w:num w:numId="6">
    <w:abstractNumId w:val="1"/>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DD"/>
    <w:rsid w:val="000139AB"/>
    <w:rsid w:val="0002323E"/>
    <w:rsid w:val="00024DE6"/>
    <w:rsid w:val="00027611"/>
    <w:rsid w:val="00031708"/>
    <w:rsid w:val="00043AAC"/>
    <w:rsid w:val="00071142"/>
    <w:rsid w:val="000740DD"/>
    <w:rsid w:val="000744E1"/>
    <w:rsid w:val="000776AF"/>
    <w:rsid w:val="00080B54"/>
    <w:rsid w:val="00083B69"/>
    <w:rsid w:val="00096E64"/>
    <w:rsid w:val="000A70D7"/>
    <w:rsid w:val="000B2FCF"/>
    <w:rsid w:val="000D2962"/>
    <w:rsid w:val="000F4D7D"/>
    <w:rsid w:val="00101864"/>
    <w:rsid w:val="001135F6"/>
    <w:rsid w:val="001137C4"/>
    <w:rsid w:val="00116E4A"/>
    <w:rsid w:val="00124CEA"/>
    <w:rsid w:val="0013438C"/>
    <w:rsid w:val="00135B61"/>
    <w:rsid w:val="00185D90"/>
    <w:rsid w:val="001A4A68"/>
    <w:rsid w:val="001B0084"/>
    <w:rsid w:val="001C101A"/>
    <w:rsid w:val="001C2F40"/>
    <w:rsid w:val="001E198F"/>
    <w:rsid w:val="001E2807"/>
    <w:rsid w:val="001F6149"/>
    <w:rsid w:val="002167B3"/>
    <w:rsid w:val="00221430"/>
    <w:rsid w:val="0024171B"/>
    <w:rsid w:val="00250C54"/>
    <w:rsid w:val="002533F9"/>
    <w:rsid w:val="00260546"/>
    <w:rsid w:val="00261E5B"/>
    <w:rsid w:val="00267DDB"/>
    <w:rsid w:val="00290B42"/>
    <w:rsid w:val="002A5130"/>
    <w:rsid w:val="002C6541"/>
    <w:rsid w:val="002E3AF3"/>
    <w:rsid w:val="002E700C"/>
    <w:rsid w:val="002F4955"/>
    <w:rsid w:val="0031125E"/>
    <w:rsid w:val="0032038F"/>
    <w:rsid w:val="00345ECB"/>
    <w:rsid w:val="003533AC"/>
    <w:rsid w:val="00364975"/>
    <w:rsid w:val="003A568B"/>
    <w:rsid w:val="003A68F4"/>
    <w:rsid w:val="003B05EF"/>
    <w:rsid w:val="003B21A6"/>
    <w:rsid w:val="003D2026"/>
    <w:rsid w:val="003D7DFE"/>
    <w:rsid w:val="003E01EE"/>
    <w:rsid w:val="003E21C2"/>
    <w:rsid w:val="003E5D14"/>
    <w:rsid w:val="003E68B9"/>
    <w:rsid w:val="003F137F"/>
    <w:rsid w:val="00415F3A"/>
    <w:rsid w:val="00430334"/>
    <w:rsid w:val="00431339"/>
    <w:rsid w:val="00444634"/>
    <w:rsid w:val="004468E1"/>
    <w:rsid w:val="00465B06"/>
    <w:rsid w:val="004666BA"/>
    <w:rsid w:val="00466CE8"/>
    <w:rsid w:val="00480A5B"/>
    <w:rsid w:val="00482829"/>
    <w:rsid w:val="00490444"/>
    <w:rsid w:val="004920E4"/>
    <w:rsid w:val="004954FE"/>
    <w:rsid w:val="004A0313"/>
    <w:rsid w:val="004D2299"/>
    <w:rsid w:val="004D6152"/>
    <w:rsid w:val="004E38B8"/>
    <w:rsid w:val="005012B5"/>
    <w:rsid w:val="00505A89"/>
    <w:rsid w:val="00506A92"/>
    <w:rsid w:val="005175D7"/>
    <w:rsid w:val="0052264B"/>
    <w:rsid w:val="00522676"/>
    <w:rsid w:val="00523AA3"/>
    <w:rsid w:val="00523BA2"/>
    <w:rsid w:val="005265AB"/>
    <w:rsid w:val="005354A2"/>
    <w:rsid w:val="0055137B"/>
    <w:rsid w:val="00555B2B"/>
    <w:rsid w:val="00560687"/>
    <w:rsid w:val="00573D50"/>
    <w:rsid w:val="00584ACE"/>
    <w:rsid w:val="00591AF3"/>
    <w:rsid w:val="005926C5"/>
    <w:rsid w:val="00596006"/>
    <w:rsid w:val="005C7323"/>
    <w:rsid w:val="005D1205"/>
    <w:rsid w:val="005D2484"/>
    <w:rsid w:val="005D7029"/>
    <w:rsid w:val="005D72EB"/>
    <w:rsid w:val="005F5AA0"/>
    <w:rsid w:val="006026AF"/>
    <w:rsid w:val="00604F35"/>
    <w:rsid w:val="00607DCA"/>
    <w:rsid w:val="00614F8C"/>
    <w:rsid w:val="00614FE2"/>
    <w:rsid w:val="00625FAE"/>
    <w:rsid w:val="00643BE7"/>
    <w:rsid w:val="006705FF"/>
    <w:rsid w:val="00671D6E"/>
    <w:rsid w:val="006743F8"/>
    <w:rsid w:val="00683850"/>
    <w:rsid w:val="00685778"/>
    <w:rsid w:val="0069645F"/>
    <w:rsid w:val="006D1362"/>
    <w:rsid w:val="006E063F"/>
    <w:rsid w:val="00704864"/>
    <w:rsid w:val="00722856"/>
    <w:rsid w:val="00734523"/>
    <w:rsid w:val="007730F4"/>
    <w:rsid w:val="00775E00"/>
    <w:rsid w:val="007770B5"/>
    <w:rsid w:val="0078422B"/>
    <w:rsid w:val="007A089F"/>
    <w:rsid w:val="007B37CB"/>
    <w:rsid w:val="007B4672"/>
    <w:rsid w:val="007B547A"/>
    <w:rsid w:val="007B5CF8"/>
    <w:rsid w:val="007C2779"/>
    <w:rsid w:val="007F2590"/>
    <w:rsid w:val="0081275E"/>
    <w:rsid w:val="00841DC2"/>
    <w:rsid w:val="00844882"/>
    <w:rsid w:val="008464BB"/>
    <w:rsid w:val="00851F2D"/>
    <w:rsid w:val="00854EF9"/>
    <w:rsid w:val="00867DAF"/>
    <w:rsid w:val="008828C3"/>
    <w:rsid w:val="00884D23"/>
    <w:rsid w:val="008A01A9"/>
    <w:rsid w:val="008A1323"/>
    <w:rsid w:val="008A1C30"/>
    <w:rsid w:val="008A7016"/>
    <w:rsid w:val="008D34FF"/>
    <w:rsid w:val="008D44DE"/>
    <w:rsid w:val="008D4A2A"/>
    <w:rsid w:val="008F0F05"/>
    <w:rsid w:val="008F5A9A"/>
    <w:rsid w:val="008F7D25"/>
    <w:rsid w:val="00916FD0"/>
    <w:rsid w:val="00917A2F"/>
    <w:rsid w:val="00941BE9"/>
    <w:rsid w:val="009423F2"/>
    <w:rsid w:val="00947AB3"/>
    <w:rsid w:val="00953F22"/>
    <w:rsid w:val="00981F96"/>
    <w:rsid w:val="00981FC2"/>
    <w:rsid w:val="0098632A"/>
    <w:rsid w:val="00992625"/>
    <w:rsid w:val="009956A1"/>
    <w:rsid w:val="009A5E14"/>
    <w:rsid w:val="009C146F"/>
    <w:rsid w:val="009E2F46"/>
    <w:rsid w:val="009F4A91"/>
    <w:rsid w:val="00A30C42"/>
    <w:rsid w:val="00A42825"/>
    <w:rsid w:val="00A62FEB"/>
    <w:rsid w:val="00A63195"/>
    <w:rsid w:val="00A70080"/>
    <w:rsid w:val="00A7335E"/>
    <w:rsid w:val="00A7582E"/>
    <w:rsid w:val="00A853A4"/>
    <w:rsid w:val="00A90014"/>
    <w:rsid w:val="00A91595"/>
    <w:rsid w:val="00A95F9D"/>
    <w:rsid w:val="00AA1A58"/>
    <w:rsid w:val="00AA2944"/>
    <w:rsid w:val="00AA32DF"/>
    <w:rsid w:val="00AB3B35"/>
    <w:rsid w:val="00AB3FFE"/>
    <w:rsid w:val="00AB5D2F"/>
    <w:rsid w:val="00AD0F0A"/>
    <w:rsid w:val="00AD5180"/>
    <w:rsid w:val="00B30B67"/>
    <w:rsid w:val="00B41662"/>
    <w:rsid w:val="00B47E17"/>
    <w:rsid w:val="00B532DF"/>
    <w:rsid w:val="00B67D8D"/>
    <w:rsid w:val="00B864C7"/>
    <w:rsid w:val="00B914EB"/>
    <w:rsid w:val="00B9529E"/>
    <w:rsid w:val="00BE2167"/>
    <w:rsid w:val="00BE3BC4"/>
    <w:rsid w:val="00BE54CE"/>
    <w:rsid w:val="00BE6130"/>
    <w:rsid w:val="00C12DC9"/>
    <w:rsid w:val="00C22D16"/>
    <w:rsid w:val="00C2306C"/>
    <w:rsid w:val="00C42FCC"/>
    <w:rsid w:val="00C550F8"/>
    <w:rsid w:val="00C629F1"/>
    <w:rsid w:val="00C65B74"/>
    <w:rsid w:val="00C77199"/>
    <w:rsid w:val="00C940EB"/>
    <w:rsid w:val="00CA1700"/>
    <w:rsid w:val="00CC109A"/>
    <w:rsid w:val="00CE402F"/>
    <w:rsid w:val="00CF2FA3"/>
    <w:rsid w:val="00CF3EC7"/>
    <w:rsid w:val="00D11BF5"/>
    <w:rsid w:val="00D3626B"/>
    <w:rsid w:val="00D36473"/>
    <w:rsid w:val="00D430F7"/>
    <w:rsid w:val="00D57589"/>
    <w:rsid w:val="00D74881"/>
    <w:rsid w:val="00D75624"/>
    <w:rsid w:val="00D75647"/>
    <w:rsid w:val="00D77135"/>
    <w:rsid w:val="00D90248"/>
    <w:rsid w:val="00DB48C8"/>
    <w:rsid w:val="00DD277F"/>
    <w:rsid w:val="00E13687"/>
    <w:rsid w:val="00E250CF"/>
    <w:rsid w:val="00E31803"/>
    <w:rsid w:val="00E404A0"/>
    <w:rsid w:val="00E416EE"/>
    <w:rsid w:val="00E51273"/>
    <w:rsid w:val="00E665CB"/>
    <w:rsid w:val="00E868C5"/>
    <w:rsid w:val="00E91883"/>
    <w:rsid w:val="00EA6B2F"/>
    <w:rsid w:val="00EB516C"/>
    <w:rsid w:val="00EC2C35"/>
    <w:rsid w:val="00EC7B76"/>
    <w:rsid w:val="00ED13D7"/>
    <w:rsid w:val="00EE5BD1"/>
    <w:rsid w:val="00F06BE8"/>
    <w:rsid w:val="00F32E4C"/>
    <w:rsid w:val="00F57E96"/>
    <w:rsid w:val="00F62D44"/>
    <w:rsid w:val="00F72290"/>
    <w:rsid w:val="00F74297"/>
    <w:rsid w:val="00F81FF8"/>
    <w:rsid w:val="00F9067A"/>
    <w:rsid w:val="00F95A9B"/>
    <w:rsid w:val="00FA1540"/>
    <w:rsid w:val="00FE5C2A"/>
    <w:rsid w:val="00FF6882"/>
    <w:rsid w:val="00FF6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A2C9B"/>
  <w15:chartTrackingRefBased/>
  <w15:docId w15:val="{8C7F42C0-7473-4E71-9F7A-26663741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D"/>
    <w:pPr>
      <w:spacing w:after="200" w:line="276" w:lineRule="auto"/>
      <w:ind w:left="187"/>
    </w:pPr>
    <w:rPr>
      <w:rFonts w:eastAsia="Times New Roman" w:cs="Times New Roman"/>
      <w:sz w:val="24"/>
      <w:szCs w:val="24"/>
      <w:lang w:val="en-US"/>
    </w:rPr>
  </w:style>
  <w:style w:type="paragraph" w:styleId="Heading1">
    <w:name w:val="heading 1"/>
    <w:basedOn w:val="Normal"/>
    <w:next w:val="Normal"/>
    <w:link w:val="Heading1Char"/>
    <w:uiPriority w:val="9"/>
    <w:qFormat/>
    <w:rsid w:val="00C771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55B2B"/>
    <w:pPr>
      <w:spacing w:after="480"/>
      <w:contextualSpacing/>
      <w:jc w:val="center"/>
      <w:outlineLvl w:val="1"/>
    </w:pPr>
  </w:style>
  <w:style w:type="paragraph" w:styleId="Heading3">
    <w:name w:val="heading 3"/>
    <w:basedOn w:val="Normal"/>
    <w:next w:val="Normal"/>
    <w:link w:val="Heading3Char"/>
    <w:uiPriority w:val="9"/>
    <w:semiHidden/>
    <w:unhideWhenUsed/>
    <w:qFormat/>
    <w:rsid w:val="00C7719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40DD"/>
    <w:rPr>
      <w:sz w:val="22"/>
      <w:szCs w:val="16"/>
    </w:rPr>
  </w:style>
  <w:style w:type="paragraph" w:styleId="CommentText">
    <w:name w:val="annotation text"/>
    <w:basedOn w:val="Normal"/>
    <w:link w:val="CommentTextChar"/>
    <w:uiPriority w:val="99"/>
    <w:semiHidden/>
    <w:unhideWhenUsed/>
    <w:rsid w:val="000740DD"/>
    <w:pPr>
      <w:spacing w:line="240" w:lineRule="auto"/>
    </w:pPr>
    <w:rPr>
      <w:sz w:val="22"/>
      <w:szCs w:val="20"/>
    </w:rPr>
  </w:style>
  <w:style w:type="character" w:customStyle="1" w:styleId="CommentTextChar">
    <w:name w:val="Comment Text Char"/>
    <w:basedOn w:val="DefaultParagraphFont"/>
    <w:link w:val="CommentText"/>
    <w:uiPriority w:val="99"/>
    <w:semiHidden/>
    <w:rsid w:val="000740DD"/>
    <w:rPr>
      <w:rFonts w:eastAsia="Times New Roman" w:cs="Times New Roman"/>
      <w:szCs w:val="20"/>
      <w:lang w:val="en-US"/>
    </w:rPr>
  </w:style>
  <w:style w:type="paragraph" w:styleId="BalloonText">
    <w:name w:val="Balloon Text"/>
    <w:basedOn w:val="Normal"/>
    <w:link w:val="BalloonTextChar"/>
    <w:uiPriority w:val="99"/>
    <w:semiHidden/>
    <w:unhideWhenUsed/>
    <w:rsid w:val="00074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0DD"/>
    <w:rPr>
      <w:rFonts w:ascii="Segoe UI" w:eastAsia="Times New Roman" w:hAnsi="Segoe UI" w:cs="Segoe UI"/>
      <w:sz w:val="18"/>
      <w:szCs w:val="18"/>
      <w:lang w:val="en-US"/>
    </w:rPr>
  </w:style>
  <w:style w:type="character" w:customStyle="1" w:styleId="Heading2Char">
    <w:name w:val="Heading 2 Char"/>
    <w:basedOn w:val="DefaultParagraphFont"/>
    <w:link w:val="Heading2"/>
    <w:rsid w:val="00555B2B"/>
    <w:rPr>
      <w:rFonts w:eastAsia="Times New Roman" w:cs="Times New Roman"/>
      <w:sz w:val="24"/>
      <w:szCs w:val="24"/>
      <w:lang w:val="en-US"/>
    </w:rPr>
  </w:style>
  <w:style w:type="paragraph" w:styleId="ListParagraph">
    <w:name w:val="List Paragraph"/>
    <w:basedOn w:val="Normal"/>
    <w:uiPriority w:val="34"/>
    <w:qFormat/>
    <w:rsid w:val="00555B2B"/>
    <w:pPr>
      <w:spacing w:before="240"/>
      <w:ind w:left="0"/>
    </w:pPr>
  </w:style>
  <w:style w:type="paragraph" w:styleId="CommentSubject">
    <w:name w:val="annotation subject"/>
    <w:basedOn w:val="CommentText"/>
    <w:next w:val="CommentText"/>
    <w:link w:val="CommentSubjectChar"/>
    <w:uiPriority w:val="99"/>
    <w:semiHidden/>
    <w:unhideWhenUsed/>
    <w:rsid w:val="003D2026"/>
    <w:rPr>
      <w:b/>
      <w:bCs/>
      <w:sz w:val="20"/>
    </w:rPr>
  </w:style>
  <w:style w:type="character" w:customStyle="1" w:styleId="CommentSubjectChar">
    <w:name w:val="Comment Subject Char"/>
    <w:basedOn w:val="CommentTextChar"/>
    <w:link w:val="CommentSubject"/>
    <w:uiPriority w:val="99"/>
    <w:semiHidden/>
    <w:rsid w:val="003D2026"/>
    <w:rPr>
      <w:rFonts w:eastAsia="Times New Roman" w:cs="Times New Roman"/>
      <w:b/>
      <w:bCs/>
      <w:sz w:val="20"/>
      <w:szCs w:val="20"/>
      <w:lang w:val="en-US"/>
    </w:rPr>
  </w:style>
  <w:style w:type="character" w:styleId="Hyperlink">
    <w:name w:val="Hyperlink"/>
    <w:basedOn w:val="DefaultParagraphFont"/>
    <w:uiPriority w:val="99"/>
    <w:unhideWhenUsed/>
    <w:rsid w:val="003D2026"/>
    <w:rPr>
      <w:color w:val="0563C1" w:themeColor="hyperlink"/>
      <w:u w:val="single"/>
    </w:rPr>
  </w:style>
  <w:style w:type="paragraph" w:customStyle="1" w:styleId="Default">
    <w:name w:val="Default"/>
    <w:rsid w:val="003D202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1">
    <w:name w:val="CM1"/>
    <w:basedOn w:val="Default"/>
    <w:next w:val="Default"/>
    <w:uiPriority w:val="99"/>
    <w:rsid w:val="003D2026"/>
    <w:pPr>
      <w:widowControl w:val="0"/>
      <w:spacing w:line="256" w:lineRule="atLeast"/>
    </w:pPr>
    <w:rPr>
      <w:rFonts w:ascii="Arial" w:hAnsi="Arial" w:cs="Arial"/>
      <w:color w:val="auto"/>
    </w:rPr>
  </w:style>
  <w:style w:type="paragraph" w:customStyle="1" w:styleId="CM6">
    <w:name w:val="CM6"/>
    <w:basedOn w:val="Default"/>
    <w:next w:val="Default"/>
    <w:uiPriority w:val="99"/>
    <w:rsid w:val="003D2026"/>
    <w:pPr>
      <w:widowControl w:val="0"/>
      <w:spacing w:line="253" w:lineRule="atLeast"/>
    </w:pPr>
    <w:rPr>
      <w:rFonts w:ascii="Arial" w:hAnsi="Arial" w:cs="Arial"/>
      <w:color w:val="auto"/>
    </w:rPr>
  </w:style>
  <w:style w:type="character" w:styleId="UnresolvedMention">
    <w:name w:val="Unresolved Mention"/>
    <w:basedOn w:val="DefaultParagraphFont"/>
    <w:uiPriority w:val="99"/>
    <w:semiHidden/>
    <w:unhideWhenUsed/>
    <w:rsid w:val="005D1205"/>
    <w:rPr>
      <w:color w:val="605E5C"/>
      <w:shd w:val="clear" w:color="auto" w:fill="E1DFDD"/>
    </w:rPr>
  </w:style>
  <w:style w:type="paragraph" w:styleId="NoSpacing">
    <w:name w:val="No Spacing"/>
    <w:uiPriority w:val="1"/>
    <w:qFormat/>
    <w:rsid w:val="003A568B"/>
    <w:pPr>
      <w:spacing w:after="0" w:line="240" w:lineRule="auto"/>
      <w:ind w:left="187"/>
    </w:pPr>
    <w:rPr>
      <w:rFonts w:eastAsia="Times New Roman" w:cs="Times New Roman"/>
      <w:sz w:val="24"/>
      <w:szCs w:val="24"/>
      <w:lang w:val="en-US"/>
    </w:rPr>
  </w:style>
  <w:style w:type="character" w:styleId="FollowedHyperlink">
    <w:name w:val="FollowedHyperlink"/>
    <w:basedOn w:val="DefaultParagraphFont"/>
    <w:uiPriority w:val="99"/>
    <w:semiHidden/>
    <w:unhideWhenUsed/>
    <w:rsid w:val="003A568B"/>
    <w:rPr>
      <w:color w:val="954F72" w:themeColor="followedHyperlink"/>
      <w:u w:val="single"/>
    </w:rPr>
  </w:style>
  <w:style w:type="character" w:customStyle="1" w:styleId="Heading1Char">
    <w:name w:val="Heading 1 Char"/>
    <w:basedOn w:val="DefaultParagraphFont"/>
    <w:link w:val="Heading1"/>
    <w:uiPriority w:val="9"/>
    <w:rsid w:val="00C77199"/>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C77199"/>
    <w:rPr>
      <w:rFonts w:asciiTheme="majorHAnsi" w:eastAsiaTheme="majorEastAsia" w:hAnsiTheme="majorHAnsi" w:cstheme="majorBidi"/>
      <w:color w:val="1F3763" w:themeColor="accent1" w:themeShade="7F"/>
      <w:sz w:val="24"/>
      <w:szCs w:val="24"/>
      <w:lang w:val="en-US"/>
    </w:rPr>
  </w:style>
  <w:style w:type="character" w:customStyle="1" w:styleId="hgkelc">
    <w:name w:val="hgkelc"/>
    <w:basedOn w:val="DefaultParagraphFont"/>
    <w:rsid w:val="002167B3"/>
  </w:style>
  <w:style w:type="paragraph" w:styleId="Header">
    <w:name w:val="header"/>
    <w:basedOn w:val="Normal"/>
    <w:link w:val="HeaderChar"/>
    <w:uiPriority w:val="99"/>
    <w:unhideWhenUsed/>
    <w:rsid w:val="00986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32A"/>
    <w:rPr>
      <w:rFonts w:eastAsia="Times New Roman" w:cs="Times New Roman"/>
      <w:sz w:val="24"/>
      <w:szCs w:val="24"/>
      <w:lang w:val="en-US"/>
    </w:rPr>
  </w:style>
  <w:style w:type="paragraph" w:styleId="Footer">
    <w:name w:val="footer"/>
    <w:basedOn w:val="Normal"/>
    <w:link w:val="FooterChar"/>
    <w:uiPriority w:val="99"/>
    <w:unhideWhenUsed/>
    <w:rsid w:val="00986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32A"/>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855">
      <w:bodyDiv w:val="1"/>
      <w:marLeft w:val="0"/>
      <w:marRight w:val="0"/>
      <w:marTop w:val="0"/>
      <w:marBottom w:val="0"/>
      <w:divBdr>
        <w:top w:val="none" w:sz="0" w:space="0" w:color="auto"/>
        <w:left w:val="none" w:sz="0" w:space="0" w:color="auto"/>
        <w:bottom w:val="none" w:sz="0" w:space="0" w:color="auto"/>
        <w:right w:val="none" w:sz="0" w:space="0" w:color="auto"/>
      </w:divBdr>
      <w:divsChild>
        <w:div w:id="1046948536">
          <w:marLeft w:val="0"/>
          <w:marRight w:val="0"/>
          <w:marTop w:val="0"/>
          <w:marBottom w:val="0"/>
          <w:divBdr>
            <w:top w:val="none" w:sz="0" w:space="0" w:color="auto"/>
            <w:left w:val="none" w:sz="0" w:space="0" w:color="auto"/>
            <w:bottom w:val="none" w:sz="0" w:space="0" w:color="auto"/>
            <w:right w:val="none" w:sz="0" w:space="0" w:color="auto"/>
          </w:divBdr>
        </w:div>
        <w:div w:id="527528885">
          <w:marLeft w:val="0"/>
          <w:marRight w:val="0"/>
          <w:marTop w:val="300"/>
          <w:marBottom w:val="0"/>
          <w:divBdr>
            <w:top w:val="none" w:sz="0" w:space="0" w:color="auto"/>
            <w:left w:val="none" w:sz="0" w:space="0" w:color="auto"/>
            <w:bottom w:val="none" w:sz="0" w:space="0" w:color="auto"/>
            <w:right w:val="none" w:sz="0" w:space="0" w:color="auto"/>
          </w:divBdr>
          <w:divsChild>
            <w:div w:id="1850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740">
      <w:bodyDiv w:val="1"/>
      <w:marLeft w:val="0"/>
      <w:marRight w:val="0"/>
      <w:marTop w:val="0"/>
      <w:marBottom w:val="0"/>
      <w:divBdr>
        <w:top w:val="none" w:sz="0" w:space="0" w:color="auto"/>
        <w:left w:val="none" w:sz="0" w:space="0" w:color="auto"/>
        <w:bottom w:val="none" w:sz="0" w:space="0" w:color="auto"/>
        <w:right w:val="none" w:sz="0" w:space="0" w:color="auto"/>
      </w:divBdr>
    </w:div>
    <w:div w:id="173031402">
      <w:bodyDiv w:val="1"/>
      <w:marLeft w:val="0"/>
      <w:marRight w:val="0"/>
      <w:marTop w:val="0"/>
      <w:marBottom w:val="0"/>
      <w:divBdr>
        <w:top w:val="none" w:sz="0" w:space="0" w:color="auto"/>
        <w:left w:val="none" w:sz="0" w:space="0" w:color="auto"/>
        <w:bottom w:val="none" w:sz="0" w:space="0" w:color="auto"/>
        <w:right w:val="none" w:sz="0" w:space="0" w:color="auto"/>
      </w:divBdr>
    </w:div>
    <w:div w:id="496117815">
      <w:bodyDiv w:val="1"/>
      <w:marLeft w:val="0"/>
      <w:marRight w:val="0"/>
      <w:marTop w:val="0"/>
      <w:marBottom w:val="0"/>
      <w:divBdr>
        <w:top w:val="none" w:sz="0" w:space="0" w:color="auto"/>
        <w:left w:val="none" w:sz="0" w:space="0" w:color="auto"/>
        <w:bottom w:val="none" w:sz="0" w:space="0" w:color="auto"/>
        <w:right w:val="none" w:sz="0" w:space="0" w:color="auto"/>
      </w:divBdr>
    </w:div>
    <w:div w:id="699161385">
      <w:bodyDiv w:val="1"/>
      <w:marLeft w:val="0"/>
      <w:marRight w:val="0"/>
      <w:marTop w:val="0"/>
      <w:marBottom w:val="0"/>
      <w:divBdr>
        <w:top w:val="none" w:sz="0" w:space="0" w:color="auto"/>
        <w:left w:val="none" w:sz="0" w:space="0" w:color="auto"/>
        <w:bottom w:val="none" w:sz="0" w:space="0" w:color="auto"/>
        <w:right w:val="none" w:sz="0" w:space="0" w:color="auto"/>
      </w:divBdr>
    </w:div>
    <w:div w:id="836766411">
      <w:bodyDiv w:val="1"/>
      <w:marLeft w:val="0"/>
      <w:marRight w:val="0"/>
      <w:marTop w:val="0"/>
      <w:marBottom w:val="0"/>
      <w:divBdr>
        <w:top w:val="none" w:sz="0" w:space="0" w:color="auto"/>
        <w:left w:val="none" w:sz="0" w:space="0" w:color="auto"/>
        <w:bottom w:val="none" w:sz="0" w:space="0" w:color="auto"/>
        <w:right w:val="none" w:sz="0" w:space="0" w:color="auto"/>
      </w:divBdr>
    </w:div>
    <w:div w:id="863052671">
      <w:bodyDiv w:val="1"/>
      <w:marLeft w:val="0"/>
      <w:marRight w:val="0"/>
      <w:marTop w:val="0"/>
      <w:marBottom w:val="0"/>
      <w:divBdr>
        <w:top w:val="none" w:sz="0" w:space="0" w:color="auto"/>
        <w:left w:val="none" w:sz="0" w:space="0" w:color="auto"/>
        <w:bottom w:val="none" w:sz="0" w:space="0" w:color="auto"/>
        <w:right w:val="none" w:sz="0" w:space="0" w:color="auto"/>
      </w:divBdr>
    </w:div>
    <w:div w:id="1054308453">
      <w:bodyDiv w:val="1"/>
      <w:marLeft w:val="0"/>
      <w:marRight w:val="0"/>
      <w:marTop w:val="0"/>
      <w:marBottom w:val="0"/>
      <w:divBdr>
        <w:top w:val="none" w:sz="0" w:space="0" w:color="auto"/>
        <w:left w:val="none" w:sz="0" w:space="0" w:color="auto"/>
        <w:bottom w:val="none" w:sz="0" w:space="0" w:color="auto"/>
        <w:right w:val="none" w:sz="0" w:space="0" w:color="auto"/>
      </w:divBdr>
      <w:divsChild>
        <w:div w:id="2086537418">
          <w:marLeft w:val="0"/>
          <w:marRight w:val="0"/>
          <w:marTop w:val="240"/>
          <w:marBottom w:val="240"/>
          <w:divBdr>
            <w:top w:val="none" w:sz="0" w:space="0" w:color="auto"/>
            <w:left w:val="none" w:sz="0" w:space="0" w:color="auto"/>
            <w:bottom w:val="none" w:sz="0" w:space="0" w:color="auto"/>
            <w:right w:val="none" w:sz="0" w:space="0" w:color="auto"/>
          </w:divBdr>
          <w:divsChild>
            <w:div w:id="141586720">
              <w:marLeft w:val="0"/>
              <w:marRight w:val="0"/>
              <w:marTop w:val="0"/>
              <w:marBottom w:val="0"/>
              <w:divBdr>
                <w:top w:val="none" w:sz="0" w:space="0" w:color="auto"/>
                <w:left w:val="none" w:sz="0" w:space="0" w:color="auto"/>
                <w:bottom w:val="none" w:sz="0" w:space="0" w:color="auto"/>
                <w:right w:val="none" w:sz="0" w:space="0" w:color="auto"/>
              </w:divBdr>
            </w:div>
          </w:divsChild>
        </w:div>
        <w:div w:id="875385995">
          <w:marLeft w:val="0"/>
          <w:marRight w:val="0"/>
          <w:marTop w:val="240"/>
          <w:marBottom w:val="240"/>
          <w:divBdr>
            <w:top w:val="none" w:sz="0" w:space="0" w:color="auto"/>
            <w:left w:val="none" w:sz="0" w:space="0" w:color="auto"/>
            <w:bottom w:val="none" w:sz="0" w:space="0" w:color="auto"/>
            <w:right w:val="none" w:sz="0" w:space="0" w:color="auto"/>
          </w:divBdr>
          <w:divsChild>
            <w:div w:id="1052658808">
              <w:marLeft w:val="0"/>
              <w:marRight w:val="0"/>
              <w:marTop w:val="0"/>
              <w:marBottom w:val="0"/>
              <w:divBdr>
                <w:top w:val="none" w:sz="0" w:space="0" w:color="auto"/>
                <w:left w:val="none" w:sz="0" w:space="0" w:color="auto"/>
                <w:bottom w:val="none" w:sz="0" w:space="0" w:color="auto"/>
                <w:right w:val="none" w:sz="0" w:space="0" w:color="auto"/>
              </w:divBdr>
            </w:div>
          </w:divsChild>
        </w:div>
        <w:div w:id="712343439">
          <w:marLeft w:val="0"/>
          <w:marRight w:val="0"/>
          <w:marTop w:val="240"/>
          <w:marBottom w:val="240"/>
          <w:divBdr>
            <w:top w:val="none" w:sz="0" w:space="0" w:color="auto"/>
            <w:left w:val="none" w:sz="0" w:space="0" w:color="auto"/>
            <w:bottom w:val="none" w:sz="0" w:space="0" w:color="auto"/>
            <w:right w:val="none" w:sz="0" w:space="0" w:color="auto"/>
          </w:divBdr>
          <w:divsChild>
            <w:div w:id="20874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7243">
      <w:bodyDiv w:val="1"/>
      <w:marLeft w:val="0"/>
      <w:marRight w:val="0"/>
      <w:marTop w:val="0"/>
      <w:marBottom w:val="0"/>
      <w:divBdr>
        <w:top w:val="none" w:sz="0" w:space="0" w:color="auto"/>
        <w:left w:val="none" w:sz="0" w:space="0" w:color="auto"/>
        <w:bottom w:val="none" w:sz="0" w:space="0" w:color="auto"/>
        <w:right w:val="none" w:sz="0" w:space="0" w:color="auto"/>
      </w:divBdr>
    </w:div>
    <w:div w:id="1200163086">
      <w:bodyDiv w:val="1"/>
      <w:marLeft w:val="0"/>
      <w:marRight w:val="0"/>
      <w:marTop w:val="0"/>
      <w:marBottom w:val="0"/>
      <w:divBdr>
        <w:top w:val="none" w:sz="0" w:space="0" w:color="auto"/>
        <w:left w:val="none" w:sz="0" w:space="0" w:color="auto"/>
        <w:bottom w:val="none" w:sz="0" w:space="0" w:color="auto"/>
        <w:right w:val="none" w:sz="0" w:space="0" w:color="auto"/>
      </w:divBdr>
    </w:div>
    <w:div w:id="1242716666">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4404433">
      <w:bodyDiv w:val="1"/>
      <w:marLeft w:val="0"/>
      <w:marRight w:val="0"/>
      <w:marTop w:val="0"/>
      <w:marBottom w:val="0"/>
      <w:divBdr>
        <w:top w:val="none" w:sz="0" w:space="0" w:color="auto"/>
        <w:left w:val="none" w:sz="0" w:space="0" w:color="auto"/>
        <w:bottom w:val="none" w:sz="0" w:space="0" w:color="auto"/>
        <w:right w:val="none" w:sz="0" w:space="0" w:color="auto"/>
      </w:divBdr>
    </w:div>
    <w:div w:id="1408962831">
      <w:bodyDiv w:val="1"/>
      <w:marLeft w:val="0"/>
      <w:marRight w:val="0"/>
      <w:marTop w:val="0"/>
      <w:marBottom w:val="0"/>
      <w:divBdr>
        <w:top w:val="none" w:sz="0" w:space="0" w:color="auto"/>
        <w:left w:val="none" w:sz="0" w:space="0" w:color="auto"/>
        <w:bottom w:val="none" w:sz="0" w:space="0" w:color="auto"/>
        <w:right w:val="none" w:sz="0" w:space="0" w:color="auto"/>
      </w:divBdr>
    </w:div>
    <w:div w:id="1743602456">
      <w:bodyDiv w:val="1"/>
      <w:marLeft w:val="0"/>
      <w:marRight w:val="0"/>
      <w:marTop w:val="0"/>
      <w:marBottom w:val="0"/>
      <w:divBdr>
        <w:top w:val="none" w:sz="0" w:space="0" w:color="auto"/>
        <w:left w:val="none" w:sz="0" w:space="0" w:color="auto"/>
        <w:bottom w:val="none" w:sz="0" w:space="0" w:color="auto"/>
        <w:right w:val="none" w:sz="0" w:space="0" w:color="auto"/>
      </w:divBdr>
    </w:div>
    <w:div w:id="1825853382">
      <w:bodyDiv w:val="1"/>
      <w:marLeft w:val="0"/>
      <w:marRight w:val="0"/>
      <w:marTop w:val="0"/>
      <w:marBottom w:val="0"/>
      <w:divBdr>
        <w:top w:val="none" w:sz="0" w:space="0" w:color="auto"/>
        <w:left w:val="none" w:sz="0" w:space="0" w:color="auto"/>
        <w:bottom w:val="none" w:sz="0" w:space="0" w:color="auto"/>
        <w:right w:val="none" w:sz="0" w:space="0" w:color="auto"/>
      </w:divBdr>
    </w:div>
    <w:div w:id="2022855258">
      <w:bodyDiv w:val="1"/>
      <w:marLeft w:val="0"/>
      <w:marRight w:val="0"/>
      <w:marTop w:val="0"/>
      <w:marBottom w:val="0"/>
      <w:divBdr>
        <w:top w:val="none" w:sz="0" w:space="0" w:color="auto"/>
        <w:left w:val="none" w:sz="0" w:space="0" w:color="auto"/>
        <w:bottom w:val="none" w:sz="0" w:space="0" w:color="auto"/>
        <w:right w:val="none" w:sz="0" w:space="0" w:color="auto"/>
      </w:divBdr>
    </w:div>
    <w:div w:id="2058119300">
      <w:bodyDiv w:val="1"/>
      <w:marLeft w:val="0"/>
      <w:marRight w:val="0"/>
      <w:marTop w:val="0"/>
      <w:marBottom w:val="0"/>
      <w:divBdr>
        <w:top w:val="none" w:sz="0" w:space="0" w:color="auto"/>
        <w:left w:val="none" w:sz="0" w:space="0" w:color="auto"/>
        <w:bottom w:val="none" w:sz="0" w:space="0" w:color="auto"/>
        <w:right w:val="none" w:sz="0" w:space="0" w:color="auto"/>
      </w:divBdr>
      <w:divsChild>
        <w:div w:id="1234124023">
          <w:marLeft w:val="2700"/>
          <w:marRight w:val="3960"/>
          <w:marTop w:val="0"/>
          <w:marBottom w:val="0"/>
          <w:divBdr>
            <w:top w:val="none" w:sz="0" w:space="0" w:color="auto"/>
            <w:left w:val="none" w:sz="0" w:space="0" w:color="auto"/>
            <w:bottom w:val="none" w:sz="0" w:space="0" w:color="auto"/>
            <w:right w:val="none" w:sz="0" w:space="0" w:color="auto"/>
          </w:divBdr>
          <w:divsChild>
            <w:div w:id="156580967">
              <w:marLeft w:val="0"/>
              <w:marRight w:val="0"/>
              <w:marTop w:val="0"/>
              <w:marBottom w:val="0"/>
              <w:divBdr>
                <w:top w:val="none" w:sz="0" w:space="0" w:color="auto"/>
                <w:left w:val="none" w:sz="0" w:space="0" w:color="auto"/>
                <w:bottom w:val="none" w:sz="0" w:space="0" w:color="auto"/>
                <w:right w:val="none" w:sz="0" w:space="0" w:color="auto"/>
              </w:divBdr>
              <w:divsChild>
                <w:div w:id="487400974">
                  <w:marLeft w:val="0"/>
                  <w:marRight w:val="0"/>
                  <w:marTop w:val="0"/>
                  <w:marBottom w:val="0"/>
                  <w:divBdr>
                    <w:top w:val="none" w:sz="0" w:space="0" w:color="auto"/>
                    <w:left w:val="none" w:sz="0" w:space="0" w:color="auto"/>
                    <w:bottom w:val="none" w:sz="0" w:space="0" w:color="auto"/>
                    <w:right w:val="none" w:sz="0" w:space="0" w:color="auto"/>
                  </w:divBdr>
                  <w:divsChild>
                    <w:div w:id="295986824">
                      <w:marLeft w:val="0"/>
                      <w:marRight w:val="0"/>
                      <w:marTop w:val="0"/>
                      <w:marBottom w:val="0"/>
                      <w:divBdr>
                        <w:top w:val="none" w:sz="0" w:space="0" w:color="auto"/>
                        <w:left w:val="none" w:sz="0" w:space="0" w:color="auto"/>
                        <w:bottom w:val="none" w:sz="0" w:space="0" w:color="auto"/>
                        <w:right w:val="none" w:sz="0" w:space="0" w:color="auto"/>
                      </w:divBdr>
                      <w:divsChild>
                        <w:div w:id="1077288445">
                          <w:marLeft w:val="0"/>
                          <w:marRight w:val="0"/>
                          <w:marTop w:val="90"/>
                          <w:marBottom w:val="0"/>
                          <w:divBdr>
                            <w:top w:val="none" w:sz="0" w:space="0" w:color="auto"/>
                            <w:left w:val="none" w:sz="0" w:space="0" w:color="auto"/>
                            <w:bottom w:val="none" w:sz="0" w:space="0" w:color="auto"/>
                            <w:right w:val="none" w:sz="0" w:space="0" w:color="auto"/>
                          </w:divBdr>
                          <w:divsChild>
                            <w:div w:id="1739867072">
                              <w:marLeft w:val="0"/>
                              <w:marRight w:val="0"/>
                              <w:marTop w:val="0"/>
                              <w:marBottom w:val="420"/>
                              <w:divBdr>
                                <w:top w:val="none" w:sz="0" w:space="0" w:color="auto"/>
                                <w:left w:val="none" w:sz="0" w:space="0" w:color="auto"/>
                                <w:bottom w:val="none" w:sz="0" w:space="0" w:color="auto"/>
                                <w:right w:val="none" w:sz="0" w:space="0" w:color="auto"/>
                              </w:divBdr>
                              <w:divsChild>
                                <w:div w:id="289171596">
                                  <w:marLeft w:val="0"/>
                                  <w:marRight w:val="0"/>
                                  <w:marTop w:val="0"/>
                                  <w:marBottom w:val="0"/>
                                  <w:divBdr>
                                    <w:top w:val="none" w:sz="0" w:space="0" w:color="auto"/>
                                    <w:left w:val="none" w:sz="0" w:space="0" w:color="auto"/>
                                    <w:bottom w:val="none" w:sz="0" w:space="0" w:color="auto"/>
                                    <w:right w:val="none" w:sz="0" w:space="0" w:color="auto"/>
                                  </w:divBdr>
                                  <w:divsChild>
                                    <w:div w:id="15904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4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commendations-from-the-independent-expert-advisory-group-on-the-use-of-paclitaxel-drug-coated-balloons-dcbs-and-drug-eluting-stents-dess-to-the" TargetMode="External"/><Relationship Id="rId18" Type="http://schemas.openxmlformats.org/officeDocument/2006/relationships/hyperlink" Target="http://www.legislation.gov.uk/ukpga/2000/36/cont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hajournals.org/doi/10.1161/JAHA.118.011245" TargetMode="External"/><Relationship Id="rId17" Type="http://schemas.openxmlformats.org/officeDocument/2006/relationships/hyperlink" Target="https://www.hcpc-uk.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mhra.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expert-advisory-group-set-up-to-review-paclitaxel-drug-coated-balloon-catheters-and-drug-eluting-stent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report-problem-medicine-medical-devic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rug-device-alerts/recommendations-for-ongoing-use-of-paclitaxel-drug-coated-balloons-dcbs-and-implantable-drug-eluting-stents-dess-in-the-treatment-of-patients-with-peripheral-artery-disease-pad-mda-2019-02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a55d5716-5364-4014-a861-90621a360ea9</TermId>
        </TermInfo>
      </Terms>
    </l4d76ba1ef02463e886f3558602d0a10>
    <TaxCatchAll xmlns="603af227-bd41-4012-ae1b-08ada9265a1f">
      <Value>3</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Regulatory" ma:contentTypeID="0x0101005DC155F682264648A38C2A02D853A29A0A00F3B3ABED09D33546B737E51D4C752D0C" ma:contentTypeVersion="11" ma:contentTypeDescription="The base content type for all Agency documents" ma:contentTypeScope="" ma:versionID="dae6396a55ad771882fe263ec6eeb75f">
  <xsd:schema xmlns:xsd="http://www.w3.org/2001/XMLSchema" xmlns:xs="http://www.w3.org/2001/XMLSchema" xmlns:p="http://schemas.microsoft.com/office/2006/metadata/properties" xmlns:ns2="603af227-bd41-4012-ae1b-08ada9265a1f" xmlns:ns3="5cc211e2-81ce-47a5-a6de-217125cc5980" xmlns:ns4="e65480ce-63c7-48d2-8175-fecbcdc31db9" targetNamespace="http://schemas.microsoft.com/office/2006/metadata/properties" ma:root="true" ma:fieldsID="7eb2b768eb6dc3997faa20fdeed9eb5a" ns2:_="" ns3:_="" ns4:_="">
    <xsd:import namespace="603af227-bd41-4012-ae1b-08ada9265a1f"/>
    <xsd:import namespace="5cc211e2-81ce-47a5-a6de-217125cc5980"/>
    <xsd:import namespace="e65480ce-63c7-48d2-8175-fecbcdc31db9"/>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3093795-7488-48FE-95F2-FDC85F387DE6}" ma:internalName="TaxCatchAll" ma:showField="CatchAllData"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093795-7488-48FE-95F2-FDC85F387DE6}" ma:internalName="TaxCatchAllLabel" ma:readOnly="true" ma:showField="CatchAllDataLabel"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3;#Official - Sensitive|a55d5716-5364-4014-a861-90621a360ea9"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211e2-81ce-47a5-a6de-217125cc598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480ce-63c7-48d2-8175-fecbcdc31db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4A0E-642F-47A7-88FA-0BE3487CC77B}">
  <ds:schemaRefs>
    <ds:schemaRef ds:uri="http://schemas.microsoft.com/office/2006/metadata/properties"/>
    <ds:schemaRef ds:uri="http://schemas.microsoft.com/office/infopath/2007/PartnerControls"/>
    <ds:schemaRef ds:uri="603af227-bd41-4012-ae1b-08ada9265a1f"/>
  </ds:schemaRefs>
</ds:datastoreItem>
</file>

<file path=customXml/itemProps2.xml><?xml version="1.0" encoding="utf-8"?>
<ds:datastoreItem xmlns:ds="http://schemas.openxmlformats.org/officeDocument/2006/customXml" ds:itemID="{ECA570F7-E7DE-4083-95E4-822AC3DEC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5cc211e2-81ce-47a5-a6de-217125cc5980"/>
    <ds:schemaRef ds:uri="e65480ce-63c7-48d2-8175-fecbcdc31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B2FEA-5902-4B7B-9683-771C30CCC88E}">
  <ds:schemaRefs>
    <ds:schemaRef ds:uri="http://schemas.microsoft.com/sharepoint/v3/contenttype/forms"/>
  </ds:schemaRefs>
</ds:datastoreItem>
</file>

<file path=customXml/itemProps4.xml><?xml version="1.0" encoding="utf-8"?>
<ds:datastoreItem xmlns:ds="http://schemas.openxmlformats.org/officeDocument/2006/customXml" ds:itemID="{9CD9A800-F5F5-4162-ADD5-EDC65D7F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Grace</dc:creator>
  <cp:keywords/>
  <dc:description/>
  <cp:lastModifiedBy>Norris, Fay</cp:lastModifiedBy>
  <cp:revision>5</cp:revision>
  <dcterms:created xsi:type="dcterms:W3CDTF">2021-03-03T16:32:00Z</dcterms:created>
  <dcterms:modified xsi:type="dcterms:W3CDTF">2021-03-05T11:15:00Z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0x0101005DC155F682264648A38C2A02D853A29A0A00F3B3ABED09D33546B737E51D4C752D0C</vt:lpwstr>
  </property>
  <property fmtid="{D5CDD505-2E9C-101B-9397-08002B2CF9AE}" pid="3" name="SecurityClassification">
    <vt:lpwstr>3;#Official - Sensitive|a55d5716-5364-4014-a861-90621a360ea9</vt:lpwstr>
  </property>
  <property fmtid="{D5CDD505-2E9C-101B-9397-08002B2CF9AE}" pid="4" name="AgencyKeywords">
    <vt:lpwstr/>
  </property>
</Properties>
</file>