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E86DC" w14:textId="5F553C09" w:rsidR="00DF3A98" w:rsidRPr="00DF3A98" w:rsidRDefault="00DF3A98">
      <w:pPr>
        <w:rPr>
          <w:b/>
          <w:sz w:val="20"/>
          <w:szCs w:val="20"/>
        </w:rPr>
      </w:pPr>
      <w:r w:rsidRPr="00DF3A98">
        <w:rPr>
          <w:b/>
          <w:sz w:val="20"/>
          <w:szCs w:val="20"/>
        </w:rPr>
        <w:t>Room G07</w:t>
      </w:r>
    </w:p>
    <w:p w14:paraId="46554561" w14:textId="26628D2C" w:rsidR="00DF3A98" w:rsidRPr="00DF3A98" w:rsidRDefault="00DF3A98">
      <w:pPr>
        <w:rPr>
          <w:b/>
          <w:sz w:val="20"/>
          <w:szCs w:val="20"/>
        </w:rPr>
      </w:pPr>
      <w:r w:rsidRPr="00DF3A98">
        <w:rPr>
          <w:rFonts w:eastAsia="Times New Roman"/>
          <w:noProof/>
          <w:sz w:val="20"/>
          <w:szCs w:val="20"/>
          <w:bdr w:val="none" w:sz="0" w:space="0" w:color="auto" w:frame="1"/>
        </w:rPr>
        <w:drawing>
          <wp:anchor distT="0" distB="0" distL="114300" distR="114300" simplePos="0" relativeHeight="251659264" behindDoc="1" locked="0" layoutInCell="1" allowOverlap="1" wp14:anchorId="6A28C4DA" wp14:editId="0518D9A9">
            <wp:simplePos x="0" y="0"/>
            <wp:positionH relativeFrom="column">
              <wp:posOffset>4078491</wp:posOffset>
            </wp:positionH>
            <wp:positionV relativeFrom="paragraph">
              <wp:posOffset>563</wp:posOffset>
            </wp:positionV>
            <wp:extent cx="1696720" cy="2194560"/>
            <wp:effectExtent l="0" t="0" r="5080" b="2540"/>
            <wp:wrapTight wrapText="bothSides">
              <wp:wrapPolygon edited="0">
                <wp:start x="0" y="0"/>
                <wp:lineTo x="0" y="21500"/>
                <wp:lineTo x="21503" y="21500"/>
                <wp:lineTo x="21503" y="0"/>
                <wp:lineTo x="0" y="0"/>
              </wp:wrapPolygon>
            </wp:wrapTight>
            <wp:docPr id="1" name="Picture 1" descr="https://lh6.googleusercontent.com/YZ8rOQodZMJQwCMSsylFqCDn6IU0M9wTkBo15mCjx0fUL-4h1hdCEgMXFKpXyRB6bB2PvAKe7_EvbG0xv43cZG3QWBV5_8kd93Hkigxl2qqEumyPsjX3AcyWYN_D8SngfeghXN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Z8rOQodZMJQwCMSsylFqCDn6IU0M9wTkBo15mCjx0fUL-4h1hdCEgMXFKpXyRB6bB2PvAKe7_EvbG0xv43cZG3QWBV5_8kd93Hkigxl2qqEumyPsjX3AcyWYN_D8SngfeghXN2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672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A98">
        <w:rPr>
          <w:b/>
          <w:sz w:val="20"/>
          <w:szCs w:val="20"/>
        </w:rPr>
        <w:t xml:space="preserve">1 Horse Guards Road </w:t>
      </w:r>
    </w:p>
    <w:p w14:paraId="29FC4E43" w14:textId="77777777" w:rsidR="00DF3A98" w:rsidRPr="00DF3A98" w:rsidRDefault="00DF3A98">
      <w:pPr>
        <w:rPr>
          <w:b/>
          <w:sz w:val="20"/>
          <w:szCs w:val="20"/>
        </w:rPr>
      </w:pPr>
      <w:r w:rsidRPr="00DF3A98">
        <w:rPr>
          <w:b/>
          <w:sz w:val="20"/>
          <w:szCs w:val="20"/>
        </w:rPr>
        <w:t>London</w:t>
      </w:r>
    </w:p>
    <w:p w14:paraId="79F69067" w14:textId="63ED0B65" w:rsidR="007B6302" w:rsidRPr="00DF3A98" w:rsidRDefault="00DF3A98">
      <w:pPr>
        <w:rPr>
          <w:b/>
          <w:sz w:val="20"/>
          <w:szCs w:val="20"/>
        </w:rPr>
      </w:pPr>
      <w:r w:rsidRPr="00DF3A98">
        <w:rPr>
          <w:b/>
          <w:sz w:val="20"/>
          <w:szCs w:val="20"/>
        </w:rPr>
        <w:t xml:space="preserve">SW1A 2HQ </w:t>
      </w:r>
    </w:p>
    <w:p w14:paraId="17DB11A3" w14:textId="4A405BED" w:rsidR="00DF3A98" w:rsidRPr="00DF3A98" w:rsidRDefault="00DF3A98">
      <w:pPr>
        <w:rPr>
          <w:b/>
          <w:sz w:val="20"/>
          <w:szCs w:val="20"/>
        </w:rPr>
      </w:pPr>
    </w:p>
    <w:p w14:paraId="5C4C445A" w14:textId="5F3E336C" w:rsidR="00DF3A98" w:rsidRDefault="00DF3A98">
      <w:pPr>
        <w:rPr>
          <w:b/>
          <w:sz w:val="20"/>
          <w:szCs w:val="20"/>
        </w:rPr>
      </w:pPr>
      <w:r w:rsidRPr="008A2117">
        <w:rPr>
          <w:b/>
          <w:sz w:val="20"/>
          <w:szCs w:val="20"/>
        </w:rPr>
        <w:t>Tel: 020 7271 2685</w:t>
      </w:r>
    </w:p>
    <w:p w14:paraId="22137867" w14:textId="43CAF600" w:rsidR="00DF3A98" w:rsidRPr="00DF3A98" w:rsidRDefault="00DF3A98">
      <w:pPr>
        <w:rPr>
          <w:b/>
          <w:sz w:val="20"/>
          <w:szCs w:val="20"/>
        </w:rPr>
      </w:pPr>
      <w:r w:rsidRPr="00DF3A98">
        <w:rPr>
          <w:b/>
          <w:sz w:val="20"/>
          <w:szCs w:val="20"/>
        </w:rPr>
        <w:t xml:space="preserve">Email: </w:t>
      </w:r>
      <w:hyperlink r:id="rId6" w:history="1">
        <w:r w:rsidRPr="00DF3A98">
          <w:rPr>
            <w:rStyle w:val="Hyperlink"/>
            <w:b/>
            <w:sz w:val="20"/>
            <w:szCs w:val="20"/>
          </w:rPr>
          <w:t>public@public-standards.gov.uk</w:t>
        </w:r>
      </w:hyperlink>
      <w:r w:rsidRPr="00DF3A98">
        <w:rPr>
          <w:b/>
          <w:sz w:val="20"/>
          <w:szCs w:val="20"/>
        </w:rPr>
        <w:t xml:space="preserve"> </w:t>
      </w:r>
    </w:p>
    <w:p w14:paraId="653C46B7" w14:textId="0A566E02" w:rsidR="007B6302" w:rsidRPr="00DF3A98" w:rsidRDefault="007B6302">
      <w:pPr>
        <w:rPr>
          <w:sz w:val="20"/>
          <w:szCs w:val="20"/>
        </w:rPr>
      </w:pPr>
    </w:p>
    <w:p w14:paraId="5EB6335E" w14:textId="77777777" w:rsidR="00DF3A98" w:rsidRPr="00DF3A98" w:rsidRDefault="00DF3A98">
      <w:pPr>
        <w:rPr>
          <w:b/>
          <w:sz w:val="20"/>
          <w:szCs w:val="20"/>
        </w:rPr>
      </w:pPr>
    </w:p>
    <w:p w14:paraId="65B9A513" w14:textId="77777777" w:rsidR="00DF3A98" w:rsidRPr="00DF3A98" w:rsidRDefault="00DF3A98">
      <w:pPr>
        <w:rPr>
          <w:b/>
          <w:sz w:val="20"/>
          <w:szCs w:val="20"/>
        </w:rPr>
      </w:pPr>
    </w:p>
    <w:p w14:paraId="4F0468DD" w14:textId="77777777" w:rsidR="00DF3A98" w:rsidRPr="00DF3A98" w:rsidRDefault="00DF3A98">
      <w:pPr>
        <w:rPr>
          <w:b/>
          <w:sz w:val="20"/>
          <w:szCs w:val="20"/>
        </w:rPr>
      </w:pPr>
    </w:p>
    <w:p w14:paraId="32E9053E" w14:textId="77777777" w:rsidR="00DF3A98" w:rsidRPr="00DF3A98" w:rsidRDefault="00DF3A98">
      <w:pPr>
        <w:rPr>
          <w:b/>
          <w:sz w:val="20"/>
          <w:szCs w:val="20"/>
        </w:rPr>
      </w:pPr>
    </w:p>
    <w:p w14:paraId="3E451AA1" w14:textId="77777777" w:rsidR="00AA5E0B" w:rsidRDefault="00AA5E0B" w:rsidP="00AA5E0B">
      <w:pPr>
        <w:rPr>
          <w:b/>
          <w:sz w:val="20"/>
          <w:szCs w:val="20"/>
        </w:rPr>
      </w:pPr>
    </w:p>
    <w:p w14:paraId="4117FB35" w14:textId="77777777" w:rsidR="00AA5E0B" w:rsidRDefault="00AA5E0B" w:rsidP="00AA5E0B">
      <w:pPr>
        <w:rPr>
          <w:b/>
          <w:sz w:val="20"/>
          <w:szCs w:val="20"/>
        </w:rPr>
      </w:pPr>
    </w:p>
    <w:p w14:paraId="1D843527" w14:textId="77777777" w:rsidR="00AA5E0B" w:rsidRDefault="00AA5E0B" w:rsidP="00AA5E0B">
      <w:pPr>
        <w:rPr>
          <w:b/>
          <w:sz w:val="20"/>
          <w:szCs w:val="20"/>
        </w:rPr>
      </w:pPr>
    </w:p>
    <w:p w14:paraId="7D76DD9E" w14:textId="500CFE4A" w:rsidR="00DF3A98" w:rsidRPr="00DF3A98" w:rsidRDefault="00DF3A98" w:rsidP="00AA5E0B">
      <w:pPr>
        <w:ind w:left="5760"/>
        <w:rPr>
          <w:b/>
          <w:sz w:val="20"/>
          <w:szCs w:val="20"/>
        </w:rPr>
      </w:pPr>
      <w:r>
        <w:rPr>
          <w:b/>
          <w:sz w:val="20"/>
          <w:szCs w:val="20"/>
        </w:rPr>
        <w:t xml:space="preserve"> </w:t>
      </w:r>
      <w:r w:rsidRPr="00DF3A98">
        <w:rPr>
          <w:b/>
          <w:sz w:val="20"/>
          <w:szCs w:val="20"/>
        </w:rPr>
        <w:t xml:space="preserve">Wednesday </w:t>
      </w:r>
      <w:r w:rsidR="00502CF6">
        <w:rPr>
          <w:b/>
          <w:sz w:val="20"/>
          <w:szCs w:val="20"/>
        </w:rPr>
        <w:t>25 November</w:t>
      </w:r>
      <w:r w:rsidRPr="00DF3A98">
        <w:rPr>
          <w:b/>
          <w:sz w:val="20"/>
          <w:szCs w:val="20"/>
        </w:rPr>
        <w:t xml:space="preserve"> 2020</w:t>
      </w:r>
    </w:p>
    <w:p w14:paraId="17097FAC" w14:textId="77777777" w:rsidR="00DF3A98" w:rsidRDefault="00DF3A98">
      <w:pPr>
        <w:rPr>
          <w:b/>
          <w:sz w:val="20"/>
          <w:szCs w:val="20"/>
        </w:rPr>
      </w:pPr>
    </w:p>
    <w:p w14:paraId="5471C2EF" w14:textId="4357B6B8" w:rsidR="007B6302" w:rsidRPr="00DF3A98" w:rsidRDefault="00293DB8">
      <w:pPr>
        <w:rPr>
          <w:b/>
          <w:sz w:val="20"/>
          <w:szCs w:val="20"/>
        </w:rPr>
      </w:pPr>
      <w:r w:rsidRPr="00DF3A98">
        <w:rPr>
          <w:b/>
          <w:sz w:val="20"/>
          <w:szCs w:val="20"/>
        </w:rPr>
        <w:t>FOR THE ATTENTION OF THE CHIEF EXECUTIVE</w:t>
      </w:r>
    </w:p>
    <w:p w14:paraId="2B501D3F" w14:textId="77777777" w:rsidR="007B6302" w:rsidRPr="00DF3A98" w:rsidRDefault="007B6302">
      <w:pPr>
        <w:rPr>
          <w:sz w:val="20"/>
          <w:szCs w:val="20"/>
        </w:rPr>
      </w:pPr>
    </w:p>
    <w:p w14:paraId="3B7ECC3C" w14:textId="77777777" w:rsidR="007B6302" w:rsidRPr="00DF3A98" w:rsidRDefault="00293DB8">
      <w:pPr>
        <w:rPr>
          <w:sz w:val="20"/>
          <w:szCs w:val="20"/>
        </w:rPr>
      </w:pPr>
      <w:r w:rsidRPr="00DF3A98">
        <w:rPr>
          <w:b/>
          <w:sz w:val="20"/>
          <w:szCs w:val="20"/>
        </w:rPr>
        <w:t>ARTIFICIAL INTELLIGENCE AND PUBLIC STANDARDS REPORT: REGULATORS SURVEY</w:t>
      </w:r>
    </w:p>
    <w:p w14:paraId="0A6DE52E" w14:textId="77777777" w:rsidR="007B6302" w:rsidRPr="00DF3A98" w:rsidRDefault="007B6302">
      <w:pPr>
        <w:rPr>
          <w:sz w:val="20"/>
          <w:szCs w:val="20"/>
        </w:rPr>
      </w:pPr>
    </w:p>
    <w:p w14:paraId="34FDBED9" w14:textId="77777777" w:rsidR="007B6302" w:rsidRPr="00DF3A98" w:rsidRDefault="00293DB8">
      <w:pPr>
        <w:rPr>
          <w:sz w:val="20"/>
          <w:szCs w:val="20"/>
        </w:rPr>
      </w:pPr>
      <w:r w:rsidRPr="00DF3A98">
        <w:rPr>
          <w:sz w:val="20"/>
          <w:szCs w:val="20"/>
        </w:rPr>
        <w:t xml:space="preserve">I am writing to draw your attention to the Committee’s recently published report on </w:t>
      </w:r>
      <w:hyperlink r:id="rId7">
        <w:r w:rsidRPr="00DF3A98">
          <w:rPr>
            <w:i/>
            <w:color w:val="1155CC"/>
            <w:sz w:val="20"/>
            <w:szCs w:val="20"/>
            <w:u w:val="single"/>
          </w:rPr>
          <w:t>AI and Public Standards</w:t>
        </w:r>
      </w:hyperlink>
      <w:r w:rsidRPr="00DF3A98">
        <w:rPr>
          <w:sz w:val="20"/>
          <w:szCs w:val="20"/>
        </w:rPr>
        <w:t>, which sets out steps to ensure that high standards of public service are upheld as AI is adopted more widely across the public sector.</w:t>
      </w:r>
    </w:p>
    <w:p w14:paraId="058F59F6" w14:textId="77777777" w:rsidR="007B6302" w:rsidRPr="00DF3A98" w:rsidRDefault="007B6302">
      <w:pPr>
        <w:rPr>
          <w:sz w:val="20"/>
          <w:szCs w:val="20"/>
        </w:rPr>
      </w:pPr>
    </w:p>
    <w:p w14:paraId="677ADEA6" w14:textId="77777777" w:rsidR="007B6302" w:rsidRPr="00DF3A98" w:rsidRDefault="00293DB8">
      <w:pPr>
        <w:rPr>
          <w:sz w:val="20"/>
          <w:szCs w:val="20"/>
        </w:rPr>
      </w:pPr>
      <w:r w:rsidRPr="00DF3A98">
        <w:rPr>
          <w:sz w:val="20"/>
          <w:szCs w:val="20"/>
        </w:rPr>
        <w:t>It is our view that technology has the potential to revolutionise the delivery of public services, creating an opportunity for more innovative and efficient public service delivery. But it is the way that technology is used and governed that will determine this. There are high profile risks if things go wrong and there is clear, recent evidence that not all current practice is sufficiently robust.</w:t>
      </w:r>
    </w:p>
    <w:p w14:paraId="6FBC6D8E" w14:textId="77777777" w:rsidR="007B6302" w:rsidRPr="00DF3A98" w:rsidRDefault="007B6302">
      <w:pPr>
        <w:rPr>
          <w:sz w:val="20"/>
          <w:szCs w:val="20"/>
        </w:rPr>
      </w:pPr>
    </w:p>
    <w:p w14:paraId="2AC3C5F7" w14:textId="77777777" w:rsidR="007B6302" w:rsidRPr="00DF3A98" w:rsidRDefault="00293DB8">
      <w:pPr>
        <w:rPr>
          <w:sz w:val="20"/>
          <w:szCs w:val="20"/>
        </w:rPr>
      </w:pPr>
      <w:r w:rsidRPr="00DF3A98">
        <w:rPr>
          <w:sz w:val="20"/>
          <w:szCs w:val="20"/>
        </w:rPr>
        <w:t>As part of our follow up work, the Committee would like to understand better how existing regulators are adapting to the challenges posed by AI. Our research found that successful AI governance is a matter of clear regulation and proper controls for managing and mitigating risk. To that end, all regulators should consider and respond to the impact of AI in the fields for which they have responsibility.</w:t>
      </w:r>
    </w:p>
    <w:p w14:paraId="338E656E" w14:textId="77777777" w:rsidR="007B6302" w:rsidRPr="00DF3A98" w:rsidRDefault="007B6302">
      <w:pPr>
        <w:rPr>
          <w:sz w:val="20"/>
          <w:szCs w:val="20"/>
        </w:rPr>
      </w:pPr>
    </w:p>
    <w:p w14:paraId="78D5F87C" w14:textId="0960F074" w:rsidR="007B6302" w:rsidRPr="00DF3A98" w:rsidRDefault="00293DB8">
      <w:pPr>
        <w:rPr>
          <w:sz w:val="20"/>
          <w:szCs w:val="20"/>
        </w:rPr>
      </w:pPr>
      <w:r w:rsidRPr="00DF3A98">
        <w:rPr>
          <w:sz w:val="20"/>
          <w:szCs w:val="20"/>
        </w:rPr>
        <w:t xml:space="preserve">I would be grateful therefore if you, or an appropriate representative from your organisation, would complete the attached brief progress update by </w:t>
      </w:r>
      <w:r w:rsidR="00502CF6">
        <w:rPr>
          <w:b/>
          <w:sz w:val="20"/>
          <w:szCs w:val="20"/>
        </w:rPr>
        <w:t xml:space="preserve">10 December </w:t>
      </w:r>
      <w:r w:rsidRPr="00DF3A98">
        <w:rPr>
          <w:b/>
          <w:sz w:val="20"/>
          <w:szCs w:val="20"/>
        </w:rPr>
        <w:t>2020</w:t>
      </w:r>
      <w:r w:rsidRPr="00DF3A98">
        <w:rPr>
          <w:sz w:val="20"/>
          <w:szCs w:val="20"/>
        </w:rPr>
        <w:t xml:space="preserve"> and return it by email to </w:t>
      </w:r>
      <w:hyperlink r:id="rId8">
        <w:r w:rsidRPr="00DF3A98">
          <w:rPr>
            <w:color w:val="1155CC"/>
            <w:sz w:val="20"/>
            <w:szCs w:val="20"/>
            <w:u w:val="single"/>
          </w:rPr>
          <w:t>public@public-standards.gov.uk</w:t>
        </w:r>
      </w:hyperlink>
      <w:r w:rsidRPr="00DF3A98">
        <w:rPr>
          <w:sz w:val="20"/>
          <w:szCs w:val="20"/>
        </w:rPr>
        <w:t xml:space="preserve">. </w:t>
      </w:r>
    </w:p>
    <w:p w14:paraId="43AAB0D9" w14:textId="77777777" w:rsidR="007B6302" w:rsidRPr="00DF3A98" w:rsidRDefault="007B6302">
      <w:pPr>
        <w:rPr>
          <w:sz w:val="20"/>
          <w:szCs w:val="20"/>
        </w:rPr>
      </w:pPr>
    </w:p>
    <w:p w14:paraId="064F3BCB" w14:textId="77777777" w:rsidR="007B6302" w:rsidRPr="00DF3A98" w:rsidRDefault="00293DB8">
      <w:pPr>
        <w:rPr>
          <w:sz w:val="20"/>
          <w:szCs w:val="20"/>
        </w:rPr>
      </w:pPr>
      <w:r w:rsidRPr="00DF3A98">
        <w:rPr>
          <w:sz w:val="20"/>
          <w:szCs w:val="20"/>
        </w:rPr>
        <w:t>If you have any questions about this piece of work, please do not hesitate to contact my Secretariat who will be happy to assist you.</w:t>
      </w:r>
    </w:p>
    <w:p w14:paraId="28B58EC0" w14:textId="77777777" w:rsidR="007B6302" w:rsidRPr="00DF3A98" w:rsidRDefault="007B6302">
      <w:pPr>
        <w:rPr>
          <w:sz w:val="20"/>
          <w:szCs w:val="20"/>
        </w:rPr>
      </w:pPr>
    </w:p>
    <w:p w14:paraId="58321179" w14:textId="77777777" w:rsidR="007B6302" w:rsidRPr="00DF3A98" w:rsidRDefault="00293DB8">
      <w:pPr>
        <w:rPr>
          <w:sz w:val="20"/>
          <w:szCs w:val="20"/>
        </w:rPr>
      </w:pPr>
      <w:r w:rsidRPr="00DF3A98">
        <w:rPr>
          <w:sz w:val="20"/>
          <w:szCs w:val="20"/>
        </w:rPr>
        <w:t xml:space="preserve">Yours sincerely, </w:t>
      </w:r>
    </w:p>
    <w:p w14:paraId="74E6BC21" w14:textId="7D2BB4DA" w:rsidR="007B6302" w:rsidRPr="00DF3A98" w:rsidRDefault="00293DB8">
      <w:pPr>
        <w:rPr>
          <w:sz w:val="20"/>
          <w:szCs w:val="20"/>
        </w:rPr>
      </w:pPr>
      <w:r w:rsidRPr="00DF3A98">
        <w:rPr>
          <w:sz w:val="20"/>
          <w:szCs w:val="20"/>
        </w:rPr>
        <w:t xml:space="preserve">Lord Evans of Weardale, KCB DL </w:t>
      </w:r>
    </w:p>
    <w:p w14:paraId="10C6068F" w14:textId="17F65D11" w:rsidR="00DF3A98" w:rsidRPr="00DF3A98" w:rsidRDefault="00DF3A98">
      <w:pPr>
        <w:rPr>
          <w:sz w:val="20"/>
          <w:szCs w:val="20"/>
        </w:rPr>
      </w:pPr>
      <w:r w:rsidRPr="00DF3A98">
        <w:rPr>
          <w:rFonts w:eastAsia="Poppins"/>
          <w:noProof/>
          <w:sz w:val="20"/>
          <w:szCs w:val="20"/>
        </w:rPr>
        <w:drawing>
          <wp:inline distT="114300" distB="114300" distL="114300" distR="114300" wp14:anchorId="615D02BB" wp14:editId="483EAA8E">
            <wp:extent cx="1785938" cy="4603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85938" cy="460375"/>
                    </a:xfrm>
                    <a:prstGeom prst="rect">
                      <a:avLst/>
                    </a:prstGeom>
                    <a:ln/>
                  </pic:spPr>
                </pic:pic>
              </a:graphicData>
            </a:graphic>
          </wp:inline>
        </w:drawing>
      </w:r>
    </w:p>
    <w:p w14:paraId="52CC3DD1" w14:textId="77777777" w:rsidR="007B6302" w:rsidRPr="00DF3A98" w:rsidRDefault="00293DB8">
      <w:pPr>
        <w:rPr>
          <w:b/>
          <w:sz w:val="20"/>
          <w:szCs w:val="20"/>
        </w:rPr>
      </w:pPr>
      <w:r w:rsidRPr="00DF3A98">
        <w:rPr>
          <w:b/>
          <w:sz w:val="20"/>
          <w:szCs w:val="20"/>
        </w:rPr>
        <w:t>Chair, Committee on Standards in Public Life</w:t>
      </w:r>
    </w:p>
    <w:p w14:paraId="006C5046" w14:textId="77777777" w:rsidR="007B6302" w:rsidRPr="00DF3A98" w:rsidRDefault="007B6302">
      <w:pPr>
        <w:rPr>
          <w:sz w:val="20"/>
          <w:szCs w:val="20"/>
        </w:rPr>
      </w:pPr>
    </w:p>
    <w:p w14:paraId="56503CA2" w14:textId="77777777" w:rsidR="007B6302" w:rsidRPr="00DF3A98" w:rsidRDefault="007B6302">
      <w:pPr>
        <w:rPr>
          <w:sz w:val="20"/>
          <w:szCs w:val="20"/>
        </w:rPr>
      </w:pPr>
    </w:p>
    <w:p w14:paraId="5F32FD53" w14:textId="77777777" w:rsidR="007B6302" w:rsidRPr="00DF3A98" w:rsidRDefault="007B6302">
      <w:pPr>
        <w:rPr>
          <w:sz w:val="20"/>
          <w:szCs w:val="20"/>
        </w:rPr>
      </w:pPr>
    </w:p>
    <w:p w14:paraId="422D42BA" w14:textId="77777777" w:rsidR="007B6302" w:rsidRPr="00DF3A98" w:rsidRDefault="007B6302">
      <w:pPr>
        <w:rPr>
          <w:b/>
          <w:sz w:val="20"/>
          <w:szCs w:val="20"/>
        </w:rPr>
      </w:pPr>
    </w:p>
    <w:p w14:paraId="5C3FCA94" w14:textId="451FCF76" w:rsidR="007B6302" w:rsidRPr="00DF3A98" w:rsidRDefault="00DF3A98">
      <w:pPr>
        <w:rPr>
          <w:b/>
          <w:sz w:val="20"/>
          <w:szCs w:val="20"/>
        </w:rPr>
      </w:pPr>
      <w:r>
        <w:rPr>
          <w:b/>
          <w:sz w:val="20"/>
          <w:szCs w:val="20"/>
        </w:rPr>
        <w:lastRenderedPageBreak/>
        <w:t xml:space="preserve">REGULATOR </w:t>
      </w:r>
      <w:r w:rsidR="00362DB0">
        <w:rPr>
          <w:b/>
          <w:sz w:val="20"/>
          <w:szCs w:val="20"/>
        </w:rPr>
        <w:t>QUESTIONS</w:t>
      </w:r>
    </w:p>
    <w:p w14:paraId="66DFC850" w14:textId="77777777" w:rsidR="007B6302" w:rsidRPr="00DF3A98" w:rsidRDefault="007B6302">
      <w:pPr>
        <w:rPr>
          <w:sz w:val="20"/>
          <w:szCs w:val="20"/>
        </w:rPr>
      </w:pPr>
    </w:p>
    <w:p w14:paraId="32149D40" w14:textId="77777777" w:rsidR="007B6302" w:rsidRPr="00DF3A98" w:rsidRDefault="00293DB8">
      <w:pPr>
        <w:rPr>
          <w:sz w:val="20"/>
          <w:szCs w:val="20"/>
        </w:rPr>
      </w:pPr>
      <w:r w:rsidRPr="00DF3A98">
        <w:rPr>
          <w:sz w:val="20"/>
          <w:szCs w:val="20"/>
        </w:rPr>
        <w:t xml:space="preserve">Name of organisation: </w:t>
      </w:r>
    </w:p>
    <w:p w14:paraId="5BE16136" w14:textId="77777777" w:rsidR="007B6302" w:rsidRPr="00DF3A98" w:rsidRDefault="00293DB8">
      <w:pPr>
        <w:rPr>
          <w:sz w:val="20"/>
          <w:szCs w:val="20"/>
        </w:rPr>
      </w:pPr>
      <w:r w:rsidRPr="00DF3A98">
        <w:rPr>
          <w:sz w:val="20"/>
          <w:szCs w:val="20"/>
        </w:rPr>
        <w:t xml:space="preserve">Name and contact details of respondee: </w:t>
      </w:r>
    </w:p>
    <w:p w14:paraId="705B40F6" w14:textId="77777777" w:rsidR="007B6302" w:rsidRPr="00DF3A98" w:rsidRDefault="00293DB8">
      <w:pPr>
        <w:rPr>
          <w:sz w:val="20"/>
          <w:szCs w:val="20"/>
        </w:rPr>
      </w:pPr>
      <w:r w:rsidRPr="00DF3A98">
        <w:rPr>
          <w:sz w:val="20"/>
          <w:szCs w:val="20"/>
        </w:rPr>
        <w:t>Role of respondee:</w:t>
      </w:r>
    </w:p>
    <w:p w14:paraId="77D8103B" w14:textId="77777777" w:rsidR="007B6302" w:rsidRPr="00DF3A98" w:rsidRDefault="007B6302">
      <w:pPr>
        <w:rPr>
          <w:b/>
          <w:sz w:val="20"/>
          <w:szCs w:val="20"/>
        </w:rPr>
      </w:pPr>
    </w:p>
    <w:p w14:paraId="36F392CF" w14:textId="77777777" w:rsidR="007B6302" w:rsidRPr="00DF3A98" w:rsidRDefault="00293DB8">
      <w:pPr>
        <w:rPr>
          <w:b/>
          <w:sz w:val="20"/>
          <w:szCs w:val="20"/>
        </w:rPr>
      </w:pPr>
      <w:r w:rsidRPr="00DF3A98">
        <w:rPr>
          <w:b/>
          <w:sz w:val="20"/>
          <w:szCs w:val="20"/>
        </w:rPr>
        <w:t>Our report on AI and public standards did not recommend the creation of a specific AI regulator, but recommended that all existing regulators should consider and respond to the regulatory requirements and impact of the growing use of AI in the fields for which they have responsibility.</w:t>
      </w:r>
    </w:p>
    <w:p w14:paraId="3953CDEA" w14:textId="77777777" w:rsidR="007B6302" w:rsidRPr="00DF3A98" w:rsidRDefault="007B6302">
      <w:pPr>
        <w:rPr>
          <w:sz w:val="20"/>
          <w:szCs w:val="20"/>
          <w:highlight w:val="yellow"/>
        </w:rPr>
      </w:pPr>
    </w:p>
    <w:p w14:paraId="5F0F651E" w14:textId="77777777" w:rsidR="007B6302" w:rsidRPr="00DF3A98" w:rsidRDefault="00293DB8">
      <w:pPr>
        <w:rPr>
          <w:sz w:val="20"/>
          <w:szCs w:val="20"/>
        </w:rPr>
      </w:pPr>
      <w:r w:rsidRPr="00DF3A98">
        <w:rPr>
          <w:sz w:val="20"/>
          <w:szCs w:val="20"/>
        </w:rPr>
        <w:t xml:space="preserve">1. Do you know where to go for guidance and advice on the use of AI in the public sector (yes or no)? If yes, please provide details. </w:t>
      </w:r>
    </w:p>
    <w:p w14:paraId="6CA72B4E" w14:textId="77777777" w:rsidR="007B6302" w:rsidRPr="00DF3A98" w:rsidRDefault="007B6302">
      <w:pPr>
        <w:rPr>
          <w:sz w:val="20"/>
          <w:szCs w:val="20"/>
        </w:rPr>
      </w:pPr>
    </w:p>
    <w:p w14:paraId="64352F64" w14:textId="77777777" w:rsidR="007B6302" w:rsidRPr="00DF3A98" w:rsidRDefault="007B6302">
      <w:pPr>
        <w:rPr>
          <w:sz w:val="20"/>
          <w:szCs w:val="20"/>
        </w:rPr>
      </w:pPr>
    </w:p>
    <w:p w14:paraId="67680A6F" w14:textId="77777777" w:rsidR="007B6302" w:rsidRPr="00DF3A98" w:rsidRDefault="00293DB8">
      <w:pPr>
        <w:rPr>
          <w:sz w:val="20"/>
          <w:szCs w:val="20"/>
        </w:rPr>
      </w:pPr>
      <w:r w:rsidRPr="00DF3A98">
        <w:rPr>
          <w:sz w:val="20"/>
          <w:szCs w:val="20"/>
        </w:rPr>
        <w:t>2. To what extent are you ensuring that you are equipped to deal with the regulatory challenges posed by AI technology? How are you adapting your practices accordingly?</w:t>
      </w:r>
    </w:p>
    <w:p w14:paraId="1D652EE0" w14:textId="77777777" w:rsidR="007B6302" w:rsidRPr="00DF3A98" w:rsidRDefault="007B6302">
      <w:pPr>
        <w:rPr>
          <w:sz w:val="20"/>
          <w:szCs w:val="20"/>
        </w:rPr>
      </w:pPr>
    </w:p>
    <w:p w14:paraId="4DC40617" w14:textId="77777777" w:rsidR="007B6302" w:rsidRPr="00DF3A98" w:rsidRDefault="007B6302">
      <w:pPr>
        <w:rPr>
          <w:sz w:val="20"/>
          <w:szCs w:val="20"/>
        </w:rPr>
      </w:pPr>
    </w:p>
    <w:p w14:paraId="742A7B77" w14:textId="77777777" w:rsidR="007B6302" w:rsidRPr="00DF3A98" w:rsidRDefault="00293DB8">
      <w:pPr>
        <w:rPr>
          <w:sz w:val="20"/>
          <w:szCs w:val="20"/>
        </w:rPr>
      </w:pPr>
      <w:r w:rsidRPr="00DF3A98">
        <w:rPr>
          <w:sz w:val="20"/>
          <w:szCs w:val="20"/>
        </w:rPr>
        <w:t xml:space="preserve">3. To what extent are you ensuring that the bodies for which you have responsibility have in place robust controls and mechanisms for mitigating potential risks associated with AI? </w:t>
      </w:r>
    </w:p>
    <w:p w14:paraId="1CCF7FA4" w14:textId="77777777" w:rsidR="007B6302" w:rsidRPr="00DF3A98" w:rsidRDefault="007B6302">
      <w:pPr>
        <w:rPr>
          <w:sz w:val="20"/>
          <w:szCs w:val="20"/>
        </w:rPr>
      </w:pPr>
    </w:p>
    <w:p w14:paraId="5F607059" w14:textId="77777777" w:rsidR="007B6302" w:rsidRPr="00DF3A98" w:rsidRDefault="00293DB8">
      <w:pPr>
        <w:rPr>
          <w:sz w:val="20"/>
          <w:szCs w:val="20"/>
        </w:rPr>
      </w:pPr>
      <w:r w:rsidRPr="00DF3A98">
        <w:rPr>
          <w:sz w:val="20"/>
          <w:szCs w:val="20"/>
        </w:rPr>
        <w:t xml:space="preserve">For example, ensuring that bodies for which you have responsibility are: </w:t>
      </w:r>
    </w:p>
    <w:p w14:paraId="11C2E1E6" w14:textId="77777777" w:rsidR="007B6302" w:rsidRPr="00DF3A98" w:rsidRDefault="007B6302">
      <w:pPr>
        <w:rPr>
          <w:sz w:val="20"/>
          <w:szCs w:val="20"/>
        </w:rPr>
      </w:pPr>
    </w:p>
    <w:p w14:paraId="7C60E6AE" w14:textId="370EA4FA" w:rsidR="007B6302" w:rsidRPr="00DF3A98" w:rsidRDefault="00293DB8">
      <w:pPr>
        <w:numPr>
          <w:ilvl w:val="0"/>
          <w:numId w:val="1"/>
        </w:numPr>
        <w:rPr>
          <w:sz w:val="20"/>
          <w:szCs w:val="20"/>
        </w:rPr>
      </w:pPr>
      <w:r w:rsidRPr="00DF3A98">
        <w:rPr>
          <w:sz w:val="20"/>
          <w:szCs w:val="20"/>
        </w:rPr>
        <w:t xml:space="preserve">using AI in ways that are legal and legitimate – </w:t>
      </w:r>
      <w:r w:rsidR="00362DB0" w:rsidRPr="00DF3A98">
        <w:rPr>
          <w:sz w:val="20"/>
          <w:szCs w:val="20"/>
        </w:rPr>
        <w:t>i.e.</w:t>
      </w:r>
      <w:r w:rsidRPr="00DF3A98">
        <w:rPr>
          <w:sz w:val="20"/>
          <w:szCs w:val="20"/>
        </w:rPr>
        <w:t xml:space="preserve"> is the use of AI justified and does it comply with relevant laws and </w:t>
      </w:r>
      <w:proofErr w:type="gramStart"/>
      <w:r w:rsidR="00362DB0" w:rsidRPr="00DF3A98">
        <w:rPr>
          <w:sz w:val="20"/>
          <w:szCs w:val="20"/>
        </w:rPr>
        <w:t>regulations?</w:t>
      </w:r>
      <w:r w:rsidR="00362DB0">
        <w:rPr>
          <w:sz w:val="20"/>
          <w:szCs w:val="20"/>
        </w:rPr>
        <w:t>;</w:t>
      </w:r>
      <w:proofErr w:type="gramEnd"/>
    </w:p>
    <w:p w14:paraId="2C7E8EE8" w14:textId="321F2C16" w:rsidR="007B6302" w:rsidRPr="00DF3A98" w:rsidRDefault="00293DB8">
      <w:pPr>
        <w:numPr>
          <w:ilvl w:val="0"/>
          <w:numId w:val="1"/>
        </w:numPr>
        <w:rPr>
          <w:sz w:val="20"/>
          <w:szCs w:val="20"/>
        </w:rPr>
      </w:pPr>
      <w:r w:rsidRPr="00DF3A98">
        <w:rPr>
          <w:sz w:val="20"/>
          <w:szCs w:val="20"/>
        </w:rPr>
        <w:t>setting clear responsibility for the use of AI – establishing who is responsible for which part of the AI system/process and where overall accountability lies (</w:t>
      </w:r>
      <w:r w:rsidR="00362DB0" w:rsidRPr="00DF3A98">
        <w:rPr>
          <w:sz w:val="20"/>
          <w:szCs w:val="20"/>
        </w:rPr>
        <w:t>i.e.</w:t>
      </w:r>
      <w:r w:rsidRPr="00DF3A98">
        <w:rPr>
          <w:sz w:val="20"/>
          <w:szCs w:val="20"/>
        </w:rPr>
        <w:t xml:space="preserve"> senior leadership)</w:t>
      </w:r>
      <w:r w:rsidR="00362DB0">
        <w:rPr>
          <w:sz w:val="20"/>
          <w:szCs w:val="20"/>
        </w:rPr>
        <w:t>;</w:t>
      </w:r>
    </w:p>
    <w:p w14:paraId="0E3D3120" w14:textId="77777777" w:rsidR="007B6302" w:rsidRPr="00DF3A98" w:rsidRDefault="00293DB8">
      <w:pPr>
        <w:numPr>
          <w:ilvl w:val="0"/>
          <w:numId w:val="1"/>
        </w:numPr>
        <w:rPr>
          <w:sz w:val="20"/>
          <w:szCs w:val="20"/>
        </w:rPr>
      </w:pPr>
      <w:r w:rsidRPr="00DF3A98">
        <w:rPr>
          <w:sz w:val="20"/>
          <w:szCs w:val="20"/>
        </w:rPr>
        <w:t>establishing monitoring systems and processes to identify and evaluate issues relating to the performance of the technology;</w:t>
      </w:r>
    </w:p>
    <w:p w14:paraId="5C92601B" w14:textId="77777777" w:rsidR="007B6302" w:rsidRPr="00DF3A98" w:rsidRDefault="00293DB8">
      <w:pPr>
        <w:numPr>
          <w:ilvl w:val="0"/>
          <w:numId w:val="1"/>
        </w:numPr>
        <w:rPr>
          <w:sz w:val="20"/>
          <w:szCs w:val="20"/>
        </w:rPr>
      </w:pPr>
      <w:r w:rsidRPr="00DF3A98">
        <w:rPr>
          <w:sz w:val="20"/>
          <w:szCs w:val="20"/>
        </w:rPr>
        <w:t>establishing proper oversight mechanisms for the use of AI;</w:t>
      </w:r>
    </w:p>
    <w:p w14:paraId="767DD096" w14:textId="77777777" w:rsidR="007B6302" w:rsidRPr="00DF3A98" w:rsidRDefault="00293DB8">
      <w:pPr>
        <w:numPr>
          <w:ilvl w:val="0"/>
          <w:numId w:val="1"/>
        </w:numPr>
        <w:rPr>
          <w:sz w:val="20"/>
          <w:szCs w:val="20"/>
        </w:rPr>
      </w:pPr>
      <w:r w:rsidRPr="00DF3A98">
        <w:rPr>
          <w:sz w:val="20"/>
          <w:szCs w:val="20"/>
        </w:rPr>
        <w:t xml:space="preserve">enabling members of the public to challenge decisions and seek redress using procedures that are fair and transparent, whether AI is used or not. </w:t>
      </w:r>
    </w:p>
    <w:p w14:paraId="53B7F018" w14:textId="77777777" w:rsidR="007B6302" w:rsidRPr="00DF3A98" w:rsidRDefault="007B6302">
      <w:pPr>
        <w:rPr>
          <w:sz w:val="20"/>
          <w:szCs w:val="20"/>
        </w:rPr>
      </w:pPr>
    </w:p>
    <w:p w14:paraId="5282AE3F" w14:textId="77777777" w:rsidR="007B6302" w:rsidRPr="00DF3A98" w:rsidRDefault="007B6302">
      <w:pPr>
        <w:rPr>
          <w:sz w:val="20"/>
          <w:szCs w:val="20"/>
        </w:rPr>
      </w:pPr>
    </w:p>
    <w:p w14:paraId="617B5B78" w14:textId="77777777" w:rsidR="007B6302" w:rsidRPr="00DF3A98" w:rsidRDefault="007B6302">
      <w:pPr>
        <w:rPr>
          <w:sz w:val="20"/>
          <w:szCs w:val="20"/>
        </w:rPr>
      </w:pPr>
      <w:bookmarkStart w:id="0" w:name="_GoBack"/>
      <w:bookmarkEnd w:id="0"/>
    </w:p>
    <w:sectPr w:rsidR="007B6302" w:rsidRPr="00DF3A9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E11B9"/>
    <w:multiLevelType w:val="multilevel"/>
    <w:tmpl w:val="15526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02"/>
    <w:rsid w:val="00293DB8"/>
    <w:rsid w:val="00362DB0"/>
    <w:rsid w:val="00502CF6"/>
    <w:rsid w:val="007B6302"/>
    <w:rsid w:val="00AA5E0B"/>
    <w:rsid w:val="00BA6BB6"/>
    <w:rsid w:val="00DF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8241CB"/>
  <w15:docId w15:val="{C7ABD0BC-DDEB-6C49-9929-5C6255D7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F3A98"/>
    <w:rPr>
      <w:color w:val="0000FF" w:themeColor="hyperlink"/>
      <w:u w:val="single"/>
    </w:rPr>
  </w:style>
  <w:style w:type="character" w:styleId="UnresolvedMention">
    <w:name w:val="Unresolved Mention"/>
    <w:basedOn w:val="DefaultParagraphFont"/>
    <w:uiPriority w:val="99"/>
    <w:semiHidden/>
    <w:unhideWhenUsed/>
    <w:rsid w:val="00DF3A98"/>
    <w:rPr>
      <w:color w:val="605E5C"/>
      <w:shd w:val="clear" w:color="auto" w:fill="E1DFDD"/>
    </w:rPr>
  </w:style>
  <w:style w:type="character" w:styleId="FollowedHyperlink">
    <w:name w:val="FollowedHyperlink"/>
    <w:basedOn w:val="DefaultParagraphFont"/>
    <w:uiPriority w:val="99"/>
    <w:semiHidden/>
    <w:unhideWhenUsed/>
    <w:rsid w:val="00DF3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ublic@public-standards.gov.u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68284/Web_Version_AI_and_Public_Stand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public-standards.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2021-01-27T14:36:00Z</dcterms:created>
  <dcterms:modified xsi:type="dcterms:W3CDTF">2021-01-27T14:36:00Z</dcterms:modified>
</cp:coreProperties>
</file>