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1799E" w14:textId="129831FC" w:rsidR="0005554D" w:rsidRPr="0005554D" w:rsidRDefault="0005554D" w:rsidP="0005554D">
      <w:pPr>
        <w:pStyle w:val="Title"/>
        <w:rPr>
          <w:sz w:val="52"/>
        </w:rPr>
      </w:pPr>
      <w:r>
        <w:rPr>
          <w:noProof/>
          <w:sz w:val="52"/>
        </w:rPr>
        <w:drawing>
          <wp:anchor distT="0" distB="0" distL="114300" distR="114300" simplePos="0" relativeHeight="251658240" behindDoc="1" locked="0" layoutInCell="1" allowOverlap="1" wp14:anchorId="6972B32F" wp14:editId="185ABAA7">
            <wp:simplePos x="0" y="0"/>
            <wp:positionH relativeFrom="column">
              <wp:posOffset>4080510</wp:posOffset>
            </wp:positionH>
            <wp:positionV relativeFrom="paragraph">
              <wp:posOffset>-2540</wp:posOffset>
            </wp:positionV>
            <wp:extent cx="1962785" cy="9086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785" cy="908685"/>
                    </a:xfrm>
                    <a:prstGeom prst="rect">
                      <a:avLst/>
                    </a:prstGeom>
                    <a:noFill/>
                  </pic:spPr>
                </pic:pic>
              </a:graphicData>
            </a:graphic>
            <wp14:sizeRelH relativeFrom="page">
              <wp14:pctWidth>0</wp14:pctWidth>
            </wp14:sizeRelH>
            <wp14:sizeRelV relativeFrom="page">
              <wp14:pctHeight>0</wp14:pctHeight>
            </wp14:sizeRelV>
          </wp:anchor>
        </w:drawing>
      </w:r>
      <w:r w:rsidRPr="0005554D">
        <w:rPr>
          <w:sz w:val="52"/>
        </w:rPr>
        <w:t xml:space="preserve">Governance and Assurance </w:t>
      </w:r>
    </w:p>
    <w:p w14:paraId="18CE9574" w14:textId="13E3E063" w:rsidR="00545B6C" w:rsidRPr="0005554D" w:rsidRDefault="0005554D" w:rsidP="0005554D">
      <w:pPr>
        <w:pStyle w:val="Title"/>
        <w:rPr>
          <w:sz w:val="52"/>
        </w:rPr>
      </w:pPr>
      <w:r w:rsidRPr="0005554D">
        <w:rPr>
          <w:sz w:val="52"/>
        </w:rPr>
        <w:t>(HM Courts &amp; Tribunals Service)</w:t>
      </w:r>
    </w:p>
    <w:p w14:paraId="4848496C" w14:textId="006B4D2C" w:rsidR="00B91315" w:rsidRPr="0005554D" w:rsidRDefault="00E66A89" w:rsidP="00AD05F3">
      <w:pPr>
        <w:pStyle w:val="Subtitle"/>
        <w:rPr>
          <w:sz w:val="40"/>
        </w:rPr>
      </w:pPr>
      <w:r w:rsidRPr="0005554D">
        <w:rPr>
          <w:sz w:val="40"/>
        </w:rPr>
        <w:t>Records Retention and Disposition Schedule</w:t>
      </w:r>
    </w:p>
    <w:p w14:paraId="12959C9B" w14:textId="77777777" w:rsidR="00E66A89" w:rsidRDefault="00E66A89" w:rsidP="00E66A89">
      <w:pPr>
        <w:pStyle w:val="Heading2"/>
      </w:pPr>
      <w:bookmarkStart w:id="0" w:name="_Toc6321028"/>
      <w:r w:rsidRPr="00E66A89">
        <w:t>Introduction</w:t>
      </w:r>
    </w:p>
    <w:bookmarkEnd w:id="0"/>
    <w:p w14:paraId="036F2DAD" w14:textId="42A77606" w:rsidR="00E66A89" w:rsidRPr="00E66A89" w:rsidRDefault="00D12245" w:rsidP="00D12245">
      <w:pPr>
        <w:numPr>
          <w:ilvl w:val="0"/>
          <w:numId w:val="6"/>
        </w:numPr>
        <w:spacing w:after="0" w:line="240" w:lineRule="auto"/>
        <w:ind w:left="360"/>
        <w:rPr>
          <w:rFonts w:cs="Arial"/>
          <w:szCs w:val="24"/>
        </w:rPr>
      </w:pPr>
      <w:r w:rsidRPr="00D12245">
        <w:rPr>
          <w:rFonts w:cs="Arial"/>
          <w:szCs w:val="24"/>
        </w:rPr>
        <w:t xml:space="preserve">This schedule applies to the records that are created and managed by staff employed </w:t>
      </w:r>
      <w:r w:rsidR="008967F5">
        <w:rPr>
          <w:rFonts w:cs="Arial"/>
          <w:szCs w:val="24"/>
        </w:rPr>
        <w:t>in HM Courts and Tribunals Headquarters (HMCTS)</w:t>
      </w:r>
      <w:r w:rsidRPr="00D12245">
        <w:rPr>
          <w:rFonts w:cs="Arial"/>
          <w:szCs w:val="24"/>
        </w:rPr>
        <w:t xml:space="preserve">. It has been agreed following consultation between </w:t>
      </w:r>
      <w:r w:rsidR="008967F5">
        <w:rPr>
          <w:rFonts w:cs="Arial"/>
          <w:szCs w:val="24"/>
        </w:rPr>
        <w:t>HMCTS</w:t>
      </w:r>
      <w:r w:rsidRPr="00D12245">
        <w:rPr>
          <w:rFonts w:cs="Arial"/>
          <w:szCs w:val="24"/>
        </w:rPr>
        <w:t xml:space="preserve"> and the Departmental Records Officer’s (DRO) team in the Ministry o</w:t>
      </w:r>
      <w:r>
        <w:rPr>
          <w:rFonts w:cs="Arial"/>
          <w:szCs w:val="24"/>
        </w:rPr>
        <w:t>f Justice</w:t>
      </w:r>
      <w:r w:rsidR="00E66A89" w:rsidRPr="00E66A89">
        <w:rPr>
          <w:rFonts w:cs="Arial"/>
          <w:szCs w:val="24"/>
        </w:rPr>
        <w:t xml:space="preserve">. </w:t>
      </w:r>
      <w:r w:rsidR="00E66A89" w:rsidRPr="00E66A89">
        <w:rPr>
          <w:rFonts w:cs="Arial"/>
          <w:szCs w:val="24"/>
        </w:rPr>
        <w:br/>
      </w:r>
    </w:p>
    <w:p w14:paraId="41AB1A9C" w14:textId="131E71FC" w:rsidR="0005554D" w:rsidRDefault="00D12245" w:rsidP="0005554D">
      <w:pPr>
        <w:numPr>
          <w:ilvl w:val="0"/>
          <w:numId w:val="6"/>
        </w:numPr>
        <w:spacing w:after="0" w:line="240" w:lineRule="auto"/>
        <w:ind w:left="360"/>
        <w:rPr>
          <w:rFonts w:cs="Arial"/>
          <w:szCs w:val="24"/>
        </w:rPr>
      </w:pPr>
      <w:bookmarkStart w:id="1" w:name="_Hlk514921578"/>
      <w:r w:rsidRPr="00D12245">
        <w:rPr>
          <w:rFonts w:cs="Arial"/>
          <w:szCs w:val="24"/>
        </w:rPr>
        <w:t>As a public body, the MoJ takes its responsibilities for managing information seriously. These responsibilities include compliance with the Public Records Act 1958, General Data Protection Regulation (GDPR), the Data Protection Act 2018, Freedom of Information Act 2000 (</w:t>
      </w:r>
      <w:proofErr w:type="spellStart"/>
      <w:r w:rsidRPr="00D12245">
        <w:rPr>
          <w:rFonts w:cs="Arial"/>
          <w:szCs w:val="24"/>
        </w:rPr>
        <w:t>FoIA</w:t>
      </w:r>
      <w:proofErr w:type="spellEnd"/>
      <w:r w:rsidRPr="00D12245">
        <w:rPr>
          <w:rFonts w:cs="Arial"/>
          <w:szCs w:val="24"/>
        </w:rPr>
        <w:t>) and amending legislation. The MoJ uses Records Retention and Disposition Schedules (RRDS) to manage its compliance with statutory obligations to identify what information and records we hold, how long we keep it and what should happen to these records at the end of that time.</w:t>
      </w:r>
    </w:p>
    <w:p w14:paraId="12078D18" w14:textId="77777777" w:rsidR="0005554D" w:rsidRDefault="0005554D" w:rsidP="0005554D">
      <w:pPr>
        <w:spacing w:after="0" w:line="240" w:lineRule="auto"/>
        <w:ind w:left="360"/>
        <w:rPr>
          <w:rFonts w:cs="Arial"/>
          <w:szCs w:val="24"/>
        </w:rPr>
      </w:pPr>
    </w:p>
    <w:p w14:paraId="583D0A1A" w14:textId="79D36EDF" w:rsidR="00D12245" w:rsidRPr="0005554D" w:rsidRDefault="00D12245" w:rsidP="0005554D">
      <w:pPr>
        <w:numPr>
          <w:ilvl w:val="0"/>
          <w:numId w:val="6"/>
        </w:numPr>
        <w:spacing w:after="0" w:line="240" w:lineRule="auto"/>
        <w:ind w:left="360"/>
        <w:rPr>
          <w:rFonts w:cs="Arial"/>
          <w:szCs w:val="24"/>
        </w:rPr>
      </w:pPr>
      <w:r w:rsidRPr="0005554D">
        <w:rPr>
          <w:rFonts w:cs="Arial"/>
          <w:szCs w:val="24"/>
        </w:rPr>
        <w:t>Where</w:t>
      </w:r>
      <w:r w:rsidR="008967F5">
        <w:rPr>
          <w:rFonts w:cs="Arial"/>
          <w:szCs w:val="24"/>
        </w:rPr>
        <w:t xml:space="preserve"> HMCTS’</w:t>
      </w:r>
      <w:r w:rsidRPr="0005554D">
        <w:rPr>
          <w:rFonts w:cs="Arial"/>
          <w:szCs w:val="24"/>
        </w:rPr>
        <w:t>s</w:t>
      </w:r>
      <w:r w:rsidRPr="0005554D">
        <w:rPr>
          <w:rFonts w:cs="Arial"/>
          <w:color w:val="FF0000"/>
          <w:szCs w:val="24"/>
        </w:rPr>
        <w:t xml:space="preserve"> </w:t>
      </w:r>
      <w:r w:rsidRPr="0005554D">
        <w:rPr>
          <w:rFonts w:cs="Arial"/>
          <w:szCs w:val="24"/>
        </w:rPr>
        <w:t xml:space="preserve">work is not subject to specific legislation (including GDPR or </w:t>
      </w:r>
      <w:proofErr w:type="spellStart"/>
      <w:r w:rsidRPr="0005554D">
        <w:rPr>
          <w:rFonts w:cs="Arial"/>
          <w:szCs w:val="24"/>
        </w:rPr>
        <w:t>FoIA</w:t>
      </w:r>
      <w:proofErr w:type="spellEnd"/>
      <w:r w:rsidRPr="0005554D">
        <w:rPr>
          <w:rFonts w:cs="Arial"/>
          <w:szCs w:val="24"/>
        </w:rPr>
        <w:t>), it is governed by the Crown's common law powers, as limited by the restraints of public law and constitutional principle.</w:t>
      </w:r>
    </w:p>
    <w:p w14:paraId="32F18F06" w14:textId="77777777" w:rsidR="00D12245" w:rsidRPr="00D12245" w:rsidRDefault="00D12245" w:rsidP="00D12245">
      <w:pPr>
        <w:pStyle w:val="Heading2"/>
        <w:rPr>
          <w:sz w:val="24"/>
          <w:szCs w:val="28"/>
        </w:rPr>
      </w:pPr>
      <w:r w:rsidRPr="00D12245">
        <w:rPr>
          <w:sz w:val="24"/>
          <w:szCs w:val="28"/>
        </w:rPr>
        <w:t>More about this schedule</w:t>
      </w:r>
    </w:p>
    <w:p w14:paraId="61CED19A" w14:textId="56A85749" w:rsidR="00E66A89" w:rsidRPr="00B72C41" w:rsidRDefault="00B72C41" w:rsidP="00B72C41">
      <w:pPr>
        <w:numPr>
          <w:ilvl w:val="0"/>
          <w:numId w:val="6"/>
        </w:numPr>
        <w:spacing w:after="0" w:line="240" w:lineRule="auto"/>
        <w:ind w:left="360"/>
        <w:rPr>
          <w:rFonts w:cs="Arial"/>
          <w:szCs w:val="24"/>
        </w:rPr>
      </w:pPr>
      <w:r>
        <w:rPr>
          <w:rFonts w:cs="Arial"/>
          <w:szCs w:val="24"/>
        </w:rPr>
        <w:t>Non</w:t>
      </w:r>
      <w:r w:rsidR="00D12245" w:rsidRPr="00B72C41">
        <w:rPr>
          <w:rFonts w:cs="Arial"/>
          <w:szCs w:val="24"/>
        </w:rPr>
        <w:t xml:space="preserve">e of the records listed below are selected for permanent preservation </w:t>
      </w:r>
      <w:r>
        <w:rPr>
          <w:rFonts w:cs="Arial"/>
          <w:szCs w:val="24"/>
        </w:rPr>
        <w:t xml:space="preserve">and transfer to </w:t>
      </w:r>
      <w:r w:rsidR="00D12245" w:rsidRPr="00B72C41">
        <w:rPr>
          <w:rFonts w:cs="Arial"/>
          <w:szCs w:val="24"/>
        </w:rPr>
        <w:t>The National Archives (TNA).</w:t>
      </w:r>
      <w:r w:rsidR="00E66A89" w:rsidRPr="00B72C41">
        <w:rPr>
          <w:rFonts w:cs="Arial"/>
          <w:szCs w:val="24"/>
        </w:rPr>
        <w:t xml:space="preserve"> </w:t>
      </w:r>
    </w:p>
    <w:p w14:paraId="564BF5D5" w14:textId="445ADE66" w:rsidR="00E66A89" w:rsidRDefault="00E66A89" w:rsidP="00E66A89">
      <w:pPr>
        <w:spacing w:after="0" w:line="240" w:lineRule="auto"/>
        <w:ind w:left="360"/>
        <w:rPr>
          <w:rFonts w:cs="Arial"/>
          <w:szCs w:val="24"/>
        </w:rPr>
      </w:pPr>
    </w:p>
    <w:bookmarkEnd w:id="1"/>
    <w:p w14:paraId="0A38490E" w14:textId="52FD0394" w:rsidR="009262CC" w:rsidRPr="00A15F31" w:rsidRDefault="009262CC" w:rsidP="009262CC">
      <w:pPr>
        <w:numPr>
          <w:ilvl w:val="0"/>
          <w:numId w:val="6"/>
        </w:numPr>
        <w:spacing w:after="0" w:line="240" w:lineRule="auto"/>
        <w:ind w:left="360"/>
        <w:rPr>
          <w:rFonts w:cs="Arial"/>
        </w:rPr>
      </w:pPr>
      <w:r w:rsidRPr="00A15F31">
        <w:rPr>
          <w:rFonts w:cs="Arial"/>
        </w:rPr>
        <w:t xml:space="preserve">This schedule covers </w:t>
      </w:r>
      <w:r w:rsidR="006124AE">
        <w:rPr>
          <w:rFonts w:cs="Arial"/>
        </w:rPr>
        <w:t xml:space="preserve">both </w:t>
      </w:r>
      <w:r w:rsidRPr="00A15F31">
        <w:rPr>
          <w:rFonts w:cs="Arial"/>
        </w:rPr>
        <w:t xml:space="preserve">the records held </w:t>
      </w:r>
      <w:r>
        <w:rPr>
          <w:rFonts w:cs="Arial"/>
        </w:rPr>
        <w:t>by the Governance</w:t>
      </w:r>
      <w:r w:rsidR="00B14C59">
        <w:rPr>
          <w:rFonts w:cs="Arial"/>
        </w:rPr>
        <w:t xml:space="preserve"> and </w:t>
      </w:r>
      <w:r>
        <w:rPr>
          <w:rFonts w:cs="Arial"/>
        </w:rPr>
        <w:t xml:space="preserve">Assurance </w:t>
      </w:r>
      <w:r w:rsidR="00B14C59">
        <w:rPr>
          <w:rFonts w:cs="Arial"/>
        </w:rPr>
        <w:t>Division</w:t>
      </w:r>
      <w:r>
        <w:rPr>
          <w:rFonts w:cs="Arial"/>
        </w:rPr>
        <w:t xml:space="preserve"> </w:t>
      </w:r>
      <w:r w:rsidRPr="00A15F31">
        <w:rPr>
          <w:rFonts w:cs="Arial"/>
        </w:rPr>
        <w:t xml:space="preserve">in </w:t>
      </w:r>
      <w:r>
        <w:rPr>
          <w:rFonts w:cs="Arial"/>
        </w:rPr>
        <w:t>HMCTS</w:t>
      </w:r>
      <w:r w:rsidR="006124AE">
        <w:rPr>
          <w:rFonts w:cs="Arial"/>
        </w:rPr>
        <w:t xml:space="preserve"> and the records held in courts, tribunals</w:t>
      </w:r>
      <w:r w:rsidR="005F79B1">
        <w:rPr>
          <w:rFonts w:cs="Arial"/>
        </w:rPr>
        <w:t>,</w:t>
      </w:r>
      <w:r w:rsidR="006124AE">
        <w:rPr>
          <w:rFonts w:cs="Arial"/>
        </w:rPr>
        <w:t xml:space="preserve"> at regional level</w:t>
      </w:r>
      <w:r w:rsidR="005F79B1">
        <w:rPr>
          <w:rFonts w:cs="Arial"/>
        </w:rPr>
        <w:t xml:space="preserve"> and HQ Directorates</w:t>
      </w:r>
      <w:r w:rsidRPr="00A15F31">
        <w:rPr>
          <w:rFonts w:cs="Arial"/>
        </w:rPr>
        <w:t>.</w:t>
      </w:r>
    </w:p>
    <w:p w14:paraId="33C0E2C7" w14:textId="77777777" w:rsidR="009262CC" w:rsidRDefault="009262CC" w:rsidP="009262CC">
      <w:pPr>
        <w:spacing w:after="0" w:line="240" w:lineRule="auto"/>
        <w:ind w:left="360"/>
        <w:rPr>
          <w:rFonts w:cs="Arial"/>
          <w:szCs w:val="24"/>
        </w:rPr>
      </w:pPr>
    </w:p>
    <w:p w14:paraId="444AFDB6" w14:textId="328BAEE2" w:rsidR="00E66A89" w:rsidRPr="00E66A89" w:rsidRDefault="00E66A89" w:rsidP="00E66A89">
      <w:pPr>
        <w:numPr>
          <w:ilvl w:val="0"/>
          <w:numId w:val="6"/>
        </w:numPr>
        <w:spacing w:after="0" w:line="240" w:lineRule="auto"/>
        <w:ind w:left="360"/>
        <w:rPr>
          <w:rFonts w:cs="Arial"/>
          <w:szCs w:val="24"/>
        </w:rPr>
      </w:pPr>
      <w:r w:rsidRPr="00E66A89">
        <w:rPr>
          <w:rFonts w:cs="Arial"/>
          <w:szCs w:val="24"/>
        </w:rPr>
        <w:t xml:space="preserve">This schedule is split into </w:t>
      </w:r>
      <w:r w:rsidRPr="00B72C41">
        <w:rPr>
          <w:rFonts w:cs="Arial"/>
          <w:szCs w:val="24"/>
        </w:rPr>
        <w:t>two</w:t>
      </w:r>
      <w:r w:rsidRPr="00E66A89">
        <w:rPr>
          <w:rFonts w:cs="Arial"/>
          <w:color w:val="FF0000"/>
          <w:szCs w:val="24"/>
        </w:rPr>
        <w:t xml:space="preserve"> </w:t>
      </w:r>
      <w:r w:rsidRPr="00E66A89">
        <w:rPr>
          <w:rFonts w:cs="Arial"/>
          <w:szCs w:val="24"/>
        </w:rPr>
        <w:t>sections:</w:t>
      </w:r>
    </w:p>
    <w:p w14:paraId="0BF41805" w14:textId="77777777" w:rsidR="00E66A89" w:rsidRPr="00E66A89" w:rsidRDefault="00E66A89" w:rsidP="00E66A89">
      <w:pPr>
        <w:spacing w:after="0" w:line="240" w:lineRule="auto"/>
        <w:ind w:left="360"/>
        <w:rPr>
          <w:rFonts w:cs="Arial"/>
          <w:szCs w:val="24"/>
        </w:rPr>
      </w:pPr>
    </w:p>
    <w:p w14:paraId="48F6D791" w14:textId="15491F84" w:rsidR="006124AE" w:rsidRPr="00DD05C5" w:rsidRDefault="001B491F" w:rsidP="001B491F">
      <w:pPr>
        <w:numPr>
          <w:ilvl w:val="1"/>
          <w:numId w:val="6"/>
        </w:numPr>
        <w:spacing w:after="0" w:line="240" w:lineRule="auto"/>
        <w:rPr>
          <w:rFonts w:cs="Arial"/>
          <w:szCs w:val="24"/>
        </w:rPr>
      </w:pPr>
      <w:r w:rsidRPr="001B491F">
        <w:rPr>
          <w:rFonts w:cs="Arial"/>
          <w:szCs w:val="24"/>
        </w:rPr>
        <w:t>Unique governance and assurance records held by HMCTS</w:t>
      </w:r>
    </w:p>
    <w:p w14:paraId="70209A42" w14:textId="01E2B39C" w:rsidR="00E66A89" w:rsidRPr="008C5750" w:rsidRDefault="008C5750" w:rsidP="008C5750">
      <w:pPr>
        <w:numPr>
          <w:ilvl w:val="1"/>
          <w:numId w:val="6"/>
        </w:numPr>
        <w:spacing w:after="0" w:line="240" w:lineRule="auto"/>
        <w:rPr>
          <w:rFonts w:cs="Arial"/>
          <w:szCs w:val="24"/>
        </w:rPr>
      </w:pPr>
      <w:r w:rsidRPr="008C5750">
        <w:rPr>
          <w:rFonts w:cs="Arial"/>
          <w:szCs w:val="24"/>
        </w:rPr>
        <w:t>Records managed by a common retention and disposition policy</w:t>
      </w:r>
    </w:p>
    <w:p w14:paraId="2DCAC925" w14:textId="77777777" w:rsidR="00E66A89" w:rsidRPr="00E66A89" w:rsidRDefault="00E66A89" w:rsidP="00E66A89">
      <w:pPr>
        <w:spacing w:after="0" w:line="240" w:lineRule="auto"/>
        <w:ind w:left="1080"/>
        <w:rPr>
          <w:rFonts w:cs="Arial"/>
          <w:szCs w:val="24"/>
        </w:rPr>
      </w:pPr>
    </w:p>
    <w:p w14:paraId="08D859EC" w14:textId="77777777" w:rsidR="009262CC" w:rsidRDefault="009262CC" w:rsidP="009262CC">
      <w:pPr>
        <w:spacing w:after="0" w:line="240" w:lineRule="auto"/>
        <w:rPr>
          <w:rFonts w:cs="Arial"/>
          <w:szCs w:val="24"/>
        </w:rPr>
      </w:pPr>
      <w:bookmarkStart w:id="2" w:name="_Hlk514928352"/>
      <w:bookmarkStart w:id="3" w:name="_Hlk514928334"/>
    </w:p>
    <w:p w14:paraId="57934AF6" w14:textId="5E2D3F0A" w:rsidR="00E66A89" w:rsidRPr="00A54C31" w:rsidRDefault="00A54C31" w:rsidP="00A54C31">
      <w:pPr>
        <w:numPr>
          <w:ilvl w:val="0"/>
          <w:numId w:val="6"/>
        </w:numPr>
        <w:spacing w:after="0" w:line="240" w:lineRule="auto"/>
        <w:ind w:left="360"/>
        <w:rPr>
          <w:rFonts w:cs="Arial"/>
          <w:szCs w:val="24"/>
        </w:rPr>
      </w:pPr>
      <w:r w:rsidRPr="00A54C31">
        <w:rPr>
          <w:rFonts w:cs="Arial"/>
          <w:szCs w:val="24"/>
        </w:rPr>
        <w:lastRenderedPageBreak/>
        <w:t xml:space="preserve">If a Freedom of Information Act 2000 request or a subject access request under the General Data Protection Regulation and Data Protection Act 2018 is received, a hold must be put on the relevant records for at least </w:t>
      </w:r>
      <w:r w:rsidRPr="00A54C31">
        <w:rPr>
          <w:rFonts w:cs="Arial"/>
          <w:b/>
          <w:szCs w:val="24"/>
        </w:rPr>
        <w:t>three months</w:t>
      </w:r>
      <w:r w:rsidRPr="00A54C31">
        <w:rPr>
          <w:rFonts w:cs="Arial"/>
          <w:szCs w:val="24"/>
        </w:rPr>
        <w:t xml:space="preserve"> after the request is resolved.</w:t>
      </w:r>
      <w:r w:rsidRPr="00A54C31">
        <w:rPr>
          <w:vertAlign w:val="superscript"/>
        </w:rPr>
        <w:footnoteReference w:id="1"/>
      </w:r>
    </w:p>
    <w:p w14:paraId="48AF93E3" w14:textId="77777777" w:rsidR="00E66A89" w:rsidRPr="00E66A89" w:rsidRDefault="00E66A89" w:rsidP="00E66A89">
      <w:pPr>
        <w:spacing w:after="0" w:line="240" w:lineRule="auto"/>
        <w:ind w:left="360"/>
        <w:rPr>
          <w:rFonts w:cs="Arial"/>
          <w:szCs w:val="24"/>
        </w:rPr>
      </w:pPr>
    </w:p>
    <w:p w14:paraId="12C9411C" w14:textId="3BDB53E5" w:rsidR="00E66A89" w:rsidRPr="00E66A89" w:rsidRDefault="00E66A89" w:rsidP="00A54C31">
      <w:pPr>
        <w:numPr>
          <w:ilvl w:val="0"/>
          <w:numId w:val="6"/>
        </w:numPr>
        <w:spacing w:after="0" w:line="240" w:lineRule="auto"/>
        <w:ind w:left="360"/>
        <w:rPr>
          <w:rFonts w:cs="Arial"/>
          <w:szCs w:val="24"/>
        </w:rPr>
      </w:pPr>
      <w:r w:rsidRPr="00E66A89">
        <w:rPr>
          <w:rFonts w:cs="Arial"/>
          <w:szCs w:val="24"/>
        </w:rPr>
        <w:t xml:space="preserve">While the Independent Inquiry into Child Sexual Abuse (IICSA) </w:t>
      </w:r>
      <w:r w:rsidR="00A54C31" w:rsidRPr="00A54C31">
        <w:rPr>
          <w:rFonts w:cs="Arial"/>
          <w:szCs w:val="24"/>
        </w:rPr>
        <w:t xml:space="preserve">continues its investigations, the moratorium on the destruction of records of potential interest remains in place. All government departments and their associated bodies (in common with other </w:t>
      </w:r>
      <w:proofErr w:type="gramStart"/>
      <w:r w:rsidR="00A54C31" w:rsidRPr="00A54C31">
        <w:rPr>
          <w:rFonts w:cs="Arial"/>
          <w:szCs w:val="24"/>
        </w:rPr>
        <w:t>public sector</w:t>
      </w:r>
      <w:proofErr w:type="gramEnd"/>
      <w:r w:rsidR="00A54C31" w:rsidRPr="00A54C31">
        <w:rPr>
          <w:rFonts w:cs="Arial"/>
          <w:szCs w:val="24"/>
        </w:rPr>
        <w:t xml:space="preserve"> bodies) are required to comply with the moratorium. All business areas should apply the moratorium to any records covered by the following criteria:</w:t>
      </w:r>
    </w:p>
    <w:bookmarkEnd w:id="2"/>
    <w:p w14:paraId="4DD39A40" w14:textId="77777777" w:rsidR="00E66A89" w:rsidRPr="00E66A89" w:rsidRDefault="00E66A89" w:rsidP="00E66A89">
      <w:pPr>
        <w:spacing w:after="0" w:line="240" w:lineRule="auto"/>
        <w:ind w:left="1440"/>
        <w:rPr>
          <w:rFonts w:cs="Arial"/>
          <w:szCs w:val="24"/>
        </w:rPr>
      </w:pPr>
    </w:p>
    <w:p w14:paraId="49D1633D" w14:textId="77777777" w:rsidR="00E66A89" w:rsidRPr="00E66A89" w:rsidRDefault="00E66A89" w:rsidP="00E66A89">
      <w:pPr>
        <w:numPr>
          <w:ilvl w:val="1"/>
          <w:numId w:val="6"/>
        </w:numPr>
        <w:spacing w:after="0" w:line="240" w:lineRule="auto"/>
        <w:rPr>
          <w:rFonts w:cs="Arial"/>
          <w:szCs w:val="24"/>
        </w:rPr>
      </w:pPr>
      <w:r w:rsidRPr="00E66A89">
        <w:rPr>
          <w:rFonts w:cs="Arial"/>
          <w:szCs w:val="24"/>
        </w:rPr>
        <w:t>documents which contain or may contain content pertaining directly or indirectly to the sexual abuse</w:t>
      </w:r>
      <w:r w:rsidRPr="00E66A89">
        <w:rPr>
          <w:rFonts w:cs="Arial"/>
          <w:color w:val="000000"/>
          <w:szCs w:val="24"/>
        </w:rPr>
        <w:t xml:space="preserve"> of children or to child protection and care</w:t>
      </w:r>
    </w:p>
    <w:bookmarkEnd w:id="3"/>
    <w:p w14:paraId="00D8FAC6" w14:textId="77777777" w:rsidR="00E66A89" w:rsidRPr="00E66A89" w:rsidRDefault="00E66A89" w:rsidP="00E66A89">
      <w:pPr>
        <w:numPr>
          <w:ilvl w:val="1"/>
          <w:numId w:val="6"/>
        </w:numPr>
        <w:spacing w:after="0" w:line="240" w:lineRule="auto"/>
        <w:rPr>
          <w:rFonts w:cs="Arial"/>
          <w:szCs w:val="24"/>
        </w:rPr>
      </w:pPr>
      <w:r w:rsidRPr="00E66A89">
        <w:rPr>
          <w:rFonts w:cs="Arial"/>
          <w:szCs w:val="24"/>
        </w:rPr>
        <w:t xml:space="preserve">the document types include, but are not limited to, correspondence, notes, emails, and case files, regardless of the format in which they are stored (digital, paper, CDs, etc) </w:t>
      </w:r>
    </w:p>
    <w:p w14:paraId="1F1928B7" w14:textId="77777777" w:rsidR="00E66A89" w:rsidRPr="00E66A89" w:rsidRDefault="00E66A89" w:rsidP="00E66A89">
      <w:pPr>
        <w:numPr>
          <w:ilvl w:val="1"/>
          <w:numId w:val="6"/>
        </w:numPr>
        <w:spacing w:after="0" w:line="240" w:lineRule="auto"/>
        <w:rPr>
          <w:rFonts w:cs="Arial"/>
          <w:szCs w:val="24"/>
        </w:rPr>
      </w:pPr>
      <w:r w:rsidRPr="00E66A89">
        <w:rPr>
          <w:rFonts w:cs="Arial"/>
          <w:color w:val="000000"/>
          <w:szCs w:val="24"/>
        </w:rPr>
        <w:t>for the purposes of this instruction, the word “children” relates to any person under the age of 18</w:t>
      </w:r>
    </w:p>
    <w:p w14:paraId="233BC375" w14:textId="77777777" w:rsidR="00E66A89" w:rsidRPr="00E66A89" w:rsidRDefault="00E66A89" w:rsidP="00E66A89">
      <w:pPr>
        <w:numPr>
          <w:ilvl w:val="1"/>
          <w:numId w:val="6"/>
        </w:numPr>
        <w:spacing w:after="0" w:line="240" w:lineRule="auto"/>
        <w:rPr>
          <w:rFonts w:cs="Arial"/>
          <w:szCs w:val="24"/>
        </w:rPr>
      </w:pPr>
      <w:r w:rsidRPr="00E66A89">
        <w:rPr>
          <w:rFonts w:cs="Arial"/>
          <w:color w:val="000000"/>
          <w:szCs w:val="24"/>
        </w:rPr>
        <w:t xml:space="preserve">further information about the moratorium is available on IICSA’s website at: </w:t>
      </w:r>
      <w:hyperlink r:id="rId12" w:history="1">
        <w:r w:rsidRPr="00E66A89">
          <w:rPr>
            <w:rStyle w:val="Hyperlink"/>
            <w:rFonts w:cs="Arial"/>
            <w:color w:val="0000CC"/>
            <w:szCs w:val="24"/>
          </w:rPr>
          <w:t>https://www.iicsa.org.uk/news/chair-of-the-inquiry-issues-guidance-on-destruction-of-documents</w:t>
        </w:r>
      </w:hyperlink>
      <w:r w:rsidRPr="00E66A89">
        <w:rPr>
          <w:rFonts w:cs="Arial"/>
          <w:color w:val="000000"/>
          <w:szCs w:val="24"/>
        </w:rPr>
        <w:t>.</w:t>
      </w:r>
    </w:p>
    <w:p w14:paraId="46C62FB7" w14:textId="77777777" w:rsidR="00E66A89" w:rsidRPr="00E66A89" w:rsidRDefault="00E66A89" w:rsidP="00E66A89">
      <w:pPr>
        <w:spacing w:after="0" w:line="240" w:lineRule="auto"/>
        <w:ind w:left="360"/>
        <w:rPr>
          <w:rFonts w:cs="Arial"/>
          <w:szCs w:val="24"/>
        </w:rPr>
      </w:pPr>
    </w:p>
    <w:p w14:paraId="799BBC9F" w14:textId="7300D617" w:rsidR="00B72C41" w:rsidRDefault="00E66A89" w:rsidP="00E66A89">
      <w:pPr>
        <w:numPr>
          <w:ilvl w:val="0"/>
          <w:numId w:val="6"/>
        </w:numPr>
        <w:spacing w:after="0" w:line="240" w:lineRule="auto"/>
        <w:ind w:left="360"/>
      </w:pPr>
      <w:r w:rsidRPr="008B0FD6">
        <w:rPr>
          <w:rFonts w:cs="Arial"/>
          <w:szCs w:val="24"/>
        </w:rPr>
        <w:t xml:space="preserve">As part of its commitment to transparency, this schedule will be published on the MoJ’s webpage: </w:t>
      </w:r>
      <w:hyperlink r:id="rId13" w:history="1">
        <w:r w:rsidRPr="008B0FD6">
          <w:rPr>
            <w:rStyle w:val="Hyperlink"/>
            <w:rFonts w:cs="Arial"/>
            <w:color w:val="0000CC"/>
            <w:szCs w:val="24"/>
          </w:rPr>
          <w:t>https://www.gov.uk/government/publications/record-retention-and-disposition-schedules</w:t>
        </w:r>
      </w:hyperlink>
      <w:r w:rsidRPr="008B0FD6">
        <w:rPr>
          <w:rStyle w:val="Hyperlink"/>
          <w:rFonts w:cs="Arial"/>
          <w:szCs w:val="24"/>
        </w:rPr>
        <w:t xml:space="preserve">. </w:t>
      </w:r>
    </w:p>
    <w:p w14:paraId="6361C2D5" w14:textId="5F458338" w:rsidR="0047370E" w:rsidRDefault="0047370E" w:rsidP="00E66A89">
      <w:pPr>
        <w:pStyle w:val="Heading2"/>
      </w:pPr>
    </w:p>
    <w:p w14:paraId="08C7E871" w14:textId="0C81C2CC" w:rsidR="0047370E" w:rsidRDefault="0047370E" w:rsidP="0047370E">
      <w:pPr>
        <w:pStyle w:val="BodyText"/>
      </w:pPr>
    </w:p>
    <w:p w14:paraId="22A9C0C3" w14:textId="3FDC9955" w:rsidR="00F440BB" w:rsidRDefault="00F440BB">
      <w:pPr>
        <w:spacing w:after="160" w:line="259" w:lineRule="auto"/>
      </w:pPr>
      <w:r>
        <w:br w:type="page"/>
      </w:r>
    </w:p>
    <w:p w14:paraId="583CED60" w14:textId="2258D7BA" w:rsidR="00E66A89" w:rsidRDefault="00E66A89" w:rsidP="00E66A89">
      <w:pPr>
        <w:pStyle w:val="Heading2"/>
      </w:pPr>
      <w:r>
        <w:lastRenderedPageBreak/>
        <w:t>The schedul</w:t>
      </w:r>
      <w:r w:rsidR="00B72C41">
        <w:t>e</w:t>
      </w:r>
    </w:p>
    <w:tbl>
      <w:tblPr>
        <w:tblStyle w:val="TableGrid"/>
        <w:tblW w:w="9628" w:type="dxa"/>
        <w:tblLook w:val="04A0" w:firstRow="1" w:lastRow="0" w:firstColumn="1" w:lastColumn="0" w:noHBand="0" w:noVBand="1"/>
      </w:tblPr>
      <w:tblGrid>
        <w:gridCol w:w="846"/>
        <w:gridCol w:w="4536"/>
        <w:gridCol w:w="4246"/>
      </w:tblGrid>
      <w:tr w:rsidR="00E66A89" w:rsidRPr="00E66A89" w14:paraId="15D3E8C2" w14:textId="77777777" w:rsidTr="00EE61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AC0BF52" w14:textId="09D8B41B" w:rsidR="00E66A89" w:rsidRPr="00E66A89" w:rsidRDefault="00E66A89" w:rsidP="00E66A89">
            <w:pPr>
              <w:pStyle w:val="Text"/>
              <w:spacing w:after="0"/>
              <w:jc w:val="center"/>
              <w:rPr>
                <w:sz w:val="24"/>
              </w:rPr>
            </w:pPr>
            <w:r w:rsidRPr="00E66A89">
              <w:rPr>
                <w:sz w:val="24"/>
              </w:rPr>
              <w:t>No.</w:t>
            </w:r>
          </w:p>
        </w:tc>
        <w:tc>
          <w:tcPr>
            <w:tcW w:w="4536" w:type="dxa"/>
            <w:vAlign w:val="center"/>
          </w:tcPr>
          <w:p w14:paraId="0F7887AE" w14:textId="3C0AA512" w:rsidR="00E66A89" w:rsidRPr="00E66A89" w:rsidRDefault="00E66A89" w:rsidP="00E66A89">
            <w:pPr>
              <w:pStyle w:val="Text"/>
              <w:spacing w:after="0"/>
              <w:jc w:val="center"/>
              <w:cnfStyle w:val="100000000000" w:firstRow="1" w:lastRow="0" w:firstColumn="0" w:lastColumn="0" w:oddVBand="0" w:evenVBand="0" w:oddHBand="0" w:evenHBand="0" w:firstRowFirstColumn="0" w:firstRowLastColumn="0" w:lastRowFirstColumn="0" w:lastRowLastColumn="0"/>
              <w:rPr>
                <w:sz w:val="24"/>
              </w:rPr>
            </w:pPr>
            <w:r w:rsidRPr="00E66A89">
              <w:rPr>
                <w:sz w:val="24"/>
              </w:rPr>
              <w:t>Record type</w:t>
            </w:r>
          </w:p>
        </w:tc>
        <w:tc>
          <w:tcPr>
            <w:tcW w:w="4246" w:type="dxa"/>
            <w:vAlign w:val="center"/>
          </w:tcPr>
          <w:p w14:paraId="1DF9DE5A" w14:textId="22B59B4F" w:rsidR="00E66A89" w:rsidRPr="00E66A89" w:rsidRDefault="00E66A89" w:rsidP="00E66A89">
            <w:pPr>
              <w:pStyle w:val="Text"/>
              <w:spacing w:after="0"/>
              <w:jc w:val="center"/>
              <w:cnfStyle w:val="100000000000" w:firstRow="1" w:lastRow="0" w:firstColumn="0" w:lastColumn="0" w:oddVBand="0" w:evenVBand="0" w:oddHBand="0" w:evenHBand="0" w:firstRowFirstColumn="0" w:firstRowLastColumn="0" w:lastRowFirstColumn="0" w:lastRowLastColumn="0"/>
              <w:rPr>
                <w:sz w:val="24"/>
              </w:rPr>
            </w:pPr>
            <w:r w:rsidRPr="00E66A89">
              <w:rPr>
                <w:sz w:val="24"/>
              </w:rPr>
              <w:t>Retention and disposition</w:t>
            </w:r>
          </w:p>
        </w:tc>
      </w:tr>
      <w:tr w:rsidR="00E66A89" w:rsidRPr="00146BBA" w14:paraId="14C56001" w14:textId="77777777" w:rsidTr="00EE6148">
        <w:tc>
          <w:tcPr>
            <w:cnfStyle w:val="001000000000" w:firstRow="0" w:lastRow="0" w:firstColumn="1" w:lastColumn="0" w:oddVBand="0" w:evenVBand="0" w:oddHBand="0" w:evenHBand="0" w:firstRowFirstColumn="0" w:firstRowLastColumn="0" w:lastRowFirstColumn="0" w:lastRowLastColumn="0"/>
            <w:tcW w:w="9628" w:type="dxa"/>
            <w:gridSpan w:val="3"/>
          </w:tcPr>
          <w:p w14:paraId="570458FA" w14:textId="77777777" w:rsidR="00E66A89" w:rsidRPr="00146BBA" w:rsidRDefault="00E66A89" w:rsidP="00E66A89">
            <w:pPr>
              <w:pStyle w:val="Text"/>
              <w:spacing w:after="0"/>
              <w:jc w:val="center"/>
              <w:rPr>
                <w:rFonts w:asciiTheme="minorHAnsi" w:hAnsiTheme="minorHAnsi" w:cstheme="minorHAnsi"/>
                <w:sz w:val="24"/>
              </w:rPr>
            </w:pPr>
          </w:p>
          <w:p w14:paraId="57E8F45E" w14:textId="7E87F6E1" w:rsidR="00E66A89" w:rsidRPr="00146BBA" w:rsidRDefault="00BC7151" w:rsidP="00E66A89">
            <w:pPr>
              <w:pStyle w:val="Text"/>
              <w:spacing w:after="0"/>
              <w:jc w:val="center"/>
              <w:rPr>
                <w:rFonts w:asciiTheme="minorHAnsi" w:hAnsiTheme="minorHAnsi" w:cstheme="minorHAnsi"/>
                <w:color w:val="FF0000"/>
                <w:sz w:val="24"/>
              </w:rPr>
            </w:pPr>
            <w:r>
              <w:rPr>
                <w:rFonts w:asciiTheme="minorHAnsi" w:hAnsiTheme="minorHAnsi" w:cstheme="minorHAnsi"/>
                <w:sz w:val="24"/>
              </w:rPr>
              <w:t>A</w:t>
            </w:r>
            <w:r w:rsidR="00E66A89" w:rsidRPr="00146BBA">
              <w:rPr>
                <w:rFonts w:asciiTheme="minorHAnsi" w:hAnsiTheme="minorHAnsi" w:cstheme="minorHAnsi"/>
                <w:sz w:val="24"/>
              </w:rPr>
              <w:t xml:space="preserve">. Unique </w:t>
            </w:r>
            <w:r w:rsidR="0047370E" w:rsidRPr="00146BBA">
              <w:rPr>
                <w:rFonts w:asciiTheme="minorHAnsi" w:hAnsiTheme="minorHAnsi" w:cstheme="minorHAnsi"/>
                <w:sz w:val="24"/>
              </w:rPr>
              <w:t xml:space="preserve">governance and assurance </w:t>
            </w:r>
            <w:r w:rsidR="00E66A89" w:rsidRPr="00146BBA">
              <w:rPr>
                <w:rFonts w:asciiTheme="minorHAnsi" w:hAnsiTheme="minorHAnsi" w:cstheme="minorHAnsi"/>
                <w:sz w:val="24"/>
              </w:rPr>
              <w:t>records held by</w:t>
            </w:r>
            <w:r w:rsidR="0047370E" w:rsidRPr="00146BBA">
              <w:rPr>
                <w:rFonts w:asciiTheme="minorHAnsi" w:hAnsiTheme="minorHAnsi" w:cstheme="minorHAnsi"/>
                <w:sz w:val="24"/>
              </w:rPr>
              <w:t xml:space="preserve"> HMCTS</w:t>
            </w:r>
          </w:p>
          <w:p w14:paraId="0AD47CD3" w14:textId="21AF29F2" w:rsidR="00E66A89" w:rsidRPr="00146BBA" w:rsidRDefault="00E66A89" w:rsidP="00E66A89">
            <w:pPr>
              <w:pStyle w:val="Text"/>
              <w:spacing w:after="0"/>
              <w:jc w:val="center"/>
              <w:rPr>
                <w:rFonts w:asciiTheme="minorHAnsi" w:hAnsiTheme="minorHAnsi" w:cstheme="minorHAnsi"/>
                <w:sz w:val="24"/>
              </w:rPr>
            </w:pPr>
          </w:p>
        </w:tc>
      </w:tr>
      <w:tr w:rsidR="009262CC" w:rsidRPr="00146BBA" w14:paraId="10B036AF" w14:textId="77777777" w:rsidTr="00EE6148">
        <w:tc>
          <w:tcPr>
            <w:cnfStyle w:val="001000000000" w:firstRow="0" w:lastRow="0" w:firstColumn="1" w:lastColumn="0" w:oddVBand="0" w:evenVBand="0" w:oddHBand="0" w:evenHBand="0" w:firstRowFirstColumn="0" w:firstRowLastColumn="0" w:lastRowFirstColumn="0" w:lastRowLastColumn="0"/>
            <w:tcW w:w="846" w:type="dxa"/>
            <w:vAlign w:val="center"/>
          </w:tcPr>
          <w:p w14:paraId="7300C66D" w14:textId="77777777" w:rsidR="009262CC" w:rsidRPr="00146BBA" w:rsidRDefault="009262CC" w:rsidP="009262CC">
            <w:pPr>
              <w:pStyle w:val="Text"/>
              <w:numPr>
                <w:ilvl w:val="0"/>
                <w:numId w:val="11"/>
              </w:numPr>
              <w:spacing w:after="0"/>
              <w:rPr>
                <w:rFonts w:asciiTheme="minorHAnsi" w:hAnsiTheme="minorHAnsi" w:cstheme="minorHAnsi"/>
              </w:rPr>
            </w:pPr>
          </w:p>
        </w:tc>
        <w:tc>
          <w:tcPr>
            <w:tcW w:w="4536" w:type="dxa"/>
            <w:vAlign w:val="center"/>
          </w:tcPr>
          <w:p w14:paraId="758D39A4" w14:textId="77777777"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p w14:paraId="45E938AC" w14:textId="7CDF9A42" w:rsidR="009262CC"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HMCTS Ops reporting tool:</w:t>
            </w:r>
          </w:p>
          <w:p w14:paraId="292DC3D3" w14:textId="77777777" w:rsidR="000171BD" w:rsidRPr="00146BBA" w:rsidRDefault="000171BD"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F2FEE23" w14:textId="4DFFDE43" w:rsidR="009262CC" w:rsidRPr="00146BBA" w:rsidRDefault="007B5BEE" w:rsidP="007B5BEE">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 </w:t>
            </w:r>
            <w:r w:rsidR="009262CC" w:rsidRPr="00146BBA">
              <w:rPr>
                <w:rFonts w:asciiTheme="minorHAnsi" w:hAnsiTheme="minorHAnsi" w:cstheme="minorHAnsi"/>
              </w:rPr>
              <w:t>Key Control Check Sheets (KCCS) and all previous equivalents</w:t>
            </w:r>
          </w:p>
          <w:p w14:paraId="0CCF6B6A" w14:textId="74E77838" w:rsidR="009262CC" w:rsidRDefault="007B5BEE" w:rsidP="007B5BEE">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b) </w:t>
            </w:r>
            <w:r w:rsidR="009262CC" w:rsidRPr="00146BBA">
              <w:rPr>
                <w:rFonts w:asciiTheme="minorHAnsi" w:hAnsiTheme="minorHAnsi" w:cstheme="minorHAnsi"/>
              </w:rPr>
              <w:t>Logging Sheets /</w:t>
            </w:r>
            <w:r w:rsidR="000171BD">
              <w:rPr>
                <w:rFonts w:asciiTheme="minorHAnsi" w:hAnsiTheme="minorHAnsi" w:cstheme="minorHAnsi"/>
              </w:rPr>
              <w:t xml:space="preserve"> Check and Test Documents</w:t>
            </w:r>
          </w:p>
          <w:p w14:paraId="0C588BEA" w14:textId="4696F723" w:rsidR="009262CC" w:rsidRPr="00146BBA" w:rsidRDefault="007B5BEE" w:rsidP="007B5BEE">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 </w:t>
            </w:r>
            <w:r w:rsidR="009262CC" w:rsidRPr="00146BBA">
              <w:rPr>
                <w:rFonts w:asciiTheme="minorHAnsi" w:hAnsiTheme="minorHAnsi" w:cstheme="minorHAnsi"/>
              </w:rPr>
              <w:t xml:space="preserve">Evidence records for Standard Operating Controls (SOC) – self-assessment report </w:t>
            </w:r>
          </w:p>
          <w:p w14:paraId="7FC9290C" w14:textId="77777777"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tc>
        <w:tc>
          <w:tcPr>
            <w:tcW w:w="4246" w:type="dxa"/>
            <w:vAlign w:val="center"/>
          </w:tcPr>
          <w:p w14:paraId="3BFC51A5" w14:textId="73F06129" w:rsidR="009262CC"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7CC6A43" w14:textId="76127116" w:rsidR="007B5BEE" w:rsidRPr="008C5750" w:rsidRDefault="007B5BEE"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a-b) K</w:t>
            </w:r>
            <w:r w:rsidR="008C5750">
              <w:rPr>
                <w:rFonts w:asciiTheme="minorHAnsi" w:hAnsiTheme="minorHAnsi" w:cstheme="minorHAnsi"/>
              </w:rPr>
              <w:t xml:space="preserve">eep for </w:t>
            </w:r>
            <w:r w:rsidRPr="008C5750">
              <w:rPr>
                <w:rFonts w:asciiTheme="minorHAnsi" w:hAnsiTheme="minorHAnsi" w:cstheme="minorHAnsi"/>
                <w:b/>
              </w:rPr>
              <w:t>seven years</w:t>
            </w:r>
            <w:r w:rsidRPr="008C5750">
              <w:rPr>
                <w:rFonts w:asciiTheme="minorHAnsi" w:hAnsiTheme="minorHAnsi" w:cstheme="minorHAnsi"/>
              </w:rPr>
              <w:t xml:space="preserve"> and then destroy</w:t>
            </w:r>
          </w:p>
          <w:p w14:paraId="13C42755" w14:textId="77777777" w:rsidR="007B5BEE" w:rsidRPr="00146BBA" w:rsidRDefault="007B5BEE"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9D50546" w14:textId="53D119BC" w:rsidR="009262CC" w:rsidRPr="00146BBA" w:rsidRDefault="000171BD" w:rsidP="00146BB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 xml:space="preserve">c) </w:t>
            </w:r>
            <w:r w:rsidR="009262CC" w:rsidRPr="00146BBA">
              <w:rPr>
                <w:rFonts w:cstheme="minorHAnsi"/>
                <w:sz w:val="22"/>
              </w:rPr>
              <w:t xml:space="preserve">Keep for </w:t>
            </w:r>
            <w:r w:rsidR="009262CC" w:rsidRPr="00146BBA">
              <w:rPr>
                <w:rFonts w:cstheme="minorHAnsi"/>
                <w:b/>
                <w:sz w:val="22"/>
              </w:rPr>
              <w:t>one year</w:t>
            </w:r>
            <w:r w:rsidR="009262CC" w:rsidRPr="00146BBA">
              <w:rPr>
                <w:rFonts w:cstheme="minorHAnsi"/>
                <w:sz w:val="22"/>
              </w:rPr>
              <w:t>:</w:t>
            </w:r>
          </w:p>
          <w:p w14:paraId="5C384291" w14:textId="77777777" w:rsidR="009262CC" w:rsidRPr="00146BBA" w:rsidRDefault="009262CC" w:rsidP="00146BBA">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146BBA">
              <w:rPr>
                <w:rFonts w:asciiTheme="minorHAnsi" w:hAnsiTheme="minorHAnsi" w:cstheme="minorHAnsi"/>
                <w:szCs w:val="22"/>
              </w:rPr>
              <w:t>Where all issues are resolved, destroy</w:t>
            </w:r>
          </w:p>
          <w:p w14:paraId="755EA358" w14:textId="77777777" w:rsidR="009262CC" w:rsidRPr="00146BBA" w:rsidRDefault="009262CC" w:rsidP="00146BBA">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146BBA">
              <w:rPr>
                <w:rFonts w:asciiTheme="minorHAnsi" w:hAnsiTheme="minorHAnsi" w:cstheme="minorHAnsi"/>
                <w:szCs w:val="22"/>
              </w:rPr>
              <w:t xml:space="preserve">Where there are ongoing issues, keep for another year and review. Repeat until all issues are resolved but for </w:t>
            </w:r>
            <w:r w:rsidRPr="00146BBA">
              <w:rPr>
                <w:rFonts w:asciiTheme="minorHAnsi" w:hAnsiTheme="minorHAnsi" w:cstheme="minorHAnsi"/>
                <w:b/>
                <w:szCs w:val="22"/>
              </w:rPr>
              <w:t>no longer</w:t>
            </w:r>
            <w:r w:rsidRPr="00146BBA">
              <w:rPr>
                <w:rFonts w:asciiTheme="minorHAnsi" w:hAnsiTheme="minorHAnsi" w:cstheme="minorHAnsi"/>
                <w:szCs w:val="22"/>
              </w:rPr>
              <w:t xml:space="preserve"> then seven years.</w:t>
            </w:r>
          </w:p>
          <w:p w14:paraId="6338AF76" w14:textId="77777777"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262CC" w:rsidRPr="00146BBA" w14:paraId="368F9D4F" w14:textId="77777777" w:rsidTr="00EE6148">
        <w:tc>
          <w:tcPr>
            <w:cnfStyle w:val="001000000000" w:firstRow="0" w:lastRow="0" w:firstColumn="1" w:lastColumn="0" w:oddVBand="0" w:evenVBand="0" w:oddHBand="0" w:evenHBand="0" w:firstRowFirstColumn="0" w:firstRowLastColumn="0" w:lastRowFirstColumn="0" w:lastRowLastColumn="0"/>
            <w:tcW w:w="846" w:type="dxa"/>
            <w:vAlign w:val="center"/>
          </w:tcPr>
          <w:p w14:paraId="532E91DE" w14:textId="77777777" w:rsidR="009262CC" w:rsidRPr="00146BBA" w:rsidRDefault="009262CC" w:rsidP="009262CC">
            <w:pPr>
              <w:pStyle w:val="Text"/>
              <w:numPr>
                <w:ilvl w:val="0"/>
                <w:numId w:val="11"/>
              </w:numPr>
              <w:spacing w:after="0"/>
              <w:rPr>
                <w:rFonts w:asciiTheme="minorHAnsi" w:hAnsiTheme="minorHAnsi" w:cstheme="minorHAnsi"/>
              </w:rPr>
            </w:pPr>
          </w:p>
        </w:tc>
        <w:tc>
          <w:tcPr>
            <w:tcW w:w="4536" w:type="dxa"/>
            <w:vAlign w:val="center"/>
          </w:tcPr>
          <w:p w14:paraId="4AAD4BAC" w14:textId="77777777" w:rsidR="009262CC" w:rsidRPr="00146BBA" w:rsidRDefault="009262CC" w:rsidP="00146BB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rPr>
            </w:pPr>
          </w:p>
          <w:p w14:paraId="753CE41E" w14:textId="77777777" w:rsidR="009262CC" w:rsidRPr="00146BBA" w:rsidRDefault="009262CC" w:rsidP="00146BB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sidRPr="00146BBA">
              <w:rPr>
                <w:rFonts w:cstheme="minorHAnsi"/>
                <w:sz w:val="22"/>
              </w:rPr>
              <w:t>a) SOC self-assessment reporting tool</w:t>
            </w:r>
          </w:p>
          <w:p w14:paraId="3C083C8C" w14:textId="77777777" w:rsidR="009262CC" w:rsidRPr="00146BBA" w:rsidRDefault="009262CC" w:rsidP="00146BB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sidRPr="00146BBA">
              <w:rPr>
                <w:rFonts w:cstheme="minorHAnsi"/>
                <w:sz w:val="22"/>
              </w:rPr>
              <w:t>b) SOC database content</w:t>
            </w:r>
          </w:p>
          <w:p w14:paraId="2307A532" w14:textId="77777777"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c) Risk and Assurance Management Tool (RAMT)</w:t>
            </w:r>
          </w:p>
          <w:p w14:paraId="3C9ED7A0" w14:textId="77777777"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tc>
        <w:tc>
          <w:tcPr>
            <w:tcW w:w="4246" w:type="dxa"/>
            <w:vAlign w:val="center"/>
          </w:tcPr>
          <w:p w14:paraId="34C2F722" w14:textId="77593CF0"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 xml:space="preserve">Keep for </w:t>
            </w:r>
            <w:r w:rsidRPr="00146BBA">
              <w:rPr>
                <w:rFonts w:asciiTheme="minorHAnsi" w:hAnsiTheme="minorHAnsi" w:cstheme="minorHAnsi"/>
                <w:b/>
              </w:rPr>
              <w:t xml:space="preserve">seven years </w:t>
            </w:r>
            <w:r w:rsidRPr="00146BBA">
              <w:rPr>
                <w:rFonts w:asciiTheme="minorHAnsi" w:hAnsiTheme="minorHAnsi" w:cstheme="minorHAnsi"/>
              </w:rPr>
              <w:t>and then destroy</w:t>
            </w:r>
          </w:p>
        </w:tc>
      </w:tr>
      <w:tr w:rsidR="009262CC" w:rsidRPr="00146BBA" w14:paraId="53BD1079" w14:textId="77777777" w:rsidTr="00EE6148">
        <w:tc>
          <w:tcPr>
            <w:cnfStyle w:val="001000000000" w:firstRow="0" w:lastRow="0" w:firstColumn="1" w:lastColumn="0" w:oddVBand="0" w:evenVBand="0" w:oddHBand="0" w:evenHBand="0" w:firstRowFirstColumn="0" w:firstRowLastColumn="0" w:lastRowFirstColumn="0" w:lastRowLastColumn="0"/>
            <w:tcW w:w="846" w:type="dxa"/>
            <w:vAlign w:val="center"/>
          </w:tcPr>
          <w:p w14:paraId="3E929DE4" w14:textId="77777777" w:rsidR="009262CC" w:rsidRPr="00146BBA" w:rsidRDefault="009262CC" w:rsidP="009262CC">
            <w:pPr>
              <w:pStyle w:val="Text"/>
              <w:numPr>
                <w:ilvl w:val="0"/>
                <w:numId w:val="11"/>
              </w:numPr>
              <w:spacing w:after="0"/>
              <w:rPr>
                <w:rFonts w:asciiTheme="minorHAnsi" w:hAnsiTheme="minorHAnsi" w:cstheme="minorHAnsi"/>
              </w:rPr>
            </w:pPr>
          </w:p>
        </w:tc>
        <w:tc>
          <w:tcPr>
            <w:tcW w:w="4536" w:type="dxa"/>
            <w:vAlign w:val="center"/>
          </w:tcPr>
          <w:p w14:paraId="3583B1DC" w14:textId="77777777"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84B0357" w14:textId="77777777"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Audit reports and recommendations</w:t>
            </w:r>
          </w:p>
          <w:p w14:paraId="19C00487" w14:textId="77777777"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46" w:type="dxa"/>
            <w:vAlign w:val="center"/>
          </w:tcPr>
          <w:p w14:paraId="767A7A91" w14:textId="10CBDFD9"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 xml:space="preserve">Keep for </w:t>
            </w:r>
            <w:r w:rsidRPr="00146BBA">
              <w:rPr>
                <w:rFonts w:asciiTheme="minorHAnsi" w:hAnsiTheme="minorHAnsi" w:cstheme="minorHAnsi"/>
                <w:b/>
              </w:rPr>
              <w:t>three years</w:t>
            </w:r>
            <w:r w:rsidRPr="00146BBA">
              <w:rPr>
                <w:rFonts w:asciiTheme="minorHAnsi" w:hAnsiTheme="minorHAnsi" w:cstheme="minorHAnsi"/>
              </w:rPr>
              <w:t xml:space="preserve"> after closure of final recommendations and then destroy</w:t>
            </w:r>
          </w:p>
        </w:tc>
      </w:tr>
      <w:tr w:rsidR="009262CC" w:rsidRPr="00146BBA" w14:paraId="73EF0B4D" w14:textId="77777777" w:rsidTr="00EE6148">
        <w:tc>
          <w:tcPr>
            <w:cnfStyle w:val="001000000000" w:firstRow="0" w:lastRow="0" w:firstColumn="1" w:lastColumn="0" w:oddVBand="0" w:evenVBand="0" w:oddHBand="0" w:evenHBand="0" w:firstRowFirstColumn="0" w:firstRowLastColumn="0" w:lastRowFirstColumn="0" w:lastRowLastColumn="0"/>
            <w:tcW w:w="846" w:type="dxa"/>
            <w:vAlign w:val="center"/>
          </w:tcPr>
          <w:p w14:paraId="172DDF48" w14:textId="77777777" w:rsidR="009262CC" w:rsidRPr="00146BBA" w:rsidRDefault="009262CC" w:rsidP="009262CC">
            <w:pPr>
              <w:pStyle w:val="Text"/>
              <w:numPr>
                <w:ilvl w:val="0"/>
                <w:numId w:val="11"/>
              </w:numPr>
              <w:spacing w:after="0"/>
              <w:rPr>
                <w:rFonts w:asciiTheme="minorHAnsi" w:hAnsiTheme="minorHAnsi" w:cstheme="minorHAnsi"/>
              </w:rPr>
            </w:pPr>
          </w:p>
        </w:tc>
        <w:tc>
          <w:tcPr>
            <w:tcW w:w="4536" w:type="dxa"/>
            <w:vAlign w:val="center"/>
          </w:tcPr>
          <w:p w14:paraId="474B8332" w14:textId="77777777"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146BBA">
              <w:rPr>
                <w:rFonts w:asciiTheme="minorHAnsi" w:hAnsiTheme="minorHAnsi" w:cstheme="minorHAnsi"/>
                <w:b/>
              </w:rPr>
              <w:t>Risk Registers and governance statements</w:t>
            </w:r>
          </w:p>
          <w:p w14:paraId="36F4F7FF" w14:textId="77777777"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a) Corporate</w:t>
            </w:r>
          </w:p>
          <w:p w14:paraId="6EDABB83" w14:textId="77777777"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b) Regional</w:t>
            </w:r>
          </w:p>
          <w:p w14:paraId="5858948A" w14:textId="77777777"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c) Directorate</w:t>
            </w:r>
          </w:p>
          <w:p w14:paraId="55DB8128" w14:textId="281A1939"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d) Regions and central directorates (quarterly statements)</w:t>
            </w:r>
          </w:p>
        </w:tc>
        <w:tc>
          <w:tcPr>
            <w:tcW w:w="4246" w:type="dxa"/>
            <w:vAlign w:val="center"/>
          </w:tcPr>
          <w:p w14:paraId="0E801251" w14:textId="77777777" w:rsidR="00FB33A7" w:rsidRPr="00146BBA" w:rsidRDefault="00FB33A7"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p w14:paraId="2F85BB98" w14:textId="164EFD5F"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 xml:space="preserve">a) Keep for </w:t>
            </w:r>
            <w:r w:rsidRPr="00146BBA">
              <w:rPr>
                <w:rFonts w:asciiTheme="minorHAnsi" w:hAnsiTheme="minorHAnsi" w:cstheme="minorHAnsi"/>
                <w:b/>
              </w:rPr>
              <w:t xml:space="preserve">seven years </w:t>
            </w:r>
            <w:r w:rsidRPr="00146BBA">
              <w:rPr>
                <w:rFonts w:asciiTheme="minorHAnsi" w:hAnsiTheme="minorHAnsi" w:cstheme="minorHAnsi"/>
              </w:rPr>
              <w:t xml:space="preserve">and then </w:t>
            </w:r>
            <w:r w:rsidR="008B0FD6">
              <w:rPr>
                <w:rFonts w:asciiTheme="minorHAnsi" w:hAnsiTheme="minorHAnsi" w:cstheme="minorHAnsi"/>
              </w:rPr>
              <w:t>review:</w:t>
            </w:r>
          </w:p>
          <w:p w14:paraId="1EF5B6DE" w14:textId="77777777" w:rsidR="008B0FD6" w:rsidRDefault="008B0FD6" w:rsidP="008B0FD6">
            <w:pPr>
              <w:pStyle w:val="Text"/>
              <w:numPr>
                <w:ilvl w:val="0"/>
                <w:numId w:val="27"/>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B0FD6">
              <w:rPr>
                <w:rFonts w:asciiTheme="minorHAnsi" w:hAnsiTheme="minorHAnsi" w:cstheme="minorHAnsi"/>
              </w:rPr>
              <w:t>Where operationally relevant, keep for a further seven years and then review again. Repeat until no longer required.</w:t>
            </w:r>
          </w:p>
          <w:p w14:paraId="387A9215" w14:textId="0F6B752B" w:rsidR="009262CC" w:rsidRPr="008B0FD6" w:rsidRDefault="008B0FD6" w:rsidP="008B0FD6">
            <w:pPr>
              <w:pStyle w:val="Text"/>
              <w:numPr>
                <w:ilvl w:val="0"/>
                <w:numId w:val="27"/>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B0FD6">
              <w:rPr>
                <w:rFonts w:asciiTheme="minorHAnsi" w:hAnsiTheme="minorHAnsi" w:cstheme="minorHAnsi"/>
              </w:rPr>
              <w:t>Where no longer required, destroy immediately.</w:t>
            </w:r>
            <w:r w:rsidR="009262CC" w:rsidRPr="008B0FD6">
              <w:rPr>
                <w:rFonts w:asciiTheme="minorHAnsi" w:hAnsiTheme="minorHAnsi" w:cstheme="minorHAnsi"/>
              </w:rPr>
              <w:t xml:space="preserve"> </w:t>
            </w:r>
          </w:p>
          <w:p w14:paraId="0524370D" w14:textId="77777777" w:rsidR="008C3ED5" w:rsidRPr="00146BBA" w:rsidRDefault="008C3ED5"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655D3FDB" w14:textId="00C0F283"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b/>
              </w:rPr>
              <w:t>NB</w:t>
            </w:r>
            <w:r w:rsidRPr="00146BBA">
              <w:rPr>
                <w:rFonts w:asciiTheme="minorHAnsi" w:hAnsiTheme="minorHAnsi" w:cstheme="minorHAnsi"/>
              </w:rPr>
              <w:t xml:space="preserve">. Copies of these records held in HQ should also be destroyed after </w:t>
            </w:r>
            <w:r w:rsidRPr="00146BBA">
              <w:rPr>
                <w:rFonts w:asciiTheme="minorHAnsi" w:hAnsiTheme="minorHAnsi" w:cstheme="minorHAnsi"/>
                <w:b/>
              </w:rPr>
              <w:t>three years</w:t>
            </w:r>
          </w:p>
          <w:p w14:paraId="60F6B79E" w14:textId="0BCD7DBC" w:rsidR="008C3ED5" w:rsidRPr="00146BBA" w:rsidRDefault="008C3ED5"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r>
      <w:tr w:rsidR="009262CC" w:rsidRPr="00146BBA" w14:paraId="1EC7E30A" w14:textId="77777777" w:rsidTr="00EE6148">
        <w:tc>
          <w:tcPr>
            <w:cnfStyle w:val="001000000000" w:firstRow="0" w:lastRow="0" w:firstColumn="1" w:lastColumn="0" w:oddVBand="0" w:evenVBand="0" w:oddHBand="0" w:evenHBand="0" w:firstRowFirstColumn="0" w:firstRowLastColumn="0" w:lastRowFirstColumn="0" w:lastRowLastColumn="0"/>
            <w:tcW w:w="846" w:type="dxa"/>
            <w:vAlign w:val="center"/>
          </w:tcPr>
          <w:p w14:paraId="3491802F" w14:textId="77777777" w:rsidR="009262CC" w:rsidRPr="00146BBA" w:rsidRDefault="009262CC" w:rsidP="009262CC">
            <w:pPr>
              <w:pStyle w:val="Text"/>
              <w:numPr>
                <w:ilvl w:val="0"/>
                <w:numId w:val="11"/>
              </w:numPr>
              <w:spacing w:after="0"/>
              <w:rPr>
                <w:rFonts w:asciiTheme="minorHAnsi" w:hAnsiTheme="minorHAnsi" w:cstheme="minorHAnsi"/>
              </w:rPr>
            </w:pPr>
          </w:p>
        </w:tc>
        <w:tc>
          <w:tcPr>
            <w:tcW w:w="4536" w:type="dxa"/>
            <w:vAlign w:val="center"/>
          </w:tcPr>
          <w:p w14:paraId="19322FB7" w14:textId="77777777"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55D2D43" w14:textId="77777777"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a) Health checks in courts and business units including:</w:t>
            </w:r>
          </w:p>
          <w:p w14:paraId="529E3C81" w14:textId="77777777" w:rsidR="009262CC" w:rsidRPr="00146BBA" w:rsidRDefault="009262CC" w:rsidP="00146BBA">
            <w:pPr>
              <w:pStyle w:val="Text"/>
              <w:numPr>
                <w:ilvl w:val="0"/>
                <w:numId w:val="20"/>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reports and related papers</w:t>
            </w:r>
          </w:p>
          <w:p w14:paraId="1B84008D" w14:textId="77777777" w:rsidR="009262CC" w:rsidRPr="00146BBA" w:rsidRDefault="009262CC" w:rsidP="00146BBA">
            <w:pPr>
              <w:pStyle w:val="Text"/>
              <w:numPr>
                <w:ilvl w:val="0"/>
                <w:numId w:val="20"/>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correspondence</w:t>
            </w:r>
          </w:p>
          <w:p w14:paraId="3215D2FA" w14:textId="77777777" w:rsidR="009262CC" w:rsidRPr="00146BBA" w:rsidRDefault="009262CC" w:rsidP="00146BBA">
            <w:pPr>
              <w:pStyle w:val="Text"/>
              <w:numPr>
                <w:ilvl w:val="0"/>
                <w:numId w:val="20"/>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management information</w:t>
            </w:r>
          </w:p>
          <w:p w14:paraId="0A4B8BAD" w14:textId="77777777" w:rsidR="009262CC" w:rsidRPr="00146BBA" w:rsidRDefault="009262CC" w:rsidP="00146BBA">
            <w:pPr>
              <w:pStyle w:val="Text"/>
              <w:numPr>
                <w:ilvl w:val="0"/>
                <w:numId w:val="20"/>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 xml:space="preserve">evidence of recommendations met </w:t>
            </w:r>
          </w:p>
          <w:p w14:paraId="0F3A30EF" w14:textId="77777777"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74066F" w14:textId="795ECE8B" w:rsidR="009262CC" w:rsidRPr="00146BBA" w:rsidRDefault="00D62A7E"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 Deep dives in HQ Divisions and Operations</w:t>
            </w:r>
          </w:p>
          <w:p w14:paraId="4CEF649D" w14:textId="77777777"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46" w:type="dxa"/>
            <w:vAlign w:val="center"/>
          </w:tcPr>
          <w:p w14:paraId="6C27A058" w14:textId="77777777"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73F4FDF" w14:textId="6D9D5DD0"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 xml:space="preserve">Records are held by </w:t>
            </w:r>
            <w:r w:rsidR="00D62A7E">
              <w:rPr>
                <w:rFonts w:asciiTheme="minorHAnsi" w:hAnsiTheme="minorHAnsi" w:cstheme="minorHAnsi"/>
              </w:rPr>
              <w:t xml:space="preserve">Assurance Business Partners and Assurance Business </w:t>
            </w:r>
          </w:p>
          <w:p w14:paraId="62E7FA3F" w14:textId="574962BB"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Officers</w:t>
            </w:r>
          </w:p>
          <w:p w14:paraId="787833BA" w14:textId="77777777"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665558A" w14:textId="77777777"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 xml:space="preserve">Keep for </w:t>
            </w:r>
            <w:r w:rsidRPr="00146BBA">
              <w:rPr>
                <w:rFonts w:asciiTheme="minorHAnsi" w:hAnsiTheme="minorHAnsi" w:cstheme="minorHAnsi"/>
                <w:b/>
              </w:rPr>
              <w:t xml:space="preserve">three years </w:t>
            </w:r>
            <w:r w:rsidRPr="00146BBA">
              <w:rPr>
                <w:rFonts w:asciiTheme="minorHAnsi" w:hAnsiTheme="minorHAnsi" w:cstheme="minorHAnsi"/>
              </w:rPr>
              <w:t>from date that all issues and/or recommendations are completely resolved</w:t>
            </w:r>
            <w:r w:rsidRPr="00146BBA">
              <w:rPr>
                <w:rFonts w:asciiTheme="minorHAnsi" w:hAnsiTheme="minorHAnsi" w:cstheme="minorHAnsi"/>
                <w:b/>
              </w:rPr>
              <w:t xml:space="preserve"> </w:t>
            </w:r>
            <w:r w:rsidRPr="00146BBA">
              <w:rPr>
                <w:rFonts w:asciiTheme="minorHAnsi" w:hAnsiTheme="minorHAnsi" w:cstheme="minorHAnsi"/>
              </w:rPr>
              <w:t>and then destroy.</w:t>
            </w:r>
          </w:p>
          <w:p w14:paraId="688F696B" w14:textId="77777777"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0CC295A" w14:textId="77777777"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146BBA">
              <w:rPr>
                <w:rFonts w:asciiTheme="minorHAnsi" w:hAnsiTheme="minorHAnsi" w:cstheme="minorHAnsi"/>
                <w:b/>
              </w:rPr>
              <w:t>NB</w:t>
            </w:r>
            <w:r w:rsidRPr="00146BBA">
              <w:rPr>
                <w:rFonts w:asciiTheme="minorHAnsi" w:hAnsiTheme="minorHAnsi" w:cstheme="minorHAnsi"/>
              </w:rPr>
              <w:t xml:space="preserve">. Copies of these records held in HQ or other teams should also be destroyed after </w:t>
            </w:r>
            <w:r w:rsidRPr="00146BBA">
              <w:rPr>
                <w:rFonts w:asciiTheme="minorHAnsi" w:hAnsiTheme="minorHAnsi" w:cstheme="minorHAnsi"/>
                <w:b/>
              </w:rPr>
              <w:t>three years</w:t>
            </w:r>
          </w:p>
          <w:p w14:paraId="16F3B733" w14:textId="77777777" w:rsidR="009262CC" w:rsidRPr="00146BBA" w:rsidRDefault="009262CC" w:rsidP="00146BB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440BB" w:rsidRPr="00146BBA" w14:paraId="4125CFFD" w14:textId="77777777" w:rsidTr="00EE6148">
        <w:tc>
          <w:tcPr>
            <w:cnfStyle w:val="001000000000" w:firstRow="0" w:lastRow="0" w:firstColumn="1" w:lastColumn="0" w:oddVBand="0" w:evenVBand="0" w:oddHBand="0" w:evenHBand="0" w:firstRowFirstColumn="0" w:firstRowLastColumn="0" w:lastRowFirstColumn="0" w:lastRowLastColumn="0"/>
            <w:tcW w:w="846" w:type="dxa"/>
            <w:vAlign w:val="center"/>
          </w:tcPr>
          <w:p w14:paraId="3B258CF1" w14:textId="77777777" w:rsidR="00F440BB" w:rsidRPr="00146BBA" w:rsidRDefault="00F440BB" w:rsidP="00F440BB">
            <w:pPr>
              <w:pStyle w:val="Text"/>
              <w:spacing w:after="0"/>
              <w:ind w:left="360"/>
              <w:rPr>
                <w:rFonts w:asciiTheme="minorHAnsi" w:hAnsiTheme="minorHAnsi" w:cstheme="minorHAnsi"/>
              </w:rPr>
            </w:pPr>
          </w:p>
        </w:tc>
        <w:tc>
          <w:tcPr>
            <w:tcW w:w="4536" w:type="dxa"/>
            <w:vAlign w:val="center"/>
          </w:tcPr>
          <w:p w14:paraId="2A21D6C5" w14:textId="77777777" w:rsidR="00F440BB" w:rsidRDefault="00F440BB" w:rsidP="008B0FD6">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A9CBDBD" w14:textId="60474B55" w:rsidR="00F440BB" w:rsidRPr="00146BBA" w:rsidRDefault="00F440BB" w:rsidP="008B0FD6">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46" w:type="dxa"/>
            <w:vAlign w:val="center"/>
          </w:tcPr>
          <w:p w14:paraId="5A27BA60" w14:textId="77777777" w:rsidR="00F440BB" w:rsidRPr="00146BBA" w:rsidRDefault="00F440BB" w:rsidP="008B0FD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8B0FD6" w:rsidRPr="00146BBA" w14:paraId="4820A97E" w14:textId="77777777" w:rsidTr="00EE6148">
        <w:tc>
          <w:tcPr>
            <w:cnfStyle w:val="001000000000" w:firstRow="0" w:lastRow="0" w:firstColumn="1" w:lastColumn="0" w:oddVBand="0" w:evenVBand="0" w:oddHBand="0" w:evenHBand="0" w:firstRowFirstColumn="0" w:firstRowLastColumn="0" w:lastRowFirstColumn="0" w:lastRowLastColumn="0"/>
            <w:tcW w:w="846" w:type="dxa"/>
            <w:vAlign w:val="center"/>
          </w:tcPr>
          <w:p w14:paraId="7C34F172" w14:textId="77777777" w:rsidR="008B0FD6" w:rsidRPr="00146BBA" w:rsidRDefault="008B0FD6" w:rsidP="008B0FD6">
            <w:pPr>
              <w:pStyle w:val="Text"/>
              <w:numPr>
                <w:ilvl w:val="0"/>
                <w:numId w:val="11"/>
              </w:numPr>
              <w:spacing w:after="0"/>
              <w:rPr>
                <w:rFonts w:asciiTheme="minorHAnsi" w:hAnsiTheme="minorHAnsi" w:cstheme="minorHAnsi"/>
              </w:rPr>
            </w:pPr>
          </w:p>
        </w:tc>
        <w:tc>
          <w:tcPr>
            <w:tcW w:w="4536" w:type="dxa"/>
            <w:vAlign w:val="center"/>
          </w:tcPr>
          <w:p w14:paraId="161FAD1C" w14:textId="6AF7349F" w:rsidR="008B0FD6" w:rsidRPr="00146BBA" w:rsidRDefault="008B0FD6" w:rsidP="008B0FD6">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a) Anti money laundering logs</w:t>
            </w:r>
          </w:p>
        </w:tc>
        <w:tc>
          <w:tcPr>
            <w:tcW w:w="4246" w:type="dxa"/>
            <w:vAlign w:val="center"/>
          </w:tcPr>
          <w:p w14:paraId="590050BE" w14:textId="77777777" w:rsidR="008B0FD6" w:rsidRPr="001A7669" w:rsidRDefault="008B0FD6" w:rsidP="008B0FD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p>
          <w:p w14:paraId="7C267E6F" w14:textId="36B09CB6" w:rsidR="008B0FD6" w:rsidRPr="00146BBA" w:rsidRDefault="008B0FD6" w:rsidP="008B0FD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sidRPr="00146BBA">
              <w:rPr>
                <w:rFonts w:cstheme="minorHAnsi"/>
                <w:sz w:val="22"/>
              </w:rPr>
              <w:t xml:space="preserve">Keep for </w:t>
            </w:r>
            <w:r>
              <w:rPr>
                <w:rFonts w:cstheme="minorHAnsi"/>
                <w:b/>
                <w:sz w:val="22"/>
              </w:rPr>
              <w:t>two</w:t>
            </w:r>
            <w:r w:rsidRPr="00146BBA">
              <w:rPr>
                <w:rFonts w:cstheme="minorHAnsi"/>
                <w:b/>
                <w:sz w:val="22"/>
              </w:rPr>
              <w:t xml:space="preserve"> years</w:t>
            </w:r>
            <w:r w:rsidRPr="00146BBA">
              <w:rPr>
                <w:rFonts w:cstheme="minorHAnsi"/>
                <w:sz w:val="22"/>
              </w:rPr>
              <w:t>:</w:t>
            </w:r>
          </w:p>
          <w:p w14:paraId="6BCD5A5D" w14:textId="77777777" w:rsidR="008B0FD6" w:rsidRPr="00146BBA" w:rsidRDefault="008B0FD6" w:rsidP="008B0FD6">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146BBA">
              <w:rPr>
                <w:rFonts w:asciiTheme="minorHAnsi" w:hAnsiTheme="minorHAnsi" w:cstheme="minorHAnsi"/>
                <w:szCs w:val="22"/>
              </w:rPr>
              <w:t xml:space="preserve">Where investigation has led to prosecution, keep for </w:t>
            </w:r>
            <w:r w:rsidRPr="00146BBA">
              <w:rPr>
                <w:rFonts w:asciiTheme="minorHAnsi" w:hAnsiTheme="minorHAnsi" w:cstheme="minorHAnsi"/>
                <w:b/>
                <w:szCs w:val="22"/>
              </w:rPr>
              <w:t xml:space="preserve">seven years </w:t>
            </w:r>
            <w:r w:rsidRPr="00146BBA">
              <w:rPr>
                <w:rFonts w:asciiTheme="minorHAnsi" w:hAnsiTheme="minorHAnsi" w:cstheme="minorHAnsi"/>
                <w:szCs w:val="22"/>
              </w:rPr>
              <w:t>from date case ended and then destroy</w:t>
            </w:r>
          </w:p>
          <w:p w14:paraId="40108D4F" w14:textId="77777777" w:rsidR="008B0FD6" w:rsidRPr="00146BBA" w:rsidRDefault="008B0FD6" w:rsidP="008B0FD6">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146BBA">
              <w:rPr>
                <w:rFonts w:asciiTheme="minorHAnsi" w:hAnsiTheme="minorHAnsi" w:cstheme="minorHAnsi"/>
                <w:szCs w:val="22"/>
              </w:rPr>
              <w:t>Otherwise destroy</w:t>
            </w:r>
          </w:p>
          <w:p w14:paraId="5840C70A" w14:textId="77777777" w:rsidR="008B0FD6" w:rsidRPr="001A7669" w:rsidRDefault="008B0FD6" w:rsidP="008B0FD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8B0FD6" w:rsidRPr="00146BBA" w14:paraId="66A2D6AC" w14:textId="77777777" w:rsidTr="00EE6148">
        <w:tc>
          <w:tcPr>
            <w:cnfStyle w:val="001000000000" w:firstRow="0" w:lastRow="0" w:firstColumn="1" w:lastColumn="0" w:oddVBand="0" w:evenVBand="0" w:oddHBand="0" w:evenHBand="0" w:firstRowFirstColumn="0" w:firstRowLastColumn="0" w:lastRowFirstColumn="0" w:lastRowLastColumn="0"/>
            <w:tcW w:w="846" w:type="dxa"/>
            <w:vAlign w:val="center"/>
          </w:tcPr>
          <w:p w14:paraId="1F7D689A" w14:textId="77777777" w:rsidR="008B0FD6" w:rsidRPr="00146BBA" w:rsidRDefault="008B0FD6" w:rsidP="008B0FD6">
            <w:pPr>
              <w:pStyle w:val="Text"/>
              <w:numPr>
                <w:ilvl w:val="0"/>
                <w:numId w:val="11"/>
              </w:numPr>
              <w:spacing w:after="0"/>
              <w:rPr>
                <w:rFonts w:asciiTheme="minorHAnsi" w:hAnsiTheme="minorHAnsi" w:cstheme="minorHAnsi"/>
              </w:rPr>
            </w:pPr>
          </w:p>
        </w:tc>
        <w:tc>
          <w:tcPr>
            <w:tcW w:w="4536" w:type="dxa"/>
            <w:vAlign w:val="center"/>
          </w:tcPr>
          <w:p w14:paraId="3EF8197D" w14:textId="77777777" w:rsidR="008B0FD6" w:rsidRPr="00146BBA" w:rsidRDefault="008B0FD6" w:rsidP="008B0FD6">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88C43CF" w14:textId="3907D992" w:rsidR="008B0FD6" w:rsidRPr="008B0FD6" w:rsidRDefault="008B0FD6" w:rsidP="008B0FD6">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rPr>
            </w:pPr>
            <w:r>
              <w:rPr>
                <w:rFonts w:asciiTheme="minorHAnsi" w:hAnsiTheme="minorHAnsi" w:cstheme="minorHAnsi"/>
              </w:rPr>
              <w:t>a</w:t>
            </w:r>
            <w:r w:rsidRPr="00146BBA">
              <w:rPr>
                <w:rFonts w:asciiTheme="minorHAnsi" w:hAnsiTheme="minorHAnsi" w:cstheme="minorHAnsi"/>
              </w:rPr>
              <w:t xml:space="preserve">) Serious National Crime Agency (NCA) referrals </w:t>
            </w:r>
          </w:p>
          <w:p w14:paraId="6812391C" w14:textId="376BED48" w:rsidR="008B0FD6" w:rsidRPr="00146BBA" w:rsidRDefault="008B0FD6" w:rsidP="008B0FD6">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w:t>
            </w:r>
            <w:r w:rsidRPr="00146BBA">
              <w:rPr>
                <w:rFonts w:asciiTheme="minorHAnsi" w:hAnsiTheme="minorHAnsi" w:cstheme="minorHAnsi"/>
              </w:rPr>
              <w:t>) other related correspondence</w:t>
            </w:r>
          </w:p>
          <w:p w14:paraId="29229903" w14:textId="77777777" w:rsidR="008B0FD6" w:rsidRPr="00146BBA" w:rsidRDefault="008B0FD6" w:rsidP="008B0FD6">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46" w:type="dxa"/>
            <w:vAlign w:val="center"/>
          </w:tcPr>
          <w:p w14:paraId="4FC58246" w14:textId="77777777" w:rsidR="008B0FD6" w:rsidRPr="001A7669" w:rsidRDefault="008B0FD6" w:rsidP="008B0FD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p>
          <w:p w14:paraId="2AC3523F" w14:textId="3D5DBA6B" w:rsidR="008B0FD6" w:rsidRPr="00146BBA" w:rsidRDefault="008B0FD6" w:rsidP="008B0FD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sidRPr="00146BBA">
              <w:rPr>
                <w:rFonts w:cstheme="minorHAnsi"/>
                <w:sz w:val="22"/>
              </w:rPr>
              <w:t xml:space="preserve">Keep for </w:t>
            </w:r>
            <w:r w:rsidRPr="00146BBA">
              <w:rPr>
                <w:rFonts w:cstheme="minorHAnsi"/>
                <w:b/>
                <w:sz w:val="22"/>
              </w:rPr>
              <w:t>three years</w:t>
            </w:r>
            <w:r w:rsidRPr="00146BBA">
              <w:rPr>
                <w:rFonts w:cstheme="minorHAnsi"/>
                <w:sz w:val="22"/>
              </w:rPr>
              <w:t>:</w:t>
            </w:r>
          </w:p>
          <w:p w14:paraId="2236F21C" w14:textId="77777777" w:rsidR="008B0FD6" w:rsidRPr="00146BBA" w:rsidRDefault="008B0FD6" w:rsidP="008B0FD6">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146BBA">
              <w:rPr>
                <w:rFonts w:asciiTheme="minorHAnsi" w:hAnsiTheme="minorHAnsi" w:cstheme="minorHAnsi"/>
                <w:szCs w:val="22"/>
              </w:rPr>
              <w:t xml:space="preserve">Where investigation has led to prosecution, keep for </w:t>
            </w:r>
            <w:r w:rsidRPr="00146BBA">
              <w:rPr>
                <w:rFonts w:asciiTheme="minorHAnsi" w:hAnsiTheme="minorHAnsi" w:cstheme="minorHAnsi"/>
                <w:b/>
                <w:szCs w:val="22"/>
              </w:rPr>
              <w:t xml:space="preserve">seven years </w:t>
            </w:r>
            <w:r w:rsidRPr="00146BBA">
              <w:rPr>
                <w:rFonts w:asciiTheme="minorHAnsi" w:hAnsiTheme="minorHAnsi" w:cstheme="minorHAnsi"/>
                <w:szCs w:val="22"/>
              </w:rPr>
              <w:t>from date case ended and then destroy</w:t>
            </w:r>
          </w:p>
          <w:p w14:paraId="30F2F0FE" w14:textId="77777777" w:rsidR="008B0FD6" w:rsidRPr="00146BBA" w:rsidRDefault="008B0FD6" w:rsidP="008B0FD6">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146BBA">
              <w:rPr>
                <w:rFonts w:asciiTheme="minorHAnsi" w:hAnsiTheme="minorHAnsi" w:cstheme="minorHAnsi"/>
                <w:szCs w:val="22"/>
              </w:rPr>
              <w:t>Otherwise destroy</w:t>
            </w:r>
          </w:p>
          <w:p w14:paraId="2F54E35B" w14:textId="77777777" w:rsidR="008B0FD6" w:rsidRPr="001A7669" w:rsidRDefault="008B0FD6" w:rsidP="008B0FD6">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440BB" w:rsidRPr="00146BBA" w14:paraId="6FDC85DB" w14:textId="77777777" w:rsidTr="00EE6148">
        <w:tc>
          <w:tcPr>
            <w:cnfStyle w:val="001000000000" w:firstRow="0" w:lastRow="0" w:firstColumn="1" w:lastColumn="0" w:oddVBand="0" w:evenVBand="0" w:oddHBand="0" w:evenHBand="0" w:firstRowFirstColumn="0" w:firstRowLastColumn="0" w:lastRowFirstColumn="0" w:lastRowLastColumn="0"/>
            <w:tcW w:w="846" w:type="dxa"/>
            <w:vAlign w:val="center"/>
          </w:tcPr>
          <w:p w14:paraId="606A7537" w14:textId="77777777" w:rsidR="00F440BB" w:rsidRPr="00146BBA" w:rsidRDefault="00F440BB" w:rsidP="00F440BB">
            <w:pPr>
              <w:pStyle w:val="Text"/>
              <w:numPr>
                <w:ilvl w:val="0"/>
                <w:numId w:val="11"/>
              </w:numPr>
              <w:spacing w:after="0"/>
              <w:rPr>
                <w:rFonts w:asciiTheme="minorHAnsi" w:hAnsiTheme="minorHAnsi" w:cstheme="minorHAnsi"/>
              </w:rPr>
            </w:pPr>
          </w:p>
        </w:tc>
        <w:tc>
          <w:tcPr>
            <w:tcW w:w="4536" w:type="dxa"/>
            <w:vAlign w:val="center"/>
          </w:tcPr>
          <w:p w14:paraId="6F31AD13"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F1FB2E4" w14:textId="7977FBFC" w:rsidR="00F440BB"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a) Case and Asset Tracking System (CATS) database content</w:t>
            </w:r>
          </w:p>
        </w:tc>
        <w:tc>
          <w:tcPr>
            <w:tcW w:w="4246" w:type="dxa"/>
            <w:vAlign w:val="center"/>
          </w:tcPr>
          <w:p w14:paraId="37995FE6"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200CA0F" w14:textId="77777777" w:rsidR="00F440BB" w:rsidRPr="00F440BB"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40BB">
              <w:rPr>
                <w:rFonts w:asciiTheme="minorHAnsi" w:hAnsiTheme="minorHAnsi" w:cstheme="minorHAnsi"/>
              </w:rPr>
              <w:t xml:space="preserve">For criminal cases, keep for </w:t>
            </w:r>
            <w:r w:rsidRPr="00F440BB">
              <w:rPr>
                <w:rFonts w:asciiTheme="minorHAnsi" w:hAnsiTheme="minorHAnsi" w:cstheme="minorHAnsi"/>
                <w:b/>
              </w:rPr>
              <w:t xml:space="preserve">seven years </w:t>
            </w:r>
            <w:r w:rsidRPr="00F440BB">
              <w:rPr>
                <w:rFonts w:asciiTheme="minorHAnsi" w:hAnsiTheme="minorHAnsi" w:cstheme="minorHAnsi"/>
              </w:rPr>
              <w:t xml:space="preserve">from date case ended and then destroy (or for length of sentence plus one year) whichever is the longer </w:t>
            </w:r>
          </w:p>
          <w:p w14:paraId="43544A36" w14:textId="77777777" w:rsidR="00F440BB" w:rsidRPr="00F440BB"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3AFCC44" w14:textId="77777777" w:rsidR="00F440BB" w:rsidRPr="00F440BB"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40BB">
              <w:rPr>
                <w:rFonts w:asciiTheme="minorHAnsi" w:hAnsiTheme="minorHAnsi" w:cstheme="minorHAnsi"/>
              </w:rPr>
              <w:t xml:space="preserve">For suspicious activity reports; keep for </w:t>
            </w:r>
            <w:r w:rsidRPr="00F440BB">
              <w:rPr>
                <w:rFonts w:asciiTheme="minorHAnsi" w:hAnsiTheme="minorHAnsi" w:cstheme="minorHAnsi"/>
                <w:b/>
              </w:rPr>
              <w:t>six months</w:t>
            </w:r>
            <w:r w:rsidRPr="00F440BB">
              <w:rPr>
                <w:rFonts w:asciiTheme="minorHAnsi" w:hAnsiTheme="minorHAnsi" w:cstheme="minorHAnsi"/>
              </w:rPr>
              <w:t xml:space="preserve">  </w:t>
            </w:r>
          </w:p>
          <w:p w14:paraId="5A3C0D97" w14:textId="77777777" w:rsidR="00F440BB" w:rsidRPr="00F440BB"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CE23F3C" w14:textId="77777777" w:rsidR="00F440BB" w:rsidRPr="00F440BB"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40BB">
              <w:rPr>
                <w:rFonts w:asciiTheme="minorHAnsi" w:hAnsiTheme="minorHAnsi" w:cstheme="minorHAnsi"/>
              </w:rPr>
              <w:t xml:space="preserve">For all other cases, keep for </w:t>
            </w:r>
            <w:r w:rsidRPr="00F440BB">
              <w:rPr>
                <w:rFonts w:asciiTheme="minorHAnsi" w:hAnsiTheme="minorHAnsi" w:cstheme="minorHAnsi"/>
                <w:b/>
              </w:rPr>
              <w:t xml:space="preserve">three years </w:t>
            </w:r>
            <w:r w:rsidRPr="00F440BB">
              <w:rPr>
                <w:rFonts w:asciiTheme="minorHAnsi" w:hAnsiTheme="minorHAnsi" w:cstheme="minorHAnsi"/>
              </w:rPr>
              <w:t>from date case ended and then destroy</w:t>
            </w:r>
          </w:p>
          <w:p w14:paraId="2E1ED4F5"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440BB" w:rsidRPr="00146BBA" w14:paraId="33FBC02D" w14:textId="77777777" w:rsidTr="00EE6148">
        <w:tc>
          <w:tcPr>
            <w:cnfStyle w:val="001000000000" w:firstRow="0" w:lastRow="0" w:firstColumn="1" w:lastColumn="0" w:oddVBand="0" w:evenVBand="0" w:oddHBand="0" w:evenHBand="0" w:firstRowFirstColumn="0" w:firstRowLastColumn="0" w:lastRowFirstColumn="0" w:lastRowLastColumn="0"/>
            <w:tcW w:w="846" w:type="dxa"/>
            <w:vAlign w:val="center"/>
          </w:tcPr>
          <w:p w14:paraId="790F9129" w14:textId="77777777" w:rsidR="00F440BB" w:rsidRPr="00146BBA" w:rsidRDefault="00F440BB" w:rsidP="00F440BB">
            <w:pPr>
              <w:pStyle w:val="Text"/>
              <w:numPr>
                <w:ilvl w:val="0"/>
                <w:numId w:val="11"/>
              </w:numPr>
              <w:spacing w:after="0"/>
              <w:rPr>
                <w:rFonts w:asciiTheme="minorHAnsi" w:hAnsiTheme="minorHAnsi" w:cstheme="minorHAnsi"/>
              </w:rPr>
            </w:pPr>
          </w:p>
        </w:tc>
        <w:tc>
          <w:tcPr>
            <w:tcW w:w="4536" w:type="dxa"/>
            <w:vAlign w:val="center"/>
          </w:tcPr>
          <w:p w14:paraId="6540BB9E" w14:textId="19BDE44C"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Integrated Fraud System (IFS) database content</w:t>
            </w:r>
          </w:p>
        </w:tc>
        <w:tc>
          <w:tcPr>
            <w:tcW w:w="4246" w:type="dxa"/>
            <w:vAlign w:val="center"/>
          </w:tcPr>
          <w:p w14:paraId="3C70B58B"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A461981" w14:textId="31CCF0AC" w:rsidR="00F440BB" w:rsidRPr="00CB0A07"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B0A07">
              <w:rPr>
                <w:rFonts w:asciiTheme="minorHAnsi" w:hAnsiTheme="minorHAnsi" w:cstheme="minorHAnsi"/>
              </w:rPr>
              <w:t xml:space="preserve">Keep for </w:t>
            </w:r>
            <w:r w:rsidRPr="00CB0A07">
              <w:rPr>
                <w:rFonts w:asciiTheme="minorHAnsi" w:hAnsiTheme="minorHAnsi" w:cstheme="minorHAnsi"/>
                <w:b/>
              </w:rPr>
              <w:t xml:space="preserve">seven years </w:t>
            </w:r>
            <w:r w:rsidRPr="00CB0A07">
              <w:rPr>
                <w:rFonts w:asciiTheme="minorHAnsi" w:hAnsiTheme="minorHAnsi" w:cstheme="minorHAnsi"/>
              </w:rPr>
              <w:t>from case end</w:t>
            </w:r>
            <w:r w:rsidRPr="00CB0A07">
              <w:rPr>
                <w:rFonts w:asciiTheme="minorHAnsi" w:hAnsiTheme="minorHAnsi" w:cstheme="minorHAnsi"/>
                <w:b/>
              </w:rPr>
              <w:t xml:space="preserve"> </w:t>
            </w:r>
            <w:r w:rsidRPr="00CB0A07">
              <w:rPr>
                <w:rFonts w:asciiTheme="minorHAnsi" w:hAnsiTheme="minorHAnsi" w:cstheme="minorHAnsi"/>
              </w:rPr>
              <w:t>and then destroy</w:t>
            </w:r>
          </w:p>
          <w:p w14:paraId="7F6A819F"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440BB" w:rsidRPr="00146BBA" w14:paraId="6A0012A8" w14:textId="77777777" w:rsidTr="00EE6148">
        <w:tc>
          <w:tcPr>
            <w:cnfStyle w:val="001000000000" w:firstRow="0" w:lastRow="0" w:firstColumn="1" w:lastColumn="0" w:oddVBand="0" w:evenVBand="0" w:oddHBand="0" w:evenHBand="0" w:firstRowFirstColumn="0" w:firstRowLastColumn="0" w:lastRowFirstColumn="0" w:lastRowLastColumn="0"/>
            <w:tcW w:w="846" w:type="dxa"/>
            <w:vAlign w:val="center"/>
          </w:tcPr>
          <w:p w14:paraId="1F13AB25" w14:textId="77777777" w:rsidR="00F440BB" w:rsidRPr="00146BBA" w:rsidRDefault="00F440BB" w:rsidP="00F440BB">
            <w:pPr>
              <w:pStyle w:val="Text"/>
              <w:numPr>
                <w:ilvl w:val="0"/>
                <w:numId w:val="11"/>
              </w:numPr>
              <w:spacing w:after="0"/>
              <w:rPr>
                <w:rFonts w:asciiTheme="minorHAnsi" w:hAnsiTheme="minorHAnsi" w:cstheme="minorHAnsi"/>
              </w:rPr>
            </w:pPr>
          </w:p>
        </w:tc>
        <w:tc>
          <w:tcPr>
            <w:tcW w:w="4536" w:type="dxa"/>
            <w:vAlign w:val="center"/>
          </w:tcPr>
          <w:p w14:paraId="0B1F46FA" w14:textId="77777777" w:rsidR="001A7669" w:rsidRDefault="001A7669"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1EF474F" w14:textId="41BF49B5"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 xml:space="preserve">HMCTS </w:t>
            </w:r>
            <w:r w:rsidR="000A02FA">
              <w:rPr>
                <w:rFonts w:asciiTheme="minorHAnsi" w:hAnsiTheme="minorHAnsi" w:cstheme="minorHAnsi"/>
              </w:rPr>
              <w:t xml:space="preserve">Counter-Fraud and </w:t>
            </w:r>
            <w:r w:rsidRPr="00146BBA">
              <w:rPr>
                <w:rFonts w:asciiTheme="minorHAnsi" w:hAnsiTheme="minorHAnsi" w:cstheme="minorHAnsi"/>
              </w:rPr>
              <w:t>Investigations team:</w:t>
            </w:r>
          </w:p>
          <w:p w14:paraId="138F78B2" w14:textId="7DB81AC6"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 xml:space="preserve">a) </w:t>
            </w:r>
            <w:r w:rsidR="000A02FA">
              <w:rPr>
                <w:rFonts w:asciiTheme="minorHAnsi" w:hAnsiTheme="minorHAnsi" w:cstheme="minorHAnsi"/>
              </w:rPr>
              <w:t xml:space="preserve">Investigation reports and case documents or </w:t>
            </w:r>
            <w:r w:rsidRPr="00146BBA">
              <w:rPr>
                <w:rFonts w:asciiTheme="minorHAnsi" w:hAnsiTheme="minorHAnsi" w:cstheme="minorHAnsi"/>
              </w:rPr>
              <w:t>reports</w:t>
            </w:r>
          </w:p>
          <w:p w14:paraId="094BD188" w14:textId="77777777" w:rsidR="001A7669" w:rsidRDefault="00F440BB" w:rsidP="000A02F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 xml:space="preserve">b) </w:t>
            </w:r>
            <w:r w:rsidR="000A02FA">
              <w:rPr>
                <w:rFonts w:asciiTheme="minorHAnsi" w:hAnsiTheme="minorHAnsi" w:cstheme="minorHAnsi"/>
              </w:rPr>
              <w:t>Other corporate reports</w:t>
            </w:r>
          </w:p>
          <w:p w14:paraId="50996961" w14:textId="42A9DB38" w:rsidR="000A02FA" w:rsidRPr="00146BBA" w:rsidRDefault="000A02FA" w:rsidP="000A02FA">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46" w:type="dxa"/>
            <w:vAlign w:val="center"/>
          </w:tcPr>
          <w:p w14:paraId="76AA93D1" w14:textId="77777777" w:rsidR="00F440BB"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4F56394" w14:textId="77777777" w:rsidR="00F440BB"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 xml:space="preserve">Keep for </w:t>
            </w:r>
            <w:r w:rsidRPr="00146BBA">
              <w:rPr>
                <w:rFonts w:asciiTheme="minorHAnsi" w:hAnsiTheme="minorHAnsi" w:cstheme="minorHAnsi"/>
                <w:b/>
              </w:rPr>
              <w:t xml:space="preserve">five years </w:t>
            </w:r>
            <w:r w:rsidRPr="00146BBA">
              <w:rPr>
                <w:rFonts w:asciiTheme="minorHAnsi" w:hAnsiTheme="minorHAnsi" w:cstheme="minorHAnsi"/>
              </w:rPr>
              <w:t>from report date and then destroy</w:t>
            </w:r>
          </w:p>
          <w:p w14:paraId="286C9E42" w14:textId="3AF6B11C"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440BB" w:rsidRPr="00146BBA" w14:paraId="15BCC318" w14:textId="77777777" w:rsidTr="00EE6148">
        <w:tc>
          <w:tcPr>
            <w:cnfStyle w:val="001000000000" w:firstRow="0" w:lastRow="0" w:firstColumn="1" w:lastColumn="0" w:oddVBand="0" w:evenVBand="0" w:oddHBand="0" w:evenHBand="0" w:firstRowFirstColumn="0" w:firstRowLastColumn="0" w:lastRowFirstColumn="0" w:lastRowLastColumn="0"/>
            <w:tcW w:w="846" w:type="dxa"/>
            <w:vAlign w:val="center"/>
          </w:tcPr>
          <w:p w14:paraId="769DF8D0" w14:textId="77777777" w:rsidR="00F440BB" w:rsidRPr="00146BBA" w:rsidRDefault="00F440BB" w:rsidP="00F440BB">
            <w:pPr>
              <w:pStyle w:val="Text"/>
              <w:numPr>
                <w:ilvl w:val="0"/>
                <w:numId w:val="11"/>
              </w:numPr>
              <w:spacing w:after="0"/>
              <w:rPr>
                <w:rFonts w:asciiTheme="minorHAnsi" w:hAnsiTheme="minorHAnsi" w:cstheme="minorHAnsi"/>
              </w:rPr>
            </w:pPr>
          </w:p>
        </w:tc>
        <w:tc>
          <w:tcPr>
            <w:tcW w:w="4536" w:type="dxa"/>
            <w:vAlign w:val="center"/>
          </w:tcPr>
          <w:p w14:paraId="4E99424E" w14:textId="77777777" w:rsidR="00E74536" w:rsidRDefault="00E74536"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570A60C" w14:textId="6E1249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Corporate publications:</w:t>
            </w:r>
          </w:p>
          <w:p w14:paraId="7642D1E6" w14:textId="61D71268" w:rsidR="00F440BB" w:rsidRPr="00146BBA" w:rsidRDefault="00F440BB" w:rsidP="00F440B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sidRPr="00146BBA">
              <w:rPr>
                <w:rFonts w:cstheme="minorHAnsi"/>
                <w:sz w:val="22"/>
              </w:rPr>
              <w:t>a) HMCTS contributions to MoJ Single Departmental Plan</w:t>
            </w:r>
          </w:p>
          <w:p w14:paraId="079831FF" w14:textId="10C87E41" w:rsidR="00F440BB" w:rsidRPr="00146BBA" w:rsidRDefault="00F440BB" w:rsidP="00F440B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sidRPr="00146BBA">
              <w:rPr>
                <w:rFonts w:cstheme="minorHAnsi"/>
                <w:sz w:val="22"/>
              </w:rPr>
              <w:t>b) HMCTS Annual</w:t>
            </w:r>
            <w:r w:rsidR="00E74536">
              <w:rPr>
                <w:rFonts w:cstheme="minorHAnsi"/>
                <w:sz w:val="22"/>
              </w:rPr>
              <w:t xml:space="preserve"> Reports and Account</w:t>
            </w:r>
            <w:r w:rsidRPr="00146BBA">
              <w:rPr>
                <w:rFonts w:cstheme="minorHAnsi"/>
                <w:sz w:val="22"/>
              </w:rPr>
              <w:t>s - Governance Statement and supporting documentation</w:t>
            </w:r>
          </w:p>
          <w:p w14:paraId="74C2BE3A" w14:textId="346A2684" w:rsidR="00F440BB" w:rsidRPr="00146BBA" w:rsidRDefault="00F440BB" w:rsidP="00F440B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sidRPr="00146BBA">
              <w:rPr>
                <w:rFonts w:cstheme="minorHAnsi"/>
                <w:sz w:val="22"/>
              </w:rPr>
              <w:t>c) HMCTS Annual Trust Statement - Governance Statement and supporting documentation</w:t>
            </w:r>
          </w:p>
          <w:p w14:paraId="45C2A689" w14:textId="17AA7245"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d) Annual report, business plans and all other corporate publications</w:t>
            </w:r>
          </w:p>
          <w:p w14:paraId="255F2CD7"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46" w:type="dxa"/>
            <w:vAlign w:val="center"/>
          </w:tcPr>
          <w:p w14:paraId="0D32ADEC"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1377151" w14:textId="02DCF051"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 xml:space="preserve">a) Keep for </w:t>
            </w:r>
            <w:r w:rsidRPr="00146BBA">
              <w:rPr>
                <w:rFonts w:asciiTheme="minorHAnsi" w:hAnsiTheme="minorHAnsi" w:cstheme="minorHAnsi"/>
                <w:b/>
              </w:rPr>
              <w:t>three years</w:t>
            </w:r>
            <w:r w:rsidRPr="00146BBA">
              <w:rPr>
                <w:rFonts w:asciiTheme="minorHAnsi" w:hAnsiTheme="minorHAnsi" w:cstheme="minorHAnsi"/>
              </w:rPr>
              <w:t xml:space="preserve"> and then review:</w:t>
            </w:r>
          </w:p>
          <w:p w14:paraId="58211E1A" w14:textId="4E61A2E9" w:rsidR="00F440BB" w:rsidRPr="00146BBA" w:rsidRDefault="00F440BB" w:rsidP="00F440BB">
            <w:pPr>
              <w:pStyle w:val="Text"/>
              <w:numPr>
                <w:ilvl w:val="0"/>
                <w:numId w:val="25"/>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Where operationally relevant, keep for a further three years and then review. Repeat until no longer required.</w:t>
            </w:r>
          </w:p>
          <w:p w14:paraId="12B39BA4" w14:textId="283198A3" w:rsidR="00F440BB" w:rsidRPr="00146BBA" w:rsidRDefault="00F440BB" w:rsidP="00F440BB">
            <w:pPr>
              <w:pStyle w:val="Text"/>
              <w:numPr>
                <w:ilvl w:val="0"/>
                <w:numId w:val="25"/>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Where no longer required, destroy immediately.</w:t>
            </w:r>
          </w:p>
          <w:p w14:paraId="4E5FE3D7"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93065F8" w14:textId="4E392233"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 xml:space="preserve">b-d) Keep for </w:t>
            </w:r>
            <w:r w:rsidRPr="00146BBA">
              <w:rPr>
                <w:rFonts w:asciiTheme="minorHAnsi" w:hAnsiTheme="minorHAnsi" w:cstheme="minorHAnsi"/>
                <w:b/>
              </w:rPr>
              <w:t xml:space="preserve">six years </w:t>
            </w:r>
            <w:r w:rsidRPr="00146BBA">
              <w:rPr>
                <w:rFonts w:asciiTheme="minorHAnsi" w:hAnsiTheme="minorHAnsi" w:cstheme="minorHAnsi"/>
              </w:rPr>
              <w:t>from date of report and then destroy</w:t>
            </w:r>
          </w:p>
          <w:p w14:paraId="4F47EF86" w14:textId="31CC6B91"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440BB" w:rsidRPr="00146BBA" w14:paraId="573C5DDB" w14:textId="77777777" w:rsidTr="00EE6148">
        <w:tc>
          <w:tcPr>
            <w:cnfStyle w:val="001000000000" w:firstRow="0" w:lastRow="0" w:firstColumn="1" w:lastColumn="0" w:oddVBand="0" w:evenVBand="0" w:oddHBand="0" w:evenHBand="0" w:firstRowFirstColumn="0" w:firstRowLastColumn="0" w:lastRowFirstColumn="0" w:lastRowLastColumn="0"/>
            <w:tcW w:w="846" w:type="dxa"/>
            <w:vAlign w:val="center"/>
          </w:tcPr>
          <w:p w14:paraId="62DA91E4" w14:textId="77777777" w:rsidR="00F440BB" w:rsidRPr="00146BBA" w:rsidRDefault="00F440BB" w:rsidP="00F440BB">
            <w:pPr>
              <w:pStyle w:val="Text"/>
              <w:numPr>
                <w:ilvl w:val="0"/>
                <w:numId w:val="11"/>
              </w:numPr>
              <w:spacing w:after="0"/>
              <w:rPr>
                <w:rFonts w:asciiTheme="minorHAnsi" w:hAnsiTheme="minorHAnsi" w:cstheme="minorHAnsi"/>
              </w:rPr>
            </w:pPr>
          </w:p>
        </w:tc>
        <w:tc>
          <w:tcPr>
            <w:tcW w:w="4536" w:type="dxa"/>
            <w:vAlign w:val="center"/>
          </w:tcPr>
          <w:p w14:paraId="6397E4DC"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p w14:paraId="5533C66E"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HMCTS-specific policies including, but not limited to:</w:t>
            </w:r>
          </w:p>
          <w:p w14:paraId="3E504320"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 xml:space="preserve">a) Risk management </w:t>
            </w:r>
          </w:p>
          <w:p w14:paraId="282C024F"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b) Fraud guidance</w:t>
            </w:r>
          </w:p>
          <w:p w14:paraId="3B6168D1"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c) Information assurance</w:t>
            </w:r>
          </w:p>
          <w:p w14:paraId="761BC05A"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tc>
        <w:tc>
          <w:tcPr>
            <w:tcW w:w="4246" w:type="dxa"/>
            <w:vAlign w:val="center"/>
          </w:tcPr>
          <w:p w14:paraId="21AF2572" w14:textId="22FEE4C8"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 xml:space="preserve">Keep for </w:t>
            </w:r>
            <w:r w:rsidRPr="00146BBA">
              <w:rPr>
                <w:rFonts w:asciiTheme="minorHAnsi" w:hAnsiTheme="minorHAnsi" w:cstheme="minorHAnsi"/>
                <w:b/>
              </w:rPr>
              <w:t xml:space="preserve">three years </w:t>
            </w:r>
            <w:r w:rsidRPr="00146BBA">
              <w:rPr>
                <w:rFonts w:asciiTheme="minorHAnsi" w:hAnsiTheme="minorHAnsi" w:cstheme="minorHAnsi"/>
              </w:rPr>
              <w:t>from date superseded and then destroy</w:t>
            </w:r>
          </w:p>
        </w:tc>
      </w:tr>
      <w:tr w:rsidR="00F440BB" w:rsidRPr="00146BBA" w14:paraId="6D7F4AF1" w14:textId="77777777" w:rsidTr="00EE6148">
        <w:tc>
          <w:tcPr>
            <w:cnfStyle w:val="001000000000" w:firstRow="0" w:lastRow="0" w:firstColumn="1" w:lastColumn="0" w:oddVBand="0" w:evenVBand="0" w:oddHBand="0" w:evenHBand="0" w:firstRowFirstColumn="0" w:firstRowLastColumn="0" w:lastRowFirstColumn="0" w:lastRowLastColumn="0"/>
            <w:tcW w:w="846" w:type="dxa"/>
            <w:vAlign w:val="center"/>
          </w:tcPr>
          <w:p w14:paraId="0A4570DF" w14:textId="77777777" w:rsidR="00F440BB" w:rsidRPr="00146BBA" w:rsidRDefault="00F440BB" w:rsidP="00F440BB">
            <w:pPr>
              <w:pStyle w:val="Text"/>
              <w:numPr>
                <w:ilvl w:val="0"/>
                <w:numId w:val="11"/>
              </w:numPr>
              <w:spacing w:after="0"/>
              <w:rPr>
                <w:rFonts w:asciiTheme="minorHAnsi" w:hAnsiTheme="minorHAnsi" w:cstheme="minorHAnsi"/>
              </w:rPr>
            </w:pPr>
          </w:p>
        </w:tc>
        <w:tc>
          <w:tcPr>
            <w:tcW w:w="4536" w:type="dxa"/>
            <w:vAlign w:val="center"/>
          </w:tcPr>
          <w:p w14:paraId="1D3A76DB"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p w14:paraId="66EE61C2"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Minutes from formally constituted groups including, but not limited to:</w:t>
            </w:r>
          </w:p>
          <w:p w14:paraId="62294423" w14:textId="77777777" w:rsidR="00F440BB" w:rsidRPr="00146BBA" w:rsidRDefault="00F440BB" w:rsidP="00F440BB">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SOC Steering Group</w:t>
            </w:r>
          </w:p>
          <w:p w14:paraId="6427EBCC" w14:textId="77777777" w:rsidR="00F440BB" w:rsidRPr="00146BBA" w:rsidRDefault="00F440BB" w:rsidP="00F440BB">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Senior Management Team</w:t>
            </w:r>
          </w:p>
          <w:p w14:paraId="2507D4B5"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tc>
        <w:tc>
          <w:tcPr>
            <w:tcW w:w="4246" w:type="dxa"/>
            <w:vAlign w:val="center"/>
          </w:tcPr>
          <w:p w14:paraId="6A8DDF54"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 xml:space="preserve">Keep for </w:t>
            </w:r>
            <w:r w:rsidRPr="00146BBA">
              <w:rPr>
                <w:rFonts w:asciiTheme="minorHAnsi" w:hAnsiTheme="minorHAnsi" w:cstheme="minorHAnsi"/>
                <w:b/>
              </w:rPr>
              <w:t xml:space="preserve">three years </w:t>
            </w:r>
            <w:r w:rsidRPr="00146BBA">
              <w:rPr>
                <w:rFonts w:asciiTheme="minorHAnsi" w:hAnsiTheme="minorHAnsi" w:cstheme="minorHAnsi"/>
              </w:rPr>
              <w:t>and then destroy</w:t>
            </w:r>
          </w:p>
          <w:p w14:paraId="3877F859" w14:textId="031BCEEE"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 xml:space="preserve">(Agendas, room bookings, etc keep for no more than </w:t>
            </w:r>
            <w:r w:rsidRPr="00146BBA">
              <w:rPr>
                <w:rFonts w:asciiTheme="minorHAnsi" w:hAnsiTheme="minorHAnsi" w:cstheme="minorHAnsi"/>
                <w:b/>
              </w:rPr>
              <w:t>one year</w:t>
            </w:r>
            <w:r w:rsidRPr="00146BBA">
              <w:rPr>
                <w:rFonts w:asciiTheme="minorHAnsi" w:hAnsiTheme="minorHAnsi" w:cstheme="minorHAnsi"/>
              </w:rPr>
              <w:t xml:space="preserve"> and then destroy)</w:t>
            </w:r>
          </w:p>
        </w:tc>
      </w:tr>
      <w:tr w:rsidR="00F440BB" w:rsidRPr="00146BBA" w14:paraId="75742445" w14:textId="77777777" w:rsidTr="00EE6148">
        <w:tc>
          <w:tcPr>
            <w:cnfStyle w:val="001000000000" w:firstRow="0" w:lastRow="0" w:firstColumn="1" w:lastColumn="0" w:oddVBand="0" w:evenVBand="0" w:oddHBand="0" w:evenHBand="0" w:firstRowFirstColumn="0" w:firstRowLastColumn="0" w:lastRowFirstColumn="0" w:lastRowLastColumn="0"/>
            <w:tcW w:w="846" w:type="dxa"/>
            <w:vAlign w:val="center"/>
          </w:tcPr>
          <w:p w14:paraId="1F03B667" w14:textId="77777777" w:rsidR="00F440BB" w:rsidRPr="00146BBA" w:rsidRDefault="00F440BB" w:rsidP="00F440BB">
            <w:pPr>
              <w:pStyle w:val="Text"/>
              <w:numPr>
                <w:ilvl w:val="0"/>
                <w:numId w:val="11"/>
              </w:numPr>
              <w:spacing w:after="0"/>
              <w:rPr>
                <w:rFonts w:asciiTheme="minorHAnsi" w:hAnsiTheme="minorHAnsi" w:cstheme="minorHAnsi"/>
              </w:rPr>
            </w:pPr>
          </w:p>
        </w:tc>
        <w:tc>
          <w:tcPr>
            <w:tcW w:w="4536" w:type="dxa"/>
            <w:vAlign w:val="center"/>
          </w:tcPr>
          <w:p w14:paraId="3D80E9B7"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592E840"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Internal Audit reports and supporting papers</w:t>
            </w:r>
          </w:p>
          <w:p w14:paraId="6C794756"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46" w:type="dxa"/>
            <w:vAlign w:val="center"/>
          </w:tcPr>
          <w:p w14:paraId="3FE49FC3"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0D1E4BD"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 xml:space="preserve">Where the audit has examined long-term contracts, keep for </w:t>
            </w:r>
            <w:r w:rsidRPr="00146BBA">
              <w:rPr>
                <w:rFonts w:asciiTheme="minorHAnsi" w:hAnsiTheme="minorHAnsi" w:cstheme="minorHAnsi"/>
                <w:b/>
              </w:rPr>
              <w:t xml:space="preserve">six years </w:t>
            </w:r>
            <w:r w:rsidRPr="00146BBA">
              <w:rPr>
                <w:rFonts w:asciiTheme="minorHAnsi" w:hAnsiTheme="minorHAnsi" w:cstheme="minorHAnsi"/>
              </w:rPr>
              <w:t>from report date and then destroy.</w:t>
            </w:r>
          </w:p>
          <w:p w14:paraId="4F410BE3"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 xml:space="preserve">All other reports should be kept for </w:t>
            </w:r>
            <w:r w:rsidRPr="00146BBA">
              <w:rPr>
                <w:rFonts w:asciiTheme="minorHAnsi" w:hAnsiTheme="minorHAnsi" w:cstheme="minorHAnsi"/>
                <w:b/>
              </w:rPr>
              <w:t xml:space="preserve">three years </w:t>
            </w:r>
            <w:r w:rsidRPr="00146BBA">
              <w:rPr>
                <w:rFonts w:asciiTheme="minorHAnsi" w:hAnsiTheme="minorHAnsi" w:cstheme="minorHAnsi"/>
              </w:rPr>
              <w:t>and then destroyed.</w:t>
            </w:r>
          </w:p>
          <w:p w14:paraId="03B297BF"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440BB" w:rsidRPr="00146BBA" w14:paraId="7B728F51" w14:textId="77777777" w:rsidTr="00EE6148">
        <w:tc>
          <w:tcPr>
            <w:cnfStyle w:val="001000000000" w:firstRow="0" w:lastRow="0" w:firstColumn="1" w:lastColumn="0" w:oddVBand="0" w:evenVBand="0" w:oddHBand="0" w:evenHBand="0" w:firstRowFirstColumn="0" w:firstRowLastColumn="0" w:lastRowFirstColumn="0" w:lastRowLastColumn="0"/>
            <w:tcW w:w="846" w:type="dxa"/>
            <w:vAlign w:val="center"/>
          </w:tcPr>
          <w:p w14:paraId="6BC2AF44" w14:textId="77777777" w:rsidR="00F440BB" w:rsidRPr="00146BBA" w:rsidRDefault="00F440BB" w:rsidP="00F440BB">
            <w:pPr>
              <w:pStyle w:val="Text"/>
              <w:numPr>
                <w:ilvl w:val="0"/>
                <w:numId w:val="11"/>
              </w:numPr>
              <w:spacing w:after="0"/>
              <w:rPr>
                <w:rFonts w:asciiTheme="minorHAnsi" w:hAnsiTheme="minorHAnsi" w:cstheme="minorHAnsi"/>
              </w:rPr>
            </w:pPr>
          </w:p>
        </w:tc>
        <w:tc>
          <w:tcPr>
            <w:tcW w:w="4536" w:type="dxa"/>
            <w:vAlign w:val="center"/>
          </w:tcPr>
          <w:p w14:paraId="134C4A43"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0C9B3F8"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HMCTS management information</w:t>
            </w:r>
          </w:p>
          <w:p w14:paraId="26CAA20A"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46" w:type="dxa"/>
            <w:vAlign w:val="center"/>
          </w:tcPr>
          <w:p w14:paraId="050A23D0" w14:textId="77777777" w:rsidR="00F440BB" w:rsidRPr="00F204E9"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p w14:paraId="710C99A2"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 xml:space="preserve">Keep for </w:t>
            </w:r>
            <w:r w:rsidRPr="00146BBA">
              <w:rPr>
                <w:rFonts w:asciiTheme="minorHAnsi" w:hAnsiTheme="minorHAnsi" w:cstheme="minorHAnsi"/>
                <w:b/>
              </w:rPr>
              <w:t>10 years</w:t>
            </w:r>
            <w:r w:rsidRPr="00146BBA">
              <w:rPr>
                <w:rFonts w:asciiTheme="minorHAnsi" w:hAnsiTheme="minorHAnsi" w:cstheme="minorHAnsi"/>
              </w:rPr>
              <w:t xml:space="preserve"> and then review:</w:t>
            </w:r>
          </w:p>
          <w:p w14:paraId="0B6EC91A" w14:textId="77777777" w:rsidR="00F440BB" w:rsidRPr="00146BBA" w:rsidRDefault="00F440BB" w:rsidP="00F440BB">
            <w:pPr>
              <w:pStyle w:val="Text"/>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Where operationally relevant, keep for another 10 years and repeat the process until the data is no longer needed.</w:t>
            </w:r>
          </w:p>
          <w:p w14:paraId="342597A1" w14:textId="77777777" w:rsidR="00F440BB" w:rsidRPr="00146BBA" w:rsidRDefault="00F440BB" w:rsidP="00F440BB">
            <w:pPr>
              <w:pStyle w:val="Text"/>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Where no longer needed, destroy.</w:t>
            </w:r>
          </w:p>
          <w:p w14:paraId="46B7277C" w14:textId="77777777" w:rsidR="00F440BB" w:rsidRPr="00F204E9"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440BB" w:rsidRPr="00146BBA" w14:paraId="183EC2AB" w14:textId="77777777" w:rsidTr="00EE6148">
        <w:tc>
          <w:tcPr>
            <w:cnfStyle w:val="001000000000" w:firstRow="0" w:lastRow="0" w:firstColumn="1" w:lastColumn="0" w:oddVBand="0" w:evenVBand="0" w:oddHBand="0" w:evenHBand="0" w:firstRowFirstColumn="0" w:firstRowLastColumn="0" w:lastRowFirstColumn="0" w:lastRowLastColumn="0"/>
            <w:tcW w:w="846" w:type="dxa"/>
            <w:vAlign w:val="center"/>
          </w:tcPr>
          <w:p w14:paraId="34E1986F" w14:textId="77777777" w:rsidR="00F440BB" w:rsidRPr="00146BBA" w:rsidRDefault="00F440BB" w:rsidP="00F440BB">
            <w:pPr>
              <w:pStyle w:val="Text"/>
              <w:numPr>
                <w:ilvl w:val="0"/>
                <w:numId w:val="11"/>
              </w:numPr>
              <w:spacing w:after="0"/>
              <w:rPr>
                <w:rFonts w:asciiTheme="minorHAnsi" w:hAnsiTheme="minorHAnsi" w:cstheme="minorHAnsi"/>
              </w:rPr>
            </w:pPr>
          </w:p>
        </w:tc>
        <w:tc>
          <w:tcPr>
            <w:tcW w:w="4536" w:type="dxa"/>
            <w:vAlign w:val="center"/>
          </w:tcPr>
          <w:p w14:paraId="21CDFE94" w14:textId="77777777" w:rsidR="00F440BB" w:rsidRPr="00F204E9"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40424D7"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Reports to the ARAC (Audit, Risk Assurance Committee) and committees</w:t>
            </w:r>
          </w:p>
          <w:p w14:paraId="4DA1BA75" w14:textId="25172571" w:rsidR="00F440BB" w:rsidRPr="00F204E9"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46" w:type="dxa"/>
            <w:vAlign w:val="center"/>
          </w:tcPr>
          <w:p w14:paraId="507AF611" w14:textId="33CC1AB0"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 xml:space="preserve">Keep for </w:t>
            </w:r>
            <w:r w:rsidRPr="00146BBA">
              <w:rPr>
                <w:rFonts w:asciiTheme="minorHAnsi" w:hAnsiTheme="minorHAnsi" w:cstheme="minorHAnsi"/>
                <w:b/>
              </w:rPr>
              <w:t>seven years</w:t>
            </w:r>
            <w:r w:rsidRPr="00146BBA">
              <w:rPr>
                <w:rFonts w:asciiTheme="minorHAnsi" w:hAnsiTheme="minorHAnsi" w:cstheme="minorHAnsi"/>
              </w:rPr>
              <w:t xml:space="preserve"> and then destroy</w:t>
            </w:r>
          </w:p>
        </w:tc>
      </w:tr>
      <w:tr w:rsidR="00F440BB" w:rsidRPr="00146BBA" w14:paraId="14180BF1" w14:textId="07D48FDE" w:rsidTr="00EE6148">
        <w:tc>
          <w:tcPr>
            <w:cnfStyle w:val="001000000000" w:firstRow="0" w:lastRow="0" w:firstColumn="1" w:lastColumn="0" w:oddVBand="0" w:evenVBand="0" w:oddHBand="0" w:evenHBand="0" w:firstRowFirstColumn="0" w:firstRowLastColumn="0" w:lastRowFirstColumn="0" w:lastRowLastColumn="0"/>
            <w:tcW w:w="9628" w:type="dxa"/>
            <w:gridSpan w:val="3"/>
            <w:vAlign w:val="center"/>
          </w:tcPr>
          <w:p w14:paraId="70C5BE67" w14:textId="77777777" w:rsidR="00F440BB" w:rsidRPr="00146BBA" w:rsidRDefault="00F440BB" w:rsidP="00F440BB">
            <w:pPr>
              <w:pStyle w:val="Text"/>
              <w:spacing w:after="0"/>
              <w:jc w:val="center"/>
              <w:rPr>
                <w:rFonts w:asciiTheme="minorHAnsi" w:hAnsiTheme="minorHAnsi" w:cstheme="minorHAnsi"/>
              </w:rPr>
            </w:pPr>
          </w:p>
          <w:p w14:paraId="6D266296" w14:textId="187906B6" w:rsidR="00F440BB" w:rsidRPr="00146BBA" w:rsidRDefault="00BC7151" w:rsidP="00F440BB">
            <w:pPr>
              <w:pStyle w:val="Text"/>
              <w:spacing w:after="0"/>
              <w:jc w:val="center"/>
              <w:rPr>
                <w:rFonts w:asciiTheme="minorHAnsi" w:hAnsiTheme="minorHAnsi" w:cstheme="minorHAnsi"/>
              </w:rPr>
            </w:pPr>
            <w:r>
              <w:rPr>
                <w:rFonts w:asciiTheme="minorHAnsi" w:hAnsiTheme="minorHAnsi" w:cstheme="minorHAnsi"/>
              </w:rPr>
              <w:t>B</w:t>
            </w:r>
            <w:r w:rsidR="00F440BB" w:rsidRPr="00146BBA">
              <w:rPr>
                <w:rFonts w:asciiTheme="minorHAnsi" w:hAnsiTheme="minorHAnsi" w:cstheme="minorHAnsi"/>
              </w:rPr>
              <w:t>. Records managed by a common retention and disposition policy</w:t>
            </w:r>
          </w:p>
          <w:p w14:paraId="4534C28A" w14:textId="77777777" w:rsidR="00F440BB" w:rsidRPr="00146BBA" w:rsidRDefault="00F440BB" w:rsidP="00F440BB">
            <w:pPr>
              <w:pStyle w:val="Text"/>
              <w:spacing w:after="0"/>
              <w:jc w:val="center"/>
              <w:rPr>
                <w:rFonts w:asciiTheme="minorHAnsi" w:hAnsiTheme="minorHAnsi" w:cstheme="minorHAnsi"/>
              </w:rPr>
            </w:pPr>
          </w:p>
        </w:tc>
      </w:tr>
      <w:tr w:rsidR="00F440BB" w:rsidRPr="00146BBA" w14:paraId="62DB8815" w14:textId="77777777" w:rsidTr="00EE6148">
        <w:tc>
          <w:tcPr>
            <w:cnfStyle w:val="001000000000" w:firstRow="0" w:lastRow="0" w:firstColumn="1" w:lastColumn="0" w:oddVBand="0" w:evenVBand="0" w:oddHBand="0" w:evenHBand="0" w:firstRowFirstColumn="0" w:firstRowLastColumn="0" w:lastRowFirstColumn="0" w:lastRowLastColumn="0"/>
            <w:tcW w:w="846" w:type="dxa"/>
            <w:vAlign w:val="center"/>
          </w:tcPr>
          <w:p w14:paraId="1FF78AE0" w14:textId="77777777" w:rsidR="00F440BB" w:rsidRPr="00146BBA" w:rsidRDefault="00F440BB" w:rsidP="00F440BB">
            <w:pPr>
              <w:pStyle w:val="Text"/>
              <w:numPr>
                <w:ilvl w:val="0"/>
                <w:numId w:val="11"/>
              </w:numPr>
              <w:spacing w:after="0"/>
              <w:rPr>
                <w:rFonts w:asciiTheme="minorHAnsi" w:hAnsiTheme="minorHAnsi" w:cstheme="minorHAnsi"/>
              </w:rPr>
            </w:pPr>
          </w:p>
        </w:tc>
        <w:tc>
          <w:tcPr>
            <w:tcW w:w="4536" w:type="dxa"/>
            <w:vAlign w:val="center"/>
          </w:tcPr>
          <w:p w14:paraId="07226F9C"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p>
          <w:p w14:paraId="4F2073F6"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146BBA">
              <w:rPr>
                <w:rFonts w:asciiTheme="minorHAnsi" w:hAnsiTheme="minorHAnsi" w:cstheme="minorHAnsi"/>
                <w:lang w:eastAsia="en-US"/>
              </w:rPr>
              <w:t>HR information (held by line managers)</w:t>
            </w:r>
          </w:p>
          <w:p w14:paraId="769784F8"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p>
        </w:tc>
        <w:tc>
          <w:tcPr>
            <w:tcW w:w="4246" w:type="dxa"/>
            <w:vAlign w:val="center"/>
          </w:tcPr>
          <w:p w14:paraId="2DD516E1" w14:textId="3FE5A6B6"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146BBA">
              <w:rPr>
                <w:rFonts w:asciiTheme="minorHAnsi" w:hAnsiTheme="minorHAnsi" w:cstheme="minorHAnsi"/>
                <w:lang w:eastAsia="en-US"/>
              </w:rPr>
              <w:t xml:space="preserve">Destroy in line with the </w:t>
            </w:r>
            <w:r w:rsidRPr="00146BBA">
              <w:rPr>
                <w:rFonts w:asciiTheme="minorHAnsi" w:hAnsiTheme="minorHAnsi" w:cstheme="minorHAnsi"/>
                <w:i/>
                <w:lang w:eastAsia="en-US"/>
              </w:rPr>
              <w:t>What to keep</w:t>
            </w:r>
            <w:r w:rsidRPr="00146BBA">
              <w:rPr>
                <w:rStyle w:val="FootnoteReference"/>
                <w:rFonts w:asciiTheme="minorHAnsi" w:hAnsiTheme="minorHAnsi" w:cstheme="minorHAnsi"/>
                <w:lang w:eastAsia="en-US"/>
              </w:rPr>
              <w:footnoteReference w:id="2"/>
            </w:r>
            <w:r w:rsidRPr="00146BBA">
              <w:rPr>
                <w:rFonts w:asciiTheme="minorHAnsi" w:hAnsiTheme="minorHAnsi" w:cstheme="minorHAnsi"/>
                <w:i/>
                <w:lang w:eastAsia="en-US"/>
              </w:rPr>
              <w:t xml:space="preserve"> </w:t>
            </w:r>
            <w:r w:rsidRPr="00146BBA">
              <w:rPr>
                <w:rFonts w:asciiTheme="minorHAnsi" w:hAnsiTheme="minorHAnsi" w:cstheme="minorHAnsi"/>
                <w:lang w:eastAsia="en-US"/>
              </w:rPr>
              <w:t>guidance</w:t>
            </w:r>
          </w:p>
        </w:tc>
      </w:tr>
      <w:tr w:rsidR="00F440BB" w:rsidRPr="00146BBA" w14:paraId="7CF8FBE5" w14:textId="77777777" w:rsidTr="00EE6148">
        <w:tc>
          <w:tcPr>
            <w:cnfStyle w:val="001000000000" w:firstRow="0" w:lastRow="0" w:firstColumn="1" w:lastColumn="0" w:oddVBand="0" w:evenVBand="0" w:oddHBand="0" w:evenHBand="0" w:firstRowFirstColumn="0" w:firstRowLastColumn="0" w:lastRowFirstColumn="0" w:lastRowLastColumn="0"/>
            <w:tcW w:w="846" w:type="dxa"/>
            <w:vAlign w:val="center"/>
          </w:tcPr>
          <w:p w14:paraId="4669AD01" w14:textId="77777777" w:rsidR="00F440BB" w:rsidRPr="00146BBA" w:rsidRDefault="00F440BB" w:rsidP="00F440BB">
            <w:pPr>
              <w:pStyle w:val="Text"/>
              <w:numPr>
                <w:ilvl w:val="0"/>
                <w:numId w:val="11"/>
              </w:numPr>
              <w:spacing w:after="0"/>
              <w:rPr>
                <w:rFonts w:asciiTheme="minorHAnsi" w:hAnsiTheme="minorHAnsi" w:cstheme="minorHAnsi"/>
              </w:rPr>
            </w:pPr>
          </w:p>
        </w:tc>
        <w:tc>
          <w:tcPr>
            <w:tcW w:w="4536" w:type="dxa"/>
            <w:vAlign w:val="center"/>
          </w:tcPr>
          <w:p w14:paraId="5F1ECEC9" w14:textId="080AD2B4"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146BBA">
              <w:rPr>
                <w:rFonts w:cs="Arial"/>
              </w:rPr>
              <w:t>Customer bank details</w:t>
            </w:r>
          </w:p>
        </w:tc>
        <w:tc>
          <w:tcPr>
            <w:tcW w:w="4246" w:type="dxa"/>
            <w:vAlign w:val="center"/>
          </w:tcPr>
          <w:p w14:paraId="57BC936A"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sz w:val="16"/>
              </w:rPr>
            </w:pPr>
          </w:p>
          <w:p w14:paraId="78702C69"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pPr>
            <w:r w:rsidRPr="00146BBA">
              <w:t xml:space="preserve">Keep for </w:t>
            </w:r>
            <w:r w:rsidRPr="00146BBA">
              <w:rPr>
                <w:b/>
              </w:rPr>
              <w:t>no longer 14 days</w:t>
            </w:r>
            <w:r w:rsidRPr="00146BBA">
              <w:t xml:space="preserve"> and then destroy</w:t>
            </w:r>
          </w:p>
          <w:p w14:paraId="3BEFE38A"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tc>
      </w:tr>
      <w:tr w:rsidR="00F440BB" w:rsidRPr="00146BBA" w14:paraId="1BF5811B" w14:textId="77777777" w:rsidTr="00070FA7">
        <w:tc>
          <w:tcPr>
            <w:cnfStyle w:val="001000000000" w:firstRow="0" w:lastRow="0" w:firstColumn="1" w:lastColumn="0" w:oddVBand="0" w:evenVBand="0" w:oddHBand="0" w:evenHBand="0" w:firstRowFirstColumn="0" w:firstRowLastColumn="0" w:lastRowFirstColumn="0" w:lastRowLastColumn="0"/>
            <w:tcW w:w="846" w:type="dxa"/>
            <w:vAlign w:val="center"/>
          </w:tcPr>
          <w:p w14:paraId="6064C653" w14:textId="77777777" w:rsidR="00F440BB" w:rsidRPr="00146BBA" w:rsidRDefault="00F440BB" w:rsidP="00F440BB">
            <w:pPr>
              <w:pStyle w:val="Text"/>
              <w:numPr>
                <w:ilvl w:val="0"/>
                <w:numId w:val="11"/>
              </w:numPr>
              <w:spacing w:after="0"/>
              <w:rPr>
                <w:rFonts w:asciiTheme="minorHAnsi" w:hAnsiTheme="minorHAnsi" w:cstheme="minorHAnsi"/>
              </w:rPr>
            </w:pPr>
          </w:p>
        </w:tc>
        <w:tc>
          <w:tcPr>
            <w:tcW w:w="4536" w:type="dxa"/>
            <w:vAlign w:val="center"/>
          </w:tcPr>
          <w:p w14:paraId="1519579D"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p w14:paraId="0842E660"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a) Records and information held in open internet tools (e.g. YouTube videos, podcasts)</w:t>
            </w:r>
            <w:r w:rsidRPr="00146BBA">
              <w:rPr>
                <w:rStyle w:val="FootnoteReference"/>
                <w:rFonts w:asciiTheme="minorHAnsi" w:hAnsiTheme="minorHAnsi" w:cstheme="minorHAnsi"/>
              </w:rPr>
              <w:footnoteReference w:id="3"/>
            </w:r>
            <w:r w:rsidRPr="00146BBA">
              <w:rPr>
                <w:rFonts w:asciiTheme="minorHAnsi" w:hAnsiTheme="minorHAnsi" w:cstheme="minorHAnsi"/>
              </w:rPr>
              <w:t xml:space="preserve"> </w:t>
            </w:r>
          </w:p>
          <w:p w14:paraId="098C972B"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b) Records and information held on mobile phones (e.g. text messages, WhatsApp)</w:t>
            </w:r>
          </w:p>
          <w:p w14:paraId="718FF920"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c) Instant Messages (Skype, Teams, etc)</w:t>
            </w:r>
          </w:p>
          <w:p w14:paraId="3B553CC8"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lang w:eastAsia="en-US"/>
              </w:rPr>
            </w:pPr>
          </w:p>
        </w:tc>
        <w:tc>
          <w:tcPr>
            <w:tcW w:w="4246" w:type="dxa"/>
            <w:vAlign w:val="center"/>
          </w:tcPr>
          <w:p w14:paraId="50099DBF"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146BBA">
              <w:rPr>
                <w:rFonts w:asciiTheme="minorHAnsi" w:hAnsiTheme="minorHAnsi" w:cstheme="minorHAnsi"/>
              </w:rPr>
              <w:t xml:space="preserve">Keep for </w:t>
            </w:r>
            <w:r w:rsidRPr="00146BBA">
              <w:rPr>
                <w:rFonts w:asciiTheme="minorHAnsi" w:hAnsiTheme="minorHAnsi" w:cstheme="minorHAnsi"/>
                <w:b/>
              </w:rPr>
              <w:t>three months</w:t>
            </w:r>
            <w:r w:rsidRPr="00146BBA">
              <w:rPr>
                <w:rFonts w:asciiTheme="minorHAnsi" w:hAnsiTheme="minorHAnsi" w:cstheme="minorHAnsi"/>
              </w:rPr>
              <w:t xml:space="preserve"> and then transfer to the corporate memory or destroy</w:t>
            </w:r>
          </w:p>
        </w:tc>
      </w:tr>
      <w:tr w:rsidR="00F440BB" w:rsidRPr="00146BBA" w14:paraId="6E1E797E" w14:textId="77777777" w:rsidTr="00EE6148">
        <w:tc>
          <w:tcPr>
            <w:cnfStyle w:val="001000000000" w:firstRow="0" w:lastRow="0" w:firstColumn="1" w:lastColumn="0" w:oddVBand="0" w:evenVBand="0" w:oddHBand="0" w:evenHBand="0" w:firstRowFirstColumn="0" w:firstRowLastColumn="0" w:lastRowFirstColumn="0" w:lastRowLastColumn="0"/>
            <w:tcW w:w="846" w:type="dxa"/>
            <w:vAlign w:val="center"/>
          </w:tcPr>
          <w:p w14:paraId="5A1B5EBF" w14:textId="77777777" w:rsidR="00F440BB" w:rsidRPr="00146BBA" w:rsidRDefault="00F440BB" w:rsidP="00F440BB">
            <w:pPr>
              <w:pStyle w:val="Text"/>
              <w:numPr>
                <w:ilvl w:val="0"/>
                <w:numId w:val="11"/>
              </w:numPr>
              <w:spacing w:after="0"/>
              <w:rPr>
                <w:rFonts w:asciiTheme="minorHAnsi" w:hAnsiTheme="minorHAnsi" w:cstheme="minorHAnsi"/>
              </w:rPr>
            </w:pPr>
          </w:p>
        </w:tc>
        <w:tc>
          <w:tcPr>
            <w:tcW w:w="4536" w:type="dxa"/>
            <w:vAlign w:val="center"/>
          </w:tcPr>
          <w:p w14:paraId="086D7D62"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p>
          <w:p w14:paraId="1836BC10"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Responses to Subject Access Requests</w:t>
            </w:r>
          </w:p>
          <w:p w14:paraId="670EA764" w14:textId="6C2FFF99"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p>
        </w:tc>
        <w:tc>
          <w:tcPr>
            <w:tcW w:w="4246" w:type="dxa"/>
            <w:vAlign w:val="center"/>
          </w:tcPr>
          <w:p w14:paraId="54FE84B9"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bookmarkStart w:id="4" w:name="_Hlk26272304"/>
          </w:p>
          <w:p w14:paraId="67010350" w14:textId="6AE45785"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 xml:space="preserve">Keep for </w:t>
            </w:r>
            <w:r w:rsidRPr="00146BBA">
              <w:rPr>
                <w:rFonts w:asciiTheme="minorHAnsi" w:hAnsiTheme="minorHAnsi" w:cstheme="minorHAnsi"/>
                <w:b/>
              </w:rPr>
              <w:t>nine months</w:t>
            </w:r>
            <w:r w:rsidRPr="00146BBA">
              <w:rPr>
                <w:rFonts w:asciiTheme="minorHAnsi" w:hAnsiTheme="minorHAnsi" w:cstheme="minorHAnsi"/>
              </w:rPr>
              <w:t xml:space="preserve"> and then destroy. </w:t>
            </w:r>
          </w:p>
          <w:bookmarkEnd w:id="4"/>
          <w:p w14:paraId="383897A5"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p>
        </w:tc>
      </w:tr>
      <w:tr w:rsidR="00F440BB" w:rsidRPr="00146BBA" w14:paraId="374FF166" w14:textId="77777777" w:rsidTr="00EE6148">
        <w:tc>
          <w:tcPr>
            <w:cnfStyle w:val="001000000000" w:firstRow="0" w:lastRow="0" w:firstColumn="1" w:lastColumn="0" w:oddVBand="0" w:evenVBand="0" w:oddHBand="0" w:evenHBand="0" w:firstRowFirstColumn="0" w:firstRowLastColumn="0" w:lastRowFirstColumn="0" w:lastRowLastColumn="0"/>
            <w:tcW w:w="846" w:type="dxa"/>
            <w:vAlign w:val="center"/>
          </w:tcPr>
          <w:p w14:paraId="3663C3F6" w14:textId="77777777" w:rsidR="00F440BB" w:rsidRPr="00146BBA" w:rsidRDefault="00F440BB" w:rsidP="00F440BB">
            <w:pPr>
              <w:pStyle w:val="Text"/>
              <w:numPr>
                <w:ilvl w:val="0"/>
                <w:numId w:val="11"/>
              </w:numPr>
              <w:spacing w:after="0"/>
              <w:rPr>
                <w:rFonts w:asciiTheme="minorHAnsi" w:hAnsiTheme="minorHAnsi" w:cstheme="minorHAnsi"/>
              </w:rPr>
            </w:pPr>
          </w:p>
        </w:tc>
        <w:tc>
          <w:tcPr>
            <w:tcW w:w="4536" w:type="dxa"/>
            <w:vAlign w:val="center"/>
          </w:tcPr>
          <w:p w14:paraId="030FF8AA" w14:textId="77777777" w:rsidR="00F440BB" w:rsidRPr="00F204E9"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C3266A0" w14:textId="0DCFC55E"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 xml:space="preserve">Background information (held by business) for responses </w:t>
            </w:r>
            <w:r>
              <w:rPr>
                <w:rFonts w:asciiTheme="minorHAnsi" w:hAnsiTheme="minorHAnsi" w:cstheme="minorHAnsi"/>
              </w:rPr>
              <w:t>i</w:t>
            </w:r>
            <w:r w:rsidRPr="00146BBA">
              <w:rPr>
                <w:rFonts w:asciiTheme="minorHAnsi" w:hAnsiTheme="minorHAnsi" w:cstheme="minorHAnsi"/>
              </w:rPr>
              <w:t xml:space="preserve">nformation requests made under: </w:t>
            </w:r>
          </w:p>
          <w:p w14:paraId="7497D73F" w14:textId="77777777" w:rsidR="00F440BB" w:rsidRPr="00146BBA" w:rsidRDefault="00F440BB" w:rsidP="00F440BB">
            <w:pPr>
              <w:pStyle w:val="Text"/>
              <w:numPr>
                <w:ilvl w:val="0"/>
                <w:numId w:val="1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Freedom of Information Act</w:t>
            </w:r>
            <w:r w:rsidRPr="00146BBA">
              <w:rPr>
                <w:rStyle w:val="FootnoteReference"/>
                <w:rFonts w:asciiTheme="minorHAnsi" w:hAnsiTheme="minorHAnsi" w:cstheme="minorHAnsi"/>
              </w:rPr>
              <w:footnoteReference w:id="4"/>
            </w:r>
          </w:p>
          <w:p w14:paraId="53DC2C84" w14:textId="2C8CF2FE" w:rsidR="00F440BB" w:rsidRPr="00146BBA" w:rsidRDefault="00F440BB" w:rsidP="00F440BB">
            <w:pPr>
              <w:pStyle w:val="Text"/>
              <w:numPr>
                <w:ilvl w:val="0"/>
                <w:numId w:val="1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Environmental Information Regulations</w:t>
            </w:r>
          </w:p>
          <w:p w14:paraId="40A4B04D"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90C54DD"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b/>
              </w:rPr>
              <w:t>NB.</w:t>
            </w:r>
            <w:r w:rsidRPr="00146BBA">
              <w:rPr>
                <w:rFonts w:asciiTheme="minorHAnsi" w:hAnsiTheme="minorHAnsi" w:cstheme="minorHAnsi"/>
              </w:rPr>
              <w:t xml:space="preserve"> See footnotes showing where the answers to these requests are held</w:t>
            </w:r>
          </w:p>
          <w:p w14:paraId="2C6193C1"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p>
        </w:tc>
        <w:tc>
          <w:tcPr>
            <w:tcW w:w="4246" w:type="dxa"/>
            <w:vAlign w:val="center"/>
          </w:tcPr>
          <w:p w14:paraId="3879D98B"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0ABA504" w14:textId="734EFE2C"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 xml:space="preserve">Keep for </w:t>
            </w:r>
            <w:r w:rsidRPr="00146BBA">
              <w:rPr>
                <w:rFonts w:asciiTheme="minorHAnsi" w:hAnsiTheme="minorHAnsi" w:cstheme="minorHAnsi"/>
                <w:b/>
              </w:rPr>
              <w:t>one year</w:t>
            </w:r>
            <w:r w:rsidRPr="00146BBA">
              <w:rPr>
                <w:rFonts w:asciiTheme="minorHAnsi" w:hAnsiTheme="minorHAnsi" w:cstheme="minorHAnsi"/>
              </w:rPr>
              <w:t xml:space="preserve"> and then review:</w:t>
            </w:r>
          </w:p>
          <w:p w14:paraId="73E64B0A" w14:textId="77777777" w:rsidR="00F440BB" w:rsidRPr="00146BBA" w:rsidRDefault="00F440BB" w:rsidP="00F440BB">
            <w:pPr>
              <w:pStyle w:val="Text"/>
              <w:numPr>
                <w:ilvl w:val="0"/>
                <w:numId w:val="14"/>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 xml:space="preserve">Where operationally relevant, keep for </w:t>
            </w:r>
            <w:r w:rsidRPr="00146BBA">
              <w:rPr>
                <w:rFonts w:asciiTheme="minorHAnsi" w:hAnsiTheme="minorHAnsi" w:cstheme="minorHAnsi"/>
                <w:b/>
              </w:rPr>
              <w:t>another</w:t>
            </w:r>
            <w:r w:rsidRPr="00146BBA">
              <w:rPr>
                <w:rFonts w:asciiTheme="minorHAnsi" w:hAnsiTheme="minorHAnsi" w:cstheme="minorHAnsi"/>
              </w:rPr>
              <w:t xml:space="preserve"> </w:t>
            </w:r>
            <w:r w:rsidRPr="00146BBA">
              <w:rPr>
                <w:rFonts w:asciiTheme="minorHAnsi" w:hAnsiTheme="minorHAnsi" w:cstheme="minorHAnsi"/>
                <w:b/>
              </w:rPr>
              <w:t>year</w:t>
            </w:r>
            <w:r w:rsidRPr="00146BBA">
              <w:rPr>
                <w:rFonts w:asciiTheme="minorHAnsi" w:hAnsiTheme="minorHAnsi" w:cstheme="minorHAnsi"/>
              </w:rPr>
              <w:t xml:space="preserve"> and then repeat the process until the item is no longer needed.</w:t>
            </w:r>
          </w:p>
          <w:p w14:paraId="44A9F9A6"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Where no longer needed, destroy immediately.</w:t>
            </w:r>
          </w:p>
          <w:p w14:paraId="366E0F5B" w14:textId="38237E1D"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p>
        </w:tc>
      </w:tr>
      <w:tr w:rsidR="00F440BB" w:rsidRPr="00146BBA" w14:paraId="24CCB765" w14:textId="77777777" w:rsidTr="00EE6148">
        <w:tc>
          <w:tcPr>
            <w:cnfStyle w:val="001000000000" w:firstRow="0" w:lastRow="0" w:firstColumn="1" w:lastColumn="0" w:oddVBand="0" w:evenVBand="0" w:oddHBand="0" w:evenHBand="0" w:firstRowFirstColumn="0" w:firstRowLastColumn="0" w:lastRowFirstColumn="0" w:lastRowLastColumn="0"/>
            <w:tcW w:w="846" w:type="dxa"/>
            <w:vAlign w:val="center"/>
          </w:tcPr>
          <w:p w14:paraId="77D45E20" w14:textId="77777777" w:rsidR="00F440BB" w:rsidRPr="00146BBA" w:rsidRDefault="00F440BB" w:rsidP="00F440BB">
            <w:pPr>
              <w:pStyle w:val="Text"/>
              <w:numPr>
                <w:ilvl w:val="0"/>
                <w:numId w:val="11"/>
              </w:numPr>
              <w:spacing w:after="0"/>
              <w:rPr>
                <w:rFonts w:asciiTheme="minorHAnsi" w:hAnsiTheme="minorHAnsi" w:cstheme="minorHAnsi"/>
              </w:rPr>
            </w:pPr>
          </w:p>
        </w:tc>
        <w:tc>
          <w:tcPr>
            <w:tcW w:w="4536" w:type="dxa"/>
            <w:vAlign w:val="center"/>
          </w:tcPr>
          <w:p w14:paraId="56E5D43F"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A0C47FC"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Data loss incident records (held by business)</w:t>
            </w:r>
          </w:p>
          <w:p w14:paraId="292BD86E"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p>
        </w:tc>
        <w:tc>
          <w:tcPr>
            <w:tcW w:w="4246" w:type="dxa"/>
            <w:vAlign w:val="center"/>
          </w:tcPr>
          <w:p w14:paraId="121AAF88" w14:textId="58B9FB86"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 xml:space="preserve">Keep for </w:t>
            </w:r>
            <w:r w:rsidRPr="00146BBA">
              <w:rPr>
                <w:rFonts w:asciiTheme="minorHAnsi" w:hAnsiTheme="minorHAnsi" w:cstheme="minorHAnsi"/>
                <w:b/>
              </w:rPr>
              <w:t>three years</w:t>
            </w:r>
            <w:r w:rsidRPr="00146BBA">
              <w:rPr>
                <w:rFonts w:asciiTheme="minorHAnsi" w:hAnsiTheme="minorHAnsi" w:cstheme="minorHAnsi"/>
              </w:rPr>
              <w:t xml:space="preserve"> from incident closure and then destroy</w:t>
            </w:r>
          </w:p>
        </w:tc>
      </w:tr>
      <w:tr w:rsidR="00F440BB" w:rsidRPr="00146BBA" w14:paraId="727CBB97" w14:textId="77777777" w:rsidTr="00EE6148">
        <w:tc>
          <w:tcPr>
            <w:cnfStyle w:val="001000000000" w:firstRow="0" w:lastRow="0" w:firstColumn="1" w:lastColumn="0" w:oddVBand="0" w:evenVBand="0" w:oddHBand="0" w:evenHBand="0" w:firstRowFirstColumn="0" w:firstRowLastColumn="0" w:lastRowFirstColumn="0" w:lastRowLastColumn="0"/>
            <w:tcW w:w="846" w:type="dxa"/>
            <w:vAlign w:val="center"/>
          </w:tcPr>
          <w:p w14:paraId="189B5BF1" w14:textId="1244062A" w:rsidR="00F440BB" w:rsidRPr="00146BBA" w:rsidRDefault="00F440BB" w:rsidP="00F440BB">
            <w:pPr>
              <w:pStyle w:val="Text"/>
              <w:numPr>
                <w:ilvl w:val="0"/>
                <w:numId w:val="11"/>
              </w:numPr>
              <w:spacing w:after="0"/>
              <w:rPr>
                <w:rFonts w:asciiTheme="minorHAnsi" w:hAnsiTheme="minorHAnsi" w:cstheme="minorHAnsi"/>
              </w:rPr>
            </w:pPr>
            <w:r w:rsidRPr="00146BBA">
              <w:rPr>
                <w:rFonts w:asciiTheme="minorHAnsi" w:hAnsiTheme="minorHAnsi" w:cstheme="minorHAnsi"/>
              </w:rPr>
              <w:t xml:space="preserve"> </w:t>
            </w:r>
          </w:p>
        </w:tc>
        <w:tc>
          <w:tcPr>
            <w:tcW w:w="4536" w:type="dxa"/>
            <w:vAlign w:val="center"/>
          </w:tcPr>
          <w:p w14:paraId="63C93DB7"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86353A2"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Business continuity plans (held by business)</w:t>
            </w:r>
          </w:p>
          <w:p w14:paraId="1B22E978"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p>
        </w:tc>
        <w:tc>
          <w:tcPr>
            <w:tcW w:w="4246" w:type="dxa"/>
            <w:vAlign w:val="center"/>
          </w:tcPr>
          <w:p w14:paraId="25636DEC" w14:textId="5564569C" w:rsidR="00F440BB" w:rsidRPr="00146BBA" w:rsidRDefault="00F440BB" w:rsidP="00CB0A07">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146BBA">
              <w:rPr>
                <w:rFonts w:asciiTheme="minorHAnsi" w:hAnsiTheme="minorHAnsi" w:cstheme="minorHAnsi"/>
              </w:rPr>
              <w:t xml:space="preserve">Updated annually. Keep previous versions for </w:t>
            </w:r>
            <w:r w:rsidRPr="00146BBA">
              <w:rPr>
                <w:rFonts w:asciiTheme="minorHAnsi" w:hAnsiTheme="minorHAnsi" w:cstheme="minorHAnsi"/>
                <w:b/>
              </w:rPr>
              <w:t>three years</w:t>
            </w:r>
            <w:r w:rsidRPr="00146BBA">
              <w:rPr>
                <w:rFonts w:asciiTheme="minorHAnsi" w:hAnsiTheme="minorHAnsi" w:cstheme="minorHAnsi"/>
              </w:rPr>
              <w:t xml:space="preserve"> and then destroy.</w:t>
            </w:r>
          </w:p>
        </w:tc>
      </w:tr>
      <w:tr w:rsidR="00F440BB" w:rsidRPr="00146BBA" w14:paraId="548C9C6D" w14:textId="77777777" w:rsidTr="00EE6148">
        <w:tc>
          <w:tcPr>
            <w:cnfStyle w:val="001000000000" w:firstRow="0" w:lastRow="0" w:firstColumn="1" w:lastColumn="0" w:oddVBand="0" w:evenVBand="0" w:oddHBand="0" w:evenHBand="0" w:firstRowFirstColumn="0" w:firstRowLastColumn="0" w:lastRowFirstColumn="0" w:lastRowLastColumn="0"/>
            <w:tcW w:w="846" w:type="dxa"/>
            <w:vAlign w:val="center"/>
          </w:tcPr>
          <w:p w14:paraId="3E132D14" w14:textId="77777777" w:rsidR="00F440BB" w:rsidRPr="00146BBA" w:rsidRDefault="00F440BB" w:rsidP="00F440BB">
            <w:pPr>
              <w:pStyle w:val="Text"/>
              <w:numPr>
                <w:ilvl w:val="0"/>
                <w:numId w:val="11"/>
              </w:numPr>
              <w:spacing w:after="0"/>
              <w:rPr>
                <w:rFonts w:asciiTheme="minorHAnsi" w:hAnsiTheme="minorHAnsi" w:cstheme="minorHAnsi"/>
              </w:rPr>
            </w:pPr>
          </w:p>
        </w:tc>
        <w:tc>
          <w:tcPr>
            <w:tcW w:w="4536" w:type="dxa"/>
            <w:vAlign w:val="center"/>
          </w:tcPr>
          <w:p w14:paraId="17F4D192"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p>
          <w:p w14:paraId="26189A05"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146BBA">
              <w:rPr>
                <w:rFonts w:asciiTheme="minorHAnsi" w:hAnsiTheme="minorHAnsi" w:cstheme="minorHAnsi"/>
                <w:lang w:eastAsia="en-US"/>
              </w:rPr>
              <w:t>Contracts (value up to £10,000): including, but not limited to: signed contracts, records of performance, meetings, complaints, changes to requirements, variations and extensions (up to £10,000)</w:t>
            </w:r>
          </w:p>
          <w:p w14:paraId="00B524D9"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p>
        </w:tc>
        <w:tc>
          <w:tcPr>
            <w:tcW w:w="4246" w:type="dxa"/>
            <w:vAlign w:val="center"/>
          </w:tcPr>
          <w:p w14:paraId="40533E5F" w14:textId="4A920E39"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146BBA">
              <w:rPr>
                <w:rFonts w:asciiTheme="minorHAnsi" w:hAnsiTheme="minorHAnsi" w:cstheme="minorHAnsi"/>
                <w:lang w:eastAsia="en-US"/>
              </w:rPr>
              <w:t xml:space="preserve">Keep for </w:t>
            </w:r>
            <w:r w:rsidRPr="00146BBA">
              <w:rPr>
                <w:rFonts w:asciiTheme="minorHAnsi" w:hAnsiTheme="minorHAnsi" w:cstheme="minorHAnsi"/>
                <w:b/>
                <w:lang w:eastAsia="en-US"/>
              </w:rPr>
              <w:t>six years</w:t>
            </w:r>
            <w:r w:rsidRPr="00146BBA">
              <w:rPr>
                <w:rFonts w:asciiTheme="minorHAnsi" w:hAnsiTheme="minorHAnsi" w:cstheme="minorHAnsi"/>
                <w:lang w:eastAsia="en-US"/>
              </w:rPr>
              <w:t xml:space="preserve"> after contract ends and then destroy.</w:t>
            </w:r>
            <w:r w:rsidRPr="00146BBA">
              <w:rPr>
                <w:rStyle w:val="FootnoteReference"/>
                <w:rFonts w:asciiTheme="minorHAnsi" w:hAnsiTheme="minorHAnsi" w:cstheme="minorHAnsi"/>
                <w:lang w:eastAsia="en-US"/>
              </w:rPr>
              <w:footnoteReference w:id="5"/>
            </w:r>
          </w:p>
        </w:tc>
      </w:tr>
      <w:tr w:rsidR="00F440BB" w:rsidRPr="00146BBA" w14:paraId="48DCB365" w14:textId="77777777" w:rsidTr="00EE6148">
        <w:tc>
          <w:tcPr>
            <w:cnfStyle w:val="001000000000" w:firstRow="0" w:lastRow="0" w:firstColumn="1" w:lastColumn="0" w:oddVBand="0" w:evenVBand="0" w:oddHBand="0" w:evenHBand="0" w:firstRowFirstColumn="0" w:firstRowLastColumn="0" w:lastRowFirstColumn="0" w:lastRowLastColumn="0"/>
            <w:tcW w:w="846" w:type="dxa"/>
            <w:vAlign w:val="center"/>
          </w:tcPr>
          <w:p w14:paraId="5E401182" w14:textId="77777777" w:rsidR="00F440BB" w:rsidRPr="00146BBA" w:rsidRDefault="00F440BB" w:rsidP="00F440BB">
            <w:pPr>
              <w:pStyle w:val="Text"/>
              <w:numPr>
                <w:ilvl w:val="0"/>
                <w:numId w:val="11"/>
              </w:numPr>
              <w:spacing w:after="0"/>
              <w:rPr>
                <w:rFonts w:asciiTheme="minorHAnsi" w:hAnsiTheme="minorHAnsi" w:cstheme="minorHAnsi"/>
              </w:rPr>
            </w:pPr>
          </w:p>
        </w:tc>
        <w:tc>
          <w:tcPr>
            <w:tcW w:w="4536" w:type="dxa"/>
            <w:vAlign w:val="center"/>
          </w:tcPr>
          <w:p w14:paraId="44C8DC03"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8AD3E52"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Litigation cases</w:t>
            </w:r>
          </w:p>
          <w:p w14:paraId="5AEC84B0"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p>
        </w:tc>
        <w:tc>
          <w:tcPr>
            <w:tcW w:w="4246" w:type="dxa"/>
            <w:vAlign w:val="center"/>
          </w:tcPr>
          <w:p w14:paraId="5D5CECC2"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816D6E9" w14:textId="6557336E"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 xml:space="preserve">Keep for </w:t>
            </w:r>
            <w:r w:rsidRPr="00146BBA">
              <w:rPr>
                <w:rFonts w:asciiTheme="minorHAnsi" w:hAnsiTheme="minorHAnsi" w:cstheme="minorHAnsi"/>
                <w:b/>
              </w:rPr>
              <w:t>six years</w:t>
            </w:r>
            <w:r w:rsidRPr="00146BBA">
              <w:rPr>
                <w:rFonts w:asciiTheme="minorHAnsi" w:hAnsiTheme="minorHAnsi" w:cstheme="minorHAnsi"/>
              </w:rPr>
              <w:t xml:space="preserve"> from last action and then destroy</w:t>
            </w:r>
          </w:p>
          <w:p w14:paraId="3EAB3352" w14:textId="0146116B"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p>
        </w:tc>
      </w:tr>
      <w:tr w:rsidR="00F440BB" w:rsidRPr="00146BBA" w14:paraId="25865AF0" w14:textId="77777777" w:rsidTr="00EE6148">
        <w:tc>
          <w:tcPr>
            <w:cnfStyle w:val="001000000000" w:firstRow="0" w:lastRow="0" w:firstColumn="1" w:lastColumn="0" w:oddVBand="0" w:evenVBand="0" w:oddHBand="0" w:evenHBand="0" w:firstRowFirstColumn="0" w:firstRowLastColumn="0" w:lastRowFirstColumn="0" w:lastRowLastColumn="0"/>
            <w:tcW w:w="846" w:type="dxa"/>
            <w:vAlign w:val="center"/>
          </w:tcPr>
          <w:p w14:paraId="0E118771" w14:textId="77777777" w:rsidR="00F440BB" w:rsidRPr="00146BBA" w:rsidRDefault="00F440BB" w:rsidP="00F440BB">
            <w:pPr>
              <w:pStyle w:val="Text"/>
              <w:numPr>
                <w:ilvl w:val="0"/>
                <w:numId w:val="11"/>
              </w:numPr>
              <w:spacing w:after="0"/>
              <w:rPr>
                <w:rFonts w:asciiTheme="minorHAnsi" w:hAnsiTheme="minorHAnsi" w:cstheme="minorHAnsi"/>
              </w:rPr>
            </w:pPr>
          </w:p>
        </w:tc>
        <w:tc>
          <w:tcPr>
            <w:tcW w:w="4536" w:type="dxa"/>
            <w:vAlign w:val="center"/>
          </w:tcPr>
          <w:p w14:paraId="3170BDC6"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p>
          <w:p w14:paraId="6B127224" w14:textId="3DCE34CD"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Finance and risk management information</w:t>
            </w:r>
          </w:p>
          <w:p w14:paraId="5185B039" w14:textId="4B6D0BF6"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p>
        </w:tc>
        <w:tc>
          <w:tcPr>
            <w:tcW w:w="4246" w:type="dxa"/>
            <w:vAlign w:val="center"/>
          </w:tcPr>
          <w:p w14:paraId="4CDA5D79"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040D2A8"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 xml:space="preserve">Keep for </w:t>
            </w:r>
            <w:r w:rsidRPr="00146BBA">
              <w:rPr>
                <w:rFonts w:asciiTheme="minorHAnsi" w:hAnsiTheme="minorHAnsi" w:cstheme="minorHAnsi"/>
                <w:b/>
              </w:rPr>
              <w:t>seven years</w:t>
            </w:r>
            <w:r w:rsidRPr="00146BBA">
              <w:rPr>
                <w:rFonts w:asciiTheme="minorHAnsi" w:hAnsiTheme="minorHAnsi" w:cstheme="minorHAnsi"/>
              </w:rPr>
              <w:t xml:space="preserve"> and then destroy.</w:t>
            </w:r>
          </w:p>
          <w:p w14:paraId="10C66110"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p>
        </w:tc>
      </w:tr>
      <w:tr w:rsidR="00F440BB" w:rsidRPr="00146BBA" w14:paraId="31D367FF" w14:textId="77777777" w:rsidTr="00EE6148">
        <w:tc>
          <w:tcPr>
            <w:cnfStyle w:val="001000000000" w:firstRow="0" w:lastRow="0" w:firstColumn="1" w:lastColumn="0" w:oddVBand="0" w:evenVBand="0" w:oddHBand="0" w:evenHBand="0" w:firstRowFirstColumn="0" w:firstRowLastColumn="0" w:lastRowFirstColumn="0" w:lastRowLastColumn="0"/>
            <w:tcW w:w="846" w:type="dxa"/>
            <w:vAlign w:val="center"/>
          </w:tcPr>
          <w:p w14:paraId="5C40F1EA" w14:textId="77777777" w:rsidR="00F440BB" w:rsidRPr="00146BBA" w:rsidRDefault="00F440BB" w:rsidP="00F440BB">
            <w:pPr>
              <w:pStyle w:val="Text"/>
              <w:numPr>
                <w:ilvl w:val="0"/>
                <w:numId w:val="11"/>
              </w:numPr>
              <w:spacing w:after="0"/>
              <w:rPr>
                <w:rFonts w:asciiTheme="minorHAnsi" w:hAnsiTheme="minorHAnsi" w:cstheme="minorHAnsi"/>
              </w:rPr>
            </w:pPr>
          </w:p>
        </w:tc>
        <w:tc>
          <w:tcPr>
            <w:tcW w:w="4536" w:type="dxa"/>
            <w:vAlign w:val="center"/>
          </w:tcPr>
          <w:p w14:paraId="275C7D88"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2489736"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All other types of record not specified above, including copies of records which are owned by other business areas</w:t>
            </w:r>
            <w:r w:rsidRPr="00146BBA">
              <w:rPr>
                <w:rStyle w:val="FootnoteReference"/>
                <w:rFonts w:asciiTheme="minorHAnsi" w:hAnsiTheme="minorHAnsi" w:cstheme="minorHAnsi"/>
              </w:rPr>
              <w:footnoteReference w:id="6"/>
            </w:r>
          </w:p>
          <w:p w14:paraId="428D8928" w14:textId="77777777"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46" w:type="dxa"/>
            <w:vAlign w:val="center"/>
          </w:tcPr>
          <w:p w14:paraId="4AD393A1" w14:textId="34450C5D" w:rsidR="00F440BB" w:rsidRPr="00146BBA" w:rsidRDefault="00F440BB" w:rsidP="00F440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46BBA">
              <w:rPr>
                <w:rFonts w:asciiTheme="minorHAnsi" w:hAnsiTheme="minorHAnsi" w:cstheme="minorHAnsi"/>
              </w:rPr>
              <w:t xml:space="preserve">Keep for </w:t>
            </w:r>
            <w:r w:rsidRPr="00146BBA">
              <w:rPr>
                <w:rFonts w:asciiTheme="minorHAnsi" w:hAnsiTheme="minorHAnsi" w:cstheme="minorHAnsi"/>
                <w:b/>
              </w:rPr>
              <w:t>three years</w:t>
            </w:r>
            <w:r w:rsidRPr="00146BBA">
              <w:rPr>
                <w:rFonts w:asciiTheme="minorHAnsi" w:hAnsiTheme="minorHAnsi" w:cstheme="minorHAnsi"/>
              </w:rPr>
              <w:t xml:space="preserve"> and then destroy.</w:t>
            </w:r>
          </w:p>
        </w:tc>
      </w:tr>
    </w:tbl>
    <w:p w14:paraId="4A172B17" w14:textId="58EB5A54" w:rsidR="00E66A89" w:rsidRPr="00F9054B" w:rsidRDefault="00F440BB" w:rsidP="00E66A89">
      <w:pPr>
        <w:spacing w:after="0"/>
        <w:rPr>
          <w:rFonts w:cs="Arial"/>
          <w:sz w:val="22"/>
        </w:rPr>
      </w:pPr>
      <w:r>
        <w:rPr>
          <w:rFonts w:cs="Arial"/>
          <w:sz w:val="22"/>
        </w:rPr>
        <w:br/>
      </w:r>
      <w:r w:rsidR="00E66A89" w:rsidRPr="00F9054B">
        <w:rPr>
          <w:rFonts w:cs="Arial"/>
          <w:sz w:val="22"/>
        </w:rPr>
        <w:t>Phil</w:t>
      </w:r>
      <w:r w:rsidR="00F750CF" w:rsidRPr="00F9054B">
        <w:rPr>
          <w:rFonts w:cs="Arial"/>
          <w:sz w:val="22"/>
        </w:rPr>
        <w:t>l</w:t>
      </w:r>
      <w:r w:rsidR="00E66A89" w:rsidRPr="00F9054B">
        <w:rPr>
          <w:rFonts w:cs="Arial"/>
          <w:sz w:val="22"/>
        </w:rPr>
        <w:t xml:space="preserve">ip </w:t>
      </w:r>
      <w:r w:rsidR="00F750CF" w:rsidRPr="00F9054B">
        <w:rPr>
          <w:rFonts w:cs="Arial"/>
          <w:sz w:val="22"/>
        </w:rPr>
        <w:t>Crowcroft</w:t>
      </w:r>
    </w:p>
    <w:p w14:paraId="75DCF096" w14:textId="5B97A05C" w:rsidR="00E66A89" w:rsidRDefault="00F750CF" w:rsidP="00E66A89">
      <w:pPr>
        <w:pStyle w:val="NormalWeb"/>
        <w:spacing w:before="0" w:beforeAutospacing="0" w:after="0" w:afterAutospacing="0"/>
        <w:rPr>
          <w:rFonts w:ascii="Arial" w:hAnsi="Arial" w:cs="Arial"/>
          <w:sz w:val="22"/>
          <w:szCs w:val="22"/>
        </w:rPr>
      </w:pPr>
      <w:r w:rsidRPr="00F9054B">
        <w:rPr>
          <w:rFonts w:ascii="Arial" w:hAnsi="Arial" w:cs="Arial"/>
          <w:color w:val="000000"/>
          <w:sz w:val="22"/>
          <w:szCs w:val="22"/>
        </w:rPr>
        <w:t xml:space="preserve">Deputy </w:t>
      </w:r>
      <w:r w:rsidR="00E66A89" w:rsidRPr="00F9054B">
        <w:rPr>
          <w:rFonts w:ascii="Arial" w:hAnsi="Arial" w:cs="Arial"/>
          <w:color w:val="000000"/>
          <w:sz w:val="22"/>
          <w:szCs w:val="22"/>
        </w:rPr>
        <w:t>Departmental Records Officer</w:t>
      </w:r>
      <w:r w:rsidR="00E66A89" w:rsidRPr="00F9054B">
        <w:rPr>
          <w:rFonts w:ascii="Arial" w:hAnsi="Arial" w:cs="Arial"/>
          <w:sz w:val="22"/>
          <w:szCs w:val="22"/>
        </w:rPr>
        <w:t xml:space="preserve"> </w:t>
      </w:r>
      <w:r w:rsidR="00E66A89" w:rsidRPr="00F9054B">
        <w:rPr>
          <w:rFonts w:ascii="Arial" w:hAnsi="Arial" w:cs="Arial"/>
          <w:sz w:val="22"/>
          <w:szCs w:val="22"/>
        </w:rPr>
        <w:br/>
      </w:r>
      <w:r w:rsidR="00E66A89" w:rsidRPr="00F9054B">
        <w:rPr>
          <w:rFonts w:ascii="Arial" w:hAnsi="Arial" w:cs="Arial"/>
          <w:color w:val="000000"/>
          <w:sz w:val="22"/>
          <w:szCs w:val="22"/>
        </w:rPr>
        <w:t>Ministry of Justice</w:t>
      </w:r>
      <w:r w:rsidR="00E66A89" w:rsidRPr="00F9054B">
        <w:rPr>
          <w:rFonts w:ascii="Arial" w:hAnsi="Arial" w:cs="Arial"/>
          <w:sz w:val="22"/>
          <w:szCs w:val="22"/>
        </w:rPr>
        <w:t xml:space="preserve"> </w:t>
      </w:r>
      <w:r w:rsidR="00E66A89" w:rsidRPr="00F9054B">
        <w:rPr>
          <w:rFonts w:ascii="Arial" w:hAnsi="Arial" w:cs="Arial"/>
          <w:sz w:val="22"/>
          <w:szCs w:val="22"/>
        </w:rPr>
        <w:br/>
      </w:r>
      <w:r w:rsidR="00E66A89" w:rsidRPr="00F9054B">
        <w:rPr>
          <w:rFonts w:ascii="Arial" w:hAnsi="Arial" w:cs="Arial"/>
          <w:color w:val="000000"/>
          <w:sz w:val="22"/>
          <w:szCs w:val="22"/>
        </w:rPr>
        <w:t>102 Petty France</w:t>
      </w:r>
      <w:r w:rsidR="00E66A89" w:rsidRPr="00F9054B">
        <w:rPr>
          <w:rFonts w:ascii="Arial" w:hAnsi="Arial" w:cs="Arial"/>
          <w:sz w:val="22"/>
          <w:szCs w:val="22"/>
        </w:rPr>
        <w:t xml:space="preserve"> </w:t>
      </w:r>
      <w:r w:rsidR="00E66A89" w:rsidRPr="00F9054B">
        <w:rPr>
          <w:rFonts w:ascii="Arial" w:hAnsi="Arial" w:cs="Arial"/>
          <w:sz w:val="22"/>
          <w:szCs w:val="22"/>
        </w:rPr>
        <w:br/>
      </w:r>
      <w:r w:rsidR="00E66A89" w:rsidRPr="00F9054B">
        <w:rPr>
          <w:rFonts w:ascii="Arial" w:hAnsi="Arial" w:cs="Arial"/>
          <w:color w:val="000000"/>
          <w:sz w:val="22"/>
          <w:szCs w:val="22"/>
        </w:rPr>
        <w:t>London SW1H 9AJ</w:t>
      </w:r>
      <w:r w:rsidR="00E66A89" w:rsidRPr="00F9054B">
        <w:rPr>
          <w:rFonts w:ascii="Arial" w:hAnsi="Arial" w:cs="Arial"/>
          <w:sz w:val="22"/>
          <w:szCs w:val="22"/>
        </w:rPr>
        <w:t xml:space="preserve"> </w:t>
      </w:r>
    </w:p>
    <w:p w14:paraId="29262098" w14:textId="77777777" w:rsidR="00CB0A07" w:rsidRDefault="00CB0A07" w:rsidP="00F440BB">
      <w:pPr>
        <w:pStyle w:val="NormalWeb"/>
        <w:spacing w:before="0" w:beforeAutospacing="0" w:after="0" w:afterAutospacing="0"/>
        <w:rPr>
          <w:rFonts w:ascii="Arial" w:hAnsi="Arial" w:cs="Arial"/>
          <w:b/>
          <w:sz w:val="22"/>
          <w:szCs w:val="22"/>
        </w:rPr>
      </w:pPr>
    </w:p>
    <w:p w14:paraId="7786BDEF" w14:textId="55E99E7B" w:rsidR="00515316" w:rsidRDefault="00E66A89" w:rsidP="00F440BB">
      <w:pPr>
        <w:pStyle w:val="NormalWeb"/>
        <w:spacing w:before="0" w:beforeAutospacing="0" w:after="0" w:afterAutospacing="0"/>
      </w:pPr>
      <w:r w:rsidRPr="00F9054B">
        <w:rPr>
          <w:rFonts w:ascii="Arial" w:hAnsi="Arial" w:cs="Arial"/>
          <w:b/>
          <w:sz w:val="22"/>
          <w:szCs w:val="22"/>
        </w:rPr>
        <w:t xml:space="preserve">Signed: </w:t>
      </w:r>
      <w:r w:rsidR="006D4CA4">
        <w:rPr>
          <w:rFonts w:ascii="Arial" w:hAnsi="Arial" w:cs="Arial"/>
          <w:b/>
          <w:sz w:val="22"/>
          <w:szCs w:val="22"/>
        </w:rPr>
        <w:t>27</w:t>
      </w:r>
      <w:r w:rsidRPr="00F9054B">
        <w:rPr>
          <w:rFonts w:ascii="Arial" w:hAnsi="Arial" w:cs="Arial"/>
          <w:b/>
          <w:sz w:val="22"/>
          <w:szCs w:val="22"/>
        </w:rPr>
        <w:t xml:space="preserve"> </w:t>
      </w:r>
      <w:r w:rsidR="006D4CA4">
        <w:rPr>
          <w:rFonts w:ascii="Arial" w:hAnsi="Arial" w:cs="Arial"/>
          <w:b/>
          <w:sz w:val="22"/>
          <w:szCs w:val="22"/>
        </w:rPr>
        <w:t>July 2020</w:t>
      </w:r>
      <w:bookmarkStart w:id="5" w:name="_GoBack"/>
      <w:bookmarkEnd w:id="5"/>
    </w:p>
    <w:sectPr w:rsidR="00515316" w:rsidSect="00F507D8">
      <w:footerReference w:type="default" r:id="rId14"/>
      <w:headerReference w:type="first" r:id="rId15"/>
      <w:pgSz w:w="11906" w:h="16838" w:code="9"/>
      <w:pgMar w:top="113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07D2D" w14:textId="77777777" w:rsidR="00B91315" w:rsidRDefault="00B91315" w:rsidP="00B91315">
      <w:pPr>
        <w:spacing w:after="0" w:line="240" w:lineRule="auto"/>
      </w:pPr>
      <w:r>
        <w:separator/>
      </w:r>
    </w:p>
  </w:endnote>
  <w:endnote w:type="continuationSeparator" w:id="0">
    <w:p w14:paraId="242277F7" w14:textId="77777777" w:rsidR="00B91315" w:rsidRDefault="00B91315" w:rsidP="00B9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C5B2" w14:textId="562410BB" w:rsidR="009A1CE1" w:rsidRDefault="00990242">
    <w:pPr>
      <w:pStyle w:val="Footer"/>
    </w:pPr>
    <w:r>
      <w:fldChar w:fldCharType="begin"/>
    </w:r>
    <w:r>
      <w:instrText xml:space="preserve"> PAGE   \* MERGEFORMAT </w:instrText>
    </w:r>
    <w:r>
      <w:fldChar w:fldCharType="separate"/>
    </w:r>
    <w:r w:rsidR="006D4CA4">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3AB2D" w14:textId="77777777" w:rsidR="00B91315" w:rsidRDefault="00B91315" w:rsidP="00B91315">
      <w:pPr>
        <w:spacing w:after="0" w:line="240" w:lineRule="auto"/>
      </w:pPr>
      <w:r>
        <w:separator/>
      </w:r>
    </w:p>
  </w:footnote>
  <w:footnote w:type="continuationSeparator" w:id="0">
    <w:p w14:paraId="5698187E" w14:textId="77777777" w:rsidR="00B91315" w:rsidRDefault="00B91315" w:rsidP="00B91315">
      <w:pPr>
        <w:spacing w:after="0" w:line="240" w:lineRule="auto"/>
      </w:pPr>
      <w:r>
        <w:continuationSeparator/>
      </w:r>
    </w:p>
  </w:footnote>
  <w:footnote w:id="1">
    <w:p w14:paraId="13B09D7C" w14:textId="6EDFBD91" w:rsidR="00A54C31" w:rsidRPr="001474E3" w:rsidRDefault="00A54C31" w:rsidP="001474E3">
      <w:pPr>
        <w:pStyle w:val="FootnoteText"/>
        <w:spacing w:after="0"/>
        <w:rPr>
          <w:sz w:val="18"/>
          <w:szCs w:val="18"/>
        </w:rPr>
      </w:pPr>
      <w:r w:rsidRPr="001474E3">
        <w:rPr>
          <w:rStyle w:val="FootnoteReference"/>
          <w:sz w:val="18"/>
          <w:szCs w:val="18"/>
        </w:rPr>
        <w:footnoteRef/>
      </w:r>
      <w:r w:rsidRPr="001474E3">
        <w:rPr>
          <w:sz w:val="18"/>
          <w:szCs w:val="18"/>
        </w:rPr>
        <w:t xml:space="preserve"> See rows</w:t>
      </w:r>
      <w:r w:rsidRPr="00333F97">
        <w:rPr>
          <w:sz w:val="18"/>
          <w:szCs w:val="18"/>
        </w:rPr>
        <w:t xml:space="preserve"> </w:t>
      </w:r>
      <w:r w:rsidR="00333F97" w:rsidRPr="00333F97">
        <w:rPr>
          <w:sz w:val="18"/>
          <w:szCs w:val="18"/>
        </w:rPr>
        <w:t>19</w:t>
      </w:r>
      <w:r w:rsidRPr="00333F97">
        <w:rPr>
          <w:sz w:val="18"/>
          <w:szCs w:val="18"/>
        </w:rPr>
        <w:t xml:space="preserve"> </w:t>
      </w:r>
      <w:r w:rsidRPr="001474E3">
        <w:rPr>
          <w:sz w:val="18"/>
          <w:szCs w:val="18"/>
        </w:rPr>
        <w:t xml:space="preserve">and </w:t>
      </w:r>
      <w:r w:rsidR="00333F97">
        <w:rPr>
          <w:sz w:val="18"/>
          <w:szCs w:val="18"/>
        </w:rPr>
        <w:t>20</w:t>
      </w:r>
      <w:r w:rsidRPr="001474E3">
        <w:rPr>
          <w:sz w:val="18"/>
          <w:szCs w:val="18"/>
        </w:rPr>
        <w:t xml:space="preserve"> for maximum retention period</w:t>
      </w:r>
    </w:p>
  </w:footnote>
  <w:footnote w:id="2">
    <w:p w14:paraId="6839608B" w14:textId="77777777" w:rsidR="00F440BB" w:rsidRPr="001474E3" w:rsidRDefault="00F440BB" w:rsidP="001474E3">
      <w:pPr>
        <w:pStyle w:val="FootnoteText"/>
        <w:spacing w:after="0"/>
        <w:rPr>
          <w:sz w:val="18"/>
          <w:szCs w:val="18"/>
        </w:rPr>
      </w:pPr>
      <w:r w:rsidRPr="001474E3">
        <w:rPr>
          <w:rStyle w:val="FootnoteReference"/>
          <w:sz w:val="18"/>
          <w:szCs w:val="18"/>
        </w:rPr>
        <w:footnoteRef/>
      </w:r>
      <w:r w:rsidRPr="001474E3">
        <w:rPr>
          <w:sz w:val="18"/>
          <w:szCs w:val="18"/>
        </w:rPr>
        <w:t xml:space="preserve"> </w:t>
      </w:r>
      <w:r w:rsidRPr="001474E3">
        <w:rPr>
          <w:i/>
          <w:sz w:val="18"/>
          <w:szCs w:val="18"/>
        </w:rPr>
        <w:t>What to keep</w:t>
      </w:r>
      <w:r w:rsidRPr="001474E3">
        <w:rPr>
          <w:sz w:val="18"/>
          <w:szCs w:val="18"/>
        </w:rPr>
        <w:t xml:space="preserve"> is available at: </w:t>
      </w:r>
      <w:hyperlink r:id="rId1" w:history="1">
        <w:r w:rsidRPr="001474E3">
          <w:rPr>
            <w:rStyle w:val="Hyperlink"/>
            <w:color w:val="0000CC"/>
            <w:sz w:val="18"/>
            <w:szCs w:val="18"/>
          </w:rPr>
          <w:t>https://www.gov.uk/government/publications/record-retention-and-disposition-schedules</w:t>
        </w:r>
      </w:hyperlink>
      <w:r w:rsidRPr="001474E3">
        <w:rPr>
          <w:sz w:val="18"/>
          <w:szCs w:val="18"/>
        </w:rPr>
        <w:t xml:space="preserve"> </w:t>
      </w:r>
    </w:p>
  </w:footnote>
  <w:footnote w:id="3">
    <w:p w14:paraId="34669EAF" w14:textId="77777777" w:rsidR="00F440BB" w:rsidRPr="001474E3" w:rsidRDefault="00F440BB" w:rsidP="00146BBA">
      <w:pPr>
        <w:pStyle w:val="FootnoteText"/>
        <w:spacing w:after="0"/>
        <w:rPr>
          <w:sz w:val="18"/>
          <w:szCs w:val="18"/>
        </w:rPr>
      </w:pPr>
      <w:r w:rsidRPr="001474E3">
        <w:rPr>
          <w:rStyle w:val="FootnoteReference"/>
          <w:sz w:val="18"/>
          <w:szCs w:val="18"/>
        </w:rPr>
        <w:footnoteRef/>
      </w:r>
      <w:r w:rsidRPr="001474E3">
        <w:rPr>
          <w:sz w:val="18"/>
          <w:szCs w:val="18"/>
        </w:rPr>
        <w:t xml:space="preserve"> Staff should check the intranet for more detailed guidance: </w:t>
      </w:r>
      <w:r w:rsidRPr="001474E3">
        <w:rPr>
          <w:i/>
          <w:sz w:val="18"/>
          <w:szCs w:val="18"/>
        </w:rPr>
        <w:t>Guidance for using Open Internet Tools</w:t>
      </w:r>
    </w:p>
  </w:footnote>
  <w:footnote w:id="4">
    <w:p w14:paraId="2781C181" w14:textId="77777777" w:rsidR="00F440BB" w:rsidRPr="001474E3" w:rsidRDefault="00F440BB" w:rsidP="001474E3">
      <w:pPr>
        <w:pStyle w:val="FootnoteText"/>
        <w:spacing w:after="0"/>
        <w:rPr>
          <w:sz w:val="18"/>
          <w:szCs w:val="18"/>
        </w:rPr>
      </w:pPr>
      <w:r w:rsidRPr="001474E3">
        <w:rPr>
          <w:rStyle w:val="FootnoteReference"/>
          <w:sz w:val="18"/>
          <w:szCs w:val="18"/>
        </w:rPr>
        <w:footnoteRef/>
      </w:r>
      <w:r w:rsidRPr="001474E3">
        <w:rPr>
          <w:sz w:val="18"/>
          <w:szCs w:val="18"/>
        </w:rPr>
        <w:t xml:space="preserve"> The answers to these requests are held by Disclosure (see row 40 of the MoJ HQ schedule)</w:t>
      </w:r>
    </w:p>
  </w:footnote>
  <w:footnote w:id="5">
    <w:p w14:paraId="60387FDE" w14:textId="77777777" w:rsidR="00F440BB" w:rsidRPr="00734BCB" w:rsidRDefault="00F440BB" w:rsidP="001474E3">
      <w:pPr>
        <w:pStyle w:val="FootnoteText"/>
        <w:spacing w:after="0"/>
        <w:rPr>
          <w:sz w:val="18"/>
        </w:rPr>
      </w:pPr>
      <w:r w:rsidRPr="00734BCB">
        <w:rPr>
          <w:rStyle w:val="FootnoteReference"/>
          <w:sz w:val="18"/>
        </w:rPr>
        <w:footnoteRef/>
      </w:r>
      <w:r w:rsidRPr="00734BCB">
        <w:rPr>
          <w:sz w:val="18"/>
        </w:rPr>
        <w:t xml:space="preserve"> Limitation Act 1980 s.5 sets the time limit for actions founded on simple contracts (signed under hand) at six years</w:t>
      </w:r>
    </w:p>
  </w:footnote>
  <w:footnote w:id="6">
    <w:p w14:paraId="55DDAD0F" w14:textId="77777777" w:rsidR="00F440BB" w:rsidRPr="00734BCB" w:rsidRDefault="00F440BB" w:rsidP="001474E3">
      <w:pPr>
        <w:pStyle w:val="FootnoteText"/>
        <w:spacing w:after="0"/>
        <w:rPr>
          <w:sz w:val="18"/>
        </w:rPr>
      </w:pPr>
      <w:r w:rsidRPr="00734BCB">
        <w:rPr>
          <w:rStyle w:val="FootnoteReference"/>
          <w:sz w:val="18"/>
        </w:rPr>
        <w:footnoteRef/>
      </w:r>
      <w:r w:rsidRPr="00734BCB">
        <w:rPr>
          <w:sz w:val="18"/>
        </w:rPr>
        <w:t xml:space="preserve"> If the business identifies record types which need a new retention period, they should contact the DRO’s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83BF" w14:textId="77777777" w:rsidR="00F507D8" w:rsidRDefault="0028397F">
    <w:pPr>
      <w:pStyle w:val="Header"/>
    </w:pPr>
    <w:r w:rsidRPr="006D258B">
      <w:rPr>
        <w:noProof/>
      </w:rPr>
      <w:drawing>
        <wp:anchor distT="0" distB="0" distL="114300" distR="114300" simplePos="0" relativeHeight="251660288" behindDoc="1" locked="0" layoutInCell="0" allowOverlap="1" wp14:anchorId="5A36B3BF" wp14:editId="7F9A8A0A">
          <wp:simplePos x="0" y="0"/>
          <wp:positionH relativeFrom="page">
            <wp:posOffset>720090</wp:posOffset>
          </wp:positionH>
          <wp:positionV relativeFrom="page">
            <wp:posOffset>720090</wp:posOffset>
          </wp:positionV>
          <wp:extent cx="1331640" cy="1033920"/>
          <wp:effectExtent l="0" t="0" r="1905" b="0"/>
          <wp:wrapNone/>
          <wp:docPr id="26" name="Picture 26" descr="Ministry of Justice logo" title="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1640" cy="1033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6AE91CC" wp14:editId="521C3C2A">
          <wp:simplePos x="723900" y="361950"/>
          <wp:positionH relativeFrom="page">
            <wp:align>left</wp:align>
          </wp:positionH>
          <wp:positionV relativeFrom="page">
            <wp:align>top</wp:align>
          </wp:positionV>
          <wp:extent cx="7560360" cy="10692360"/>
          <wp:effectExtent l="0" t="0" r="2540" b="0"/>
          <wp:wrapNone/>
          <wp:docPr id="1" name="Picture 1"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gben\AppData\Local\Microsoft\Windows\INetCache\Content.Word\6.5394_MoJ_Brand refresh_covers_210319_RW-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60"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30F6F8"/>
    <w:lvl w:ilvl="0">
      <w:start w:val="1"/>
      <w:numFmt w:val="bullet"/>
      <w:pStyle w:val="ListBullet2"/>
      <w:lvlText w:val=""/>
      <w:lvlJc w:val="left"/>
      <w:pPr>
        <w:ind w:left="717" w:hanging="360"/>
      </w:pPr>
      <w:rPr>
        <w:rFonts w:ascii="Symbol" w:hAnsi="Symbol" w:hint="default"/>
        <w:color w:val="00B1EB"/>
      </w:rPr>
    </w:lvl>
  </w:abstractNum>
  <w:abstractNum w:abstractNumId="1" w15:restartNumberingAfterBreak="0">
    <w:nsid w:val="FFFFFF88"/>
    <w:multiLevelType w:val="singleLevel"/>
    <w:tmpl w:val="4CB2C802"/>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FFFFFF89"/>
    <w:multiLevelType w:val="singleLevel"/>
    <w:tmpl w:val="5CCC8D44"/>
    <w:lvl w:ilvl="0">
      <w:start w:val="1"/>
      <w:numFmt w:val="bullet"/>
      <w:pStyle w:val="ListBullet"/>
      <w:lvlText w:val=""/>
      <w:lvlJc w:val="left"/>
      <w:pPr>
        <w:ind w:left="360" w:hanging="360"/>
      </w:pPr>
      <w:rPr>
        <w:rFonts w:ascii="Symbol" w:hAnsi="Symbol" w:hint="default"/>
        <w:color w:val="1D609D"/>
      </w:rPr>
    </w:lvl>
  </w:abstractNum>
  <w:abstractNum w:abstractNumId="3" w15:restartNumberingAfterBreak="0">
    <w:nsid w:val="05554F17"/>
    <w:multiLevelType w:val="hybridMultilevel"/>
    <w:tmpl w:val="DF685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B0D05"/>
    <w:multiLevelType w:val="hybridMultilevel"/>
    <w:tmpl w:val="3BFC92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807E8"/>
    <w:multiLevelType w:val="hybridMultilevel"/>
    <w:tmpl w:val="DB4C8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DD4A7E"/>
    <w:multiLevelType w:val="hybridMultilevel"/>
    <w:tmpl w:val="2C88B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0F61A5"/>
    <w:multiLevelType w:val="hybridMultilevel"/>
    <w:tmpl w:val="622A6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E0A4D"/>
    <w:multiLevelType w:val="hybridMultilevel"/>
    <w:tmpl w:val="D9B6B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732ACD"/>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F54FFA"/>
    <w:multiLevelType w:val="hybridMultilevel"/>
    <w:tmpl w:val="751AE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CB014B"/>
    <w:multiLevelType w:val="hybridMultilevel"/>
    <w:tmpl w:val="A0207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1974E3"/>
    <w:multiLevelType w:val="hybridMultilevel"/>
    <w:tmpl w:val="E91E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B0AB6"/>
    <w:multiLevelType w:val="hybridMultilevel"/>
    <w:tmpl w:val="0396C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5007B1"/>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3A0321"/>
    <w:multiLevelType w:val="hybridMultilevel"/>
    <w:tmpl w:val="9180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456B8"/>
    <w:multiLevelType w:val="hybridMultilevel"/>
    <w:tmpl w:val="2BE20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6C0892"/>
    <w:multiLevelType w:val="hybridMultilevel"/>
    <w:tmpl w:val="1936A18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8D7069"/>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C36538"/>
    <w:multiLevelType w:val="hybridMultilevel"/>
    <w:tmpl w:val="D60E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7C234A"/>
    <w:multiLevelType w:val="hybridMultilevel"/>
    <w:tmpl w:val="25CC8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907B61"/>
    <w:multiLevelType w:val="hybridMultilevel"/>
    <w:tmpl w:val="5C826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983157"/>
    <w:multiLevelType w:val="hybridMultilevel"/>
    <w:tmpl w:val="11624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823CEB"/>
    <w:multiLevelType w:val="hybridMultilevel"/>
    <w:tmpl w:val="8A66D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FB2947"/>
    <w:multiLevelType w:val="hybridMultilevel"/>
    <w:tmpl w:val="ACDE4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2"/>
    <w:lvlOverride w:ilvl="0">
      <w:startOverride w:val="1"/>
    </w:lvlOverride>
  </w:num>
  <w:num w:numId="5">
    <w:abstractNumId w:val="0"/>
    <w:lvlOverride w:ilvl="0">
      <w:startOverride w:val="1"/>
    </w:lvlOverride>
  </w:num>
  <w:num w:numId="6">
    <w:abstractNumId w:val="4"/>
  </w:num>
  <w:num w:numId="7">
    <w:abstractNumId w:val="7"/>
  </w:num>
  <w:num w:numId="8">
    <w:abstractNumId w:val="6"/>
  </w:num>
  <w:num w:numId="9">
    <w:abstractNumId w:val="12"/>
  </w:num>
  <w:num w:numId="10">
    <w:abstractNumId w:val="18"/>
  </w:num>
  <w:num w:numId="11">
    <w:abstractNumId w:val="21"/>
  </w:num>
  <w:num w:numId="12">
    <w:abstractNumId w:val="17"/>
  </w:num>
  <w:num w:numId="13">
    <w:abstractNumId w:val="15"/>
  </w:num>
  <w:num w:numId="14">
    <w:abstractNumId w:val="22"/>
  </w:num>
  <w:num w:numId="15">
    <w:abstractNumId w:val="14"/>
  </w:num>
  <w:num w:numId="16">
    <w:abstractNumId w:val="9"/>
  </w:num>
  <w:num w:numId="17">
    <w:abstractNumId w:val="10"/>
  </w:num>
  <w:num w:numId="18">
    <w:abstractNumId w:val="8"/>
  </w:num>
  <w:num w:numId="19">
    <w:abstractNumId w:val="20"/>
  </w:num>
  <w:num w:numId="20">
    <w:abstractNumId w:val="5"/>
  </w:num>
  <w:num w:numId="21">
    <w:abstractNumId w:val="3"/>
  </w:num>
  <w:num w:numId="22">
    <w:abstractNumId w:val="24"/>
  </w:num>
  <w:num w:numId="23">
    <w:abstractNumId w:val="23"/>
  </w:num>
  <w:num w:numId="24">
    <w:abstractNumId w:val="19"/>
  </w:num>
  <w:num w:numId="25">
    <w:abstractNumId w:val="11"/>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CD"/>
    <w:rsid w:val="00010D81"/>
    <w:rsid w:val="000171BD"/>
    <w:rsid w:val="00022442"/>
    <w:rsid w:val="0005554D"/>
    <w:rsid w:val="00090E40"/>
    <w:rsid w:val="000A02FA"/>
    <w:rsid w:val="00107AB2"/>
    <w:rsid w:val="00146BBA"/>
    <w:rsid w:val="001474E3"/>
    <w:rsid w:val="00175D09"/>
    <w:rsid w:val="001A71CD"/>
    <w:rsid w:val="001A7669"/>
    <w:rsid w:val="001B491F"/>
    <w:rsid w:val="001C32B4"/>
    <w:rsid w:val="001D5E65"/>
    <w:rsid w:val="001E43D9"/>
    <w:rsid w:val="002208D6"/>
    <w:rsid w:val="00240F37"/>
    <w:rsid w:val="00253E19"/>
    <w:rsid w:val="00262EE7"/>
    <w:rsid w:val="0028397F"/>
    <w:rsid w:val="00293CEB"/>
    <w:rsid w:val="002F075A"/>
    <w:rsid w:val="00333F97"/>
    <w:rsid w:val="003355F1"/>
    <w:rsid w:val="0036794C"/>
    <w:rsid w:val="003D1E86"/>
    <w:rsid w:val="003D27AC"/>
    <w:rsid w:val="00446DDB"/>
    <w:rsid w:val="0046787C"/>
    <w:rsid w:val="0047370E"/>
    <w:rsid w:val="00493C49"/>
    <w:rsid w:val="00494A05"/>
    <w:rsid w:val="004A6774"/>
    <w:rsid w:val="004C14D9"/>
    <w:rsid w:val="005125BA"/>
    <w:rsid w:val="00515316"/>
    <w:rsid w:val="005257FE"/>
    <w:rsid w:val="00526855"/>
    <w:rsid w:val="00545B6C"/>
    <w:rsid w:val="005E51D0"/>
    <w:rsid w:val="005F79B1"/>
    <w:rsid w:val="006124AE"/>
    <w:rsid w:val="0062433C"/>
    <w:rsid w:val="006B336A"/>
    <w:rsid w:val="006B61D2"/>
    <w:rsid w:val="006D4CA4"/>
    <w:rsid w:val="0076139D"/>
    <w:rsid w:val="00771676"/>
    <w:rsid w:val="007B5BEE"/>
    <w:rsid w:val="007E08C8"/>
    <w:rsid w:val="008078A6"/>
    <w:rsid w:val="008114F6"/>
    <w:rsid w:val="008967F5"/>
    <w:rsid w:val="008B0FD6"/>
    <w:rsid w:val="008B2C35"/>
    <w:rsid w:val="008C3ED5"/>
    <w:rsid w:val="008C5750"/>
    <w:rsid w:val="00916276"/>
    <w:rsid w:val="009179CD"/>
    <w:rsid w:val="009262CC"/>
    <w:rsid w:val="00932F7F"/>
    <w:rsid w:val="00990242"/>
    <w:rsid w:val="0099426E"/>
    <w:rsid w:val="009A1CE1"/>
    <w:rsid w:val="009A7274"/>
    <w:rsid w:val="009C658A"/>
    <w:rsid w:val="00A54C31"/>
    <w:rsid w:val="00AC6247"/>
    <w:rsid w:val="00AD05F3"/>
    <w:rsid w:val="00AD52C7"/>
    <w:rsid w:val="00AE4DF7"/>
    <w:rsid w:val="00B14C59"/>
    <w:rsid w:val="00B24656"/>
    <w:rsid w:val="00B4736D"/>
    <w:rsid w:val="00B72C41"/>
    <w:rsid w:val="00B91315"/>
    <w:rsid w:val="00B920F0"/>
    <w:rsid w:val="00BC4DBC"/>
    <w:rsid w:val="00BC6C15"/>
    <w:rsid w:val="00BC7151"/>
    <w:rsid w:val="00BF23EA"/>
    <w:rsid w:val="00CB0A07"/>
    <w:rsid w:val="00D011FB"/>
    <w:rsid w:val="00D12245"/>
    <w:rsid w:val="00D268F2"/>
    <w:rsid w:val="00D50660"/>
    <w:rsid w:val="00D53250"/>
    <w:rsid w:val="00D62A7E"/>
    <w:rsid w:val="00DD05C5"/>
    <w:rsid w:val="00E40474"/>
    <w:rsid w:val="00E40AEF"/>
    <w:rsid w:val="00E4123E"/>
    <w:rsid w:val="00E66A89"/>
    <w:rsid w:val="00E74536"/>
    <w:rsid w:val="00EE0C78"/>
    <w:rsid w:val="00EE6148"/>
    <w:rsid w:val="00F1165D"/>
    <w:rsid w:val="00F12B8B"/>
    <w:rsid w:val="00F204E9"/>
    <w:rsid w:val="00F440BB"/>
    <w:rsid w:val="00F507D8"/>
    <w:rsid w:val="00F6533F"/>
    <w:rsid w:val="00F66F5C"/>
    <w:rsid w:val="00F750CF"/>
    <w:rsid w:val="00F75C65"/>
    <w:rsid w:val="00F8317E"/>
    <w:rsid w:val="00F9054B"/>
    <w:rsid w:val="00FB3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279D984"/>
  <w15:chartTrackingRefBased/>
  <w15:docId w15:val="{3C8F4F98-AF89-462B-BC80-6FBAFB58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header" w:uiPriority="8"/>
    <w:lsdException w:name="footer" w:uiPriority="8"/>
    <w:lsdException w:name="index heading" w:semiHidden="1"/>
    <w:lsdException w:name="caption" w:semiHidden="1"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uiPriority="8"/>
    <w:lsdException w:name="endnote reference" w:semiHidden="1" w:uiPriority="3"/>
    <w:lsdException w:name="endnote text" w:semiHidden="1" w:uiPriority="3"/>
    <w:lsdException w:name="table of authorities" w:semiHidden="1"/>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8" w:qFormat="1"/>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8"/>
    <w:lsdException w:name="Salutation" w:semiHidden="1"/>
    <w:lsdException w:name="Date" w:semiHidden="1" w:uiPriority="8"/>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uiPriority="8"/>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uiPriority="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uiPriority w:val="8"/>
    <w:semiHidden/>
    <w:qFormat/>
    <w:rsid w:val="00F507D8"/>
    <w:pPr>
      <w:spacing w:after="240" w:line="276" w:lineRule="auto"/>
    </w:pPr>
    <w:rPr>
      <w:sz w:val="24"/>
    </w:rPr>
  </w:style>
  <w:style w:type="paragraph" w:styleId="Heading1">
    <w:name w:val="heading 1"/>
    <w:next w:val="BodyText"/>
    <w:link w:val="Heading1Char"/>
    <w:qFormat/>
    <w:rsid w:val="00F507D8"/>
    <w:pPr>
      <w:keepNext/>
      <w:keepLines/>
      <w:spacing w:before="480" w:after="480" w:line="240" w:lineRule="auto"/>
      <w:contextualSpacing/>
      <w:outlineLvl w:val="0"/>
    </w:pPr>
    <w:rPr>
      <w:rFonts w:asciiTheme="majorHAnsi" w:eastAsiaTheme="majorEastAsia" w:hAnsiTheme="majorHAnsi" w:cstheme="majorBidi"/>
      <w:b/>
      <w:color w:val="1D609D" w:themeColor="accent1"/>
      <w:sz w:val="48"/>
      <w:szCs w:val="32"/>
    </w:rPr>
  </w:style>
  <w:style w:type="paragraph" w:styleId="Heading2">
    <w:name w:val="heading 2"/>
    <w:next w:val="BodyText"/>
    <w:link w:val="Heading2Char"/>
    <w:qFormat/>
    <w:rsid w:val="00F507D8"/>
    <w:pPr>
      <w:keepNext/>
      <w:keepLines/>
      <w:spacing w:before="240" w:after="120" w:line="276" w:lineRule="auto"/>
      <w:outlineLvl w:val="1"/>
    </w:pPr>
    <w:rPr>
      <w:rFonts w:asciiTheme="majorHAnsi" w:eastAsiaTheme="majorEastAsia" w:hAnsiTheme="majorHAnsi" w:cstheme="majorBidi"/>
      <w:b/>
      <w:sz w:val="32"/>
      <w:szCs w:val="26"/>
    </w:rPr>
  </w:style>
  <w:style w:type="paragraph" w:styleId="Heading3">
    <w:name w:val="heading 3"/>
    <w:next w:val="BodyText"/>
    <w:link w:val="Heading3Char"/>
    <w:qFormat/>
    <w:rsid w:val="002F075A"/>
    <w:pPr>
      <w:keepNext/>
      <w:keepLines/>
      <w:spacing w:after="0" w:line="276" w:lineRule="auto"/>
      <w:contextualSpacing/>
      <w:outlineLvl w:val="2"/>
    </w:pPr>
    <w:rPr>
      <w:rFonts w:asciiTheme="majorHAnsi" w:eastAsiaTheme="majorEastAsia" w:hAnsiTheme="majorHAnsi" w:cstheme="majorBidi"/>
      <w:b/>
      <w:sz w:val="24"/>
      <w:szCs w:val="24"/>
    </w:rPr>
  </w:style>
  <w:style w:type="paragraph" w:styleId="Heading4">
    <w:name w:val="heading 4"/>
    <w:next w:val="BodyText"/>
    <w:link w:val="Heading4Char"/>
    <w:qFormat/>
    <w:rsid w:val="002F075A"/>
    <w:pPr>
      <w:keepNext/>
      <w:keepLines/>
      <w:spacing w:after="0" w:line="276" w:lineRule="auto"/>
      <w:contextualSpacing/>
      <w:outlineLvl w:val="3"/>
    </w:pPr>
    <w:rPr>
      <w:rFonts w:asciiTheme="majorHAnsi" w:eastAsiaTheme="majorEastAsia" w:hAnsiTheme="majorHAns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BodyText"/>
    <w:link w:val="FootnoteTextChar"/>
    <w:qFormat/>
    <w:rsid w:val="00916276"/>
    <w:pPr>
      <w:spacing w:after="40" w:line="240" w:lineRule="auto"/>
      <w:ind w:left="284" w:hanging="284"/>
    </w:pPr>
    <w:rPr>
      <w:sz w:val="20"/>
      <w:szCs w:val="20"/>
    </w:rPr>
  </w:style>
  <w:style w:type="character" w:customStyle="1" w:styleId="FootnoteTextChar">
    <w:name w:val="Footnote Text Char"/>
    <w:basedOn w:val="DefaultParagraphFont"/>
    <w:link w:val="FootnoteText"/>
    <w:rsid w:val="00916276"/>
    <w:rPr>
      <w:sz w:val="20"/>
      <w:szCs w:val="20"/>
    </w:rPr>
  </w:style>
  <w:style w:type="character" w:styleId="FootnoteReference">
    <w:name w:val="footnote reference"/>
    <w:basedOn w:val="DefaultParagraphFont"/>
    <w:uiPriority w:val="99"/>
    <w:rsid w:val="00B91315"/>
    <w:rPr>
      <w:vertAlign w:val="superscript"/>
    </w:rPr>
  </w:style>
  <w:style w:type="paragraph" w:styleId="Title">
    <w:name w:val="Title"/>
    <w:next w:val="Subtitle"/>
    <w:link w:val="TitleChar"/>
    <w:uiPriority w:val="8"/>
    <w:semiHidden/>
    <w:qFormat/>
    <w:rsid w:val="00F507D8"/>
    <w:pPr>
      <w:spacing w:before="2940" w:after="0" w:line="240" w:lineRule="auto"/>
      <w:contextualSpacing/>
    </w:pPr>
    <w:rPr>
      <w:rFonts w:asciiTheme="majorHAnsi" w:eastAsiaTheme="majorEastAsia" w:hAnsiTheme="majorHAnsi" w:cstheme="majorBidi"/>
      <w:b/>
      <w:color w:val="1D609D" w:themeColor="accent1"/>
      <w:sz w:val="68"/>
      <w:szCs w:val="56"/>
    </w:rPr>
  </w:style>
  <w:style w:type="character" w:customStyle="1" w:styleId="TitleChar">
    <w:name w:val="Title Char"/>
    <w:basedOn w:val="DefaultParagraphFont"/>
    <w:link w:val="Title"/>
    <w:uiPriority w:val="8"/>
    <w:semiHidden/>
    <w:rsid w:val="00F507D8"/>
    <w:rPr>
      <w:rFonts w:asciiTheme="majorHAnsi" w:eastAsiaTheme="majorEastAsia" w:hAnsiTheme="majorHAnsi" w:cstheme="majorBidi"/>
      <w:b/>
      <w:color w:val="1D609D" w:themeColor="accent1"/>
      <w:sz w:val="68"/>
      <w:szCs w:val="56"/>
    </w:rPr>
  </w:style>
  <w:style w:type="paragraph" w:styleId="Subtitle">
    <w:name w:val="Subtitle"/>
    <w:next w:val="BodyText"/>
    <w:link w:val="SubtitleChar"/>
    <w:uiPriority w:val="8"/>
    <w:semiHidden/>
    <w:rsid w:val="00F507D8"/>
    <w:pPr>
      <w:numPr>
        <w:ilvl w:val="1"/>
      </w:numPr>
      <w:spacing w:after="0" w:line="240" w:lineRule="auto"/>
      <w:contextualSpacing/>
    </w:pPr>
    <w:rPr>
      <w:rFonts w:asciiTheme="majorHAnsi" w:eastAsiaTheme="minorEastAsia" w:hAnsiTheme="majorHAnsi"/>
      <w:b/>
      <w:color w:val="1D609D" w:themeColor="accent1"/>
      <w:sz w:val="48"/>
    </w:rPr>
  </w:style>
  <w:style w:type="character" w:customStyle="1" w:styleId="SubtitleChar">
    <w:name w:val="Subtitle Char"/>
    <w:basedOn w:val="DefaultParagraphFont"/>
    <w:link w:val="Subtitle"/>
    <w:uiPriority w:val="8"/>
    <w:semiHidden/>
    <w:rsid w:val="00F507D8"/>
    <w:rPr>
      <w:rFonts w:asciiTheme="majorHAnsi" w:eastAsiaTheme="minorEastAsia" w:hAnsiTheme="majorHAnsi"/>
      <w:b/>
      <w:color w:val="1D609D" w:themeColor="accent1"/>
      <w:sz w:val="48"/>
    </w:rPr>
  </w:style>
  <w:style w:type="character" w:styleId="FollowedHyperlink">
    <w:name w:val="FollowedHyperlink"/>
    <w:uiPriority w:val="8"/>
    <w:unhideWhenUsed/>
    <w:rsid w:val="00D50660"/>
    <w:rPr>
      <w:color w:val="00B1EB" w:themeColor="followedHyperlink"/>
      <w:u w:val="single"/>
    </w:rPr>
  </w:style>
  <w:style w:type="character" w:customStyle="1" w:styleId="Heading1Char">
    <w:name w:val="Heading 1 Char"/>
    <w:basedOn w:val="DefaultParagraphFont"/>
    <w:link w:val="Heading1"/>
    <w:rsid w:val="00F507D8"/>
    <w:rPr>
      <w:rFonts w:asciiTheme="majorHAnsi" w:eastAsiaTheme="majorEastAsia" w:hAnsiTheme="majorHAnsi" w:cstheme="majorBidi"/>
      <w:b/>
      <w:color w:val="1D609D" w:themeColor="accent1"/>
      <w:sz w:val="48"/>
      <w:szCs w:val="32"/>
    </w:rPr>
  </w:style>
  <w:style w:type="paragraph" w:styleId="TOCHeading">
    <w:name w:val="TOC Heading"/>
    <w:basedOn w:val="Heading1"/>
    <w:next w:val="BodyText"/>
    <w:uiPriority w:val="8"/>
    <w:semiHidden/>
    <w:rsid w:val="00AD05F3"/>
    <w:pPr>
      <w:outlineLvl w:val="9"/>
    </w:pPr>
  </w:style>
  <w:style w:type="character" w:customStyle="1" w:styleId="Heading2Char">
    <w:name w:val="Heading 2 Char"/>
    <w:basedOn w:val="DefaultParagraphFont"/>
    <w:link w:val="Heading2"/>
    <w:rsid w:val="00F507D8"/>
    <w:rPr>
      <w:rFonts w:asciiTheme="majorHAnsi" w:eastAsiaTheme="majorEastAsia" w:hAnsiTheme="majorHAnsi" w:cstheme="majorBidi"/>
      <w:b/>
      <w:sz w:val="32"/>
      <w:szCs w:val="26"/>
    </w:rPr>
  </w:style>
  <w:style w:type="character" w:customStyle="1" w:styleId="Heading3Char">
    <w:name w:val="Heading 3 Char"/>
    <w:basedOn w:val="DefaultParagraphFont"/>
    <w:link w:val="Heading3"/>
    <w:rsid w:val="002F075A"/>
    <w:rPr>
      <w:rFonts w:asciiTheme="majorHAnsi" w:eastAsiaTheme="majorEastAsia" w:hAnsiTheme="majorHAnsi" w:cstheme="majorBidi"/>
      <w:b/>
      <w:sz w:val="24"/>
      <w:szCs w:val="24"/>
    </w:rPr>
  </w:style>
  <w:style w:type="character" w:customStyle="1" w:styleId="Heading4Char">
    <w:name w:val="Heading 4 Char"/>
    <w:basedOn w:val="DefaultParagraphFont"/>
    <w:link w:val="Heading4"/>
    <w:rsid w:val="002F075A"/>
    <w:rPr>
      <w:rFonts w:asciiTheme="majorHAnsi" w:eastAsiaTheme="majorEastAsia" w:hAnsiTheme="majorHAnsi" w:cstheme="majorBidi"/>
      <w:i/>
      <w:iCs/>
      <w:sz w:val="24"/>
    </w:rPr>
  </w:style>
  <w:style w:type="paragraph" w:styleId="BodyText">
    <w:name w:val="Body Text"/>
    <w:link w:val="BodyTextChar"/>
    <w:uiPriority w:val="1"/>
    <w:qFormat/>
    <w:rsid w:val="002F075A"/>
    <w:pPr>
      <w:spacing w:after="240" w:line="276" w:lineRule="auto"/>
    </w:pPr>
    <w:rPr>
      <w:sz w:val="24"/>
    </w:rPr>
  </w:style>
  <w:style w:type="character" w:customStyle="1" w:styleId="BodyTextChar">
    <w:name w:val="Body Text Char"/>
    <w:basedOn w:val="DefaultParagraphFont"/>
    <w:link w:val="BodyText"/>
    <w:uiPriority w:val="1"/>
    <w:rsid w:val="002F075A"/>
    <w:rPr>
      <w:sz w:val="24"/>
    </w:rPr>
  </w:style>
  <w:style w:type="paragraph" w:styleId="BodyTextIndent">
    <w:name w:val="Body Text Indent"/>
    <w:basedOn w:val="BodyText"/>
    <w:link w:val="BodyTextIndentChar"/>
    <w:uiPriority w:val="1"/>
    <w:qFormat/>
    <w:rsid w:val="002F075A"/>
    <w:pPr>
      <w:ind w:left="357"/>
    </w:pPr>
  </w:style>
  <w:style w:type="character" w:customStyle="1" w:styleId="BodyTextIndentChar">
    <w:name w:val="Body Text Indent Char"/>
    <w:basedOn w:val="DefaultParagraphFont"/>
    <w:link w:val="BodyTextIndent"/>
    <w:uiPriority w:val="1"/>
    <w:rsid w:val="002F075A"/>
    <w:rPr>
      <w:sz w:val="24"/>
    </w:rPr>
  </w:style>
  <w:style w:type="paragraph" w:styleId="ListBullet">
    <w:name w:val="List Bullet"/>
    <w:basedOn w:val="BodyText"/>
    <w:uiPriority w:val="2"/>
    <w:qFormat/>
    <w:rsid w:val="00446DDB"/>
    <w:pPr>
      <w:numPr>
        <w:numId w:val="1"/>
      </w:numPr>
      <w:contextualSpacing/>
    </w:pPr>
  </w:style>
  <w:style w:type="paragraph" w:styleId="ListBullet2">
    <w:name w:val="List Bullet 2"/>
    <w:uiPriority w:val="2"/>
    <w:qFormat/>
    <w:rsid w:val="00446DDB"/>
    <w:pPr>
      <w:numPr>
        <w:numId w:val="2"/>
      </w:numPr>
      <w:spacing w:after="240" w:line="276" w:lineRule="auto"/>
      <w:contextualSpacing/>
    </w:pPr>
    <w:rPr>
      <w:sz w:val="24"/>
    </w:rPr>
  </w:style>
  <w:style w:type="paragraph" w:styleId="ListNumber">
    <w:name w:val="List Number"/>
    <w:basedOn w:val="BodyText"/>
    <w:uiPriority w:val="1"/>
    <w:qFormat/>
    <w:rsid w:val="002F075A"/>
    <w:pPr>
      <w:numPr>
        <w:numId w:val="3"/>
      </w:numPr>
    </w:pPr>
  </w:style>
  <w:style w:type="paragraph" w:styleId="Header">
    <w:name w:val="header"/>
    <w:basedOn w:val="BodyText"/>
    <w:link w:val="HeaderChar"/>
    <w:uiPriority w:val="8"/>
    <w:semiHidden/>
    <w:rsid w:val="009A1CE1"/>
    <w:pPr>
      <w:spacing w:after="0"/>
      <w:jc w:val="center"/>
    </w:pPr>
    <w:rPr>
      <w:sz w:val="18"/>
    </w:rPr>
  </w:style>
  <w:style w:type="character" w:customStyle="1" w:styleId="HeaderChar">
    <w:name w:val="Header Char"/>
    <w:basedOn w:val="DefaultParagraphFont"/>
    <w:link w:val="Header"/>
    <w:uiPriority w:val="8"/>
    <w:semiHidden/>
    <w:rsid w:val="00BC4DBC"/>
    <w:rPr>
      <w:sz w:val="18"/>
    </w:rPr>
  </w:style>
  <w:style w:type="paragraph" w:styleId="Footer">
    <w:name w:val="footer"/>
    <w:basedOn w:val="BodyText"/>
    <w:link w:val="FooterChar"/>
    <w:uiPriority w:val="8"/>
    <w:semiHidden/>
    <w:rsid w:val="00990242"/>
    <w:pPr>
      <w:spacing w:after="0" w:line="240" w:lineRule="auto"/>
      <w:jc w:val="center"/>
    </w:pPr>
    <w:rPr>
      <w:b/>
    </w:rPr>
  </w:style>
  <w:style w:type="character" w:customStyle="1" w:styleId="FooterChar">
    <w:name w:val="Footer Char"/>
    <w:basedOn w:val="DefaultParagraphFont"/>
    <w:link w:val="Footer"/>
    <w:uiPriority w:val="8"/>
    <w:semiHidden/>
    <w:rsid w:val="00BC4DBC"/>
    <w:rPr>
      <w:b/>
      <w:sz w:val="24"/>
    </w:rPr>
  </w:style>
  <w:style w:type="paragraph" w:styleId="TOC1">
    <w:name w:val="toc 1"/>
    <w:basedOn w:val="BodyText"/>
    <w:uiPriority w:val="39"/>
    <w:semiHidden/>
    <w:rsid w:val="003D27AC"/>
    <w:pPr>
      <w:tabs>
        <w:tab w:val="right" w:pos="9639"/>
      </w:tabs>
      <w:spacing w:before="240" w:after="120"/>
    </w:pPr>
    <w:rPr>
      <w:b/>
    </w:rPr>
  </w:style>
  <w:style w:type="paragraph" w:styleId="TOC2">
    <w:name w:val="toc 2"/>
    <w:basedOn w:val="TOC1"/>
    <w:next w:val="BodyText"/>
    <w:uiPriority w:val="39"/>
    <w:semiHidden/>
    <w:rsid w:val="003D27AC"/>
    <w:pPr>
      <w:spacing w:before="0"/>
    </w:pPr>
    <w:rPr>
      <w:b w:val="0"/>
    </w:rPr>
  </w:style>
  <w:style w:type="character" w:styleId="Hyperlink">
    <w:name w:val="Hyperlink"/>
    <w:unhideWhenUsed/>
    <w:rsid w:val="00990242"/>
    <w:rPr>
      <w:color w:val="00B1EB" w:themeColor="hyperlink"/>
      <w:u w:val="single"/>
    </w:rPr>
  </w:style>
  <w:style w:type="paragraph" w:customStyle="1" w:styleId="EmphasisHeading">
    <w:name w:val="Emphasis Heading"/>
    <w:basedOn w:val="BodyText"/>
    <w:next w:val="EmphasisText"/>
    <w:uiPriority w:val="3"/>
    <w:qFormat/>
    <w:rsid w:val="00E4123E"/>
    <w:pPr>
      <w:keepNext/>
      <w:keepLines/>
      <w:pBdr>
        <w:top w:val="single" w:sz="48" w:space="6" w:color="99E0F7"/>
        <w:left w:val="single" w:sz="48" w:space="4" w:color="99E0F7"/>
        <w:bottom w:val="single" w:sz="48" w:space="6" w:color="99E0F7"/>
        <w:right w:val="single" w:sz="48" w:space="4" w:color="99E0F7"/>
      </w:pBdr>
      <w:shd w:val="clear" w:color="auto" w:fill="99E0F7"/>
      <w:spacing w:before="240"/>
      <w:ind w:left="199"/>
    </w:pPr>
    <w:rPr>
      <w:b/>
      <w:color w:val="003057"/>
    </w:rPr>
  </w:style>
  <w:style w:type="paragraph" w:customStyle="1" w:styleId="EmphasisText">
    <w:name w:val="Emphasis Text"/>
    <w:basedOn w:val="BodyText"/>
    <w:uiPriority w:val="3"/>
    <w:qFormat/>
    <w:rsid w:val="00E4123E"/>
    <w:pPr>
      <w:keepLines/>
      <w:pBdr>
        <w:top w:val="single" w:sz="48" w:space="6" w:color="99E0F7"/>
        <w:left w:val="single" w:sz="48" w:space="4" w:color="99E0F7"/>
        <w:bottom w:val="single" w:sz="48" w:space="6" w:color="99E0F7"/>
        <w:right w:val="single" w:sz="48" w:space="4" w:color="99E0F7"/>
      </w:pBdr>
      <w:shd w:val="clear" w:color="auto" w:fill="99E0F7"/>
      <w:ind w:left="199"/>
    </w:pPr>
    <w:rPr>
      <w:color w:val="003057"/>
    </w:rPr>
  </w:style>
  <w:style w:type="table" w:styleId="TableGrid">
    <w:name w:val="Table Grid"/>
    <w:basedOn w:val="TableNormal"/>
    <w:uiPriority w:val="39"/>
    <w:rsid w:val="00E4123E"/>
    <w:pPr>
      <w:spacing w:after="0" w:line="240" w:lineRule="auto"/>
    </w:pPr>
    <w:tblPr>
      <w:tblBorders>
        <w:top w:val="single" w:sz="4" w:space="0" w:color="1D609D" w:themeColor="accent1"/>
        <w:left w:val="single" w:sz="4" w:space="0" w:color="1D609D" w:themeColor="accent1"/>
        <w:bottom w:val="single" w:sz="4" w:space="0" w:color="1D609D" w:themeColor="accent1"/>
        <w:right w:val="single" w:sz="4" w:space="0" w:color="1D609D" w:themeColor="accent1"/>
        <w:insideH w:val="single" w:sz="4" w:space="0" w:color="1D609D" w:themeColor="accent1"/>
        <w:insideV w:val="single" w:sz="4" w:space="0" w:color="1D609D" w:themeColor="accent1"/>
      </w:tblBorders>
      <w:tblCellMar>
        <w:top w:w="57" w:type="dxa"/>
        <w:left w:w="57" w:type="dxa"/>
        <w:bottom w:w="57" w:type="dxa"/>
        <w:right w:w="57" w:type="dxa"/>
      </w:tblCellMar>
    </w:tblPr>
    <w:tblStylePr w:type="firstRow">
      <w:pPr>
        <w:keepNext/>
        <w:keepLines/>
        <w:widowControl/>
        <w:wordWrap/>
      </w:pPr>
      <w:rPr>
        <w:b/>
        <w:color w:val="FFFFFF" w:themeColor="background1"/>
      </w:rPr>
      <w:tblPr/>
      <w:tcPr>
        <w:tcBorders>
          <w:top w:val="single" w:sz="4" w:space="0" w:color="1D609D" w:themeColor="accent1"/>
          <w:left w:val="single" w:sz="4" w:space="0" w:color="1D609D" w:themeColor="accent1"/>
          <w:bottom w:val="single" w:sz="4" w:space="0" w:color="1D609D" w:themeColor="accent1"/>
          <w:right w:val="single" w:sz="4" w:space="0" w:color="1D609D" w:themeColor="accent1"/>
          <w:insideH w:val="single" w:sz="4" w:space="0" w:color="1D609D" w:themeColor="accent1"/>
          <w:insideV w:val="single" w:sz="4" w:space="0" w:color="1D609D" w:themeColor="accent1"/>
          <w:tl2br w:val="nil"/>
          <w:tr2bl w:val="nil"/>
        </w:tcBorders>
        <w:shd w:val="clear" w:color="auto" w:fill="1D609D" w:themeFill="accent1"/>
      </w:tcPr>
    </w:tblStylePr>
    <w:tblStylePr w:type="firstCol">
      <w:rPr>
        <w:b/>
        <w:i w:val="0"/>
      </w:rPr>
    </w:tblStylePr>
  </w:style>
  <w:style w:type="paragraph" w:customStyle="1" w:styleId="Covertext">
    <w:name w:val="Cover text"/>
    <w:basedOn w:val="BodyText"/>
    <w:uiPriority w:val="8"/>
    <w:semiHidden/>
    <w:qFormat/>
    <w:rsid w:val="00AE4DF7"/>
    <w:pPr>
      <w:spacing w:after="0"/>
    </w:pPr>
    <w:rPr>
      <w:color w:val="FFFFFF" w:themeColor="background1"/>
    </w:rPr>
  </w:style>
  <w:style w:type="character" w:styleId="UnresolvedMention">
    <w:name w:val="Unresolved Mention"/>
    <w:basedOn w:val="DefaultParagraphFont"/>
    <w:uiPriority w:val="99"/>
    <w:semiHidden/>
    <w:rsid w:val="00AD52C7"/>
    <w:rPr>
      <w:color w:val="808080"/>
      <w:shd w:val="clear" w:color="auto" w:fill="E6E6E6"/>
    </w:rPr>
  </w:style>
  <w:style w:type="character" w:styleId="CommentReference">
    <w:name w:val="annotation reference"/>
    <w:basedOn w:val="DefaultParagraphFont"/>
    <w:uiPriority w:val="99"/>
    <w:semiHidden/>
    <w:unhideWhenUsed/>
    <w:rsid w:val="00E66A89"/>
    <w:rPr>
      <w:sz w:val="16"/>
      <w:szCs w:val="16"/>
    </w:rPr>
  </w:style>
  <w:style w:type="paragraph" w:styleId="CommentText">
    <w:name w:val="annotation text"/>
    <w:basedOn w:val="Normal"/>
    <w:link w:val="CommentTextChar"/>
    <w:uiPriority w:val="99"/>
    <w:unhideWhenUsed/>
    <w:rsid w:val="00E66A89"/>
    <w:pPr>
      <w:spacing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66A89"/>
    <w:rPr>
      <w:rFonts w:ascii="Arial" w:eastAsia="Times New Roman" w:hAnsi="Arial" w:cs="Times New Roman"/>
      <w:sz w:val="20"/>
      <w:szCs w:val="20"/>
    </w:rPr>
  </w:style>
  <w:style w:type="paragraph" w:styleId="ListParagraph">
    <w:name w:val="List Paragraph"/>
    <w:basedOn w:val="Normal"/>
    <w:uiPriority w:val="34"/>
    <w:qFormat/>
    <w:rsid w:val="00E66A89"/>
    <w:pPr>
      <w:spacing w:line="240" w:lineRule="auto"/>
      <w:ind w:left="720"/>
      <w:contextualSpacing/>
    </w:pPr>
    <w:rPr>
      <w:rFonts w:ascii="Arial" w:eastAsia="Times New Roman" w:hAnsi="Arial" w:cs="Times New Roman"/>
      <w:sz w:val="22"/>
      <w:szCs w:val="20"/>
    </w:rPr>
  </w:style>
  <w:style w:type="paragraph" w:styleId="BalloonText">
    <w:name w:val="Balloon Text"/>
    <w:basedOn w:val="Normal"/>
    <w:link w:val="BalloonTextChar"/>
    <w:uiPriority w:val="99"/>
    <w:semiHidden/>
    <w:rsid w:val="00E66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A89"/>
    <w:rPr>
      <w:rFonts w:ascii="Segoe UI" w:hAnsi="Segoe UI" w:cs="Segoe UI"/>
      <w:sz w:val="18"/>
      <w:szCs w:val="18"/>
    </w:rPr>
  </w:style>
  <w:style w:type="character" w:customStyle="1" w:styleId="TextChar">
    <w:name w:val="Text Char"/>
    <w:link w:val="Text"/>
    <w:rsid w:val="00E66A89"/>
    <w:rPr>
      <w:rFonts w:ascii="Arial" w:hAnsi="Arial"/>
      <w:lang w:eastAsia="en-GB"/>
    </w:rPr>
  </w:style>
  <w:style w:type="paragraph" w:customStyle="1" w:styleId="Text">
    <w:name w:val="Text"/>
    <w:link w:val="TextChar"/>
    <w:qFormat/>
    <w:rsid w:val="00E66A89"/>
    <w:pPr>
      <w:spacing w:after="240" w:line="240" w:lineRule="auto"/>
    </w:pPr>
    <w:rPr>
      <w:rFonts w:ascii="Arial" w:hAnsi="Arial"/>
      <w:lang w:eastAsia="en-GB"/>
    </w:rPr>
  </w:style>
  <w:style w:type="paragraph" w:styleId="NormalWeb">
    <w:name w:val="Normal (Web)"/>
    <w:basedOn w:val="Normal"/>
    <w:rsid w:val="00E66A89"/>
    <w:pPr>
      <w:spacing w:before="100" w:beforeAutospacing="1" w:after="100" w:afterAutospacing="1" w:line="240" w:lineRule="auto"/>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rsid w:val="00F12B8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2B8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record-retention-and-disposition-schedu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icsa.org.uk/news/chair-of-the-inquiry-issues-guidance-on-destruction-of-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record-retention-and-disposition-schedu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J">
      <a:dk1>
        <a:sysClr val="windowText" lastClr="000000"/>
      </a:dk1>
      <a:lt1>
        <a:sysClr val="window" lastClr="FFFFFF"/>
      </a:lt1>
      <a:dk2>
        <a:srgbClr val="000000"/>
      </a:dk2>
      <a:lt2>
        <a:srgbClr val="FFFFFF"/>
      </a:lt2>
      <a:accent1>
        <a:srgbClr val="1D609D"/>
      </a:accent1>
      <a:accent2>
        <a:srgbClr val="30AA51"/>
      </a:accent2>
      <a:accent3>
        <a:srgbClr val="E9426E"/>
      </a:accent3>
      <a:accent4>
        <a:srgbClr val="565B96"/>
      </a:accent4>
      <a:accent5>
        <a:srgbClr val="00A5A1"/>
      </a:accent5>
      <a:accent6>
        <a:srgbClr val="EE7127"/>
      </a:accent6>
      <a:hlink>
        <a:srgbClr val="00B1EB"/>
      </a:hlink>
      <a:folHlink>
        <a:srgbClr val="00B1EB"/>
      </a:folHlink>
    </a:clrScheme>
    <a:fontScheme name="MoJ">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E3F6B41A1DAB4B87E6A50B1B33ACF9" ma:contentTypeVersion="15" ma:contentTypeDescription="Create a new document." ma:contentTypeScope="" ma:versionID="ce6d7a1b6a13be5c5d5ec3c18bee059c">
  <xsd:schema xmlns:xsd="http://www.w3.org/2001/XMLSchema" xmlns:xs="http://www.w3.org/2001/XMLSchema" xmlns:p="http://schemas.microsoft.com/office/2006/metadata/properties" xmlns:ns1="http://schemas.microsoft.com/sharepoint/v3" xmlns:ns3="2332c961-6f67-4d2a-9fad-b382164b977c" xmlns:ns4="d5354e63-dc31-42f4-b5be-47429dadf320" targetNamespace="http://schemas.microsoft.com/office/2006/metadata/properties" ma:root="true" ma:fieldsID="785cc32a51e478225821991a30794690" ns1:_="" ns3:_="" ns4:_="">
    <xsd:import namespace="http://schemas.microsoft.com/sharepoint/v3"/>
    <xsd:import namespace="2332c961-6f67-4d2a-9fad-b382164b977c"/>
    <xsd:import namespace="d5354e63-dc31-42f4-b5be-47429dadf3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2c961-6f67-4d2a-9fad-b382164b97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54e63-dc31-42f4-b5be-47429dadf3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F1448-CFE7-4B48-AFF8-CCD1266CA1F6}">
  <ds:schemaRefs>
    <ds:schemaRef ds:uri="http://schemas.microsoft.com/office/infopath/2007/PartnerControls"/>
    <ds:schemaRef ds:uri="http://purl.org/dc/elements/1.1/"/>
    <ds:schemaRef ds:uri="http://schemas.microsoft.com/office/2006/metadata/properties"/>
    <ds:schemaRef ds:uri="d5354e63-dc31-42f4-b5be-47429dadf320"/>
    <ds:schemaRef ds:uri="http://purl.org/dc/terms/"/>
    <ds:schemaRef ds:uri="http://purl.org/dc/dcmitype/"/>
    <ds:schemaRef ds:uri="http://schemas.microsoft.com/office/2006/documentManagement/types"/>
    <ds:schemaRef ds:uri="http://schemas.openxmlformats.org/package/2006/metadata/core-properties"/>
    <ds:schemaRef ds:uri="2332c961-6f67-4d2a-9fad-b382164b977c"/>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C564559-17EE-489F-BDA0-28518495B229}">
  <ds:schemaRefs>
    <ds:schemaRef ds:uri="http://schemas.microsoft.com/sharepoint/v3/contenttype/forms"/>
  </ds:schemaRefs>
</ds:datastoreItem>
</file>

<file path=customXml/itemProps3.xml><?xml version="1.0" encoding="utf-8"?>
<ds:datastoreItem xmlns:ds="http://schemas.openxmlformats.org/officeDocument/2006/customXml" ds:itemID="{156A6DC6-0665-4293-8F2E-EC1084490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32c961-6f67-4d2a-9fad-b382164b977c"/>
    <ds:schemaRef ds:uri="d5354e63-dc31-42f4-b5be-47429dadf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A583CA-51BB-4041-BB2B-2B724289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1442</Words>
  <Characters>8223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[Title]</vt:lpstr>
    </vt:vector>
  </TitlesOfParts>
  <Manager>Ministry of Justice</Manager>
  <Company>Ministry of Justice</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Ministry of Justice</dc:creator>
  <cp:keywords>[Key words for search engines, separated by commas]</cp:keywords>
  <dc:description/>
  <cp:lastModifiedBy>Robbins, Rachel</cp:lastModifiedBy>
  <cp:revision>2</cp:revision>
  <dcterms:created xsi:type="dcterms:W3CDTF">2020-07-27T08:43:00Z</dcterms:created>
  <dcterms:modified xsi:type="dcterms:W3CDTF">2020-07-27T08:43:00Z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0x010100A4E3F6B41A1DAB4B87E6A50B1B33ACF9</vt:lpwstr>
  </property>
</Properties>
</file>