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99F1" w14:textId="0FD5D9A9" w:rsidR="00C30D80" w:rsidRPr="00E161EA" w:rsidRDefault="0032489D" w:rsidP="006030B1">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788D2184">
                <wp:simplePos x="0" y="0"/>
                <wp:positionH relativeFrom="column">
                  <wp:posOffset>8890</wp:posOffset>
                </wp:positionH>
                <wp:positionV relativeFrom="paragraph">
                  <wp:posOffset>229870</wp:posOffset>
                </wp:positionV>
                <wp:extent cx="6248400" cy="134302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43025"/>
                        </a:xfrm>
                        <a:prstGeom prst="rect">
                          <a:avLst/>
                        </a:prstGeom>
                        <a:solidFill>
                          <a:srgbClr val="FFFFFF"/>
                        </a:solidFill>
                        <a:ln w="38100" cmpd="dbl">
                          <a:solidFill>
                            <a:srgbClr val="000000"/>
                          </a:solidFill>
                          <a:miter lim="800000"/>
                          <a:headEnd/>
                          <a:tailEnd/>
                        </a:ln>
                      </wps:spPr>
                      <wps:txbx>
                        <w:txbxContent>
                          <w:p w14:paraId="3EC1AC15" w14:textId="77777777" w:rsidR="00484F69" w:rsidRDefault="00484F69"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484F69" w:rsidRPr="00C30D80" w:rsidRDefault="00484F69" w:rsidP="0032489D">
                            <w:pPr>
                              <w:jc w:val="center"/>
                              <w:rPr>
                                <w:sz w:val="16"/>
                                <w:szCs w:val="16"/>
                              </w:rPr>
                            </w:pPr>
                          </w:p>
                          <w:p w14:paraId="6546052B" w14:textId="2ADE15F7" w:rsidR="00484F69" w:rsidRPr="006B2FA2" w:rsidRDefault="00484F69" w:rsidP="00A564C2">
                            <w:pPr>
                              <w:shd w:val="clear" w:color="auto" w:fill="FFFFFF"/>
                              <w:jc w:val="center"/>
                            </w:pPr>
                            <w:r w:rsidRPr="006B2FA2">
                              <w:t xml:space="preserve">Administration of </w:t>
                            </w:r>
                            <w:r w:rsidRPr="006B2FA2">
                              <w:rPr>
                                <w:i/>
                              </w:rPr>
                              <w:t>Haemophilus influenza</w:t>
                            </w:r>
                            <w:r>
                              <w:rPr>
                                <w:i/>
                              </w:rPr>
                              <w:t>e</w:t>
                            </w:r>
                            <w:r w:rsidRPr="006B2FA2">
                              <w:t xml:space="preserve"> type b and meningococcal C conjugate vaccine (Hib/MenC)</w:t>
                            </w:r>
                            <w:r>
                              <w:t xml:space="preserve"> to i</w:t>
                            </w:r>
                            <w:r w:rsidRPr="006B2FA2">
                              <w:t>ndividuals</w:t>
                            </w:r>
                            <w:r>
                              <w:t>,</w:t>
                            </w:r>
                            <w:r w:rsidRPr="006B2FA2">
                              <w:t xml:space="preserve"> </w:t>
                            </w:r>
                            <w:r>
                              <w:t xml:space="preserve">from their second birthday, with an underlying medical condition which puts them at increased risk from </w:t>
                            </w:r>
                            <w:r w:rsidRPr="006B2FA2">
                              <w:rPr>
                                <w:i/>
                              </w:rPr>
                              <w:t>Haemophilus influenza</w:t>
                            </w:r>
                            <w:r>
                              <w:rPr>
                                <w:i/>
                              </w:rPr>
                              <w:t>e</w:t>
                            </w:r>
                            <w:r w:rsidRPr="006B2FA2">
                              <w:t xml:space="preserve"> type b and </w:t>
                            </w:r>
                            <w:r w:rsidRPr="006B2FA2">
                              <w:rPr>
                                <w:i/>
                              </w:rPr>
                              <w:t>Neisseria meningitidis</w:t>
                            </w:r>
                            <w:r w:rsidRPr="006B2FA2">
                              <w:t xml:space="preserve"> capsular group C</w:t>
                            </w:r>
                            <w:r>
                              <w:rPr>
                                <w:sz w:val="22"/>
                                <w:szCs w:val="22"/>
                              </w:rPr>
                              <w:t>.</w:t>
                            </w:r>
                          </w:p>
                          <w:p w14:paraId="183DCB08" w14:textId="3F84DD52" w:rsidR="00484F69" w:rsidRPr="006B2FA2" w:rsidRDefault="00484F69" w:rsidP="00A564C2">
                            <w:pPr>
                              <w:shd w:val="clear" w:color="auto" w:fill="FFFFFF"/>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233D7" id="Rectangle 2" o:spid="_x0000_s1026" style="position:absolute;margin-left:.7pt;margin-top:18.1pt;width:492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" strokeweight="3pt">
                <v:stroke linestyle="thinThin"/>
                <v:textbox>
                  <w:txbxContent>
                    <w:p w14:paraId="3EC1AC15" w14:textId="77777777" w:rsidR="00484F69" w:rsidRDefault="00484F69"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14:paraId="26F37DB8" w14:textId="77777777" w:rsidR="00484F69" w:rsidRPr="00C30D80" w:rsidRDefault="00484F69" w:rsidP="0032489D">
                      <w:pPr>
                        <w:jc w:val="center"/>
                        <w:rPr>
                          <w:sz w:val="16"/>
                          <w:szCs w:val="16"/>
                        </w:rPr>
                      </w:pPr>
                    </w:p>
                    <w:p w14:paraId="6546052B" w14:textId="2ADE15F7" w:rsidR="00484F69" w:rsidRPr="006B2FA2" w:rsidRDefault="00484F69" w:rsidP="00A564C2">
                      <w:pPr>
                        <w:shd w:val="clear" w:color="auto" w:fill="FFFFFF"/>
                        <w:jc w:val="center"/>
                      </w:pPr>
                      <w:r w:rsidRPr="006B2FA2">
                        <w:t xml:space="preserve">Administration of </w:t>
                      </w:r>
                      <w:r w:rsidRPr="006B2FA2">
                        <w:rPr>
                          <w:i/>
                        </w:rPr>
                        <w:t>Haemophilus influenza</w:t>
                      </w:r>
                      <w:r>
                        <w:rPr>
                          <w:i/>
                        </w:rPr>
                        <w:t>e</w:t>
                      </w:r>
                      <w:r w:rsidRPr="006B2FA2">
                        <w:t xml:space="preserve"> type b and meningococcal C conjugate vaccine (Hib/MenC)</w:t>
                      </w:r>
                      <w:r>
                        <w:t xml:space="preserve"> to i</w:t>
                      </w:r>
                      <w:r w:rsidRPr="006B2FA2">
                        <w:t>ndividuals</w:t>
                      </w:r>
                      <w:r>
                        <w:t>,</w:t>
                      </w:r>
                      <w:r w:rsidRPr="006B2FA2">
                        <w:t xml:space="preserve"> </w:t>
                      </w:r>
                      <w:r>
                        <w:t xml:space="preserve">from their second birthday, with an underlying medical condition which puts them at increased risk from </w:t>
                      </w:r>
                      <w:r w:rsidRPr="006B2FA2">
                        <w:rPr>
                          <w:i/>
                        </w:rPr>
                        <w:t>Haemophilus influenza</w:t>
                      </w:r>
                      <w:r>
                        <w:rPr>
                          <w:i/>
                        </w:rPr>
                        <w:t>e</w:t>
                      </w:r>
                      <w:r w:rsidRPr="006B2FA2">
                        <w:t xml:space="preserve"> type b and </w:t>
                      </w:r>
                      <w:r w:rsidRPr="006B2FA2">
                        <w:rPr>
                          <w:i/>
                        </w:rPr>
                        <w:t>Neisseria meningitidis</w:t>
                      </w:r>
                      <w:r w:rsidRPr="006B2FA2">
                        <w:t xml:space="preserve"> capsular group C</w:t>
                      </w:r>
                      <w:r>
                        <w:rPr>
                          <w:sz w:val="22"/>
                          <w:szCs w:val="22"/>
                        </w:rPr>
                        <w:t>.</w:t>
                      </w:r>
                    </w:p>
                    <w:p w14:paraId="183DCB08" w14:textId="3F84DD52" w:rsidR="00484F69" w:rsidRPr="006B2FA2" w:rsidRDefault="00484F69" w:rsidP="00A564C2">
                      <w:pPr>
                        <w:shd w:val="clear" w:color="auto" w:fill="FFFFFF"/>
                        <w:jc w:val="center"/>
                      </w:pP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9C2FC3">
        <w:rPr>
          <w:b/>
          <w:szCs w:val="24"/>
        </w:rPr>
        <w:t xml:space="preserve"> </w:t>
      </w:r>
      <w:r w:rsidR="002473BB" w:rsidRPr="002473BB">
        <w:rPr>
          <w:b/>
          <w:szCs w:val="24"/>
        </w:rPr>
        <w:t>2018514</w:t>
      </w:r>
    </w:p>
    <w:p w14:paraId="14CE21C5" w14:textId="623FEA62" w:rsidR="00A564C2" w:rsidRPr="00671FEE" w:rsidRDefault="00A564C2" w:rsidP="00A564C2">
      <w:pPr>
        <w:pStyle w:val="Default"/>
        <w:spacing w:before="60"/>
        <w:rPr>
          <w:color w:val="FF0000"/>
        </w:rPr>
      </w:pPr>
      <w:r>
        <w:rPr>
          <w:color w:val="auto"/>
        </w:rPr>
        <w:t>This PGD is f</w:t>
      </w:r>
      <w:r w:rsidRPr="006B2FA2">
        <w:rPr>
          <w:color w:val="auto"/>
        </w:rPr>
        <w:t xml:space="preserve">or the administration of </w:t>
      </w:r>
      <w:r w:rsidRPr="006B2FA2">
        <w:rPr>
          <w:i/>
          <w:color w:val="auto"/>
        </w:rPr>
        <w:t>Haemophilus influenza</w:t>
      </w:r>
      <w:r>
        <w:rPr>
          <w:i/>
          <w:color w:val="auto"/>
        </w:rPr>
        <w:t>e</w:t>
      </w:r>
      <w:r w:rsidRPr="006B2FA2">
        <w:rPr>
          <w:color w:val="auto"/>
        </w:rPr>
        <w:t xml:space="preserve"> type b and meningococcal C conjugate vaccine (Hib/MenC)</w:t>
      </w:r>
      <w:r>
        <w:rPr>
          <w:color w:val="auto"/>
        </w:rPr>
        <w:t xml:space="preserve"> </w:t>
      </w:r>
      <w:r w:rsidRPr="006B2FA2">
        <w:rPr>
          <w:color w:val="auto"/>
        </w:rPr>
        <w:t xml:space="preserve">by </w:t>
      </w:r>
      <w:r w:rsidR="003047F6" w:rsidRPr="005D1F4C">
        <w:rPr>
          <w:color w:val="auto"/>
        </w:rPr>
        <w:t>registered healthcare practitioners identified in Section 3, subject to any limitations to authorisation detailed in Section 2</w:t>
      </w:r>
      <w:r>
        <w:rPr>
          <w:color w:val="auto"/>
        </w:rPr>
        <w:t>.</w:t>
      </w:r>
    </w:p>
    <w:p w14:paraId="1840945A" w14:textId="77777777" w:rsidR="00815487" w:rsidRPr="00E161EA" w:rsidRDefault="00815487" w:rsidP="00E161EA">
      <w:pPr>
        <w:ind w:rightChars="-375" w:right="-900"/>
        <w:rPr>
          <w:color w:val="000000"/>
          <w:szCs w:val="24"/>
        </w:rPr>
      </w:pPr>
      <w:r w:rsidRPr="00E161EA">
        <w:rPr>
          <w:color w:val="000000"/>
          <w:szCs w:val="24"/>
        </w:rPr>
        <w:tab/>
      </w:r>
    </w:p>
    <w:p w14:paraId="0087F8E5" w14:textId="71AAF645" w:rsidR="00815487" w:rsidRPr="00457933" w:rsidRDefault="00A440DE" w:rsidP="006030B1">
      <w:pPr>
        <w:ind w:rightChars="-375" w:right="-900"/>
        <w:rPr>
          <w:rFonts w:cs="Arial"/>
          <w:szCs w:val="24"/>
        </w:rPr>
      </w:pPr>
      <w:r w:rsidRPr="00E161EA">
        <w:rPr>
          <w:rFonts w:cs="Arial"/>
          <w:color w:val="000000"/>
          <w:szCs w:val="24"/>
        </w:rPr>
        <w:t>Reference no:</w:t>
      </w:r>
      <w:r w:rsidRPr="00E161EA">
        <w:rPr>
          <w:rFonts w:cs="Arial"/>
          <w:color w:val="000000"/>
          <w:szCs w:val="24"/>
        </w:rPr>
        <w:tab/>
      </w:r>
      <w:r w:rsidR="00A564C2" w:rsidRPr="00457933">
        <w:rPr>
          <w:rFonts w:cs="Arial"/>
          <w:szCs w:val="24"/>
        </w:rPr>
        <w:t>Hib/MenC</w:t>
      </w:r>
      <w:r w:rsidR="00457933" w:rsidRPr="00457933">
        <w:rPr>
          <w:rFonts w:cs="Arial"/>
          <w:szCs w:val="24"/>
        </w:rPr>
        <w:t xml:space="preserve"> Risk Groups</w:t>
      </w:r>
      <w:r w:rsidR="00A564C2" w:rsidRPr="00457933">
        <w:rPr>
          <w:rFonts w:cs="Arial"/>
          <w:szCs w:val="24"/>
        </w:rPr>
        <w:t xml:space="preserve"> PGD</w:t>
      </w:r>
    </w:p>
    <w:p w14:paraId="1A645AAA" w14:textId="490F9E53" w:rsidR="00A564C2" w:rsidRPr="00457933" w:rsidRDefault="00815487" w:rsidP="00E161EA">
      <w:pPr>
        <w:spacing w:line="320" w:lineRule="exact"/>
        <w:ind w:rightChars="-375" w:right="-900"/>
        <w:rPr>
          <w:rFonts w:cs="Arial"/>
          <w:color w:val="FF0000"/>
          <w:szCs w:val="24"/>
        </w:rPr>
      </w:pPr>
      <w:r w:rsidRPr="00457933">
        <w:rPr>
          <w:szCs w:val="24"/>
        </w:rPr>
        <w:t>Version no:</w:t>
      </w:r>
      <w:r w:rsidRPr="00457933">
        <w:rPr>
          <w:rFonts w:cs="Arial"/>
          <w:szCs w:val="24"/>
        </w:rPr>
        <w:t xml:space="preserve"> </w:t>
      </w:r>
      <w:r w:rsidRPr="00457933">
        <w:rPr>
          <w:rFonts w:cs="Arial"/>
          <w:szCs w:val="24"/>
        </w:rPr>
        <w:tab/>
      </w:r>
      <w:r w:rsidRPr="00457933">
        <w:rPr>
          <w:rFonts w:cs="Arial"/>
          <w:szCs w:val="24"/>
        </w:rPr>
        <w:tab/>
      </w:r>
      <w:r w:rsidR="000637D4">
        <w:rPr>
          <w:rFonts w:cs="Arial"/>
          <w:szCs w:val="24"/>
        </w:rPr>
        <w:t>v02</w:t>
      </w:r>
      <w:r w:rsidR="00A564C2" w:rsidRPr="00457933">
        <w:rPr>
          <w:rFonts w:cs="Arial"/>
          <w:szCs w:val="24"/>
        </w:rPr>
        <w:t>.0</w:t>
      </w:r>
      <w:r w:rsidR="000637D4">
        <w:rPr>
          <w:rFonts w:cs="Arial"/>
          <w:szCs w:val="24"/>
        </w:rPr>
        <w:t>0</w:t>
      </w:r>
      <w:r w:rsidR="00457933" w:rsidRPr="00457933">
        <w:rPr>
          <w:rFonts w:cs="Arial"/>
          <w:szCs w:val="24"/>
        </w:rPr>
        <w:t xml:space="preserve"> </w:t>
      </w:r>
    </w:p>
    <w:p w14:paraId="4BFFCE89" w14:textId="77399F21" w:rsidR="00815487" w:rsidRPr="0050107F" w:rsidRDefault="00815487" w:rsidP="00E161EA">
      <w:pPr>
        <w:spacing w:line="320" w:lineRule="exact"/>
        <w:ind w:rightChars="-375" w:right="-900"/>
        <w:rPr>
          <w:rFonts w:cs="Arial"/>
          <w:szCs w:val="24"/>
        </w:rPr>
      </w:pPr>
      <w:r w:rsidRPr="00457933">
        <w:rPr>
          <w:rFonts w:cs="Arial"/>
          <w:szCs w:val="24"/>
        </w:rPr>
        <w:t>Valid from:</w:t>
      </w:r>
      <w:r w:rsidRPr="00457933">
        <w:rPr>
          <w:rFonts w:cs="Arial"/>
          <w:szCs w:val="24"/>
        </w:rPr>
        <w:tab/>
      </w:r>
      <w:r w:rsidRPr="00457933">
        <w:rPr>
          <w:rFonts w:cs="Arial"/>
          <w:szCs w:val="24"/>
        </w:rPr>
        <w:tab/>
      </w:r>
      <w:r w:rsidR="0050107F" w:rsidRPr="0050107F">
        <w:rPr>
          <w:rFonts w:cs="Arial"/>
          <w:szCs w:val="24"/>
        </w:rPr>
        <w:t>01 November</w:t>
      </w:r>
      <w:r w:rsidR="00A564C2" w:rsidRPr="0050107F">
        <w:rPr>
          <w:rFonts w:cs="Arial"/>
          <w:szCs w:val="24"/>
        </w:rPr>
        <w:t xml:space="preserve"> 20</w:t>
      </w:r>
      <w:r w:rsidR="004576D6">
        <w:rPr>
          <w:rFonts w:cs="Arial"/>
          <w:szCs w:val="24"/>
        </w:rPr>
        <w:t>18</w:t>
      </w:r>
    </w:p>
    <w:p w14:paraId="2FA328C6" w14:textId="789AB20A" w:rsidR="00815487" w:rsidRPr="0050107F" w:rsidRDefault="00815487" w:rsidP="00E161EA">
      <w:pPr>
        <w:spacing w:line="320" w:lineRule="exact"/>
        <w:ind w:rightChars="-375" w:right="-900"/>
        <w:rPr>
          <w:rFonts w:cs="Arial"/>
          <w:szCs w:val="24"/>
        </w:rPr>
      </w:pPr>
      <w:r w:rsidRPr="0050107F">
        <w:rPr>
          <w:rFonts w:cs="Arial"/>
          <w:szCs w:val="24"/>
        </w:rPr>
        <w:t>Review date:</w:t>
      </w:r>
      <w:r w:rsidRPr="0050107F">
        <w:rPr>
          <w:rFonts w:cs="Arial"/>
          <w:szCs w:val="24"/>
        </w:rPr>
        <w:tab/>
      </w:r>
      <w:r w:rsidRPr="0050107F">
        <w:rPr>
          <w:rFonts w:cs="Arial"/>
          <w:szCs w:val="24"/>
        </w:rPr>
        <w:tab/>
      </w:r>
      <w:r w:rsidR="0050107F" w:rsidRPr="0050107F">
        <w:rPr>
          <w:rFonts w:cs="Arial"/>
          <w:szCs w:val="24"/>
        </w:rPr>
        <w:t>01 May</w:t>
      </w:r>
      <w:r w:rsidR="00A564C2" w:rsidRPr="0050107F">
        <w:rPr>
          <w:rFonts w:cs="Arial"/>
          <w:szCs w:val="24"/>
        </w:rPr>
        <w:t xml:space="preserve"> 20</w:t>
      </w:r>
      <w:r w:rsidR="004576D6">
        <w:rPr>
          <w:rFonts w:cs="Arial"/>
          <w:szCs w:val="24"/>
        </w:rPr>
        <w:t>20</w:t>
      </w:r>
    </w:p>
    <w:p w14:paraId="216006F4" w14:textId="61AD2FFA" w:rsidR="00815487" w:rsidRPr="0050107F" w:rsidRDefault="00815487" w:rsidP="00E161EA">
      <w:pPr>
        <w:spacing w:line="320" w:lineRule="exact"/>
        <w:ind w:rightChars="-375" w:right="-900"/>
        <w:rPr>
          <w:rFonts w:cs="Arial"/>
          <w:szCs w:val="24"/>
        </w:rPr>
      </w:pPr>
      <w:r w:rsidRPr="0050107F">
        <w:rPr>
          <w:rFonts w:cs="Arial"/>
          <w:szCs w:val="24"/>
        </w:rPr>
        <w:t>Expiry date:</w:t>
      </w:r>
      <w:r w:rsidRPr="0050107F">
        <w:rPr>
          <w:rFonts w:cs="Arial"/>
          <w:szCs w:val="24"/>
        </w:rPr>
        <w:tab/>
      </w:r>
      <w:r w:rsidRPr="0050107F">
        <w:rPr>
          <w:rFonts w:cs="Arial"/>
          <w:szCs w:val="24"/>
        </w:rPr>
        <w:tab/>
      </w:r>
      <w:r w:rsidR="0050107F" w:rsidRPr="0050107F">
        <w:rPr>
          <w:rFonts w:cs="Arial"/>
          <w:szCs w:val="24"/>
        </w:rPr>
        <w:t>31</w:t>
      </w:r>
      <w:r w:rsidR="00A564C2" w:rsidRPr="0050107F">
        <w:rPr>
          <w:rFonts w:cs="Arial"/>
          <w:szCs w:val="24"/>
        </w:rPr>
        <w:t xml:space="preserve"> </w:t>
      </w:r>
      <w:r w:rsidR="0050107F" w:rsidRPr="0050107F">
        <w:rPr>
          <w:rFonts w:cs="Arial"/>
          <w:szCs w:val="24"/>
        </w:rPr>
        <w:t>October</w:t>
      </w:r>
      <w:r w:rsidR="00A564C2" w:rsidRPr="0050107F">
        <w:rPr>
          <w:rFonts w:cs="Arial"/>
          <w:szCs w:val="24"/>
        </w:rPr>
        <w:t xml:space="preserve"> 20</w:t>
      </w:r>
      <w:r w:rsidR="004576D6">
        <w:rPr>
          <w:rFonts w:cs="Arial"/>
          <w:szCs w:val="24"/>
        </w:rPr>
        <w:t>20</w:t>
      </w:r>
    </w:p>
    <w:p w14:paraId="7BF77C01" w14:textId="77777777" w:rsidR="005E4B93" w:rsidRPr="00E161EA" w:rsidRDefault="00815487" w:rsidP="00E161EA">
      <w:pPr>
        <w:rPr>
          <w:rFonts w:cs="Arial"/>
          <w:b/>
          <w:szCs w:val="24"/>
        </w:rPr>
      </w:pPr>
      <w:r w:rsidRPr="00E161EA" w:rsidDel="00815487">
        <w:rPr>
          <w:rFonts w:cs="Arial"/>
          <w:b/>
          <w:color w:val="000000"/>
          <w:szCs w:val="24"/>
        </w:rPr>
        <w:t xml:space="preserve"> </w:t>
      </w:r>
    </w:p>
    <w:p w14:paraId="605D297F" w14:textId="0758574D" w:rsidR="009B6DB4" w:rsidRPr="0051753E" w:rsidRDefault="009B6DB4" w:rsidP="00E161EA">
      <w:pPr>
        <w:rPr>
          <w:b/>
          <w:bCs/>
        </w:rPr>
      </w:pPr>
      <w:r w:rsidRPr="00E161EA">
        <w:rPr>
          <w:rFonts w:cs="Arial"/>
          <w:b/>
          <w:szCs w:val="24"/>
        </w:rPr>
        <w:t xml:space="preserve">Public Health England has developed this PGD </w:t>
      </w:r>
      <w:r w:rsidR="0051753E">
        <w:rPr>
          <w:b/>
          <w:bCs/>
        </w:rPr>
        <w:t xml:space="preserve">to facilitate </w:t>
      </w:r>
      <w:r w:rsidR="000A6CB6">
        <w:rPr>
          <w:b/>
          <w:bCs/>
        </w:rPr>
        <w:t xml:space="preserve">the </w:t>
      </w:r>
      <w:r w:rsidR="0051753E">
        <w:rPr>
          <w:b/>
          <w:bCs/>
        </w:rPr>
        <w:t xml:space="preserve">delivery of </w:t>
      </w:r>
      <w:r w:rsidR="003047F6">
        <w:rPr>
          <w:b/>
          <w:bCs/>
        </w:rPr>
        <w:t xml:space="preserve">publicly funded </w:t>
      </w:r>
      <w:r w:rsidR="0051753E">
        <w:rPr>
          <w:b/>
          <w:bCs/>
        </w:rPr>
        <w:t>immunisation</w:t>
      </w:r>
      <w:r w:rsidR="0051753E" w:rsidRPr="0051753E">
        <w:rPr>
          <w:b/>
          <w:bCs/>
        </w:rPr>
        <w:t xml:space="preserve"> </w:t>
      </w:r>
      <w:r w:rsidR="0051753E">
        <w:rPr>
          <w:b/>
          <w:bCs/>
        </w:rPr>
        <w:t xml:space="preserve">in line with national recommendations. </w:t>
      </w:r>
    </w:p>
    <w:p w14:paraId="710DE625" w14:textId="77777777" w:rsidR="009B6DB4" w:rsidRPr="00E161EA" w:rsidRDefault="009B6DB4" w:rsidP="00E161EA">
      <w:pPr>
        <w:rPr>
          <w:rFonts w:cs="Arial"/>
          <w:b/>
          <w:szCs w:val="24"/>
        </w:rPr>
      </w:pPr>
    </w:p>
    <w:p w14:paraId="351C9B69" w14:textId="30515C0F"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an appropriate authorising person, relating to the class of person by whom product is to be supplied, in accordance with Human Medicines Regulations 2012 (HMR2012)</w:t>
      </w:r>
      <w:r w:rsidR="00A23CE7">
        <w:rPr>
          <w:rStyle w:val="FootnoteReference"/>
        </w:rPr>
        <w:footnoteReference w:id="2"/>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8" w:history="1">
        <w:r w:rsidR="0051753E" w:rsidRPr="00FA7CD3">
          <w:rPr>
            <w:rStyle w:val="Hyperlink"/>
            <w:rFonts w:cs="Arial"/>
            <w:b/>
            <w:szCs w:val="24"/>
          </w:rPr>
          <w:t>HMR2012 SCHEDULE 16 Part 2</w:t>
        </w:r>
      </w:hyperlink>
      <w:r w:rsidR="0051753E">
        <w:rPr>
          <w:rFonts w:cs="Arial"/>
          <w:b/>
          <w:szCs w:val="24"/>
        </w:rPr>
        <w:t xml:space="preserve">. </w:t>
      </w:r>
    </w:p>
    <w:p w14:paraId="2582D015" w14:textId="77777777" w:rsidR="0051753E" w:rsidRPr="00E161EA" w:rsidRDefault="0051753E" w:rsidP="00E161EA">
      <w:pPr>
        <w:rPr>
          <w:rFonts w:cs="Arial"/>
          <w:szCs w:val="24"/>
        </w:rPr>
      </w:pPr>
    </w:p>
    <w:p w14:paraId="6DAFE4FD" w14:textId="3D40B79A" w:rsidR="00FE6760" w:rsidRDefault="00FE6760" w:rsidP="00FE6760">
      <w:r>
        <w:t>Authorising organisations must not alter</w:t>
      </w:r>
      <w:r w:rsidR="00367D86">
        <w:t>,</w:t>
      </w:r>
      <w:r>
        <w:t xml:space="preserve"> amend</w:t>
      </w:r>
      <w:r w:rsidR="00367D86">
        <w:t xml:space="preserve"> or add to</w:t>
      </w:r>
      <w:r>
        <w:t xml:space="preserve"> </w:t>
      </w:r>
      <w:r w:rsidRPr="00457933">
        <w:t xml:space="preserve">the </w:t>
      </w:r>
      <w:r w:rsidRPr="00457933">
        <w:rPr>
          <w:iCs/>
        </w:rPr>
        <w:t>clinical</w:t>
      </w:r>
      <w:r w:rsidRPr="00457933">
        <w:t xml:space="preserve"> content of this document (sections 4, 5 and 6); such action will invalidate the </w:t>
      </w:r>
      <w:r w:rsidRPr="00457933">
        <w:rPr>
          <w:iCs/>
        </w:rPr>
        <w:t>clinical sign-off</w:t>
      </w:r>
      <w:r w:rsidRPr="00457933">
        <w:t xml:space="preserve"> with</w:t>
      </w:r>
      <w:r>
        <w:t xml:space="preserve"> which it is provided. In addition authorising organisations must not alter section 3 ‘Characteristics of staff’. Only sections 2 and 7 can be amended</w:t>
      </w:r>
      <w:r w:rsidR="003047F6">
        <w:t xml:space="preserve"> within the designated editable fields provided</w:t>
      </w:r>
      <w:r>
        <w:t>.</w:t>
      </w:r>
    </w:p>
    <w:p w14:paraId="0FF0ADEE" w14:textId="77777777" w:rsidR="00FE6760" w:rsidRDefault="00FE6760" w:rsidP="00FE6760"/>
    <w:p w14:paraId="7371C221" w14:textId="77777777" w:rsidR="00FE6760" w:rsidRDefault="00FE6760" w:rsidP="00FE6760">
      <w:r>
        <w:t>Operation of this PGD is the responsibility of commissioners and service providers.</w:t>
      </w:r>
    </w:p>
    <w:p w14:paraId="0EB285A8" w14:textId="77777777" w:rsidR="005E4B93" w:rsidRPr="00E161EA" w:rsidRDefault="005E4B93" w:rsidP="00E161EA">
      <w:pPr>
        <w:rPr>
          <w:rFonts w:cs="Arial"/>
          <w:b/>
          <w:bCs/>
          <w:szCs w:val="24"/>
        </w:rPr>
      </w:pPr>
    </w:p>
    <w:p w14:paraId="71BE2BBC" w14:textId="74B11500"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14:paraId="27A0C3DC" w14:textId="77777777" w:rsidR="005E4B93" w:rsidRPr="00E161EA" w:rsidRDefault="005E4B93" w:rsidP="00E161EA">
      <w:pPr>
        <w:rPr>
          <w:rFonts w:cs="Arial"/>
          <w:b/>
          <w:bCs/>
          <w:szCs w:val="24"/>
        </w:rPr>
      </w:pPr>
    </w:p>
    <w:p w14:paraId="5D868C70" w14:textId="487F92BE"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DC68366" w14:textId="6AC324B2" w:rsidR="001700C1" w:rsidRPr="00E161EA" w:rsidRDefault="00960098" w:rsidP="00E161EA">
      <w:pPr>
        <w:rPr>
          <w:rFonts w:cs="Arial"/>
          <w:b/>
          <w:bCs/>
          <w:color w:val="FF0000"/>
          <w:szCs w:val="24"/>
        </w:rPr>
      </w:pPr>
      <w:hyperlink r:id="rId9" w:history="1">
        <w:r w:rsidR="003047F6" w:rsidRPr="00AF7E68">
          <w:rPr>
            <w:rStyle w:val="Hyperlink"/>
          </w:rPr>
          <w:t>https://www.gov.uk/government/collections/immunisation-patient-group-direction-pgd</w:t>
        </w:r>
      </w:hyperlink>
      <w:r w:rsidR="003047F6">
        <w:t xml:space="preserve"> </w:t>
      </w:r>
      <w:r w:rsidR="007817A6" w:rsidRPr="00E161EA">
        <w:rPr>
          <w:rFonts w:cs="Arial"/>
          <w:bCs/>
          <w:szCs w:val="24"/>
        </w:rPr>
        <w:t xml:space="preserve"> </w:t>
      </w:r>
    </w:p>
    <w:p w14:paraId="13ABAA50" w14:textId="77777777" w:rsidR="006B166E" w:rsidRDefault="006B166E" w:rsidP="00E161EA">
      <w:pPr>
        <w:rPr>
          <w:rFonts w:cs="Arial"/>
          <w:color w:val="000000"/>
          <w:szCs w:val="24"/>
        </w:rPr>
      </w:pPr>
    </w:p>
    <w:p w14:paraId="3BB172C3" w14:textId="77777777"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218C896B" w14:textId="612D52AC" w:rsidR="006B166E" w:rsidRDefault="00960098" w:rsidP="00345EDE">
      <w:pPr>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14:paraId="27809AE6" w14:textId="5A318C0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0BC338E8"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14:paraId="42062F7F"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A564C2" w:rsidRPr="007A1448" w14:paraId="6B04CA40"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258EE9C" w14:textId="3A68680F" w:rsidR="00A564C2" w:rsidRPr="0000799E" w:rsidRDefault="00A564C2" w:rsidP="008A7869">
            <w:pPr>
              <w:pStyle w:val="Tabletext"/>
              <w:spacing w:before="120" w:after="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8C6977D" w14:textId="526CC989" w:rsidR="00A564C2" w:rsidRPr="0000799E" w:rsidRDefault="00A564C2" w:rsidP="008A7869">
            <w:pPr>
              <w:pStyle w:val="Tabletext"/>
              <w:spacing w:before="120" w:after="120"/>
            </w:pPr>
            <w:r>
              <w:t>New PHE PGD template</w:t>
            </w:r>
          </w:p>
        </w:tc>
        <w:tc>
          <w:tcPr>
            <w:tcW w:w="917" w:type="pct"/>
            <w:tcBorders>
              <w:top w:val="single" w:sz="4" w:space="0" w:color="auto"/>
              <w:left w:val="single" w:sz="4" w:space="0" w:color="auto"/>
              <w:bottom w:val="single" w:sz="4" w:space="0" w:color="auto"/>
              <w:right w:val="single" w:sz="4" w:space="0" w:color="auto"/>
            </w:tcBorders>
          </w:tcPr>
          <w:p w14:paraId="65AE4E75" w14:textId="38E2847D" w:rsidR="00A564C2" w:rsidRPr="0050107F" w:rsidRDefault="00187380" w:rsidP="008A7869">
            <w:pPr>
              <w:pStyle w:val="Tabletext"/>
              <w:spacing w:before="120" w:after="120"/>
            </w:pPr>
            <w:r>
              <w:t>19</w:t>
            </w:r>
            <w:r w:rsidR="0050107F" w:rsidRPr="0050107F">
              <w:t>/10</w:t>
            </w:r>
            <w:r w:rsidR="00457933" w:rsidRPr="0050107F">
              <w:t>/2016</w:t>
            </w:r>
          </w:p>
        </w:tc>
      </w:tr>
      <w:tr w:rsidR="003047F6" w:rsidRPr="007A1448" w14:paraId="032FCEAA"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362EC28D" w14:textId="6B217B53" w:rsidR="003047F6" w:rsidRDefault="003047F6" w:rsidP="008A7869">
            <w:pPr>
              <w:pStyle w:val="Tabletext"/>
              <w:spacing w:before="120" w:after="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E3561BD" w14:textId="77777777" w:rsidR="003047F6" w:rsidRDefault="003047F6" w:rsidP="008A7869">
            <w:pPr>
              <w:pStyle w:val="Tabletext"/>
              <w:spacing w:before="120" w:after="120"/>
            </w:pPr>
            <w:r>
              <w:t>Hib/MenC Risk Groups PGD amended to:</w:t>
            </w:r>
          </w:p>
          <w:p w14:paraId="336246D2" w14:textId="77777777" w:rsidR="007939D3" w:rsidRPr="002077F3" w:rsidRDefault="007939D3" w:rsidP="007939D3">
            <w:pPr>
              <w:pStyle w:val="Tabletext"/>
              <w:numPr>
                <w:ilvl w:val="0"/>
                <w:numId w:val="50"/>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5C43C226" w14:textId="77777777" w:rsidR="007939D3" w:rsidRDefault="007939D3" w:rsidP="007939D3">
            <w:pPr>
              <w:pStyle w:val="Tabletext"/>
              <w:numPr>
                <w:ilvl w:val="0"/>
                <w:numId w:val="50"/>
              </w:numPr>
              <w:spacing w:before="120" w:after="120"/>
              <w:ind w:left="221" w:hanging="221"/>
              <w:contextualSpacing/>
              <w:rPr>
                <w:szCs w:val="22"/>
              </w:rPr>
            </w:pPr>
            <w:r>
              <w:rPr>
                <w:szCs w:val="22"/>
              </w:rPr>
              <w:t>include statement on experimental storage data</w:t>
            </w:r>
          </w:p>
          <w:p w14:paraId="2E7C202B" w14:textId="77777777" w:rsidR="007939D3" w:rsidRDefault="007939D3" w:rsidP="007939D3">
            <w:pPr>
              <w:pStyle w:val="Tabletext"/>
              <w:numPr>
                <w:ilvl w:val="0"/>
                <w:numId w:val="50"/>
              </w:numPr>
              <w:spacing w:before="120" w:after="120"/>
              <w:ind w:left="221" w:hanging="221"/>
              <w:contextualSpacing/>
              <w:rPr>
                <w:szCs w:val="22"/>
              </w:rPr>
            </w:pPr>
            <w:r w:rsidRPr="002077F3">
              <w:rPr>
                <w:szCs w:val="22"/>
              </w:rPr>
              <w:t>refer to vaccine incident guidelines in off-label and storage sections</w:t>
            </w:r>
          </w:p>
          <w:p w14:paraId="3AEA5D9C" w14:textId="24F1B689" w:rsidR="003047F6" w:rsidRPr="007939D3" w:rsidRDefault="007939D3" w:rsidP="007939D3">
            <w:pPr>
              <w:pStyle w:val="Tabletext"/>
              <w:numPr>
                <w:ilvl w:val="0"/>
                <w:numId w:val="50"/>
              </w:numPr>
              <w:spacing w:before="120" w:after="120"/>
              <w:ind w:left="221" w:hanging="221"/>
              <w:rPr>
                <w:szCs w:val="22"/>
              </w:rPr>
            </w:pPr>
            <w:r w:rsidRPr="007939D3">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4C1600F7" w14:textId="2B0AF2AE" w:rsidR="003047F6" w:rsidRDefault="00484F69" w:rsidP="008A7869">
            <w:pPr>
              <w:pStyle w:val="Tabletext"/>
              <w:spacing w:before="120" w:after="120"/>
            </w:pPr>
            <w:r>
              <w:t>21/09</w:t>
            </w:r>
            <w:r w:rsidR="007939D3">
              <w:t>/2018</w:t>
            </w:r>
          </w:p>
        </w:tc>
      </w:tr>
    </w:tbl>
    <w:p w14:paraId="4E84CA99" w14:textId="70F35B8F"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1BBFE3C6"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49762573" w14:textId="2B91DC8D"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14:paraId="548792D4"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14:paraId="5C3316E6" w14:textId="77777777" w:rsidTr="006C69EC">
        <w:trPr>
          <w:trHeight w:val="549"/>
        </w:trPr>
        <w:tc>
          <w:tcPr>
            <w:tcW w:w="2694" w:type="dxa"/>
            <w:shd w:val="clear" w:color="auto" w:fill="F2F2F2" w:themeFill="background1" w:themeFillShade="F2"/>
            <w:vAlign w:val="center"/>
          </w:tcPr>
          <w:p w14:paraId="7018B7FD" w14:textId="77777777" w:rsidR="00B32ECD" w:rsidRPr="00E161EA" w:rsidRDefault="00B32ECD" w:rsidP="009D13A5">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14:paraId="7F57511A" w14:textId="77777777"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14:paraId="53CF5DBC" w14:textId="77777777"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14:paraId="554BE8E9" w14:textId="77777777" w:rsidR="00B32ECD" w:rsidRPr="00E161EA" w:rsidRDefault="00B32ECD" w:rsidP="009D13A5">
            <w:pPr>
              <w:rPr>
                <w:rFonts w:cs="Arial"/>
                <w:b/>
                <w:szCs w:val="24"/>
              </w:rPr>
            </w:pPr>
            <w:r w:rsidRPr="00E161EA">
              <w:rPr>
                <w:rFonts w:cs="Arial"/>
                <w:b/>
                <w:szCs w:val="24"/>
              </w:rPr>
              <w:t>Date</w:t>
            </w:r>
          </w:p>
        </w:tc>
      </w:tr>
      <w:tr w:rsidR="003E6926" w:rsidRPr="0036347F" w14:paraId="00844E13" w14:textId="77777777" w:rsidTr="006C69EC">
        <w:trPr>
          <w:trHeight w:val="720"/>
        </w:trPr>
        <w:tc>
          <w:tcPr>
            <w:tcW w:w="2694" w:type="dxa"/>
          </w:tcPr>
          <w:p w14:paraId="2F0250BE" w14:textId="77777777" w:rsidR="003E6926" w:rsidRPr="00E161EA" w:rsidRDefault="003E6926" w:rsidP="009D13A5">
            <w:pPr>
              <w:pStyle w:val="Heading6"/>
              <w:spacing w:before="0" w:after="0"/>
              <w:jc w:val="left"/>
              <w:rPr>
                <w:rFonts w:ascii="Arial" w:hAnsi="Arial" w:cs="Arial"/>
                <w:i w:val="0"/>
                <w:sz w:val="24"/>
                <w:szCs w:val="24"/>
              </w:rPr>
            </w:pPr>
          </w:p>
          <w:p w14:paraId="06E0650A" w14:textId="77777777" w:rsidR="003E6926" w:rsidRPr="00E161EA" w:rsidRDefault="003E6926" w:rsidP="009D13A5">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6990E634" w14:textId="77777777" w:rsidR="003E6926" w:rsidRPr="00E161EA" w:rsidRDefault="003E6926" w:rsidP="009D13A5">
            <w:pPr>
              <w:rPr>
                <w:rFonts w:cs="Arial"/>
                <w:szCs w:val="24"/>
              </w:rPr>
            </w:pPr>
            <w:r w:rsidRPr="00E161EA">
              <w:rPr>
                <w:rFonts w:cs="Arial"/>
                <w:szCs w:val="24"/>
              </w:rPr>
              <w:t>(Lead Author)</w:t>
            </w:r>
          </w:p>
        </w:tc>
        <w:tc>
          <w:tcPr>
            <w:tcW w:w="3118" w:type="dxa"/>
            <w:shd w:val="clear" w:color="auto" w:fill="auto"/>
            <w:vAlign w:val="center"/>
          </w:tcPr>
          <w:p w14:paraId="785C259F" w14:textId="77777777" w:rsidR="003E6926" w:rsidRDefault="003E6926" w:rsidP="00A9535E">
            <w:pPr>
              <w:rPr>
                <w:rFonts w:cs="Arial"/>
              </w:rPr>
            </w:pPr>
            <w:r>
              <w:rPr>
                <w:rFonts w:cs="Arial"/>
              </w:rPr>
              <w:t>Elizabeth Graham</w:t>
            </w:r>
          </w:p>
          <w:p w14:paraId="7D97E7CB" w14:textId="6D97150A" w:rsidR="003E6926" w:rsidRPr="00A22165" w:rsidRDefault="003E6926" w:rsidP="00B72FA7">
            <w:pPr>
              <w:rPr>
                <w:rFonts w:cs="Arial"/>
                <w:sz w:val="18"/>
                <w:szCs w:val="18"/>
              </w:rPr>
            </w:pPr>
            <w:r w:rsidRPr="00A22165">
              <w:rPr>
                <w:rFonts w:cs="Arial"/>
                <w:sz w:val="18"/>
                <w:szCs w:val="18"/>
              </w:rPr>
              <w:t xml:space="preserve">Lead Pharmacist </w:t>
            </w:r>
            <w:r>
              <w:rPr>
                <w:rFonts w:cs="Arial"/>
                <w:sz w:val="18"/>
                <w:szCs w:val="18"/>
              </w:rPr>
              <w:t xml:space="preserve">– </w:t>
            </w:r>
            <w:r w:rsidRPr="00A22165">
              <w:rPr>
                <w:rFonts w:cs="Arial"/>
                <w:sz w:val="18"/>
                <w:szCs w:val="18"/>
              </w:rPr>
              <w:t>Immunisation</w:t>
            </w:r>
            <w:r>
              <w:rPr>
                <w:rFonts w:cs="Arial"/>
                <w:sz w:val="18"/>
                <w:szCs w:val="18"/>
              </w:rPr>
              <w:t xml:space="preserve"> and Countermeasures</w:t>
            </w:r>
            <w:r w:rsidRPr="00A22165">
              <w:rPr>
                <w:rFonts w:cs="Arial"/>
                <w:sz w:val="18"/>
                <w:szCs w:val="18"/>
              </w:rPr>
              <w:t>, PHE</w:t>
            </w:r>
          </w:p>
        </w:tc>
        <w:tc>
          <w:tcPr>
            <w:tcW w:w="2126" w:type="dxa"/>
          </w:tcPr>
          <w:p w14:paraId="47A455E6" w14:textId="690A1280" w:rsidR="003E6926" w:rsidRPr="0036347F" w:rsidRDefault="003E6926" w:rsidP="00855509">
            <w:pPr>
              <w:ind w:left="-108"/>
              <w:rPr>
                <w:rFonts w:cs="Arial"/>
                <w:i/>
                <w:color w:val="FF0000"/>
                <w:sz w:val="22"/>
                <w:szCs w:val="22"/>
              </w:rPr>
            </w:pPr>
            <w:r>
              <w:rPr>
                <w:noProof/>
              </w:rPr>
              <w:drawing>
                <wp:anchor distT="0" distB="0" distL="114300" distR="114300" simplePos="0" relativeHeight="251662336" behindDoc="1" locked="0" layoutInCell="1" allowOverlap="1" wp14:anchorId="42749F01" wp14:editId="0F04AF6D">
                  <wp:simplePos x="0" y="0"/>
                  <wp:positionH relativeFrom="column">
                    <wp:posOffset>-68448</wp:posOffset>
                  </wp:positionH>
                  <wp:positionV relativeFrom="paragraph">
                    <wp:posOffset>-1797</wp:posOffset>
                  </wp:positionV>
                  <wp:extent cx="1483743" cy="561577"/>
                  <wp:effectExtent l="0" t="0" r="2540" b="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14:paraId="06803BD7" w14:textId="4A916803" w:rsidR="003E6926" w:rsidRPr="0036347F" w:rsidRDefault="003E6926" w:rsidP="003E6926">
            <w:pPr>
              <w:rPr>
                <w:rFonts w:cs="Arial"/>
              </w:rPr>
            </w:pPr>
            <w:r>
              <w:rPr>
                <w:rFonts w:cs="Arial"/>
              </w:rPr>
              <w:t>28/09/2018</w:t>
            </w:r>
          </w:p>
        </w:tc>
      </w:tr>
      <w:tr w:rsidR="003E6926" w:rsidRPr="0036347F" w14:paraId="13F0F9BD" w14:textId="77777777" w:rsidTr="006C69EC">
        <w:trPr>
          <w:trHeight w:val="621"/>
        </w:trPr>
        <w:tc>
          <w:tcPr>
            <w:tcW w:w="2694" w:type="dxa"/>
          </w:tcPr>
          <w:p w14:paraId="6EB3CD65" w14:textId="77777777" w:rsidR="003E6926" w:rsidRPr="00E161EA" w:rsidRDefault="003E6926" w:rsidP="009D13A5">
            <w:pPr>
              <w:pStyle w:val="Heading5"/>
              <w:spacing w:before="0" w:after="0"/>
              <w:rPr>
                <w:rFonts w:ascii="Arial" w:hAnsi="Arial" w:cs="Arial"/>
                <w:i w:val="0"/>
                <w:sz w:val="24"/>
                <w:szCs w:val="24"/>
              </w:rPr>
            </w:pPr>
          </w:p>
          <w:p w14:paraId="02DB9920" w14:textId="77777777" w:rsidR="003E6926" w:rsidRPr="00E161EA" w:rsidRDefault="003E6926" w:rsidP="009D13A5">
            <w:pPr>
              <w:pStyle w:val="Heading5"/>
              <w:spacing w:before="0" w:after="0"/>
              <w:rPr>
                <w:rFonts w:ascii="Arial" w:hAnsi="Arial" w:cs="Arial"/>
                <w:i w:val="0"/>
                <w:sz w:val="24"/>
                <w:szCs w:val="24"/>
              </w:rPr>
            </w:pPr>
            <w:r w:rsidRPr="00E161EA">
              <w:rPr>
                <w:rFonts w:ascii="Arial" w:hAnsi="Arial" w:cs="Arial"/>
                <w:i w:val="0"/>
                <w:sz w:val="24"/>
                <w:szCs w:val="24"/>
              </w:rPr>
              <w:t>Doctor</w:t>
            </w:r>
          </w:p>
          <w:p w14:paraId="3D8E2230" w14:textId="77777777" w:rsidR="003E6926" w:rsidRPr="00E161EA" w:rsidRDefault="003E6926" w:rsidP="009D13A5">
            <w:pPr>
              <w:rPr>
                <w:rFonts w:cs="Arial"/>
                <w:szCs w:val="24"/>
              </w:rPr>
            </w:pPr>
          </w:p>
        </w:tc>
        <w:tc>
          <w:tcPr>
            <w:tcW w:w="3118" w:type="dxa"/>
            <w:vAlign w:val="center"/>
          </w:tcPr>
          <w:p w14:paraId="1041187B" w14:textId="7A0F01B9" w:rsidR="003E6926" w:rsidRDefault="003E6926" w:rsidP="00A9535E">
            <w:pPr>
              <w:rPr>
                <w:rFonts w:cs="Arial"/>
              </w:rPr>
            </w:pPr>
            <w:r>
              <w:rPr>
                <w:rFonts w:cs="Arial"/>
              </w:rPr>
              <w:t>Shamez Ladhani</w:t>
            </w:r>
          </w:p>
          <w:p w14:paraId="0C5561BD" w14:textId="7863C2D5" w:rsidR="003E6926" w:rsidRPr="00A22165" w:rsidRDefault="003E6926" w:rsidP="003E6926">
            <w:pPr>
              <w:rPr>
                <w:rFonts w:cs="Arial"/>
                <w:color w:val="1F497D"/>
                <w:sz w:val="18"/>
                <w:szCs w:val="18"/>
              </w:rPr>
            </w:pPr>
            <w:r w:rsidRPr="003E6926">
              <w:rPr>
                <w:rFonts w:cs="Arial"/>
                <w:bCs/>
                <w:sz w:val="18"/>
                <w:szCs w:val="18"/>
              </w:rPr>
              <w:t xml:space="preserve">Paediatric Infectious Disease Consultant, </w:t>
            </w:r>
            <w:r>
              <w:rPr>
                <w:rFonts w:cs="Arial"/>
                <w:bCs/>
                <w:sz w:val="18"/>
                <w:szCs w:val="18"/>
              </w:rPr>
              <w:t>PHE</w:t>
            </w:r>
          </w:p>
        </w:tc>
        <w:tc>
          <w:tcPr>
            <w:tcW w:w="2126" w:type="dxa"/>
          </w:tcPr>
          <w:p w14:paraId="42934E86" w14:textId="1AD82C67" w:rsidR="003E6926" w:rsidRPr="0036347F" w:rsidRDefault="003E6926" w:rsidP="009D13A5">
            <w:pPr>
              <w:rPr>
                <w:rFonts w:cs="Arial"/>
                <w:i/>
                <w:color w:val="FF0000"/>
                <w:sz w:val="22"/>
                <w:szCs w:val="22"/>
              </w:rPr>
            </w:pPr>
            <w:r>
              <w:rPr>
                <w:noProof/>
                <w:color w:val="1F497D"/>
              </w:rPr>
              <w:drawing>
                <wp:anchor distT="0" distB="0" distL="114300" distR="114300" simplePos="0" relativeHeight="251665408" behindDoc="1" locked="0" layoutInCell="1" allowOverlap="1" wp14:anchorId="6FBF8080" wp14:editId="5B264588">
                  <wp:simplePos x="0" y="0"/>
                  <wp:positionH relativeFrom="column">
                    <wp:posOffset>-2512</wp:posOffset>
                  </wp:positionH>
                  <wp:positionV relativeFrom="paragraph">
                    <wp:posOffset>-3451</wp:posOffset>
                  </wp:positionV>
                  <wp:extent cx="1296035" cy="492760"/>
                  <wp:effectExtent l="0" t="0" r="0" b="2540"/>
                  <wp:wrapNone/>
                  <wp:docPr id="3" name="Picture 3" descr="cid:image001.jpg@01D2C00C.01F6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00C.01F660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60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14:paraId="283853BB" w14:textId="0EDB62C7" w:rsidR="003E6926" w:rsidRPr="0036347F" w:rsidRDefault="003E6926" w:rsidP="009D13A5">
            <w:pPr>
              <w:rPr>
                <w:rFonts w:cs="Arial"/>
              </w:rPr>
            </w:pPr>
            <w:r>
              <w:rPr>
                <w:rFonts w:cs="Arial"/>
              </w:rPr>
              <w:t>27/09/2018</w:t>
            </w:r>
          </w:p>
        </w:tc>
      </w:tr>
      <w:tr w:rsidR="003E6926" w:rsidRPr="0036347F" w14:paraId="1C0BC600" w14:textId="77777777" w:rsidTr="006C69EC">
        <w:trPr>
          <w:trHeight w:val="621"/>
        </w:trPr>
        <w:tc>
          <w:tcPr>
            <w:tcW w:w="2694" w:type="dxa"/>
          </w:tcPr>
          <w:p w14:paraId="1EA9821B" w14:textId="77777777" w:rsidR="003E6926" w:rsidRPr="00E161EA" w:rsidRDefault="003E6926" w:rsidP="009D13A5">
            <w:pPr>
              <w:pStyle w:val="Heading5"/>
              <w:spacing w:before="0" w:after="0"/>
              <w:rPr>
                <w:rFonts w:ascii="Arial" w:hAnsi="Arial" w:cs="Arial"/>
                <w:i w:val="0"/>
                <w:color w:val="FF0000"/>
                <w:sz w:val="24"/>
                <w:szCs w:val="24"/>
              </w:rPr>
            </w:pPr>
          </w:p>
          <w:p w14:paraId="67F1135B" w14:textId="77777777" w:rsidR="003E6926" w:rsidRPr="00E161EA" w:rsidRDefault="003E6926" w:rsidP="009D13A5">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26808A30" w14:textId="2B558BBA" w:rsidR="003E6926" w:rsidRPr="00E161EA" w:rsidRDefault="003E6926" w:rsidP="009D13A5">
            <w:pPr>
              <w:rPr>
                <w:rFonts w:cs="Arial"/>
                <w:szCs w:val="24"/>
              </w:rPr>
            </w:pPr>
            <w:r>
              <w:rPr>
                <w:rFonts w:cs="Arial"/>
                <w:szCs w:val="24"/>
              </w:rPr>
              <w:t>(Chair of Expert Panel</w:t>
            </w:r>
            <w:r w:rsidRPr="00E161EA">
              <w:rPr>
                <w:rFonts w:cs="Arial"/>
                <w:szCs w:val="24"/>
              </w:rPr>
              <w:t>)</w:t>
            </w:r>
          </w:p>
        </w:tc>
        <w:tc>
          <w:tcPr>
            <w:tcW w:w="3118" w:type="dxa"/>
            <w:vAlign w:val="center"/>
          </w:tcPr>
          <w:p w14:paraId="51E2B5CC" w14:textId="77777777" w:rsidR="003E6926" w:rsidRDefault="003E6926" w:rsidP="00A9535E">
            <w:pPr>
              <w:rPr>
                <w:rFonts w:cs="Arial"/>
              </w:rPr>
            </w:pPr>
            <w:r>
              <w:rPr>
                <w:rFonts w:cs="Arial"/>
              </w:rPr>
              <w:t>David Green</w:t>
            </w:r>
          </w:p>
          <w:p w14:paraId="7F8B2896" w14:textId="29F86C18" w:rsidR="003E6926" w:rsidRPr="00A22165" w:rsidRDefault="003E6926" w:rsidP="00B72FA7">
            <w:pPr>
              <w:rPr>
                <w:color w:val="1F497D"/>
                <w:sz w:val="18"/>
                <w:szCs w:val="18"/>
              </w:rPr>
            </w:pPr>
            <w:r>
              <w:rPr>
                <w:sz w:val="18"/>
                <w:szCs w:val="18"/>
              </w:rPr>
              <w:t>Nurse Consultant – Immunisation and Countermeasures</w:t>
            </w:r>
            <w:r w:rsidRPr="00A22165">
              <w:rPr>
                <w:rFonts w:cs="Arial"/>
                <w:sz w:val="18"/>
                <w:szCs w:val="18"/>
              </w:rPr>
              <w:t>, PHE</w:t>
            </w:r>
          </w:p>
        </w:tc>
        <w:tc>
          <w:tcPr>
            <w:tcW w:w="2126" w:type="dxa"/>
          </w:tcPr>
          <w:p w14:paraId="18A0F6B5" w14:textId="58637EBC" w:rsidR="003E6926" w:rsidRPr="0036347F" w:rsidRDefault="003E6926" w:rsidP="009D13A5">
            <w:pPr>
              <w:rPr>
                <w:rFonts w:cs="Arial"/>
                <w:i/>
                <w:color w:val="FF0000"/>
                <w:sz w:val="22"/>
                <w:szCs w:val="22"/>
              </w:rPr>
            </w:pPr>
            <w:r>
              <w:rPr>
                <w:rFonts w:cs="Arial"/>
                <w:noProof/>
                <w:sz w:val="20"/>
              </w:rPr>
              <w:drawing>
                <wp:anchor distT="0" distB="0" distL="114300" distR="114300" simplePos="0" relativeHeight="251664384" behindDoc="1" locked="0" layoutInCell="1" allowOverlap="1" wp14:anchorId="7C01DCD7" wp14:editId="6E822F8B">
                  <wp:simplePos x="0" y="0"/>
                  <wp:positionH relativeFrom="column">
                    <wp:posOffset>-68448</wp:posOffset>
                  </wp:positionH>
                  <wp:positionV relativeFrom="paragraph">
                    <wp:posOffset>-1138</wp:posOffset>
                  </wp:positionV>
                  <wp:extent cx="1423358" cy="513343"/>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14:paraId="72254D1A" w14:textId="0C3F33DD" w:rsidR="003E6926" w:rsidRPr="0036347F" w:rsidRDefault="003E6926" w:rsidP="009D13A5">
            <w:pPr>
              <w:rPr>
                <w:rFonts w:cs="Arial"/>
              </w:rPr>
            </w:pPr>
            <w:r>
              <w:rPr>
                <w:rFonts w:cs="Arial"/>
              </w:rPr>
              <w:t>26/09/2018</w:t>
            </w:r>
          </w:p>
        </w:tc>
      </w:tr>
    </w:tbl>
    <w:p w14:paraId="0AB7A2AE" w14:textId="77777777" w:rsidR="00BC6F32" w:rsidRDefault="00BC6F32" w:rsidP="00BC6F32">
      <w:pPr>
        <w:rPr>
          <w:rFonts w:cs="Arial"/>
          <w:i/>
          <w:sz w:val="16"/>
          <w:szCs w:val="16"/>
        </w:rPr>
      </w:pPr>
    </w:p>
    <w:p w14:paraId="41E894EC" w14:textId="402D2DDD" w:rsidR="006F7521" w:rsidRPr="00E161EA" w:rsidRDefault="006F7521" w:rsidP="00E161EA">
      <w:pPr>
        <w:rPr>
          <w:rFonts w:cs="Arial"/>
          <w:szCs w:val="24"/>
        </w:rPr>
      </w:pPr>
      <w:r w:rsidRPr="00E161EA">
        <w:rPr>
          <w:rFonts w:cs="Arial"/>
          <w:szCs w:val="24"/>
        </w:rPr>
        <w:t>This PGD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BE6716">
        <w:rPr>
          <w:rFonts w:cs="Arial"/>
          <w:szCs w:val="24"/>
        </w:rPr>
        <w:t xml:space="preserve">the </w:t>
      </w:r>
      <w:r w:rsidRPr="00E161EA">
        <w:rPr>
          <w:rFonts w:cs="Arial"/>
          <w:szCs w:val="24"/>
        </w:rPr>
        <w:t xml:space="preserve">PHE Medicines Management Group and </w:t>
      </w:r>
      <w:r w:rsidR="00BE6716">
        <w:rPr>
          <w:rFonts w:cs="Arial"/>
          <w:szCs w:val="24"/>
        </w:rPr>
        <w:t xml:space="preserve">the </w:t>
      </w:r>
      <w:r w:rsidR="009A2DE4" w:rsidRPr="009A2DE4">
        <w:rPr>
          <w:rFonts w:cs="Arial"/>
          <w:szCs w:val="24"/>
        </w:rPr>
        <w:t xml:space="preserve">PHE Quality and Clinical Governance </w:t>
      </w:r>
      <w:r w:rsidR="00BE6716">
        <w:rPr>
          <w:rFonts w:cs="Arial"/>
          <w:szCs w:val="24"/>
        </w:rPr>
        <w:t>Delivery Board</w:t>
      </w:r>
      <w:r w:rsidRPr="00E161EA">
        <w:rPr>
          <w:rFonts w:cs="Arial"/>
          <w:szCs w:val="24"/>
        </w:rPr>
        <w:t>.</w:t>
      </w:r>
    </w:p>
    <w:p w14:paraId="12A605EB" w14:textId="77777777" w:rsidR="006F7521" w:rsidRPr="00E161EA" w:rsidRDefault="006F7521" w:rsidP="00BC6F32">
      <w:pPr>
        <w:rPr>
          <w:rFonts w:cs="Arial"/>
          <w:i/>
          <w:szCs w:val="24"/>
        </w:rPr>
      </w:pPr>
    </w:p>
    <w:p w14:paraId="063DB63B" w14:textId="77777777" w:rsidR="00BC6F32" w:rsidRPr="00E161EA" w:rsidRDefault="00BC6F32" w:rsidP="00BC6F32">
      <w:pPr>
        <w:rPr>
          <w:szCs w:val="24"/>
        </w:rPr>
      </w:pPr>
    </w:p>
    <w:p w14:paraId="0884AF35" w14:textId="2045419E" w:rsidR="00BC6F32" w:rsidRPr="00E161EA" w:rsidRDefault="00BE6716" w:rsidP="00BC6F32">
      <w:pPr>
        <w:spacing w:line="276" w:lineRule="auto"/>
        <w:rPr>
          <w:rFonts w:cs="Arial"/>
          <w:b/>
          <w:szCs w:val="24"/>
        </w:rPr>
      </w:pPr>
      <w:r>
        <w:rPr>
          <w:rFonts w:cs="Arial"/>
          <w:b/>
          <w:szCs w:val="24"/>
        </w:rPr>
        <w:t>Expert Panel</w:t>
      </w:r>
    </w:p>
    <w:p w14:paraId="65423973" w14:textId="77777777"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BC6F32" w:rsidRPr="00BE6716" w14:paraId="0AFE9EEB" w14:textId="77777777" w:rsidTr="006C69EC">
        <w:trPr>
          <w:trHeight w:val="254"/>
        </w:trPr>
        <w:tc>
          <w:tcPr>
            <w:tcW w:w="2694" w:type="dxa"/>
            <w:vAlign w:val="center"/>
          </w:tcPr>
          <w:p w14:paraId="38A2EFA2" w14:textId="77777777" w:rsidR="00BC6F32" w:rsidRPr="00BE6716" w:rsidRDefault="00BC6F32" w:rsidP="009E0FB8">
            <w:pPr>
              <w:rPr>
                <w:rFonts w:cs="Arial"/>
                <w:b/>
                <w:sz w:val="22"/>
                <w:szCs w:val="22"/>
              </w:rPr>
            </w:pPr>
            <w:r w:rsidRPr="00BE6716">
              <w:rPr>
                <w:rFonts w:cs="Arial"/>
                <w:b/>
                <w:sz w:val="22"/>
                <w:szCs w:val="22"/>
              </w:rPr>
              <w:t>Name</w:t>
            </w:r>
          </w:p>
        </w:tc>
        <w:tc>
          <w:tcPr>
            <w:tcW w:w="7229" w:type="dxa"/>
            <w:vAlign w:val="center"/>
          </w:tcPr>
          <w:p w14:paraId="5DCFE12F" w14:textId="77777777" w:rsidR="00BC6F32" w:rsidRPr="00BE6716" w:rsidRDefault="00BC6F32" w:rsidP="009E0FB8">
            <w:pPr>
              <w:rPr>
                <w:rFonts w:cs="Arial"/>
                <w:b/>
                <w:sz w:val="22"/>
                <w:szCs w:val="22"/>
              </w:rPr>
            </w:pPr>
            <w:r w:rsidRPr="00BE6716">
              <w:rPr>
                <w:rFonts w:cs="Arial"/>
                <w:b/>
                <w:sz w:val="22"/>
                <w:szCs w:val="22"/>
              </w:rPr>
              <w:t>Designation</w:t>
            </w:r>
          </w:p>
        </w:tc>
      </w:tr>
      <w:tr w:rsidR="00BE6716" w:rsidRPr="00BE6716" w14:paraId="027FE47D" w14:textId="77777777" w:rsidTr="006C69EC">
        <w:trPr>
          <w:trHeight w:val="254"/>
        </w:trPr>
        <w:tc>
          <w:tcPr>
            <w:tcW w:w="2694" w:type="dxa"/>
          </w:tcPr>
          <w:p w14:paraId="3E174938" w14:textId="72D589F7" w:rsidR="00BE6716" w:rsidRPr="00BE6716" w:rsidRDefault="00BE6716" w:rsidP="009E0FB8">
            <w:pPr>
              <w:pStyle w:val="Default"/>
              <w:spacing w:before="60" w:after="60"/>
              <w:rPr>
                <w:color w:val="auto"/>
                <w:sz w:val="22"/>
                <w:szCs w:val="22"/>
              </w:rPr>
            </w:pPr>
            <w:r w:rsidRPr="00BE6716">
              <w:rPr>
                <w:color w:val="auto"/>
                <w:sz w:val="22"/>
                <w:szCs w:val="22"/>
              </w:rPr>
              <w:t>Ed Gardner</w:t>
            </w:r>
          </w:p>
        </w:tc>
        <w:tc>
          <w:tcPr>
            <w:tcW w:w="7229" w:type="dxa"/>
          </w:tcPr>
          <w:p w14:paraId="1E60CC07" w14:textId="468EA54C" w:rsidR="00BE6716" w:rsidRPr="00BE6716" w:rsidRDefault="00BE6716" w:rsidP="009E0FB8">
            <w:pPr>
              <w:pStyle w:val="Default"/>
              <w:spacing w:before="60" w:after="60"/>
              <w:rPr>
                <w:color w:val="auto"/>
                <w:sz w:val="22"/>
                <w:szCs w:val="22"/>
              </w:rPr>
            </w:pPr>
            <w:r w:rsidRPr="00BE6716">
              <w:rPr>
                <w:sz w:val="22"/>
                <w:szCs w:val="22"/>
              </w:rPr>
              <w:t xml:space="preserve">Advanced Paramedic Practitioner/Emergency Care </w:t>
            </w:r>
            <w:bookmarkStart w:id="0" w:name="_GoBack"/>
            <w:bookmarkEnd w:id="0"/>
            <w:r w:rsidRPr="00BE6716">
              <w:rPr>
                <w:sz w:val="22"/>
                <w:szCs w:val="22"/>
              </w:rPr>
              <w:t>Practitioner, Medicines Manager, Proactive Care Lead</w:t>
            </w:r>
          </w:p>
        </w:tc>
      </w:tr>
      <w:tr w:rsidR="007939D3" w:rsidRPr="00BE6716" w14:paraId="02382980" w14:textId="77777777" w:rsidTr="000637D4">
        <w:trPr>
          <w:trHeight w:val="254"/>
        </w:trPr>
        <w:tc>
          <w:tcPr>
            <w:tcW w:w="2694" w:type="dxa"/>
            <w:vAlign w:val="center"/>
          </w:tcPr>
          <w:p w14:paraId="6B2B03B3" w14:textId="7178E538" w:rsidR="007939D3" w:rsidRPr="00BE6716" w:rsidRDefault="007939D3" w:rsidP="009E0FB8">
            <w:pPr>
              <w:pStyle w:val="Default"/>
              <w:spacing w:before="60" w:after="60"/>
              <w:rPr>
                <w:color w:val="auto"/>
                <w:sz w:val="22"/>
                <w:szCs w:val="22"/>
              </w:rPr>
            </w:pPr>
            <w:r w:rsidRPr="00BE6716">
              <w:rPr>
                <w:sz w:val="22"/>
                <w:szCs w:val="22"/>
              </w:rPr>
              <w:t>Shamez Ladhani</w:t>
            </w:r>
          </w:p>
        </w:tc>
        <w:tc>
          <w:tcPr>
            <w:tcW w:w="7229" w:type="dxa"/>
            <w:vAlign w:val="center"/>
          </w:tcPr>
          <w:p w14:paraId="6C39D89E" w14:textId="45FE952C" w:rsidR="007939D3" w:rsidRPr="00BE6716" w:rsidRDefault="007939D3" w:rsidP="009E0FB8">
            <w:pPr>
              <w:pStyle w:val="Default"/>
              <w:spacing w:before="60" w:after="60"/>
              <w:rPr>
                <w:rStyle w:val="st1"/>
                <w:sz w:val="22"/>
                <w:szCs w:val="22"/>
              </w:rPr>
            </w:pPr>
            <w:r w:rsidRPr="00BE6716">
              <w:rPr>
                <w:sz w:val="22"/>
                <w:szCs w:val="22"/>
              </w:rPr>
              <w:t>Paediatric Infectious Disease Consultant, Public Health England</w:t>
            </w:r>
          </w:p>
        </w:tc>
      </w:tr>
      <w:tr w:rsidR="00A564C2" w:rsidRPr="00BE6716" w14:paraId="17A4E624" w14:textId="77777777" w:rsidTr="006C69EC">
        <w:trPr>
          <w:trHeight w:val="254"/>
        </w:trPr>
        <w:tc>
          <w:tcPr>
            <w:tcW w:w="2694" w:type="dxa"/>
          </w:tcPr>
          <w:p w14:paraId="43BBB462" w14:textId="7078B5CC" w:rsidR="00A564C2" w:rsidRPr="00BE6716" w:rsidRDefault="00A564C2" w:rsidP="009E0FB8">
            <w:pPr>
              <w:pStyle w:val="Default"/>
              <w:spacing w:before="60" w:after="60"/>
              <w:rPr>
                <w:color w:val="auto"/>
                <w:sz w:val="22"/>
                <w:szCs w:val="22"/>
              </w:rPr>
            </w:pPr>
            <w:r w:rsidRPr="00BE6716">
              <w:rPr>
                <w:color w:val="auto"/>
                <w:sz w:val="22"/>
                <w:szCs w:val="22"/>
              </w:rPr>
              <w:t>Jacqueline Lamberty</w:t>
            </w:r>
          </w:p>
        </w:tc>
        <w:tc>
          <w:tcPr>
            <w:tcW w:w="7229" w:type="dxa"/>
          </w:tcPr>
          <w:p w14:paraId="1303E640" w14:textId="1BF30512" w:rsidR="00A564C2" w:rsidRPr="00BE6716" w:rsidRDefault="00BE6716" w:rsidP="009E0FB8">
            <w:pPr>
              <w:pStyle w:val="Default"/>
              <w:spacing w:before="60" w:after="60"/>
              <w:rPr>
                <w:color w:val="auto"/>
                <w:sz w:val="22"/>
                <w:szCs w:val="22"/>
              </w:rPr>
            </w:pPr>
            <w:r w:rsidRPr="00BE6716">
              <w:rPr>
                <w:rStyle w:val="st1"/>
                <w:sz w:val="22"/>
                <w:szCs w:val="22"/>
              </w:rPr>
              <w:t>Lead Pharmacist Medicines Management Services, Public Health England</w:t>
            </w:r>
          </w:p>
        </w:tc>
      </w:tr>
      <w:tr w:rsidR="00484F69" w:rsidRPr="00BE6716" w14:paraId="64D3CAC6" w14:textId="77777777" w:rsidTr="006C69EC">
        <w:trPr>
          <w:trHeight w:val="254"/>
        </w:trPr>
        <w:tc>
          <w:tcPr>
            <w:tcW w:w="2694" w:type="dxa"/>
          </w:tcPr>
          <w:p w14:paraId="058138E2" w14:textId="00745022" w:rsidR="00484F69" w:rsidRPr="00BE6716" w:rsidRDefault="00484F69" w:rsidP="009E0FB8">
            <w:pPr>
              <w:pStyle w:val="Default"/>
              <w:spacing w:before="60" w:after="60"/>
              <w:rPr>
                <w:color w:val="auto"/>
                <w:sz w:val="22"/>
                <w:szCs w:val="22"/>
              </w:rPr>
            </w:pPr>
            <w:r w:rsidRPr="002908CD">
              <w:rPr>
                <w:sz w:val="22"/>
                <w:szCs w:val="22"/>
              </w:rPr>
              <w:t>Vanessa MacGregor</w:t>
            </w:r>
          </w:p>
        </w:tc>
        <w:tc>
          <w:tcPr>
            <w:tcW w:w="7229" w:type="dxa"/>
          </w:tcPr>
          <w:p w14:paraId="496FE5E8" w14:textId="0932E951" w:rsidR="00484F69" w:rsidRPr="00BE6716" w:rsidRDefault="00484F69" w:rsidP="009E0FB8">
            <w:pPr>
              <w:pStyle w:val="Default"/>
              <w:spacing w:before="60" w:after="60"/>
              <w:rPr>
                <w:rStyle w:val="st1"/>
                <w:sz w:val="22"/>
                <w:szCs w:val="22"/>
                <w:lang w:eastAsia="en-US"/>
              </w:rPr>
            </w:pPr>
            <w:r w:rsidRPr="002908CD">
              <w:rPr>
                <w:rStyle w:val="st1"/>
                <w:sz w:val="22"/>
                <w:szCs w:val="22"/>
                <w:lang w:eastAsia="en-US"/>
              </w:rPr>
              <w:t>Consultant in Communicable Disease Control, Public Health England, East Midlands Health Protection Team</w:t>
            </w:r>
          </w:p>
        </w:tc>
      </w:tr>
      <w:tr w:rsidR="008A7869" w:rsidRPr="00BE6716" w14:paraId="20CC60EB" w14:textId="77777777" w:rsidTr="006C69EC">
        <w:trPr>
          <w:trHeight w:val="254"/>
        </w:trPr>
        <w:tc>
          <w:tcPr>
            <w:tcW w:w="2694" w:type="dxa"/>
          </w:tcPr>
          <w:p w14:paraId="0957A6AE" w14:textId="6781A715" w:rsidR="008A7869" w:rsidRPr="00BE6716" w:rsidRDefault="008A7869" w:rsidP="009E0FB8">
            <w:pPr>
              <w:pStyle w:val="Default"/>
              <w:spacing w:before="60" w:after="60"/>
              <w:rPr>
                <w:color w:val="auto"/>
                <w:sz w:val="22"/>
                <w:szCs w:val="22"/>
              </w:rPr>
            </w:pPr>
            <w:r w:rsidRPr="00BE6716">
              <w:rPr>
                <w:color w:val="auto"/>
                <w:sz w:val="22"/>
                <w:szCs w:val="22"/>
              </w:rPr>
              <w:t>Alison Mackenzie</w:t>
            </w:r>
          </w:p>
        </w:tc>
        <w:tc>
          <w:tcPr>
            <w:tcW w:w="7229" w:type="dxa"/>
          </w:tcPr>
          <w:p w14:paraId="02A220AE" w14:textId="55163FA1" w:rsidR="008A7869" w:rsidRPr="00BE6716" w:rsidRDefault="008A7869" w:rsidP="009E0FB8">
            <w:pPr>
              <w:pStyle w:val="Default"/>
              <w:spacing w:before="60" w:after="60"/>
              <w:rPr>
                <w:color w:val="auto"/>
                <w:sz w:val="22"/>
                <w:szCs w:val="22"/>
              </w:rPr>
            </w:pPr>
            <w:r w:rsidRPr="00BE6716">
              <w:rPr>
                <w:rStyle w:val="st1"/>
                <w:sz w:val="22"/>
                <w:szCs w:val="22"/>
                <w:lang w:eastAsia="en-US"/>
              </w:rPr>
              <w:t>Consultant in Public Health Medicine</w:t>
            </w:r>
            <w:r w:rsidR="00F749C1">
              <w:rPr>
                <w:rStyle w:val="st1"/>
                <w:sz w:val="22"/>
                <w:szCs w:val="22"/>
                <w:lang w:eastAsia="en-US"/>
              </w:rPr>
              <w:t xml:space="preserve"> /</w:t>
            </w:r>
            <w:r w:rsidRPr="00BE6716">
              <w:rPr>
                <w:rStyle w:val="st1"/>
                <w:sz w:val="22"/>
                <w:szCs w:val="22"/>
                <w:lang w:eastAsia="en-US"/>
              </w:rPr>
              <w:t xml:space="preserve"> Screening and Immunisation Lead, Public Health England / NHS England South (South West)</w:t>
            </w:r>
          </w:p>
        </w:tc>
      </w:tr>
      <w:tr w:rsidR="00A564C2" w:rsidRPr="00BE6716" w14:paraId="12F315BA" w14:textId="77777777" w:rsidTr="006C69EC">
        <w:trPr>
          <w:trHeight w:val="267"/>
        </w:trPr>
        <w:tc>
          <w:tcPr>
            <w:tcW w:w="2694" w:type="dxa"/>
          </w:tcPr>
          <w:p w14:paraId="5BAEE992" w14:textId="73F3C2F7" w:rsidR="00A564C2" w:rsidRPr="00BE6716" w:rsidRDefault="00A564C2" w:rsidP="009E0FB8">
            <w:pPr>
              <w:pStyle w:val="Default"/>
              <w:spacing w:before="60" w:after="60"/>
              <w:rPr>
                <w:color w:val="auto"/>
                <w:sz w:val="22"/>
                <w:szCs w:val="22"/>
              </w:rPr>
            </w:pPr>
            <w:r w:rsidRPr="00BE6716">
              <w:rPr>
                <w:color w:val="auto"/>
                <w:sz w:val="22"/>
                <w:szCs w:val="22"/>
              </w:rPr>
              <w:t>Gill Marsh</w:t>
            </w:r>
          </w:p>
        </w:tc>
        <w:tc>
          <w:tcPr>
            <w:tcW w:w="7229" w:type="dxa"/>
          </w:tcPr>
          <w:p w14:paraId="60435A7B" w14:textId="34814471" w:rsidR="00A564C2" w:rsidRPr="00BE6716" w:rsidRDefault="00BE6716" w:rsidP="009E0FB8">
            <w:pPr>
              <w:spacing w:before="60" w:after="60"/>
              <w:rPr>
                <w:rFonts w:cs="Arial"/>
                <w:bCs/>
                <w:sz w:val="22"/>
                <w:szCs w:val="22"/>
              </w:rPr>
            </w:pPr>
            <w:r w:rsidRPr="00BE6716">
              <w:rPr>
                <w:sz w:val="22"/>
                <w:szCs w:val="22"/>
              </w:rPr>
              <w:t>Senior Screening and Immunisation Manager</w:t>
            </w:r>
            <w:r w:rsidR="00F749C1">
              <w:rPr>
                <w:sz w:val="22"/>
                <w:szCs w:val="22"/>
              </w:rPr>
              <w:t>,</w:t>
            </w:r>
            <w:r w:rsidRPr="00BE6716">
              <w:rPr>
                <w:sz w:val="22"/>
                <w:szCs w:val="22"/>
              </w:rPr>
              <w:t xml:space="preserve"> Public Health England / NHS England Lancashire and South Cumbria</w:t>
            </w:r>
          </w:p>
        </w:tc>
      </w:tr>
      <w:tr w:rsidR="00A564C2" w:rsidRPr="00BE6716" w14:paraId="7A4C89D1" w14:textId="77777777" w:rsidTr="006C69EC">
        <w:trPr>
          <w:trHeight w:val="267"/>
        </w:trPr>
        <w:tc>
          <w:tcPr>
            <w:tcW w:w="2694" w:type="dxa"/>
          </w:tcPr>
          <w:p w14:paraId="12952969" w14:textId="28793F6B" w:rsidR="00A564C2" w:rsidRPr="00BE6716" w:rsidRDefault="00A564C2" w:rsidP="009E0FB8">
            <w:pPr>
              <w:pStyle w:val="Default"/>
              <w:spacing w:before="60" w:after="60"/>
              <w:rPr>
                <w:color w:val="auto"/>
                <w:sz w:val="22"/>
                <w:szCs w:val="22"/>
              </w:rPr>
            </w:pPr>
            <w:r w:rsidRPr="00BE6716">
              <w:rPr>
                <w:color w:val="auto"/>
                <w:sz w:val="22"/>
                <w:szCs w:val="22"/>
              </w:rPr>
              <w:t>Lesley McFarlane</w:t>
            </w:r>
          </w:p>
        </w:tc>
        <w:tc>
          <w:tcPr>
            <w:tcW w:w="7229" w:type="dxa"/>
          </w:tcPr>
          <w:p w14:paraId="7F625464" w14:textId="5E2B75FF" w:rsidR="00A564C2" w:rsidRPr="00BE6716" w:rsidRDefault="00A564C2" w:rsidP="00BE6716">
            <w:pPr>
              <w:spacing w:before="60" w:after="60"/>
              <w:rPr>
                <w:rFonts w:cs="Arial"/>
                <w:sz w:val="22"/>
                <w:szCs w:val="22"/>
              </w:rPr>
            </w:pPr>
            <w:r w:rsidRPr="00BE6716">
              <w:rPr>
                <w:rFonts w:cs="Arial"/>
                <w:sz w:val="22"/>
                <w:szCs w:val="22"/>
              </w:rPr>
              <w:t>Screening and Immunisation Co-ordinator</w:t>
            </w:r>
            <w:r w:rsidR="00F749C1">
              <w:rPr>
                <w:rFonts w:cs="Arial"/>
                <w:sz w:val="22"/>
                <w:szCs w:val="22"/>
              </w:rPr>
              <w:t>,</w:t>
            </w:r>
            <w:r w:rsidRPr="00BE6716">
              <w:rPr>
                <w:rFonts w:cs="Arial"/>
                <w:sz w:val="22"/>
                <w:szCs w:val="22"/>
              </w:rPr>
              <w:t xml:space="preserve"> </w:t>
            </w:r>
            <w:r w:rsidRPr="00BE6716">
              <w:rPr>
                <w:color w:val="000000"/>
                <w:sz w:val="22"/>
                <w:szCs w:val="22"/>
              </w:rPr>
              <w:t>NHS England</w:t>
            </w:r>
            <w:r w:rsidR="00BE6716" w:rsidRPr="00BE6716">
              <w:rPr>
                <w:sz w:val="22"/>
                <w:szCs w:val="22"/>
              </w:rPr>
              <w:t xml:space="preserve"> / Public Health England</w:t>
            </w:r>
            <w:r w:rsidRPr="00BE6716">
              <w:rPr>
                <w:color w:val="000000"/>
                <w:sz w:val="22"/>
                <w:szCs w:val="22"/>
              </w:rPr>
              <w:t xml:space="preserve"> </w:t>
            </w:r>
            <w:r w:rsidR="00DD6608" w:rsidRPr="00BE6716">
              <w:rPr>
                <w:color w:val="000000"/>
                <w:sz w:val="22"/>
                <w:szCs w:val="22"/>
              </w:rPr>
              <w:t xml:space="preserve">Leicestershire, Lincolnshire and </w:t>
            </w:r>
            <w:r w:rsidR="00DD6608" w:rsidRPr="00BE6716">
              <w:rPr>
                <w:sz w:val="22"/>
                <w:szCs w:val="22"/>
              </w:rPr>
              <w:t>Northamptonshire</w:t>
            </w:r>
          </w:p>
        </w:tc>
      </w:tr>
      <w:tr w:rsidR="00A564C2" w:rsidRPr="00BE6716" w14:paraId="556E2129" w14:textId="77777777" w:rsidTr="006C69EC">
        <w:trPr>
          <w:trHeight w:val="267"/>
        </w:trPr>
        <w:tc>
          <w:tcPr>
            <w:tcW w:w="2694" w:type="dxa"/>
          </w:tcPr>
          <w:p w14:paraId="6550231D" w14:textId="445A9466" w:rsidR="00A564C2" w:rsidRPr="00BE6716" w:rsidRDefault="00BE6716" w:rsidP="009E0FB8">
            <w:pPr>
              <w:pStyle w:val="Default"/>
              <w:spacing w:before="60" w:after="60"/>
              <w:rPr>
                <w:color w:val="auto"/>
                <w:sz w:val="22"/>
                <w:szCs w:val="22"/>
              </w:rPr>
            </w:pPr>
            <w:r>
              <w:rPr>
                <w:color w:val="auto"/>
                <w:sz w:val="22"/>
                <w:szCs w:val="22"/>
              </w:rPr>
              <w:t>Sally Millership</w:t>
            </w:r>
          </w:p>
        </w:tc>
        <w:tc>
          <w:tcPr>
            <w:tcW w:w="7229" w:type="dxa"/>
          </w:tcPr>
          <w:p w14:paraId="4E600A0B" w14:textId="61FBE1F2" w:rsidR="00A564C2" w:rsidRPr="00BE6716" w:rsidRDefault="00BE6716" w:rsidP="000A3815">
            <w:pPr>
              <w:spacing w:before="60" w:after="60"/>
              <w:rPr>
                <w:rFonts w:cs="Arial"/>
                <w:bCs/>
                <w:sz w:val="22"/>
                <w:szCs w:val="22"/>
              </w:rPr>
            </w:pPr>
            <w:r w:rsidRPr="00626654">
              <w:rPr>
                <w:color w:val="000000"/>
                <w:sz w:val="22"/>
                <w:szCs w:val="22"/>
              </w:rPr>
              <w:t>Consultant in Communicable Disease Control, Public Health England, East of England Health Protection Team</w:t>
            </w:r>
            <w:r w:rsidRPr="00BE6716" w:rsidDel="00BE6716">
              <w:rPr>
                <w:sz w:val="22"/>
                <w:szCs w:val="22"/>
              </w:rPr>
              <w:t xml:space="preserve"> </w:t>
            </w:r>
          </w:p>
        </w:tc>
      </w:tr>
      <w:tr w:rsidR="00A564C2" w:rsidRPr="00BE6716" w14:paraId="597642F4" w14:textId="77777777" w:rsidTr="006C69EC">
        <w:trPr>
          <w:trHeight w:val="267"/>
        </w:trPr>
        <w:tc>
          <w:tcPr>
            <w:tcW w:w="2694" w:type="dxa"/>
          </w:tcPr>
          <w:p w14:paraId="7CFB0193" w14:textId="1717F967" w:rsidR="00A564C2" w:rsidRPr="00BE6716" w:rsidRDefault="00BE6716" w:rsidP="009E0FB8">
            <w:pPr>
              <w:spacing w:before="60" w:after="60"/>
              <w:rPr>
                <w:rFonts w:cs="Arial"/>
                <w:sz w:val="22"/>
                <w:szCs w:val="22"/>
              </w:rPr>
            </w:pPr>
            <w:r>
              <w:rPr>
                <w:sz w:val="22"/>
                <w:szCs w:val="22"/>
              </w:rPr>
              <w:t>Tushar Shah</w:t>
            </w:r>
          </w:p>
        </w:tc>
        <w:tc>
          <w:tcPr>
            <w:tcW w:w="7229" w:type="dxa"/>
          </w:tcPr>
          <w:p w14:paraId="447862E2" w14:textId="3D8DF8B1" w:rsidR="00A564C2" w:rsidRPr="00BE6716" w:rsidRDefault="00BE6716" w:rsidP="009E0FB8">
            <w:pPr>
              <w:tabs>
                <w:tab w:val="left" w:pos="2320"/>
              </w:tabs>
              <w:spacing w:before="60" w:after="60"/>
              <w:rPr>
                <w:rFonts w:cs="Arial"/>
                <w:sz w:val="22"/>
                <w:szCs w:val="22"/>
              </w:rPr>
            </w:pPr>
            <w:r w:rsidRPr="00626654">
              <w:rPr>
                <w:color w:val="000000"/>
                <w:sz w:val="22"/>
                <w:szCs w:val="22"/>
              </w:rPr>
              <w:t>Pharmacy Advisor, NHS England London Region</w:t>
            </w:r>
            <w:r w:rsidRPr="00626654">
              <w:rPr>
                <w:color w:val="1F497D"/>
                <w:sz w:val="22"/>
                <w:szCs w:val="22"/>
              </w:rPr>
              <w:t xml:space="preserve"> </w:t>
            </w:r>
          </w:p>
        </w:tc>
      </w:tr>
      <w:tr w:rsidR="008A7869" w:rsidRPr="00BE6716" w14:paraId="0A5F4348" w14:textId="77777777" w:rsidTr="006C69EC">
        <w:trPr>
          <w:trHeight w:val="267"/>
        </w:trPr>
        <w:tc>
          <w:tcPr>
            <w:tcW w:w="2694" w:type="dxa"/>
          </w:tcPr>
          <w:p w14:paraId="361E72D0" w14:textId="0A8A6C4E" w:rsidR="008A7869" w:rsidRPr="00BE6716" w:rsidRDefault="00BE6716" w:rsidP="009E0FB8">
            <w:pPr>
              <w:spacing w:before="60" w:after="60"/>
              <w:rPr>
                <w:sz w:val="22"/>
                <w:szCs w:val="22"/>
              </w:rPr>
            </w:pPr>
            <w:r>
              <w:rPr>
                <w:sz w:val="22"/>
                <w:szCs w:val="22"/>
              </w:rPr>
              <w:t>Kelly Stoker</w:t>
            </w:r>
          </w:p>
        </w:tc>
        <w:tc>
          <w:tcPr>
            <w:tcW w:w="7229" w:type="dxa"/>
          </w:tcPr>
          <w:p w14:paraId="49277924" w14:textId="7B69A32E" w:rsidR="008A7869" w:rsidRPr="00BE6716" w:rsidRDefault="00BE6716" w:rsidP="009E0FB8">
            <w:pPr>
              <w:tabs>
                <w:tab w:val="left" w:pos="2320"/>
              </w:tabs>
              <w:spacing w:before="60" w:after="60"/>
              <w:rPr>
                <w:rFonts w:cs="Arial"/>
                <w:sz w:val="22"/>
                <w:szCs w:val="22"/>
              </w:rPr>
            </w:pPr>
            <w:r w:rsidRPr="00626654">
              <w:rPr>
                <w:rFonts w:cs="Arial"/>
                <w:sz w:val="22"/>
                <w:szCs w:val="22"/>
              </w:rPr>
              <w:t>Senior Health Protection Nurse, North East Health Protection Team, Public Health England Centre North East</w:t>
            </w:r>
            <w:r w:rsidRPr="00BE6716" w:rsidDel="00BE6716">
              <w:rPr>
                <w:rFonts w:cs="Arial"/>
                <w:sz w:val="22"/>
                <w:szCs w:val="22"/>
              </w:rPr>
              <w:t xml:space="preserve"> </w:t>
            </w:r>
          </w:p>
        </w:tc>
      </w:tr>
      <w:tr w:rsidR="00BE6716" w:rsidRPr="00BE6716" w14:paraId="3D610F40" w14:textId="77777777" w:rsidTr="000637D4">
        <w:trPr>
          <w:trHeight w:val="267"/>
        </w:trPr>
        <w:tc>
          <w:tcPr>
            <w:tcW w:w="2694" w:type="dxa"/>
          </w:tcPr>
          <w:p w14:paraId="22AEA2DA" w14:textId="1AC53405" w:rsidR="00BE6716" w:rsidRDefault="00BE6716" w:rsidP="009E0FB8">
            <w:pPr>
              <w:spacing w:before="60" w:after="60"/>
              <w:rPr>
                <w:sz w:val="22"/>
                <w:szCs w:val="22"/>
              </w:rPr>
            </w:pPr>
            <w:r>
              <w:rPr>
                <w:sz w:val="22"/>
                <w:szCs w:val="22"/>
              </w:rPr>
              <w:t>Sharon Webb</w:t>
            </w:r>
          </w:p>
        </w:tc>
        <w:tc>
          <w:tcPr>
            <w:tcW w:w="7229" w:type="dxa"/>
            <w:vAlign w:val="center"/>
          </w:tcPr>
          <w:p w14:paraId="20AA3933" w14:textId="5058CDEE" w:rsidR="00BE6716" w:rsidRPr="00626654" w:rsidRDefault="00BE6716" w:rsidP="009E0FB8">
            <w:pPr>
              <w:tabs>
                <w:tab w:val="left" w:pos="2320"/>
              </w:tabs>
              <w:spacing w:before="60" w:after="60"/>
              <w:rPr>
                <w:rFonts w:cs="Arial"/>
                <w:sz w:val="22"/>
                <w:szCs w:val="22"/>
              </w:rPr>
            </w:pPr>
            <w:r w:rsidRPr="0043494A">
              <w:rPr>
                <w:rFonts w:cs="Arial"/>
                <w:sz w:val="22"/>
                <w:szCs w:val="22"/>
              </w:rPr>
              <w:t>Programme Manager/Registered Midwife, NBHS Infectious Diseases in Pregnancy Screening Programme, Public Health England</w:t>
            </w:r>
          </w:p>
        </w:tc>
      </w:tr>
      <w:tr w:rsidR="00BE6716" w:rsidRPr="00BE6716" w14:paraId="01FFAAB5" w14:textId="77777777" w:rsidTr="006C69EC">
        <w:trPr>
          <w:trHeight w:val="267"/>
        </w:trPr>
        <w:tc>
          <w:tcPr>
            <w:tcW w:w="2694" w:type="dxa"/>
          </w:tcPr>
          <w:p w14:paraId="4F92ED28" w14:textId="7717E72E" w:rsidR="00BE6716" w:rsidRDefault="00BE6716" w:rsidP="009E0FB8">
            <w:pPr>
              <w:spacing w:before="60" w:after="60"/>
              <w:rPr>
                <w:sz w:val="22"/>
                <w:szCs w:val="22"/>
              </w:rPr>
            </w:pPr>
            <w:r>
              <w:rPr>
                <w:sz w:val="22"/>
                <w:szCs w:val="22"/>
              </w:rPr>
              <w:t>Helen Wilkinson</w:t>
            </w:r>
          </w:p>
        </w:tc>
        <w:tc>
          <w:tcPr>
            <w:tcW w:w="7229" w:type="dxa"/>
          </w:tcPr>
          <w:p w14:paraId="52A0E861" w14:textId="3717BAB0" w:rsidR="00BE6716" w:rsidRPr="00626654" w:rsidRDefault="00F749C1" w:rsidP="009E0FB8">
            <w:pPr>
              <w:tabs>
                <w:tab w:val="left" w:pos="2320"/>
              </w:tabs>
              <w:spacing w:before="60" w:after="60"/>
              <w:rPr>
                <w:rFonts w:cs="Arial"/>
                <w:sz w:val="22"/>
                <w:szCs w:val="22"/>
              </w:rPr>
            </w:pPr>
            <w:r w:rsidRPr="00AD412A">
              <w:rPr>
                <w:rFonts w:cs="Arial"/>
                <w:sz w:val="22"/>
                <w:szCs w:val="22"/>
              </w:rPr>
              <w:t>Principal Pharmacist</w:t>
            </w:r>
            <w:r>
              <w:rPr>
                <w:rFonts w:cs="Arial"/>
                <w:sz w:val="22"/>
                <w:szCs w:val="22"/>
              </w:rPr>
              <w:t>,</w:t>
            </w:r>
            <w:r w:rsidRPr="00AD412A">
              <w:rPr>
                <w:rFonts w:cs="Arial"/>
                <w:sz w:val="22"/>
                <w:szCs w:val="22"/>
              </w:rPr>
              <w:t xml:space="preserve"> Bristol, North Somerset &amp; South Gloucestershire Clinical Commissioning Group</w:t>
            </w:r>
          </w:p>
        </w:tc>
      </w:tr>
    </w:tbl>
    <w:p w14:paraId="3CEEBBC6" w14:textId="1EA61A6B" w:rsidR="00D642DE" w:rsidRDefault="00D642DE">
      <w:pPr>
        <w:overflowPunct/>
        <w:autoSpaceDE/>
        <w:autoSpaceDN/>
        <w:adjustRightInd/>
        <w:jc w:val="center"/>
        <w:textAlignment w:val="auto"/>
        <w:rPr>
          <w:sz w:val="22"/>
          <w:szCs w:val="22"/>
        </w:rPr>
      </w:pPr>
    </w:p>
    <w:p w14:paraId="2DA65C9B" w14:textId="10A06735"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126DEA5D" w:rsidR="00BC6F32" w:rsidRPr="00E161EA" w:rsidRDefault="0067497B" w:rsidP="00E161EA">
      <w:pPr>
        <w:pStyle w:val="Title"/>
        <w:jc w:val="left"/>
        <w:rPr>
          <w:rStyle w:val="yiv436687422763514114-05042013"/>
          <w:rFonts w:ascii="Arial" w:hAnsi="Arial" w:cs="Arial"/>
          <w:b w:val="0"/>
          <w:szCs w:val="24"/>
          <w:lang w:eastAsia="en-GB"/>
        </w:rPr>
      </w:pPr>
      <w:permStart w:id="314458519" w:edGrp="everyone"/>
      <w:r w:rsidRPr="00E161EA">
        <w:rPr>
          <w:rStyle w:val="yiv436687422763514114-05042013"/>
          <w:rFonts w:ascii="Arial" w:hAnsi="Arial" w:cs="Arial"/>
          <w:szCs w:val="24"/>
        </w:rPr>
        <w:t xml:space="preserve">INSERT AUTHORISING BODY </w:t>
      </w:r>
      <w:proofErr w:type="gramStart"/>
      <w:r w:rsidRPr="00E161EA">
        <w:rPr>
          <w:rStyle w:val="yiv436687422763514114-05042013"/>
          <w:rFonts w:ascii="Arial" w:hAnsi="Arial" w:cs="Arial"/>
          <w:szCs w:val="24"/>
        </w:rPr>
        <w:t xml:space="preserve">NAME </w:t>
      </w:r>
      <w:r w:rsidR="00BC6F32" w:rsidRPr="00E161EA">
        <w:rPr>
          <w:rStyle w:val="yiv436687422763514114-05042013"/>
          <w:rFonts w:ascii="Arial" w:hAnsi="Arial" w:cs="Arial"/>
          <w:b w:val="0"/>
          <w:szCs w:val="24"/>
        </w:rPr>
        <w:t xml:space="preserve"> </w:t>
      </w:r>
      <w:permEnd w:id="314458519"/>
      <w:r w:rsidR="00BC6F32" w:rsidRPr="00E161EA">
        <w:rPr>
          <w:rStyle w:val="yiv436687422763514114-05042013"/>
          <w:rFonts w:ascii="Arial" w:hAnsi="Arial" w:cs="Arial"/>
          <w:b w:val="0"/>
          <w:szCs w:val="24"/>
        </w:rPr>
        <w:t>authorise</w:t>
      </w:r>
      <w:r w:rsidR="00BE6716">
        <w:rPr>
          <w:rStyle w:val="yiv436687422763514114-05042013"/>
          <w:rFonts w:ascii="Arial" w:hAnsi="Arial" w:cs="Arial"/>
          <w:b w:val="0"/>
          <w:szCs w:val="24"/>
        </w:rPr>
        <w:t>s</w:t>
      </w:r>
      <w:proofErr w:type="gramEnd"/>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1091D6B1" w:rsidR="00BC6F32" w:rsidRPr="00BF617E" w:rsidRDefault="00BC6F32" w:rsidP="00000A1D">
            <w:pPr>
              <w:pStyle w:val="Title"/>
              <w:jc w:val="left"/>
              <w:rPr>
                <w:rFonts w:ascii="Arial" w:hAnsi="Arial" w:cs="Arial"/>
                <w:b w:val="0"/>
                <w:sz w:val="22"/>
                <w:szCs w:val="22"/>
              </w:rPr>
            </w:pPr>
            <w:permStart w:id="880114647" w:edGrp="everyone"/>
            <w:permStart w:id="1060190319" w:edGrp="everyone"/>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115C1E83" w14:textId="77777777" w:rsidR="00BC6F32" w:rsidRDefault="00BC6F32" w:rsidP="00000A1D">
            <w:pPr>
              <w:pStyle w:val="Title"/>
              <w:jc w:val="left"/>
              <w:rPr>
                <w:rFonts w:ascii="Arial" w:hAnsi="Arial" w:cs="Arial"/>
                <w:b w:val="0"/>
                <w:sz w:val="22"/>
                <w:szCs w:val="22"/>
              </w:rPr>
            </w:pP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1" w:name="LimitationsToAuthorisation"/>
            <w:bookmarkEnd w:id="1"/>
            <w:permEnd w:id="880114647"/>
            <w:permEnd w:id="1060190319"/>
            <w:r w:rsidRPr="00E161EA">
              <w:rPr>
                <w:rFonts w:ascii="Arial" w:hAnsi="Arial" w:cs="Arial"/>
                <w:b w:val="0"/>
                <w:szCs w:val="24"/>
              </w:rPr>
              <w:t>Limitations to authorisation</w:t>
            </w:r>
          </w:p>
        </w:tc>
      </w:tr>
      <w:tr w:rsidR="00BC6F32" w:rsidRPr="00BF617E" w14:paraId="3BEBF3C9" w14:textId="77777777" w:rsidTr="00B32ECD">
        <w:trPr>
          <w:trHeight w:val="1561"/>
        </w:trPr>
        <w:tc>
          <w:tcPr>
            <w:tcW w:w="9923" w:type="dxa"/>
          </w:tcPr>
          <w:p w14:paraId="49E9BD6A" w14:textId="77777777" w:rsidR="009C5F32" w:rsidRDefault="00BC6F32" w:rsidP="00D300D1">
            <w:pPr>
              <w:pStyle w:val="Title"/>
              <w:jc w:val="left"/>
              <w:rPr>
                <w:rFonts w:ascii="Arial" w:hAnsi="Arial" w:cs="Arial"/>
                <w:b w:val="0"/>
                <w:sz w:val="22"/>
                <w:szCs w:val="22"/>
              </w:rPr>
            </w:pPr>
            <w:permStart w:id="1311649780" w:edGrp="everyone"/>
            <w:permStart w:id="1227063209" w:edGrp="everyone"/>
            <w:proofErr w:type="spellStart"/>
            <w:r w:rsidRPr="00BF617E">
              <w:rPr>
                <w:rFonts w:ascii="Arial" w:hAnsi="Arial" w:cs="Arial"/>
                <w:b w:val="0"/>
                <w:sz w:val="22"/>
                <w:szCs w:val="22"/>
              </w:rPr>
              <w:t>eg</w:t>
            </w:r>
            <w:proofErr w:type="spellEnd"/>
            <w:r w:rsidRPr="00BF617E">
              <w:rPr>
                <w:rFonts w:ascii="Arial" w:hAnsi="Arial" w:cs="Arial"/>
                <w:b w:val="0"/>
                <w:sz w:val="22"/>
                <w:szCs w:val="22"/>
              </w:rPr>
              <w:t xml:space="preserve">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1311649780"/>
      <w:permEnd w:id="1227063209"/>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65F16BC4" w14:textId="6CC46A1E" w:rsidR="00BC6F32" w:rsidRPr="00080471" w:rsidRDefault="00BC6F32" w:rsidP="00000A1D">
            <w:pPr>
              <w:pStyle w:val="Title"/>
              <w:jc w:val="left"/>
              <w:rPr>
                <w:rFonts w:ascii="Arial" w:hAnsi="Arial" w:cs="Arial"/>
                <w:b w:val="0"/>
                <w:color w:val="D9D9D9" w:themeColor="background1" w:themeShade="D9"/>
                <w:sz w:val="22"/>
                <w:szCs w:val="22"/>
              </w:rPr>
            </w:pPr>
            <w:permStart w:id="1706691666" w:edGrp="everyone"/>
            <w:permStart w:id="285369410" w:edGrp="everyone"/>
            <w:permStart w:id="1345009172" w:edGrp="everyone"/>
            <w:permStart w:id="1570722690" w:edGrp="everyone"/>
            <w:permStart w:id="290934305" w:edGrp="everyone"/>
            <w:r w:rsidRPr="00080471">
              <w:rPr>
                <w:rFonts w:ascii="Arial" w:hAnsi="Arial" w:cs="Arial"/>
                <w:b w:val="0"/>
                <w:color w:val="D9D9D9" w:themeColor="background1" w:themeShade="D9"/>
                <w:sz w:val="22"/>
                <w:szCs w:val="22"/>
              </w:rPr>
              <w:t xml:space="preserve">Complete </w:t>
            </w:r>
            <w:proofErr w:type="spellStart"/>
            <w:r w:rsidRPr="00080471">
              <w:rPr>
                <w:rFonts w:ascii="Arial" w:hAnsi="Arial" w:cs="Arial"/>
                <w:b w:val="0"/>
                <w:color w:val="D9D9D9" w:themeColor="background1" w:themeShade="D9"/>
                <w:sz w:val="22"/>
                <w:szCs w:val="22"/>
              </w:rPr>
              <w:t>eg</w:t>
            </w:r>
            <w:proofErr w:type="spellEnd"/>
            <w:r w:rsidRPr="00080471">
              <w:rPr>
                <w:rFonts w:ascii="Arial" w:hAnsi="Arial" w:cs="Arial"/>
                <w:b w:val="0"/>
                <w:color w:val="D9D9D9" w:themeColor="background1" w:themeShade="D9"/>
                <w:sz w:val="22"/>
                <w:szCs w:val="22"/>
              </w:rPr>
              <w:t xml:space="preserve"> NHS</w:t>
            </w:r>
            <w:r w:rsidR="00E5241F">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E5241F">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706691666"/>
      <w:permEnd w:id="285369410"/>
      <w:permEnd w:id="1345009172"/>
      <w:permEnd w:id="1570722690"/>
      <w:permEnd w:id="290934305"/>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permStart w:id="484537896" w:edGrp="everyone" w:colFirst="0" w:colLast="0"/>
            <w:permStart w:id="731470801" w:edGrp="everyone"/>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permStart w:id="992679094" w:edGrp="everyone" w:colFirst="3" w:colLast="3"/>
            <w:permEnd w:id="484537896"/>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77777777" w:rsidR="00BC6F32" w:rsidRPr="002B4B88" w:rsidRDefault="00BC6F32" w:rsidP="00000A1D">
            <w:pPr>
              <w:pStyle w:val="Title"/>
              <w:jc w:val="left"/>
              <w:rPr>
                <w:rFonts w:ascii="Arial" w:hAnsi="Arial" w:cs="Arial"/>
                <w:sz w:val="22"/>
                <w:szCs w:val="22"/>
              </w:rPr>
            </w:pPr>
            <w:permStart w:id="1968598259" w:edGrp="everyone"/>
            <w:permStart w:id="1683433446" w:edGrp="everyone"/>
            <w:permStart w:id="1635591355" w:edGrp="everyone"/>
            <w:permStart w:id="1986676349" w:edGrp="everyone"/>
            <w:permStart w:id="1149187477" w:edGrp="everyone"/>
            <w:permEnd w:id="992679094"/>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2037716872" w:edGrp="everyone"/>
            <w:permStart w:id="1314673200" w:edGrp="everyone"/>
            <w:permStart w:id="1203461274" w:edGrp="everyone"/>
            <w:permStart w:id="741349931" w:edGrp="everyone"/>
            <w:permStart w:id="57832298" w:edGrp="everyone"/>
            <w:permEnd w:id="1968598259"/>
            <w:permEnd w:id="1683433446"/>
            <w:permEnd w:id="1635591355"/>
            <w:permEnd w:id="1986676349"/>
            <w:permEnd w:id="1149187477"/>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58358417" w:edGrp="everyone"/>
            <w:permStart w:id="1552954676" w:edGrp="everyone"/>
            <w:permStart w:id="1320178174" w:edGrp="everyone"/>
            <w:permStart w:id="379809192" w:edGrp="everyone"/>
            <w:permStart w:id="429530581" w:edGrp="everyone"/>
            <w:permEnd w:id="2037716872"/>
            <w:permEnd w:id="1314673200"/>
            <w:permEnd w:id="1203461274"/>
            <w:permEnd w:id="741349931"/>
            <w:permEnd w:id="57832298"/>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939478885" w:edGrp="everyone"/>
            <w:permStart w:id="1452218848" w:edGrp="everyone"/>
            <w:permStart w:id="1602646766" w:edGrp="everyone"/>
            <w:permStart w:id="625692881" w:edGrp="everyone"/>
            <w:permStart w:id="481321874" w:edGrp="everyone"/>
            <w:permEnd w:id="158358417"/>
            <w:permEnd w:id="1552954676"/>
            <w:permEnd w:id="1320178174"/>
            <w:permEnd w:id="379809192"/>
            <w:permEnd w:id="429530581"/>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731470801"/>
      <w:permEnd w:id="1939478885"/>
      <w:permEnd w:id="1452218848"/>
      <w:permEnd w:id="1602646766"/>
      <w:permEnd w:id="625692881"/>
      <w:permEnd w:id="481321874"/>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18502019" w:edGrp="everyone"/>
      <w:r w:rsidRPr="00080471">
        <w:rPr>
          <w:rFonts w:cs="Arial"/>
          <w:szCs w:val="24"/>
        </w:rPr>
        <w:t>Local enquiries regarding the use of this PGD may be directed to…………….</w:t>
      </w:r>
      <w:permEnd w:id="118502019"/>
    </w:p>
    <w:p w14:paraId="140C3B11" w14:textId="1BBC32AE"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442BA1E" w14:textId="16E94C62"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74C27ABF" w14:textId="77777777" w:rsidR="00BE6716" w:rsidRDefault="00BE6716" w:rsidP="00BE6716">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63EBE201" w14:textId="77777777" w:rsidR="00BE6716" w:rsidRPr="005D31C3" w:rsidRDefault="00BE6716" w:rsidP="002A3BA4">
            <w:pPr>
              <w:pStyle w:val="ListParagraph"/>
              <w:numPr>
                <w:ilvl w:val="0"/>
                <w:numId w:val="27"/>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6B4A1A80" w14:textId="77777777" w:rsidR="00BE6716" w:rsidRPr="005D31C3" w:rsidRDefault="00BE6716" w:rsidP="002A3BA4">
            <w:pPr>
              <w:pStyle w:val="ListParagraph"/>
              <w:numPr>
                <w:ilvl w:val="0"/>
                <w:numId w:val="27"/>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14E78E0C" w14:textId="77777777" w:rsidR="00BE6716" w:rsidRPr="00F92CAB" w:rsidRDefault="00BE6716" w:rsidP="002A3BA4">
            <w:pPr>
              <w:pStyle w:val="ListParagraph"/>
              <w:numPr>
                <w:ilvl w:val="0"/>
                <w:numId w:val="27"/>
              </w:numPr>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12412B6B" w14:textId="63AE7B75" w:rsidR="00BE6716" w:rsidRPr="00BC5A41" w:rsidRDefault="00BE6716" w:rsidP="002A3BA4">
            <w:pPr>
              <w:spacing w:before="120" w:after="120"/>
              <w:ind w:left="41"/>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5C27BB8F" w:rsidR="006030B1" w:rsidRPr="006030B1" w:rsidRDefault="00BE6716" w:rsidP="002A3BA4">
            <w:pPr>
              <w:pStyle w:val="Header"/>
              <w:tabs>
                <w:tab w:val="left" w:pos="317"/>
              </w:tabs>
              <w:spacing w:after="120"/>
              <w:ind w:left="41"/>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65192DB" w14:textId="77777777" w:rsidTr="003225CC">
        <w:tc>
          <w:tcPr>
            <w:tcW w:w="2970" w:type="dxa"/>
          </w:tcPr>
          <w:p w14:paraId="5B003E97" w14:textId="77777777" w:rsidR="003225CC" w:rsidRPr="00DF40E8" w:rsidRDefault="003225CC" w:rsidP="003225CC">
            <w:pPr>
              <w:pStyle w:val="Header"/>
              <w:tabs>
                <w:tab w:val="left" w:pos="720"/>
              </w:tabs>
              <w:spacing w:before="120" w:after="120"/>
              <w:rPr>
                <w:rFonts w:ascii="Arial" w:hAnsi="Arial" w:cs="Arial"/>
                <w:b/>
                <w:sz w:val="22"/>
                <w:szCs w:val="22"/>
              </w:rPr>
            </w:pPr>
            <w:bookmarkStart w:id="2" w:name="AdditionalRequirements"/>
            <w:bookmarkEnd w:id="2"/>
            <w:r w:rsidRPr="00DF40E8">
              <w:rPr>
                <w:rFonts w:ascii="Arial" w:hAnsi="Arial" w:cs="Arial"/>
                <w:b/>
                <w:sz w:val="22"/>
                <w:szCs w:val="22"/>
              </w:rPr>
              <w:t>Additional requirements</w:t>
            </w:r>
          </w:p>
        </w:tc>
        <w:tc>
          <w:tcPr>
            <w:tcW w:w="6953" w:type="dxa"/>
          </w:tcPr>
          <w:p w14:paraId="336E1214" w14:textId="1D02D934" w:rsidR="004C634B" w:rsidRPr="000337FD" w:rsidRDefault="004C634B" w:rsidP="004C634B">
            <w:pPr>
              <w:spacing w:before="120"/>
              <w:contextualSpacing/>
              <w:rPr>
                <w:rFonts w:cs="Arial"/>
                <w:sz w:val="22"/>
                <w:szCs w:val="22"/>
              </w:rPr>
            </w:pPr>
            <w:r w:rsidRPr="000337FD">
              <w:rPr>
                <w:rFonts w:cs="Arial"/>
                <w:sz w:val="22"/>
                <w:szCs w:val="22"/>
              </w:rPr>
              <w:t>Additionally practitioners:</w:t>
            </w:r>
          </w:p>
          <w:p w14:paraId="20B86056" w14:textId="7B5341E0" w:rsidR="003225CC" w:rsidRPr="000337FD" w:rsidRDefault="004C634B" w:rsidP="006318C5">
            <w:pPr>
              <w:pStyle w:val="ListParagraph"/>
              <w:numPr>
                <w:ilvl w:val="0"/>
                <w:numId w:val="2"/>
              </w:numPr>
              <w:ind w:left="323" w:hanging="323"/>
              <w:rPr>
                <w:rFonts w:cs="Arial"/>
                <w:sz w:val="22"/>
                <w:szCs w:val="22"/>
              </w:rPr>
            </w:pPr>
            <w:r w:rsidRPr="000337FD">
              <w:rPr>
                <w:rFonts w:cs="Arial"/>
                <w:sz w:val="22"/>
                <w:szCs w:val="22"/>
              </w:rPr>
              <w:t>m</w:t>
            </w:r>
            <w:r w:rsidR="003225CC" w:rsidRPr="000337FD">
              <w:rPr>
                <w:rFonts w:cs="Arial"/>
                <w:sz w:val="22"/>
                <w:szCs w:val="22"/>
              </w:rPr>
              <w:t xml:space="preserve">ust be authorised by name as an approved practitioner under the current terms of this </w:t>
            </w:r>
            <w:r w:rsidR="00BE6716">
              <w:rPr>
                <w:rFonts w:cs="Arial"/>
                <w:sz w:val="22"/>
                <w:szCs w:val="22"/>
              </w:rPr>
              <w:t>PGD</w:t>
            </w:r>
            <w:r w:rsidR="003225CC" w:rsidRPr="000337FD">
              <w:rPr>
                <w:rFonts w:cs="Arial"/>
                <w:sz w:val="22"/>
                <w:szCs w:val="22"/>
              </w:rPr>
              <w:t xml:space="preserve"> before working to it</w:t>
            </w:r>
          </w:p>
          <w:p w14:paraId="5C547944" w14:textId="77777777" w:rsidR="003225CC"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ust have undertaken appropriate training for working under PGDs for supply/administration of medicines</w:t>
            </w:r>
          </w:p>
          <w:p w14:paraId="2FBCFE1F" w14:textId="7BDBD92F" w:rsidR="003225CC"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 xml:space="preserve">ust be competent in the use of PGDs (see </w:t>
            </w:r>
            <w:hyperlink r:id="rId15" w:history="1">
              <w:r w:rsidR="003225CC" w:rsidRPr="000337FD">
                <w:rPr>
                  <w:rStyle w:val="Hyperlink"/>
                  <w:rFonts w:ascii="Arial" w:hAnsi="Arial" w:cs="Arial"/>
                  <w:sz w:val="22"/>
                  <w:szCs w:val="22"/>
                </w:rPr>
                <w:t>NICE Competency framework</w:t>
              </w:r>
            </w:hyperlink>
            <w:r w:rsidR="003225CC" w:rsidRPr="000337FD">
              <w:rPr>
                <w:rFonts w:ascii="Arial" w:hAnsi="Arial" w:cs="Arial"/>
                <w:sz w:val="22"/>
                <w:szCs w:val="22"/>
              </w:rPr>
              <w:t xml:space="preserve"> for health professionals using patient group directions)</w:t>
            </w:r>
          </w:p>
          <w:p w14:paraId="006DABA1" w14:textId="1012B15C" w:rsidR="003225CC"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 xml:space="preserve">ust be familiar with the vaccine product and alert to changes in </w:t>
            </w:r>
            <w:r w:rsidR="00511519" w:rsidRPr="000337FD">
              <w:rPr>
                <w:rFonts w:ascii="Arial" w:hAnsi="Arial" w:cs="Arial"/>
                <w:sz w:val="22"/>
                <w:szCs w:val="22"/>
              </w:rPr>
              <w:t>the S</w:t>
            </w:r>
            <w:r w:rsidR="003225CC" w:rsidRPr="000337FD">
              <w:rPr>
                <w:rFonts w:ascii="Arial" w:hAnsi="Arial" w:cs="Arial"/>
                <w:sz w:val="22"/>
                <w:szCs w:val="22"/>
              </w:rPr>
              <w:t xml:space="preserve">ummary </w:t>
            </w:r>
            <w:r w:rsidR="000526FD" w:rsidRPr="000337FD">
              <w:rPr>
                <w:rFonts w:ascii="Arial" w:hAnsi="Arial" w:cs="Arial"/>
                <w:sz w:val="22"/>
                <w:szCs w:val="22"/>
              </w:rPr>
              <w:t xml:space="preserve">of </w:t>
            </w:r>
            <w:r w:rsidR="003225CC" w:rsidRPr="000337FD">
              <w:rPr>
                <w:rFonts w:ascii="Arial" w:hAnsi="Arial" w:cs="Arial"/>
                <w:sz w:val="22"/>
                <w:szCs w:val="22"/>
              </w:rPr>
              <w:t>Product Characteristics</w:t>
            </w:r>
            <w:r w:rsidR="00BE6716">
              <w:rPr>
                <w:rFonts w:ascii="Arial" w:hAnsi="Arial" w:cs="Arial"/>
                <w:sz w:val="22"/>
                <w:szCs w:val="22"/>
              </w:rPr>
              <w:t xml:space="preserve"> (SPC)</w:t>
            </w:r>
            <w:r w:rsidR="003225CC" w:rsidRPr="000337FD">
              <w:rPr>
                <w:rFonts w:ascii="Arial" w:hAnsi="Arial" w:cs="Arial"/>
                <w:sz w:val="22"/>
                <w:szCs w:val="22"/>
              </w:rPr>
              <w:t>, Immunisation Against Infectious Disease (“</w:t>
            </w:r>
            <w:hyperlink r:id="rId16" w:history="1">
              <w:r w:rsidR="003225CC" w:rsidRPr="000337FD">
                <w:rPr>
                  <w:rStyle w:val="Hyperlink"/>
                  <w:rFonts w:ascii="Arial" w:hAnsi="Arial" w:cs="Arial"/>
                  <w:sz w:val="22"/>
                  <w:szCs w:val="22"/>
                </w:rPr>
                <w:t>The Green Book</w:t>
              </w:r>
            </w:hyperlink>
            <w:r w:rsidR="003225CC" w:rsidRPr="000337FD">
              <w:rPr>
                <w:rFonts w:ascii="Arial" w:hAnsi="Arial" w:cs="Arial"/>
                <w:sz w:val="22"/>
                <w:szCs w:val="22"/>
              </w:rPr>
              <w:t>”), and national and local immunisation programmes</w:t>
            </w:r>
          </w:p>
          <w:p w14:paraId="0A5DF417" w14:textId="441321EA" w:rsidR="003225CC"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 xml:space="preserve">ust have undertaken training appropriate to this PGD as required by local policy and in line with the </w:t>
            </w:r>
            <w:hyperlink r:id="rId17" w:history="1">
              <w:hyperlink r:id="rId18" w:history="1">
                <w:r w:rsidR="003C7E61">
                  <w:rPr>
                    <w:rStyle w:val="Hyperlink"/>
                    <w:rFonts w:ascii="Arial" w:hAnsi="Arial" w:cs="Arial"/>
                    <w:sz w:val="22"/>
                    <w:szCs w:val="22"/>
                  </w:rPr>
                  <w:t>National Minimum Standards and Core Curriculum for Immunisation Training</w:t>
                </w:r>
              </w:hyperlink>
            </w:hyperlink>
          </w:p>
          <w:p w14:paraId="5169DD76" w14:textId="77777777" w:rsidR="006318C5"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eastAsia="Arial" w:hAnsi="Arial" w:cs="Arial"/>
                <w:sz w:val="22"/>
                <w:szCs w:val="22"/>
              </w:rPr>
              <w:t>m</w:t>
            </w:r>
            <w:r w:rsidR="003225CC" w:rsidRPr="000337FD">
              <w:rPr>
                <w:rFonts w:ascii="Arial" w:eastAsia="Arial" w:hAnsi="Arial" w:cs="Arial"/>
                <w:sz w:val="22"/>
                <w:szCs w:val="22"/>
              </w:rPr>
              <w:t>ust be competent to</w:t>
            </w:r>
            <w:r w:rsidR="003225CC" w:rsidRPr="000337FD">
              <w:rPr>
                <w:rFonts w:ascii="Arial" w:eastAsia="Arial" w:hAnsi="Arial" w:cs="Arial"/>
                <w:spacing w:val="23"/>
                <w:sz w:val="22"/>
                <w:szCs w:val="22"/>
              </w:rPr>
              <w:t xml:space="preserve"> </w:t>
            </w:r>
            <w:r w:rsidR="003225CC" w:rsidRPr="000337FD">
              <w:rPr>
                <w:rFonts w:ascii="Arial" w:eastAsia="Arial" w:hAnsi="Arial" w:cs="Arial"/>
                <w:sz w:val="22"/>
                <w:szCs w:val="22"/>
              </w:rPr>
              <w:t>undertake</w:t>
            </w:r>
            <w:r w:rsidR="003225CC" w:rsidRPr="000337FD">
              <w:rPr>
                <w:rFonts w:ascii="Arial" w:eastAsia="Arial" w:hAnsi="Arial" w:cs="Arial"/>
                <w:spacing w:val="26"/>
                <w:sz w:val="22"/>
                <w:szCs w:val="22"/>
              </w:rPr>
              <w:t xml:space="preserve"> </w:t>
            </w:r>
            <w:r w:rsidR="003225CC" w:rsidRPr="000337FD">
              <w:rPr>
                <w:rFonts w:ascii="Arial" w:eastAsia="Arial" w:hAnsi="Arial" w:cs="Arial"/>
                <w:sz w:val="22"/>
                <w:szCs w:val="22"/>
              </w:rPr>
              <w:t>immunisat</w:t>
            </w:r>
            <w:r w:rsidR="003225CC" w:rsidRPr="000337FD">
              <w:rPr>
                <w:rFonts w:ascii="Arial" w:eastAsia="Arial" w:hAnsi="Arial" w:cs="Arial"/>
                <w:spacing w:val="-10"/>
                <w:sz w:val="22"/>
                <w:szCs w:val="22"/>
              </w:rPr>
              <w:t>i</w:t>
            </w:r>
            <w:r w:rsidR="003225CC" w:rsidRPr="000337FD">
              <w:rPr>
                <w:rFonts w:ascii="Arial" w:eastAsia="Arial" w:hAnsi="Arial" w:cs="Arial"/>
                <w:sz w:val="22"/>
                <w:szCs w:val="22"/>
              </w:rPr>
              <w:t>on</w:t>
            </w:r>
            <w:r w:rsidR="003225CC" w:rsidRPr="000337FD">
              <w:rPr>
                <w:rFonts w:ascii="Arial" w:eastAsia="Arial" w:hAnsi="Arial" w:cs="Arial"/>
                <w:spacing w:val="16"/>
                <w:sz w:val="22"/>
                <w:szCs w:val="22"/>
              </w:rPr>
              <w:t xml:space="preserve"> </w:t>
            </w:r>
            <w:r w:rsidR="003225CC" w:rsidRPr="000337FD">
              <w:rPr>
                <w:rFonts w:ascii="Arial" w:eastAsia="Arial" w:hAnsi="Arial" w:cs="Arial"/>
                <w:sz w:val="22"/>
                <w:szCs w:val="22"/>
              </w:rPr>
              <w:t>and</w:t>
            </w:r>
            <w:r w:rsidR="003225CC" w:rsidRPr="000337FD">
              <w:rPr>
                <w:rFonts w:ascii="Arial" w:eastAsia="Arial" w:hAnsi="Arial" w:cs="Arial"/>
                <w:spacing w:val="10"/>
                <w:sz w:val="22"/>
                <w:szCs w:val="22"/>
              </w:rPr>
              <w:t xml:space="preserve"> to </w:t>
            </w:r>
            <w:r w:rsidR="003225CC" w:rsidRPr="000337FD">
              <w:rPr>
                <w:rFonts w:ascii="Arial" w:eastAsia="Arial" w:hAnsi="Arial" w:cs="Arial"/>
                <w:sz w:val="22"/>
                <w:szCs w:val="22"/>
              </w:rPr>
              <w:t>discuss</w:t>
            </w:r>
            <w:r w:rsidR="003225CC" w:rsidRPr="000337FD">
              <w:rPr>
                <w:rFonts w:ascii="Arial" w:eastAsia="Arial" w:hAnsi="Arial" w:cs="Arial"/>
                <w:spacing w:val="24"/>
                <w:sz w:val="22"/>
                <w:szCs w:val="22"/>
              </w:rPr>
              <w:t xml:space="preserve"> </w:t>
            </w:r>
            <w:r w:rsidR="003225CC" w:rsidRPr="000337FD">
              <w:rPr>
                <w:rFonts w:ascii="Arial" w:eastAsia="Arial" w:hAnsi="Arial" w:cs="Arial"/>
                <w:sz w:val="22"/>
                <w:szCs w:val="22"/>
              </w:rPr>
              <w:t>issues</w:t>
            </w:r>
            <w:r w:rsidR="003225CC" w:rsidRPr="000337FD">
              <w:rPr>
                <w:rFonts w:ascii="Arial" w:eastAsia="Arial" w:hAnsi="Arial" w:cs="Arial"/>
                <w:spacing w:val="16"/>
                <w:sz w:val="22"/>
                <w:szCs w:val="22"/>
              </w:rPr>
              <w:t xml:space="preserve"> </w:t>
            </w:r>
            <w:r w:rsidR="003225CC" w:rsidRPr="000337FD">
              <w:rPr>
                <w:rFonts w:ascii="Arial" w:eastAsia="Arial" w:hAnsi="Arial" w:cs="Arial"/>
                <w:sz w:val="22"/>
                <w:szCs w:val="22"/>
              </w:rPr>
              <w:t>related</w:t>
            </w:r>
            <w:r w:rsidR="003225CC" w:rsidRPr="000337FD">
              <w:rPr>
                <w:rFonts w:ascii="Arial" w:eastAsia="Arial" w:hAnsi="Arial" w:cs="Arial"/>
                <w:spacing w:val="-2"/>
                <w:sz w:val="22"/>
                <w:szCs w:val="22"/>
              </w:rPr>
              <w:t xml:space="preserve"> </w:t>
            </w:r>
            <w:r w:rsidR="003225CC" w:rsidRPr="000337FD">
              <w:rPr>
                <w:rFonts w:ascii="Arial" w:eastAsia="Arial" w:hAnsi="Arial" w:cs="Arial"/>
                <w:sz w:val="22"/>
                <w:szCs w:val="22"/>
              </w:rPr>
              <w:t>to</w:t>
            </w:r>
            <w:r w:rsidR="003225CC" w:rsidRPr="000337FD">
              <w:rPr>
                <w:rFonts w:ascii="Arial" w:eastAsia="Arial" w:hAnsi="Arial" w:cs="Arial"/>
                <w:w w:val="99"/>
                <w:sz w:val="22"/>
                <w:szCs w:val="22"/>
              </w:rPr>
              <w:t xml:space="preserve"> </w:t>
            </w:r>
            <w:r w:rsidR="003225CC" w:rsidRPr="000337FD">
              <w:rPr>
                <w:rFonts w:ascii="Arial" w:eastAsia="Arial" w:hAnsi="Arial" w:cs="Arial"/>
                <w:sz w:val="22"/>
                <w:szCs w:val="22"/>
              </w:rPr>
              <w:t>immunisation</w:t>
            </w:r>
          </w:p>
          <w:p w14:paraId="6561EBAB" w14:textId="77777777" w:rsidR="003225CC"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eastAsia="Arial" w:hAnsi="Arial" w:cs="Arial"/>
                <w:sz w:val="22"/>
                <w:szCs w:val="22"/>
              </w:rPr>
              <w:t>m</w:t>
            </w:r>
            <w:r w:rsidR="003225CC" w:rsidRPr="000337FD">
              <w:rPr>
                <w:rFonts w:ascii="Arial" w:eastAsia="Arial" w:hAnsi="Arial" w:cs="Arial"/>
                <w:sz w:val="22"/>
                <w:szCs w:val="22"/>
              </w:rPr>
              <w:t xml:space="preserve">ust be competent in the handling and storage of vaccines, and </w:t>
            </w:r>
            <w:r w:rsidR="003225CC" w:rsidRPr="000337FD">
              <w:rPr>
                <w:rFonts w:ascii="Arial" w:hAnsi="Arial" w:cs="Arial"/>
                <w:sz w:val="22"/>
                <w:szCs w:val="22"/>
              </w:rPr>
              <w:t>management of the “cold chain”</w:t>
            </w:r>
          </w:p>
          <w:p w14:paraId="789AE193" w14:textId="77777777" w:rsidR="003225CC"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ust be competent in the recognition and management of anaphylaxis</w:t>
            </w:r>
          </w:p>
          <w:p w14:paraId="68CCB82A" w14:textId="2D08EB72" w:rsidR="003225CC" w:rsidRPr="000337FD"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4C634B" w:rsidRPr="000337FD">
              <w:rPr>
                <w:rFonts w:ascii="Arial" w:hAnsi="Arial" w:cs="Arial"/>
                <w:sz w:val="22"/>
                <w:szCs w:val="22"/>
              </w:rPr>
              <w:t>ust h</w:t>
            </w:r>
            <w:r w:rsidR="003225CC" w:rsidRPr="000337FD">
              <w:rPr>
                <w:rFonts w:ascii="Arial" w:hAnsi="Arial" w:cs="Arial"/>
                <w:sz w:val="22"/>
                <w:szCs w:val="22"/>
              </w:rPr>
              <w:t xml:space="preserve">ave access to the </w:t>
            </w:r>
            <w:r w:rsidR="003C7E61">
              <w:rPr>
                <w:rFonts w:ascii="Arial" w:hAnsi="Arial" w:cs="Arial"/>
                <w:sz w:val="22"/>
                <w:szCs w:val="22"/>
              </w:rPr>
              <w:t>PGD</w:t>
            </w:r>
            <w:r w:rsidR="003225CC" w:rsidRPr="000337FD">
              <w:rPr>
                <w:rFonts w:ascii="Arial" w:hAnsi="Arial" w:cs="Arial"/>
                <w:sz w:val="22"/>
                <w:szCs w:val="22"/>
              </w:rPr>
              <w:t xml:space="preserve"> and associated online resources</w:t>
            </w:r>
          </w:p>
          <w:p w14:paraId="10C21587" w14:textId="77777777" w:rsidR="003225CC" w:rsidRPr="000337FD"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s</w:t>
            </w:r>
            <w:r w:rsidR="003225CC" w:rsidRPr="000337FD">
              <w:rPr>
                <w:rFonts w:ascii="Arial" w:hAnsi="Arial" w:cs="Arial"/>
                <w:sz w:val="22"/>
                <w:szCs w:val="22"/>
              </w:rPr>
              <w:t>hould fulfil any additional requirements defined by local policy</w:t>
            </w:r>
          </w:p>
          <w:p w14:paraId="00C08F99" w14:textId="073D8F14" w:rsidR="003225CC" w:rsidRPr="000337FD" w:rsidRDefault="003225CC" w:rsidP="006433BC">
            <w:pPr>
              <w:spacing w:after="120"/>
              <w:rPr>
                <w:rFonts w:cs="Arial"/>
                <w:b/>
                <w:bCs/>
                <w:sz w:val="22"/>
                <w:szCs w:val="22"/>
              </w:rPr>
            </w:pPr>
            <w:r w:rsidRPr="000337FD">
              <w:rPr>
                <w:rFonts w:cs="Arial"/>
                <w:b/>
                <w:bCs/>
                <w:sz w:val="22"/>
                <w:szCs w:val="22"/>
              </w:rPr>
              <w:t>THE</w:t>
            </w:r>
            <w:r w:rsidR="0031703D" w:rsidRPr="000337FD">
              <w:rPr>
                <w:rFonts w:cs="Arial"/>
                <w:b/>
                <w:bCs/>
                <w:sz w:val="22"/>
                <w:szCs w:val="22"/>
              </w:rPr>
              <w:t xml:space="preserve"> INDIVIDUAL</w:t>
            </w:r>
            <w:r w:rsidRPr="000337FD">
              <w:rPr>
                <w:rFonts w:cs="Arial"/>
                <w:b/>
                <w:bCs/>
                <w:sz w:val="22"/>
                <w:szCs w:val="22"/>
              </w:rPr>
              <w:t xml:space="preserve">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1D577A16"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77777777"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A956FD" w:rsidRPr="00A956FD" w14:paraId="32A2CA21" w14:textId="77777777" w:rsidTr="00E47B6D">
        <w:tc>
          <w:tcPr>
            <w:tcW w:w="2977"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14:paraId="3ECF52A8" w14:textId="0EA55493" w:rsidR="00B249CC" w:rsidRPr="000337FD" w:rsidRDefault="00E5241F" w:rsidP="00533F88">
            <w:pPr>
              <w:spacing w:before="120" w:after="120"/>
              <w:rPr>
                <w:rFonts w:cs="Arial"/>
                <w:sz w:val="22"/>
                <w:szCs w:val="22"/>
              </w:rPr>
            </w:pPr>
            <w:r w:rsidRPr="000337FD">
              <w:rPr>
                <w:rFonts w:cs="Arial"/>
                <w:sz w:val="22"/>
                <w:szCs w:val="22"/>
              </w:rPr>
              <w:t>Indicated for the active immunisation of individuals</w:t>
            </w:r>
            <w:r w:rsidR="008B6D3B" w:rsidRPr="000337FD">
              <w:rPr>
                <w:rFonts w:cs="Arial"/>
                <w:sz w:val="22"/>
                <w:szCs w:val="22"/>
              </w:rPr>
              <w:t xml:space="preserve">, from their second birthday, </w:t>
            </w:r>
            <w:r w:rsidR="009609A2" w:rsidRPr="000337FD">
              <w:rPr>
                <w:rFonts w:cs="Arial"/>
                <w:sz w:val="22"/>
                <w:szCs w:val="22"/>
              </w:rPr>
              <w:t xml:space="preserve"> with an underlying medical co</w:t>
            </w:r>
            <w:r w:rsidR="009609A2" w:rsidRPr="000337FD">
              <w:rPr>
                <w:sz w:val="22"/>
                <w:szCs w:val="22"/>
              </w:rPr>
              <w:t xml:space="preserve">ndition which puts them at increased risk from </w:t>
            </w:r>
            <w:r w:rsidR="009609A2" w:rsidRPr="000337FD">
              <w:rPr>
                <w:i/>
                <w:sz w:val="22"/>
                <w:szCs w:val="22"/>
              </w:rPr>
              <w:t>Haemophilus influenzae</w:t>
            </w:r>
            <w:r w:rsidR="009609A2" w:rsidRPr="000337FD">
              <w:rPr>
                <w:sz w:val="22"/>
                <w:szCs w:val="22"/>
              </w:rPr>
              <w:t xml:space="preserve"> type b and </w:t>
            </w:r>
            <w:r w:rsidR="009609A2" w:rsidRPr="000337FD">
              <w:rPr>
                <w:i/>
                <w:sz w:val="22"/>
                <w:szCs w:val="22"/>
              </w:rPr>
              <w:t>Neisseria meningitidis</w:t>
            </w:r>
            <w:r w:rsidR="009609A2" w:rsidRPr="000337FD">
              <w:rPr>
                <w:sz w:val="22"/>
                <w:szCs w:val="22"/>
              </w:rPr>
              <w:t xml:space="preserve"> capsular group C</w:t>
            </w:r>
            <w:r w:rsidR="005A3960" w:rsidRPr="000337FD">
              <w:rPr>
                <w:sz w:val="22"/>
                <w:szCs w:val="22"/>
              </w:rPr>
              <w:t>,</w:t>
            </w:r>
            <w:r w:rsidR="00FC6DDC" w:rsidRPr="000337FD">
              <w:rPr>
                <w:sz w:val="22"/>
                <w:szCs w:val="22"/>
              </w:rPr>
              <w:t xml:space="preserve"> </w:t>
            </w:r>
            <w:r w:rsidRPr="000337FD">
              <w:rPr>
                <w:rFonts w:cs="Arial"/>
                <w:sz w:val="22"/>
                <w:szCs w:val="22"/>
              </w:rPr>
              <w:t xml:space="preserve">in accordance with the recommendations given in </w:t>
            </w:r>
            <w:hyperlink r:id="rId19" w:history="1">
              <w:r w:rsidR="00171CEB">
                <w:rPr>
                  <w:rStyle w:val="Hyperlink"/>
                  <w:rFonts w:cs="Arial"/>
                  <w:sz w:val="22"/>
                  <w:szCs w:val="22"/>
                </w:rPr>
                <w:t>Chapter 7</w:t>
              </w:r>
            </w:hyperlink>
            <w:r w:rsidR="009609A2" w:rsidRPr="000337FD">
              <w:rPr>
                <w:rFonts w:cs="Arial"/>
                <w:sz w:val="22"/>
                <w:szCs w:val="22"/>
              </w:rPr>
              <w:t xml:space="preserve">, </w:t>
            </w:r>
            <w:hyperlink r:id="rId20" w:history="1">
              <w:r w:rsidRPr="000337FD">
                <w:rPr>
                  <w:rStyle w:val="Hyperlink"/>
                  <w:rFonts w:cs="Arial"/>
                  <w:sz w:val="22"/>
                  <w:szCs w:val="22"/>
                </w:rPr>
                <w:t>Chapter 16</w:t>
              </w:r>
            </w:hyperlink>
            <w:r w:rsidRPr="000337FD">
              <w:rPr>
                <w:rFonts w:cs="Arial"/>
                <w:sz w:val="22"/>
                <w:szCs w:val="22"/>
              </w:rPr>
              <w:t xml:space="preserve"> and </w:t>
            </w:r>
            <w:hyperlink r:id="rId21" w:history="1">
              <w:r w:rsidRPr="000337FD">
                <w:rPr>
                  <w:rStyle w:val="Hyperlink"/>
                  <w:rFonts w:cs="Arial"/>
                  <w:sz w:val="22"/>
                  <w:szCs w:val="22"/>
                </w:rPr>
                <w:t>Chapter 22</w:t>
              </w:r>
            </w:hyperlink>
            <w:r w:rsidRPr="000337FD">
              <w:rPr>
                <w:rFonts w:cs="Arial"/>
                <w:sz w:val="22"/>
                <w:szCs w:val="22"/>
              </w:rPr>
              <w:t xml:space="preserve"> of Immunisation Against Infectious Disease: “The Green Book”.</w:t>
            </w:r>
          </w:p>
        </w:tc>
      </w:tr>
      <w:tr w:rsidR="00A956FD" w:rsidRPr="00A956FD" w14:paraId="6CDCD585" w14:textId="77777777" w:rsidTr="00D7770B">
        <w:tc>
          <w:tcPr>
            <w:tcW w:w="2977" w:type="dxa"/>
            <w:tcBorders>
              <w:bottom w:val="single" w:sz="6" w:space="0" w:color="auto"/>
            </w:tcBorders>
          </w:tcPr>
          <w:p w14:paraId="2A311853"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6946" w:type="dxa"/>
            <w:tcBorders>
              <w:bottom w:val="single" w:sz="6" w:space="0" w:color="auto"/>
            </w:tcBorders>
          </w:tcPr>
          <w:p w14:paraId="16C8D6D1" w14:textId="77777777" w:rsidR="00E5241F" w:rsidRPr="00FC6DDC" w:rsidRDefault="00E5241F" w:rsidP="00E5241F">
            <w:pPr>
              <w:overflowPunct/>
              <w:spacing w:before="120"/>
              <w:textAlignment w:val="auto"/>
              <w:rPr>
                <w:rFonts w:eastAsiaTheme="minorHAnsi" w:cs="Arial"/>
                <w:sz w:val="22"/>
                <w:szCs w:val="22"/>
                <w:lang w:eastAsia="en-US"/>
              </w:rPr>
            </w:pPr>
            <w:r w:rsidRPr="00FC6DDC">
              <w:rPr>
                <w:rFonts w:eastAsiaTheme="minorHAnsi" w:cs="Arial"/>
                <w:sz w:val="22"/>
                <w:szCs w:val="22"/>
                <w:lang w:eastAsia="en-US"/>
              </w:rPr>
              <w:t>Individuals who:</w:t>
            </w:r>
          </w:p>
          <w:p w14:paraId="63F8470D" w14:textId="77AA4791" w:rsidR="00E612BA" w:rsidRPr="00E612BA" w:rsidRDefault="00FC6DDC" w:rsidP="00E612BA">
            <w:pPr>
              <w:numPr>
                <w:ilvl w:val="0"/>
                <w:numId w:val="9"/>
              </w:numPr>
              <w:overflowPunct/>
              <w:spacing w:after="120"/>
              <w:ind w:left="318" w:hanging="284"/>
              <w:contextualSpacing/>
              <w:textAlignment w:val="auto"/>
              <w:rPr>
                <w:rFonts w:eastAsiaTheme="minorHAnsi" w:cs="Arial"/>
                <w:sz w:val="22"/>
                <w:szCs w:val="22"/>
                <w:lang w:eastAsia="en-US"/>
              </w:rPr>
            </w:pPr>
            <w:r w:rsidRPr="00E612BA">
              <w:rPr>
                <w:rFonts w:eastAsiaTheme="minorHAnsi" w:cs="Arial"/>
                <w:sz w:val="22"/>
                <w:szCs w:val="22"/>
                <w:lang w:eastAsia="en-US"/>
              </w:rPr>
              <w:t xml:space="preserve">are asplenic or have splenic dysfunction, including sickle cell </w:t>
            </w:r>
            <w:r w:rsidR="00564EBC">
              <w:rPr>
                <w:rFonts w:eastAsiaTheme="minorHAnsi" w:cs="Arial"/>
                <w:sz w:val="22"/>
                <w:szCs w:val="22"/>
                <w:lang w:eastAsia="en-US"/>
              </w:rPr>
              <w:t xml:space="preserve">disease </w:t>
            </w:r>
            <w:r w:rsidRPr="00E612BA">
              <w:rPr>
                <w:rFonts w:eastAsiaTheme="minorHAnsi" w:cs="Arial"/>
                <w:sz w:val="22"/>
                <w:szCs w:val="22"/>
                <w:lang w:eastAsia="en-US"/>
              </w:rPr>
              <w:t>and coeliac disease</w:t>
            </w:r>
            <w:r w:rsidR="00564EBC">
              <w:rPr>
                <w:rFonts w:eastAsiaTheme="minorHAnsi" w:cs="Arial"/>
                <w:sz w:val="22"/>
                <w:szCs w:val="22"/>
                <w:lang w:eastAsia="en-US"/>
              </w:rPr>
              <w:t xml:space="preserve"> with known splenic dysfunction</w:t>
            </w:r>
          </w:p>
          <w:p w14:paraId="223A1E98" w14:textId="5A888068" w:rsidR="00171CEB" w:rsidRPr="00171CEB" w:rsidRDefault="00E612BA" w:rsidP="00E612BA">
            <w:pPr>
              <w:numPr>
                <w:ilvl w:val="0"/>
                <w:numId w:val="9"/>
              </w:numPr>
              <w:overflowPunct/>
              <w:spacing w:after="120"/>
              <w:ind w:left="318" w:hanging="284"/>
              <w:contextualSpacing/>
              <w:textAlignment w:val="auto"/>
              <w:rPr>
                <w:rFonts w:eastAsiaTheme="minorHAnsi"/>
                <w:lang w:eastAsia="en-US"/>
              </w:rPr>
            </w:pPr>
            <w:r w:rsidRPr="00E612BA">
              <w:rPr>
                <w:rFonts w:eastAsiaTheme="minorHAnsi" w:cs="Arial"/>
                <w:sz w:val="22"/>
                <w:szCs w:val="22"/>
                <w:lang w:eastAsia="en-US"/>
              </w:rPr>
              <w:t>h</w:t>
            </w:r>
            <w:r w:rsidR="00FC6DDC" w:rsidRPr="00E612BA">
              <w:rPr>
                <w:rFonts w:eastAsiaTheme="minorHAnsi" w:cs="Arial"/>
                <w:sz w:val="22"/>
                <w:szCs w:val="22"/>
                <w:lang w:eastAsia="en-US"/>
              </w:rPr>
              <w:t xml:space="preserve">ave a complement disorder </w:t>
            </w:r>
          </w:p>
          <w:p w14:paraId="0AC2C3C3" w14:textId="2AB46E7C" w:rsidR="00512EB9" w:rsidRPr="009609A2" w:rsidRDefault="00FC6DDC" w:rsidP="00E612BA">
            <w:pPr>
              <w:numPr>
                <w:ilvl w:val="0"/>
                <w:numId w:val="9"/>
              </w:numPr>
              <w:overflowPunct/>
              <w:spacing w:after="120"/>
              <w:ind w:left="318" w:hanging="284"/>
              <w:textAlignment w:val="auto"/>
              <w:rPr>
                <w:rFonts w:eastAsiaTheme="minorHAnsi"/>
                <w:lang w:eastAsia="en-US"/>
              </w:rPr>
            </w:pPr>
            <w:r w:rsidRPr="00E612BA">
              <w:rPr>
                <w:rFonts w:eastAsiaTheme="minorHAnsi" w:cs="Arial"/>
                <w:sz w:val="22"/>
                <w:szCs w:val="22"/>
                <w:lang w:eastAsia="en-US"/>
              </w:rPr>
              <w:t>are receivi</w:t>
            </w:r>
            <w:r w:rsidR="00E612BA" w:rsidRPr="00E612BA">
              <w:rPr>
                <w:rFonts w:eastAsiaTheme="minorHAnsi" w:cs="Arial"/>
                <w:sz w:val="22"/>
                <w:szCs w:val="22"/>
                <w:lang w:eastAsia="en-US"/>
              </w:rPr>
              <w:t>ng</w:t>
            </w:r>
            <w:r w:rsidR="00171CEB">
              <w:rPr>
                <w:rFonts w:eastAsiaTheme="minorHAnsi" w:cs="Arial"/>
                <w:sz w:val="22"/>
                <w:szCs w:val="22"/>
                <w:lang w:eastAsia="en-US"/>
              </w:rPr>
              <w:t>, or going to receive,</w:t>
            </w:r>
            <w:r w:rsidR="00E612BA" w:rsidRPr="00E612BA">
              <w:rPr>
                <w:rFonts w:eastAsiaTheme="minorHAnsi" w:cs="Arial"/>
                <w:sz w:val="22"/>
                <w:szCs w:val="22"/>
                <w:lang w:eastAsia="en-US"/>
              </w:rPr>
              <w:t xml:space="preserve"> complement inhibitor therapy</w:t>
            </w:r>
          </w:p>
        </w:tc>
      </w:tr>
      <w:tr w:rsidR="00A956FD" w:rsidRPr="00A956FD" w14:paraId="58BB6327" w14:textId="77777777" w:rsidTr="00D7770B">
        <w:tc>
          <w:tcPr>
            <w:tcW w:w="2977" w:type="dxa"/>
            <w:tcBorders>
              <w:bottom w:val="single" w:sz="4" w:space="0" w:color="auto"/>
            </w:tcBorders>
          </w:tcPr>
          <w:p w14:paraId="2F8A2A45" w14:textId="4CED5769" w:rsidR="0077518F" w:rsidRPr="0077518F" w:rsidRDefault="006D2947" w:rsidP="006F222A">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6946" w:type="dxa"/>
            <w:tcBorders>
              <w:bottom w:val="single" w:sz="4" w:space="0" w:color="auto"/>
            </w:tcBorders>
          </w:tcPr>
          <w:p w14:paraId="4960C927" w14:textId="77777777" w:rsidR="00E5241F" w:rsidRPr="005A3960" w:rsidRDefault="00E5241F" w:rsidP="00E5241F">
            <w:pPr>
              <w:pStyle w:val="Pa4"/>
              <w:spacing w:before="120" w:after="120" w:line="240" w:lineRule="auto"/>
              <w:contextualSpacing/>
              <w:rPr>
                <w:rFonts w:ascii="Arial" w:hAnsi="Arial" w:cs="Arial"/>
                <w:sz w:val="22"/>
                <w:szCs w:val="22"/>
              </w:rPr>
            </w:pPr>
            <w:r w:rsidRPr="005A3960">
              <w:rPr>
                <w:rFonts w:ascii="Arial" w:hAnsi="Arial" w:cs="Arial"/>
                <w:sz w:val="22"/>
                <w:szCs w:val="22"/>
              </w:rPr>
              <w:t>Individuals for whom no valid consent has been received.</w:t>
            </w:r>
          </w:p>
          <w:p w14:paraId="2111C94B" w14:textId="77777777" w:rsidR="00E5241F" w:rsidRPr="005A3960" w:rsidRDefault="00E5241F" w:rsidP="00E5241F">
            <w:pPr>
              <w:pStyle w:val="Default"/>
              <w:spacing w:before="120"/>
              <w:contextualSpacing/>
              <w:rPr>
                <w:color w:val="auto"/>
                <w:sz w:val="22"/>
                <w:szCs w:val="22"/>
                <w:lang w:eastAsia="en-US"/>
              </w:rPr>
            </w:pPr>
            <w:r w:rsidRPr="005A3960">
              <w:rPr>
                <w:color w:val="auto"/>
                <w:sz w:val="22"/>
                <w:szCs w:val="22"/>
                <w:lang w:eastAsia="en-US"/>
              </w:rPr>
              <w:t>Individuals who:</w:t>
            </w:r>
          </w:p>
          <w:p w14:paraId="1074A4C5" w14:textId="6B8EAF11" w:rsidR="00E5241F" w:rsidRPr="005A3960" w:rsidRDefault="00E5241F" w:rsidP="005A3960">
            <w:pPr>
              <w:numPr>
                <w:ilvl w:val="0"/>
                <w:numId w:val="9"/>
              </w:numPr>
              <w:overflowPunct/>
              <w:spacing w:after="120"/>
              <w:ind w:left="318" w:hanging="284"/>
              <w:contextualSpacing/>
              <w:textAlignment w:val="auto"/>
              <w:rPr>
                <w:rFonts w:eastAsiaTheme="minorHAnsi" w:cs="Arial"/>
                <w:sz w:val="22"/>
                <w:szCs w:val="22"/>
                <w:lang w:eastAsia="en-US"/>
              </w:rPr>
            </w:pPr>
            <w:r w:rsidRPr="005A3960">
              <w:rPr>
                <w:rFonts w:eastAsiaTheme="minorHAnsi" w:cs="Arial"/>
                <w:sz w:val="22"/>
                <w:szCs w:val="22"/>
                <w:lang w:eastAsia="en-US"/>
              </w:rPr>
              <w:t xml:space="preserve">are less than </w:t>
            </w:r>
            <w:r w:rsidR="00533F88">
              <w:rPr>
                <w:rFonts w:eastAsiaTheme="minorHAnsi" w:cs="Arial"/>
                <w:sz w:val="22"/>
                <w:szCs w:val="22"/>
                <w:lang w:eastAsia="en-US"/>
              </w:rPr>
              <w:t>2</w:t>
            </w:r>
            <w:r w:rsidR="00533F88" w:rsidRPr="005A3960">
              <w:rPr>
                <w:rFonts w:eastAsiaTheme="minorHAnsi" w:cs="Arial"/>
                <w:sz w:val="22"/>
                <w:szCs w:val="22"/>
                <w:lang w:eastAsia="en-US"/>
              </w:rPr>
              <w:t xml:space="preserve"> </w:t>
            </w:r>
            <w:r w:rsidR="00476E29" w:rsidRPr="005A3960">
              <w:rPr>
                <w:rFonts w:eastAsiaTheme="minorHAnsi" w:cs="Arial"/>
                <w:sz w:val="22"/>
                <w:szCs w:val="22"/>
                <w:lang w:eastAsia="en-US"/>
              </w:rPr>
              <w:t>year</w:t>
            </w:r>
            <w:r w:rsidR="00533F88">
              <w:rPr>
                <w:rFonts w:eastAsiaTheme="minorHAnsi" w:cs="Arial"/>
                <w:sz w:val="22"/>
                <w:szCs w:val="22"/>
                <w:lang w:eastAsia="en-US"/>
              </w:rPr>
              <w:t>s</w:t>
            </w:r>
            <w:r w:rsidRPr="005A3960">
              <w:rPr>
                <w:rFonts w:eastAsiaTheme="minorHAnsi" w:cs="Arial"/>
                <w:sz w:val="22"/>
                <w:szCs w:val="22"/>
                <w:lang w:eastAsia="en-US"/>
              </w:rPr>
              <w:t xml:space="preserve"> of age</w:t>
            </w:r>
          </w:p>
          <w:p w14:paraId="65E1D01D" w14:textId="0BAD5543" w:rsidR="00E5241F" w:rsidRPr="005A3960" w:rsidRDefault="00E5241F" w:rsidP="00E5241F">
            <w:pPr>
              <w:numPr>
                <w:ilvl w:val="0"/>
                <w:numId w:val="9"/>
              </w:numPr>
              <w:overflowPunct/>
              <w:spacing w:before="120" w:after="120"/>
              <w:ind w:left="318" w:hanging="284"/>
              <w:contextualSpacing/>
              <w:textAlignment w:val="auto"/>
              <w:rPr>
                <w:rFonts w:eastAsiaTheme="minorHAnsi" w:cs="Arial"/>
                <w:sz w:val="22"/>
                <w:szCs w:val="22"/>
                <w:lang w:eastAsia="en-US"/>
              </w:rPr>
            </w:pPr>
            <w:r w:rsidRPr="005A3960">
              <w:rPr>
                <w:rFonts w:eastAsiaTheme="minorHAnsi" w:cs="Arial"/>
                <w:sz w:val="22"/>
                <w:szCs w:val="22"/>
                <w:lang w:eastAsia="en-US"/>
              </w:rPr>
              <w:t xml:space="preserve">have had a confirmed anaphylactic reaction to a previous dose of Hib or MenC containing vaccine or to any components of the vaccine, including </w:t>
            </w:r>
            <w:r w:rsidR="00297E0B" w:rsidRPr="00297E0B">
              <w:rPr>
                <w:rFonts w:eastAsiaTheme="minorHAnsi" w:cs="Arial"/>
                <w:sz w:val="22"/>
                <w:szCs w:val="22"/>
                <w:lang w:eastAsia="en-US"/>
              </w:rPr>
              <w:t>any conjugate vaccines where tetanus toxoid is used in the conjugate</w:t>
            </w:r>
          </w:p>
          <w:p w14:paraId="22F9CB5E" w14:textId="12F8A308" w:rsidR="00E5241F" w:rsidRPr="005A3960" w:rsidRDefault="00E5241F" w:rsidP="00E5241F">
            <w:pPr>
              <w:numPr>
                <w:ilvl w:val="0"/>
                <w:numId w:val="9"/>
              </w:numPr>
              <w:overflowPunct/>
              <w:spacing w:before="120" w:after="120"/>
              <w:ind w:left="318" w:hanging="284"/>
              <w:contextualSpacing/>
              <w:textAlignment w:val="auto"/>
              <w:rPr>
                <w:rFonts w:eastAsiaTheme="minorHAnsi" w:cs="Arial"/>
                <w:sz w:val="22"/>
                <w:szCs w:val="22"/>
                <w:lang w:eastAsia="en-US"/>
              </w:rPr>
            </w:pPr>
            <w:r w:rsidRPr="005A3960">
              <w:rPr>
                <w:rFonts w:eastAsiaTheme="minorHAnsi" w:cs="Arial"/>
                <w:sz w:val="22"/>
                <w:szCs w:val="22"/>
                <w:lang w:eastAsia="en-US"/>
              </w:rPr>
              <w:t>have received Hib or MenC containing vaccine in the preceding 4 weeks</w:t>
            </w:r>
          </w:p>
          <w:p w14:paraId="3FB9DF61" w14:textId="65CE9FCE" w:rsidR="008E5D38" w:rsidRPr="009609A2" w:rsidRDefault="00E5241F" w:rsidP="00E5241F">
            <w:pPr>
              <w:numPr>
                <w:ilvl w:val="0"/>
                <w:numId w:val="9"/>
              </w:numPr>
              <w:overflowPunct/>
              <w:spacing w:before="120" w:after="120"/>
              <w:ind w:left="318" w:hanging="284"/>
              <w:textAlignment w:val="auto"/>
              <w:rPr>
                <w:rFonts w:eastAsiaTheme="minorHAnsi" w:cs="Arial"/>
                <w:color w:val="FF0000"/>
                <w:sz w:val="22"/>
                <w:szCs w:val="22"/>
                <w:lang w:eastAsia="en-US"/>
              </w:rPr>
            </w:pPr>
            <w:r w:rsidRPr="005A3960">
              <w:rPr>
                <w:sz w:val="22"/>
                <w:szCs w:val="22"/>
              </w:rPr>
              <w:t xml:space="preserve">are </w:t>
            </w:r>
            <w:r w:rsidRPr="005A3960">
              <w:rPr>
                <w:rFonts w:cs="Arial"/>
                <w:sz w:val="22"/>
                <w:szCs w:val="22"/>
              </w:rPr>
              <w:t>suffering from acute severe febrile illness (the presence of a minor infection is not a contraindication for immunisation)</w:t>
            </w:r>
          </w:p>
        </w:tc>
      </w:tr>
      <w:tr w:rsidR="00A956FD" w:rsidRPr="00A956FD" w14:paraId="2163E1A3" w14:textId="77777777" w:rsidTr="006F222A">
        <w:trPr>
          <w:trHeight w:val="981"/>
        </w:trPr>
        <w:tc>
          <w:tcPr>
            <w:tcW w:w="2977" w:type="dxa"/>
          </w:tcPr>
          <w:p w14:paraId="27D7C3FC" w14:textId="3042C685" w:rsidR="008F7669" w:rsidRPr="008F7669" w:rsidRDefault="00032A94" w:rsidP="00B4381D">
            <w:pPr>
              <w:spacing w:before="120" w:after="120"/>
              <w:rPr>
                <w:rFonts w:cs="Arial"/>
                <w:sz w:val="22"/>
                <w:szCs w:val="22"/>
              </w:rPr>
            </w:pPr>
            <w:r w:rsidRPr="00E34432">
              <w:rPr>
                <w:rFonts w:cs="Arial"/>
                <w:b/>
                <w:sz w:val="22"/>
                <w:szCs w:val="22"/>
              </w:rPr>
              <w:t>Cautions including any relevant action to be taken</w:t>
            </w:r>
          </w:p>
        </w:tc>
        <w:tc>
          <w:tcPr>
            <w:tcW w:w="6946" w:type="dxa"/>
          </w:tcPr>
          <w:p w14:paraId="0AC1CE0F" w14:textId="06FA324A" w:rsidR="00E5241F" w:rsidRPr="00895C45" w:rsidRDefault="00E5241F" w:rsidP="00E5241F">
            <w:pPr>
              <w:shd w:val="clear" w:color="auto" w:fill="FFFFFF"/>
              <w:overflowPunct/>
              <w:autoSpaceDE/>
              <w:autoSpaceDN/>
              <w:adjustRightInd/>
              <w:spacing w:before="120" w:after="120"/>
              <w:textAlignment w:val="auto"/>
              <w:rPr>
                <w:rFonts w:cs="Arial"/>
                <w:sz w:val="22"/>
                <w:szCs w:val="22"/>
              </w:rPr>
            </w:pPr>
            <w:r w:rsidRPr="00895C45">
              <w:rPr>
                <w:rFonts w:cs="Arial"/>
                <w:sz w:val="22"/>
                <w:szCs w:val="22"/>
              </w:rPr>
              <w:t xml:space="preserve">If a seizure associated with a fever occurred within 72 hours of a previous immunisation, immunisation should continue as recommended if a cause is identified or the child recovers within 24 hours. However, if no underlying cause has been found and the child did not recover completely within 24 hours, further immunisation should be deferred until the condition is </w:t>
            </w:r>
            <w:r w:rsidRPr="004507EC">
              <w:rPr>
                <w:rFonts w:cs="Arial"/>
                <w:sz w:val="22"/>
                <w:szCs w:val="22"/>
              </w:rPr>
              <w:t>stable</w:t>
            </w:r>
            <w:r w:rsidR="004507EC">
              <w:rPr>
                <w:rFonts w:cs="Arial"/>
                <w:sz w:val="22"/>
                <w:szCs w:val="22"/>
              </w:rPr>
              <w:t xml:space="preserve"> </w:t>
            </w:r>
            <w:r w:rsidR="004507EC" w:rsidRPr="004507EC">
              <w:rPr>
                <w:iCs/>
                <w:sz w:val="22"/>
                <w:szCs w:val="22"/>
              </w:rPr>
              <w:t>(as assessed by an appropriate clinician eg GP or paediatrician).</w:t>
            </w:r>
          </w:p>
          <w:p w14:paraId="62A8349F" w14:textId="77777777" w:rsidR="00A77B34" w:rsidRDefault="00E5241F" w:rsidP="00E5241F">
            <w:pPr>
              <w:shd w:val="clear" w:color="auto" w:fill="FFFFFF"/>
              <w:overflowPunct/>
              <w:autoSpaceDE/>
              <w:autoSpaceDN/>
              <w:adjustRightInd/>
              <w:spacing w:before="120" w:after="120"/>
              <w:textAlignment w:val="auto"/>
              <w:rPr>
                <w:rFonts w:eastAsiaTheme="minorHAnsi" w:cs="Arial"/>
                <w:sz w:val="22"/>
                <w:szCs w:val="22"/>
                <w:lang w:eastAsia="en-US"/>
              </w:rPr>
            </w:pPr>
            <w:r w:rsidRPr="005C4139">
              <w:rPr>
                <w:rFonts w:eastAsiaTheme="minorHAnsi" w:cs="Arial"/>
                <w:sz w:val="22"/>
                <w:szCs w:val="22"/>
                <w:lang w:eastAsia="en-US"/>
              </w:rPr>
              <w:t>The immunogenicity of the vaccine could be reduced in immunosuppressed subjects. Vaccination should proceed in accordance with the national recommendations. However, re-immunisation may need to be considered. Seek medical advice as appropriate.</w:t>
            </w:r>
          </w:p>
          <w:p w14:paraId="0B71A216" w14:textId="674E215D" w:rsidR="00D27150" w:rsidRPr="0021553E" w:rsidRDefault="00D27150" w:rsidP="00E5241F">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A956FD" w14:paraId="03F0DDA6" w14:textId="77777777" w:rsidTr="00BA2EE8">
        <w:tc>
          <w:tcPr>
            <w:tcW w:w="2977" w:type="dxa"/>
          </w:tcPr>
          <w:p w14:paraId="452A5EF9" w14:textId="08499C5D" w:rsidR="00442F8B" w:rsidRDefault="00AD5B95" w:rsidP="00442F8B">
            <w:pPr>
              <w:pStyle w:val="Header"/>
              <w:tabs>
                <w:tab w:val="clear" w:pos="4153"/>
                <w:tab w:val="clear" w:pos="8306"/>
              </w:tabs>
              <w:spacing w:before="120" w:after="120"/>
              <w:rPr>
                <w:rFonts w:ascii="Arial" w:hAnsi="Arial" w:cs="Arial"/>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14:paraId="2F69F1FA" w14:textId="77777777" w:rsidR="00250FB5" w:rsidRDefault="00250FB5" w:rsidP="00442F8B">
            <w:pPr>
              <w:pStyle w:val="Header"/>
              <w:tabs>
                <w:tab w:val="clear" w:pos="4153"/>
                <w:tab w:val="clear" w:pos="8306"/>
              </w:tabs>
              <w:spacing w:before="120" w:after="120"/>
              <w:contextualSpacing/>
              <w:rPr>
                <w:rFonts w:ascii="Arial" w:hAnsi="Arial" w:cs="Arial"/>
                <w:sz w:val="22"/>
                <w:szCs w:val="22"/>
              </w:rPr>
            </w:pPr>
          </w:p>
          <w:p w14:paraId="0610AA3C" w14:textId="77777777" w:rsidR="00442F8B" w:rsidRDefault="00442F8B" w:rsidP="00442F8B">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 over page</w:t>
            </w:r>
          </w:p>
          <w:p w14:paraId="485F688F" w14:textId="77777777" w:rsidR="00442F8B" w:rsidRDefault="00442F8B" w:rsidP="00442F8B">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lastRenderedPageBreak/>
              <w:t>Action to be taken if the patient is excluded</w:t>
            </w:r>
          </w:p>
          <w:p w14:paraId="0F3B0899" w14:textId="77777777" w:rsidR="00442F8B" w:rsidRPr="00D02873" w:rsidRDefault="00442F8B" w:rsidP="00442F8B">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w:t>
            </w:r>
          </w:p>
          <w:p w14:paraId="446C610C" w14:textId="4A0D3B3E" w:rsidR="00442F8B" w:rsidRPr="00E34432" w:rsidRDefault="00442F8B" w:rsidP="00EA4421">
            <w:pPr>
              <w:pStyle w:val="Header"/>
              <w:tabs>
                <w:tab w:val="clear" w:pos="4153"/>
                <w:tab w:val="clear" w:pos="8306"/>
              </w:tabs>
              <w:spacing w:before="120" w:after="120"/>
              <w:rPr>
                <w:rFonts w:ascii="Arial" w:hAnsi="Arial" w:cs="Arial"/>
                <w:sz w:val="22"/>
                <w:szCs w:val="22"/>
              </w:rPr>
            </w:pPr>
          </w:p>
        </w:tc>
        <w:tc>
          <w:tcPr>
            <w:tcW w:w="6946" w:type="dxa"/>
            <w:shd w:val="clear" w:color="auto" w:fill="auto"/>
          </w:tcPr>
          <w:p w14:paraId="2CE4CDF4" w14:textId="2AD0087D" w:rsidR="001F08E9" w:rsidRPr="000337FD" w:rsidRDefault="001F08E9" w:rsidP="00E5241F">
            <w:pPr>
              <w:overflowPunct/>
              <w:spacing w:before="120" w:after="120"/>
              <w:textAlignment w:val="auto"/>
              <w:rPr>
                <w:rFonts w:eastAsiaTheme="minorHAnsi" w:cs="Arial"/>
                <w:sz w:val="22"/>
                <w:szCs w:val="22"/>
                <w:lang w:eastAsia="en-US"/>
              </w:rPr>
            </w:pPr>
            <w:r w:rsidRPr="000337FD">
              <w:rPr>
                <w:rFonts w:eastAsiaTheme="minorHAnsi" w:cs="Arial"/>
                <w:sz w:val="22"/>
                <w:szCs w:val="22"/>
                <w:lang w:eastAsia="en-US"/>
              </w:rPr>
              <w:lastRenderedPageBreak/>
              <w:t>For individuals who do not have an underlying medical condition as detailed in the inclusion criteria</w:t>
            </w:r>
            <w:r w:rsidR="00441F76" w:rsidRPr="000337FD">
              <w:rPr>
                <w:rFonts w:eastAsiaTheme="minorHAnsi" w:cs="Arial"/>
                <w:sz w:val="22"/>
                <w:szCs w:val="22"/>
                <w:lang w:eastAsia="en-US"/>
              </w:rPr>
              <w:t xml:space="preserve"> or require a routine Hib/MenC dose</w:t>
            </w:r>
            <w:r w:rsidRPr="000337FD">
              <w:rPr>
                <w:rFonts w:eastAsiaTheme="minorHAnsi" w:cs="Arial"/>
                <w:sz w:val="22"/>
                <w:szCs w:val="22"/>
                <w:lang w:eastAsia="en-US"/>
              </w:rPr>
              <w:t xml:space="preserve">, please refer to the </w:t>
            </w:r>
            <w:r w:rsidR="00FD4360" w:rsidRPr="000337FD">
              <w:rPr>
                <w:rFonts w:eastAsiaTheme="minorHAnsi" w:cs="Arial"/>
                <w:sz w:val="22"/>
                <w:szCs w:val="22"/>
                <w:lang w:eastAsia="en-US"/>
              </w:rPr>
              <w:t>Hib/MenC PGD</w:t>
            </w:r>
            <w:r w:rsidRPr="000337FD">
              <w:rPr>
                <w:rFonts w:eastAsiaTheme="minorHAnsi" w:cs="Arial"/>
                <w:sz w:val="22"/>
                <w:szCs w:val="22"/>
                <w:lang w:eastAsia="en-US"/>
              </w:rPr>
              <w:t xml:space="preserve"> for the routine immunisation programme.</w:t>
            </w:r>
          </w:p>
          <w:p w14:paraId="4C8B00C2" w14:textId="0B005ED9" w:rsidR="00E5241F" w:rsidRPr="000337FD" w:rsidRDefault="00E5241F" w:rsidP="00E5241F">
            <w:pPr>
              <w:overflowPunct/>
              <w:spacing w:before="120" w:after="120"/>
              <w:textAlignment w:val="auto"/>
              <w:rPr>
                <w:rFonts w:eastAsiaTheme="minorHAnsi" w:cs="Arial"/>
                <w:sz w:val="22"/>
                <w:szCs w:val="22"/>
                <w:lang w:eastAsia="en-US"/>
              </w:rPr>
            </w:pPr>
            <w:r w:rsidRPr="000337FD">
              <w:rPr>
                <w:rFonts w:eastAsiaTheme="minorHAnsi" w:cs="Arial"/>
                <w:sz w:val="22"/>
                <w:szCs w:val="22"/>
                <w:lang w:eastAsia="en-US"/>
              </w:rPr>
              <w:lastRenderedPageBreak/>
              <w:t xml:space="preserve">If aged less than </w:t>
            </w:r>
            <w:r w:rsidR="00533F88" w:rsidRPr="000337FD">
              <w:rPr>
                <w:rFonts w:eastAsiaTheme="minorHAnsi" w:cs="Arial"/>
                <w:sz w:val="22"/>
                <w:szCs w:val="22"/>
                <w:lang w:eastAsia="en-US"/>
              </w:rPr>
              <w:t>2</w:t>
            </w:r>
            <w:r w:rsidR="00476E29" w:rsidRPr="000337FD">
              <w:rPr>
                <w:rFonts w:eastAsiaTheme="minorHAnsi" w:cs="Arial"/>
                <w:sz w:val="22"/>
                <w:szCs w:val="22"/>
                <w:lang w:eastAsia="en-US"/>
              </w:rPr>
              <w:t xml:space="preserve"> year</w:t>
            </w:r>
            <w:r w:rsidR="00533F88" w:rsidRPr="000337FD">
              <w:rPr>
                <w:rFonts w:eastAsiaTheme="minorHAnsi" w:cs="Arial"/>
                <w:sz w:val="22"/>
                <w:szCs w:val="22"/>
                <w:lang w:eastAsia="en-US"/>
              </w:rPr>
              <w:t>s</w:t>
            </w:r>
            <w:r w:rsidRPr="000337FD">
              <w:rPr>
                <w:rFonts w:eastAsiaTheme="minorHAnsi" w:cs="Arial"/>
                <w:sz w:val="22"/>
                <w:szCs w:val="22"/>
                <w:lang w:eastAsia="en-US"/>
              </w:rPr>
              <w:t xml:space="preserve"> and incompletely immunised, assess for immunisation in accordance with</w:t>
            </w:r>
            <w:r w:rsidR="006719C7" w:rsidRPr="000337FD">
              <w:rPr>
                <w:rFonts w:eastAsiaTheme="minorHAnsi" w:cs="Arial"/>
                <w:sz w:val="22"/>
                <w:szCs w:val="22"/>
                <w:lang w:eastAsia="en-US"/>
              </w:rPr>
              <w:t xml:space="preserve"> the national schedule</w:t>
            </w:r>
            <w:r w:rsidR="00FD4360" w:rsidRPr="000337FD">
              <w:rPr>
                <w:rFonts w:eastAsiaTheme="minorHAnsi" w:cs="Arial"/>
                <w:sz w:val="22"/>
                <w:szCs w:val="22"/>
                <w:lang w:eastAsia="en-US"/>
              </w:rPr>
              <w:t>,</w:t>
            </w:r>
            <w:r w:rsidR="006719C7" w:rsidRPr="000337FD">
              <w:rPr>
                <w:rFonts w:eastAsiaTheme="minorHAnsi" w:cs="Arial"/>
                <w:sz w:val="22"/>
                <w:szCs w:val="22"/>
                <w:lang w:eastAsia="en-US"/>
              </w:rPr>
              <w:t xml:space="preserve"> </w:t>
            </w:r>
            <w:hyperlink r:id="rId22" w:history="1">
              <w:r w:rsidR="00FD4360" w:rsidRPr="000337FD">
                <w:rPr>
                  <w:rStyle w:val="Hyperlink"/>
                  <w:rFonts w:cs="Arial"/>
                  <w:sz w:val="22"/>
                  <w:szCs w:val="22"/>
                </w:rPr>
                <w:t>Chapter</w:t>
              </w:r>
              <w:r w:rsidR="00533F88" w:rsidRPr="000337FD">
                <w:rPr>
                  <w:rStyle w:val="Hyperlink"/>
                  <w:rFonts w:cs="Arial"/>
                  <w:sz w:val="22"/>
                  <w:szCs w:val="22"/>
                </w:rPr>
                <w:t xml:space="preserve"> </w:t>
              </w:r>
              <w:r w:rsidR="00FD4360" w:rsidRPr="000337FD">
                <w:rPr>
                  <w:rStyle w:val="Hyperlink"/>
                  <w:rFonts w:cs="Arial"/>
                  <w:sz w:val="22"/>
                  <w:szCs w:val="22"/>
                </w:rPr>
                <w:t>7</w:t>
              </w:r>
            </w:hyperlink>
            <w:r w:rsidR="00FD4360" w:rsidRPr="000337FD">
              <w:rPr>
                <w:rFonts w:cs="Arial"/>
                <w:sz w:val="22"/>
                <w:szCs w:val="22"/>
              </w:rPr>
              <w:t xml:space="preserve"> </w:t>
            </w:r>
            <w:r w:rsidR="006719C7" w:rsidRPr="000337FD">
              <w:rPr>
                <w:rFonts w:eastAsiaTheme="minorHAnsi" w:cs="Arial"/>
                <w:sz w:val="22"/>
                <w:szCs w:val="22"/>
                <w:lang w:eastAsia="en-US"/>
              </w:rPr>
              <w:t>and</w:t>
            </w:r>
            <w:r w:rsidRPr="000337FD">
              <w:rPr>
                <w:rFonts w:eastAsiaTheme="minorHAnsi" w:cs="Arial"/>
                <w:sz w:val="22"/>
                <w:szCs w:val="22"/>
                <w:lang w:eastAsia="en-US"/>
              </w:rPr>
              <w:t xml:space="preserve"> </w:t>
            </w:r>
            <w:r w:rsidRPr="000337FD">
              <w:rPr>
                <w:rFonts w:cs="Arial"/>
                <w:sz w:val="22"/>
                <w:szCs w:val="22"/>
                <w:lang w:val="en"/>
              </w:rPr>
              <w:t xml:space="preserve">PHE recommendations for the </w:t>
            </w:r>
            <w:hyperlink r:id="rId23" w:history="1">
              <w:r w:rsidRPr="000337FD">
                <w:rPr>
                  <w:rStyle w:val="Hyperlink"/>
                  <w:sz w:val="22"/>
                  <w:szCs w:val="22"/>
                </w:rPr>
                <w:t>vaccination of individuals with uncertain or incomplete immunisation status</w:t>
              </w:r>
            </w:hyperlink>
            <w:r w:rsidRPr="000337FD">
              <w:rPr>
                <w:rFonts w:eastAsiaTheme="minorHAnsi" w:cs="Arial"/>
                <w:sz w:val="22"/>
                <w:szCs w:val="22"/>
                <w:lang w:eastAsia="en-US"/>
              </w:rPr>
              <w:t>.</w:t>
            </w:r>
            <w:r w:rsidR="006719C7" w:rsidRPr="000337FD">
              <w:rPr>
                <w:rStyle w:val="Hyperlink"/>
                <w:sz w:val="22"/>
                <w:szCs w:val="22"/>
                <w:u w:val="none"/>
              </w:rPr>
              <w:t xml:space="preserve"> </w:t>
            </w:r>
            <w:r w:rsidRPr="000337FD">
              <w:rPr>
                <w:rFonts w:eastAsiaTheme="minorHAnsi" w:cs="Arial"/>
                <w:sz w:val="22"/>
                <w:szCs w:val="22"/>
                <w:lang w:eastAsia="en-US"/>
              </w:rPr>
              <w:t xml:space="preserve">If immunisations are up to date </w:t>
            </w:r>
            <w:r w:rsidR="004507EC" w:rsidRPr="000337FD">
              <w:rPr>
                <w:iCs/>
                <w:sz w:val="22"/>
                <w:szCs w:val="22"/>
              </w:rPr>
              <w:t xml:space="preserve">inform the </w:t>
            </w:r>
            <w:r w:rsidR="00484F69">
              <w:rPr>
                <w:iCs/>
                <w:sz w:val="22"/>
                <w:szCs w:val="22"/>
              </w:rPr>
              <w:t>individual/</w:t>
            </w:r>
            <w:r w:rsidR="004507EC" w:rsidRPr="000337FD">
              <w:rPr>
                <w:iCs/>
                <w:sz w:val="22"/>
                <w:szCs w:val="22"/>
              </w:rPr>
              <w:t>pa</w:t>
            </w:r>
            <w:r w:rsidR="00484F69">
              <w:rPr>
                <w:iCs/>
                <w:sz w:val="22"/>
                <w:szCs w:val="22"/>
              </w:rPr>
              <w:t>rent</w:t>
            </w:r>
            <w:r w:rsidR="004507EC" w:rsidRPr="000337FD">
              <w:rPr>
                <w:iCs/>
                <w:sz w:val="22"/>
                <w:szCs w:val="22"/>
              </w:rPr>
              <w:t>/carer when next immunisations are due</w:t>
            </w:r>
            <w:r w:rsidRPr="000337FD">
              <w:rPr>
                <w:rFonts w:eastAsiaTheme="minorHAnsi" w:cs="Arial"/>
                <w:sz w:val="22"/>
                <w:szCs w:val="22"/>
                <w:lang w:eastAsia="en-US"/>
              </w:rPr>
              <w:t>.</w:t>
            </w:r>
          </w:p>
          <w:p w14:paraId="21EF2413" w14:textId="2843741D" w:rsidR="00E5241F" w:rsidRPr="000337FD" w:rsidRDefault="00E5241F" w:rsidP="00E5241F">
            <w:pPr>
              <w:overflowPunct/>
              <w:spacing w:before="120" w:after="120"/>
              <w:textAlignment w:val="auto"/>
              <w:rPr>
                <w:rFonts w:eastAsiaTheme="minorHAnsi" w:cs="Arial"/>
                <w:sz w:val="22"/>
                <w:szCs w:val="22"/>
                <w:lang w:eastAsia="en-US"/>
              </w:rPr>
            </w:pPr>
            <w:r w:rsidRPr="000337FD">
              <w:rPr>
                <w:rFonts w:eastAsiaTheme="minorHAnsi" w:cs="Arial"/>
                <w:sz w:val="22"/>
                <w:szCs w:val="22"/>
                <w:lang w:eastAsia="en-US"/>
              </w:rPr>
              <w:t xml:space="preserve">Individuals who have been immunised against Hib or MenC within the last 4 weeks </w:t>
            </w:r>
            <w:r w:rsidR="00D27150">
              <w:rPr>
                <w:rFonts w:eastAsiaTheme="minorHAnsi" w:cs="Arial"/>
                <w:sz w:val="22"/>
                <w:szCs w:val="22"/>
                <w:lang w:eastAsia="en-US"/>
              </w:rPr>
              <w:t xml:space="preserve">should </w:t>
            </w:r>
            <w:r w:rsidRPr="000337FD">
              <w:rPr>
                <w:rFonts w:eastAsiaTheme="minorHAnsi" w:cs="Arial"/>
                <w:sz w:val="22"/>
                <w:szCs w:val="22"/>
                <w:lang w:eastAsia="en-US"/>
              </w:rPr>
              <w:t>defer immunisation until a</w:t>
            </w:r>
            <w:r w:rsidR="00651B6A" w:rsidRPr="000337FD">
              <w:rPr>
                <w:rFonts w:eastAsiaTheme="minorHAnsi" w:cs="Arial"/>
                <w:sz w:val="22"/>
                <w:szCs w:val="22"/>
                <w:lang w:eastAsia="en-US"/>
              </w:rPr>
              <w:t>t least 4 weeks have elapsed.</w:t>
            </w:r>
          </w:p>
          <w:p w14:paraId="56AC9B6F" w14:textId="77777777" w:rsidR="0071278F" w:rsidRPr="00477229" w:rsidRDefault="0071278F" w:rsidP="0071278F">
            <w:pPr>
              <w:overflowPunct/>
              <w:spacing w:before="120" w:after="120"/>
              <w:textAlignment w:val="auto"/>
              <w:rPr>
                <w:rFonts w:eastAsiaTheme="minorHAnsi" w:cs="Arial"/>
                <w:sz w:val="22"/>
                <w:szCs w:val="22"/>
                <w:lang w:eastAsia="en-US"/>
              </w:rPr>
            </w:pPr>
            <w:r w:rsidRPr="008F5692">
              <w:rPr>
                <w:rFonts w:eastAsiaTheme="minorHAnsi" w:cs="Arial"/>
                <w:sz w:val="22"/>
                <w:szCs w:val="22"/>
                <w:lang w:eastAsia="en-US"/>
              </w:rPr>
              <w:t>Individuals suffering acute severe febrile illness should postpone immunisation until they have recovered; immunisers should advise when the individual can be vaccinated and ensure another appointment is arranged.</w:t>
            </w:r>
          </w:p>
          <w:p w14:paraId="6E47AA31" w14:textId="4BD42213" w:rsidR="00E5241F" w:rsidRPr="000337FD" w:rsidRDefault="00E5241F" w:rsidP="00E5241F">
            <w:pPr>
              <w:pStyle w:val="TableParagraph"/>
              <w:spacing w:before="120" w:after="120"/>
              <w:rPr>
                <w:rFonts w:ascii="Arial" w:eastAsiaTheme="minorHAnsi" w:hAnsi="Arial" w:cs="Arial"/>
                <w:lang w:val="en-GB"/>
              </w:rPr>
            </w:pPr>
            <w:r w:rsidRPr="000337FD">
              <w:rPr>
                <w:rFonts w:ascii="Arial" w:eastAsiaTheme="minorHAnsi" w:hAnsi="Arial" w:cs="Arial"/>
                <w:lang w:val="en-GB"/>
              </w:rPr>
              <w:t xml:space="preserve">Seek appropriate advice from the local Screening and Immunisation Team, </w:t>
            </w:r>
            <w:r w:rsidR="0071278F">
              <w:rPr>
                <w:rFonts w:ascii="Arial" w:eastAsiaTheme="minorHAnsi" w:hAnsi="Arial" w:cs="Arial"/>
                <w:lang w:val="en-GB"/>
              </w:rPr>
              <w:t>local</w:t>
            </w:r>
            <w:r w:rsidRPr="000337FD">
              <w:rPr>
                <w:rFonts w:ascii="Arial" w:eastAsiaTheme="minorHAnsi" w:hAnsi="Arial" w:cs="Arial"/>
                <w:lang w:val="en-GB"/>
              </w:rPr>
              <w:t xml:space="preserve"> Health Protection </w:t>
            </w:r>
            <w:r w:rsidR="0071278F">
              <w:rPr>
                <w:rFonts w:ascii="Arial" w:eastAsiaTheme="minorHAnsi" w:hAnsi="Arial" w:cs="Arial"/>
                <w:lang w:val="en-GB"/>
              </w:rPr>
              <w:t xml:space="preserve">Team </w:t>
            </w:r>
            <w:r w:rsidRPr="000337FD">
              <w:rPr>
                <w:rFonts w:ascii="Arial" w:eastAsiaTheme="minorHAnsi" w:hAnsi="Arial" w:cs="Arial"/>
                <w:lang w:val="en-GB"/>
              </w:rPr>
              <w:t xml:space="preserve">or the individual’s clinician as </w:t>
            </w:r>
            <w:r w:rsidR="001F08E9" w:rsidRPr="000337FD">
              <w:rPr>
                <w:rFonts w:ascii="Arial" w:eastAsiaTheme="minorHAnsi" w:hAnsi="Arial" w:cs="Arial"/>
                <w:lang w:val="en-GB"/>
              </w:rPr>
              <w:t>required</w:t>
            </w:r>
            <w:r w:rsidRPr="000337FD">
              <w:rPr>
                <w:rFonts w:ascii="Arial" w:eastAsiaTheme="minorHAnsi" w:hAnsi="Arial" w:cs="Arial"/>
                <w:lang w:val="en-GB"/>
              </w:rPr>
              <w:t>.</w:t>
            </w:r>
          </w:p>
          <w:p w14:paraId="4E5909F8" w14:textId="77777777" w:rsidR="00E5241F" w:rsidRPr="000337FD" w:rsidRDefault="00E5241F" w:rsidP="00E5241F">
            <w:pPr>
              <w:pStyle w:val="TableParagraph"/>
              <w:spacing w:before="120" w:after="120"/>
              <w:ind w:right="164"/>
              <w:rPr>
                <w:rFonts w:ascii="Arial" w:eastAsiaTheme="minorHAnsi" w:hAnsi="Arial" w:cs="Arial"/>
                <w:lang w:val="en-GB"/>
              </w:rPr>
            </w:pPr>
            <w:r w:rsidRPr="000337FD">
              <w:rPr>
                <w:rFonts w:ascii="Arial" w:eastAsiaTheme="minorHAnsi" w:hAnsi="Arial" w:cs="Arial"/>
                <w:lang w:val="en-GB"/>
              </w:rPr>
              <w:t>The risk to the individual of not being immunised must be taken into account.</w:t>
            </w:r>
          </w:p>
          <w:p w14:paraId="48E045C9" w14:textId="77777777" w:rsidR="00E5241F" w:rsidRPr="000337FD" w:rsidRDefault="00E5241F" w:rsidP="00E5241F">
            <w:pPr>
              <w:pStyle w:val="Header"/>
              <w:spacing w:before="120" w:after="120"/>
              <w:rPr>
                <w:rFonts w:ascii="Arial" w:eastAsia="Calibri" w:hAnsi="Arial" w:cs="Arial"/>
                <w:sz w:val="22"/>
                <w:szCs w:val="22"/>
                <w:lang w:val="en-US" w:eastAsia="en-US"/>
              </w:rPr>
            </w:pPr>
            <w:r w:rsidRPr="000337FD">
              <w:rPr>
                <w:rFonts w:ascii="Arial" w:eastAsia="Calibri" w:hAnsi="Arial" w:cs="Arial"/>
                <w:sz w:val="22"/>
                <w:szCs w:val="22"/>
                <w:lang w:val="en-US" w:eastAsia="en-US"/>
              </w:rPr>
              <w:t>Document the reason for exclusion and any action taken in the individual’s clinical records.</w:t>
            </w:r>
          </w:p>
          <w:p w14:paraId="436B3C30" w14:textId="40C0FE4A" w:rsidR="00E275E0" w:rsidRPr="000337FD" w:rsidRDefault="00E5241F" w:rsidP="00795AE9">
            <w:pPr>
              <w:pStyle w:val="Header"/>
              <w:spacing w:before="120" w:after="120"/>
              <w:rPr>
                <w:rFonts w:eastAsiaTheme="minorHAnsi"/>
                <w:sz w:val="22"/>
                <w:szCs w:val="22"/>
                <w:lang w:eastAsia="en-US"/>
              </w:rPr>
            </w:pPr>
            <w:r w:rsidRPr="000337FD">
              <w:rPr>
                <w:rFonts w:ascii="Arial" w:eastAsia="Calibri" w:hAnsi="Arial" w:cs="Arial"/>
                <w:sz w:val="22"/>
                <w:szCs w:val="22"/>
                <w:lang w:val="en-US" w:eastAsia="en-US"/>
              </w:rPr>
              <w:t>In a GP practice setting, inform or refer to the GP or a prescriber as appropriate.</w:t>
            </w:r>
          </w:p>
        </w:tc>
      </w:tr>
      <w:tr w:rsidR="00A956FD" w:rsidRPr="00A956FD" w14:paraId="07088B50" w14:textId="77777777" w:rsidTr="00E47B6D">
        <w:tc>
          <w:tcPr>
            <w:tcW w:w="2977" w:type="dxa"/>
          </w:tcPr>
          <w:p w14:paraId="4A73E579" w14:textId="60BDDE62"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Action to be taken if the patient or carer declines treatment</w:t>
            </w:r>
          </w:p>
        </w:tc>
        <w:tc>
          <w:tcPr>
            <w:tcW w:w="6946" w:type="dxa"/>
          </w:tcPr>
          <w:p w14:paraId="1055B229" w14:textId="77777777" w:rsidR="00E5241F" w:rsidRPr="008277F3" w:rsidRDefault="00E5241F" w:rsidP="00E5241F">
            <w:pPr>
              <w:spacing w:before="120" w:after="120"/>
              <w:rPr>
                <w:rFonts w:cs="Arial"/>
                <w:sz w:val="22"/>
                <w:szCs w:val="22"/>
                <w:lang w:val="en-US"/>
              </w:rPr>
            </w:pPr>
            <w:r w:rsidRPr="008277F3">
              <w:rPr>
                <w:rFonts w:cs="Arial"/>
                <w:sz w:val="22"/>
                <w:szCs w:val="22"/>
                <w:lang w:val="en-US"/>
              </w:rPr>
              <w:t>Informed consent, from the individual or a person legally able to act on the person’s behalf, must be obtained for each administration.</w:t>
            </w:r>
          </w:p>
          <w:p w14:paraId="42A09627" w14:textId="77777777" w:rsidR="00E5241F" w:rsidRPr="008277F3" w:rsidRDefault="00E5241F" w:rsidP="00E5241F">
            <w:pPr>
              <w:spacing w:after="120"/>
              <w:rPr>
                <w:rFonts w:cs="Arial"/>
                <w:sz w:val="22"/>
                <w:szCs w:val="22"/>
                <w:lang w:val="en-US"/>
              </w:rPr>
            </w:pPr>
            <w:r w:rsidRPr="008277F3">
              <w:rPr>
                <w:rFonts w:cs="Arial"/>
                <w:sz w:val="22"/>
                <w:szCs w:val="22"/>
                <w:lang w:val="en-US"/>
              </w:rPr>
              <w:t>Advise the individual/parent/carer about the protective effects of the vaccine, the risks of infection and potential complications.</w:t>
            </w:r>
          </w:p>
          <w:p w14:paraId="25AD260B" w14:textId="77777777" w:rsidR="00E5241F" w:rsidRPr="008277F3" w:rsidRDefault="00E5241F" w:rsidP="00E5241F">
            <w:pPr>
              <w:spacing w:after="120"/>
              <w:rPr>
                <w:rFonts w:cs="Arial"/>
                <w:sz w:val="22"/>
                <w:szCs w:val="22"/>
              </w:rPr>
            </w:pPr>
            <w:r w:rsidRPr="008277F3">
              <w:rPr>
                <w:rFonts w:cs="Arial"/>
                <w:sz w:val="22"/>
                <w:szCs w:val="22"/>
              </w:rPr>
              <w:t xml:space="preserve">Document advice given and the decision reached. </w:t>
            </w:r>
          </w:p>
          <w:p w14:paraId="61A9878C" w14:textId="06E64293" w:rsidR="00BA16C1" w:rsidRPr="00E5241F" w:rsidRDefault="00E5241F" w:rsidP="00E5241F">
            <w:pPr>
              <w:spacing w:after="120"/>
              <w:rPr>
                <w:rFonts w:cs="Arial"/>
                <w:sz w:val="22"/>
                <w:szCs w:val="22"/>
              </w:rPr>
            </w:pPr>
            <w:r w:rsidRPr="008277F3">
              <w:rPr>
                <w:rFonts w:cs="Arial"/>
                <w:sz w:val="22"/>
                <w:szCs w:val="22"/>
              </w:rPr>
              <w:t>In a GP practice setting, inform or refer to the GP as appropriate.</w:t>
            </w:r>
          </w:p>
        </w:tc>
      </w:tr>
      <w:tr w:rsidR="00032A94" w:rsidRPr="00A956FD" w14:paraId="06D17EC2" w14:textId="77777777" w:rsidTr="00E47B6D">
        <w:tc>
          <w:tcPr>
            <w:tcW w:w="2977"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6946" w:type="dxa"/>
          </w:tcPr>
          <w:p w14:paraId="25AD5CE5" w14:textId="1D59FC62" w:rsidR="00032A94" w:rsidRPr="00C11CF5" w:rsidRDefault="00E5241F" w:rsidP="00B4381D">
            <w:pPr>
              <w:spacing w:before="120" w:after="120"/>
              <w:rPr>
                <w:rFonts w:cs="Arial"/>
                <w:sz w:val="22"/>
                <w:szCs w:val="22"/>
              </w:rPr>
            </w:pPr>
            <w:r w:rsidRPr="008277F3">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6FD" w:rsidRPr="00A956FD" w14:paraId="62E62DFA" w14:textId="77777777" w:rsidTr="0087180E">
        <w:tc>
          <w:tcPr>
            <w:tcW w:w="2977" w:type="dxa"/>
          </w:tcPr>
          <w:p w14:paraId="2651F9BA" w14:textId="77777777" w:rsidR="00B37C58" w:rsidRPr="00A956FD" w:rsidRDefault="00B37C58"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63F58EAC" w14:textId="57CDCD83" w:rsidR="00E5241F" w:rsidRPr="00B03C3F" w:rsidRDefault="00E5241F" w:rsidP="00D905F5">
            <w:pPr>
              <w:shd w:val="clear" w:color="auto" w:fill="FFFFFF"/>
              <w:overflowPunct/>
              <w:autoSpaceDE/>
              <w:autoSpaceDN/>
              <w:adjustRightInd/>
              <w:spacing w:before="120"/>
              <w:textAlignment w:val="auto"/>
              <w:rPr>
                <w:rFonts w:cs="Arial"/>
                <w:sz w:val="22"/>
                <w:szCs w:val="22"/>
                <w:lang w:val="en"/>
              </w:rPr>
            </w:pPr>
            <w:r w:rsidRPr="00B03C3F">
              <w:rPr>
                <w:rFonts w:cs="Arial"/>
                <w:i/>
                <w:sz w:val="22"/>
                <w:szCs w:val="22"/>
                <w:lang w:val="en"/>
              </w:rPr>
              <w:t>Haemophilus influenza</w:t>
            </w:r>
            <w:r>
              <w:rPr>
                <w:rFonts w:cs="Arial"/>
                <w:i/>
                <w:sz w:val="22"/>
                <w:szCs w:val="22"/>
                <w:lang w:val="en"/>
              </w:rPr>
              <w:t>e</w:t>
            </w:r>
            <w:r w:rsidRPr="00B03C3F">
              <w:rPr>
                <w:rFonts w:cs="Arial"/>
                <w:sz w:val="22"/>
                <w:szCs w:val="22"/>
                <w:lang w:val="en"/>
              </w:rPr>
              <w:t xml:space="preserve"> type b and meningococcal group C conjugate vaccine</w:t>
            </w:r>
            <w:r>
              <w:rPr>
                <w:rFonts w:cs="Arial"/>
                <w:sz w:val="22"/>
                <w:szCs w:val="22"/>
                <w:lang w:val="en"/>
              </w:rPr>
              <w:t xml:space="preserve"> (conjugated to tetanus toxoid as carrier protein)</w:t>
            </w:r>
            <w:r w:rsidR="00D905F5">
              <w:rPr>
                <w:rFonts w:cs="Arial"/>
                <w:sz w:val="22"/>
                <w:szCs w:val="22"/>
                <w:lang w:val="en"/>
              </w:rPr>
              <w:t xml:space="preserve"> eg:</w:t>
            </w:r>
          </w:p>
          <w:p w14:paraId="47959C59" w14:textId="4AD436DE" w:rsidR="00122E8A" w:rsidRPr="00D905F5" w:rsidRDefault="00E5241F" w:rsidP="00D905F5">
            <w:pPr>
              <w:pStyle w:val="ListParagraph"/>
              <w:numPr>
                <w:ilvl w:val="0"/>
                <w:numId w:val="45"/>
              </w:numPr>
              <w:spacing w:after="120"/>
              <w:ind w:left="317" w:hanging="283"/>
              <w:rPr>
                <w:color w:val="FF0000"/>
                <w:lang w:val="en"/>
              </w:rPr>
            </w:pPr>
            <w:r w:rsidRPr="00D905F5">
              <w:rPr>
                <w:rFonts w:cs="Arial"/>
                <w:sz w:val="22"/>
                <w:szCs w:val="22"/>
                <w:lang w:val="en"/>
              </w:rPr>
              <w:t>Menitorix</w:t>
            </w:r>
            <w:r w:rsidRPr="00D905F5">
              <w:rPr>
                <w:rFonts w:cs="Arial"/>
                <w:sz w:val="22"/>
                <w:szCs w:val="22"/>
                <w:vertAlign w:val="superscript"/>
                <w:lang w:val="en"/>
              </w:rPr>
              <w:t>®</w:t>
            </w:r>
            <w:r w:rsidRPr="00D905F5">
              <w:rPr>
                <w:rFonts w:cs="Arial"/>
                <w:sz w:val="22"/>
                <w:szCs w:val="22"/>
                <w:lang w:val="en"/>
              </w:rPr>
              <w:t>, powder in vial and solvent for solution for injection in a prefilled syringe</w:t>
            </w:r>
          </w:p>
        </w:tc>
      </w:tr>
      <w:tr w:rsidR="00E5241F" w:rsidRPr="00A956FD" w14:paraId="62BA2F20" w14:textId="77777777" w:rsidTr="0087180E">
        <w:tc>
          <w:tcPr>
            <w:tcW w:w="2977" w:type="dxa"/>
          </w:tcPr>
          <w:p w14:paraId="337EA9F6" w14:textId="44B60BBC" w:rsidR="00E5241F" w:rsidRPr="00EC1908" w:rsidRDefault="00E5241F" w:rsidP="007E045E">
            <w:pPr>
              <w:spacing w:before="120" w:after="120"/>
              <w:rPr>
                <w:rFonts w:cs="Arial"/>
                <w:b/>
                <w:sz w:val="22"/>
                <w:szCs w:val="22"/>
              </w:rPr>
            </w:pPr>
            <w:r w:rsidRPr="00EC1908">
              <w:rPr>
                <w:rFonts w:cs="Arial"/>
                <w:b/>
                <w:sz w:val="22"/>
                <w:szCs w:val="22"/>
              </w:rPr>
              <w:t>Legal category</w:t>
            </w:r>
          </w:p>
        </w:tc>
        <w:tc>
          <w:tcPr>
            <w:tcW w:w="6946" w:type="dxa"/>
          </w:tcPr>
          <w:p w14:paraId="1D4B098D" w14:textId="7A4322D0" w:rsidR="00E5241F" w:rsidRPr="008B4620" w:rsidRDefault="00E5241F" w:rsidP="00BE1835">
            <w:pPr>
              <w:spacing w:before="120" w:after="120"/>
            </w:pPr>
            <w:r w:rsidRPr="00B03C3F">
              <w:rPr>
                <w:rFonts w:eastAsia="Arial" w:cs="Arial"/>
                <w:w w:val="105"/>
                <w:sz w:val="22"/>
                <w:szCs w:val="22"/>
              </w:rPr>
              <w:t>Prescription</w:t>
            </w:r>
            <w:r w:rsidRPr="00B03C3F">
              <w:rPr>
                <w:rFonts w:eastAsia="Arial" w:cs="Arial"/>
                <w:spacing w:val="-3"/>
                <w:w w:val="105"/>
                <w:sz w:val="22"/>
                <w:szCs w:val="22"/>
              </w:rPr>
              <w:t xml:space="preserve"> o</w:t>
            </w:r>
            <w:r w:rsidRPr="00B03C3F">
              <w:rPr>
                <w:rFonts w:eastAsia="Arial" w:cs="Arial"/>
                <w:w w:val="105"/>
                <w:sz w:val="22"/>
                <w:szCs w:val="22"/>
              </w:rPr>
              <w:t>nly</w:t>
            </w:r>
            <w:r w:rsidRPr="00B03C3F">
              <w:rPr>
                <w:rFonts w:eastAsia="Arial" w:cs="Arial"/>
                <w:spacing w:val="-2"/>
                <w:w w:val="105"/>
                <w:sz w:val="22"/>
                <w:szCs w:val="22"/>
              </w:rPr>
              <w:t xml:space="preserve"> m</w:t>
            </w:r>
            <w:r w:rsidRPr="00B03C3F">
              <w:rPr>
                <w:rFonts w:eastAsia="Arial" w:cs="Arial"/>
                <w:w w:val="105"/>
                <w:sz w:val="22"/>
                <w:szCs w:val="22"/>
              </w:rPr>
              <w:t>edicine (POM)</w:t>
            </w:r>
          </w:p>
        </w:tc>
      </w:tr>
      <w:tr w:rsidR="00E5241F" w:rsidRPr="00A956FD" w14:paraId="69AE2E16" w14:textId="77777777" w:rsidTr="0087180E">
        <w:tc>
          <w:tcPr>
            <w:tcW w:w="2977" w:type="dxa"/>
          </w:tcPr>
          <w:p w14:paraId="1BAED4B7" w14:textId="77777777" w:rsidR="00E5241F" w:rsidRPr="00EC1908" w:rsidRDefault="00E5241F"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14:paraId="1D232E26" w14:textId="7C9B8EC1" w:rsidR="00E5241F" w:rsidRPr="008B4620" w:rsidRDefault="00E5241F" w:rsidP="00BE1835">
            <w:pPr>
              <w:spacing w:before="120" w:after="120"/>
            </w:pPr>
            <w:r w:rsidRPr="00B03C3F">
              <w:rPr>
                <w:sz w:val="22"/>
                <w:szCs w:val="22"/>
              </w:rPr>
              <w:t>No</w:t>
            </w:r>
          </w:p>
        </w:tc>
      </w:tr>
      <w:tr w:rsidR="00E5241F" w:rsidRPr="00A956FD" w14:paraId="040EA6E8" w14:textId="77777777" w:rsidTr="0087180E">
        <w:tc>
          <w:tcPr>
            <w:tcW w:w="2977" w:type="dxa"/>
          </w:tcPr>
          <w:p w14:paraId="5A2AEA5E" w14:textId="77777777" w:rsidR="00E5241F" w:rsidRPr="00090CE1" w:rsidRDefault="00E5241F" w:rsidP="007E045E">
            <w:pPr>
              <w:spacing w:before="120" w:after="120"/>
              <w:rPr>
                <w:rFonts w:cs="Arial"/>
                <w:b/>
                <w:sz w:val="22"/>
                <w:szCs w:val="22"/>
              </w:rPr>
            </w:pPr>
            <w:r w:rsidRPr="00090CE1">
              <w:rPr>
                <w:rFonts w:cs="Arial"/>
                <w:b/>
                <w:sz w:val="22"/>
                <w:szCs w:val="22"/>
              </w:rPr>
              <w:t>Off-label use</w:t>
            </w:r>
          </w:p>
        </w:tc>
        <w:tc>
          <w:tcPr>
            <w:tcW w:w="6946" w:type="dxa"/>
          </w:tcPr>
          <w:p w14:paraId="31B2ADEF" w14:textId="3CC6EB95" w:rsidR="00E5241F" w:rsidRPr="000337FD" w:rsidRDefault="00E5241F" w:rsidP="00A9535E">
            <w:pPr>
              <w:spacing w:before="120"/>
              <w:rPr>
                <w:rFonts w:cs="Arial"/>
                <w:sz w:val="22"/>
                <w:szCs w:val="22"/>
                <w:lang w:val="en"/>
              </w:rPr>
            </w:pPr>
            <w:r w:rsidRPr="000337FD">
              <w:rPr>
                <w:rFonts w:cs="Arial"/>
                <w:sz w:val="22"/>
                <w:szCs w:val="22"/>
                <w:lang w:val="en"/>
              </w:rPr>
              <w:t>Administration of Menitorix</w:t>
            </w:r>
            <w:r w:rsidRPr="000337FD">
              <w:rPr>
                <w:rFonts w:cs="Arial"/>
                <w:sz w:val="22"/>
                <w:szCs w:val="22"/>
                <w:vertAlign w:val="superscript"/>
                <w:lang w:val="en"/>
              </w:rPr>
              <w:t>®</w:t>
            </w:r>
            <w:r w:rsidRPr="000337FD">
              <w:rPr>
                <w:rFonts w:cs="Arial"/>
                <w:sz w:val="22"/>
                <w:szCs w:val="22"/>
                <w:lang w:val="en"/>
              </w:rPr>
              <w:t xml:space="preserve"> to individuals aged 2 years and over is off-label but is indicated </w:t>
            </w:r>
            <w:r w:rsidR="006A0EF9" w:rsidRPr="000337FD">
              <w:rPr>
                <w:rFonts w:cs="Arial"/>
                <w:sz w:val="22"/>
                <w:szCs w:val="22"/>
                <w:lang w:val="en"/>
              </w:rPr>
              <w:t xml:space="preserve">under this PGD in accordance with </w:t>
            </w:r>
            <w:r w:rsidRPr="000337FD">
              <w:rPr>
                <w:rFonts w:cs="Arial"/>
                <w:sz w:val="22"/>
                <w:szCs w:val="22"/>
                <w:lang w:val="en"/>
              </w:rPr>
              <w:t xml:space="preserve">PHE recommendations for the </w:t>
            </w:r>
            <w:hyperlink r:id="rId24" w:history="1">
              <w:r w:rsidRPr="000337FD">
                <w:rPr>
                  <w:rStyle w:val="Hyperlink"/>
                  <w:sz w:val="22"/>
                  <w:szCs w:val="22"/>
                </w:rPr>
                <w:t>vaccination of individuals with uncertain or incomplete immunisation status</w:t>
              </w:r>
            </w:hyperlink>
            <w:r w:rsidRPr="000337FD">
              <w:rPr>
                <w:rFonts w:cs="Arial"/>
                <w:sz w:val="22"/>
                <w:szCs w:val="22"/>
                <w:lang w:val="en"/>
              </w:rPr>
              <w:t xml:space="preserve"> and </w:t>
            </w:r>
            <w:r w:rsidR="006A0EF9" w:rsidRPr="000337FD">
              <w:rPr>
                <w:rFonts w:cs="Arial"/>
                <w:sz w:val="22"/>
                <w:szCs w:val="22"/>
                <w:lang w:val="en"/>
              </w:rPr>
              <w:t xml:space="preserve">recommendations for the immunisation of individuals with underlying medical conditions in </w:t>
            </w:r>
            <w:hyperlink r:id="rId25" w:history="1">
              <w:r w:rsidR="006A0EF9" w:rsidRPr="000337FD">
                <w:rPr>
                  <w:rStyle w:val="Hyperlink"/>
                  <w:rFonts w:cs="Arial"/>
                  <w:sz w:val="22"/>
                  <w:szCs w:val="22"/>
                  <w:lang w:val="en"/>
                </w:rPr>
                <w:t>Chapter 7</w:t>
              </w:r>
            </w:hyperlink>
            <w:r w:rsidRPr="000337FD">
              <w:rPr>
                <w:rFonts w:cs="Arial"/>
                <w:sz w:val="22"/>
                <w:szCs w:val="22"/>
                <w:lang w:val="en"/>
              </w:rPr>
              <w:t xml:space="preserve"> of “The Green Book”.</w:t>
            </w:r>
          </w:p>
          <w:p w14:paraId="6CBBC69E" w14:textId="77777777" w:rsidR="006A0EF9" w:rsidRPr="000337FD" w:rsidRDefault="00E5241F" w:rsidP="00F72576">
            <w:pPr>
              <w:spacing w:before="120" w:after="120"/>
              <w:rPr>
                <w:rFonts w:cs="Arial"/>
                <w:sz w:val="22"/>
                <w:szCs w:val="22"/>
                <w:lang w:val="en"/>
              </w:rPr>
            </w:pPr>
            <w:r w:rsidRPr="000337FD">
              <w:rPr>
                <w:rFonts w:cs="Arial"/>
                <w:sz w:val="22"/>
                <w:szCs w:val="22"/>
                <w:lang w:val="en"/>
              </w:rPr>
              <w:t>Administration of Menitorix</w:t>
            </w:r>
            <w:r w:rsidRPr="000337FD">
              <w:rPr>
                <w:rFonts w:cs="Arial"/>
                <w:sz w:val="22"/>
                <w:szCs w:val="22"/>
                <w:vertAlign w:val="superscript"/>
                <w:lang w:val="en"/>
              </w:rPr>
              <w:t>®</w:t>
            </w:r>
            <w:r w:rsidRPr="000337FD">
              <w:rPr>
                <w:rFonts w:cs="Arial"/>
                <w:sz w:val="22"/>
                <w:szCs w:val="22"/>
                <w:lang w:val="en"/>
              </w:rPr>
              <w:t xml:space="preserve"> by deep subcutaneous injection to patients with a bleeding disorder is off-label administration in line with advice in </w:t>
            </w:r>
            <w:hyperlink r:id="rId26" w:history="1">
              <w:r w:rsidRPr="000337FD">
                <w:rPr>
                  <w:rStyle w:val="Hyperlink"/>
                  <w:rFonts w:eastAsia="Arial" w:cs="Arial"/>
                  <w:sz w:val="22"/>
                  <w:szCs w:val="22"/>
                </w:rPr>
                <w:t>Chapter 4</w:t>
              </w:r>
            </w:hyperlink>
            <w:r w:rsidRPr="000337FD">
              <w:rPr>
                <w:rFonts w:cs="Arial"/>
                <w:sz w:val="22"/>
                <w:szCs w:val="22"/>
                <w:lang w:val="en"/>
              </w:rPr>
              <w:t xml:space="preserve"> and </w:t>
            </w:r>
            <w:hyperlink r:id="rId27" w:history="1">
              <w:r w:rsidRPr="000337FD">
                <w:rPr>
                  <w:rStyle w:val="Hyperlink"/>
                  <w:rFonts w:eastAsia="Arial" w:cs="Arial"/>
                  <w:sz w:val="22"/>
                  <w:szCs w:val="22"/>
                </w:rPr>
                <w:t>Chapter 22</w:t>
              </w:r>
            </w:hyperlink>
            <w:r w:rsidRPr="000337FD">
              <w:rPr>
                <w:rFonts w:cs="Arial"/>
                <w:sz w:val="22"/>
                <w:szCs w:val="22"/>
                <w:lang w:val="en"/>
              </w:rPr>
              <w:t xml:space="preserve"> of “The Green Book”. </w:t>
            </w:r>
          </w:p>
          <w:p w14:paraId="799858D8" w14:textId="74029C56" w:rsidR="0071278F" w:rsidRPr="00FE3F6D" w:rsidRDefault="0071278F" w:rsidP="0071278F">
            <w:pPr>
              <w:spacing w:before="120" w:after="120"/>
              <w:rPr>
                <w:rFonts w:cs="Arial"/>
                <w:iCs/>
                <w:sz w:val="22"/>
                <w:szCs w:val="22"/>
              </w:rPr>
            </w:pPr>
            <w:r w:rsidRPr="00FE3F6D">
              <w:rPr>
                <w:rFonts w:cs="Arial"/>
                <w:sz w:val="22"/>
                <w:szCs w:val="22"/>
                <w:lang w:val="en"/>
              </w:rPr>
              <w:t xml:space="preserve">Vaccine should be stored according to the conditions detailed in the </w:t>
            </w:r>
            <w:hyperlink w:anchor="Storage" w:history="1">
              <w:r w:rsidRPr="00FE3F6D">
                <w:rPr>
                  <w:rStyle w:val="Hyperlink"/>
                  <w:rFonts w:cs="Arial"/>
                  <w:sz w:val="22"/>
                  <w:szCs w:val="22"/>
                  <w:lang w:val="en"/>
                </w:rPr>
                <w:t>Storage section</w:t>
              </w:r>
            </w:hyperlink>
            <w:r w:rsidRPr="00FE3F6D">
              <w:rPr>
                <w:rFonts w:cs="Arial"/>
                <w:sz w:val="22"/>
                <w:szCs w:val="22"/>
                <w:lang w:val="en"/>
              </w:rPr>
              <w:t xml:space="preserve"> below. However, in the event of an inadvertent or unavoidable deviation of these conditions refer to </w:t>
            </w:r>
            <w:hyperlink r:id="rId28" w:history="1">
              <w:r w:rsidRPr="00FE3F6D">
                <w:rPr>
                  <w:rStyle w:val="Hyperlink"/>
                  <w:rFonts w:cs="Arial"/>
                  <w:sz w:val="22"/>
                  <w:szCs w:val="22"/>
                  <w:lang w:val="en"/>
                </w:rPr>
                <w:t>PHE Vaccine Incident Guidance</w:t>
              </w:r>
            </w:hyperlink>
            <w:r w:rsidRPr="00FE3F6D">
              <w:rPr>
                <w:rFonts w:cs="Arial"/>
                <w:sz w:val="22"/>
                <w:szCs w:val="22"/>
                <w:lang w:val="en"/>
              </w:rPr>
              <w:t>. Where vaccine is assessed in accordance with these guidelines as appropriate for continued use this would constitute off-label administration under this PGD.</w:t>
            </w:r>
          </w:p>
          <w:p w14:paraId="3B6DF2F6" w14:textId="5FFF888A" w:rsidR="00E5241F" w:rsidRPr="000337FD" w:rsidRDefault="006A0EF9" w:rsidP="0071278F">
            <w:pPr>
              <w:spacing w:before="120" w:after="120"/>
              <w:rPr>
                <w:rFonts w:cs="Arial"/>
                <w:sz w:val="22"/>
                <w:szCs w:val="22"/>
                <w:lang w:val="en"/>
              </w:rPr>
            </w:pPr>
            <w:r w:rsidRPr="000337FD">
              <w:rPr>
                <w:rFonts w:cs="Arial"/>
                <w:iCs/>
                <w:sz w:val="22"/>
                <w:szCs w:val="22"/>
              </w:rPr>
              <w:t>Where a vaccine is recommended off-label</w:t>
            </w:r>
            <w:r w:rsidR="00612504" w:rsidRPr="000337FD">
              <w:rPr>
                <w:rFonts w:cs="Arial"/>
                <w:iCs/>
                <w:sz w:val="22"/>
                <w:szCs w:val="22"/>
              </w:rPr>
              <w:t xml:space="preserve"> consider, as part of the consent process, informing </w:t>
            </w:r>
            <w:r w:rsidRPr="000337FD">
              <w:rPr>
                <w:rFonts w:cs="Arial"/>
                <w:iCs/>
                <w:sz w:val="22"/>
                <w:szCs w:val="22"/>
              </w:rPr>
              <w:t xml:space="preserve">the individual/patient/carer that the vaccine is being offered in accordance with national guidance but that this is outside the product licence. </w:t>
            </w:r>
          </w:p>
        </w:tc>
      </w:tr>
      <w:tr w:rsidR="00E5241F" w:rsidRPr="00A956FD" w14:paraId="275F250B" w14:textId="77777777" w:rsidTr="0087180E">
        <w:tc>
          <w:tcPr>
            <w:tcW w:w="2977" w:type="dxa"/>
          </w:tcPr>
          <w:p w14:paraId="3AF1481F" w14:textId="77777777" w:rsidR="00E5241F" w:rsidRDefault="00E5241F" w:rsidP="007E045E">
            <w:pPr>
              <w:spacing w:before="120" w:after="120"/>
              <w:rPr>
                <w:rFonts w:cs="Arial"/>
                <w:b/>
                <w:sz w:val="22"/>
                <w:szCs w:val="22"/>
              </w:rPr>
            </w:pPr>
            <w:r w:rsidRPr="00090CE1">
              <w:rPr>
                <w:rFonts w:cs="Arial"/>
                <w:b/>
                <w:sz w:val="22"/>
                <w:szCs w:val="22"/>
              </w:rPr>
              <w:t>Route / method of administration</w:t>
            </w:r>
          </w:p>
          <w:p w14:paraId="5568B26A" w14:textId="77777777" w:rsidR="007204C5" w:rsidRDefault="007204C5" w:rsidP="007E045E">
            <w:pPr>
              <w:spacing w:before="120" w:after="120"/>
              <w:rPr>
                <w:rFonts w:cs="Arial"/>
                <w:b/>
                <w:sz w:val="22"/>
                <w:szCs w:val="22"/>
              </w:rPr>
            </w:pPr>
          </w:p>
          <w:p w14:paraId="2C916E97" w14:textId="77777777" w:rsidR="007204C5" w:rsidRDefault="007204C5" w:rsidP="007939D3">
            <w:pPr>
              <w:spacing w:before="120" w:after="120"/>
              <w:contextualSpacing/>
              <w:rPr>
                <w:rFonts w:cs="Arial"/>
                <w:b/>
                <w:sz w:val="22"/>
                <w:szCs w:val="22"/>
              </w:rPr>
            </w:pPr>
          </w:p>
          <w:p w14:paraId="790FF969" w14:textId="77777777" w:rsidR="007939D3" w:rsidRDefault="007939D3" w:rsidP="007939D3">
            <w:pPr>
              <w:spacing w:before="120" w:after="120"/>
              <w:contextualSpacing/>
              <w:rPr>
                <w:rFonts w:cs="Arial"/>
                <w:sz w:val="22"/>
                <w:szCs w:val="22"/>
              </w:rPr>
            </w:pPr>
          </w:p>
          <w:p w14:paraId="03A86092" w14:textId="77777777" w:rsidR="007939D3" w:rsidRDefault="007939D3" w:rsidP="007939D3">
            <w:pPr>
              <w:spacing w:before="120" w:after="120"/>
              <w:contextualSpacing/>
              <w:rPr>
                <w:rFonts w:cs="Arial"/>
                <w:sz w:val="22"/>
                <w:szCs w:val="22"/>
              </w:rPr>
            </w:pPr>
          </w:p>
          <w:p w14:paraId="73A6D464" w14:textId="77777777" w:rsidR="007939D3" w:rsidRDefault="007939D3" w:rsidP="007939D3">
            <w:pPr>
              <w:spacing w:before="120" w:after="120"/>
              <w:contextualSpacing/>
              <w:rPr>
                <w:rFonts w:cs="Arial"/>
                <w:sz w:val="22"/>
                <w:szCs w:val="22"/>
              </w:rPr>
            </w:pPr>
          </w:p>
          <w:p w14:paraId="1E82111A" w14:textId="77777777" w:rsidR="007939D3" w:rsidRDefault="007939D3" w:rsidP="007939D3">
            <w:pPr>
              <w:spacing w:before="120" w:after="120"/>
              <w:contextualSpacing/>
              <w:rPr>
                <w:rFonts w:cs="Arial"/>
                <w:sz w:val="22"/>
                <w:szCs w:val="22"/>
              </w:rPr>
            </w:pPr>
          </w:p>
          <w:p w14:paraId="0BDD0CC3" w14:textId="77777777" w:rsidR="007939D3" w:rsidRDefault="007939D3" w:rsidP="007939D3">
            <w:pPr>
              <w:spacing w:before="120" w:after="120"/>
              <w:contextualSpacing/>
              <w:rPr>
                <w:rFonts w:cs="Arial"/>
                <w:sz w:val="22"/>
                <w:szCs w:val="22"/>
              </w:rPr>
            </w:pPr>
          </w:p>
          <w:p w14:paraId="543BF0E6" w14:textId="77777777" w:rsidR="007939D3" w:rsidRDefault="007939D3" w:rsidP="007939D3">
            <w:pPr>
              <w:spacing w:before="120" w:after="120"/>
              <w:contextualSpacing/>
              <w:rPr>
                <w:rFonts w:cs="Arial"/>
                <w:sz w:val="22"/>
                <w:szCs w:val="22"/>
              </w:rPr>
            </w:pPr>
          </w:p>
          <w:p w14:paraId="46214D64" w14:textId="77777777" w:rsidR="007939D3" w:rsidRDefault="007939D3" w:rsidP="007939D3">
            <w:pPr>
              <w:spacing w:before="120" w:after="120"/>
              <w:contextualSpacing/>
              <w:rPr>
                <w:rFonts w:cs="Arial"/>
                <w:sz w:val="22"/>
                <w:szCs w:val="22"/>
              </w:rPr>
            </w:pPr>
          </w:p>
          <w:p w14:paraId="76764F76" w14:textId="77777777" w:rsidR="007939D3" w:rsidRDefault="007939D3" w:rsidP="007939D3">
            <w:pPr>
              <w:spacing w:before="120" w:after="120"/>
              <w:contextualSpacing/>
              <w:rPr>
                <w:rFonts w:cs="Arial"/>
                <w:sz w:val="22"/>
                <w:szCs w:val="22"/>
              </w:rPr>
            </w:pPr>
          </w:p>
          <w:p w14:paraId="5EDEDF59" w14:textId="77777777" w:rsidR="007939D3" w:rsidRDefault="007939D3" w:rsidP="007939D3">
            <w:pPr>
              <w:spacing w:before="120" w:after="120"/>
              <w:contextualSpacing/>
              <w:rPr>
                <w:rFonts w:cs="Arial"/>
                <w:sz w:val="22"/>
                <w:szCs w:val="22"/>
              </w:rPr>
            </w:pPr>
          </w:p>
          <w:p w14:paraId="6D7D8F20" w14:textId="77777777" w:rsidR="007939D3" w:rsidRDefault="007939D3" w:rsidP="007939D3">
            <w:pPr>
              <w:spacing w:before="120" w:after="120"/>
              <w:contextualSpacing/>
              <w:rPr>
                <w:rFonts w:cs="Arial"/>
                <w:sz w:val="22"/>
                <w:szCs w:val="22"/>
              </w:rPr>
            </w:pPr>
          </w:p>
          <w:p w14:paraId="6B198A17" w14:textId="77777777" w:rsidR="007939D3" w:rsidRDefault="007939D3" w:rsidP="007939D3">
            <w:pPr>
              <w:spacing w:before="120" w:after="120"/>
              <w:contextualSpacing/>
              <w:rPr>
                <w:rFonts w:cs="Arial"/>
                <w:sz w:val="22"/>
                <w:szCs w:val="22"/>
              </w:rPr>
            </w:pPr>
          </w:p>
          <w:p w14:paraId="2B53E30F" w14:textId="77777777" w:rsidR="007939D3" w:rsidRDefault="007939D3" w:rsidP="007939D3">
            <w:pPr>
              <w:spacing w:before="120" w:after="120"/>
              <w:contextualSpacing/>
              <w:rPr>
                <w:rFonts w:cs="Arial"/>
                <w:sz w:val="22"/>
                <w:szCs w:val="22"/>
              </w:rPr>
            </w:pPr>
          </w:p>
          <w:p w14:paraId="003ACACF" w14:textId="77777777" w:rsidR="007939D3" w:rsidRDefault="007939D3" w:rsidP="007939D3">
            <w:pPr>
              <w:spacing w:before="120" w:after="120"/>
              <w:contextualSpacing/>
              <w:rPr>
                <w:rFonts w:cs="Arial"/>
                <w:sz w:val="22"/>
                <w:szCs w:val="22"/>
              </w:rPr>
            </w:pPr>
          </w:p>
          <w:p w14:paraId="4E8ED1BD" w14:textId="77777777" w:rsidR="007939D3" w:rsidRDefault="007939D3" w:rsidP="007939D3">
            <w:pPr>
              <w:spacing w:before="120" w:after="120"/>
              <w:contextualSpacing/>
              <w:rPr>
                <w:rFonts w:cs="Arial"/>
                <w:sz w:val="22"/>
                <w:szCs w:val="22"/>
              </w:rPr>
            </w:pPr>
          </w:p>
          <w:p w14:paraId="27CA1EBB" w14:textId="77777777" w:rsidR="007939D3" w:rsidRDefault="007939D3" w:rsidP="007939D3">
            <w:pPr>
              <w:spacing w:before="120" w:after="120"/>
              <w:contextualSpacing/>
              <w:rPr>
                <w:rFonts w:cs="Arial"/>
                <w:sz w:val="22"/>
                <w:szCs w:val="22"/>
              </w:rPr>
            </w:pPr>
          </w:p>
          <w:p w14:paraId="10482F48" w14:textId="77777777" w:rsidR="007939D3" w:rsidRDefault="007939D3" w:rsidP="007939D3">
            <w:pPr>
              <w:spacing w:before="120" w:after="120"/>
              <w:contextualSpacing/>
              <w:rPr>
                <w:rFonts w:cs="Arial"/>
                <w:sz w:val="22"/>
                <w:szCs w:val="22"/>
              </w:rPr>
            </w:pPr>
          </w:p>
          <w:p w14:paraId="722E4ADD" w14:textId="77777777" w:rsidR="007939D3" w:rsidRDefault="007939D3" w:rsidP="007939D3">
            <w:pPr>
              <w:spacing w:before="120" w:after="120"/>
              <w:contextualSpacing/>
              <w:rPr>
                <w:rFonts w:cs="Arial"/>
                <w:sz w:val="22"/>
                <w:szCs w:val="22"/>
              </w:rPr>
            </w:pPr>
          </w:p>
          <w:p w14:paraId="600963A8" w14:textId="6D4D8496" w:rsidR="00DD6608" w:rsidRPr="007939D3" w:rsidRDefault="007939D3" w:rsidP="007939D3">
            <w:pPr>
              <w:spacing w:before="120" w:after="120"/>
              <w:contextualSpacing/>
              <w:rPr>
                <w:rFonts w:cs="Arial"/>
                <w:sz w:val="22"/>
                <w:szCs w:val="22"/>
              </w:rPr>
            </w:pPr>
            <w:r w:rsidRPr="007939D3">
              <w:rPr>
                <w:rFonts w:cs="Arial"/>
                <w:sz w:val="22"/>
                <w:szCs w:val="22"/>
              </w:rPr>
              <w:t>Continued over page</w:t>
            </w:r>
          </w:p>
          <w:p w14:paraId="5A2009A0" w14:textId="77777777" w:rsidR="007939D3" w:rsidRDefault="007939D3" w:rsidP="007939D3">
            <w:pPr>
              <w:spacing w:before="120" w:after="120"/>
              <w:contextualSpacing/>
              <w:rPr>
                <w:rFonts w:cs="Arial"/>
                <w:b/>
                <w:sz w:val="22"/>
                <w:szCs w:val="22"/>
              </w:rPr>
            </w:pPr>
            <w:r w:rsidRPr="00090CE1">
              <w:rPr>
                <w:rFonts w:cs="Arial"/>
                <w:b/>
                <w:sz w:val="22"/>
                <w:szCs w:val="22"/>
              </w:rPr>
              <w:lastRenderedPageBreak/>
              <w:t>Route / method of administration</w:t>
            </w:r>
          </w:p>
          <w:p w14:paraId="4125B619" w14:textId="70A7874A" w:rsidR="007204C5" w:rsidRPr="007204C5" w:rsidRDefault="007939D3" w:rsidP="007939D3">
            <w:pPr>
              <w:spacing w:before="120" w:after="120"/>
              <w:contextualSpacing/>
              <w:rPr>
                <w:rFonts w:cs="Arial"/>
                <w:color w:val="FF0000"/>
                <w:sz w:val="22"/>
                <w:szCs w:val="22"/>
              </w:rPr>
            </w:pPr>
            <w:r w:rsidRPr="007939D3">
              <w:rPr>
                <w:rFonts w:cs="Arial"/>
                <w:sz w:val="22"/>
                <w:szCs w:val="22"/>
              </w:rPr>
              <w:t>(continued)</w:t>
            </w:r>
          </w:p>
        </w:tc>
        <w:tc>
          <w:tcPr>
            <w:tcW w:w="6946" w:type="dxa"/>
          </w:tcPr>
          <w:p w14:paraId="02EC9A83" w14:textId="77777777" w:rsidR="00E5241F" w:rsidRPr="000337FD" w:rsidRDefault="00E5241F" w:rsidP="00A9535E">
            <w:pPr>
              <w:shd w:val="clear" w:color="auto" w:fill="FFFFFF"/>
              <w:overflowPunct/>
              <w:autoSpaceDE/>
              <w:autoSpaceDN/>
              <w:adjustRightInd/>
              <w:spacing w:before="120" w:after="120"/>
              <w:textAlignment w:val="auto"/>
              <w:rPr>
                <w:rFonts w:cs="Arial"/>
                <w:sz w:val="22"/>
                <w:szCs w:val="22"/>
              </w:rPr>
            </w:pPr>
            <w:r w:rsidRPr="000337FD">
              <w:rPr>
                <w:rFonts w:cs="Arial"/>
                <w:sz w:val="22"/>
                <w:szCs w:val="22"/>
              </w:rPr>
              <w:lastRenderedPageBreak/>
              <w:t xml:space="preserve">The </w:t>
            </w:r>
            <w:r w:rsidRPr="0071278F">
              <w:rPr>
                <w:rFonts w:cs="Arial"/>
                <w:sz w:val="22"/>
                <w:szCs w:val="22"/>
              </w:rPr>
              <w:t>vaccine must be reconstituted in</w:t>
            </w:r>
            <w:r w:rsidRPr="000337FD">
              <w:rPr>
                <w:rFonts w:cs="Arial"/>
                <w:sz w:val="22"/>
                <w:szCs w:val="22"/>
              </w:rPr>
              <w:t xml:space="preserve"> accordance with the manufacturer’s instructions prior to administration.</w:t>
            </w:r>
          </w:p>
          <w:p w14:paraId="49F03A2D" w14:textId="5E85F928" w:rsidR="00E5241F" w:rsidRPr="000337FD" w:rsidRDefault="00E5241F" w:rsidP="00A9535E">
            <w:pPr>
              <w:shd w:val="clear" w:color="auto" w:fill="FFFFFF"/>
              <w:overflowPunct/>
              <w:autoSpaceDE/>
              <w:autoSpaceDN/>
              <w:adjustRightInd/>
              <w:spacing w:before="120" w:after="120"/>
              <w:textAlignment w:val="auto"/>
              <w:rPr>
                <w:rFonts w:cs="Arial"/>
                <w:sz w:val="22"/>
                <w:szCs w:val="22"/>
              </w:rPr>
            </w:pPr>
            <w:r w:rsidRPr="0071278F">
              <w:rPr>
                <w:rFonts w:cs="Arial"/>
                <w:sz w:val="22"/>
                <w:szCs w:val="22"/>
              </w:rPr>
              <w:t>Administer by intramuscular injection</w:t>
            </w:r>
            <w:r w:rsidR="0071278F">
              <w:rPr>
                <w:rFonts w:cs="Arial"/>
                <w:sz w:val="22"/>
                <w:szCs w:val="22"/>
              </w:rPr>
              <w:t>, preferably into t</w:t>
            </w:r>
            <w:r w:rsidRPr="0071278F">
              <w:rPr>
                <w:rFonts w:cs="Arial"/>
                <w:sz w:val="22"/>
                <w:szCs w:val="22"/>
              </w:rPr>
              <w:t>he</w:t>
            </w:r>
            <w:r w:rsidRPr="000337FD">
              <w:rPr>
                <w:rFonts w:cs="Arial"/>
                <w:sz w:val="22"/>
                <w:szCs w:val="22"/>
              </w:rPr>
              <w:t xml:space="preserve"> deltoid region of the upper arm</w:t>
            </w:r>
            <w:r w:rsidR="0071278F">
              <w:rPr>
                <w:rFonts w:cs="Arial"/>
                <w:sz w:val="22"/>
                <w:szCs w:val="22"/>
              </w:rPr>
              <w:t>.</w:t>
            </w:r>
            <w:r w:rsidRPr="000337FD">
              <w:rPr>
                <w:rFonts w:cs="Arial"/>
                <w:sz w:val="22"/>
                <w:szCs w:val="22"/>
              </w:rPr>
              <w:t xml:space="preserve"> </w:t>
            </w:r>
          </w:p>
          <w:p w14:paraId="1FF4BF19" w14:textId="0DBE1F8B" w:rsidR="00E5241F" w:rsidRPr="000337FD" w:rsidRDefault="00E5241F" w:rsidP="00A9535E">
            <w:pPr>
              <w:spacing w:before="120" w:after="120"/>
              <w:rPr>
                <w:rFonts w:cs="Arial"/>
                <w:sz w:val="22"/>
                <w:szCs w:val="22"/>
              </w:rPr>
            </w:pPr>
            <w:r w:rsidRPr="000337FD">
              <w:rPr>
                <w:rFonts w:cs="Arial"/>
                <w:sz w:val="22"/>
                <w:szCs w:val="22"/>
              </w:rPr>
              <w:t>When administering at the same time as other vaccines</w:t>
            </w:r>
            <w:r w:rsidR="00130D35" w:rsidRPr="000337FD">
              <w:rPr>
                <w:rFonts w:cs="Arial"/>
                <w:sz w:val="22"/>
                <w:szCs w:val="22"/>
              </w:rPr>
              <w:t>,</w:t>
            </w:r>
            <w:r w:rsidRPr="000337FD">
              <w:rPr>
                <w:rFonts w:cs="Arial"/>
                <w:sz w:val="22"/>
                <w:szCs w:val="22"/>
              </w:rPr>
              <w:t xml:space="preserve">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0B53D809" w14:textId="77777777" w:rsidR="00E5241F" w:rsidRPr="000337FD" w:rsidRDefault="00E5241F" w:rsidP="00A9535E">
            <w:pPr>
              <w:spacing w:before="120" w:after="120"/>
              <w:rPr>
                <w:rFonts w:cs="Arial"/>
                <w:sz w:val="22"/>
                <w:szCs w:val="22"/>
              </w:rPr>
            </w:pPr>
            <w:r w:rsidRPr="000337FD">
              <w:rPr>
                <w:rFonts w:cs="Arial"/>
                <w:sz w:val="22"/>
                <w:szCs w:val="22"/>
              </w:rPr>
              <w:t xml:space="preserve">For individuals with a bleeding disorder, vaccines normally given by an intramuscular route should be given by deep subcutaneous injection to reduce the risk of bleeding (see “The Green Book” </w:t>
            </w:r>
            <w:hyperlink r:id="rId29" w:history="1">
              <w:r w:rsidRPr="000337FD">
                <w:rPr>
                  <w:rStyle w:val="Hyperlink"/>
                  <w:rFonts w:eastAsia="Arial" w:cs="Arial"/>
                  <w:sz w:val="22"/>
                  <w:szCs w:val="22"/>
                </w:rPr>
                <w:t>Chapter 4</w:t>
              </w:r>
            </w:hyperlink>
            <w:r w:rsidRPr="000337FD">
              <w:rPr>
                <w:rFonts w:cs="Arial"/>
                <w:sz w:val="22"/>
                <w:szCs w:val="22"/>
              </w:rPr>
              <w:t>).</w:t>
            </w:r>
          </w:p>
          <w:p w14:paraId="2A937C5B" w14:textId="77777777" w:rsidR="00E5241F" w:rsidRPr="000337FD" w:rsidRDefault="00E5241F" w:rsidP="00A9535E">
            <w:pPr>
              <w:shd w:val="clear" w:color="auto" w:fill="FFFFFF"/>
              <w:overflowPunct/>
              <w:autoSpaceDE/>
              <w:autoSpaceDN/>
              <w:adjustRightInd/>
              <w:spacing w:before="120" w:after="120"/>
              <w:textAlignment w:val="auto"/>
              <w:rPr>
                <w:rFonts w:cs="Arial"/>
                <w:sz w:val="22"/>
                <w:szCs w:val="22"/>
              </w:rPr>
            </w:pPr>
            <w:r w:rsidRPr="000337FD">
              <w:rPr>
                <w:rFonts w:cs="Arial"/>
                <w:sz w:val="22"/>
                <w:szCs w:val="22"/>
              </w:rPr>
              <w:t>The vaccine's normal appearance is a white powder and a clear colourless solvent. Following reconstitution the vaccine is a clear colourless solution.</w:t>
            </w:r>
          </w:p>
          <w:p w14:paraId="7716738A" w14:textId="77777777" w:rsidR="00E5241F" w:rsidRPr="000337FD" w:rsidRDefault="00E5241F" w:rsidP="00A9535E">
            <w:pPr>
              <w:shd w:val="clear" w:color="auto" w:fill="FFFFFF"/>
              <w:overflowPunct/>
              <w:autoSpaceDE/>
              <w:autoSpaceDN/>
              <w:adjustRightInd/>
              <w:spacing w:before="120" w:after="120"/>
              <w:textAlignment w:val="auto"/>
              <w:rPr>
                <w:rFonts w:cs="Arial"/>
                <w:sz w:val="22"/>
                <w:szCs w:val="22"/>
                <w:lang w:val="en"/>
              </w:rPr>
            </w:pPr>
            <w:r w:rsidRPr="000337FD">
              <w:rPr>
                <w:rFonts w:cs="Arial"/>
                <w:color w:val="000000"/>
                <w:sz w:val="22"/>
                <w:szCs w:val="22"/>
                <w:lang w:val="en"/>
              </w:rPr>
              <w:t xml:space="preserve">The vaccine should be visually inspected for particulate matter and discoloration prior to administration. In the event of any foreign particulate matter and/or variation of physical aspect being observed, </w:t>
            </w:r>
            <w:r w:rsidRPr="000337FD">
              <w:rPr>
                <w:rFonts w:cs="Arial"/>
                <w:color w:val="000000"/>
                <w:sz w:val="22"/>
                <w:szCs w:val="22"/>
                <w:lang w:val="en"/>
              </w:rPr>
              <w:lastRenderedPageBreak/>
              <w:t xml:space="preserve">do not </w:t>
            </w:r>
            <w:r w:rsidRPr="000337FD">
              <w:rPr>
                <w:rFonts w:cs="Arial"/>
                <w:sz w:val="22"/>
                <w:szCs w:val="22"/>
                <w:lang w:val="en"/>
              </w:rPr>
              <w:t xml:space="preserve">administer the vaccine. </w:t>
            </w:r>
          </w:p>
          <w:p w14:paraId="7206F71E" w14:textId="28B1F184" w:rsidR="00E065D3" w:rsidRPr="000337FD" w:rsidRDefault="00E5241F" w:rsidP="00CC6EBA">
            <w:pPr>
              <w:shd w:val="clear" w:color="auto" w:fill="FFFFFF"/>
              <w:overflowPunct/>
              <w:autoSpaceDE/>
              <w:autoSpaceDN/>
              <w:adjustRightInd/>
              <w:textAlignment w:val="auto"/>
              <w:rPr>
                <w:rFonts w:cs="Arial"/>
                <w:sz w:val="22"/>
                <w:szCs w:val="22"/>
              </w:rPr>
            </w:pPr>
            <w:r w:rsidRPr="000337FD">
              <w:rPr>
                <w:rFonts w:cs="Arial"/>
                <w:sz w:val="22"/>
                <w:szCs w:val="22"/>
              </w:rPr>
              <w:t>The vaccine’s SPC provides further guidance on administration and is available from the electronic Medicines Compendium website:</w:t>
            </w:r>
          </w:p>
          <w:p w14:paraId="204237B0" w14:textId="10432CEB" w:rsidR="00E5241F" w:rsidRPr="000337FD" w:rsidRDefault="00E5241F" w:rsidP="00E065D3">
            <w:pPr>
              <w:shd w:val="clear" w:color="auto" w:fill="FFFFFF"/>
              <w:overflowPunct/>
              <w:autoSpaceDE/>
              <w:autoSpaceDN/>
              <w:adjustRightInd/>
              <w:spacing w:after="120"/>
              <w:textAlignment w:val="auto"/>
              <w:rPr>
                <w:rFonts w:cs="Arial"/>
                <w:b/>
                <w:color w:val="FF0000"/>
                <w:spacing w:val="-2"/>
                <w:sz w:val="22"/>
                <w:szCs w:val="22"/>
              </w:rPr>
            </w:pPr>
            <w:r w:rsidRPr="000337FD">
              <w:rPr>
                <w:rFonts w:cs="Arial"/>
                <w:sz w:val="22"/>
                <w:szCs w:val="22"/>
              </w:rPr>
              <w:t xml:space="preserve"> </w:t>
            </w:r>
            <w:hyperlink r:id="rId30" w:history="1">
              <w:r w:rsidRPr="000337FD">
                <w:rPr>
                  <w:rStyle w:val="Hyperlink"/>
                  <w:rFonts w:eastAsia="Arial" w:cs="Arial"/>
                  <w:sz w:val="22"/>
                  <w:szCs w:val="22"/>
                </w:rPr>
                <w:t>www.medicines.org.uk</w:t>
              </w:r>
            </w:hyperlink>
            <w:r w:rsidRPr="000337FD">
              <w:rPr>
                <w:sz w:val="22"/>
                <w:szCs w:val="22"/>
              </w:rPr>
              <w:t xml:space="preserve">  </w:t>
            </w:r>
            <w:r w:rsidRPr="000337FD">
              <w:rPr>
                <w:rFonts w:cs="Arial"/>
                <w:spacing w:val="-2"/>
                <w:sz w:val="22"/>
                <w:szCs w:val="22"/>
              </w:rPr>
              <w:t xml:space="preserve"> </w:t>
            </w:r>
            <w:r w:rsidRPr="000337FD">
              <w:rPr>
                <w:rFonts w:cs="Arial"/>
                <w:b/>
                <w:spacing w:val="-2"/>
                <w:sz w:val="22"/>
                <w:szCs w:val="22"/>
              </w:rPr>
              <w:t xml:space="preserve"> </w:t>
            </w:r>
          </w:p>
        </w:tc>
      </w:tr>
      <w:tr w:rsidR="00E5241F" w:rsidRPr="00A956FD" w14:paraId="1C78947D" w14:textId="77777777" w:rsidTr="0087180E">
        <w:tc>
          <w:tcPr>
            <w:tcW w:w="2977" w:type="dxa"/>
          </w:tcPr>
          <w:p w14:paraId="081CE321" w14:textId="44DEE8F4" w:rsidR="00E5241F" w:rsidRPr="00A956FD" w:rsidRDefault="00E5241F" w:rsidP="001F5127">
            <w:pPr>
              <w:pStyle w:val="Header"/>
              <w:tabs>
                <w:tab w:val="clear" w:pos="4153"/>
                <w:tab w:val="clear" w:pos="8306"/>
              </w:tabs>
              <w:spacing w:before="120" w:after="120"/>
              <w:contextualSpacing/>
              <w:rPr>
                <w:rFonts w:ascii="Arial" w:hAnsi="Arial" w:cs="Arial"/>
                <w:color w:val="FF0000"/>
                <w:sz w:val="22"/>
                <w:szCs w:val="22"/>
              </w:rPr>
            </w:pPr>
            <w:bookmarkStart w:id="3" w:name="doseandfreq"/>
            <w:r w:rsidRPr="00A202D7">
              <w:rPr>
                <w:rFonts w:ascii="Arial" w:hAnsi="Arial" w:cs="Arial"/>
                <w:b/>
                <w:sz w:val="22"/>
                <w:szCs w:val="22"/>
              </w:rPr>
              <w:lastRenderedPageBreak/>
              <w:t>Dose and frequency of administration</w:t>
            </w:r>
            <w:bookmarkEnd w:id="3"/>
          </w:p>
        </w:tc>
        <w:tc>
          <w:tcPr>
            <w:tcW w:w="6946" w:type="dxa"/>
          </w:tcPr>
          <w:p w14:paraId="56CDF4B2" w14:textId="448CC46E" w:rsidR="00E5241F" w:rsidRPr="000337FD" w:rsidRDefault="00E5241F" w:rsidP="00A9535E">
            <w:pPr>
              <w:spacing w:before="120" w:after="120"/>
              <w:rPr>
                <w:rFonts w:cs="Arial"/>
                <w:sz w:val="22"/>
                <w:szCs w:val="22"/>
              </w:rPr>
            </w:pPr>
            <w:r w:rsidRPr="000337FD">
              <w:rPr>
                <w:rFonts w:cs="Arial"/>
                <w:sz w:val="22"/>
                <w:szCs w:val="22"/>
              </w:rPr>
              <w:t xml:space="preserve">Single 0.5ml dose </w:t>
            </w:r>
          </w:p>
          <w:p w14:paraId="18A1DC25" w14:textId="41604918" w:rsidR="00FC39AC" w:rsidRPr="000337FD" w:rsidRDefault="008F521D" w:rsidP="00FC39AC">
            <w:pPr>
              <w:overflowPunct/>
              <w:spacing w:before="120" w:after="120"/>
              <w:textAlignment w:val="auto"/>
              <w:rPr>
                <w:rFonts w:eastAsiaTheme="minorHAnsi" w:cs="Arial"/>
                <w:b/>
                <w:sz w:val="22"/>
                <w:szCs w:val="22"/>
                <w:lang w:eastAsia="en-US"/>
              </w:rPr>
            </w:pPr>
            <w:r w:rsidRPr="000337FD">
              <w:rPr>
                <w:rFonts w:cs="Arial"/>
                <w:b/>
                <w:sz w:val="22"/>
                <w:szCs w:val="22"/>
              </w:rPr>
              <w:t xml:space="preserve">Immunisation of individuals with </w:t>
            </w:r>
            <w:r w:rsidR="003A6A4B" w:rsidRPr="000337FD">
              <w:rPr>
                <w:rFonts w:eastAsiaTheme="minorHAnsi" w:cs="Arial"/>
                <w:b/>
                <w:sz w:val="22"/>
                <w:szCs w:val="22"/>
                <w:lang w:eastAsia="en-US"/>
              </w:rPr>
              <w:t>asplenia</w:t>
            </w:r>
            <w:r w:rsidR="00FC39AC" w:rsidRPr="000337FD">
              <w:rPr>
                <w:rFonts w:eastAsiaTheme="minorHAnsi" w:cs="Arial"/>
                <w:b/>
                <w:sz w:val="22"/>
                <w:szCs w:val="22"/>
                <w:lang w:eastAsia="en-US"/>
              </w:rPr>
              <w:t xml:space="preserve">, splenic dysfunction (including sickle cell </w:t>
            </w:r>
            <w:r w:rsidR="006D16E4" w:rsidRPr="000337FD">
              <w:rPr>
                <w:rFonts w:eastAsiaTheme="minorHAnsi" w:cs="Arial"/>
                <w:b/>
                <w:sz w:val="22"/>
                <w:szCs w:val="22"/>
                <w:lang w:eastAsia="en-US"/>
              </w:rPr>
              <w:t xml:space="preserve">disease </w:t>
            </w:r>
            <w:r w:rsidR="00FC39AC" w:rsidRPr="000337FD">
              <w:rPr>
                <w:rFonts w:eastAsiaTheme="minorHAnsi" w:cs="Arial"/>
                <w:b/>
                <w:sz w:val="22"/>
                <w:szCs w:val="22"/>
                <w:lang w:eastAsia="en-US"/>
              </w:rPr>
              <w:t>and coeliac disease</w:t>
            </w:r>
            <w:r w:rsidR="00EF7100" w:rsidRPr="000337FD">
              <w:rPr>
                <w:rFonts w:eastAsiaTheme="minorHAnsi" w:cs="Arial"/>
                <w:b/>
                <w:sz w:val="22"/>
                <w:szCs w:val="22"/>
                <w:lang w:eastAsia="en-US"/>
              </w:rPr>
              <w:t xml:space="preserve"> with known splenic dysfunction</w:t>
            </w:r>
            <w:r w:rsidR="00FC39AC" w:rsidRPr="000337FD">
              <w:rPr>
                <w:rFonts w:eastAsiaTheme="minorHAnsi" w:cs="Arial"/>
                <w:b/>
                <w:sz w:val="22"/>
                <w:szCs w:val="22"/>
                <w:lang w:eastAsia="en-US"/>
              </w:rPr>
              <w:t>), complement disorder or receiving</w:t>
            </w:r>
            <w:r w:rsidR="00C11E37">
              <w:rPr>
                <w:rFonts w:eastAsiaTheme="minorHAnsi" w:cs="Arial"/>
                <w:b/>
                <w:sz w:val="22"/>
                <w:szCs w:val="22"/>
                <w:lang w:eastAsia="en-US"/>
              </w:rPr>
              <w:t>, or going to receive,</w:t>
            </w:r>
            <w:r w:rsidR="00FC39AC" w:rsidRPr="000337FD">
              <w:rPr>
                <w:rFonts w:eastAsiaTheme="minorHAnsi" w:cs="Arial"/>
                <w:b/>
                <w:sz w:val="22"/>
                <w:szCs w:val="22"/>
                <w:lang w:eastAsia="en-US"/>
              </w:rPr>
              <w:t xml:space="preserve"> complement </w:t>
            </w:r>
            <w:r w:rsidR="00FB4633">
              <w:rPr>
                <w:rFonts w:eastAsiaTheme="minorHAnsi" w:cs="Arial"/>
                <w:b/>
                <w:sz w:val="22"/>
                <w:szCs w:val="22"/>
                <w:lang w:eastAsia="en-US"/>
              </w:rPr>
              <w:t xml:space="preserve">inhibitor </w:t>
            </w:r>
            <w:r w:rsidR="00FC39AC" w:rsidRPr="000337FD">
              <w:rPr>
                <w:rFonts w:eastAsiaTheme="minorHAnsi" w:cs="Arial"/>
                <w:b/>
                <w:sz w:val="22"/>
                <w:szCs w:val="22"/>
                <w:lang w:eastAsia="en-US"/>
              </w:rPr>
              <w:t>therapy</w:t>
            </w:r>
          </w:p>
          <w:p w14:paraId="4F4505B8" w14:textId="67589257" w:rsidR="003A6A4B" w:rsidRPr="000337FD" w:rsidRDefault="008F521D" w:rsidP="00A9535E">
            <w:pPr>
              <w:spacing w:before="120" w:after="120"/>
              <w:rPr>
                <w:rFonts w:cs="Arial"/>
                <w:sz w:val="22"/>
                <w:szCs w:val="22"/>
              </w:rPr>
            </w:pPr>
            <w:r w:rsidRPr="000337FD">
              <w:rPr>
                <w:rFonts w:cs="Arial"/>
                <w:sz w:val="22"/>
                <w:szCs w:val="22"/>
              </w:rPr>
              <w:t>Individuals under 10 years of age should be fully immunised according to the national schedule (see</w:t>
            </w:r>
            <w:r w:rsidR="00533F88" w:rsidRPr="000337FD">
              <w:rPr>
                <w:rFonts w:cs="Arial"/>
                <w:sz w:val="22"/>
                <w:szCs w:val="22"/>
              </w:rPr>
              <w:t xml:space="preserve"> routine</w:t>
            </w:r>
            <w:r w:rsidRPr="000337FD">
              <w:rPr>
                <w:rFonts w:cs="Arial"/>
                <w:sz w:val="22"/>
                <w:szCs w:val="22"/>
              </w:rPr>
              <w:t xml:space="preserve"> </w:t>
            </w:r>
            <w:r w:rsidR="00533F88" w:rsidRPr="000337FD">
              <w:rPr>
                <w:rFonts w:cs="Arial"/>
                <w:sz w:val="22"/>
                <w:szCs w:val="22"/>
              </w:rPr>
              <w:t>Hib/MenC PGD</w:t>
            </w:r>
            <w:r w:rsidRPr="000337FD">
              <w:rPr>
                <w:rFonts w:cs="Arial"/>
                <w:sz w:val="22"/>
                <w:szCs w:val="22"/>
              </w:rPr>
              <w:t>). They should also receive one additional dose of Hib/MenC after their second birthday.</w:t>
            </w:r>
          </w:p>
          <w:p w14:paraId="458F9889" w14:textId="797CCE00" w:rsidR="00FC39AC" w:rsidRPr="000337FD" w:rsidRDefault="00FC39AC" w:rsidP="00A9535E">
            <w:pPr>
              <w:spacing w:before="120" w:after="120"/>
              <w:rPr>
                <w:rFonts w:cs="Arial"/>
                <w:sz w:val="22"/>
                <w:szCs w:val="22"/>
              </w:rPr>
            </w:pPr>
            <w:r w:rsidRPr="000337FD">
              <w:rPr>
                <w:rFonts w:cs="Arial"/>
                <w:sz w:val="22"/>
                <w:szCs w:val="22"/>
              </w:rPr>
              <w:t>Individuals diagnosed at age 10 years and over should receive one dose of Hib/MenC rega</w:t>
            </w:r>
            <w:r w:rsidR="001F08E9" w:rsidRPr="000337FD">
              <w:rPr>
                <w:rFonts w:cs="Arial"/>
                <w:sz w:val="22"/>
                <w:szCs w:val="22"/>
              </w:rPr>
              <w:t>rdless of their</w:t>
            </w:r>
            <w:r w:rsidRPr="000337FD">
              <w:rPr>
                <w:rFonts w:cs="Arial"/>
                <w:sz w:val="22"/>
                <w:szCs w:val="22"/>
              </w:rPr>
              <w:t xml:space="preserve"> previous vaccination history</w:t>
            </w:r>
            <w:r w:rsidR="0025308F" w:rsidRPr="000337FD">
              <w:rPr>
                <w:rFonts w:cs="Arial"/>
                <w:sz w:val="22"/>
                <w:szCs w:val="22"/>
              </w:rPr>
              <w:t>.</w:t>
            </w:r>
          </w:p>
          <w:p w14:paraId="0D001DE0" w14:textId="6C27FA9A" w:rsidR="00650FD1" w:rsidRPr="000337FD" w:rsidRDefault="00650FD1" w:rsidP="00650FD1">
            <w:pPr>
              <w:pStyle w:val="CommentText"/>
              <w:rPr>
                <w:rFonts w:cs="Arial"/>
                <w:sz w:val="22"/>
                <w:szCs w:val="22"/>
              </w:rPr>
            </w:pPr>
            <w:r w:rsidRPr="000337FD">
              <w:rPr>
                <w:rFonts w:cs="Arial"/>
                <w:sz w:val="22"/>
                <w:szCs w:val="22"/>
              </w:rPr>
              <w:t xml:space="preserve">Note: The dosing information for at risk individuals in Green Book </w:t>
            </w:r>
            <w:hyperlink r:id="rId31" w:history="1">
              <w:r w:rsidR="00C11E37" w:rsidRPr="000337FD">
                <w:rPr>
                  <w:rStyle w:val="Hyperlink"/>
                  <w:rFonts w:cs="Arial"/>
                  <w:sz w:val="22"/>
                  <w:szCs w:val="22"/>
                </w:rPr>
                <w:t>Chapter 16</w:t>
              </w:r>
            </w:hyperlink>
            <w:r w:rsidRPr="000337FD">
              <w:rPr>
                <w:rFonts w:cs="Arial"/>
                <w:sz w:val="22"/>
                <w:szCs w:val="22"/>
              </w:rPr>
              <w:t xml:space="preserve"> (published March 2011) differs from and has been superseded by the advised dosing in </w:t>
            </w:r>
            <w:hyperlink r:id="rId32" w:history="1">
              <w:r w:rsidR="00C11E37" w:rsidRPr="000337FD">
                <w:rPr>
                  <w:rStyle w:val="Hyperlink"/>
                  <w:rFonts w:cs="Arial"/>
                  <w:sz w:val="22"/>
                  <w:szCs w:val="22"/>
                </w:rPr>
                <w:t>Chapter 7</w:t>
              </w:r>
            </w:hyperlink>
            <w:r w:rsidRPr="000337FD">
              <w:rPr>
                <w:rFonts w:cs="Arial"/>
                <w:sz w:val="22"/>
                <w:szCs w:val="22"/>
              </w:rPr>
              <w:t xml:space="preserve"> (published Sept 2016).</w:t>
            </w:r>
          </w:p>
          <w:p w14:paraId="0446320F" w14:textId="77777777" w:rsidR="00E5241F" w:rsidRPr="000337FD" w:rsidRDefault="00E5241F" w:rsidP="00A9535E">
            <w:pPr>
              <w:spacing w:before="120" w:after="120"/>
              <w:rPr>
                <w:rFonts w:eastAsiaTheme="minorHAnsi" w:cs="Arial"/>
                <w:b/>
                <w:sz w:val="22"/>
                <w:szCs w:val="22"/>
                <w:lang w:eastAsia="en-US"/>
              </w:rPr>
            </w:pPr>
            <w:r w:rsidRPr="000337FD">
              <w:rPr>
                <w:rFonts w:eastAsiaTheme="minorHAnsi" w:cs="Arial"/>
                <w:b/>
                <w:sz w:val="22"/>
                <w:szCs w:val="22"/>
                <w:lang w:eastAsia="en-US"/>
              </w:rPr>
              <w:t>Incomplete immunisation history</w:t>
            </w:r>
          </w:p>
          <w:p w14:paraId="678F9247" w14:textId="4E3D8CCB" w:rsidR="009B42F8" w:rsidRPr="000337FD" w:rsidRDefault="00E5241F" w:rsidP="00A362EB">
            <w:pPr>
              <w:spacing w:before="120" w:after="120"/>
              <w:rPr>
                <w:rFonts w:eastAsiaTheme="minorHAnsi" w:cs="Arial"/>
                <w:sz w:val="22"/>
                <w:szCs w:val="22"/>
                <w:lang w:eastAsia="en-US"/>
              </w:rPr>
            </w:pPr>
            <w:r w:rsidRPr="000337FD">
              <w:rPr>
                <w:rFonts w:eastAsiaTheme="minorHAnsi" w:cs="Arial"/>
                <w:sz w:val="22"/>
                <w:szCs w:val="22"/>
                <w:lang w:eastAsia="en-US"/>
              </w:rPr>
              <w:t xml:space="preserve">All unimmunised or incompletely immunised children under 10 years of age require one dose of Hib and MenC over the age of </w:t>
            </w:r>
            <w:r w:rsidR="00150743" w:rsidRPr="000337FD">
              <w:rPr>
                <w:rFonts w:eastAsiaTheme="minorHAnsi" w:cs="Arial"/>
                <w:sz w:val="22"/>
                <w:szCs w:val="22"/>
                <w:lang w:eastAsia="en-US"/>
              </w:rPr>
              <w:t>1 year</w:t>
            </w:r>
            <w:r w:rsidRPr="000337FD">
              <w:rPr>
                <w:rFonts w:eastAsiaTheme="minorHAnsi" w:cs="Arial"/>
                <w:sz w:val="22"/>
                <w:szCs w:val="22"/>
                <w:lang w:eastAsia="en-US"/>
              </w:rPr>
              <w:t xml:space="preserve"> in accordance with the </w:t>
            </w:r>
            <w:hyperlink r:id="rId33" w:history="1">
              <w:r w:rsidRPr="000337FD">
                <w:rPr>
                  <w:rStyle w:val="Hyperlink"/>
                  <w:sz w:val="22"/>
                  <w:szCs w:val="22"/>
                </w:rPr>
                <w:t>vaccination of individuals with uncertain or incomplete immunisation status</w:t>
              </w:r>
            </w:hyperlink>
            <w:r w:rsidRPr="000337FD">
              <w:rPr>
                <w:rFonts w:eastAsiaTheme="minorHAnsi" w:cs="Arial"/>
                <w:sz w:val="22"/>
                <w:szCs w:val="22"/>
                <w:lang w:eastAsia="en-US"/>
              </w:rPr>
              <w:t xml:space="preserve"> flow chart</w:t>
            </w:r>
            <w:r w:rsidR="00533F88" w:rsidRPr="000337FD">
              <w:rPr>
                <w:rFonts w:eastAsiaTheme="minorHAnsi" w:cs="Arial"/>
                <w:sz w:val="22"/>
                <w:szCs w:val="22"/>
                <w:lang w:eastAsia="en-US"/>
              </w:rPr>
              <w:t xml:space="preserve"> (see </w:t>
            </w:r>
            <w:r w:rsidR="00DC084C" w:rsidRPr="000337FD">
              <w:rPr>
                <w:rFonts w:eastAsiaTheme="minorHAnsi" w:cs="Arial"/>
                <w:sz w:val="22"/>
                <w:szCs w:val="22"/>
                <w:lang w:eastAsia="en-US"/>
              </w:rPr>
              <w:t>r</w:t>
            </w:r>
            <w:r w:rsidR="00533F88" w:rsidRPr="000337FD">
              <w:rPr>
                <w:rFonts w:eastAsiaTheme="minorHAnsi" w:cs="Arial"/>
                <w:sz w:val="22"/>
                <w:szCs w:val="22"/>
                <w:lang w:eastAsia="en-US"/>
              </w:rPr>
              <w:t>outine Hib/MenC PGD)</w:t>
            </w:r>
            <w:r w:rsidRPr="000337FD">
              <w:rPr>
                <w:rFonts w:eastAsiaTheme="minorHAnsi" w:cs="Arial"/>
                <w:sz w:val="22"/>
                <w:szCs w:val="22"/>
                <w:lang w:eastAsia="en-US"/>
              </w:rPr>
              <w:t>.</w:t>
            </w:r>
            <w:r w:rsidR="00FC39AC" w:rsidRPr="000337FD">
              <w:rPr>
                <w:rFonts w:eastAsiaTheme="minorHAnsi" w:cs="Arial"/>
                <w:sz w:val="22"/>
                <w:szCs w:val="22"/>
                <w:lang w:eastAsia="en-US"/>
              </w:rPr>
              <w:t xml:space="preserve"> Individuals </w:t>
            </w:r>
            <w:r w:rsidR="003A6A4B" w:rsidRPr="000337FD">
              <w:rPr>
                <w:rFonts w:eastAsiaTheme="minorHAnsi" w:cs="Arial"/>
                <w:sz w:val="22"/>
                <w:szCs w:val="22"/>
                <w:lang w:eastAsia="en-US"/>
              </w:rPr>
              <w:t xml:space="preserve">under 10 years of age </w:t>
            </w:r>
            <w:r w:rsidR="00FC39AC" w:rsidRPr="000337FD">
              <w:rPr>
                <w:rFonts w:eastAsiaTheme="minorHAnsi" w:cs="Arial"/>
                <w:sz w:val="22"/>
                <w:szCs w:val="22"/>
                <w:lang w:eastAsia="en-US"/>
              </w:rPr>
              <w:t>with u</w:t>
            </w:r>
            <w:r w:rsidR="00653B01" w:rsidRPr="000337FD">
              <w:rPr>
                <w:rFonts w:eastAsiaTheme="minorHAnsi" w:cs="Arial"/>
                <w:sz w:val="22"/>
                <w:szCs w:val="22"/>
                <w:lang w:eastAsia="en-US"/>
              </w:rPr>
              <w:t>nderlying medical conditions as detailed above also</w:t>
            </w:r>
            <w:r w:rsidR="00FC39AC" w:rsidRPr="000337FD">
              <w:rPr>
                <w:rFonts w:eastAsiaTheme="minorHAnsi" w:cs="Arial"/>
                <w:sz w:val="22"/>
                <w:szCs w:val="22"/>
                <w:lang w:eastAsia="en-US"/>
              </w:rPr>
              <w:t xml:space="preserve"> require </w:t>
            </w:r>
            <w:r w:rsidR="00653B01" w:rsidRPr="000337FD">
              <w:rPr>
                <w:rFonts w:eastAsiaTheme="minorHAnsi" w:cs="Arial"/>
                <w:sz w:val="22"/>
                <w:szCs w:val="22"/>
                <w:lang w:eastAsia="en-US"/>
              </w:rPr>
              <w:t xml:space="preserve">an </w:t>
            </w:r>
            <w:r w:rsidR="00FC39AC" w:rsidRPr="000337FD">
              <w:rPr>
                <w:rFonts w:eastAsiaTheme="minorHAnsi" w:cs="Arial"/>
                <w:sz w:val="22"/>
                <w:szCs w:val="22"/>
                <w:lang w:eastAsia="en-US"/>
              </w:rPr>
              <w:t xml:space="preserve">additional </w:t>
            </w:r>
            <w:r w:rsidR="00653B01" w:rsidRPr="000337FD">
              <w:rPr>
                <w:rFonts w:eastAsiaTheme="minorHAnsi" w:cs="Arial"/>
                <w:sz w:val="22"/>
                <w:szCs w:val="22"/>
                <w:lang w:eastAsia="en-US"/>
              </w:rPr>
              <w:t>dose</w:t>
            </w:r>
            <w:r w:rsidR="003A6A4B" w:rsidRPr="000337FD">
              <w:rPr>
                <w:rFonts w:eastAsiaTheme="minorHAnsi" w:cs="Arial"/>
                <w:sz w:val="22"/>
                <w:szCs w:val="22"/>
                <w:lang w:eastAsia="en-US"/>
              </w:rPr>
              <w:t xml:space="preserve"> of Hib</w:t>
            </w:r>
            <w:r w:rsidR="00B53D05" w:rsidRPr="000337FD">
              <w:rPr>
                <w:rFonts w:eastAsiaTheme="minorHAnsi" w:cs="Arial"/>
                <w:sz w:val="22"/>
                <w:szCs w:val="22"/>
                <w:lang w:eastAsia="en-US"/>
              </w:rPr>
              <w:t>/MenC</w:t>
            </w:r>
            <w:r w:rsidR="003A6A4B" w:rsidRPr="000337FD">
              <w:rPr>
                <w:rFonts w:eastAsiaTheme="minorHAnsi" w:cs="Arial"/>
                <w:sz w:val="22"/>
                <w:szCs w:val="22"/>
                <w:lang w:eastAsia="en-US"/>
              </w:rPr>
              <w:t xml:space="preserve"> over the age of 2 years.</w:t>
            </w:r>
            <w:r w:rsidR="008A0351" w:rsidRPr="000337FD">
              <w:rPr>
                <w:rFonts w:eastAsiaTheme="minorHAnsi" w:cs="Arial"/>
                <w:sz w:val="22"/>
                <w:szCs w:val="22"/>
                <w:lang w:eastAsia="en-US"/>
              </w:rPr>
              <w:t xml:space="preserve"> </w:t>
            </w:r>
            <w:r w:rsidR="009B42F8" w:rsidRPr="000337FD">
              <w:rPr>
                <w:rFonts w:cs="Arial"/>
                <w:sz w:val="22"/>
                <w:szCs w:val="22"/>
              </w:rPr>
              <w:t>Where the routine Hib/MenC dose has been delayed a minimum interval of 4 weeks should elapse between Hib/MenC doses.</w:t>
            </w:r>
          </w:p>
          <w:p w14:paraId="2F7C5876" w14:textId="77777777" w:rsidR="009B42F8" w:rsidRPr="000337FD" w:rsidRDefault="009B42F8" w:rsidP="009B42F8">
            <w:pPr>
              <w:pStyle w:val="CommentText"/>
              <w:rPr>
                <w:rFonts w:cs="Arial"/>
                <w:sz w:val="22"/>
                <w:szCs w:val="22"/>
              </w:rPr>
            </w:pPr>
            <w:r w:rsidRPr="000337FD">
              <w:rPr>
                <w:rFonts w:cs="Arial"/>
                <w:sz w:val="22"/>
                <w:szCs w:val="22"/>
              </w:rPr>
              <w:t>Individuals now over 10 years of age but diagnosed under 10 years of age and incompletely immunised in that they have not previously received an additional Hib/MenC dose, should receive one dose of Hib/MenC over the age of 10 years.</w:t>
            </w:r>
          </w:p>
          <w:p w14:paraId="50D1D22B" w14:textId="2FFB1411" w:rsidR="009B42F8" w:rsidRPr="000337FD" w:rsidRDefault="008A0351" w:rsidP="009B42F8">
            <w:pPr>
              <w:spacing w:before="120" w:after="120"/>
              <w:rPr>
                <w:rFonts w:eastAsiaTheme="minorHAnsi" w:cs="Arial"/>
                <w:color w:val="FF0000"/>
                <w:sz w:val="22"/>
                <w:szCs w:val="22"/>
                <w:lang w:eastAsia="en-US"/>
              </w:rPr>
            </w:pPr>
            <w:r w:rsidRPr="000337FD">
              <w:rPr>
                <w:rFonts w:eastAsiaTheme="minorHAnsi" w:cs="Arial"/>
                <w:sz w:val="22"/>
                <w:szCs w:val="22"/>
                <w:lang w:eastAsia="en-US"/>
              </w:rPr>
              <w:t xml:space="preserve">Note: Individuals with underlying medical conditions are </w:t>
            </w:r>
            <w:r w:rsidR="00B53D05" w:rsidRPr="000337FD">
              <w:rPr>
                <w:rFonts w:eastAsiaTheme="minorHAnsi" w:cs="Arial"/>
                <w:sz w:val="22"/>
                <w:szCs w:val="22"/>
                <w:lang w:eastAsia="en-US"/>
              </w:rPr>
              <w:t xml:space="preserve">also </w:t>
            </w:r>
            <w:r w:rsidRPr="000337FD">
              <w:rPr>
                <w:rFonts w:eastAsiaTheme="minorHAnsi" w:cs="Arial"/>
                <w:sz w:val="22"/>
                <w:szCs w:val="22"/>
                <w:lang w:eastAsia="en-US"/>
              </w:rPr>
              <w:t>recommended additional vaccination against meningococcal disease</w:t>
            </w:r>
            <w:r w:rsidR="00533F88" w:rsidRPr="000337FD">
              <w:rPr>
                <w:rFonts w:eastAsiaTheme="minorHAnsi" w:cs="Arial"/>
                <w:sz w:val="22"/>
                <w:szCs w:val="22"/>
                <w:lang w:eastAsia="en-US"/>
              </w:rPr>
              <w:t xml:space="preserve"> (see </w:t>
            </w:r>
            <w:hyperlink r:id="rId34" w:history="1">
              <w:r w:rsidR="00533F88" w:rsidRPr="000337FD">
                <w:rPr>
                  <w:rStyle w:val="Hyperlink"/>
                  <w:rFonts w:cs="Arial"/>
                  <w:sz w:val="22"/>
                  <w:szCs w:val="22"/>
                  <w:lang w:val="en"/>
                </w:rPr>
                <w:t>Chapter 7</w:t>
              </w:r>
            </w:hyperlink>
            <w:r w:rsidR="00533F88" w:rsidRPr="000337FD">
              <w:rPr>
                <w:rFonts w:eastAsiaTheme="minorHAnsi" w:cs="Arial"/>
                <w:sz w:val="22"/>
                <w:szCs w:val="22"/>
                <w:lang w:eastAsia="en-US"/>
              </w:rPr>
              <w:t>)</w:t>
            </w:r>
            <w:r w:rsidR="00A362EB" w:rsidRPr="000337FD">
              <w:rPr>
                <w:rFonts w:eastAsiaTheme="minorHAnsi" w:cs="Arial"/>
                <w:sz w:val="22"/>
                <w:szCs w:val="22"/>
                <w:lang w:eastAsia="en-US"/>
              </w:rPr>
              <w:t>.</w:t>
            </w:r>
          </w:p>
        </w:tc>
      </w:tr>
      <w:tr w:rsidR="00A9535E" w:rsidRPr="00A956FD" w14:paraId="067DDE51" w14:textId="77777777" w:rsidTr="0087180E">
        <w:tc>
          <w:tcPr>
            <w:tcW w:w="2977" w:type="dxa"/>
            <w:tcBorders>
              <w:bottom w:val="single" w:sz="4" w:space="0" w:color="auto"/>
            </w:tcBorders>
          </w:tcPr>
          <w:p w14:paraId="58E54338" w14:textId="5B380486" w:rsidR="00A9535E" w:rsidRPr="0000216F" w:rsidRDefault="00A9535E"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14:paraId="6AAFD07F" w14:textId="4E870E29" w:rsidR="00A362EB" w:rsidRPr="000337FD" w:rsidRDefault="0025308F" w:rsidP="00795AE9">
            <w:pPr>
              <w:spacing w:before="120" w:after="120"/>
              <w:rPr>
                <w:sz w:val="22"/>
                <w:szCs w:val="22"/>
              </w:rPr>
            </w:pPr>
            <w:r w:rsidRPr="000337FD">
              <w:rPr>
                <w:sz w:val="22"/>
                <w:szCs w:val="22"/>
              </w:rPr>
              <w:t>Up to two</w:t>
            </w:r>
            <w:r w:rsidR="00795AE9" w:rsidRPr="000337FD">
              <w:rPr>
                <w:sz w:val="22"/>
                <w:szCs w:val="22"/>
              </w:rPr>
              <w:t xml:space="preserve"> doses of Hib/MenC, at appropriate intervals may be indicated (see </w:t>
            </w:r>
            <w:hyperlink w:anchor="doseandfreq" w:history="1">
              <w:r w:rsidR="00795AE9" w:rsidRPr="000337FD">
                <w:rPr>
                  <w:rStyle w:val="Hyperlink"/>
                  <w:sz w:val="22"/>
                  <w:szCs w:val="22"/>
                </w:rPr>
                <w:t>Dose and frequency of administration</w:t>
              </w:r>
            </w:hyperlink>
            <w:r w:rsidR="00795AE9" w:rsidRPr="000337FD">
              <w:rPr>
                <w:sz w:val="22"/>
                <w:szCs w:val="22"/>
              </w:rPr>
              <w:t xml:space="preserve"> section).</w:t>
            </w:r>
            <w:r w:rsidR="00A9535E" w:rsidRPr="000337FD">
              <w:rPr>
                <w:sz w:val="22"/>
                <w:szCs w:val="22"/>
              </w:rPr>
              <w:t xml:space="preserve"> </w:t>
            </w:r>
          </w:p>
          <w:p w14:paraId="26AE4445" w14:textId="540525D8" w:rsidR="00A9535E" w:rsidRPr="000337FD" w:rsidRDefault="00A9535E" w:rsidP="00795AE9">
            <w:pPr>
              <w:spacing w:before="120" w:after="120"/>
              <w:rPr>
                <w:color w:val="FF0000"/>
                <w:sz w:val="22"/>
                <w:szCs w:val="22"/>
              </w:rPr>
            </w:pPr>
            <w:r w:rsidRPr="000337FD">
              <w:rPr>
                <w:sz w:val="22"/>
                <w:szCs w:val="22"/>
              </w:rPr>
              <w:t xml:space="preserve">Other meningococcal vaccines are used for </w:t>
            </w:r>
            <w:r w:rsidR="00795AE9" w:rsidRPr="000337FD">
              <w:rPr>
                <w:sz w:val="22"/>
                <w:szCs w:val="22"/>
              </w:rPr>
              <w:t xml:space="preserve">additional cover against meningococcal disease in </w:t>
            </w:r>
            <w:r w:rsidRPr="000337FD">
              <w:rPr>
                <w:sz w:val="22"/>
                <w:szCs w:val="22"/>
              </w:rPr>
              <w:t>accordance with national recommendations</w:t>
            </w:r>
            <w:r w:rsidR="0025308F" w:rsidRPr="000337FD">
              <w:rPr>
                <w:sz w:val="22"/>
                <w:szCs w:val="22"/>
              </w:rPr>
              <w:t xml:space="preserve"> and </w:t>
            </w:r>
            <w:hyperlink r:id="rId35" w:history="1">
              <w:r w:rsidR="0025308F" w:rsidRPr="000337FD">
                <w:rPr>
                  <w:rStyle w:val="Hyperlink"/>
                  <w:rFonts w:cs="Arial"/>
                  <w:sz w:val="22"/>
                  <w:szCs w:val="22"/>
                </w:rPr>
                <w:t>Chapter</w:t>
              </w:r>
              <w:r w:rsidR="00F32D66">
                <w:rPr>
                  <w:rStyle w:val="Hyperlink"/>
                  <w:rFonts w:cs="Arial"/>
                  <w:sz w:val="22"/>
                  <w:szCs w:val="22"/>
                </w:rPr>
                <w:t xml:space="preserve"> </w:t>
              </w:r>
              <w:r w:rsidR="0025308F" w:rsidRPr="000337FD">
                <w:rPr>
                  <w:rStyle w:val="Hyperlink"/>
                  <w:rFonts w:cs="Arial"/>
                  <w:sz w:val="22"/>
                  <w:szCs w:val="22"/>
                </w:rPr>
                <w:t>7</w:t>
              </w:r>
            </w:hyperlink>
            <w:r w:rsidR="0025308F" w:rsidRPr="000337FD">
              <w:rPr>
                <w:sz w:val="22"/>
                <w:szCs w:val="22"/>
              </w:rPr>
              <w:t xml:space="preserve"> of “The Green Book”</w:t>
            </w:r>
            <w:r w:rsidRPr="000337FD">
              <w:rPr>
                <w:sz w:val="22"/>
                <w:szCs w:val="22"/>
              </w:rPr>
              <w:t>.</w:t>
            </w:r>
          </w:p>
        </w:tc>
      </w:tr>
      <w:tr w:rsidR="00A9535E" w:rsidRPr="00A956FD" w14:paraId="3A74624A" w14:textId="77777777" w:rsidTr="0087180E">
        <w:tc>
          <w:tcPr>
            <w:tcW w:w="2977" w:type="dxa"/>
            <w:tcBorders>
              <w:bottom w:val="single" w:sz="4" w:space="0" w:color="auto"/>
            </w:tcBorders>
          </w:tcPr>
          <w:p w14:paraId="25C67556" w14:textId="6142B983" w:rsidR="00A9535E" w:rsidRPr="0000216F" w:rsidRDefault="00A9535E" w:rsidP="007E045E">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14:paraId="499028A7" w14:textId="2DFBC0ED" w:rsidR="00A9535E" w:rsidRPr="007762BD" w:rsidRDefault="00A9535E" w:rsidP="004246A7">
            <w:pPr>
              <w:spacing w:before="120" w:after="120"/>
              <w:rPr>
                <w:color w:val="FF0000"/>
                <w:sz w:val="22"/>
                <w:szCs w:val="22"/>
              </w:rPr>
            </w:pPr>
            <w:r w:rsidRPr="00922068">
              <w:rPr>
                <w:sz w:val="22"/>
                <w:szCs w:val="22"/>
              </w:rPr>
              <w:t xml:space="preserve">Single 0.5ml dose </w:t>
            </w:r>
          </w:p>
        </w:tc>
      </w:tr>
      <w:tr w:rsidR="00A9535E" w:rsidRPr="00A956FD" w14:paraId="0A841B48" w14:textId="77777777" w:rsidTr="0087180E">
        <w:tc>
          <w:tcPr>
            <w:tcW w:w="2977" w:type="dxa"/>
            <w:tcBorders>
              <w:bottom w:val="single" w:sz="4" w:space="0" w:color="auto"/>
            </w:tcBorders>
          </w:tcPr>
          <w:p w14:paraId="6E8C4004" w14:textId="2E250FDA" w:rsidR="00A9535E" w:rsidRPr="0000216F" w:rsidRDefault="00A9535E" w:rsidP="002436D7">
            <w:pPr>
              <w:spacing w:before="120" w:after="120"/>
              <w:rPr>
                <w:rFonts w:cs="Arial"/>
                <w:sz w:val="22"/>
                <w:szCs w:val="22"/>
              </w:rPr>
            </w:pPr>
            <w:r w:rsidRPr="0000216F">
              <w:rPr>
                <w:rFonts w:cs="Arial"/>
                <w:b/>
                <w:sz w:val="22"/>
                <w:szCs w:val="22"/>
              </w:rPr>
              <w:t>Supplies</w:t>
            </w:r>
          </w:p>
        </w:tc>
        <w:tc>
          <w:tcPr>
            <w:tcW w:w="6946" w:type="dxa"/>
            <w:tcBorders>
              <w:bottom w:val="single" w:sz="4" w:space="0" w:color="auto"/>
            </w:tcBorders>
          </w:tcPr>
          <w:p w14:paraId="188FEAD3" w14:textId="224642FF" w:rsidR="003B1293" w:rsidRPr="000337FD" w:rsidRDefault="003B1293" w:rsidP="00BE1835">
            <w:pPr>
              <w:spacing w:before="120" w:after="120"/>
              <w:rPr>
                <w:rFonts w:cs="Arial"/>
                <w:sz w:val="22"/>
                <w:szCs w:val="22"/>
              </w:rPr>
            </w:pPr>
            <w:r w:rsidRPr="000337FD">
              <w:rPr>
                <w:rFonts w:cs="Arial"/>
                <w:sz w:val="22"/>
                <w:szCs w:val="22"/>
              </w:rPr>
              <w:t>Supplies for additional doses for individuals with underlying medical conditions should be ordered directly from manufacturers.</w:t>
            </w:r>
          </w:p>
          <w:p w14:paraId="1580D550" w14:textId="073BF64F" w:rsidR="00290B36" w:rsidRPr="000337FD" w:rsidRDefault="00290B36" w:rsidP="00290B36">
            <w:pPr>
              <w:spacing w:after="120"/>
              <w:rPr>
                <w:rFonts w:cs="Arial"/>
                <w:sz w:val="22"/>
                <w:szCs w:val="22"/>
              </w:rPr>
            </w:pPr>
            <w:r w:rsidRPr="000337FD">
              <w:rPr>
                <w:rFonts w:cs="Arial"/>
                <w:sz w:val="22"/>
                <w:szCs w:val="22"/>
              </w:rPr>
              <w:t xml:space="preserve">Protocols for the ordering, storage and handling of vaccines should be followed to prevent vaccine wastage (see </w:t>
            </w:r>
            <w:hyperlink r:id="rId36" w:history="1">
              <w:r w:rsidRPr="000337FD">
                <w:rPr>
                  <w:rStyle w:val="Hyperlink"/>
                  <w:rFonts w:cs="Arial"/>
                  <w:sz w:val="22"/>
                  <w:szCs w:val="22"/>
                </w:rPr>
                <w:t>protocol for ordering storage and handling of vaccines</w:t>
              </w:r>
            </w:hyperlink>
            <w:r w:rsidRPr="000337FD">
              <w:rPr>
                <w:rStyle w:val="Hyperlink"/>
                <w:rFonts w:cs="Arial"/>
                <w:color w:val="auto"/>
                <w:sz w:val="22"/>
                <w:szCs w:val="22"/>
                <w:u w:val="none"/>
              </w:rPr>
              <w:t xml:space="preserve"> and Green Book </w:t>
            </w:r>
            <w:hyperlink r:id="rId37" w:history="1">
              <w:r w:rsidRPr="000337FD">
                <w:rPr>
                  <w:rStyle w:val="Hyperlink"/>
                  <w:rFonts w:cs="Arial"/>
                  <w:sz w:val="22"/>
                  <w:szCs w:val="22"/>
                </w:rPr>
                <w:t>Chapter 3</w:t>
              </w:r>
            </w:hyperlink>
            <w:r w:rsidRPr="000337FD">
              <w:rPr>
                <w:rFonts w:cs="Arial"/>
                <w:sz w:val="22"/>
                <w:szCs w:val="22"/>
              </w:rPr>
              <w:t xml:space="preserve">). </w:t>
            </w:r>
          </w:p>
        </w:tc>
      </w:tr>
    </w:tbl>
    <w:p w14:paraId="1599D077" w14:textId="32B23EB1" w:rsidR="0050107F" w:rsidRDefault="0050107F" w:rsidP="0050107F">
      <w:pPr>
        <w:jc w:val="cente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35E" w:rsidRPr="00A956FD" w14:paraId="503B8399" w14:textId="77777777" w:rsidTr="0087180E">
        <w:tc>
          <w:tcPr>
            <w:tcW w:w="2977" w:type="dxa"/>
            <w:tcBorders>
              <w:bottom w:val="single" w:sz="4" w:space="0" w:color="auto"/>
            </w:tcBorders>
          </w:tcPr>
          <w:p w14:paraId="09175BFF" w14:textId="54C5D464" w:rsidR="00A9535E" w:rsidRPr="00260762" w:rsidRDefault="00A9535E" w:rsidP="006F4906">
            <w:pPr>
              <w:spacing w:before="120" w:after="120"/>
              <w:rPr>
                <w:rFonts w:cs="Arial"/>
                <w:b/>
                <w:sz w:val="22"/>
                <w:szCs w:val="22"/>
              </w:rPr>
            </w:pPr>
            <w:bookmarkStart w:id="4" w:name="Storage"/>
            <w:bookmarkEnd w:id="4"/>
            <w:r w:rsidRPr="00260762">
              <w:rPr>
                <w:rFonts w:cs="Arial"/>
                <w:b/>
                <w:sz w:val="22"/>
                <w:szCs w:val="22"/>
              </w:rPr>
              <w:t>Storage</w:t>
            </w:r>
          </w:p>
        </w:tc>
        <w:tc>
          <w:tcPr>
            <w:tcW w:w="6946" w:type="dxa"/>
            <w:tcBorders>
              <w:bottom w:val="single" w:sz="4" w:space="0" w:color="auto"/>
            </w:tcBorders>
          </w:tcPr>
          <w:p w14:paraId="5D91072F" w14:textId="4471D047" w:rsidR="00A9535E" w:rsidRPr="00922068" w:rsidRDefault="00A9535E" w:rsidP="00A9535E">
            <w:pPr>
              <w:pStyle w:val="Header"/>
              <w:tabs>
                <w:tab w:val="clear" w:pos="4153"/>
                <w:tab w:val="clear" w:pos="8306"/>
              </w:tabs>
              <w:spacing w:before="120"/>
              <w:rPr>
                <w:rFonts w:ascii="Arial" w:hAnsi="Arial" w:cs="Arial"/>
                <w:sz w:val="22"/>
                <w:szCs w:val="22"/>
              </w:rPr>
            </w:pPr>
            <w:r w:rsidRPr="00922068">
              <w:rPr>
                <w:rFonts w:ascii="Arial" w:hAnsi="Arial" w:cs="Arial"/>
                <w:sz w:val="22"/>
                <w:szCs w:val="22"/>
              </w:rPr>
              <w:t xml:space="preserve">Store </w:t>
            </w:r>
            <w:r>
              <w:rPr>
                <w:rFonts w:ascii="Arial" w:hAnsi="Arial" w:cs="Arial"/>
                <w:sz w:val="22"/>
                <w:szCs w:val="22"/>
              </w:rPr>
              <w:t>between</w:t>
            </w:r>
            <w:r w:rsidRPr="00922068">
              <w:rPr>
                <w:rFonts w:ascii="Arial" w:hAnsi="Arial" w:cs="Arial"/>
                <w:sz w:val="22"/>
                <w:szCs w:val="22"/>
              </w:rPr>
              <w:t xml:space="preserve"> </w:t>
            </w:r>
            <w:r w:rsidRPr="00922068">
              <w:rPr>
                <w:rFonts w:ascii="Arial" w:hAnsi="Arial" w:cs="Arial"/>
                <w:spacing w:val="-2"/>
                <w:sz w:val="22"/>
                <w:szCs w:val="22"/>
              </w:rPr>
              <w:t>+2°</w:t>
            </w:r>
            <w:r w:rsidRPr="00922068">
              <w:rPr>
                <w:rFonts w:ascii="Arial" w:hAnsi="Arial" w:cs="Arial"/>
                <w:sz w:val="22"/>
                <w:szCs w:val="22"/>
              </w:rPr>
              <w:t xml:space="preserve">C </w:t>
            </w:r>
            <w:r w:rsidRPr="00922068">
              <w:rPr>
                <w:rFonts w:ascii="Arial" w:hAnsi="Arial" w:cs="Arial"/>
                <w:spacing w:val="-2"/>
                <w:sz w:val="22"/>
                <w:szCs w:val="22"/>
              </w:rPr>
              <w:t>t</w:t>
            </w:r>
            <w:r w:rsidRPr="00922068">
              <w:rPr>
                <w:rFonts w:ascii="Arial" w:hAnsi="Arial" w:cs="Arial"/>
                <w:sz w:val="22"/>
                <w:szCs w:val="22"/>
              </w:rPr>
              <w:t xml:space="preserve">o </w:t>
            </w:r>
            <w:r w:rsidRPr="00922068">
              <w:rPr>
                <w:rFonts w:ascii="Arial" w:hAnsi="Arial" w:cs="Arial"/>
                <w:spacing w:val="-2"/>
                <w:sz w:val="22"/>
                <w:szCs w:val="22"/>
              </w:rPr>
              <w:t>+8°</w:t>
            </w:r>
            <w:r w:rsidRPr="00922068">
              <w:rPr>
                <w:rFonts w:ascii="Arial" w:hAnsi="Arial" w:cs="Arial"/>
                <w:sz w:val="22"/>
                <w:szCs w:val="22"/>
              </w:rPr>
              <w:t xml:space="preserve">C. </w:t>
            </w:r>
          </w:p>
          <w:p w14:paraId="1FCD7FBA" w14:textId="77777777" w:rsidR="00A9535E" w:rsidRPr="00922068" w:rsidRDefault="00A9535E" w:rsidP="00A9535E">
            <w:pPr>
              <w:pStyle w:val="Header"/>
              <w:tabs>
                <w:tab w:val="clear" w:pos="4153"/>
                <w:tab w:val="clear" w:pos="8306"/>
              </w:tabs>
              <w:rPr>
                <w:rFonts w:ascii="Arial" w:hAnsi="Arial" w:cs="Arial"/>
                <w:sz w:val="22"/>
                <w:szCs w:val="22"/>
              </w:rPr>
            </w:pPr>
            <w:r w:rsidRPr="00922068">
              <w:rPr>
                <w:rFonts w:ascii="Arial" w:hAnsi="Arial" w:cs="Arial"/>
                <w:sz w:val="22"/>
                <w:szCs w:val="22"/>
              </w:rPr>
              <w:t xml:space="preserve">Store in original packaging in order to protect from light. </w:t>
            </w:r>
          </w:p>
          <w:p w14:paraId="29A9BA65" w14:textId="77777777" w:rsidR="00A9535E" w:rsidRPr="00A63B72" w:rsidRDefault="00A9535E" w:rsidP="00CC6EBA">
            <w:pPr>
              <w:pStyle w:val="Header"/>
              <w:tabs>
                <w:tab w:val="clear" w:pos="4153"/>
                <w:tab w:val="clear" w:pos="8306"/>
              </w:tabs>
              <w:spacing w:after="120"/>
              <w:rPr>
                <w:rFonts w:ascii="Arial" w:hAnsi="Arial" w:cs="Arial"/>
                <w:sz w:val="22"/>
                <w:szCs w:val="22"/>
              </w:rPr>
            </w:pPr>
            <w:r w:rsidRPr="00922068">
              <w:rPr>
                <w:rFonts w:ascii="Arial" w:hAnsi="Arial" w:cs="Arial"/>
                <w:sz w:val="22"/>
                <w:szCs w:val="22"/>
              </w:rPr>
              <w:t>Do not freeze.</w:t>
            </w:r>
          </w:p>
          <w:p w14:paraId="4C2A67CC" w14:textId="6210FE11" w:rsidR="00A9535E" w:rsidRDefault="00A9535E" w:rsidP="00C11E37">
            <w:pPr>
              <w:pStyle w:val="Header"/>
              <w:tabs>
                <w:tab w:val="clear" w:pos="4153"/>
                <w:tab w:val="clear" w:pos="8306"/>
              </w:tabs>
              <w:spacing w:before="120" w:after="120"/>
              <w:rPr>
                <w:rFonts w:ascii="Arial" w:hAnsi="Arial" w:cs="Arial"/>
                <w:sz w:val="22"/>
                <w:szCs w:val="22"/>
              </w:rPr>
            </w:pPr>
            <w:r w:rsidRPr="00A63B72">
              <w:rPr>
                <w:rFonts w:ascii="Arial" w:hAnsi="Arial" w:cs="Arial"/>
                <w:sz w:val="22"/>
                <w:szCs w:val="22"/>
              </w:rPr>
              <w:t xml:space="preserve">After reconstitution, the vaccine should be administered promptly or </w:t>
            </w:r>
            <w:r w:rsidR="00C11E37">
              <w:rPr>
                <w:rFonts w:ascii="Arial" w:hAnsi="Arial" w:cs="Arial"/>
                <w:sz w:val="22"/>
                <w:szCs w:val="22"/>
              </w:rPr>
              <w:t xml:space="preserve">kept between </w:t>
            </w:r>
            <w:r w:rsidRPr="00A63B72">
              <w:rPr>
                <w:rFonts w:ascii="Arial" w:hAnsi="Arial" w:cs="Arial"/>
                <w:spacing w:val="-2"/>
                <w:sz w:val="22"/>
                <w:szCs w:val="22"/>
              </w:rPr>
              <w:t>+2°</w:t>
            </w:r>
            <w:r w:rsidRPr="00A63B72">
              <w:rPr>
                <w:rFonts w:ascii="Arial" w:hAnsi="Arial" w:cs="Arial"/>
                <w:sz w:val="22"/>
                <w:szCs w:val="22"/>
              </w:rPr>
              <w:t xml:space="preserve">C </w:t>
            </w:r>
            <w:r w:rsidRPr="00A63B72">
              <w:rPr>
                <w:rFonts w:ascii="Arial" w:hAnsi="Arial" w:cs="Arial"/>
                <w:spacing w:val="-2"/>
                <w:sz w:val="22"/>
                <w:szCs w:val="22"/>
              </w:rPr>
              <w:t>t</w:t>
            </w:r>
            <w:r w:rsidRPr="00A63B72">
              <w:rPr>
                <w:rFonts w:ascii="Arial" w:hAnsi="Arial" w:cs="Arial"/>
                <w:sz w:val="22"/>
                <w:szCs w:val="22"/>
              </w:rPr>
              <w:t xml:space="preserve">o </w:t>
            </w:r>
            <w:r w:rsidRPr="00A63B72">
              <w:rPr>
                <w:rFonts w:ascii="Arial" w:hAnsi="Arial" w:cs="Arial"/>
                <w:spacing w:val="-2"/>
                <w:sz w:val="22"/>
                <w:szCs w:val="22"/>
              </w:rPr>
              <w:t>+8°</w:t>
            </w:r>
            <w:r w:rsidRPr="00A63B72">
              <w:rPr>
                <w:rFonts w:ascii="Arial" w:hAnsi="Arial" w:cs="Arial"/>
                <w:sz w:val="22"/>
                <w:szCs w:val="22"/>
              </w:rPr>
              <w:t xml:space="preserve">C and used within 24 hours. </w:t>
            </w:r>
            <w:r w:rsidR="00C11E37" w:rsidRPr="00C31DE6">
              <w:rPr>
                <w:rFonts w:ascii="Arial" w:hAnsi="Arial" w:cs="Arial"/>
                <w:sz w:val="22"/>
                <w:szCs w:val="22"/>
              </w:rPr>
              <w:t>Experimental data show that the reconstituted vaccine could also be kept up to 24 hours at ambient temperature (25°C).</w:t>
            </w:r>
            <w:r w:rsidR="00C11E37">
              <w:rPr>
                <w:rFonts w:ascii="Arial" w:hAnsi="Arial" w:cs="Arial"/>
                <w:sz w:val="22"/>
                <w:szCs w:val="22"/>
              </w:rPr>
              <w:t xml:space="preserve"> </w:t>
            </w:r>
            <w:r w:rsidRPr="00A63B72">
              <w:rPr>
                <w:rFonts w:ascii="Arial" w:hAnsi="Arial" w:cs="Arial"/>
                <w:sz w:val="22"/>
                <w:szCs w:val="22"/>
              </w:rPr>
              <w:t>If not used after this time it should be discarded.</w:t>
            </w:r>
          </w:p>
          <w:p w14:paraId="1D228455" w14:textId="27449E4F" w:rsidR="00C11E37" w:rsidRPr="00260762" w:rsidRDefault="00C11E37" w:rsidP="00C11E37">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38" w:history="1">
              <w:r w:rsidRPr="00BC3BD5">
                <w:rPr>
                  <w:rStyle w:val="Hyperlink"/>
                  <w:rFonts w:ascii="Arial" w:hAnsi="Arial" w:cs="Arial"/>
                  <w:sz w:val="22"/>
                  <w:szCs w:val="22"/>
                </w:rPr>
                <w:t>PHE Vaccine Incident Guidance</w:t>
              </w:r>
            </w:hyperlink>
            <w:r w:rsidRPr="00BC3BD5">
              <w:rPr>
                <w:rFonts w:ascii="Arial" w:hAnsi="Arial" w:cs="Arial"/>
                <w:sz w:val="22"/>
                <w:szCs w:val="22"/>
              </w:rPr>
              <w:t>.</w:t>
            </w:r>
          </w:p>
        </w:tc>
      </w:tr>
      <w:tr w:rsidR="00A9535E" w:rsidRPr="00A956FD" w14:paraId="280CEDEF" w14:textId="77777777" w:rsidTr="0087180E">
        <w:tc>
          <w:tcPr>
            <w:tcW w:w="2977" w:type="dxa"/>
            <w:tcBorders>
              <w:bottom w:val="single" w:sz="4" w:space="0" w:color="auto"/>
            </w:tcBorders>
          </w:tcPr>
          <w:p w14:paraId="163472CE" w14:textId="3537FC11" w:rsidR="00A9535E" w:rsidRPr="0000216F" w:rsidRDefault="00A9535E" w:rsidP="007E045E">
            <w:pPr>
              <w:spacing w:before="120" w:after="120"/>
              <w:rPr>
                <w:rFonts w:cs="Arial"/>
                <w:b/>
                <w:sz w:val="22"/>
                <w:szCs w:val="22"/>
              </w:rPr>
            </w:pPr>
            <w:r w:rsidRPr="0000216F">
              <w:br w:type="page"/>
            </w:r>
            <w:r w:rsidRPr="0000216F">
              <w:rPr>
                <w:rFonts w:cs="Arial"/>
                <w:b/>
                <w:sz w:val="22"/>
                <w:szCs w:val="22"/>
              </w:rPr>
              <w:t>Disposal</w:t>
            </w:r>
          </w:p>
        </w:tc>
        <w:tc>
          <w:tcPr>
            <w:tcW w:w="6946" w:type="dxa"/>
            <w:tcBorders>
              <w:bottom w:val="single" w:sz="4" w:space="0" w:color="auto"/>
            </w:tcBorders>
          </w:tcPr>
          <w:p w14:paraId="752503BA" w14:textId="40EFBBAD" w:rsidR="00A9535E" w:rsidRPr="000337FD" w:rsidRDefault="00A9535E" w:rsidP="00C11E37">
            <w:pPr>
              <w:spacing w:before="120" w:after="120"/>
              <w:rPr>
                <w:rFonts w:cs="Arial"/>
                <w:color w:val="FF0000"/>
                <w:sz w:val="22"/>
                <w:szCs w:val="22"/>
              </w:rPr>
            </w:pPr>
            <w:r w:rsidRPr="000337FD">
              <w:rPr>
                <w:rFonts w:cs="Arial"/>
                <w:sz w:val="22"/>
                <w:szCs w:val="22"/>
              </w:rPr>
              <w:t xml:space="preserve">Equipment used for immunisation, including used vials, ampoules, or discharged vaccines in a syringe or applicator, should be disposed of </w:t>
            </w:r>
            <w:r w:rsidR="00C11E37">
              <w:rPr>
                <w:rFonts w:cs="Arial"/>
                <w:sz w:val="22"/>
                <w:szCs w:val="22"/>
              </w:rPr>
              <w:t>safely</w:t>
            </w:r>
            <w:r w:rsidRPr="000337FD">
              <w:rPr>
                <w:rFonts w:cs="Arial"/>
                <w:sz w:val="22"/>
                <w:szCs w:val="22"/>
              </w:rPr>
              <w:t xml:space="preserve"> in a UN-approved puncture-resistant ‘sharps’ box, according to local authority regulations and guidance in the </w:t>
            </w:r>
            <w:hyperlink r:id="rId39" w:history="1">
              <w:r w:rsidRPr="000337FD">
                <w:rPr>
                  <w:rStyle w:val="Hyperlink"/>
                  <w:rFonts w:eastAsia="Arial" w:cs="Arial"/>
                  <w:sz w:val="22"/>
                  <w:szCs w:val="22"/>
                </w:rPr>
                <w:t>technical memorandum 07-01</w:t>
              </w:r>
            </w:hyperlink>
            <w:r w:rsidRPr="000337FD">
              <w:rPr>
                <w:rFonts w:cs="Arial"/>
                <w:sz w:val="22"/>
                <w:szCs w:val="22"/>
              </w:rPr>
              <w:t>: Safe management of healthcare waste (Department of Health, 2013).</w:t>
            </w:r>
          </w:p>
        </w:tc>
      </w:tr>
      <w:tr w:rsidR="00A9535E" w:rsidRPr="00A956FD" w14:paraId="4B1C7B02" w14:textId="77777777" w:rsidTr="0087180E">
        <w:tc>
          <w:tcPr>
            <w:tcW w:w="2977" w:type="dxa"/>
            <w:tcBorders>
              <w:bottom w:val="single" w:sz="4" w:space="0" w:color="auto"/>
            </w:tcBorders>
          </w:tcPr>
          <w:p w14:paraId="1310AAF1" w14:textId="47FFAC18" w:rsidR="00A9535E" w:rsidRPr="007E324D" w:rsidRDefault="00A9535E" w:rsidP="007939D3">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6946" w:type="dxa"/>
            <w:tcBorders>
              <w:bottom w:val="single" w:sz="4" w:space="0" w:color="auto"/>
            </w:tcBorders>
          </w:tcPr>
          <w:p w14:paraId="026E295F" w14:textId="6C587E00" w:rsidR="00A9535E" w:rsidRPr="000337FD" w:rsidRDefault="00A9535E" w:rsidP="00A9535E">
            <w:pPr>
              <w:shd w:val="clear" w:color="auto" w:fill="FFFFFF"/>
              <w:overflowPunct/>
              <w:autoSpaceDE/>
              <w:autoSpaceDN/>
              <w:adjustRightInd/>
              <w:spacing w:before="120" w:after="120"/>
              <w:textAlignment w:val="auto"/>
              <w:rPr>
                <w:rFonts w:cs="Arial"/>
                <w:sz w:val="22"/>
                <w:szCs w:val="22"/>
                <w:lang w:val="en"/>
              </w:rPr>
            </w:pPr>
            <w:r w:rsidRPr="000337FD">
              <w:rPr>
                <w:rFonts w:cs="Arial"/>
                <w:sz w:val="22"/>
                <w:szCs w:val="22"/>
                <w:lang w:val="en"/>
              </w:rPr>
              <w:t>Immunological response may be diminished in those receiving immunosuppressive treatment.</w:t>
            </w:r>
            <w:r w:rsidR="00C11E37">
              <w:rPr>
                <w:rFonts w:cs="Arial"/>
                <w:sz w:val="22"/>
                <w:szCs w:val="22"/>
                <w:lang w:val="en"/>
              </w:rPr>
              <w:t xml:space="preserve"> Vaccination is recommended even if the antibody response may be limited.</w:t>
            </w:r>
          </w:p>
          <w:p w14:paraId="47F6770C" w14:textId="77777777" w:rsidR="00A9535E" w:rsidRPr="000337FD" w:rsidRDefault="00A9535E" w:rsidP="00A9535E">
            <w:pPr>
              <w:overflowPunct/>
              <w:spacing w:before="120" w:after="120"/>
              <w:textAlignment w:val="auto"/>
              <w:rPr>
                <w:sz w:val="22"/>
                <w:szCs w:val="22"/>
              </w:rPr>
            </w:pPr>
            <w:r w:rsidRPr="000337FD">
              <w:rPr>
                <w:sz w:val="22"/>
                <w:szCs w:val="22"/>
              </w:rPr>
              <w:t>May be given at the same time as other vaccines.</w:t>
            </w:r>
          </w:p>
          <w:p w14:paraId="55842F6E" w14:textId="367A032A" w:rsidR="00A9535E" w:rsidRPr="000337FD" w:rsidRDefault="00A9535E" w:rsidP="00CB25A9">
            <w:pPr>
              <w:overflowPunct/>
              <w:spacing w:before="120" w:after="120"/>
              <w:textAlignment w:val="auto"/>
              <w:rPr>
                <w:rFonts w:eastAsiaTheme="minorHAnsi" w:cs="Arial"/>
                <w:color w:val="000000"/>
                <w:sz w:val="22"/>
                <w:szCs w:val="22"/>
                <w:lang w:eastAsia="en-US"/>
              </w:rPr>
            </w:pPr>
            <w:r w:rsidRPr="000337FD">
              <w:rPr>
                <w:rFonts w:eastAsiaTheme="minorHAnsi" w:cs="Arial"/>
                <w:color w:val="000000"/>
                <w:sz w:val="22"/>
                <w:szCs w:val="22"/>
                <w:lang w:eastAsia="en-US"/>
              </w:rPr>
              <w:t xml:space="preserve">A detailed list of drug interactions is available in the </w:t>
            </w:r>
            <w:r w:rsidR="00CB25A9">
              <w:rPr>
                <w:rFonts w:eastAsiaTheme="minorHAnsi" w:cs="Arial"/>
                <w:color w:val="000000"/>
                <w:sz w:val="22"/>
                <w:szCs w:val="22"/>
                <w:lang w:eastAsia="en-US"/>
              </w:rPr>
              <w:t>SPC</w:t>
            </w:r>
            <w:r w:rsidRPr="000337FD">
              <w:rPr>
                <w:rFonts w:eastAsiaTheme="minorHAnsi" w:cs="Arial"/>
                <w:color w:val="000000"/>
                <w:sz w:val="22"/>
                <w:szCs w:val="22"/>
                <w:lang w:eastAsia="en-US"/>
              </w:rPr>
              <w:t xml:space="preserve">, which is available from the electronic Medicines Compendium website: </w:t>
            </w:r>
            <w:hyperlink r:id="rId40" w:history="1">
              <w:r w:rsidR="00FD7606" w:rsidRPr="000337FD">
                <w:rPr>
                  <w:rStyle w:val="Hyperlink"/>
                  <w:rFonts w:eastAsia="Arial"/>
                  <w:sz w:val="22"/>
                  <w:szCs w:val="22"/>
                </w:rPr>
                <w:t>www.medicines.org.uk</w:t>
              </w:r>
            </w:hyperlink>
            <w:r w:rsidR="00FD7606" w:rsidRPr="000337FD">
              <w:rPr>
                <w:rStyle w:val="Hyperlink"/>
                <w:rFonts w:eastAsia="Arial"/>
                <w:sz w:val="22"/>
                <w:szCs w:val="22"/>
              </w:rPr>
              <w:t xml:space="preserve"> </w:t>
            </w:r>
            <w:r w:rsidR="00D905F5" w:rsidRPr="000337FD">
              <w:rPr>
                <w:rStyle w:val="Hyperlink"/>
                <w:rFonts w:eastAsia="Arial"/>
                <w:sz w:val="22"/>
                <w:szCs w:val="22"/>
              </w:rPr>
              <w:t xml:space="preserve"> </w:t>
            </w:r>
          </w:p>
        </w:tc>
      </w:tr>
      <w:tr w:rsidR="00A9535E" w:rsidRPr="00A956FD" w14:paraId="5264052B" w14:textId="77777777" w:rsidTr="0087180E">
        <w:tc>
          <w:tcPr>
            <w:tcW w:w="2977" w:type="dxa"/>
            <w:tcBorders>
              <w:bottom w:val="single" w:sz="4" w:space="0" w:color="auto"/>
            </w:tcBorders>
          </w:tcPr>
          <w:p w14:paraId="1EA7DE2F" w14:textId="01D83210" w:rsidR="00A9535E" w:rsidRPr="00DD6608" w:rsidRDefault="00A9535E" w:rsidP="00DD6608">
            <w:pPr>
              <w:spacing w:before="120" w:after="120"/>
              <w:rPr>
                <w:rFonts w:cs="Arial"/>
                <w:b/>
                <w:color w:val="FF0000"/>
                <w:sz w:val="22"/>
                <w:szCs w:val="22"/>
                <w:vertAlign w:val="superscript"/>
              </w:rPr>
            </w:pPr>
            <w:r w:rsidRPr="00160228">
              <w:rPr>
                <w:rFonts w:cs="Arial"/>
                <w:b/>
                <w:sz w:val="22"/>
                <w:szCs w:val="22"/>
              </w:rPr>
              <w:t>Identification &amp; management of adverse reactions</w:t>
            </w:r>
          </w:p>
        </w:tc>
        <w:tc>
          <w:tcPr>
            <w:tcW w:w="6946" w:type="dxa"/>
            <w:tcBorders>
              <w:bottom w:val="single" w:sz="4" w:space="0" w:color="auto"/>
            </w:tcBorders>
          </w:tcPr>
          <w:p w14:paraId="5EC053F1" w14:textId="77777777" w:rsidR="00A9535E" w:rsidRPr="000337FD" w:rsidRDefault="00A9535E" w:rsidP="00A9535E">
            <w:pPr>
              <w:spacing w:before="120" w:after="120"/>
              <w:ind w:right="34"/>
              <w:rPr>
                <w:rFonts w:cs="Arial"/>
                <w:sz w:val="22"/>
                <w:szCs w:val="22"/>
              </w:rPr>
            </w:pPr>
            <w:r w:rsidRPr="000337FD">
              <w:rPr>
                <w:rFonts w:cs="Arial"/>
                <w:sz w:val="22"/>
                <w:szCs w:val="22"/>
              </w:rPr>
              <w:t>Local reactions following vaccination are very common ie pain, swelling or redness at the injection site. A small painless nodule may form at the injection site.</w:t>
            </w:r>
          </w:p>
          <w:p w14:paraId="13613FD0" w14:textId="77777777" w:rsidR="00A9535E" w:rsidRPr="000337FD" w:rsidRDefault="00A9535E" w:rsidP="00A9535E">
            <w:pPr>
              <w:pStyle w:val="CommentText"/>
              <w:spacing w:after="120"/>
              <w:rPr>
                <w:rFonts w:cs="Arial"/>
                <w:sz w:val="22"/>
                <w:szCs w:val="22"/>
              </w:rPr>
            </w:pPr>
            <w:r w:rsidRPr="000337FD">
              <w:rPr>
                <w:rFonts w:cs="Arial"/>
                <w:sz w:val="22"/>
                <w:szCs w:val="22"/>
              </w:rPr>
              <w:t>Mild side effects such as irritability, loss of appetite, drowsiness and slightly raised temperature commonly occur. Less commonly crying, diarrhoea, vomiting, atopic dermatitis, rash, malaise and fever over 39.5˚C have been reported.</w:t>
            </w:r>
          </w:p>
          <w:p w14:paraId="14D9BA53" w14:textId="77777777" w:rsidR="00A9535E" w:rsidRPr="000337FD" w:rsidRDefault="00A9535E" w:rsidP="00A9535E">
            <w:pPr>
              <w:shd w:val="clear" w:color="auto" w:fill="FFFFFF"/>
              <w:spacing w:after="120"/>
              <w:ind w:right="34"/>
              <w:rPr>
                <w:rFonts w:cs="Arial"/>
                <w:color w:val="FF0000"/>
                <w:sz w:val="22"/>
                <w:szCs w:val="22"/>
              </w:rPr>
            </w:pPr>
            <w:r w:rsidRPr="000337FD">
              <w:rPr>
                <w:rFonts w:cs="Arial"/>
                <w:sz w:val="22"/>
                <w:szCs w:val="22"/>
              </w:rPr>
              <w:t>Hypersensitivity reactions and anaphylaxis can occur but are very rare.</w:t>
            </w:r>
          </w:p>
          <w:p w14:paraId="7F11367B" w14:textId="07C5C429" w:rsidR="00A9535E" w:rsidRPr="000337FD" w:rsidRDefault="00A9535E" w:rsidP="007939D3">
            <w:pPr>
              <w:spacing w:after="120"/>
              <w:ind w:right="34"/>
              <w:rPr>
                <w:rFonts w:cs="Arial"/>
                <w:color w:val="FF0000"/>
                <w:sz w:val="22"/>
                <w:szCs w:val="22"/>
              </w:rPr>
            </w:pPr>
            <w:r w:rsidRPr="000337FD">
              <w:rPr>
                <w:rFonts w:cs="Arial"/>
                <w:sz w:val="22"/>
                <w:szCs w:val="22"/>
              </w:rPr>
              <w:t xml:space="preserve">A detailed list of adverse reactions is available in the vaccine’s </w:t>
            </w:r>
            <w:r w:rsidR="00CB25A9">
              <w:rPr>
                <w:rFonts w:cs="Arial"/>
                <w:sz w:val="22"/>
                <w:szCs w:val="22"/>
              </w:rPr>
              <w:t>SPC</w:t>
            </w:r>
            <w:r w:rsidRPr="000337FD">
              <w:rPr>
                <w:rFonts w:cs="Arial"/>
                <w:sz w:val="22"/>
                <w:szCs w:val="22"/>
              </w:rPr>
              <w:t>, which is available from the electronic Medicines Compendium website:</w:t>
            </w:r>
            <w:r w:rsidR="00CB25A9">
              <w:rPr>
                <w:rFonts w:cs="Arial"/>
                <w:sz w:val="22"/>
                <w:szCs w:val="22"/>
              </w:rPr>
              <w:t xml:space="preserve"> </w:t>
            </w:r>
            <w:hyperlink r:id="rId41" w:history="1">
              <w:r w:rsidRPr="000337FD">
                <w:rPr>
                  <w:rStyle w:val="Hyperlink"/>
                  <w:rFonts w:eastAsia="Arial" w:cs="Arial"/>
                  <w:sz w:val="22"/>
                  <w:szCs w:val="22"/>
                </w:rPr>
                <w:t>www.medicines.org.uk</w:t>
              </w:r>
            </w:hyperlink>
          </w:p>
        </w:tc>
      </w:tr>
      <w:tr w:rsidR="00A9535E" w:rsidRPr="00A956FD" w14:paraId="505B8204" w14:textId="77777777" w:rsidTr="0087180E">
        <w:tc>
          <w:tcPr>
            <w:tcW w:w="2977" w:type="dxa"/>
            <w:tcBorders>
              <w:bottom w:val="single" w:sz="4" w:space="0" w:color="auto"/>
            </w:tcBorders>
          </w:tcPr>
          <w:p w14:paraId="62271F75" w14:textId="75BC1893" w:rsidR="00A9535E" w:rsidRPr="00A956FD" w:rsidRDefault="00DA0FC4" w:rsidP="006F4906">
            <w:pPr>
              <w:spacing w:before="120" w:after="120"/>
              <w:rPr>
                <w:rFonts w:cs="Arial"/>
                <w:b/>
                <w:color w:val="FF0000"/>
                <w:sz w:val="22"/>
                <w:szCs w:val="22"/>
              </w:rPr>
            </w:pPr>
            <w:r>
              <w:br w:type="page"/>
            </w:r>
            <w:r w:rsidR="00A9535E" w:rsidRPr="007E324D">
              <w:rPr>
                <w:rFonts w:cs="Arial"/>
                <w:b/>
                <w:sz w:val="22"/>
                <w:szCs w:val="22"/>
              </w:rPr>
              <w:t>Reporting procedure of adverse reactions</w:t>
            </w:r>
          </w:p>
        </w:tc>
        <w:tc>
          <w:tcPr>
            <w:tcW w:w="6946" w:type="dxa"/>
            <w:tcBorders>
              <w:bottom w:val="single" w:sz="4" w:space="0" w:color="auto"/>
            </w:tcBorders>
          </w:tcPr>
          <w:p w14:paraId="182E1DAB" w14:textId="77777777" w:rsidR="00A9535E" w:rsidRPr="000337FD" w:rsidRDefault="00A9535E" w:rsidP="00A9535E">
            <w:pPr>
              <w:pStyle w:val="TableParagraph"/>
              <w:spacing w:before="120" w:after="120"/>
              <w:rPr>
                <w:rFonts w:ascii="Arial" w:hAnsi="Arial" w:cs="Arial"/>
              </w:rPr>
            </w:pPr>
            <w:r w:rsidRPr="000337FD">
              <w:rPr>
                <w:rFonts w:ascii="Arial" w:eastAsia="Arial" w:hAnsi="Arial" w:cs="Arial"/>
              </w:rPr>
              <w:t>Healthcare</w:t>
            </w:r>
            <w:r w:rsidRPr="000337FD">
              <w:rPr>
                <w:rFonts w:ascii="Arial" w:eastAsia="Arial" w:hAnsi="Arial" w:cs="Arial"/>
                <w:spacing w:val="26"/>
              </w:rPr>
              <w:t xml:space="preserve"> </w:t>
            </w:r>
            <w:r w:rsidRPr="000337FD">
              <w:rPr>
                <w:rFonts w:ascii="Arial" w:eastAsia="Arial" w:hAnsi="Arial" w:cs="Arial"/>
              </w:rPr>
              <w:t>professionals</w:t>
            </w:r>
            <w:r w:rsidRPr="000337FD">
              <w:rPr>
                <w:rFonts w:ascii="Arial" w:eastAsia="Arial" w:hAnsi="Arial" w:cs="Arial"/>
                <w:spacing w:val="24"/>
              </w:rPr>
              <w:t xml:space="preserve"> </w:t>
            </w:r>
            <w:r w:rsidRPr="000337FD">
              <w:rPr>
                <w:rFonts w:ascii="Arial" w:eastAsia="Arial" w:hAnsi="Arial" w:cs="Arial"/>
              </w:rPr>
              <w:t>and</w:t>
            </w:r>
            <w:r w:rsidRPr="000337FD">
              <w:rPr>
                <w:rFonts w:ascii="Arial" w:eastAsia="Arial" w:hAnsi="Arial" w:cs="Arial"/>
                <w:spacing w:val="14"/>
              </w:rPr>
              <w:t xml:space="preserve"> </w:t>
            </w:r>
            <w:r w:rsidRPr="000337FD">
              <w:rPr>
                <w:rFonts w:ascii="Arial" w:eastAsia="Arial" w:hAnsi="Arial" w:cs="Arial"/>
              </w:rPr>
              <w:t>patients/carers are</w:t>
            </w:r>
            <w:r w:rsidRPr="000337FD">
              <w:rPr>
                <w:rFonts w:ascii="Arial" w:eastAsia="Arial" w:hAnsi="Arial" w:cs="Arial"/>
                <w:spacing w:val="10"/>
              </w:rPr>
              <w:t xml:space="preserve"> </w:t>
            </w:r>
            <w:r w:rsidRPr="000337FD">
              <w:rPr>
                <w:rFonts w:ascii="Arial" w:eastAsia="Arial" w:hAnsi="Arial" w:cs="Arial"/>
              </w:rPr>
              <w:t>encouraged</w:t>
            </w:r>
            <w:r w:rsidRPr="000337FD">
              <w:rPr>
                <w:rFonts w:ascii="Arial" w:eastAsia="Arial" w:hAnsi="Arial" w:cs="Arial"/>
                <w:spacing w:val="25"/>
              </w:rPr>
              <w:t xml:space="preserve"> </w:t>
            </w:r>
            <w:r w:rsidRPr="000337FD">
              <w:rPr>
                <w:rFonts w:ascii="Arial" w:eastAsia="Arial" w:hAnsi="Arial" w:cs="Arial"/>
              </w:rPr>
              <w:t>to</w:t>
            </w:r>
            <w:r w:rsidRPr="000337FD">
              <w:rPr>
                <w:rFonts w:ascii="Arial" w:eastAsia="Arial" w:hAnsi="Arial" w:cs="Arial"/>
                <w:spacing w:val="21"/>
              </w:rPr>
              <w:t xml:space="preserve"> </w:t>
            </w:r>
            <w:r w:rsidRPr="000337FD">
              <w:rPr>
                <w:rFonts w:ascii="Arial" w:eastAsia="Arial" w:hAnsi="Arial" w:cs="Arial"/>
              </w:rPr>
              <w:t>report</w:t>
            </w:r>
            <w:r w:rsidRPr="000337FD">
              <w:rPr>
                <w:rFonts w:ascii="Arial" w:eastAsia="Arial" w:hAnsi="Arial" w:cs="Arial"/>
                <w:spacing w:val="13"/>
              </w:rPr>
              <w:t xml:space="preserve"> </w:t>
            </w:r>
            <w:r w:rsidRPr="000337FD">
              <w:rPr>
                <w:rFonts w:ascii="Arial" w:eastAsia="Arial" w:hAnsi="Arial" w:cs="Arial"/>
              </w:rPr>
              <w:t>suspected</w:t>
            </w:r>
            <w:r w:rsidRPr="000337FD">
              <w:rPr>
                <w:rFonts w:ascii="Arial" w:eastAsia="Arial" w:hAnsi="Arial" w:cs="Arial"/>
                <w:spacing w:val="18"/>
              </w:rPr>
              <w:t xml:space="preserve"> </w:t>
            </w:r>
            <w:r w:rsidRPr="000337FD">
              <w:rPr>
                <w:rFonts w:ascii="Arial" w:eastAsia="Arial" w:hAnsi="Arial" w:cs="Arial"/>
              </w:rPr>
              <w:t>adverse</w:t>
            </w:r>
            <w:r w:rsidRPr="000337FD">
              <w:rPr>
                <w:rFonts w:ascii="Arial" w:eastAsia="Arial" w:hAnsi="Arial" w:cs="Arial"/>
                <w:spacing w:val="29"/>
              </w:rPr>
              <w:t xml:space="preserve"> </w:t>
            </w:r>
            <w:r w:rsidRPr="000337FD">
              <w:rPr>
                <w:rFonts w:ascii="Arial" w:eastAsia="Arial" w:hAnsi="Arial" w:cs="Arial"/>
              </w:rPr>
              <w:t>reactions</w:t>
            </w:r>
            <w:r w:rsidRPr="000337FD">
              <w:rPr>
                <w:rFonts w:ascii="Arial" w:eastAsia="Arial" w:hAnsi="Arial" w:cs="Arial"/>
                <w:spacing w:val="10"/>
              </w:rPr>
              <w:t xml:space="preserve"> </w:t>
            </w:r>
            <w:r w:rsidRPr="000337FD">
              <w:rPr>
                <w:rFonts w:ascii="Arial" w:eastAsia="Arial" w:hAnsi="Arial" w:cs="Arial"/>
              </w:rPr>
              <w:t>to</w:t>
            </w:r>
            <w:r w:rsidRPr="000337FD">
              <w:rPr>
                <w:rFonts w:ascii="Arial" w:eastAsia="Arial" w:hAnsi="Arial" w:cs="Arial"/>
                <w:spacing w:val="14"/>
              </w:rPr>
              <w:t xml:space="preserve"> </w:t>
            </w:r>
            <w:r w:rsidRPr="000337FD">
              <w:rPr>
                <w:rFonts w:ascii="Arial" w:eastAsia="Arial" w:hAnsi="Arial" w:cs="Arial"/>
              </w:rPr>
              <w:t>the</w:t>
            </w:r>
            <w:r w:rsidRPr="000337FD">
              <w:rPr>
                <w:rFonts w:ascii="Arial" w:eastAsia="Arial" w:hAnsi="Arial" w:cs="Arial"/>
                <w:w w:val="98"/>
              </w:rPr>
              <w:t xml:space="preserve"> </w:t>
            </w:r>
            <w:r w:rsidRPr="000337FD">
              <w:rPr>
                <w:rFonts w:ascii="Arial" w:eastAsia="Arial" w:hAnsi="Arial" w:cs="Arial"/>
              </w:rPr>
              <w:t>Medicines</w:t>
            </w:r>
            <w:r w:rsidRPr="000337FD">
              <w:rPr>
                <w:rFonts w:ascii="Arial" w:eastAsia="Arial" w:hAnsi="Arial" w:cs="Arial"/>
                <w:spacing w:val="22"/>
              </w:rPr>
              <w:t xml:space="preserve"> </w:t>
            </w:r>
            <w:r w:rsidRPr="000337FD">
              <w:rPr>
                <w:rFonts w:ascii="Arial" w:eastAsia="Arial" w:hAnsi="Arial" w:cs="Arial"/>
              </w:rPr>
              <w:t>and</w:t>
            </w:r>
            <w:r w:rsidRPr="000337FD">
              <w:rPr>
                <w:rFonts w:ascii="Arial" w:eastAsia="Arial" w:hAnsi="Arial" w:cs="Arial"/>
                <w:spacing w:val="19"/>
              </w:rPr>
              <w:t xml:space="preserve"> </w:t>
            </w:r>
            <w:r w:rsidRPr="000337FD">
              <w:rPr>
                <w:rFonts w:ascii="Arial" w:eastAsia="Arial" w:hAnsi="Arial" w:cs="Arial"/>
              </w:rPr>
              <w:t>Healthcare</w:t>
            </w:r>
            <w:r w:rsidRPr="000337FD">
              <w:rPr>
                <w:rFonts w:ascii="Arial" w:eastAsia="Arial" w:hAnsi="Arial" w:cs="Arial"/>
                <w:spacing w:val="18"/>
              </w:rPr>
              <w:t xml:space="preserve"> </w:t>
            </w:r>
            <w:r w:rsidRPr="000337FD">
              <w:rPr>
                <w:rFonts w:ascii="Arial" w:eastAsia="Arial" w:hAnsi="Arial" w:cs="Arial"/>
              </w:rPr>
              <w:t>products</w:t>
            </w:r>
            <w:r w:rsidRPr="000337FD">
              <w:rPr>
                <w:rFonts w:ascii="Arial" w:eastAsia="Arial" w:hAnsi="Arial" w:cs="Arial"/>
                <w:spacing w:val="23"/>
              </w:rPr>
              <w:t xml:space="preserve"> </w:t>
            </w:r>
            <w:r w:rsidRPr="000337FD">
              <w:rPr>
                <w:rFonts w:ascii="Arial" w:eastAsia="Arial" w:hAnsi="Arial" w:cs="Arial"/>
              </w:rPr>
              <w:t>Regulatory</w:t>
            </w:r>
            <w:r w:rsidRPr="000337FD">
              <w:rPr>
                <w:rFonts w:ascii="Arial" w:eastAsia="Arial" w:hAnsi="Arial" w:cs="Arial"/>
                <w:spacing w:val="7"/>
              </w:rPr>
              <w:t xml:space="preserve"> </w:t>
            </w:r>
            <w:r w:rsidRPr="000337FD">
              <w:rPr>
                <w:rFonts w:ascii="Arial" w:eastAsia="Arial" w:hAnsi="Arial" w:cs="Arial"/>
              </w:rPr>
              <w:t>Agency</w:t>
            </w:r>
            <w:r w:rsidRPr="000337FD">
              <w:rPr>
                <w:rFonts w:ascii="Arial" w:eastAsia="Arial" w:hAnsi="Arial" w:cs="Arial"/>
                <w:spacing w:val="38"/>
              </w:rPr>
              <w:t xml:space="preserve"> </w:t>
            </w:r>
            <w:r w:rsidRPr="000337FD">
              <w:rPr>
                <w:rFonts w:ascii="Arial" w:eastAsia="Arial" w:hAnsi="Arial" w:cs="Arial"/>
              </w:rPr>
              <w:t>(MHRA)</w:t>
            </w:r>
            <w:r w:rsidRPr="000337FD">
              <w:rPr>
                <w:rFonts w:ascii="Arial" w:eastAsia="Arial" w:hAnsi="Arial" w:cs="Arial"/>
                <w:w w:val="101"/>
              </w:rPr>
              <w:t xml:space="preserve"> </w:t>
            </w:r>
            <w:r w:rsidRPr="000337FD">
              <w:rPr>
                <w:rFonts w:ascii="Arial" w:eastAsia="Arial" w:hAnsi="Arial" w:cs="Arial"/>
              </w:rPr>
              <w:t>using</w:t>
            </w:r>
            <w:r w:rsidRPr="000337FD">
              <w:rPr>
                <w:rFonts w:ascii="Arial" w:eastAsia="Arial" w:hAnsi="Arial" w:cs="Arial"/>
                <w:spacing w:val="9"/>
              </w:rPr>
              <w:t xml:space="preserve"> </w:t>
            </w:r>
            <w:r w:rsidRPr="000337FD">
              <w:rPr>
                <w:rFonts w:ascii="Arial" w:eastAsia="Arial" w:hAnsi="Arial" w:cs="Arial"/>
              </w:rPr>
              <w:t>the</w:t>
            </w:r>
            <w:r w:rsidRPr="000337FD">
              <w:rPr>
                <w:rFonts w:ascii="Arial" w:eastAsia="Arial" w:hAnsi="Arial" w:cs="Arial"/>
                <w:spacing w:val="11"/>
              </w:rPr>
              <w:t xml:space="preserve"> </w:t>
            </w:r>
            <w:r w:rsidRPr="000337FD">
              <w:rPr>
                <w:rFonts w:ascii="Arial" w:eastAsia="Arial" w:hAnsi="Arial" w:cs="Arial"/>
              </w:rPr>
              <w:t>Yellow</w:t>
            </w:r>
            <w:r w:rsidRPr="000337FD">
              <w:rPr>
                <w:rFonts w:ascii="Arial" w:eastAsia="Arial" w:hAnsi="Arial" w:cs="Arial"/>
                <w:spacing w:val="28"/>
              </w:rPr>
              <w:t xml:space="preserve"> </w:t>
            </w:r>
            <w:r w:rsidRPr="000337FD">
              <w:rPr>
                <w:rFonts w:ascii="Arial" w:eastAsia="Arial" w:hAnsi="Arial" w:cs="Arial"/>
              </w:rPr>
              <w:t>Card</w:t>
            </w:r>
            <w:r w:rsidRPr="000337FD">
              <w:rPr>
                <w:rFonts w:ascii="Arial" w:eastAsia="Arial" w:hAnsi="Arial" w:cs="Arial"/>
                <w:spacing w:val="16"/>
              </w:rPr>
              <w:t xml:space="preserve"> </w:t>
            </w:r>
            <w:r w:rsidRPr="000337FD">
              <w:rPr>
                <w:rFonts w:ascii="Arial" w:eastAsia="Arial" w:hAnsi="Arial" w:cs="Arial"/>
              </w:rPr>
              <w:t>reporting</w:t>
            </w:r>
            <w:r w:rsidRPr="000337FD">
              <w:rPr>
                <w:rFonts w:ascii="Arial" w:eastAsia="Arial" w:hAnsi="Arial" w:cs="Arial"/>
                <w:spacing w:val="12"/>
              </w:rPr>
              <w:t xml:space="preserve"> </w:t>
            </w:r>
            <w:r w:rsidRPr="000337FD">
              <w:rPr>
                <w:rFonts w:ascii="Arial" w:eastAsia="Arial" w:hAnsi="Arial" w:cs="Arial"/>
              </w:rPr>
              <w:t>scheme</w:t>
            </w:r>
            <w:r w:rsidRPr="000337FD">
              <w:rPr>
                <w:rFonts w:ascii="Arial" w:eastAsia="Arial" w:hAnsi="Arial" w:cs="Arial"/>
                <w:spacing w:val="16"/>
              </w:rPr>
              <w:t xml:space="preserve"> </w:t>
            </w:r>
            <w:r w:rsidRPr="000337FD">
              <w:rPr>
                <w:rFonts w:ascii="Arial" w:eastAsia="Arial" w:hAnsi="Arial" w:cs="Arial"/>
              </w:rPr>
              <w:t xml:space="preserve">on: </w:t>
            </w:r>
            <w:hyperlink r:id="rId42" w:history="1">
              <w:r w:rsidRPr="000337FD">
                <w:rPr>
                  <w:rStyle w:val="Hyperlink"/>
                  <w:rFonts w:ascii="Arial" w:eastAsia="Arial" w:hAnsi="Arial" w:cs="Arial"/>
                  <w:lang w:val="en-GB" w:eastAsia="en-GB"/>
                </w:rPr>
                <w:t>http://yellowcard.mhra.gov.uk</w:t>
              </w:r>
            </w:hyperlink>
            <w:r w:rsidRPr="000337FD">
              <w:rPr>
                <w:rFonts w:ascii="Arial" w:eastAsia="Arial" w:hAnsi="Arial" w:cs="Arial"/>
              </w:rPr>
              <w:t xml:space="preserve">   </w:t>
            </w:r>
          </w:p>
          <w:p w14:paraId="0B978F27" w14:textId="3C34EDD5" w:rsidR="00A9535E" w:rsidRPr="000337FD" w:rsidRDefault="00A9535E" w:rsidP="00A9535E">
            <w:pPr>
              <w:pStyle w:val="TableParagraph"/>
              <w:spacing w:before="120" w:after="120"/>
              <w:rPr>
                <w:rFonts w:ascii="Arial" w:hAnsi="Arial" w:cs="Arial"/>
              </w:rPr>
            </w:pPr>
            <w:r w:rsidRPr="000337FD">
              <w:rPr>
                <w:rFonts w:ascii="Arial" w:hAnsi="Arial" w:cs="Arial"/>
              </w:rPr>
              <w:t xml:space="preserve">Any adverse reaction to a vaccine should be </w:t>
            </w:r>
            <w:r w:rsidRPr="000337FD">
              <w:rPr>
                <w:rFonts w:ascii="Arial" w:eastAsia="Arial" w:hAnsi="Arial" w:cs="Arial"/>
              </w:rPr>
              <w:t>documented in the individual’s record and the individual’s GP should be informed.</w:t>
            </w:r>
          </w:p>
        </w:tc>
      </w:tr>
    </w:tbl>
    <w:p w14:paraId="6D81FFD0" w14:textId="77777777" w:rsidR="007939D3" w:rsidRDefault="007939D3">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A9535E" w:rsidRPr="00A956FD" w14:paraId="1550B5F3" w14:textId="77777777" w:rsidTr="0087180E">
        <w:tc>
          <w:tcPr>
            <w:tcW w:w="2977" w:type="dxa"/>
            <w:tcBorders>
              <w:bottom w:val="single" w:sz="4" w:space="0" w:color="auto"/>
            </w:tcBorders>
          </w:tcPr>
          <w:p w14:paraId="6197ABCB" w14:textId="45050AF4" w:rsidR="00A9535E" w:rsidRPr="007E324D" w:rsidRDefault="00A9535E" w:rsidP="007E045E">
            <w:pPr>
              <w:pStyle w:val="Header"/>
              <w:tabs>
                <w:tab w:val="clear" w:pos="4153"/>
                <w:tab w:val="clear" w:pos="8306"/>
              </w:tabs>
              <w:spacing w:before="120" w:after="120"/>
              <w:rPr>
                <w:rFonts w:ascii="Arial" w:hAnsi="Arial" w:cs="Arial"/>
                <w:b/>
                <w:sz w:val="22"/>
                <w:szCs w:val="22"/>
              </w:rPr>
            </w:pPr>
            <w:r w:rsidRPr="007E324D">
              <w:lastRenderedPageBreak/>
              <w:br w:type="page"/>
            </w:r>
            <w:r w:rsidRPr="007E324D">
              <w:br w:type="page"/>
            </w:r>
            <w:r w:rsidRPr="007E324D">
              <w:rPr>
                <w:rFonts w:ascii="Arial" w:hAnsi="Arial" w:cs="Arial"/>
                <w:b/>
                <w:sz w:val="22"/>
                <w:szCs w:val="22"/>
              </w:rPr>
              <w:t>Written information to be given to patient or carer</w:t>
            </w:r>
          </w:p>
        </w:tc>
        <w:tc>
          <w:tcPr>
            <w:tcW w:w="6946" w:type="dxa"/>
            <w:tcBorders>
              <w:bottom w:val="single" w:sz="4" w:space="0" w:color="auto"/>
            </w:tcBorders>
          </w:tcPr>
          <w:p w14:paraId="57EED945" w14:textId="77777777" w:rsidR="00A9535E" w:rsidRPr="000337FD" w:rsidRDefault="00A9535E" w:rsidP="00A9535E">
            <w:pPr>
              <w:pStyle w:val="TableParagraph"/>
              <w:spacing w:before="120" w:after="120"/>
              <w:ind w:right="89"/>
              <w:rPr>
                <w:rFonts w:ascii="Arial" w:eastAsia="Arial" w:hAnsi="Arial" w:cs="Arial"/>
              </w:rPr>
            </w:pPr>
            <w:r w:rsidRPr="000337FD">
              <w:rPr>
                <w:rFonts w:ascii="Arial" w:eastAsia="Arial" w:hAnsi="Arial" w:cs="Arial"/>
              </w:rPr>
              <w:t xml:space="preserve">Offer marketing authorisation holder's patient information leaflet (PIL) provided with the vaccine.  </w:t>
            </w:r>
          </w:p>
          <w:p w14:paraId="01120E27" w14:textId="77777777" w:rsidR="00A9535E" w:rsidRPr="000337FD" w:rsidRDefault="00A9535E" w:rsidP="00A9535E">
            <w:pPr>
              <w:pStyle w:val="TableParagraph"/>
              <w:spacing w:before="120" w:after="120"/>
              <w:ind w:right="-108"/>
              <w:contextualSpacing/>
              <w:rPr>
                <w:rFonts w:ascii="Arial" w:eastAsia="Arial" w:hAnsi="Arial" w:cs="Arial"/>
              </w:rPr>
            </w:pPr>
            <w:r w:rsidRPr="000337FD">
              <w:rPr>
                <w:rFonts w:ascii="Arial" w:eastAsia="Arial" w:hAnsi="Arial" w:cs="Arial"/>
              </w:rPr>
              <w:t xml:space="preserve">Immunisation promotional material may be provided as appropriate: </w:t>
            </w:r>
          </w:p>
          <w:p w14:paraId="0C10814D" w14:textId="138F2645" w:rsidR="00C153E6" w:rsidRPr="000337FD" w:rsidRDefault="00960098" w:rsidP="00B971EF">
            <w:pPr>
              <w:pStyle w:val="TableParagraph"/>
              <w:numPr>
                <w:ilvl w:val="0"/>
                <w:numId w:val="7"/>
              </w:numPr>
              <w:spacing w:before="120" w:after="120"/>
              <w:ind w:right="-108"/>
              <w:contextualSpacing/>
              <w:rPr>
                <w:rStyle w:val="Hyperlink"/>
                <w:rFonts w:ascii="Arial" w:eastAsia="Arial" w:hAnsi="Arial" w:cs="Arial"/>
                <w:color w:val="auto"/>
                <w:u w:val="none"/>
              </w:rPr>
            </w:pPr>
            <w:hyperlink r:id="rId43" w:history="1">
              <w:r w:rsidR="003B1293" w:rsidRPr="000337FD">
                <w:rPr>
                  <w:rStyle w:val="Hyperlink"/>
                  <w:rFonts w:ascii="Arial" w:hAnsi="Arial" w:cs="Arial"/>
                </w:rPr>
                <w:t>Splenectomy leaflet</w:t>
              </w:r>
            </w:hyperlink>
          </w:p>
          <w:p w14:paraId="12A66A82" w14:textId="4DB0F801" w:rsidR="00A9535E" w:rsidRPr="000337FD" w:rsidRDefault="00A9535E" w:rsidP="00A9535E">
            <w:pPr>
              <w:pStyle w:val="TableParagraph"/>
              <w:spacing w:before="120" w:after="120"/>
              <w:ind w:right="89"/>
              <w:rPr>
                <w:rFonts w:ascii="Arial" w:eastAsia="Arial" w:hAnsi="Arial" w:cs="Arial"/>
                <w:color w:val="FF0000"/>
              </w:rPr>
            </w:pPr>
            <w:r w:rsidRPr="000337FD">
              <w:rPr>
                <w:rStyle w:val="Hyperlink"/>
                <w:rFonts w:ascii="Arial" w:hAnsi="Arial" w:cs="Arial"/>
                <w:color w:val="auto"/>
                <w:u w:val="none"/>
              </w:rPr>
              <w:t>Available from:</w:t>
            </w:r>
            <w:r w:rsidRPr="000337FD">
              <w:rPr>
                <w:rFonts w:ascii="Arial" w:eastAsia="Arial" w:hAnsi="Arial" w:cs="Arial"/>
              </w:rPr>
              <w:t xml:space="preserve"> </w:t>
            </w:r>
            <w:hyperlink r:id="rId44" w:history="1">
              <w:r w:rsidRPr="000337FD">
                <w:rPr>
                  <w:rStyle w:val="Hyperlink"/>
                  <w:rFonts w:ascii="Arial" w:eastAsia="Arial" w:hAnsi="Arial" w:cs="Arial"/>
                </w:rPr>
                <w:t>www.gov.uk/government/collections/immunisation</w:t>
              </w:r>
            </w:hyperlink>
          </w:p>
        </w:tc>
      </w:tr>
      <w:tr w:rsidR="00A9535E" w:rsidRPr="00A956FD" w14:paraId="357714A3"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2631228D" w14:textId="0DCAF458" w:rsidR="00A9535E" w:rsidRPr="00135875" w:rsidRDefault="0050107F" w:rsidP="00080471">
            <w:pPr>
              <w:pStyle w:val="Header"/>
              <w:tabs>
                <w:tab w:val="clear" w:pos="4153"/>
                <w:tab w:val="clear" w:pos="8306"/>
              </w:tabs>
              <w:spacing w:before="120" w:after="120"/>
              <w:rPr>
                <w:rFonts w:ascii="Arial" w:hAnsi="Arial" w:cs="Arial"/>
                <w:sz w:val="22"/>
                <w:szCs w:val="22"/>
              </w:rPr>
            </w:pPr>
            <w:r>
              <w:br w:type="page"/>
            </w:r>
            <w:r w:rsidR="00A9535E" w:rsidRPr="00135875">
              <w:rPr>
                <w:rFonts w:ascii="Arial" w:hAnsi="Arial" w:cs="Arial"/>
                <w:b/>
                <w:sz w:val="22"/>
                <w:szCs w:val="22"/>
              </w:rPr>
              <w:t>Patient advice / follow up treatment</w:t>
            </w:r>
          </w:p>
        </w:tc>
        <w:tc>
          <w:tcPr>
            <w:tcW w:w="6946" w:type="dxa"/>
            <w:tcBorders>
              <w:top w:val="single" w:sz="4" w:space="0" w:color="auto"/>
            </w:tcBorders>
          </w:tcPr>
          <w:p w14:paraId="71F30F6E" w14:textId="01E34C32" w:rsidR="00A9535E" w:rsidRPr="00D06525" w:rsidRDefault="00A9535E" w:rsidP="00EE43D4">
            <w:pPr>
              <w:pStyle w:val="TableParagraph"/>
              <w:spacing w:before="120" w:after="120"/>
              <w:rPr>
                <w:rFonts w:ascii="Arial" w:eastAsia="Arial" w:hAnsi="Arial" w:cs="Arial"/>
              </w:rPr>
            </w:pPr>
            <w:r w:rsidRPr="00D06525">
              <w:rPr>
                <w:rFonts w:ascii="Arial" w:eastAsia="Arial" w:hAnsi="Arial" w:cs="Arial"/>
              </w:rPr>
              <w:t>Inform the individual/</w:t>
            </w:r>
            <w:r w:rsidR="00CB25A9">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 xml:space="preserve">of possible side effects and their management. </w:t>
            </w:r>
          </w:p>
          <w:p w14:paraId="14A3E31A" w14:textId="3930585D" w:rsidR="00A9535E" w:rsidRDefault="00A9535E" w:rsidP="00EE43D4">
            <w:pPr>
              <w:pStyle w:val="TableParagraph"/>
              <w:spacing w:before="120" w:after="120"/>
              <w:rPr>
                <w:rFonts w:ascii="Arial" w:eastAsia="Arial" w:hAnsi="Arial" w:cs="Arial"/>
              </w:rPr>
            </w:pPr>
            <w:r w:rsidRPr="00D06525">
              <w:rPr>
                <w:rFonts w:ascii="Arial" w:eastAsia="Arial" w:hAnsi="Arial" w:cs="Arial"/>
              </w:rPr>
              <w:t>The</w:t>
            </w:r>
            <w:r w:rsidRPr="00D06525">
              <w:rPr>
                <w:rFonts w:ascii="Arial" w:eastAsia="Arial" w:hAnsi="Arial" w:cs="Arial"/>
                <w:spacing w:val="23"/>
              </w:rPr>
              <w:t xml:space="preserve"> </w:t>
            </w:r>
            <w:r w:rsidRPr="00D06525">
              <w:rPr>
                <w:rFonts w:ascii="Arial" w:eastAsia="Arial" w:hAnsi="Arial" w:cs="Arial"/>
              </w:rPr>
              <w:t>individual/</w:t>
            </w:r>
            <w:r w:rsidR="00CB25A9">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14:paraId="75220718" w14:textId="3C2414AA" w:rsidR="00A9535E" w:rsidRPr="00135875" w:rsidRDefault="00A9535E" w:rsidP="00EE43D4">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w:t>
            </w:r>
            <w:r w:rsidR="00CB25A9">
              <w:rPr>
                <w:rFonts w:eastAsia="Arial" w:cs="Arial"/>
                <w:sz w:val="22"/>
                <w:szCs w:val="22"/>
              </w:rPr>
              <w:t>parent/</w:t>
            </w:r>
            <w:r w:rsidRPr="00D06525">
              <w:rPr>
                <w:rFonts w:eastAsia="Arial" w:cs="Arial"/>
                <w:sz w:val="22"/>
                <w:szCs w:val="22"/>
              </w:rPr>
              <w:t>carer</w:t>
            </w:r>
            <w:r w:rsidRPr="00D06525">
              <w:rPr>
                <w:rFonts w:cs="Arial"/>
                <w:sz w:val="22"/>
                <w:szCs w:val="22"/>
              </w:rPr>
              <w:t xml:space="preserve"> when to return for vaccination.</w:t>
            </w:r>
          </w:p>
        </w:tc>
      </w:tr>
      <w:tr w:rsidR="00A9535E" w:rsidRPr="00A956FD" w14:paraId="06950CF3"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345F80DD" w14:textId="5FCE65DB" w:rsidR="00A9535E" w:rsidRPr="002677F2" w:rsidRDefault="00A9535E" w:rsidP="006B6C13">
            <w:pPr>
              <w:spacing w:before="120" w:after="120"/>
              <w:rPr>
                <w:rFonts w:cs="Arial"/>
                <w:b/>
                <w:sz w:val="22"/>
                <w:szCs w:val="22"/>
              </w:rPr>
            </w:pPr>
            <w:r w:rsidRPr="007E324D">
              <w:br w:type="page"/>
            </w:r>
            <w:r w:rsidRPr="007E324D">
              <w:rPr>
                <w:rFonts w:cs="Arial"/>
                <w:b/>
                <w:sz w:val="22"/>
                <w:szCs w:val="22"/>
              </w:rPr>
              <w:t>Special considerations / additional information</w:t>
            </w:r>
          </w:p>
        </w:tc>
        <w:tc>
          <w:tcPr>
            <w:tcW w:w="6946" w:type="dxa"/>
            <w:shd w:val="clear" w:color="auto" w:fill="auto"/>
          </w:tcPr>
          <w:p w14:paraId="22A8E3A8" w14:textId="77777777" w:rsidR="00A9535E" w:rsidRPr="000337FD" w:rsidRDefault="00A9535E" w:rsidP="00A9535E">
            <w:pPr>
              <w:pStyle w:val="Header"/>
              <w:tabs>
                <w:tab w:val="left" w:pos="720"/>
              </w:tabs>
              <w:spacing w:before="120" w:after="120"/>
              <w:rPr>
                <w:rFonts w:ascii="Arial" w:eastAsiaTheme="minorHAnsi" w:hAnsi="Arial" w:cs="Arial"/>
                <w:sz w:val="22"/>
                <w:szCs w:val="22"/>
                <w:lang w:eastAsia="en-US"/>
              </w:rPr>
            </w:pPr>
            <w:r w:rsidRPr="000337FD">
              <w:rPr>
                <w:rFonts w:ascii="Arial" w:eastAsia="Arial" w:hAnsi="Arial" w:cs="Arial"/>
                <w:sz w:val="22"/>
                <w:szCs w:val="22"/>
              </w:rPr>
              <w:t>Ensure there is immediate</w:t>
            </w:r>
            <w:r w:rsidRPr="000337FD">
              <w:rPr>
                <w:rFonts w:ascii="Arial" w:eastAsia="Arial" w:hAnsi="Arial" w:cs="Arial"/>
                <w:spacing w:val="17"/>
                <w:sz w:val="22"/>
                <w:szCs w:val="22"/>
              </w:rPr>
              <w:t xml:space="preserve"> </w:t>
            </w:r>
            <w:r w:rsidRPr="000337FD">
              <w:rPr>
                <w:rFonts w:ascii="Arial" w:eastAsia="Arial" w:hAnsi="Arial" w:cs="Arial"/>
                <w:sz w:val="22"/>
                <w:szCs w:val="22"/>
              </w:rPr>
              <w:t>access</w:t>
            </w:r>
            <w:r w:rsidRPr="000337FD">
              <w:rPr>
                <w:rFonts w:ascii="Arial" w:eastAsia="Arial" w:hAnsi="Arial" w:cs="Arial"/>
                <w:spacing w:val="14"/>
                <w:sz w:val="22"/>
                <w:szCs w:val="22"/>
              </w:rPr>
              <w:t xml:space="preserve"> </w:t>
            </w:r>
            <w:r w:rsidRPr="000337FD">
              <w:rPr>
                <w:rFonts w:ascii="Arial" w:eastAsia="Arial" w:hAnsi="Arial" w:cs="Arial"/>
                <w:sz w:val="22"/>
                <w:szCs w:val="22"/>
              </w:rPr>
              <w:t>to</w:t>
            </w:r>
            <w:r w:rsidRPr="000337FD">
              <w:rPr>
                <w:rFonts w:ascii="Arial" w:eastAsia="Arial" w:hAnsi="Arial" w:cs="Arial"/>
                <w:spacing w:val="21"/>
                <w:sz w:val="22"/>
                <w:szCs w:val="22"/>
              </w:rPr>
              <w:t xml:space="preserve"> </w:t>
            </w:r>
            <w:r w:rsidRPr="000337FD">
              <w:rPr>
                <w:rFonts w:ascii="Arial" w:eastAsia="Arial" w:hAnsi="Arial" w:cs="Arial"/>
                <w:sz w:val="22"/>
                <w:szCs w:val="22"/>
              </w:rPr>
              <w:t>adrenaline (epinephrine)</w:t>
            </w:r>
            <w:r w:rsidRPr="000337FD">
              <w:rPr>
                <w:rFonts w:ascii="Arial" w:eastAsia="Arial" w:hAnsi="Arial" w:cs="Arial"/>
                <w:spacing w:val="21"/>
                <w:sz w:val="22"/>
                <w:szCs w:val="22"/>
              </w:rPr>
              <w:t xml:space="preserve"> </w:t>
            </w:r>
            <w:r w:rsidRPr="000337FD">
              <w:rPr>
                <w:rFonts w:ascii="Arial" w:eastAsia="Arial" w:hAnsi="Arial" w:cs="Arial"/>
                <w:sz w:val="22"/>
                <w:szCs w:val="22"/>
              </w:rPr>
              <w:t>1</w:t>
            </w:r>
            <w:r w:rsidRPr="000337FD">
              <w:rPr>
                <w:rFonts w:ascii="Arial" w:eastAsia="Arial" w:hAnsi="Arial" w:cs="Arial"/>
                <w:spacing w:val="-10"/>
                <w:sz w:val="22"/>
                <w:szCs w:val="22"/>
              </w:rPr>
              <w:t xml:space="preserve"> </w:t>
            </w:r>
            <w:r w:rsidRPr="000337FD">
              <w:rPr>
                <w:rFonts w:ascii="Arial" w:eastAsia="Arial" w:hAnsi="Arial" w:cs="Arial"/>
                <w:sz w:val="22"/>
                <w:szCs w:val="22"/>
              </w:rPr>
              <w:t>in</w:t>
            </w:r>
            <w:r w:rsidRPr="000337FD">
              <w:rPr>
                <w:rFonts w:ascii="Arial" w:eastAsia="Arial" w:hAnsi="Arial" w:cs="Arial"/>
                <w:spacing w:val="17"/>
                <w:sz w:val="22"/>
                <w:szCs w:val="22"/>
              </w:rPr>
              <w:t xml:space="preserve"> </w:t>
            </w:r>
            <w:r w:rsidRPr="000337FD">
              <w:rPr>
                <w:rFonts w:ascii="Arial" w:eastAsia="Arial" w:hAnsi="Arial" w:cs="Arial"/>
                <w:sz w:val="22"/>
                <w:szCs w:val="22"/>
              </w:rPr>
              <w:t>1000</w:t>
            </w:r>
            <w:r w:rsidRPr="000337FD">
              <w:rPr>
                <w:rFonts w:ascii="Arial" w:eastAsia="Arial" w:hAnsi="Arial" w:cs="Arial"/>
                <w:spacing w:val="11"/>
                <w:sz w:val="22"/>
                <w:szCs w:val="22"/>
              </w:rPr>
              <w:t xml:space="preserve"> </w:t>
            </w:r>
            <w:r w:rsidRPr="000337FD">
              <w:rPr>
                <w:rFonts w:ascii="Arial" w:eastAsia="Arial" w:hAnsi="Arial" w:cs="Arial"/>
                <w:sz w:val="22"/>
                <w:szCs w:val="22"/>
              </w:rPr>
              <w:t>injection and access</w:t>
            </w:r>
            <w:r w:rsidRPr="000337FD">
              <w:rPr>
                <w:rFonts w:ascii="Arial" w:eastAsia="Arial" w:hAnsi="Arial" w:cs="Arial"/>
                <w:spacing w:val="19"/>
                <w:sz w:val="22"/>
                <w:szCs w:val="22"/>
              </w:rPr>
              <w:t xml:space="preserve"> </w:t>
            </w:r>
            <w:r w:rsidRPr="000337FD">
              <w:rPr>
                <w:rFonts w:ascii="Arial" w:eastAsia="Arial" w:hAnsi="Arial" w:cs="Arial"/>
                <w:sz w:val="22"/>
                <w:szCs w:val="22"/>
              </w:rPr>
              <w:t>to</w:t>
            </w:r>
            <w:r w:rsidRPr="000337FD">
              <w:rPr>
                <w:rFonts w:ascii="Arial" w:eastAsia="Arial" w:hAnsi="Arial" w:cs="Arial"/>
                <w:spacing w:val="10"/>
                <w:sz w:val="22"/>
                <w:szCs w:val="22"/>
              </w:rPr>
              <w:t xml:space="preserve"> a </w:t>
            </w:r>
            <w:r w:rsidRPr="000337FD">
              <w:rPr>
                <w:rFonts w:ascii="Arial" w:eastAsia="Arial" w:hAnsi="Arial" w:cs="Arial"/>
                <w:sz w:val="22"/>
                <w:szCs w:val="22"/>
              </w:rPr>
              <w:t xml:space="preserve">telephone </w:t>
            </w:r>
            <w:r w:rsidRPr="000337FD">
              <w:rPr>
                <w:rFonts w:ascii="Arial" w:eastAsiaTheme="minorHAnsi" w:hAnsi="Arial" w:cs="Arial"/>
                <w:sz w:val="22"/>
                <w:szCs w:val="22"/>
                <w:lang w:eastAsia="en-US"/>
              </w:rPr>
              <w:t>at the time of vaccination.</w:t>
            </w:r>
          </w:p>
          <w:p w14:paraId="099C0E4F" w14:textId="77777777" w:rsidR="00E612BA" w:rsidRPr="000337FD" w:rsidRDefault="00E612BA" w:rsidP="00A9535E">
            <w:pPr>
              <w:pStyle w:val="Header"/>
              <w:tabs>
                <w:tab w:val="left" w:pos="720"/>
              </w:tabs>
              <w:spacing w:before="120" w:after="120"/>
              <w:rPr>
                <w:rFonts w:ascii="Arial" w:eastAsiaTheme="minorHAnsi" w:hAnsi="Arial" w:cs="Arial"/>
                <w:sz w:val="22"/>
                <w:szCs w:val="22"/>
                <w:lang w:eastAsia="en-US"/>
              </w:rPr>
            </w:pPr>
            <w:r w:rsidRPr="000337FD">
              <w:rPr>
                <w:rFonts w:ascii="Arial" w:eastAsiaTheme="minorHAnsi" w:hAnsi="Arial" w:cs="Arial"/>
                <w:sz w:val="22"/>
                <w:szCs w:val="22"/>
                <w:lang w:eastAsia="en-US"/>
              </w:rPr>
              <w:t xml:space="preserve">To reduce the risk of vulnerable individuals being exposed to vaccine preventable conditions, all household and close contacts of immunosuppressed individuals should be fully vaccinated according to the national schedule. </w:t>
            </w:r>
          </w:p>
          <w:p w14:paraId="264BD895" w14:textId="1FB4ECB6" w:rsidR="00F75B30" w:rsidRPr="000337FD" w:rsidRDefault="003A1CDC" w:rsidP="004246A7">
            <w:pPr>
              <w:pStyle w:val="Header"/>
              <w:tabs>
                <w:tab w:val="left" w:pos="720"/>
              </w:tabs>
              <w:spacing w:before="120" w:after="120"/>
              <w:rPr>
                <w:rFonts w:ascii="Arial" w:eastAsiaTheme="minorHAnsi" w:hAnsi="Arial" w:cs="Arial"/>
                <w:sz w:val="22"/>
                <w:szCs w:val="22"/>
                <w:lang w:eastAsia="en-US"/>
              </w:rPr>
            </w:pPr>
            <w:r w:rsidRPr="000337FD">
              <w:rPr>
                <w:rFonts w:ascii="Arial" w:eastAsiaTheme="minorHAnsi" w:hAnsi="Arial" w:cs="Arial"/>
                <w:sz w:val="22"/>
                <w:szCs w:val="22"/>
                <w:lang w:eastAsia="en-US"/>
              </w:rPr>
              <w:t>Two Hib containing vaccines may be given at the same time (ie Hib/MenC and DTaP/IPV/Hib</w:t>
            </w:r>
            <w:r w:rsidR="00516083">
              <w:rPr>
                <w:rFonts w:ascii="Arial" w:eastAsiaTheme="minorHAnsi" w:hAnsi="Arial" w:cs="Arial"/>
                <w:sz w:val="22"/>
                <w:szCs w:val="22"/>
                <w:lang w:eastAsia="en-US"/>
              </w:rPr>
              <w:t xml:space="preserve"> or DTaP/IPV/Hib/HepB</w:t>
            </w:r>
            <w:r w:rsidRPr="000337FD">
              <w:rPr>
                <w:rFonts w:ascii="Arial" w:eastAsiaTheme="minorHAnsi" w:hAnsi="Arial" w:cs="Arial"/>
                <w:sz w:val="22"/>
                <w:szCs w:val="22"/>
                <w:lang w:eastAsia="en-US"/>
              </w:rPr>
              <w:t xml:space="preserve">) when required to catch-up immunisations in individuals who are un- or incompletely immunised (see </w:t>
            </w:r>
            <w:hyperlink r:id="rId45" w:history="1">
              <w:r w:rsidRPr="000337FD">
                <w:rPr>
                  <w:rStyle w:val="Hyperlink"/>
                  <w:rFonts w:ascii="Arial" w:hAnsi="Arial" w:cs="Arial"/>
                  <w:sz w:val="22"/>
                  <w:szCs w:val="22"/>
                </w:rPr>
                <w:t>vaccination of individuals with uncertain or incomplete immunisation status</w:t>
              </w:r>
            </w:hyperlink>
            <w:r w:rsidRPr="000337FD">
              <w:rPr>
                <w:rFonts w:ascii="Arial" w:eastAsiaTheme="minorHAnsi" w:hAnsi="Arial" w:cs="Arial"/>
                <w:sz w:val="22"/>
                <w:szCs w:val="22"/>
                <w:lang w:eastAsia="en-US"/>
              </w:rPr>
              <w:t>)</w:t>
            </w:r>
            <w:r w:rsidR="00B971EF" w:rsidRPr="000337FD">
              <w:rPr>
                <w:rFonts w:ascii="Arial" w:eastAsiaTheme="minorHAnsi" w:hAnsi="Arial" w:cs="Arial"/>
                <w:sz w:val="22"/>
                <w:szCs w:val="22"/>
                <w:lang w:eastAsia="en-US"/>
              </w:rPr>
              <w:t>. When not provided at the same visit a period of 4 weeks should elapse between immunisations</w:t>
            </w:r>
            <w:r w:rsidRPr="000337FD">
              <w:rPr>
                <w:rFonts w:ascii="Arial" w:eastAsiaTheme="minorHAnsi" w:hAnsi="Arial" w:cs="Arial"/>
                <w:sz w:val="22"/>
                <w:szCs w:val="22"/>
                <w:lang w:eastAsia="en-US"/>
              </w:rPr>
              <w:t>.</w:t>
            </w:r>
          </w:p>
          <w:p w14:paraId="04AD474D" w14:textId="6489AB54" w:rsidR="00A9535E" w:rsidRPr="000337FD" w:rsidRDefault="00564EBC" w:rsidP="004246A7">
            <w:pPr>
              <w:pStyle w:val="Header"/>
              <w:tabs>
                <w:tab w:val="left" w:pos="720"/>
              </w:tabs>
              <w:spacing w:before="120" w:after="120"/>
              <w:rPr>
                <w:rFonts w:ascii="Arial" w:eastAsiaTheme="minorHAnsi" w:hAnsi="Arial" w:cs="Arial"/>
                <w:sz w:val="22"/>
                <w:szCs w:val="22"/>
                <w:lang w:eastAsia="en-US"/>
              </w:rPr>
            </w:pPr>
            <w:r w:rsidRPr="000337FD">
              <w:rPr>
                <w:rFonts w:ascii="Arial" w:hAnsi="Arial" w:cs="Arial"/>
                <w:color w:val="000000"/>
                <w:sz w:val="22"/>
                <w:szCs w:val="22"/>
              </w:rPr>
              <w:t xml:space="preserve">Hyposplenism in coeliac disease is uncommon in children, and the prevalence correlates with the duration exposure to gluten. Therefore patients diagnosed with coeliac disease early in life and well managed are unlikely to require additional Hib and meningococcal vaccines. Only those with known splenic dysfunction should </w:t>
            </w:r>
            <w:r w:rsidR="00F32D66">
              <w:rPr>
                <w:rFonts w:ascii="Arial" w:hAnsi="Arial" w:cs="Arial"/>
                <w:color w:val="000000"/>
                <w:sz w:val="22"/>
                <w:szCs w:val="22"/>
              </w:rPr>
              <w:t xml:space="preserve">be </w:t>
            </w:r>
            <w:r w:rsidR="004246A7" w:rsidRPr="000337FD">
              <w:rPr>
                <w:rFonts w:ascii="Arial" w:hAnsi="Arial" w:cs="Arial"/>
                <w:color w:val="000000"/>
                <w:sz w:val="22"/>
                <w:szCs w:val="22"/>
              </w:rPr>
              <w:t>offered additional Hib/MenC vaccination</w:t>
            </w:r>
            <w:r w:rsidRPr="000337FD">
              <w:rPr>
                <w:rFonts w:ascii="Arial" w:hAnsi="Arial" w:cs="Arial"/>
                <w:color w:val="000000"/>
                <w:sz w:val="22"/>
                <w:szCs w:val="22"/>
              </w:rPr>
              <w:t>.</w:t>
            </w:r>
          </w:p>
        </w:tc>
      </w:tr>
      <w:tr w:rsidR="00A9535E" w:rsidRPr="00A956FD" w14:paraId="6C80C670"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08394814" w14:textId="4EDA7C24" w:rsidR="00A9535E" w:rsidRDefault="00A9535E" w:rsidP="007E045E">
            <w:pPr>
              <w:spacing w:before="120" w:after="120"/>
              <w:rPr>
                <w:rFonts w:cs="Arial"/>
                <w:b/>
                <w:sz w:val="22"/>
                <w:szCs w:val="22"/>
              </w:rPr>
            </w:pPr>
            <w:r w:rsidRPr="00A60816">
              <w:rPr>
                <w:rFonts w:cs="Arial"/>
                <w:b/>
                <w:sz w:val="22"/>
                <w:szCs w:val="22"/>
              </w:rPr>
              <w:t>Records</w:t>
            </w:r>
          </w:p>
          <w:p w14:paraId="3E365A17" w14:textId="77777777" w:rsidR="00DA0FC4" w:rsidRDefault="00DA0FC4" w:rsidP="007E045E">
            <w:pPr>
              <w:spacing w:before="120" w:after="120"/>
              <w:rPr>
                <w:rFonts w:cs="Arial"/>
                <w:b/>
                <w:sz w:val="22"/>
                <w:szCs w:val="22"/>
              </w:rPr>
            </w:pPr>
          </w:p>
          <w:p w14:paraId="12CD8B70" w14:textId="77777777" w:rsidR="001C41DB" w:rsidRDefault="001C41DB" w:rsidP="007E045E">
            <w:pPr>
              <w:spacing w:before="120" w:after="120"/>
              <w:rPr>
                <w:rFonts w:cs="Arial"/>
                <w:b/>
                <w:sz w:val="22"/>
                <w:szCs w:val="22"/>
              </w:rPr>
            </w:pPr>
          </w:p>
          <w:p w14:paraId="726B06D9" w14:textId="77777777" w:rsidR="001C41DB" w:rsidRDefault="001C41DB" w:rsidP="007E045E">
            <w:pPr>
              <w:spacing w:before="120" w:after="120"/>
              <w:rPr>
                <w:rFonts w:cs="Arial"/>
                <w:b/>
                <w:sz w:val="22"/>
                <w:szCs w:val="22"/>
              </w:rPr>
            </w:pPr>
          </w:p>
          <w:p w14:paraId="21D6F23C" w14:textId="77777777" w:rsidR="0050107F" w:rsidRDefault="0050107F" w:rsidP="007E045E">
            <w:pPr>
              <w:spacing w:before="120" w:after="120"/>
              <w:rPr>
                <w:rFonts w:cs="Arial"/>
                <w:b/>
                <w:sz w:val="22"/>
                <w:szCs w:val="22"/>
              </w:rPr>
            </w:pPr>
          </w:p>
          <w:p w14:paraId="4E17BA71" w14:textId="77777777" w:rsidR="0050107F" w:rsidRDefault="0050107F" w:rsidP="007E045E">
            <w:pPr>
              <w:spacing w:before="120" w:after="120"/>
              <w:rPr>
                <w:rFonts w:cs="Arial"/>
                <w:b/>
                <w:sz w:val="22"/>
                <w:szCs w:val="22"/>
              </w:rPr>
            </w:pPr>
          </w:p>
          <w:p w14:paraId="7F58684C" w14:textId="77777777" w:rsidR="0050107F" w:rsidRDefault="0050107F" w:rsidP="007E045E">
            <w:pPr>
              <w:spacing w:before="120" w:after="120"/>
              <w:rPr>
                <w:rFonts w:cs="Arial"/>
                <w:b/>
                <w:sz w:val="22"/>
                <w:szCs w:val="22"/>
              </w:rPr>
            </w:pPr>
          </w:p>
          <w:p w14:paraId="7DA63759" w14:textId="77777777" w:rsidR="0050107F" w:rsidRDefault="0050107F" w:rsidP="007E045E">
            <w:pPr>
              <w:spacing w:before="120" w:after="120"/>
              <w:rPr>
                <w:rFonts w:cs="Arial"/>
                <w:b/>
                <w:sz w:val="22"/>
                <w:szCs w:val="22"/>
              </w:rPr>
            </w:pPr>
          </w:p>
          <w:p w14:paraId="6CA64864" w14:textId="77777777" w:rsidR="0050107F" w:rsidRDefault="0050107F" w:rsidP="007E045E">
            <w:pPr>
              <w:spacing w:before="120" w:after="120"/>
              <w:rPr>
                <w:rFonts w:cs="Arial"/>
                <w:b/>
                <w:sz w:val="22"/>
                <w:szCs w:val="22"/>
              </w:rPr>
            </w:pPr>
          </w:p>
          <w:p w14:paraId="4234164B" w14:textId="77777777" w:rsidR="0050107F" w:rsidRDefault="0050107F" w:rsidP="007E045E">
            <w:pPr>
              <w:spacing w:before="120" w:after="120"/>
              <w:rPr>
                <w:rFonts w:cs="Arial"/>
                <w:b/>
                <w:sz w:val="22"/>
                <w:szCs w:val="22"/>
              </w:rPr>
            </w:pPr>
          </w:p>
          <w:p w14:paraId="63481FB9" w14:textId="77777777" w:rsidR="0050107F" w:rsidRDefault="0050107F" w:rsidP="007E045E">
            <w:pPr>
              <w:spacing w:before="120" w:after="120"/>
              <w:rPr>
                <w:rFonts w:cs="Arial"/>
                <w:b/>
                <w:sz w:val="22"/>
                <w:szCs w:val="22"/>
              </w:rPr>
            </w:pPr>
          </w:p>
          <w:p w14:paraId="60F5EC4C" w14:textId="77777777" w:rsidR="0050107F" w:rsidRDefault="0050107F" w:rsidP="007E045E">
            <w:pPr>
              <w:spacing w:before="120" w:after="120"/>
              <w:rPr>
                <w:rFonts w:cs="Arial"/>
                <w:b/>
                <w:sz w:val="22"/>
                <w:szCs w:val="22"/>
              </w:rPr>
            </w:pPr>
          </w:p>
          <w:p w14:paraId="5577159F" w14:textId="77777777" w:rsidR="0050107F" w:rsidRDefault="0050107F" w:rsidP="007E045E">
            <w:pPr>
              <w:spacing w:before="120" w:after="120"/>
              <w:rPr>
                <w:rFonts w:cs="Arial"/>
                <w:b/>
                <w:sz w:val="22"/>
                <w:szCs w:val="22"/>
              </w:rPr>
            </w:pPr>
          </w:p>
          <w:p w14:paraId="0EF2B7C2" w14:textId="77777777" w:rsidR="001C41DB" w:rsidRDefault="001C41DB" w:rsidP="007E045E">
            <w:pPr>
              <w:spacing w:before="120" w:after="120"/>
              <w:rPr>
                <w:rFonts w:cs="Arial"/>
                <w:b/>
                <w:sz w:val="22"/>
                <w:szCs w:val="22"/>
              </w:rPr>
            </w:pPr>
          </w:p>
          <w:p w14:paraId="4AA59F3B" w14:textId="5E081CEB" w:rsidR="00DA0FC4" w:rsidRDefault="00DA0FC4" w:rsidP="007E045E">
            <w:pPr>
              <w:spacing w:before="120" w:after="120"/>
              <w:rPr>
                <w:rFonts w:cs="Arial"/>
                <w:sz w:val="22"/>
                <w:szCs w:val="22"/>
              </w:rPr>
            </w:pPr>
            <w:r>
              <w:rPr>
                <w:rFonts w:cs="Arial"/>
                <w:sz w:val="22"/>
                <w:szCs w:val="22"/>
              </w:rPr>
              <w:t>continued over page</w:t>
            </w:r>
          </w:p>
          <w:p w14:paraId="4136CE97" w14:textId="77777777" w:rsidR="00DA0FC4" w:rsidRDefault="00DA0FC4" w:rsidP="007E045E">
            <w:pPr>
              <w:spacing w:before="120" w:after="120"/>
              <w:contextualSpacing/>
              <w:rPr>
                <w:rFonts w:cs="Arial"/>
                <w:b/>
                <w:sz w:val="22"/>
                <w:szCs w:val="22"/>
              </w:rPr>
            </w:pPr>
            <w:r>
              <w:rPr>
                <w:rFonts w:cs="Arial"/>
                <w:b/>
                <w:sz w:val="22"/>
                <w:szCs w:val="22"/>
              </w:rPr>
              <w:lastRenderedPageBreak/>
              <w:t>Records</w:t>
            </w:r>
          </w:p>
          <w:p w14:paraId="1F1E6DB1" w14:textId="6EA06080" w:rsidR="0050107F" w:rsidRPr="0050107F" w:rsidRDefault="0050107F" w:rsidP="007E045E">
            <w:pPr>
              <w:spacing w:before="120" w:after="120"/>
              <w:contextualSpacing/>
              <w:rPr>
                <w:rFonts w:cs="Arial"/>
                <w:sz w:val="22"/>
                <w:szCs w:val="22"/>
              </w:rPr>
            </w:pPr>
            <w:r w:rsidRPr="0050107F">
              <w:rPr>
                <w:rFonts w:cs="Arial"/>
                <w:sz w:val="22"/>
                <w:szCs w:val="22"/>
              </w:rPr>
              <w:t>(continued)</w:t>
            </w:r>
          </w:p>
        </w:tc>
        <w:tc>
          <w:tcPr>
            <w:tcW w:w="6946" w:type="dxa"/>
          </w:tcPr>
          <w:p w14:paraId="380FE72E" w14:textId="77777777" w:rsidR="00A9535E" w:rsidRPr="00D06525" w:rsidRDefault="00A9535E" w:rsidP="000D46BA">
            <w:pPr>
              <w:overflowPunct/>
              <w:autoSpaceDE/>
              <w:autoSpaceDN/>
              <w:adjustRightInd/>
              <w:spacing w:before="120"/>
              <w:ind w:left="34"/>
              <w:textAlignment w:val="auto"/>
              <w:rPr>
                <w:rFonts w:cs="Arial"/>
                <w:sz w:val="22"/>
                <w:szCs w:val="22"/>
              </w:rPr>
            </w:pPr>
            <w:r w:rsidRPr="00D06525">
              <w:rPr>
                <w:rFonts w:cs="Arial"/>
                <w:sz w:val="22"/>
                <w:szCs w:val="22"/>
              </w:rPr>
              <w:lastRenderedPageBreak/>
              <w:t xml:space="preserve">Record: </w:t>
            </w:r>
          </w:p>
          <w:p w14:paraId="5524B098"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that valid informed consent was given</w:t>
            </w:r>
          </w:p>
          <w:p w14:paraId="7B978BBC"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of individual, address, date of birth and GP with whom the individual is registered</w:t>
            </w:r>
          </w:p>
          <w:p w14:paraId="7FD8A74D"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of immuniser</w:t>
            </w:r>
          </w:p>
          <w:p w14:paraId="3597267D"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name and brand of vaccine</w:t>
            </w:r>
          </w:p>
          <w:p w14:paraId="02AC6A72"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date of administration</w:t>
            </w:r>
          </w:p>
          <w:p w14:paraId="2B7C5382"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dose, form and route of administration of vaccine</w:t>
            </w:r>
          </w:p>
          <w:p w14:paraId="5B9C6FA1"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quantity administered</w:t>
            </w:r>
          </w:p>
          <w:p w14:paraId="1B735652"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batch number and expiry date</w:t>
            </w:r>
          </w:p>
          <w:p w14:paraId="32C351AB"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anatomical site of vaccination</w:t>
            </w:r>
          </w:p>
          <w:p w14:paraId="0A20EAB6"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advice given, including advice given if excluded or declines immunisation</w:t>
            </w:r>
          </w:p>
          <w:p w14:paraId="2BD8F693"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D06525">
              <w:rPr>
                <w:rFonts w:cs="Arial"/>
                <w:sz w:val="22"/>
                <w:szCs w:val="22"/>
              </w:rPr>
              <w:t>details of any adverse drug reactions and actions taken</w:t>
            </w:r>
          </w:p>
          <w:p w14:paraId="3D78308E" w14:textId="77777777" w:rsidR="00A9535E" w:rsidRPr="00D06525" w:rsidRDefault="00A9535E" w:rsidP="000D46BA">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D06525">
              <w:rPr>
                <w:rFonts w:cs="Arial"/>
                <w:sz w:val="22"/>
                <w:szCs w:val="22"/>
              </w:rPr>
              <w:t>supplied via Patient Group Direction (PGD)</w:t>
            </w:r>
          </w:p>
          <w:p w14:paraId="46EB988B" w14:textId="77777777" w:rsidR="00A9535E" w:rsidRPr="00D06525" w:rsidRDefault="00A9535E" w:rsidP="000D46BA">
            <w:pPr>
              <w:overflowPunct/>
              <w:autoSpaceDE/>
              <w:autoSpaceDN/>
              <w:adjustRightInd/>
              <w:spacing w:before="120" w:after="120"/>
              <w:textAlignment w:val="auto"/>
              <w:rPr>
                <w:rFonts w:cs="Arial"/>
                <w:sz w:val="22"/>
                <w:szCs w:val="22"/>
              </w:rPr>
            </w:pPr>
            <w:r w:rsidRPr="00D06525">
              <w:rPr>
                <w:rFonts w:cs="Arial"/>
                <w:sz w:val="22"/>
                <w:szCs w:val="22"/>
              </w:rPr>
              <w:t xml:space="preserve">Records should be signed and dated (or a password controlled immunisers record on e-records). </w:t>
            </w:r>
          </w:p>
          <w:p w14:paraId="5747E7FC" w14:textId="77777777" w:rsidR="00A9535E" w:rsidRPr="00D06525" w:rsidRDefault="00A9535E" w:rsidP="000D46BA">
            <w:pPr>
              <w:spacing w:before="120" w:after="120"/>
              <w:rPr>
                <w:rFonts w:cs="Arial"/>
                <w:sz w:val="22"/>
                <w:szCs w:val="22"/>
              </w:rPr>
            </w:pPr>
            <w:r w:rsidRPr="00D06525">
              <w:rPr>
                <w:rFonts w:cs="Arial"/>
                <w:sz w:val="22"/>
                <w:szCs w:val="22"/>
              </w:rPr>
              <w:t>All records should be clear, legible and contemporaneous.</w:t>
            </w:r>
          </w:p>
          <w:p w14:paraId="19834189" w14:textId="77777777" w:rsidR="00A9535E" w:rsidRPr="0079217A" w:rsidRDefault="00A9535E" w:rsidP="00A9535E">
            <w:pPr>
              <w:spacing w:before="120" w:after="120"/>
              <w:rPr>
                <w:sz w:val="22"/>
                <w:szCs w:val="22"/>
              </w:rPr>
            </w:pPr>
            <w:r w:rsidRPr="0079217A">
              <w:rPr>
                <w:sz w:val="22"/>
                <w:szCs w:val="22"/>
              </w:rPr>
              <w:t xml:space="preserve">This information should be recorded in the individual’s GP record. Where vaccine is administered outside the GP setting appropriate </w:t>
            </w:r>
            <w:r w:rsidRPr="0079217A">
              <w:rPr>
                <w:sz w:val="22"/>
                <w:szCs w:val="22"/>
              </w:rPr>
              <w:lastRenderedPageBreak/>
              <w:t>health records should be kept and the individual’s GP informed.</w:t>
            </w:r>
          </w:p>
          <w:p w14:paraId="46F89BF7" w14:textId="07709B85" w:rsidR="0031689E" w:rsidRDefault="00A9535E" w:rsidP="00CC6EBA">
            <w:pPr>
              <w:overflowPunct/>
              <w:spacing w:after="120"/>
              <w:textAlignment w:val="auto"/>
              <w:rPr>
                <w:rFonts w:cs="Arial"/>
                <w:sz w:val="22"/>
                <w:szCs w:val="22"/>
              </w:rPr>
            </w:pPr>
            <w:r w:rsidRPr="0079217A">
              <w:rPr>
                <w:sz w:val="22"/>
                <w:szCs w:val="22"/>
              </w:rPr>
              <w:t>The local Child Health Information S</w:t>
            </w:r>
            <w:r w:rsidR="00CB25A9">
              <w:rPr>
                <w:sz w:val="22"/>
                <w:szCs w:val="22"/>
              </w:rPr>
              <w:t>ervice</w:t>
            </w:r>
            <w:r w:rsidRPr="0079217A">
              <w:rPr>
                <w:sz w:val="22"/>
                <w:szCs w:val="22"/>
              </w:rPr>
              <w:t xml:space="preserve">s team (Child Health Records Department) must be notified using the appropriate documentation/pathway </w:t>
            </w:r>
            <w:r w:rsidR="0031689E" w:rsidRPr="006805F2">
              <w:rPr>
                <w:sz w:val="22"/>
                <w:szCs w:val="22"/>
              </w:rPr>
              <w:t>as required by any local or contractual arrangement</w:t>
            </w:r>
            <w:r w:rsidR="0031689E">
              <w:rPr>
                <w:sz w:val="22"/>
                <w:szCs w:val="22"/>
              </w:rPr>
              <w:t>.</w:t>
            </w:r>
          </w:p>
          <w:p w14:paraId="292E33AA" w14:textId="18D42C24" w:rsidR="00A9535E" w:rsidRPr="00EE43D4" w:rsidRDefault="00A9535E" w:rsidP="00CC6EBA">
            <w:pPr>
              <w:overflowPunct/>
              <w:spacing w:after="120"/>
              <w:textAlignment w:val="auto"/>
              <w:rPr>
                <w:rFonts w:eastAsiaTheme="minorHAnsi" w:cs="Arial"/>
                <w:color w:val="FF0000"/>
                <w:sz w:val="22"/>
                <w:szCs w:val="22"/>
                <w:lang w:eastAsia="en-US"/>
              </w:rPr>
            </w:pPr>
            <w:r w:rsidRPr="00D06525">
              <w:rPr>
                <w:rFonts w:cs="Arial"/>
                <w:sz w:val="22"/>
                <w:szCs w:val="22"/>
              </w:rPr>
              <w:t>A record of all individuals receiving treatment under this PGD should also be kept for audit purposes in accordance with local policy.</w:t>
            </w:r>
          </w:p>
        </w:tc>
      </w:tr>
    </w:tbl>
    <w:p w14:paraId="73C8D9C2" w14:textId="77777777" w:rsidR="00A60816" w:rsidRDefault="00A60816">
      <w:pPr>
        <w:overflowPunct/>
        <w:autoSpaceDE/>
        <w:autoSpaceDN/>
        <w:adjustRightInd/>
        <w:jc w:val="center"/>
        <w:textAlignment w:val="auto"/>
        <w:rPr>
          <w:b/>
          <w:color w:val="FF0000"/>
          <w:szCs w:val="24"/>
        </w:rPr>
      </w:pPr>
      <w:r>
        <w:rPr>
          <w:b/>
          <w:color w:val="FF0000"/>
          <w:szCs w:val="24"/>
        </w:rPr>
        <w:lastRenderedPageBreak/>
        <w:br w:type="page"/>
      </w:r>
    </w:p>
    <w:p w14:paraId="0066A1EB" w14:textId="709A8AB9"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14:paraId="73B02C2F" w14:textId="77777777" w:rsidTr="003B0B4F">
        <w:tc>
          <w:tcPr>
            <w:tcW w:w="2835" w:type="dxa"/>
          </w:tcPr>
          <w:p w14:paraId="4E04B305" w14:textId="5A27AB91"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14:paraId="17F08099" w14:textId="77777777" w:rsidR="00A9535E" w:rsidRPr="000337FD" w:rsidRDefault="00A9535E" w:rsidP="00A9535E">
            <w:pPr>
              <w:spacing w:before="120" w:after="120"/>
              <w:rPr>
                <w:rFonts w:cs="Arial"/>
                <w:b/>
                <w:sz w:val="22"/>
                <w:szCs w:val="22"/>
              </w:rPr>
            </w:pPr>
            <w:r w:rsidRPr="000337FD">
              <w:rPr>
                <w:rFonts w:cs="Arial"/>
                <w:b/>
                <w:sz w:val="22"/>
                <w:szCs w:val="22"/>
              </w:rPr>
              <w:t xml:space="preserve">Hib/MenC vaccine </w:t>
            </w:r>
          </w:p>
          <w:p w14:paraId="00E22617" w14:textId="480C4F7B" w:rsidR="00823238" w:rsidRPr="000337FD" w:rsidRDefault="00823238" w:rsidP="00823238">
            <w:pPr>
              <w:pStyle w:val="ListParagraph"/>
              <w:numPr>
                <w:ilvl w:val="0"/>
                <w:numId w:val="30"/>
              </w:numPr>
              <w:ind w:left="318" w:hanging="284"/>
              <w:contextualSpacing w:val="0"/>
              <w:rPr>
                <w:sz w:val="22"/>
                <w:szCs w:val="22"/>
              </w:rPr>
            </w:pPr>
            <w:r w:rsidRPr="000337FD">
              <w:rPr>
                <w:sz w:val="22"/>
                <w:szCs w:val="22"/>
                <w:lang w:val="en"/>
              </w:rPr>
              <w:t>MenC vaccination schedule: planned changes from July 2016. PHE/NHS England. 24 March 2016.</w:t>
            </w:r>
          </w:p>
          <w:p w14:paraId="048E46D8" w14:textId="579DC887" w:rsidR="00823238" w:rsidRPr="000337FD" w:rsidRDefault="00960098" w:rsidP="00290B36">
            <w:pPr>
              <w:pStyle w:val="ListParagraph"/>
              <w:spacing w:after="60"/>
              <w:ind w:left="318"/>
              <w:contextualSpacing w:val="0"/>
              <w:rPr>
                <w:sz w:val="22"/>
                <w:szCs w:val="22"/>
              </w:rPr>
            </w:pPr>
            <w:hyperlink r:id="rId46" w:history="1">
              <w:r w:rsidR="00823238" w:rsidRPr="000337FD">
                <w:rPr>
                  <w:rStyle w:val="Hyperlink"/>
                  <w:sz w:val="22"/>
                  <w:szCs w:val="22"/>
                </w:rPr>
                <w:t>https://www.gov.uk/government/publications/menc-vaccination-schedule-planned-changes-from-july-2016</w:t>
              </w:r>
            </w:hyperlink>
          </w:p>
          <w:p w14:paraId="00821E97" w14:textId="107EA9E2" w:rsidR="00A9535E" w:rsidRPr="000337FD" w:rsidRDefault="00A9535E" w:rsidP="00A9535E">
            <w:pPr>
              <w:pStyle w:val="ListParagraph"/>
              <w:numPr>
                <w:ilvl w:val="0"/>
                <w:numId w:val="30"/>
              </w:numPr>
              <w:ind w:left="318" w:hanging="284"/>
              <w:contextualSpacing w:val="0"/>
              <w:rPr>
                <w:sz w:val="22"/>
                <w:szCs w:val="22"/>
              </w:rPr>
            </w:pPr>
            <w:r w:rsidRPr="000337FD">
              <w:rPr>
                <w:sz w:val="22"/>
                <w:szCs w:val="22"/>
              </w:rPr>
              <w:t xml:space="preserve">Immunisation Against Infectious Disease: The Green Book </w:t>
            </w:r>
            <w:hyperlink r:id="rId47" w:history="1">
              <w:r w:rsidRPr="000337FD">
                <w:rPr>
                  <w:rStyle w:val="Hyperlink"/>
                  <w:rFonts w:cs="Arial"/>
                  <w:sz w:val="22"/>
                  <w:szCs w:val="22"/>
                </w:rPr>
                <w:t>Chapter 16</w:t>
              </w:r>
            </w:hyperlink>
            <w:r w:rsidRPr="000337FD">
              <w:rPr>
                <w:rFonts w:cs="Arial"/>
                <w:sz w:val="22"/>
                <w:szCs w:val="22"/>
              </w:rPr>
              <w:t xml:space="preserve">, last updated </w:t>
            </w:r>
            <w:r w:rsidR="00F75B30" w:rsidRPr="000337FD">
              <w:rPr>
                <w:rFonts w:cs="Arial"/>
                <w:sz w:val="22"/>
                <w:szCs w:val="22"/>
              </w:rPr>
              <w:t>March 2011</w:t>
            </w:r>
            <w:r w:rsidRPr="000337FD">
              <w:rPr>
                <w:rFonts w:cs="Arial"/>
                <w:sz w:val="22"/>
                <w:szCs w:val="22"/>
              </w:rPr>
              <w:t xml:space="preserve">, </w:t>
            </w:r>
            <w:hyperlink r:id="rId48" w:history="1">
              <w:r w:rsidRPr="000337FD">
                <w:rPr>
                  <w:rStyle w:val="Hyperlink"/>
                  <w:rFonts w:cs="Arial"/>
                  <w:sz w:val="22"/>
                  <w:szCs w:val="22"/>
                </w:rPr>
                <w:t>Chapter 22</w:t>
              </w:r>
            </w:hyperlink>
            <w:r w:rsidRPr="000337FD">
              <w:rPr>
                <w:sz w:val="22"/>
                <w:szCs w:val="22"/>
              </w:rPr>
              <w:t>, last updated 2</w:t>
            </w:r>
            <w:r w:rsidR="000A3815" w:rsidRPr="000337FD">
              <w:rPr>
                <w:sz w:val="22"/>
                <w:szCs w:val="22"/>
              </w:rPr>
              <w:t>0</w:t>
            </w:r>
            <w:r w:rsidRPr="000337FD">
              <w:rPr>
                <w:sz w:val="22"/>
                <w:szCs w:val="22"/>
              </w:rPr>
              <w:t xml:space="preserve"> September 201</w:t>
            </w:r>
            <w:r w:rsidR="000A3815" w:rsidRPr="000337FD">
              <w:rPr>
                <w:sz w:val="22"/>
                <w:szCs w:val="22"/>
              </w:rPr>
              <w:t>6</w:t>
            </w:r>
            <w:r w:rsidR="0019071B" w:rsidRPr="000337FD">
              <w:rPr>
                <w:sz w:val="22"/>
                <w:szCs w:val="22"/>
              </w:rPr>
              <w:t xml:space="preserve"> and </w:t>
            </w:r>
            <w:hyperlink r:id="rId49" w:history="1">
              <w:r w:rsidR="0019071B" w:rsidRPr="000337FD">
                <w:rPr>
                  <w:rStyle w:val="Hyperlink"/>
                  <w:rFonts w:cs="Arial"/>
                  <w:sz w:val="22"/>
                  <w:szCs w:val="22"/>
                </w:rPr>
                <w:t>Chapter</w:t>
              </w:r>
              <w:r w:rsidR="00F32D66">
                <w:rPr>
                  <w:rStyle w:val="Hyperlink"/>
                  <w:rFonts w:cs="Arial"/>
                  <w:sz w:val="22"/>
                  <w:szCs w:val="22"/>
                </w:rPr>
                <w:t xml:space="preserve"> </w:t>
              </w:r>
              <w:r w:rsidR="0019071B" w:rsidRPr="000337FD">
                <w:rPr>
                  <w:rStyle w:val="Hyperlink"/>
                  <w:rFonts w:cs="Arial"/>
                  <w:sz w:val="22"/>
                  <w:szCs w:val="22"/>
                </w:rPr>
                <w:t>7</w:t>
              </w:r>
            </w:hyperlink>
            <w:r w:rsidR="0019071B" w:rsidRPr="000337FD">
              <w:rPr>
                <w:sz w:val="22"/>
                <w:szCs w:val="22"/>
              </w:rPr>
              <w:t xml:space="preserve">, last updated </w:t>
            </w:r>
            <w:r w:rsidR="00F75B30" w:rsidRPr="000337FD">
              <w:rPr>
                <w:sz w:val="22"/>
                <w:szCs w:val="22"/>
              </w:rPr>
              <w:t xml:space="preserve">29 </w:t>
            </w:r>
            <w:r w:rsidR="0019071B" w:rsidRPr="000337FD">
              <w:rPr>
                <w:sz w:val="22"/>
                <w:szCs w:val="22"/>
              </w:rPr>
              <w:t>September 2016</w:t>
            </w:r>
          </w:p>
          <w:p w14:paraId="1ADC3264" w14:textId="77777777" w:rsidR="00A9535E" w:rsidRPr="000337FD" w:rsidRDefault="00960098" w:rsidP="00290B36">
            <w:pPr>
              <w:pStyle w:val="ListParagraph"/>
              <w:spacing w:after="60"/>
              <w:ind w:left="318"/>
              <w:contextualSpacing w:val="0"/>
              <w:rPr>
                <w:rStyle w:val="Hyperlink"/>
                <w:rFonts w:cs="Arial"/>
                <w:sz w:val="22"/>
                <w:szCs w:val="22"/>
              </w:rPr>
            </w:pPr>
            <w:hyperlink r:id="rId50" w:history="1">
              <w:r w:rsidR="00A9535E" w:rsidRPr="000337FD">
                <w:rPr>
                  <w:rStyle w:val="Hyperlink"/>
                  <w:rFonts w:cs="Arial"/>
                  <w:sz w:val="22"/>
                  <w:szCs w:val="22"/>
                </w:rPr>
                <w:t>https://www.gov.uk/government/collections/immunisation-against-infectious-disease-the-green-book</w:t>
              </w:r>
            </w:hyperlink>
            <w:r w:rsidR="00A9535E" w:rsidRPr="000337FD">
              <w:rPr>
                <w:rStyle w:val="Hyperlink"/>
                <w:rFonts w:cs="Arial"/>
                <w:sz w:val="22"/>
                <w:szCs w:val="22"/>
              </w:rPr>
              <w:t xml:space="preserve"> </w:t>
            </w:r>
          </w:p>
          <w:p w14:paraId="0C85EE44" w14:textId="0DA05523" w:rsidR="00A9535E" w:rsidRPr="000337FD" w:rsidRDefault="00A9535E" w:rsidP="00290B36">
            <w:pPr>
              <w:pStyle w:val="ListParagraph"/>
              <w:numPr>
                <w:ilvl w:val="0"/>
                <w:numId w:val="21"/>
              </w:numPr>
              <w:spacing w:before="60" w:after="60"/>
              <w:ind w:left="318" w:hanging="284"/>
              <w:contextualSpacing w:val="0"/>
              <w:rPr>
                <w:rFonts w:cs="Arial"/>
                <w:color w:val="FF0000"/>
                <w:sz w:val="22"/>
                <w:szCs w:val="22"/>
                <w:u w:val="single"/>
              </w:rPr>
            </w:pPr>
            <w:r w:rsidRPr="000337FD">
              <w:rPr>
                <w:sz w:val="22"/>
                <w:szCs w:val="22"/>
              </w:rPr>
              <w:t>Summary of Product Characteristic for Menitorix</w:t>
            </w:r>
            <w:r w:rsidRPr="000337FD">
              <w:rPr>
                <w:sz w:val="22"/>
                <w:szCs w:val="22"/>
                <w:vertAlign w:val="superscript"/>
              </w:rPr>
              <w:t>®</w:t>
            </w:r>
            <w:r w:rsidRPr="000337FD">
              <w:rPr>
                <w:sz w:val="22"/>
                <w:szCs w:val="22"/>
              </w:rPr>
              <w:t xml:space="preserve">, GlaxoSmithKline. 08 March 2016. </w:t>
            </w:r>
            <w:hyperlink r:id="rId51" w:history="1">
              <w:r w:rsidRPr="000337FD">
                <w:rPr>
                  <w:rStyle w:val="Hyperlink"/>
                  <w:sz w:val="22"/>
                  <w:szCs w:val="22"/>
                </w:rPr>
                <w:t>http://www.medicines.org.uk/emc/medicine/17189</w:t>
              </w:r>
            </w:hyperlink>
          </w:p>
          <w:p w14:paraId="3E70EEBD" w14:textId="4321FC49" w:rsidR="00823238" w:rsidRPr="000337FD" w:rsidRDefault="00A9535E" w:rsidP="007A313F">
            <w:pPr>
              <w:pStyle w:val="Default"/>
              <w:numPr>
                <w:ilvl w:val="0"/>
                <w:numId w:val="21"/>
              </w:numPr>
              <w:ind w:left="318" w:hanging="284"/>
              <w:rPr>
                <w:rFonts w:eastAsiaTheme="minorHAnsi"/>
                <w:sz w:val="22"/>
                <w:szCs w:val="22"/>
                <w:lang w:eastAsia="en-US"/>
              </w:rPr>
            </w:pPr>
            <w:r w:rsidRPr="000337FD">
              <w:rPr>
                <w:rFonts w:cs="Times New Roman"/>
                <w:color w:val="auto"/>
                <w:sz w:val="22"/>
                <w:szCs w:val="22"/>
              </w:rPr>
              <w:t>NHS public health functions agreement 201</w:t>
            </w:r>
            <w:r w:rsidR="007939D3">
              <w:rPr>
                <w:rFonts w:cs="Times New Roman"/>
                <w:color w:val="auto"/>
                <w:sz w:val="22"/>
                <w:szCs w:val="22"/>
              </w:rPr>
              <w:t>7</w:t>
            </w:r>
            <w:r w:rsidRPr="000337FD">
              <w:rPr>
                <w:rFonts w:cs="Times New Roman"/>
                <w:color w:val="auto"/>
                <w:sz w:val="22"/>
                <w:szCs w:val="22"/>
              </w:rPr>
              <w:t>-1</w:t>
            </w:r>
            <w:r w:rsidR="007939D3">
              <w:rPr>
                <w:rFonts w:cs="Times New Roman"/>
                <w:color w:val="auto"/>
                <w:sz w:val="22"/>
                <w:szCs w:val="22"/>
              </w:rPr>
              <w:t>8</w:t>
            </w:r>
            <w:r w:rsidRPr="000337FD">
              <w:rPr>
                <w:rFonts w:cs="Times New Roman"/>
                <w:color w:val="auto"/>
                <w:sz w:val="22"/>
                <w:szCs w:val="22"/>
              </w:rPr>
              <w:t xml:space="preserve">, Service Specification No.7. Hib/Men C vaccination programme. </w:t>
            </w:r>
            <w:r w:rsidR="007939D3">
              <w:rPr>
                <w:rFonts w:cs="Times New Roman"/>
                <w:color w:val="auto"/>
                <w:sz w:val="22"/>
                <w:szCs w:val="22"/>
              </w:rPr>
              <w:t>April</w:t>
            </w:r>
            <w:r w:rsidR="00823238" w:rsidRPr="000337FD">
              <w:rPr>
                <w:rFonts w:cs="Times New Roman"/>
                <w:color w:val="auto"/>
                <w:sz w:val="22"/>
                <w:szCs w:val="22"/>
              </w:rPr>
              <w:t xml:space="preserve"> 201</w:t>
            </w:r>
            <w:r w:rsidR="007939D3">
              <w:rPr>
                <w:rFonts w:cs="Times New Roman"/>
                <w:color w:val="auto"/>
                <w:sz w:val="22"/>
                <w:szCs w:val="22"/>
              </w:rPr>
              <w:t>7</w:t>
            </w:r>
            <w:r w:rsidRPr="000337FD">
              <w:rPr>
                <w:rFonts w:cs="Times New Roman"/>
                <w:color w:val="auto"/>
                <w:sz w:val="22"/>
                <w:szCs w:val="22"/>
              </w:rPr>
              <w:t xml:space="preserve">. </w:t>
            </w:r>
          </w:p>
          <w:p w14:paraId="09124DB5" w14:textId="09D854A4" w:rsidR="00A9535E" w:rsidRPr="000337FD" w:rsidRDefault="00960098" w:rsidP="00290B36">
            <w:pPr>
              <w:pStyle w:val="Default"/>
              <w:spacing w:after="60"/>
              <w:ind w:left="318"/>
              <w:rPr>
                <w:sz w:val="22"/>
                <w:szCs w:val="22"/>
              </w:rPr>
            </w:pPr>
            <w:hyperlink r:id="rId52" w:history="1">
              <w:r w:rsidR="007939D3" w:rsidRPr="00190986">
                <w:rPr>
                  <w:rStyle w:val="Hyperlink"/>
                  <w:sz w:val="22"/>
                  <w:szCs w:val="22"/>
                </w:rPr>
                <w:t>https://www.england.nhs.uk/publication/public-health-national-service-specifications/</w:t>
              </w:r>
            </w:hyperlink>
            <w:r w:rsidR="00823238" w:rsidRPr="000337FD">
              <w:rPr>
                <w:rFonts w:cs="Times New Roman"/>
                <w:color w:val="auto"/>
                <w:sz w:val="22"/>
                <w:szCs w:val="22"/>
              </w:rPr>
              <w:t xml:space="preserve"> </w:t>
            </w:r>
            <w:r w:rsidR="00A9535E" w:rsidRPr="000337FD">
              <w:rPr>
                <w:sz w:val="22"/>
                <w:szCs w:val="22"/>
              </w:rPr>
              <w:t xml:space="preserve"> </w:t>
            </w:r>
          </w:p>
          <w:p w14:paraId="7725B891" w14:textId="3CD796BC" w:rsidR="00B17227" w:rsidRPr="000337FD" w:rsidRDefault="00B17227" w:rsidP="00B17227">
            <w:pPr>
              <w:pStyle w:val="Default"/>
              <w:numPr>
                <w:ilvl w:val="0"/>
                <w:numId w:val="47"/>
              </w:numPr>
              <w:ind w:left="318" w:hanging="284"/>
              <w:rPr>
                <w:sz w:val="22"/>
                <w:szCs w:val="22"/>
              </w:rPr>
            </w:pPr>
            <w:r w:rsidRPr="000337FD">
              <w:rPr>
                <w:sz w:val="22"/>
                <w:szCs w:val="22"/>
                <w:lang w:val="en"/>
              </w:rPr>
              <w:t xml:space="preserve">Vaccination of individuals with uncertain or incomplete immunisation status. </w:t>
            </w:r>
            <w:r w:rsidR="0049107A" w:rsidRPr="000337FD">
              <w:rPr>
                <w:sz w:val="22"/>
                <w:szCs w:val="22"/>
                <w:lang w:val="en"/>
              </w:rPr>
              <w:t>U</w:t>
            </w:r>
            <w:r w:rsidRPr="000337FD">
              <w:rPr>
                <w:sz w:val="22"/>
                <w:szCs w:val="22"/>
                <w:lang w:val="en"/>
              </w:rPr>
              <w:t xml:space="preserve">pdated </w:t>
            </w:r>
            <w:r w:rsidR="007939D3">
              <w:rPr>
                <w:sz w:val="22"/>
                <w:szCs w:val="22"/>
                <w:lang w:val="en"/>
              </w:rPr>
              <w:t>13</w:t>
            </w:r>
            <w:r w:rsidRPr="000337FD">
              <w:rPr>
                <w:sz w:val="22"/>
                <w:szCs w:val="22"/>
                <w:lang w:val="en"/>
              </w:rPr>
              <w:t xml:space="preserve"> </w:t>
            </w:r>
            <w:r w:rsidR="007939D3">
              <w:rPr>
                <w:sz w:val="22"/>
                <w:szCs w:val="22"/>
                <w:lang w:val="en"/>
              </w:rPr>
              <w:t>November</w:t>
            </w:r>
            <w:r w:rsidRPr="000337FD">
              <w:rPr>
                <w:sz w:val="22"/>
                <w:szCs w:val="22"/>
                <w:lang w:val="en"/>
              </w:rPr>
              <w:t xml:space="preserve"> 201</w:t>
            </w:r>
            <w:r w:rsidR="007939D3">
              <w:rPr>
                <w:sz w:val="22"/>
                <w:szCs w:val="22"/>
                <w:lang w:val="en"/>
              </w:rPr>
              <w:t>7</w:t>
            </w:r>
            <w:r w:rsidRPr="000337FD">
              <w:rPr>
                <w:sz w:val="22"/>
                <w:szCs w:val="22"/>
                <w:lang w:val="en"/>
              </w:rPr>
              <w:t>.</w:t>
            </w:r>
          </w:p>
          <w:p w14:paraId="1D686DE1" w14:textId="3B22E0B5" w:rsidR="00B17227" w:rsidRPr="000337FD" w:rsidRDefault="00960098" w:rsidP="00290B36">
            <w:pPr>
              <w:pStyle w:val="Default"/>
              <w:ind w:left="318"/>
              <w:rPr>
                <w:sz w:val="22"/>
                <w:szCs w:val="22"/>
              </w:rPr>
            </w:pPr>
            <w:hyperlink r:id="rId53" w:history="1">
              <w:r w:rsidR="00B17227" w:rsidRPr="000337FD">
                <w:rPr>
                  <w:rStyle w:val="Hyperlink"/>
                  <w:sz w:val="22"/>
                  <w:szCs w:val="22"/>
                </w:rPr>
                <w:t>https://www.gov.uk/government/publications/vaccination-of-individuals-with-uncertain-or-incomplete-immunisation-status</w:t>
              </w:r>
            </w:hyperlink>
            <w:r w:rsidR="00B17227" w:rsidRPr="000337FD">
              <w:rPr>
                <w:sz w:val="22"/>
                <w:szCs w:val="22"/>
              </w:rPr>
              <w:t xml:space="preserve"> </w:t>
            </w:r>
          </w:p>
          <w:p w14:paraId="1E3BCDEB" w14:textId="77777777" w:rsidR="00A9535E" w:rsidRPr="000337FD" w:rsidRDefault="00A9535E" w:rsidP="00290B36">
            <w:pPr>
              <w:spacing w:before="120" w:after="60"/>
              <w:ind w:left="318" w:hanging="284"/>
              <w:rPr>
                <w:rFonts w:cs="Arial"/>
                <w:b/>
                <w:sz w:val="22"/>
                <w:szCs w:val="22"/>
              </w:rPr>
            </w:pPr>
            <w:r w:rsidRPr="000337FD">
              <w:rPr>
                <w:rFonts w:cs="Arial"/>
                <w:b/>
                <w:sz w:val="22"/>
                <w:szCs w:val="22"/>
              </w:rPr>
              <w:t>General</w:t>
            </w:r>
          </w:p>
          <w:p w14:paraId="18A2B821" w14:textId="69C0E6CF" w:rsidR="007939D3" w:rsidRPr="00190986" w:rsidRDefault="007939D3" w:rsidP="007939D3">
            <w:pPr>
              <w:pStyle w:val="ListParagraph"/>
              <w:numPr>
                <w:ilvl w:val="0"/>
                <w:numId w:val="47"/>
              </w:numPr>
              <w:spacing w:before="60" w:after="60"/>
              <w:ind w:left="318" w:hanging="284"/>
              <w:contextualSpacing w:val="0"/>
              <w:rPr>
                <w:rStyle w:val="Hyperlink"/>
                <w:rFonts w:cs="Arial"/>
                <w:color w:val="auto"/>
                <w:sz w:val="22"/>
                <w:szCs w:val="22"/>
                <w:u w:val="none"/>
              </w:rPr>
            </w:pPr>
            <w:r w:rsidRPr="00190986">
              <w:rPr>
                <w:sz w:val="22"/>
                <w:szCs w:val="22"/>
              </w:rPr>
              <w:t xml:space="preserve">Health Technical Memorandum 07-01: Safe Management of Healthcare Waste. Department of Health 20 March 2013 </w:t>
            </w:r>
            <w:hyperlink r:id="rId54" w:history="1">
              <w:r w:rsidRPr="00190986">
                <w:rPr>
                  <w:rStyle w:val="Hyperlink"/>
                  <w:rFonts w:cs="Arial"/>
                  <w:sz w:val="22"/>
                  <w:szCs w:val="22"/>
                </w:rPr>
                <w:t>https://www.gov.uk/government/publications/guidance-on-the-safe-management-of-healthcare-waste</w:t>
              </w:r>
            </w:hyperlink>
          </w:p>
          <w:p w14:paraId="357E76F2" w14:textId="77777777" w:rsidR="007939D3" w:rsidRPr="00190986" w:rsidRDefault="007939D3" w:rsidP="007939D3">
            <w:pPr>
              <w:pStyle w:val="ListParagraph"/>
              <w:numPr>
                <w:ilvl w:val="0"/>
                <w:numId w:val="47"/>
              </w:numPr>
              <w:spacing w:before="60" w:after="60"/>
              <w:ind w:left="318" w:hanging="284"/>
              <w:contextualSpacing w:val="0"/>
              <w:rPr>
                <w:rStyle w:val="Hyperlink"/>
                <w:rFonts w:cs="Arial"/>
                <w:color w:val="auto"/>
                <w:sz w:val="22"/>
                <w:szCs w:val="22"/>
                <w:u w:val="none"/>
              </w:rPr>
            </w:pPr>
            <w:r w:rsidRPr="00190986">
              <w:rPr>
                <w:sz w:val="22"/>
                <w:szCs w:val="22"/>
              </w:rPr>
              <w:t xml:space="preserve">National Minimum Standards and Core Curriculum for Immunisation Training. Published February 2018. </w:t>
            </w:r>
            <w:hyperlink r:id="rId55" w:history="1">
              <w:r w:rsidRPr="00190986">
                <w:rPr>
                  <w:rStyle w:val="Hyperlink"/>
                  <w:rFonts w:cs="Arial"/>
                  <w:sz w:val="22"/>
                  <w:szCs w:val="22"/>
                </w:rPr>
                <w:t>https://www.gov.uk/government/publications/national-minimum-standards-and-core-curriculum-for-immunisation-training-for-registered-healthcare-practitioners</w:t>
              </w:r>
            </w:hyperlink>
            <w:r w:rsidRPr="00190986">
              <w:rPr>
                <w:sz w:val="22"/>
                <w:szCs w:val="22"/>
              </w:rPr>
              <w:t xml:space="preserve"> </w:t>
            </w:r>
            <w:r w:rsidRPr="00190986">
              <w:rPr>
                <w:rStyle w:val="Hyperlink"/>
                <w:sz w:val="22"/>
                <w:szCs w:val="22"/>
              </w:rPr>
              <w:t xml:space="preserve"> </w:t>
            </w:r>
            <w:r w:rsidRPr="00190986">
              <w:rPr>
                <w:rStyle w:val="Hyperlink"/>
                <w:rFonts w:cs="Arial"/>
                <w:color w:val="auto"/>
                <w:sz w:val="22"/>
                <w:szCs w:val="22"/>
              </w:rPr>
              <w:t xml:space="preserve"> </w:t>
            </w:r>
            <w:r w:rsidRPr="00190986">
              <w:rPr>
                <w:rStyle w:val="Hyperlink"/>
                <w:rFonts w:cs="Arial"/>
                <w:color w:val="auto"/>
                <w:sz w:val="22"/>
                <w:szCs w:val="22"/>
                <w:u w:val="none"/>
              </w:rPr>
              <w:t xml:space="preserve"> </w:t>
            </w:r>
          </w:p>
          <w:p w14:paraId="4FA5FB27" w14:textId="77777777" w:rsidR="007939D3" w:rsidRPr="00190986" w:rsidRDefault="007939D3" w:rsidP="007939D3">
            <w:pPr>
              <w:pStyle w:val="ListParagraph"/>
              <w:numPr>
                <w:ilvl w:val="0"/>
                <w:numId w:val="47"/>
              </w:numPr>
              <w:spacing w:before="60" w:after="60"/>
              <w:ind w:left="318" w:hanging="284"/>
              <w:contextualSpacing w:val="0"/>
              <w:rPr>
                <w:rFonts w:cs="Arial"/>
                <w:sz w:val="22"/>
                <w:szCs w:val="22"/>
              </w:rPr>
            </w:pPr>
            <w:r w:rsidRPr="00190986">
              <w:rPr>
                <w:sz w:val="22"/>
                <w:szCs w:val="22"/>
              </w:rPr>
              <w:t xml:space="preserve">NICE Medicines Practice Guideline 2 (MPG2): Patient Group Directions. Published March 2017. </w:t>
            </w:r>
            <w:hyperlink r:id="rId56" w:history="1">
              <w:r w:rsidRPr="00190986">
                <w:rPr>
                  <w:rStyle w:val="Hyperlink"/>
                  <w:rFonts w:cs="Arial"/>
                  <w:sz w:val="22"/>
                  <w:szCs w:val="22"/>
                </w:rPr>
                <w:t>https://www.nice.org.uk/guidance/mpg2</w:t>
              </w:r>
            </w:hyperlink>
            <w:r w:rsidRPr="00190986">
              <w:rPr>
                <w:rFonts w:cs="Arial"/>
                <w:sz w:val="22"/>
                <w:szCs w:val="22"/>
              </w:rPr>
              <w:t xml:space="preserve"> </w:t>
            </w:r>
          </w:p>
          <w:p w14:paraId="2DA0EDD2" w14:textId="77777777" w:rsidR="007939D3" w:rsidRPr="00190986" w:rsidRDefault="007939D3" w:rsidP="007939D3">
            <w:pPr>
              <w:pStyle w:val="ListParagraph"/>
              <w:numPr>
                <w:ilvl w:val="0"/>
                <w:numId w:val="47"/>
              </w:numPr>
              <w:spacing w:before="60" w:after="60"/>
              <w:ind w:left="318" w:hanging="284"/>
              <w:contextualSpacing w:val="0"/>
              <w:rPr>
                <w:rFonts w:cs="Arial"/>
                <w:sz w:val="22"/>
                <w:szCs w:val="22"/>
              </w:rPr>
            </w:pPr>
            <w:r w:rsidRPr="00190986">
              <w:rPr>
                <w:sz w:val="22"/>
                <w:szCs w:val="22"/>
              </w:rPr>
              <w:t xml:space="preserve">NICE MPG2 Patient group directions: competency framework for health professionals using patient group directions. January 2014.         </w:t>
            </w:r>
            <w:hyperlink r:id="rId57" w:history="1">
              <w:r w:rsidRPr="00190986">
                <w:rPr>
                  <w:rStyle w:val="Hyperlink"/>
                  <w:rFonts w:cs="Arial"/>
                  <w:sz w:val="22"/>
                  <w:szCs w:val="22"/>
                </w:rPr>
                <w:t>https://www.nice.org.uk/guidance/mpg2/resources</w:t>
              </w:r>
            </w:hyperlink>
            <w:r w:rsidRPr="00190986">
              <w:rPr>
                <w:rFonts w:cs="Arial"/>
                <w:sz w:val="22"/>
                <w:szCs w:val="22"/>
              </w:rPr>
              <w:t xml:space="preserve"> </w:t>
            </w:r>
          </w:p>
          <w:p w14:paraId="11D06549" w14:textId="77777777" w:rsidR="007939D3" w:rsidRPr="00190986" w:rsidRDefault="007939D3" w:rsidP="007939D3">
            <w:pPr>
              <w:pStyle w:val="ListParagraph"/>
              <w:numPr>
                <w:ilvl w:val="0"/>
                <w:numId w:val="47"/>
              </w:numPr>
              <w:spacing w:before="60" w:after="60"/>
              <w:ind w:left="318" w:hanging="284"/>
              <w:contextualSpacing w:val="0"/>
              <w:rPr>
                <w:rStyle w:val="Hyperlink"/>
                <w:rFonts w:cs="Arial"/>
                <w:color w:val="auto"/>
                <w:sz w:val="22"/>
                <w:szCs w:val="22"/>
                <w:u w:val="none"/>
              </w:rPr>
            </w:pPr>
            <w:r w:rsidRPr="00190986">
              <w:rPr>
                <w:rFonts w:cs="Arial"/>
                <w:sz w:val="22"/>
                <w:szCs w:val="22"/>
              </w:rPr>
              <w:t xml:space="preserve">PHE Immunisation Collection </w:t>
            </w:r>
            <w:hyperlink r:id="rId58" w:history="1">
              <w:r w:rsidRPr="00190986">
                <w:rPr>
                  <w:rStyle w:val="Hyperlink"/>
                  <w:rFonts w:cs="Arial"/>
                  <w:sz w:val="22"/>
                  <w:szCs w:val="22"/>
                </w:rPr>
                <w:t>https://www.gov.uk/government/collections/immunisation</w:t>
              </w:r>
            </w:hyperlink>
            <w:r w:rsidRPr="00190986">
              <w:rPr>
                <w:rStyle w:val="Hyperlink"/>
                <w:sz w:val="22"/>
                <w:szCs w:val="22"/>
              </w:rPr>
              <w:t xml:space="preserve"> </w:t>
            </w:r>
          </w:p>
          <w:p w14:paraId="02CA6CC0" w14:textId="77777777" w:rsidR="007939D3" w:rsidRPr="00190986" w:rsidRDefault="007939D3" w:rsidP="007939D3">
            <w:pPr>
              <w:pStyle w:val="ListParagraph"/>
              <w:numPr>
                <w:ilvl w:val="0"/>
                <w:numId w:val="47"/>
              </w:numPr>
              <w:spacing w:before="60"/>
              <w:ind w:left="318" w:hanging="284"/>
              <w:contextualSpacing w:val="0"/>
              <w:rPr>
                <w:rFonts w:cs="Arial"/>
                <w:sz w:val="22"/>
                <w:szCs w:val="22"/>
              </w:rPr>
            </w:pPr>
            <w:r w:rsidRPr="00190986">
              <w:rPr>
                <w:rFonts w:cs="Arial"/>
                <w:sz w:val="22"/>
                <w:szCs w:val="22"/>
              </w:rPr>
              <w:t>PHE Vaccine Incident Guidance</w:t>
            </w:r>
          </w:p>
          <w:p w14:paraId="2ABAC350" w14:textId="77777777" w:rsidR="007939D3" w:rsidRPr="00190986" w:rsidRDefault="00960098" w:rsidP="007939D3">
            <w:pPr>
              <w:pStyle w:val="ListParagraph"/>
              <w:ind w:left="318"/>
              <w:contextualSpacing w:val="0"/>
              <w:rPr>
                <w:rFonts w:cs="Arial"/>
                <w:sz w:val="22"/>
                <w:szCs w:val="22"/>
              </w:rPr>
            </w:pPr>
            <w:hyperlink r:id="rId59" w:history="1">
              <w:r w:rsidR="007939D3" w:rsidRPr="00190986">
                <w:rPr>
                  <w:rStyle w:val="Hyperlink"/>
                  <w:rFonts w:cs="Arial"/>
                  <w:sz w:val="22"/>
                  <w:szCs w:val="22"/>
                </w:rPr>
                <w:t>https://www.gov.uk/government/publications/vaccine-incident-guidance-responding-to-vaccine-errors</w:t>
              </w:r>
            </w:hyperlink>
            <w:r w:rsidR="007939D3" w:rsidRPr="00190986">
              <w:rPr>
                <w:rFonts w:cs="Arial"/>
                <w:sz w:val="22"/>
                <w:szCs w:val="22"/>
              </w:rPr>
              <w:t xml:space="preserve"> </w:t>
            </w:r>
          </w:p>
          <w:p w14:paraId="59E3AB6E" w14:textId="77777777" w:rsidR="007939D3" w:rsidRPr="00190986" w:rsidRDefault="007939D3" w:rsidP="007939D3">
            <w:pPr>
              <w:pStyle w:val="ListParagraph"/>
              <w:numPr>
                <w:ilvl w:val="0"/>
                <w:numId w:val="47"/>
              </w:numPr>
              <w:spacing w:before="60"/>
              <w:ind w:left="318" w:hanging="284"/>
              <w:contextualSpacing w:val="0"/>
              <w:rPr>
                <w:color w:val="0000FF"/>
                <w:sz w:val="22"/>
                <w:szCs w:val="22"/>
                <w:u w:val="single"/>
              </w:rPr>
            </w:pPr>
            <w:r w:rsidRPr="00190986">
              <w:rPr>
                <w:sz w:val="22"/>
                <w:szCs w:val="22"/>
              </w:rPr>
              <w:t>Pr</w:t>
            </w:r>
            <w:r w:rsidRPr="00190986">
              <w:rPr>
                <w:rFonts w:cs="Arial"/>
                <w:sz w:val="22"/>
                <w:szCs w:val="22"/>
              </w:rPr>
              <w:t>otocol for ordering storage and handling of vaccines. April 2014.</w:t>
            </w:r>
          </w:p>
          <w:p w14:paraId="447C680A" w14:textId="0E3483DD" w:rsidR="000D46BA" w:rsidRPr="000337FD" w:rsidRDefault="00960098" w:rsidP="00DF0067">
            <w:pPr>
              <w:pStyle w:val="ListParagraph"/>
              <w:spacing w:after="120"/>
              <w:ind w:left="318"/>
              <w:contextualSpacing w:val="0"/>
              <w:rPr>
                <w:color w:val="FF0000"/>
                <w:sz w:val="22"/>
                <w:szCs w:val="22"/>
              </w:rPr>
            </w:pPr>
            <w:hyperlink r:id="rId60" w:history="1">
              <w:r w:rsidR="007939D3" w:rsidRPr="00190986">
                <w:rPr>
                  <w:rStyle w:val="Hyperlink"/>
                  <w:sz w:val="22"/>
                  <w:szCs w:val="22"/>
                </w:rPr>
                <w:t>https://www.gov.uk/government/publications/protocol-for-ordering-storing-and-handling-vaccines</w:t>
              </w:r>
            </w:hyperlink>
          </w:p>
        </w:tc>
      </w:tr>
    </w:tbl>
    <w:p w14:paraId="29B971B2" w14:textId="2E92893F" w:rsidR="00EA5E6F" w:rsidRDefault="00EA5E6F" w:rsidP="00EA5E6F">
      <w:pPr>
        <w:overflowPunct/>
        <w:autoSpaceDE/>
        <w:autoSpaceDN/>
        <w:adjustRightInd/>
        <w:textAlignment w:val="auto"/>
        <w:rPr>
          <w:b/>
        </w:rPr>
      </w:pPr>
    </w:p>
    <w:p w14:paraId="50171977" w14:textId="77777777" w:rsidR="007939D3" w:rsidRDefault="007939D3">
      <w:pPr>
        <w:overflowPunct/>
        <w:autoSpaceDE/>
        <w:autoSpaceDN/>
        <w:adjustRightInd/>
        <w:jc w:val="center"/>
        <w:textAlignment w:val="auto"/>
        <w:rPr>
          <w:b/>
        </w:rPr>
      </w:pPr>
      <w:r>
        <w:rPr>
          <w:b/>
        </w:rPr>
        <w:br w:type="page"/>
      </w:r>
    </w:p>
    <w:p w14:paraId="32DB081E" w14:textId="28637E59" w:rsidR="00EE0035" w:rsidRPr="00EE0035" w:rsidRDefault="0031689E" w:rsidP="00807DDF">
      <w:pPr>
        <w:pStyle w:val="ListParagraph"/>
        <w:numPr>
          <w:ilvl w:val="0"/>
          <w:numId w:val="5"/>
        </w:numPr>
        <w:rPr>
          <w:b/>
        </w:rPr>
      </w:pPr>
      <w:r>
        <w:rPr>
          <w:b/>
        </w:rPr>
        <w:lastRenderedPageBreak/>
        <w:t>P</w:t>
      </w:r>
      <w:r w:rsidR="00EE0035" w:rsidRPr="00EE0035">
        <w:rPr>
          <w:b/>
        </w:rPr>
        <w:t>ractitioner authorisation sheet</w:t>
      </w:r>
    </w:p>
    <w:p w14:paraId="17D329BD" w14:textId="77777777" w:rsidR="00EE0035" w:rsidRDefault="00EE0035" w:rsidP="00EE0035">
      <w:pPr>
        <w:overflowPunct/>
        <w:autoSpaceDE/>
        <w:autoSpaceDN/>
        <w:adjustRightInd/>
        <w:textAlignment w:val="auto"/>
        <w:rPr>
          <w:b/>
          <w:szCs w:val="24"/>
        </w:rPr>
      </w:pPr>
    </w:p>
    <w:p w14:paraId="55B213E9" w14:textId="1E688BA3" w:rsidR="001F085E" w:rsidRPr="00A9535E" w:rsidRDefault="00A9535E" w:rsidP="001F085E">
      <w:pPr>
        <w:ind w:rightChars="-375" w:right="-900"/>
        <w:rPr>
          <w:b/>
          <w:szCs w:val="24"/>
        </w:rPr>
      </w:pPr>
      <w:r w:rsidRPr="00A9535E">
        <w:rPr>
          <w:b/>
          <w:szCs w:val="24"/>
        </w:rPr>
        <w:t>Hib/MenC</w:t>
      </w:r>
      <w:r w:rsidR="00457933">
        <w:rPr>
          <w:b/>
          <w:szCs w:val="24"/>
        </w:rPr>
        <w:t xml:space="preserve"> Risk Groups</w:t>
      </w:r>
      <w:r w:rsidR="001F085E" w:rsidRPr="00A9535E">
        <w:rPr>
          <w:b/>
          <w:szCs w:val="24"/>
        </w:rPr>
        <w:t xml:space="preserve"> PGD v</w:t>
      </w:r>
      <w:r w:rsidR="00457933">
        <w:rPr>
          <w:b/>
          <w:szCs w:val="24"/>
        </w:rPr>
        <w:t>0</w:t>
      </w:r>
      <w:r w:rsidR="007939D3">
        <w:rPr>
          <w:b/>
          <w:szCs w:val="24"/>
        </w:rPr>
        <w:t>2</w:t>
      </w:r>
      <w:r w:rsidR="001F085E" w:rsidRPr="00A9535E">
        <w:rPr>
          <w:b/>
          <w:szCs w:val="24"/>
        </w:rPr>
        <w:t>.</w:t>
      </w:r>
      <w:r w:rsidRPr="00A9535E">
        <w:rPr>
          <w:b/>
          <w:szCs w:val="24"/>
        </w:rPr>
        <w:t>00</w:t>
      </w:r>
      <w:r w:rsidR="001F085E" w:rsidRPr="00A9535E">
        <w:rPr>
          <w:b/>
          <w:szCs w:val="24"/>
        </w:rPr>
        <w:t xml:space="preserve"> </w:t>
      </w:r>
      <w:r w:rsidR="001F085E" w:rsidRPr="0050107F">
        <w:rPr>
          <w:b/>
          <w:szCs w:val="24"/>
        </w:rPr>
        <w:t xml:space="preserve">Valid from: </w:t>
      </w:r>
      <w:r w:rsidR="0050107F" w:rsidRPr="0050107F">
        <w:rPr>
          <w:b/>
          <w:szCs w:val="24"/>
        </w:rPr>
        <w:t>01/11</w:t>
      </w:r>
      <w:r w:rsidR="001F085E" w:rsidRPr="0050107F">
        <w:rPr>
          <w:b/>
          <w:szCs w:val="24"/>
        </w:rPr>
        <w:t>/20</w:t>
      </w:r>
      <w:r w:rsidRPr="0050107F">
        <w:rPr>
          <w:b/>
          <w:szCs w:val="24"/>
        </w:rPr>
        <w:t>1</w:t>
      </w:r>
      <w:r w:rsidR="007939D3">
        <w:rPr>
          <w:b/>
          <w:szCs w:val="24"/>
        </w:rPr>
        <w:t>8</w:t>
      </w:r>
      <w:r w:rsidR="001F085E" w:rsidRPr="0050107F">
        <w:rPr>
          <w:b/>
          <w:szCs w:val="24"/>
        </w:rPr>
        <w:t xml:space="preserve"> Expiry: </w:t>
      </w:r>
      <w:r w:rsidR="0050107F" w:rsidRPr="0050107F">
        <w:rPr>
          <w:b/>
          <w:szCs w:val="24"/>
        </w:rPr>
        <w:t>31/10</w:t>
      </w:r>
      <w:r w:rsidR="001F085E" w:rsidRPr="0050107F">
        <w:rPr>
          <w:b/>
          <w:szCs w:val="24"/>
        </w:rPr>
        <w:t>/20</w:t>
      </w:r>
      <w:r w:rsidR="007939D3">
        <w:rPr>
          <w:b/>
          <w:szCs w:val="24"/>
        </w:rPr>
        <w:t>20</w:t>
      </w:r>
      <w:r w:rsidR="001F085E" w:rsidRPr="0050107F">
        <w:rPr>
          <w:rFonts w:cs="Arial"/>
          <w:b/>
          <w:szCs w:val="24"/>
        </w:rPr>
        <w:t xml:space="preserve"> </w:t>
      </w:r>
    </w:p>
    <w:p w14:paraId="1FA7F24C" w14:textId="77777777" w:rsidR="007939D3" w:rsidRDefault="007939D3" w:rsidP="007939D3">
      <w:pPr>
        <w:overflowPunct/>
        <w:autoSpaceDE/>
        <w:autoSpaceDN/>
        <w:adjustRightInd/>
        <w:textAlignment w:val="auto"/>
      </w:pPr>
    </w:p>
    <w:p w14:paraId="4A45D428" w14:textId="77777777" w:rsidR="007939D3" w:rsidRDefault="007939D3" w:rsidP="007939D3">
      <w:pPr>
        <w:overflowPunct/>
        <w:autoSpaceDE/>
        <w:autoSpaceDN/>
        <w:adjustRightInd/>
        <w:textAlignment w:val="auto"/>
      </w:pPr>
      <w:r>
        <w:t>Before signing this PGD, check that the document has had the necessary authorisations in section two. Without these, this PGD is not lawfully valid.</w:t>
      </w:r>
    </w:p>
    <w:p w14:paraId="6827C969" w14:textId="77777777" w:rsidR="001F085E" w:rsidRPr="008D7620" w:rsidRDefault="001F085E" w:rsidP="00EE0035">
      <w:pPr>
        <w:overflowPunct/>
        <w:autoSpaceDE/>
        <w:autoSpaceDN/>
        <w:adjustRightInd/>
        <w:textAlignment w:val="auto"/>
        <w:rPr>
          <w:b/>
          <w:szCs w:val="24"/>
        </w:rPr>
      </w:pPr>
    </w:p>
    <w:p w14:paraId="270359D9" w14:textId="1B55BBC0"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7C67011A"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14:paraId="4E15EDB7" w14:textId="16A2437A"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55D35F5A" w14:textId="4C6CA67D"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6B9F47A" w14:textId="77777777" w:rsidTr="001F085E">
        <w:tc>
          <w:tcPr>
            <w:tcW w:w="9747" w:type="dxa"/>
            <w:gridSpan w:val="4"/>
          </w:tcPr>
          <w:p w14:paraId="420E54EA" w14:textId="4D6C2EA0"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14:paraId="73D9DC30" w14:textId="77777777" w:rsidTr="001F085E">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1417"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1F085E">
        <w:tc>
          <w:tcPr>
            <w:tcW w:w="2518" w:type="dxa"/>
          </w:tcPr>
          <w:p w14:paraId="07E10990" w14:textId="77777777" w:rsidR="00CD371D" w:rsidRDefault="00CD371D" w:rsidP="00FD1F29">
            <w:pPr>
              <w:spacing w:before="120" w:after="120"/>
              <w:rPr>
                <w:szCs w:val="24"/>
              </w:rPr>
            </w:pPr>
            <w:permStart w:id="737295614" w:edGrp="everyone" w:colFirst="0" w:colLast="0"/>
            <w:permStart w:id="958271313" w:edGrp="everyone" w:colFirst="1" w:colLast="1"/>
            <w:permStart w:id="2015723461" w:edGrp="everyone" w:colFirst="2" w:colLast="2"/>
            <w:permStart w:id="1233482654" w:edGrp="everyone" w:colFirst="3" w:colLast="3"/>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1417" w:type="dxa"/>
          </w:tcPr>
          <w:p w14:paraId="75496359" w14:textId="77777777" w:rsidR="00CD371D" w:rsidRDefault="00CD371D" w:rsidP="00FD1F29">
            <w:pPr>
              <w:spacing w:before="120" w:after="120"/>
              <w:rPr>
                <w:szCs w:val="24"/>
              </w:rPr>
            </w:pPr>
          </w:p>
        </w:tc>
      </w:tr>
      <w:tr w:rsidR="00CD371D" w14:paraId="380F28FD" w14:textId="77777777" w:rsidTr="001F085E">
        <w:tc>
          <w:tcPr>
            <w:tcW w:w="2518" w:type="dxa"/>
          </w:tcPr>
          <w:p w14:paraId="207ED813" w14:textId="77777777" w:rsidR="00CD371D" w:rsidRDefault="00CD371D" w:rsidP="00FD1F29">
            <w:pPr>
              <w:spacing w:before="120" w:after="120"/>
              <w:rPr>
                <w:szCs w:val="24"/>
              </w:rPr>
            </w:pPr>
            <w:permStart w:id="1266100675" w:edGrp="everyone" w:colFirst="0" w:colLast="0"/>
            <w:permStart w:id="1457800995" w:edGrp="everyone" w:colFirst="1" w:colLast="1"/>
            <w:permStart w:id="1412243172" w:edGrp="everyone" w:colFirst="2" w:colLast="2"/>
            <w:permStart w:id="1136529143" w:edGrp="everyone" w:colFirst="3" w:colLast="3"/>
            <w:permEnd w:id="737295614"/>
            <w:permEnd w:id="958271313"/>
            <w:permEnd w:id="2015723461"/>
            <w:permEnd w:id="1233482654"/>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1417" w:type="dxa"/>
          </w:tcPr>
          <w:p w14:paraId="349E7A88" w14:textId="77777777" w:rsidR="00CD371D" w:rsidRDefault="00CD371D" w:rsidP="00FD1F29">
            <w:pPr>
              <w:spacing w:before="120" w:after="120"/>
              <w:rPr>
                <w:szCs w:val="24"/>
              </w:rPr>
            </w:pPr>
          </w:p>
        </w:tc>
      </w:tr>
      <w:tr w:rsidR="00CD371D" w14:paraId="6A7F0625" w14:textId="77777777" w:rsidTr="001F085E">
        <w:trPr>
          <w:trHeight w:val="569"/>
        </w:trPr>
        <w:tc>
          <w:tcPr>
            <w:tcW w:w="2518" w:type="dxa"/>
          </w:tcPr>
          <w:p w14:paraId="38A44216" w14:textId="77777777" w:rsidR="00CD371D" w:rsidRDefault="00CD371D" w:rsidP="00FD1F29">
            <w:pPr>
              <w:spacing w:before="120" w:after="120"/>
              <w:rPr>
                <w:szCs w:val="24"/>
              </w:rPr>
            </w:pPr>
            <w:permStart w:id="32644190" w:edGrp="everyone" w:colFirst="0" w:colLast="0"/>
            <w:permStart w:id="1086020995" w:edGrp="everyone" w:colFirst="1" w:colLast="1"/>
            <w:permStart w:id="553913198" w:edGrp="everyone" w:colFirst="2" w:colLast="2"/>
            <w:permStart w:id="882790719" w:edGrp="everyone" w:colFirst="3" w:colLast="3"/>
            <w:permEnd w:id="1266100675"/>
            <w:permEnd w:id="1457800995"/>
            <w:permEnd w:id="1412243172"/>
            <w:permEnd w:id="1136529143"/>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1417" w:type="dxa"/>
          </w:tcPr>
          <w:p w14:paraId="125C4C32" w14:textId="77777777" w:rsidR="00CD371D" w:rsidRDefault="00CD371D" w:rsidP="00FD1F29">
            <w:pPr>
              <w:spacing w:before="120" w:after="120"/>
              <w:rPr>
                <w:szCs w:val="24"/>
              </w:rPr>
            </w:pPr>
          </w:p>
        </w:tc>
      </w:tr>
      <w:tr w:rsidR="00CD371D" w14:paraId="0E5C45F7" w14:textId="77777777" w:rsidTr="001F085E">
        <w:tc>
          <w:tcPr>
            <w:tcW w:w="2518" w:type="dxa"/>
          </w:tcPr>
          <w:p w14:paraId="261B9861" w14:textId="77777777" w:rsidR="00CD371D" w:rsidRDefault="00CD371D" w:rsidP="00FD1F29">
            <w:pPr>
              <w:spacing w:before="120" w:after="120"/>
              <w:rPr>
                <w:szCs w:val="24"/>
              </w:rPr>
            </w:pPr>
            <w:permStart w:id="705577992" w:edGrp="everyone" w:colFirst="0" w:colLast="0"/>
            <w:permStart w:id="820582078" w:edGrp="everyone" w:colFirst="1" w:colLast="1"/>
            <w:permStart w:id="747641551" w:edGrp="everyone" w:colFirst="2" w:colLast="2"/>
            <w:permStart w:id="56120939" w:edGrp="everyone" w:colFirst="3" w:colLast="3"/>
            <w:permEnd w:id="32644190"/>
            <w:permEnd w:id="1086020995"/>
            <w:permEnd w:id="553913198"/>
            <w:permEnd w:id="88279071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1417" w:type="dxa"/>
          </w:tcPr>
          <w:p w14:paraId="4464A9CB" w14:textId="77777777" w:rsidR="00CD371D" w:rsidRDefault="00CD371D" w:rsidP="00FD1F29">
            <w:pPr>
              <w:spacing w:before="120" w:after="120"/>
              <w:rPr>
                <w:szCs w:val="24"/>
              </w:rPr>
            </w:pPr>
          </w:p>
        </w:tc>
      </w:tr>
      <w:tr w:rsidR="00CD371D" w14:paraId="26B84BBA" w14:textId="77777777" w:rsidTr="001F085E">
        <w:tc>
          <w:tcPr>
            <w:tcW w:w="2518" w:type="dxa"/>
          </w:tcPr>
          <w:p w14:paraId="04F4C776" w14:textId="77777777" w:rsidR="00CD371D" w:rsidRDefault="00CD371D" w:rsidP="00FD1F29">
            <w:pPr>
              <w:spacing w:before="120" w:after="120"/>
              <w:rPr>
                <w:szCs w:val="24"/>
              </w:rPr>
            </w:pPr>
            <w:permStart w:id="1160867341" w:edGrp="everyone" w:colFirst="0" w:colLast="0"/>
            <w:permStart w:id="1518746773" w:edGrp="everyone" w:colFirst="1" w:colLast="1"/>
            <w:permStart w:id="1637681888" w:edGrp="everyone" w:colFirst="2" w:colLast="2"/>
            <w:permStart w:id="1095764206" w:edGrp="everyone" w:colFirst="3" w:colLast="3"/>
            <w:permEnd w:id="705577992"/>
            <w:permEnd w:id="820582078"/>
            <w:permEnd w:id="747641551"/>
            <w:permEnd w:id="56120939"/>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1417" w:type="dxa"/>
          </w:tcPr>
          <w:p w14:paraId="0A126A9C" w14:textId="77777777" w:rsidR="00CD371D" w:rsidRDefault="00CD371D" w:rsidP="00FD1F29">
            <w:pPr>
              <w:spacing w:before="120" w:after="120"/>
              <w:rPr>
                <w:szCs w:val="24"/>
              </w:rPr>
            </w:pPr>
          </w:p>
        </w:tc>
      </w:tr>
      <w:tr w:rsidR="00FD1F29" w14:paraId="3CB12ED7" w14:textId="77777777" w:rsidTr="001F085E">
        <w:tc>
          <w:tcPr>
            <w:tcW w:w="2518" w:type="dxa"/>
          </w:tcPr>
          <w:p w14:paraId="6959213A" w14:textId="77777777" w:rsidR="00FD1F29" w:rsidRDefault="00FD1F29" w:rsidP="00FD1F29">
            <w:pPr>
              <w:spacing w:before="120" w:after="120"/>
              <w:rPr>
                <w:szCs w:val="24"/>
              </w:rPr>
            </w:pPr>
            <w:permStart w:id="2131777051" w:edGrp="everyone" w:colFirst="0" w:colLast="0"/>
            <w:permStart w:id="259414685" w:edGrp="everyone" w:colFirst="1" w:colLast="1"/>
            <w:permStart w:id="1954504476" w:edGrp="everyone" w:colFirst="2" w:colLast="2"/>
            <w:permStart w:id="1468296281" w:edGrp="everyone" w:colFirst="3" w:colLast="3"/>
            <w:permEnd w:id="1160867341"/>
            <w:permEnd w:id="1518746773"/>
            <w:permEnd w:id="1637681888"/>
            <w:permEnd w:id="1095764206"/>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1417" w:type="dxa"/>
          </w:tcPr>
          <w:p w14:paraId="2E52E1E7" w14:textId="77777777" w:rsidR="00FD1F29" w:rsidRDefault="00FD1F29" w:rsidP="00FD1F29">
            <w:pPr>
              <w:spacing w:before="120" w:after="120"/>
              <w:rPr>
                <w:szCs w:val="24"/>
              </w:rPr>
            </w:pPr>
          </w:p>
        </w:tc>
      </w:tr>
      <w:tr w:rsidR="00FD1F29" w14:paraId="530552A6" w14:textId="77777777" w:rsidTr="001F085E">
        <w:tc>
          <w:tcPr>
            <w:tcW w:w="2518" w:type="dxa"/>
          </w:tcPr>
          <w:p w14:paraId="745EB25D" w14:textId="77777777" w:rsidR="00FD1F29" w:rsidRDefault="00FD1F29" w:rsidP="00FD1F29">
            <w:pPr>
              <w:spacing w:before="120" w:after="120"/>
              <w:rPr>
                <w:szCs w:val="24"/>
              </w:rPr>
            </w:pPr>
            <w:permStart w:id="1687558351" w:edGrp="everyone" w:colFirst="0" w:colLast="0"/>
            <w:permStart w:id="777984656" w:edGrp="everyone" w:colFirst="1" w:colLast="1"/>
            <w:permStart w:id="285097467" w:edGrp="everyone" w:colFirst="2" w:colLast="2"/>
            <w:permStart w:id="1995375872" w:edGrp="everyone" w:colFirst="3" w:colLast="3"/>
            <w:permEnd w:id="2131777051"/>
            <w:permEnd w:id="259414685"/>
            <w:permEnd w:id="1954504476"/>
            <w:permEnd w:id="1468296281"/>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1417" w:type="dxa"/>
          </w:tcPr>
          <w:p w14:paraId="16DDB8C0" w14:textId="77777777" w:rsidR="00FD1F29" w:rsidRDefault="00FD1F29" w:rsidP="00FD1F29">
            <w:pPr>
              <w:spacing w:before="120" w:after="120"/>
              <w:rPr>
                <w:szCs w:val="24"/>
              </w:rPr>
            </w:pPr>
          </w:p>
        </w:tc>
      </w:tr>
      <w:permEnd w:id="1687558351"/>
      <w:permEnd w:id="777984656"/>
      <w:permEnd w:id="285097467"/>
      <w:permEnd w:id="1995375872"/>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B2EB5F" w14:textId="77777777" w:rsidTr="00A9535E">
        <w:tc>
          <w:tcPr>
            <w:tcW w:w="9747" w:type="dxa"/>
            <w:gridSpan w:val="4"/>
          </w:tcPr>
          <w:p w14:paraId="76B4E49A" w14:textId="2578B3BA"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110211579" w:edGrp="everyone"/>
            <w:r w:rsidRPr="008D7620">
              <w:rPr>
                <w:b/>
                <w:color w:val="808080" w:themeColor="background1" w:themeShade="80"/>
                <w:szCs w:val="24"/>
              </w:rPr>
              <w:t>INSERT NAME OF ORGANISATION</w:t>
            </w:r>
            <w:r w:rsidRPr="008D7620">
              <w:rPr>
                <w:color w:val="808080" w:themeColor="background1" w:themeShade="80"/>
                <w:szCs w:val="24"/>
              </w:rPr>
              <w:t xml:space="preserve"> </w:t>
            </w:r>
            <w:permEnd w:id="2110211579"/>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A9535E">
        <w:tc>
          <w:tcPr>
            <w:tcW w:w="2518" w:type="dxa"/>
          </w:tcPr>
          <w:p w14:paraId="2EFC6611" w14:textId="77777777" w:rsidR="001F085E" w:rsidRDefault="001F085E" w:rsidP="00A9535E">
            <w:pPr>
              <w:spacing w:before="120" w:after="120"/>
              <w:rPr>
                <w:szCs w:val="24"/>
              </w:rPr>
            </w:pPr>
            <w:r>
              <w:rPr>
                <w:szCs w:val="24"/>
              </w:rPr>
              <w:t>Name</w:t>
            </w:r>
          </w:p>
        </w:tc>
        <w:tc>
          <w:tcPr>
            <w:tcW w:w="3119" w:type="dxa"/>
          </w:tcPr>
          <w:p w14:paraId="23E469C0" w14:textId="77777777" w:rsidR="001F085E" w:rsidRDefault="001F085E" w:rsidP="00A9535E">
            <w:pPr>
              <w:spacing w:before="120" w:after="120"/>
              <w:rPr>
                <w:szCs w:val="24"/>
              </w:rPr>
            </w:pPr>
            <w:r>
              <w:rPr>
                <w:szCs w:val="24"/>
              </w:rPr>
              <w:t>Designation</w:t>
            </w:r>
          </w:p>
        </w:tc>
        <w:tc>
          <w:tcPr>
            <w:tcW w:w="2693" w:type="dxa"/>
          </w:tcPr>
          <w:p w14:paraId="0CB9C0D9" w14:textId="77777777" w:rsidR="001F085E" w:rsidRDefault="001F085E" w:rsidP="00A9535E">
            <w:pPr>
              <w:spacing w:before="120" w:after="120"/>
              <w:rPr>
                <w:szCs w:val="24"/>
              </w:rPr>
            </w:pPr>
            <w:r>
              <w:rPr>
                <w:szCs w:val="24"/>
              </w:rPr>
              <w:t>Signature</w:t>
            </w:r>
          </w:p>
        </w:tc>
        <w:tc>
          <w:tcPr>
            <w:tcW w:w="1417" w:type="dxa"/>
          </w:tcPr>
          <w:p w14:paraId="4D27ECFE" w14:textId="77777777" w:rsidR="001F085E" w:rsidRDefault="001F085E" w:rsidP="00A9535E">
            <w:pPr>
              <w:spacing w:before="120" w:after="120"/>
              <w:rPr>
                <w:szCs w:val="24"/>
              </w:rPr>
            </w:pPr>
            <w:r>
              <w:rPr>
                <w:szCs w:val="24"/>
              </w:rPr>
              <w:t>Date</w:t>
            </w:r>
          </w:p>
        </w:tc>
      </w:tr>
      <w:tr w:rsidR="001F085E" w14:paraId="0A4820A4" w14:textId="77777777" w:rsidTr="00A9535E">
        <w:tc>
          <w:tcPr>
            <w:tcW w:w="2518" w:type="dxa"/>
          </w:tcPr>
          <w:p w14:paraId="2EF1606A" w14:textId="77777777" w:rsidR="001F085E" w:rsidRDefault="001F085E" w:rsidP="00A9535E">
            <w:pPr>
              <w:spacing w:before="120" w:after="120"/>
              <w:rPr>
                <w:szCs w:val="24"/>
              </w:rPr>
            </w:pPr>
            <w:permStart w:id="1134107757" w:edGrp="everyone" w:colFirst="0" w:colLast="0"/>
            <w:permStart w:id="1915518670" w:edGrp="everyone" w:colFirst="1" w:colLast="1"/>
            <w:permStart w:id="548034516" w:edGrp="everyone" w:colFirst="2" w:colLast="2"/>
            <w:permStart w:id="161833843" w:edGrp="everyone" w:colFirst="3" w:colLast="3"/>
          </w:p>
        </w:tc>
        <w:tc>
          <w:tcPr>
            <w:tcW w:w="3119" w:type="dxa"/>
          </w:tcPr>
          <w:p w14:paraId="7D0C7E86" w14:textId="77777777" w:rsidR="001F085E" w:rsidRDefault="001F085E" w:rsidP="00A9535E">
            <w:pPr>
              <w:spacing w:before="120" w:after="120"/>
              <w:rPr>
                <w:szCs w:val="24"/>
              </w:rPr>
            </w:pPr>
          </w:p>
        </w:tc>
        <w:tc>
          <w:tcPr>
            <w:tcW w:w="2693" w:type="dxa"/>
          </w:tcPr>
          <w:p w14:paraId="635EC779" w14:textId="77777777" w:rsidR="001F085E" w:rsidRDefault="001F085E" w:rsidP="00A9535E">
            <w:pPr>
              <w:spacing w:before="120" w:after="120"/>
              <w:rPr>
                <w:szCs w:val="24"/>
              </w:rPr>
            </w:pPr>
          </w:p>
        </w:tc>
        <w:tc>
          <w:tcPr>
            <w:tcW w:w="1417" w:type="dxa"/>
          </w:tcPr>
          <w:p w14:paraId="46176345" w14:textId="77777777" w:rsidR="001F085E" w:rsidRDefault="001F085E" w:rsidP="00A9535E">
            <w:pPr>
              <w:spacing w:before="120" w:after="120"/>
              <w:rPr>
                <w:szCs w:val="24"/>
              </w:rPr>
            </w:pPr>
          </w:p>
        </w:tc>
      </w:tr>
    </w:tbl>
    <w:permEnd w:id="1134107757"/>
    <w:permEnd w:id="1915518670"/>
    <w:permEnd w:id="548034516"/>
    <w:permEnd w:id="161833843"/>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E3DCE8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421AF94" w14:textId="2118ECCA" w:rsidR="00856272" w:rsidRPr="00D36470" w:rsidRDefault="00EE0035" w:rsidP="00FD1F29">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856272" w:rsidRPr="00D36470" w:rsidSect="00D635A5">
      <w:headerReference w:type="even" r:id="rId61"/>
      <w:headerReference w:type="default" r:id="rId62"/>
      <w:footerReference w:type="even" r:id="rId63"/>
      <w:footerReference w:type="default" r:id="rId64"/>
      <w:headerReference w:type="first" r:id="rId65"/>
      <w:footerReference w:type="first" r:id="rId66"/>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E181" w14:textId="77777777" w:rsidR="00484F69" w:rsidRDefault="00484F69" w:rsidP="00B37C58">
      <w:r>
        <w:separator/>
      </w:r>
    </w:p>
  </w:endnote>
  <w:endnote w:type="continuationSeparator" w:id="0">
    <w:p w14:paraId="158C6824" w14:textId="77777777" w:rsidR="00484F69" w:rsidRDefault="00484F69" w:rsidP="00B37C58">
      <w:r>
        <w:continuationSeparator/>
      </w:r>
    </w:p>
  </w:endnote>
  <w:endnote w:type="continuationNotice" w:id="1">
    <w:p w14:paraId="4F7514CA" w14:textId="77777777" w:rsidR="00484F69" w:rsidRDefault="00484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Times New Roman"/>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9506" w14:textId="77777777" w:rsidR="000637D4" w:rsidRDefault="00063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3872" w14:textId="521BBCA4" w:rsidR="00484F69" w:rsidRPr="00457933" w:rsidRDefault="00484F69" w:rsidP="003128AC">
    <w:pPr>
      <w:pStyle w:val="Footer"/>
      <w:rPr>
        <w:rStyle w:val="PageNumber"/>
      </w:rPr>
    </w:pPr>
    <w:r w:rsidRPr="00457933">
      <w:rPr>
        <w:rFonts w:ascii="Arial" w:hAnsi="Arial"/>
        <w:sz w:val="20"/>
      </w:rPr>
      <w:t>Hib/MenC</w:t>
    </w:r>
    <w:r>
      <w:rPr>
        <w:rFonts w:ascii="Arial" w:hAnsi="Arial"/>
        <w:sz w:val="20"/>
      </w:rPr>
      <w:t xml:space="preserve"> Risk Groups</w:t>
    </w:r>
    <w:r w:rsidRPr="00457933">
      <w:rPr>
        <w:rFonts w:ascii="Arial" w:hAnsi="Arial"/>
        <w:sz w:val="20"/>
      </w:rPr>
      <w:t xml:space="preserve"> PGD v</w:t>
    </w:r>
    <w:r w:rsidR="000637D4">
      <w:rPr>
        <w:rFonts w:ascii="Arial" w:hAnsi="Arial"/>
        <w:sz w:val="20"/>
      </w:rPr>
      <w:t>02</w:t>
    </w:r>
    <w:r w:rsidRPr="00457933">
      <w:rPr>
        <w:rFonts w:ascii="Arial" w:hAnsi="Arial"/>
        <w:sz w:val="20"/>
      </w:rPr>
      <w:t>.0</w:t>
    </w:r>
    <w:r w:rsidR="000637D4">
      <w:rPr>
        <w:rFonts w:ascii="Arial" w:hAnsi="Arial"/>
        <w:sz w:val="20"/>
      </w:rPr>
      <w:t>0</w:t>
    </w:r>
    <w:r>
      <w:rPr>
        <w:rFonts w:ascii="Arial" w:hAnsi="Arial"/>
        <w:sz w:val="20"/>
      </w:rPr>
      <w:t xml:space="preserve"> </w:t>
    </w:r>
    <w:r w:rsidRPr="0050107F">
      <w:rPr>
        <w:rFonts w:ascii="Arial" w:hAnsi="Arial"/>
        <w:sz w:val="20"/>
      </w:rPr>
      <w:t>Valid from: 01/11/201</w:t>
    </w:r>
    <w:r>
      <w:rPr>
        <w:rFonts w:ascii="Arial" w:hAnsi="Arial"/>
        <w:sz w:val="20"/>
      </w:rPr>
      <w:t>8</w:t>
    </w:r>
    <w:r w:rsidRPr="0050107F">
      <w:rPr>
        <w:rFonts w:ascii="Arial" w:hAnsi="Arial"/>
        <w:sz w:val="20"/>
      </w:rPr>
      <w:t xml:space="preserve"> Expiry: 31/10/</w:t>
    </w:r>
    <w:r w:rsidRPr="00457933">
      <w:rPr>
        <w:rFonts w:ascii="Arial" w:hAnsi="Arial"/>
        <w:sz w:val="20"/>
      </w:rPr>
      <w:t>20</w:t>
    </w:r>
    <w:r>
      <w:rPr>
        <w:rFonts w:ascii="Arial" w:hAnsi="Arial"/>
        <w:sz w:val="20"/>
      </w:rPr>
      <w:t xml:space="preserve">20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2473BB">
      <w:rPr>
        <w:rStyle w:val="PageNumber"/>
        <w:rFonts w:ascii="Arial" w:hAnsi="Arial"/>
        <w:noProof/>
        <w:sz w:val="20"/>
      </w:rPr>
      <w:t>14</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2473BB">
      <w:rPr>
        <w:rStyle w:val="PageNumber"/>
        <w:rFonts w:ascii="Arial" w:hAnsi="Arial"/>
        <w:noProof/>
        <w:sz w:val="20"/>
      </w:rPr>
      <w:t>14</w:t>
    </w:r>
    <w:r w:rsidRPr="0004464D">
      <w:rPr>
        <w:rStyle w:val="PageNumber"/>
        <w:sz w:val="20"/>
      </w:rPr>
      <w:fldChar w:fldCharType="end"/>
    </w:r>
  </w:p>
  <w:p w14:paraId="017DD2A4" w14:textId="77777777" w:rsidR="00484F69" w:rsidRDefault="00484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BC79" w14:textId="38DBC865" w:rsidR="00484F69" w:rsidRDefault="00484F69">
    <w:pPr>
      <w:pStyle w:val="Footer"/>
    </w:pPr>
    <w:r w:rsidRPr="00457933">
      <w:rPr>
        <w:rFonts w:ascii="Arial" w:hAnsi="Arial"/>
        <w:sz w:val="20"/>
      </w:rPr>
      <w:t>Hib/MenC</w:t>
    </w:r>
    <w:r>
      <w:rPr>
        <w:rFonts w:ascii="Arial" w:hAnsi="Arial"/>
        <w:sz w:val="20"/>
      </w:rPr>
      <w:t xml:space="preserve"> Risk Groups</w:t>
    </w:r>
    <w:r w:rsidRPr="00457933">
      <w:rPr>
        <w:rFonts w:ascii="Arial" w:hAnsi="Arial"/>
        <w:sz w:val="20"/>
      </w:rPr>
      <w:t xml:space="preserve"> PGD v</w:t>
    </w:r>
    <w:r w:rsidR="000637D4">
      <w:rPr>
        <w:rFonts w:ascii="Arial" w:hAnsi="Arial"/>
        <w:sz w:val="20"/>
      </w:rPr>
      <w:t>02</w:t>
    </w:r>
    <w:r w:rsidRPr="00457933">
      <w:rPr>
        <w:rFonts w:ascii="Arial" w:hAnsi="Arial"/>
        <w:sz w:val="20"/>
      </w:rPr>
      <w:t>.0</w:t>
    </w:r>
    <w:r w:rsidR="000637D4">
      <w:rPr>
        <w:rFonts w:ascii="Arial" w:hAnsi="Arial"/>
        <w:sz w:val="20"/>
      </w:rPr>
      <w:t>0</w:t>
    </w:r>
    <w:r>
      <w:rPr>
        <w:rFonts w:ascii="Arial" w:hAnsi="Arial"/>
        <w:sz w:val="20"/>
      </w:rPr>
      <w:t xml:space="preserve"> Valid from: </w:t>
    </w:r>
    <w:r w:rsidRPr="0050107F">
      <w:rPr>
        <w:rFonts w:ascii="Arial" w:hAnsi="Arial"/>
        <w:sz w:val="20"/>
      </w:rPr>
      <w:t>01/11/201</w:t>
    </w:r>
    <w:r>
      <w:rPr>
        <w:rFonts w:ascii="Arial" w:hAnsi="Arial"/>
        <w:sz w:val="20"/>
      </w:rPr>
      <w:t>8</w:t>
    </w:r>
    <w:r w:rsidRPr="0050107F">
      <w:rPr>
        <w:rFonts w:ascii="Arial" w:hAnsi="Arial"/>
        <w:sz w:val="20"/>
      </w:rPr>
      <w:t xml:space="preserve"> Expiry: 31/10/20</w:t>
    </w:r>
    <w:r>
      <w:rPr>
        <w:rFonts w:ascii="Arial" w:hAnsi="Arial"/>
        <w:sz w:val="20"/>
      </w:rPr>
      <w:t>20</w:t>
    </w:r>
    <w:r w:rsidRPr="0050107F">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sidR="002473BB">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sidR="002473BB">
      <w:rPr>
        <w:rStyle w:val="PageNumber"/>
        <w:rFonts w:ascii="Arial" w:hAnsi="Arial"/>
        <w:noProof/>
        <w:sz w:val="20"/>
      </w:rPr>
      <w:t>14</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119B" w14:textId="77777777" w:rsidR="00484F69" w:rsidRDefault="00484F69" w:rsidP="00B37C58">
      <w:r>
        <w:separator/>
      </w:r>
    </w:p>
  </w:footnote>
  <w:footnote w:type="continuationSeparator" w:id="0">
    <w:p w14:paraId="1BB5DE27" w14:textId="77777777" w:rsidR="00484F69" w:rsidRDefault="00484F69" w:rsidP="00B37C58">
      <w:r>
        <w:continuationSeparator/>
      </w:r>
    </w:p>
  </w:footnote>
  <w:footnote w:type="continuationNotice" w:id="1">
    <w:p w14:paraId="5A85D4FE" w14:textId="77777777" w:rsidR="00484F69" w:rsidRDefault="00484F69"/>
  </w:footnote>
  <w:footnote w:id="2">
    <w:p w14:paraId="76028C0F" w14:textId="3085CA1A" w:rsidR="00484F69" w:rsidRDefault="00484F69">
      <w:pPr>
        <w:pStyle w:val="FootnoteText"/>
      </w:pPr>
      <w:r>
        <w:rPr>
          <w:rStyle w:val="FootnoteReference"/>
        </w:rPr>
        <w:footnoteRef/>
      </w:r>
      <w:r>
        <w:t xml:space="preserve"> This includes any relevant amendments to legislation (eg </w:t>
      </w:r>
      <w:hyperlink r:id="rId1" w:history="1">
        <w:r>
          <w:rPr>
            <w:rStyle w:val="Hyperlink"/>
          </w:rPr>
          <w:t>2013 No.235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747F4F5A" w14:textId="5DC642B3" w:rsidR="00484F69" w:rsidRPr="000E478E" w:rsidRDefault="00484F69"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w:t>
      </w:r>
      <w:r>
        <w:rPr>
          <w:rFonts w:cs="Arial"/>
          <w:sz w:val="20"/>
        </w:rPr>
        <w:t>ted, but it would be outside the PGDs</w:t>
      </w:r>
      <w:r w:rsidRPr="004E3683">
        <w:rPr>
          <w:rFonts w:cs="Arial"/>
          <w:sz w:val="20"/>
        </w:rPr>
        <w:t xml:space="preserve">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96856" w14:textId="14101C63" w:rsidR="00484F69" w:rsidRDefault="00960098">
    <w:pPr>
      <w:pStyle w:val="Header"/>
    </w:pPr>
    <w:r>
      <w:rPr>
        <w:noProof/>
      </w:rPr>
      <w:pict w14:anchorId="7696D9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73407" o:spid="_x0000_s24578" type="#_x0000_t136" style="position:absolute;margin-left:0;margin-top:0;width:639.7pt;height:55.6pt;rotation:315;z-index:-251654144;mso-position-horizontal:center;mso-position-horizontal-relative:margin;mso-position-vertical:center;mso-position-vertical-relative:margin" o:allowincell="f" fillcolor="gray [1629]" stroked="f">
          <v:textpath style="font-family:&quot;Arial&quot;;font-size:1pt" string="Withdrawn 1 August 202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19B0" w14:textId="0D5CCB66" w:rsidR="00484F69" w:rsidRDefault="00960098">
    <w:pPr>
      <w:pStyle w:val="Header"/>
    </w:pPr>
    <w:r>
      <w:rPr>
        <w:noProof/>
      </w:rPr>
      <w:pict w14:anchorId="33D4F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73408" o:spid="_x0000_s24579" type="#_x0000_t136" style="position:absolute;margin-left:0;margin-top:0;width:658.4pt;height:55.6pt;rotation:315;z-index:-251652096;mso-position-horizontal:center;mso-position-horizontal-relative:margin;mso-position-vertical:center;mso-position-vertical-relative:margin" o:allowincell="f" fillcolor="gray [1629]" stroked="f">
          <v:textpath style="font-family:&quot;Arial&quot;;font-size:1pt" string="Withdrawn 1 August 2020"/>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0EB3" w14:textId="3B31A156" w:rsidR="00484F69" w:rsidRDefault="00960098" w:rsidP="00E161EA">
    <w:pPr>
      <w:pStyle w:val="Header"/>
      <w:ind w:left="-284"/>
    </w:pPr>
    <w:r>
      <w:rPr>
        <w:noProof/>
      </w:rPr>
      <w:pict w14:anchorId="42406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3473406" o:spid="_x0000_s24577" type="#_x0000_t136" style="position:absolute;left:0;text-align:left;margin-left:0;margin-top:0;width:658.4pt;height:55.6pt;rotation:315;z-index:-251656192;mso-position-horizontal:center;mso-position-horizontal-relative:margin;mso-position-vertical:center;mso-position-vertical-relative:margin" o:allowincell="f" fillcolor="gray [1629]" stroked="f">
          <v:textpath style="font-family:&quot;Arial&quot;;font-size:1pt" string="Withdrawn 1 August 2020"/>
        </v:shape>
      </w:pict>
    </w:r>
    <w:r w:rsidR="00484F69">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17499D0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F69">
      <w:rPr>
        <w:rFonts w:ascii="Arial" w:hAnsi="Arial" w:cs="Arial"/>
        <w:b/>
        <w:bCs/>
        <w:noProof/>
        <w:color w:val="0000FF"/>
        <w:sz w:val="22"/>
        <w:szCs w:val="22"/>
      </w:rPr>
      <w:drawing>
        <wp:anchor distT="0" distB="0" distL="114300" distR="114300" simplePos="0" relativeHeight="251658240" behindDoc="0" locked="0" layoutInCell="1" allowOverlap="1" wp14:anchorId="4ACB8FFE" wp14:editId="30E4B898">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CA82" w14:textId="3ED09440" w:rsidR="00484F69" w:rsidRDefault="00484F69" w:rsidP="00E161EA">
    <w:pPr>
      <w:pStyle w:val="Header"/>
      <w:ind w:left="-284"/>
    </w:pPr>
  </w:p>
  <w:p w14:paraId="0D34C322" w14:textId="06385A13" w:rsidR="00484F69" w:rsidRDefault="00484F69" w:rsidP="00E161EA">
    <w:pPr>
      <w:pStyle w:val="Header"/>
      <w:ind w:left="-284"/>
    </w:pPr>
  </w:p>
  <w:p w14:paraId="516A7DCC" w14:textId="483EB7B4" w:rsidR="00484F69" w:rsidRDefault="00484F69" w:rsidP="00E161EA">
    <w:pPr>
      <w:pStyle w:val="Header"/>
      <w:ind w:left="-284"/>
    </w:pPr>
  </w:p>
  <w:p w14:paraId="47F182B7" w14:textId="38672C1F" w:rsidR="00484F69" w:rsidRDefault="00484F69" w:rsidP="00793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56EEE"/>
    <w:multiLevelType w:val="hybridMultilevel"/>
    <w:tmpl w:val="CE7C0D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F37E0"/>
    <w:multiLevelType w:val="hybridMultilevel"/>
    <w:tmpl w:val="7402D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2"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467E2"/>
    <w:multiLevelType w:val="hybridMultilevel"/>
    <w:tmpl w:val="485E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B9A1C0F"/>
    <w:multiLevelType w:val="hybridMultilevel"/>
    <w:tmpl w:val="07CA0D5C"/>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2"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4E6CA8"/>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C4570"/>
    <w:multiLevelType w:val="hybridMultilevel"/>
    <w:tmpl w:val="8A6843C6"/>
    <w:lvl w:ilvl="0" w:tplc="9156027A">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8" w15:restartNumberingAfterBreak="0">
    <w:nsid w:val="67270527"/>
    <w:multiLevelType w:val="hybridMultilevel"/>
    <w:tmpl w:val="D2768A72"/>
    <w:lvl w:ilvl="0" w:tplc="E0A6CA4E">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9"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15:restartNumberingAfterBreak="0">
    <w:nsid w:val="7AFA0CAE"/>
    <w:multiLevelType w:val="hybridMultilevel"/>
    <w:tmpl w:val="1CE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0"/>
  </w:num>
  <w:num w:numId="4">
    <w:abstractNumId w:val="39"/>
  </w:num>
  <w:num w:numId="5">
    <w:abstractNumId w:val="10"/>
  </w:num>
  <w:num w:numId="6">
    <w:abstractNumId w:val="1"/>
  </w:num>
  <w:num w:numId="7">
    <w:abstractNumId w:val="13"/>
  </w:num>
  <w:num w:numId="8">
    <w:abstractNumId w:val="31"/>
  </w:num>
  <w:num w:numId="9">
    <w:abstractNumId w:val="5"/>
  </w:num>
  <w:num w:numId="10">
    <w:abstractNumId w:val="11"/>
  </w:num>
  <w:num w:numId="11">
    <w:abstractNumId w:val="45"/>
  </w:num>
  <w:num w:numId="12">
    <w:abstractNumId w:val="42"/>
  </w:num>
  <w:num w:numId="13">
    <w:abstractNumId w:val="49"/>
  </w:num>
  <w:num w:numId="14">
    <w:abstractNumId w:val="18"/>
  </w:num>
  <w:num w:numId="15">
    <w:abstractNumId w:val="43"/>
  </w:num>
  <w:num w:numId="16">
    <w:abstractNumId w:val="44"/>
  </w:num>
  <w:num w:numId="17">
    <w:abstractNumId w:val="14"/>
  </w:num>
  <w:num w:numId="18">
    <w:abstractNumId w:val="6"/>
  </w:num>
  <w:num w:numId="19">
    <w:abstractNumId w:val="0"/>
  </w:num>
  <w:num w:numId="20">
    <w:abstractNumId w:val="34"/>
  </w:num>
  <w:num w:numId="21">
    <w:abstractNumId w:val="7"/>
  </w:num>
  <w:num w:numId="22">
    <w:abstractNumId w:val="25"/>
  </w:num>
  <w:num w:numId="23">
    <w:abstractNumId w:val="47"/>
  </w:num>
  <w:num w:numId="24">
    <w:abstractNumId w:val="9"/>
  </w:num>
  <w:num w:numId="25">
    <w:abstractNumId w:val="21"/>
  </w:num>
  <w:num w:numId="26">
    <w:abstractNumId w:val="40"/>
  </w:num>
  <w:num w:numId="27">
    <w:abstractNumId w:val="22"/>
  </w:num>
  <w:num w:numId="28">
    <w:abstractNumId w:val="16"/>
  </w:num>
  <w:num w:numId="29">
    <w:abstractNumId w:val="2"/>
  </w:num>
  <w:num w:numId="30">
    <w:abstractNumId w:val="4"/>
  </w:num>
  <w:num w:numId="31">
    <w:abstractNumId w:val="24"/>
  </w:num>
  <w:num w:numId="32">
    <w:abstractNumId w:val="46"/>
  </w:num>
  <w:num w:numId="33">
    <w:abstractNumId w:val="36"/>
  </w:num>
  <w:num w:numId="34">
    <w:abstractNumId w:val="35"/>
  </w:num>
  <w:num w:numId="35">
    <w:abstractNumId w:val="29"/>
  </w:num>
  <w:num w:numId="36">
    <w:abstractNumId w:val="32"/>
  </w:num>
  <w:num w:numId="37">
    <w:abstractNumId w:val="26"/>
  </w:num>
  <w:num w:numId="38">
    <w:abstractNumId w:val="41"/>
  </w:num>
  <w:num w:numId="39">
    <w:abstractNumId w:val="15"/>
  </w:num>
  <w:num w:numId="40">
    <w:abstractNumId w:val="37"/>
  </w:num>
  <w:num w:numId="41">
    <w:abstractNumId w:val="48"/>
  </w:num>
  <w:num w:numId="42">
    <w:abstractNumId w:val="2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8"/>
  </w:num>
  <w:num w:numId="46">
    <w:abstractNumId w:val="19"/>
  </w:num>
  <w:num w:numId="47">
    <w:abstractNumId w:val="38"/>
  </w:num>
  <w:num w:numId="48">
    <w:abstractNumId w:val="27"/>
  </w:num>
  <w:num w:numId="49">
    <w:abstractNumId w:val="17"/>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comments" w:enforcement="1" w:cryptProviderType="rsaAES" w:cryptAlgorithmClass="hash" w:cryptAlgorithmType="typeAny" w:cryptAlgorithmSid="14" w:cryptSpinCount="100000" w:hash="MNPHpn6nzCM8VR/GUazA0TZbR3sZTM3iKx41Q4x6fQG8ZA4YIs5UOUmJbOtHGzMISm63pF/y/J8dHQLZG3Mjlw==" w:salt="ox1OqyWsWu4vzfQDP3sOAQ=="/>
  <w:defaultTabStop w:val="720"/>
  <w:drawingGridHorizontalSpacing w:val="100"/>
  <w:displayHorizontalDrawingGridEvery w:val="2"/>
  <w:displayVerticalDrawingGridEvery w:val="2"/>
  <w:characterSpacingControl w:val="doNotCompress"/>
  <w:hdrShapeDefaults>
    <o:shapedefaults v:ext="edit" spidmax="24580"/>
    <o:shapelayout v:ext="edit">
      <o:idmap v:ext="edit" data="2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C58"/>
    <w:rsid w:val="00000A1D"/>
    <w:rsid w:val="0000216F"/>
    <w:rsid w:val="00002B99"/>
    <w:rsid w:val="000030A5"/>
    <w:rsid w:val="00005A40"/>
    <w:rsid w:val="000067FF"/>
    <w:rsid w:val="00007291"/>
    <w:rsid w:val="0000799E"/>
    <w:rsid w:val="00007B0A"/>
    <w:rsid w:val="00011983"/>
    <w:rsid w:val="00011CD7"/>
    <w:rsid w:val="000141CA"/>
    <w:rsid w:val="000143B7"/>
    <w:rsid w:val="00015AD7"/>
    <w:rsid w:val="00015FD7"/>
    <w:rsid w:val="000163C2"/>
    <w:rsid w:val="00016678"/>
    <w:rsid w:val="00017D81"/>
    <w:rsid w:val="00022CF4"/>
    <w:rsid w:val="000327CB"/>
    <w:rsid w:val="00032A94"/>
    <w:rsid w:val="000337FD"/>
    <w:rsid w:val="00033B08"/>
    <w:rsid w:val="00034D78"/>
    <w:rsid w:val="0003557F"/>
    <w:rsid w:val="000366BF"/>
    <w:rsid w:val="000369EE"/>
    <w:rsid w:val="00037F1B"/>
    <w:rsid w:val="00041342"/>
    <w:rsid w:val="000422B0"/>
    <w:rsid w:val="00044B12"/>
    <w:rsid w:val="000452D9"/>
    <w:rsid w:val="00045EC4"/>
    <w:rsid w:val="0005160B"/>
    <w:rsid w:val="000526FD"/>
    <w:rsid w:val="00052D39"/>
    <w:rsid w:val="00053AE7"/>
    <w:rsid w:val="00053C0A"/>
    <w:rsid w:val="000558BD"/>
    <w:rsid w:val="00057CCD"/>
    <w:rsid w:val="000605CC"/>
    <w:rsid w:val="00060924"/>
    <w:rsid w:val="00060E3A"/>
    <w:rsid w:val="00062626"/>
    <w:rsid w:val="00062844"/>
    <w:rsid w:val="000637D4"/>
    <w:rsid w:val="00065AAB"/>
    <w:rsid w:val="00066709"/>
    <w:rsid w:val="00073AFC"/>
    <w:rsid w:val="000753FC"/>
    <w:rsid w:val="00076359"/>
    <w:rsid w:val="00080471"/>
    <w:rsid w:val="000810A7"/>
    <w:rsid w:val="00081EEB"/>
    <w:rsid w:val="0008353A"/>
    <w:rsid w:val="00084641"/>
    <w:rsid w:val="000905DC"/>
    <w:rsid w:val="00090CE1"/>
    <w:rsid w:val="000914C8"/>
    <w:rsid w:val="00091CBB"/>
    <w:rsid w:val="00091EE6"/>
    <w:rsid w:val="00094CC5"/>
    <w:rsid w:val="000A2A03"/>
    <w:rsid w:val="000A3815"/>
    <w:rsid w:val="000A3ADA"/>
    <w:rsid w:val="000A40B5"/>
    <w:rsid w:val="000A5791"/>
    <w:rsid w:val="000A6CB6"/>
    <w:rsid w:val="000A6EC8"/>
    <w:rsid w:val="000A729C"/>
    <w:rsid w:val="000B1A6A"/>
    <w:rsid w:val="000B2084"/>
    <w:rsid w:val="000B2506"/>
    <w:rsid w:val="000B2DCF"/>
    <w:rsid w:val="000B2F98"/>
    <w:rsid w:val="000B2FF8"/>
    <w:rsid w:val="000B443D"/>
    <w:rsid w:val="000B5963"/>
    <w:rsid w:val="000B5974"/>
    <w:rsid w:val="000C0FE6"/>
    <w:rsid w:val="000C248E"/>
    <w:rsid w:val="000C2E80"/>
    <w:rsid w:val="000C30CB"/>
    <w:rsid w:val="000C6CFA"/>
    <w:rsid w:val="000D2680"/>
    <w:rsid w:val="000D2A84"/>
    <w:rsid w:val="000D2C82"/>
    <w:rsid w:val="000D2F38"/>
    <w:rsid w:val="000D46BA"/>
    <w:rsid w:val="000E1613"/>
    <w:rsid w:val="000E16AF"/>
    <w:rsid w:val="000E1D3A"/>
    <w:rsid w:val="000E478E"/>
    <w:rsid w:val="000E78D3"/>
    <w:rsid w:val="000F3444"/>
    <w:rsid w:val="000F629F"/>
    <w:rsid w:val="000F69DE"/>
    <w:rsid w:val="000F7418"/>
    <w:rsid w:val="000F7561"/>
    <w:rsid w:val="0010020E"/>
    <w:rsid w:val="00100284"/>
    <w:rsid w:val="00101DEF"/>
    <w:rsid w:val="001027CC"/>
    <w:rsid w:val="0010300D"/>
    <w:rsid w:val="00103DD5"/>
    <w:rsid w:val="00103E19"/>
    <w:rsid w:val="00104410"/>
    <w:rsid w:val="001045B2"/>
    <w:rsid w:val="00107891"/>
    <w:rsid w:val="00107895"/>
    <w:rsid w:val="00111038"/>
    <w:rsid w:val="001110A6"/>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1945"/>
    <w:rsid w:val="00132994"/>
    <w:rsid w:val="00133435"/>
    <w:rsid w:val="00134B80"/>
    <w:rsid w:val="001356BD"/>
    <w:rsid w:val="00135875"/>
    <w:rsid w:val="00135E42"/>
    <w:rsid w:val="00137AE2"/>
    <w:rsid w:val="00137B63"/>
    <w:rsid w:val="00150743"/>
    <w:rsid w:val="00151778"/>
    <w:rsid w:val="00155D9C"/>
    <w:rsid w:val="00157FB4"/>
    <w:rsid w:val="00160228"/>
    <w:rsid w:val="00162B1B"/>
    <w:rsid w:val="00163D03"/>
    <w:rsid w:val="00165527"/>
    <w:rsid w:val="00166F32"/>
    <w:rsid w:val="001700C1"/>
    <w:rsid w:val="001710C3"/>
    <w:rsid w:val="00171903"/>
    <w:rsid w:val="00171CEB"/>
    <w:rsid w:val="0017246D"/>
    <w:rsid w:val="00176CD1"/>
    <w:rsid w:val="00176E60"/>
    <w:rsid w:val="00181E5D"/>
    <w:rsid w:val="00182701"/>
    <w:rsid w:val="00182DCC"/>
    <w:rsid w:val="0018366E"/>
    <w:rsid w:val="00185081"/>
    <w:rsid w:val="00187116"/>
    <w:rsid w:val="00187380"/>
    <w:rsid w:val="00187641"/>
    <w:rsid w:val="00187F93"/>
    <w:rsid w:val="00190006"/>
    <w:rsid w:val="001900D7"/>
    <w:rsid w:val="0019071B"/>
    <w:rsid w:val="00191F4F"/>
    <w:rsid w:val="001933F7"/>
    <w:rsid w:val="001968CC"/>
    <w:rsid w:val="001A0034"/>
    <w:rsid w:val="001A254A"/>
    <w:rsid w:val="001A2B32"/>
    <w:rsid w:val="001A37A5"/>
    <w:rsid w:val="001A4FF7"/>
    <w:rsid w:val="001A545E"/>
    <w:rsid w:val="001A6A53"/>
    <w:rsid w:val="001A6BB0"/>
    <w:rsid w:val="001B1419"/>
    <w:rsid w:val="001B2016"/>
    <w:rsid w:val="001B2B1B"/>
    <w:rsid w:val="001B2D74"/>
    <w:rsid w:val="001B3690"/>
    <w:rsid w:val="001B47D2"/>
    <w:rsid w:val="001B6907"/>
    <w:rsid w:val="001B69BE"/>
    <w:rsid w:val="001B7073"/>
    <w:rsid w:val="001C305E"/>
    <w:rsid w:val="001C40E2"/>
    <w:rsid w:val="001C41DB"/>
    <w:rsid w:val="001D1F5D"/>
    <w:rsid w:val="001D678E"/>
    <w:rsid w:val="001D7379"/>
    <w:rsid w:val="001D73CE"/>
    <w:rsid w:val="001D7891"/>
    <w:rsid w:val="001E01B9"/>
    <w:rsid w:val="001E0371"/>
    <w:rsid w:val="001E12D9"/>
    <w:rsid w:val="001E19BC"/>
    <w:rsid w:val="001E1A23"/>
    <w:rsid w:val="001E28F5"/>
    <w:rsid w:val="001E40FE"/>
    <w:rsid w:val="001E625C"/>
    <w:rsid w:val="001E64AB"/>
    <w:rsid w:val="001E6768"/>
    <w:rsid w:val="001E6FD0"/>
    <w:rsid w:val="001F085E"/>
    <w:rsid w:val="001F08E9"/>
    <w:rsid w:val="001F2596"/>
    <w:rsid w:val="001F3AF6"/>
    <w:rsid w:val="001F4200"/>
    <w:rsid w:val="001F5127"/>
    <w:rsid w:val="001F53D3"/>
    <w:rsid w:val="001F6E45"/>
    <w:rsid w:val="00201614"/>
    <w:rsid w:val="00204795"/>
    <w:rsid w:val="00204910"/>
    <w:rsid w:val="00206DC2"/>
    <w:rsid w:val="002125CC"/>
    <w:rsid w:val="002142A3"/>
    <w:rsid w:val="00214D37"/>
    <w:rsid w:val="0021553E"/>
    <w:rsid w:val="0021586D"/>
    <w:rsid w:val="002159D9"/>
    <w:rsid w:val="002171DC"/>
    <w:rsid w:val="002215A5"/>
    <w:rsid w:val="00222834"/>
    <w:rsid w:val="002232AB"/>
    <w:rsid w:val="0022479F"/>
    <w:rsid w:val="0022659E"/>
    <w:rsid w:val="00227575"/>
    <w:rsid w:val="002275C2"/>
    <w:rsid w:val="002300DE"/>
    <w:rsid w:val="0023176E"/>
    <w:rsid w:val="00231808"/>
    <w:rsid w:val="00232D5A"/>
    <w:rsid w:val="00234894"/>
    <w:rsid w:val="00234A88"/>
    <w:rsid w:val="00235D6D"/>
    <w:rsid w:val="0023616C"/>
    <w:rsid w:val="00236CDB"/>
    <w:rsid w:val="00240312"/>
    <w:rsid w:val="002406A3"/>
    <w:rsid w:val="00241AEB"/>
    <w:rsid w:val="002436D7"/>
    <w:rsid w:val="00244142"/>
    <w:rsid w:val="0024464C"/>
    <w:rsid w:val="002473BB"/>
    <w:rsid w:val="00250FB5"/>
    <w:rsid w:val="00251BF9"/>
    <w:rsid w:val="00252A1C"/>
    <w:rsid w:val="00252AA2"/>
    <w:rsid w:val="0025304B"/>
    <w:rsid w:val="0025308F"/>
    <w:rsid w:val="002543A8"/>
    <w:rsid w:val="002545E8"/>
    <w:rsid w:val="00254AD4"/>
    <w:rsid w:val="0025549B"/>
    <w:rsid w:val="002557BC"/>
    <w:rsid w:val="002558CF"/>
    <w:rsid w:val="00255FE1"/>
    <w:rsid w:val="002560A8"/>
    <w:rsid w:val="00256EAC"/>
    <w:rsid w:val="00260762"/>
    <w:rsid w:val="0026533C"/>
    <w:rsid w:val="0026603E"/>
    <w:rsid w:val="00266D06"/>
    <w:rsid w:val="0026770B"/>
    <w:rsid w:val="002677F2"/>
    <w:rsid w:val="00270410"/>
    <w:rsid w:val="00272071"/>
    <w:rsid w:val="0027292C"/>
    <w:rsid w:val="002736C1"/>
    <w:rsid w:val="00274F97"/>
    <w:rsid w:val="002762EC"/>
    <w:rsid w:val="00277116"/>
    <w:rsid w:val="00277D21"/>
    <w:rsid w:val="0028191D"/>
    <w:rsid w:val="00283C59"/>
    <w:rsid w:val="00283D3A"/>
    <w:rsid w:val="00285CD3"/>
    <w:rsid w:val="0028691E"/>
    <w:rsid w:val="0028740C"/>
    <w:rsid w:val="00287A20"/>
    <w:rsid w:val="00290B36"/>
    <w:rsid w:val="00291120"/>
    <w:rsid w:val="0029274E"/>
    <w:rsid w:val="00293582"/>
    <w:rsid w:val="002937BA"/>
    <w:rsid w:val="00294FD3"/>
    <w:rsid w:val="002955AE"/>
    <w:rsid w:val="00296842"/>
    <w:rsid w:val="00297E0B"/>
    <w:rsid w:val="002A15A4"/>
    <w:rsid w:val="002A21ED"/>
    <w:rsid w:val="002A352E"/>
    <w:rsid w:val="002A3BA4"/>
    <w:rsid w:val="002A5EC0"/>
    <w:rsid w:val="002A72B1"/>
    <w:rsid w:val="002B014E"/>
    <w:rsid w:val="002B1970"/>
    <w:rsid w:val="002B2DD8"/>
    <w:rsid w:val="002B3C9A"/>
    <w:rsid w:val="002B41AC"/>
    <w:rsid w:val="002B4B88"/>
    <w:rsid w:val="002C27BB"/>
    <w:rsid w:val="002C3EBB"/>
    <w:rsid w:val="002C7476"/>
    <w:rsid w:val="002C7938"/>
    <w:rsid w:val="002D0FC7"/>
    <w:rsid w:val="002D2A15"/>
    <w:rsid w:val="002D462B"/>
    <w:rsid w:val="002D49A8"/>
    <w:rsid w:val="002D68D0"/>
    <w:rsid w:val="002D7622"/>
    <w:rsid w:val="002D7DF5"/>
    <w:rsid w:val="002E447F"/>
    <w:rsid w:val="002E50C7"/>
    <w:rsid w:val="002E5693"/>
    <w:rsid w:val="002E7148"/>
    <w:rsid w:val="002E7BAA"/>
    <w:rsid w:val="002F1645"/>
    <w:rsid w:val="002F66B0"/>
    <w:rsid w:val="00300ABC"/>
    <w:rsid w:val="00300D6E"/>
    <w:rsid w:val="003011F0"/>
    <w:rsid w:val="00303E82"/>
    <w:rsid w:val="00304270"/>
    <w:rsid w:val="003047F6"/>
    <w:rsid w:val="00305C80"/>
    <w:rsid w:val="00307729"/>
    <w:rsid w:val="003114FA"/>
    <w:rsid w:val="003126AB"/>
    <w:rsid w:val="003128AC"/>
    <w:rsid w:val="00315E51"/>
    <w:rsid w:val="0031600F"/>
    <w:rsid w:val="0031689E"/>
    <w:rsid w:val="0031703D"/>
    <w:rsid w:val="00322599"/>
    <w:rsid w:val="003225CC"/>
    <w:rsid w:val="00323DE8"/>
    <w:rsid w:val="0032489D"/>
    <w:rsid w:val="00324DC2"/>
    <w:rsid w:val="0032600A"/>
    <w:rsid w:val="00326296"/>
    <w:rsid w:val="0032676B"/>
    <w:rsid w:val="003267A8"/>
    <w:rsid w:val="00327741"/>
    <w:rsid w:val="003309B6"/>
    <w:rsid w:val="00330CA5"/>
    <w:rsid w:val="00334D47"/>
    <w:rsid w:val="003353BE"/>
    <w:rsid w:val="00336F3C"/>
    <w:rsid w:val="00340F81"/>
    <w:rsid w:val="0034293F"/>
    <w:rsid w:val="00344157"/>
    <w:rsid w:val="00345EA1"/>
    <w:rsid w:val="00345EDE"/>
    <w:rsid w:val="003461E2"/>
    <w:rsid w:val="0034683E"/>
    <w:rsid w:val="003514E5"/>
    <w:rsid w:val="003532CF"/>
    <w:rsid w:val="00354C77"/>
    <w:rsid w:val="003554C3"/>
    <w:rsid w:val="00356F35"/>
    <w:rsid w:val="00357BE5"/>
    <w:rsid w:val="00360EE2"/>
    <w:rsid w:val="00361EBF"/>
    <w:rsid w:val="00362377"/>
    <w:rsid w:val="00364047"/>
    <w:rsid w:val="00364D5C"/>
    <w:rsid w:val="00366548"/>
    <w:rsid w:val="00366AE7"/>
    <w:rsid w:val="00366B2E"/>
    <w:rsid w:val="00367D86"/>
    <w:rsid w:val="00372699"/>
    <w:rsid w:val="00373AFF"/>
    <w:rsid w:val="0037561E"/>
    <w:rsid w:val="0038388A"/>
    <w:rsid w:val="00385EB8"/>
    <w:rsid w:val="003870AA"/>
    <w:rsid w:val="0039094E"/>
    <w:rsid w:val="00390A03"/>
    <w:rsid w:val="00390C8F"/>
    <w:rsid w:val="00391294"/>
    <w:rsid w:val="0039193D"/>
    <w:rsid w:val="00395C13"/>
    <w:rsid w:val="0039630E"/>
    <w:rsid w:val="00396D4D"/>
    <w:rsid w:val="00396EB5"/>
    <w:rsid w:val="003976B8"/>
    <w:rsid w:val="003A0532"/>
    <w:rsid w:val="003A1CDC"/>
    <w:rsid w:val="003A5966"/>
    <w:rsid w:val="003A6A4B"/>
    <w:rsid w:val="003B0421"/>
    <w:rsid w:val="003B0B4F"/>
    <w:rsid w:val="003B1293"/>
    <w:rsid w:val="003B46AE"/>
    <w:rsid w:val="003B4980"/>
    <w:rsid w:val="003B7149"/>
    <w:rsid w:val="003B76AD"/>
    <w:rsid w:val="003B7DCA"/>
    <w:rsid w:val="003C0481"/>
    <w:rsid w:val="003C208A"/>
    <w:rsid w:val="003C75AC"/>
    <w:rsid w:val="003C7E61"/>
    <w:rsid w:val="003D387D"/>
    <w:rsid w:val="003D3E67"/>
    <w:rsid w:val="003D6386"/>
    <w:rsid w:val="003D649D"/>
    <w:rsid w:val="003D6C44"/>
    <w:rsid w:val="003D7913"/>
    <w:rsid w:val="003E1EBF"/>
    <w:rsid w:val="003E2AB7"/>
    <w:rsid w:val="003E4AB4"/>
    <w:rsid w:val="003E4E4A"/>
    <w:rsid w:val="003E6926"/>
    <w:rsid w:val="003E74EE"/>
    <w:rsid w:val="003F2857"/>
    <w:rsid w:val="003F2920"/>
    <w:rsid w:val="004021DE"/>
    <w:rsid w:val="00402CA6"/>
    <w:rsid w:val="00405821"/>
    <w:rsid w:val="00406F86"/>
    <w:rsid w:val="0041133C"/>
    <w:rsid w:val="00412096"/>
    <w:rsid w:val="00413075"/>
    <w:rsid w:val="0041331C"/>
    <w:rsid w:val="004142CF"/>
    <w:rsid w:val="00414B39"/>
    <w:rsid w:val="00417D65"/>
    <w:rsid w:val="00420095"/>
    <w:rsid w:val="00422484"/>
    <w:rsid w:val="004231B0"/>
    <w:rsid w:val="004235ED"/>
    <w:rsid w:val="004246A7"/>
    <w:rsid w:val="00424DD7"/>
    <w:rsid w:val="00424FA6"/>
    <w:rsid w:val="00425344"/>
    <w:rsid w:val="00426D66"/>
    <w:rsid w:val="0042711F"/>
    <w:rsid w:val="00431D2D"/>
    <w:rsid w:val="00432789"/>
    <w:rsid w:val="00435861"/>
    <w:rsid w:val="00436E06"/>
    <w:rsid w:val="00436FF8"/>
    <w:rsid w:val="00437EB9"/>
    <w:rsid w:val="004415DC"/>
    <w:rsid w:val="00441F76"/>
    <w:rsid w:val="00442C9B"/>
    <w:rsid w:val="00442F8B"/>
    <w:rsid w:val="004450DE"/>
    <w:rsid w:val="00446FEB"/>
    <w:rsid w:val="00447DC7"/>
    <w:rsid w:val="004507EC"/>
    <w:rsid w:val="00451AAE"/>
    <w:rsid w:val="00453B0F"/>
    <w:rsid w:val="00454DD2"/>
    <w:rsid w:val="00455CC8"/>
    <w:rsid w:val="004564CA"/>
    <w:rsid w:val="00456F52"/>
    <w:rsid w:val="004576D6"/>
    <w:rsid w:val="00457933"/>
    <w:rsid w:val="00457E58"/>
    <w:rsid w:val="00461B1A"/>
    <w:rsid w:val="00461FEE"/>
    <w:rsid w:val="00463688"/>
    <w:rsid w:val="00463CBC"/>
    <w:rsid w:val="00464AD7"/>
    <w:rsid w:val="00465617"/>
    <w:rsid w:val="00472167"/>
    <w:rsid w:val="00473442"/>
    <w:rsid w:val="004735B4"/>
    <w:rsid w:val="00476E29"/>
    <w:rsid w:val="004774E5"/>
    <w:rsid w:val="00477FFD"/>
    <w:rsid w:val="00480AF8"/>
    <w:rsid w:val="00481A7A"/>
    <w:rsid w:val="00484F69"/>
    <w:rsid w:val="00485EE6"/>
    <w:rsid w:val="00486545"/>
    <w:rsid w:val="00487360"/>
    <w:rsid w:val="0049107A"/>
    <w:rsid w:val="00493537"/>
    <w:rsid w:val="004936F2"/>
    <w:rsid w:val="00494F73"/>
    <w:rsid w:val="0049792D"/>
    <w:rsid w:val="004A056C"/>
    <w:rsid w:val="004A0728"/>
    <w:rsid w:val="004A0839"/>
    <w:rsid w:val="004A1813"/>
    <w:rsid w:val="004A4AF5"/>
    <w:rsid w:val="004A58EA"/>
    <w:rsid w:val="004A58FA"/>
    <w:rsid w:val="004A5FB9"/>
    <w:rsid w:val="004A74CD"/>
    <w:rsid w:val="004A7AF6"/>
    <w:rsid w:val="004A7D01"/>
    <w:rsid w:val="004B090F"/>
    <w:rsid w:val="004B29E4"/>
    <w:rsid w:val="004B3517"/>
    <w:rsid w:val="004B3525"/>
    <w:rsid w:val="004B3D9C"/>
    <w:rsid w:val="004B4EA0"/>
    <w:rsid w:val="004B759B"/>
    <w:rsid w:val="004B7A63"/>
    <w:rsid w:val="004C061F"/>
    <w:rsid w:val="004C363B"/>
    <w:rsid w:val="004C452E"/>
    <w:rsid w:val="004C5DCB"/>
    <w:rsid w:val="004C5E8A"/>
    <w:rsid w:val="004C634B"/>
    <w:rsid w:val="004C7103"/>
    <w:rsid w:val="004D0493"/>
    <w:rsid w:val="004D2F0A"/>
    <w:rsid w:val="004D3470"/>
    <w:rsid w:val="004D64D6"/>
    <w:rsid w:val="004D71C0"/>
    <w:rsid w:val="004D7BF2"/>
    <w:rsid w:val="004E083A"/>
    <w:rsid w:val="004E122F"/>
    <w:rsid w:val="004E1357"/>
    <w:rsid w:val="004E3683"/>
    <w:rsid w:val="004F0005"/>
    <w:rsid w:val="004F08A5"/>
    <w:rsid w:val="004F4420"/>
    <w:rsid w:val="0050107F"/>
    <w:rsid w:val="0050309A"/>
    <w:rsid w:val="00503B75"/>
    <w:rsid w:val="00505E28"/>
    <w:rsid w:val="00506D7A"/>
    <w:rsid w:val="00510388"/>
    <w:rsid w:val="00510464"/>
    <w:rsid w:val="00511519"/>
    <w:rsid w:val="00511E03"/>
    <w:rsid w:val="005126F8"/>
    <w:rsid w:val="00512AB3"/>
    <w:rsid w:val="00512EB9"/>
    <w:rsid w:val="00513BBB"/>
    <w:rsid w:val="00513D8D"/>
    <w:rsid w:val="00516083"/>
    <w:rsid w:val="0051657C"/>
    <w:rsid w:val="0051753E"/>
    <w:rsid w:val="00520E3D"/>
    <w:rsid w:val="005230D9"/>
    <w:rsid w:val="00524D3E"/>
    <w:rsid w:val="00531683"/>
    <w:rsid w:val="00531A06"/>
    <w:rsid w:val="00532FFE"/>
    <w:rsid w:val="00533F45"/>
    <w:rsid w:val="00533F88"/>
    <w:rsid w:val="00534AA3"/>
    <w:rsid w:val="00534FE1"/>
    <w:rsid w:val="005377FD"/>
    <w:rsid w:val="00540AB6"/>
    <w:rsid w:val="005415F0"/>
    <w:rsid w:val="005425FE"/>
    <w:rsid w:val="00544380"/>
    <w:rsid w:val="0054483C"/>
    <w:rsid w:val="005449C6"/>
    <w:rsid w:val="00544D30"/>
    <w:rsid w:val="00545D31"/>
    <w:rsid w:val="005472ED"/>
    <w:rsid w:val="005523C0"/>
    <w:rsid w:val="00553F1A"/>
    <w:rsid w:val="0055497F"/>
    <w:rsid w:val="00554D2C"/>
    <w:rsid w:val="005555A1"/>
    <w:rsid w:val="005564BA"/>
    <w:rsid w:val="005579C0"/>
    <w:rsid w:val="00557A53"/>
    <w:rsid w:val="005615D5"/>
    <w:rsid w:val="005618A8"/>
    <w:rsid w:val="00564EBC"/>
    <w:rsid w:val="005667E5"/>
    <w:rsid w:val="00567CA2"/>
    <w:rsid w:val="00571525"/>
    <w:rsid w:val="00573025"/>
    <w:rsid w:val="00574B90"/>
    <w:rsid w:val="00575617"/>
    <w:rsid w:val="00576947"/>
    <w:rsid w:val="00577582"/>
    <w:rsid w:val="00580F79"/>
    <w:rsid w:val="00583B2A"/>
    <w:rsid w:val="00583BA4"/>
    <w:rsid w:val="00586C40"/>
    <w:rsid w:val="00587B81"/>
    <w:rsid w:val="005931A8"/>
    <w:rsid w:val="00596DE8"/>
    <w:rsid w:val="00597157"/>
    <w:rsid w:val="0059783E"/>
    <w:rsid w:val="005A10A2"/>
    <w:rsid w:val="005A2245"/>
    <w:rsid w:val="005A3960"/>
    <w:rsid w:val="005A3B00"/>
    <w:rsid w:val="005B035A"/>
    <w:rsid w:val="005B53E0"/>
    <w:rsid w:val="005B79BC"/>
    <w:rsid w:val="005C0787"/>
    <w:rsid w:val="005C29B6"/>
    <w:rsid w:val="005C2C6A"/>
    <w:rsid w:val="005C4139"/>
    <w:rsid w:val="005C6102"/>
    <w:rsid w:val="005C68F1"/>
    <w:rsid w:val="005C7E34"/>
    <w:rsid w:val="005D0DA7"/>
    <w:rsid w:val="005D178F"/>
    <w:rsid w:val="005D6050"/>
    <w:rsid w:val="005D661B"/>
    <w:rsid w:val="005E0382"/>
    <w:rsid w:val="005E0961"/>
    <w:rsid w:val="005E23F6"/>
    <w:rsid w:val="005E3C49"/>
    <w:rsid w:val="005E4B93"/>
    <w:rsid w:val="005E5EDB"/>
    <w:rsid w:val="005E669C"/>
    <w:rsid w:val="005F3EF0"/>
    <w:rsid w:val="005F4F39"/>
    <w:rsid w:val="005F5AE1"/>
    <w:rsid w:val="005F70DD"/>
    <w:rsid w:val="00602098"/>
    <w:rsid w:val="006030B1"/>
    <w:rsid w:val="00610705"/>
    <w:rsid w:val="00611445"/>
    <w:rsid w:val="00612504"/>
    <w:rsid w:val="00613D62"/>
    <w:rsid w:val="00613F53"/>
    <w:rsid w:val="00614820"/>
    <w:rsid w:val="00614893"/>
    <w:rsid w:val="00615F3E"/>
    <w:rsid w:val="006172B8"/>
    <w:rsid w:val="006200AF"/>
    <w:rsid w:val="00622DBF"/>
    <w:rsid w:val="00625AAC"/>
    <w:rsid w:val="006308DA"/>
    <w:rsid w:val="00630E26"/>
    <w:rsid w:val="006318C5"/>
    <w:rsid w:val="00631EE1"/>
    <w:rsid w:val="006320FB"/>
    <w:rsid w:val="00633B57"/>
    <w:rsid w:val="00634ADF"/>
    <w:rsid w:val="00637028"/>
    <w:rsid w:val="00637AF3"/>
    <w:rsid w:val="00641294"/>
    <w:rsid w:val="006428F1"/>
    <w:rsid w:val="006433BC"/>
    <w:rsid w:val="00645014"/>
    <w:rsid w:val="00650FD1"/>
    <w:rsid w:val="00651B6A"/>
    <w:rsid w:val="00652237"/>
    <w:rsid w:val="006525A7"/>
    <w:rsid w:val="00653B01"/>
    <w:rsid w:val="00653D19"/>
    <w:rsid w:val="00655F24"/>
    <w:rsid w:val="0066266C"/>
    <w:rsid w:val="006644BE"/>
    <w:rsid w:val="006662BF"/>
    <w:rsid w:val="00666E65"/>
    <w:rsid w:val="006670FC"/>
    <w:rsid w:val="006679A2"/>
    <w:rsid w:val="00670382"/>
    <w:rsid w:val="006719C7"/>
    <w:rsid w:val="00671FEE"/>
    <w:rsid w:val="006740BA"/>
    <w:rsid w:val="0067455C"/>
    <w:rsid w:val="0067497B"/>
    <w:rsid w:val="0067534F"/>
    <w:rsid w:val="00675D55"/>
    <w:rsid w:val="00676995"/>
    <w:rsid w:val="00680485"/>
    <w:rsid w:val="006813FB"/>
    <w:rsid w:val="00681999"/>
    <w:rsid w:val="00683C7F"/>
    <w:rsid w:val="00683DC3"/>
    <w:rsid w:val="0068443A"/>
    <w:rsid w:val="006847A3"/>
    <w:rsid w:val="00685DD8"/>
    <w:rsid w:val="00686B13"/>
    <w:rsid w:val="00687A4E"/>
    <w:rsid w:val="00687D91"/>
    <w:rsid w:val="00690694"/>
    <w:rsid w:val="00691A11"/>
    <w:rsid w:val="0069353A"/>
    <w:rsid w:val="00693B1E"/>
    <w:rsid w:val="00694F3F"/>
    <w:rsid w:val="00694F99"/>
    <w:rsid w:val="0069541C"/>
    <w:rsid w:val="00696514"/>
    <w:rsid w:val="00696E6B"/>
    <w:rsid w:val="006A003E"/>
    <w:rsid w:val="006A0EF9"/>
    <w:rsid w:val="006A18F3"/>
    <w:rsid w:val="006A2BBE"/>
    <w:rsid w:val="006A4245"/>
    <w:rsid w:val="006A7931"/>
    <w:rsid w:val="006A7A28"/>
    <w:rsid w:val="006B166E"/>
    <w:rsid w:val="006B2FA2"/>
    <w:rsid w:val="006B40D7"/>
    <w:rsid w:val="006B4A57"/>
    <w:rsid w:val="006B6C13"/>
    <w:rsid w:val="006B7F11"/>
    <w:rsid w:val="006C1522"/>
    <w:rsid w:val="006C1805"/>
    <w:rsid w:val="006C191B"/>
    <w:rsid w:val="006C191C"/>
    <w:rsid w:val="006C69EC"/>
    <w:rsid w:val="006C6DD2"/>
    <w:rsid w:val="006C7B83"/>
    <w:rsid w:val="006C7DC1"/>
    <w:rsid w:val="006D16E4"/>
    <w:rsid w:val="006D2947"/>
    <w:rsid w:val="006E0273"/>
    <w:rsid w:val="006E0F66"/>
    <w:rsid w:val="006E2380"/>
    <w:rsid w:val="006E3026"/>
    <w:rsid w:val="006E3703"/>
    <w:rsid w:val="006E3A37"/>
    <w:rsid w:val="006E4EAD"/>
    <w:rsid w:val="006E5580"/>
    <w:rsid w:val="006E6FCB"/>
    <w:rsid w:val="006F222A"/>
    <w:rsid w:val="006F3707"/>
    <w:rsid w:val="006F4906"/>
    <w:rsid w:val="006F7521"/>
    <w:rsid w:val="006F7D45"/>
    <w:rsid w:val="0070098A"/>
    <w:rsid w:val="00700F43"/>
    <w:rsid w:val="00704159"/>
    <w:rsid w:val="00704725"/>
    <w:rsid w:val="00704F61"/>
    <w:rsid w:val="00710B97"/>
    <w:rsid w:val="0071244D"/>
    <w:rsid w:val="0071278F"/>
    <w:rsid w:val="0071398F"/>
    <w:rsid w:val="0071769C"/>
    <w:rsid w:val="007204C5"/>
    <w:rsid w:val="00721DC1"/>
    <w:rsid w:val="00722C42"/>
    <w:rsid w:val="00724AC0"/>
    <w:rsid w:val="00731C04"/>
    <w:rsid w:val="00731C0A"/>
    <w:rsid w:val="00732014"/>
    <w:rsid w:val="007334ED"/>
    <w:rsid w:val="0073387A"/>
    <w:rsid w:val="007354B9"/>
    <w:rsid w:val="00737D64"/>
    <w:rsid w:val="00742566"/>
    <w:rsid w:val="00743C5C"/>
    <w:rsid w:val="00746B45"/>
    <w:rsid w:val="00751A74"/>
    <w:rsid w:val="0075287D"/>
    <w:rsid w:val="0075491B"/>
    <w:rsid w:val="00756264"/>
    <w:rsid w:val="00757C2C"/>
    <w:rsid w:val="00761CF8"/>
    <w:rsid w:val="00764534"/>
    <w:rsid w:val="0076532D"/>
    <w:rsid w:val="00770345"/>
    <w:rsid w:val="00773417"/>
    <w:rsid w:val="007734AE"/>
    <w:rsid w:val="007735FF"/>
    <w:rsid w:val="007736EB"/>
    <w:rsid w:val="0077464D"/>
    <w:rsid w:val="00774B30"/>
    <w:rsid w:val="0077518F"/>
    <w:rsid w:val="00775AF9"/>
    <w:rsid w:val="007762BD"/>
    <w:rsid w:val="007817A6"/>
    <w:rsid w:val="00781E50"/>
    <w:rsid w:val="007829FD"/>
    <w:rsid w:val="00787734"/>
    <w:rsid w:val="0078783A"/>
    <w:rsid w:val="007914FD"/>
    <w:rsid w:val="0079217A"/>
    <w:rsid w:val="00792661"/>
    <w:rsid w:val="007939D3"/>
    <w:rsid w:val="00795AE9"/>
    <w:rsid w:val="00795ECF"/>
    <w:rsid w:val="00796051"/>
    <w:rsid w:val="007A0472"/>
    <w:rsid w:val="007A205C"/>
    <w:rsid w:val="007A313F"/>
    <w:rsid w:val="007A760C"/>
    <w:rsid w:val="007A7F8A"/>
    <w:rsid w:val="007B0924"/>
    <w:rsid w:val="007B1CC6"/>
    <w:rsid w:val="007B2494"/>
    <w:rsid w:val="007B309D"/>
    <w:rsid w:val="007B51C2"/>
    <w:rsid w:val="007B56AB"/>
    <w:rsid w:val="007B645F"/>
    <w:rsid w:val="007B6CA5"/>
    <w:rsid w:val="007B76EF"/>
    <w:rsid w:val="007B7EC8"/>
    <w:rsid w:val="007C14F1"/>
    <w:rsid w:val="007C26CF"/>
    <w:rsid w:val="007C2B1B"/>
    <w:rsid w:val="007C2E45"/>
    <w:rsid w:val="007C4122"/>
    <w:rsid w:val="007C49CA"/>
    <w:rsid w:val="007C6D56"/>
    <w:rsid w:val="007C7C9E"/>
    <w:rsid w:val="007D182E"/>
    <w:rsid w:val="007D4A20"/>
    <w:rsid w:val="007D5189"/>
    <w:rsid w:val="007D5839"/>
    <w:rsid w:val="007D6314"/>
    <w:rsid w:val="007D6B29"/>
    <w:rsid w:val="007D7DA8"/>
    <w:rsid w:val="007E045E"/>
    <w:rsid w:val="007E0F51"/>
    <w:rsid w:val="007E324D"/>
    <w:rsid w:val="007E487A"/>
    <w:rsid w:val="007E6D72"/>
    <w:rsid w:val="007E7909"/>
    <w:rsid w:val="008007EA"/>
    <w:rsid w:val="00804268"/>
    <w:rsid w:val="00804596"/>
    <w:rsid w:val="00804724"/>
    <w:rsid w:val="008059C3"/>
    <w:rsid w:val="0080689E"/>
    <w:rsid w:val="00806DBB"/>
    <w:rsid w:val="00807DDF"/>
    <w:rsid w:val="00811532"/>
    <w:rsid w:val="008147B1"/>
    <w:rsid w:val="00815487"/>
    <w:rsid w:val="00815ED7"/>
    <w:rsid w:val="00817BB4"/>
    <w:rsid w:val="00820A72"/>
    <w:rsid w:val="00821752"/>
    <w:rsid w:val="00821E60"/>
    <w:rsid w:val="00823238"/>
    <w:rsid w:val="00823C7F"/>
    <w:rsid w:val="00827366"/>
    <w:rsid w:val="008277F3"/>
    <w:rsid w:val="00830B5B"/>
    <w:rsid w:val="0083123D"/>
    <w:rsid w:val="00833AF0"/>
    <w:rsid w:val="00833F75"/>
    <w:rsid w:val="00841B5E"/>
    <w:rsid w:val="008422D8"/>
    <w:rsid w:val="008429B1"/>
    <w:rsid w:val="00842FF0"/>
    <w:rsid w:val="008431D2"/>
    <w:rsid w:val="00846EA9"/>
    <w:rsid w:val="00847124"/>
    <w:rsid w:val="0085001C"/>
    <w:rsid w:val="00850733"/>
    <w:rsid w:val="0085184A"/>
    <w:rsid w:val="008544C1"/>
    <w:rsid w:val="00854FB0"/>
    <w:rsid w:val="008552F3"/>
    <w:rsid w:val="00855509"/>
    <w:rsid w:val="0085554B"/>
    <w:rsid w:val="00855B77"/>
    <w:rsid w:val="00856272"/>
    <w:rsid w:val="0085769C"/>
    <w:rsid w:val="00860547"/>
    <w:rsid w:val="00860ACA"/>
    <w:rsid w:val="00860B31"/>
    <w:rsid w:val="008612C9"/>
    <w:rsid w:val="00863A7E"/>
    <w:rsid w:val="00864DAD"/>
    <w:rsid w:val="008659E3"/>
    <w:rsid w:val="00865CB9"/>
    <w:rsid w:val="00866B54"/>
    <w:rsid w:val="00870761"/>
    <w:rsid w:val="00870DBC"/>
    <w:rsid w:val="0087180E"/>
    <w:rsid w:val="00871CD5"/>
    <w:rsid w:val="00872D0E"/>
    <w:rsid w:val="00881D9E"/>
    <w:rsid w:val="00882374"/>
    <w:rsid w:val="00883298"/>
    <w:rsid w:val="00883EDD"/>
    <w:rsid w:val="008844FF"/>
    <w:rsid w:val="008846CE"/>
    <w:rsid w:val="00886C0D"/>
    <w:rsid w:val="00890A0E"/>
    <w:rsid w:val="008910A6"/>
    <w:rsid w:val="0089178F"/>
    <w:rsid w:val="008935D7"/>
    <w:rsid w:val="00893A89"/>
    <w:rsid w:val="00895C45"/>
    <w:rsid w:val="00896281"/>
    <w:rsid w:val="008A0351"/>
    <w:rsid w:val="008A132D"/>
    <w:rsid w:val="008A3834"/>
    <w:rsid w:val="008A43F8"/>
    <w:rsid w:val="008A52A6"/>
    <w:rsid w:val="008A5670"/>
    <w:rsid w:val="008A7869"/>
    <w:rsid w:val="008B14E3"/>
    <w:rsid w:val="008B32F4"/>
    <w:rsid w:val="008B4620"/>
    <w:rsid w:val="008B477D"/>
    <w:rsid w:val="008B544E"/>
    <w:rsid w:val="008B5C71"/>
    <w:rsid w:val="008B6D3B"/>
    <w:rsid w:val="008C3630"/>
    <w:rsid w:val="008C449D"/>
    <w:rsid w:val="008C7212"/>
    <w:rsid w:val="008D0C53"/>
    <w:rsid w:val="008D0F26"/>
    <w:rsid w:val="008D23B8"/>
    <w:rsid w:val="008D27AF"/>
    <w:rsid w:val="008D3FAF"/>
    <w:rsid w:val="008D7620"/>
    <w:rsid w:val="008D7BE8"/>
    <w:rsid w:val="008E1FC0"/>
    <w:rsid w:val="008E537D"/>
    <w:rsid w:val="008E5D38"/>
    <w:rsid w:val="008E61D6"/>
    <w:rsid w:val="008F03AF"/>
    <w:rsid w:val="008F1C68"/>
    <w:rsid w:val="008F2050"/>
    <w:rsid w:val="008F248D"/>
    <w:rsid w:val="008F3F4D"/>
    <w:rsid w:val="008F521D"/>
    <w:rsid w:val="008F5E52"/>
    <w:rsid w:val="008F69F6"/>
    <w:rsid w:val="008F7669"/>
    <w:rsid w:val="00900859"/>
    <w:rsid w:val="0090107D"/>
    <w:rsid w:val="00902D27"/>
    <w:rsid w:val="00903D47"/>
    <w:rsid w:val="00904FB7"/>
    <w:rsid w:val="00905BF9"/>
    <w:rsid w:val="00905D17"/>
    <w:rsid w:val="00906777"/>
    <w:rsid w:val="00910699"/>
    <w:rsid w:val="00910BF2"/>
    <w:rsid w:val="00912FC2"/>
    <w:rsid w:val="0091582B"/>
    <w:rsid w:val="0091598F"/>
    <w:rsid w:val="009165C1"/>
    <w:rsid w:val="009178ED"/>
    <w:rsid w:val="00920E0D"/>
    <w:rsid w:val="0092137D"/>
    <w:rsid w:val="00922068"/>
    <w:rsid w:val="00925FA0"/>
    <w:rsid w:val="00926FB3"/>
    <w:rsid w:val="00927FA5"/>
    <w:rsid w:val="00930810"/>
    <w:rsid w:val="00932347"/>
    <w:rsid w:val="00932697"/>
    <w:rsid w:val="009341A5"/>
    <w:rsid w:val="009345F1"/>
    <w:rsid w:val="00936D92"/>
    <w:rsid w:val="00937717"/>
    <w:rsid w:val="0093796A"/>
    <w:rsid w:val="00943325"/>
    <w:rsid w:val="0094409A"/>
    <w:rsid w:val="009506CE"/>
    <w:rsid w:val="00950951"/>
    <w:rsid w:val="009522EA"/>
    <w:rsid w:val="00956019"/>
    <w:rsid w:val="009576CC"/>
    <w:rsid w:val="00960098"/>
    <w:rsid w:val="009609A2"/>
    <w:rsid w:val="00962267"/>
    <w:rsid w:val="00963693"/>
    <w:rsid w:val="00963F34"/>
    <w:rsid w:val="00963FAC"/>
    <w:rsid w:val="00965211"/>
    <w:rsid w:val="0096604D"/>
    <w:rsid w:val="00966E78"/>
    <w:rsid w:val="00967420"/>
    <w:rsid w:val="0096759D"/>
    <w:rsid w:val="00967628"/>
    <w:rsid w:val="00970B61"/>
    <w:rsid w:val="00973AF7"/>
    <w:rsid w:val="0097616A"/>
    <w:rsid w:val="00976BA5"/>
    <w:rsid w:val="00980E67"/>
    <w:rsid w:val="009812E0"/>
    <w:rsid w:val="009816D2"/>
    <w:rsid w:val="0098270E"/>
    <w:rsid w:val="00983DB5"/>
    <w:rsid w:val="009852E8"/>
    <w:rsid w:val="00985862"/>
    <w:rsid w:val="009858D1"/>
    <w:rsid w:val="00987EF8"/>
    <w:rsid w:val="0099220B"/>
    <w:rsid w:val="00994216"/>
    <w:rsid w:val="0099477D"/>
    <w:rsid w:val="00995C4E"/>
    <w:rsid w:val="00996E09"/>
    <w:rsid w:val="009A1BD1"/>
    <w:rsid w:val="009A2DE4"/>
    <w:rsid w:val="009A783F"/>
    <w:rsid w:val="009B1550"/>
    <w:rsid w:val="009B22A2"/>
    <w:rsid w:val="009B3AD8"/>
    <w:rsid w:val="009B42F8"/>
    <w:rsid w:val="009B447C"/>
    <w:rsid w:val="009B6DB4"/>
    <w:rsid w:val="009B712A"/>
    <w:rsid w:val="009C2FC3"/>
    <w:rsid w:val="009C4452"/>
    <w:rsid w:val="009C4CF4"/>
    <w:rsid w:val="009C5F32"/>
    <w:rsid w:val="009C7ED8"/>
    <w:rsid w:val="009D13A5"/>
    <w:rsid w:val="009D1C16"/>
    <w:rsid w:val="009D6983"/>
    <w:rsid w:val="009D7A7F"/>
    <w:rsid w:val="009D7D7A"/>
    <w:rsid w:val="009E0D5B"/>
    <w:rsid w:val="009E0FB8"/>
    <w:rsid w:val="009E106B"/>
    <w:rsid w:val="009E1318"/>
    <w:rsid w:val="009E1C35"/>
    <w:rsid w:val="009E36CB"/>
    <w:rsid w:val="009E3F10"/>
    <w:rsid w:val="009E4220"/>
    <w:rsid w:val="009E53E6"/>
    <w:rsid w:val="009E6969"/>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AE5"/>
    <w:rsid w:val="00A14BB9"/>
    <w:rsid w:val="00A14C73"/>
    <w:rsid w:val="00A16AAE"/>
    <w:rsid w:val="00A202D7"/>
    <w:rsid w:val="00A22165"/>
    <w:rsid w:val="00A2350D"/>
    <w:rsid w:val="00A23CE7"/>
    <w:rsid w:val="00A24575"/>
    <w:rsid w:val="00A25F69"/>
    <w:rsid w:val="00A32020"/>
    <w:rsid w:val="00A33792"/>
    <w:rsid w:val="00A33CE6"/>
    <w:rsid w:val="00A33FBA"/>
    <w:rsid w:val="00A362EB"/>
    <w:rsid w:val="00A37195"/>
    <w:rsid w:val="00A37F3C"/>
    <w:rsid w:val="00A41CB3"/>
    <w:rsid w:val="00A41CC7"/>
    <w:rsid w:val="00A429A4"/>
    <w:rsid w:val="00A43169"/>
    <w:rsid w:val="00A440DE"/>
    <w:rsid w:val="00A44B42"/>
    <w:rsid w:val="00A45556"/>
    <w:rsid w:val="00A47E2A"/>
    <w:rsid w:val="00A50EAE"/>
    <w:rsid w:val="00A56339"/>
    <w:rsid w:val="00A564C2"/>
    <w:rsid w:val="00A60816"/>
    <w:rsid w:val="00A6295F"/>
    <w:rsid w:val="00A63B72"/>
    <w:rsid w:val="00A64F4E"/>
    <w:rsid w:val="00A66B78"/>
    <w:rsid w:val="00A73358"/>
    <w:rsid w:val="00A75B9F"/>
    <w:rsid w:val="00A75D4C"/>
    <w:rsid w:val="00A7638E"/>
    <w:rsid w:val="00A76B50"/>
    <w:rsid w:val="00A77B34"/>
    <w:rsid w:val="00A8125D"/>
    <w:rsid w:val="00A8191D"/>
    <w:rsid w:val="00A84E81"/>
    <w:rsid w:val="00A87BB1"/>
    <w:rsid w:val="00A92A96"/>
    <w:rsid w:val="00A9535E"/>
    <w:rsid w:val="00A956FD"/>
    <w:rsid w:val="00A972A6"/>
    <w:rsid w:val="00AA036F"/>
    <w:rsid w:val="00AA1020"/>
    <w:rsid w:val="00AA644C"/>
    <w:rsid w:val="00AB0EB2"/>
    <w:rsid w:val="00AB1EF2"/>
    <w:rsid w:val="00AB219D"/>
    <w:rsid w:val="00AB22AD"/>
    <w:rsid w:val="00AB2C22"/>
    <w:rsid w:val="00AB5236"/>
    <w:rsid w:val="00AB612D"/>
    <w:rsid w:val="00AB6275"/>
    <w:rsid w:val="00AB7C22"/>
    <w:rsid w:val="00AB7ED8"/>
    <w:rsid w:val="00AC0606"/>
    <w:rsid w:val="00AC0A55"/>
    <w:rsid w:val="00AC184F"/>
    <w:rsid w:val="00AC20AC"/>
    <w:rsid w:val="00AC3828"/>
    <w:rsid w:val="00AD0832"/>
    <w:rsid w:val="00AD34D1"/>
    <w:rsid w:val="00AD5B95"/>
    <w:rsid w:val="00AD6974"/>
    <w:rsid w:val="00AD716A"/>
    <w:rsid w:val="00AE6F78"/>
    <w:rsid w:val="00AF2ACF"/>
    <w:rsid w:val="00AF5164"/>
    <w:rsid w:val="00B025D3"/>
    <w:rsid w:val="00B03C3F"/>
    <w:rsid w:val="00B0437A"/>
    <w:rsid w:val="00B04A2D"/>
    <w:rsid w:val="00B068B2"/>
    <w:rsid w:val="00B070F1"/>
    <w:rsid w:val="00B07AE9"/>
    <w:rsid w:val="00B15ECC"/>
    <w:rsid w:val="00B17227"/>
    <w:rsid w:val="00B249CC"/>
    <w:rsid w:val="00B25C3A"/>
    <w:rsid w:val="00B26D99"/>
    <w:rsid w:val="00B27D87"/>
    <w:rsid w:val="00B31675"/>
    <w:rsid w:val="00B31FC0"/>
    <w:rsid w:val="00B32864"/>
    <w:rsid w:val="00B32ECD"/>
    <w:rsid w:val="00B33FBE"/>
    <w:rsid w:val="00B36518"/>
    <w:rsid w:val="00B37C58"/>
    <w:rsid w:val="00B40EC0"/>
    <w:rsid w:val="00B4381D"/>
    <w:rsid w:val="00B453A1"/>
    <w:rsid w:val="00B45643"/>
    <w:rsid w:val="00B46000"/>
    <w:rsid w:val="00B46152"/>
    <w:rsid w:val="00B46801"/>
    <w:rsid w:val="00B47603"/>
    <w:rsid w:val="00B51C68"/>
    <w:rsid w:val="00B53D05"/>
    <w:rsid w:val="00B540BD"/>
    <w:rsid w:val="00B55636"/>
    <w:rsid w:val="00B57D45"/>
    <w:rsid w:val="00B62617"/>
    <w:rsid w:val="00B63697"/>
    <w:rsid w:val="00B63A95"/>
    <w:rsid w:val="00B63DD4"/>
    <w:rsid w:val="00B7163D"/>
    <w:rsid w:val="00B72CB2"/>
    <w:rsid w:val="00B72FA7"/>
    <w:rsid w:val="00B76A14"/>
    <w:rsid w:val="00B801FC"/>
    <w:rsid w:val="00B805D0"/>
    <w:rsid w:val="00B87839"/>
    <w:rsid w:val="00B901A2"/>
    <w:rsid w:val="00B971EF"/>
    <w:rsid w:val="00BA16C1"/>
    <w:rsid w:val="00BA2EE8"/>
    <w:rsid w:val="00BA3F01"/>
    <w:rsid w:val="00BA565E"/>
    <w:rsid w:val="00BA7E90"/>
    <w:rsid w:val="00BB0DB0"/>
    <w:rsid w:val="00BB11DC"/>
    <w:rsid w:val="00BB190D"/>
    <w:rsid w:val="00BB2438"/>
    <w:rsid w:val="00BB2ABF"/>
    <w:rsid w:val="00BB2ECB"/>
    <w:rsid w:val="00BB3AE5"/>
    <w:rsid w:val="00BB5009"/>
    <w:rsid w:val="00BB51A3"/>
    <w:rsid w:val="00BB5879"/>
    <w:rsid w:val="00BB59A3"/>
    <w:rsid w:val="00BB5FE0"/>
    <w:rsid w:val="00BC014A"/>
    <w:rsid w:val="00BC4FD4"/>
    <w:rsid w:val="00BC6F32"/>
    <w:rsid w:val="00BC727B"/>
    <w:rsid w:val="00BD223F"/>
    <w:rsid w:val="00BD3A78"/>
    <w:rsid w:val="00BD417D"/>
    <w:rsid w:val="00BD5A59"/>
    <w:rsid w:val="00BD6FC1"/>
    <w:rsid w:val="00BE1007"/>
    <w:rsid w:val="00BE1835"/>
    <w:rsid w:val="00BE1F0C"/>
    <w:rsid w:val="00BE3947"/>
    <w:rsid w:val="00BE4877"/>
    <w:rsid w:val="00BE6716"/>
    <w:rsid w:val="00BE750C"/>
    <w:rsid w:val="00BE7C9C"/>
    <w:rsid w:val="00BF4121"/>
    <w:rsid w:val="00BF617E"/>
    <w:rsid w:val="00BF634B"/>
    <w:rsid w:val="00BF65CF"/>
    <w:rsid w:val="00BF7481"/>
    <w:rsid w:val="00C0081D"/>
    <w:rsid w:val="00C0218E"/>
    <w:rsid w:val="00C05C89"/>
    <w:rsid w:val="00C068A8"/>
    <w:rsid w:val="00C0718D"/>
    <w:rsid w:val="00C11CF5"/>
    <w:rsid w:val="00C11E37"/>
    <w:rsid w:val="00C12180"/>
    <w:rsid w:val="00C138B9"/>
    <w:rsid w:val="00C14DAF"/>
    <w:rsid w:val="00C152E3"/>
    <w:rsid w:val="00C153E6"/>
    <w:rsid w:val="00C1562C"/>
    <w:rsid w:val="00C21004"/>
    <w:rsid w:val="00C21223"/>
    <w:rsid w:val="00C21758"/>
    <w:rsid w:val="00C22F62"/>
    <w:rsid w:val="00C232A5"/>
    <w:rsid w:val="00C23642"/>
    <w:rsid w:val="00C24DBD"/>
    <w:rsid w:val="00C26BA4"/>
    <w:rsid w:val="00C27D2A"/>
    <w:rsid w:val="00C27D34"/>
    <w:rsid w:val="00C30D80"/>
    <w:rsid w:val="00C362D3"/>
    <w:rsid w:val="00C3789F"/>
    <w:rsid w:val="00C4034B"/>
    <w:rsid w:val="00C43C9D"/>
    <w:rsid w:val="00C45C3A"/>
    <w:rsid w:val="00C5189D"/>
    <w:rsid w:val="00C520B5"/>
    <w:rsid w:val="00C53EA9"/>
    <w:rsid w:val="00C5581D"/>
    <w:rsid w:val="00C5756A"/>
    <w:rsid w:val="00C57650"/>
    <w:rsid w:val="00C576D3"/>
    <w:rsid w:val="00C60287"/>
    <w:rsid w:val="00C6039B"/>
    <w:rsid w:val="00C61CCA"/>
    <w:rsid w:val="00C66959"/>
    <w:rsid w:val="00C66B7A"/>
    <w:rsid w:val="00C67736"/>
    <w:rsid w:val="00C700D6"/>
    <w:rsid w:val="00C746F7"/>
    <w:rsid w:val="00C76AEF"/>
    <w:rsid w:val="00C76C83"/>
    <w:rsid w:val="00C76E5E"/>
    <w:rsid w:val="00C849DA"/>
    <w:rsid w:val="00C852C7"/>
    <w:rsid w:val="00C8597B"/>
    <w:rsid w:val="00C869D1"/>
    <w:rsid w:val="00C87608"/>
    <w:rsid w:val="00C87933"/>
    <w:rsid w:val="00C91546"/>
    <w:rsid w:val="00C918E8"/>
    <w:rsid w:val="00C93C3F"/>
    <w:rsid w:val="00C93CF4"/>
    <w:rsid w:val="00C94130"/>
    <w:rsid w:val="00C952E0"/>
    <w:rsid w:val="00C960D0"/>
    <w:rsid w:val="00CA02B5"/>
    <w:rsid w:val="00CA02E4"/>
    <w:rsid w:val="00CA159F"/>
    <w:rsid w:val="00CA219F"/>
    <w:rsid w:val="00CA26D2"/>
    <w:rsid w:val="00CA5204"/>
    <w:rsid w:val="00CA5970"/>
    <w:rsid w:val="00CB25A9"/>
    <w:rsid w:val="00CC0F39"/>
    <w:rsid w:val="00CC3731"/>
    <w:rsid w:val="00CC5732"/>
    <w:rsid w:val="00CC625D"/>
    <w:rsid w:val="00CC6EBA"/>
    <w:rsid w:val="00CD32D2"/>
    <w:rsid w:val="00CD371D"/>
    <w:rsid w:val="00CD6A25"/>
    <w:rsid w:val="00CD6CB9"/>
    <w:rsid w:val="00CE312A"/>
    <w:rsid w:val="00CE5941"/>
    <w:rsid w:val="00CF0086"/>
    <w:rsid w:val="00CF1BC7"/>
    <w:rsid w:val="00CF2543"/>
    <w:rsid w:val="00CF2FC4"/>
    <w:rsid w:val="00CF3347"/>
    <w:rsid w:val="00CF3B30"/>
    <w:rsid w:val="00CF735B"/>
    <w:rsid w:val="00D01784"/>
    <w:rsid w:val="00D02787"/>
    <w:rsid w:val="00D02873"/>
    <w:rsid w:val="00D04574"/>
    <w:rsid w:val="00D0499A"/>
    <w:rsid w:val="00D057C3"/>
    <w:rsid w:val="00D05866"/>
    <w:rsid w:val="00D10DE3"/>
    <w:rsid w:val="00D12A27"/>
    <w:rsid w:val="00D1390E"/>
    <w:rsid w:val="00D13D9E"/>
    <w:rsid w:val="00D14502"/>
    <w:rsid w:val="00D1463C"/>
    <w:rsid w:val="00D1582D"/>
    <w:rsid w:val="00D16B31"/>
    <w:rsid w:val="00D17A58"/>
    <w:rsid w:val="00D22E2C"/>
    <w:rsid w:val="00D2365E"/>
    <w:rsid w:val="00D27150"/>
    <w:rsid w:val="00D27A40"/>
    <w:rsid w:val="00D300D1"/>
    <w:rsid w:val="00D342D6"/>
    <w:rsid w:val="00D36470"/>
    <w:rsid w:val="00D43904"/>
    <w:rsid w:val="00D43E6D"/>
    <w:rsid w:val="00D43F9B"/>
    <w:rsid w:val="00D5151F"/>
    <w:rsid w:val="00D52143"/>
    <w:rsid w:val="00D52242"/>
    <w:rsid w:val="00D5355C"/>
    <w:rsid w:val="00D54AA9"/>
    <w:rsid w:val="00D56EE5"/>
    <w:rsid w:val="00D57C82"/>
    <w:rsid w:val="00D57C97"/>
    <w:rsid w:val="00D60374"/>
    <w:rsid w:val="00D60408"/>
    <w:rsid w:val="00D612D7"/>
    <w:rsid w:val="00D63298"/>
    <w:rsid w:val="00D635A5"/>
    <w:rsid w:val="00D642DE"/>
    <w:rsid w:val="00D659F9"/>
    <w:rsid w:val="00D66645"/>
    <w:rsid w:val="00D71819"/>
    <w:rsid w:val="00D74BC6"/>
    <w:rsid w:val="00D7770B"/>
    <w:rsid w:val="00D80071"/>
    <w:rsid w:val="00D801B3"/>
    <w:rsid w:val="00D82587"/>
    <w:rsid w:val="00D87FC8"/>
    <w:rsid w:val="00D905F5"/>
    <w:rsid w:val="00D9122D"/>
    <w:rsid w:val="00D91DAE"/>
    <w:rsid w:val="00D938D6"/>
    <w:rsid w:val="00D93E78"/>
    <w:rsid w:val="00D93EF9"/>
    <w:rsid w:val="00D95171"/>
    <w:rsid w:val="00D9649B"/>
    <w:rsid w:val="00DA0FC4"/>
    <w:rsid w:val="00DB2F3D"/>
    <w:rsid w:val="00DB5944"/>
    <w:rsid w:val="00DC06DE"/>
    <w:rsid w:val="00DC084C"/>
    <w:rsid w:val="00DC4283"/>
    <w:rsid w:val="00DD4C8F"/>
    <w:rsid w:val="00DD6608"/>
    <w:rsid w:val="00DE1400"/>
    <w:rsid w:val="00DE4E82"/>
    <w:rsid w:val="00DE6666"/>
    <w:rsid w:val="00DE70D9"/>
    <w:rsid w:val="00DF0067"/>
    <w:rsid w:val="00DF28A8"/>
    <w:rsid w:val="00DF352A"/>
    <w:rsid w:val="00DF5B51"/>
    <w:rsid w:val="00DF74F6"/>
    <w:rsid w:val="00E01C1A"/>
    <w:rsid w:val="00E01D44"/>
    <w:rsid w:val="00E045E8"/>
    <w:rsid w:val="00E065D3"/>
    <w:rsid w:val="00E06E0A"/>
    <w:rsid w:val="00E127BC"/>
    <w:rsid w:val="00E14201"/>
    <w:rsid w:val="00E147BD"/>
    <w:rsid w:val="00E15835"/>
    <w:rsid w:val="00E161EA"/>
    <w:rsid w:val="00E1626C"/>
    <w:rsid w:val="00E17B7A"/>
    <w:rsid w:val="00E2164B"/>
    <w:rsid w:val="00E2349F"/>
    <w:rsid w:val="00E24AA4"/>
    <w:rsid w:val="00E24E45"/>
    <w:rsid w:val="00E2545F"/>
    <w:rsid w:val="00E25AA9"/>
    <w:rsid w:val="00E275E0"/>
    <w:rsid w:val="00E31024"/>
    <w:rsid w:val="00E34432"/>
    <w:rsid w:val="00E347E4"/>
    <w:rsid w:val="00E34CEF"/>
    <w:rsid w:val="00E36679"/>
    <w:rsid w:val="00E36C93"/>
    <w:rsid w:val="00E37009"/>
    <w:rsid w:val="00E441F3"/>
    <w:rsid w:val="00E444F7"/>
    <w:rsid w:val="00E47491"/>
    <w:rsid w:val="00E47B6D"/>
    <w:rsid w:val="00E5241F"/>
    <w:rsid w:val="00E54F90"/>
    <w:rsid w:val="00E55ECA"/>
    <w:rsid w:val="00E57E8F"/>
    <w:rsid w:val="00E610B7"/>
    <w:rsid w:val="00E612BA"/>
    <w:rsid w:val="00E616FE"/>
    <w:rsid w:val="00E61E09"/>
    <w:rsid w:val="00E64A32"/>
    <w:rsid w:val="00E70722"/>
    <w:rsid w:val="00E719CB"/>
    <w:rsid w:val="00E73256"/>
    <w:rsid w:val="00E7508F"/>
    <w:rsid w:val="00E76E7B"/>
    <w:rsid w:val="00E775F3"/>
    <w:rsid w:val="00E77E16"/>
    <w:rsid w:val="00E77E7B"/>
    <w:rsid w:val="00E8010F"/>
    <w:rsid w:val="00E86879"/>
    <w:rsid w:val="00E90B02"/>
    <w:rsid w:val="00E90C1B"/>
    <w:rsid w:val="00E92067"/>
    <w:rsid w:val="00E93C23"/>
    <w:rsid w:val="00E94836"/>
    <w:rsid w:val="00E95E48"/>
    <w:rsid w:val="00E9642E"/>
    <w:rsid w:val="00EA06D2"/>
    <w:rsid w:val="00EA1A88"/>
    <w:rsid w:val="00EA1DE7"/>
    <w:rsid w:val="00EA4421"/>
    <w:rsid w:val="00EA5A52"/>
    <w:rsid w:val="00EA5E6F"/>
    <w:rsid w:val="00EA6E23"/>
    <w:rsid w:val="00EB4085"/>
    <w:rsid w:val="00EB4944"/>
    <w:rsid w:val="00EB5536"/>
    <w:rsid w:val="00EB5CC3"/>
    <w:rsid w:val="00EB6AFA"/>
    <w:rsid w:val="00EB6D5F"/>
    <w:rsid w:val="00EC1101"/>
    <w:rsid w:val="00EC1908"/>
    <w:rsid w:val="00EC30A2"/>
    <w:rsid w:val="00EC3131"/>
    <w:rsid w:val="00EC348D"/>
    <w:rsid w:val="00EC41D9"/>
    <w:rsid w:val="00EC56F9"/>
    <w:rsid w:val="00EC601A"/>
    <w:rsid w:val="00ED1BE6"/>
    <w:rsid w:val="00ED3C86"/>
    <w:rsid w:val="00ED46B0"/>
    <w:rsid w:val="00ED7BBC"/>
    <w:rsid w:val="00EE0035"/>
    <w:rsid w:val="00EE43D4"/>
    <w:rsid w:val="00EF2A87"/>
    <w:rsid w:val="00EF2CED"/>
    <w:rsid w:val="00EF31ED"/>
    <w:rsid w:val="00EF7100"/>
    <w:rsid w:val="00F013B9"/>
    <w:rsid w:val="00F01FA3"/>
    <w:rsid w:val="00F0399D"/>
    <w:rsid w:val="00F13E96"/>
    <w:rsid w:val="00F16D70"/>
    <w:rsid w:val="00F17FC3"/>
    <w:rsid w:val="00F245F7"/>
    <w:rsid w:val="00F248FD"/>
    <w:rsid w:val="00F25CCF"/>
    <w:rsid w:val="00F262CC"/>
    <w:rsid w:val="00F32600"/>
    <w:rsid w:val="00F32D66"/>
    <w:rsid w:val="00F32F21"/>
    <w:rsid w:val="00F379F6"/>
    <w:rsid w:val="00F42845"/>
    <w:rsid w:val="00F43EAF"/>
    <w:rsid w:val="00F46A44"/>
    <w:rsid w:val="00F47E07"/>
    <w:rsid w:val="00F52244"/>
    <w:rsid w:val="00F5399B"/>
    <w:rsid w:val="00F570A6"/>
    <w:rsid w:val="00F61632"/>
    <w:rsid w:val="00F63380"/>
    <w:rsid w:val="00F636A2"/>
    <w:rsid w:val="00F64009"/>
    <w:rsid w:val="00F647D0"/>
    <w:rsid w:val="00F65F8D"/>
    <w:rsid w:val="00F661F5"/>
    <w:rsid w:val="00F72576"/>
    <w:rsid w:val="00F7333A"/>
    <w:rsid w:val="00F73796"/>
    <w:rsid w:val="00F749C1"/>
    <w:rsid w:val="00F758E9"/>
    <w:rsid w:val="00F75B30"/>
    <w:rsid w:val="00F75F2D"/>
    <w:rsid w:val="00F7673F"/>
    <w:rsid w:val="00F76876"/>
    <w:rsid w:val="00F7752F"/>
    <w:rsid w:val="00F81898"/>
    <w:rsid w:val="00F81EF1"/>
    <w:rsid w:val="00F8384F"/>
    <w:rsid w:val="00F85EA8"/>
    <w:rsid w:val="00F8644C"/>
    <w:rsid w:val="00F86892"/>
    <w:rsid w:val="00F87AC8"/>
    <w:rsid w:val="00F94F82"/>
    <w:rsid w:val="00F9795C"/>
    <w:rsid w:val="00FA20C5"/>
    <w:rsid w:val="00FA3E9E"/>
    <w:rsid w:val="00FA46C1"/>
    <w:rsid w:val="00FA55F6"/>
    <w:rsid w:val="00FA723D"/>
    <w:rsid w:val="00FA7A25"/>
    <w:rsid w:val="00FA7BE6"/>
    <w:rsid w:val="00FA7CD3"/>
    <w:rsid w:val="00FB06E4"/>
    <w:rsid w:val="00FB4633"/>
    <w:rsid w:val="00FC29B2"/>
    <w:rsid w:val="00FC2F36"/>
    <w:rsid w:val="00FC39AC"/>
    <w:rsid w:val="00FC3DB4"/>
    <w:rsid w:val="00FC5B0B"/>
    <w:rsid w:val="00FC6ADB"/>
    <w:rsid w:val="00FC6DDC"/>
    <w:rsid w:val="00FD1AC6"/>
    <w:rsid w:val="00FD1C4B"/>
    <w:rsid w:val="00FD1F29"/>
    <w:rsid w:val="00FD2E83"/>
    <w:rsid w:val="00FD2F04"/>
    <w:rsid w:val="00FD4360"/>
    <w:rsid w:val="00FD4ACE"/>
    <w:rsid w:val="00FD675E"/>
    <w:rsid w:val="00FD7606"/>
    <w:rsid w:val="00FD799B"/>
    <w:rsid w:val="00FE0BE9"/>
    <w:rsid w:val="00FE141D"/>
    <w:rsid w:val="00FE33D3"/>
    <w:rsid w:val="00FE5708"/>
    <w:rsid w:val="00FE6760"/>
    <w:rsid w:val="00FE6ACA"/>
    <w:rsid w:val="00FE6E13"/>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6FD2D4AD"/>
  <w15:docId w15:val="{F8B8D2FC-F635-4F92-BD40-2727F6D3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806847">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4570E.D8662B00" TargetMode="External"/><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s://www.gov.uk/government/publications/immunisation-procedures-the-green-book-chapter-4" TargetMode="External"/><Relationship Id="rId39" Type="http://schemas.openxmlformats.org/officeDocument/2006/relationships/hyperlink" Target="https://www.gov.uk/government/publications/guidance-on-the-safe-management-of-healthcare-waste" TargetMode="External"/><Relationship Id="rId21" Type="http://schemas.openxmlformats.org/officeDocument/2006/relationships/hyperlink" Target="https://www.gov.uk/government/publications/meningococcal-the-green-book-chapter-22" TargetMode="External"/><Relationship Id="rId34" Type="http://schemas.openxmlformats.org/officeDocument/2006/relationships/hyperlink" Target="https://www.gov.uk/government/publications/immunisation-of-individuals-with-underlying-medical-conditions-the-green-book-chapter-7" TargetMode="External"/><Relationship Id="rId42" Type="http://schemas.openxmlformats.org/officeDocument/2006/relationships/hyperlink" Target="http://yellowcard.mhra.gov.uk" TargetMode="External"/><Relationship Id="rId47" Type="http://schemas.openxmlformats.org/officeDocument/2006/relationships/hyperlink" Target="https://www.gov.uk/government/publications/haemophilus-influenzae-type-hib-the-green-book-chapter-16" TargetMode="External"/><Relationship Id="rId50" Type="http://schemas.openxmlformats.org/officeDocument/2006/relationships/hyperlink" Target="https://www.gov.uk/government/collections/immunisation-against-infectious-disease-the-green-book" TargetMode="External"/><Relationship Id="rId55" Type="http://schemas.openxmlformats.org/officeDocument/2006/relationships/hyperlink" Target="https://www.gov.uk/government/publications/national-minimum-standards-and-core-curriculum-for-immunisation-training-for-registered-healthcare-practitioners"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9" Type="http://schemas.openxmlformats.org/officeDocument/2006/relationships/hyperlink" Target="https://www.gov.uk/government/publications/immunisation-procedures-the-green-book-chapter-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gov.uk/government/publications/vaccination-of-individuals-with-uncertain-or-incomplete-immunisation-status" TargetMode="External"/><Relationship Id="rId32" Type="http://schemas.openxmlformats.org/officeDocument/2006/relationships/hyperlink" Target="https://www.gov.uk/government/publications/immunisation-of-individuals-with-underlying-medical-conditions-the-green-book-chapter-7" TargetMode="External"/><Relationship Id="rId37" Type="http://schemas.openxmlformats.org/officeDocument/2006/relationships/hyperlink" Target="https://www.gov.uk/government/publications/storage-distribution-and-disposal-of-vaccines-the-green-book-chapter-3" TargetMode="External"/><Relationship Id="rId40" Type="http://schemas.openxmlformats.org/officeDocument/2006/relationships/hyperlink" Target="http://www.medicines.org.uk" TargetMode="External"/><Relationship Id="rId45" Type="http://schemas.openxmlformats.org/officeDocument/2006/relationships/hyperlink" Target="https://www.gov.uk/government/publications/vaccination-of-individuals-with-uncertain-or-incomplete-immunisation-status" TargetMode="External"/><Relationship Id="rId53" Type="http://schemas.openxmlformats.org/officeDocument/2006/relationships/hyperlink" Target="https://www.gov.uk/government/publications/vaccination-of-individuals-with-uncertain-or-incomplete-immunisation-status" TargetMode="External"/><Relationship Id="rId58" Type="http://schemas.openxmlformats.org/officeDocument/2006/relationships/hyperlink" Target="https://www.gov.uk/government/collections/immunisation"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vaccination-of-individuals-with-uncertain-or-incomplete-immunisation-status" TargetMode="External"/><Relationship Id="rId28" Type="http://schemas.openxmlformats.org/officeDocument/2006/relationships/hyperlink" Target="https://www.gov.uk/government/publications/vaccine-incident-guidance-responding-to-vaccine-errors" TargetMode="External"/><Relationship Id="rId36" Type="http://schemas.openxmlformats.org/officeDocument/2006/relationships/hyperlink" Target="https://www.gov.uk/government/publications/protocol-for-ordering-storing-and-handling-vaccines" TargetMode="External"/><Relationship Id="rId49" Type="http://schemas.openxmlformats.org/officeDocument/2006/relationships/hyperlink" Target="https://www.gov.uk/government/publications/immunisation-of-individuals-with-underlying-medical-conditions-the-green-book-chapter-7" TargetMode="External"/><Relationship Id="rId57" Type="http://schemas.openxmlformats.org/officeDocument/2006/relationships/hyperlink" Target="https://www.nice.org.uk/guidance/mpg2/resources" TargetMode="External"/><Relationship Id="rId61" Type="http://schemas.openxmlformats.org/officeDocument/2006/relationships/header" Target="header1.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immunisation-of-individuals-with-underlying-medical-conditions-the-green-book-chapter-7" TargetMode="External"/><Relationship Id="rId31" Type="http://schemas.openxmlformats.org/officeDocument/2006/relationships/hyperlink" Target="https://www.gov.uk/government/publications/haemophilus-influenzae-type-hib-the-green-book-chapter-16" TargetMode="External"/><Relationship Id="rId44" Type="http://schemas.openxmlformats.org/officeDocument/2006/relationships/hyperlink" Target="http://www.gov.uk/government/collections/immunisation" TargetMode="External"/><Relationship Id="rId52" Type="http://schemas.openxmlformats.org/officeDocument/2006/relationships/hyperlink" Target="https://www.england.nhs.uk/publication/public-health-national-service-specifications/" TargetMode="External"/><Relationship Id="rId60" Type="http://schemas.openxmlformats.org/officeDocument/2006/relationships/hyperlink" Target="https://www.gov.uk/government/publications/protocol-for-ordering-storing-and-handling-vaccines"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image" Target="media/image3.png"/><Relationship Id="rId22" Type="http://schemas.openxmlformats.org/officeDocument/2006/relationships/hyperlink" Target="https://www.gov.uk/government/publications/immunisation-of-individuals-with-underlying-medical-conditions-the-green-book-chapter-7" TargetMode="External"/><Relationship Id="rId27" Type="http://schemas.openxmlformats.org/officeDocument/2006/relationships/hyperlink" Target="https://www.gov.uk/government/publications/meningococcal-the-green-book-chapter-22" TargetMode="External"/><Relationship Id="rId30" Type="http://schemas.openxmlformats.org/officeDocument/2006/relationships/hyperlink" Target="http://www.medicines.org.uk" TargetMode="External"/><Relationship Id="rId35" Type="http://schemas.openxmlformats.org/officeDocument/2006/relationships/hyperlink" Target="https://www.gov.uk/government/publications/immunisation-of-individuals-with-underlying-medical-conditions-the-green-book-chapter-7" TargetMode="External"/><Relationship Id="rId43" Type="http://schemas.openxmlformats.org/officeDocument/2006/relationships/hyperlink" Target="https://www.gov.uk/government/publications/splenectomy-leaflet-and-card" TargetMode="External"/><Relationship Id="rId48" Type="http://schemas.openxmlformats.org/officeDocument/2006/relationships/hyperlink" Target="https://www.gov.uk/government/publications/meningococcal-the-green-book-chapter-22" TargetMode="External"/><Relationship Id="rId56" Type="http://schemas.openxmlformats.org/officeDocument/2006/relationships/hyperlink" Target="https://www.nice.org.uk/guidance/mpg2" TargetMode="External"/><Relationship Id="rId64" Type="http://schemas.openxmlformats.org/officeDocument/2006/relationships/footer" Target="footer2.xml"/><Relationship Id="rId8" Type="http://schemas.openxmlformats.org/officeDocument/2006/relationships/hyperlink" Target="http://www.legislation.gov.uk/uksi/2012/1916/schedule/16/part/2/made" TargetMode="External"/><Relationship Id="rId51" Type="http://schemas.openxmlformats.org/officeDocument/2006/relationships/hyperlink" Target="http://www.medicines.org.uk/emc/medicine/17189"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immunisation-of-individuals-with-underlying-medical-conditions-the-green-book-chapter-7" TargetMode="External"/><Relationship Id="rId33" Type="http://schemas.openxmlformats.org/officeDocument/2006/relationships/hyperlink" Target="https://www.gov.uk/government/publications/vaccination-of-individuals-with-uncertain-or-incomplete-immunisation-status" TargetMode="External"/><Relationship Id="rId38" Type="http://schemas.openxmlformats.org/officeDocument/2006/relationships/hyperlink" Target="https://www.gov.uk/government/publications/vaccine-incident-guidance-responding-to-vaccine-errors" TargetMode="External"/><Relationship Id="rId46" Type="http://schemas.openxmlformats.org/officeDocument/2006/relationships/hyperlink" Target="https://www.gov.uk/government/publications/menc-vaccination-schedule-planned-changes-from-july-2016" TargetMode="External"/><Relationship Id="rId59" Type="http://schemas.openxmlformats.org/officeDocument/2006/relationships/hyperlink" Target="https://www.gov.uk/government/publications/vaccine-incident-guidance-responding-to-vaccine-errors" TargetMode="External"/><Relationship Id="rId67" Type="http://schemas.openxmlformats.org/officeDocument/2006/relationships/fontTable" Target="fontTable.xml"/><Relationship Id="rId20" Type="http://schemas.openxmlformats.org/officeDocument/2006/relationships/hyperlink" Target="https://www.gov.uk/government/publications/haemophilus-influenzae-type-hib-the-green-book-chapter-16" TargetMode="External"/><Relationship Id="rId41" Type="http://schemas.openxmlformats.org/officeDocument/2006/relationships/hyperlink" Target="http://www.medicines.org.uk" TargetMode="External"/><Relationship Id="rId54" Type="http://schemas.openxmlformats.org/officeDocument/2006/relationships/hyperlink" Target="https://www.gov.uk/government/publications/guidance-on-the-safe-management-of-healthcare-waste" TargetMode="External"/><Relationship Id="rId6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A5EAD-499F-40E8-A43B-F1D28A38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5002</Words>
  <Characters>28512</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Beth Graham</cp:lastModifiedBy>
  <cp:revision>3</cp:revision>
  <cp:lastPrinted>2016-10-19T06:27:00Z</cp:lastPrinted>
  <dcterms:created xsi:type="dcterms:W3CDTF">2020-06-30T12:46:00Z</dcterms:created>
  <dcterms:modified xsi:type="dcterms:W3CDTF">2020-06-30T12:49:00Z</dcterms:modified>
</cp:coreProperties>
</file>