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86C48" w14:textId="01027BAB" w:rsidR="003D5365" w:rsidRDefault="00D402D7" w:rsidP="009E5E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5365">
        <w:rPr>
          <w:rFonts w:ascii="Arial" w:hAnsi="Arial" w:cs="Arial"/>
          <w:b/>
          <w:bCs/>
          <w:sz w:val="24"/>
          <w:szCs w:val="24"/>
        </w:rPr>
        <w:t>DEPARTMENT FOR BUSINESS ENERGY AND INDUSTRIAL STRATEGY</w:t>
      </w:r>
    </w:p>
    <w:p w14:paraId="5C5FF4BE" w14:textId="77777777" w:rsidR="00201D5E" w:rsidRPr="003D5365" w:rsidRDefault="00201D5E" w:rsidP="009E5EC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07EEE15" w14:textId="1EE636F4" w:rsidR="003D5365" w:rsidRDefault="003D5365" w:rsidP="004261A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5365">
        <w:rPr>
          <w:rFonts w:ascii="Arial" w:hAnsi="Arial" w:cs="Arial"/>
          <w:b/>
          <w:bCs/>
          <w:sz w:val="24"/>
          <w:szCs w:val="24"/>
        </w:rPr>
        <w:t>THE OFFSHORE PETROLEUM PRODUCTION AND PIPE-LINES (ASSESSMENT OF ENVIRONMENTAL EFFECTS) REGULATIONS 1999 (AS AMENDED)</w:t>
      </w:r>
    </w:p>
    <w:p w14:paraId="00D6F826" w14:textId="77777777" w:rsidR="004261A8" w:rsidRPr="003D5365" w:rsidRDefault="004261A8" w:rsidP="009E5E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2F7AD7" w14:textId="1EB32F87" w:rsidR="00201D5E" w:rsidRDefault="003D5365" w:rsidP="004261A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5365">
        <w:rPr>
          <w:rFonts w:ascii="Arial" w:hAnsi="Arial" w:cs="Arial"/>
          <w:b/>
          <w:bCs/>
          <w:sz w:val="24"/>
          <w:szCs w:val="24"/>
        </w:rPr>
        <w:t>ENVIRONMENTAL STATEMENT DECISION</w:t>
      </w:r>
      <w:r w:rsidR="000C4EC0">
        <w:rPr>
          <w:rFonts w:ascii="Arial" w:hAnsi="Arial" w:cs="Arial"/>
          <w:b/>
          <w:bCs/>
          <w:sz w:val="24"/>
          <w:szCs w:val="24"/>
        </w:rPr>
        <w:t xml:space="preserve"> AND GRANT OF CONSENT</w:t>
      </w:r>
    </w:p>
    <w:p w14:paraId="12BBD84A" w14:textId="77777777" w:rsidR="004261A8" w:rsidRDefault="004261A8" w:rsidP="009E5EC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29F771" w14:textId="4BDADE06" w:rsidR="001D396B" w:rsidRPr="000648C0" w:rsidRDefault="009A2F1E" w:rsidP="004261A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648C0">
        <w:rPr>
          <w:rFonts w:ascii="Arial" w:hAnsi="Arial" w:cs="Arial"/>
          <w:b/>
          <w:bCs/>
          <w:sz w:val="24"/>
          <w:szCs w:val="24"/>
        </w:rPr>
        <w:t>HAWKINS AND SEYMOUR PRODUCTION INCREASE</w:t>
      </w:r>
    </w:p>
    <w:p w14:paraId="05EC1DE4" w14:textId="77777777" w:rsidR="004261A8" w:rsidRPr="009E5EC1" w:rsidRDefault="004261A8" w:rsidP="009E5EC1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DB5C2F" w14:textId="5313F565" w:rsidR="0056464B" w:rsidRDefault="003D5365" w:rsidP="004261A8">
      <w:pPr>
        <w:spacing w:after="0"/>
        <w:rPr>
          <w:rFonts w:ascii="Arial" w:hAnsi="Arial" w:cs="Arial"/>
          <w:sz w:val="24"/>
          <w:szCs w:val="24"/>
        </w:rPr>
      </w:pPr>
      <w:r w:rsidRPr="003D5365">
        <w:rPr>
          <w:rFonts w:ascii="Arial" w:hAnsi="Arial" w:cs="Arial"/>
          <w:sz w:val="24"/>
          <w:szCs w:val="24"/>
        </w:rPr>
        <w:t>Pursuant to regulations 5A(7)</w:t>
      </w:r>
      <w:r w:rsidR="00915D46">
        <w:rPr>
          <w:rFonts w:ascii="Arial" w:hAnsi="Arial" w:cs="Arial"/>
          <w:sz w:val="24"/>
          <w:szCs w:val="24"/>
        </w:rPr>
        <w:t>,</w:t>
      </w:r>
      <w:r w:rsidRPr="003D5365">
        <w:rPr>
          <w:rFonts w:ascii="Arial" w:hAnsi="Arial" w:cs="Arial"/>
          <w:sz w:val="24"/>
          <w:szCs w:val="24"/>
        </w:rPr>
        <w:t xml:space="preserve"> 5A(8) </w:t>
      </w:r>
      <w:r w:rsidR="00915D46">
        <w:rPr>
          <w:rFonts w:ascii="Arial" w:hAnsi="Arial" w:cs="Arial"/>
          <w:sz w:val="24"/>
          <w:szCs w:val="24"/>
        </w:rPr>
        <w:t xml:space="preserve">and 16 </w:t>
      </w:r>
      <w:r w:rsidRPr="003D5365">
        <w:rPr>
          <w:rFonts w:ascii="Arial" w:hAnsi="Arial" w:cs="Arial"/>
          <w:sz w:val="24"/>
          <w:szCs w:val="24"/>
        </w:rPr>
        <w:t xml:space="preserve">of the above Regulations, the Secretary of State gives notice of agreement to the grant of </w:t>
      </w:r>
      <w:r w:rsidRPr="008E13CA">
        <w:rPr>
          <w:rFonts w:ascii="Arial" w:hAnsi="Arial" w:cs="Arial"/>
          <w:sz w:val="24"/>
          <w:szCs w:val="24"/>
        </w:rPr>
        <w:t xml:space="preserve">consent </w:t>
      </w:r>
      <w:r w:rsidR="00766298">
        <w:rPr>
          <w:rFonts w:ascii="Arial" w:hAnsi="Arial" w:cs="Arial"/>
          <w:sz w:val="24"/>
          <w:szCs w:val="24"/>
        </w:rPr>
        <w:t xml:space="preserve">given by </w:t>
      </w:r>
      <w:r w:rsidR="00766298" w:rsidRPr="003D5365">
        <w:rPr>
          <w:rFonts w:ascii="Arial" w:hAnsi="Arial" w:cs="Arial"/>
          <w:sz w:val="24"/>
          <w:szCs w:val="24"/>
        </w:rPr>
        <w:t xml:space="preserve">the Secretary of State </w:t>
      </w:r>
      <w:r w:rsidR="00D402D7" w:rsidRPr="003D5365">
        <w:rPr>
          <w:rFonts w:ascii="Arial" w:hAnsi="Arial" w:cs="Arial"/>
          <w:sz w:val="24"/>
          <w:szCs w:val="24"/>
        </w:rPr>
        <w:t>under regulation 5A of the above Regulations</w:t>
      </w:r>
      <w:r w:rsidR="00766298">
        <w:rPr>
          <w:rFonts w:ascii="Arial" w:hAnsi="Arial" w:cs="Arial"/>
          <w:sz w:val="24"/>
          <w:szCs w:val="24"/>
        </w:rPr>
        <w:t>,</w:t>
      </w:r>
      <w:r w:rsidR="00D402D7" w:rsidRPr="00D402D7">
        <w:rPr>
          <w:rFonts w:ascii="Arial" w:hAnsi="Arial" w:cs="Arial"/>
          <w:sz w:val="24"/>
          <w:szCs w:val="24"/>
        </w:rPr>
        <w:t xml:space="preserve"> </w:t>
      </w:r>
      <w:r w:rsidRPr="009E5EC1">
        <w:rPr>
          <w:rFonts w:ascii="Arial" w:hAnsi="Arial" w:cs="Arial"/>
          <w:sz w:val="24"/>
          <w:szCs w:val="24"/>
        </w:rPr>
        <w:t xml:space="preserve">and </w:t>
      </w:r>
      <w:r w:rsidR="00766298">
        <w:rPr>
          <w:rFonts w:ascii="Arial" w:hAnsi="Arial" w:cs="Arial"/>
          <w:sz w:val="24"/>
          <w:szCs w:val="24"/>
        </w:rPr>
        <w:t xml:space="preserve">notice of the consents for </w:t>
      </w:r>
      <w:r w:rsidR="00500CE6">
        <w:rPr>
          <w:rFonts w:ascii="Arial" w:hAnsi="Arial" w:cs="Arial"/>
          <w:sz w:val="24"/>
          <w:szCs w:val="24"/>
        </w:rPr>
        <w:t>the</w:t>
      </w:r>
      <w:r w:rsidR="00500CE6" w:rsidRPr="00D402D7">
        <w:rPr>
          <w:rFonts w:ascii="Arial" w:hAnsi="Arial" w:cs="Arial"/>
          <w:sz w:val="24"/>
          <w:szCs w:val="24"/>
        </w:rPr>
        <w:t xml:space="preserve"> </w:t>
      </w:r>
      <w:r w:rsidR="009A2F1E">
        <w:rPr>
          <w:rFonts w:ascii="Arial" w:hAnsi="Arial" w:cs="Arial"/>
          <w:sz w:val="24"/>
          <w:szCs w:val="24"/>
        </w:rPr>
        <w:t xml:space="preserve">Hawkins and Seymour </w:t>
      </w:r>
      <w:r w:rsidR="00766298">
        <w:rPr>
          <w:rFonts w:ascii="Arial" w:hAnsi="Arial" w:cs="Arial"/>
          <w:sz w:val="24"/>
          <w:szCs w:val="24"/>
        </w:rPr>
        <w:t xml:space="preserve">fields </w:t>
      </w:r>
      <w:r w:rsidR="00B73E24">
        <w:rPr>
          <w:rFonts w:ascii="Arial" w:hAnsi="Arial" w:cs="Arial"/>
          <w:sz w:val="24"/>
          <w:szCs w:val="24"/>
        </w:rPr>
        <w:t xml:space="preserve">granted </w:t>
      </w:r>
      <w:r w:rsidR="00766298">
        <w:rPr>
          <w:rFonts w:ascii="Arial" w:hAnsi="Arial" w:cs="Arial"/>
          <w:sz w:val="24"/>
          <w:szCs w:val="24"/>
        </w:rPr>
        <w:t>by the Oil and Gas Authority</w:t>
      </w:r>
      <w:r w:rsidR="009127D2">
        <w:rPr>
          <w:rFonts w:ascii="Arial" w:hAnsi="Arial" w:cs="Arial"/>
          <w:sz w:val="24"/>
          <w:szCs w:val="24"/>
        </w:rPr>
        <w:t xml:space="preserve"> (OGA)</w:t>
      </w:r>
      <w:r w:rsidRPr="003D5365">
        <w:rPr>
          <w:rFonts w:ascii="Arial" w:hAnsi="Arial" w:cs="Arial"/>
          <w:sz w:val="24"/>
          <w:szCs w:val="24"/>
        </w:rPr>
        <w:t>.</w:t>
      </w:r>
    </w:p>
    <w:p w14:paraId="5D63ECAA" w14:textId="77777777" w:rsidR="004261A8" w:rsidRPr="003D5365" w:rsidRDefault="004261A8" w:rsidP="009E5EC1">
      <w:pPr>
        <w:spacing w:after="0"/>
        <w:rPr>
          <w:rFonts w:ascii="Arial" w:hAnsi="Arial" w:cs="Arial"/>
          <w:sz w:val="24"/>
          <w:szCs w:val="24"/>
        </w:rPr>
      </w:pPr>
    </w:p>
    <w:p w14:paraId="2481B479" w14:textId="5C6885C7" w:rsidR="000A1717" w:rsidRDefault="000A1717" w:rsidP="004261A8">
      <w:pPr>
        <w:spacing w:after="0"/>
        <w:rPr>
          <w:rFonts w:ascii="Arial" w:hAnsi="Arial" w:cs="Arial"/>
          <w:sz w:val="24"/>
          <w:szCs w:val="24"/>
        </w:rPr>
      </w:pPr>
      <w:r w:rsidRPr="000A1717">
        <w:rPr>
          <w:rFonts w:ascii="Arial" w:hAnsi="Arial" w:cs="Arial"/>
          <w:sz w:val="24"/>
          <w:szCs w:val="24"/>
        </w:rPr>
        <w:t xml:space="preserve">Having regard to the </w:t>
      </w:r>
      <w:r w:rsidR="004261A8">
        <w:rPr>
          <w:rFonts w:ascii="Arial" w:hAnsi="Arial" w:cs="Arial"/>
          <w:sz w:val="24"/>
          <w:szCs w:val="24"/>
        </w:rPr>
        <w:t>E</w:t>
      </w:r>
      <w:r w:rsidRPr="000A1717">
        <w:rPr>
          <w:rFonts w:ascii="Arial" w:hAnsi="Arial" w:cs="Arial"/>
          <w:sz w:val="24"/>
          <w:szCs w:val="24"/>
        </w:rPr>
        <w:t xml:space="preserve">nvironmental </w:t>
      </w:r>
      <w:r w:rsidR="004261A8">
        <w:rPr>
          <w:rFonts w:ascii="Arial" w:hAnsi="Arial" w:cs="Arial"/>
          <w:sz w:val="24"/>
          <w:szCs w:val="24"/>
        </w:rPr>
        <w:t>S</w:t>
      </w:r>
      <w:r w:rsidRPr="000A1717">
        <w:rPr>
          <w:rFonts w:ascii="Arial" w:hAnsi="Arial" w:cs="Arial"/>
          <w:sz w:val="24"/>
          <w:szCs w:val="24"/>
        </w:rPr>
        <w:t xml:space="preserve">tatement </w:t>
      </w:r>
      <w:r w:rsidR="004261A8">
        <w:rPr>
          <w:rFonts w:ascii="Arial" w:hAnsi="Arial" w:cs="Arial"/>
          <w:sz w:val="24"/>
          <w:szCs w:val="24"/>
        </w:rPr>
        <w:t xml:space="preserve">(ES) </w:t>
      </w:r>
      <w:r w:rsidR="00360B1D">
        <w:rPr>
          <w:rFonts w:ascii="Arial" w:hAnsi="Arial" w:cs="Arial"/>
          <w:sz w:val="24"/>
          <w:szCs w:val="24"/>
        </w:rPr>
        <w:t xml:space="preserve">of </w:t>
      </w:r>
      <w:r w:rsidR="00766298">
        <w:rPr>
          <w:rFonts w:ascii="Arial" w:hAnsi="Arial" w:cs="Arial"/>
          <w:sz w:val="24"/>
          <w:szCs w:val="24"/>
        </w:rPr>
        <w:t>3</w:t>
      </w:r>
      <w:r w:rsidR="00766298" w:rsidRPr="00766298">
        <w:rPr>
          <w:rFonts w:ascii="Arial" w:hAnsi="Arial" w:cs="Arial"/>
          <w:sz w:val="24"/>
          <w:szCs w:val="24"/>
          <w:vertAlign w:val="superscript"/>
        </w:rPr>
        <w:t>rd</w:t>
      </w:r>
      <w:r w:rsidR="00766298">
        <w:rPr>
          <w:rFonts w:ascii="Arial" w:hAnsi="Arial" w:cs="Arial"/>
          <w:sz w:val="24"/>
          <w:szCs w:val="24"/>
        </w:rPr>
        <w:t xml:space="preserve"> September 2019</w:t>
      </w:r>
      <w:r w:rsidR="00360B1D">
        <w:rPr>
          <w:rFonts w:ascii="Arial" w:hAnsi="Arial" w:cs="Arial"/>
          <w:sz w:val="24"/>
          <w:szCs w:val="24"/>
        </w:rPr>
        <w:t xml:space="preserve"> </w:t>
      </w:r>
      <w:r w:rsidR="00500CE6">
        <w:rPr>
          <w:rFonts w:ascii="Arial" w:hAnsi="Arial" w:cs="Arial"/>
          <w:sz w:val="24"/>
          <w:szCs w:val="24"/>
        </w:rPr>
        <w:t xml:space="preserve">and the revised ES </w:t>
      </w:r>
      <w:r w:rsidR="00360B1D">
        <w:rPr>
          <w:rFonts w:ascii="Arial" w:hAnsi="Arial" w:cs="Arial"/>
          <w:sz w:val="24"/>
          <w:szCs w:val="24"/>
        </w:rPr>
        <w:t xml:space="preserve">of </w:t>
      </w:r>
      <w:r w:rsidR="00766298">
        <w:rPr>
          <w:rFonts w:ascii="Arial" w:hAnsi="Arial" w:cs="Arial"/>
          <w:sz w:val="24"/>
          <w:szCs w:val="24"/>
        </w:rPr>
        <w:t>18</w:t>
      </w:r>
      <w:r w:rsidR="00766298" w:rsidRPr="00766298">
        <w:rPr>
          <w:rFonts w:ascii="Arial" w:hAnsi="Arial" w:cs="Arial"/>
          <w:sz w:val="24"/>
          <w:szCs w:val="24"/>
          <w:vertAlign w:val="superscript"/>
        </w:rPr>
        <w:t>th</w:t>
      </w:r>
      <w:r w:rsidR="00766298">
        <w:rPr>
          <w:rFonts w:ascii="Arial" w:hAnsi="Arial" w:cs="Arial"/>
          <w:sz w:val="24"/>
          <w:szCs w:val="24"/>
        </w:rPr>
        <w:t xml:space="preserve"> December 2019</w:t>
      </w:r>
      <w:r w:rsidR="00360B1D">
        <w:rPr>
          <w:rFonts w:ascii="Arial" w:hAnsi="Arial" w:cs="Arial"/>
          <w:sz w:val="24"/>
          <w:szCs w:val="24"/>
        </w:rPr>
        <w:t xml:space="preserve"> </w:t>
      </w:r>
      <w:r w:rsidRPr="000A1717">
        <w:rPr>
          <w:rFonts w:ascii="Arial" w:hAnsi="Arial" w:cs="Arial"/>
          <w:sz w:val="24"/>
          <w:szCs w:val="24"/>
        </w:rPr>
        <w:t>submitted under the above Regulations, any information provided under regulation 10 of these Regulations and any representations received</w:t>
      </w:r>
      <w:r w:rsidR="00500CE6">
        <w:rPr>
          <w:rFonts w:ascii="Arial" w:hAnsi="Arial" w:cs="Arial"/>
          <w:sz w:val="24"/>
          <w:szCs w:val="24"/>
        </w:rPr>
        <w:t xml:space="preserve"> from consultees and in response to the public notice</w:t>
      </w:r>
      <w:r w:rsidRPr="000A1717">
        <w:rPr>
          <w:rFonts w:ascii="Arial" w:hAnsi="Arial" w:cs="Arial"/>
          <w:sz w:val="24"/>
          <w:szCs w:val="24"/>
        </w:rPr>
        <w:t>, the Secretary of State has assessed the project as not likely to have a significant effect on the environment and has agreed to the grant of consent</w:t>
      </w:r>
      <w:r w:rsidRPr="008E13CA">
        <w:rPr>
          <w:rFonts w:ascii="Arial" w:hAnsi="Arial" w:cs="Arial"/>
          <w:sz w:val="24"/>
          <w:szCs w:val="24"/>
        </w:rPr>
        <w:t>.</w:t>
      </w:r>
      <w:r w:rsidR="004261A8">
        <w:rPr>
          <w:rFonts w:ascii="Arial" w:hAnsi="Arial" w:cs="Arial"/>
          <w:sz w:val="24"/>
          <w:szCs w:val="24"/>
        </w:rPr>
        <w:t xml:space="preserve">  A summary of the Secretary of State’s decision </w:t>
      </w:r>
      <w:r w:rsidR="00500CE6">
        <w:rPr>
          <w:rFonts w:ascii="Arial" w:hAnsi="Arial" w:cs="Arial"/>
          <w:sz w:val="24"/>
          <w:szCs w:val="24"/>
        </w:rPr>
        <w:t xml:space="preserve">and the </w:t>
      </w:r>
      <w:r w:rsidR="006C0EF4">
        <w:rPr>
          <w:rFonts w:ascii="Arial" w:hAnsi="Arial" w:cs="Arial"/>
          <w:sz w:val="24"/>
          <w:szCs w:val="24"/>
        </w:rPr>
        <w:t xml:space="preserve">relevant consents </w:t>
      </w:r>
      <w:r w:rsidR="00B73E24">
        <w:rPr>
          <w:rFonts w:ascii="Arial" w:hAnsi="Arial" w:cs="Arial"/>
          <w:sz w:val="24"/>
          <w:szCs w:val="24"/>
        </w:rPr>
        <w:t xml:space="preserve">granted </w:t>
      </w:r>
      <w:r w:rsidR="006C0EF4">
        <w:rPr>
          <w:rFonts w:ascii="Arial" w:hAnsi="Arial" w:cs="Arial"/>
          <w:sz w:val="24"/>
          <w:szCs w:val="24"/>
        </w:rPr>
        <w:t xml:space="preserve">by the </w:t>
      </w:r>
      <w:r w:rsidR="009127D2">
        <w:rPr>
          <w:rFonts w:ascii="Arial" w:hAnsi="Arial" w:cs="Arial"/>
          <w:sz w:val="24"/>
          <w:szCs w:val="24"/>
        </w:rPr>
        <w:t>OGA</w:t>
      </w:r>
      <w:r w:rsidR="00500CE6">
        <w:rPr>
          <w:rFonts w:ascii="Arial" w:hAnsi="Arial" w:cs="Arial"/>
          <w:sz w:val="24"/>
          <w:szCs w:val="24"/>
        </w:rPr>
        <w:t xml:space="preserve"> </w:t>
      </w:r>
      <w:r w:rsidR="004261A8">
        <w:rPr>
          <w:rFonts w:ascii="Arial" w:hAnsi="Arial" w:cs="Arial"/>
          <w:sz w:val="24"/>
          <w:szCs w:val="24"/>
        </w:rPr>
        <w:t xml:space="preserve">is detailed below. </w:t>
      </w:r>
    </w:p>
    <w:p w14:paraId="5995582F" w14:textId="77777777" w:rsidR="004261A8" w:rsidRPr="008E13CA" w:rsidRDefault="004261A8" w:rsidP="009E5EC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614"/>
        <w:gridCol w:w="2213"/>
        <w:gridCol w:w="992"/>
        <w:gridCol w:w="1418"/>
        <w:gridCol w:w="1567"/>
        <w:tblGridChange w:id="0">
          <w:tblGrid>
            <w:gridCol w:w="1410"/>
            <w:gridCol w:w="1614"/>
            <w:gridCol w:w="2213"/>
            <w:gridCol w:w="992"/>
            <w:gridCol w:w="1418"/>
            <w:gridCol w:w="1567"/>
          </w:tblGrid>
        </w:tblGridChange>
      </w:tblGrid>
      <w:tr w:rsidR="00467D9F" w:rsidRPr="00A2499A" w14:paraId="3EB905BD" w14:textId="61600963" w:rsidTr="00A8020D">
        <w:trPr>
          <w:trHeight w:val="45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BF103" w14:textId="77777777" w:rsidR="00D36336" w:rsidRPr="00A2499A" w:rsidRDefault="00D36336" w:rsidP="00A249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Reference</w:t>
            </w:r>
            <w:r w:rsidRPr="00A24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9F174" w14:textId="77777777" w:rsidR="00D36336" w:rsidRPr="00A2499A" w:rsidRDefault="00D36336" w:rsidP="00A249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Operator</w:t>
            </w:r>
            <w:r w:rsidRPr="00A24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0E885" w14:textId="77777777" w:rsidR="00D36336" w:rsidRPr="00A2499A" w:rsidRDefault="00D36336" w:rsidP="00A249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Project Name</w:t>
            </w:r>
            <w:r w:rsidRPr="00A24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54069" w14:textId="77777777" w:rsidR="00D36336" w:rsidRPr="00A2499A" w:rsidRDefault="00D36336" w:rsidP="00A249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Quad / Block</w:t>
            </w:r>
            <w:r w:rsidRPr="00A24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4CCFE" w14:textId="1B7E631A" w:rsidR="00D36336" w:rsidRPr="00A2499A" w:rsidRDefault="00D36336" w:rsidP="00A2499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Agreement </w:t>
            </w:r>
            <w:r w:rsidRPr="00A24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Decision Issued</w:t>
            </w:r>
            <w:r w:rsidRPr="00A24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1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6FB7D37" w14:textId="6F7AB161" w:rsidR="00467D9F" w:rsidRDefault="00C744EB" w:rsidP="00467D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OGA</w:t>
            </w:r>
          </w:p>
          <w:p w14:paraId="3C55176C" w14:textId="18FF62ED" w:rsidR="00D36336" w:rsidRDefault="00D36336" w:rsidP="00467D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Consent </w:t>
            </w:r>
            <w:r w:rsidR="00B73E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Granted</w:t>
            </w:r>
          </w:p>
        </w:tc>
      </w:tr>
      <w:tr w:rsidR="00467D9F" w:rsidRPr="00A2499A" w14:paraId="028B300D" w14:textId="4499B14D" w:rsidTr="00A8020D">
        <w:trPr>
          <w:trHeight w:val="40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B917" w14:textId="76F45CE6" w:rsidR="00D36336" w:rsidRDefault="00D36336" w:rsidP="00A8020D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249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D/</w:t>
            </w:r>
            <w:r w:rsidR="000C62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4238/2019</w:t>
            </w:r>
          </w:p>
          <w:p w14:paraId="5B1DF8DA" w14:textId="69A28946" w:rsidR="00D36336" w:rsidRPr="00A2499A" w:rsidRDefault="00D36336" w:rsidP="00A8020D">
            <w:pPr>
              <w:spacing w:after="0" w:line="240" w:lineRule="auto"/>
              <w:ind w:left="57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B131" w14:textId="0D93D4D6" w:rsidR="00D36336" w:rsidRPr="000648C0" w:rsidRDefault="000C6298" w:rsidP="00A8020D">
            <w:pPr>
              <w:spacing w:after="0" w:line="240" w:lineRule="auto"/>
              <w:ind w:left="57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Chrysaor North Sea Limited</w:t>
            </w:r>
            <w:r w:rsidR="00D36336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126" w14:textId="643FC4A8" w:rsidR="00D36336" w:rsidRPr="000648C0" w:rsidRDefault="000C6298" w:rsidP="00A8020D">
            <w:pPr>
              <w:spacing w:after="0" w:line="240" w:lineRule="auto"/>
              <w:ind w:left="57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Hawkins and Seymour </w:t>
            </w:r>
            <w:r w:rsidR="00C67C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Fields P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roduction </w:t>
            </w:r>
            <w:r w:rsidR="00C67C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ncrease</w:t>
            </w:r>
            <w:r w:rsidR="00D36336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C288" w14:textId="1030B51C" w:rsidR="00D36336" w:rsidRPr="000648C0" w:rsidRDefault="000C6298" w:rsidP="00A8020D">
            <w:pPr>
              <w:spacing w:after="0" w:line="240" w:lineRule="auto"/>
              <w:ind w:left="57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22/5b</w:t>
            </w:r>
            <w:r w:rsidR="00D36336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9B78" w14:textId="588C546B" w:rsidR="00D36336" w:rsidRPr="00AB70D4" w:rsidRDefault="008E5FC0" w:rsidP="00A8020D">
            <w:pPr>
              <w:spacing w:after="0" w:line="240" w:lineRule="auto"/>
              <w:ind w:left="57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B7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7E7AEC" w:rsidRPr="00AB7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9214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February </w:t>
            </w:r>
            <w:r w:rsidR="007E7AEC" w:rsidRPr="00AB7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2020</w:t>
            </w:r>
            <w:r w:rsidR="00D36336" w:rsidRPr="00AB7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95A" w14:textId="429DF00D" w:rsidR="00F349CE" w:rsidRPr="00AB70D4" w:rsidRDefault="00914D11" w:rsidP="00A8020D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7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7E7AEC" w:rsidRPr="00AB7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D500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7D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  <w:r w:rsidR="009214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7E7AEC" w:rsidRPr="00AB70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2020</w:t>
            </w:r>
          </w:p>
        </w:tc>
      </w:tr>
      <w:tr w:rsidR="000C6298" w:rsidRPr="00A2499A" w14:paraId="34F402CC" w14:textId="77777777" w:rsidTr="00467D9F">
        <w:trPr>
          <w:trHeight w:val="40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0737" w14:textId="703AD1ED" w:rsidR="0027569E" w:rsidRPr="000648C0" w:rsidRDefault="00B73E24" w:rsidP="00A2499A">
            <w:pPr>
              <w:spacing w:after="0" w:line="240" w:lineRule="auto"/>
              <w:ind w:left="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OGA </w:t>
            </w:r>
            <w:r w:rsidR="00060B85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Consent Details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47C9" w14:textId="33067174" w:rsidR="00C074AD" w:rsidRDefault="00C074AD" w:rsidP="00467D9F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Consent for the further development of the Seymour field (revised development and production consent) (Licence P.356) and revised production consent for the Hawkins field (P66, P110, P356).</w:t>
            </w:r>
          </w:p>
          <w:p w14:paraId="46E9A766" w14:textId="2DDD079F" w:rsidR="005C6060" w:rsidRPr="000648C0" w:rsidRDefault="005C6060" w:rsidP="00467D9F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="000A30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OGA </w:t>
            </w:r>
            <w:r w:rsidR="00027B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received</w:t>
            </w:r>
            <w:r w:rsidR="000A30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Seymour Field Development </w:t>
            </w:r>
            <w:r w:rsidR="00A2463A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Plan 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Addendum</w:t>
            </w:r>
            <w:r w:rsidR="002132E9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(FDPA)</w:t>
            </w:r>
            <w:r w:rsidR="000A30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relating to </w:t>
            </w:r>
            <w:r w:rsidR="00354D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development of the Seymour Horst formation </w:t>
            </w:r>
            <w:r w:rsidR="000648C0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via an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extended reach development well </w:t>
            </w:r>
            <w:r w:rsidR="00A2463A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(22/05b-A14) </w:t>
            </w:r>
            <w:r w:rsidR="000E0E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drilled from the Armada platform</w:t>
            </w:r>
            <w:r w:rsidR="00354D1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="00027B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OGA has </w:t>
            </w:r>
            <w:r w:rsidR="00B73E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granted </w:t>
            </w:r>
            <w:r w:rsidR="00027B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revised consent</w:t>
            </w:r>
            <w:r w:rsidR="008E5F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027B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the development and </w:t>
            </w:r>
            <w:r w:rsidR="008E5F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="00027B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consequent increase in production</w:t>
            </w:r>
            <w:r w:rsidR="002132E9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4293A37E" w14:textId="137A2905" w:rsidR="0027569E" w:rsidRPr="000648C0" w:rsidRDefault="000E0E61" w:rsidP="00467D9F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OGA has also </w:t>
            </w:r>
            <w:r w:rsidR="00B73E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granted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revised consent for </w:t>
            </w:r>
            <w:r w:rsidR="002C4F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 </w:t>
            </w:r>
            <w:r w:rsidR="002132E9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increase </w:t>
            </w:r>
            <w:r w:rsidR="002C4F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</w:t>
            </w:r>
            <w:r w:rsidR="002132E9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production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from the Hawkins Field, relating to </w:t>
            </w:r>
            <w:r w:rsidR="002132E9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drilling 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3A3A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 infill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development well (</w:t>
            </w:r>
            <w:r w:rsidR="00A2463A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22/05b-A13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drilled from </w:t>
            </w:r>
            <w:r w:rsidR="00A2463A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Armada platform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targeting the Hawkins reservoir</w:t>
            </w:r>
            <w:r w:rsidR="00A2463A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0C6298" w:rsidRPr="00A2499A" w14:paraId="00F1553F" w14:textId="77777777" w:rsidTr="00467D9F">
        <w:trPr>
          <w:trHeight w:val="40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0A50" w14:textId="032EDE7F" w:rsidR="000A08C6" w:rsidRDefault="000A08C6" w:rsidP="00A2499A">
            <w:pPr>
              <w:spacing w:after="0" w:line="240" w:lineRule="auto"/>
              <w:ind w:left="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Contents of the regulation 5A decision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5E74" w14:textId="50845884" w:rsidR="000A08C6" w:rsidRPr="000648C0" w:rsidRDefault="008E6C44" w:rsidP="00467D9F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Following review of the E</w:t>
            </w:r>
            <w:r w:rsidR="00EA0CD3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360B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</w:t>
            </w:r>
            <w:r w:rsidR="007662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766298" w:rsidRPr="002C4F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rd</w:t>
            </w:r>
            <w:r w:rsidR="007662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September 2019</w:t>
            </w:r>
            <w:r w:rsidR="00360B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 </w:t>
            </w:r>
            <w:r w:rsidR="00653A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="003806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proposed </w:t>
            </w:r>
            <w:r w:rsidR="00EA0CD3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production increase</w:t>
            </w:r>
            <w:r w:rsidR="00653A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EA0CD3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</w:t>
            </w:r>
            <w:r w:rsidR="00653A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Hawkins and Seymour fields and </w:t>
            </w:r>
            <w:r w:rsidR="00653A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comments received from consultees</w:t>
            </w:r>
            <w:r w:rsidR="00653A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653ABF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Chrysaor North Sea Limited </w:t>
            </w:r>
            <w:r w:rsidR="00653A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(Chrysaor) was requested to provide 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additional information </w:t>
            </w:r>
            <w:r w:rsidR="00653A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elected to submit </w:t>
            </w:r>
            <w:r w:rsidR="00C074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revised</w:t>
            </w:r>
            <w:r w:rsidR="00653A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ES</w:t>
            </w:r>
            <w:r w:rsidR="00DC61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(which was subject to further public notice)</w:t>
            </w:r>
            <w:r w:rsidR="00653A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 Following review of that </w:t>
            </w:r>
            <w:r w:rsidR="00360B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revised ES</w:t>
            </w:r>
            <w:r w:rsidR="00653A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Secretary of State </w:t>
            </w:r>
            <w:r w:rsidR="00653A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was content to approve the ES and to </w:t>
            </w:r>
            <w:r w:rsidR="00360B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agree </w:t>
            </w:r>
            <w:r w:rsidR="00653A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the </w:t>
            </w:r>
            <w:r w:rsidR="002C4F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OGA </w:t>
            </w:r>
            <w:r w:rsidR="00B73E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granting </w:t>
            </w:r>
            <w:r w:rsidR="00653A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necessary 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consents.</w:t>
            </w:r>
          </w:p>
        </w:tc>
      </w:tr>
      <w:tr w:rsidR="000C6298" w:rsidRPr="00A2499A" w14:paraId="4A487C22" w14:textId="77777777" w:rsidTr="00467D9F">
        <w:trPr>
          <w:trHeight w:val="40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B093" w14:textId="6647611A" w:rsidR="000750B1" w:rsidRPr="00A2499A" w:rsidRDefault="000058B3" w:rsidP="00A2499A">
            <w:pPr>
              <w:spacing w:after="0" w:line="240" w:lineRule="auto"/>
              <w:ind w:left="45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Main reasons and considerations on which the</w:t>
            </w:r>
            <w:r w:rsidR="003806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3B5E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</w:t>
            </w:r>
            <w:r w:rsidR="000A08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ulation</w:t>
            </w:r>
            <w:r w:rsidR="003B5E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5A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decision is based</w:t>
            </w:r>
            <w:r w:rsidR="006421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40E0" w14:textId="07467DE9" w:rsidR="00C67CAC" w:rsidRDefault="00EA0CD3" w:rsidP="00467D9F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ES identified increase</w:t>
            </w:r>
            <w:r w:rsidR="003806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0648C0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atmospheric emissions</w:t>
            </w:r>
            <w:r w:rsidR="003806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chemical use and discharge</w:t>
            </w:r>
            <w:r w:rsidR="003806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produced water discharge and the probability of an accidental hydrocarbon spill as having the potential to result in a likely effect on the environment.</w:t>
            </w:r>
          </w:p>
          <w:p w14:paraId="7C50FEB6" w14:textId="36590FAA" w:rsidR="000750B1" w:rsidRPr="000648C0" w:rsidRDefault="00027B62" w:rsidP="00467D9F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</w:t>
            </w:r>
            <w:r w:rsidR="00EA0CD3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nvironmental sensitivities </w:t>
            </w:r>
            <w:r w:rsidR="00C67C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potential impacts </w:t>
            </w:r>
            <w:r w:rsidR="00EA0CD3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were adequately </w:t>
            </w:r>
            <w:r w:rsidR="009F78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discussed and assessed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revised ES</w:t>
            </w:r>
            <w:r w:rsidR="009F78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C67C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t</w:t>
            </w:r>
            <w:r w:rsidR="008E6C44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 Secretary of State is satisfied that the project will not have a significant adverse impact on the receiving environment</w:t>
            </w:r>
            <w:r w:rsidR="00C67C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8E6C44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living resources it supports, any protected habitats or species or </w:t>
            </w:r>
            <w:r w:rsidR="00C67C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other </w:t>
            </w:r>
            <w:r w:rsidR="008E6C44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users of the sea.</w:t>
            </w:r>
          </w:p>
        </w:tc>
      </w:tr>
      <w:tr w:rsidR="000C6298" w:rsidRPr="00A2499A" w14:paraId="0426DBE1" w14:textId="77777777" w:rsidTr="00467D9F">
        <w:trPr>
          <w:trHeight w:val="40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7EBD" w14:textId="3389CD49" w:rsidR="00A16446" w:rsidRPr="000750B1" w:rsidRDefault="00C37311" w:rsidP="00A2499A">
            <w:pPr>
              <w:spacing w:after="0" w:line="240" w:lineRule="auto"/>
              <w:ind w:left="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373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Summary of representations received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1FE8" w14:textId="42792EC0" w:rsidR="00A16446" w:rsidRPr="000648C0" w:rsidRDefault="00596F64" w:rsidP="00467D9F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Responses </w:t>
            </w:r>
            <w:r w:rsidR="009D09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</w:t>
            </w:r>
            <w:r w:rsidR="006847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ES </w:t>
            </w:r>
            <w:r w:rsidR="002C4F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3</w:t>
            </w:r>
            <w:r w:rsidR="002C4FE7" w:rsidRPr="002C4F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rd</w:t>
            </w:r>
            <w:r w:rsidR="002C4F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September 2019 </w:t>
            </w:r>
            <w:r w:rsidR="009D09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were received from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749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Joint Nature Conservation Committee</w:t>
            </w:r>
            <w:r w:rsidR="003806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Marine Scotland</w:t>
            </w:r>
            <w:r w:rsidR="003806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Scottish Environmental Protection Agency</w:t>
            </w:r>
            <w:r w:rsidR="003806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Mari</w:t>
            </w:r>
            <w:r w:rsidR="00C67C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Coastguard Agency</w:t>
            </w:r>
            <w:r w:rsidR="003806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Ministry of Defence </w:t>
            </w:r>
            <w:r w:rsidR="000648C0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Infrastructure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Organisation</w:t>
            </w:r>
            <w:r w:rsidR="00C67C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Northern Lighthouse Board</w:t>
            </w:r>
            <w:r w:rsidR="00C67C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F78E0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Scottish Natural Heritage</w:t>
            </w:r>
            <w:r w:rsidR="009F78E0" w:rsidRPr="000648C0" w:rsidDel="009F78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F78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Norwegian Climate and Pollution Agency</w:t>
            </w:r>
            <w:r w:rsidR="009F78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3806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were </w:t>
            </w:r>
            <w:r w:rsidR="006353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also consulted but </w:t>
            </w:r>
            <w:r w:rsidR="009F78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 not submit any comments on the proposals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The ES was </w:t>
            </w:r>
            <w:r w:rsidR="009F78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also 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subject to public notice </w:t>
            </w:r>
            <w:r w:rsidR="009F78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two interested parties requested 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copies </w:t>
            </w:r>
            <w:r w:rsidR="009F78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the ES, but they did not submit any comments on the proposals.</w:t>
            </w:r>
            <w:r w:rsidR="00B460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6353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004B00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 representations </w:t>
            </w:r>
            <w:r w:rsidR="006353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against the proposals were received</w:t>
            </w:r>
            <w:r w:rsidR="004B00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0C6298" w:rsidRPr="00A2499A" w14:paraId="51AF109F" w14:textId="77777777" w:rsidTr="00467D9F">
        <w:trPr>
          <w:trHeight w:val="40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32CC" w14:textId="78713D4E" w:rsidR="00040FB5" w:rsidRPr="00C37311" w:rsidRDefault="00867876" w:rsidP="00A2499A">
            <w:pPr>
              <w:spacing w:after="0" w:line="240" w:lineRule="auto"/>
              <w:ind w:left="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Details of how </w:t>
            </w:r>
            <w:r w:rsidR="00E616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representations received were </w:t>
            </w:r>
            <w:proofErr w:type="gramStart"/>
            <w:r w:rsidR="00750E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taken into account</w:t>
            </w:r>
            <w:proofErr w:type="gramEnd"/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C8E8" w14:textId="1FE08013" w:rsidR="00040FB5" w:rsidRPr="000648C0" w:rsidRDefault="00653ABF" w:rsidP="00467D9F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Comments on the ES </w:t>
            </w:r>
            <w:r w:rsidR="002C4F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3</w:t>
            </w:r>
            <w:r w:rsidR="002C4FE7" w:rsidRPr="002C4F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rd</w:t>
            </w:r>
            <w:r w:rsidR="002C4F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September 2019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were forwarded</w:t>
            </w:r>
            <w:r w:rsidR="004B00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Chrysaor</w:t>
            </w:r>
            <w:r w:rsidR="000A30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were addressed in a </w:t>
            </w:r>
            <w:r w:rsidR="002C4F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revised</w:t>
            </w:r>
            <w:r w:rsidR="000A30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ES </w:t>
            </w:r>
            <w:r w:rsidR="004B00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which </w:t>
            </w:r>
            <w:r w:rsidR="000A30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was subject to </w:t>
            </w:r>
            <w:r w:rsidR="0063536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repeat of the</w:t>
            </w:r>
            <w:r w:rsidR="000A30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consultation and a new public notice. </w:t>
            </w:r>
            <w:r w:rsidR="004B00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 </w:t>
            </w:r>
            <w:r w:rsidR="004D75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representations against the proposals were received, and the Secretary of State was content that all </w:t>
            </w:r>
            <w:r w:rsidR="00C545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previous </w:t>
            </w:r>
            <w:r w:rsidR="004D75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comments had been addressed</w:t>
            </w:r>
            <w:r w:rsidR="004B00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by the developer.</w:t>
            </w:r>
          </w:p>
        </w:tc>
      </w:tr>
      <w:tr w:rsidR="000C6298" w:rsidRPr="00A2499A" w14:paraId="105478A8" w14:textId="77777777" w:rsidTr="00467D9F">
        <w:trPr>
          <w:trHeight w:val="40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191C" w14:textId="13780475" w:rsidR="000750B1" w:rsidRPr="000750B1" w:rsidRDefault="007C601F" w:rsidP="00A2499A">
            <w:pPr>
              <w:spacing w:after="0" w:line="240" w:lineRule="auto"/>
              <w:ind w:left="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Any </w:t>
            </w:r>
            <w:r w:rsidR="00C373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="00D858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nvironmental </w:t>
            </w:r>
            <w:r w:rsidR="00C373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="00D858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onditions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13C0" w14:textId="0044A689" w:rsidR="000750B1" w:rsidRPr="000648C0" w:rsidRDefault="004C1F22" w:rsidP="00467D9F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 </w:t>
            </w:r>
            <w:r w:rsidR="009F78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environmental 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conditions </w:t>
            </w:r>
            <w:r w:rsidR="009F78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were attached to the </w:t>
            </w:r>
            <w:r w:rsidR="0099101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agreement </w:t>
            </w:r>
            <w:r w:rsidR="008E5F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the OGA </w:t>
            </w:r>
            <w:r w:rsidR="00B73E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granting </w:t>
            </w:r>
            <w:r w:rsidR="008E5F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necessary consents.</w:t>
            </w:r>
          </w:p>
        </w:tc>
      </w:tr>
      <w:tr w:rsidR="000C6298" w:rsidRPr="00A2499A" w14:paraId="05B57F49" w14:textId="77777777" w:rsidTr="00467D9F">
        <w:trPr>
          <w:trHeight w:val="40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75F5" w14:textId="4E20895F" w:rsidR="00D858C4" w:rsidRDefault="007B6DC1" w:rsidP="00A2499A">
            <w:pPr>
              <w:spacing w:after="0" w:line="240" w:lineRule="auto"/>
              <w:ind w:left="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Any mitigation measure</w:t>
            </w:r>
            <w:r w:rsidR="005E72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or features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FE10" w14:textId="1E4A184D" w:rsidR="00D858C4" w:rsidRPr="000648C0" w:rsidRDefault="008E5FC0" w:rsidP="00467D9F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proposals </w:t>
            </w:r>
            <w:r w:rsidR="003071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 be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undertaken in line with best industry practice and in accordance with existing permit conditions and the commitments detailed in the ES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713C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C1F22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 significant </w:t>
            </w:r>
            <w:r w:rsidR="000648C0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adverse impacts</w:t>
            </w:r>
            <w:r w:rsidR="004C1F22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anticipated that would warrant </w:t>
            </w:r>
            <w:r w:rsidR="004412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</w:t>
            </w:r>
            <w:r w:rsidR="00441202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C1F22"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mitigation measures. </w:t>
            </w:r>
          </w:p>
        </w:tc>
      </w:tr>
      <w:tr w:rsidR="000C6298" w:rsidRPr="00A2499A" w14:paraId="2293E0E8" w14:textId="77777777" w:rsidTr="00467D9F">
        <w:trPr>
          <w:trHeight w:val="40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1EA1" w14:textId="4DAD18A1" w:rsidR="00976C4F" w:rsidRDefault="007C601F" w:rsidP="00A2499A">
            <w:pPr>
              <w:spacing w:after="0" w:line="240" w:lineRule="auto"/>
              <w:ind w:left="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Any monitoring conditions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ACED" w14:textId="763BCB5F" w:rsidR="00976C4F" w:rsidRPr="000648C0" w:rsidRDefault="004C1F22" w:rsidP="00467D9F">
            <w:pPr>
              <w:spacing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 significant adverse impacts are anticipated that would warrant </w:t>
            </w:r>
            <w:r w:rsidR="009F78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additional </w:t>
            </w:r>
            <w:r w:rsidRPr="000648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monitoring conditions.</w:t>
            </w:r>
          </w:p>
        </w:tc>
      </w:tr>
    </w:tbl>
    <w:p w14:paraId="11369D79" w14:textId="77777777" w:rsidR="004261A8" w:rsidRDefault="004261A8" w:rsidP="009E5EC1">
      <w:pPr>
        <w:spacing w:after="0"/>
        <w:rPr>
          <w:rFonts w:ascii="Arial" w:hAnsi="Arial" w:cs="Arial"/>
          <w:sz w:val="24"/>
          <w:szCs w:val="24"/>
        </w:rPr>
      </w:pPr>
    </w:p>
    <w:p w14:paraId="390CF045" w14:textId="05076E89" w:rsidR="004261A8" w:rsidRDefault="00441202" w:rsidP="009E5E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in relation to the</w:t>
      </w:r>
      <w:r w:rsidR="004261A8" w:rsidRPr="00D32B35">
        <w:rPr>
          <w:rFonts w:ascii="Arial" w:hAnsi="Arial" w:cs="Arial"/>
          <w:sz w:val="24"/>
          <w:szCs w:val="24"/>
        </w:rPr>
        <w:t xml:space="preserve"> ES decision</w:t>
      </w:r>
      <w:r w:rsidR="00A41485">
        <w:rPr>
          <w:rFonts w:ascii="Arial" w:hAnsi="Arial" w:cs="Arial"/>
          <w:sz w:val="24"/>
          <w:szCs w:val="24"/>
        </w:rPr>
        <w:t xml:space="preserve"> and </w:t>
      </w:r>
      <w:r w:rsidR="00750EE4">
        <w:rPr>
          <w:rFonts w:ascii="Arial" w:hAnsi="Arial" w:cs="Arial"/>
          <w:sz w:val="24"/>
          <w:szCs w:val="24"/>
        </w:rPr>
        <w:t xml:space="preserve">a copy of this </w:t>
      </w:r>
      <w:r w:rsidR="00A41485">
        <w:rPr>
          <w:rFonts w:ascii="Arial" w:hAnsi="Arial" w:cs="Arial"/>
          <w:sz w:val="24"/>
          <w:szCs w:val="24"/>
        </w:rPr>
        <w:t>notice</w:t>
      </w:r>
      <w:r w:rsidR="004261A8" w:rsidRPr="00D32B35">
        <w:rPr>
          <w:rFonts w:ascii="Arial" w:hAnsi="Arial" w:cs="Arial"/>
          <w:sz w:val="24"/>
          <w:szCs w:val="24"/>
        </w:rPr>
        <w:t xml:space="preserve"> can be found at </w:t>
      </w:r>
      <w:hyperlink r:id="rId10" w:history="1">
        <w:r w:rsidR="004261A8" w:rsidRPr="00D32B35">
          <w:rPr>
            <w:rStyle w:val="Hyperlink"/>
            <w:rFonts w:ascii="Arial" w:hAnsi="Arial" w:cs="Arial"/>
            <w:color w:val="auto"/>
            <w:sz w:val="24"/>
            <w:szCs w:val="24"/>
          </w:rPr>
          <w:t>https://www.gov.uk/guidance/oil-and-gas-environmental-statements-reviewed</w:t>
        </w:r>
      </w:hyperlink>
      <w:r w:rsidR="004261A8" w:rsidRPr="00D32B35">
        <w:rPr>
          <w:rFonts w:ascii="Arial" w:hAnsi="Arial" w:cs="Arial"/>
          <w:sz w:val="24"/>
          <w:szCs w:val="24"/>
        </w:rPr>
        <w:t>.</w:t>
      </w:r>
    </w:p>
    <w:p w14:paraId="7E3D1BDA" w14:textId="77777777" w:rsidR="004261A8" w:rsidRDefault="004261A8" w:rsidP="004261A8">
      <w:pPr>
        <w:spacing w:after="0"/>
        <w:rPr>
          <w:rFonts w:ascii="Arial" w:hAnsi="Arial" w:cs="Arial"/>
          <w:sz w:val="24"/>
          <w:szCs w:val="24"/>
        </w:rPr>
      </w:pPr>
    </w:p>
    <w:p w14:paraId="00EB1EB2" w14:textId="66A567AB" w:rsidR="00DB7FCB" w:rsidRDefault="00933DF3" w:rsidP="009E5E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B14EB">
        <w:rPr>
          <w:rFonts w:ascii="Arial" w:hAnsi="Arial" w:cs="Arial"/>
          <w:sz w:val="24"/>
          <w:szCs w:val="24"/>
        </w:rPr>
        <w:t xml:space="preserve">ny person aggrieved by the grant of consent </w:t>
      </w:r>
      <w:r>
        <w:rPr>
          <w:rFonts w:ascii="Arial" w:hAnsi="Arial" w:cs="Arial"/>
          <w:sz w:val="24"/>
          <w:szCs w:val="24"/>
        </w:rPr>
        <w:t>ca</w:t>
      </w:r>
      <w:r w:rsidRPr="0057236E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apply </w:t>
      </w:r>
      <w:r w:rsidRPr="0057236E">
        <w:rPr>
          <w:rFonts w:ascii="Arial" w:hAnsi="Arial" w:cs="Arial"/>
          <w:sz w:val="24"/>
          <w:szCs w:val="24"/>
        </w:rPr>
        <w:t xml:space="preserve">to the court under regulation </w:t>
      </w:r>
      <w:r>
        <w:rPr>
          <w:rFonts w:ascii="Arial" w:hAnsi="Arial" w:cs="Arial"/>
          <w:sz w:val="24"/>
          <w:szCs w:val="24"/>
        </w:rPr>
        <w:t>16</w:t>
      </w:r>
      <w:r w:rsidR="004261A8">
        <w:rPr>
          <w:rFonts w:ascii="Arial" w:hAnsi="Arial" w:cs="Arial"/>
          <w:sz w:val="24"/>
          <w:szCs w:val="24"/>
        </w:rPr>
        <w:t xml:space="preserve"> of the above Regulations</w:t>
      </w:r>
      <w:r>
        <w:rPr>
          <w:rFonts w:ascii="Arial" w:hAnsi="Arial" w:cs="Arial"/>
          <w:sz w:val="24"/>
          <w:szCs w:val="24"/>
        </w:rPr>
        <w:t>.</w:t>
      </w:r>
      <w:r w:rsidR="00BD2903">
        <w:rPr>
          <w:rFonts w:ascii="Arial" w:hAnsi="Arial" w:cs="Arial"/>
          <w:sz w:val="24"/>
          <w:szCs w:val="24"/>
        </w:rPr>
        <w:t xml:space="preserve">  The </w:t>
      </w:r>
      <w:r w:rsidR="00083FDC">
        <w:rPr>
          <w:rFonts w:ascii="Arial" w:hAnsi="Arial" w:cs="Arial"/>
          <w:sz w:val="24"/>
          <w:szCs w:val="24"/>
        </w:rPr>
        <w:t xml:space="preserve">court may grant an order </w:t>
      </w:r>
      <w:r w:rsidR="0093666A">
        <w:rPr>
          <w:rFonts w:ascii="Arial" w:hAnsi="Arial" w:cs="Arial"/>
          <w:sz w:val="24"/>
          <w:szCs w:val="24"/>
        </w:rPr>
        <w:t xml:space="preserve">quashing the grant of consent where it is satisfied that the consent granted was in contravention of </w:t>
      </w:r>
      <w:r w:rsidR="00441202">
        <w:rPr>
          <w:rFonts w:ascii="Arial" w:hAnsi="Arial" w:cs="Arial"/>
          <w:sz w:val="24"/>
          <w:szCs w:val="24"/>
        </w:rPr>
        <w:t xml:space="preserve">the requirements </w:t>
      </w:r>
      <w:r w:rsidR="00B94C03">
        <w:rPr>
          <w:rFonts w:ascii="Arial" w:hAnsi="Arial" w:cs="Arial"/>
          <w:sz w:val="24"/>
          <w:szCs w:val="24"/>
        </w:rPr>
        <w:t>of the above Regulations (consideration of environmental sta</w:t>
      </w:r>
      <w:r w:rsidR="007E00FA">
        <w:rPr>
          <w:rFonts w:ascii="Arial" w:hAnsi="Arial" w:cs="Arial"/>
          <w:sz w:val="24"/>
          <w:szCs w:val="24"/>
        </w:rPr>
        <w:t>te</w:t>
      </w:r>
      <w:r w:rsidR="00B94C03">
        <w:rPr>
          <w:rFonts w:ascii="Arial" w:hAnsi="Arial" w:cs="Arial"/>
          <w:sz w:val="24"/>
          <w:szCs w:val="24"/>
        </w:rPr>
        <w:t>men</w:t>
      </w:r>
      <w:r w:rsidR="007E00FA">
        <w:rPr>
          <w:rFonts w:ascii="Arial" w:hAnsi="Arial" w:cs="Arial"/>
          <w:sz w:val="24"/>
          <w:szCs w:val="24"/>
        </w:rPr>
        <w:t>t</w:t>
      </w:r>
      <w:r w:rsidR="00B94C03">
        <w:rPr>
          <w:rFonts w:ascii="Arial" w:hAnsi="Arial" w:cs="Arial"/>
          <w:sz w:val="24"/>
          <w:szCs w:val="24"/>
        </w:rPr>
        <w:t xml:space="preserve"> etc</w:t>
      </w:r>
      <w:r w:rsidR="007E00FA">
        <w:rPr>
          <w:rFonts w:ascii="Arial" w:hAnsi="Arial" w:cs="Arial"/>
          <w:sz w:val="24"/>
          <w:szCs w:val="24"/>
        </w:rPr>
        <w:t>.</w:t>
      </w:r>
      <w:r w:rsidR="00B94C03">
        <w:rPr>
          <w:rFonts w:ascii="Arial" w:hAnsi="Arial" w:cs="Arial"/>
          <w:sz w:val="24"/>
          <w:szCs w:val="24"/>
        </w:rPr>
        <w:t>) or that the interests of the applicant have been substantially prejudiced by any failure to co</w:t>
      </w:r>
      <w:r w:rsidR="00111878">
        <w:rPr>
          <w:rFonts w:ascii="Arial" w:hAnsi="Arial" w:cs="Arial"/>
          <w:sz w:val="24"/>
          <w:szCs w:val="24"/>
        </w:rPr>
        <w:t>m</w:t>
      </w:r>
      <w:r w:rsidR="00B94C03">
        <w:rPr>
          <w:rFonts w:ascii="Arial" w:hAnsi="Arial" w:cs="Arial"/>
          <w:sz w:val="24"/>
          <w:szCs w:val="24"/>
        </w:rPr>
        <w:t xml:space="preserve">ply with any requirement of </w:t>
      </w:r>
      <w:r w:rsidR="00111878">
        <w:rPr>
          <w:rFonts w:ascii="Arial" w:hAnsi="Arial" w:cs="Arial"/>
          <w:sz w:val="24"/>
          <w:szCs w:val="24"/>
        </w:rPr>
        <w:t>those Regulations.</w:t>
      </w:r>
      <w:r>
        <w:rPr>
          <w:rFonts w:ascii="Arial" w:hAnsi="Arial" w:cs="Arial"/>
          <w:sz w:val="24"/>
          <w:szCs w:val="24"/>
        </w:rPr>
        <w:t xml:space="preserve"> </w:t>
      </w:r>
      <w:r w:rsidR="003E1538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application</w:t>
      </w:r>
      <w:r w:rsidR="003E1538">
        <w:rPr>
          <w:rFonts w:ascii="Arial" w:hAnsi="Arial" w:cs="Arial"/>
          <w:sz w:val="24"/>
          <w:szCs w:val="24"/>
        </w:rPr>
        <w:t xml:space="preserve"> </w:t>
      </w:r>
      <w:r w:rsidR="004261A8">
        <w:rPr>
          <w:rFonts w:ascii="Arial" w:hAnsi="Arial" w:cs="Arial"/>
          <w:sz w:val="24"/>
          <w:szCs w:val="24"/>
        </w:rPr>
        <w:t>must</w:t>
      </w:r>
      <w:r w:rsidRPr="0057236E">
        <w:rPr>
          <w:rFonts w:ascii="Arial" w:hAnsi="Arial" w:cs="Arial"/>
          <w:sz w:val="24"/>
          <w:szCs w:val="24"/>
        </w:rPr>
        <w:t xml:space="preserve"> be made within six weeks from the date </w:t>
      </w:r>
      <w:r w:rsidR="00441202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this notice</w:t>
      </w:r>
      <w:r w:rsidR="002F1121">
        <w:rPr>
          <w:rFonts w:ascii="Arial" w:hAnsi="Arial" w:cs="Arial"/>
          <w:sz w:val="24"/>
          <w:szCs w:val="24"/>
        </w:rPr>
        <w:t xml:space="preserve"> is published in the Gazette</w:t>
      </w:r>
      <w:r w:rsidR="008F4EA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07C87FB0" w14:textId="77777777" w:rsidR="004261A8" w:rsidRDefault="004261A8" w:rsidP="004261A8">
      <w:pPr>
        <w:spacing w:after="0"/>
        <w:rPr>
          <w:rFonts w:ascii="Arial" w:hAnsi="Arial" w:cs="Arial"/>
          <w:sz w:val="24"/>
          <w:szCs w:val="24"/>
        </w:rPr>
      </w:pPr>
    </w:p>
    <w:p w14:paraId="3E8C74C2" w14:textId="7AA17F7D" w:rsidR="003D5365" w:rsidRDefault="004261A8" w:rsidP="00A8020D">
      <w:pPr>
        <w:spacing w:after="0"/>
        <w:rPr>
          <w:rFonts w:ascii="Arial" w:hAnsi="Arial" w:cs="Arial"/>
          <w:sz w:val="24"/>
          <w:szCs w:val="24"/>
        </w:rPr>
      </w:pPr>
      <w:r w:rsidRPr="00D32B35">
        <w:rPr>
          <w:rFonts w:ascii="Arial" w:hAnsi="Arial" w:cs="Arial"/>
          <w:sz w:val="24"/>
          <w:szCs w:val="24"/>
        </w:rPr>
        <w:t xml:space="preserve">If you have any questions in relation to the notice or the decision, please contact the Environmental Management Team, Offshore Petroleum Regulator for Environment and Decommissioning (OPRED), AB1 Building, </w:t>
      </w:r>
      <w:proofErr w:type="spellStart"/>
      <w:r w:rsidRPr="00D32B35">
        <w:rPr>
          <w:rFonts w:ascii="Arial" w:hAnsi="Arial" w:cs="Arial"/>
          <w:sz w:val="24"/>
          <w:szCs w:val="24"/>
        </w:rPr>
        <w:t>Crimon</w:t>
      </w:r>
      <w:proofErr w:type="spellEnd"/>
      <w:r w:rsidRPr="00D32B35">
        <w:rPr>
          <w:rFonts w:ascii="Arial" w:hAnsi="Arial" w:cs="Arial"/>
          <w:sz w:val="24"/>
          <w:szCs w:val="24"/>
        </w:rPr>
        <w:t xml:space="preserve"> Place, Aberdeen AB10 1BJ (e-mail: </w:t>
      </w:r>
      <w:hyperlink r:id="rId11" w:history="1">
        <w:r w:rsidR="0044120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BST</w:t>
        </w:r>
        <w:r w:rsidR="00441202" w:rsidRPr="007F047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@beis.gov.uk</w:t>
        </w:r>
      </w:hyperlink>
      <w:r w:rsidR="00B5130C" w:rsidRPr="007F047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</w:t>
      </w:r>
      <w:r w:rsidR="008C04DE" w:rsidRPr="007F047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Tel: 01224 254138</w:t>
      </w:r>
      <w:r w:rsidRPr="00D32B35">
        <w:rPr>
          <w:rFonts w:ascii="Arial" w:hAnsi="Arial" w:cs="Arial"/>
          <w:sz w:val="24"/>
          <w:szCs w:val="24"/>
        </w:rPr>
        <w:t>).</w:t>
      </w:r>
      <w:bookmarkStart w:id="1" w:name="_GoBack"/>
      <w:bookmarkEnd w:id="1"/>
    </w:p>
    <w:sectPr w:rsidR="003D5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B3AE" w14:textId="77777777" w:rsidR="00A94CDB" w:rsidRDefault="00A94CDB" w:rsidP="00E20F8D">
      <w:pPr>
        <w:spacing w:after="0" w:line="240" w:lineRule="auto"/>
      </w:pPr>
      <w:r>
        <w:separator/>
      </w:r>
    </w:p>
  </w:endnote>
  <w:endnote w:type="continuationSeparator" w:id="0">
    <w:p w14:paraId="6F30401E" w14:textId="77777777" w:rsidR="00A94CDB" w:rsidRDefault="00A94CDB" w:rsidP="00E2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1F5B2" w14:textId="77777777" w:rsidR="00A94CDB" w:rsidRDefault="00A94CDB" w:rsidP="00E20F8D">
      <w:pPr>
        <w:spacing w:after="0" w:line="240" w:lineRule="auto"/>
      </w:pPr>
      <w:r>
        <w:separator/>
      </w:r>
    </w:p>
  </w:footnote>
  <w:footnote w:type="continuationSeparator" w:id="0">
    <w:p w14:paraId="3D72C098" w14:textId="77777777" w:rsidR="00A94CDB" w:rsidRDefault="00A94CDB" w:rsidP="00E20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65"/>
    <w:rsid w:val="000058B3"/>
    <w:rsid w:val="00022463"/>
    <w:rsid w:val="00027B62"/>
    <w:rsid w:val="00040FB5"/>
    <w:rsid w:val="00046FF7"/>
    <w:rsid w:val="00060B85"/>
    <w:rsid w:val="00061CDB"/>
    <w:rsid w:val="000648C0"/>
    <w:rsid w:val="000750B1"/>
    <w:rsid w:val="00083FDC"/>
    <w:rsid w:val="00095A12"/>
    <w:rsid w:val="00097E42"/>
    <w:rsid w:val="000A08C6"/>
    <w:rsid w:val="000A1717"/>
    <w:rsid w:val="000A2C8F"/>
    <w:rsid w:val="000A308A"/>
    <w:rsid w:val="000A3FD0"/>
    <w:rsid w:val="000A5A0A"/>
    <w:rsid w:val="000B2033"/>
    <w:rsid w:val="000C4EC0"/>
    <w:rsid w:val="000C6298"/>
    <w:rsid w:val="000D3985"/>
    <w:rsid w:val="000E0E61"/>
    <w:rsid w:val="000E1DFC"/>
    <w:rsid w:val="000E5DD3"/>
    <w:rsid w:val="000F21A2"/>
    <w:rsid w:val="000F25AE"/>
    <w:rsid w:val="000F7ECD"/>
    <w:rsid w:val="00106A5B"/>
    <w:rsid w:val="00111878"/>
    <w:rsid w:val="001136B3"/>
    <w:rsid w:val="00140A38"/>
    <w:rsid w:val="00141390"/>
    <w:rsid w:val="0014318F"/>
    <w:rsid w:val="00143B60"/>
    <w:rsid w:val="00153153"/>
    <w:rsid w:val="00154B45"/>
    <w:rsid w:val="00160C47"/>
    <w:rsid w:val="001633B5"/>
    <w:rsid w:val="001715B0"/>
    <w:rsid w:val="00190FBA"/>
    <w:rsid w:val="001C2E7D"/>
    <w:rsid w:val="001C5A00"/>
    <w:rsid w:val="001D396B"/>
    <w:rsid w:val="00201D5E"/>
    <w:rsid w:val="00205782"/>
    <w:rsid w:val="00205EB1"/>
    <w:rsid w:val="002132E9"/>
    <w:rsid w:val="00252ADE"/>
    <w:rsid w:val="00253969"/>
    <w:rsid w:val="00260113"/>
    <w:rsid w:val="0026191A"/>
    <w:rsid w:val="00262123"/>
    <w:rsid w:val="0027569E"/>
    <w:rsid w:val="00275CBF"/>
    <w:rsid w:val="002A0965"/>
    <w:rsid w:val="002C4FE7"/>
    <w:rsid w:val="002D0B35"/>
    <w:rsid w:val="002D31AE"/>
    <w:rsid w:val="002E3B69"/>
    <w:rsid w:val="002F1121"/>
    <w:rsid w:val="002F5638"/>
    <w:rsid w:val="002F6E77"/>
    <w:rsid w:val="00301EAB"/>
    <w:rsid w:val="003071FA"/>
    <w:rsid w:val="003113D6"/>
    <w:rsid w:val="00317E5E"/>
    <w:rsid w:val="0033714C"/>
    <w:rsid w:val="00337D97"/>
    <w:rsid w:val="00351AB0"/>
    <w:rsid w:val="00352174"/>
    <w:rsid w:val="00354D18"/>
    <w:rsid w:val="00354E8F"/>
    <w:rsid w:val="00360AA4"/>
    <w:rsid w:val="00360B1D"/>
    <w:rsid w:val="00363441"/>
    <w:rsid w:val="00371D94"/>
    <w:rsid w:val="00380667"/>
    <w:rsid w:val="00391A16"/>
    <w:rsid w:val="00394770"/>
    <w:rsid w:val="003A3A01"/>
    <w:rsid w:val="003B5E9A"/>
    <w:rsid w:val="003D5365"/>
    <w:rsid w:val="003E1538"/>
    <w:rsid w:val="003F4F70"/>
    <w:rsid w:val="00406B70"/>
    <w:rsid w:val="00415001"/>
    <w:rsid w:val="004200EF"/>
    <w:rsid w:val="004261A8"/>
    <w:rsid w:val="00441202"/>
    <w:rsid w:val="00456999"/>
    <w:rsid w:val="00467D9F"/>
    <w:rsid w:val="00482EAC"/>
    <w:rsid w:val="00487992"/>
    <w:rsid w:val="004924B9"/>
    <w:rsid w:val="00495BEC"/>
    <w:rsid w:val="004A553F"/>
    <w:rsid w:val="004B0047"/>
    <w:rsid w:val="004C130F"/>
    <w:rsid w:val="004C1F22"/>
    <w:rsid w:val="004C2678"/>
    <w:rsid w:val="004C300D"/>
    <w:rsid w:val="004D7535"/>
    <w:rsid w:val="00500CE6"/>
    <w:rsid w:val="00502C77"/>
    <w:rsid w:val="00513468"/>
    <w:rsid w:val="005547AF"/>
    <w:rsid w:val="005637E8"/>
    <w:rsid w:val="0056464B"/>
    <w:rsid w:val="0057236E"/>
    <w:rsid w:val="005808AC"/>
    <w:rsid w:val="005962E5"/>
    <w:rsid w:val="00596F64"/>
    <w:rsid w:val="005C5365"/>
    <w:rsid w:val="005C6060"/>
    <w:rsid w:val="005C60C0"/>
    <w:rsid w:val="005D10FA"/>
    <w:rsid w:val="005D59EE"/>
    <w:rsid w:val="005E7225"/>
    <w:rsid w:val="00631087"/>
    <w:rsid w:val="0063536B"/>
    <w:rsid w:val="0064219B"/>
    <w:rsid w:val="00653ABF"/>
    <w:rsid w:val="006556E1"/>
    <w:rsid w:val="006573E3"/>
    <w:rsid w:val="00657A9A"/>
    <w:rsid w:val="006601F5"/>
    <w:rsid w:val="00663138"/>
    <w:rsid w:val="00684705"/>
    <w:rsid w:val="006852A3"/>
    <w:rsid w:val="00692950"/>
    <w:rsid w:val="006974AD"/>
    <w:rsid w:val="006A6512"/>
    <w:rsid w:val="006A6DE0"/>
    <w:rsid w:val="006C0EF4"/>
    <w:rsid w:val="006C4650"/>
    <w:rsid w:val="006D4B4B"/>
    <w:rsid w:val="006F4974"/>
    <w:rsid w:val="00701218"/>
    <w:rsid w:val="00731017"/>
    <w:rsid w:val="00735016"/>
    <w:rsid w:val="007500B4"/>
    <w:rsid w:val="00750730"/>
    <w:rsid w:val="00750EE4"/>
    <w:rsid w:val="007609E8"/>
    <w:rsid w:val="00764014"/>
    <w:rsid w:val="00766298"/>
    <w:rsid w:val="0078029D"/>
    <w:rsid w:val="007A3D10"/>
    <w:rsid w:val="007A6E3D"/>
    <w:rsid w:val="007B4A34"/>
    <w:rsid w:val="007B6DC1"/>
    <w:rsid w:val="007C4B58"/>
    <w:rsid w:val="007C601F"/>
    <w:rsid w:val="007C7328"/>
    <w:rsid w:val="007E00FA"/>
    <w:rsid w:val="007E7AEC"/>
    <w:rsid w:val="007F0474"/>
    <w:rsid w:val="007F1481"/>
    <w:rsid w:val="007F26D8"/>
    <w:rsid w:val="007F636E"/>
    <w:rsid w:val="0080137B"/>
    <w:rsid w:val="00813634"/>
    <w:rsid w:val="00814100"/>
    <w:rsid w:val="00823913"/>
    <w:rsid w:val="0084508B"/>
    <w:rsid w:val="00847504"/>
    <w:rsid w:val="00850128"/>
    <w:rsid w:val="00852486"/>
    <w:rsid w:val="008677E8"/>
    <w:rsid w:val="00867876"/>
    <w:rsid w:val="008749F2"/>
    <w:rsid w:val="00891301"/>
    <w:rsid w:val="00895FD2"/>
    <w:rsid w:val="008A7A86"/>
    <w:rsid w:val="008B14EB"/>
    <w:rsid w:val="008B7686"/>
    <w:rsid w:val="008C04DE"/>
    <w:rsid w:val="008D4FD1"/>
    <w:rsid w:val="008E13CA"/>
    <w:rsid w:val="008E288E"/>
    <w:rsid w:val="008E5FC0"/>
    <w:rsid w:val="008E6C44"/>
    <w:rsid w:val="008F3FDD"/>
    <w:rsid w:val="008F4EA8"/>
    <w:rsid w:val="00905329"/>
    <w:rsid w:val="00910356"/>
    <w:rsid w:val="009127D2"/>
    <w:rsid w:val="00914D11"/>
    <w:rsid w:val="00915D46"/>
    <w:rsid w:val="009214B1"/>
    <w:rsid w:val="00927070"/>
    <w:rsid w:val="00933DF3"/>
    <w:rsid w:val="0093666A"/>
    <w:rsid w:val="00937F0D"/>
    <w:rsid w:val="00943BC2"/>
    <w:rsid w:val="009465EE"/>
    <w:rsid w:val="00956134"/>
    <w:rsid w:val="00976302"/>
    <w:rsid w:val="00976C4F"/>
    <w:rsid w:val="00977432"/>
    <w:rsid w:val="0098631A"/>
    <w:rsid w:val="0099101D"/>
    <w:rsid w:val="009A2F1E"/>
    <w:rsid w:val="009B38B5"/>
    <w:rsid w:val="009D09C5"/>
    <w:rsid w:val="009E5EC1"/>
    <w:rsid w:val="009F289B"/>
    <w:rsid w:val="009F78E0"/>
    <w:rsid w:val="00A0251B"/>
    <w:rsid w:val="00A16446"/>
    <w:rsid w:val="00A1759C"/>
    <w:rsid w:val="00A2004A"/>
    <w:rsid w:val="00A23564"/>
    <w:rsid w:val="00A2463A"/>
    <w:rsid w:val="00A2499A"/>
    <w:rsid w:val="00A41485"/>
    <w:rsid w:val="00A528B7"/>
    <w:rsid w:val="00A748E1"/>
    <w:rsid w:val="00A8020D"/>
    <w:rsid w:val="00A8670C"/>
    <w:rsid w:val="00A9285A"/>
    <w:rsid w:val="00A94CDB"/>
    <w:rsid w:val="00A9728E"/>
    <w:rsid w:val="00A97396"/>
    <w:rsid w:val="00AB0671"/>
    <w:rsid w:val="00AB70D4"/>
    <w:rsid w:val="00AC3754"/>
    <w:rsid w:val="00AC470B"/>
    <w:rsid w:val="00AC5639"/>
    <w:rsid w:val="00AD57F5"/>
    <w:rsid w:val="00B01382"/>
    <w:rsid w:val="00B123B2"/>
    <w:rsid w:val="00B17BFC"/>
    <w:rsid w:val="00B201C6"/>
    <w:rsid w:val="00B2361A"/>
    <w:rsid w:val="00B307C7"/>
    <w:rsid w:val="00B364BF"/>
    <w:rsid w:val="00B460F7"/>
    <w:rsid w:val="00B5130C"/>
    <w:rsid w:val="00B713C5"/>
    <w:rsid w:val="00B73E24"/>
    <w:rsid w:val="00B754E6"/>
    <w:rsid w:val="00B8179C"/>
    <w:rsid w:val="00B84255"/>
    <w:rsid w:val="00B94C03"/>
    <w:rsid w:val="00B97637"/>
    <w:rsid w:val="00BA107B"/>
    <w:rsid w:val="00BA364E"/>
    <w:rsid w:val="00BB20A8"/>
    <w:rsid w:val="00BB52D1"/>
    <w:rsid w:val="00BC0F8C"/>
    <w:rsid w:val="00BC2882"/>
    <w:rsid w:val="00BC3624"/>
    <w:rsid w:val="00BC4D1A"/>
    <w:rsid w:val="00BD24A0"/>
    <w:rsid w:val="00BD2903"/>
    <w:rsid w:val="00BF20A3"/>
    <w:rsid w:val="00C074AD"/>
    <w:rsid w:val="00C11FF8"/>
    <w:rsid w:val="00C17D2E"/>
    <w:rsid w:val="00C22842"/>
    <w:rsid w:val="00C37311"/>
    <w:rsid w:val="00C37A47"/>
    <w:rsid w:val="00C52D72"/>
    <w:rsid w:val="00C545B5"/>
    <w:rsid w:val="00C67CAC"/>
    <w:rsid w:val="00C72AAA"/>
    <w:rsid w:val="00C744EB"/>
    <w:rsid w:val="00C857AD"/>
    <w:rsid w:val="00C90DCD"/>
    <w:rsid w:val="00CB3522"/>
    <w:rsid w:val="00CC21DB"/>
    <w:rsid w:val="00CC5567"/>
    <w:rsid w:val="00CE1388"/>
    <w:rsid w:val="00CE7C15"/>
    <w:rsid w:val="00CF71AF"/>
    <w:rsid w:val="00D01C92"/>
    <w:rsid w:val="00D14E1C"/>
    <w:rsid w:val="00D15476"/>
    <w:rsid w:val="00D36336"/>
    <w:rsid w:val="00D400BA"/>
    <w:rsid w:val="00D402D7"/>
    <w:rsid w:val="00D41EB1"/>
    <w:rsid w:val="00D46C5E"/>
    <w:rsid w:val="00D4750C"/>
    <w:rsid w:val="00D500D9"/>
    <w:rsid w:val="00D67F28"/>
    <w:rsid w:val="00D72A60"/>
    <w:rsid w:val="00D73A11"/>
    <w:rsid w:val="00D805C9"/>
    <w:rsid w:val="00D858C4"/>
    <w:rsid w:val="00D92BEF"/>
    <w:rsid w:val="00DB7FCB"/>
    <w:rsid w:val="00DC61D6"/>
    <w:rsid w:val="00DC7F52"/>
    <w:rsid w:val="00DD415D"/>
    <w:rsid w:val="00DF33DA"/>
    <w:rsid w:val="00E20F8D"/>
    <w:rsid w:val="00E2606A"/>
    <w:rsid w:val="00E36991"/>
    <w:rsid w:val="00E43D06"/>
    <w:rsid w:val="00E6166B"/>
    <w:rsid w:val="00E915DF"/>
    <w:rsid w:val="00E9301C"/>
    <w:rsid w:val="00EA0CD3"/>
    <w:rsid w:val="00EA6EB5"/>
    <w:rsid w:val="00ED7574"/>
    <w:rsid w:val="00EE490D"/>
    <w:rsid w:val="00F1352F"/>
    <w:rsid w:val="00F163BA"/>
    <w:rsid w:val="00F17715"/>
    <w:rsid w:val="00F22D7D"/>
    <w:rsid w:val="00F236D3"/>
    <w:rsid w:val="00F349CE"/>
    <w:rsid w:val="00F41D33"/>
    <w:rsid w:val="00F94A39"/>
    <w:rsid w:val="00F94F58"/>
    <w:rsid w:val="00FB2E1D"/>
    <w:rsid w:val="00FB46F3"/>
    <w:rsid w:val="00FC2586"/>
    <w:rsid w:val="00FC2867"/>
    <w:rsid w:val="00FC431D"/>
    <w:rsid w:val="00FC4FBB"/>
    <w:rsid w:val="00FD182B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71C20"/>
  <w15:chartTrackingRefBased/>
  <w15:docId w15:val="{C9907EEE-8B80-4596-905F-321FFD40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8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4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D1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2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499A"/>
  </w:style>
  <w:style w:type="character" w:customStyle="1" w:styleId="eop">
    <w:name w:val="eop"/>
    <w:basedOn w:val="DefaultParagraphFont"/>
    <w:rsid w:val="00A2499A"/>
  </w:style>
  <w:style w:type="paragraph" w:styleId="Revision">
    <w:name w:val="Revision"/>
    <w:hidden/>
    <w:uiPriority w:val="99"/>
    <w:semiHidden/>
    <w:rsid w:val="00426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T@beis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uk/guidance/oil-and-gas-environmental-statements-reviewe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c7b343-fe4e-4bc8-add0-15613480888f">
      <UserInfo>
        <DisplayName>Bryant, Benjamin (Energy Development &amp; Resilience)</DisplayName>
        <AccountId>4815</AccountId>
        <AccountType/>
      </UserInfo>
      <UserInfo>
        <DisplayName>Saward, Derek (Energy Development &amp; Resilience)</DisplayName>
        <AccountId>12395</AccountId>
        <AccountType/>
      </UserInfo>
      <UserInfo>
        <DisplayName>Soderstrom, Inger (Energy Development &amp; Resilience)</DisplayName>
        <AccountId>4671</AccountId>
        <AccountType/>
      </UserInfo>
      <UserInfo>
        <DisplayName>Crossland, Victoria (Energy Development &amp; Resilience)</DisplayName>
        <AccountId>11809</AccountId>
        <AccountType/>
      </UserInfo>
      <UserInfo>
        <DisplayName>Mayo, Nienke (Energy Development &amp; Resilience)</DisplayName>
        <AccountId>11886</AccountId>
        <AccountType/>
      </UserInfo>
      <UserInfo>
        <DisplayName>Shaw, Carrie (Energy Development &amp; Resilience)</DisplayName>
        <AccountId>11762</AccountId>
        <AccountType/>
      </UserInfo>
      <UserInfo>
        <DisplayName>Mackay, Don (Energy Development &amp; Resilience)</DisplayName>
        <AccountId>68375</AccountId>
        <AccountType/>
      </UserInfo>
      <UserInfo>
        <DisplayName>Johnstone, Fiona (Energy Development &amp; Resilience)</DisplayName>
        <AccountId>49165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E5DFB0DCD984A9A960F1E539C4702" ma:contentTypeVersion="12" ma:contentTypeDescription="Create a new document." ma:contentTypeScope="" ma:versionID="bca4613532c33fd15eb74c53486e993c">
  <xsd:schema xmlns:xsd="http://www.w3.org/2001/XMLSchema" xmlns:xs="http://www.w3.org/2001/XMLSchema" xmlns:p="http://schemas.microsoft.com/office/2006/metadata/properties" xmlns:ns3="725cb1ab-97d0-43aa-b20b-ca12b6a9c8a1" xmlns:ns4="9dc7b343-fe4e-4bc8-add0-15613480888f" targetNamespace="http://schemas.microsoft.com/office/2006/metadata/properties" ma:root="true" ma:fieldsID="3cfaa85fe1f372f7ff80989e55d24225" ns3:_="" ns4:_="">
    <xsd:import namespace="725cb1ab-97d0-43aa-b20b-ca12b6a9c8a1"/>
    <xsd:import namespace="9dc7b343-fe4e-4bc8-add0-156134808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b1ab-97d0-43aa-b20b-ca12b6a9c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7b343-fe4e-4bc8-add0-156134808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1020-3199-4299-A5A6-356B50C8D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EF03F-187F-4E6D-828B-AC75D4F95601}">
  <ds:schemaRefs>
    <ds:schemaRef ds:uri="http://schemas.microsoft.com/office/2006/metadata/properties"/>
    <ds:schemaRef ds:uri="http://schemas.microsoft.com/office/infopath/2007/PartnerControls"/>
    <ds:schemaRef ds:uri="9dc7b343-fe4e-4bc8-add0-15613480888f"/>
  </ds:schemaRefs>
</ds:datastoreItem>
</file>

<file path=customXml/itemProps3.xml><?xml version="1.0" encoding="utf-8"?>
<ds:datastoreItem xmlns:ds="http://schemas.openxmlformats.org/officeDocument/2006/customXml" ds:itemID="{56EE398C-AADA-4B8C-BF8F-33301FBFD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cb1ab-97d0-43aa-b20b-ca12b6a9c8a1"/>
    <ds:schemaRef ds:uri="9dc7b343-fe4e-4bc8-add0-156134808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01751-DAF5-4603-9C65-1FE86FD9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Crossland, Victoria (Energy Development &amp; Resilience)</dc:creator>
  <cp:keywords/>
  <dc:description/>
  <cp:lastModifiedBy>Saward, Derek (Energy Development &amp; Resilience)</cp:lastModifiedBy>
  <cp:revision>3</cp:revision>
  <dcterms:created xsi:type="dcterms:W3CDTF">2020-02-13T07:52:00Z</dcterms:created>
  <dcterms:modified xsi:type="dcterms:W3CDTF">2020-02-13T08:40:00Z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2019-11-26T16:33:10Z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8aaf3e78-6ff1-44ac-a936-0000c90d9ff8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0x010100173E5DFB0DCD984A9A960F1E539C4702</vt:lpwstr>
  </property>
  <property fmtid="{D5CDD505-2E9C-101B-9397-08002B2CF9AE}" pid="10" name="Business Unit">
    <vt:lpwstr>114;#Offshore Petroleum Regulator for Environment and Decommissioning|f72fe9dc-daed-4631-ae01-b6a82195d285</vt:lpwstr>
  </property>
  <property fmtid="{D5CDD505-2E9C-101B-9397-08002B2CF9AE}" pid="11" name="_dlc_DocIdItemGuid">
    <vt:lpwstr>b0093e2e-37d9-441d-9986-5c4530b4f903</vt:lpwstr>
  </property>
</Properties>
</file>