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952" w14:textId="77777777"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14:paraId="0956D953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</w:p>
    <w:p w14:paraId="0956D954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All project proposals will be assessed for value for money against </w:t>
      </w:r>
      <w:proofErr w:type="gramStart"/>
      <w:r w:rsidRPr="00074935">
        <w:rPr>
          <w:rFonts w:ascii="Arial" w:hAnsi="Arial" w:cs="Arial"/>
        </w:rPr>
        <w:t>3</w:t>
      </w:r>
      <w:proofErr w:type="gramEnd"/>
      <w:r w:rsidRPr="00074935">
        <w:rPr>
          <w:rFonts w:ascii="Arial" w:hAnsi="Arial" w:cs="Arial"/>
        </w:rPr>
        <w:t xml:space="preserve"> headline criteria:</w:t>
      </w:r>
    </w:p>
    <w:p w14:paraId="0956D955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14:paraId="0956D956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14:paraId="0956D957" w14:textId="77777777"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</w:p>
    <w:p w14:paraId="0956D958" w14:textId="77777777"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14:paraId="137588D2" w14:textId="77777777" w:rsidR="00BF0F1F" w:rsidRDefault="00BF0F1F" w:rsidP="00BF0F1F">
      <w:pPr>
        <w:rPr>
          <w:color w:val="FF0000"/>
        </w:rPr>
      </w:pPr>
    </w:p>
    <w:p w14:paraId="3F307D0C" w14:textId="0CDD3CAA" w:rsidR="00055F37" w:rsidRPr="00BF0F1F" w:rsidRDefault="00055F37" w:rsidP="00BF0F1F">
      <w:pPr>
        <w:rPr>
          <w:color w:val="FF0000"/>
        </w:rPr>
      </w:pPr>
      <w:r w:rsidRPr="002412CA">
        <w:rPr>
          <w:b/>
          <w:color w:val="FF0000"/>
        </w:rPr>
        <w:t>IMPORTANT:</w:t>
      </w:r>
      <w:r w:rsidRPr="002412CA">
        <w:rPr>
          <w:color w:val="FF0000"/>
        </w:rPr>
        <w:t xml:space="preserve"> Ensure that the activity based budget and project/activity is in the same currency as the bank account where funds reimbursements are to </w:t>
      </w:r>
      <w:proofErr w:type="gramStart"/>
      <w:r w:rsidRPr="002412CA">
        <w:rPr>
          <w:color w:val="FF0000"/>
        </w:rPr>
        <w:t>be received</w:t>
      </w:r>
      <w:proofErr w:type="gramEnd"/>
      <w:r w:rsidRPr="002412CA">
        <w:rPr>
          <w:color w:val="FF0000"/>
        </w:rPr>
        <w:t xml:space="preserve">. </w:t>
      </w:r>
      <w:r w:rsidR="002412CA">
        <w:rPr>
          <w:color w:val="FF0000"/>
        </w:rPr>
        <w:t xml:space="preserve">If you are an implementer located in Honduras, please fill out the budget in USD (Dollars). If you are an implementer located in </w:t>
      </w:r>
      <w:proofErr w:type="gramStart"/>
      <w:r w:rsidR="002412CA">
        <w:rPr>
          <w:color w:val="FF0000"/>
        </w:rPr>
        <w:t>Guatemala</w:t>
      </w:r>
      <w:proofErr w:type="gramEnd"/>
      <w:r w:rsidR="002412CA">
        <w:rPr>
          <w:color w:val="FF0000"/>
        </w:rPr>
        <w:t xml:space="preserve"> please fill out the budget in GTQ (</w:t>
      </w:r>
      <w:proofErr w:type="spellStart"/>
      <w:r w:rsidR="002412CA">
        <w:rPr>
          <w:color w:val="FF0000"/>
        </w:rPr>
        <w:t>Quetzales</w:t>
      </w:r>
      <w:proofErr w:type="spellEnd"/>
      <w:r w:rsidR="002412CA">
        <w:rPr>
          <w:color w:val="FF0000"/>
        </w:rPr>
        <w:t>).</w:t>
      </w:r>
    </w:p>
    <w:p w14:paraId="0956D95A" w14:textId="6729C6FC"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14:paraId="48C3AA08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14:paraId="0956D963" w14:textId="77777777" w:rsidTr="006535BC">
        <w:trPr>
          <w:gridAfter w:val="1"/>
          <w:wAfter w:w="32" w:type="dxa"/>
        </w:trPr>
        <w:tc>
          <w:tcPr>
            <w:tcW w:w="1851" w:type="dxa"/>
          </w:tcPr>
          <w:p w14:paraId="0956D95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14:paraId="0956D95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14:paraId="0956D95D" w14:textId="77777777"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14:paraId="0956D95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14:paraId="0956D95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14:paraId="0956D96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14:paraId="0956D96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14:paraId="0956D96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14:paraId="0956D96C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6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14:paraId="0956D965" w14:textId="77777777"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14:paraId="0956D96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14:paraId="0956D96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6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14:paraId="0956D96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14:paraId="0956D96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6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5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6D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6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14:paraId="0956D96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14:paraId="0956D97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7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14:paraId="0956D97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14:paraId="0956D97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E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7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77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14:paraId="0956D97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14:paraId="0956D97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14:paraId="0956D97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956D97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14:paraId="0956D97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87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7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14:paraId="0956D98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14:paraId="0956D98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14:paraId="0956D98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14:paraId="0956D98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14:paraId="0956D98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14:paraId="0956D98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0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8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8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14:paraId="0956D98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14:paraId="0956D98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14:paraId="0956D98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8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14:paraId="0956D98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9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9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14:paraId="0956D99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14:paraId="0956D99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14:paraId="0956D99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14:paraId="0956D99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14:paraId="0956D99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9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9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14:paraId="0956D9A2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9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9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14:paraId="0956D99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14:paraId="0956D99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14:paraId="0956D99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14:paraId="0956D99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14:paraId="0956D9AB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A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A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14:paraId="0956D9A5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14:paraId="0956D9A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14:paraId="0956D9A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A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14:paraId="0956D9B0" w14:textId="77777777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14:paraId="0956D9A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0956D9A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14:paraId="0956D9A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14:paraId="0956D9A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14:paraId="0956D9B5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14:paraId="0956D9B1" w14:textId="77777777"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14:paraId="0956D9B2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14:paraId="0956D9B3" w14:textId="77777777"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14:paraId="0956D9B4" w14:textId="77777777"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14:paraId="0956D9B6" w14:textId="77777777" w:rsidR="00572B93" w:rsidRPr="00074935" w:rsidRDefault="00572B93" w:rsidP="00572B93">
      <w:pPr>
        <w:pStyle w:val="NoSpacing"/>
        <w:rPr>
          <w:rFonts w:ascii="Arial" w:hAnsi="Arial" w:cs="Arial"/>
        </w:rPr>
      </w:pPr>
    </w:p>
    <w:p w14:paraId="0956D9B7" w14:textId="155ED1BF"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14:paraId="71A141E2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14:paraId="0956D9BD" w14:textId="77777777" w:rsidTr="006535BC">
        <w:tc>
          <w:tcPr>
            <w:tcW w:w="3524" w:type="dxa"/>
          </w:tcPr>
          <w:p w14:paraId="0956D9B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14:paraId="0956D9B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BA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14:paraId="0956D9BB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14:paraId="0956D9BC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14:paraId="0956D9C3" w14:textId="77777777" w:rsidTr="006535BC">
        <w:tc>
          <w:tcPr>
            <w:tcW w:w="3524" w:type="dxa"/>
          </w:tcPr>
          <w:p w14:paraId="0956D9B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14:paraId="0956D9BF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14:paraId="0956D9C0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14:paraId="0956D9C1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2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9" w14:textId="77777777" w:rsidTr="006535BC">
        <w:tc>
          <w:tcPr>
            <w:tcW w:w="3524" w:type="dxa"/>
          </w:tcPr>
          <w:p w14:paraId="0956D9C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14:paraId="0956D9C5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14:paraId="0956D9C6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14:paraId="0956D9C7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14:paraId="0956D9C8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F" w14:textId="77777777" w:rsidTr="006535BC">
        <w:tc>
          <w:tcPr>
            <w:tcW w:w="3524" w:type="dxa"/>
          </w:tcPr>
          <w:p w14:paraId="0956D9C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14:paraId="0956D9CB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14:paraId="0956D9CC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14:paraId="0956D9CD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E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14:paraId="0956D9D5" w14:textId="77777777" w:rsidTr="006535BC">
        <w:tc>
          <w:tcPr>
            <w:tcW w:w="3524" w:type="dxa"/>
          </w:tcPr>
          <w:p w14:paraId="0956D9D0" w14:textId="77777777"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14:paraId="0956D9D1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14:paraId="0956D9D2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956D9D3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14:paraId="0956D9D4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14:paraId="0956D9DB" w14:textId="77777777" w:rsidTr="006535BC">
        <w:tc>
          <w:tcPr>
            <w:tcW w:w="3524" w:type="dxa"/>
          </w:tcPr>
          <w:p w14:paraId="0956D9D6" w14:textId="77777777"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14:paraId="0956D9D7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14:paraId="0956D9D8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14:paraId="0956D9D9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14:paraId="0956D9DA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14:paraId="0956D9E1" w14:textId="77777777" w:rsidTr="006535BC">
        <w:tc>
          <w:tcPr>
            <w:tcW w:w="3524" w:type="dxa"/>
          </w:tcPr>
          <w:p w14:paraId="0956D9DC" w14:textId="77777777"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14:paraId="0956D9DD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14:paraId="0956D9DE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14:paraId="0956D9DF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14:paraId="0956D9E0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14:paraId="0956D9E6" w14:textId="77777777" w:rsidTr="00B97BB2">
        <w:tc>
          <w:tcPr>
            <w:tcW w:w="6165" w:type="dxa"/>
            <w:gridSpan w:val="2"/>
          </w:tcPr>
          <w:p w14:paraId="0956D9E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E3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14:paraId="0956D9E4" w14:textId="77777777"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14:paraId="0956D9E5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14:paraId="0956D9EB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14:paraId="0956D9E7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14:paraId="0956D9E8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lastRenderedPageBreak/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14:paraId="0956D9E9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lastRenderedPageBreak/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14:paraId="0956D9EA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lastRenderedPageBreak/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14:paraId="0956D9EC" w14:textId="77777777"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9DD54" w14:textId="77777777" w:rsidR="00225277" w:rsidRDefault="00225277" w:rsidP="005E5806">
      <w:pPr>
        <w:spacing w:after="0" w:line="240" w:lineRule="auto"/>
      </w:pPr>
      <w:r>
        <w:separator/>
      </w:r>
    </w:p>
  </w:endnote>
  <w:endnote w:type="continuationSeparator" w:id="0">
    <w:p w14:paraId="16A7D75E" w14:textId="77777777" w:rsidR="00225277" w:rsidRDefault="0022527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5" w14:textId="77777777" w:rsidR="005E5806" w:rsidRDefault="005E5806">
    <w:pPr>
      <w:pStyle w:val="Footer"/>
    </w:pPr>
  </w:p>
  <w:p w14:paraId="0956D9F6" w14:textId="3DAC1BB3" w:rsidR="005E5806" w:rsidRDefault="00AA7AE1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7" w14:textId="46DBC14B" w:rsidR="005E5806" w:rsidRPr="005E5806" w:rsidRDefault="00AA7AE1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552EC">
      <w:rPr>
        <w:rFonts w:ascii="Arial" w:hAnsi="Arial" w:cs="Arial"/>
        <w:noProof/>
        <w:sz w:val="12"/>
      </w:rPr>
      <w:t>S</w:t>
    </w:r>
    <w:r w:rsidR="005552EC" w:rsidRPr="005552EC">
      <w:rPr>
        <w:noProof/>
      </w:rPr>
      <w:t>:\Projects\2019-2020\Call for Bids\VFM_and_ABB</w:t>
    </w:r>
    <w:r w:rsidR="005552EC">
      <w:rPr>
        <w:rFonts w:ascii="Arial" w:hAnsi="Arial" w:cs="Arial"/>
        <w:noProof/>
        <w:sz w:val="12"/>
      </w:rPr>
      <w:t>_Guidance.docx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separate"/>
    </w:r>
    <w:r w:rsidR="005552EC">
      <w:rPr>
        <w:rFonts w:ascii="Arial" w:hAnsi="Arial" w:cs="Arial"/>
        <w:b/>
        <w:bCs/>
        <w:sz w:val="12"/>
        <w:lang w:val="en-US"/>
      </w:rPr>
      <w:t>Error! Unknown document property name.</w: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89A9" w14:textId="77777777" w:rsidR="0052566D" w:rsidRDefault="00525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A" w14:textId="77777777" w:rsidR="005E5806" w:rsidRDefault="005E5806">
    <w:pPr>
      <w:pStyle w:val="Footer"/>
    </w:pPr>
  </w:p>
  <w:p w14:paraId="0956D9FB" w14:textId="3D341348" w:rsidR="005E5806" w:rsidRDefault="00AA7AE1" w:rsidP="005E5806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</w:p>
  <w:p w14:paraId="0956D9FC" w14:textId="10F4EAF6" w:rsidR="005E5806" w:rsidRPr="005E5806" w:rsidRDefault="00AA7AE1" w:rsidP="005E5806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5552EC">
      <w:rPr>
        <w:rFonts w:ascii="Arial" w:hAnsi="Arial" w:cs="Arial"/>
        <w:noProof/>
        <w:sz w:val="12"/>
      </w:rPr>
      <w:t>S</w:t>
    </w:r>
    <w:r w:rsidR="005552EC" w:rsidRPr="005552EC">
      <w:rPr>
        <w:noProof/>
      </w:rPr>
      <w:t>:\Projects\2019-2020\Call for Bids\VFM_and_ABB</w:t>
    </w:r>
    <w:r w:rsidR="005552EC">
      <w:rPr>
        <w:rFonts w:ascii="Arial" w:hAnsi="Arial" w:cs="Arial"/>
        <w:noProof/>
        <w:sz w:val="12"/>
      </w:rPr>
      <w:t>_Guidance.docx</w:t>
    </w:r>
    <w:r>
      <w:rPr>
        <w:noProof/>
      </w:rPr>
      <w:fldChar w:fldCharType="end"/>
    </w:r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separate"/>
    </w:r>
    <w:r w:rsidR="005552EC">
      <w:rPr>
        <w:rFonts w:ascii="Arial" w:hAnsi="Arial" w:cs="Arial"/>
        <w:b/>
        <w:bCs/>
        <w:sz w:val="12"/>
        <w:lang w:val="en-US"/>
      </w:rPr>
      <w:t>Error! Unknown document property name.</w: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DC2B" w14:textId="77777777" w:rsidR="00225277" w:rsidRDefault="00225277" w:rsidP="005E5806">
      <w:pPr>
        <w:spacing w:after="0" w:line="240" w:lineRule="auto"/>
      </w:pPr>
      <w:r>
        <w:separator/>
      </w:r>
    </w:p>
  </w:footnote>
  <w:footnote w:type="continuationSeparator" w:id="0">
    <w:p w14:paraId="1DD51501" w14:textId="77777777" w:rsidR="00225277" w:rsidRDefault="0022527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1" w14:textId="6808B104" w:rsidR="005E5806" w:rsidRPr="005E5806" w:rsidRDefault="00AA7AE1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Cs/>
        <w:sz w:val="20"/>
        <w:lang w:val="en-US"/>
      </w:rPr>
      <w:t>Error! Unknown document property name.</w: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2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3" w14:textId="065FAC9F" w:rsidR="005E5806" w:rsidRPr="005E5806" w:rsidRDefault="00964F6D" w:rsidP="0052566D">
    <w:pPr>
      <w:pStyle w:val="Head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14:paraId="0956D9F4" w14:textId="77777777" w:rsidR="005E5806" w:rsidRDefault="005E5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8" w14:textId="3FD248AA" w:rsidR="005E5806" w:rsidRPr="005E5806" w:rsidRDefault="00AA7AE1" w:rsidP="005E5806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separate"/>
    </w:r>
    <w:r w:rsidR="005552EC">
      <w:rPr>
        <w:rFonts w:ascii="Arial" w:hAnsi="Arial" w:cs="Arial"/>
        <w:bCs/>
        <w:sz w:val="20"/>
        <w:lang w:val="en-US"/>
      </w:rPr>
      <w:t>Error! Unknown document property name.</w: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9" w14:textId="77777777" w:rsidR="005E5806" w:rsidRDefault="005E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725B"/>
    <w:multiLevelType w:val="hybridMultilevel"/>
    <w:tmpl w:val="2A0ED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55F37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B59DD"/>
    <w:rsid w:val="001E7934"/>
    <w:rsid w:val="001F1485"/>
    <w:rsid w:val="00225277"/>
    <w:rsid w:val="002412CA"/>
    <w:rsid w:val="00262686"/>
    <w:rsid w:val="002E2FD3"/>
    <w:rsid w:val="00355CC2"/>
    <w:rsid w:val="0038697B"/>
    <w:rsid w:val="003B057B"/>
    <w:rsid w:val="003B67E8"/>
    <w:rsid w:val="003C2470"/>
    <w:rsid w:val="003F6331"/>
    <w:rsid w:val="004228C5"/>
    <w:rsid w:val="004637E8"/>
    <w:rsid w:val="004718BF"/>
    <w:rsid w:val="004A4EC5"/>
    <w:rsid w:val="004C4733"/>
    <w:rsid w:val="0052566D"/>
    <w:rsid w:val="00526C44"/>
    <w:rsid w:val="005552EC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A7AE1"/>
    <w:rsid w:val="00AB0CAA"/>
    <w:rsid w:val="00AB7394"/>
    <w:rsid w:val="00AC48E8"/>
    <w:rsid w:val="00AC54CB"/>
    <w:rsid w:val="00B1166F"/>
    <w:rsid w:val="00B20391"/>
    <w:rsid w:val="00B43D21"/>
    <w:rsid w:val="00BD31FF"/>
    <w:rsid w:val="00BF0F1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6D952"/>
  <w15:docId w15:val="{486407E7-3D97-43DD-AD74-368AACB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F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B8CE2AE7BC348ABFAA1D48DFFE9F5" ma:contentTypeVersion="13" ma:contentTypeDescription="Create a new document." ma:contentTypeScope="" ma:versionID="20a2cf160127e5d9f29137cbef9f73a7">
  <xsd:schema xmlns:xsd="http://www.w3.org/2001/XMLSchema" xmlns:xs="http://www.w3.org/2001/XMLSchema" xmlns:p="http://schemas.microsoft.com/office/2006/metadata/properties" xmlns:ns3="207f6bbb-75b7-44b6-b9ed-559054bc89c3" xmlns:ns4="c8b1b46d-77da-4d78-bfa5-f25caab9e436" targetNamespace="http://schemas.microsoft.com/office/2006/metadata/properties" ma:root="true" ma:fieldsID="15c5e9ba862a54ee61267452bee5bd77" ns3:_="" ns4:_="">
    <xsd:import namespace="207f6bbb-75b7-44b6-b9ed-559054bc89c3"/>
    <xsd:import namespace="c8b1b46d-77da-4d78-bfa5-f25caab9e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f6bbb-75b7-44b6-b9ed-559054bc8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1b46d-77da-4d78-bfa5-f25caab9e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207f6bbb-75b7-44b6-b9ed-559054bc89c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8b1b46d-77da-4d78-bfa5-f25caab9e4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2027B-FE98-4A14-BB62-B6E02F85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f6bbb-75b7-44b6-b9ed-559054bc89c3"/>
    <ds:schemaRef ds:uri="c8b1b46d-77da-4d78-bfa5-f25caab9e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keywords/>
  <dc:description/>
  <cp:lastModifiedBy>Gabriel Noriega</cp:lastModifiedBy>
  <cp:revision>2</cp:revision>
  <cp:lastPrinted>2019-04-01T18:25:00Z</cp:lastPrinted>
  <dcterms:created xsi:type="dcterms:W3CDTF">2020-01-31T17:50:00Z</dcterms:created>
  <dcterms:modified xsi:type="dcterms:W3CDTF">2020-01-31T17:50:00Z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0x010100C59B8CE2AE7BC348ABFAA1D48DFFE9F5</vt:lpwstr>
  </property>
</Properties>
</file>