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9574" w14:textId="6C3512F1" w:rsidR="00545B6C" w:rsidRPr="00A37F61" w:rsidRDefault="00EA1F25" w:rsidP="00AD05F3">
      <w:pPr>
        <w:pStyle w:val="Title"/>
        <w:rPr>
          <w:sz w:val="52"/>
        </w:rPr>
      </w:pPr>
      <w:r w:rsidRPr="00A37F61">
        <w:rPr>
          <w:sz w:val="52"/>
        </w:rPr>
        <w:t>Private Office</w:t>
      </w:r>
    </w:p>
    <w:p w14:paraId="4848496C" w14:textId="006B4D2C" w:rsidR="00B91315" w:rsidRPr="00A37F61" w:rsidRDefault="00E66A89" w:rsidP="00AD05F3">
      <w:pPr>
        <w:pStyle w:val="Subtitle"/>
        <w:rPr>
          <w:sz w:val="44"/>
        </w:rPr>
      </w:pPr>
      <w:r w:rsidRPr="00A37F61">
        <w:rPr>
          <w:sz w:val="44"/>
        </w:rPr>
        <w:t>Records Retention and Disposition Schedule</w:t>
      </w:r>
    </w:p>
    <w:p w14:paraId="12959C9B" w14:textId="77777777" w:rsidR="00E66A89" w:rsidRDefault="00E66A89" w:rsidP="00E66A89">
      <w:pPr>
        <w:pStyle w:val="Heading2"/>
      </w:pPr>
      <w:bookmarkStart w:id="0" w:name="_Toc6321028"/>
      <w:r w:rsidRPr="00E66A89">
        <w:t>Introduction</w:t>
      </w:r>
    </w:p>
    <w:bookmarkEnd w:id="0"/>
    <w:p w14:paraId="793121D7" w14:textId="77777777" w:rsidR="00EA1F25" w:rsidRDefault="00EA1F25" w:rsidP="00EA1F25">
      <w:pPr>
        <w:numPr>
          <w:ilvl w:val="0"/>
          <w:numId w:val="6"/>
        </w:numPr>
        <w:spacing w:after="0" w:line="240" w:lineRule="auto"/>
        <w:ind w:left="360"/>
        <w:rPr>
          <w:rFonts w:cs="Arial"/>
        </w:rPr>
      </w:pPr>
      <w:r w:rsidRPr="00754A1B">
        <w:rPr>
          <w:rFonts w:cs="Arial"/>
        </w:rPr>
        <w:t>This schedule has been drawn up</w:t>
      </w:r>
      <w:r>
        <w:rPr>
          <w:rFonts w:cs="Arial"/>
        </w:rPr>
        <w:t xml:space="preserve"> following consultation between staff in the Private Office and </w:t>
      </w:r>
      <w:r w:rsidRPr="00754A1B">
        <w:rPr>
          <w:rFonts w:cs="Arial"/>
        </w:rPr>
        <w:t>staff working for the Departmental Records Officer (DRO)</w:t>
      </w:r>
      <w:r>
        <w:rPr>
          <w:rFonts w:cs="Arial"/>
        </w:rPr>
        <w:t xml:space="preserve"> in the Ministry of Justice</w:t>
      </w:r>
      <w:r w:rsidRPr="00754A1B">
        <w:rPr>
          <w:rFonts w:cs="Arial"/>
        </w:rPr>
        <w:t xml:space="preserve">. </w:t>
      </w:r>
      <w:r w:rsidRPr="00EA250A">
        <w:rPr>
          <w:rFonts w:cs="Arial"/>
        </w:rPr>
        <w:br/>
      </w:r>
    </w:p>
    <w:p w14:paraId="6CEC3AC6" w14:textId="68710114" w:rsidR="00EA1F25" w:rsidRPr="00876495" w:rsidRDefault="00876495" w:rsidP="00EA1F25">
      <w:pPr>
        <w:numPr>
          <w:ilvl w:val="0"/>
          <w:numId w:val="6"/>
        </w:numPr>
        <w:spacing w:after="0" w:line="240" w:lineRule="auto"/>
        <w:ind w:left="360"/>
        <w:rPr>
          <w:rFonts w:cs="Arial"/>
        </w:rPr>
      </w:pPr>
      <w:r w:rsidRPr="00876495">
        <w:rPr>
          <w:rFonts w:cs="Arial"/>
        </w:rPr>
        <w:t>As a public body, the MoJ takes its responsibilities for managing information seriously. These responsibilities include compliance with the Public Records Act 1958, General Data Protection Regulation (GDPR), the Data Protection Act 2018, Freedom of Information Act 2000 (FoIA) and amending legislation. The MoJ uses Records Retention and Disposition Schedules (RRDS) to manage its compliance with statutory obligations to identify what information and records we hold, how long we keep it and what should happen to these records at the end of that time</w:t>
      </w:r>
      <w:r w:rsidR="00EA1F25" w:rsidRPr="00876495">
        <w:rPr>
          <w:rFonts w:cs="Arial"/>
        </w:rPr>
        <w:t xml:space="preserve">. </w:t>
      </w:r>
    </w:p>
    <w:p w14:paraId="3D97BFEE" w14:textId="77777777" w:rsidR="00EA1F25" w:rsidRDefault="00EA1F25" w:rsidP="00EA1F25">
      <w:pPr>
        <w:spacing w:after="0"/>
        <w:ind w:left="360"/>
        <w:rPr>
          <w:rFonts w:cs="Arial"/>
        </w:rPr>
      </w:pPr>
    </w:p>
    <w:p w14:paraId="1552BCD2" w14:textId="19263B77" w:rsidR="00EA1F25" w:rsidRDefault="00EA1F25" w:rsidP="00EA1F25">
      <w:pPr>
        <w:numPr>
          <w:ilvl w:val="0"/>
          <w:numId w:val="6"/>
        </w:numPr>
        <w:spacing w:after="0" w:line="240" w:lineRule="auto"/>
        <w:ind w:left="360"/>
        <w:rPr>
          <w:rFonts w:cs="Arial"/>
        </w:rPr>
      </w:pPr>
      <w:r w:rsidRPr="007D3BDE">
        <w:rPr>
          <w:rFonts w:cs="Arial"/>
        </w:rPr>
        <w:t>The MoJ uses Records Retention and Disposition Schedules (RRDSs) to manage its compliance with its statutory obligation to destroy records that are not selected for permanent preservation.</w:t>
      </w:r>
      <w:r>
        <w:rPr>
          <w:rStyle w:val="FootnoteReference"/>
          <w:rFonts w:cs="Arial"/>
        </w:rPr>
        <w:footnoteReference w:id="2"/>
      </w:r>
    </w:p>
    <w:p w14:paraId="6AC4008C" w14:textId="77777777" w:rsidR="007D3BDE" w:rsidRPr="007D3BDE" w:rsidRDefault="007D3BDE" w:rsidP="007D3BDE">
      <w:pPr>
        <w:spacing w:after="0" w:line="240" w:lineRule="auto"/>
        <w:ind w:left="360"/>
        <w:rPr>
          <w:rFonts w:cs="Arial"/>
        </w:rPr>
      </w:pPr>
    </w:p>
    <w:p w14:paraId="6DF8150E" w14:textId="40E783AC" w:rsidR="00EA1F25" w:rsidRDefault="00876495" w:rsidP="00876495">
      <w:pPr>
        <w:numPr>
          <w:ilvl w:val="0"/>
          <w:numId w:val="6"/>
        </w:numPr>
        <w:spacing w:after="0" w:line="240" w:lineRule="auto"/>
        <w:ind w:left="360"/>
        <w:rPr>
          <w:rFonts w:cs="Arial"/>
        </w:rPr>
      </w:pPr>
      <w:r>
        <w:rPr>
          <w:rFonts w:cs="Arial"/>
        </w:rPr>
        <w:t xml:space="preserve">Where </w:t>
      </w:r>
      <w:r w:rsidR="00EA1F25">
        <w:rPr>
          <w:rFonts w:cs="Arial"/>
        </w:rPr>
        <w:t xml:space="preserve">Private Office’s work </w:t>
      </w:r>
      <w:r w:rsidRPr="00876495">
        <w:rPr>
          <w:rFonts w:cs="Arial"/>
        </w:rPr>
        <w:t>is not subject to specific legislation (including GDPR or FoIA), it is governed by the Crown's common law powers, as limited by the restraints of public law and constitutional principle</w:t>
      </w:r>
      <w:r w:rsidR="00EA1F25" w:rsidRPr="0016416F">
        <w:rPr>
          <w:rFonts w:cs="Arial"/>
        </w:rPr>
        <w:t>.</w:t>
      </w:r>
    </w:p>
    <w:p w14:paraId="6939ED62" w14:textId="6E599EE0" w:rsidR="00EA1F25" w:rsidRDefault="00EA1F25" w:rsidP="00EA1F25">
      <w:pPr>
        <w:spacing w:after="0" w:line="240" w:lineRule="auto"/>
        <w:ind w:left="360"/>
        <w:rPr>
          <w:rFonts w:cs="Arial"/>
        </w:rPr>
      </w:pPr>
    </w:p>
    <w:p w14:paraId="6E6E90AA" w14:textId="77777777" w:rsidR="00876495" w:rsidRPr="00D2502D" w:rsidRDefault="00876495" w:rsidP="00876495">
      <w:pPr>
        <w:pStyle w:val="Heading2"/>
        <w:rPr>
          <w:rFonts w:cs="Arial"/>
          <w:sz w:val="28"/>
          <w:szCs w:val="28"/>
        </w:rPr>
      </w:pPr>
      <w:r w:rsidRPr="002B5183">
        <w:rPr>
          <w:sz w:val="24"/>
          <w:szCs w:val="28"/>
        </w:rPr>
        <w:t>More about this schedule</w:t>
      </w:r>
    </w:p>
    <w:p w14:paraId="22227107" w14:textId="3B6B3D90" w:rsidR="00EA1F25" w:rsidRPr="000041B3" w:rsidRDefault="00EA1F25" w:rsidP="00EA1F25">
      <w:pPr>
        <w:numPr>
          <w:ilvl w:val="0"/>
          <w:numId w:val="6"/>
        </w:numPr>
        <w:spacing w:after="0" w:line="240" w:lineRule="auto"/>
        <w:ind w:left="360"/>
        <w:rPr>
          <w:rFonts w:cs="Arial"/>
        </w:rPr>
      </w:pPr>
      <w:r w:rsidRPr="000041B3">
        <w:rPr>
          <w:rFonts w:cs="Arial"/>
        </w:rPr>
        <w:t xml:space="preserve">This schedule also follows The National Archives’ (TNA) </w:t>
      </w:r>
      <w:r w:rsidRPr="00EA1F25">
        <w:rPr>
          <w:rFonts w:cs="Arial"/>
          <w:i/>
        </w:rPr>
        <w:t xml:space="preserve">Guidance on the Management of Private Office Papers </w:t>
      </w:r>
      <w:r w:rsidRPr="000041B3">
        <w:rPr>
          <w:rFonts w:cs="Arial"/>
        </w:rPr>
        <w:t xml:space="preserve">which can be found at: </w:t>
      </w:r>
      <w:hyperlink r:id="rId11" w:history="1">
        <w:r w:rsidRPr="0072274A">
          <w:rPr>
            <w:rStyle w:val="Hyperlink"/>
            <w:color w:val="0000CC"/>
          </w:rPr>
          <w:t>http://www.nationalarchives.gov.uk/documents/information-management/popapersguidance2009.pdf</w:t>
        </w:r>
      </w:hyperlink>
    </w:p>
    <w:p w14:paraId="1E56CE85" w14:textId="77777777" w:rsidR="00EA1F25" w:rsidRDefault="00EA1F25" w:rsidP="00EA1F25">
      <w:pPr>
        <w:spacing w:after="0"/>
        <w:ind w:left="360"/>
        <w:rPr>
          <w:rFonts w:cs="Arial"/>
        </w:rPr>
      </w:pPr>
    </w:p>
    <w:p w14:paraId="5DD1F56B" w14:textId="77777777" w:rsidR="002825C9" w:rsidRDefault="007D3BDE" w:rsidP="00523BE7">
      <w:pPr>
        <w:numPr>
          <w:ilvl w:val="0"/>
          <w:numId w:val="6"/>
        </w:numPr>
        <w:spacing w:after="0" w:line="240" w:lineRule="auto"/>
        <w:ind w:left="360"/>
        <w:rPr>
          <w:rFonts w:cs="Arial"/>
        </w:rPr>
      </w:pPr>
      <w:r w:rsidRPr="00523BE7">
        <w:rPr>
          <w:rFonts w:cs="Arial"/>
        </w:rPr>
        <w:t xml:space="preserve">In line with this guidance, </w:t>
      </w:r>
      <w:r w:rsidR="0072274A" w:rsidRPr="00523BE7">
        <w:rPr>
          <w:rFonts w:cs="Arial"/>
        </w:rPr>
        <w:t>some of these records may be selected for permanent preservation.</w:t>
      </w:r>
      <w:r w:rsidRPr="00523BE7">
        <w:rPr>
          <w:rFonts w:cs="Arial"/>
        </w:rPr>
        <w:t xml:space="preserve"> </w:t>
      </w:r>
    </w:p>
    <w:p w14:paraId="2C383CE6" w14:textId="1214E878" w:rsidR="002825C9" w:rsidRDefault="002825C9" w:rsidP="002825C9">
      <w:pPr>
        <w:spacing w:after="0" w:line="240" w:lineRule="auto"/>
        <w:ind w:left="360"/>
        <w:rPr>
          <w:rFonts w:cs="Arial"/>
        </w:rPr>
      </w:pPr>
    </w:p>
    <w:p w14:paraId="4726ED54" w14:textId="7A0B6497" w:rsidR="002825C9" w:rsidRDefault="002825C9" w:rsidP="002825C9">
      <w:pPr>
        <w:spacing w:after="0" w:line="240" w:lineRule="auto"/>
        <w:ind w:left="360"/>
        <w:rPr>
          <w:rFonts w:cs="Arial"/>
        </w:rPr>
      </w:pPr>
    </w:p>
    <w:p w14:paraId="221EE46D" w14:textId="3EA9E6F6" w:rsidR="002825C9" w:rsidRDefault="002825C9" w:rsidP="002825C9">
      <w:pPr>
        <w:spacing w:after="0" w:line="240" w:lineRule="auto"/>
        <w:ind w:left="360"/>
        <w:rPr>
          <w:rFonts w:cs="Arial"/>
        </w:rPr>
      </w:pPr>
    </w:p>
    <w:p w14:paraId="170E3A0B" w14:textId="0ACA4F6D" w:rsidR="002825C9" w:rsidRDefault="002825C9" w:rsidP="002825C9">
      <w:pPr>
        <w:spacing w:after="0" w:line="240" w:lineRule="auto"/>
        <w:ind w:left="360"/>
        <w:rPr>
          <w:rFonts w:cs="Arial"/>
        </w:rPr>
      </w:pPr>
    </w:p>
    <w:p w14:paraId="0E55C811" w14:textId="509AFCE7" w:rsidR="002825C9" w:rsidRDefault="002825C9" w:rsidP="002825C9">
      <w:pPr>
        <w:spacing w:after="0" w:line="240" w:lineRule="auto"/>
        <w:ind w:left="360"/>
        <w:rPr>
          <w:rFonts w:cs="Arial"/>
        </w:rPr>
      </w:pPr>
    </w:p>
    <w:p w14:paraId="64E4F944" w14:textId="77777777" w:rsidR="002825C9" w:rsidRDefault="002825C9" w:rsidP="002825C9">
      <w:pPr>
        <w:spacing w:after="0" w:line="240" w:lineRule="auto"/>
        <w:ind w:left="360"/>
        <w:rPr>
          <w:rFonts w:cs="Arial"/>
        </w:rPr>
      </w:pPr>
    </w:p>
    <w:p w14:paraId="08B480A9" w14:textId="5449BF2E" w:rsidR="00523BE7" w:rsidRPr="00523BE7" w:rsidRDefault="00523BE7" w:rsidP="00523BE7">
      <w:pPr>
        <w:numPr>
          <w:ilvl w:val="0"/>
          <w:numId w:val="6"/>
        </w:numPr>
        <w:spacing w:after="0" w:line="240" w:lineRule="auto"/>
        <w:ind w:left="360"/>
        <w:rPr>
          <w:rFonts w:cs="Arial"/>
        </w:rPr>
      </w:pPr>
      <w:r w:rsidRPr="00523BE7">
        <w:rPr>
          <w:rFonts w:cs="Arial"/>
        </w:rPr>
        <w:t>The records selected for permanent preservation are transferred to TNA by the DRO’s team. To avoid confusion, this process includes:</w:t>
      </w:r>
    </w:p>
    <w:p w14:paraId="0FB89004" w14:textId="77777777" w:rsidR="00523BE7" w:rsidRPr="00E66A89" w:rsidRDefault="00523BE7" w:rsidP="00523BE7">
      <w:pPr>
        <w:spacing w:after="0" w:line="240" w:lineRule="auto"/>
        <w:ind w:left="360"/>
        <w:rPr>
          <w:rFonts w:cs="Arial"/>
          <w:szCs w:val="24"/>
        </w:rPr>
      </w:pPr>
    </w:p>
    <w:p w14:paraId="36799AE8" w14:textId="77777777" w:rsidR="00523BE7" w:rsidRPr="00E66A89" w:rsidRDefault="00523BE7" w:rsidP="00523BE7">
      <w:pPr>
        <w:pStyle w:val="ListParagraph"/>
        <w:numPr>
          <w:ilvl w:val="1"/>
          <w:numId w:val="6"/>
        </w:numPr>
        <w:spacing w:after="0"/>
        <w:ind w:left="993"/>
        <w:rPr>
          <w:rFonts w:cs="Arial"/>
          <w:sz w:val="24"/>
          <w:szCs w:val="24"/>
        </w:rPr>
      </w:pPr>
      <w:r w:rsidRPr="00E66A89">
        <w:rPr>
          <w:rFonts w:cs="Arial"/>
          <w:sz w:val="24"/>
          <w:szCs w:val="24"/>
        </w:rPr>
        <w:t>Records are reviewed by the DRO’s staff prior to transfer to TNA, following criteria agreed between the two organisations.</w:t>
      </w:r>
    </w:p>
    <w:p w14:paraId="04FE8880" w14:textId="77777777" w:rsidR="00523BE7" w:rsidRDefault="00523BE7" w:rsidP="00523BE7">
      <w:pPr>
        <w:pStyle w:val="ListParagraph"/>
        <w:numPr>
          <w:ilvl w:val="1"/>
          <w:numId w:val="6"/>
        </w:numPr>
        <w:spacing w:after="0"/>
        <w:ind w:left="993"/>
        <w:rPr>
          <w:rFonts w:cs="Arial"/>
          <w:sz w:val="24"/>
          <w:szCs w:val="24"/>
        </w:rPr>
      </w:pPr>
      <w:r w:rsidRPr="00E66A89">
        <w:rPr>
          <w:rFonts w:cs="Arial"/>
          <w:sz w:val="24"/>
          <w:szCs w:val="24"/>
        </w:rPr>
        <w:t>Where records meet the criteria, they are prepared and then transferred to TNA. Where records do not meet the criteria, they will be destroyed.</w:t>
      </w:r>
    </w:p>
    <w:p w14:paraId="17C416E6" w14:textId="16CB0153" w:rsidR="00523BE7" w:rsidRPr="00523BE7" w:rsidRDefault="00523BE7" w:rsidP="00523BE7">
      <w:pPr>
        <w:pStyle w:val="ListParagraph"/>
        <w:numPr>
          <w:ilvl w:val="1"/>
          <w:numId w:val="6"/>
        </w:numPr>
        <w:spacing w:after="0"/>
        <w:ind w:left="993"/>
        <w:rPr>
          <w:rFonts w:cs="Arial"/>
          <w:sz w:val="24"/>
          <w:szCs w:val="24"/>
        </w:rPr>
      </w:pPr>
      <w:r w:rsidRPr="00523BE7">
        <w:rPr>
          <w:rFonts w:cs="Arial"/>
          <w:sz w:val="24"/>
          <w:szCs w:val="24"/>
        </w:rPr>
        <w:t>The DRO makes the final decision about what is/is not transferred to TNA.</w:t>
      </w:r>
    </w:p>
    <w:p w14:paraId="0EEF7623" w14:textId="77777777" w:rsidR="00A51E6D" w:rsidRDefault="00A51E6D" w:rsidP="00A51E6D">
      <w:pPr>
        <w:spacing w:after="0" w:line="240" w:lineRule="auto"/>
        <w:ind w:left="360"/>
        <w:rPr>
          <w:rFonts w:cs="Arial"/>
        </w:rPr>
      </w:pPr>
    </w:p>
    <w:p w14:paraId="7C1D210E" w14:textId="1CC6BA8D" w:rsidR="00EA1F25" w:rsidRDefault="00EA1F25" w:rsidP="00EA1F25">
      <w:pPr>
        <w:numPr>
          <w:ilvl w:val="0"/>
          <w:numId w:val="6"/>
        </w:numPr>
        <w:spacing w:after="0" w:line="240" w:lineRule="auto"/>
        <w:ind w:left="360"/>
        <w:rPr>
          <w:rFonts w:cs="Arial"/>
        </w:rPr>
      </w:pPr>
      <w:r>
        <w:rPr>
          <w:rFonts w:cs="Arial"/>
        </w:rPr>
        <w:t>This schedule is split into two:</w:t>
      </w:r>
    </w:p>
    <w:p w14:paraId="048A1D56" w14:textId="77777777" w:rsidR="00EA1F25" w:rsidRDefault="00EA1F25" w:rsidP="00EA1F25">
      <w:pPr>
        <w:spacing w:after="0"/>
        <w:ind w:left="360"/>
        <w:rPr>
          <w:rFonts w:cs="Arial"/>
        </w:rPr>
      </w:pPr>
    </w:p>
    <w:p w14:paraId="41941A79" w14:textId="77777777" w:rsidR="00EA1F25" w:rsidRDefault="00EA1F25" w:rsidP="00EA1F25">
      <w:pPr>
        <w:numPr>
          <w:ilvl w:val="1"/>
          <w:numId w:val="6"/>
        </w:numPr>
        <w:spacing w:after="0" w:line="240" w:lineRule="auto"/>
        <w:rPr>
          <w:rFonts w:cs="Arial"/>
        </w:rPr>
      </w:pPr>
      <w:r>
        <w:rPr>
          <w:rFonts w:cs="Arial"/>
        </w:rPr>
        <w:t xml:space="preserve">Records unique to Private Office </w:t>
      </w:r>
    </w:p>
    <w:p w14:paraId="69C87091" w14:textId="77777777" w:rsidR="00EA1F25" w:rsidRPr="00950CCF" w:rsidRDefault="00EA1F25" w:rsidP="00EA1F25">
      <w:pPr>
        <w:numPr>
          <w:ilvl w:val="1"/>
          <w:numId w:val="6"/>
        </w:numPr>
        <w:spacing w:after="0" w:line="240" w:lineRule="auto"/>
        <w:rPr>
          <w:rFonts w:cs="Arial"/>
        </w:rPr>
      </w:pPr>
      <w:r w:rsidRPr="00950CCF">
        <w:rPr>
          <w:rFonts w:cs="Arial"/>
        </w:rPr>
        <w:t>Records held by various teams within the MoJ and its associated bodies and where a common retention and disposition policy is applied.</w:t>
      </w:r>
    </w:p>
    <w:p w14:paraId="499357FF" w14:textId="77777777" w:rsidR="00EA1F25" w:rsidRDefault="00EA1F25" w:rsidP="00EA1F25">
      <w:pPr>
        <w:spacing w:after="0"/>
        <w:ind w:left="1080"/>
        <w:rPr>
          <w:rFonts w:cs="Arial"/>
        </w:rPr>
      </w:pPr>
    </w:p>
    <w:p w14:paraId="060A5817" w14:textId="2078B4E5" w:rsidR="00EA1F25" w:rsidRPr="00876495" w:rsidRDefault="00876495" w:rsidP="00876495">
      <w:pPr>
        <w:numPr>
          <w:ilvl w:val="0"/>
          <w:numId w:val="6"/>
        </w:numPr>
        <w:spacing w:after="0" w:line="240" w:lineRule="auto"/>
        <w:ind w:left="360"/>
        <w:rPr>
          <w:rFonts w:cs="Arial"/>
        </w:rPr>
      </w:pPr>
      <w:r w:rsidRPr="00876495">
        <w:rPr>
          <w:rFonts w:cs="Arial"/>
        </w:rPr>
        <w:t xml:space="preserve">If a Freedom of Information Act 2000 request or a subject access request under the General Data Protection Regulation and Data Protection Act 2018 is received, a hold must be put on the relevant records for at least </w:t>
      </w:r>
      <w:r w:rsidRPr="00876495">
        <w:rPr>
          <w:rFonts w:cs="Arial"/>
          <w:b/>
        </w:rPr>
        <w:t>three months</w:t>
      </w:r>
      <w:r w:rsidRPr="00876495">
        <w:rPr>
          <w:rFonts w:cs="Arial"/>
        </w:rPr>
        <w:t xml:space="preserve"> after the request is resolved.</w:t>
      </w:r>
      <w:bookmarkStart w:id="2" w:name="_Hlk26976220"/>
      <w:r w:rsidRPr="00876495">
        <w:rPr>
          <w:vertAlign w:val="superscript"/>
        </w:rPr>
        <w:footnoteReference w:id="3"/>
      </w:r>
      <w:bookmarkEnd w:id="2"/>
    </w:p>
    <w:p w14:paraId="51C08A46" w14:textId="77777777" w:rsidR="00876495" w:rsidRDefault="00876495" w:rsidP="00EA1F25">
      <w:pPr>
        <w:spacing w:after="0"/>
        <w:ind w:left="360"/>
        <w:rPr>
          <w:rFonts w:cs="Arial"/>
        </w:rPr>
      </w:pPr>
    </w:p>
    <w:p w14:paraId="5FFB1667" w14:textId="77777777" w:rsidR="00EA1F25" w:rsidRDefault="00EA1F25" w:rsidP="00EA1F25">
      <w:pPr>
        <w:numPr>
          <w:ilvl w:val="0"/>
          <w:numId w:val="6"/>
        </w:numPr>
        <w:spacing w:after="0" w:line="240" w:lineRule="auto"/>
        <w:ind w:left="360"/>
        <w:rPr>
          <w:rFonts w:cs="Arial"/>
        </w:rPr>
      </w:pPr>
      <w:r>
        <w:rPr>
          <w:rFonts w:cs="Arial"/>
        </w:rPr>
        <w:t>While the Independent Inquiry into Child Sexual Abuse (IICSA) continues its investigations, the moratorium on the destruction of records of potential interest to IICSA remains in place. All government departments and their associated bodies (in common with other public sector bodies) are required to comply with the moratorium</w:t>
      </w:r>
      <w:r>
        <w:rPr>
          <w:rFonts w:cs="Arial"/>
          <w:color w:val="000000"/>
        </w:rPr>
        <w:t>. All business areas should apply the moratorium to any records covered by the following criteria:</w:t>
      </w:r>
    </w:p>
    <w:p w14:paraId="3E9746E2" w14:textId="77777777" w:rsidR="00EA1F25" w:rsidRDefault="00EA1F25" w:rsidP="00EA1F25">
      <w:pPr>
        <w:spacing w:after="0"/>
        <w:ind w:left="1440"/>
        <w:rPr>
          <w:rFonts w:cs="Arial"/>
        </w:rPr>
      </w:pPr>
    </w:p>
    <w:p w14:paraId="4C87214B" w14:textId="77777777" w:rsidR="00EA1F25" w:rsidRPr="00ED1415" w:rsidRDefault="00EA1F25" w:rsidP="00EA1F25">
      <w:pPr>
        <w:numPr>
          <w:ilvl w:val="1"/>
          <w:numId w:val="6"/>
        </w:numPr>
        <w:spacing w:after="0" w:line="240" w:lineRule="auto"/>
        <w:rPr>
          <w:rFonts w:cs="Arial"/>
        </w:rPr>
      </w:pPr>
      <w:r w:rsidRPr="00754A1B">
        <w:rPr>
          <w:rFonts w:cs="Arial"/>
        </w:rPr>
        <w:t>documents</w:t>
      </w:r>
      <w:r>
        <w:rPr>
          <w:rFonts w:cs="Arial"/>
        </w:rPr>
        <w:t xml:space="preserve"> </w:t>
      </w:r>
      <w:r w:rsidRPr="00754A1B">
        <w:rPr>
          <w:rFonts w:cs="Arial"/>
        </w:rPr>
        <w:t>which contain or may contain content pertaining directly or indirectly to the sexual abuse</w:t>
      </w:r>
      <w:r w:rsidRPr="00754A1B">
        <w:rPr>
          <w:rFonts w:cs="Arial"/>
          <w:color w:val="000000"/>
        </w:rPr>
        <w:t xml:space="preserve"> of children </w:t>
      </w:r>
      <w:r>
        <w:rPr>
          <w:rFonts w:cs="Arial"/>
          <w:color w:val="000000"/>
        </w:rPr>
        <w:t>or to child protection and care</w:t>
      </w:r>
    </w:p>
    <w:p w14:paraId="7715283D" w14:textId="77777777" w:rsidR="00EA1F25" w:rsidRDefault="00EA1F25" w:rsidP="00EA1F25">
      <w:pPr>
        <w:numPr>
          <w:ilvl w:val="1"/>
          <w:numId w:val="6"/>
        </w:numPr>
        <w:spacing w:after="0" w:line="240" w:lineRule="auto"/>
        <w:rPr>
          <w:rFonts w:cs="Arial"/>
        </w:rPr>
      </w:pPr>
      <w:r>
        <w:rPr>
          <w:rFonts w:cs="Arial"/>
        </w:rPr>
        <w:t xml:space="preserve">the document types include, but are not limited to, </w:t>
      </w:r>
      <w:r w:rsidRPr="00754A1B">
        <w:rPr>
          <w:rFonts w:cs="Arial"/>
        </w:rPr>
        <w:t>correspondence, notes, emails</w:t>
      </w:r>
      <w:r>
        <w:rPr>
          <w:rFonts w:cs="Arial"/>
        </w:rPr>
        <w:t>,</w:t>
      </w:r>
      <w:r w:rsidRPr="00754A1B">
        <w:rPr>
          <w:rFonts w:cs="Arial"/>
        </w:rPr>
        <w:t xml:space="preserve"> and </w:t>
      </w:r>
      <w:r>
        <w:rPr>
          <w:rFonts w:cs="Arial"/>
        </w:rPr>
        <w:t>case files, regardless of the format in which they are stored (digital, paper, CDs, etc)</w:t>
      </w:r>
      <w:r w:rsidRPr="00754A1B">
        <w:rPr>
          <w:rFonts w:cs="Arial"/>
        </w:rPr>
        <w:t xml:space="preserve"> </w:t>
      </w:r>
    </w:p>
    <w:p w14:paraId="01B59EE1" w14:textId="77777777" w:rsidR="00EA1F25" w:rsidRPr="00ED1415" w:rsidRDefault="00EA1F25" w:rsidP="00EA1F25">
      <w:pPr>
        <w:numPr>
          <w:ilvl w:val="1"/>
          <w:numId w:val="6"/>
        </w:numPr>
        <w:spacing w:after="0" w:line="240" w:lineRule="auto"/>
        <w:rPr>
          <w:rFonts w:cs="Arial"/>
        </w:rPr>
      </w:pPr>
      <w:r>
        <w:rPr>
          <w:rFonts w:cs="Arial"/>
          <w:color w:val="000000"/>
        </w:rPr>
        <w:t>f</w:t>
      </w:r>
      <w:r w:rsidRPr="00754A1B">
        <w:rPr>
          <w:rFonts w:cs="Arial"/>
          <w:color w:val="000000"/>
        </w:rPr>
        <w:t>or the purposes of this instruction, the word “children” relates to any person under the age of 18</w:t>
      </w:r>
    </w:p>
    <w:p w14:paraId="2F9CD4D0" w14:textId="77777777" w:rsidR="00EA1F25" w:rsidRPr="00754A1B" w:rsidRDefault="00EA1F25" w:rsidP="00EA1F25">
      <w:pPr>
        <w:numPr>
          <w:ilvl w:val="1"/>
          <w:numId w:val="6"/>
        </w:numPr>
        <w:spacing w:after="0" w:line="240" w:lineRule="auto"/>
        <w:rPr>
          <w:rFonts w:cs="Arial"/>
        </w:rPr>
      </w:pPr>
      <w:r>
        <w:rPr>
          <w:rFonts w:cs="Arial"/>
          <w:color w:val="000000"/>
        </w:rPr>
        <w:t xml:space="preserve">further information about the moratorium is available on IICSA’s website at: </w:t>
      </w:r>
      <w:hyperlink r:id="rId12" w:history="1">
        <w:r w:rsidRPr="00513424">
          <w:rPr>
            <w:rStyle w:val="Hyperlink"/>
            <w:rFonts w:cs="Arial"/>
            <w:color w:val="0000CC"/>
          </w:rPr>
          <w:t>https://www.iicsa.org.uk/news/chair-of-the-inquiry-issues-guidance-on-destruction-of-documents</w:t>
        </w:r>
      </w:hyperlink>
      <w:r>
        <w:rPr>
          <w:rFonts w:cs="Arial"/>
          <w:color w:val="000000"/>
        </w:rPr>
        <w:t>.</w:t>
      </w:r>
    </w:p>
    <w:p w14:paraId="2E9CF673" w14:textId="77777777" w:rsidR="00EA1F25" w:rsidRDefault="00EA1F25" w:rsidP="00EA1F25">
      <w:pPr>
        <w:spacing w:after="0"/>
        <w:ind w:left="360"/>
        <w:rPr>
          <w:rFonts w:cs="Arial"/>
        </w:rPr>
      </w:pPr>
    </w:p>
    <w:p w14:paraId="56A75DD0" w14:textId="6E697ECB" w:rsidR="00EA1F25" w:rsidRDefault="00EA1F25" w:rsidP="00EA1F25">
      <w:pPr>
        <w:numPr>
          <w:ilvl w:val="0"/>
          <w:numId w:val="6"/>
        </w:numPr>
        <w:spacing w:after="0" w:line="240" w:lineRule="auto"/>
        <w:ind w:left="360"/>
        <w:rPr>
          <w:rFonts w:cs="Arial"/>
        </w:rPr>
      </w:pPr>
      <w:r>
        <w:rPr>
          <w:rFonts w:cs="Arial"/>
        </w:rPr>
        <w:t xml:space="preserve">While the Infected Blood Inquiry continues its investigations, the </w:t>
      </w:r>
      <w:r w:rsidR="00E6566F">
        <w:rPr>
          <w:rFonts w:cs="Arial"/>
        </w:rPr>
        <w:t>Private Office</w:t>
      </w:r>
      <w:r>
        <w:rPr>
          <w:rFonts w:cs="Arial"/>
        </w:rPr>
        <w:t xml:space="preserve"> will comply with the moratorium on the destruction of records relevant to this Inquiry. Further information about the Inquiry’s requirements can be found on its website: </w:t>
      </w:r>
      <w:hyperlink r:id="rId13" w:history="1">
        <w:r w:rsidRPr="007F53FF">
          <w:rPr>
            <w:rStyle w:val="Hyperlink"/>
            <w:color w:val="0000CC"/>
          </w:rPr>
          <w:t>https://www.infectedbloodinquiry.org.uk/evidence/</w:t>
        </w:r>
        <w:r w:rsidRPr="007F53FF">
          <w:rPr>
            <w:rStyle w:val="Hyperlink"/>
            <w:rFonts w:cs="Arial"/>
            <w:color w:val="0000CC"/>
          </w:rPr>
          <w:t>.</w:t>
        </w:r>
      </w:hyperlink>
      <w:r>
        <w:rPr>
          <w:rFonts w:cs="Arial"/>
        </w:rPr>
        <w:t xml:space="preserve"> </w:t>
      </w:r>
    </w:p>
    <w:p w14:paraId="6DC6CBB4" w14:textId="77777777" w:rsidR="00EA1F25" w:rsidRDefault="00EA1F25" w:rsidP="00EA1F25">
      <w:pPr>
        <w:spacing w:after="0"/>
        <w:ind w:left="360"/>
        <w:rPr>
          <w:rFonts w:cs="Arial"/>
        </w:rPr>
      </w:pPr>
    </w:p>
    <w:p w14:paraId="7E819BBE" w14:textId="77777777" w:rsidR="00EA1F25" w:rsidRDefault="00EA1F25" w:rsidP="00EA1F25">
      <w:pPr>
        <w:numPr>
          <w:ilvl w:val="0"/>
          <w:numId w:val="6"/>
        </w:numPr>
        <w:spacing w:after="0" w:line="240" w:lineRule="auto"/>
        <w:ind w:left="360"/>
        <w:rPr>
          <w:rFonts w:cs="Arial"/>
        </w:rPr>
      </w:pPr>
      <w:r w:rsidRPr="009F5E96">
        <w:rPr>
          <w:rFonts w:cs="Arial"/>
        </w:rPr>
        <w:t xml:space="preserve">As part of its commitment to transparency, this schedule will be published on the MoJ’s webpage: </w:t>
      </w:r>
      <w:hyperlink r:id="rId14" w:history="1">
        <w:r w:rsidRPr="00513424">
          <w:rPr>
            <w:rStyle w:val="Hyperlink"/>
            <w:rFonts w:cs="Arial"/>
            <w:color w:val="0000CC"/>
          </w:rPr>
          <w:t>https://www.gov.uk/government/publications/record-retention-and-disposition-schedules</w:t>
        </w:r>
      </w:hyperlink>
      <w:r>
        <w:rPr>
          <w:rStyle w:val="Hyperlink"/>
          <w:rFonts w:cs="Arial"/>
        </w:rPr>
        <w:t xml:space="preserve">. </w:t>
      </w:r>
      <w:r w:rsidRPr="009F5E96">
        <w:rPr>
          <w:rFonts w:cs="Arial"/>
        </w:rPr>
        <w:t xml:space="preserve"> </w:t>
      </w:r>
    </w:p>
    <w:p w14:paraId="28D12A08" w14:textId="77777777" w:rsidR="00EA1F25" w:rsidRDefault="00EA1F25" w:rsidP="00A37F61">
      <w:pPr>
        <w:spacing w:after="0" w:line="240" w:lineRule="auto"/>
        <w:ind w:left="360"/>
        <w:rPr>
          <w:rFonts w:cs="Arial"/>
          <w:szCs w:val="24"/>
        </w:rPr>
      </w:pPr>
    </w:p>
    <w:p w14:paraId="355C37AE" w14:textId="5560C97B" w:rsidR="00E66A89" w:rsidRDefault="00E66A89" w:rsidP="00A37F61">
      <w:pPr>
        <w:spacing w:after="0" w:line="240" w:lineRule="auto"/>
        <w:rPr>
          <w:rFonts w:cs="Arial"/>
          <w:szCs w:val="24"/>
        </w:rPr>
      </w:pPr>
      <w:r w:rsidRPr="00E66A89">
        <w:rPr>
          <w:rFonts w:cs="Arial"/>
          <w:szCs w:val="24"/>
        </w:rPr>
        <w:t xml:space="preserve"> </w:t>
      </w:r>
    </w:p>
    <w:p w14:paraId="583CED60" w14:textId="7CE836BD" w:rsidR="00E66A89" w:rsidRDefault="00060064" w:rsidP="00E66A89">
      <w:pPr>
        <w:pStyle w:val="Heading2"/>
      </w:pPr>
      <w:r>
        <w:lastRenderedPageBreak/>
        <w:t>The schedule</w:t>
      </w:r>
    </w:p>
    <w:tbl>
      <w:tblPr>
        <w:tblStyle w:val="TableGrid"/>
        <w:tblW w:w="10212" w:type="dxa"/>
        <w:tblInd w:w="-147" w:type="dxa"/>
        <w:tblLook w:val="04A0" w:firstRow="1" w:lastRow="0" w:firstColumn="1" w:lastColumn="0" w:noHBand="0" w:noVBand="1"/>
      </w:tblPr>
      <w:tblGrid>
        <w:gridCol w:w="709"/>
        <w:gridCol w:w="4111"/>
        <w:gridCol w:w="5392"/>
      </w:tblGrid>
      <w:tr w:rsidR="00E66A89" w:rsidRPr="00E66A89" w14:paraId="15D3E8C2" w14:textId="77777777" w:rsidTr="00956C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AC0BF52" w14:textId="09D8B41B" w:rsidR="00E66A89" w:rsidRPr="00E66A89" w:rsidRDefault="00E66A89" w:rsidP="00E66A89">
            <w:pPr>
              <w:pStyle w:val="Text"/>
              <w:spacing w:after="0"/>
              <w:jc w:val="center"/>
              <w:rPr>
                <w:sz w:val="24"/>
              </w:rPr>
            </w:pPr>
            <w:r w:rsidRPr="00E66A89">
              <w:rPr>
                <w:sz w:val="24"/>
              </w:rPr>
              <w:t>No.</w:t>
            </w:r>
          </w:p>
        </w:tc>
        <w:tc>
          <w:tcPr>
            <w:tcW w:w="4111" w:type="dxa"/>
            <w:vAlign w:val="center"/>
          </w:tcPr>
          <w:p w14:paraId="0F7887AE" w14:textId="3C0AA512"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5392" w:type="dxa"/>
            <w:vAlign w:val="center"/>
          </w:tcPr>
          <w:p w14:paraId="1DF9DE5A" w14:textId="22B59B4F"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E66A89" w:rsidRPr="00E66A89" w14:paraId="14C56001" w14:textId="77777777" w:rsidTr="00A51E6D">
        <w:tc>
          <w:tcPr>
            <w:cnfStyle w:val="001000000000" w:firstRow="0" w:lastRow="0" w:firstColumn="1" w:lastColumn="0" w:oddVBand="0" w:evenVBand="0" w:oddHBand="0" w:evenHBand="0" w:firstRowFirstColumn="0" w:firstRowLastColumn="0" w:lastRowFirstColumn="0" w:lastRowLastColumn="0"/>
            <w:tcW w:w="10212" w:type="dxa"/>
            <w:gridSpan w:val="3"/>
          </w:tcPr>
          <w:p w14:paraId="570458FA" w14:textId="77777777" w:rsidR="00E66A89" w:rsidRDefault="00E66A89" w:rsidP="00E66A89">
            <w:pPr>
              <w:pStyle w:val="Text"/>
              <w:spacing w:after="0"/>
              <w:jc w:val="center"/>
              <w:rPr>
                <w:sz w:val="24"/>
              </w:rPr>
            </w:pPr>
          </w:p>
          <w:p w14:paraId="57E8F45E" w14:textId="1E87A0C3" w:rsidR="00E66A89" w:rsidRDefault="00E66A89" w:rsidP="00E66A89">
            <w:pPr>
              <w:pStyle w:val="Text"/>
              <w:spacing w:after="0"/>
              <w:jc w:val="center"/>
              <w:rPr>
                <w:color w:val="FF0000"/>
                <w:sz w:val="24"/>
              </w:rPr>
            </w:pPr>
            <w:r w:rsidRPr="00E66A89">
              <w:rPr>
                <w:sz w:val="24"/>
              </w:rPr>
              <w:t>1. Unique records held by</w:t>
            </w:r>
            <w:r w:rsidR="009B2328">
              <w:rPr>
                <w:sz w:val="24"/>
              </w:rPr>
              <w:t xml:space="preserve"> Private Office</w:t>
            </w:r>
          </w:p>
          <w:p w14:paraId="0AD47CD3" w14:textId="21AF29F2" w:rsidR="00E66A89" w:rsidRPr="00E66A89" w:rsidRDefault="00E66A89" w:rsidP="00E66A89">
            <w:pPr>
              <w:pStyle w:val="Text"/>
              <w:spacing w:after="0"/>
              <w:jc w:val="center"/>
              <w:rPr>
                <w:sz w:val="24"/>
              </w:rPr>
            </w:pPr>
          </w:p>
        </w:tc>
      </w:tr>
      <w:tr w:rsidR="009B2328" w14:paraId="10B036AF"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7300C66D" w14:textId="77777777" w:rsidR="009B2328" w:rsidRPr="008555AC" w:rsidRDefault="009B2328" w:rsidP="009B2328">
            <w:pPr>
              <w:pStyle w:val="Text"/>
              <w:numPr>
                <w:ilvl w:val="0"/>
                <w:numId w:val="11"/>
              </w:numPr>
              <w:spacing w:after="0"/>
            </w:pPr>
          </w:p>
        </w:tc>
        <w:tc>
          <w:tcPr>
            <w:tcW w:w="4111" w:type="dxa"/>
            <w:vAlign w:val="center"/>
          </w:tcPr>
          <w:p w14:paraId="360B4F09" w14:textId="77777777" w:rsidR="009B2328" w:rsidRPr="008555AC" w:rsidRDefault="009B2328" w:rsidP="009B2328">
            <w:pPr>
              <w:pStyle w:val="Text"/>
              <w:spacing w:after="0"/>
              <w:cnfStyle w:val="000000000000" w:firstRow="0" w:lastRow="0" w:firstColumn="0" w:lastColumn="0" w:oddVBand="0" w:evenVBand="0" w:oddHBand="0" w:evenHBand="0" w:firstRowFirstColumn="0" w:firstRowLastColumn="0" w:lastRowFirstColumn="0" w:lastRowLastColumn="0"/>
            </w:pPr>
          </w:p>
          <w:p w14:paraId="6AE3E1FC" w14:textId="77777777" w:rsidR="009B2328" w:rsidRPr="008555AC" w:rsidRDefault="009B2328" w:rsidP="009B2328">
            <w:pPr>
              <w:pStyle w:val="Text"/>
              <w:spacing w:after="0"/>
              <w:cnfStyle w:val="000000000000" w:firstRow="0" w:lastRow="0" w:firstColumn="0" w:lastColumn="0" w:oddVBand="0" w:evenVBand="0" w:oddHBand="0" w:evenHBand="0" w:firstRowFirstColumn="0" w:firstRowLastColumn="0" w:lastRowFirstColumn="0" w:lastRowLastColumn="0"/>
            </w:pPr>
            <w:r w:rsidRPr="008555AC">
              <w:t>Events Correspondence</w:t>
            </w:r>
          </w:p>
          <w:p w14:paraId="7FC9290C" w14:textId="77777777" w:rsidR="009B2328" w:rsidRPr="008555AC" w:rsidRDefault="009B2328" w:rsidP="009B2328">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6338AF76" w14:textId="0D6A24F3" w:rsidR="009B2328" w:rsidRPr="008555AC" w:rsidRDefault="009B2328" w:rsidP="009B2328">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If kept, destroy </w:t>
            </w:r>
            <w:r w:rsidRPr="008555AC">
              <w:rPr>
                <w:b/>
              </w:rPr>
              <w:t>one year</w:t>
            </w:r>
            <w:r w:rsidRPr="008555AC">
              <w:t xml:space="preserve"> after last entry</w:t>
            </w:r>
          </w:p>
        </w:tc>
      </w:tr>
      <w:tr w:rsidR="0001455D" w14:paraId="368F9D4F"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532E91DE" w14:textId="77777777" w:rsidR="0001455D" w:rsidRPr="008555AC" w:rsidRDefault="0001455D" w:rsidP="0001455D">
            <w:pPr>
              <w:pStyle w:val="Text"/>
              <w:numPr>
                <w:ilvl w:val="0"/>
                <w:numId w:val="11"/>
              </w:numPr>
              <w:spacing w:after="0"/>
            </w:pPr>
          </w:p>
        </w:tc>
        <w:tc>
          <w:tcPr>
            <w:tcW w:w="4111" w:type="dxa"/>
            <w:vAlign w:val="center"/>
          </w:tcPr>
          <w:p w14:paraId="73B6BCFB"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p>
          <w:p w14:paraId="447CE0FE"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r w:rsidRPr="008555AC">
              <w:t>Invitations</w:t>
            </w:r>
          </w:p>
          <w:p w14:paraId="3C9ED7A0"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25476EB9"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p>
          <w:p w14:paraId="406F75B7" w14:textId="30AD0AC0"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Where an invitation is linked to advice to ministers, </w:t>
            </w:r>
            <w:r w:rsidR="00A819B9" w:rsidRPr="008555AC">
              <w:t xml:space="preserve">transfer to the relevant </w:t>
            </w:r>
            <w:r w:rsidRPr="008555AC">
              <w:t>business area</w:t>
            </w:r>
            <w:r w:rsidR="00605D6B" w:rsidRPr="008555AC">
              <w:t>.</w:t>
            </w:r>
            <w:r w:rsidR="00D318AC" w:rsidRPr="008555AC">
              <w:rPr>
                <w:rStyle w:val="FootnoteReference"/>
              </w:rPr>
              <w:footnoteReference w:id="4"/>
            </w:r>
          </w:p>
          <w:p w14:paraId="0F03C467"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p>
          <w:p w14:paraId="1E924B82"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All other invitations can be kept for up to </w:t>
            </w:r>
            <w:r w:rsidRPr="008555AC">
              <w:rPr>
                <w:b/>
              </w:rPr>
              <w:t>one year</w:t>
            </w:r>
            <w:r w:rsidRPr="008555AC">
              <w:t xml:space="preserve"> and then destroyed</w:t>
            </w:r>
          </w:p>
          <w:p w14:paraId="34C2F722" w14:textId="77777777" w:rsidR="0001455D" w:rsidRPr="008555AC" w:rsidRDefault="0001455D" w:rsidP="0001455D">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53BD1079"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3E929DE4" w14:textId="77777777" w:rsidR="00E66A89" w:rsidRPr="008555AC" w:rsidRDefault="00E66A89" w:rsidP="00E66A89">
            <w:pPr>
              <w:pStyle w:val="Text"/>
              <w:numPr>
                <w:ilvl w:val="0"/>
                <w:numId w:val="11"/>
              </w:numPr>
              <w:spacing w:after="0"/>
            </w:pPr>
          </w:p>
        </w:tc>
        <w:tc>
          <w:tcPr>
            <w:tcW w:w="4111" w:type="dxa"/>
            <w:vAlign w:val="center"/>
          </w:tcPr>
          <w:p w14:paraId="003AF98E" w14:textId="77777777" w:rsidR="00E66A89" w:rsidRPr="008555AC"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01A886A5" w14:textId="77777777" w:rsidR="0001455D" w:rsidRPr="008555AC" w:rsidRDefault="0001455D" w:rsidP="00E66A89">
            <w:pPr>
              <w:pStyle w:val="Text"/>
              <w:spacing w:after="0"/>
              <w:cnfStyle w:val="000000000000" w:firstRow="0" w:lastRow="0" w:firstColumn="0" w:lastColumn="0" w:oddVBand="0" w:evenVBand="0" w:oddHBand="0" w:evenHBand="0" w:firstRowFirstColumn="0" w:firstRowLastColumn="0" w:lastRowFirstColumn="0" w:lastRowLastColumn="0"/>
            </w:pPr>
            <w:r w:rsidRPr="008555AC">
              <w:t>Interdepartmental correspondence</w:t>
            </w:r>
          </w:p>
          <w:p w14:paraId="19C00487" w14:textId="078E859D" w:rsidR="0001455D" w:rsidRPr="008555AC" w:rsidRDefault="0001455D"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767A7A91" w14:textId="3AAF1047" w:rsidR="00E66A89" w:rsidRPr="008555AC" w:rsidRDefault="0001455D" w:rsidP="00E66A89">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Keep for up to </w:t>
            </w:r>
            <w:r w:rsidRPr="008555AC">
              <w:rPr>
                <w:b/>
              </w:rPr>
              <w:t>one year</w:t>
            </w:r>
            <w:r w:rsidRPr="008555AC">
              <w:t xml:space="preserve"> and then destroy</w:t>
            </w:r>
          </w:p>
        </w:tc>
      </w:tr>
      <w:tr w:rsidR="00E12509" w14:paraId="1EC7E30A"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3491802F" w14:textId="77777777" w:rsidR="00E12509" w:rsidRPr="008555AC" w:rsidRDefault="00E12509" w:rsidP="00E12509">
            <w:pPr>
              <w:pStyle w:val="Text"/>
              <w:numPr>
                <w:ilvl w:val="0"/>
                <w:numId w:val="11"/>
              </w:numPr>
              <w:spacing w:after="0"/>
            </w:pPr>
          </w:p>
        </w:tc>
        <w:tc>
          <w:tcPr>
            <w:tcW w:w="4111" w:type="dxa"/>
            <w:vAlign w:val="center"/>
          </w:tcPr>
          <w:p w14:paraId="3DDD3936" w14:textId="1EFB9DEC"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8555AC">
              <w:rPr>
                <w:rFonts w:cs="Arial"/>
                <w:color w:val="000000"/>
              </w:rPr>
              <w:t>All other correspondence including, but is not limited to:</w:t>
            </w:r>
          </w:p>
          <w:p w14:paraId="0043F00A"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p>
          <w:p w14:paraId="01699CCA" w14:textId="77777777" w:rsidR="00E12509" w:rsidRPr="008555AC" w:rsidRDefault="00E12509" w:rsidP="00E1250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8555AC">
              <w:rPr>
                <w:rFonts w:cs="Arial"/>
                <w:color w:val="000000"/>
              </w:rPr>
              <w:t xml:space="preserve">Ministers’ Cases (MCs) (letters from MPs to the Lord Chancellor and Secretary of State or other ministers) </w:t>
            </w:r>
          </w:p>
          <w:p w14:paraId="175DC75C" w14:textId="77777777" w:rsidR="00E12509" w:rsidRPr="008555AC" w:rsidRDefault="00E12509" w:rsidP="00E1250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cs="Arial"/>
                <w:strike/>
                <w:color w:val="000000"/>
              </w:rPr>
            </w:pPr>
            <w:r w:rsidRPr="008555AC">
              <w:rPr>
                <w:rFonts w:cs="Arial"/>
                <w:color w:val="000000"/>
              </w:rPr>
              <w:t>Parliamentary Secretaries</w:t>
            </w:r>
          </w:p>
          <w:p w14:paraId="4CEF649D" w14:textId="1D158759" w:rsidR="00E12509" w:rsidRPr="008555AC" w:rsidRDefault="00E12509" w:rsidP="00E1250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cs="Arial"/>
                <w:strike/>
                <w:color w:val="000000"/>
              </w:rPr>
            </w:pPr>
            <w:r w:rsidRPr="008555AC">
              <w:rPr>
                <w:rFonts w:cs="Arial"/>
                <w:color w:val="000000"/>
              </w:rPr>
              <w:t>Chief Executive files (“CEC’s”)</w:t>
            </w:r>
          </w:p>
        </w:tc>
        <w:tc>
          <w:tcPr>
            <w:tcW w:w="5392" w:type="dxa"/>
            <w:vAlign w:val="center"/>
          </w:tcPr>
          <w:p w14:paraId="20519026"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pPr>
          </w:p>
          <w:p w14:paraId="2F207CE2"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All correspondence </w:t>
            </w:r>
            <w:r w:rsidRPr="008555AC">
              <w:rPr>
                <w:b/>
              </w:rPr>
              <w:t xml:space="preserve">except </w:t>
            </w:r>
            <w:r w:rsidRPr="008555AC">
              <w:t xml:space="preserve">for that marked as Treat Official: </w:t>
            </w:r>
          </w:p>
          <w:p w14:paraId="0C63AEAA"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Keep for </w:t>
            </w:r>
            <w:r w:rsidRPr="008555AC">
              <w:rPr>
                <w:b/>
              </w:rPr>
              <w:t>five years</w:t>
            </w:r>
            <w:r w:rsidRPr="008555AC">
              <w:t xml:space="preserve"> from date of last correspondence and then destroy</w:t>
            </w:r>
          </w:p>
          <w:p w14:paraId="67306AF3"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pPr>
          </w:p>
          <w:p w14:paraId="4783D926"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rPr>
                <w:b/>
              </w:rPr>
            </w:pPr>
            <w:r w:rsidRPr="008555AC">
              <w:rPr>
                <w:b/>
              </w:rPr>
              <w:t>Treat Official</w:t>
            </w:r>
          </w:p>
          <w:p w14:paraId="282E5DB9"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Keep for </w:t>
            </w:r>
            <w:r w:rsidRPr="008555AC">
              <w:rPr>
                <w:b/>
              </w:rPr>
              <w:t>two years</w:t>
            </w:r>
            <w:r w:rsidRPr="008555AC">
              <w:t xml:space="preserve"> from date of last correspondence and then destroy</w:t>
            </w:r>
          </w:p>
          <w:p w14:paraId="16F3B733" w14:textId="77777777" w:rsidR="00E12509" w:rsidRPr="008555AC" w:rsidRDefault="00E12509" w:rsidP="00E12509">
            <w:pPr>
              <w:pStyle w:val="Text"/>
              <w:spacing w:after="0"/>
              <w:cnfStyle w:val="000000000000" w:firstRow="0" w:lastRow="0" w:firstColumn="0" w:lastColumn="0" w:oddVBand="0" w:evenVBand="0" w:oddHBand="0" w:evenHBand="0" w:firstRowFirstColumn="0" w:firstRowLastColumn="0" w:lastRowFirstColumn="0" w:lastRowLastColumn="0"/>
            </w:pPr>
          </w:p>
        </w:tc>
      </w:tr>
      <w:tr w:rsidR="00A420A3" w14:paraId="53F1155C"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32CAA61F" w14:textId="77777777" w:rsidR="00A420A3" w:rsidRPr="008555AC" w:rsidRDefault="00A420A3" w:rsidP="00A420A3">
            <w:pPr>
              <w:pStyle w:val="Text"/>
              <w:numPr>
                <w:ilvl w:val="0"/>
                <w:numId w:val="11"/>
              </w:numPr>
              <w:spacing w:after="0"/>
            </w:pPr>
          </w:p>
        </w:tc>
        <w:tc>
          <w:tcPr>
            <w:tcW w:w="4111" w:type="dxa"/>
            <w:vAlign w:val="center"/>
          </w:tcPr>
          <w:p w14:paraId="2353B773" w14:textId="77777777" w:rsidR="00A420A3" w:rsidRPr="008555AC" w:rsidRDefault="00A420A3" w:rsidP="00E6566F">
            <w:pPr>
              <w:pStyle w:val="Text"/>
              <w:spacing w:after="0"/>
              <w:cnfStyle w:val="000000000000" w:firstRow="0" w:lastRow="0" w:firstColumn="0" w:lastColumn="0" w:oddVBand="0" w:evenVBand="0" w:oddHBand="0" w:evenHBand="0" w:firstRowFirstColumn="0" w:firstRowLastColumn="0" w:lastRowFirstColumn="0" w:lastRowLastColumn="0"/>
            </w:pPr>
          </w:p>
          <w:p w14:paraId="5DB1757E" w14:textId="77777777" w:rsidR="00A420A3" w:rsidRPr="008555AC" w:rsidRDefault="00A420A3" w:rsidP="00E6566F">
            <w:pPr>
              <w:pStyle w:val="Text"/>
              <w:spacing w:after="0"/>
              <w:cnfStyle w:val="000000000000" w:firstRow="0" w:lastRow="0" w:firstColumn="0" w:lastColumn="0" w:oddVBand="0" w:evenVBand="0" w:oddHBand="0" w:evenHBand="0" w:firstRowFirstColumn="0" w:firstRowLastColumn="0" w:lastRowFirstColumn="0" w:lastRowLastColumn="0"/>
            </w:pPr>
            <w:r w:rsidRPr="008555AC">
              <w:t>Private Secretary email archives</w:t>
            </w:r>
          </w:p>
          <w:p w14:paraId="7BF53DE2" w14:textId="77777777" w:rsidR="00A420A3" w:rsidRPr="008555AC" w:rsidRDefault="00A420A3" w:rsidP="00E6566F">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0A540283" w14:textId="77777777" w:rsidR="00A420A3" w:rsidRPr="008555AC" w:rsidRDefault="00A420A3" w:rsidP="00E6566F">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Keep for </w:t>
            </w:r>
            <w:r w:rsidRPr="008555AC">
              <w:rPr>
                <w:b/>
              </w:rPr>
              <w:t>one year</w:t>
            </w:r>
            <w:r w:rsidRPr="008555AC">
              <w:t xml:space="preserve"> and then destroy</w:t>
            </w:r>
          </w:p>
        </w:tc>
      </w:tr>
      <w:tr w:rsidR="0054560A" w14:paraId="491A349B"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698F1C71" w14:textId="77777777" w:rsidR="0054560A" w:rsidRPr="008555AC" w:rsidRDefault="0054560A" w:rsidP="0054560A">
            <w:pPr>
              <w:pStyle w:val="Text"/>
              <w:numPr>
                <w:ilvl w:val="0"/>
                <w:numId w:val="11"/>
              </w:numPr>
              <w:spacing w:after="0"/>
            </w:pPr>
          </w:p>
        </w:tc>
        <w:tc>
          <w:tcPr>
            <w:tcW w:w="4111" w:type="dxa"/>
            <w:vAlign w:val="center"/>
          </w:tcPr>
          <w:p w14:paraId="32430E71" w14:textId="0B5E6A27" w:rsidR="0054560A" w:rsidRPr="008555AC" w:rsidRDefault="0054560A" w:rsidP="0054560A">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8555AC">
              <w:t>Private Secretary notebooks</w:t>
            </w:r>
          </w:p>
        </w:tc>
        <w:tc>
          <w:tcPr>
            <w:tcW w:w="5392" w:type="dxa"/>
            <w:vAlign w:val="center"/>
          </w:tcPr>
          <w:p w14:paraId="697F9DC2" w14:textId="77777777" w:rsidR="0054560A" w:rsidRPr="008555AC" w:rsidRDefault="0054560A" w:rsidP="0054560A">
            <w:pPr>
              <w:pStyle w:val="Text"/>
              <w:spacing w:after="0"/>
              <w:cnfStyle w:val="000000000000" w:firstRow="0" w:lastRow="0" w:firstColumn="0" w:lastColumn="0" w:oddVBand="0" w:evenVBand="0" w:oddHBand="0" w:evenHBand="0" w:firstRowFirstColumn="0" w:firstRowLastColumn="0" w:lastRowFirstColumn="0" w:lastRowLastColumn="0"/>
            </w:pPr>
          </w:p>
          <w:p w14:paraId="5FD400A1" w14:textId="77777777" w:rsidR="0054560A" w:rsidRPr="008555AC" w:rsidRDefault="0054560A" w:rsidP="0054560A">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Keep for </w:t>
            </w:r>
            <w:r w:rsidRPr="008555AC">
              <w:rPr>
                <w:b/>
              </w:rPr>
              <w:t>six months</w:t>
            </w:r>
            <w:r w:rsidRPr="008555AC">
              <w:t xml:space="preserve"> and then destroy</w:t>
            </w:r>
          </w:p>
          <w:p w14:paraId="518DD466" w14:textId="401B119D" w:rsidR="0054560A" w:rsidRPr="008555AC" w:rsidRDefault="0054560A" w:rsidP="0054560A">
            <w:pPr>
              <w:pStyle w:val="Text"/>
              <w:spacing w:after="0"/>
              <w:cnfStyle w:val="000000000000" w:firstRow="0" w:lastRow="0" w:firstColumn="0" w:lastColumn="0" w:oddVBand="0" w:evenVBand="0" w:oddHBand="0" w:evenHBand="0" w:firstRowFirstColumn="0" w:firstRowLastColumn="0" w:lastRowFirstColumn="0" w:lastRowLastColumn="0"/>
            </w:pPr>
          </w:p>
        </w:tc>
      </w:tr>
      <w:tr w:rsidR="007D3BDE" w14:paraId="2A73E25A"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755DC35B" w14:textId="77777777" w:rsidR="007D3BDE" w:rsidRPr="008555AC" w:rsidRDefault="007D3BDE" w:rsidP="00A420A3">
            <w:pPr>
              <w:pStyle w:val="Text"/>
              <w:numPr>
                <w:ilvl w:val="0"/>
                <w:numId w:val="11"/>
              </w:numPr>
              <w:spacing w:after="0"/>
            </w:pPr>
          </w:p>
        </w:tc>
        <w:tc>
          <w:tcPr>
            <w:tcW w:w="4111" w:type="dxa"/>
            <w:vAlign w:val="center"/>
          </w:tcPr>
          <w:p w14:paraId="291C7A43" w14:textId="51575E07" w:rsidR="007D3BDE" w:rsidRPr="008555AC" w:rsidRDefault="00A420A3" w:rsidP="007D3BDE">
            <w:pPr>
              <w:pStyle w:val="Text"/>
              <w:spacing w:after="0"/>
              <w:cnfStyle w:val="000000000000" w:firstRow="0" w:lastRow="0" w:firstColumn="0" w:lastColumn="0" w:oddVBand="0" w:evenVBand="0" w:oddHBand="0" w:evenHBand="0" w:firstRowFirstColumn="0" w:firstRowLastColumn="0" w:lastRowFirstColumn="0" w:lastRowLastColumn="0"/>
            </w:pPr>
            <w:r w:rsidRPr="008555AC">
              <w:t>Minister</w:t>
            </w:r>
            <w:r w:rsidR="00535662">
              <w:t>s’</w:t>
            </w:r>
            <w:r w:rsidR="007D3BDE" w:rsidRPr="008555AC">
              <w:t xml:space="preserve"> notebooks</w:t>
            </w:r>
          </w:p>
        </w:tc>
        <w:tc>
          <w:tcPr>
            <w:tcW w:w="5392" w:type="dxa"/>
            <w:vAlign w:val="center"/>
          </w:tcPr>
          <w:p w14:paraId="2DE657A2" w14:textId="77777777" w:rsidR="00D318AC" w:rsidRPr="008555AC" w:rsidRDefault="00D318AC" w:rsidP="007D3BDE">
            <w:pPr>
              <w:pStyle w:val="Text"/>
              <w:spacing w:after="0"/>
              <w:cnfStyle w:val="000000000000" w:firstRow="0" w:lastRow="0" w:firstColumn="0" w:lastColumn="0" w:oddVBand="0" w:evenVBand="0" w:oddHBand="0" w:evenHBand="0" w:firstRowFirstColumn="0" w:firstRowLastColumn="0" w:lastRowFirstColumn="0" w:lastRowLastColumn="0"/>
            </w:pPr>
          </w:p>
          <w:p w14:paraId="199E4311" w14:textId="2900C53B" w:rsidR="009876FD" w:rsidRDefault="009876FD" w:rsidP="009876FD">
            <w:pPr>
              <w:pStyle w:val="Text"/>
              <w:spacing w:after="0"/>
              <w:cnfStyle w:val="000000000000" w:firstRow="0" w:lastRow="0" w:firstColumn="0" w:lastColumn="0" w:oddVBand="0" w:evenVBand="0" w:oddHBand="0" w:evenHBand="0" w:firstRowFirstColumn="0" w:firstRowLastColumn="0" w:lastRowFirstColumn="0" w:lastRowLastColumn="0"/>
            </w:pPr>
            <w:r>
              <w:t xml:space="preserve">At the end of the minister’s tenure, transfer to the </w:t>
            </w:r>
            <w:r w:rsidRPr="008555AC">
              <w:t>DRO’s team</w:t>
            </w:r>
            <w:r>
              <w:t xml:space="preserve"> to be considered for permanent preservation</w:t>
            </w:r>
            <w:r w:rsidRPr="008555AC">
              <w:t>.</w:t>
            </w:r>
            <w:r>
              <w:rPr>
                <w:rStyle w:val="FootnoteReference"/>
              </w:rPr>
              <w:footnoteReference w:id="5"/>
            </w:r>
          </w:p>
          <w:p w14:paraId="448B2E16" w14:textId="2299E33B" w:rsidR="00D318AC" w:rsidRPr="008555AC" w:rsidRDefault="00D318AC" w:rsidP="007D3BDE">
            <w:pPr>
              <w:pStyle w:val="Text"/>
              <w:spacing w:after="0"/>
              <w:cnfStyle w:val="000000000000" w:firstRow="0" w:lastRow="0" w:firstColumn="0" w:lastColumn="0" w:oddVBand="0" w:evenVBand="0" w:oddHBand="0" w:evenHBand="0" w:firstRowFirstColumn="0" w:firstRowLastColumn="0" w:lastRowFirstColumn="0" w:lastRowLastColumn="0"/>
            </w:pPr>
          </w:p>
        </w:tc>
      </w:tr>
      <w:tr w:rsidR="0054560A" w14:paraId="66A2D6AC"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1F7D689A" w14:textId="77777777" w:rsidR="0054560A" w:rsidRPr="008555AC" w:rsidRDefault="0054560A" w:rsidP="0054560A">
            <w:pPr>
              <w:pStyle w:val="Text"/>
              <w:numPr>
                <w:ilvl w:val="0"/>
                <w:numId w:val="11"/>
              </w:numPr>
              <w:spacing w:after="0"/>
            </w:pPr>
          </w:p>
        </w:tc>
        <w:tc>
          <w:tcPr>
            <w:tcW w:w="4111" w:type="dxa"/>
            <w:vAlign w:val="center"/>
          </w:tcPr>
          <w:p w14:paraId="29229903" w14:textId="7315C217" w:rsidR="0054560A" w:rsidRPr="008555AC" w:rsidRDefault="0054560A" w:rsidP="0054560A">
            <w:pPr>
              <w:pStyle w:val="Text"/>
              <w:spacing w:after="0"/>
              <w:cnfStyle w:val="000000000000" w:firstRow="0" w:lastRow="0" w:firstColumn="0" w:lastColumn="0" w:oddVBand="0" w:evenVBand="0" w:oddHBand="0" w:evenHBand="0" w:firstRowFirstColumn="0" w:firstRowLastColumn="0" w:lastRowFirstColumn="0" w:lastRowLastColumn="0"/>
            </w:pPr>
            <w:r w:rsidRPr="008555AC">
              <w:t>Ministers’ official diaries</w:t>
            </w:r>
          </w:p>
        </w:tc>
        <w:tc>
          <w:tcPr>
            <w:tcW w:w="5392" w:type="dxa"/>
            <w:vAlign w:val="center"/>
          </w:tcPr>
          <w:p w14:paraId="588B3F02" w14:textId="115A44A5" w:rsidR="0054560A" w:rsidRPr="008555AC" w:rsidRDefault="0054560A" w:rsidP="0054560A">
            <w:pPr>
              <w:pStyle w:val="Text"/>
              <w:spacing w:after="0"/>
              <w:cnfStyle w:val="000000000000" w:firstRow="0" w:lastRow="0" w:firstColumn="0" w:lastColumn="0" w:oddVBand="0" w:evenVBand="0" w:oddHBand="0" w:evenHBand="0" w:firstRowFirstColumn="0" w:firstRowLastColumn="0" w:lastRowFirstColumn="0" w:lastRowLastColumn="0"/>
            </w:pPr>
          </w:p>
          <w:p w14:paraId="29256511" w14:textId="69AED31A" w:rsidR="00C776AD" w:rsidRDefault="00E279FB" w:rsidP="0072274A">
            <w:pPr>
              <w:pStyle w:val="Text"/>
              <w:spacing w:after="0"/>
              <w:cnfStyle w:val="000000000000" w:firstRow="0" w:lastRow="0" w:firstColumn="0" w:lastColumn="0" w:oddVBand="0" w:evenVBand="0" w:oddHBand="0" w:evenHBand="0" w:firstRowFirstColumn="0" w:firstRowLastColumn="0" w:lastRowFirstColumn="0" w:lastRowLastColumn="0"/>
            </w:pPr>
            <w:r>
              <w:t xml:space="preserve">Transfer annually during </w:t>
            </w:r>
            <w:r>
              <w:rPr>
                <w:b/>
              </w:rPr>
              <w:t>summer recess</w:t>
            </w:r>
            <w:r w:rsidR="0054560A" w:rsidRPr="008555AC">
              <w:rPr>
                <w:b/>
              </w:rPr>
              <w:t>, or a General Election is called</w:t>
            </w:r>
            <w:r w:rsidR="0054560A" w:rsidRPr="008555AC">
              <w:t xml:space="preserve">, (whichever is the sooner) </w:t>
            </w:r>
            <w:r>
              <w:t xml:space="preserve">to the </w:t>
            </w:r>
            <w:r w:rsidR="0054560A" w:rsidRPr="008555AC">
              <w:t>DRO’s team</w:t>
            </w:r>
            <w:r w:rsidR="0072274A">
              <w:t xml:space="preserve"> to be considered for permanent preservation</w:t>
            </w:r>
            <w:r w:rsidR="0054560A" w:rsidRPr="008555AC">
              <w:t>.</w:t>
            </w:r>
            <w:r w:rsidR="0072274A">
              <w:rPr>
                <w:rStyle w:val="FootnoteReference"/>
              </w:rPr>
              <w:footnoteReference w:id="6"/>
            </w:r>
          </w:p>
          <w:p w14:paraId="2F54E35B" w14:textId="6C197EE1" w:rsidR="00523BE7" w:rsidRPr="008555AC" w:rsidRDefault="00523BE7" w:rsidP="0072274A">
            <w:pPr>
              <w:pStyle w:val="Text"/>
              <w:spacing w:after="0"/>
              <w:cnfStyle w:val="000000000000" w:firstRow="0" w:lastRow="0" w:firstColumn="0" w:lastColumn="0" w:oddVBand="0" w:evenVBand="0" w:oddHBand="0" w:evenHBand="0" w:firstRowFirstColumn="0" w:firstRowLastColumn="0" w:lastRowFirstColumn="0" w:lastRowLastColumn="0"/>
            </w:pPr>
          </w:p>
        </w:tc>
      </w:tr>
      <w:tr w:rsidR="00956C8B" w14:paraId="2F5E4E82"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3D528051" w14:textId="77777777" w:rsidR="00956C8B" w:rsidRPr="008555AC" w:rsidRDefault="00956C8B" w:rsidP="00956C8B">
            <w:pPr>
              <w:pStyle w:val="Text"/>
              <w:spacing w:after="0"/>
              <w:ind w:left="360"/>
            </w:pPr>
          </w:p>
        </w:tc>
        <w:tc>
          <w:tcPr>
            <w:tcW w:w="4111" w:type="dxa"/>
            <w:vAlign w:val="center"/>
          </w:tcPr>
          <w:p w14:paraId="7FEAE957" w14:textId="77777777" w:rsidR="00956C8B" w:rsidRDefault="00956C8B" w:rsidP="0054560A">
            <w:pPr>
              <w:pStyle w:val="Text"/>
              <w:spacing w:after="0"/>
              <w:cnfStyle w:val="000000000000" w:firstRow="0" w:lastRow="0" w:firstColumn="0" w:lastColumn="0" w:oddVBand="0" w:evenVBand="0" w:oddHBand="0" w:evenHBand="0" w:firstRowFirstColumn="0" w:firstRowLastColumn="0" w:lastRowFirstColumn="0" w:lastRowLastColumn="0"/>
            </w:pPr>
          </w:p>
          <w:p w14:paraId="21117014" w14:textId="4CEECAE7" w:rsidR="00956C8B" w:rsidRPr="008555AC" w:rsidRDefault="00956C8B" w:rsidP="0054560A">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35058223" w14:textId="77777777" w:rsidR="00956C8B" w:rsidRPr="008555AC" w:rsidRDefault="00956C8B" w:rsidP="0054560A">
            <w:pPr>
              <w:pStyle w:val="Text"/>
              <w:spacing w:after="0"/>
              <w:cnfStyle w:val="000000000000" w:firstRow="0" w:lastRow="0" w:firstColumn="0" w:lastColumn="0" w:oddVBand="0" w:evenVBand="0" w:oddHBand="0" w:evenHBand="0" w:firstRowFirstColumn="0" w:firstRowLastColumn="0" w:lastRowFirstColumn="0" w:lastRowLastColumn="0"/>
            </w:pPr>
          </w:p>
        </w:tc>
      </w:tr>
      <w:tr w:rsidR="009C57EE" w14:paraId="26AEA618"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38D14B35" w14:textId="77777777" w:rsidR="009C57EE" w:rsidRPr="008555AC" w:rsidRDefault="009C57EE" w:rsidP="009C57EE">
            <w:pPr>
              <w:pStyle w:val="Text"/>
              <w:numPr>
                <w:ilvl w:val="0"/>
                <w:numId w:val="11"/>
              </w:numPr>
              <w:spacing w:after="0"/>
            </w:pPr>
          </w:p>
        </w:tc>
        <w:tc>
          <w:tcPr>
            <w:tcW w:w="4111" w:type="dxa"/>
            <w:vAlign w:val="center"/>
          </w:tcPr>
          <w:p w14:paraId="5060E000" w14:textId="77777777" w:rsidR="009C57EE"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p w14:paraId="2F7E4A79" w14:textId="77777777" w:rsidR="009C57EE"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664286">
              <w:rPr>
                <w:rFonts w:cs="Arial"/>
              </w:rPr>
              <w:t>Box notes</w:t>
            </w:r>
            <w:r>
              <w:rPr>
                <w:rFonts w:cs="Arial"/>
              </w:rPr>
              <w:t xml:space="preserve"> and accompanying documents</w:t>
            </w:r>
          </w:p>
          <w:p w14:paraId="503F0718" w14:textId="77777777"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4C1C8569" w14:textId="77777777" w:rsidR="009C57EE"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p w14:paraId="3D81CC25" w14:textId="63A53396" w:rsidR="009C57EE" w:rsidRDefault="00D91CC8" w:rsidP="00D91CC8">
            <w:pPr>
              <w:pStyle w:val="Text"/>
              <w:spacing w:after="0"/>
              <w:cnfStyle w:val="000000000000" w:firstRow="0" w:lastRow="0" w:firstColumn="0" w:lastColumn="0" w:oddVBand="0" w:evenVBand="0" w:oddHBand="0" w:evenHBand="0" w:firstRowFirstColumn="0" w:firstRowLastColumn="0" w:lastRowFirstColumn="0" w:lastRowLastColumn="0"/>
            </w:pPr>
            <w:r>
              <w:t>K</w:t>
            </w:r>
            <w:r w:rsidR="009C57EE">
              <w:t xml:space="preserve">eep in Private Office for </w:t>
            </w:r>
            <w:r w:rsidR="009C57EE" w:rsidRPr="00421883">
              <w:rPr>
                <w:b/>
              </w:rPr>
              <w:t>six months</w:t>
            </w:r>
            <w:r>
              <w:t xml:space="preserve"> and then review:</w:t>
            </w:r>
            <w:r w:rsidR="009C57EE">
              <w:t xml:space="preserve"> </w:t>
            </w:r>
          </w:p>
          <w:p w14:paraId="58458C0E" w14:textId="6122F367" w:rsidR="009C57EE" w:rsidRDefault="009C57EE" w:rsidP="009C57EE">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Where comments remain significant, add notes to the shared corporate memory and </w:t>
            </w:r>
            <w:r w:rsidR="00D91CC8">
              <w:t xml:space="preserve">then </w:t>
            </w:r>
            <w:r>
              <w:t>review annually until no longer significant.</w:t>
            </w:r>
          </w:p>
          <w:p w14:paraId="37816A5A" w14:textId="46A58F59" w:rsidR="009C57EE" w:rsidRDefault="00D91CC8" w:rsidP="009C57EE">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Where the comments are not, or are no longer significant, d</w:t>
            </w:r>
            <w:r w:rsidR="009C57EE">
              <w:t>estroy.</w:t>
            </w:r>
          </w:p>
          <w:p w14:paraId="58792258" w14:textId="7B2AAA73" w:rsidR="00D91CC8" w:rsidRDefault="00D91CC8" w:rsidP="00D91CC8">
            <w:pPr>
              <w:pStyle w:val="Text"/>
              <w:spacing w:after="0"/>
              <w:cnfStyle w:val="000000000000" w:firstRow="0" w:lastRow="0" w:firstColumn="0" w:lastColumn="0" w:oddVBand="0" w:evenVBand="0" w:oddHBand="0" w:evenHBand="0" w:firstRowFirstColumn="0" w:firstRowLastColumn="0" w:lastRowFirstColumn="0" w:lastRowLastColumn="0"/>
            </w:pPr>
          </w:p>
          <w:p w14:paraId="2ED9F67D" w14:textId="5F2FF98D" w:rsidR="00D91CC8" w:rsidRDefault="00D91CC8" w:rsidP="00D91CC8">
            <w:pPr>
              <w:pStyle w:val="Text"/>
              <w:spacing w:after="0"/>
              <w:cnfStyle w:val="000000000000" w:firstRow="0" w:lastRow="0" w:firstColumn="0" w:lastColumn="0" w:oddVBand="0" w:evenVBand="0" w:oddHBand="0" w:evenHBand="0" w:firstRowFirstColumn="0" w:firstRowLastColumn="0" w:lastRowFirstColumn="0" w:lastRowLastColumn="0"/>
            </w:pPr>
            <w:r>
              <w:t>Transcribed comments should be sent to the relevant Business area for retention.</w:t>
            </w:r>
          </w:p>
          <w:p w14:paraId="1D001191" w14:textId="12BB2E85" w:rsidR="009C57EE" w:rsidRPr="008555AC" w:rsidRDefault="009C57EE" w:rsidP="00D91CC8">
            <w:pPr>
              <w:pStyle w:val="Text"/>
              <w:spacing w:after="0"/>
              <w:cnfStyle w:val="000000000000" w:firstRow="0" w:lastRow="0" w:firstColumn="0" w:lastColumn="0" w:oddVBand="0" w:evenVBand="0" w:oddHBand="0" w:evenHBand="0" w:firstRowFirstColumn="0" w:firstRowLastColumn="0" w:lastRowFirstColumn="0" w:lastRowLastColumn="0"/>
            </w:pPr>
          </w:p>
        </w:tc>
      </w:tr>
      <w:tr w:rsidR="009C57EE" w14:paraId="1BE9DB89"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5595D785" w14:textId="77777777" w:rsidR="009C57EE" w:rsidRPr="008555AC" w:rsidRDefault="009C57EE" w:rsidP="009C57EE">
            <w:pPr>
              <w:pStyle w:val="Text"/>
              <w:numPr>
                <w:ilvl w:val="0"/>
                <w:numId w:val="11"/>
              </w:numPr>
              <w:spacing w:after="0"/>
            </w:pPr>
          </w:p>
        </w:tc>
        <w:tc>
          <w:tcPr>
            <w:tcW w:w="4111" w:type="dxa"/>
            <w:vAlign w:val="center"/>
          </w:tcPr>
          <w:p w14:paraId="7079EF5E" w14:textId="426C7757"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r w:rsidRPr="008555AC">
              <w:t>Documents relating to Ministerial Interests</w:t>
            </w:r>
          </w:p>
        </w:tc>
        <w:tc>
          <w:tcPr>
            <w:tcW w:w="5392" w:type="dxa"/>
            <w:vAlign w:val="center"/>
          </w:tcPr>
          <w:p w14:paraId="7AE5AA61" w14:textId="77777777"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p w14:paraId="46980781" w14:textId="0D5989EB"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r w:rsidRPr="008555AC">
              <w:t xml:space="preserve">Keep for </w:t>
            </w:r>
            <w:r w:rsidRPr="008555AC">
              <w:rPr>
                <w:b/>
              </w:rPr>
              <w:t>two years</w:t>
            </w:r>
            <w:r w:rsidRPr="008555AC">
              <w:t xml:space="preserve"> from the date that the Minister leaves departmental office and then destroy</w:t>
            </w:r>
            <w:r w:rsidRPr="008555AC">
              <w:rPr>
                <w:rStyle w:val="FootnoteReference"/>
              </w:rPr>
              <w:footnoteReference w:id="7"/>
            </w:r>
          </w:p>
          <w:p w14:paraId="10E0D220" w14:textId="00DD587B"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tc>
      </w:tr>
      <w:tr w:rsidR="009C57EE" w14:paraId="183EC2AB"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34E1986F" w14:textId="77777777" w:rsidR="009C57EE" w:rsidRPr="008555AC" w:rsidRDefault="009C57EE" w:rsidP="009C57EE">
            <w:pPr>
              <w:pStyle w:val="Text"/>
              <w:numPr>
                <w:ilvl w:val="0"/>
                <w:numId w:val="11"/>
              </w:numPr>
              <w:spacing w:after="0"/>
            </w:pPr>
          </w:p>
        </w:tc>
        <w:tc>
          <w:tcPr>
            <w:tcW w:w="4111" w:type="dxa"/>
            <w:vAlign w:val="center"/>
          </w:tcPr>
          <w:p w14:paraId="16E59995" w14:textId="77777777"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p w14:paraId="0141B27D" w14:textId="77777777"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rPr>
                <w:rFonts w:cs="Arial"/>
                <w:bCs/>
              </w:rPr>
            </w:pPr>
            <w:r w:rsidRPr="008555AC">
              <w:rPr>
                <w:rFonts w:cs="Arial"/>
                <w:bCs/>
              </w:rPr>
              <w:t>Transparency return and gifts register</w:t>
            </w:r>
          </w:p>
          <w:p w14:paraId="4DA1BA75" w14:textId="77777777"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507AF611" w14:textId="6A8EA4C0" w:rsidR="009C57EE" w:rsidRPr="008555AC" w:rsidRDefault="009C57EE" w:rsidP="009C57EE">
            <w:pPr>
              <w:pStyle w:val="Text"/>
              <w:spacing w:after="0"/>
              <w:cnfStyle w:val="000000000000" w:firstRow="0" w:lastRow="0" w:firstColumn="0" w:lastColumn="0" w:oddVBand="0" w:evenVBand="0" w:oddHBand="0" w:evenHBand="0" w:firstRowFirstColumn="0" w:firstRowLastColumn="0" w:lastRowFirstColumn="0" w:lastRowLastColumn="0"/>
            </w:pPr>
            <w:r w:rsidRPr="008555AC">
              <w:t>After transfer to the Cabinet Office, keep for one month and then destroy</w:t>
            </w:r>
          </w:p>
        </w:tc>
      </w:tr>
      <w:tr w:rsidR="009C57EE" w14:paraId="14180BF1" w14:textId="77777777" w:rsidTr="00A51E6D">
        <w:tc>
          <w:tcPr>
            <w:cnfStyle w:val="001000000000" w:firstRow="0" w:lastRow="0" w:firstColumn="1" w:lastColumn="0" w:oddVBand="0" w:evenVBand="0" w:oddHBand="0" w:evenHBand="0" w:firstRowFirstColumn="0" w:firstRowLastColumn="0" w:lastRowFirstColumn="0" w:lastRowLastColumn="0"/>
            <w:tcW w:w="10212" w:type="dxa"/>
            <w:gridSpan w:val="3"/>
            <w:vAlign w:val="center"/>
          </w:tcPr>
          <w:p w14:paraId="70C5BE67" w14:textId="77777777" w:rsidR="009C57EE" w:rsidRPr="00E66A89" w:rsidRDefault="009C57EE" w:rsidP="009C57EE">
            <w:pPr>
              <w:pStyle w:val="Text"/>
              <w:spacing w:after="0"/>
              <w:jc w:val="center"/>
              <w:rPr>
                <w:sz w:val="24"/>
              </w:rPr>
            </w:pPr>
          </w:p>
          <w:p w14:paraId="6D266296" w14:textId="77777777" w:rsidR="009C57EE" w:rsidRPr="00E66A89" w:rsidRDefault="009C57EE" w:rsidP="009C57EE">
            <w:pPr>
              <w:pStyle w:val="Text"/>
              <w:spacing w:after="0"/>
              <w:jc w:val="center"/>
              <w:rPr>
                <w:sz w:val="24"/>
              </w:rPr>
            </w:pPr>
            <w:r w:rsidRPr="00E66A89">
              <w:rPr>
                <w:sz w:val="24"/>
              </w:rPr>
              <w:t>2. Records managed by a common retention and disposition policy</w:t>
            </w:r>
          </w:p>
          <w:p w14:paraId="4534C28A" w14:textId="77777777" w:rsidR="009C57EE" w:rsidRDefault="009C57EE" w:rsidP="009C57EE">
            <w:pPr>
              <w:pStyle w:val="Text"/>
              <w:spacing w:after="0"/>
              <w:jc w:val="center"/>
            </w:pPr>
          </w:p>
        </w:tc>
      </w:tr>
      <w:tr w:rsidR="00876495" w14:paraId="5571BE61"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4C4AF2CA" w14:textId="77777777" w:rsidR="00876495" w:rsidRDefault="00876495" w:rsidP="009C57EE">
            <w:pPr>
              <w:pStyle w:val="Text"/>
              <w:numPr>
                <w:ilvl w:val="0"/>
                <w:numId w:val="11"/>
              </w:numPr>
              <w:spacing w:after="0"/>
            </w:pPr>
          </w:p>
        </w:tc>
        <w:tc>
          <w:tcPr>
            <w:tcW w:w="4111" w:type="dxa"/>
            <w:vAlign w:val="center"/>
          </w:tcPr>
          <w:p w14:paraId="51730A7A" w14:textId="77777777" w:rsidR="00876495" w:rsidRDefault="00876495" w:rsidP="00876495">
            <w:pPr>
              <w:pStyle w:val="Text"/>
              <w:spacing w:after="0"/>
              <w:cnfStyle w:val="000000000000" w:firstRow="0" w:lastRow="0" w:firstColumn="0" w:lastColumn="0" w:oddVBand="0" w:evenVBand="0" w:oddHBand="0" w:evenHBand="0" w:firstRowFirstColumn="0" w:firstRowLastColumn="0" w:lastRowFirstColumn="0" w:lastRowLastColumn="0"/>
            </w:pPr>
          </w:p>
          <w:p w14:paraId="460455CD" w14:textId="24BF141B" w:rsidR="00876495" w:rsidRDefault="00876495" w:rsidP="00876495">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Pr="00865AF9">
              <w:t>Records and information held in open internet tools (e.g. YouTube videos, podcasts)</w:t>
            </w:r>
            <w:r w:rsidRPr="00865AF9">
              <w:rPr>
                <w:rStyle w:val="FootnoteReference"/>
              </w:rPr>
              <w:footnoteReference w:id="8"/>
            </w:r>
            <w:r>
              <w:t xml:space="preserve"> </w:t>
            </w:r>
          </w:p>
          <w:p w14:paraId="2F5C7303" w14:textId="77777777" w:rsidR="00876495" w:rsidRDefault="00876495" w:rsidP="00876495">
            <w:pPr>
              <w:pStyle w:val="Text"/>
              <w:spacing w:after="0"/>
              <w:cnfStyle w:val="000000000000" w:firstRow="0" w:lastRow="0" w:firstColumn="0" w:lastColumn="0" w:oddVBand="0" w:evenVBand="0" w:oddHBand="0" w:evenHBand="0" w:firstRowFirstColumn="0" w:firstRowLastColumn="0" w:lastRowFirstColumn="0" w:lastRowLastColumn="0"/>
            </w:pPr>
            <w:r>
              <w:t>b) Records and information held on mobile phones (e.g. text messages, WhatsApp)</w:t>
            </w:r>
          </w:p>
          <w:p w14:paraId="08B51641" w14:textId="77777777" w:rsidR="00876495" w:rsidRPr="00865AF9" w:rsidRDefault="00876495" w:rsidP="00876495">
            <w:pPr>
              <w:pStyle w:val="Text"/>
              <w:spacing w:after="0"/>
              <w:cnfStyle w:val="000000000000" w:firstRow="0" w:lastRow="0" w:firstColumn="0" w:lastColumn="0" w:oddVBand="0" w:evenVBand="0" w:oddHBand="0" w:evenHBand="0" w:firstRowFirstColumn="0" w:firstRowLastColumn="0" w:lastRowFirstColumn="0" w:lastRowLastColumn="0"/>
            </w:pPr>
            <w:r>
              <w:t>c) Instant Messages (Skype, Slack, Teams, etc)</w:t>
            </w:r>
          </w:p>
          <w:p w14:paraId="72510FD1" w14:textId="77777777" w:rsidR="00876495" w:rsidRDefault="00876495" w:rsidP="009C57E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5392" w:type="dxa"/>
            <w:vAlign w:val="center"/>
          </w:tcPr>
          <w:p w14:paraId="2AD8AD01" w14:textId="5A2EBBC5" w:rsidR="00876495" w:rsidRDefault="00876495" w:rsidP="009C57E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865AF9">
              <w:t>Keep for</w:t>
            </w:r>
            <w:r>
              <w:t xml:space="preserve"> no longer than </w:t>
            </w:r>
            <w:r w:rsidRPr="00865AF9">
              <w:rPr>
                <w:b/>
              </w:rPr>
              <w:t>three months</w:t>
            </w:r>
            <w:r w:rsidRPr="00865AF9">
              <w:t xml:space="preserve"> and then transfer to the corporate memory or destroy</w:t>
            </w:r>
          </w:p>
        </w:tc>
      </w:tr>
      <w:tr w:rsidR="00956C8B" w14:paraId="389BE9FB"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664E8727" w14:textId="77777777" w:rsidR="00956C8B" w:rsidRDefault="00956C8B" w:rsidP="00956C8B">
            <w:pPr>
              <w:pStyle w:val="Text"/>
              <w:numPr>
                <w:ilvl w:val="0"/>
                <w:numId w:val="11"/>
              </w:numPr>
              <w:spacing w:after="0"/>
            </w:pPr>
          </w:p>
        </w:tc>
        <w:tc>
          <w:tcPr>
            <w:tcW w:w="4111" w:type="dxa"/>
            <w:vAlign w:val="center"/>
          </w:tcPr>
          <w:p w14:paraId="473CFE01"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35A13EF4" w14:textId="3AB184B6"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Responses to Subject Access Requests</w:t>
            </w:r>
          </w:p>
          <w:p w14:paraId="6DA3CBC4" w14:textId="77777777" w:rsidR="00956C8B" w:rsidRPr="003B50BC"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5392" w:type="dxa"/>
            <w:vAlign w:val="center"/>
          </w:tcPr>
          <w:p w14:paraId="1FEF5568"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3BAC368C"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bookmarkStart w:id="3" w:name="_Hlk26272304"/>
            <w:r w:rsidRPr="009819A4">
              <w:t>Ke</w:t>
            </w:r>
            <w:r>
              <w:t>e</w:t>
            </w:r>
            <w:r w:rsidRPr="009819A4">
              <w:t xml:space="preserve">p for </w:t>
            </w:r>
            <w:r>
              <w:rPr>
                <w:b/>
              </w:rPr>
              <w:t>nine months</w:t>
            </w:r>
            <w:r w:rsidRPr="009819A4">
              <w:t xml:space="preserve"> </w:t>
            </w:r>
            <w:r>
              <w:t xml:space="preserve">and then destroy. </w:t>
            </w:r>
          </w:p>
          <w:bookmarkEnd w:id="3"/>
          <w:p w14:paraId="3FCD0DEC" w14:textId="77777777" w:rsidR="00956C8B" w:rsidRPr="008555AC" w:rsidRDefault="00956C8B" w:rsidP="00956C8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956C8B" w14:paraId="03A196F9"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2B7FA69B" w14:textId="77777777" w:rsidR="00956C8B" w:rsidRDefault="00956C8B" w:rsidP="00956C8B">
            <w:pPr>
              <w:pStyle w:val="Text"/>
              <w:numPr>
                <w:ilvl w:val="0"/>
                <w:numId w:val="11"/>
              </w:numPr>
              <w:spacing w:after="0"/>
            </w:pPr>
          </w:p>
        </w:tc>
        <w:tc>
          <w:tcPr>
            <w:tcW w:w="4111" w:type="dxa"/>
            <w:vAlign w:val="center"/>
          </w:tcPr>
          <w:p w14:paraId="52D5872D" w14:textId="5997283D" w:rsidR="00956C8B" w:rsidRP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rPr>
                <w:rFonts w:cs="Arial"/>
                <w:sz w:val="16"/>
              </w:rPr>
            </w:pPr>
          </w:p>
          <w:p w14:paraId="0ABD55A7" w14:textId="68C81B13" w:rsidR="00956C8B" w:rsidRPr="008A1106"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t>Background information (</w:t>
            </w:r>
            <w:r>
              <w:rPr>
                <w:rFonts w:cs="Arial"/>
              </w:rPr>
              <w:t xml:space="preserve">held by business) </w:t>
            </w:r>
            <w:r>
              <w:t xml:space="preserve">for responses to information requests </w:t>
            </w:r>
            <w:r w:rsidRPr="008A1106">
              <w:rPr>
                <w:rFonts w:cs="Arial"/>
              </w:rPr>
              <w:t xml:space="preserve">made under: </w:t>
            </w:r>
          </w:p>
          <w:p w14:paraId="1C8BADA7" w14:textId="77777777" w:rsidR="00956C8B" w:rsidRDefault="00956C8B" w:rsidP="00956C8B">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rPr>
                <w:rFonts w:cs="Arial"/>
              </w:rPr>
            </w:pPr>
            <w:r w:rsidRPr="003B50BC">
              <w:rPr>
                <w:rFonts w:cs="Arial"/>
              </w:rPr>
              <w:t>Freedom of Information Act</w:t>
            </w:r>
          </w:p>
          <w:p w14:paraId="3086D8EB" w14:textId="72C7D6FE" w:rsidR="00956C8B" w:rsidRDefault="00956C8B" w:rsidP="00956C8B">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rsidRPr="00956C8B">
              <w:rPr>
                <w:rFonts w:cs="Arial"/>
              </w:rPr>
              <w:t>Environmental Information Regulations</w:t>
            </w:r>
          </w:p>
          <w:p w14:paraId="403C8D68"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31E70A52" w14:textId="7ADF6926"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rPr>
                <w:b/>
              </w:rPr>
              <w:t>NB.</w:t>
            </w:r>
            <w:r>
              <w:t xml:space="preserve"> The answers to these requests are held by Disclosure (see row 40 of the MoJ HQ RRDS</w:t>
            </w:r>
            <w:r w:rsidRPr="00D2502D">
              <w:t>)</w:t>
            </w:r>
          </w:p>
          <w:p w14:paraId="5B2755A2" w14:textId="72F59802" w:rsidR="00956C8B" w:rsidRP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rPr>
                <w:sz w:val="18"/>
              </w:rPr>
            </w:pPr>
          </w:p>
        </w:tc>
        <w:tc>
          <w:tcPr>
            <w:tcW w:w="5392" w:type="dxa"/>
            <w:vAlign w:val="center"/>
          </w:tcPr>
          <w:p w14:paraId="1454DCD6"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one</w:t>
            </w:r>
            <w:r w:rsidRPr="00905C57">
              <w:rPr>
                <w:b/>
              </w:rPr>
              <w:t xml:space="preserve"> year</w:t>
            </w:r>
            <w:r>
              <w:t xml:space="preserve"> and then review:</w:t>
            </w:r>
          </w:p>
          <w:p w14:paraId="16A8A84E" w14:textId="77777777" w:rsidR="00956C8B" w:rsidRDefault="00956C8B" w:rsidP="00956C8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 xml:space="preserve">Where operationally relevant, keep for </w:t>
            </w:r>
            <w:r w:rsidRPr="008A1106">
              <w:rPr>
                <w:b/>
              </w:rPr>
              <w:t>another</w:t>
            </w:r>
            <w:r>
              <w:t xml:space="preserve"> </w:t>
            </w:r>
            <w:r>
              <w:rPr>
                <w:b/>
              </w:rPr>
              <w:t>year</w:t>
            </w:r>
            <w:r>
              <w:t xml:space="preserve"> and then repeat the process until the item is no longer needed.</w:t>
            </w:r>
          </w:p>
          <w:p w14:paraId="0F0D1314" w14:textId="5F4D726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Where no longer needed, d</w:t>
            </w:r>
            <w:r w:rsidRPr="00FA5D29">
              <w:t xml:space="preserve">estroy </w:t>
            </w:r>
            <w:r>
              <w:t>imm</w:t>
            </w:r>
            <w:r w:rsidRPr="00FA5D29">
              <w:t>e</w:t>
            </w:r>
            <w:r>
              <w:t>diately.</w:t>
            </w:r>
          </w:p>
        </w:tc>
      </w:tr>
      <w:tr w:rsidR="00956C8B" w14:paraId="0B488D02" w14:textId="77777777" w:rsidTr="00C55345">
        <w:tc>
          <w:tcPr>
            <w:cnfStyle w:val="001000000000" w:firstRow="0" w:lastRow="0" w:firstColumn="1" w:lastColumn="0" w:oddVBand="0" w:evenVBand="0" w:oddHBand="0" w:evenHBand="0" w:firstRowFirstColumn="0" w:firstRowLastColumn="0" w:lastRowFirstColumn="0" w:lastRowLastColumn="0"/>
            <w:tcW w:w="709" w:type="dxa"/>
            <w:vAlign w:val="center"/>
          </w:tcPr>
          <w:p w14:paraId="3CFCCAB6" w14:textId="77777777" w:rsidR="00956C8B" w:rsidRDefault="00956C8B" w:rsidP="00956C8B">
            <w:pPr>
              <w:pStyle w:val="Text"/>
              <w:numPr>
                <w:ilvl w:val="0"/>
                <w:numId w:val="11"/>
              </w:numPr>
              <w:spacing w:after="0"/>
            </w:pPr>
          </w:p>
        </w:tc>
        <w:tc>
          <w:tcPr>
            <w:tcW w:w="4111" w:type="dxa"/>
            <w:vAlign w:val="center"/>
          </w:tcPr>
          <w:p w14:paraId="48F98FD2" w14:textId="77777777" w:rsidR="00956C8B" w:rsidRDefault="00956C8B" w:rsidP="00C5534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290F3937" w14:textId="77777777" w:rsidR="00956C8B" w:rsidRDefault="00956C8B" w:rsidP="00C5534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HR information (held by line managers)</w:t>
            </w:r>
          </w:p>
          <w:p w14:paraId="4812C939" w14:textId="77777777" w:rsidR="00956C8B" w:rsidRDefault="00956C8B" w:rsidP="00C55345">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13BE6C2C" w14:textId="77777777" w:rsidR="00956C8B" w:rsidRDefault="00956C8B" w:rsidP="00C55345">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Destroy in line with the </w:t>
            </w:r>
            <w:r>
              <w:rPr>
                <w:i/>
                <w:lang w:eastAsia="en-US"/>
              </w:rPr>
              <w:t>What to keep</w:t>
            </w:r>
            <w:r>
              <w:rPr>
                <w:lang w:eastAsia="en-US"/>
              </w:rPr>
              <w:t xml:space="preserve"> </w:t>
            </w:r>
            <w:r>
              <w:rPr>
                <w:rStyle w:val="FootnoteReference"/>
                <w:lang w:eastAsia="en-US"/>
              </w:rPr>
              <w:footnoteReference w:id="9"/>
            </w:r>
            <w:r>
              <w:rPr>
                <w:lang w:eastAsia="en-US"/>
              </w:rPr>
              <w:t>guidance</w:t>
            </w:r>
          </w:p>
        </w:tc>
      </w:tr>
      <w:tr w:rsidR="00956C8B" w14:paraId="18EBFF89"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2A567691" w14:textId="77777777" w:rsidR="00956C8B" w:rsidRDefault="00956C8B" w:rsidP="00956C8B">
            <w:pPr>
              <w:pStyle w:val="Text"/>
              <w:numPr>
                <w:ilvl w:val="0"/>
                <w:numId w:val="11"/>
              </w:numPr>
              <w:spacing w:after="0"/>
            </w:pPr>
          </w:p>
        </w:tc>
        <w:tc>
          <w:tcPr>
            <w:tcW w:w="4111" w:type="dxa"/>
            <w:vAlign w:val="center"/>
          </w:tcPr>
          <w:p w14:paraId="4CBECE5A"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4EFF38F9" w14:textId="3296889A"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Finance and risk management information</w:t>
            </w:r>
          </w:p>
          <w:p w14:paraId="520F5BE3"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30397FF9"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6A200955"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seven yea</w:t>
            </w:r>
            <w:r w:rsidRPr="00AA2921">
              <w:rPr>
                <w:b/>
              </w:rPr>
              <w:t>rs</w:t>
            </w:r>
            <w:r>
              <w:t xml:space="preserve"> and then destroy.</w:t>
            </w:r>
          </w:p>
          <w:p w14:paraId="3244EAAF" w14:textId="345372AD"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tc>
      </w:tr>
      <w:tr w:rsidR="00956C8B" w14:paraId="607A6A8C"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742A2B84" w14:textId="77777777" w:rsidR="00956C8B" w:rsidRDefault="00956C8B" w:rsidP="00956C8B">
            <w:pPr>
              <w:pStyle w:val="Text"/>
              <w:numPr>
                <w:ilvl w:val="0"/>
                <w:numId w:val="11"/>
              </w:numPr>
              <w:spacing w:after="0"/>
            </w:pPr>
          </w:p>
        </w:tc>
        <w:tc>
          <w:tcPr>
            <w:tcW w:w="4111" w:type="dxa"/>
            <w:vAlign w:val="center"/>
          </w:tcPr>
          <w:p w14:paraId="437E70CD"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64BA2E4E"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Business continuity plans</w:t>
            </w:r>
          </w:p>
          <w:p w14:paraId="10D46908" w14:textId="7A2B958D"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558F59A6"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776F240C"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 xml:space="preserve">Updated annually. Keep previous versions for </w:t>
            </w:r>
            <w:r w:rsidRPr="00577D16">
              <w:rPr>
                <w:b/>
              </w:rPr>
              <w:t>three years</w:t>
            </w:r>
            <w:r>
              <w:t xml:space="preserve"> and then destroy.</w:t>
            </w:r>
          </w:p>
          <w:p w14:paraId="3FCE17F8"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tc>
      </w:tr>
      <w:tr w:rsidR="00956C8B" w14:paraId="26D66511" w14:textId="77777777" w:rsidTr="00A51E6D">
        <w:tc>
          <w:tcPr>
            <w:cnfStyle w:val="001000000000" w:firstRow="0" w:lastRow="0" w:firstColumn="1" w:lastColumn="0" w:oddVBand="0" w:evenVBand="0" w:oddHBand="0" w:evenHBand="0" w:firstRowFirstColumn="0" w:firstRowLastColumn="0" w:lastRowFirstColumn="0" w:lastRowLastColumn="0"/>
            <w:tcW w:w="709" w:type="dxa"/>
            <w:vAlign w:val="center"/>
          </w:tcPr>
          <w:p w14:paraId="50A3D587" w14:textId="77777777" w:rsidR="00956C8B" w:rsidRDefault="00956C8B" w:rsidP="00956C8B">
            <w:pPr>
              <w:pStyle w:val="Text"/>
              <w:numPr>
                <w:ilvl w:val="0"/>
                <w:numId w:val="11"/>
              </w:numPr>
              <w:spacing w:after="0"/>
            </w:pPr>
          </w:p>
        </w:tc>
        <w:tc>
          <w:tcPr>
            <w:tcW w:w="4111" w:type="dxa"/>
            <w:vAlign w:val="center"/>
          </w:tcPr>
          <w:p w14:paraId="3ECECBCC"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p w14:paraId="17A33F67" w14:textId="77777777"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All other types of record not specified above, including copies of records which are owned by other business areas</w:t>
            </w:r>
            <w:r>
              <w:rPr>
                <w:rStyle w:val="FootnoteReference"/>
              </w:rPr>
              <w:footnoteReference w:id="10"/>
            </w:r>
          </w:p>
          <w:p w14:paraId="38436B18" w14:textId="5178856B"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p>
        </w:tc>
        <w:tc>
          <w:tcPr>
            <w:tcW w:w="5392" w:type="dxa"/>
            <w:vAlign w:val="center"/>
          </w:tcPr>
          <w:p w14:paraId="0D704366" w14:textId="4FB46DD3" w:rsidR="00956C8B" w:rsidRDefault="00956C8B" w:rsidP="00956C8B">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577D16">
              <w:rPr>
                <w:b/>
              </w:rPr>
              <w:t>three years</w:t>
            </w:r>
            <w:r>
              <w:t xml:space="preserve"> and then destroy.</w:t>
            </w:r>
          </w:p>
        </w:tc>
      </w:tr>
    </w:tbl>
    <w:p w14:paraId="0B902433" w14:textId="539680EA" w:rsidR="00E66A89" w:rsidRDefault="00E66A89" w:rsidP="00526855">
      <w:pPr>
        <w:pStyle w:val="BodyText"/>
      </w:pPr>
    </w:p>
    <w:p w14:paraId="4A172B17" w14:textId="2D748E8C" w:rsidR="00E66A89" w:rsidRPr="00671C3D" w:rsidRDefault="00E66A89" w:rsidP="00E66A89">
      <w:pPr>
        <w:spacing w:after="0"/>
        <w:rPr>
          <w:rFonts w:cs="Arial"/>
        </w:rPr>
      </w:pPr>
      <w:r>
        <w:rPr>
          <w:rFonts w:cs="Arial"/>
        </w:rPr>
        <w:t>Phi</w:t>
      </w:r>
      <w:r w:rsidR="00DD08DE">
        <w:rPr>
          <w:rFonts w:cs="Arial"/>
        </w:rPr>
        <w:t>l</w:t>
      </w:r>
      <w:r>
        <w:rPr>
          <w:rFonts w:cs="Arial"/>
        </w:rPr>
        <w:t xml:space="preserve">lip </w:t>
      </w:r>
      <w:r w:rsidR="00DD08DE">
        <w:rPr>
          <w:rFonts w:cs="Arial"/>
        </w:rPr>
        <w:t>Crowcroft</w:t>
      </w:r>
    </w:p>
    <w:p w14:paraId="75DCF096" w14:textId="6804F2FA" w:rsidR="00E66A89" w:rsidRPr="00DD08DE" w:rsidRDefault="00E66A89" w:rsidP="00E66A89">
      <w:pPr>
        <w:pStyle w:val="NormalWeb"/>
        <w:spacing w:before="0" w:beforeAutospacing="0" w:after="0" w:afterAutospacing="0"/>
        <w:rPr>
          <w:rFonts w:ascii="Arial" w:hAnsi="Arial" w:cs="Arial"/>
          <w:szCs w:val="22"/>
        </w:rPr>
      </w:pPr>
      <w:r w:rsidRPr="00DD08DE">
        <w:rPr>
          <w:rFonts w:ascii="Arial" w:hAnsi="Arial" w:cs="Arial"/>
          <w:color w:val="000000"/>
          <w:szCs w:val="22"/>
        </w:rPr>
        <w:t>Departmental Records Officer</w:t>
      </w:r>
      <w:r w:rsidRPr="00DD08DE">
        <w:rPr>
          <w:rFonts w:ascii="Arial" w:hAnsi="Arial" w:cs="Arial"/>
          <w:szCs w:val="22"/>
        </w:rPr>
        <w:t xml:space="preserve"> </w:t>
      </w:r>
      <w:r w:rsidRPr="00DD08DE">
        <w:rPr>
          <w:rFonts w:ascii="Arial" w:hAnsi="Arial" w:cs="Arial"/>
          <w:szCs w:val="22"/>
        </w:rPr>
        <w:br/>
      </w:r>
      <w:r w:rsidRPr="00DD08DE">
        <w:rPr>
          <w:rFonts w:ascii="Arial" w:hAnsi="Arial" w:cs="Arial"/>
          <w:color w:val="000000"/>
          <w:szCs w:val="22"/>
        </w:rPr>
        <w:t>Ministry of Justice</w:t>
      </w:r>
      <w:r w:rsidRPr="00DD08DE">
        <w:rPr>
          <w:rFonts w:ascii="Arial" w:hAnsi="Arial" w:cs="Arial"/>
          <w:szCs w:val="22"/>
        </w:rPr>
        <w:t xml:space="preserve"> </w:t>
      </w:r>
      <w:r w:rsidRPr="00DD08DE">
        <w:rPr>
          <w:rFonts w:ascii="Arial" w:hAnsi="Arial" w:cs="Arial"/>
          <w:szCs w:val="22"/>
        </w:rPr>
        <w:br/>
      </w:r>
      <w:r w:rsidRPr="00DD08DE">
        <w:rPr>
          <w:rFonts w:ascii="Arial" w:hAnsi="Arial" w:cs="Arial"/>
          <w:color w:val="000000"/>
          <w:szCs w:val="22"/>
        </w:rPr>
        <w:t>102 Petty France</w:t>
      </w:r>
      <w:r w:rsidRPr="00DD08DE">
        <w:rPr>
          <w:rFonts w:ascii="Arial" w:hAnsi="Arial" w:cs="Arial"/>
          <w:szCs w:val="22"/>
        </w:rPr>
        <w:t xml:space="preserve"> </w:t>
      </w:r>
      <w:r w:rsidRPr="00DD08DE">
        <w:rPr>
          <w:rFonts w:ascii="Arial" w:hAnsi="Arial" w:cs="Arial"/>
          <w:szCs w:val="22"/>
        </w:rPr>
        <w:br/>
      </w:r>
      <w:r w:rsidRPr="00DD08DE">
        <w:rPr>
          <w:rFonts w:ascii="Arial" w:hAnsi="Arial" w:cs="Arial"/>
          <w:color w:val="000000"/>
          <w:szCs w:val="22"/>
        </w:rPr>
        <w:t>London SW1H 9AJ</w:t>
      </w:r>
      <w:r w:rsidRPr="00DD08DE">
        <w:rPr>
          <w:rFonts w:ascii="Arial" w:hAnsi="Arial" w:cs="Arial"/>
          <w:szCs w:val="22"/>
        </w:rPr>
        <w:t xml:space="preserve"> </w:t>
      </w:r>
    </w:p>
    <w:p w14:paraId="20EA5E2D" w14:textId="77777777" w:rsidR="005413EC" w:rsidRPr="00671C3D" w:rsidRDefault="005413EC" w:rsidP="00E66A89">
      <w:pPr>
        <w:pStyle w:val="NormalWeb"/>
        <w:spacing w:before="0" w:beforeAutospacing="0" w:after="0" w:afterAutospacing="0"/>
        <w:rPr>
          <w:rFonts w:ascii="Arial" w:hAnsi="Arial" w:cs="Arial"/>
          <w:sz w:val="22"/>
          <w:szCs w:val="22"/>
        </w:rPr>
      </w:pPr>
    </w:p>
    <w:p w14:paraId="3806A586" w14:textId="2CD64ADA" w:rsidR="00E66A89" w:rsidRPr="00CA6802" w:rsidRDefault="00E66A89" w:rsidP="00E66A89">
      <w:pPr>
        <w:pStyle w:val="NormalWeb"/>
        <w:spacing w:before="0" w:beforeAutospacing="0" w:after="0" w:afterAutospacing="0"/>
        <w:rPr>
          <w:rFonts w:ascii="Arial" w:hAnsi="Arial" w:cs="Arial"/>
          <w:szCs w:val="22"/>
        </w:rPr>
      </w:pPr>
      <w:r w:rsidRPr="00DD08DE">
        <w:rPr>
          <w:rFonts w:ascii="Arial" w:hAnsi="Arial" w:cs="Arial"/>
          <w:b/>
          <w:szCs w:val="22"/>
        </w:rPr>
        <w:t xml:space="preserve">Signed: </w:t>
      </w:r>
      <w:r w:rsidR="00062C47" w:rsidRPr="00DD08DE">
        <w:rPr>
          <w:rFonts w:ascii="Arial" w:hAnsi="Arial" w:cs="Arial"/>
          <w:b/>
          <w:szCs w:val="22"/>
        </w:rPr>
        <w:t>22 October 2019</w:t>
      </w:r>
    </w:p>
    <w:p w14:paraId="7208E968" w14:textId="77777777" w:rsidR="00E66A89" w:rsidRDefault="00E66A89" w:rsidP="00E66A89">
      <w:pPr>
        <w:pStyle w:val="Text"/>
        <w:spacing w:after="0"/>
      </w:pPr>
    </w:p>
    <w:p w14:paraId="28F79BB5" w14:textId="3B7D0E16" w:rsidR="00E66A89" w:rsidRDefault="005413EC" w:rsidP="00E66A89">
      <w:pPr>
        <w:spacing w:after="0"/>
        <w:rPr>
          <w:rFonts w:cs="Arial"/>
        </w:rPr>
      </w:pPr>
      <w:bookmarkStart w:id="4" w:name="_GoBack"/>
      <w:bookmarkEnd w:id="4"/>
      <w:r>
        <w:rPr>
          <w:rFonts w:cs="Arial"/>
        </w:rPr>
        <w:t>Previously</w:t>
      </w:r>
      <w:r w:rsidR="00E66A89">
        <w:rPr>
          <w:rFonts w:cs="Arial"/>
        </w:rPr>
        <w:t xml:space="preserve"> amended: </w:t>
      </w:r>
      <w:r>
        <w:rPr>
          <w:rFonts w:cs="Arial"/>
        </w:rPr>
        <w:tab/>
      </w:r>
      <w:r>
        <w:rPr>
          <w:rFonts w:cs="Arial"/>
        </w:rPr>
        <w:tab/>
        <w:t>March 2016</w:t>
      </w:r>
      <w:r w:rsidR="00E66A89">
        <w:rPr>
          <w:rFonts w:cs="Arial"/>
        </w:rPr>
        <w:tab/>
      </w:r>
      <w:r w:rsidR="00E66A89">
        <w:rPr>
          <w:rFonts w:cs="Arial"/>
        </w:rPr>
        <w:tab/>
      </w:r>
    </w:p>
    <w:p w14:paraId="37A2E998" w14:textId="77777777" w:rsidR="008046C8" w:rsidRDefault="008046C8" w:rsidP="00E66A89">
      <w:pPr>
        <w:spacing w:after="0"/>
        <w:rPr>
          <w:rFonts w:cs="Arial"/>
        </w:rPr>
      </w:pPr>
    </w:p>
    <w:sectPr w:rsidR="008046C8" w:rsidSect="00523BE7">
      <w:footerReference w:type="default" r:id="rId15"/>
      <w:headerReference w:type="first" r:id="rId16"/>
      <w:pgSz w:w="11906" w:h="16838" w:code="9"/>
      <w:pgMar w:top="1134" w:right="1134"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3A9B" w14:textId="77777777" w:rsidR="00E6566F" w:rsidRDefault="00E6566F" w:rsidP="00B91315">
      <w:pPr>
        <w:spacing w:after="0" w:line="240" w:lineRule="auto"/>
      </w:pPr>
      <w:r>
        <w:separator/>
      </w:r>
    </w:p>
  </w:endnote>
  <w:endnote w:type="continuationSeparator" w:id="0">
    <w:p w14:paraId="09DAE4D4" w14:textId="77777777" w:rsidR="00E6566F" w:rsidRDefault="00E6566F" w:rsidP="00B91315">
      <w:pPr>
        <w:spacing w:after="0" w:line="240" w:lineRule="auto"/>
      </w:pPr>
      <w:r>
        <w:continuationSeparator/>
      </w:r>
    </w:p>
  </w:endnote>
  <w:endnote w:type="continuationNotice" w:id="1">
    <w:p w14:paraId="4DF39A82" w14:textId="77777777" w:rsidR="00A7063A" w:rsidRDefault="00A7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66A1940F" w:rsidR="00E6566F" w:rsidRDefault="00E6566F">
    <w:pPr>
      <w:pStyle w:val="Footer"/>
    </w:pPr>
    <w:r>
      <w:fldChar w:fldCharType="begin"/>
    </w:r>
    <w:r>
      <w:instrText xml:space="preserve"> PAGE   \* MERGEFORMAT </w:instrText>
    </w:r>
    <w:r>
      <w:fldChar w:fldCharType="separate"/>
    </w:r>
    <w:r w:rsidR="00CA680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458F" w14:textId="77777777" w:rsidR="00E6566F" w:rsidRDefault="00E6566F" w:rsidP="00B91315">
      <w:pPr>
        <w:spacing w:after="0" w:line="240" w:lineRule="auto"/>
      </w:pPr>
      <w:r>
        <w:separator/>
      </w:r>
    </w:p>
  </w:footnote>
  <w:footnote w:type="continuationSeparator" w:id="0">
    <w:p w14:paraId="7FB0EBC3" w14:textId="77777777" w:rsidR="00E6566F" w:rsidRDefault="00E6566F" w:rsidP="00B91315">
      <w:pPr>
        <w:spacing w:after="0" w:line="240" w:lineRule="auto"/>
      </w:pPr>
      <w:r>
        <w:continuationSeparator/>
      </w:r>
    </w:p>
  </w:footnote>
  <w:footnote w:type="continuationNotice" w:id="1">
    <w:p w14:paraId="1A1604EA" w14:textId="77777777" w:rsidR="00A7063A" w:rsidRDefault="00A7063A">
      <w:pPr>
        <w:spacing w:after="0" w:line="240" w:lineRule="auto"/>
      </w:pPr>
    </w:p>
  </w:footnote>
  <w:footnote w:id="2">
    <w:p w14:paraId="4287EDC5" w14:textId="6623A8D0" w:rsidR="00E6566F" w:rsidRDefault="00E6566F" w:rsidP="00EA1F25">
      <w:pPr>
        <w:pStyle w:val="FootnoteText"/>
        <w:rPr>
          <w:sz w:val="18"/>
          <w:szCs w:val="18"/>
        </w:rPr>
      </w:pPr>
      <w:bookmarkStart w:id="1" w:name="_Hlk514923877"/>
      <w:r w:rsidRPr="00060064">
        <w:rPr>
          <w:rStyle w:val="FootnoteReference"/>
          <w:sz w:val="18"/>
          <w:szCs w:val="18"/>
        </w:rPr>
        <w:footnoteRef/>
      </w:r>
      <w:r w:rsidRPr="00060064">
        <w:rPr>
          <w:sz w:val="18"/>
          <w:szCs w:val="18"/>
        </w:rPr>
        <w:t xml:space="preserve"> Public Records Act 1958 s.3(6)</w:t>
      </w:r>
    </w:p>
    <w:bookmarkEnd w:id="1"/>
    <w:p w14:paraId="011011D4" w14:textId="77777777" w:rsidR="00E6566F" w:rsidRPr="00060064" w:rsidRDefault="00E6566F" w:rsidP="00EA1F25">
      <w:pPr>
        <w:pStyle w:val="FootnoteText"/>
        <w:rPr>
          <w:sz w:val="18"/>
          <w:szCs w:val="18"/>
        </w:rPr>
      </w:pPr>
    </w:p>
  </w:footnote>
  <w:footnote w:id="3">
    <w:p w14:paraId="3CA03392" w14:textId="47DB45C6" w:rsidR="00876495" w:rsidRPr="00886BC9" w:rsidRDefault="00876495" w:rsidP="00876495">
      <w:pPr>
        <w:pStyle w:val="FootnoteText"/>
        <w:rPr>
          <w:sz w:val="18"/>
        </w:rPr>
      </w:pPr>
      <w:r w:rsidRPr="00886BC9">
        <w:rPr>
          <w:rStyle w:val="FootnoteReference"/>
          <w:sz w:val="18"/>
        </w:rPr>
        <w:footnoteRef/>
      </w:r>
      <w:r w:rsidRPr="00886BC9">
        <w:rPr>
          <w:sz w:val="18"/>
        </w:rPr>
        <w:t xml:space="preserve"> See row</w:t>
      </w:r>
      <w:r>
        <w:rPr>
          <w:sz w:val="18"/>
        </w:rPr>
        <w:t>s</w:t>
      </w:r>
      <w:r w:rsidRPr="00886BC9">
        <w:rPr>
          <w:sz w:val="18"/>
        </w:rPr>
        <w:t xml:space="preserve"> </w:t>
      </w:r>
      <w:r w:rsidR="00956C8B">
        <w:rPr>
          <w:sz w:val="18"/>
        </w:rPr>
        <w:t>14 and 15</w:t>
      </w:r>
      <w:r>
        <w:rPr>
          <w:sz w:val="18"/>
        </w:rPr>
        <w:t xml:space="preserve"> </w:t>
      </w:r>
      <w:r w:rsidRPr="00886BC9">
        <w:rPr>
          <w:sz w:val="18"/>
        </w:rPr>
        <w:t>for maximum retention period</w:t>
      </w:r>
    </w:p>
  </w:footnote>
  <w:footnote w:id="4">
    <w:p w14:paraId="4972BBF7" w14:textId="0C560DC1" w:rsidR="00E6566F" w:rsidRPr="00D318AC" w:rsidRDefault="00E6566F">
      <w:pPr>
        <w:pStyle w:val="FootnoteText"/>
        <w:rPr>
          <w:sz w:val="18"/>
        </w:rPr>
      </w:pPr>
      <w:r w:rsidRPr="00D318AC">
        <w:rPr>
          <w:rStyle w:val="FootnoteReference"/>
          <w:sz w:val="18"/>
        </w:rPr>
        <w:footnoteRef/>
      </w:r>
      <w:r w:rsidRPr="00D318AC">
        <w:rPr>
          <w:sz w:val="18"/>
        </w:rPr>
        <w:t xml:space="preserve"> </w:t>
      </w:r>
      <w:r>
        <w:rPr>
          <w:sz w:val="18"/>
        </w:rPr>
        <w:t xml:space="preserve">Business areas </w:t>
      </w:r>
      <w:r w:rsidRPr="00D318AC">
        <w:rPr>
          <w:sz w:val="18"/>
        </w:rPr>
        <w:t xml:space="preserve">should keep the invitation with the advice for </w:t>
      </w:r>
      <w:r w:rsidRPr="00D318AC">
        <w:rPr>
          <w:b/>
          <w:sz w:val="18"/>
        </w:rPr>
        <w:t>five years</w:t>
      </w:r>
      <w:r w:rsidRPr="00D318AC">
        <w:rPr>
          <w:sz w:val="18"/>
        </w:rPr>
        <w:t xml:space="preserve"> and then destroy.</w:t>
      </w:r>
    </w:p>
  </w:footnote>
  <w:footnote w:id="5">
    <w:p w14:paraId="2918E46C" w14:textId="77777777" w:rsidR="00E6566F" w:rsidRPr="0072274A" w:rsidRDefault="00E6566F" w:rsidP="009876FD">
      <w:pPr>
        <w:pStyle w:val="FootnoteText"/>
        <w:rPr>
          <w:sz w:val="18"/>
        </w:rPr>
      </w:pPr>
      <w:r w:rsidRPr="0072274A">
        <w:rPr>
          <w:rStyle w:val="FootnoteReference"/>
          <w:sz w:val="18"/>
        </w:rPr>
        <w:footnoteRef/>
      </w:r>
      <w:r w:rsidRPr="0072274A">
        <w:rPr>
          <w:sz w:val="18"/>
        </w:rPr>
        <w:t xml:space="preserve"> </w:t>
      </w:r>
      <w:r>
        <w:rPr>
          <w:sz w:val="18"/>
        </w:rPr>
        <w:t xml:space="preserve">See Annex A of </w:t>
      </w:r>
      <w:r w:rsidRPr="0072274A">
        <w:rPr>
          <w:rFonts w:cs="Arial"/>
          <w:i/>
          <w:sz w:val="18"/>
        </w:rPr>
        <w:t>Guidance on the Management of Private Office Papers</w:t>
      </w:r>
    </w:p>
  </w:footnote>
  <w:footnote w:id="6">
    <w:p w14:paraId="2CF7F8E0" w14:textId="79EA5275" w:rsidR="00E6566F" w:rsidRPr="0072274A" w:rsidRDefault="00E6566F">
      <w:pPr>
        <w:pStyle w:val="FootnoteText"/>
        <w:rPr>
          <w:sz w:val="18"/>
        </w:rPr>
      </w:pPr>
      <w:r w:rsidRPr="0072274A">
        <w:rPr>
          <w:rStyle w:val="FootnoteReference"/>
          <w:sz w:val="18"/>
        </w:rPr>
        <w:footnoteRef/>
      </w:r>
      <w:r w:rsidRPr="0072274A">
        <w:rPr>
          <w:sz w:val="18"/>
        </w:rPr>
        <w:t xml:space="preserve"> </w:t>
      </w:r>
      <w:r>
        <w:rPr>
          <w:sz w:val="18"/>
        </w:rPr>
        <w:t xml:space="preserve">See Annex A of </w:t>
      </w:r>
      <w:r w:rsidRPr="0072274A">
        <w:rPr>
          <w:rFonts w:cs="Arial"/>
          <w:i/>
          <w:sz w:val="18"/>
        </w:rPr>
        <w:t>Guidance on the Management of Private Office Papers</w:t>
      </w:r>
    </w:p>
  </w:footnote>
  <w:footnote w:id="7">
    <w:p w14:paraId="7409E655" w14:textId="77777777" w:rsidR="00E6566F" w:rsidRPr="00B4087A" w:rsidRDefault="00E6566F" w:rsidP="00C776AD">
      <w:pPr>
        <w:pStyle w:val="FootnoteText"/>
        <w:rPr>
          <w:sz w:val="18"/>
          <w:szCs w:val="18"/>
        </w:rPr>
      </w:pPr>
      <w:r w:rsidRPr="00B4087A">
        <w:rPr>
          <w:rStyle w:val="FootnoteReference"/>
          <w:sz w:val="18"/>
          <w:szCs w:val="18"/>
        </w:rPr>
        <w:footnoteRef/>
      </w:r>
      <w:r w:rsidRPr="00B4087A">
        <w:rPr>
          <w:sz w:val="18"/>
          <w:szCs w:val="18"/>
        </w:rPr>
        <w:t xml:space="preserve"> Supports section 7.25 of the Ministerial Code: </w:t>
      </w:r>
      <w:r w:rsidRPr="00B4087A">
        <w:rPr>
          <w:rStyle w:val="Hyperlink"/>
          <w:color w:val="0000CC"/>
          <w:sz w:val="18"/>
          <w:szCs w:val="18"/>
        </w:rPr>
        <w:t>https://assets.publishing.service.gov.uk/government/uploads/system/uploads/attachment_data/file/672633/2018-01-08_MINISTERIAL_CODE_JANUARY_2018__FINAL___3_.pdf</w:t>
      </w:r>
    </w:p>
  </w:footnote>
  <w:footnote w:id="8">
    <w:p w14:paraId="26237F20" w14:textId="77777777" w:rsidR="00876495" w:rsidRPr="00865AF9" w:rsidRDefault="00876495" w:rsidP="00876495">
      <w:pPr>
        <w:pStyle w:val="FootnoteText"/>
        <w:rPr>
          <w:sz w:val="18"/>
          <w:szCs w:val="18"/>
        </w:rPr>
      </w:pPr>
      <w:r w:rsidRPr="00865AF9">
        <w:rPr>
          <w:rStyle w:val="FootnoteReference"/>
          <w:sz w:val="18"/>
          <w:szCs w:val="18"/>
        </w:rPr>
        <w:footnoteRef/>
      </w:r>
      <w:r w:rsidRPr="00865AF9">
        <w:rPr>
          <w:sz w:val="18"/>
          <w:szCs w:val="18"/>
        </w:rPr>
        <w:t xml:space="preserve"> </w:t>
      </w:r>
      <w:r>
        <w:rPr>
          <w:sz w:val="18"/>
          <w:szCs w:val="18"/>
        </w:rPr>
        <w:t xml:space="preserve">Staff should check the </w:t>
      </w:r>
      <w:r w:rsidRPr="00865AF9">
        <w:rPr>
          <w:sz w:val="18"/>
          <w:szCs w:val="18"/>
        </w:rPr>
        <w:t xml:space="preserve">intranet </w:t>
      </w:r>
      <w:r>
        <w:rPr>
          <w:sz w:val="18"/>
          <w:szCs w:val="18"/>
        </w:rPr>
        <w:t xml:space="preserve">for more detailed </w:t>
      </w:r>
      <w:r w:rsidRPr="00865AF9">
        <w:rPr>
          <w:sz w:val="18"/>
          <w:szCs w:val="18"/>
        </w:rPr>
        <w:t>guidance</w:t>
      </w:r>
      <w:r>
        <w:rPr>
          <w:sz w:val="18"/>
          <w:szCs w:val="18"/>
        </w:rPr>
        <w:t xml:space="preserve">: </w:t>
      </w:r>
      <w:r w:rsidRPr="00865AF9">
        <w:rPr>
          <w:i/>
          <w:sz w:val="18"/>
          <w:szCs w:val="18"/>
        </w:rPr>
        <w:t>Guidance for using Open Internet Tools</w:t>
      </w:r>
    </w:p>
  </w:footnote>
  <w:footnote w:id="9">
    <w:p w14:paraId="795641F7" w14:textId="77777777" w:rsidR="00956C8B" w:rsidRPr="00B4087A" w:rsidRDefault="00956C8B" w:rsidP="00956C8B">
      <w:pPr>
        <w:pStyle w:val="FootnoteText"/>
        <w:rPr>
          <w:sz w:val="18"/>
          <w:szCs w:val="18"/>
        </w:rPr>
      </w:pPr>
      <w:r w:rsidRPr="00B4087A">
        <w:rPr>
          <w:rStyle w:val="FootnoteReference"/>
          <w:sz w:val="18"/>
          <w:szCs w:val="18"/>
        </w:rPr>
        <w:footnoteRef/>
      </w:r>
      <w:r w:rsidRPr="00B4087A">
        <w:rPr>
          <w:sz w:val="18"/>
          <w:szCs w:val="18"/>
        </w:rPr>
        <w:t xml:space="preserve"> </w:t>
      </w:r>
      <w:r w:rsidRPr="00B4087A">
        <w:rPr>
          <w:i/>
          <w:sz w:val="18"/>
          <w:szCs w:val="18"/>
        </w:rPr>
        <w:t>What to keep</w:t>
      </w:r>
      <w:r w:rsidRPr="00B4087A">
        <w:rPr>
          <w:sz w:val="18"/>
          <w:szCs w:val="18"/>
        </w:rPr>
        <w:t xml:space="preserve"> is available at: </w:t>
      </w:r>
      <w:hyperlink r:id="rId1" w:history="1">
        <w:r w:rsidRPr="00B4087A">
          <w:rPr>
            <w:rStyle w:val="Hyperlink"/>
            <w:color w:val="0000CC"/>
            <w:sz w:val="18"/>
            <w:szCs w:val="18"/>
          </w:rPr>
          <w:t>https://www.gov.uk/government/publications/record-retention-and-disposition-schedules</w:t>
        </w:r>
      </w:hyperlink>
      <w:r w:rsidRPr="00B4087A">
        <w:rPr>
          <w:sz w:val="18"/>
          <w:szCs w:val="18"/>
        </w:rPr>
        <w:t xml:space="preserve"> </w:t>
      </w:r>
    </w:p>
  </w:footnote>
  <w:footnote w:id="10">
    <w:p w14:paraId="5D603A96" w14:textId="77777777" w:rsidR="00956C8B" w:rsidRPr="00B4087A" w:rsidRDefault="00956C8B">
      <w:pPr>
        <w:pStyle w:val="FootnoteText"/>
        <w:rPr>
          <w:sz w:val="18"/>
          <w:szCs w:val="18"/>
        </w:rPr>
      </w:pPr>
      <w:r w:rsidRPr="00B4087A">
        <w:rPr>
          <w:rStyle w:val="FootnoteReference"/>
          <w:sz w:val="18"/>
          <w:szCs w:val="18"/>
        </w:rPr>
        <w:footnoteRef/>
      </w:r>
      <w:r w:rsidRPr="00B4087A">
        <w:rPr>
          <w:sz w:val="18"/>
          <w:szCs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E6566F" w:rsidRDefault="00E6566F">
    <w:pPr>
      <w:pStyle w:val="Header"/>
    </w:pPr>
    <w:r w:rsidRPr="006D258B">
      <w:rPr>
        <w:noProof/>
      </w:rPr>
      <w:drawing>
        <wp:anchor distT="0" distB="0" distL="114300" distR="114300" simplePos="0" relativeHeight="251658241"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14" name="Picture 14"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5" name="Picture 15"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9F52814"/>
    <w:multiLevelType w:val="hybridMultilevel"/>
    <w:tmpl w:val="7C5EC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74F4E"/>
    <w:multiLevelType w:val="hybridMultilevel"/>
    <w:tmpl w:val="33FE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F61A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72C58"/>
    <w:multiLevelType w:val="hybridMultilevel"/>
    <w:tmpl w:val="CB38D7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C7707"/>
    <w:multiLevelType w:val="hybridMultilevel"/>
    <w:tmpl w:val="60ECDBC0"/>
    <w:lvl w:ilvl="0" w:tplc="0809000F">
      <w:start w:val="1"/>
      <w:numFmt w:val="decimal"/>
      <w:lvlText w:val="%1."/>
      <w:lvlJc w:val="left"/>
      <w:pPr>
        <w:ind w:left="720" w:hanging="360"/>
      </w:pPr>
    </w:lvl>
    <w:lvl w:ilvl="1" w:tplc="7DA24F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E755D3"/>
    <w:multiLevelType w:val="hybridMultilevel"/>
    <w:tmpl w:val="AE78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C7801"/>
    <w:multiLevelType w:val="hybridMultilevel"/>
    <w:tmpl w:val="171ABA1C"/>
    <w:lvl w:ilvl="0" w:tplc="0809000F">
      <w:start w:val="1"/>
      <w:numFmt w:val="decimal"/>
      <w:lvlText w:val="%1."/>
      <w:lvlJc w:val="left"/>
      <w:pPr>
        <w:ind w:left="720" w:hanging="360"/>
      </w:pPr>
    </w:lvl>
    <w:lvl w:ilvl="1" w:tplc="7DA24F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07B61"/>
    <w:multiLevelType w:val="hybridMultilevel"/>
    <w:tmpl w:val="25A0C208"/>
    <w:lvl w:ilvl="0" w:tplc="0809000F">
      <w:start w:val="1"/>
      <w:numFmt w:val="decimal"/>
      <w:lvlText w:val="%1."/>
      <w:lvlJc w:val="left"/>
      <w:pPr>
        <w:ind w:left="720" w:hanging="360"/>
      </w:pPr>
    </w:lvl>
    <w:lvl w:ilvl="1" w:tplc="7DA24F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4"/>
  </w:num>
  <w:num w:numId="7">
    <w:abstractNumId w:val="7"/>
  </w:num>
  <w:num w:numId="8">
    <w:abstractNumId w:val="6"/>
  </w:num>
  <w:num w:numId="9">
    <w:abstractNumId w:val="9"/>
  </w:num>
  <w:num w:numId="10">
    <w:abstractNumId w:val="14"/>
  </w:num>
  <w:num w:numId="11">
    <w:abstractNumId w:val="16"/>
  </w:num>
  <w:num w:numId="12">
    <w:abstractNumId w:val="3"/>
  </w:num>
  <w:num w:numId="13">
    <w:abstractNumId w:val="8"/>
  </w:num>
  <w:num w:numId="14">
    <w:abstractNumId w:val="15"/>
  </w:num>
  <w:num w:numId="15">
    <w:abstractNumId w:val="5"/>
  </w:num>
  <w:num w:numId="16">
    <w:abstractNumId w:val="13"/>
  </w:num>
  <w:num w:numId="17">
    <w:abstractNumId w:val="12"/>
  </w:num>
  <w:num w:numId="18">
    <w:abstractNumId w:val="1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1455D"/>
    <w:rsid w:val="00022442"/>
    <w:rsid w:val="00060064"/>
    <w:rsid w:val="00062C47"/>
    <w:rsid w:val="00090E40"/>
    <w:rsid w:val="00175D09"/>
    <w:rsid w:val="001A71CD"/>
    <w:rsid w:val="002176A8"/>
    <w:rsid w:val="00240F37"/>
    <w:rsid w:val="0027410D"/>
    <w:rsid w:val="002825C9"/>
    <w:rsid w:val="0028397F"/>
    <w:rsid w:val="00293CEB"/>
    <w:rsid w:val="002F075A"/>
    <w:rsid w:val="003355F1"/>
    <w:rsid w:val="00386044"/>
    <w:rsid w:val="0039701F"/>
    <w:rsid w:val="003D27AC"/>
    <w:rsid w:val="003F3029"/>
    <w:rsid w:val="00446DDB"/>
    <w:rsid w:val="0046787C"/>
    <w:rsid w:val="004A033C"/>
    <w:rsid w:val="00515316"/>
    <w:rsid w:val="00520CBB"/>
    <w:rsid w:val="00523BE7"/>
    <w:rsid w:val="00526855"/>
    <w:rsid w:val="00535662"/>
    <w:rsid w:val="005413EC"/>
    <w:rsid w:val="0054560A"/>
    <w:rsid w:val="00545B6C"/>
    <w:rsid w:val="005E51D0"/>
    <w:rsid w:val="00605D6B"/>
    <w:rsid w:val="0062433C"/>
    <w:rsid w:val="006C18A0"/>
    <w:rsid w:val="0072274A"/>
    <w:rsid w:val="007D3BDE"/>
    <w:rsid w:val="008046C8"/>
    <w:rsid w:val="00804E04"/>
    <w:rsid w:val="008114F6"/>
    <w:rsid w:val="008555AC"/>
    <w:rsid w:val="00876495"/>
    <w:rsid w:val="008B2C35"/>
    <w:rsid w:val="00916276"/>
    <w:rsid w:val="009179CD"/>
    <w:rsid w:val="00932F7F"/>
    <w:rsid w:val="00956C8B"/>
    <w:rsid w:val="009876FD"/>
    <w:rsid w:val="00990242"/>
    <w:rsid w:val="009A1CE1"/>
    <w:rsid w:val="009B2328"/>
    <w:rsid w:val="009C57EE"/>
    <w:rsid w:val="00A37F61"/>
    <w:rsid w:val="00A420A3"/>
    <w:rsid w:val="00A51E6D"/>
    <w:rsid w:val="00A7063A"/>
    <w:rsid w:val="00A819B9"/>
    <w:rsid w:val="00AA6246"/>
    <w:rsid w:val="00AC6247"/>
    <w:rsid w:val="00AC6E4A"/>
    <w:rsid w:val="00AD05F3"/>
    <w:rsid w:val="00AD52C7"/>
    <w:rsid w:val="00AE4DF7"/>
    <w:rsid w:val="00AE7F69"/>
    <w:rsid w:val="00B4087A"/>
    <w:rsid w:val="00B4736D"/>
    <w:rsid w:val="00B625C5"/>
    <w:rsid w:val="00B91315"/>
    <w:rsid w:val="00BC4DBC"/>
    <w:rsid w:val="00BF23EA"/>
    <w:rsid w:val="00C776AD"/>
    <w:rsid w:val="00C84F3F"/>
    <w:rsid w:val="00CA6802"/>
    <w:rsid w:val="00D318AC"/>
    <w:rsid w:val="00D50660"/>
    <w:rsid w:val="00D6718C"/>
    <w:rsid w:val="00D91CC8"/>
    <w:rsid w:val="00DA7B00"/>
    <w:rsid w:val="00DD08DE"/>
    <w:rsid w:val="00E12509"/>
    <w:rsid w:val="00E279FB"/>
    <w:rsid w:val="00E40474"/>
    <w:rsid w:val="00E40AEF"/>
    <w:rsid w:val="00E4123E"/>
    <w:rsid w:val="00E6566F"/>
    <w:rsid w:val="00E66A89"/>
    <w:rsid w:val="00EA1F25"/>
    <w:rsid w:val="00F03896"/>
    <w:rsid w:val="00F507D8"/>
    <w:rsid w:val="00F6533F"/>
    <w:rsid w:val="00FB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8"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2" w:qFormat="1"/>
    <w:lsdException w:name="List Number" w:uiPriority="1" w:qFormat="1"/>
    <w:lsdException w:name="List 2" w:semiHidden="1"/>
    <w:lsdException w:name="List 3" w:semiHidden="1"/>
    <w:lsdException w:name="List 4" w:semiHidden="1"/>
    <w:lsdException w:name="List 5" w:semiHidden="1"/>
    <w:lsdException w:name="List Bullet 2" w:uiPriority="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A37F6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7F6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ectedbloodinquiry.org.uk/evid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uments/information-management/popapersguidance200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cord-retention-and-disposition-sched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917b73b32c1ef4c05e596a3250c1417d">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320bffe2f21ec08e5882bee321a2d46c"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1448-CFE7-4B48-AFF8-CCD1266CA1F6}">
  <ds:schemaRefs>
    <ds:schemaRef ds:uri="http://schemas.microsoft.com/sharepoint/v3"/>
    <ds:schemaRef ds:uri="http://schemas.microsoft.com/office/2006/documentManagement/types"/>
    <ds:schemaRef ds:uri="http://purl.org/dc/terms/"/>
    <ds:schemaRef ds:uri="http://schemas.openxmlformats.org/package/2006/metadata/core-properties"/>
    <ds:schemaRef ds:uri="2332c961-6f67-4d2a-9fad-b382164b977c"/>
    <ds:schemaRef ds:uri="http://purl.org/dc/elements/1.1/"/>
    <ds:schemaRef ds:uri="http://schemas.microsoft.com/office/infopath/2007/PartnerControls"/>
    <ds:schemaRef ds:uri="http://schemas.microsoft.com/office/2006/metadata/properties"/>
    <ds:schemaRef ds:uri="d5354e63-dc31-42f4-b5be-47429dadf320"/>
    <ds:schemaRef ds:uri="http://www.w3.org/XML/1998/namespace"/>
    <ds:schemaRef ds:uri="http://purl.org/dc/dcmitype/"/>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FBF1DF61-FA94-4A39-B7A0-5D772656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3E370-A225-4FFD-9B71-9B0E3522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4</cp:revision>
  <cp:lastPrinted>2019-11-05T10:00:00Z</cp:lastPrinted>
  <dcterms:created xsi:type="dcterms:W3CDTF">2020-01-06T12:30:00Z</dcterms:created>
  <dcterms:modified xsi:type="dcterms:W3CDTF">2020-01-06T12:32:00Z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