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B5CEF" w14:textId="77777777" w:rsidR="003318AE" w:rsidRPr="00BA744A" w:rsidRDefault="003318AE" w:rsidP="003318AE">
      <w:pPr>
        <w:spacing w:after="0"/>
        <w:jc w:val="center"/>
        <w:rPr>
          <w:rFonts w:eastAsia="Calibri"/>
          <w:sz w:val="26"/>
          <w:szCs w:val="26"/>
        </w:rPr>
      </w:pPr>
      <w:r w:rsidRPr="00BA744A">
        <w:rPr>
          <w:rFonts w:ascii="Calibri" w:eastAsia="Calibri" w:hAnsi="Calibri"/>
          <w:noProof/>
          <w:sz w:val="26"/>
          <w:szCs w:val="26"/>
          <w:lang w:eastAsia="en-GB"/>
        </w:rPr>
        <w:drawing>
          <wp:inline distT="0" distB="0" distL="0" distR="0" wp14:anchorId="1497D0DD" wp14:editId="1F346FDA">
            <wp:extent cx="4638675" cy="1276350"/>
            <wp:effectExtent l="0" t="0" r="9525" b="0"/>
            <wp:docPr id="8" name="Picture 3" descr="Master A4 with address for CH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 A4 with address for CHX.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1276350"/>
                    </a:xfrm>
                    <a:prstGeom prst="rect">
                      <a:avLst/>
                    </a:prstGeom>
                    <a:noFill/>
                    <a:ln>
                      <a:noFill/>
                    </a:ln>
                  </pic:spPr>
                </pic:pic>
              </a:graphicData>
            </a:graphic>
          </wp:inline>
        </w:drawing>
      </w:r>
    </w:p>
    <w:p w14:paraId="77391097" w14:textId="77777777" w:rsidR="003318AE" w:rsidRPr="00BA744A" w:rsidRDefault="003318AE" w:rsidP="003318AE">
      <w:pPr>
        <w:spacing w:after="240"/>
        <w:rPr>
          <w:rFonts w:eastAsia="Calibri"/>
          <w:sz w:val="26"/>
          <w:szCs w:val="26"/>
        </w:rPr>
      </w:pPr>
    </w:p>
    <w:p w14:paraId="633E73E7" w14:textId="36E55152" w:rsidR="003318AE" w:rsidRPr="00BA744A" w:rsidRDefault="0046627D" w:rsidP="003318AE">
      <w:pPr>
        <w:spacing w:after="0"/>
        <w:jc w:val="right"/>
        <w:rPr>
          <w:rFonts w:eastAsia="Calibri"/>
          <w:sz w:val="26"/>
          <w:szCs w:val="26"/>
        </w:rPr>
      </w:pPr>
      <w:r>
        <w:rPr>
          <w:rFonts w:eastAsia="Calibri"/>
          <w:sz w:val="26"/>
          <w:szCs w:val="26"/>
        </w:rPr>
        <w:t xml:space="preserve">4 </w:t>
      </w:r>
      <w:r w:rsidR="00130150">
        <w:rPr>
          <w:rFonts w:eastAsia="Calibri"/>
          <w:sz w:val="26"/>
          <w:szCs w:val="26"/>
        </w:rPr>
        <w:t>November</w:t>
      </w:r>
      <w:r w:rsidR="003318AE" w:rsidRPr="00F7164F">
        <w:rPr>
          <w:rFonts w:eastAsia="Calibri"/>
          <w:sz w:val="26"/>
          <w:szCs w:val="22"/>
        </w:rPr>
        <w:t xml:space="preserve"> </w:t>
      </w:r>
      <w:r w:rsidR="003318AE" w:rsidRPr="00F7164F">
        <w:rPr>
          <w:rFonts w:eastAsia="Calibri"/>
          <w:sz w:val="26"/>
          <w:szCs w:val="26"/>
        </w:rPr>
        <w:t>2019</w:t>
      </w:r>
    </w:p>
    <w:p w14:paraId="570E0B7C" w14:textId="6B1CBA09" w:rsidR="003318AE" w:rsidRPr="00BA744A" w:rsidRDefault="00A94D8D" w:rsidP="003318AE">
      <w:pPr>
        <w:spacing w:after="0"/>
        <w:jc w:val="both"/>
        <w:rPr>
          <w:rFonts w:eastAsia="Calibri"/>
          <w:sz w:val="26"/>
          <w:szCs w:val="26"/>
        </w:rPr>
      </w:pPr>
      <w:r>
        <w:rPr>
          <w:rFonts w:eastAsia="Calibri"/>
          <w:sz w:val="26"/>
          <w:szCs w:val="26"/>
        </w:rPr>
        <w:t>Andrew Bailey</w:t>
      </w:r>
      <w:r>
        <w:rPr>
          <w:rFonts w:eastAsia="Calibri"/>
          <w:sz w:val="26"/>
          <w:szCs w:val="26"/>
        </w:rPr>
        <w:tab/>
      </w:r>
    </w:p>
    <w:p w14:paraId="50DB7FDE" w14:textId="454D8A51" w:rsidR="003318AE" w:rsidRDefault="00A94D8D" w:rsidP="003318AE">
      <w:pPr>
        <w:spacing w:after="0"/>
        <w:jc w:val="both"/>
        <w:rPr>
          <w:rFonts w:eastAsia="Calibri"/>
          <w:sz w:val="26"/>
          <w:szCs w:val="26"/>
        </w:rPr>
      </w:pPr>
      <w:r>
        <w:rPr>
          <w:rFonts w:eastAsia="Calibri"/>
          <w:sz w:val="26"/>
          <w:szCs w:val="26"/>
        </w:rPr>
        <w:t>Chief Executive</w:t>
      </w:r>
    </w:p>
    <w:p w14:paraId="4AC00F88" w14:textId="1B5EBE1B" w:rsidR="00A94D8D" w:rsidRDefault="00A94D8D" w:rsidP="003318AE">
      <w:pPr>
        <w:spacing w:after="0"/>
        <w:jc w:val="both"/>
        <w:rPr>
          <w:rFonts w:eastAsia="Calibri"/>
          <w:sz w:val="26"/>
          <w:szCs w:val="26"/>
        </w:rPr>
      </w:pPr>
      <w:r>
        <w:rPr>
          <w:rFonts w:eastAsia="Calibri"/>
          <w:sz w:val="26"/>
          <w:szCs w:val="26"/>
        </w:rPr>
        <w:t>Financial Conduct Authority</w:t>
      </w:r>
    </w:p>
    <w:p w14:paraId="52284194" w14:textId="77777777" w:rsidR="00A94D8D" w:rsidRDefault="00A94D8D" w:rsidP="003318AE">
      <w:pPr>
        <w:spacing w:after="0"/>
        <w:jc w:val="both"/>
        <w:rPr>
          <w:rFonts w:eastAsia="Calibri"/>
          <w:sz w:val="26"/>
          <w:szCs w:val="26"/>
        </w:rPr>
      </w:pPr>
      <w:r w:rsidRPr="00A94D8D">
        <w:rPr>
          <w:rFonts w:eastAsia="Calibri"/>
          <w:sz w:val="26"/>
          <w:szCs w:val="26"/>
        </w:rPr>
        <w:t>12 Endeavour Square</w:t>
      </w:r>
    </w:p>
    <w:p w14:paraId="65AA3B82" w14:textId="77777777" w:rsidR="00A94D8D" w:rsidRDefault="00A94D8D" w:rsidP="003318AE">
      <w:pPr>
        <w:spacing w:after="0"/>
        <w:jc w:val="both"/>
        <w:rPr>
          <w:rFonts w:eastAsia="Calibri"/>
          <w:sz w:val="26"/>
          <w:szCs w:val="26"/>
        </w:rPr>
      </w:pPr>
      <w:r w:rsidRPr="00A94D8D">
        <w:rPr>
          <w:rFonts w:eastAsia="Calibri"/>
          <w:sz w:val="26"/>
          <w:szCs w:val="26"/>
        </w:rPr>
        <w:t xml:space="preserve">London </w:t>
      </w:r>
    </w:p>
    <w:p w14:paraId="1CAFC3CA" w14:textId="6D68B9BB" w:rsidR="00A94D8D" w:rsidRPr="00BA744A" w:rsidRDefault="00A94D8D" w:rsidP="003318AE">
      <w:pPr>
        <w:spacing w:after="0"/>
        <w:jc w:val="both"/>
        <w:rPr>
          <w:rFonts w:eastAsia="Calibri"/>
          <w:sz w:val="26"/>
          <w:szCs w:val="26"/>
        </w:rPr>
      </w:pPr>
      <w:r w:rsidRPr="00A94D8D">
        <w:rPr>
          <w:rFonts w:eastAsia="Calibri"/>
          <w:sz w:val="26"/>
          <w:szCs w:val="26"/>
        </w:rPr>
        <w:t>E20 1JN</w:t>
      </w:r>
    </w:p>
    <w:p w14:paraId="0FC5501A" w14:textId="77777777" w:rsidR="003318AE" w:rsidRPr="00BA744A" w:rsidRDefault="003318AE" w:rsidP="003318AE">
      <w:pPr>
        <w:spacing w:after="0"/>
        <w:jc w:val="both"/>
        <w:rPr>
          <w:rFonts w:eastAsia="Calibri"/>
          <w:sz w:val="26"/>
          <w:szCs w:val="26"/>
        </w:rPr>
      </w:pPr>
    </w:p>
    <w:p w14:paraId="1F9EB0DE" w14:textId="77777777" w:rsidR="003318AE" w:rsidRPr="00BA744A" w:rsidRDefault="003318AE" w:rsidP="003318AE">
      <w:pPr>
        <w:spacing w:after="0"/>
        <w:jc w:val="both"/>
        <w:rPr>
          <w:rFonts w:eastAsia="Calibri"/>
          <w:sz w:val="26"/>
          <w:szCs w:val="26"/>
        </w:rPr>
      </w:pPr>
    </w:p>
    <w:p w14:paraId="584056EE" w14:textId="77777777" w:rsidR="00A94D8D" w:rsidRPr="00603BB5" w:rsidRDefault="00A94D8D" w:rsidP="00A94D8D">
      <w:pPr>
        <w:pStyle w:val="Default"/>
        <w:jc w:val="both"/>
        <w:rPr>
          <w:color w:val="auto"/>
          <w:sz w:val="26"/>
          <w:szCs w:val="26"/>
        </w:rPr>
      </w:pPr>
      <w:r w:rsidRPr="00603BB5">
        <w:rPr>
          <w:color w:val="auto"/>
          <w:sz w:val="26"/>
          <w:szCs w:val="26"/>
        </w:rPr>
        <w:t xml:space="preserve">Dear Andrew, </w:t>
      </w:r>
    </w:p>
    <w:p w14:paraId="3753CA2B" w14:textId="77777777" w:rsidR="00A94D8D" w:rsidRPr="0097742C" w:rsidRDefault="00A94D8D" w:rsidP="00A94D8D">
      <w:pPr>
        <w:pStyle w:val="Default"/>
        <w:jc w:val="both"/>
        <w:rPr>
          <w:color w:val="auto"/>
          <w:sz w:val="26"/>
          <w:szCs w:val="26"/>
        </w:rPr>
      </w:pPr>
    </w:p>
    <w:p w14:paraId="505F62DA" w14:textId="0D20B3AD" w:rsidR="00A94D8D" w:rsidRPr="00E33314" w:rsidRDefault="00A94D8D" w:rsidP="00E33314">
      <w:pPr>
        <w:pStyle w:val="Default"/>
        <w:spacing w:after="240"/>
        <w:jc w:val="both"/>
        <w:rPr>
          <w:b/>
          <w:color w:val="auto"/>
          <w:sz w:val="26"/>
          <w:szCs w:val="26"/>
        </w:rPr>
      </w:pPr>
      <w:r w:rsidRPr="00603BB5">
        <w:rPr>
          <w:b/>
          <w:color w:val="auto"/>
          <w:sz w:val="26"/>
          <w:szCs w:val="26"/>
        </w:rPr>
        <w:t xml:space="preserve">RECOMMENDATIONS FOR THE FINANCIAL CONDUCT AUTHORITY </w:t>
      </w:r>
    </w:p>
    <w:p w14:paraId="5EFB404E" w14:textId="4E239D64" w:rsidR="00A94D8D" w:rsidRPr="001618FB" w:rsidRDefault="00A94D8D" w:rsidP="00E33314">
      <w:pPr>
        <w:pStyle w:val="Default"/>
        <w:spacing w:after="240"/>
        <w:jc w:val="both"/>
        <w:rPr>
          <w:color w:val="auto"/>
          <w:sz w:val="26"/>
          <w:szCs w:val="26"/>
        </w:rPr>
      </w:pPr>
      <w:r w:rsidRPr="0097742C">
        <w:rPr>
          <w:color w:val="auto"/>
          <w:sz w:val="26"/>
          <w:szCs w:val="26"/>
        </w:rPr>
        <w:t>The Financial Services and Markets Act 2000</w:t>
      </w:r>
      <w:r w:rsidR="00E33314">
        <w:rPr>
          <w:color w:val="auto"/>
          <w:sz w:val="26"/>
          <w:szCs w:val="26"/>
        </w:rPr>
        <w:t xml:space="preserve"> (“the Act”)</w:t>
      </w:r>
      <w:r w:rsidRPr="0097742C">
        <w:rPr>
          <w:color w:val="auto"/>
          <w:sz w:val="26"/>
          <w:szCs w:val="26"/>
        </w:rPr>
        <w:t xml:space="preserve">, requires </w:t>
      </w:r>
      <w:bookmarkStart w:id="0" w:name="_Hlk23329585"/>
      <w:r w:rsidRPr="0097742C">
        <w:rPr>
          <w:color w:val="auto"/>
          <w:sz w:val="26"/>
          <w:szCs w:val="26"/>
        </w:rPr>
        <w:t>the Treasury, at least once in each Parliament</w:t>
      </w:r>
      <w:bookmarkEnd w:id="0"/>
      <w:r w:rsidRPr="0097742C">
        <w:rPr>
          <w:color w:val="auto"/>
          <w:sz w:val="26"/>
          <w:szCs w:val="26"/>
        </w:rPr>
        <w:t xml:space="preserve">, to make recommendations to the Financial Conduct Authority (FCA) about aspects of the economic policy of the government to which the FCA should have regard when considering how to act in a way which is compatible with its strategic objective; how to advance one or more of its operational objectives; how to discharge its duty to promote effective competition in the interests of consumers; the application of the regulatory principles set out in the Act; and the importance of taking action to minimise the extent to which it is possible for a business to be used for a purpose connected with financial crime. </w:t>
      </w:r>
      <w:r w:rsidR="005B4219" w:rsidRPr="005B4219">
        <w:rPr>
          <w:color w:val="auto"/>
          <w:sz w:val="26"/>
          <w:szCs w:val="26"/>
        </w:rPr>
        <w:t xml:space="preserve">This letter will also be presented </w:t>
      </w:r>
      <w:r w:rsidR="005B4219" w:rsidRPr="006F57E6">
        <w:rPr>
          <w:color w:val="auto"/>
          <w:sz w:val="26"/>
          <w:szCs w:val="26"/>
        </w:rPr>
        <w:t xml:space="preserve">to Parliament pursuant to section </w:t>
      </w:r>
      <w:r w:rsidR="006F57E6" w:rsidRPr="006F57E6">
        <w:rPr>
          <w:color w:val="auto"/>
          <w:sz w:val="26"/>
          <w:szCs w:val="26"/>
        </w:rPr>
        <w:t xml:space="preserve">1JA(3) </w:t>
      </w:r>
      <w:r w:rsidR="005B4219" w:rsidRPr="006F57E6">
        <w:rPr>
          <w:color w:val="auto"/>
          <w:sz w:val="26"/>
          <w:szCs w:val="26"/>
        </w:rPr>
        <w:t xml:space="preserve">of the </w:t>
      </w:r>
      <w:r w:rsidR="006F57E6" w:rsidRPr="006F57E6">
        <w:rPr>
          <w:color w:val="auto"/>
          <w:sz w:val="26"/>
          <w:szCs w:val="26"/>
        </w:rPr>
        <w:t>Act</w:t>
      </w:r>
      <w:r w:rsidR="005B4219" w:rsidRPr="006F57E6">
        <w:rPr>
          <w:color w:val="auto"/>
          <w:sz w:val="26"/>
          <w:szCs w:val="26"/>
        </w:rPr>
        <w:t>.</w:t>
      </w:r>
    </w:p>
    <w:p w14:paraId="67DED377" w14:textId="77777777" w:rsidR="00A94D8D" w:rsidRDefault="00A94D8D" w:rsidP="00A94D8D">
      <w:pPr>
        <w:jc w:val="both"/>
        <w:rPr>
          <w:sz w:val="26"/>
          <w:szCs w:val="26"/>
        </w:rPr>
      </w:pPr>
      <w:r w:rsidRPr="00EC564B">
        <w:rPr>
          <w:sz w:val="26"/>
          <w:szCs w:val="26"/>
        </w:rPr>
        <w:t xml:space="preserve">The last letter to the </w:t>
      </w:r>
      <w:r>
        <w:rPr>
          <w:sz w:val="26"/>
          <w:szCs w:val="26"/>
        </w:rPr>
        <w:t>FCA</w:t>
      </w:r>
      <w:r w:rsidRPr="00EC564B">
        <w:rPr>
          <w:sz w:val="26"/>
          <w:szCs w:val="26"/>
        </w:rPr>
        <w:t xml:space="preserve"> was sent by my predecessor on </w:t>
      </w:r>
      <w:r>
        <w:rPr>
          <w:sz w:val="26"/>
          <w:szCs w:val="26"/>
        </w:rPr>
        <w:t>8 March 2017 and so there has not yet been a letter in this Parliament</w:t>
      </w:r>
      <w:r w:rsidRPr="00EC564B">
        <w:rPr>
          <w:sz w:val="26"/>
          <w:szCs w:val="26"/>
        </w:rPr>
        <w:t xml:space="preserve">. I am issuing this letter today to fulfil </w:t>
      </w:r>
      <w:r>
        <w:rPr>
          <w:sz w:val="26"/>
          <w:szCs w:val="26"/>
        </w:rPr>
        <w:t>the Treasury’s</w:t>
      </w:r>
      <w:r w:rsidRPr="00EC564B">
        <w:rPr>
          <w:sz w:val="26"/>
          <w:szCs w:val="26"/>
        </w:rPr>
        <w:t xml:space="preserve"> statutory requirements detailed above. The Treasury will issue a further letter of recommendations at the next appropriate opportunity under the next Parliament. </w:t>
      </w:r>
    </w:p>
    <w:p w14:paraId="6A6361FB" w14:textId="08008681" w:rsidR="00A94D8D" w:rsidRPr="000511DD" w:rsidRDefault="00A94D8D" w:rsidP="00A94D8D">
      <w:pPr>
        <w:jc w:val="both"/>
        <w:rPr>
          <w:sz w:val="26"/>
          <w:szCs w:val="26"/>
        </w:rPr>
      </w:pPr>
      <w:r w:rsidRPr="00CB525E">
        <w:rPr>
          <w:sz w:val="26"/>
          <w:szCs w:val="26"/>
        </w:rPr>
        <w:t xml:space="preserve">I confirm that the government’s economic policy objective </w:t>
      </w:r>
      <w:r>
        <w:rPr>
          <w:sz w:val="26"/>
          <w:szCs w:val="26"/>
        </w:rPr>
        <w:t>remains</w:t>
      </w:r>
      <w:r w:rsidRPr="00CB525E">
        <w:rPr>
          <w:sz w:val="26"/>
          <w:szCs w:val="26"/>
        </w:rPr>
        <w:t xml:space="preserve"> to achieve strong, sustainable and balanced growth. Price and financial stability are essential pre-requisites for</w:t>
      </w:r>
      <w:r w:rsidR="00FE065C">
        <w:rPr>
          <w:sz w:val="26"/>
          <w:szCs w:val="26"/>
        </w:rPr>
        <w:t xml:space="preserve"> </w:t>
      </w:r>
      <w:r w:rsidRPr="00CB525E">
        <w:rPr>
          <w:sz w:val="26"/>
          <w:szCs w:val="26"/>
        </w:rPr>
        <w:t>strong, sustainable and balanced growth in all regions and sectors of the economy.</w:t>
      </w:r>
      <w:r w:rsidR="001919E4">
        <w:rPr>
          <w:sz w:val="26"/>
          <w:szCs w:val="26"/>
        </w:rPr>
        <w:t xml:space="preserve"> </w:t>
      </w:r>
      <w:r w:rsidR="009B7EE8" w:rsidRPr="001919E4">
        <w:rPr>
          <w:sz w:val="26"/>
          <w:szCs w:val="26"/>
        </w:rPr>
        <w:t>It</w:t>
      </w:r>
      <w:r w:rsidR="009B7EE8">
        <w:rPr>
          <w:sz w:val="26"/>
          <w:szCs w:val="26"/>
        </w:rPr>
        <w:t xml:space="preserve"> is</w:t>
      </w:r>
      <w:r w:rsidR="009B7EE8" w:rsidRPr="001919E4">
        <w:rPr>
          <w:sz w:val="26"/>
          <w:szCs w:val="26"/>
        </w:rPr>
        <w:t xml:space="preserve"> important to have an open and competitive economy which allows free enterprise to flourish</w:t>
      </w:r>
      <w:r w:rsidR="009B7EE8">
        <w:rPr>
          <w:sz w:val="26"/>
          <w:szCs w:val="26"/>
        </w:rPr>
        <w:t xml:space="preserve">. </w:t>
      </w:r>
      <w:r w:rsidRPr="001618FB">
        <w:rPr>
          <w:sz w:val="26"/>
          <w:szCs w:val="26"/>
        </w:rPr>
        <w:t>The specification of the government’s economic strategy can be found in section A of the annex to this letter.</w:t>
      </w:r>
      <w:r>
        <w:rPr>
          <w:sz w:val="26"/>
          <w:szCs w:val="26"/>
        </w:rPr>
        <w:t xml:space="preserve"> </w:t>
      </w:r>
      <w:r w:rsidRPr="000511DD">
        <w:rPr>
          <w:sz w:val="26"/>
          <w:szCs w:val="26"/>
        </w:rPr>
        <w:t xml:space="preserve">The </w:t>
      </w:r>
      <w:r w:rsidRPr="000511DD">
        <w:rPr>
          <w:sz w:val="26"/>
          <w:szCs w:val="26"/>
        </w:rPr>
        <w:lastRenderedPageBreak/>
        <w:t xml:space="preserve">government is </w:t>
      </w:r>
      <w:r>
        <w:rPr>
          <w:sz w:val="26"/>
          <w:szCs w:val="26"/>
        </w:rPr>
        <w:t xml:space="preserve">also </w:t>
      </w:r>
      <w:r w:rsidRPr="000511DD">
        <w:rPr>
          <w:sz w:val="26"/>
          <w:szCs w:val="26"/>
        </w:rPr>
        <w:t>committed to UK financial services being effectively regulated; securing the right balance between a financial sector that is globally competitive, works for consumers, and is secure over the long-term.</w:t>
      </w:r>
      <w:r w:rsidRPr="001618FB">
        <w:rPr>
          <w:sz w:val="26"/>
          <w:szCs w:val="26"/>
        </w:rPr>
        <w:t xml:space="preserve"> </w:t>
      </w:r>
    </w:p>
    <w:p w14:paraId="01B2CDA7" w14:textId="77777777" w:rsidR="00A94D8D" w:rsidRPr="00702A5F" w:rsidRDefault="00A94D8D" w:rsidP="00A94D8D">
      <w:pPr>
        <w:jc w:val="both"/>
        <w:rPr>
          <w:color w:val="000000" w:themeColor="text1"/>
          <w:sz w:val="26"/>
          <w:szCs w:val="26"/>
        </w:rPr>
      </w:pPr>
      <w:bookmarkStart w:id="1" w:name="_Hlk23321157"/>
      <w:r w:rsidRPr="00603BB5">
        <w:rPr>
          <w:sz w:val="26"/>
          <w:szCs w:val="26"/>
        </w:rPr>
        <w:t xml:space="preserve">The FCA’s main contribution to </w:t>
      </w:r>
      <w:r w:rsidRPr="00CB525E">
        <w:rPr>
          <w:sz w:val="26"/>
          <w:szCs w:val="26"/>
        </w:rPr>
        <w:t>this economic policy</w:t>
      </w:r>
      <w:r w:rsidRPr="00603BB5">
        <w:rPr>
          <w:sz w:val="26"/>
          <w:szCs w:val="26"/>
        </w:rPr>
        <w:t xml:space="preserve"> is</w:t>
      </w:r>
      <w:r>
        <w:rPr>
          <w:sz w:val="26"/>
          <w:szCs w:val="26"/>
        </w:rPr>
        <w:t>, working with the Bank of England’s Financial Policy Committee and the Bank of England acting in its capacity as the Prudential Regulation Authority,</w:t>
      </w:r>
      <w:r w:rsidRPr="0097742C">
        <w:rPr>
          <w:sz w:val="26"/>
          <w:szCs w:val="26"/>
        </w:rPr>
        <w:t xml:space="preserve"> </w:t>
      </w:r>
      <w:r w:rsidRPr="00936686">
        <w:rPr>
          <w:sz w:val="26"/>
          <w:szCs w:val="26"/>
        </w:rPr>
        <w:t>to protect consumers, promote competition in financial services and to protect and enhance the integrity of the UK financial system</w:t>
      </w:r>
      <w:r w:rsidRPr="00465F94">
        <w:rPr>
          <w:sz w:val="26"/>
          <w:szCs w:val="26"/>
        </w:rPr>
        <w:t xml:space="preserve">. </w:t>
      </w:r>
      <w:bookmarkStart w:id="2" w:name="_Hlk23320107"/>
      <w:r>
        <w:rPr>
          <w:sz w:val="26"/>
          <w:szCs w:val="26"/>
        </w:rPr>
        <w:t>A</w:t>
      </w:r>
      <w:r w:rsidRPr="001618FB">
        <w:rPr>
          <w:sz w:val="26"/>
          <w:szCs w:val="26"/>
        </w:rPr>
        <w:t xml:space="preserve"> strong </w:t>
      </w:r>
      <w:r w:rsidRPr="00603BB5">
        <w:rPr>
          <w:sz w:val="26"/>
          <w:szCs w:val="26"/>
        </w:rPr>
        <w:t xml:space="preserve">and stable financial </w:t>
      </w:r>
      <w:r w:rsidRPr="001618FB">
        <w:rPr>
          <w:sz w:val="26"/>
          <w:szCs w:val="26"/>
        </w:rPr>
        <w:t xml:space="preserve">system supports economic growth, helps achieve improved outcomes for consumers, facilitates productive investment and underpins the UK’s position as an important global financial centre. </w:t>
      </w:r>
      <w:bookmarkEnd w:id="1"/>
      <w:bookmarkEnd w:id="2"/>
    </w:p>
    <w:p w14:paraId="63D2CD7F" w14:textId="11C796C1" w:rsidR="003318AE" w:rsidRDefault="00A94D8D" w:rsidP="0046627D">
      <w:pPr>
        <w:spacing w:after="160" w:line="256" w:lineRule="auto"/>
        <w:rPr>
          <w:rFonts w:eastAsia="Calibri"/>
          <w:b/>
          <w:caps/>
          <w:sz w:val="26"/>
          <w:szCs w:val="26"/>
        </w:rPr>
      </w:pPr>
      <w:r w:rsidRPr="001618FB">
        <w:rPr>
          <w:sz w:val="26"/>
          <w:szCs w:val="26"/>
        </w:rPr>
        <w:t>I am grateful to you and all at the FCA for your continuing good work and dedication.</w:t>
      </w:r>
    </w:p>
    <w:p w14:paraId="6279E5BA" w14:textId="436C136B" w:rsidR="00B00780" w:rsidRDefault="00B00780" w:rsidP="003318AE"/>
    <w:p w14:paraId="1954384E" w14:textId="77777777" w:rsidR="003E5AED" w:rsidRDefault="003E5AED" w:rsidP="003E5AED">
      <w:pPr>
        <w:spacing w:after="160" w:line="254" w:lineRule="auto"/>
        <w:jc w:val="center"/>
        <w:rPr>
          <w:rFonts w:eastAsia="Calibri"/>
          <w:b/>
          <w:caps/>
          <w:szCs w:val="28"/>
        </w:rPr>
      </w:pPr>
      <w:r>
        <w:rPr>
          <w:rFonts w:eastAsia="Calibri"/>
          <w:b/>
          <w:caps/>
          <w:szCs w:val="28"/>
        </w:rPr>
        <w:t>SAJID JAVID</w:t>
      </w:r>
    </w:p>
    <w:p w14:paraId="2431C5E4" w14:textId="24818363" w:rsidR="00097D1C" w:rsidRDefault="00097D1C" w:rsidP="003E5AED">
      <w:pPr>
        <w:jc w:val="center"/>
      </w:pPr>
      <w:bookmarkStart w:id="3" w:name="_GoBack"/>
      <w:bookmarkEnd w:id="3"/>
    </w:p>
    <w:p w14:paraId="179A325A" w14:textId="118A61D1" w:rsidR="00097D1C" w:rsidRDefault="00097D1C" w:rsidP="003318AE"/>
    <w:p w14:paraId="04D74E78" w14:textId="52EA0644" w:rsidR="00097D1C" w:rsidRDefault="00097D1C" w:rsidP="003318AE"/>
    <w:p w14:paraId="76FF5323" w14:textId="3C257042" w:rsidR="00097D1C" w:rsidRDefault="00097D1C" w:rsidP="003318AE"/>
    <w:p w14:paraId="03506846" w14:textId="3EBD062B" w:rsidR="00097D1C" w:rsidRDefault="00097D1C" w:rsidP="003318AE"/>
    <w:p w14:paraId="74A27710" w14:textId="17BE90AF" w:rsidR="00097D1C" w:rsidRDefault="00097D1C" w:rsidP="003318AE"/>
    <w:p w14:paraId="04C14466" w14:textId="0569A0B9" w:rsidR="00097D1C" w:rsidRDefault="00097D1C" w:rsidP="003318AE"/>
    <w:p w14:paraId="40479E5E" w14:textId="169348BA" w:rsidR="00097D1C" w:rsidRDefault="00097D1C" w:rsidP="003318AE"/>
    <w:p w14:paraId="2B59D379" w14:textId="3012A2DF" w:rsidR="00097D1C" w:rsidRDefault="00097D1C" w:rsidP="003318AE"/>
    <w:p w14:paraId="55FF1DA7" w14:textId="372164F0" w:rsidR="00097D1C" w:rsidRDefault="00097D1C" w:rsidP="003318AE"/>
    <w:p w14:paraId="172A19CA" w14:textId="452C229D" w:rsidR="00097D1C" w:rsidRDefault="00097D1C" w:rsidP="003318AE"/>
    <w:p w14:paraId="4938BEC5" w14:textId="20FB6E53" w:rsidR="00097D1C" w:rsidRDefault="00097D1C" w:rsidP="003318AE"/>
    <w:p w14:paraId="68C42910" w14:textId="48682C85" w:rsidR="00097D1C" w:rsidRDefault="00097D1C" w:rsidP="003318AE"/>
    <w:p w14:paraId="4B7630FC" w14:textId="10421748" w:rsidR="00097D1C" w:rsidRDefault="00097D1C" w:rsidP="003318AE"/>
    <w:p w14:paraId="02D9B31B" w14:textId="77777777" w:rsidR="0046627D" w:rsidRDefault="0046627D">
      <w:pPr>
        <w:spacing w:after="160" w:line="259" w:lineRule="auto"/>
        <w:rPr>
          <w:rFonts w:eastAsia="Calibri" w:cs="Humnst777 Lt BT"/>
          <w:b/>
          <w:sz w:val="26"/>
          <w:szCs w:val="26"/>
        </w:rPr>
      </w:pPr>
      <w:r>
        <w:rPr>
          <w:rFonts w:eastAsia="Calibri" w:cs="Humnst777 Lt BT"/>
          <w:b/>
          <w:sz w:val="26"/>
          <w:szCs w:val="26"/>
        </w:rPr>
        <w:br w:type="page"/>
      </w:r>
    </w:p>
    <w:p w14:paraId="3B374450" w14:textId="166D86D1" w:rsidR="00097D1C" w:rsidRPr="00097D1C" w:rsidRDefault="00097D1C" w:rsidP="00E33314">
      <w:pPr>
        <w:autoSpaceDE w:val="0"/>
        <w:autoSpaceDN w:val="0"/>
        <w:adjustRightInd w:val="0"/>
        <w:rPr>
          <w:rFonts w:eastAsia="Calibri" w:cs="Humnst777 Lt BT"/>
          <w:b/>
          <w:sz w:val="26"/>
          <w:szCs w:val="26"/>
        </w:rPr>
      </w:pPr>
      <w:r w:rsidRPr="00097D1C">
        <w:rPr>
          <w:rFonts w:eastAsia="Calibri" w:cs="Humnst777 Lt BT"/>
          <w:b/>
          <w:sz w:val="26"/>
          <w:szCs w:val="26"/>
        </w:rPr>
        <w:lastRenderedPageBreak/>
        <w:t xml:space="preserve">RECOMMENDATIONS FOR THE FINANCIAL CONDUCT AUTHORITY </w:t>
      </w:r>
    </w:p>
    <w:p w14:paraId="28F0C458" w14:textId="45BE2787" w:rsidR="00097D1C" w:rsidRPr="00097D1C" w:rsidRDefault="00097D1C" w:rsidP="00E33314">
      <w:pPr>
        <w:autoSpaceDE w:val="0"/>
        <w:autoSpaceDN w:val="0"/>
        <w:adjustRightInd w:val="0"/>
        <w:rPr>
          <w:rFonts w:eastAsia="Calibri" w:cs="Humnst777 Lt BT"/>
          <w:sz w:val="26"/>
          <w:szCs w:val="26"/>
        </w:rPr>
      </w:pPr>
      <w:r w:rsidRPr="00097D1C">
        <w:rPr>
          <w:rFonts w:eastAsia="Calibri" w:cs="Humnst777 Lt BT"/>
          <w:sz w:val="26"/>
          <w:szCs w:val="26"/>
        </w:rPr>
        <w:t xml:space="preserve">The Financial Services and Markets Act 2000 (“the Act”) sets out the objectives of the Financial Conduct Authority (“the FCA”). </w:t>
      </w:r>
    </w:p>
    <w:p w14:paraId="37A92D19" w14:textId="5E00C095" w:rsidR="00097D1C" w:rsidRPr="00097D1C" w:rsidRDefault="00097D1C" w:rsidP="00E33314">
      <w:pPr>
        <w:autoSpaceDE w:val="0"/>
        <w:autoSpaceDN w:val="0"/>
        <w:adjustRightInd w:val="0"/>
        <w:rPr>
          <w:rFonts w:eastAsia="Calibri" w:cs="Humnst777 Lt BT"/>
          <w:sz w:val="26"/>
          <w:szCs w:val="26"/>
        </w:rPr>
      </w:pPr>
      <w:r w:rsidRPr="00097D1C">
        <w:rPr>
          <w:rFonts w:eastAsia="Calibri" w:cs="Humnst777 Lt BT"/>
          <w:sz w:val="26"/>
          <w:szCs w:val="26"/>
        </w:rPr>
        <w:t xml:space="preserve">The FCA has a single strategic objective to ensure that the relevant markets </w:t>
      </w:r>
      <w:r w:rsidR="00E33314">
        <w:rPr>
          <w:rFonts w:eastAsia="Calibri" w:cs="Humnst777 Lt BT"/>
          <w:sz w:val="26"/>
          <w:szCs w:val="26"/>
        </w:rPr>
        <w:t>fu</w:t>
      </w:r>
      <w:r w:rsidRPr="00097D1C">
        <w:rPr>
          <w:rFonts w:eastAsia="Calibri" w:cs="Humnst777 Lt BT"/>
          <w:sz w:val="26"/>
          <w:szCs w:val="26"/>
        </w:rPr>
        <w:t xml:space="preserve">nction well. The FCA also has three operational objectives: </w:t>
      </w:r>
    </w:p>
    <w:p w14:paraId="7033FCB5" w14:textId="77777777" w:rsidR="00097D1C" w:rsidRPr="00097D1C" w:rsidRDefault="00097D1C" w:rsidP="00097D1C">
      <w:pPr>
        <w:numPr>
          <w:ilvl w:val="0"/>
          <w:numId w:val="22"/>
        </w:numPr>
        <w:autoSpaceDE w:val="0"/>
        <w:autoSpaceDN w:val="0"/>
        <w:adjustRightInd w:val="0"/>
        <w:spacing w:after="0" w:line="259" w:lineRule="auto"/>
        <w:rPr>
          <w:rFonts w:eastAsia="Calibri" w:cs="Humnst777 Lt BT"/>
          <w:sz w:val="26"/>
          <w:szCs w:val="26"/>
        </w:rPr>
      </w:pPr>
      <w:r w:rsidRPr="00097D1C">
        <w:rPr>
          <w:rFonts w:eastAsia="Calibri" w:cs="Humnst777 Lt BT"/>
          <w:sz w:val="26"/>
          <w:szCs w:val="26"/>
        </w:rPr>
        <w:t xml:space="preserve">to promote effective competition in the interests of consumers; </w:t>
      </w:r>
    </w:p>
    <w:p w14:paraId="1572A9C9" w14:textId="77777777" w:rsidR="00097D1C" w:rsidRPr="00097D1C" w:rsidRDefault="00097D1C" w:rsidP="00097D1C">
      <w:pPr>
        <w:numPr>
          <w:ilvl w:val="0"/>
          <w:numId w:val="22"/>
        </w:numPr>
        <w:autoSpaceDE w:val="0"/>
        <w:autoSpaceDN w:val="0"/>
        <w:adjustRightInd w:val="0"/>
        <w:spacing w:after="0" w:line="259" w:lineRule="auto"/>
        <w:rPr>
          <w:rFonts w:eastAsia="Calibri" w:cs="Humnst777 Lt BT"/>
          <w:sz w:val="26"/>
          <w:szCs w:val="26"/>
        </w:rPr>
      </w:pPr>
      <w:r w:rsidRPr="00097D1C">
        <w:rPr>
          <w:rFonts w:eastAsia="Calibri" w:cs="Humnst777 Lt BT"/>
          <w:sz w:val="26"/>
          <w:szCs w:val="26"/>
        </w:rPr>
        <w:t xml:space="preserve">to secure an appropriate degree of protection for consumers; and </w:t>
      </w:r>
    </w:p>
    <w:p w14:paraId="6CA83226" w14:textId="062B188B" w:rsidR="00097D1C" w:rsidRPr="00097D1C" w:rsidRDefault="00097D1C" w:rsidP="00E33314">
      <w:pPr>
        <w:numPr>
          <w:ilvl w:val="0"/>
          <w:numId w:val="22"/>
        </w:numPr>
        <w:autoSpaceDE w:val="0"/>
        <w:autoSpaceDN w:val="0"/>
        <w:adjustRightInd w:val="0"/>
        <w:spacing w:line="259" w:lineRule="auto"/>
        <w:rPr>
          <w:rFonts w:eastAsia="Calibri" w:cs="Humnst777 Lt BT"/>
          <w:sz w:val="26"/>
          <w:szCs w:val="26"/>
        </w:rPr>
      </w:pPr>
      <w:r w:rsidRPr="00097D1C">
        <w:rPr>
          <w:rFonts w:eastAsia="Calibri" w:cs="Humnst777 Lt BT"/>
          <w:sz w:val="26"/>
          <w:szCs w:val="26"/>
        </w:rPr>
        <w:t xml:space="preserve">to protect and enhance the integrity of the UK financial system. </w:t>
      </w:r>
    </w:p>
    <w:p w14:paraId="7DA83F3C" w14:textId="23A56AC5" w:rsidR="00097D1C" w:rsidRPr="00097D1C" w:rsidRDefault="00097D1C" w:rsidP="00E33314">
      <w:pPr>
        <w:autoSpaceDE w:val="0"/>
        <w:autoSpaceDN w:val="0"/>
        <w:adjustRightInd w:val="0"/>
        <w:rPr>
          <w:rFonts w:eastAsia="Calibri" w:cs="Humnst777 Lt BT"/>
          <w:sz w:val="26"/>
          <w:szCs w:val="26"/>
        </w:rPr>
      </w:pPr>
      <w:r w:rsidRPr="00097D1C">
        <w:rPr>
          <w:rFonts w:eastAsia="Calibri" w:cs="Humnst777 Lt BT"/>
          <w:sz w:val="26"/>
          <w:szCs w:val="26"/>
        </w:rPr>
        <w:t xml:space="preserve">Section 1B(4) of the Act provides a competition duty for the FCA whereby the FCA must, so far as it is compatible with acting in a way which advances the consumer protection or integrity objective, discharge its general functions in a way which promotes effective competition in the interests of consumers. </w:t>
      </w:r>
    </w:p>
    <w:p w14:paraId="1657AEF4" w14:textId="2ECB9278" w:rsidR="00097D1C" w:rsidRPr="00097D1C" w:rsidRDefault="00097D1C" w:rsidP="00E33314">
      <w:pPr>
        <w:autoSpaceDE w:val="0"/>
        <w:autoSpaceDN w:val="0"/>
        <w:adjustRightInd w:val="0"/>
        <w:rPr>
          <w:rFonts w:eastAsia="Calibri" w:cs="Humnst777 Lt BT"/>
          <w:sz w:val="26"/>
          <w:szCs w:val="26"/>
        </w:rPr>
      </w:pPr>
      <w:r w:rsidRPr="00097D1C">
        <w:rPr>
          <w:rFonts w:eastAsia="Calibri" w:cs="Humnst777 Lt BT"/>
          <w:sz w:val="26"/>
          <w:szCs w:val="26"/>
        </w:rPr>
        <w:t>In discharging its general functions, the FCA must have regard to the regulatory principles and the importance of taking action to minimise the extent to which it is possible for a business to be used for a purpose connected with financial</w:t>
      </w:r>
      <w:r w:rsidR="00E33314">
        <w:rPr>
          <w:rFonts w:eastAsia="Calibri" w:cs="Humnst777 Lt BT"/>
          <w:sz w:val="26"/>
          <w:szCs w:val="26"/>
        </w:rPr>
        <w:t xml:space="preserve"> c</w:t>
      </w:r>
      <w:r w:rsidRPr="00097D1C">
        <w:rPr>
          <w:rFonts w:eastAsia="Calibri" w:cs="Humnst777 Lt BT"/>
          <w:sz w:val="26"/>
          <w:szCs w:val="26"/>
        </w:rPr>
        <w:t xml:space="preserve">rime. </w:t>
      </w:r>
    </w:p>
    <w:p w14:paraId="6700242D" w14:textId="54E5BC51" w:rsidR="00097D1C" w:rsidRPr="00097D1C" w:rsidRDefault="00097D1C" w:rsidP="00097D1C">
      <w:pPr>
        <w:spacing w:after="160" w:line="259" w:lineRule="auto"/>
        <w:jc w:val="both"/>
        <w:rPr>
          <w:rFonts w:eastAsia="Calibri"/>
          <w:sz w:val="26"/>
          <w:szCs w:val="26"/>
        </w:rPr>
      </w:pPr>
      <w:r w:rsidRPr="00097D1C">
        <w:rPr>
          <w:rFonts w:eastAsia="Calibri"/>
          <w:sz w:val="26"/>
          <w:szCs w:val="26"/>
        </w:rPr>
        <w:t>Section 3B of the Act sets out the regulatory principles, which are:</w:t>
      </w:r>
    </w:p>
    <w:p w14:paraId="0B78C8BD" w14:textId="77777777" w:rsidR="00097D1C" w:rsidRPr="00097D1C" w:rsidRDefault="00097D1C" w:rsidP="00097D1C">
      <w:pPr>
        <w:numPr>
          <w:ilvl w:val="0"/>
          <w:numId w:val="25"/>
        </w:numPr>
        <w:autoSpaceDE w:val="0"/>
        <w:autoSpaceDN w:val="0"/>
        <w:adjustRightInd w:val="0"/>
        <w:spacing w:after="0" w:line="259" w:lineRule="auto"/>
        <w:rPr>
          <w:rFonts w:eastAsia="Calibri" w:cs="Humnst777 Lt BT"/>
          <w:sz w:val="26"/>
          <w:szCs w:val="26"/>
        </w:rPr>
      </w:pPr>
      <w:r w:rsidRPr="00097D1C">
        <w:rPr>
          <w:rFonts w:eastAsia="Calibri" w:cs="Humnst777 Lt BT"/>
          <w:sz w:val="26"/>
          <w:szCs w:val="26"/>
        </w:rPr>
        <w:t xml:space="preserve">the need to use the resources of each regulator in the most efficient and </w:t>
      </w:r>
      <w:proofErr w:type="spellStart"/>
      <w:r w:rsidRPr="00097D1C">
        <w:rPr>
          <w:rFonts w:eastAsia="Calibri" w:cs="Humnst777 Lt BT"/>
          <w:sz w:val="26"/>
          <w:szCs w:val="26"/>
        </w:rPr>
        <w:t>economic</w:t>
      </w:r>
      <w:proofErr w:type="spellEnd"/>
      <w:r w:rsidRPr="00097D1C">
        <w:rPr>
          <w:rFonts w:eastAsia="Calibri" w:cs="Humnst777 Lt BT"/>
          <w:sz w:val="26"/>
          <w:szCs w:val="26"/>
        </w:rPr>
        <w:t xml:space="preserve"> way; </w:t>
      </w:r>
    </w:p>
    <w:p w14:paraId="33B9ADD6" w14:textId="77777777" w:rsidR="00097D1C" w:rsidRPr="00097D1C" w:rsidRDefault="00097D1C" w:rsidP="00097D1C">
      <w:pPr>
        <w:numPr>
          <w:ilvl w:val="0"/>
          <w:numId w:val="22"/>
        </w:numPr>
        <w:autoSpaceDE w:val="0"/>
        <w:autoSpaceDN w:val="0"/>
        <w:adjustRightInd w:val="0"/>
        <w:spacing w:after="0" w:line="259" w:lineRule="auto"/>
        <w:rPr>
          <w:rFonts w:eastAsia="Calibri" w:cs="Humnst777 Lt BT"/>
          <w:sz w:val="26"/>
          <w:szCs w:val="26"/>
        </w:rPr>
      </w:pPr>
      <w:r w:rsidRPr="00097D1C">
        <w:rPr>
          <w:rFonts w:eastAsia="Calibri" w:cs="Humnst777 Lt BT"/>
          <w:sz w:val="26"/>
          <w:szCs w:val="26"/>
        </w:rPr>
        <w:t xml:space="preserve">the principle that a burden or restriction which is imposed on a person, or on the carrying on of an activity, should be proportionate to the benefits, considered in general terms, which are expected to result from the imposition of that burden or restriction; </w:t>
      </w:r>
    </w:p>
    <w:p w14:paraId="754EC6E7" w14:textId="77777777" w:rsidR="00097D1C" w:rsidRPr="00097D1C" w:rsidRDefault="00097D1C" w:rsidP="00097D1C">
      <w:pPr>
        <w:numPr>
          <w:ilvl w:val="0"/>
          <w:numId w:val="22"/>
        </w:numPr>
        <w:autoSpaceDE w:val="0"/>
        <w:autoSpaceDN w:val="0"/>
        <w:adjustRightInd w:val="0"/>
        <w:spacing w:after="0" w:line="259" w:lineRule="auto"/>
        <w:rPr>
          <w:rFonts w:eastAsia="Calibri" w:cs="Humnst777 Lt BT"/>
          <w:sz w:val="26"/>
          <w:szCs w:val="26"/>
        </w:rPr>
      </w:pPr>
      <w:r w:rsidRPr="00097D1C">
        <w:rPr>
          <w:rFonts w:eastAsia="Calibri" w:cs="Humnst777 Lt BT"/>
          <w:sz w:val="26"/>
          <w:szCs w:val="26"/>
        </w:rPr>
        <w:t xml:space="preserve">the desirability of sustainable growth in the economy of the United Kingdom in the medium or long term; </w:t>
      </w:r>
    </w:p>
    <w:p w14:paraId="6A3175CA" w14:textId="77777777" w:rsidR="00097D1C" w:rsidRPr="00097D1C" w:rsidRDefault="00097D1C" w:rsidP="00097D1C">
      <w:pPr>
        <w:numPr>
          <w:ilvl w:val="0"/>
          <w:numId w:val="22"/>
        </w:numPr>
        <w:autoSpaceDE w:val="0"/>
        <w:autoSpaceDN w:val="0"/>
        <w:adjustRightInd w:val="0"/>
        <w:spacing w:after="0" w:line="259" w:lineRule="auto"/>
        <w:rPr>
          <w:rFonts w:eastAsia="Calibri" w:cs="Humnst777 Lt BT"/>
          <w:sz w:val="26"/>
          <w:szCs w:val="26"/>
        </w:rPr>
      </w:pPr>
      <w:r w:rsidRPr="00097D1C">
        <w:rPr>
          <w:rFonts w:eastAsia="Calibri" w:cs="Humnst777 Lt BT"/>
          <w:sz w:val="26"/>
          <w:szCs w:val="26"/>
        </w:rPr>
        <w:t xml:space="preserve">the general principle that consumers should take responsibility for their decisions; </w:t>
      </w:r>
    </w:p>
    <w:p w14:paraId="0680B98D" w14:textId="77777777" w:rsidR="00097D1C" w:rsidRPr="00097D1C" w:rsidRDefault="00097D1C" w:rsidP="00097D1C">
      <w:pPr>
        <w:numPr>
          <w:ilvl w:val="0"/>
          <w:numId w:val="22"/>
        </w:numPr>
        <w:autoSpaceDE w:val="0"/>
        <w:autoSpaceDN w:val="0"/>
        <w:adjustRightInd w:val="0"/>
        <w:spacing w:after="0" w:line="259" w:lineRule="auto"/>
        <w:rPr>
          <w:rFonts w:eastAsia="Calibri" w:cs="Humnst777 Lt BT"/>
          <w:sz w:val="26"/>
          <w:szCs w:val="26"/>
        </w:rPr>
      </w:pPr>
      <w:r w:rsidRPr="00097D1C">
        <w:rPr>
          <w:rFonts w:eastAsia="Calibri" w:cs="Humnst777 Lt BT"/>
          <w:sz w:val="26"/>
          <w:szCs w:val="26"/>
        </w:rPr>
        <w:t xml:space="preserve">the responsibilities of the senior management of persons subject to requirements imposed by or under this Act, including those affecting consumers, in relation to compliance with those requirements; </w:t>
      </w:r>
    </w:p>
    <w:p w14:paraId="135B10AB" w14:textId="77777777" w:rsidR="00097D1C" w:rsidRPr="00097D1C" w:rsidRDefault="00097D1C" w:rsidP="00097D1C">
      <w:pPr>
        <w:numPr>
          <w:ilvl w:val="0"/>
          <w:numId w:val="22"/>
        </w:numPr>
        <w:autoSpaceDE w:val="0"/>
        <w:autoSpaceDN w:val="0"/>
        <w:adjustRightInd w:val="0"/>
        <w:spacing w:after="0" w:line="259" w:lineRule="auto"/>
        <w:rPr>
          <w:rFonts w:eastAsia="Calibri" w:cs="Humnst777 Lt BT"/>
          <w:sz w:val="26"/>
          <w:szCs w:val="26"/>
        </w:rPr>
      </w:pPr>
      <w:r w:rsidRPr="00097D1C">
        <w:rPr>
          <w:rFonts w:eastAsia="Calibri" w:cs="Humnst777 Lt BT"/>
          <w:sz w:val="26"/>
          <w:szCs w:val="26"/>
        </w:rPr>
        <w:t xml:space="preserve">the desirability where appropriate of each regulator exercising its functions in a way that recognises differences in the nature of, and objectives of, businesses carried on by different persons (including different kinds of person such as mutual societies and other kinds of business organisation) subject to requirements imposed by or under this Act; </w:t>
      </w:r>
    </w:p>
    <w:p w14:paraId="279B3DAC" w14:textId="77777777" w:rsidR="00097D1C" w:rsidRPr="00097D1C" w:rsidRDefault="00097D1C" w:rsidP="00097D1C">
      <w:pPr>
        <w:numPr>
          <w:ilvl w:val="0"/>
          <w:numId w:val="23"/>
        </w:numPr>
        <w:autoSpaceDE w:val="0"/>
        <w:autoSpaceDN w:val="0"/>
        <w:adjustRightInd w:val="0"/>
        <w:spacing w:after="0" w:line="259" w:lineRule="auto"/>
        <w:rPr>
          <w:rFonts w:eastAsia="Calibri" w:cs="Humnst777 Lt BT"/>
          <w:sz w:val="24"/>
        </w:rPr>
      </w:pPr>
      <w:r w:rsidRPr="00097D1C">
        <w:rPr>
          <w:rFonts w:eastAsia="Calibri" w:cs="Humnst777 Lt BT"/>
          <w:sz w:val="26"/>
          <w:szCs w:val="26"/>
        </w:rPr>
        <w:t xml:space="preserve">the desirability in appropriate cases of each regulator publishing information relating to persons on whom requirements are imposed by or under this Act, or requiring such persons to publish information, as a </w:t>
      </w:r>
      <w:r w:rsidRPr="00097D1C">
        <w:rPr>
          <w:rFonts w:eastAsia="Calibri" w:cs="Humnst777 Lt BT"/>
          <w:sz w:val="26"/>
          <w:szCs w:val="26"/>
        </w:rPr>
        <w:lastRenderedPageBreak/>
        <w:t xml:space="preserve">means of contributing to the advancement by each regulator of its objectives; </w:t>
      </w:r>
    </w:p>
    <w:p w14:paraId="0999C941" w14:textId="77777777" w:rsidR="00097D1C" w:rsidRPr="00097D1C" w:rsidRDefault="00097D1C" w:rsidP="00097D1C">
      <w:pPr>
        <w:numPr>
          <w:ilvl w:val="0"/>
          <w:numId w:val="23"/>
        </w:numPr>
        <w:autoSpaceDE w:val="0"/>
        <w:autoSpaceDN w:val="0"/>
        <w:adjustRightInd w:val="0"/>
        <w:spacing w:after="0" w:line="259" w:lineRule="auto"/>
        <w:rPr>
          <w:rFonts w:eastAsia="Calibri" w:cs="Humnst777 Lt BT"/>
          <w:sz w:val="26"/>
          <w:szCs w:val="26"/>
        </w:rPr>
      </w:pPr>
      <w:r w:rsidRPr="00097D1C">
        <w:rPr>
          <w:rFonts w:eastAsia="Calibri" w:cs="Humnst777 Lt BT"/>
          <w:sz w:val="26"/>
          <w:szCs w:val="26"/>
        </w:rPr>
        <w:t xml:space="preserve">the principle that the regulators should exercise their functions as transparently as possible. </w:t>
      </w:r>
    </w:p>
    <w:p w14:paraId="6BCA66F3" w14:textId="77777777" w:rsidR="00097D1C" w:rsidRPr="00097D1C" w:rsidRDefault="00097D1C" w:rsidP="00097D1C">
      <w:pPr>
        <w:autoSpaceDE w:val="0"/>
        <w:autoSpaceDN w:val="0"/>
        <w:adjustRightInd w:val="0"/>
        <w:spacing w:after="0"/>
        <w:rPr>
          <w:rFonts w:eastAsia="Calibri" w:cs="Humnst777 Lt BT"/>
          <w:sz w:val="26"/>
          <w:szCs w:val="26"/>
        </w:rPr>
      </w:pPr>
    </w:p>
    <w:p w14:paraId="7B93B204" w14:textId="38E30D8C" w:rsidR="00097D1C" w:rsidRPr="00097D1C" w:rsidRDefault="00097D1C" w:rsidP="00C3323F">
      <w:pPr>
        <w:spacing w:after="160" w:line="259" w:lineRule="auto"/>
        <w:jc w:val="both"/>
        <w:rPr>
          <w:rFonts w:eastAsia="Calibri"/>
          <w:sz w:val="26"/>
          <w:szCs w:val="26"/>
        </w:rPr>
      </w:pPr>
      <w:r w:rsidRPr="00097D1C">
        <w:rPr>
          <w:rFonts w:eastAsia="Calibri"/>
          <w:sz w:val="26"/>
          <w:szCs w:val="26"/>
        </w:rPr>
        <w:t>Section 1JA of the Act allows the Treasury to make recommendations to the FCA about aspects of the economic policy of Her Majesty’s government to which the FCA should have regard when considering—</w:t>
      </w:r>
    </w:p>
    <w:p w14:paraId="6C213917" w14:textId="77777777" w:rsidR="00097D1C" w:rsidRPr="00097D1C" w:rsidRDefault="00097D1C" w:rsidP="00097D1C">
      <w:pPr>
        <w:numPr>
          <w:ilvl w:val="0"/>
          <w:numId w:val="24"/>
        </w:numPr>
        <w:autoSpaceDE w:val="0"/>
        <w:autoSpaceDN w:val="0"/>
        <w:adjustRightInd w:val="0"/>
        <w:spacing w:after="0" w:line="259" w:lineRule="auto"/>
        <w:rPr>
          <w:rFonts w:eastAsia="Calibri" w:cs="Humnst777 Lt BT"/>
          <w:sz w:val="26"/>
          <w:szCs w:val="26"/>
        </w:rPr>
      </w:pPr>
      <w:r w:rsidRPr="00097D1C">
        <w:rPr>
          <w:rFonts w:eastAsia="Calibri" w:cs="Humnst777 Lt BT"/>
          <w:sz w:val="26"/>
          <w:szCs w:val="26"/>
        </w:rPr>
        <w:t xml:space="preserve">how to act in a way which is compatible with its strategic objective, </w:t>
      </w:r>
    </w:p>
    <w:p w14:paraId="51980816" w14:textId="77777777" w:rsidR="00097D1C" w:rsidRPr="00097D1C" w:rsidRDefault="00097D1C" w:rsidP="00097D1C">
      <w:pPr>
        <w:numPr>
          <w:ilvl w:val="0"/>
          <w:numId w:val="24"/>
        </w:numPr>
        <w:autoSpaceDE w:val="0"/>
        <w:autoSpaceDN w:val="0"/>
        <w:adjustRightInd w:val="0"/>
        <w:spacing w:after="0" w:line="259" w:lineRule="auto"/>
        <w:rPr>
          <w:rFonts w:eastAsia="Calibri" w:cs="Humnst777 Lt BT"/>
          <w:sz w:val="26"/>
          <w:szCs w:val="26"/>
        </w:rPr>
      </w:pPr>
      <w:r w:rsidRPr="00097D1C">
        <w:rPr>
          <w:rFonts w:eastAsia="Calibri" w:cs="Humnst777 Lt BT"/>
          <w:sz w:val="26"/>
          <w:szCs w:val="26"/>
        </w:rPr>
        <w:t xml:space="preserve">how to advance one or more of its operational objectives, </w:t>
      </w:r>
    </w:p>
    <w:p w14:paraId="507B2103" w14:textId="77777777" w:rsidR="00097D1C" w:rsidRPr="00097D1C" w:rsidRDefault="00097D1C" w:rsidP="00097D1C">
      <w:pPr>
        <w:numPr>
          <w:ilvl w:val="0"/>
          <w:numId w:val="24"/>
        </w:numPr>
        <w:autoSpaceDE w:val="0"/>
        <w:autoSpaceDN w:val="0"/>
        <w:adjustRightInd w:val="0"/>
        <w:spacing w:after="0" w:line="259" w:lineRule="auto"/>
        <w:rPr>
          <w:rFonts w:eastAsia="Calibri" w:cs="Humnst777 Lt BT"/>
          <w:sz w:val="26"/>
          <w:szCs w:val="26"/>
        </w:rPr>
      </w:pPr>
      <w:r w:rsidRPr="00097D1C">
        <w:rPr>
          <w:rFonts w:eastAsia="Calibri" w:cs="Humnst777 Lt BT"/>
          <w:sz w:val="26"/>
          <w:szCs w:val="26"/>
        </w:rPr>
        <w:t xml:space="preserve">how to discharge the competition duty in section 1B(4) (duty to promote effective competition in the interests of consumers), </w:t>
      </w:r>
    </w:p>
    <w:p w14:paraId="1EAE54F2" w14:textId="77777777" w:rsidR="00097D1C" w:rsidRPr="00097D1C" w:rsidRDefault="00097D1C" w:rsidP="00097D1C">
      <w:pPr>
        <w:numPr>
          <w:ilvl w:val="0"/>
          <w:numId w:val="24"/>
        </w:numPr>
        <w:autoSpaceDE w:val="0"/>
        <w:autoSpaceDN w:val="0"/>
        <w:adjustRightInd w:val="0"/>
        <w:spacing w:after="0" w:line="259" w:lineRule="auto"/>
        <w:rPr>
          <w:rFonts w:eastAsia="Calibri" w:cs="Humnst777 Lt BT"/>
          <w:sz w:val="26"/>
          <w:szCs w:val="26"/>
        </w:rPr>
      </w:pPr>
      <w:r w:rsidRPr="00097D1C">
        <w:rPr>
          <w:rFonts w:eastAsia="Calibri" w:cs="Humnst777 Lt BT"/>
          <w:sz w:val="26"/>
          <w:szCs w:val="26"/>
        </w:rPr>
        <w:t xml:space="preserve">the application of the regulatory principles in section 3B, and </w:t>
      </w:r>
    </w:p>
    <w:p w14:paraId="20FD8E20" w14:textId="77777777" w:rsidR="00097D1C" w:rsidRPr="00097D1C" w:rsidRDefault="00097D1C" w:rsidP="00097D1C">
      <w:pPr>
        <w:numPr>
          <w:ilvl w:val="0"/>
          <w:numId w:val="24"/>
        </w:numPr>
        <w:autoSpaceDE w:val="0"/>
        <w:autoSpaceDN w:val="0"/>
        <w:adjustRightInd w:val="0"/>
        <w:spacing w:after="0" w:line="259" w:lineRule="auto"/>
        <w:rPr>
          <w:rFonts w:eastAsia="Calibri" w:cs="Humnst777 Lt BT"/>
          <w:sz w:val="26"/>
          <w:szCs w:val="26"/>
        </w:rPr>
      </w:pPr>
      <w:r w:rsidRPr="00097D1C">
        <w:rPr>
          <w:rFonts w:eastAsia="Calibri" w:cs="Humnst777 Lt BT"/>
          <w:sz w:val="26"/>
          <w:szCs w:val="26"/>
        </w:rPr>
        <w:t xml:space="preserve">the matter mentioned in section 1B(5)(b) (importance of taking action to minimise the extent to which it is possible for a business to be used for a purpose connected with financial crime). </w:t>
      </w:r>
    </w:p>
    <w:p w14:paraId="3A421CAB" w14:textId="77777777" w:rsidR="00097D1C" w:rsidRPr="00097D1C" w:rsidRDefault="00097D1C" w:rsidP="00097D1C">
      <w:pPr>
        <w:autoSpaceDE w:val="0"/>
        <w:autoSpaceDN w:val="0"/>
        <w:adjustRightInd w:val="0"/>
        <w:spacing w:after="0"/>
        <w:rPr>
          <w:rFonts w:eastAsia="Calibri" w:cs="Humnst777 Lt BT"/>
          <w:sz w:val="26"/>
          <w:szCs w:val="26"/>
        </w:rPr>
      </w:pPr>
    </w:p>
    <w:p w14:paraId="1F79173F" w14:textId="65C24342" w:rsidR="00097D1C" w:rsidRPr="00097D1C" w:rsidRDefault="00097D1C" w:rsidP="00097D1C">
      <w:pPr>
        <w:spacing w:after="160" w:line="259" w:lineRule="auto"/>
        <w:jc w:val="both"/>
        <w:rPr>
          <w:rFonts w:eastAsia="Calibri"/>
          <w:sz w:val="26"/>
          <w:szCs w:val="26"/>
        </w:rPr>
      </w:pPr>
      <w:r w:rsidRPr="00097D1C">
        <w:rPr>
          <w:rFonts w:eastAsia="Calibri"/>
          <w:sz w:val="26"/>
          <w:szCs w:val="26"/>
        </w:rPr>
        <w:t>This document discharges the Treasury’s duties under section 1JA of the Act.</w:t>
      </w:r>
    </w:p>
    <w:p w14:paraId="0479F732" w14:textId="6D38D8E0" w:rsidR="00097D1C" w:rsidRPr="00097D1C" w:rsidRDefault="00097D1C" w:rsidP="00C3323F">
      <w:pPr>
        <w:autoSpaceDE w:val="0"/>
        <w:autoSpaceDN w:val="0"/>
        <w:adjustRightInd w:val="0"/>
        <w:rPr>
          <w:rFonts w:eastAsia="Calibri" w:cs="Humnst777 Lt BT"/>
          <w:b/>
          <w:color w:val="000000"/>
          <w:sz w:val="26"/>
          <w:szCs w:val="26"/>
        </w:rPr>
      </w:pPr>
      <w:r w:rsidRPr="00097D1C">
        <w:rPr>
          <w:rFonts w:eastAsia="Calibri" w:cs="Humnst777 Lt BT"/>
          <w:b/>
          <w:color w:val="000000"/>
          <w:sz w:val="26"/>
          <w:szCs w:val="26"/>
        </w:rPr>
        <w:t xml:space="preserve">A. The government’s economic policy </w:t>
      </w:r>
    </w:p>
    <w:p w14:paraId="4B1E0762" w14:textId="43F96CB2" w:rsidR="00097D1C" w:rsidRPr="00097D1C" w:rsidRDefault="00097D1C" w:rsidP="00C3323F">
      <w:pPr>
        <w:autoSpaceDE w:val="0"/>
        <w:autoSpaceDN w:val="0"/>
        <w:adjustRightInd w:val="0"/>
        <w:rPr>
          <w:rFonts w:eastAsia="Calibri" w:cs="Humnst777 Lt BT"/>
          <w:color w:val="000000"/>
          <w:sz w:val="26"/>
          <w:szCs w:val="26"/>
        </w:rPr>
      </w:pPr>
      <w:r w:rsidRPr="00097D1C">
        <w:rPr>
          <w:rFonts w:eastAsia="Calibri" w:cs="Humnst777 Lt BT"/>
          <w:color w:val="000000"/>
          <w:sz w:val="26"/>
          <w:szCs w:val="26"/>
        </w:rPr>
        <w:t xml:space="preserve">The government’s economic policy objective is to achieve strong, sustainable and balanced growth. Price and financial stability are essential pre-requisites for strong, sustainable and balanced growth in all regions and sectors of the UK economy. </w:t>
      </w:r>
    </w:p>
    <w:p w14:paraId="5A0E27C5" w14:textId="77777777" w:rsidR="00097D1C" w:rsidRPr="00097D1C" w:rsidRDefault="00097D1C" w:rsidP="00C3323F">
      <w:pPr>
        <w:autoSpaceDE w:val="0"/>
        <w:autoSpaceDN w:val="0"/>
        <w:adjustRightInd w:val="0"/>
        <w:rPr>
          <w:rFonts w:eastAsia="Calibri" w:cs="Humnst777 Lt BT"/>
          <w:color w:val="000000"/>
          <w:sz w:val="26"/>
          <w:szCs w:val="26"/>
        </w:rPr>
      </w:pPr>
      <w:r w:rsidRPr="00097D1C">
        <w:rPr>
          <w:rFonts w:eastAsia="Calibri" w:cs="Humnst777 Lt BT"/>
          <w:color w:val="000000"/>
          <w:sz w:val="26"/>
          <w:szCs w:val="26"/>
        </w:rPr>
        <w:t xml:space="preserve">To achieve this objective, the government’s economic strategy consists of: </w:t>
      </w:r>
    </w:p>
    <w:p w14:paraId="6C18A35B" w14:textId="77777777" w:rsidR="00097D1C" w:rsidRPr="00097D1C" w:rsidRDefault="00097D1C" w:rsidP="00097D1C">
      <w:pPr>
        <w:numPr>
          <w:ilvl w:val="0"/>
          <w:numId w:val="24"/>
        </w:numPr>
        <w:autoSpaceDE w:val="0"/>
        <w:autoSpaceDN w:val="0"/>
        <w:adjustRightInd w:val="0"/>
        <w:spacing w:after="0" w:line="259" w:lineRule="auto"/>
        <w:rPr>
          <w:rFonts w:eastAsia="Calibri" w:cs="Humnst777 Lt BT"/>
          <w:color w:val="000000"/>
          <w:sz w:val="26"/>
          <w:szCs w:val="26"/>
        </w:rPr>
      </w:pPr>
      <w:r w:rsidRPr="00097D1C">
        <w:rPr>
          <w:rFonts w:eastAsia="Calibri" w:cs="Humnst777 Lt BT"/>
          <w:color w:val="000000"/>
          <w:sz w:val="26"/>
          <w:szCs w:val="26"/>
        </w:rPr>
        <w:t xml:space="preserve">operationally independent monetary policy, responsible for maintaining price stability and supporting the economy; </w:t>
      </w:r>
    </w:p>
    <w:p w14:paraId="083FBE64" w14:textId="77777777" w:rsidR="00097D1C" w:rsidRPr="00097D1C" w:rsidRDefault="00097D1C" w:rsidP="00097D1C">
      <w:pPr>
        <w:numPr>
          <w:ilvl w:val="0"/>
          <w:numId w:val="24"/>
        </w:numPr>
        <w:autoSpaceDE w:val="0"/>
        <w:autoSpaceDN w:val="0"/>
        <w:adjustRightInd w:val="0"/>
        <w:spacing w:after="0" w:line="259" w:lineRule="auto"/>
        <w:rPr>
          <w:rFonts w:eastAsia="Calibri" w:cs="Humnst777 Lt BT"/>
          <w:color w:val="000000"/>
          <w:sz w:val="26"/>
          <w:szCs w:val="26"/>
        </w:rPr>
      </w:pPr>
      <w:r w:rsidRPr="00097D1C">
        <w:rPr>
          <w:rFonts w:eastAsia="Calibri" w:cs="Humnst777 Lt BT"/>
          <w:color w:val="000000"/>
          <w:sz w:val="26"/>
          <w:szCs w:val="26"/>
        </w:rPr>
        <w:t xml:space="preserve">a credible fiscal policy, returning the public finances to health, while providing the flexibility to support the economy; </w:t>
      </w:r>
    </w:p>
    <w:p w14:paraId="1077BE33" w14:textId="77777777" w:rsidR="00097D1C" w:rsidRPr="00097D1C" w:rsidRDefault="00097D1C" w:rsidP="00097D1C">
      <w:pPr>
        <w:numPr>
          <w:ilvl w:val="0"/>
          <w:numId w:val="24"/>
        </w:numPr>
        <w:autoSpaceDE w:val="0"/>
        <w:autoSpaceDN w:val="0"/>
        <w:adjustRightInd w:val="0"/>
        <w:spacing w:after="0" w:line="259" w:lineRule="auto"/>
        <w:rPr>
          <w:rFonts w:eastAsia="Calibri" w:cs="Humnst777 Lt BT"/>
          <w:color w:val="000000"/>
          <w:sz w:val="26"/>
          <w:szCs w:val="26"/>
        </w:rPr>
      </w:pPr>
      <w:r w:rsidRPr="00097D1C">
        <w:rPr>
          <w:rFonts w:eastAsia="Calibri" w:cs="Humnst777 Lt BT"/>
          <w:color w:val="000000"/>
          <w:sz w:val="26"/>
          <w:szCs w:val="26"/>
        </w:rPr>
        <w:t xml:space="preserve">addressing long-term economic weaknesses in order to sustain high employment, raise productivity, and improve living standards for people across the UK; and </w:t>
      </w:r>
    </w:p>
    <w:p w14:paraId="0E8BB560" w14:textId="25798D6D" w:rsidR="00097D1C" w:rsidRDefault="00097D1C" w:rsidP="00097D1C">
      <w:pPr>
        <w:numPr>
          <w:ilvl w:val="0"/>
          <w:numId w:val="24"/>
        </w:numPr>
        <w:autoSpaceDE w:val="0"/>
        <w:autoSpaceDN w:val="0"/>
        <w:adjustRightInd w:val="0"/>
        <w:spacing w:after="0" w:line="259" w:lineRule="auto"/>
        <w:rPr>
          <w:rFonts w:eastAsia="Calibri" w:cs="Humnst777 Lt BT"/>
          <w:color w:val="000000"/>
          <w:sz w:val="26"/>
          <w:szCs w:val="26"/>
        </w:rPr>
      </w:pPr>
      <w:r w:rsidRPr="00097D1C">
        <w:rPr>
          <w:rFonts w:eastAsia="Calibri" w:cs="Humnst777 Lt BT"/>
          <w:color w:val="000000"/>
          <w:sz w:val="26"/>
          <w:szCs w:val="26"/>
        </w:rPr>
        <w:t xml:space="preserve">continuing to strengthen the financial system, improving the regulatory framework to reduce risks to the taxpayer and building resilience, so that it can provide finance and financial services to the real economy and realise better outcomes for consumers, supporting sustainable economic growth and encouraging productive investment. </w:t>
      </w:r>
    </w:p>
    <w:p w14:paraId="433349F1" w14:textId="06EF35EA" w:rsidR="00A34E18" w:rsidRDefault="00A34E18">
      <w:pPr>
        <w:spacing w:after="160" w:line="259" w:lineRule="auto"/>
        <w:rPr>
          <w:rFonts w:eastAsia="Calibri" w:cs="Humnst777 Lt BT"/>
          <w:color w:val="000000"/>
          <w:sz w:val="26"/>
          <w:szCs w:val="26"/>
        </w:rPr>
      </w:pPr>
      <w:r>
        <w:rPr>
          <w:rFonts w:eastAsia="Calibri" w:cs="Humnst777 Lt BT"/>
          <w:color w:val="000000"/>
          <w:sz w:val="26"/>
          <w:szCs w:val="26"/>
        </w:rPr>
        <w:br w:type="page"/>
      </w:r>
    </w:p>
    <w:p w14:paraId="20B9CF56" w14:textId="77777777" w:rsidR="00097D1C" w:rsidRPr="00097D1C" w:rsidRDefault="00097D1C" w:rsidP="00097D1C">
      <w:pPr>
        <w:autoSpaceDE w:val="0"/>
        <w:autoSpaceDN w:val="0"/>
        <w:adjustRightInd w:val="0"/>
        <w:spacing w:after="0"/>
        <w:rPr>
          <w:rFonts w:eastAsia="Calibri" w:cs="Humnst777 Lt BT"/>
          <w:b/>
          <w:color w:val="000000"/>
          <w:sz w:val="26"/>
          <w:szCs w:val="26"/>
        </w:rPr>
      </w:pPr>
      <w:bookmarkStart w:id="4" w:name="_Hlk20832227"/>
      <w:bookmarkStart w:id="5" w:name="_Hlk20987930"/>
      <w:bookmarkStart w:id="6" w:name="_Hlk20832338"/>
      <w:r w:rsidRPr="00097D1C">
        <w:rPr>
          <w:rFonts w:eastAsia="Calibri" w:cs="Humnst777 Lt BT"/>
          <w:b/>
          <w:color w:val="000000"/>
          <w:sz w:val="26"/>
          <w:szCs w:val="26"/>
        </w:rPr>
        <w:lastRenderedPageBreak/>
        <w:t xml:space="preserve">B. Matters about aspects of the government’s economic policy to which the Financial Conduct Authority should have regard. </w:t>
      </w:r>
    </w:p>
    <w:bookmarkEnd w:id="4"/>
    <w:p w14:paraId="1353D735" w14:textId="77777777" w:rsidR="00097D1C" w:rsidRPr="00E742E9" w:rsidRDefault="00097D1C" w:rsidP="00097D1C">
      <w:pPr>
        <w:autoSpaceDE w:val="0"/>
        <w:autoSpaceDN w:val="0"/>
        <w:adjustRightInd w:val="0"/>
        <w:spacing w:after="0"/>
        <w:jc w:val="both"/>
        <w:rPr>
          <w:rFonts w:eastAsia="Calibri" w:cs="Humnst777 Lt BT"/>
          <w:b/>
          <w:color w:val="000000"/>
          <w:sz w:val="20"/>
          <w:szCs w:val="20"/>
        </w:rPr>
      </w:pPr>
    </w:p>
    <w:p w14:paraId="1273D23D" w14:textId="77777777" w:rsidR="00097D1C" w:rsidRPr="00097D1C" w:rsidRDefault="00097D1C" w:rsidP="00097D1C">
      <w:pPr>
        <w:autoSpaceDE w:val="0"/>
        <w:autoSpaceDN w:val="0"/>
        <w:adjustRightInd w:val="0"/>
        <w:spacing w:after="0"/>
        <w:jc w:val="both"/>
        <w:rPr>
          <w:rFonts w:eastAsia="Calibri" w:cs="Humnst777 Lt BT"/>
          <w:color w:val="000000"/>
          <w:sz w:val="26"/>
          <w:szCs w:val="26"/>
        </w:rPr>
      </w:pPr>
      <w:bookmarkStart w:id="7" w:name="_Hlk20832259"/>
      <w:r w:rsidRPr="00097D1C">
        <w:rPr>
          <w:rFonts w:eastAsia="Calibri" w:cs="Humnst777 Lt BT"/>
          <w:color w:val="000000"/>
          <w:sz w:val="26"/>
          <w:szCs w:val="26"/>
        </w:rPr>
        <w:t xml:space="preserve">When the Financial Conduct Authority considers how to advance its objectives, have regard to the regulatory principles and discharge its other relevant duties, it should, where relevant and practical, take these considerations into account, in its assessment of the costs, burdens and benefits of potential rules or policies. </w:t>
      </w:r>
    </w:p>
    <w:bookmarkEnd w:id="5"/>
    <w:bookmarkEnd w:id="7"/>
    <w:p w14:paraId="00553AAB" w14:textId="77777777" w:rsidR="00097D1C" w:rsidRPr="00E742E9" w:rsidRDefault="00097D1C" w:rsidP="00097D1C">
      <w:pPr>
        <w:autoSpaceDE w:val="0"/>
        <w:autoSpaceDN w:val="0"/>
        <w:adjustRightInd w:val="0"/>
        <w:spacing w:after="0"/>
        <w:jc w:val="both"/>
        <w:rPr>
          <w:rFonts w:eastAsia="Calibri" w:cs="Humnst777 Lt BT"/>
          <w:color w:val="000000"/>
          <w:sz w:val="20"/>
          <w:szCs w:val="20"/>
        </w:rPr>
      </w:pPr>
    </w:p>
    <w:p w14:paraId="60B850B1" w14:textId="77777777" w:rsidR="00097D1C" w:rsidRPr="00097D1C" w:rsidRDefault="00097D1C" w:rsidP="00097D1C">
      <w:pPr>
        <w:autoSpaceDE w:val="0"/>
        <w:autoSpaceDN w:val="0"/>
        <w:adjustRightInd w:val="0"/>
        <w:jc w:val="both"/>
        <w:rPr>
          <w:rFonts w:eastAsia="Calibri" w:cs="Humnst777 Lt BT"/>
          <w:color w:val="000000"/>
          <w:sz w:val="26"/>
          <w:szCs w:val="26"/>
          <w:u w:val="single"/>
        </w:rPr>
      </w:pPr>
      <w:r w:rsidRPr="00097D1C">
        <w:rPr>
          <w:rFonts w:eastAsia="Calibri" w:cs="Humnst777 Lt BT"/>
          <w:color w:val="000000"/>
          <w:sz w:val="26"/>
          <w:szCs w:val="26"/>
          <w:u w:val="single"/>
        </w:rPr>
        <w:t xml:space="preserve">i. Competition </w:t>
      </w:r>
    </w:p>
    <w:p w14:paraId="19FC7457" w14:textId="77777777" w:rsidR="00097D1C" w:rsidRPr="00097D1C" w:rsidRDefault="00097D1C" w:rsidP="00097D1C">
      <w:pPr>
        <w:spacing w:after="160" w:line="259" w:lineRule="auto"/>
        <w:jc w:val="both"/>
        <w:rPr>
          <w:rFonts w:eastAsia="Calibri"/>
          <w:color w:val="000000"/>
          <w:sz w:val="26"/>
          <w:szCs w:val="26"/>
        </w:rPr>
      </w:pPr>
      <w:r w:rsidRPr="00097D1C">
        <w:rPr>
          <w:rFonts w:eastAsia="Calibri"/>
          <w:color w:val="000000"/>
          <w:sz w:val="26"/>
          <w:szCs w:val="26"/>
        </w:rPr>
        <w:t xml:space="preserve">The government is keen to see more competition in all sectors of the industry, particularly retail banking. This includes minimising barriers to entry and ensuring a diversity of business models within the industry. </w:t>
      </w:r>
    </w:p>
    <w:p w14:paraId="0507EDE6" w14:textId="77777777" w:rsidR="00097D1C" w:rsidRPr="00097D1C" w:rsidRDefault="00097D1C" w:rsidP="00097D1C">
      <w:pPr>
        <w:autoSpaceDE w:val="0"/>
        <w:autoSpaceDN w:val="0"/>
        <w:adjustRightInd w:val="0"/>
        <w:jc w:val="both"/>
        <w:rPr>
          <w:rFonts w:eastAsia="Calibri" w:cs="Humnst777 Lt BT"/>
          <w:color w:val="000000"/>
          <w:sz w:val="26"/>
          <w:szCs w:val="26"/>
          <w:u w:val="single"/>
        </w:rPr>
      </w:pPr>
      <w:r w:rsidRPr="00097D1C">
        <w:rPr>
          <w:rFonts w:eastAsia="Calibri" w:cs="Humnst777 Lt BT"/>
          <w:color w:val="000000"/>
          <w:sz w:val="26"/>
          <w:szCs w:val="26"/>
          <w:u w:val="single"/>
        </w:rPr>
        <w:t xml:space="preserve">ii. Growth </w:t>
      </w:r>
    </w:p>
    <w:p w14:paraId="1C3E3E30" w14:textId="77777777" w:rsidR="00097D1C" w:rsidRPr="00097D1C" w:rsidRDefault="00097D1C" w:rsidP="00097D1C">
      <w:pPr>
        <w:spacing w:after="160" w:line="259" w:lineRule="auto"/>
        <w:jc w:val="both"/>
        <w:rPr>
          <w:rFonts w:eastAsia="Calibri"/>
          <w:color w:val="000000"/>
          <w:sz w:val="26"/>
          <w:szCs w:val="26"/>
        </w:rPr>
      </w:pPr>
      <w:r w:rsidRPr="00097D1C">
        <w:rPr>
          <w:rFonts w:eastAsia="Calibri"/>
          <w:color w:val="000000"/>
          <w:sz w:val="26"/>
          <w:szCs w:val="26"/>
        </w:rPr>
        <w:t xml:space="preserve">The government wishes to ensure financial services markets make a positive contribution to sustainable economic growth in the UK economy in the medium and long term, through the facilitation of finance for productive investment and as a productive sector of the UK economy. </w:t>
      </w:r>
    </w:p>
    <w:p w14:paraId="1AE482AB" w14:textId="77777777" w:rsidR="00097D1C" w:rsidRPr="00097D1C" w:rsidRDefault="00097D1C" w:rsidP="00097D1C">
      <w:pPr>
        <w:autoSpaceDE w:val="0"/>
        <w:autoSpaceDN w:val="0"/>
        <w:adjustRightInd w:val="0"/>
        <w:spacing w:after="0"/>
        <w:jc w:val="both"/>
        <w:rPr>
          <w:rFonts w:eastAsia="Calibri" w:cs="Humnst777 Lt BT"/>
          <w:color w:val="000000"/>
          <w:sz w:val="26"/>
          <w:szCs w:val="26"/>
          <w:u w:val="single"/>
        </w:rPr>
      </w:pPr>
      <w:r w:rsidRPr="00097D1C">
        <w:rPr>
          <w:rFonts w:eastAsia="Calibri" w:cs="Humnst777 Lt BT"/>
          <w:color w:val="000000"/>
          <w:sz w:val="26"/>
          <w:szCs w:val="26"/>
          <w:u w:val="single"/>
        </w:rPr>
        <w:t xml:space="preserve">iii. Competitiveness </w:t>
      </w:r>
    </w:p>
    <w:p w14:paraId="4B759BAF" w14:textId="77777777" w:rsidR="00097D1C" w:rsidRPr="00097D1C" w:rsidRDefault="00097D1C" w:rsidP="00097D1C">
      <w:pPr>
        <w:spacing w:after="160" w:line="259" w:lineRule="auto"/>
        <w:jc w:val="both"/>
        <w:rPr>
          <w:rFonts w:eastAsia="Calibri"/>
          <w:color w:val="000000"/>
          <w:sz w:val="26"/>
          <w:szCs w:val="26"/>
        </w:rPr>
      </w:pPr>
      <w:r w:rsidRPr="00097D1C">
        <w:rPr>
          <w:rFonts w:eastAsia="Calibri"/>
          <w:color w:val="000000"/>
          <w:sz w:val="26"/>
          <w:szCs w:val="26"/>
        </w:rPr>
        <w:t>The government wishes to ensure that the UK remains an attractive domicile for internationally active financial institutions, and that London retains its position as the leading international financial centre. The government considers that achieving this aim will support its aims for sustainable economic growth.</w:t>
      </w:r>
    </w:p>
    <w:p w14:paraId="79E25FF0" w14:textId="77777777" w:rsidR="00097D1C" w:rsidRPr="00097D1C" w:rsidRDefault="00097D1C" w:rsidP="00097D1C">
      <w:pPr>
        <w:autoSpaceDE w:val="0"/>
        <w:autoSpaceDN w:val="0"/>
        <w:adjustRightInd w:val="0"/>
        <w:jc w:val="both"/>
        <w:rPr>
          <w:rFonts w:eastAsia="Calibri" w:cs="Humnst777 Lt BT"/>
          <w:color w:val="000000"/>
          <w:sz w:val="26"/>
          <w:szCs w:val="26"/>
          <w:u w:val="single"/>
        </w:rPr>
      </w:pPr>
      <w:r w:rsidRPr="00097D1C">
        <w:rPr>
          <w:rFonts w:eastAsia="Calibri" w:cs="Humnst777 Lt BT"/>
          <w:color w:val="000000"/>
          <w:sz w:val="26"/>
          <w:szCs w:val="26"/>
          <w:u w:val="single"/>
        </w:rPr>
        <w:t xml:space="preserve">iv. Innovation </w:t>
      </w:r>
    </w:p>
    <w:p w14:paraId="7C877272" w14:textId="77777777" w:rsidR="00097D1C" w:rsidRPr="00097D1C" w:rsidRDefault="00097D1C" w:rsidP="00097D1C">
      <w:pPr>
        <w:spacing w:after="160" w:line="259" w:lineRule="auto"/>
        <w:jc w:val="both"/>
        <w:rPr>
          <w:rFonts w:eastAsia="Calibri"/>
          <w:color w:val="000000"/>
          <w:sz w:val="26"/>
          <w:szCs w:val="26"/>
        </w:rPr>
      </w:pPr>
      <w:r w:rsidRPr="00097D1C">
        <w:rPr>
          <w:rFonts w:eastAsia="Calibri"/>
          <w:color w:val="000000"/>
          <w:sz w:val="26"/>
          <w:szCs w:val="26"/>
        </w:rPr>
        <w:t xml:space="preserve">The government is keen to see innovation in the financial services sector and how this can support the wider economy, through new methods of engaging with consumers of financial services and new ways of raising capital. This includes recognising differences in the nature and objectives of business models, promoting effective competition and ensuring burdens are proportionate. </w:t>
      </w:r>
    </w:p>
    <w:p w14:paraId="733E6DC8" w14:textId="77777777" w:rsidR="00097D1C" w:rsidRPr="00097D1C" w:rsidRDefault="00097D1C" w:rsidP="00097D1C">
      <w:pPr>
        <w:autoSpaceDE w:val="0"/>
        <w:autoSpaceDN w:val="0"/>
        <w:adjustRightInd w:val="0"/>
        <w:jc w:val="both"/>
        <w:rPr>
          <w:rFonts w:eastAsia="Calibri" w:cs="Humnst777 Lt BT"/>
          <w:color w:val="000000"/>
          <w:sz w:val="26"/>
          <w:szCs w:val="26"/>
          <w:u w:val="single"/>
        </w:rPr>
      </w:pPr>
      <w:r w:rsidRPr="00097D1C">
        <w:rPr>
          <w:rFonts w:eastAsia="Calibri" w:cs="Humnst777 Lt BT"/>
          <w:color w:val="000000"/>
          <w:sz w:val="26"/>
          <w:szCs w:val="26"/>
          <w:u w:val="single"/>
        </w:rPr>
        <w:t xml:space="preserve">v. Trade </w:t>
      </w:r>
    </w:p>
    <w:p w14:paraId="3D0680ED" w14:textId="77777777" w:rsidR="00097D1C" w:rsidRPr="00097D1C" w:rsidRDefault="00097D1C" w:rsidP="00097D1C">
      <w:pPr>
        <w:spacing w:after="160" w:line="259" w:lineRule="auto"/>
        <w:jc w:val="both"/>
        <w:rPr>
          <w:rFonts w:eastAsia="Calibri"/>
          <w:color w:val="000000"/>
          <w:sz w:val="26"/>
          <w:szCs w:val="26"/>
        </w:rPr>
      </w:pPr>
      <w:r w:rsidRPr="00097D1C">
        <w:rPr>
          <w:rFonts w:eastAsia="Calibri"/>
          <w:color w:val="000000"/>
          <w:sz w:val="26"/>
          <w:szCs w:val="26"/>
        </w:rPr>
        <w:t>The government aims to encourage trade and inward investment to the UK that can help boost productivity and growth across our economy. This can be supported by improved competition opening the UK to new ways of doing things and being seen as an attractive place to do business.</w:t>
      </w:r>
    </w:p>
    <w:p w14:paraId="3D8CD3E6" w14:textId="77777777" w:rsidR="00097D1C" w:rsidRPr="00097D1C" w:rsidRDefault="00097D1C" w:rsidP="00097D1C">
      <w:pPr>
        <w:autoSpaceDE w:val="0"/>
        <w:autoSpaceDN w:val="0"/>
        <w:adjustRightInd w:val="0"/>
        <w:jc w:val="both"/>
        <w:rPr>
          <w:rFonts w:eastAsia="Calibri" w:cs="Humnst777 Lt BT"/>
          <w:color w:val="000000"/>
          <w:sz w:val="26"/>
          <w:szCs w:val="26"/>
          <w:u w:val="single"/>
        </w:rPr>
      </w:pPr>
      <w:r w:rsidRPr="00097D1C">
        <w:rPr>
          <w:rFonts w:eastAsia="Calibri" w:cs="Humnst777 Lt BT"/>
          <w:color w:val="000000"/>
          <w:sz w:val="26"/>
          <w:szCs w:val="26"/>
          <w:u w:val="single"/>
        </w:rPr>
        <w:t xml:space="preserve">vi. Better outcome for consumers </w:t>
      </w:r>
    </w:p>
    <w:p w14:paraId="5EA9E330" w14:textId="77777777" w:rsidR="00097D1C" w:rsidRPr="00097D1C" w:rsidRDefault="00097D1C" w:rsidP="00097D1C">
      <w:pPr>
        <w:autoSpaceDE w:val="0"/>
        <w:autoSpaceDN w:val="0"/>
        <w:adjustRightInd w:val="0"/>
        <w:spacing w:after="0"/>
        <w:jc w:val="both"/>
        <w:rPr>
          <w:rFonts w:eastAsia="Calibri" w:cs="Humnst777 Lt BT"/>
          <w:color w:val="000000"/>
          <w:sz w:val="26"/>
          <w:szCs w:val="26"/>
        </w:rPr>
      </w:pPr>
      <w:r w:rsidRPr="00097D1C">
        <w:rPr>
          <w:rFonts w:eastAsia="Calibri" w:cs="Humnst777 Lt BT"/>
          <w:color w:val="000000"/>
          <w:sz w:val="26"/>
          <w:szCs w:val="26"/>
        </w:rPr>
        <w:t xml:space="preserve">The government wants to see financial services work in the best interests of the consumers and businesses they serve. This includes securing better outcomes for all consumers through improved competition in the interests of consumers and </w:t>
      </w:r>
    </w:p>
    <w:p w14:paraId="21DF314D" w14:textId="46DC89AA" w:rsidR="00097D1C" w:rsidRPr="00E742E9" w:rsidRDefault="00097D1C" w:rsidP="00E742E9">
      <w:pPr>
        <w:spacing w:after="160" w:line="259" w:lineRule="auto"/>
        <w:jc w:val="both"/>
        <w:rPr>
          <w:rFonts w:eastAsia="Calibri"/>
          <w:color w:val="000000"/>
          <w:sz w:val="26"/>
          <w:szCs w:val="26"/>
        </w:rPr>
      </w:pPr>
      <w:r w:rsidRPr="00097D1C">
        <w:rPr>
          <w:rFonts w:eastAsia="Calibri"/>
          <w:color w:val="000000"/>
          <w:sz w:val="26"/>
          <w:szCs w:val="26"/>
        </w:rPr>
        <w:t>having regard to the needs of different consumers who use or may use financial services</w:t>
      </w:r>
      <w:bookmarkEnd w:id="6"/>
      <w:r w:rsidR="00E742E9">
        <w:rPr>
          <w:rFonts w:eastAsia="Calibri"/>
          <w:color w:val="000000"/>
          <w:sz w:val="26"/>
          <w:szCs w:val="26"/>
        </w:rPr>
        <w:t>.</w:t>
      </w:r>
    </w:p>
    <w:sectPr w:rsidR="00097D1C" w:rsidRPr="00E742E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421C1" w14:textId="77777777" w:rsidR="001E718C" w:rsidRDefault="001E718C" w:rsidP="008E4F97">
      <w:pPr>
        <w:spacing w:after="0"/>
      </w:pPr>
      <w:r>
        <w:separator/>
      </w:r>
    </w:p>
  </w:endnote>
  <w:endnote w:type="continuationSeparator" w:id="0">
    <w:p w14:paraId="4CD9CCBD" w14:textId="77777777" w:rsidR="001E718C" w:rsidRDefault="001E718C" w:rsidP="008E4F97">
      <w:pPr>
        <w:spacing w:after="0"/>
      </w:pPr>
      <w:r>
        <w:continuationSeparator/>
      </w:r>
    </w:p>
  </w:endnote>
  <w:endnote w:type="continuationNotice" w:id="1">
    <w:p w14:paraId="6A1AE09D" w14:textId="77777777" w:rsidR="001E718C" w:rsidRDefault="001E71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Lt BT">
    <w:panose1 w:val="020B0402030504020204"/>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9983" w14:textId="77777777" w:rsidR="00167119" w:rsidRDefault="00167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F6FB" w14:textId="77777777" w:rsidR="00167119" w:rsidRDefault="00167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435B" w14:textId="77777777" w:rsidR="00167119" w:rsidRDefault="00167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F03FD" w14:textId="77777777" w:rsidR="001E718C" w:rsidRDefault="001E718C" w:rsidP="008E4F97">
      <w:pPr>
        <w:spacing w:after="0"/>
      </w:pPr>
      <w:r>
        <w:separator/>
      </w:r>
    </w:p>
  </w:footnote>
  <w:footnote w:type="continuationSeparator" w:id="0">
    <w:p w14:paraId="3E5812FE" w14:textId="77777777" w:rsidR="001E718C" w:rsidRDefault="001E718C" w:rsidP="008E4F97">
      <w:pPr>
        <w:spacing w:after="0"/>
      </w:pPr>
      <w:r>
        <w:continuationSeparator/>
      </w:r>
    </w:p>
  </w:footnote>
  <w:footnote w:type="continuationNotice" w:id="1">
    <w:p w14:paraId="71605258" w14:textId="77777777" w:rsidR="001E718C" w:rsidRDefault="001E71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BE9E" w14:textId="77777777" w:rsidR="00167119" w:rsidRDefault="00167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5D37" w14:textId="77777777" w:rsidR="00167119" w:rsidRDefault="00167119" w:rsidP="008004B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42E1" w14:textId="77777777" w:rsidR="00167119" w:rsidRDefault="00167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D64"/>
    <w:multiLevelType w:val="hybridMultilevel"/>
    <w:tmpl w:val="575C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060C"/>
    <w:multiLevelType w:val="hybridMultilevel"/>
    <w:tmpl w:val="F202FD3A"/>
    <w:lvl w:ilvl="0" w:tplc="4A3089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E6001"/>
    <w:multiLevelType w:val="hybridMultilevel"/>
    <w:tmpl w:val="64F0BB7A"/>
    <w:lvl w:ilvl="0" w:tplc="ED1CF8C6">
      <w:numFmt w:val="bullet"/>
      <w:lvlText w:val="•"/>
      <w:lvlJc w:val="left"/>
      <w:pPr>
        <w:ind w:left="720" w:hanging="360"/>
      </w:pPr>
      <w:rPr>
        <w:rFonts w:ascii="Humnst777 Lt BT" w:eastAsiaTheme="minorHAnsi" w:hAnsi="Humnst777 Lt BT" w:cs="Humnst777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37D6F"/>
    <w:multiLevelType w:val="hybridMultilevel"/>
    <w:tmpl w:val="B1BC1A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C25"/>
    <w:multiLevelType w:val="hybridMultilevel"/>
    <w:tmpl w:val="068EF594"/>
    <w:lvl w:ilvl="0" w:tplc="2FC4C9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A538F"/>
    <w:multiLevelType w:val="hybridMultilevel"/>
    <w:tmpl w:val="DDEAD532"/>
    <w:lvl w:ilvl="0" w:tplc="ED1CF8C6">
      <w:numFmt w:val="bullet"/>
      <w:lvlText w:val="•"/>
      <w:lvlJc w:val="left"/>
      <w:pPr>
        <w:ind w:left="720" w:hanging="360"/>
      </w:pPr>
      <w:rPr>
        <w:rFonts w:ascii="Humnst777 Lt BT" w:eastAsiaTheme="minorHAnsi" w:hAnsi="Humnst777 Lt BT" w:cs="Humnst777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17239"/>
    <w:multiLevelType w:val="hybridMultilevel"/>
    <w:tmpl w:val="89FA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93C7E"/>
    <w:multiLevelType w:val="hybridMultilevel"/>
    <w:tmpl w:val="D9A2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B4266"/>
    <w:multiLevelType w:val="hybridMultilevel"/>
    <w:tmpl w:val="16CA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18FE"/>
    <w:multiLevelType w:val="hybridMultilevel"/>
    <w:tmpl w:val="E27E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81C5D"/>
    <w:multiLevelType w:val="multilevel"/>
    <w:tmpl w:val="CAAA8F12"/>
    <w:lvl w:ilvl="0">
      <w:start w:val="1"/>
      <w:numFmt w:val="bullet"/>
      <w:pStyle w:val="ListBullet"/>
      <w:lvlText w:val=""/>
      <w:lvlJc w:val="left"/>
      <w:pPr>
        <w:tabs>
          <w:tab w:val="num" w:pos="1191"/>
        </w:tabs>
        <w:ind w:left="1191" w:hanging="454"/>
      </w:pPr>
      <w:rPr>
        <w:rFonts w:ascii="Symbol" w:hAnsi="Symbol" w:hint="default"/>
        <w:color w:val="auto"/>
        <w:sz w:val="16"/>
        <w:szCs w:val="16"/>
      </w:rPr>
    </w:lvl>
    <w:lvl w:ilvl="1">
      <w:start w:val="1"/>
      <w:numFmt w:val="bullet"/>
      <w:pStyle w:val="ListBullet2"/>
      <w:lvlText w:val=""/>
      <w:lvlJc w:val="left"/>
      <w:pPr>
        <w:tabs>
          <w:tab w:val="num" w:pos="1644"/>
        </w:tabs>
        <w:ind w:left="1644" w:hanging="453"/>
      </w:pPr>
      <w:rPr>
        <w:rFonts w:ascii="Symbol" w:hAnsi="Symbol" w:hint="default"/>
        <w:color w:val="auto"/>
        <w:sz w:val="16"/>
        <w:szCs w:val="16"/>
      </w:rPr>
    </w:lvl>
    <w:lvl w:ilvl="2">
      <w:start w:val="1"/>
      <w:numFmt w:val="bullet"/>
      <w:pStyle w:val="ListBullet3"/>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lvl>
    <w:lvl w:ilvl="4">
      <w:start w:val="1"/>
      <w:numFmt w:val="lowerLetter"/>
      <w:lvlText w:val="(%5)"/>
      <w:lvlJc w:val="left"/>
      <w:pPr>
        <w:tabs>
          <w:tab w:val="num" w:pos="2537"/>
        </w:tabs>
        <w:ind w:left="2537" w:hanging="360"/>
      </w:pPr>
    </w:lvl>
    <w:lvl w:ilvl="5">
      <w:start w:val="1"/>
      <w:numFmt w:val="lowerRoman"/>
      <w:lvlText w:val="(%6)"/>
      <w:lvlJc w:val="left"/>
      <w:pPr>
        <w:tabs>
          <w:tab w:val="num" w:pos="2897"/>
        </w:tabs>
        <w:ind w:left="2897" w:hanging="360"/>
      </w:pPr>
    </w:lvl>
    <w:lvl w:ilvl="6">
      <w:start w:val="1"/>
      <w:numFmt w:val="decimal"/>
      <w:lvlText w:val="%7."/>
      <w:lvlJc w:val="left"/>
      <w:pPr>
        <w:tabs>
          <w:tab w:val="num" w:pos="3257"/>
        </w:tabs>
        <w:ind w:left="3257" w:hanging="360"/>
      </w:pPr>
    </w:lvl>
    <w:lvl w:ilvl="7">
      <w:start w:val="1"/>
      <w:numFmt w:val="lowerLetter"/>
      <w:lvlText w:val="%8."/>
      <w:lvlJc w:val="left"/>
      <w:pPr>
        <w:tabs>
          <w:tab w:val="num" w:pos="3617"/>
        </w:tabs>
        <w:ind w:left="3617" w:hanging="360"/>
      </w:pPr>
    </w:lvl>
    <w:lvl w:ilvl="8">
      <w:start w:val="1"/>
      <w:numFmt w:val="lowerRoman"/>
      <w:lvlText w:val="%9."/>
      <w:lvlJc w:val="left"/>
      <w:pPr>
        <w:tabs>
          <w:tab w:val="num" w:pos="3977"/>
        </w:tabs>
        <w:ind w:left="3977" w:hanging="360"/>
      </w:pPr>
    </w:lvl>
  </w:abstractNum>
  <w:abstractNum w:abstractNumId="11" w15:restartNumberingAfterBreak="0">
    <w:nsid w:val="321928D9"/>
    <w:multiLevelType w:val="hybridMultilevel"/>
    <w:tmpl w:val="A2344698"/>
    <w:lvl w:ilvl="0" w:tplc="C5BE9CEC">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31D5"/>
    <w:multiLevelType w:val="hybridMultilevel"/>
    <w:tmpl w:val="CA56E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396D1D"/>
    <w:multiLevelType w:val="hybridMultilevel"/>
    <w:tmpl w:val="A274E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B66D3"/>
    <w:multiLevelType w:val="hybridMultilevel"/>
    <w:tmpl w:val="E88A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8A7AC5"/>
    <w:multiLevelType w:val="hybridMultilevel"/>
    <w:tmpl w:val="60BE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55B20"/>
    <w:multiLevelType w:val="hybridMultilevel"/>
    <w:tmpl w:val="726AAD64"/>
    <w:lvl w:ilvl="0" w:tplc="73641E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D467E"/>
    <w:multiLevelType w:val="hybridMultilevel"/>
    <w:tmpl w:val="09BC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8733C"/>
    <w:multiLevelType w:val="hybridMultilevel"/>
    <w:tmpl w:val="C02A9EBE"/>
    <w:lvl w:ilvl="0" w:tplc="B6EC13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0718A4"/>
    <w:multiLevelType w:val="hybridMultilevel"/>
    <w:tmpl w:val="DCA4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1621D"/>
    <w:multiLevelType w:val="hybridMultilevel"/>
    <w:tmpl w:val="5F0CDCEA"/>
    <w:lvl w:ilvl="0" w:tplc="ED1CF8C6">
      <w:numFmt w:val="bullet"/>
      <w:lvlText w:val="•"/>
      <w:lvlJc w:val="left"/>
      <w:pPr>
        <w:ind w:left="720" w:hanging="360"/>
      </w:pPr>
      <w:rPr>
        <w:rFonts w:ascii="Humnst777 Lt BT" w:eastAsiaTheme="minorHAnsi" w:hAnsi="Humnst777 Lt BT" w:cs="Humnst777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A5AF1"/>
    <w:multiLevelType w:val="hybridMultilevel"/>
    <w:tmpl w:val="23EEA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7F32AEC"/>
    <w:multiLevelType w:val="hybridMultilevel"/>
    <w:tmpl w:val="D86C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A016A4"/>
    <w:multiLevelType w:val="hybridMultilevel"/>
    <w:tmpl w:val="7362E24C"/>
    <w:lvl w:ilvl="0" w:tplc="ED1CF8C6">
      <w:numFmt w:val="bullet"/>
      <w:lvlText w:val="•"/>
      <w:lvlJc w:val="left"/>
      <w:pPr>
        <w:ind w:left="720" w:hanging="360"/>
      </w:pPr>
      <w:rPr>
        <w:rFonts w:ascii="Humnst777 Lt BT" w:eastAsiaTheme="minorHAnsi" w:hAnsi="Humnst777 Lt BT" w:cs="Humnst777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7"/>
  </w:num>
  <w:num w:numId="4">
    <w:abstractNumId w:val="8"/>
  </w:num>
  <w:num w:numId="5">
    <w:abstractNumId w:val="19"/>
  </w:num>
  <w:num w:numId="6">
    <w:abstractNumId w:val="17"/>
  </w:num>
  <w:num w:numId="7">
    <w:abstractNumId w:val="14"/>
  </w:num>
  <w:num w:numId="8">
    <w:abstractNumId w:val="13"/>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0"/>
  </w:num>
  <w:num w:numId="13">
    <w:abstractNumId w:val="21"/>
  </w:num>
  <w:num w:numId="14">
    <w:abstractNumId w:val="15"/>
  </w:num>
  <w:num w:numId="15">
    <w:abstractNumId w:val="12"/>
  </w:num>
  <w:num w:numId="16">
    <w:abstractNumId w:val="4"/>
  </w:num>
  <w:num w:numId="17">
    <w:abstractNumId w:val="1"/>
  </w:num>
  <w:num w:numId="18">
    <w:abstractNumId w:val="16"/>
  </w:num>
  <w:num w:numId="19">
    <w:abstractNumId w:val="18"/>
  </w:num>
  <w:num w:numId="20">
    <w:abstractNumId w:val="3"/>
  </w:num>
  <w:num w:numId="21">
    <w:abstractNumId w:val="11"/>
  </w:num>
  <w:num w:numId="22">
    <w:abstractNumId w:val="2"/>
  </w:num>
  <w:num w:numId="23">
    <w:abstractNumId w:val="23"/>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03"/>
    <w:rsid w:val="000167B2"/>
    <w:rsid w:val="00016ACC"/>
    <w:rsid w:val="000235E7"/>
    <w:rsid w:val="00023DB6"/>
    <w:rsid w:val="0002597D"/>
    <w:rsid w:val="00032368"/>
    <w:rsid w:val="0003613F"/>
    <w:rsid w:val="00040C2F"/>
    <w:rsid w:val="00041CCE"/>
    <w:rsid w:val="00050E63"/>
    <w:rsid w:val="00050EF2"/>
    <w:rsid w:val="00060F60"/>
    <w:rsid w:val="0006378B"/>
    <w:rsid w:val="0006735A"/>
    <w:rsid w:val="000712DD"/>
    <w:rsid w:val="00085D8C"/>
    <w:rsid w:val="00087DEC"/>
    <w:rsid w:val="00097D1C"/>
    <w:rsid w:val="000B23D4"/>
    <w:rsid w:val="000B2C27"/>
    <w:rsid w:val="000B4EB7"/>
    <w:rsid w:val="000C0EB7"/>
    <w:rsid w:val="000C5BBB"/>
    <w:rsid w:val="000D1CE2"/>
    <w:rsid w:val="000D4C40"/>
    <w:rsid w:val="000E267B"/>
    <w:rsid w:val="000E53A5"/>
    <w:rsid w:val="000E5FDD"/>
    <w:rsid w:val="000F1F6B"/>
    <w:rsid w:val="000F3C8D"/>
    <w:rsid w:val="000F7821"/>
    <w:rsid w:val="00100589"/>
    <w:rsid w:val="00102CEE"/>
    <w:rsid w:val="00110941"/>
    <w:rsid w:val="00114DF3"/>
    <w:rsid w:val="00115D30"/>
    <w:rsid w:val="00123808"/>
    <w:rsid w:val="001273C5"/>
    <w:rsid w:val="00127F12"/>
    <w:rsid w:val="00130150"/>
    <w:rsid w:val="00137913"/>
    <w:rsid w:val="001611A0"/>
    <w:rsid w:val="00163C14"/>
    <w:rsid w:val="00167119"/>
    <w:rsid w:val="001719F9"/>
    <w:rsid w:val="001764BC"/>
    <w:rsid w:val="0018091A"/>
    <w:rsid w:val="00181CED"/>
    <w:rsid w:val="001829F1"/>
    <w:rsid w:val="00182F80"/>
    <w:rsid w:val="001919E4"/>
    <w:rsid w:val="001A38BB"/>
    <w:rsid w:val="001B65CE"/>
    <w:rsid w:val="001C065C"/>
    <w:rsid w:val="001C3C15"/>
    <w:rsid w:val="001C515B"/>
    <w:rsid w:val="001C61DB"/>
    <w:rsid w:val="001D6FB4"/>
    <w:rsid w:val="001E718C"/>
    <w:rsid w:val="00204DB2"/>
    <w:rsid w:val="00207BDF"/>
    <w:rsid w:val="00232BE9"/>
    <w:rsid w:val="00236602"/>
    <w:rsid w:val="00236FE4"/>
    <w:rsid w:val="002426FF"/>
    <w:rsid w:val="00252082"/>
    <w:rsid w:val="002527A0"/>
    <w:rsid w:val="0025493B"/>
    <w:rsid w:val="00262EFE"/>
    <w:rsid w:val="002761A2"/>
    <w:rsid w:val="00283585"/>
    <w:rsid w:val="00286649"/>
    <w:rsid w:val="002869AF"/>
    <w:rsid w:val="002873E5"/>
    <w:rsid w:val="00291351"/>
    <w:rsid w:val="00292D6C"/>
    <w:rsid w:val="002A5EA8"/>
    <w:rsid w:val="002B435A"/>
    <w:rsid w:val="002C14B6"/>
    <w:rsid w:val="002C2A3D"/>
    <w:rsid w:val="002C5A5B"/>
    <w:rsid w:val="002D5F74"/>
    <w:rsid w:val="002E1850"/>
    <w:rsid w:val="00301B48"/>
    <w:rsid w:val="00313B8E"/>
    <w:rsid w:val="00314CE9"/>
    <w:rsid w:val="00315A6D"/>
    <w:rsid w:val="003318AE"/>
    <w:rsid w:val="003320BF"/>
    <w:rsid w:val="00335E12"/>
    <w:rsid w:val="00337A79"/>
    <w:rsid w:val="003456AA"/>
    <w:rsid w:val="0035402A"/>
    <w:rsid w:val="003564A0"/>
    <w:rsid w:val="00360E63"/>
    <w:rsid w:val="00366880"/>
    <w:rsid w:val="00380F04"/>
    <w:rsid w:val="003813C7"/>
    <w:rsid w:val="00392685"/>
    <w:rsid w:val="0039387D"/>
    <w:rsid w:val="0039527F"/>
    <w:rsid w:val="003A2755"/>
    <w:rsid w:val="003A3E92"/>
    <w:rsid w:val="003B1D79"/>
    <w:rsid w:val="003C2E60"/>
    <w:rsid w:val="003C3238"/>
    <w:rsid w:val="003C7CCF"/>
    <w:rsid w:val="003D05EE"/>
    <w:rsid w:val="003D408E"/>
    <w:rsid w:val="003E0DCA"/>
    <w:rsid w:val="003E5AED"/>
    <w:rsid w:val="003F0482"/>
    <w:rsid w:val="003F162D"/>
    <w:rsid w:val="003F53B3"/>
    <w:rsid w:val="00410559"/>
    <w:rsid w:val="00415D46"/>
    <w:rsid w:val="004176B0"/>
    <w:rsid w:val="0044061D"/>
    <w:rsid w:val="00450820"/>
    <w:rsid w:val="00451066"/>
    <w:rsid w:val="00460665"/>
    <w:rsid w:val="0046627D"/>
    <w:rsid w:val="00470C64"/>
    <w:rsid w:val="00483181"/>
    <w:rsid w:val="004927C8"/>
    <w:rsid w:val="00492D4F"/>
    <w:rsid w:val="004A3A4D"/>
    <w:rsid w:val="004A58B4"/>
    <w:rsid w:val="004A67C5"/>
    <w:rsid w:val="004B37A1"/>
    <w:rsid w:val="004B46C1"/>
    <w:rsid w:val="004C3712"/>
    <w:rsid w:val="004D6394"/>
    <w:rsid w:val="004E7EF2"/>
    <w:rsid w:val="00501C30"/>
    <w:rsid w:val="005033A7"/>
    <w:rsid w:val="00511103"/>
    <w:rsid w:val="00520307"/>
    <w:rsid w:val="00523280"/>
    <w:rsid w:val="00525969"/>
    <w:rsid w:val="00533B80"/>
    <w:rsid w:val="005421FC"/>
    <w:rsid w:val="005534E3"/>
    <w:rsid w:val="00565E8C"/>
    <w:rsid w:val="0056729D"/>
    <w:rsid w:val="0056761C"/>
    <w:rsid w:val="005754A1"/>
    <w:rsid w:val="00576B3A"/>
    <w:rsid w:val="00583E82"/>
    <w:rsid w:val="005871B0"/>
    <w:rsid w:val="00597466"/>
    <w:rsid w:val="005A7E19"/>
    <w:rsid w:val="005B0603"/>
    <w:rsid w:val="005B3598"/>
    <w:rsid w:val="005B4219"/>
    <w:rsid w:val="005B5F16"/>
    <w:rsid w:val="005C0A00"/>
    <w:rsid w:val="005C4520"/>
    <w:rsid w:val="005D121A"/>
    <w:rsid w:val="005D460A"/>
    <w:rsid w:val="005F1FC4"/>
    <w:rsid w:val="006007A7"/>
    <w:rsid w:val="00603D91"/>
    <w:rsid w:val="00606717"/>
    <w:rsid w:val="0061658A"/>
    <w:rsid w:val="006261D2"/>
    <w:rsid w:val="00630241"/>
    <w:rsid w:val="00636BBC"/>
    <w:rsid w:val="0065558F"/>
    <w:rsid w:val="00656E88"/>
    <w:rsid w:val="0066434E"/>
    <w:rsid w:val="0066659C"/>
    <w:rsid w:val="00671CFF"/>
    <w:rsid w:val="006728BC"/>
    <w:rsid w:val="00674C19"/>
    <w:rsid w:val="0067661E"/>
    <w:rsid w:val="0069364F"/>
    <w:rsid w:val="00693ADA"/>
    <w:rsid w:val="00697473"/>
    <w:rsid w:val="006B20E5"/>
    <w:rsid w:val="006B3DF8"/>
    <w:rsid w:val="006B649E"/>
    <w:rsid w:val="006C7B24"/>
    <w:rsid w:val="006D613F"/>
    <w:rsid w:val="006E553E"/>
    <w:rsid w:val="006F1F3F"/>
    <w:rsid w:val="006F3646"/>
    <w:rsid w:val="006F57E6"/>
    <w:rsid w:val="00700327"/>
    <w:rsid w:val="007020CD"/>
    <w:rsid w:val="0070306D"/>
    <w:rsid w:val="00725287"/>
    <w:rsid w:val="0074200E"/>
    <w:rsid w:val="00743305"/>
    <w:rsid w:val="007463C8"/>
    <w:rsid w:val="007509F7"/>
    <w:rsid w:val="00751218"/>
    <w:rsid w:val="00755FFA"/>
    <w:rsid w:val="0076503E"/>
    <w:rsid w:val="00771A23"/>
    <w:rsid w:val="00781734"/>
    <w:rsid w:val="007828BC"/>
    <w:rsid w:val="00784C14"/>
    <w:rsid w:val="007A2273"/>
    <w:rsid w:val="007A5FFF"/>
    <w:rsid w:val="007A7E68"/>
    <w:rsid w:val="007B2483"/>
    <w:rsid w:val="007B36FF"/>
    <w:rsid w:val="007C06C1"/>
    <w:rsid w:val="007C27F0"/>
    <w:rsid w:val="007D1F1A"/>
    <w:rsid w:val="007D2174"/>
    <w:rsid w:val="007D3357"/>
    <w:rsid w:val="007D5AA1"/>
    <w:rsid w:val="007E1BD6"/>
    <w:rsid w:val="007F008C"/>
    <w:rsid w:val="008004B9"/>
    <w:rsid w:val="00801F17"/>
    <w:rsid w:val="0080527A"/>
    <w:rsid w:val="008313D3"/>
    <w:rsid w:val="008419E3"/>
    <w:rsid w:val="008527EA"/>
    <w:rsid w:val="00861916"/>
    <w:rsid w:val="008826B3"/>
    <w:rsid w:val="008917B4"/>
    <w:rsid w:val="008927FA"/>
    <w:rsid w:val="008A0151"/>
    <w:rsid w:val="008A51A9"/>
    <w:rsid w:val="008B17D8"/>
    <w:rsid w:val="008B1EFB"/>
    <w:rsid w:val="008B24D6"/>
    <w:rsid w:val="008B4F95"/>
    <w:rsid w:val="008B600F"/>
    <w:rsid w:val="008B7AF0"/>
    <w:rsid w:val="008C1E23"/>
    <w:rsid w:val="008C6F0D"/>
    <w:rsid w:val="008D1ED7"/>
    <w:rsid w:val="008E4F97"/>
    <w:rsid w:val="008E685D"/>
    <w:rsid w:val="008F4342"/>
    <w:rsid w:val="009076EC"/>
    <w:rsid w:val="00910261"/>
    <w:rsid w:val="00910CC8"/>
    <w:rsid w:val="00912182"/>
    <w:rsid w:val="009128C2"/>
    <w:rsid w:val="00921F2B"/>
    <w:rsid w:val="00924B62"/>
    <w:rsid w:val="00935C6A"/>
    <w:rsid w:val="009423B6"/>
    <w:rsid w:val="00952284"/>
    <w:rsid w:val="00960FF8"/>
    <w:rsid w:val="00982788"/>
    <w:rsid w:val="00996F89"/>
    <w:rsid w:val="009B2F1C"/>
    <w:rsid w:val="009B3575"/>
    <w:rsid w:val="009B7EE8"/>
    <w:rsid w:val="009C6A34"/>
    <w:rsid w:val="009D6DD9"/>
    <w:rsid w:val="009F5B2E"/>
    <w:rsid w:val="00A0589B"/>
    <w:rsid w:val="00A1295A"/>
    <w:rsid w:val="00A145B5"/>
    <w:rsid w:val="00A145C5"/>
    <w:rsid w:val="00A16A95"/>
    <w:rsid w:val="00A16E20"/>
    <w:rsid w:val="00A2504C"/>
    <w:rsid w:val="00A265EA"/>
    <w:rsid w:val="00A30CD3"/>
    <w:rsid w:val="00A32206"/>
    <w:rsid w:val="00A32E90"/>
    <w:rsid w:val="00A34E18"/>
    <w:rsid w:val="00A35DA6"/>
    <w:rsid w:val="00A42E97"/>
    <w:rsid w:val="00A446E4"/>
    <w:rsid w:val="00A5325A"/>
    <w:rsid w:val="00A645A6"/>
    <w:rsid w:val="00A6502A"/>
    <w:rsid w:val="00A670BC"/>
    <w:rsid w:val="00A714D8"/>
    <w:rsid w:val="00A776B5"/>
    <w:rsid w:val="00A94D8D"/>
    <w:rsid w:val="00AA1DDA"/>
    <w:rsid w:val="00AA76CB"/>
    <w:rsid w:val="00AB2AD6"/>
    <w:rsid w:val="00AD2F31"/>
    <w:rsid w:val="00AD3AA6"/>
    <w:rsid w:val="00AE0D80"/>
    <w:rsid w:val="00AE4C52"/>
    <w:rsid w:val="00AF27BC"/>
    <w:rsid w:val="00AF795D"/>
    <w:rsid w:val="00B00780"/>
    <w:rsid w:val="00B21CF3"/>
    <w:rsid w:val="00B26C7E"/>
    <w:rsid w:val="00B314D7"/>
    <w:rsid w:val="00B45CF5"/>
    <w:rsid w:val="00B469EC"/>
    <w:rsid w:val="00B52504"/>
    <w:rsid w:val="00B53C11"/>
    <w:rsid w:val="00B54B1E"/>
    <w:rsid w:val="00B76D9F"/>
    <w:rsid w:val="00B76EB8"/>
    <w:rsid w:val="00B81BFE"/>
    <w:rsid w:val="00B85B14"/>
    <w:rsid w:val="00B85BC3"/>
    <w:rsid w:val="00B938BB"/>
    <w:rsid w:val="00B95B93"/>
    <w:rsid w:val="00BB4741"/>
    <w:rsid w:val="00BD1FCA"/>
    <w:rsid w:val="00BD4186"/>
    <w:rsid w:val="00C10675"/>
    <w:rsid w:val="00C1201F"/>
    <w:rsid w:val="00C13CB3"/>
    <w:rsid w:val="00C147CB"/>
    <w:rsid w:val="00C220BE"/>
    <w:rsid w:val="00C31EA6"/>
    <w:rsid w:val="00C3323F"/>
    <w:rsid w:val="00C45A62"/>
    <w:rsid w:val="00C6066B"/>
    <w:rsid w:val="00C62270"/>
    <w:rsid w:val="00C62629"/>
    <w:rsid w:val="00C672A1"/>
    <w:rsid w:val="00C7029B"/>
    <w:rsid w:val="00C71FE1"/>
    <w:rsid w:val="00C72552"/>
    <w:rsid w:val="00C7451A"/>
    <w:rsid w:val="00C75638"/>
    <w:rsid w:val="00C811A2"/>
    <w:rsid w:val="00C97073"/>
    <w:rsid w:val="00CA1CA6"/>
    <w:rsid w:val="00CA509F"/>
    <w:rsid w:val="00CA561E"/>
    <w:rsid w:val="00CC4C4E"/>
    <w:rsid w:val="00CD2850"/>
    <w:rsid w:val="00CE2014"/>
    <w:rsid w:val="00CE5F2E"/>
    <w:rsid w:val="00CE5F54"/>
    <w:rsid w:val="00CF28BA"/>
    <w:rsid w:val="00CF3589"/>
    <w:rsid w:val="00CF547C"/>
    <w:rsid w:val="00CF6D2E"/>
    <w:rsid w:val="00CF7085"/>
    <w:rsid w:val="00D0557C"/>
    <w:rsid w:val="00D175F2"/>
    <w:rsid w:val="00D21D4E"/>
    <w:rsid w:val="00D26E33"/>
    <w:rsid w:val="00D34506"/>
    <w:rsid w:val="00D41893"/>
    <w:rsid w:val="00D43B11"/>
    <w:rsid w:val="00D45A2D"/>
    <w:rsid w:val="00D47E2A"/>
    <w:rsid w:val="00D56267"/>
    <w:rsid w:val="00D602E9"/>
    <w:rsid w:val="00D60F8D"/>
    <w:rsid w:val="00D75DD1"/>
    <w:rsid w:val="00D77649"/>
    <w:rsid w:val="00D84847"/>
    <w:rsid w:val="00DB7767"/>
    <w:rsid w:val="00DC0C5E"/>
    <w:rsid w:val="00DC4618"/>
    <w:rsid w:val="00DC646F"/>
    <w:rsid w:val="00DD25DA"/>
    <w:rsid w:val="00DE1D18"/>
    <w:rsid w:val="00DE22FF"/>
    <w:rsid w:val="00DE311E"/>
    <w:rsid w:val="00DE5D59"/>
    <w:rsid w:val="00DF2C6F"/>
    <w:rsid w:val="00DF6F93"/>
    <w:rsid w:val="00DF7DBE"/>
    <w:rsid w:val="00E15F3E"/>
    <w:rsid w:val="00E25F24"/>
    <w:rsid w:val="00E27840"/>
    <w:rsid w:val="00E30051"/>
    <w:rsid w:val="00E33314"/>
    <w:rsid w:val="00E33967"/>
    <w:rsid w:val="00E434B9"/>
    <w:rsid w:val="00E455B6"/>
    <w:rsid w:val="00E51A5F"/>
    <w:rsid w:val="00E65D27"/>
    <w:rsid w:val="00E70B46"/>
    <w:rsid w:val="00E71E05"/>
    <w:rsid w:val="00E742E9"/>
    <w:rsid w:val="00E841FB"/>
    <w:rsid w:val="00E84DDF"/>
    <w:rsid w:val="00E94B88"/>
    <w:rsid w:val="00EA7DB6"/>
    <w:rsid w:val="00EB0C24"/>
    <w:rsid w:val="00EB5684"/>
    <w:rsid w:val="00EC2A55"/>
    <w:rsid w:val="00ED2127"/>
    <w:rsid w:val="00EE2C7F"/>
    <w:rsid w:val="00EF1E6E"/>
    <w:rsid w:val="00EF51C7"/>
    <w:rsid w:val="00F00DF2"/>
    <w:rsid w:val="00F06EE3"/>
    <w:rsid w:val="00F13026"/>
    <w:rsid w:val="00F204A8"/>
    <w:rsid w:val="00F24E9A"/>
    <w:rsid w:val="00F26DD5"/>
    <w:rsid w:val="00F2780C"/>
    <w:rsid w:val="00F41664"/>
    <w:rsid w:val="00F46E9C"/>
    <w:rsid w:val="00F472F5"/>
    <w:rsid w:val="00F500B1"/>
    <w:rsid w:val="00F516F4"/>
    <w:rsid w:val="00F54176"/>
    <w:rsid w:val="00F541BF"/>
    <w:rsid w:val="00F64DD2"/>
    <w:rsid w:val="00F73AD7"/>
    <w:rsid w:val="00F819E8"/>
    <w:rsid w:val="00F87029"/>
    <w:rsid w:val="00FA3855"/>
    <w:rsid w:val="00FA56E5"/>
    <w:rsid w:val="00FC22FC"/>
    <w:rsid w:val="00FC2565"/>
    <w:rsid w:val="00FD730D"/>
    <w:rsid w:val="00FE065C"/>
    <w:rsid w:val="00FE2197"/>
    <w:rsid w:val="00FE3BC8"/>
    <w:rsid w:val="00FE47C2"/>
    <w:rsid w:val="00FF5B65"/>
    <w:rsid w:val="00FF79CB"/>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A6338"/>
  <w15:docId w15:val="{953A8ABF-A1C7-4034-89B0-B5F460D1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8AE"/>
    <w:pPr>
      <w:spacing w:after="120" w:line="240" w:lineRule="auto"/>
    </w:pPr>
    <w:rPr>
      <w:rFonts w:ascii="Humnst777 Lt BT" w:eastAsia="Times New Roman" w:hAnsi="Humnst777 Lt BT"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03"/>
    <w:pPr>
      <w:ind w:left="720"/>
      <w:contextualSpacing/>
    </w:pPr>
  </w:style>
  <w:style w:type="paragraph" w:styleId="ListBullet">
    <w:name w:val="List Bullet"/>
    <w:basedOn w:val="Normal"/>
    <w:uiPriority w:val="99"/>
    <w:unhideWhenUsed/>
    <w:rsid w:val="00F819E8"/>
    <w:pPr>
      <w:numPr>
        <w:numId w:val="9"/>
      </w:numPr>
      <w:spacing w:after="165" w:line="280" w:lineRule="atLeast"/>
    </w:pPr>
    <w:rPr>
      <w:lang w:eastAsia="en-GB"/>
    </w:rPr>
  </w:style>
  <w:style w:type="paragraph" w:styleId="ListBullet2">
    <w:name w:val="List Bullet 2"/>
    <w:basedOn w:val="Normal"/>
    <w:uiPriority w:val="99"/>
    <w:semiHidden/>
    <w:unhideWhenUsed/>
    <w:rsid w:val="00511103"/>
    <w:pPr>
      <w:numPr>
        <w:ilvl w:val="1"/>
        <w:numId w:val="9"/>
      </w:numPr>
      <w:spacing w:after="165" w:line="280" w:lineRule="atLeast"/>
    </w:pPr>
    <w:rPr>
      <w:lang w:eastAsia="en-GB"/>
    </w:rPr>
  </w:style>
  <w:style w:type="paragraph" w:styleId="ListBullet3">
    <w:name w:val="List Bullet 3"/>
    <w:basedOn w:val="Normal"/>
    <w:uiPriority w:val="99"/>
    <w:semiHidden/>
    <w:unhideWhenUsed/>
    <w:rsid w:val="00511103"/>
    <w:pPr>
      <w:numPr>
        <w:ilvl w:val="2"/>
        <w:numId w:val="9"/>
      </w:numPr>
      <w:spacing w:after="165" w:line="280" w:lineRule="atLeast"/>
    </w:pPr>
    <w:rPr>
      <w:lang w:eastAsia="en-GB"/>
    </w:rPr>
  </w:style>
  <w:style w:type="paragraph" w:styleId="BodyText3">
    <w:name w:val="Body Text 3"/>
    <w:basedOn w:val="Normal"/>
    <w:link w:val="BodyText3Char"/>
    <w:uiPriority w:val="99"/>
    <w:semiHidden/>
    <w:unhideWhenUsed/>
    <w:rsid w:val="00511103"/>
    <w:pPr>
      <w:spacing w:after="165" w:line="280" w:lineRule="atLeast"/>
    </w:pPr>
    <w:rPr>
      <w:lang w:eastAsia="en-GB"/>
    </w:rPr>
  </w:style>
  <w:style w:type="character" w:customStyle="1" w:styleId="BodyText3Char">
    <w:name w:val="Body Text 3 Char"/>
    <w:basedOn w:val="DefaultParagraphFont"/>
    <w:link w:val="BodyText3"/>
    <w:uiPriority w:val="99"/>
    <w:semiHidden/>
    <w:rsid w:val="00511103"/>
    <w:rPr>
      <w:rFonts w:ascii="Humnst777 Lt BT" w:hAnsi="Humnst777 Lt BT" w:cs="Times New Roman"/>
      <w:lang w:eastAsia="en-GB"/>
    </w:rPr>
  </w:style>
  <w:style w:type="character" w:styleId="CommentReference">
    <w:name w:val="annotation reference"/>
    <w:basedOn w:val="DefaultParagraphFont"/>
    <w:uiPriority w:val="99"/>
    <w:semiHidden/>
    <w:unhideWhenUsed/>
    <w:rsid w:val="004B37A1"/>
    <w:rPr>
      <w:sz w:val="16"/>
      <w:szCs w:val="16"/>
    </w:rPr>
  </w:style>
  <w:style w:type="paragraph" w:styleId="CommentText">
    <w:name w:val="annotation text"/>
    <w:basedOn w:val="Normal"/>
    <w:link w:val="CommentTextChar"/>
    <w:uiPriority w:val="99"/>
    <w:unhideWhenUsed/>
    <w:rsid w:val="00F819E8"/>
    <w:rPr>
      <w:sz w:val="20"/>
      <w:szCs w:val="20"/>
    </w:rPr>
  </w:style>
  <w:style w:type="character" w:customStyle="1" w:styleId="CommentTextChar">
    <w:name w:val="Comment Text Char"/>
    <w:basedOn w:val="DefaultParagraphFont"/>
    <w:link w:val="CommentText"/>
    <w:uiPriority w:val="99"/>
    <w:rsid w:val="004B37A1"/>
    <w:rPr>
      <w:sz w:val="20"/>
      <w:szCs w:val="20"/>
    </w:rPr>
  </w:style>
  <w:style w:type="paragraph" w:styleId="CommentSubject">
    <w:name w:val="annotation subject"/>
    <w:basedOn w:val="CommentText"/>
    <w:next w:val="CommentText"/>
    <w:link w:val="CommentSubjectChar"/>
    <w:uiPriority w:val="99"/>
    <w:semiHidden/>
    <w:unhideWhenUsed/>
    <w:rsid w:val="004B37A1"/>
    <w:rPr>
      <w:b/>
      <w:bCs/>
    </w:rPr>
  </w:style>
  <w:style w:type="character" w:customStyle="1" w:styleId="CommentSubjectChar">
    <w:name w:val="Comment Subject Char"/>
    <w:basedOn w:val="CommentTextChar"/>
    <w:link w:val="CommentSubject"/>
    <w:uiPriority w:val="99"/>
    <w:semiHidden/>
    <w:rsid w:val="004B37A1"/>
    <w:rPr>
      <w:b/>
      <w:bCs/>
      <w:sz w:val="20"/>
      <w:szCs w:val="20"/>
    </w:rPr>
  </w:style>
  <w:style w:type="paragraph" w:styleId="BalloonText">
    <w:name w:val="Balloon Text"/>
    <w:basedOn w:val="Normal"/>
    <w:link w:val="BalloonTextChar"/>
    <w:uiPriority w:val="99"/>
    <w:semiHidden/>
    <w:unhideWhenUsed/>
    <w:rsid w:val="004B37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A1"/>
    <w:rPr>
      <w:rFonts w:ascii="Segoe UI" w:hAnsi="Segoe UI" w:cs="Segoe UI"/>
      <w:sz w:val="18"/>
      <w:szCs w:val="18"/>
    </w:rPr>
  </w:style>
  <w:style w:type="paragraph" w:styleId="Revision">
    <w:name w:val="Revision"/>
    <w:hidden/>
    <w:uiPriority w:val="99"/>
    <w:semiHidden/>
    <w:rsid w:val="007509F7"/>
    <w:pPr>
      <w:spacing w:after="0" w:line="240" w:lineRule="auto"/>
    </w:pPr>
  </w:style>
  <w:style w:type="paragraph" w:styleId="Header">
    <w:name w:val="header"/>
    <w:basedOn w:val="Normal"/>
    <w:link w:val="HeaderChar"/>
    <w:uiPriority w:val="99"/>
    <w:unhideWhenUsed/>
    <w:rsid w:val="008E4F97"/>
    <w:pPr>
      <w:tabs>
        <w:tab w:val="center" w:pos="4513"/>
        <w:tab w:val="right" w:pos="9026"/>
      </w:tabs>
      <w:spacing w:after="0"/>
    </w:pPr>
  </w:style>
  <w:style w:type="character" w:customStyle="1" w:styleId="HeaderChar">
    <w:name w:val="Header Char"/>
    <w:basedOn w:val="DefaultParagraphFont"/>
    <w:link w:val="Header"/>
    <w:uiPriority w:val="99"/>
    <w:rsid w:val="008E4F97"/>
  </w:style>
  <w:style w:type="paragraph" w:styleId="Footer">
    <w:name w:val="footer"/>
    <w:basedOn w:val="Normal"/>
    <w:link w:val="FooterChar"/>
    <w:uiPriority w:val="99"/>
    <w:unhideWhenUsed/>
    <w:rsid w:val="008E4F97"/>
    <w:pPr>
      <w:tabs>
        <w:tab w:val="center" w:pos="4513"/>
        <w:tab w:val="right" w:pos="9026"/>
      </w:tabs>
      <w:spacing w:after="0"/>
    </w:pPr>
  </w:style>
  <w:style w:type="character" w:customStyle="1" w:styleId="FooterChar">
    <w:name w:val="Footer Char"/>
    <w:basedOn w:val="DefaultParagraphFont"/>
    <w:link w:val="Footer"/>
    <w:uiPriority w:val="99"/>
    <w:rsid w:val="008E4F97"/>
  </w:style>
  <w:style w:type="paragraph" w:customStyle="1" w:styleId="Footerempty">
    <w:name w:val="Footerempty"/>
    <w:basedOn w:val="Normal"/>
    <w:rsid w:val="0066659C"/>
    <w:pPr>
      <w:spacing w:before="120" w:after="0"/>
    </w:pPr>
    <w:rPr>
      <w:rFonts w:ascii="Times New Roman" w:eastAsiaTheme="majorEastAsia" w:hAnsi="Times New Roman"/>
      <w:color w:val="FFFFFF"/>
      <w:sz w:val="2"/>
    </w:rPr>
  </w:style>
  <w:style w:type="paragraph" w:styleId="FootnoteText">
    <w:name w:val="footnote text"/>
    <w:basedOn w:val="Normal"/>
    <w:link w:val="FootnoteTextChar"/>
    <w:uiPriority w:val="99"/>
    <w:semiHidden/>
    <w:unhideWhenUsed/>
    <w:rsid w:val="00B00780"/>
    <w:pPr>
      <w:spacing w:after="0"/>
    </w:pPr>
    <w:rPr>
      <w:sz w:val="20"/>
      <w:szCs w:val="20"/>
    </w:rPr>
  </w:style>
  <w:style w:type="character" w:customStyle="1" w:styleId="FootnoteTextChar">
    <w:name w:val="Footnote Text Char"/>
    <w:basedOn w:val="DefaultParagraphFont"/>
    <w:link w:val="FootnoteText"/>
    <w:uiPriority w:val="99"/>
    <w:semiHidden/>
    <w:rsid w:val="00B00780"/>
    <w:rPr>
      <w:sz w:val="20"/>
      <w:szCs w:val="20"/>
    </w:rPr>
  </w:style>
  <w:style w:type="character" w:styleId="FootnoteReference">
    <w:name w:val="footnote reference"/>
    <w:basedOn w:val="DefaultParagraphFont"/>
    <w:uiPriority w:val="99"/>
    <w:semiHidden/>
    <w:unhideWhenUsed/>
    <w:rsid w:val="00B00780"/>
    <w:rPr>
      <w:vertAlign w:val="superscript"/>
    </w:rPr>
  </w:style>
  <w:style w:type="paragraph" w:customStyle="1" w:styleId="Default">
    <w:name w:val="Default"/>
    <w:rsid w:val="00A94D8D"/>
    <w:pPr>
      <w:autoSpaceDE w:val="0"/>
      <w:autoSpaceDN w:val="0"/>
      <w:adjustRightInd w:val="0"/>
      <w:spacing w:after="0" w:line="240" w:lineRule="auto"/>
    </w:pPr>
    <w:rPr>
      <w:rFonts w:ascii="Humnst777 Lt BT" w:hAnsi="Humnst777 Lt BT" w:cs="Humnst777 Lt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243">
      <w:bodyDiv w:val="1"/>
      <w:marLeft w:val="0"/>
      <w:marRight w:val="0"/>
      <w:marTop w:val="0"/>
      <w:marBottom w:val="0"/>
      <w:divBdr>
        <w:top w:val="none" w:sz="0" w:space="0" w:color="auto"/>
        <w:left w:val="none" w:sz="0" w:space="0" w:color="auto"/>
        <w:bottom w:val="none" w:sz="0" w:space="0" w:color="auto"/>
        <w:right w:val="none" w:sz="0" w:space="0" w:color="auto"/>
      </w:divBdr>
    </w:div>
    <w:div w:id="58554751">
      <w:bodyDiv w:val="1"/>
      <w:marLeft w:val="0"/>
      <w:marRight w:val="0"/>
      <w:marTop w:val="0"/>
      <w:marBottom w:val="0"/>
      <w:divBdr>
        <w:top w:val="none" w:sz="0" w:space="0" w:color="auto"/>
        <w:left w:val="none" w:sz="0" w:space="0" w:color="auto"/>
        <w:bottom w:val="none" w:sz="0" w:space="0" w:color="auto"/>
        <w:right w:val="none" w:sz="0" w:space="0" w:color="auto"/>
      </w:divBdr>
    </w:div>
    <w:div w:id="222640265">
      <w:bodyDiv w:val="1"/>
      <w:marLeft w:val="0"/>
      <w:marRight w:val="0"/>
      <w:marTop w:val="0"/>
      <w:marBottom w:val="0"/>
      <w:divBdr>
        <w:top w:val="none" w:sz="0" w:space="0" w:color="auto"/>
        <w:left w:val="none" w:sz="0" w:space="0" w:color="auto"/>
        <w:bottom w:val="none" w:sz="0" w:space="0" w:color="auto"/>
        <w:right w:val="none" w:sz="0" w:space="0" w:color="auto"/>
      </w:divBdr>
    </w:div>
    <w:div w:id="262493096">
      <w:bodyDiv w:val="1"/>
      <w:marLeft w:val="0"/>
      <w:marRight w:val="0"/>
      <w:marTop w:val="0"/>
      <w:marBottom w:val="0"/>
      <w:divBdr>
        <w:top w:val="none" w:sz="0" w:space="0" w:color="auto"/>
        <w:left w:val="none" w:sz="0" w:space="0" w:color="auto"/>
        <w:bottom w:val="none" w:sz="0" w:space="0" w:color="auto"/>
        <w:right w:val="none" w:sz="0" w:space="0" w:color="auto"/>
      </w:divBdr>
    </w:div>
    <w:div w:id="286469097">
      <w:bodyDiv w:val="1"/>
      <w:marLeft w:val="0"/>
      <w:marRight w:val="0"/>
      <w:marTop w:val="0"/>
      <w:marBottom w:val="0"/>
      <w:divBdr>
        <w:top w:val="none" w:sz="0" w:space="0" w:color="auto"/>
        <w:left w:val="none" w:sz="0" w:space="0" w:color="auto"/>
        <w:bottom w:val="none" w:sz="0" w:space="0" w:color="auto"/>
        <w:right w:val="none" w:sz="0" w:space="0" w:color="auto"/>
      </w:divBdr>
    </w:div>
    <w:div w:id="548414930">
      <w:bodyDiv w:val="1"/>
      <w:marLeft w:val="0"/>
      <w:marRight w:val="0"/>
      <w:marTop w:val="0"/>
      <w:marBottom w:val="0"/>
      <w:divBdr>
        <w:top w:val="none" w:sz="0" w:space="0" w:color="auto"/>
        <w:left w:val="none" w:sz="0" w:space="0" w:color="auto"/>
        <w:bottom w:val="none" w:sz="0" w:space="0" w:color="auto"/>
        <w:right w:val="none" w:sz="0" w:space="0" w:color="auto"/>
      </w:divBdr>
    </w:div>
    <w:div w:id="624241460">
      <w:bodyDiv w:val="1"/>
      <w:marLeft w:val="0"/>
      <w:marRight w:val="0"/>
      <w:marTop w:val="0"/>
      <w:marBottom w:val="0"/>
      <w:divBdr>
        <w:top w:val="none" w:sz="0" w:space="0" w:color="auto"/>
        <w:left w:val="none" w:sz="0" w:space="0" w:color="auto"/>
        <w:bottom w:val="none" w:sz="0" w:space="0" w:color="auto"/>
        <w:right w:val="none" w:sz="0" w:space="0" w:color="auto"/>
      </w:divBdr>
    </w:div>
    <w:div w:id="969361416">
      <w:bodyDiv w:val="1"/>
      <w:marLeft w:val="0"/>
      <w:marRight w:val="0"/>
      <w:marTop w:val="0"/>
      <w:marBottom w:val="0"/>
      <w:divBdr>
        <w:top w:val="none" w:sz="0" w:space="0" w:color="auto"/>
        <w:left w:val="none" w:sz="0" w:space="0" w:color="auto"/>
        <w:bottom w:val="none" w:sz="0" w:space="0" w:color="auto"/>
        <w:right w:val="none" w:sz="0" w:space="0" w:color="auto"/>
      </w:divBdr>
    </w:div>
    <w:div w:id="1114397152">
      <w:bodyDiv w:val="1"/>
      <w:marLeft w:val="0"/>
      <w:marRight w:val="0"/>
      <w:marTop w:val="0"/>
      <w:marBottom w:val="0"/>
      <w:divBdr>
        <w:top w:val="none" w:sz="0" w:space="0" w:color="auto"/>
        <w:left w:val="none" w:sz="0" w:space="0" w:color="auto"/>
        <w:bottom w:val="none" w:sz="0" w:space="0" w:color="auto"/>
        <w:right w:val="none" w:sz="0" w:space="0" w:color="auto"/>
      </w:divBdr>
    </w:div>
    <w:div w:id="1239752761">
      <w:bodyDiv w:val="1"/>
      <w:marLeft w:val="0"/>
      <w:marRight w:val="0"/>
      <w:marTop w:val="0"/>
      <w:marBottom w:val="0"/>
      <w:divBdr>
        <w:top w:val="none" w:sz="0" w:space="0" w:color="auto"/>
        <w:left w:val="none" w:sz="0" w:space="0" w:color="auto"/>
        <w:bottom w:val="none" w:sz="0" w:space="0" w:color="auto"/>
        <w:right w:val="none" w:sz="0" w:space="0" w:color="auto"/>
      </w:divBdr>
    </w:div>
    <w:div w:id="1241981740">
      <w:bodyDiv w:val="1"/>
      <w:marLeft w:val="0"/>
      <w:marRight w:val="0"/>
      <w:marTop w:val="0"/>
      <w:marBottom w:val="0"/>
      <w:divBdr>
        <w:top w:val="none" w:sz="0" w:space="0" w:color="auto"/>
        <w:left w:val="none" w:sz="0" w:space="0" w:color="auto"/>
        <w:bottom w:val="none" w:sz="0" w:space="0" w:color="auto"/>
        <w:right w:val="none" w:sz="0" w:space="0" w:color="auto"/>
      </w:divBdr>
    </w:div>
    <w:div w:id="1357271349">
      <w:bodyDiv w:val="1"/>
      <w:marLeft w:val="0"/>
      <w:marRight w:val="0"/>
      <w:marTop w:val="0"/>
      <w:marBottom w:val="0"/>
      <w:divBdr>
        <w:top w:val="none" w:sz="0" w:space="0" w:color="auto"/>
        <w:left w:val="none" w:sz="0" w:space="0" w:color="auto"/>
        <w:bottom w:val="none" w:sz="0" w:space="0" w:color="auto"/>
        <w:right w:val="none" w:sz="0" w:space="0" w:color="auto"/>
      </w:divBdr>
    </w:div>
    <w:div w:id="1585257671">
      <w:bodyDiv w:val="1"/>
      <w:marLeft w:val="0"/>
      <w:marRight w:val="0"/>
      <w:marTop w:val="0"/>
      <w:marBottom w:val="0"/>
      <w:divBdr>
        <w:top w:val="none" w:sz="0" w:space="0" w:color="auto"/>
        <w:left w:val="none" w:sz="0" w:space="0" w:color="auto"/>
        <w:bottom w:val="none" w:sz="0" w:space="0" w:color="auto"/>
        <w:right w:val="none" w:sz="0" w:space="0" w:color="auto"/>
      </w:divBdr>
    </w:div>
    <w:div w:id="18785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79683C114FB419026962409716626" ma:contentTypeVersion="8" ma:contentTypeDescription="Create a new document." ma:contentTypeScope="" ma:versionID="cab1b10324d8450a535521184916f455">
  <xsd:schema xmlns:xsd="http://www.w3.org/2001/XMLSchema" xmlns:xs="http://www.w3.org/2001/XMLSchema" xmlns:p="http://schemas.microsoft.com/office/2006/metadata/properties" xmlns:ns3="62012b01-2280-49b6-bedb-0c50f6bb975a" targetNamespace="http://schemas.microsoft.com/office/2006/metadata/properties" ma:root="true" ma:fieldsID="c72ca75e89c40343acf8218f618ccc86" ns3:_="">
    <xsd:import namespace="62012b01-2280-49b6-bedb-0c50f6bb97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12b01-2280-49b6-bedb-0c50f6bb9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1BC3A-1F4C-4F26-979F-A37C95FA2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12b01-2280-49b6-bedb-0c50f6bb9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0A87D-6178-4F82-9B12-6918F4C489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728FBB-5F75-4AEA-A428-4BC55A08886C}">
  <ds:schemaRefs>
    <ds:schemaRef ds:uri="http://schemas.microsoft.com/sharepoint/v3/contenttype/forms"/>
  </ds:schemaRefs>
</ds:datastoreItem>
</file>

<file path=customXml/itemProps4.xml><?xml version="1.0" encoding="utf-8"?>
<ds:datastoreItem xmlns:ds="http://schemas.openxmlformats.org/officeDocument/2006/customXml" ds:itemID="{A6CC3C11-0AEC-4E32-A5C4-93D49267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HM Treasury</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Hemming-Brown, Dominic - HMT</dc:creator>
  <cp:keywords/>
  <dc:description/>
  <cp:lastModifiedBy>Keep, James - HMT</cp:lastModifiedBy>
  <cp:revision>3</cp:revision>
  <cp:lastPrinted>2018-10-24T13:05:00Z</cp:lastPrinted>
  <dcterms:created xsi:type="dcterms:W3CDTF">2019-11-04T18:42:00Z</dcterms:created>
  <dcterms:modified xsi:type="dcterms:W3CDTF">2019-11-04T18:44:00Z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0x01010083E79683C114FB419026962409716626</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e8cb280a-a0b4-458c-b94a-707aac9ef8b8</vt:lpwstr>
  </property>
  <property fmtid="{D5CDD505-2E9C-101B-9397-08002B2CF9AE}" pid="6" name="HMT_Group">
    <vt:lpwstr>1830;#Financial Stability|f57175f8-1a4b-45ed-810c-3adc7b7c8ed2</vt:lpwstr>
  </property>
  <property fmtid="{D5CDD505-2E9C-101B-9397-08002B2CF9AE}" pid="7" name="HMT_Topic">
    <vt:lpwstr>4668;#2. Financial Policy Committee (FPC)|9ac888db-af69-4a51-8055-8907f47d07e1</vt:lpwstr>
  </property>
  <property fmtid="{D5CDD505-2E9C-101B-9397-08002B2CF9AE}" pid="8" name="HMT_Category">
    <vt:lpwstr>4;#Policy Document Types|bd4325a7-7f6a-48f9-b0dc-cc3aef626e65</vt:lpwstr>
  </property>
  <property fmtid="{D5CDD505-2E9C-101B-9397-08002B2CF9AE}" pid="9" name="HMT_SubTeam">
    <vt:lpwstr/>
  </property>
  <property fmtid="{D5CDD505-2E9C-101B-9397-08002B2CF9AE}" pid="10" name="HMT_Classification">
    <vt:lpwstr>1203;#Sensitive|e4b4762f-94f6-4901-a732-9ab10906c6ba</vt:lpwstr>
  </property>
  <property fmtid="{D5CDD505-2E9C-101B-9397-08002B2CF9AE}" pid="11" name="HMT_Theme">
    <vt:lpwstr>3800;#SSA - Macroprudential Policy|30e1b964-926f-4fd8-aec8-4709d3eee4f9</vt:lpwstr>
  </property>
  <property fmtid="{D5CDD505-2E9C-101B-9397-08002B2CF9AE}" pid="12" name="HMT_SubTopic">
    <vt:lpwstr>4738;#FPC Architecture|7a08ac13-d32a-43a9-afbc-e6797822eff4</vt:lpwstr>
  </property>
  <property fmtid="{D5CDD505-2E9C-101B-9397-08002B2CF9AE}" pid="13" name="HMT_DocumentType">
    <vt:lpwstr>5;#Other|c235b5c2-f697-427b-a70a-43d69599f998</vt:lpwstr>
  </property>
  <property fmtid="{D5CDD505-2E9C-101B-9397-08002B2CF9AE}" pid="14" name="HMT_Team">
    <vt:lpwstr>1831;#System Stability and Analysis|1eef96c2-8c7c-469c-97c3-d22617240197</vt:lpwstr>
  </property>
  <property fmtid="{D5CDD505-2E9C-101B-9397-08002B2CF9AE}" pid="15" name="DocRef">
    <vt:lpwstr>Analytical 7894203</vt:lpwstr>
  </property>
  <property fmtid="{D5CDD505-2E9C-101B-9397-08002B2CF9AE}" pid="16" name="DocVer">
    <vt:lpwstr>Analytical 7894203v1</vt:lpwstr>
  </property>
</Properties>
</file>