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5CEF" w14:textId="77777777" w:rsidR="003318AE" w:rsidRPr="00BA744A" w:rsidRDefault="003318AE" w:rsidP="003318AE">
      <w:pPr>
        <w:spacing w:after="0"/>
        <w:jc w:val="center"/>
        <w:rPr>
          <w:rFonts w:eastAsia="Calibri"/>
          <w:sz w:val="26"/>
          <w:szCs w:val="26"/>
        </w:rPr>
      </w:pPr>
      <w:r w:rsidRPr="00BA744A">
        <w:rPr>
          <w:rFonts w:ascii="Calibri" w:eastAsia="Calibri" w:hAnsi="Calibri"/>
          <w:noProof/>
          <w:sz w:val="26"/>
          <w:szCs w:val="26"/>
          <w:lang w:eastAsia="en-GB"/>
        </w:rPr>
        <w:drawing>
          <wp:inline distT="0" distB="0" distL="0" distR="0" wp14:anchorId="1497D0DD" wp14:editId="1F346FDA">
            <wp:extent cx="4638675" cy="1276350"/>
            <wp:effectExtent l="0" t="0" r="9525" b="0"/>
            <wp:docPr id="8" name="Picture 3" descr="Master A4 with address for CH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A4 with address for CH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1276350"/>
                    </a:xfrm>
                    <a:prstGeom prst="rect">
                      <a:avLst/>
                    </a:prstGeom>
                    <a:noFill/>
                    <a:ln>
                      <a:noFill/>
                    </a:ln>
                  </pic:spPr>
                </pic:pic>
              </a:graphicData>
            </a:graphic>
          </wp:inline>
        </w:drawing>
      </w:r>
    </w:p>
    <w:p w14:paraId="77391097" w14:textId="77777777" w:rsidR="003318AE" w:rsidRPr="004D7BAC" w:rsidRDefault="003318AE" w:rsidP="003318AE">
      <w:pPr>
        <w:spacing w:after="240"/>
        <w:rPr>
          <w:rFonts w:eastAsia="Calibri"/>
          <w:szCs w:val="28"/>
        </w:rPr>
      </w:pPr>
    </w:p>
    <w:p w14:paraId="633E73E7" w14:textId="275A0E83" w:rsidR="003318AE" w:rsidRPr="004D7BAC" w:rsidRDefault="000E0683" w:rsidP="003318AE">
      <w:pPr>
        <w:spacing w:after="0"/>
        <w:jc w:val="right"/>
        <w:rPr>
          <w:rFonts w:eastAsia="Calibri"/>
          <w:szCs w:val="28"/>
        </w:rPr>
      </w:pPr>
      <w:r>
        <w:rPr>
          <w:rFonts w:eastAsia="Calibri"/>
          <w:szCs w:val="28"/>
        </w:rPr>
        <w:t xml:space="preserve">4 </w:t>
      </w:r>
      <w:r w:rsidR="004F0123" w:rsidRPr="004D7BAC">
        <w:rPr>
          <w:rFonts w:eastAsia="Calibri"/>
          <w:szCs w:val="28"/>
        </w:rPr>
        <w:t>November</w:t>
      </w:r>
      <w:r w:rsidR="003318AE" w:rsidRPr="004D7BAC">
        <w:rPr>
          <w:rFonts w:eastAsia="Calibri"/>
          <w:szCs w:val="28"/>
        </w:rPr>
        <w:t xml:space="preserve"> 2019</w:t>
      </w:r>
    </w:p>
    <w:p w14:paraId="6DF15947" w14:textId="77777777" w:rsidR="003318AE" w:rsidRPr="004D7BAC" w:rsidRDefault="003318AE" w:rsidP="003318AE">
      <w:pPr>
        <w:spacing w:after="0"/>
        <w:jc w:val="both"/>
        <w:rPr>
          <w:rFonts w:eastAsia="Calibri"/>
          <w:szCs w:val="28"/>
        </w:rPr>
      </w:pPr>
      <w:r w:rsidRPr="004D7BAC">
        <w:rPr>
          <w:rFonts w:eastAsia="Calibri"/>
          <w:szCs w:val="28"/>
        </w:rPr>
        <w:t>Mark Carney</w:t>
      </w:r>
    </w:p>
    <w:p w14:paraId="5EFAFC5E" w14:textId="77777777" w:rsidR="003318AE" w:rsidRPr="004D7BAC" w:rsidRDefault="003318AE" w:rsidP="003318AE">
      <w:pPr>
        <w:spacing w:after="0"/>
        <w:jc w:val="both"/>
        <w:rPr>
          <w:rFonts w:eastAsia="Calibri"/>
          <w:szCs w:val="28"/>
        </w:rPr>
      </w:pPr>
      <w:r w:rsidRPr="004D7BAC">
        <w:rPr>
          <w:rFonts w:eastAsia="Calibri"/>
          <w:szCs w:val="28"/>
        </w:rPr>
        <w:t xml:space="preserve">Governor </w:t>
      </w:r>
    </w:p>
    <w:p w14:paraId="5DB07A7D" w14:textId="77777777" w:rsidR="003318AE" w:rsidRPr="004D7BAC" w:rsidRDefault="003318AE" w:rsidP="003318AE">
      <w:pPr>
        <w:spacing w:after="0"/>
        <w:jc w:val="both"/>
        <w:rPr>
          <w:rFonts w:eastAsia="Calibri"/>
          <w:szCs w:val="28"/>
        </w:rPr>
      </w:pPr>
      <w:r w:rsidRPr="004D7BAC">
        <w:rPr>
          <w:rFonts w:eastAsia="Calibri"/>
          <w:szCs w:val="28"/>
        </w:rPr>
        <w:t xml:space="preserve">Bank of England </w:t>
      </w:r>
    </w:p>
    <w:p w14:paraId="5657ED2B" w14:textId="77777777" w:rsidR="003318AE" w:rsidRPr="004D7BAC" w:rsidRDefault="003318AE" w:rsidP="003318AE">
      <w:pPr>
        <w:spacing w:after="0"/>
        <w:jc w:val="both"/>
        <w:rPr>
          <w:rFonts w:eastAsia="Calibri"/>
          <w:szCs w:val="28"/>
        </w:rPr>
      </w:pPr>
      <w:r w:rsidRPr="004D7BAC">
        <w:rPr>
          <w:rFonts w:eastAsia="Calibri"/>
          <w:szCs w:val="28"/>
        </w:rPr>
        <w:t xml:space="preserve">Threadneedle Street </w:t>
      </w:r>
    </w:p>
    <w:p w14:paraId="063269B5" w14:textId="77777777" w:rsidR="003318AE" w:rsidRPr="004D7BAC" w:rsidRDefault="003318AE" w:rsidP="003318AE">
      <w:pPr>
        <w:spacing w:after="0"/>
        <w:jc w:val="both"/>
        <w:rPr>
          <w:rFonts w:eastAsia="Calibri"/>
          <w:szCs w:val="28"/>
        </w:rPr>
      </w:pPr>
      <w:r w:rsidRPr="004D7BAC">
        <w:rPr>
          <w:rFonts w:eastAsia="Calibri"/>
          <w:szCs w:val="28"/>
        </w:rPr>
        <w:t xml:space="preserve">London </w:t>
      </w:r>
    </w:p>
    <w:p w14:paraId="570E0B7C" w14:textId="77777777" w:rsidR="003318AE" w:rsidRPr="004D7BAC" w:rsidRDefault="003318AE" w:rsidP="003318AE">
      <w:pPr>
        <w:spacing w:after="0"/>
        <w:jc w:val="both"/>
        <w:rPr>
          <w:rFonts w:eastAsia="Calibri"/>
          <w:szCs w:val="28"/>
        </w:rPr>
      </w:pPr>
      <w:r w:rsidRPr="004D7BAC">
        <w:rPr>
          <w:rFonts w:eastAsia="Calibri"/>
          <w:szCs w:val="28"/>
        </w:rPr>
        <w:t>EC2R 8AH</w:t>
      </w:r>
    </w:p>
    <w:p w14:paraId="50DB7FDE" w14:textId="77777777" w:rsidR="003318AE" w:rsidRPr="004D7BAC" w:rsidRDefault="003318AE" w:rsidP="003318AE">
      <w:pPr>
        <w:spacing w:after="0"/>
        <w:jc w:val="both"/>
        <w:rPr>
          <w:rFonts w:eastAsia="Calibri"/>
          <w:szCs w:val="28"/>
        </w:rPr>
      </w:pPr>
    </w:p>
    <w:p w14:paraId="0FC5501A" w14:textId="77777777" w:rsidR="003318AE" w:rsidRPr="004D7BAC" w:rsidRDefault="003318AE" w:rsidP="003318AE">
      <w:pPr>
        <w:spacing w:after="0"/>
        <w:jc w:val="both"/>
        <w:rPr>
          <w:rFonts w:eastAsia="Calibri"/>
          <w:szCs w:val="28"/>
        </w:rPr>
      </w:pPr>
    </w:p>
    <w:p w14:paraId="1F9EB0DE" w14:textId="77777777" w:rsidR="003318AE" w:rsidRPr="004D7BAC" w:rsidRDefault="003318AE" w:rsidP="003318AE">
      <w:pPr>
        <w:spacing w:after="0"/>
        <w:jc w:val="both"/>
        <w:rPr>
          <w:rFonts w:eastAsia="Calibri"/>
          <w:szCs w:val="28"/>
        </w:rPr>
      </w:pPr>
    </w:p>
    <w:p w14:paraId="25F3E9B3" w14:textId="77777777" w:rsidR="003318AE" w:rsidRPr="004D7BAC" w:rsidRDefault="003318AE" w:rsidP="003318AE">
      <w:pPr>
        <w:spacing w:after="160" w:line="256" w:lineRule="auto"/>
        <w:jc w:val="both"/>
        <w:rPr>
          <w:rFonts w:eastAsia="Calibri"/>
          <w:szCs w:val="28"/>
        </w:rPr>
      </w:pPr>
      <w:r w:rsidRPr="004D7BAC">
        <w:rPr>
          <w:rFonts w:eastAsia="Calibri"/>
          <w:szCs w:val="28"/>
        </w:rPr>
        <w:t xml:space="preserve">Dear Mark, </w:t>
      </w:r>
    </w:p>
    <w:p w14:paraId="19594295" w14:textId="77777777" w:rsidR="003318AE" w:rsidRPr="004D7BAC" w:rsidRDefault="003318AE" w:rsidP="003318AE">
      <w:pPr>
        <w:jc w:val="both"/>
        <w:rPr>
          <w:b/>
          <w:bCs/>
          <w:szCs w:val="28"/>
        </w:rPr>
      </w:pPr>
      <w:r w:rsidRPr="004D7BAC">
        <w:rPr>
          <w:b/>
          <w:bCs/>
          <w:szCs w:val="28"/>
        </w:rPr>
        <w:t>REMIT AND RECOMMENDATIONS FOR THE FINANCIAL POLICY COMMITTEE</w:t>
      </w:r>
    </w:p>
    <w:p w14:paraId="105C1DB5" w14:textId="06BE54D7" w:rsidR="003318AE" w:rsidRPr="004D7BAC" w:rsidRDefault="003318AE" w:rsidP="003318AE">
      <w:pPr>
        <w:spacing w:after="160" w:line="256" w:lineRule="auto"/>
        <w:jc w:val="both"/>
        <w:rPr>
          <w:rFonts w:eastAsia="Calibri"/>
          <w:szCs w:val="28"/>
        </w:rPr>
      </w:pPr>
      <w:r w:rsidRPr="004D7BAC">
        <w:rPr>
          <w:rFonts w:eastAsia="Calibri"/>
          <w:szCs w:val="28"/>
        </w:rPr>
        <w:t>The Bank of England Act 1998 (the Act), requires me, at least once a year, to specify what the economic policy of the government is and to make recommendations to the Financial Policy Committee (FPC) about matters that the Committee should regard as relevant to the Committee’s understanding of the Bank’s Financial Stability Objective and the Committee’s responsibility in relation to the achievement of that objective. The last letter to the FPC was sent by my predecessor on 29 October 201</w:t>
      </w:r>
      <w:r w:rsidR="006728BC" w:rsidRPr="004D7BAC">
        <w:rPr>
          <w:rFonts w:eastAsia="Calibri"/>
          <w:szCs w:val="28"/>
        </w:rPr>
        <w:t>8</w:t>
      </w:r>
      <w:r w:rsidRPr="004D7BAC">
        <w:rPr>
          <w:rFonts w:eastAsia="Calibri"/>
          <w:szCs w:val="28"/>
        </w:rPr>
        <w:t xml:space="preserve">. I am issuing this letter today to fulfil </w:t>
      </w:r>
      <w:r w:rsidR="00483181" w:rsidRPr="004D7BAC">
        <w:rPr>
          <w:rFonts w:eastAsia="Calibri"/>
          <w:szCs w:val="28"/>
        </w:rPr>
        <w:t>the statutory</w:t>
      </w:r>
      <w:r w:rsidRPr="004D7BAC">
        <w:rPr>
          <w:rFonts w:eastAsia="Calibri"/>
          <w:szCs w:val="28"/>
        </w:rPr>
        <w:t xml:space="preserve"> requirements detailed above. </w:t>
      </w:r>
      <w:r w:rsidR="00CC514D" w:rsidRPr="004D7BAC">
        <w:rPr>
          <w:rFonts w:eastAsia="Calibri"/>
          <w:szCs w:val="28"/>
        </w:rPr>
        <w:t>This letter will also be p</w:t>
      </w:r>
      <w:r w:rsidR="00CC514D" w:rsidRPr="004D7BAC">
        <w:rPr>
          <w:szCs w:val="28"/>
        </w:rPr>
        <w:t>resented to Parliament pursuant to sections 9</w:t>
      </w:r>
      <w:proofErr w:type="gramStart"/>
      <w:r w:rsidR="00CC514D" w:rsidRPr="004D7BAC">
        <w:rPr>
          <w:szCs w:val="28"/>
        </w:rPr>
        <w:t>D(</w:t>
      </w:r>
      <w:proofErr w:type="gramEnd"/>
      <w:r w:rsidR="00CC514D" w:rsidRPr="004D7BAC">
        <w:rPr>
          <w:szCs w:val="28"/>
        </w:rPr>
        <w:t>3) and 9E(5) of the Bank of England Act 1998.</w:t>
      </w:r>
    </w:p>
    <w:p w14:paraId="6F095C23" w14:textId="77777777" w:rsidR="004D7BAC" w:rsidRDefault="004D7BAC" w:rsidP="003318AE">
      <w:pPr>
        <w:spacing w:after="160" w:line="256" w:lineRule="auto"/>
        <w:jc w:val="both"/>
        <w:rPr>
          <w:rFonts w:eastAsia="Calibri"/>
          <w:szCs w:val="28"/>
        </w:rPr>
      </w:pPr>
    </w:p>
    <w:p w14:paraId="38EC587C" w14:textId="1A73FEF9" w:rsidR="003318AE" w:rsidRPr="004D7BAC" w:rsidRDefault="003318AE" w:rsidP="003318AE">
      <w:pPr>
        <w:spacing w:after="160" w:line="256" w:lineRule="auto"/>
        <w:jc w:val="both"/>
        <w:rPr>
          <w:rFonts w:eastAsia="Calibri"/>
          <w:szCs w:val="28"/>
        </w:rPr>
      </w:pPr>
      <w:r w:rsidRPr="004D7BAC">
        <w:rPr>
          <w:rFonts w:eastAsia="Calibri"/>
          <w:szCs w:val="28"/>
        </w:rPr>
        <w:t xml:space="preserve">In accordance with the Act, I confirm that the government’s economic policy objective is to achieve strong, sustainable and balanced growth. Price and financial stability are essential pre-requisites for strong, sustainable and balanced growth in all regions and sectors of the economy. </w:t>
      </w:r>
      <w:bookmarkStart w:id="0" w:name="_Hlk528153718"/>
      <w:r w:rsidR="0076619A" w:rsidRPr="004D7BAC">
        <w:rPr>
          <w:rFonts w:eastAsia="Calibri"/>
          <w:szCs w:val="28"/>
        </w:rPr>
        <w:t xml:space="preserve">It’s important to have an open and competitive economy which allows free enterprise to flourish. </w:t>
      </w:r>
      <w:r w:rsidRPr="004D7BAC">
        <w:rPr>
          <w:rFonts w:eastAsia="Calibri"/>
          <w:szCs w:val="28"/>
        </w:rPr>
        <w:t xml:space="preserve">The specification of the government’s economic strategy </w:t>
      </w:r>
      <w:r w:rsidR="007B2172" w:rsidRPr="004D7BAC">
        <w:rPr>
          <w:rFonts w:eastAsia="Calibri"/>
          <w:szCs w:val="28"/>
        </w:rPr>
        <w:t xml:space="preserve">can be </w:t>
      </w:r>
      <w:r w:rsidR="007B2172" w:rsidRPr="004D7BAC">
        <w:rPr>
          <w:rFonts w:eastAsia="Calibri"/>
          <w:szCs w:val="28"/>
        </w:rPr>
        <w:lastRenderedPageBreak/>
        <w:t>found in</w:t>
      </w:r>
      <w:r w:rsidRPr="004D7BAC">
        <w:rPr>
          <w:rFonts w:eastAsia="Calibri"/>
          <w:szCs w:val="28"/>
        </w:rPr>
        <w:t xml:space="preserve"> section A of the annex to the 2018 remit and recommendations letter. </w:t>
      </w:r>
    </w:p>
    <w:p w14:paraId="60DC9008" w14:textId="77777777" w:rsidR="004D7BAC" w:rsidRDefault="004D7BAC" w:rsidP="003318AE">
      <w:pPr>
        <w:spacing w:after="160" w:line="256" w:lineRule="auto"/>
        <w:jc w:val="both"/>
        <w:rPr>
          <w:rFonts w:eastAsia="Calibri"/>
          <w:szCs w:val="28"/>
        </w:rPr>
      </w:pPr>
    </w:p>
    <w:p w14:paraId="5E0B5B92" w14:textId="5520A812" w:rsidR="003318AE" w:rsidRPr="004D7BAC" w:rsidRDefault="003318AE" w:rsidP="003318AE">
      <w:pPr>
        <w:spacing w:after="160" w:line="256" w:lineRule="auto"/>
        <w:jc w:val="both"/>
        <w:rPr>
          <w:rFonts w:eastAsia="Calibri"/>
          <w:szCs w:val="28"/>
        </w:rPr>
      </w:pPr>
      <w:r w:rsidRPr="004D7BAC">
        <w:rPr>
          <w:rFonts w:eastAsia="Calibri"/>
          <w:szCs w:val="28"/>
        </w:rPr>
        <w:t xml:space="preserve">The government is also committed to UK financial services being effectively regulated; securing the right balance between a financial sector that is globally competitive and secure over the long-term. The FPC’s main contribution to these goals is protecting and enhancing financial stability in the UK, working in tandem with the Prudential Regulation Authority (PRA) and Financial Conduct Authority (FCA). The government believes that a strong and stable financial system supports economic growth, facilitates the provision of finance to support the expansion of the economy’s productive capacity and underpins the UK’s position as an important global financial centre. I confirm that any recommendations made to the Committee about matters it should regard as relevant to its understanding of the Bank’s Financial Stability Objective and the Committee’s responsibility in relation to the achievement of that objective remain as stated in the 2018 remit and recommendations letter. </w:t>
      </w:r>
    </w:p>
    <w:p w14:paraId="59FBAC60" w14:textId="77777777" w:rsidR="004D7BAC" w:rsidRDefault="004D7BAC" w:rsidP="003318AE">
      <w:pPr>
        <w:spacing w:after="160" w:line="256" w:lineRule="auto"/>
        <w:jc w:val="both"/>
        <w:rPr>
          <w:rFonts w:eastAsia="Calibri"/>
          <w:szCs w:val="28"/>
        </w:rPr>
      </w:pPr>
      <w:bookmarkStart w:id="1" w:name="_Hlk23438910"/>
      <w:bookmarkEnd w:id="0"/>
    </w:p>
    <w:p w14:paraId="74C4D7A9" w14:textId="1F456DDB" w:rsidR="003318AE" w:rsidRPr="004D7BAC" w:rsidRDefault="003318AE" w:rsidP="003318AE">
      <w:pPr>
        <w:spacing w:after="160" w:line="256" w:lineRule="auto"/>
        <w:jc w:val="both"/>
        <w:rPr>
          <w:rFonts w:eastAsia="Calibri"/>
          <w:szCs w:val="28"/>
        </w:rPr>
      </w:pPr>
      <w:r w:rsidRPr="004D7BAC">
        <w:rPr>
          <w:rFonts w:eastAsia="Calibri"/>
          <w:szCs w:val="28"/>
        </w:rPr>
        <w:t>I am grateful for the FPC’s ongoing work, in accordance with its duties, to identify, monitor, and communicate</w:t>
      </w:r>
      <w:r w:rsidR="004D7BAC">
        <w:rPr>
          <w:rFonts w:eastAsia="Calibri"/>
          <w:szCs w:val="28"/>
        </w:rPr>
        <w:t xml:space="preserve"> </w:t>
      </w:r>
      <w:r w:rsidR="001C4E4E">
        <w:rPr>
          <w:rFonts w:eastAsia="Calibri"/>
          <w:szCs w:val="28"/>
        </w:rPr>
        <w:t xml:space="preserve">any </w:t>
      </w:r>
      <w:r w:rsidR="004D7BAC">
        <w:rPr>
          <w:rFonts w:eastAsia="Calibri"/>
          <w:szCs w:val="28"/>
        </w:rPr>
        <w:t>potential implications of Brexit for</w:t>
      </w:r>
      <w:r w:rsidRPr="004D7BAC">
        <w:rPr>
          <w:rFonts w:eastAsia="Calibri"/>
          <w:szCs w:val="28"/>
        </w:rPr>
        <w:t xml:space="preserve"> financial stability. This has been critical so that preparations can be </w:t>
      </w:r>
      <w:proofErr w:type="gramStart"/>
      <w:r w:rsidRPr="004D7BAC">
        <w:rPr>
          <w:rFonts w:eastAsia="Calibri"/>
          <w:szCs w:val="28"/>
        </w:rPr>
        <w:t>made</w:t>
      </w:r>
      <w:proofErr w:type="gramEnd"/>
      <w:r w:rsidRPr="004D7BAC">
        <w:rPr>
          <w:rFonts w:eastAsia="Calibri"/>
          <w:szCs w:val="28"/>
        </w:rPr>
        <w:t xml:space="preserve"> and actions taken to </w:t>
      </w:r>
      <w:r w:rsidR="004F0123" w:rsidRPr="004D7BAC">
        <w:rPr>
          <w:rFonts w:eastAsia="Calibri"/>
          <w:szCs w:val="28"/>
        </w:rPr>
        <w:t>manage the transition</w:t>
      </w:r>
      <w:r w:rsidRPr="004D7BAC">
        <w:rPr>
          <w:rFonts w:eastAsia="Calibri"/>
          <w:szCs w:val="28"/>
        </w:rPr>
        <w:t>. I welcome, in particular, the FPC’s judgement that most risks to UK financial stability from disruption to cross-border financial services in a no-deal Brexit have now been mitigated, and that the core of the UK financial system is resilient to, and prepared for, the wide range of risks it could face in such a scenario. It is vital that government and regulators continue to work together closely so that the we can ensure a smooth transition and maintain the UK’s position as the world’s leading provider of financial services</w:t>
      </w:r>
      <w:r w:rsidR="00375D0D" w:rsidRPr="004D7BAC">
        <w:rPr>
          <w:rFonts w:eastAsia="Calibri"/>
          <w:szCs w:val="28"/>
        </w:rPr>
        <w:t xml:space="preserve"> operating to the highest international standards</w:t>
      </w:r>
      <w:r w:rsidRPr="004D7BAC">
        <w:rPr>
          <w:rFonts w:eastAsia="Calibri"/>
          <w:szCs w:val="28"/>
        </w:rPr>
        <w:t xml:space="preserve">. </w:t>
      </w:r>
    </w:p>
    <w:bookmarkEnd w:id="1"/>
    <w:p w14:paraId="484BAD7D" w14:textId="77777777" w:rsidR="004D7BAC" w:rsidRDefault="004D7BAC" w:rsidP="003318AE">
      <w:pPr>
        <w:spacing w:after="160" w:line="256" w:lineRule="auto"/>
        <w:jc w:val="both"/>
        <w:rPr>
          <w:rFonts w:eastAsia="Calibri"/>
          <w:szCs w:val="28"/>
        </w:rPr>
      </w:pPr>
    </w:p>
    <w:p w14:paraId="13DD4792" w14:textId="2710BDBC" w:rsidR="003318AE" w:rsidRPr="004D7BAC" w:rsidRDefault="003318AE" w:rsidP="003318AE">
      <w:pPr>
        <w:spacing w:after="160" w:line="256" w:lineRule="auto"/>
        <w:jc w:val="both"/>
        <w:rPr>
          <w:rFonts w:eastAsia="Calibri"/>
          <w:szCs w:val="28"/>
        </w:rPr>
      </w:pPr>
      <w:r w:rsidRPr="004D7BAC">
        <w:rPr>
          <w:rFonts w:eastAsia="Calibri"/>
          <w:szCs w:val="28"/>
        </w:rPr>
        <w:t xml:space="preserve">Finally, I confirm that the FPC and the Monetary Policy Committee (MPC) should continue to have regard to each other’s actions, to enhance coordination between monetary and macroprudential policy. This coordination has enhanced the strength and resilience of the UK’s </w:t>
      </w:r>
      <w:r w:rsidRPr="004D7BAC">
        <w:rPr>
          <w:rFonts w:eastAsia="Calibri"/>
          <w:szCs w:val="28"/>
        </w:rPr>
        <w:lastRenderedPageBreak/>
        <w:t xml:space="preserve">macroeconomic framework. It has performed well through testing </w:t>
      </w:r>
      <w:proofErr w:type="gramStart"/>
      <w:r w:rsidRPr="004D7BAC">
        <w:rPr>
          <w:rFonts w:eastAsia="Calibri"/>
          <w:szCs w:val="28"/>
        </w:rPr>
        <w:t>times, and</w:t>
      </w:r>
      <w:proofErr w:type="gramEnd"/>
      <w:r w:rsidRPr="004D7BAC">
        <w:rPr>
          <w:rFonts w:eastAsia="Calibri"/>
          <w:szCs w:val="28"/>
        </w:rPr>
        <w:t xml:space="preserve"> is well-equipped to address future challenges.</w:t>
      </w:r>
    </w:p>
    <w:p w14:paraId="599DCCC2" w14:textId="77777777" w:rsidR="004D7BAC" w:rsidRDefault="004D7BAC" w:rsidP="003318AE">
      <w:pPr>
        <w:spacing w:after="160" w:line="256" w:lineRule="auto"/>
        <w:jc w:val="both"/>
        <w:rPr>
          <w:rFonts w:eastAsia="Calibri"/>
          <w:szCs w:val="28"/>
        </w:rPr>
      </w:pPr>
    </w:p>
    <w:p w14:paraId="63D2CD7F" w14:textId="40C455C9" w:rsidR="003318AE" w:rsidRPr="00A413AD" w:rsidRDefault="003318AE" w:rsidP="00A413AD">
      <w:pPr>
        <w:spacing w:after="160" w:line="256" w:lineRule="auto"/>
        <w:jc w:val="both"/>
        <w:rPr>
          <w:rFonts w:eastAsia="Calibri"/>
          <w:szCs w:val="28"/>
        </w:rPr>
      </w:pPr>
      <w:r w:rsidRPr="004D7BAC">
        <w:rPr>
          <w:rFonts w:eastAsia="Calibri"/>
          <w:szCs w:val="28"/>
        </w:rPr>
        <w:t xml:space="preserve">I am grateful to you and all the members of the Committee for your continuing good work and dedication. </w:t>
      </w:r>
    </w:p>
    <w:p w14:paraId="29225A61" w14:textId="25660B06" w:rsidR="003318AE" w:rsidRPr="004D7BAC" w:rsidRDefault="003318AE" w:rsidP="003318AE">
      <w:pPr>
        <w:spacing w:after="160" w:line="256" w:lineRule="auto"/>
        <w:jc w:val="center"/>
        <w:rPr>
          <w:rFonts w:eastAsia="Calibri"/>
          <w:b/>
          <w:caps/>
          <w:szCs w:val="28"/>
        </w:rPr>
      </w:pPr>
      <w:bookmarkStart w:id="2" w:name="_GoBack"/>
      <w:bookmarkEnd w:id="2"/>
    </w:p>
    <w:p w14:paraId="4F4B3E09" w14:textId="77777777" w:rsidR="003318AE" w:rsidRPr="004D7BAC" w:rsidRDefault="003318AE" w:rsidP="00A413AD">
      <w:pPr>
        <w:spacing w:after="160" w:line="256" w:lineRule="auto"/>
        <w:jc w:val="center"/>
        <w:rPr>
          <w:rFonts w:eastAsia="Calibri"/>
          <w:b/>
          <w:caps/>
          <w:szCs w:val="28"/>
        </w:rPr>
      </w:pPr>
      <w:r w:rsidRPr="004D7BAC">
        <w:rPr>
          <w:rFonts w:eastAsia="Calibri"/>
          <w:b/>
          <w:caps/>
          <w:szCs w:val="28"/>
        </w:rPr>
        <w:t>SAJID JAVID</w:t>
      </w:r>
    </w:p>
    <w:p w14:paraId="6279E5BA" w14:textId="6B9BC840" w:rsidR="00B00780" w:rsidRPr="003318AE" w:rsidRDefault="00B00780" w:rsidP="003318AE"/>
    <w:sectPr w:rsidR="00B00780" w:rsidRPr="003318A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C2C4" w14:textId="77777777" w:rsidR="00314B90" w:rsidRDefault="00314B90" w:rsidP="008E4F97">
      <w:pPr>
        <w:spacing w:after="0"/>
      </w:pPr>
      <w:r>
        <w:separator/>
      </w:r>
    </w:p>
  </w:endnote>
  <w:endnote w:type="continuationSeparator" w:id="0">
    <w:p w14:paraId="626C9A9A" w14:textId="77777777" w:rsidR="00314B90" w:rsidRDefault="00314B90" w:rsidP="008E4F97">
      <w:pPr>
        <w:spacing w:after="0"/>
      </w:pPr>
      <w:r>
        <w:continuationSeparator/>
      </w:r>
    </w:p>
  </w:endnote>
  <w:endnote w:type="continuationNotice" w:id="1">
    <w:p w14:paraId="2876A705" w14:textId="77777777" w:rsidR="00314B90" w:rsidRDefault="00314B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9983" w14:textId="77777777" w:rsidR="00636BBC" w:rsidRDefault="0063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F6FB" w14:textId="77777777" w:rsidR="00636BBC" w:rsidRDefault="0063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435B" w14:textId="77777777" w:rsidR="00636BBC" w:rsidRDefault="0063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CE73" w14:textId="77777777" w:rsidR="00314B90" w:rsidRDefault="00314B90" w:rsidP="008E4F97">
      <w:pPr>
        <w:spacing w:after="0"/>
      </w:pPr>
      <w:r>
        <w:separator/>
      </w:r>
    </w:p>
  </w:footnote>
  <w:footnote w:type="continuationSeparator" w:id="0">
    <w:p w14:paraId="72C0723E" w14:textId="77777777" w:rsidR="00314B90" w:rsidRDefault="00314B90" w:rsidP="008E4F97">
      <w:pPr>
        <w:spacing w:after="0"/>
      </w:pPr>
      <w:r>
        <w:continuationSeparator/>
      </w:r>
    </w:p>
  </w:footnote>
  <w:footnote w:type="continuationNotice" w:id="1">
    <w:p w14:paraId="7B0B6620" w14:textId="77777777" w:rsidR="00314B90" w:rsidRDefault="00314B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BE9E" w14:textId="77777777" w:rsidR="00636BBC" w:rsidRDefault="0063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5D37" w14:textId="77777777" w:rsidR="009C6A34" w:rsidRDefault="009C6A34" w:rsidP="008004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42E1" w14:textId="77777777" w:rsidR="00636BBC" w:rsidRDefault="0063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D64"/>
    <w:multiLevelType w:val="hybridMultilevel"/>
    <w:tmpl w:val="575C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60C"/>
    <w:multiLevelType w:val="hybridMultilevel"/>
    <w:tmpl w:val="F202FD3A"/>
    <w:lvl w:ilvl="0" w:tplc="4A3089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37D6F"/>
    <w:multiLevelType w:val="hybridMultilevel"/>
    <w:tmpl w:val="B1BC1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C25"/>
    <w:multiLevelType w:val="hybridMultilevel"/>
    <w:tmpl w:val="068EF594"/>
    <w:lvl w:ilvl="0" w:tplc="2FC4C9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17239"/>
    <w:multiLevelType w:val="hybridMultilevel"/>
    <w:tmpl w:val="89F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C7E"/>
    <w:multiLevelType w:val="hybridMultilevel"/>
    <w:tmpl w:val="D9A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B4266"/>
    <w:multiLevelType w:val="hybridMultilevel"/>
    <w:tmpl w:val="16C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B18FE"/>
    <w:multiLevelType w:val="hybridMultilevel"/>
    <w:tmpl w:val="E27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81C5D"/>
    <w:multiLevelType w:val="multilevel"/>
    <w:tmpl w:val="CAAA8F12"/>
    <w:lvl w:ilvl="0">
      <w:start w:val="1"/>
      <w:numFmt w:val="bullet"/>
      <w:pStyle w:val="ListBullet"/>
      <w:lvlText w:val=""/>
      <w:lvlJc w:val="left"/>
      <w:pPr>
        <w:tabs>
          <w:tab w:val="num" w:pos="1191"/>
        </w:tabs>
        <w:ind w:left="1191" w:hanging="454"/>
      </w:pPr>
      <w:rPr>
        <w:rFonts w:ascii="Symbol" w:hAnsi="Symbol" w:hint="default"/>
        <w:color w:val="auto"/>
        <w:sz w:val="16"/>
        <w:szCs w:val="16"/>
      </w:rPr>
    </w:lvl>
    <w:lvl w:ilvl="1">
      <w:start w:val="1"/>
      <w:numFmt w:val="bullet"/>
      <w:pStyle w:val="ListBullet2"/>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lvl>
    <w:lvl w:ilvl="4">
      <w:start w:val="1"/>
      <w:numFmt w:val="lowerLetter"/>
      <w:lvlText w:val="(%5)"/>
      <w:lvlJc w:val="left"/>
      <w:pPr>
        <w:tabs>
          <w:tab w:val="num" w:pos="2537"/>
        </w:tabs>
        <w:ind w:left="2537" w:hanging="360"/>
      </w:pPr>
    </w:lvl>
    <w:lvl w:ilvl="5">
      <w:start w:val="1"/>
      <w:numFmt w:val="lowerRoman"/>
      <w:lvlText w:val="(%6)"/>
      <w:lvlJc w:val="left"/>
      <w:pPr>
        <w:tabs>
          <w:tab w:val="num" w:pos="2897"/>
        </w:tabs>
        <w:ind w:left="2897" w:hanging="360"/>
      </w:pPr>
    </w:lvl>
    <w:lvl w:ilvl="6">
      <w:start w:val="1"/>
      <w:numFmt w:val="decimal"/>
      <w:lvlText w:val="%7."/>
      <w:lvlJc w:val="left"/>
      <w:pPr>
        <w:tabs>
          <w:tab w:val="num" w:pos="3257"/>
        </w:tabs>
        <w:ind w:left="3257" w:hanging="360"/>
      </w:pPr>
    </w:lvl>
    <w:lvl w:ilvl="7">
      <w:start w:val="1"/>
      <w:numFmt w:val="lowerLetter"/>
      <w:lvlText w:val="%8."/>
      <w:lvlJc w:val="left"/>
      <w:pPr>
        <w:tabs>
          <w:tab w:val="num" w:pos="3617"/>
        </w:tabs>
        <w:ind w:left="3617" w:hanging="360"/>
      </w:pPr>
    </w:lvl>
    <w:lvl w:ilvl="8">
      <w:start w:val="1"/>
      <w:numFmt w:val="lowerRoman"/>
      <w:lvlText w:val="%9."/>
      <w:lvlJc w:val="left"/>
      <w:pPr>
        <w:tabs>
          <w:tab w:val="num" w:pos="3977"/>
        </w:tabs>
        <w:ind w:left="3977" w:hanging="360"/>
      </w:pPr>
    </w:lvl>
  </w:abstractNum>
  <w:abstractNum w:abstractNumId="9" w15:restartNumberingAfterBreak="0">
    <w:nsid w:val="321928D9"/>
    <w:multiLevelType w:val="hybridMultilevel"/>
    <w:tmpl w:val="A2344698"/>
    <w:lvl w:ilvl="0" w:tplc="C5BE9CE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031D5"/>
    <w:multiLevelType w:val="hybridMultilevel"/>
    <w:tmpl w:val="CA56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96D1D"/>
    <w:multiLevelType w:val="hybridMultilevel"/>
    <w:tmpl w:val="A274E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66D3"/>
    <w:multiLevelType w:val="hybridMultilevel"/>
    <w:tmpl w:val="E88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A7AC5"/>
    <w:multiLevelType w:val="hybridMultilevel"/>
    <w:tmpl w:val="60B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5B20"/>
    <w:multiLevelType w:val="hybridMultilevel"/>
    <w:tmpl w:val="726AAD64"/>
    <w:lvl w:ilvl="0" w:tplc="73641E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D467E"/>
    <w:multiLevelType w:val="hybridMultilevel"/>
    <w:tmpl w:val="09B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8733C"/>
    <w:multiLevelType w:val="hybridMultilevel"/>
    <w:tmpl w:val="C02A9EBE"/>
    <w:lvl w:ilvl="0" w:tplc="B6EC1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718A4"/>
    <w:multiLevelType w:val="hybridMultilevel"/>
    <w:tmpl w:val="DCA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A5AF1"/>
    <w:multiLevelType w:val="hybridMultilevel"/>
    <w:tmpl w:val="23EEA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F32AEC"/>
    <w:multiLevelType w:val="hybridMultilevel"/>
    <w:tmpl w:val="D86C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6"/>
  </w:num>
  <w:num w:numId="5">
    <w:abstractNumId w:val="17"/>
  </w:num>
  <w:num w:numId="6">
    <w:abstractNumId w:val="15"/>
  </w:num>
  <w:num w:numId="7">
    <w:abstractNumId w:val="12"/>
  </w:num>
  <w:num w:numId="8">
    <w:abstractNumId w:val="11"/>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0"/>
  </w:num>
  <w:num w:numId="13">
    <w:abstractNumId w:val="18"/>
  </w:num>
  <w:num w:numId="14">
    <w:abstractNumId w:val="13"/>
  </w:num>
  <w:num w:numId="15">
    <w:abstractNumId w:val="10"/>
  </w:num>
  <w:num w:numId="16">
    <w:abstractNumId w:val="3"/>
  </w:num>
  <w:num w:numId="17">
    <w:abstractNumId w:val="1"/>
  </w:num>
  <w:num w:numId="18">
    <w:abstractNumId w:val="14"/>
  </w:num>
  <w:num w:numId="19">
    <w:abstractNumId w:val="16"/>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03"/>
    <w:rsid w:val="000167B2"/>
    <w:rsid w:val="00016ACC"/>
    <w:rsid w:val="000235E7"/>
    <w:rsid w:val="00023DB6"/>
    <w:rsid w:val="0002597D"/>
    <w:rsid w:val="00032368"/>
    <w:rsid w:val="0003613F"/>
    <w:rsid w:val="00040C2F"/>
    <w:rsid w:val="00041CCE"/>
    <w:rsid w:val="00050E63"/>
    <w:rsid w:val="00050EF2"/>
    <w:rsid w:val="00060F60"/>
    <w:rsid w:val="0006378B"/>
    <w:rsid w:val="0006735A"/>
    <w:rsid w:val="000712DD"/>
    <w:rsid w:val="00085D8C"/>
    <w:rsid w:val="00087DEC"/>
    <w:rsid w:val="000B23D4"/>
    <w:rsid w:val="000B2C27"/>
    <w:rsid w:val="000B4EB7"/>
    <w:rsid w:val="000C0EB7"/>
    <w:rsid w:val="000C5BBB"/>
    <w:rsid w:val="000D1CE2"/>
    <w:rsid w:val="000D4C40"/>
    <w:rsid w:val="000E0683"/>
    <w:rsid w:val="000E267B"/>
    <w:rsid w:val="000E53A5"/>
    <w:rsid w:val="000E5FDD"/>
    <w:rsid w:val="000F1F6B"/>
    <w:rsid w:val="000F3C8D"/>
    <w:rsid w:val="000F7821"/>
    <w:rsid w:val="00100589"/>
    <w:rsid w:val="00110941"/>
    <w:rsid w:val="00114DF3"/>
    <w:rsid w:val="00115D30"/>
    <w:rsid w:val="00123808"/>
    <w:rsid w:val="001273C5"/>
    <w:rsid w:val="00127F12"/>
    <w:rsid w:val="00137913"/>
    <w:rsid w:val="001611A0"/>
    <w:rsid w:val="00163C14"/>
    <w:rsid w:val="001719F9"/>
    <w:rsid w:val="001764BC"/>
    <w:rsid w:val="0018091A"/>
    <w:rsid w:val="00181CED"/>
    <w:rsid w:val="001829F1"/>
    <w:rsid w:val="00182F80"/>
    <w:rsid w:val="001A38BB"/>
    <w:rsid w:val="001C065C"/>
    <w:rsid w:val="001C3C15"/>
    <w:rsid w:val="001C4E4E"/>
    <w:rsid w:val="001C515B"/>
    <w:rsid w:val="001C61DB"/>
    <w:rsid w:val="001D6FB4"/>
    <w:rsid w:val="00204DB2"/>
    <w:rsid w:val="00207BDF"/>
    <w:rsid w:val="00236602"/>
    <w:rsid w:val="00236FE4"/>
    <w:rsid w:val="002426FF"/>
    <w:rsid w:val="00252082"/>
    <w:rsid w:val="002527A0"/>
    <w:rsid w:val="0025493B"/>
    <w:rsid w:val="00262EFE"/>
    <w:rsid w:val="002761A2"/>
    <w:rsid w:val="00283585"/>
    <w:rsid w:val="00286649"/>
    <w:rsid w:val="002869AF"/>
    <w:rsid w:val="002873E5"/>
    <w:rsid w:val="00291351"/>
    <w:rsid w:val="00292D6C"/>
    <w:rsid w:val="002A5EA8"/>
    <w:rsid w:val="002B435A"/>
    <w:rsid w:val="002C14B6"/>
    <w:rsid w:val="002C2A3D"/>
    <w:rsid w:val="002C5A5B"/>
    <w:rsid w:val="002D5F74"/>
    <w:rsid w:val="002E1850"/>
    <w:rsid w:val="00301B48"/>
    <w:rsid w:val="00313B8E"/>
    <w:rsid w:val="00314B90"/>
    <w:rsid w:val="00314CE9"/>
    <w:rsid w:val="00315A6D"/>
    <w:rsid w:val="003318AE"/>
    <w:rsid w:val="00335E12"/>
    <w:rsid w:val="00337A79"/>
    <w:rsid w:val="003456AA"/>
    <w:rsid w:val="0035402A"/>
    <w:rsid w:val="003564A0"/>
    <w:rsid w:val="00360E63"/>
    <w:rsid w:val="00366880"/>
    <w:rsid w:val="00375D0D"/>
    <w:rsid w:val="00380F04"/>
    <w:rsid w:val="003813C7"/>
    <w:rsid w:val="00392685"/>
    <w:rsid w:val="0039387D"/>
    <w:rsid w:val="0039527F"/>
    <w:rsid w:val="003A2755"/>
    <w:rsid w:val="003A3E92"/>
    <w:rsid w:val="003B1D79"/>
    <w:rsid w:val="003C2E60"/>
    <w:rsid w:val="003C3238"/>
    <w:rsid w:val="003C7CCF"/>
    <w:rsid w:val="003D05EE"/>
    <w:rsid w:val="003D408E"/>
    <w:rsid w:val="003E0DCA"/>
    <w:rsid w:val="003F0482"/>
    <w:rsid w:val="003F162D"/>
    <w:rsid w:val="003F53B3"/>
    <w:rsid w:val="00410559"/>
    <w:rsid w:val="00415D46"/>
    <w:rsid w:val="004176B0"/>
    <w:rsid w:val="0044061D"/>
    <w:rsid w:val="00450820"/>
    <w:rsid w:val="00451066"/>
    <w:rsid w:val="00460665"/>
    <w:rsid w:val="00470C64"/>
    <w:rsid w:val="00483181"/>
    <w:rsid w:val="004927C8"/>
    <w:rsid w:val="00492D4F"/>
    <w:rsid w:val="004A3A4D"/>
    <w:rsid w:val="004A58B4"/>
    <w:rsid w:val="004A67C5"/>
    <w:rsid w:val="004B37A1"/>
    <w:rsid w:val="004B46C1"/>
    <w:rsid w:val="004C3712"/>
    <w:rsid w:val="004D6394"/>
    <w:rsid w:val="004D7BAC"/>
    <w:rsid w:val="004E7EF2"/>
    <w:rsid w:val="004F0123"/>
    <w:rsid w:val="00501C30"/>
    <w:rsid w:val="005033A7"/>
    <w:rsid w:val="00511103"/>
    <w:rsid w:val="00520307"/>
    <w:rsid w:val="00523280"/>
    <w:rsid w:val="00525969"/>
    <w:rsid w:val="00533B80"/>
    <w:rsid w:val="005421FC"/>
    <w:rsid w:val="005534E3"/>
    <w:rsid w:val="00565E8C"/>
    <w:rsid w:val="0056729D"/>
    <w:rsid w:val="0056761C"/>
    <w:rsid w:val="00574998"/>
    <w:rsid w:val="005754A1"/>
    <w:rsid w:val="00576B3A"/>
    <w:rsid w:val="00583E82"/>
    <w:rsid w:val="005871B0"/>
    <w:rsid w:val="005A7E19"/>
    <w:rsid w:val="005B0603"/>
    <w:rsid w:val="005B3598"/>
    <w:rsid w:val="005B5F16"/>
    <w:rsid w:val="005C0A00"/>
    <w:rsid w:val="005C4520"/>
    <w:rsid w:val="005D121A"/>
    <w:rsid w:val="005D460A"/>
    <w:rsid w:val="005F1FC4"/>
    <w:rsid w:val="006007A7"/>
    <w:rsid w:val="00603D91"/>
    <w:rsid w:val="00606717"/>
    <w:rsid w:val="0061658A"/>
    <w:rsid w:val="006261D2"/>
    <w:rsid w:val="00630241"/>
    <w:rsid w:val="00636BBC"/>
    <w:rsid w:val="0065558F"/>
    <w:rsid w:val="00656E88"/>
    <w:rsid w:val="0066434E"/>
    <w:rsid w:val="0066659C"/>
    <w:rsid w:val="006728BC"/>
    <w:rsid w:val="00674C19"/>
    <w:rsid w:val="0067661E"/>
    <w:rsid w:val="0069364F"/>
    <w:rsid w:val="00693ADA"/>
    <w:rsid w:val="00697473"/>
    <w:rsid w:val="006B20E5"/>
    <w:rsid w:val="006B25CF"/>
    <w:rsid w:val="006B3DF8"/>
    <w:rsid w:val="006B649E"/>
    <w:rsid w:val="006C7B24"/>
    <w:rsid w:val="006D613F"/>
    <w:rsid w:val="006E553E"/>
    <w:rsid w:val="006F1F3F"/>
    <w:rsid w:val="006F3646"/>
    <w:rsid w:val="00700327"/>
    <w:rsid w:val="007020CD"/>
    <w:rsid w:val="0070306D"/>
    <w:rsid w:val="00725287"/>
    <w:rsid w:val="0074200E"/>
    <w:rsid w:val="00743305"/>
    <w:rsid w:val="007463C8"/>
    <w:rsid w:val="007509F7"/>
    <w:rsid w:val="00751218"/>
    <w:rsid w:val="00755FFA"/>
    <w:rsid w:val="0076503E"/>
    <w:rsid w:val="0076619A"/>
    <w:rsid w:val="00771A23"/>
    <w:rsid w:val="00781734"/>
    <w:rsid w:val="007828BC"/>
    <w:rsid w:val="00784C14"/>
    <w:rsid w:val="007A2273"/>
    <w:rsid w:val="007A5FFF"/>
    <w:rsid w:val="007A7E68"/>
    <w:rsid w:val="007B2172"/>
    <w:rsid w:val="007B2483"/>
    <w:rsid w:val="007B36FF"/>
    <w:rsid w:val="007C06C1"/>
    <w:rsid w:val="007C27F0"/>
    <w:rsid w:val="007D1F1A"/>
    <w:rsid w:val="007D2174"/>
    <w:rsid w:val="007D3357"/>
    <w:rsid w:val="007D5AA1"/>
    <w:rsid w:val="007E1BD6"/>
    <w:rsid w:val="007F008C"/>
    <w:rsid w:val="008004B9"/>
    <w:rsid w:val="00801F17"/>
    <w:rsid w:val="0080527A"/>
    <w:rsid w:val="008419E3"/>
    <w:rsid w:val="008527EA"/>
    <w:rsid w:val="00861916"/>
    <w:rsid w:val="008826B3"/>
    <w:rsid w:val="008837B6"/>
    <w:rsid w:val="008917B4"/>
    <w:rsid w:val="008927FA"/>
    <w:rsid w:val="008A0151"/>
    <w:rsid w:val="008A51A9"/>
    <w:rsid w:val="008B17D8"/>
    <w:rsid w:val="008B1EFB"/>
    <w:rsid w:val="008B24D6"/>
    <w:rsid w:val="008B4F95"/>
    <w:rsid w:val="008B600F"/>
    <w:rsid w:val="008B7AF0"/>
    <w:rsid w:val="008C1E23"/>
    <w:rsid w:val="008C6F0D"/>
    <w:rsid w:val="008D1ED7"/>
    <w:rsid w:val="008E4F97"/>
    <w:rsid w:val="008E685D"/>
    <w:rsid w:val="008F4342"/>
    <w:rsid w:val="009076EC"/>
    <w:rsid w:val="00910261"/>
    <w:rsid w:val="00910CC8"/>
    <w:rsid w:val="00912182"/>
    <w:rsid w:val="009128C2"/>
    <w:rsid w:val="00921F2B"/>
    <w:rsid w:val="00924B62"/>
    <w:rsid w:val="00935C6A"/>
    <w:rsid w:val="009423B6"/>
    <w:rsid w:val="00952284"/>
    <w:rsid w:val="00960FF8"/>
    <w:rsid w:val="00982788"/>
    <w:rsid w:val="00996F89"/>
    <w:rsid w:val="009B2F1C"/>
    <w:rsid w:val="009B3575"/>
    <w:rsid w:val="009C6A34"/>
    <w:rsid w:val="009D6DD9"/>
    <w:rsid w:val="009F5B2E"/>
    <w:rsid w:val="00A0589B"/>
    <w:rsid w:val="00A1295A"/>
    <w:rsid w:val="00A145B5"/>
    <w:rsid w:val="00A145C5"/>
    <w:rsid w:val="00A16A95"/>
    <w:rsid w:val="00A16E20"/>
    <w:rsid w:val="00A2504C"/>
    <w:rsid w:val="00A265EA"/>
    <w:rsid w:val="00A30CD3"/>
    <w:rsid w:val="00A32206"/>
    <w:rsid w:val="00A32E90"/>
    <w:rsid w:val="00A35DA6"/>
    <w:rsid w:val="00A413AD"/>
    <w:rsid w:val="00A42E97"/>
    <w:rsid w:val="00A446E4"/>
    <w:rsid w:val="00A5325A"/>
    <w:rsid w:val="00A645A6"/>
    <w:rsid w:val="00A6502A"/>
    <w:rsid w:val="00A670BC"/>
    <w:rsid w:val="00A714D8"/>
    <w:rsid w:val="00A776B5"/>
    <w:rsid w:val="00AA1DDA"/>
    <w:rsid w:val="00AA76CB"/>
    <w:rsid w:val="00AB2AD6"/>
    <w:rsid w:val="00AD2F31"/>
    <w:rsid w:val="00AD3AA6"/>
    <w:rsid w:val="00AE0D80"/>
    <w:rsid w:val="00AE4C52"/>
    <w:rsid w:val="00AF27BC"/>
    <w:rsid w:val="00AF795D"/>
    <w:rsid w:val="00B00780"/>
    <w:rsid w:val="00B21CF3"/>
    <w:rsid w:val="00B26C7E"/>
    <w:rsid w:val="00B314D7"/>
    <w:rsid w:val="00B45CF5"/>
    <w:rsid w:val="00B469EC"/>
    <w:rsid w:val="00B52504"/>
    <w:rsid w:val="00B53C11"/>
    <w:rsid w:val="00B54B1E"/>
    <w:rsid w:val="00B76D9F"/>
    <w:rsid w:val="00B76EB8"/>
    <w:rsid w:val="00B81BFE"/>
    <w:rsid w:val="00B85B14"/>
    <w:rsid w:val="00B85BC3"/>
    <w:rsid w:val="00B938BB"/>
    <w:rsid w:val="00B95B93"/>
    <w:rsid w:val="00BB4741"/>
    <w:rsid w:val="00BD1FCA"/>
    <w:rsid w:val="00BD4186"/>
    <w:rsid w:val="00C10675"/>
    <w:rsid w:val="00C1201F"/>
    <w:rsid w:val="00C13CB3"/>
    <w:rsid w:val="00C147CB"/>
    <w:rsid w:val="00C220BE"/>
    <w:rsid w:val="00C31EA6"/>
    <w:rsid w:val="00C45A62"/>
    <w:rsid w:val="00C6066B"/>
    <w:rsid w:val="00C62270"/>
    <w:rsid w:val="00C62629"/>
    <w:rsid w:val="00C672A1"/>
    <w:rsid w:val="00C7029B"/>
    <w:rsid w:val="00C71FE1"/>
    <w:rsid w:val="00C72552"/>
    <w:rsid w:val="00C7451A"/>
    <w:rsid w:val="00C75638"/>
    <w:rsid w:val="00C811A2"/>
    <w:rsid w:val="00C97073"/>
    <w:rsid w:val="00CA509F"/>
    <w:rsid w:val="00CA561E"/>
    <w:rsid w:val="00CC4C4E"/>
    <w:rsid w:val="00CC514D"/>
    <w:rsid w:val="00CD2850"/>
    <w:rsid w:val="00CE2014"/>
    <w:rsid w:val="00CE5F2E"/>
    <w:rsid w:val="00CE5F54"/>
    <w:rsid w:val="00CF28BA"/>
    <w:rsid w:val="00CF3589"/>
    <w:rsid w:val="00CF547C"/>
    <w:rsid w:val="00CF6D2E"/>
    <w:rsid w:val="00CF7085"/>
    <w:rsid w:val="00D0557C"/>
    <w:rsid w:val="00D175F2"/>
    <w:rsid w:val="00D21D4E"/>
    <w:rsid w:val="00D26E33"/>
    <w:rsid w:val="00D34506"/>
    <w:rsid w:val="00D36A1C"/>
    <w:rsid w:val="00D41893"/>
    <w:rsid w:val="00D43B11"/>
    <w:rsid w:val="00D45A2D"/>
    <w:rsid w:val="00D47E2A"/>
    <w:rsid w:val="00D56267"/>
    <w:rsid w:val="00D60F8D"/>
    <w:rsid w:val="00D75DD1"/>
    <w:rsid w:val="00D77649"/>
    <w:rsid w:val="00DB7767"/>
    <w:rsid w:val="00DC0C5E"/>
    <w:rsid w:val="00DC4618"/>
    <w:rsid w:val="00DC646F"/>
    <w:rsid w:val="00DD25DA"/>
    <w:rsid w:val="00DE22FF"/>
    <w:rsid w:val="00DE311E"/>
    <w:rsid w:val="00DE5D59"/>
    <w:rsid w:val="00DF2C6F"/>
    <w:rsid w:val="00DF6F93"/>
    <w:rsid w:val="00DF7DBE"/>
    <w:rsid w:val="00E15F3E"/>
    <w:rsid w:val="00E27840"/>
    <w:rsid w:val="00E30051"/>
    <w:rsid w:val="00E33967"/>
    <w:rsid w:val="00E434B9"/>
    <w:rsid w:val="00E455B6"/>
    <w:rsid w:val="00E51A5F"/>
    <w:rsid w:val="00E65D27"/>
    <w:rsid w:val="00E70B46"/>
    <w:rsid w:val="00E71E05"/>
    <w:rsid w:val="00E841FB"/>
    <w:rsid w:val="00E84DDF"/>
    <w:rsid w:val="00E94B88"/>
    <w:rsid w:val="00EA7DB6"/>
    <w:rsid w:val="00EB0C24"/>
    <w:rsid w:val="00EB5684"/>
    <w:rsid w:val="00EC2A55"/>
    <w:rsid w:val="00ED2127"/>
    <w:rsid w:val="00EE2C7F"/>
    <w:rsid w:val="00EF1E6E"/>
    <w:rsid w:val="00EF51C7"/>
    <w:rsid w:val="00F00DF2"/>
    <w:rsid w:val="00F13026"/>
    <w:rsid w:val="00F204A8"/>
    <w:rsid w:val="00F24E9A"/>
    <w:rsid w:val="00F26DD5"/>
    <w:rsid w:val="00F2780C"/>
    <w:rsid w:val="00F41664"/>
    <w:rsid w:val="00F46E9C"/>
    <w:rsid w:val="00F500B1"/>
    <w:rsid w:val="00F516F4"/>
    <w:rsid w:val="00F54176"/>
    <w:rsid w:val="00F541BF"/>
    <w:rsid w:val="00F64DD2"/>
    <w:rsid w:val="00F819E8"/>
    <w:rsid w:val="00F87029"/>
    <w:rsid w:val="00FA3855"/>
    <w:rsid w:val="00FA56E5"/>
    <w:rsid w:val="00FB47D0"/>
    <w:rsid w:val="00FC22FC"/>
    <w:rsid w:val="00FC2565"/>
    <w:rsid w:val="00FD730D"/>
    <w:rsid w:val="00FE3BC8"/>
    <w:rsid w:val="00FE47C2"/>
    <w:rsid w:val="00FF5B65"/>
    <w:rsid w:val="00FF79CB"/>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A6338"/>
  <w15:docId w15:val="{953A8ABF-A1C7-4034-89B0-B5F460D1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AE"/>
    <w:pPr>
      <w:spacing w:after="120" w:line="240" w:lineRule="auto"/>
    </w:pPr>
    <w:rPr>
      <w:rFonts w:ascii="Humnst777 Lt BT" w:eastAsia="Times New Roman" w:hAnsi="Humnst777 Lt B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03"/>
    <w:pPr>
      <w:ind w:left="720"/>
      <w:contextualSpacing/>
    </w:pPr>
  </w:style>
  <w:style w:type="paragraph" w:styleId="ListBullet">
    <w:name w:val="List Bullet"/>
    <w:basedOn w:val="Normal"/>
    <w:uiPriority w:val="99"/>
    <w:unhideWhenUsed/>
    <w:rsid w:val="00F819E8"/>
    <w:pPr>
      <w:numPr>
        <w:numId w:val="9"/>
      </w:numPr>
      <w:spacing w:after="165" w:line="280" w:lineRule="atLeast"/>
    </w:pPr>
    <w:rPr>
      <w:lang w:eastAsia="en-GB"/>
    </w:rPr>
  </w:style>
  <w:style w:type="paragraph" w:styleId="ListBullet2">
    <w:name w:val="List Bullet 2"/>
    <w:basedOn w:val="Normal"/>
    <w:uiPriority w:val="99"/>
    <w:semiHidden/>
    <w:unhideWhenUsed/>
    <w:rsid w:val="00511103"/>
    <w:pPr>
      <w:numPr>
        <w:ilvl w:val="1"/>
        <w:numId w:val="9"/>
      </w:numPr>
      <w:spacing w:after="165" w:line="280" w:lineRule="atLeast"/>
    </w:pPr>
    <w:rPr>
      <w:lang w:eastAsia="en-GB"/>
    </w:rPr>
  </w:style>
  <w:style w:type="paragraph" w:styleId="ListBullet3">
    <w:name w:val="List Bullet 3"/>
    <w:basedOn w:val="Normal"/>
    <w:uiPriority w:val="99"/>
    <w:semiHidden/>
    <w:unhideWhenUsed/>
    <w:rsid w:val="00511103"/>
    <w:pPr>
      <w:numPr>
        <w:ilvl w:val="2"/>
        <w:numId w:val="9"/>
      </w:numPr>
      <w:spacing w:after="165" w:line="280" w:lineRule="atLeast"/>
    </w:pPr>
    <w:rPr>
      <w:lang w:eastAsia="en-GB"/>
    </w:rPr>
  </w:style>
  <w:style w:type="paragraph" w:styleId="BodyText3">
    <w:name w:val="Body Text 3"/>
    <w:basedOn w:val="Normal"/>
    <w:link w:val="BodyText3Char"/>
    <w:uiPriority w:val="99"/>
    <w:semiHidden/>
    <w:unhideWhenUsed/>
    <w:rsid w:val="00511103"/>
    <w:pPr>
      <w:spacing w:after="165" w:line="280" w:lineRule="atLeast"/>
    </w:pPr>
    <w:rPr>
      <w:lang w:eastAsia="en-GB"/>
    </w:rPr>
  </w:style>
  <w:style w:type="character" w:customStyle="1" w:styleId="BodyText3Char">
    <w:name w:val="Body Text 3 Char"/>
    <w:basedOn w:val="DefaultParagraphFont"/>
    <w:link w:val="BodyText3"/>
    <w:uiPriority w:val="99"/>
    <w:semiHidden/>
    <w:rsid w:val="00511103"/>
    <w:rPr>
      <w:rFonts w:ascii="Humnst777 Lt BT" w:hAnsi="Humnst777 Lt BT" w:cs="Times New Roman"/>
      <w:lang w:eastAsia="en-GB"/>
    </w:rPr>
  </w:style>
  <w:style w:type="character" w:styleId="CommentReference">
    <w:name w:val="annotation reference"/>
    <w:basedOn w:val="DefaultParagraphFont"/>
    <w:uiPriority w:val="99"/>
    <w:semiHidden/>
    <w:unhideWhenUsed/>
    <w:rsid w:val="004B37A1"/>
    <w:rPr>
      <w:sz w:val="16"/>
      <w:szCs w:val="16"/>
    </w:rPr>
  </w:style>
  <w:style w:type="paragraph" w:styleId="CommentText">
    <w:name w:val="annotation text"/>
    <w:basedOn w:val="Normal"/>
    <w:link w:val="CommentTextChar"/>
    <w:uiPriority w:val="99"/>
    <w:unhideWhenUsed/>
    <w:rsid w:val="00F819E8"/>
    <w:rPr>
      <w:sz w:val="20"/>
      <w:szCs w:val="20"/>
    </w:rPr>
  </w:style>
  <w:style w:type="character" w:customStyle="1" w:styleId="CommentTextChar">
    <w:name w:val="Comment Text Char"/>
    <w:basedOn w:val="DefaultParagraphFont"/>
    <w:link w:val="CommentText"/>
    <w:uiPriority w:val="99"/>
    <w:rsid w:val="004B37A1"/>
    <w:rPr>
      <w:sz w:val="20"/>
      <w:szCs w:val="20"/>
    </w:rPr>
  </w:style>
  <w:style w:type="paragraph" w:styleId="CommentSubject">
    <w:name w:val="annotation subject"/>
    <w:basedOn w:val="CommentText"/>
    <w:next w:val="CommentText"/>
    <w:link w:val="CommentSubjectChar"/>
    <w:uiPriority w:val="99"/>
    <w:semiHidden/>
    <w:unhideWhenUsed/>
    <w:rsid w:val="004B37A1"/>
    <w:rPr>
      <w:b/>
      <w:bCs/>
    </w:rPr>
  </w:style>
  <w:style w:type="character" w:customStyle="1" w:styleId="CommentSubjectChar">
    <w:name w:val="Comment Subject Char"/>
    <w:basedOn w:val="CommentTextChar"/>
    <w:link w:val="CommentSubject"/>
    <w:uiPriority w:val="99"/>
    <w:semiHidden/>
    <w:rsid w:val="004B37A1"/>
    <w:rPr>
      <w:b/>
      <w:bCs/>
      <w:sz w:val="20"/>
      <w:szCs w:val="20"/>
    </w:rPr>
  </w:style>
  <w:style w:type="paragraph" w:styleId="BalloonText">
    <w:name w:val="Balloon Text"/>
    <w:basedOn w:val="Normal"/>
    <w:link w:val="BalloonTextChar"/>
    <w:uiPriority w:val="99"/>
    <w:semiHidden/>
    <w:unhideWhenUsed/>
    <w:rsid w:val="004B37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A1"/>
    <w:rPr>
      <w:rFonts w:ascii="Segoe UI" w:hAnsi="Segoe UI" w:cs="Segoe UI"/>
      <w:sz w:val="18"/>
      <w:szCs w:val="18"/>
    </w:rPr>
  </w:style>
  <w:style w:type="paragraph" w:styleId="Revision">
    <w:name w:val="Revision"/>
    <w:hidden/>
    <w:uiPriority w:val="99"/>
    <w:semiHidden/>
    <w:rsid w:val="007509F7"/>
    <w:pPr>
      <w:spacing w:after="0" w:line="240" w:lineRule="auto"/>
    </w:pPr>
  </w:style>
  <w:style w:type="paragraph" w:styleId="Header">
    <w:name w:val="header"/>
    <w:basedOn w:val="Normal"/>
    <w:link w:val="HeaderChar"/>
    <w:uiPriority w:val="99"/>
    <w:unhideWhenUsed/>
    <w:rsid w:val="008E4F97"/>
    <w:pPr>
      <w:tabs>
        <w:tab w:val="center" w:pos="4513"/>
        <w:tab w:val="right" w:pos="9026"/>
      </w:tabs>
      <w:spacing w:after="0"/>
    </w:pPr>
  </w:style>
  <w:style w:type="character" w:customStyle="1" w:styleId="HeaderChar">
    <w:name w:val="Header Char"/>
    <w:basedOn w:val="DefaultParagraphFont"/>
    <w:link w:val="Header"/>
    <w:uiPriority w:val="99"/>
    <w:rsid w:val="008E4F97"/>
  </w:style>
  <w:style w:type="paragraph" w:styleId="Footer">
    <w:name w:val="footer"/>
    <w:basedOn w:val="Normal"/>
    <w:link w:val="FooterChar"/>
    <w:uiPriority w:val="99"/>
    <w:unhideWhenUsed/>
    <w:rsid w:val="008E4F97"/>
    <w:pPr>
      <w:tabs>
        <w:tab w:val="center" w:pos="4513"/>
        <w:tab w:val="right" w:pos="9026"/>
      </w:tabs>
      <w:spacing w:after="0"/>
    </w:pPr>
  </w:style>
  <w:style w:type="character" w:customStyle="1" w:styleId="FooterChar">
    <w:name w:val="Footer Char"/>
    <w:basedOn w:val="DefaultParagraphFont"/>
    <w:link w:val="Footer"/>
    <w:uiPriority w:val="99"/>
    <w:rsid w:val="008E4F97"/>
  </w:style>
  <w:style w:type="paragraph" w:customStyle="1" w:styleId="Footerempty">
    <w:name w:val="Footerempty"/>
    <w:basedOn w:val="Normal"/>
    <w:rsid w:val="0066659C"/>
    <w:pPr>
      <w:spacing w:before="120" w:after="0"/>
    </w:pPr>
    <w:rPr>
      <w:rFonts w:ascii="Times New Roman" w:eastAsiaTheme="majorEastAsia" w:hAnsi="Times New Roman"/>
      <w:color w:val="FFFFFF"/>
      <w:sz w:val="2"/>
    </w:rPr>
  </w:style>
  <w:style w:type="paragraph" w:styleId="FootnoteText">
    <w:name w:val="footnote text"/>
    <w:basedOn w:val="Normal"/>
    <w:link w:val="FootnoteTextChar"/>
    <w:uiPriority w:val="99"/>
    <w:semiHidden/>
    <w:unhideWhenUsed/>
    <w:rsid w:val="00B00780"/>
    <w:pPr>
      <w:spacing w:after="0"/>
    </w:pPr>
    <w:rPr>
      <w:sz w:val="20"/>
      <w:szCs w:val="20"/>
    </w:rPr>
  </w:style>
  <w:style w:type="character" w:customStyle="1" w:styleId="FootnoteTextChar">
    <w:name w:val="Footnote Text Char"/>
    <w:basedOn w:val="DefaultParagraphFont"/>
    <w:link w:val="FootnoteText"/>
    <w:uiPriority w:val="99"/>
    <w:semiHidden/>
    <w:rsid w:val="00B00780"/>
    <w:rPr>
      <w:sz w:val="20"/>
      <w:szCs w:val="20"/>
    </w:rPr>
  </w:style>
  <w:style w:type="character" w:styleId="FootnoteReference">
    <w:name w:val="footnote reference"/>
    <w:basedOn w:val="DefaultParagraphFont"/>
    <w:uiPriority w:val="99"/>
    <w:semiHidden/>
    <w:unhideWhenUsed/>
    <w:rsid w:val="00B0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243">
      <w:bodyDiv w:val="1"/>
      <w:marLeft w:val="0"/>
      <w:marRight w:val="0"/>
      <w:marTop w:val="0"/>
      <w:marBottom w:val="0"/>
      <w:divBdr>
        <w:top w:val="none" w:sz="0" w:space="0" w:color="auto"/>
        <w:left w:val="none" w:sz="0" w:space="0" w:color="auto"/>
        <w:bottom w:val="none" w:sz="0" w:space="0" w:color="auto"/>
        <w:right w:val="none" w:sz="0" w:space="0" w:color="auto"/>
      </w:divBdr>
    </w:div>
    <w:div w:id="58554751">
      <w:bodyDiv w:val="1"/>
      <w:marLeft w:val="0"/>
      <w:marRight w:val="0"/>
      <w:marTop w:val="0"/>
      <w:marBottom w:val="0"/>
      <w:divBdr>
        <w:top w:val="none" w:sz="0" w:space="0" w:color="auto"/>
        <w:left w:val="none" w:sz="0" w:space="0" w:color="auto"/>
        <w:bottom w:val="none" w:sz="0" w:space="0" w:color="auto"/>
        <w:right w:val="none" w:sz="0" w:space="0" w:color="auto"/>
      </w:divBdr>
    </w:div>
    <w:div w:id="222640265">
      <w:bodyDiv w:val="1"/>
      <w:marLeft w:val="0"/>
      <w:marRight w:val="0"/>
      <w:marTop w:val="0"/>
      <w:marBottom w:val="0"/>
      <w:divBdr>
        <w:top w:val="none" w:sz="0" w:space="0" w:color="auto"/>
        <w:left w:val="none" w:sz="0" w:space="0" w:color="auto"/>
        <w:bottom w:val="none" w:sz="0" w:space="0" w:color="auto"/>
        <w:right w:val="none" w:sz="0" w:space="0" w:color="auto"/>
      </w:divBdr>
    </w:div>
    <w:div w:id="262493096">
      <w:bodyDiv w:val="1"/>
      <w:marLeft w:val="0"/>
      <w:marRight w:val="0"/>
      <w:marTop w:val="0"/>
      <w:marBottom w:val="0"/>
      <w:divBdr>
        <w:top w:val="none" w:sz="0" w:space="0" w:color="auto"/>
        <w:left w:val="none" w:sz="0" w:space="0" w:color="auto"/>
        <w:bottom w:val="none" w:sz="0" w:space="0" w:color="auto"/>
        <w:right w:val="none" w:sz="0" w:space="0" w:color="auto"/>
      </w:divBdr>
    </w:div>
    <w:div w:id="286469097">
      <w:bodyDiv w:val="1"/>
      <w:marLeft w:val="0"/>
      <w:marRight w:val="0"/>
      <w:marTop w:val="0"/>
      <w:marBottom w:val="0"/>
      <w:divBdr>
        <w:top w:val="none" w:sz="0" w:space="0" w:color="auto"/>
        <w:left w:val="none" w:sz="0" w:space="0" w:color="auto"/>
        <w:bottom w:val="none" w:sz="0" w:space="0" w:color="auto"/>
        <w:right w:val="none" w:sz="0" w:space="0" w:color="auto"/>
      </w:divBdr>
    </w:div>
    <w:div w:id="548414930">
      <w:bodyDiv w:val="1"/>
      <w:marLeft w:val="0"/>
      <w:marRight w:val="0"/>
      <w:marTop w:val="0"/>
      <w:marBottom w:val="0"/>
      <w:divBdr>
        <w:top w:val="none" w:sz="0" w:space="0" w:color="auto"/>
        <w:left w:val="none" w:sz="0" w:space="0" w:color="auto"/>
        <w:bottom w:val="none" w:sz="0" w:space="0" w:color="auto"/>
        <w:right w:val="none" w:sz="0" w:space="0" w:color="auto"/>
      </w:divBdr>
    </w:div>
    <w:div w:id="624241460">
      <w:bodyDiv w:val="1"/>
      <w:marLeft w:val="0"/>
      <w:marRight w:val="0"/>
      <w:marTop w:val="0"/>
      <w:marBottom w:val="0"/>
      <w:divBdr>
        <w:top w:val="none" w:sz="0" w:space="0" w:color="auto"/>
        <w:left w:val="none" w:sz="0" w:space="0" w:color="auto"/>
        <w:bottom w:val="none" w:sz="0" w:space="0" w:color="auto"/>
        <w:right w:val="none" w:sz="0" w:space="0" w:color="auto"/>
      </w:divBdr>
    </w:div>
    <w:div w:id="969361416">
      <w:bodyDiv w:val="1"/>
      <w:marLeft w:val="0"/>
      <w:marRight w:val="0"/>
      <w:marTop w:val="0"/>
      <w:marBottom w:val="0"/>
      <w:divBdr>
        <w:top w:val="none" w:sz="0" w:space="0" w:color="auto"/>
        <w:left w:val="none" w:sz="0" w:space="0" w:color="auto"/>
        <w:bottom w:val="none" w:sz="0" w:space="0" w:color="auto"/>
        <w:right w:val="none" w:sz="0" w:space="0" w:color="auto"/>
      </w:divBdr>
    </w:div>
    <w:div w:id="1114397152">
      <w:bodyDiv w:val="1"/>
      <w:marLeft w:val="0"/>
      <w:marRight w:val="0"/>
      <w:marTop w:val="0"/>
      <w:marBottom w:val="0"/>
      <w:divBdr>
        <w:top w:val="none" w:sz="0" w:space="0" w:color="auto"/>
        <w:left w:val="none" w:sz="0" w:space="0" w:color="auto"/>
        <w:bottom w:val="none" w:sz="0" w:space="0" w:color="auto"/>
        <w:right w:val="none" w:sz="0" w:space="0" w:color="auto"/>
      </w:divBdr>
    </w:div>
    <w:div w:id="1239752761">
      <w:bodyDiv w:val="1"/>
      <w:marLeft w:val="0"/>
      <w:marRight w:val="0"/>
      <w:marTop w:val="0"/>
      <w:marBottom w:val="0"/>
      <w:divBdr>
        <w:top w:val="none" w:sz="0" w:space="0" w:color="auto"/>
        <w:left w:val="none" w:sz="0" w:space="0" w:color="auto"/>
        <w:bottom w:val="none" w:sz="0" w:space="0" w:color="auto"/>
        <w:right w:val="none" w:sz="0" w:space="0" w:color="auto"/>
      </w:divBdr>
    </w:div>
    <w:div w:id="1241981740">
      <w:bodyDiv w:val="1"/>
      <w:marLeft w:val="0"/>
      <w:marRight w:val="0"/>
      <w:marTop w:val="0"/>
      <w:marBottom w:val="0"/>
      <w:divBdr>
        <w:top w:val="none" w:sz="0" w:space="0" w:color="auto"/>
        <w:left w:val="none" w:sz="0" w:space="0" w:color="auto"/>
        <w:bottom w:val="none" w:sz="0" w:space="0" w:color="auto"/>
        <w:right w:val="none" w:sz="0" w:space="0" w:color="auto"/>
      </w:divBdr>
    </w:div>
    <w:div w:id="1357271349">
      <w:bodyDiv w:val="1"/>
      <w:marLeft w:val="0"/>
      <w:marRight w:val="0"/>
      <w:marTop w:val="0"/>
      <w:marBottom w:val="0"/>
      <w:divBdr>
        <w:top w:val="none" w:sz="0" w:space="0" w:color="auto"/>
        <w:left w:val="none" w:sz="0" w:space="0" w:color="auto"/>
        <w:bottom w:val="none" w:sz="0" w:space="0" w:color="auto"/>
        <w:right w:val="none" w:sz="0" w:space="0" w:color="auto"/>
      </w:divBdr>
    </w:div>
    <w:div w:id="1878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g3bf77b0a02d47ea8bec4fb357d1f3ee xmlns="30c76335-fa7b-4620-983b-76a386d03ca5" xsi:nil="true"/>
    <b9c42a306c8b47fcbaf8a41a71352f3a xmlns="30c76335-fa7b-4620-983b-76a386d03ca5" xsi:nil="true"/>
    <m4e205a008724e269aef64ca7bdb5848 xmlns="30c76335-fa7b-4620-983b-76a386d03ca5" xsi:nil="true"/>
    <IconOverlay xmlns="http://schemas.microsoft.com/sharepoint/v4" xsi:nil="true"/>
    <HMT_DocumentTypeHTField0 xmlns="b7368109-7d0b-4995-bd7a-37c9c157818a">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ReceivedUTC xmlns="http://schemas.microsoft.com/sharepoint/v3" xsi:nil="true"/>
    <dlc_EmailSentUTC xmlns="http://schemas.microsoft.com/sharepoint/v3" xsi:nil="true"/>
    <TaxCatchAll xmlns="bfa74de9-4f68-449a-b13d-c1dfec61332e">
      <Value>1477</Value>
      <Value>30</Value>
      <Value>29</Value>
      <Value>28</Value>
      <Value>443</Value>
      <Value>1027</Value>
      <Value>3</Value>
      <Value>1</Value>
    </TaxCatchAll>
    <ieefa5c6211a4a5e9a507e1c1c1599ef xmlns="30c76335-fa7b-4620-983b-76a386d03ca5" xsi:nil="true"/>
    <dlc_EmailSubject xmlns="http://schemas.microsoft.com/sharepoint/v3" xsi:nil="true"/>
    <b4fdd2ce4232490396aa344e31f74d8e xmlns="30c76335-fa7b-4620-983b-76a386d03ca5"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d3acaa1fb1fd45d69e6498ce1656c037 xmlns="30c76335-fa7b-4620-983b-76a386d03ca5" xsi:nil="true"/>
    <g727aac2e2204289aa2b5b6dcdadae03 xmlns="30c76335-fa7b-4620-983b-76a386d03ca5" xsi:nil="true"/>
    <hb8bc0391a2e4089a24d47de9e4a6672 xmlns="30c76335-fa7b-4620-983b-76a386d03ca5" xsi:nil="true"/>
    <jc76c0d69b0a44309f7bb16407c92353 xmlns="30c76335-fa7b-4620-983b-76a386d03ca5" xsi:nil="true"/>
    <HMT_GroupHTField0 xmlns="b7368109-7d0b-4995-bd7a-37c9c157818a">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f57175f8-1a4b-45ed-810c-3adc7b7c8ed2</TermId>
        </TermInfo>
      </Terms>
    </HMT_GroupHTField0>
    <HMT_SubTopicHTField0 xmlns="b7368109-7d0b-4995-bd7a-37c9c157818a">
      <Terms xmlns="http://schemas.microsoft.com/office/infopath/2007/PartnerControls">
        <TermInfo xmlns="http://schemas.microsoft.com/office/infopath/2007/PartnerControls">
          <TermName xmlns="http://schemas.microsoft.com/office/infopath/2007/PartnerControls">FPC Architecture</TermName>
          <TermId xmlns="http://schemas.microsoft.com/office/infopath/2007/PartnerControls">7a08ac13-d32a-43a9-afbc-e6797822eff4</TermId>
        </TermInfo>
      </Terms>
    </HMT_SubTopicHTField0>
    <HMT_CategoryHTField0 xmlns="b7368109-7d0b-4995-bd7a-37c9c157818a">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HTField0 xmlns="b7368109-7d0b-4995-bd7a-37c9c157818a">
      <Terms xmlns="http://schemas.microsoft.com/office/infopath/2007/PartnerControls">
        <TermInfo xmlns="http://schemas.microsoft.com/office/infopath/2007/PartnerControls">
          <TermName xmlns="http://schemas.microsoft.com/office/infopath/2007/PartnerControls">SSA - Macroprudential Policy</TermName>
          <TermId xmlns="http://schemas.microsoft.com/office/infopath/2007/PartnerControls">30e1b964-926f-4fd8-aec8-4709d3eee4f9</TermId>
        </TermInfo>
      </Terms>
    </HMT_ThemeHTField0>
    <HMT_SubTeamHTField0 xmlns="b7368109-7d0b-4995-bd7a-37c9c157818a">
      <Terms xmlns="http://schemas.microsoft.com/office/infopath/2007/PartnerControls"/>
    </HMT_SubTeamHTField0>
    <HMT_ClassificationHTField0 xmlns="b7368109-7d0b-4995-bd7a-37c9c157818a">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HMT_ClassificationHTField0>
    <HMT_TopicHTField0 xmlns="b7368109-7d0b-4995-bd7a-37c9c157818a">
      <Terms xmlns="http://schemas.microsoft.com/office/infopath/2007/PartnerControls">
        <TermInfo xmlns="http://schemas.microsoft.com/office/infopath/2007/PartnerControls">
          <TermName xmlns="http://schemas.microsoft.com/office/infopath/2007/PartnerControls">2. Financial Policy Committee (FPC)</TermName>
          <TermId xmlns="http://schemas.microsoft.com/office/infopath/2007/PartnerControls">9ac888db-af69-4a51-8055-8907f47d07e1</TermId>
        </TermInfo>
      </Terms>
    </HMT_TopicHTField0>
    <HMT_TeamHTField0 xmlns="b7368109-7d0b-4995-bd7a-37c9c157818a">
      <Terms xmlns="http://schemas.microsoft.com/office/infopath/2007/PartnerControls">
        <TermInfo xmlns="http://schemas.microsoft.com/office/infopath/2007/PartnerControls">
          <TermName xmlns="http://schemas.microsoft.com/office/infopath/2007/PartnerControls">System Stability and Analysis</TermName>
          <TermId xmlns="http://schemas.microsoft.com/office/infopath/2007/PartnerControls">1eef96c2-8c7c-469c-97c3-d22617240197</TermId>
        </TermInfo>
      </Terms>
    </HMT_TeamHTField0>
    <_dlc_DocId xmlns="2e4aaef1-a7e7-4eac-bed7-f31ab1fb0f36">HMTFSTB-9-5392</_dlc_DocId>
    <_dlc_DocIdUrl xmlns="2e4aaef1-a7e7-4eac-bed7-f31ab1fb0f36">
      <Url>http://sphmt/sites/finstbg/IS/_layouts/15/DocIdRedir.aspx?ID=HMTFSTB-9-5392</Url>
      <Description>HMTFSTB-9-5392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7852FA381514C94CB100B7EA9A7C554B" ma:contentTypeVersion="18" ma:contentTypeDescription="Create an HMT Document" ma:contentTypeScope="" ma:versionID="fce9b21f6aaad47b35c3c1d586bb4b31">
  <xsd:schema xmlns:xsd="http://www.w3.org/2001/XMLSchema" xmlns:xs="http://www.w3.org/2001/XMLSchema" xmlns:p="http://schemas.microsoft.com/office/2006/metadata/properties" xmlns:ns1="http://schemas.microsoft.com/sharepoint/v3" xmlns:ns2="30c76335-fa7b-4620-983b-76a386d03ca5" xmlns:ns3="b7368109-7d0b-4995-bd7a-37c9c157818a" xmlns:ns4="2e4aaef1-a7e7-4eac-bed7-f31ab1fb0f36" xmlns:ns5="bfa74de9-4f68-449a-b13d-c1dfec61332e" xmlns:ns6="http://schemas.microsoft.com/sharepoint/v4" targetNamespace="http://schemas.microsoft.com/office/2006/metadata/properties" ma:root="true" ma:fieldsID="3e277d810ba8f4b7c00490ec0677d162" ns1:_="" ns2:_="" ns3:_="" ns4:_="" ns5:_="" ns6:_="">
    <xsd:import namespace="http://schemas.microsoft.com/sharepoint/v3"/>
    <xsd:import namespace="30c76335-fa7b-4620-983b-76a386d03ca5"/>
    <xsd:import namespace="b7368109-7d0b-4995-bd7a-37c9c157818a"/>
    <xsd:import namespace="2e4aaef1-a7e7-4eac-bed7-f31ab1fb0f36"/>
    <xsd:import namespace="bfa74de9-4f68-449a-b13d-c1dfec61332e"/>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c76335-fa7b-4620-983b-76a386d03ca5"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68109-7d0b-4995-bd7a-37c9c157818a"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30;#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Financial Stability|f57175f8-1a4b-45ed-810c-3adc7b7c8ed2"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28;#System Stability and Analysis|1eef96c2-8c7c-469c-97c3-d22617240197" ma:fieldId="{2eefa5c6-211a-4a5e-9a50-7e1c1c1599ef}" ma:sspId="eacbe5a3-01f8-4aa6-9f93-764bd56914ab" ma:termSetId="bfb00256-4f71-4b34-808b-e2a5e274e13b" ma:anchorId="f57175f8-1a4b-45ed-810c-3adc7b7c8ed2"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f57175f8-1a4b-45ed-810c-3adc7b7c8ed2"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29;#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443;#SSA - Macroprudential Policy|30e1b964-926f-4fd8-aec8-4709d3eee4f9" ma:fieldId="{b4fdd2ce-4232-4903-96aa-344e31f74d8e}" ma:sspId="eacbe5a3-01f8-4aa6-9f93-764bd56914ab" ma:termSetId="3d8cc04a-f675-4853-a229-034fbcafff7a"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eacbe5a3-01f8-4aa6-9f93-764bd56914ab" ma:termSetId="3d8cc04a-f675-4853-a229-034fbcafff7a" ma:anchorId="30e1b964-926f-4fd8-aec8-4709d3eee4f9"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eacbe5a3-01f8-4aa6-9f93-764bd56914ab" ma:termSetId="3d8cc04a-f675-4853-a229-034fbcafff7a" ma:anchorId="30e1b964-926f-4fd8-aec8-4709d3eee4f9"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Sensitive|e4b4762f-94f6-4901-a732-9ab10906c6ba"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a74de9-4f68-449a-b13d-c1dfec61332e"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8200c3e0-9b3e-41d2-b8bf-c614961547ef}" ma:internalName="TaxCatchAll" ma:showField="CatchAllData" ma:web="bfa74de9-4f68-449a-b13d-c1dfec6133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A87D-6178-4F82-9B12-6918F4C489E7}">
  <ds:schemaRefs>
    <ds:schemaRef ds:uri="http://schemas.microsoft.com/office/2006/metadata/properties"/>
    <ds:schemaRef ds:uri="http://schemas.microsoft.com/sharepoint/v3"/>
    <ds:schemaRef ds:uri="2e4aaef1-a7e7-4eac-bed7-f31ab1fb0f3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30c76335-fa7b-4620-983b-76a386d03ca5"/>
    <ds:schemaRef ds:uri="bfa74de9-4f68-449a-b13d-c1dfec61332e"/>
    <ds:schemaRef ds:uri="http://purl.org/dc/elements/1.1/"/>
    <ds:schemaRef ds:uri="b7368109-7d0b-4995-bd7a-37c9c157818a"/>
    <ds:schemaRef ds:uri="http://www.w3.org/XML/1998/namespace"/>
    <ds:schemaRef ds:uri="http://purl.org/dc/dcmitype/"/>
  </ds:schemaRefs>
</ds:datastoreItem>
</file>

<file path=customXml/itemProps2.xml><?xml version="1.0" encoding="utf-8"?>
<ds:datastoreItem xmlns:ds="http://schemas.openxmlformats.org/officeDocument/2006/customXml" ds:itemID="{18728FBB-5F75-4AEA-A428-4BC55A08886C}">
  <ds:schemaRefs>
    <ds:schemaRef ds:uri="http://schemas.microsoft.com/sharepoint/v3/contenttype/forms"/>
  </ds:schemaRefs>
</ds:datastoreItem>
</file>

<file path=customXml/itemProps3.xml><?xml version="1.0" encoding="utf-8"?>
<ds:datastoreItem xmlns:ds="http://schemas.openxmlformats.org/officeDocument/2006/customXml" ds:itemID="{66128D25-A8FE-4839-8392-93F3F338FFC7}">
  <ds:schemaRefs>
    <ds:schemaRef ds:uri="http://schemas.microsoft.com/sharepoint/events"/>
  </ds:schemaRefs>
</ds:datastoreItem>
</file>

<file path=customXml/itemProps4.xml><?xml version="1.0" encoding="utf-8"?>
<ds:datastoreItem xmlns:ds="http://schemas.openxmlformats.org/officeDocument/2006/customXml" ds:itemID="{572D1437-ABA4-4E56-B1CE-C83BA5C88358}">
  <ds:schemaRefs>
    <ds:schemaRef ds:uri="http://schemas.microsoft.com/sharepoint/events"/>
  </ds:schemaRefs>
</ds:datastoreItem>
</file>

<file path=customXml/itemProps5.xml><?xml version="1.0" encoding="utf-8"?>
<ds:datastoreItem xmlns:ds="http://schemas.openxmlformats.org/officeDocument/2006/customXml" ds:itemID="{0F39B1EF-DA9A-4A5D-BBEB-80875031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76335-fa7b-4620-983b-76a386d03ca5"/>
    <ds:schemaRef ds:uri="b7368109-7d0b-4995-bd7a-37c9c157818a"/>
    <ds:schemaRef ds:uri="2e4aaef1-a7e7-4eac-bed7-f31ab1fb0f36"/>
    <ds:schemaRef ds:uri="bfa74de9-4f68-449a-b13d-c1dfec6133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90820D-DECE-4EAF-8238-C0039835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Hemming-Brown, Dominic - HMT</dc:creator>
  <cp:keywords/>
  <dc:description/>
  <cp:lastModifiedBy>Keep, James - HMT</cp:lastModifiedBy>
  <cp:revision>2</cp:revision>
  <cp:lastPrinted>2019-10-31T11:11:00Z</cp:lastPrinted>
  <dcterms:created xsi:type="dcterms:W3CDTF">2019-11-04T18:44:00Z</dcterms:created>
  <dcterms:modified xsi:type="dcterms:W3CDTF">2019-11-04T18:44:00Z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0x010100672A3FCA98991645BE083C320B7539B70073E2331C55A74AA0969608FB8C0629F6007852FA381514C94CB100B7EA9A7C554B</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8c911693-c3f6-4e2a-b3a7-81129baf7aa5</vt:lpwstr>
  </property>
  <property fmtid="{D5CDD505-2E9C-101B-9397-08002B2CF9AE}" pid="6" name="HMT_Group">
    <vt:lpwstr>1;#Financial Stability|f57175f8-1a4b-45ed-810c-3adc7b7c8ed2</vt:lpwstr>
  </property>
  <property fmtid="{D5CDD505-2E9C-101B-9397-08002B2CF9AE}" pid="7" name="HMT_Topic">
    <vt:lpwstr>1027;#2. Financial Policy Committee (FPC)|9ac888db-af69-4a51-8055-8907f47d07e1</vt:lpwstr>
  </property>
  <property fmtid="{D5CDD505-2E9C-101B-9397-08002B2CF9AE}" pid="8" name="HMT_Category">
    <vt:lpwstr>29;#Policy Document Types|bd4325a7-7f6a-48f9-b0dc-cc3aef626e65</vt:lpwstr>
  </property>
  <property fmtid="{D5CDD505-2E9C-101B-9397-08002B2CF9AE}" pid="9" name="HMT_SubTeam">
    <vt:lpwstr/>
  </property>
  <property fmtid="{D5CDD505-2E9C-101B-9397-08002B2CF9AE}" pid="10" name="HMT_Classification">
    <vt:lpwstr>3;#Sensitive|e4b4762f-94f6-4901-a732-9ab10906c6ba</vt:lpwstr>
  </property>
  <property fmtid="{D5CDD505-2E9C-101B-9397-08002B2CF9AE}" pid="11" name="HMT_Theme">
    <vt:lpwstr>443;#SSA - Macroprudential Policy|30e1b964-926f-4fd8-aec8-4709d3eee4f9</vt:lpwstr>
  </property>
  <property fmtid="{D5CDD505-2E9C-101B-9397-08002B2CF9AE}" pid="12" name="HMT_SubTopic">
    <vt:lpwstr>1477;#FPC Architecture|7a08ac13-d32a-43a9-afbc-e6797822eff4</vt:lpwstr>
  </property>
  <property fmtid="{D5CDD505-2E9C-101B-9397-08002B2CF9AE}" pid="13" name="HMT_DocumentType">
    <vt:lpwstr>30;#Other|c235b5c2-f697-427b-a70a-43d69599f998</vt:lpwstr>
  </property>
  <property fmtid="{D5CDD505-2E9C-101B-9397-08002B2CF9AE}" pid="14" name="HMT_Team">
    <vt:lpwstr>28;#System Stability and Analysis|1eef96c2-8c7c-469c-97c3-d22617240197</vt:lpwstr>
  </property>
  <property fmtid="{D5CDD505-2E9C-101B-9397-08002B2CF9AE}" pid="15" name="DocRef">
    <vt:lpwstr>Analytical 7894203</vt:lpwstr>
  </property>
  <property fmtid="{D5CDD505-2E9C-101B-9397-08002B2CF9AE}" pid="16" name="DocVer">
    <vt:lpwstr>Analytical 7894203v1</vt:lpwstr>
  </property>
</Properties>
</file>