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9574" w14:textId="0F51BA28" w:rsidR="00545B6C" w:rsidRPr="007A7B96" w:rsidRDefault="007A7B96" w:rsidP="00AD05F3">
      <w:pPr>
        <w:pStyle w:val="Title"/>
        <w:rPr>
          <w:sz w:val="56"/>
        </w:rPr>
      </w:pPr>
      <w:bookmarkStart w:id="0" w:name="_GoBack"/>
      <w:r>
        <w:rPr>
          <w:noProof/>
        </w:rPr>
        <w:drawing>
          <wp:anchor distT="0" distB="0" distL="114300" distR="114300" simplePos="0" relativeHeight="251659264" behindDoc="0" locked="0" layoutInCell="1" allowOverlap="1" wp14:anchorId="52F7BE41" wp14:editId="0D39F9D2">
            <wp:simplePos x="0" y="0"/>
            <wp:positionH relativeFrom="page">
              <wp:posOffset>4604385</wp:posOffset>
            </wp:positionH>
            <wp:positionV relativeFrom="paragraph">
              <wp:posOffset>63649</wp:posOffset>
            </wp:positionV>
            <wp:extent cx="1960880" cy="907001"/>
            <wp:effectExtent l="0" t="0" r="1270" b="7620"/>
            <wp:wrapNone/>
            <wp:docPr id="3" name="Picture 3" descr="HM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CTS_BLK_SML_A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0880" cy="907001"/>
                    </a:xfrm>
                    <a:prstGeom prst="rect">
                      <a:avLst/>
                    </a:prstGeom>
                  </pic:spPr>
                </pic:pic>
              </a:graphicData>
            </a:graphic>
            <wp14:sizeRelH relativeFrom="page">
              <wp14:pctWidth>0</wp14:pctWidth>
            </wp14:sizeRelH>
            <wp14:sizeRelV relativeFrom="page">
              <wp14:pctHeight>0</wp14:pctHeight>
            </wp14:sizeRelV>
          </wp:anchor>
        </w:drawing>
      </w:r>
      <w:bookmarkEnd w:id="0"/>
      <w:r w:rsidRPr="007A7B96">
        <w:rPr>
          <w:sz w:val="56"/>
        </w:rPr>
        <w:t>Language Services</w:t>
      </w:r>
    </w:p>
    <w:p w14:paraId="4848496C" w14:textId="006B4D2C" w:rsidR="00B91315" w:rsidRPr="007A7B96" w:rsidRDefault="00E66A89" w:rsidP="00AD05F3">
      <w:pPr>
        <w:pStyle w:val="Subtitle"/>
        <w:rPr>
          <w:sz w:val="44"/>
        </w:rPr>
      </w:pPr>
      <w:r w:rsidRPr="007A7B96">
        <w:rPr>
          <w:sz w:val="44"/>
        </w:rPr>
        <w:t>Records Retention and Disposition Schedule</w:t>
      </w:r>
    </w:p>
    <w:p w14:paraId="12959C9B" w14:textId="77777777" w:rsidR="00E66A89" w:rsidRDefault="00E66A89" w:rsidP="00E66A89">
      <w:pPr>
        <w:pStyle w:val="Heading2"/>
      </w:pPr>
      <w:bookmarkStart w:id="1" w:name="_Toc6321028"/>
      <w:r w:rsidRPr="00E66A89">
        <w:t>Introduction</w:t>
      </w:r>
    </w:p>
    <w:bookmarkEnd w:id="1"/>
    <w:p w14:paraId="036F2DAD" w14:textId="463BE232" w:rsidR="00E66A89" w:rsidRPr="00E66A89" w:rsidRDefault="007A7B96" w:rsidP="007A7B96">
      <w:pPr>
        <w:numPr>
          <w:ilvl w:val="0"/>
          <w:numId w:val="6"/>
        </w:numPr>
        <w:spacing w:after="0" w:line="240" w:lineRule="auto"/>
        <w:ind w:left="360"/>
        <w:rPr>
          <w:rFonts w:cs="Arial"/>
          <w:szCs w:val="24"/>
        </w:rPr>
      </w:pPr>
      <w:r w:rsidRPr="007A7B96">
        <w:rPr>
          <w:rFonts w:cs="Arial"/>
          <w:szCs w:val="24"/>
        </w:rPr>
        <w:t>This schedule has been drawn up following consultation between Language Services in HM Courts and Tribunals Service (HMCTS)and staff working for the Departmental Records Officer (D</w:t>
      </w:r>
      <w:r>
        <w:rPr>
          <w:rFonts w:cs="Arial"/>
          <w:szCs w:val="24"/>
        </w:rPr>
        <w:t>RO) in the Ministry of Justice.</w:t>
      </w:r>
      <w:r w:rsidR="00E66A89" w:rsidRPr="00E66A89">
        <w:rPr>
          <w:rFonts w:cs="Arial"/>
          <w:szCs w:val="24"/>
        </w:rPr>
        <w:t xml:space="preserve"> </w:t>
      </w:r>
      <w:r w:rsidR="00E66A89" w:rsidRPr="00E66A89">
        <w:rPr>
          <w:rFonts w:cs="Arial"/>
          <w:szCs w:val="24"/>
        </w:rPr>
        <w:br/>
      </w:r>
    </w:p>
    <w:p w14:paraId="5B380649" w14:textId="77777777" w:rsidR="00E66A89" w:rsidRPr="00E66A89" w:rsidRDefault="00E66A89" w:rsidP="00E66A89">
      <w:pPr>
        <w:numPr>
          <w:ilvl w:val="0"/>
          <w:numId w:val="6"/>
        </w:numPr>
        <w:spacing w:after="0" w:line="240" w:lineRule="auto"/>
        <w:ind w:left="360"/>
        <w:rPr>
          <w:rFonts w:cs="Arial"/>
          <w:szCs w:val="24"/>
        </w:rPr>
      </w:pPr>
      <w:bookmarkStart w:id="2" w:name="_Hlk514921578"/>
      <w:r w:rsidRPr="00E66A89">
        <w:rPr>
          <w:rFonts w:cs="Arial"/>
          <w:szCs w:val="24"/>
        </w:rPr>
        <w:t xml:space="preserve">As a public body, the MoJ takes its responsibilities for managing information seriously. These responsibilities include compliance with the Public Records Act 1958, General Data Protection Regulation, the Data Protection Act 2018, Freedom of Information Act 2000 and amending legislation. The MoJ uses Records Retention and Disposition Schedules (RRDSs) to manage its compliance with its statutory obligation to identify what we hold, how long we keep it and what should happen to these records at the end of that time. </w:t>
      </w:r>
    </w:p>
    <w:p w14:paraId="0F560074" w14:textId="77777777" w:rsidR="00E66A89" w:rsidRPr="00E66A89" w:rsidRDefault="00E66A89" w:rsidP="00E66A89">
      <w:pPr>
        <w:spacing w:after="0" w:line="240" w:lineRule="auto"/>
        <w:ind w:left="360"/>
        <w:rPr>
          <w:rFonts w:cs="Arial"/>
          <w:szCs w:val="24"/>
        </w:rPr>
      </w:pPr>
    </w:p>
    <w:p w14:paraId="43A42787" w14:textId="19E5C2DD" w:rsidR="007A7B96" w:rsidRDefault="007A7B96" w:rsidP="007A7B96">
      <w:pPr>
        <w:numPr>
          <w:ilvl w:val="0"/>
          <w:numId w:val="6"/>
        </w:numPr>
        <w:spacing w:after="0" w:line="240" w:lineRule="auto"/>
        <w:ind w:left="360"/>
        <w:rPr>
          <w:rFonts w:cs="Arial"/>
          <w:szCs w:val="24"/>
        </w:rPr>
      </w:pPr>
      <w:r w:rsidRPr="007A7B96">
        <w:rPr>
          <w:rFonts w:cs="Arial"/>
          <w:szCs w:val="24"/>
        </w:rPr>
        <w:t>HMCTS Languages Services manage the contracts for translators working with the Ministry of Justice, the Crown Prosecution Service and the Salvation Army.</w:t>
      </w:r>
    </w:p>
    <w:p w14:paraId="1E714FA9" w14:textId="77777777" w:rsidR="007A7B96" w:rsidRPr="007A7B96" w:rsidRDefault="007A7B96" w:rsidP="007A7B96">
      <w:pPr>
        <w:spacing w:after="0" w:line="240" w:lineRule="auto"/>
        <w:rPr>
          <w:rFonts w:cs="Arial"/>
          <w:szCs w:val="24"/>
        </w:rPr>
      </w:pPr>
    </w:p>
    <w:p w14:paraId="67560A05" w14:textId="64A64F24" w:rsidR="007A7B96" w:rsidRPr="00D83138" w:rsidRDefault="007A7B96" w:rsidP="007A7B96">
      <w:pPr>
        <w:numPr>
          <w:ilvl w:val="0"/>
          <w:numId w:val="6"/>
        </w:numPr>
        <w:spacing w:after="0" w:line="240" w:lineRule="auto"/>
        <w:ind w:left="360"/>
        <w:rPr>
          <w:rFonts w:cs="Arial"/>
        </w:rPr>
      </w:pPr>
      <w:r w:rsidRPr="00D83138">
        <w:rPr>
          <w:rFonts w:cs="Arial"/>
        </w:rPr>
        <w:t>The</w:t>
      </w:r>
      <w:r>
        <w:rPr>
          <w:rFonts w:cs="Arial"/>
        </w:rPr>
        <w:t xml:space="preserve"> services provided by the Language Services are governed by Article 6 of the European Convention on Human Rights (as set out in Schedule 1 of the Human Rights Act 1998): “Right to a fair trial”</w:t>
      </w:r>
      <w:r>
        <w:rPr>
          <w:rStyle w:val="FootnoteReference"/>
          <w:rFonts w:cs="Arial"/>
        </w:rPr>
        <w:footnoteReference w:id="1"/>
      </w:r>
      <w:r w:rsidRPr="00D83138">
        <w:rPr>
          <w:rFonts w:cs="Arial"/>
        </w:rPr>
        <w:t>.</w:t>
      </w:r>
    </w:p>
    <w:p w14:paraId="6ACB58F3" w14:textId="77777777" w:rsidR="007A7B96" w:rsidRDefault="007A7B96" w:rsidP="007A7B96">
      <w:pPr>
        <w:spacing w:after="0"/>
        <w:ind w:left="360"/>
        <w:rPr>
          <w:rFonts w:cs="Arial"/>
        </w:rPr>
      </w:pPr>
    </w:p>
    <w:p w14:paraId="61CED19A" w14:textId="026F8DAB" w:rsidR="00E66A89" w:rsidRPr="007A7B96" w:rsidRDefault="007A7B96" w:rsidP="007A7B96">
      <w:pPr>
        <w:numPr>
          <w:ilvl w:val="0"/>
          <w:numId w:val="6"/>
        </w:numPr>
        <w:spacing w:after="0" w:line="240" w:lineRule="auto"/>
        <w:ind w:left="360"/>
        <w:rPr>
          <w:rFonts w:cs="Arial"/>
          <w:szCs w:val="24"/>
        </w:rPr>
      </w:pPr>
      <w:r>
        <w:rPr>
          <w:rFonts w:cs="Arial"/>
          <w:szCs w:val="24"/>
        </w:rPr>
        <w:t xml:space="preserve">None of </w:t>
      </w:r>
      <w:r w:rsidR="00E66A89" w:rsidRPr="007A7B96">
        <w:rPr>
          <w:rFonts w:cs="Arial"/>
          <w:szCs w:val="24"/>
        </w:rPr>
        <w:t>the records listed below are selected for permanent preservation under the Public Records Act</w:t>
      </w:r>
      <w:r w:rsidR="00E66A89" w:rsidRPr="00E66A89">
        <w:rPr>
          <w:rStyle w:val="FootnoteReference"/>
          <w:rFonts w:cs="Arial"/>
          <w:szCs w:val="24"/>
        </w:rPr>
        <w:footnoteReference w:id="2"/>
      </w:r>
      <w:r w:rsidR="00E66A89" w:rsidRPr="007A7B96">
        <w:rPr>
          <w:rFonts w:cs="Arial"/>
          <w:szCs w:val="24"/>
        </w:rPr>
        <w:t xml:space="preserve">. </w:t>
      </w:r>
    </w:p>
    <w:p w14:paraId="564BF5D5" w14:textId="77777777" w:rsidR="00E66A89" w:rsidRPr="00E66A89" w:rsidRDefault="00E66A89" w:rsidP="00E66A89">
      <w:pPr>
        <w:spacing w:after="0" w:line="240" w:lineRule="auto"/>
        <w:ind w:left="360"/>
        <w:rPr>
          <w:rFonts w:cs="Arial"/>
          <w:szCs w:val="24"/>
        </w:rPr>
      </w:pPr>
    </w:p>
    <w:bookmarkEnd w:id="2"/>
    <w:p w14:paraId="444AFDB6" w14:textId="77777777" w:rsidR="00E66A89" w:rsidRPr="00E66A89" w:rsidRDefault="00E66A89" w:rsidP="00E66A89">
      <w:pPr>
        <w:numPr>
          <w:ilvl w:val="0"/>
          <w:numId w:val="6"/>
        </w:numPr>
        <w:spacing w:after="0" w:line="240" w:lineRule="auto"/>
        <w:ind w:left="360"/>
        <w:rPr>
          <w:rFonts w:cs="Arial"/>
          <w:szCs w:val="24"/>
        </w:rPr>
      </w:pPr>
      <w:r w:rsidRPr="00E66A89">
        <w:rPr>
          <w:rFonts w:cs="Arial"/>
          <w:szCs w:val="24"/>
        </w:rPr>
        <w:t>This schedule is split into</w:t>
      </w:r>
      <w:r w:rsidRPr="007A7B96">
        <w:rPr>
          <w:rFonts w:cs="Arial"/>
          <w:szCs w:val="24"/>
        </w:rPr>
        <w:t xml:space="preserve"> two </w:t>
      </w:r>
      <w:r w:rsidRPr="00E66A89">
        <w:rPr>
          <w:rFonts w:cs="Arial"/>
          <w:szCs w:val="24"/>
        </w:rPr>
        <w:t>sections:</w:t>
      </w:r>
    </w:p>
    <w:p w14:paraId="0BF41805" w14:textId="77777777" w:rsidR="00E66A89" w:rsidRPr="00E66A89" w:rsidRDefault="00E66A89" w:rsidP="00E66A89">
      <w:pPr>
        <w:spacing w:after="0" w:line="240" w:lineRule="auto"/>
        <w:ind w:left="360"/>
        <w:rPr>
          <w:rFonts w:cs="Arial"/>
          <w:szCs w:val="24"/>
        </w:rPr>
      </w:pPr>
    </w:p>
    <w:p w14:paraId="17BDDD15" w14:textId="77777777" w:rsidR="007A7B96" w:rsidRPr="007A7B96" w:rsidRDefault="007A7B96" w:rsidP="00E66A89">
      <w:pPr>
        <w:numPr>
          <w:ilvl w:val="1"/>
          <w:numId w:val="6"/>
        </w:numPr>
        <w:spacing w:after="0" w:line="240" w:lineRule="auto"/>
        <w:rPr>
          <w:rFonts w:cs="Arial"/>
          <w:szCs w:val="24"/>
        </w:rPr>
      </w:pPr>
      <w:r w:rsidRPr="007A7B96">
        <w:rPr>
          <w:rFonts w:cs="Arial"/>
        </w:rPr>
        <w:t>Records unique to the Language Services</w:t>
      </w:r>
    </w:p>
    <w:p w14:paraId="70209A42" w14:textId="283F1964" w:rsidR="00E66A89" w:rsidRPr="007A7B96" w:rsidRDefault="00E66A89" w:rsidP="00E66A89">
      <w:pPr>
        <w:numPr>
          <w:ilvl w:val="1"/>
          <w:numId w:val="6"/>
        </w:numPr>
        <w:spacing w:after="0" w:line="240" w:lineRule="auto"/>
        <w:rPr>
          <w:rFonts w:cs="Arial"/>
          <w:szCs w:val="24"/>
        </w:rPr>
      </w:pPr>
      <w:r w:rsidRPr="007A7B96">
        <w:rPr>
          <w:rFonts w:cs="Arial"/>
          <w:szCs w:val="24"/>
        </w:rPr>
        <w:t>Records held by various teams within the MoJ and its associated bodies and where a common retention and disposition policy is applied.</w:t>
      </w:r>
    </w:p>
    <w:p w14:paraId="2DCAC925" w14:textId="785F7BF9" w:rsidR="00E66A89" w:rsidRDefault="00E66A89" w:rsidP="00E66A89">
      <w:pPr>
        <w:spacing w:after="0" w:line="240" w:lineRule="auto"/>
        <w:ind w:left="1080"/>
        <w:rPr>
          <w:rFonts w:cs="Arial"/>
          <w:szCs w:val="24"/>
        </w:rPr>
      </w:pPr>
    </w:p>
    <w:p w14:paraId="0223E883" w14:textId="369B902E" w:rsidR="007A7B96" w:rsidRDefault="007A7B96" w:rsidP="00E66A89">
      <w:pPr>
        <w:spacing w:after="0" w:line="240" w:lineRule="auto"/>
        <w:ind w:left="1080"/>
        <w:rPr>
          <w:rFonts w:cs="Arial"/>
          <w:szCs w:val="24"/>
        </w:rPr>
      </w:pPr>
    </w:p>
    <w:p w14:paraId="08F6FD19" w14:textId="77777777" w:rsidR="007A7B96" w:rsidRPr="00E66A89" w:rsidRDefault="007A7B96" w:rsidP="00E66A89">
      <w:pPr>
        <w:spacing w:after="0" w:line="240" w:lineRule="auto"/>
        <w:ind w:left="1080"/>
        <w:rPr>
          <w:rFonts w:cs="Arial"/>
          <w:szCs w:val="24"/>
        </w:rPr>
      </w:pPr>
    </w:p>
    <w:p w14:paraId="57934AF6" w14:textId="77777777" w:rsidR="00E66A89" w:rsidRPr="00E66A89" w:rsidRDefault="00E66A89" w:rsidP="00E66A89">
      <w:pPr>
        <w:numPr>
          <w:ilvl w:val="0"/>
          <w:numId w:val="6"/>
        </w:numPr>
        <w:spacing w:after="0" w:line="240" w:lineRule="auto"/>
        <w:ind w:left="360"/>
        <w:rPr>
          <w:rFonts w:cs="Arial"/>
          <w:szCs w:val="24"/>
        </w:rPr>
      </w:pPr>
      <w:bookmarkStart w:id="3" w:name="_Hlk514928352"/>
      <w:bookmarkStart w:id="4" w:name="_Hlk514928334"/>
      <w:r w:rsidRPr="00E66A89">
        <w:rPr>
          <w:rFonts w:cs="Arial"/>
          <w:szCs w:val="24"/>
        </w:rPr>
        <w:lastRenderedPageBreak/>
        <w:t xml:space="preserve">If a Freedom of Information Act 2000 request or a subject access request under the General Data Protection Regulation and Data Protection Act 2018 is received, a hold must be put on the destruction of relevant records until 20 working days after the request is resolved.  </w:t>
      </w:r>
    </w:p>
    <w:p w14:paraId="48AF93E3" w14:textId="77777777" w:rsidR="00E66A89" w:rsidRPr="00E66A89" w:rsidRDefault="00E66A89" w:rsidP="00E66A89">
      <w:pPr>
        <w:spacing w:after="0" w:line="240" w:lineRule="auto"/>
        <w:ind w:left="360"/>
        <w:rPr>
          <w:rFonts w:cs="Arial"/>
          <w:szCs w:val="24"/>
        </w:rPr>
      </w:pPr>
    </w:p>
    <w:p w14:paraId="12C9411C" w14:textId="77777777" w:rsidR="00E66A89" w:rsidRPr="00E66A89" w:rsidRDefault="00E66A89" w:rsidP="00E66A89">
      <w:pPr>
        <w:numPr>
          <w:ilvl w:val="0"/>
          <w:numId w:val="6"/>
        </w:numPr>
        <w:spacing w:after="0" w:line="240" w:lineRule="auto"/>
        <w:ind w:left="360"/>
        <w:rPr>
          <w:rFonts w:cs="Arial"/>
          <w:szCs w:val="24"/>
        </w:rPr>
      </w:pPr>
      <w:r w:rsidRPr="00E66A89">
        <w:rPr>
          <w:rFonts w:cs="Arial"/>
          <w:szCs w:val="24"/>
        </w:rPr>
        <w:t xml:space="preserve">While the Independent Inquiry into Child Sexual Abuse (IICSA) continues its investigations, the moratorium on the destruction of records of potential interest to IICSA remains in place. All government departments and their associated bodies (in common with other </w:t>
      </w:r>
      <w:proofErr w:type="gramStart"/>
      <w:r w:rsidRPr="00E66A89">
        <w:rPr>
          <w:rFonts w:cs="Arial"/>
          <w:szCs w:val="24"/>
        </w:rPr>
        <w:t>public sector</w:t>
      </w:r>
      <w:proofErr w:type="gramEnd"/>
      <w:r w:rsidRPr="00E66A89">
        <w:rPr>
          <w:rFonts w:cs="Arial"/>
          <w:szCs w:val="24"/>
        </w:rPr>
        <w:t xml:space="preserve"> bodies) are required to comply with the moratorium</w:t>
      </w:r>
      <w:r w:rsidRPr="00E66A89">
        <w:rPr>
          <w:rFonts w:cs="Arial"/>
          <w:color w:val="000000"/>
          <w:szCs w:val="24"/>
        </w:rPr>
        <w:t>. All business areas should apply the moratorium to any records covered by the following criteria:</w:t>
      </w:r>
    </w:p>
    <w:bookmarkEnd w:id="3"/>
    <w:p w14:paraId="4DD39A40" w14:textId="77777777" w:rsidR="00E66A89" w:rsidRPr="00E66A89" w:rsidRDefault="00E66A89" w:rsidP="00E66A89">
      <w:pPr>
        <w:spacing w:after="0" w:line="240" w:lineRule="auto"/>
        <w:ind w:left="1440"/>
        <w:rPr>
          <w:rFonts w:cs="Arial"/>
          <w:szCs w:val="24"/>
        </w:rPr>
      </w:pPr>
    </w:p>
    <w:p w14:paraId="49D1633D" w14:textId="77777777" w:rsidR="00E66A89" w:rsidRPr="00E66A89" w:rsidRDefault="00E66A89" w:rsidP="00E66A89">
      <w:pPr>
        <w:numPr>
          <w:ilvl w:val="1"/>
          <w:numId w:val="6"/>
        </w:numPr>
        <w:spacing w:after="0" w:line="240" w:lineRule="auto"/>
        <w:rPr>
          <w:rFonts w:cs="Arial"/>
          <w:szCs w:val="24"/>
        </w:rPr>
      </w:pPr>
      <w:r w:rsidRPr="00E66A89">
        <w:rPr>
          <w:rFonts w:cs="Arial"/>
          <w:szCs w:val="24"/>
        </w:rPr>
        <w:t>documents which contain or may contain content pertaining directly or indirectly to the sexual abuse</w:t>
      </w:r>
      <w:r w:rsidRPr="00E66A89">
        <w:rPr>
          <w:rFonts w:cs="Arial"/>
          <w:color w:val="000000"/>
          <w:szCs w:val="24"/>
        </w:rPr>
        <w:t xml:space="preserve"> of children or to child protection and care</w:t>
      </w:r>
    </w:p>
    <w:bookmarkEnd w:id="4"/>
    <w:p w14:paraId="00D8FAC6" w14:textId="77777777" w:rsidR="00E66A89" w:rsidRPr="00E66A89" w:rsidRDefault="00E66A89" w:rsidP="00E66A89">
      <w:pPr>
        <w:numPr>
          <w:ilvl w:val="1"/>
          <w:numId w:val="6"/>
        </w:numPr>
        <w:spacing w:after="0" w:line="240" w:lineRule="auto"/>
        <w:rPr>
          <w:rFonts w:cs="Arial"/>
          <w:szCs w:val="24"/>
        </w:rPr>
      </w:pPr>
      <w:r w:rsidRPr="00E66A89">
        <w:rPr>
          <w:rFonts w:cs="Arial"/>
          <w:szCs w:val="24"/>
        </w:rPr>
        <w:t xml:space="preserve">the document types include, but are not limited to, correspondence, notes, emails, and case files, regardless of the format in which they are stored (digital, paper, CDs, etc) </w:t>
      </w:r>
    </w:p>
    <w:p w14:paraId="1F1928B7" w14:textId="77777777" w:rsidR="00E66A89" w:rsidRPr="00E66A89" w:rsidRDefault="00E66A89" w:rsidP="00E66A89">
      <w:pPr>
        <w:numPr>
          <w:ilvl w:val="1"/>
          <w:numId w:val="6"/>
        </w:numPr>
        <w:spacing w:after="0" w:line="240" w:lineRule="auto"/>
        <w:rPr>
          <w:rFonts w:cs="Arial"/>
          <w:szCs w:val="24"/>
        </w:rPr>
      </w:pPr>
      <w:r w:rsidRPr="00E66A89">
        <w:rPr>
          <w:rFonts w:cs="Arial"/>
          <w:color w:val="000000"/>
          <w:szCs w:val="24"/>
        </w:rPr>
        <w:t>for the purposes of this instruction, the word “children” relates to any person under the age of 18</w:t>
      </w:r>
    </w:p>
    <w:p w14:paraId="233BC375" w14:textId="77777777" w:rsidR="00E66A89" w:rsidRPr="00E66A89" w:rsidRDefault="00E66A89" w:rsidP="00E66A89">
      <w:pPr>
        <w:numPr>
          <w:ilvl w:val="1"/>
          <w:numId w:val="6"/>
        </w:numPr>
        <w:spacing w:after="0" w:line="240" w:lineRule="auto"/>
        <w:rPr>
          <w:rFonts w:cs="Arial"/>
          <w:szCs w:val="24"/>
        </w:rPr>
      </w:pPr>
      <w:r w:rsidRPr="00E66A89">
        <w:rPr>
          <w:rFonts w:cs="Arial"/>
          <w:color w:val="000000"/>
          <w:szCs w:val="24"/>
        </w:rPr>
        <w:t xml:space="preserve">further information about the moratorium is available on IICSA’s website at: </w:t>
      </w:r>
      <w:hyperlink r:id="rId12" w:history="1">
        <w:r w:rsidRPr="00E66A89">
          <w:rPr>
            <w:rStyle w:val="Hyperlink"/>
            <w:rFonts w:cs="Arial"/>
            <w:color w:val="0000CC"/>
            <w:szCs w:val="24"/>
          </w:rPr>
          <w:t>https://www.iicsa.org.uk/news/chair-of-the-inquiry-issues-guidance-on-destruction-of-documents</w:t>
        </w:r>
      </w:hyperlink>
      <w:r w:rsidRPr="00E66A89">
        <w:rPr>
          <w:rFonts w:cs="Arial"/>
          <w:color w:val="000000"/>
          <w:szCs w:val="24"/>
        </w:rPr>
        <w:t>.</w:t>
      </w:r>
    </w:p>
    <w:p w14:paraId="46C62FB7" w14:textId="77777777" w:rsidR="00E66A89" w:rsidRPr="00E66A89" w:rsidRDefault="00E66A89" w:rsidP="00E66A89">
      <w:pPr>
        <w:spacing w:after="0" w:line="240" w:lineRule="auto"/>
        <w:ind w:left="360"/>
        <w:rPr>
          <w:rFonts w:cs="Arial"/>
          <w:szCs w:val="24"/>
        </w:rPr>
      </w:pPr>
    </w:p>
    <w:p w14:paraId="355C37AE" w14:textId="77777777" w:rsidR="00E66A89" w:rsidRPr="00E66A89" w:rsidRDefault="00E66A89" w:rsidP="00E66A89">
      <w:pPr>
        <w:numPr>
          <w:ilvl w:val="0"/>
          <w:numId w:val="6"/>
        </w:numPr>
        <w:spacing w:after="0" w:line="240" w:lineRule="auto"/>
        <w:ind w:left="360"/>
        <w:rPr>
          <w:rFonts w:cs="Arial"/>
          <w:szCs w:val="24"/>
        </w:rPr>
      </w:pPr>
      <w:r w:rsidRPr="00E66A89">
        <w:rPr>
          <w:rFonts w:cs="Arial"/>
          <w:szCs w:val="24"/>
        </w:rPr>
        <w:t xml:space="preserve">As part of its commitment to transparency, this schedule will be published on the MoJ’s webpage: </w:t>
      </w:r>
      <w:hyperlink r:id="rId13" w:history="1">
        <w:r w:rsidRPr="00E66A89">
          <w:rPr>
            <w:rStyle w:val="Hyperlink"/>
            <w:rFonts w:cs="Arial"/>
            <w:color w:val="0000CC"/>
            <w:szCs w:val="24"/>
          </w:rPr>
          <w:t>https://www.gov.uk/government/publications/record-retention-and-disposition-schedules</w:t>
        </w:r>
      </w:hyperlink>
      <w:r w:rsidRPr="00E66A89">
        <w:rPr>
          <w:rStyle w:val="Hyperlink"/>
          <w:rFonts w:cs="Arial"/>
          <w:szCs w:val="24"/>
        </w:rPr>
        <w:t xml:space="preserve">. </w:t>
      </w:r>
      <w:r w:rsidRPr="00E66A89">
        <w:rPr>
          <w:rFonts w:cs="Arial"/>
          <w:szCs w:val="24"/>
        </w:rPr>
        <w:t xml:space="preserve"> </w:t>
      </w:r>
    </w:p>
    <w:p w14:paraId="2DD0EDE5" w14:textId="77777777" w:rsidR="00E66A89" w:rsidRPr="00E66A89" w:rsidRDefault="00E66A89" w:rsidP="00E66A89">
      <w:pPr>
        <w:spacing w:after="0" w:line="240" w:lineRule="auto"/>
        <w:ind w:left="360"/>
        <w:rPr>
          <w:rFonts w:cs="Arial"/>
          <w:szCs w:val="24"/>
        </w:rPr>
      </w:pPr>
    </w:p>
    <w:p w14:paraId="03A9D82E" w14:textId="66394FA6" w:rsidR="00474B58" w:rsidRDefault="00474B58" w:rsidP="00E66A89">
      <w:pPr>
        <w:pStyle w:val="BodyText"/>
        <w:spacing w:after="0" w:line="240" w:lineRule="auto"/>
      </w:pPr>
    </w:p>
    <w:p w14:paraId="3FB17709" w14:textId="4C5FF694" w:rsidR="00474B58" w:rsidRDefault="00474B58" w:rsidP="00E66A89">
      <w:pPr>
        <w:pStyle w:val="BodyText"/>
        <w:spacing w:after="0" w:line="240" w:lineRule="auto"/>
      </w:pPr>
    </w:p>
    <w:p w14:paraId="18836203" w14:textId="77777777" w:rsidR="00474B58" w:rsidRDefault="00474B58" w:rsidP="00E66A89">
      <w:pPr>
        <w:pStyle w:val="BodyText"/>
        <w:spacing w:after="0" w:line="240" w:lineRule="auto"/>
      </w:pPr>
    </w:p>
    <w:p w14:paraId="583CED60" w14:textId="77777777" w:rsidR="00E66A89" w:rsidRDefault="00E66A89" w:rsidP="00E66A89">
      <w:pPr>
        <w:pStyle w:val="Heading2"/>
      </w:pPr>
      <w:r>
        <w:t xml:space="preserve">The schedule – without TNA classifications </w:t>
      </w:r>
    </w:p>
    <w:tbl>
      <w:tblPr>
        <w:tblStyle w:val="TableGrid"/>
        <w:tblW w:w="0" w:type="auto"/>
        <w:tblLook w:val="04A0" w:firstRow="1" w:lastRow="0" w:firstColumn="1" w:lastColumn="0" w:noHBand="0" w:noVBand="1"/>
      </w:tblPr>
      <w:tblGrid>
        <w:gridCol w:w="846"/>
        <w:gridCol w:w="4536"/>
        <w:gridCol w:w="4246"/>
      </w:tblGrid>
      <w:tr w:rsidR="00E66A89" w:rsidRPr="00E66A89" w14:paraId="15D3E8C2" w14:textId="77777777" w:rsidTr="00474B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AC0BF52" w14:textId="09D8B41B" w:rsidR="00E66A89" w:rsidRPr="00E66A89" w:rsidRDefault="00E66A89" w:rsidP="00E66A89">
            <w:pPr>
              <w:pStyle w:val="Text"/>
              <w:spacing w:after="0"/>
              <w:jc w:val="center"/>
              <w:rPr>
                <w:sz w:val="24"/>
              </w:rPr>
            </w:pPr>
            <w:r w:rsidRPr="00E66A89">
              <w:rPr>
                <w:sz w:val="24"/>
              </w:rPr>
              <w:t>No.</w:t>
            </w:r>
          </w:p>
        </w:tc>
        <w:tc>
          <w:tcPr>
            <w:tcW w:w="4536" w:type="dxa"/>
            <w:vAlign w:val="center"/>
          </w:tcPr>
          <w:p w14:paraId="0F7887AE" w14:textId="3C0AA512" w:rsidR="00E66A89" w:rsidRPr="00E66A89" w:rsidRDefault="00E66A89" w:rsidP="00E66A89">
            <w:pPr>
              <w:pStyle w:val="Text"/>
              <w:spacing w:after="0"/>
              <w:jc w:val="center"/>
              <w:cnfStyle w:val="100000000000" w:firstRow="1" w:lastRow="0" w:firstColumn="0" w:lastColumn="0" w:oddVBand="0" w:evenVBand="0" w:oddHBand="0" w:evenHBand="0" w:firstRowFirstColumn="0" w:firstRowLastColumn="0" w:lastRowFirstColumn="0" w:lastRowLastColumn="0"/>
              <w:rPr>
                <w:sz w:val="24"/>
              </w:rPr>
            </w:pPr>
            <w:r w:rsidRPr="00E66A89">
              <w:rPr>
                <w:sz w:val="24"/>
              </w:rPr>
              <w:t>Record type</w:t>
            </w:r>
          </w:p>
        </w:tc>
        <w:tc>
          <w:tcPr>
            <w:tcW w:w="4246" w:type="dxa"/>
            <w:vAlign w:val="center"/>
          </w:tcPr>
          <w:p w14:paraId="1DF9DE5A" w14:textId="22B59B4F" w:rsidR="00E66A89" w:rsidRPr="00E66A89" w:rsidRDefault="00E66A89" w:rsidP="00E66A89">
            <w:pPr>
              <w:pStyle w:val="Text"/>
              <w:spacing w:after="0"/>
              <w:jc w:val="center"/>
              <w:cnfStyle w:val="100000000000" w:firstRow="1" w:lastRow="0" w:firstColumn="0" w:lastColumn="0" w:oddVBand="0" w:evenVBand="0" w:oddHBand="0" w:evenHBand="0" w:firstRowFirstColumn="0" w:firstRowLastColumn="0" w:lastRowFirstColumn="0" w:lastRowLastColumn="0"/>
              <w:rPr>
                <w:sz w:val="24"/>
              </w:rPr>
            </w:pPr>
            <w:r w:rsidRPr="00E66A89">
              <w:rPr>
                <w:sz w:val="24"/>
              </w:rPr>
              <w:t>Retention and disposition</w:t>
            </w:r>
          </w:p>
        </w:tc>
      </w:tr>
      <w:tr w:rsidR="00E66A89" w:rsidRPr="00E66A89" w14:paraId="14C56001" w14:textId="77777777" w:rsidTr="001B4363">
        <w:tc>
          <w:tcPr>
            <w:cnfStyle w:val="001000000000" w:firstRow="0" w:lastRow="0" w:firstColumn="1" w:lastColumn="0" w:oddVBand="0" w:evenVBand="0" w:oddHBand="0" w:evenHBand="0" w:firstRowFirstColumn="0" w:firstRowLastColumn="0" w:lastRowFirstColumn="0" w:lastRowLastColumn="0"/>
            <w:tcW w:w="9628" w:type="dxa"/>
            <w:gridSpan w:val="3"/>
          </w:tcPr>
          <w:p w14:paraId="570458FA" w14:textId="77777777" w:rsidR="00E66A89" w:rsidRDefault="00E66A89" w:rsidP="00E66A89">
            <w:pPr>
              <w:pStyle w:val="Text"/>
              <w:spacing w:after="0"/>
              <w:jc w:val="center"/>
              <w:rPr>
                <w:sz w:val="24"/>
              </w:rPr>
            </w:pPr>
          </w:p>
          <w:p w14:paraId="57E8F45E" w14:textId="2A012598" w:rsidR="00E66A89" w:rsidRDefault="00E66A89" w:rsidP="00E66A89">
            <w:pPr>
              <w:pStyle w:val="Text"/>
              <w:spacing w:after="0"/>
              <w:jc w:val="center"/>
              <w:rPr>
                <w:color w:val="FF0000"/>
                <w:sz w:val="24"/>
              </w:rPr>
            </w:pPr>
            <w:r w:rsidRPr="00E66A89">
              <w:rPr>
                <w:sz w:val="24"/>
              </w:rPr>
              <w:t>1. Unique records held by</w:t>
            </w:r>
            <w:r w:rsidR="009E6E82">
              <w:rPr>
                <w:sz w:val="24"/>
              </w:rPr>
              <w:t xml:space="preserve"> Language Services</w:t>
            </w:r>
          </w:p>
          <w:p w14:paraId="0AD47CD3" w14:textId="21AF29F2" w:rsidR="00E66A89" w:rsidRPr="00E66A89" w:rsidRDefault="00E66A89" w:rsidP="00E66A89">
            <w:pPr>
              <w:pStyle w:val="Text"/>
              <w:spacing w:after="0"/>
              <w:jc w:val="center"/>
              <w:rPr>
                <w:sz w:val="24"/>
              </w:rPr>
            </w:pPr>
          </w:p>
        </w:tc>
      </w:tr>
      <w:tr w:rsidR="009E6E82" w14:paraId="10B036AF"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7300C66D" w14:textId="77777777" w:rsidR="009E6E82" w:rsidRDefault="009E6E82" w:rsidP="009E6E82">
            <w:pPr>
              <w:pStyle w:val="Text"/>
              <w:numPr>
                <w:ilvl w:val="0"/>
                <w:numId w:val="11"/>
              </w:numPr>
              <w:spacing w:after="0"/>
            </w:pPr>
          </w:p>
        </w:tc>
        <w:tc>
          <w:tcPr>
            <w:tcW w:w="4536" w:type="dxa"/>
            <w:vAlign w:val="center"/>
          </w:tcPr>
          <w:p w14:paraId="15BA29F3"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p>
          <w:p w14:paraId="21E80A9F"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r w:rsidRPr="00E83D47">
              <w:t>MoJ Register of linguist</w:t>
            </w:r>
            <w:r>
              <w:t>s</w:t>
            </w:r>
          </w:p>
          <w:p w14:paraId="7FC9290C"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7368ACD9"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p>
          <w:p w14:paraId="11BBEC48"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Keep for </w:t>
            </w:r>
            <w:r w:rsidRPr="000E7732">
              <w:rPr>
                <w:b/>
                <w:lang w:eastAsia="en-US"/>
              </w:rPr>
              <w:t>six years after contract ends</w:t>
            </w:r>
            <w:r>
              <w:rPr>
                <w:lang w:eastAsia="en-US"/>
              </w:rPr>
              <w:t xml:space="preserve"> and then destroy.</w:t>
            </w:r>
            <w:r>
              <w:rPr>
                <w:rStyle w:val="FootnoteReference"/>
                <w:lang w:eastAsia="en-US"/>
              </w:rPr>
              <w:footnoteReference w:id="3"/>
            </w:r>
          </w:p>
          <w:p w14:paraId="6338AF76"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p>
        </w:tc>
      </w:tr>
      <w:tr w:rsidR="009E6E82" w14:paraId="368F9D4F"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532E91DE" w14:textId="77777777" w:rsidR="009E6E82" w:rsidRDefault="009E6E82" w:rsidP="009E6E82">
            <w:pPr>
              <w:pStyle w:val="Text"/>
              <w:numPr>
                <w:ilvl w:val="0"/>
                <w:numId w:val="11"/>
              </w:numPr>
              <w:spacing w:after="0"/>
            </w:pPr>
          </w:p>
        </w:tc>
        <w:tc>
          <w:tcPr>
            <w:tcW w:w="4536" w:type="dxa"/>
            <w:vAlign w:val="center"/>
          </w:tcPr>
          <w:p w14:paraId="2FC12DF8"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rPr>
                <w:rFonts w:cs="Arial"/>
                <w:color w:val="000000"/>
              </w:rPr>
            </w:pPr>
          </w:p>
          <w:p w14:paraId="210D548B"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Contract management plan</w:t>
            </w:r>
          </w:p>
          <w:p w14:paraId="3C9ED7A0"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34C2F722" w14:textId="17711CFC"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r>
              <w:rPr>
                <w:lang w:eastAsia="en-US"/>
              </w:rPr>
              <w:t xml:space="preserve">Keep for </w:t>
            </w:r>
            <w:r w:rsidRPr="000E7732">
              <w:rPr>
                <w:b/>
                <w:lang w:eastAsia="en-US"/>
              </w:rPr>
              <w:t>six years after contract ends</w:t>
            </w:r>
            <w:r>
              <w:rPr>
                <w:lang w:eastAsia="en-US"/>
              </w:rPr>
              <w:t xml:space="preserve"> and then destroy.</w:t>
            </w:r>
            <w:r>
              <w:rPr>
                <w:rStyle w:val="FootnoteReference"/>
                <w:lang w:eastAsia="en-US"/>
              </w:rPr>
              <w:footnoteReference w:id="4"/>
            </w:r>
          </w:p>
        </w:tc>
      </w:tr>
      <w:tr w:rsidR="009E6E82" w14:paraId="53BD1079"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3E929DE4" w14:textId="77777777" w:rsidR="009E6E82" w:rsidRDefault="009E6E82" w:rsidP="009E6E82">
            <w:pPr>
              <w:pStyle w:val="Text"/>
              <w:numPr>
                <w:ilvl w:val="0"/>
                <w:numId w:val="11"/>
              </w:numPr>
              <w:spacing w:after="0"/>
            </w:pPr>
          </w:p>
        </w:tc>
        <w:tc>
          <w:tcPr>
            <w:tcW w:w="4536" w:type="dxa"/>
            <w:vAlign w:val="center"/>
          </w:tcPr>
          <w:p w14:paraId="47A4AD8F"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rPr>
                <w:rFonts w:cs="Arial"/>
                <w:color w:val="000000"/>
              </w:rPr>
            </w:pPr>
          </w:p>
          <w:p w14:paraId="13A31D7F"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rPr>
                <w:rFonts w:cs="Arial"/>
                <w:color w:val="000000"/>
              </w:rPr>
            </w:pPr>
            <w:r w:rsidRPr="00B56C84">
              <w:rPr>
                <w:rFonts w:cs="Arial"/>
                <w:color w:val="000000"/>
              </w:rPr>
              <w:t xml:space="preserve">Commissioning Bodies - </w:t>
            </w:r>
            <w:r>
              <w:rPr>
                <w:rFonts w:cs="Arial"/>
                <w:color w:val="000000"/>
              </w:rPr>
              <w:t>u</w:t>
            </w:r>
            <w:r w:rsidRPr="00B56C84">
              <w:rPr>
                <w:rFonts w:cs="Arial"/>
                <w:color w:val="000000"/>
              </w:rPr>
              <w:t>ser details</w:t>
            </w:r>
          </w:p>
          <w:p w14:paraId="19C00487"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767A7A91" w14:textId="73AF3CBE"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r>
              <w:rPr>
                <w:lang w:eastAsia="en-US"/>
              </w:rPr>
              <w:t xml:space="preserve">Keep for </w:t>
            </w:r>
            <w:r w:rsidRPr="000E7732">
              <w:rPr>
                <w:b/>
                <w:lang w:eastAsia="en-US"/>
              </w:rPr>
              <w:t>six years after contract ends</w:t>
            </w:r>
            <w:r>
              <w:rPr>
                <w:lang w:eastAsia="en-US"/>
              </w:rPr>
              <w:t xml:space="preserve"> and then destroy.</w:t>
            </w:r>
            <w:r>
              <w:rPr>
                <w:rStyle w:val="FootnoteReference"/>
                <w:lang w:eastAsia="en-US"/>
              </w:rPr>
              <w:footnoteReference w:id="5"/>
            </w:r>
          </w:p>
        </w:tc>
      </w:tr>
      <w:tr w:rsidR="009E6E82" w14:paraId="73EF0B4D"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172DDF48" w14:textId="77777777" w:rsidR="009E6E82" w:rsidRDefault="009E6E82" w:rsidP="009E6E82">
            <w:pPr>
              <w:pStyle w:val="Text"/>
              <w:numPr>
                <w:ilvl w:val="0"/>
                <w:numId w:val="11"/>
              </w:numPr>
              <w:spacing w:after="0"/>
            </w:pPr>
          </w:p>
        </w:tc>
        <w:tc>
          <w:tcPr>
            <w:tcW w:w="4536" w:type="dxa"/>
            <w:vAlign w:val="center"/>
          </w:tcPr>
          <w:p w14:paraId="175AE6B4"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rPr>
                <w:rFonts w:cs="Arial"/>
                <w:color w:val="000000"/>
              </w:rPr>
            </w:pPr>
          </w:p>
          <w:p w14:paraId="15513540" w14:textId="77777777" w:rsidR="009E6E82" w:rsidRDefault="009E6E82" w:rsidP="009E6E82">
            <w:pPr>
              <w:tabs>
                <w:tab w:val="left" w:pos="-720"/>
              </w:tabs>
              <w:suppressAutoHyphens/>
              <w:spacing w:after="0"/>
              <w:cnfStyle w:val="000000000000" w:firstRow="0" w:lastRow="0" w:firstColumn="0" w:lastColumn="0" w:oddVBand="0" w:evenVBand="0" w:oddHBand="0" w:evenHBand="0" w:firstRowFirstColumn="0" w:firstRowLastColumn="0" w:lastRowFirstColumn="0" w:lastRowLastColumn="0"/>
              <w:rPr>
                <w:rFonts w:cs="Arial"/>
              </w:rPr>
            </w:pPr>
            <w:r w:rsidRPr="00245C2E">
              <w:rPr>
                <w:rFonts w:cs="Arial"/>
              </w:rPr>
              <w:t>Assessment Results</w:t>
            </w:r>
            <w:r>
              <w:rPr>
                <w:rFonts w:cs="Arial"/>
              </w:rPr>
              <w:t xml:space="preserve"> including:</w:t>
            </w:r>
          </w:p>
          <w:p w14:paraId="67749205" w14:textId="77777777" w:rsidR="009E6E82" w:rsidRDefault="009E6E82" w:rsidP="009E6E82">
            <w:pPr>
              <w:tabs>
                <w:tab w:val="left" w:pos="-720"/>
              </w:tabs>
              <w:suppressAutoHyphens/>
              <w:spacing w:after="0"/>
              <w:cnfStyle w:val="000000000000" w:firstRow="0" w:lastRow="0" w:firstColumn="0" w:lastColumn="0" w:oddVBand="0" w:evenVBand="0" w:oddHBand="0" w:evenHBand="0" w:firstRowFirstColumn="0" w:firstRowLastColumn="0" w:lastRowFirstColumn="0" w:lastRowLastColumn="0"/>
              <w:rPr>
                <w:rFonts w:cs="Arial"/>
              </w:rPr>
            </w:pPr>
          </w:p>
          <w:p w14:paraId="7E12A560" w14:textId="77777777" w:rsidR="009E6E82" w:rsidRDefault="009E6E82" w:rsidP="009E6E82">
            <w:pPr>
              <w:tabs>
                <w:tab w:val="left" w:pos="-720"/>
              </w:tabs>
              <w:suppressAutoHyphens/>
              <w:spacing w:after="0"/>
              <w:cnfStyle w:val="000000000000" w:firstRow="0" w:lastRow="0" w:firstColumn="0" w:lastColumn="0" w:oddVBand="0" w:evenVBand="0" w:oddHBand="0" w:evenHBand="0" w:firstRowFirstColumn="0" w:firstRowLastColumn="0" w:lastRowFirstColumn="0" w:lastRowLastColumn="0"/>
              <w:rPr>
                <w:rFonts w:cs="Arial"/>
              </w:rPr>
            </w:pPr>
            <w:r w:rsidRPr="00245C2E">
              <w:rPr>
                <w:rFonts w:cs="Arial"/>
              </w:rPr>
              <w:t xml:space="preserve">TLS </w:t>
            </w:r>
            <w:r>
              <w:rPr>
                <w:rFonts w:cs="Arial"/>
              </w:rPr>
              <w:t>(The Language Shop)</w:t>
            </w:r>
          </w:p>
          <w:p w14:paraId="2C5F52BB" w14:textId="77777777" w:rsidR="009E6E82" w:rsidRDefault="009E6E82" w:rsidP="009E6E82">
            <w:pPr>
              <w:tabs>
                <w:tab w:val="left" w:pos="-720"/>
              </w:tabs>
              <w:suppressAutoHyphens/>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Linguist assessment result sheets</w:t>
            </w:r>
          </w:p>
          <w:p w14:paraId="55DB8128"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60F6B79E" w14:textId="6BBBC26A"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BD3577">
              <w:rPr>
                <w:b/>
              </w:rPr>
              <w:t>one year</w:t>
            </w:r>
            <w:r>
              <w:t xml:space="preserve"> from the start of the contract and then destroy</w:t>
            </w:r>
          </w:p>
        </w:tc>
      </w:tr>
      <w:tr w:rsidR="009E6E82" w14:paraId="1EC7E30A"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3491802F" w14:textId="77777777" w:rsidR="009E6E82" w:rsidRDefault="009E6E82" w:rsidP="009E6E82">
            <w:pPr>
              <w:pStyle w:val="Text"/>
              <w:numPr>
                <w:ilvl w:val="0"/>
                <w:numId w:val="11"/>
              </w:numPr>
              <w:spacing w:after="0"/>
            </w:pPr>
          </w:p>
        </w:tc>
        <w:tc>
          <w:tcPr>
            <w:tcW w:w="4536" w:type="dxa"/>
            <w:vAlign w:val="center"/>
          </w:tcPr>
          <w:p w14:paraId="2D792AAA"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p>
          <w:p w14:paraId="1C667E72"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r>
              <w:t>Complaints correspondence</w:t>
            </w:r>
          </w:p>
          <w:p w14:paraId="4CEF649D"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230DA838"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p>
          <w:p w14:paraId="5DFB26C9" w14:textId="7FB55959"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001B2A1F">
              <w:rPr>
                <w:b/>
              </w:rPr>
              <w:t>two</w:t>
            </w:r>
            <w:r w:rsidRPr="00BD3577">
              <w:rPr>
                <w:b/>
              </w:rPr>
              <w:t xml:space="preserve"> year</w:t>
            </w:r>
            <w:r w:rsidR="001B2A1F">
              <w:rPr>
                <w:b/>
              </w:rPr>
              <w:t>s</w:t>
            </w:r>
            <w:r>
              <w:t xml:space="preserve"> from date of last correspondence and then destroy.</w:t>
            </w:r>
          </w:p>
          <w:p w14:paraId="16F3B733" w14:textId="77777777" w:rsidR="009E6E82" w:rsidRDefault="009E6E82" w:rsidP="009E6E82">
            <w:pPr>
              <w:pStyle w:val="Text"/>
              <w:spacing w:after="0"/>
              <w:cnfStyle w:val="000000000000" w:firstRow="0" w:lastRow="0" w:firstColumn="0" w:lastColumn="0" w:oddVBand="0" w:evenVBand="0" w:oddHBand="0" w:evenHBand="0" w:firstRowFirstColumn="0" w:firstRowLastColumn="0" w:lastRowFirstColumn="0" w:lastRowLastColumn="0"/>
            </w:pPr>
          </w:p>
        </w:tc>
      </w:tr>
      <w:tr w:rsidR="00F666E1" w14:paraId="44FE82E4"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7C58EAC5" w14:textId="77777777" w:rsidR="00F666E1" w:rsidRDefault="00F666E1" w:rsidP="00F666E1">
            <w:pPr>
              <w:pStyle w:val="Text"/>
              <w:numPr>
                <w:ilvl w:val="0"/>
                <w:numId w:val="11"/>
              </w:numPr>
              <w:spacing w:after="0"/>
            </w:pPr>
          </w:p>
        </w:tc>
        <w:tc>
          <w:tcPr>
            <w:tcW w:w="4536" w:type="dxa"/>
            <w:vAlign w:val="center"/>
          </w:tcPr>
          <w:p w14:paraId="4722C95F" w14:textId="77777777" w:rsidR="00F666E1" w:rsidRDefault="00F666E1" w:rsidP="00F666E1">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1C94186E" w14:textId="70C84C11" w:rsidR="00F666E1" w:rsidRDefault="00F666E1" w:rsidP="00F666E1">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sidRPr="000A0094">
              <w:rPr>
                <w:lang w:eastAsia="en-US"/>
              </w:rPr>
              <w:t xml:space="preserve">Audit </w:t>
            </w:r>
            <w:r>
              <w:rPr>
                <w:lang w:eastAsia="en-US"/>
              </w:rPr>
              <w:t>r</w:t>
            </w:r>
            <w:r w:rsidRPr="000A0094">
              <w:rPr>
                <w:lang w:eastAsia="en-US"/>
              </w:rPr>
              <w:t xml:space="preserve">eports </w:t>
            </w:r>
            <w:r>
              <w:rPr>
                <w:lang w:eastAsia="en-US"/>
              </w:rPr>
              <w:t>and</w:t>
            </w:r>
            <w:r w:rsidRPr="000A0094">
              <w:rPr>
                <w:lang w:eastAsia="en-US"/>
              </w:rPr>
              <w:t xml:space="preserve"> recommendations</w:t>
            </w:r>
          </w:p>
          <w:p w14:paraId="7A338A6D" w14:textId="77777777" w:rsidR="00F666E1" w:rsidRDefault="00F666E1" w:rsidP="00F666E1">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7E4EEC18" w14:textId="77777777" w:rsidR="00F666E1" w:rsidRDefault="00F666E1" w:rsidP="00F666E1">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69326FC0" w14:textId="77777777" w:rsidR="00F666E1" w:rsidRDefault="00F666E1" w:rsidP="00F666E1">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Keep for </w:t>
            </w:r>
            <w:r w:rsidRPr="00143449">
              <w:rPr>
                <w:b/>
                <w:lang w:eastAsia="en-US"/>
              </w:rPr>
              <w:t>three years</w:t>
            </w:r>
            <w:r>
              <w:rPr>
                <w:lang w:eastAsia="en-US"/>
              </w:rPr>
              <w:t xml:space="preserve"> after recommendations are closed and then destroy</w:t>
            </w:r>
          </w:p>
          <w:p w14:paraId="26527927" w14:textId="62A82F7B" w:rsidR="00F666E1" w:rsidRDefault="00F666E1" w:rsidP="00F666E1">
            <w:pPr>
              <w:pStyle w:val="Text"/>
              <w:spacing w:after="0"/>
              <w:cnfStyle w:val="000000000000" w:firstRow="0" w:lastRow="0" w:firstColumn="0" w:lastColumn="0" w:oddVBand="0" w:evenVBand="0" w:oddHBand="0" w:evenHBand="0" w:firstRowFirstColumn="0" w:firstRowLastColumn="0" w:lastRowFirstColumn="0" w:lastRowLastColumn="0"/>
            </w:pPr>
          </w:p>
        </w:tc>
      </w:tr>
      <w:tr w:rsidR="00E66A89" w14:paraId="14180BF1" w14:textId="77777777" w:rsidTr="00C71D5F">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14:paraId="70C5BE67" w14:textId="77777777" w:rsidR="00E66A89" w:rsidRPr="00E66A89" w:rsidRDefault="00E66A89" w:rsidP="00E66A89">
            <w:pPr>
              <w:pStyle w:val="Text"/>
              <w:spacing w:after="0"/>
              <w:jc w:val="center"/>
              <w:rPr>
                <w:sz w:val="24"/>
              </w:rPr>
            </w:pPr>
          </w:p>
          <w:p w14:paraId="6D266296" w14:textId="77777777" w:rsidR="00E66A89" w:rsidRPr="00E66A89" w:rsidRDefault="00E66A89" w:rsidP="00E66A89">
            <w:pPr>
              <w:pStyle w:val="Text"/>
              <w:spacing w:after="0"/>
              <w:jc w:val="center"/>
              <w:rPr>
                <w:sz w:val="24"/>
              </w:rPr>
            </w:pPr>
            <w:r w:rsidRPr="00E66A89">
              <w:rPr>
                <w:sz w:val="24"/>
              </w:rPr>
              <w:t>2. Records managed by a common retention and disposition policy</w:t>
            </w:r>
          </w:p>
          <w:p w14:paraId="4534C28A" w14:textId="77777777" w:rsidR="00E66A89" w:rsidRDefault="00E66A89" w:rsidP="00E66A89">
            <w:pPr>
              <w:pStyle w:val="Text"/>
              <w:spacing w:after="0"/>
              <w:jc w:val="center"/>
            </w:pPr>
          </w:p>
        </w:tc>
      </w:tr>
      <w:tr w:rsidR="00E66A89" w14:paraId="3CF12434"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34C17995" w14:textId="77777777" w:rsidR="00E66A89" w:rsidRDefault="00E66A89" w:rsidP="00E66A89">
            <w:pPr>
              <w:pStyle w:val="Text"/>
              <w:numPr>
                <w:ilvl w:val="0"/>
                <w:numId w:val="11"/>
              </w:numPr>
              <w:spacing w:after="0"/>
            </w:pPr>
          </w:p>
        </w:tc>
        <w:tc>
          <w:tcPr>
            <w:tcW w:w="4536" w:type="dxa"/>
            <w:vAlign w:val="center"/>
          </w:tcPr>
          <w:p w14:paraId="7D620F69" w14:textId="1DE4C3AC"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rPr>
                <w:lang w:eastAsia="en-US"/>
              </w:rPr>
              <w:t>Signed contracts</w:t>
            </w:r>
          </w:p>
        </w:tc>
        <w:tc>
          <w:tcPr>
            <w:tcW w:w="4246" w:type="dxa"/>
            <w:vAlign w:val="center"/>
          </w:tcPr>
          <w:p w14:paraId="7971C2D2"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1C4BE6E1"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Keep for </w:t>
            </w:r>
            <w:r w:rsidRPr="00905C57">
              <w:rPr>
                <w:b/>
                <w:lang w:eastAsia="en-US"/>
              </w:rPr>
              <w:t>six years</w:t>
            </w:r>
            <w:r>
              <w:rPr>
                <w:lang w:eastAsia="en-US"/>
              </w:rPr>
              <w:t xml:space="preserve"> after contract ends and then destroy.</w:t>
            </w:r>
            <w:r>
              <w:rPr>
                <w:rStyle w:val="FootnoteReference"/>
                <w:lang w:eastAsia="en-US"/>
              </w:rPr>
              <w:footnoteReference w:id="6"/>
            </w:r>
          </w:p>
          <w:p w14:paraId="35F61785"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r>
      <w:tr w:rsidR="00E66A89" w14:paraId="03A196F9"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2B7FA69B" w14:textId="77777777" w:rsidR="00E66A89" w:rsidRDefault="00E66A89" w:rsidP="00E66A89">
            <w:pPr>
              <w:pStyle w:val="Text"/>
              <w:numPr>
                <w:ilvl w:val="0"/>
                <w:numId w:val="11"/>
              </w:numPr>
              <w:spacing w:after="0"/>
            </w:pPr>
          </w:p>
        </w:tc>
        <w:tc>
          <w:tcPr>
            <w:tcW w:w="4536" w:type="dxa"/>
            <w:vAlign w:val="center"/>
          </w:tcPr>
          <w:p w14:paraId="3CDCDAC0"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7FC0D8A1"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Pr>
                <w:lang w:eastAsia="en-US"/>
              </w:rPr>
              <w:t>Contracts: records of performance, meetings, complaints, changes to requirements, variations and extensions</w:t>
            </w:r>
          </w:p>
          <w:p w14:paraId="5B2755A2"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0F0D1314" w14:textId="2443935F"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rPr>
                <w:lang w:eastAsia="en-US"/>
              </w:rPr>
              <w:t xml:space="preserve">Keep for </w:t>
            </w:r>
            <w:r w:rsidRPr="00905C57">
              <w:rPr>
                <w:b/>
                <w:lang w:eastAsia="en-US"/>
              </w:rPr>
              <w:t>six years</w:t>
            </w:r>
            <w:r>
              <w:rPr>
                <w:lang w:eastAsia="en-US"/>
              </w:rPr>
              <w:t xml:space="preserve"> after contract ends and then destroy.</w:t>
            </w:r>
            <w:r>
              <w:rPr>
                <w:rStyle w:val="FootnoteReference"/>
                <w:lang w:eastAsia="en-US"/>
              </w:rPr>
              <w:footnoteReference w:id="7"/>
            </w:r>
          </w:p>
        </w:tc>
      </w:tr>
      <w:tr w:rsidR="00E66A89" w14:paraId="18EBFF89"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2A567691" w14:textId="77777777" w:rsidR="00E66A89" w:rsidRDefault="00E66A89" w:rsidP="00E66A89">
            <w:pPr>
              <w:pStyle w:val="Text"/>
              <w:numPr>
                <w:ilvl w:val="0"/>
                <w:numId w:val="11"/>
              </w:numPr>
              <w:spacing w:after="0"/>
            </w:pPr>
          </w:p>
        </w:tc>
        <w:tc>
          <w:tcPr>
            <w:tcW w:w="4536" w:type="dxa"/>
            <w:vAlign w:val="center"/>
          </w:tcPr>
          <w:p w14:paraId="0229BE9D"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168240AA"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Pr>
                <w:lang w:eastAsia="en-US"/>
              </w:rPr>
              <w:t>HR information (held by line managers)</w:t>
            </w:r>
          </w:p>
          <w:p w14:paraId="520F5BE3"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3244EAAF" w14:textId="1DF77302"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rPr>
                <w:lang w:eastAsia="en-US"/>
              </w:rPr>
              <w:t xml:space="preserve">Destroy in line with the </w:t>
            </w:r>
            <w:r>
              <w:rPr>
                <w:i/>
                <w:lang w:eastAsia="en-US"/>
              </w:rPr>
              <w:t>What to keep</w:t>
            </w:r>
            <w:r>
              <w:rPr>
                <w:lang w:eastAsia="en-US"/>
              </w:rPr>
              <w:t xml:space="preserve"> </w:t>
            </w:r>
            <w:r>
              <w:rPr>
                <w:rStyle w:val="FootnoteReference"/>
                <w:lang w:eastAsia="en-US"/>
              </w:rPr>
              <w:footnoteReference w:id="8"/>
            </w:r>
            <w:r>
              <w:rPr>
                <w:lang w:eastAsia="en-US"/>
              </w:rPr>
              <w:t>guidance</w:t>
            </w:r>
          </w:p>
        </w:tc>
      </w:tr>
      <w:tr w:rsidR="00E66A89" w14:paraId="37BDFEB3"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2A0E24C3" w14:textId="77777777" w:rsidR="00E66A89" w:rsidRDefault="00E66A89" w:rsidP="00E66A89">
            <w:pPr>
              <w:pStyle w:val="Text"/>
              <w:numPr>
                <w:ilvl w:val="0"/>
                <w:numId w:val="11"/>
              </w:numPr>
              <w:spacing w:after="0"/>
            </w:pPr>
          </w:p>
        </w:tc>
        <w:tc>
          <w:tcPr>
            <w:tcW w:w="4536" w:type="dxa"/>
            <w:vAlign w:val="center"/>
          </w:tcPr>
          <w:p w14:paraId="7BA51990" w14:textId="279EF725"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rsidRPr="003B50BC">
              <w:rPr>
                <w:rFonts w:cs="Arial"/>
              </w:rPr>
              <w:t>Freedom of Information Act and Data Protection Act responses</w:t>
            </w:r>
          </w:p>
        </w:tc>
        <w:tc>
          <w:tcPr>
            <w:tcW w:w="4246" w:type="dxa"/>
            <w:vAlign w:val="center"/>
          </w:tcPr>
          <w:p w14:paraId="187C1498" w14:textId="77777777" w:rsidR="00E66A89" w:rsidRDefault="00E66A89" w:rsidP="00E66A89">
            <w:pPr>
              <w:spacing w:after="0"/>
              <w:cnfStyle w:val="000000000000" w:firstRow="0" w:lastRow="0" w:firstColumn="0" w:lastColumn="0" w:oddVBand="0" w:evenVBand="0" w:oddHBand="0" w:evenHBand="0" w:firstRowFirstColumn="0" w:firstRowLastColumn="0" w:lastRowFirstColumn="0" w:lastRowLastColumn="0"/>
              <w:rPr>
                <w:rFonts w:cs="Arial"/>
              </w:rPr>
            </w:pPr>
          </w:p>
          <w:p w14:paraId="6B2ED000" w14:textId="77777777" w:rsidR="00E66A89" w:rsidRDefault="00E66A89" w:rsidP="006B61D2">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Folders are closed annually. </w:t>
            </w:r>
          </w:p>
          <w:p w14:paraId="7DEE8675" w14:textId="77777777" w:rsidR="00E66A89" w:rsidRPr="00EE1733" w:rsidRDefault="00E66A89" w:rsidP="006B61D2">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rPr>
                <w:rFonts w:cs="Arial"/>
                <w:szCs w:val="22"/>
              </w:rPr>
            </w:pPr>
            <w:r w:rsidRPr="00EE1733">
              <w:rPr>
                <w:rFonts w:cs="Arial"/>
                <w:szCs w:val="22"/>
              </w:rPr>
              <w:t xml:space="preserve">ICO investigations should be kept for </w:t>
            </w:r>
            <w:r w:rsidRPr="00EE1733">
              <w:rPr>
                <w:rFonts w:cs="Arial"/>
                <w:b/>
                <w:szCs w:val="22"/>
              </w:rPr>
              <w:t xml:space="preserve">four years </w:t>
            </w:r>
            <w:r w:rsidRPr="00EE1733">
              <w:rPr>
                <w:rFonts w:cs="Arial"/>
                <w:szCs w:val="22"/>
              </w:rPr>
              <w:t>from the date of the last correspondence and then destroyed.</w:t>
            </w:r>
          </w:p>
          <w:p w14:paraId="42A93D73" w14:textId="77777777" w:rsidR="00E66A89" w:rsidRPr="00EE1733" w:rsidRDefault="00E66A89" w:rsidP="006B61D2">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rPr>
                <w:rFonts w:cs="Arial"/>
                <w:szCs w:val="22"/>
              </w:rPr>
            </w:pPr>
            <w:r w:rsidRPr="00EE1733">
              <w:rPr>
                <w:rFonts w:cs="Arial"/>
                <w:szCs w:val="22"/>
              </w:rPr>
              <w:t xml:space="preserve">All other responses should be kept for </w:t>
            </w:r>
            <w:r w:rsidRPr="00EE1733">
              <w:rPr>
                <w:rFonts w:cs="Arial"/>
                <w:b/>
                <w:szCs w:val="22"/>
              </w:rPr>
              <w:t>three years</w:t>
            </w:r>
            <w:r w:rsidRPr="00EE1733">
              <w:rPr>
                <w:rFonts w:cs="Arial"/>
                <w:szCs w:val="22"/>
              </w:rPr>
              <w:t xml:space="preserve"> after the date of the last correspondence and then destroyed.</w:t>
            </w:r>
          </w:p>
          <w:p w14:paraId="07D2A985"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r>
      <w:tr w:rsidR="00474B58" w14:paraId="1DE11841"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427348AD" w14:textId="77777777" w:rsidR="00474B58" w:rsidRDefault="00474B58" w:rsidP="00474B58">
            <w:pPr>
              <w:pStyle w:val="Text"/>
              <w:numPr>
                <w:ilvl w:val="0"/>
                <w:numId w:val="11"/>
              </w:numPr>
              <w:spacing w:after="0"/>
            </w:pPr>
          </w:p>
        </w:tc>
        <w:tc>
          <w:tcPr>
            <w:tcW w:w="4536" w:type="dxa"/>
            <w:vAlign w:val="center"/>
          </w:tcPr>
          <w:p w14:paraId="5BB7F1FB" w14:textId="5FBF18D5"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r>
              <w:rPr>
                <w:rFonts w:cs="Arial"/>
              </w:rPr>
              <w:t>Data loss incident records</w:t>
            </w:r>
          </w:p>
        </w:tc>
        <w:tc>
          <w:tcPr>
            <w:tcW w:w="4246" w:type="dxa"/>
            <w:vAlign w:val="center"/>
          </w:tcPr>
          <w:p w14:paraId="41289CD7" w14:textId="77777777"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p>
          <w:p w14:paraId="4E15A871" w14:textId="77777777"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BD3577">
              <w:rPr>
                <w:b/>
              </w:rPr>
              <w:t>three years</w:t>
            </w:r>
            <w:r>
              <w:t xml:space="preserve"> from incident closure and then destroy</w:t>
            </w:r>
          </w:p>
          <w:p w14:paraId="3ACB21EB" w14:textId="77777777"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p>
        </w:tc>
      </w:tr>
      <w:tr w:rsidR="00E15A57" w14:paraId="59063DBC"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654CFBFF" w14:textId="77777777" w:rsidR="00E15A57" w:rsidRDefault="00E15A57" w:rsidP="00E15A57">
            <w:pPr>
              <w:pStyle w:val="Text"/>
              <w:spacing w:after="0"/>
              <w:ind w:left="360"/>
            </w:pPr>
          </w:p>
        </w:tc>
        <w:tc>
          <w:tcPr>
            <w:tcW w:w="4536" w:type="dxa"/>
            <w:vAlign w:val="center"/>
          </w:tcPr>
          <w:p w14:paraId="556C555B" w14:textId="77777777" w:rsidR="00E15A57" w:rsidRDefault="00E15A57" w:rsidP="00474B58">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tc>
        <w:tc>
          <w:tcPr>
            <w:tcW w:w="4246" w:type="dxa"/>
            <w:vAlign w:val="center"/>
          </w:tcPr>
          <w:p w14:paraId="3813573B" w14:textId="77777777" w:rsidR="00E15A57" w:rsidRDefault="00E15A57" w:rsidP="00474B58">
            <w:pPr>
              <w:pStyle w:val="Text"/>
              <w:spacing w:after="0"/>
              <w:cnfStyle w:val="000000000000" w:firstRow="0" w:lastRow="0" w:firstColumn="0" w:lastColumn="0" w:oddVBand="0" w:evenVBand="0" w:oddHBand="0" w:evenHBand="0" w:firstRowFirstColumn="0" w:firstRowLastColumn="0" w:lastRowFirstColumn="0" w:lastRowLastColumn="0"/>
            </w:pPr>
          </w:p>
        </w:tc>
      </w:tr>
      <w:tr w:rsidR="00E66A89" w14:paraId="376BDEE7"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3384B974" w14:textId="77777777" w:rsidR="00E66A89" w:rsidRDefault="00E66A89" w:rsidP="00E66A89">
            <w:pPr>
              <w:pStyle w:val="Text"/>
              <w:numPr>
                <w:ilvl w:val="0"/>
                <w:numId w:val="11"/>
              </w:numPr>
              <w:spacing w:after="0"/>
            </w:pPr>
          </w:p>
        </w:tc>
        <w:tc>
          <w:tcPr>
            <w:tcW w:w="4536" w:type="dxa"/>
            <w:vAlign w:val="center"/>
          </w:tcPr>
          <w:p w14:paraId="60874C3B"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41844CAC"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t>Ministerial Cases (MCs)</w:t>
            </w:r>
          </w:p>
          <w:p w14:paraId="05CB73C2"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0B7E4924"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06C897B7"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sidRPr="00D64F7D">
              <w:rPr>
                <w:rFonts w:cs="Arial"/>
              </w:rPr>
              <w:t xml:space="preserve">Destroy </w:t>
            </w:r>
            <w:r w:rsidRPr="00905C57">
              <w:rPr>
                <w:rFonts w:cs="Arial"/>
                <w:b/>
              </w:rPr>
              <w:t>five years</w:t>
            </w:r>
            <w:r w:rsidRPr="00D64F7D">
              <w:rPr>
                <w:rFonts w:cs="Arial"/>
              </w:rPr>
              <w:t xml:space="preserve"> after date of response unless there is ongoing correspondence</w:t>
            </w:r>
            <w:r>
              <w:rPr>
                <w:rFonts w:cs="Arial"/>
              </w:rPr>
              <w:t>, in which case keep until five years from the date of the last correspondence and then destroy.</w:t>
            </w:r>
          </w:p>
          <w:p w14:paraId="69247A11"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r>
      <w:tr w:rsidR="00474B58" w14:paraId="34C3F950"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6C00D0CC" w14:textId="77777777" w:rsidR="00474B58" w:rsidRDefault="00474B58" w:rsidP="00474B58">
            <w:pPr>
              <w:pStyle w:val="Text"/>
              <w:numPr>
                <w:ilvl w:val="0"/>
                <w:numId w:val="11"/>
              </w:numPr>
              <w:spacing w:after="0"/>
            </w:pPr>
          </w:p>
        </w:tc>
        <w:tc>
          <w:tcPr>
            <w:tcW w:w="4536" w:type="dxa"/>
            <w:vAlign w:val="center"/>
          </w:tcPr>
          <w:p w14:paraId="355C6005" w14:textId="77777777"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p>
          <w:p w14:paraId="33DC6068" w14:textId="77777777"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r>
              <w:t>Treat Official correspondence (TOs)</w:t>
            </w:r>
          </w:p>
          <w:p w14:paraId="765714D2" w14:textId="5C048B2F"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286B3F4A" w14:textId="77777777"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p>
          <w:p w14:paraId="3567B4A1" w14:textId="77777777"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two years</w:t>
            </w:r>
            <w:r>
              <w:t xml:space="preserve"> from date of last correspondence and then destroy.</w:t>
            </w:r>
          </w:p>
          <w:p w14:paraId="05C6C018" w14:textId="77777777"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p>
        </w:tc>
      </w:tr>
      <w:tr w:rsidR="00474B58" w14:paraId="7F45BC53"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1F729BBD" w14:textId="77777777" w:rsidR="00474B58" w:rsidRDefault="00474B58" w:rsidP="00474B58">
            <w:pPr>
              <w:pStyle w:val="Text"/>
              <w:numPr>
                <w:ilvl w:val="0"/>
                <w:numId w:val="11"/>
              </w:numPr>
              <w:spacing w:after="0"/>
            </w:pPr>
          </w:p>
        </w:tc>
        <w:tc>
          <w:tcPr>
            <w:tcW w:w="4536" w:type="dxa"/>
            <w:vAlign w:val="center"/>
          </w:tcPr>
          <w:p w14:paraId="1CD3EC4B" w14:textId="77777777"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p>
          <w:p w14:paraId="091CBD23" w14:textId="77777777"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r w:rsidRPr="001C4F0C">
              <w:t>Parliamentary Questions (PQs)</w:t>
            </w:r>
          </w:p>
          <w:p w14:paraId="0ACD5D62" w14:textId="77777777"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2E908A8F" w14:textId="77777777"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p>
          <w:p w14:paraId="7A20552E" w14:textId="77777777"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r>
              <w:t>Store in folders by financial/calendar year which are closed annually.</w:t>
            </w:r>
          </w:p>
          <w:p w14:paraId="4570BF9F" w14:textId="77777777"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BD3577">
              <w:rPr>
                <w:b/>
              </w:rPr>
              <w:t>one year</w:t>
            </w:r>
            <w:r>
              <w:t xml:space="preserve"> after closure and then destroy.</w:t>
            </w:r>
          </w:p>
          <w:p w14:paraId="0384232A" w14:textId="77777777" w:rsidR="00474B58" w:rsidRDefault="00474B58" w:rsidP="00474B58">
            <w:pPr>
              <w:pStyle w:val="Text"/>
              <w:spacing w:after="0"/>
              <w:cnfStyle w:val="000000000000" w:firstRow="0" w:lastRow="0" w:firstColumn="0" w:lastColumn="0" w:oddVBand="0" w:evenVBand="0" w:oddHBand="0" w:evenHBand="0" w:firstRowFirstColumn="0" w:firstRowLastColumn="0" w:lastRowFirstColumn="0" w:lastRowLastColumn="0"/>
            </w:pPr>
          </w:p>
        </w:tc>
      </w:tr>
      <w:tr w:rsidR="00E66A89" w14:paraId="3191920F"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7DC423CB" w14:textId="77777777" w:rsidR="00E66A89" w:rsidRDefault="00E66A89" w:rsidP="00E66A89">
            <w:pPr>
              <w:pStyle w:val="Text"/>
              <w:numPr>
                <w:ilvl w:val="0"/>
                <w:numId w:val="11"/>
              </w:numPr>
              <w:spacing w:after="0"/>
            </w:pPr>
          </w:p>
        </w:tc>
        <w:tc>
          <w:tcPr>
            <w:tcW w:w="4536" w:type="dxa"/>
            <w:vAlign w:val="center"/>
          </w:tcPr>
          <w:p w14:paraId="253F72FF"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0E2B7682"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t>Finance and risk management</w:t>
            </w:r>
          </w:p>
          <w:p w14:paraId="689E20A0"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346E12D9"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7DD5DC74"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t>Store in folders by financial year which are closed annually.</w:t>
            </w:r>
          </w:p>
          <w:p w14:paraId="1077553D"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905C57">
              <w:rPr>
                <w:b/>
              </w:rPr>
              <w:t>seven years</w:t>
            </w:r>
            <w:r>
              <w:t xml:space="preserve"> after closure and then destroy.</w:t>
            </w:r>
          </w:p>
          <w:p w14:paraId="155679F6"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r>
      <w:tr w:rsidR="00E66A89" w14:paraId="223B8441"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2465A496" w14:textId="77777777" w:rsidR="00E66A89" w:rsidRDefault="00E66A89" w:rsidP="00E66A89">
            <w:pPr>
              <w:pStyle w:val="Text"/>
              <w:numPr>
                <w:ilvl w:val="0"/>
                <w:numId w:val="11"/>
              </w:numPr>
              <w:spacing w:after="0"/>
            </w:pPr>
          </w:p>
        </w:tc>
        <w:tc>
          <w:tcPr>
            <w:tcW w:w="4536" w:type="dxa"/>
            <w:vAlign w:val="center"/>
          </w:tcPr>
          <w:p w14:paraId="4D0DCBD1"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2550F5C8"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t>Business continuity plans</w:t>
            </w:r>
          </w:p>
          <w:p w14:paraId="6A67E734"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2DF1BFDE"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2E5A62B1"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t xml:space="preserve">Updated annually. Keep previous versions for </w:t>
            </w:r>
            <w:r w:rsidRPr="00905C57">
              <w:rPr>
                <w:b/>
              </w:rPr>
              <w:t>three years</w:t>
            </w:r>
            <w:r>
              <w:t xml:space="preserve"> and then destroy.</w:t>
            </w:r>
          </w:p>
          <w:p w14:paraId="2F1DB87E"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r>
      <w:tr w:rsidR="00E66A89" w14:paraId="31D367FF"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5C40F1EA" w14:textId="77777777" w:rsidR="00E66A89" w:rsidRDefault="00E66A89" w:rsidP="00E66A89">
            <w:pPr>
              <w:pStyle w:val="Text"/>
              <w:numPr>
                <w:ilvl w:val="0"/>
                <w:numId w:val="11"/>
              </w:numPr>
              <w:spacing w:after="0"/>
            </w:pPr>
          </w:p>
        </w:tc>
        <w:tc>
          <w:tcPr>
            <w:tcW w:w="4536" w:type="dxa"/>
            <w:vAlign w:val="center"/>
          </w:tcPr>
          <w:p w14:paraId="275C7D88"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22489736"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t>All other types of record not specified above, including copies of records which are owned by other business areas</w:t>
            </w:r>
            <w:r>
              <w:rPr>
                <w:rStyle w:val="FootnoteReference"/>
              </w:rPr>
              <w:footnoteReference w:id="9"/>
            </w:r>
          </w:p>
          <w:p w14:paraId="428D8928"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4AD393A1" w14:textId="34450C5D"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905C57">
              <w:rPr>
                <w:b/>
              </w:rPr>
              <w:t>three years</w:t>
            </w:r>
            <w:r>
              <w:t xml:space="preserve"> and then destroy.</w:t>
            </w:r>
          </w:p>
        </w:tc>
      </w:tr>
    </w:tbl>
    <w:p w14:paraId="0B902433" w14:textId="77777777" w:rsidR="00E66A89" w:rsidRDefault="00E66A89" w:rsidP="00526855">
      <w:pPr>
        <w:pStyle w:val="BodyText"/>
      </w:pPr>
    </w:p>
    <w:p w14:paraId="4A172B17" w14:textId="77777777" w:rsidR="00E66A89" w:rsidRPr="00671C3D" w:rsidRDefault="00E66A89" w:rsidP="00E66A89">
      <w:pPr>
        <w:spacing w:after="0"/>
        <w:rPr>
          <w:rFonts w:cs="Arial"/>
        </w:rPr>
      </w:pPr>
      <w:r>
        <w:rPr>
          <w:rFonts w:cs="Arial"/>
        </w:rPr>
        <w:t>Philip Dawkins</w:t>
      </w:r>
    </w:p>
    <w:p w14:paraId="75DCF096" w14:textId="77777777" w:rsidR="00E66A89" w:rsidRPr="00671C3D" w:rsidRDefault="00E66A89" w:rsidP="00E66A89">
      <w:pPr>
        <w:pStyle w:val="NormalWeb"/>
        <w:spacing w:before="0" w:beforeAutospacing="0" w:after="0" w:afterAutospacing="0"/>
        <w:rPr>
          <w:rFonts w:ascii="Arial" w:hAnsi="Arial" w:cs="Arial"/>
          <w:sz w:val="22"/>
          <w:szCs w:val="22"/>
        </w:rPr>
      </w:pPr>
      <w:r w:rsidRPr="00671C3D">
        <w:rPr>
          <w:rFonts w:ascii="Arial" w:hAnsi="Arial" w:cs="Arial"/>
          <w:color w:val="000000"/>
          <w:sz w:val="22"/>
          <w:szCs w:val="22"/>
        </w:rPr>
        <w:t>Departmental Records Officer</w:t>
      </w:r>
      <w:r w:rsidRPr="00671C3D">
        <w:rPr>
          <w:rFonts w:ascii="Arial" w:hAnsi="Arial" w:cs="Arial"/>
          <w:sz w:val="22"/>
          <w:szCs w:val="22"/>
        </w:rPr>
        <w:t xml:space="preserve"> </w:t>
      </w:r>
      <w:r w:rsidRPr="00671C3D">
        <w:rPr>
          <w:rFonts w:ascii="Arial" w:hAnsi="Arial" w:cs="Arial"/>
          <w:sz w:val="22"/>
          <w:szCs w:val="22"/>
        </w:rPr>
        <w:br/>
      </w:r>
      <w:r w:rsidRPr="00671C3D">
        <w:rPr>
          <w:rFonts w:ascii="Arial" w:hAnsi="Arial" w:cs="Arial"/>
          <w:color w:val="000000"/>
          <w:sz w:val="22"/>
          <w:szCs w:val="22"/>
        </w:rPr>
        <w:t>Ministry of Justice</w:t>
      </w:r>
      <w:r w:rsidRPr="00671C3D">
        <w:rPr>
          <w:rFonts w:ascii="Arial" w:hAnsi="Arial" w:cs="Arial"/>
          <w:sz w:val="22"/>
          <w:szCs w:val="22"/>
        </w:rPr>
        <w:t xml:space="preserve"> </w:t>
      </w:r>
      <w:r w:rsidRPr="00671C3D">
        <w:rPr>
          <w:rFonts w:ascii="Arial" w:hAnsi="Arial" w:cs="Arial"/>
          <w:sz w:val="22"/>
          <w:szCs w:val="22"/>
        </w:rPr>
        <w:br/>
      </w:r>
      <w:r w:rsidRPr="00671C3D">
        <w:rPr>
          <w:rFonts w:ascii="Arial" w:hAnsi="Arial" w:cs="Arial"/>
          <w:color w:val="000000"/>
          <w:sz w:val="22"/>
          <w:szCs w:val="22"/>
        </w:rPr>
        <w:t>102 Petty France</w:t>
      </w:r>
      <w:r w:rsidRPr="00671C3D">
        <w:rPr>
          <w:rFonts w:ascii="Arial" w:hAnsi="Arial" w:cs="Arial"/>
          <w:sz w:val="22"/>
          <w:szCs w:val="22"/>
        </w:rPr>
        <w:t xml:space="preserve"> </w:t>
      </w:r>
      <w:r w:rsidRPr="00671C3D">
        <w:rPr>
          <w:rFonts w:ascii="Arial" w:hAnsi="Arial" w:cs="Arial"/>
          <w:sz w:val="22"/>
          <w:szCs w:val="22"/>
        </w:rPr>
        <w:br/>
      </w:r>
      <w:r>
        <w:rPr>
          <w:rFonts w:ascii="Arial" w:hAnsi="Arial" w:cs="Arial"/>
          <w:color w:val="000000"/>
          <w:sz w:val="22"/>
          <w:szCs w:val="22"/>
        </w:rPr>
        <w:t xml:space="preserve">London </w:t>
      </w:r>
      <w:r w:rsidRPr="00671C3D">
        <w:rPr>
          <w:rFonts w:ascii="Arial" w:hAnsi="Arial" w:cs="Arial"/>
          <w:color w:val="000000"/>
          <w:sz w:val="22"/>
          <w:szCs w:val="22"/>
        </w:rPr>
        <w:t>SW1H 9AJ</w:t>
      </w:r>
      <w:r w:rsidRPr="00671C3D">
        <w:rPr>
          <w:rFonts w:ascii="Arial" w:hAnsi="Arial" w:cs="Arial"/>
          <w:sz w:val="22"/>
          <w:szCs w:val="22"/>
        </w:rPr>
        <w:t xml:space="preserve"> </w:t>
      </w:r>
    </w:p>
    <w:p w14:paraId="132729B1" w14:textId="77777777" w:rsidR="00E15A57" w:rsidRDefault="00E15A57" w:rsidP="00E66A89">
      <w:pPr>
        <w:pStyle w:val="NormalWeb"/>
        <w:spacing w:before="0" w:beforeAutospacing="0" w:after="0" w:afterAutospacing="0"/>
        <w:rPr>
          <w:rFonts w:ascii="Arial" w:hAnsi="Arial" w:cs="Arial"/>
          <w:b/>
          <w:sz w:val="22"/>
          <w:szCs w:val="22"/>
        </w:rPr>
      </w:pPr>
    </w:p>
    <w:p w14:paraId="3806A586" w14:textId="10D2C003" w:rsidR="00E66A89" w:rsidRDefault="00E66A89" w:rsidP="00E66A89">
      <w:pPr>
        <w:pStyle w:val="NormalWeb"/>
        <w:spacing w:before="0" w:beforeAutospacing="0" w:after="0" w:afterAutospacing="0"/>
        <w:rPr>
          <w:rFonts w:ascii="Arial" w:hAnsi="Arial" w:cs="Arial"/>
          <w:b/>
          <w:sz w:val="22"/>
          <w:szCs w:val="22"/>
        </w:rPr>
      </w:pPr>
      <w:r>
        <w:rPr>
          <w:rFonts w:ascii="Arial" w:hAnsi="Arial" w:cs="Arial"/>
          <w:b/>
          <w:sz w:val="22"/>
          <w:szCs w:val="22"/>
        </w:rPr>
        <w:t xml:space="preserve">Signed: </w:t>
      </w:r>
      <w:r w:rsidR="00561A72">
        <w:rPr>
          <w:rFonts w:ascii="Arial" w:hAnsi="Arial" w:cs="Arial"/>
          <w:b/>
          <w:sz w:val="22"/>
          <w:szCs w:val="22"/>
        </w:rPr>
        <w:t>03</w:t>
      </w:r>
      <w:r>
        <w:rPr>
          <w:rFonts w:ascii="Arial" w:hAnsi="Arial" w:cs="Arial"/>
          <w:b/>
          <w:sz w:val="22"/>
          <w:szCs w:val="22"/>
        </w:rPr>
        <w:t xml:space="preserve"> </w:t>
      </w:r>
      <w:r w:rsidR="00561A72">
        <w:rPr>
          <w:rFonts w:ascii="Arial" w:hAnsi="Arial" w:cs="Arial"/>
          <w:b/>
          <w:sz w:val="22"/>
          <w:szCs w:val="22"/>
        </w:rPr>
        <w:t>Oct</w:t>
      </w:r>
      <w:r>
        <w:rPr>
          <w:rFonts w:ascii="Arial" w:hAnsi="Arial" w:cs="Arial"/>
          <w:b/>
          <w:sz w:val="22"/>
          <w:szCs w:val="22"/>
        </w:rPr>
        <w:t xml:space="preserve"> 20</w:t>
      </w:r>
      <w:r w:rsidR="00561A72">
        <w:rPr>
          <w:rFonts w:ascii="Arial" w:hAnsi="Arial" w:cs="Arial"/>
          <w:b/>
          <w:sz w:val="22"/>
          <w:szCs w:val="22"/>
        </w:rPr>
        <w:t>19</w:t>
      </w:r>
    </w:p>
    <w:p w14:paraId="7208E968" w14:textId="77777777" w:rsidR="00E66A89" w:rsidRDefault="00E66A89" w:rsidP="00E66A89">
      <w:pPr>
        <w:pStyle w:val="Text"/>
        <w:spacing w:after="0"/>
      </w:pPr>
    </w:p>
    <w:p w14:paraId="7786BDEF" w14:textId="77777777" w:rsidR="00515316" w:rsidRDefault="00515316" w:rsidP="00526855">
      <w:pPr>
        <w:pStyle w:val="BodyText"/>
      </w:pPr>
    </w:p>
    <w:sectPr w:rsidR="00515316" w:rsidSect="00F507D8">
      <w:footerReference w:type="default" r:id="rId14"/>
      <w:headerReference w:type="first" r:id="rId15"/>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07D2D" w14:textId="77777777" w:rsidR="00B91315" w:rsidRDefault="00B91315" w:rsidP="00B91315">
      <w:pPr>
        <w:spacing w:after="0" w:line="240" w:lineRule="auto"/>
      </w:pPr>
      <w:r>
        <w:separator/>
      </w:r>
    </w:p>
  </w:endnote>
  <w:endnote w:type="continuationSeparator" w:id="0">
    <w:p w14:paraId="242277F7" w14:textId="77777777" w:rsidR="00B91315" w:rsidRDefault="00B91315" w:rsidP="00B9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C5B2" w14:textId="532613CF" w:rsidR="009A1CE1" w:rsidRDefault="00990242">
    <w:pPr>
      <w:pStyle w:val="Footer"/>
    </w:pPr>
    <w:r>
      <w:fldChar w:fldCharType="begin"/>
    </w:r>
    <w:r>
      <w:instrText xml:space="preserve"> PAGE   \* MERGEFORMAT </w:instrText>
    </w:r>
    <w:r>
      <w:fldChar w:fldCharType="separate"/>
    </w:r>
    <w:r w:rsidR="005C7D7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AB2D" w14:textId="77777777" w:rsidR="00B91315" w:rsidRDefault="00B91315" w:rsidP="00B91315">
      <w:pPr>
        <w:spacing w:after="0" w:line="240" w:lineRule="auto"/>
      </w:pPr>
      <w:r>
        <w:separator/>
      </w:r>
    </w:p>
  </w:footnote>
  <w:footnote w:type="continuationSeparator" w:id="0">
    <w:p w14:paraId="5698187E" w14:textId="77777777" w:rsidR="00B91315" w:rsidRDefault="00B91315" w:rsidP="00B91315">
      <w:pPr>
        <w:spacing w:after="0" w:line="240" w:lineRule="auto"/>
      </w:pPr>
      <w:r>
        <w:continuationSeparator/>
      </w:r>
    </w:p>
  </w:footnote>
  <w:footnote w:id="1">
    <w:p w14:paraId="0F2BF1D1" w14:textId="77777777" w:rsidR="007A7B96" w:rsidRPr="007A7B96" w:rsidRDefault="007A7B96" w:rsidP="007A7B96">
      <w:pPr>
        <w:pStyle w:val="FootnoteText"/>
        <w:rPr>
          <w:sz w:val="18"/>
          <w:szCs w:val="18"/>
        </w:rPr>
      </w:pPr>
      <w:r w:rsidRPr="007A7B96">
        <w:rPr>
          <w:rStyle w:val="FootnoteReference"/>
          <w:sz w:val="18"/>
          <w:szCs w:val="18"/>
        </w:rPr>
        <w:footnoteRef/>
      </w:r>
      <w:r w:rsidRPr="007A7B96">
        <w:rPr>
          <w:sz w:val="18"/>
          <w:szCs w:val="18"/>
        </w:rPr>
        <w:t xml:space="preserve"> The text of the EU Directive on the right to interpretation and translation in criminal proceedings can be read at: </w:t>
      </w:r>
      <w:hyperlink r:id="rId1" w:history="1">
        <w:r w:rsidRPr="007A7B96">
          <w:rPr>
            <w:rStyle w:val="Hyperlink"/>
            <w:color w:val="0000CC"/>
            <w:sz w:val="18"/>
            <w:szCs w:val="18"/>
          </w:rPr>
          <w:t>https://eur-lex.europa.eu/legal-content/EN/TXT/PDF/?uri=CELEX:32010L0064&amp;from=EN</w:t>
        </w:r>
      </w:hyperlink>
      <w:r w:rsidRPr="007A7B96">
        <w:rPr>
          <w:sz w:val="18"/>
          <w:szCs w:val="18"/>
        </w:rPr>
        <w:t xml:space="preserve"> </w:t>
      </w:r>
    </w:p>
  </w:footnote>
  <w:footnote w:id="2">
    <w:p w14:paraId="4CD7CD90" w14:textId="77777777" w:rsidR="00E66A89" w:rsidRPr="00E66A89" w:rsidRDefault="00E66A89" w:rsidP="00E66A89">
      <w:pPr>
        <w:pStyle w:val="FootnoteText"/>
        <w:rPr>
          <w:sz w:val="18"/>
          <w:szCs w:val="18"/>
        </w:rPr>
      </w:pPr>
      <w:r w:rsidRPr="00E66A89">
        <w:rPr>
          <w:rStyle w:val="FootnoteReference"/>
          <w:sz w:val="18"/>
          <w:szCs w:val="18"/>
        </w:rPr>
        <w:footnoteRef/>
      </w:r>
      <w:r w:rsidRPr="00E66A89">
        <w:rPr>
          <w:sz w:val="18"/>
          <w:szCs w:val="18"/>
        </w:rPr>
        <w:t xml:space="preserve"> Public Records Act 1958 s.3(6)</w:t>
      </w:r>
    </w:p>
  </w:footnote>
  <w:footnote w:id="3">
    <w:p w14:paraId="71644BE9" w14:textId="77777777" w:rsidR="009E6E82" w:rsidRPr="00E15A57" w:rsidRDefault="009E6E82" w:rsidP="00A00632">
      <w:pPr>
        <w:pStyle w:val="FootnoteText"/>
        <w:rPr>
          <w:sz w:val="18"/>
          <w:szCs w:val="18"/>
        </w:rPr>
      </w:pPr>
      <w:r w:rsidRPr="00E15A57">
        <w:rPr>
          <w:rStyle w:val="FootnoteReference"/>
          <w:sz w:val="18"/>
          <w:szCs w:val="18"/>
        </w:rPr>
        <w:footnoteRef/>
      </w:r>
      <w:r w:rsidRPr="00E15A57">
        <w:rPr>
          <w:sz w:val="18"/>
          <w:szCs w:val="18"/>
        </w:rPr>
        <w:t xml:space="preserve"> Limitation Act 1980 s.5 sets the time limit for actions founded on simple contracts (signed under hand) at six years</w:t>
      </w:r>
    </w:p>
  </w:footnote>
  <w:footnote w:id="4">
    <w:p w14:paraId="6971A3C5" w14:textId="77777777" w:rsidR="009E6E82" w:rsidRPr="00E15A57" w:rsidRDefault="009E6E82" w:rsidP="000E7732">
      <w:pPr>
        <w:pStyle w:val="FootnoteText"/>
        <w:rPr>
          <w:sz w:val="18"/>
          <w:szCs w:val="18"/>
        </w:rPr>
      </w:pPr>
      <w:r w:rsidRPr="00E15A57">
        <w:rPr>
          <w:rStyle w:val="FootnoteReference"/>
          <w:sz w:val="18"/>
          <w:szCs w:val="18"/>
        </w:rPr>
        <w:footnoteRef/>
      </w:r>
      <w:r w:rsidRPr="00E15A57">
        <w:rPr>
          <w:sz w:val="18"/>
          <w:szCs w:val="18"/>
        </w:rPr>
        <w:t xml:space="preserve"> Limitation Act 1980 s.5 sets the time limit for actions founded on simple contracts (signed under hand) at six years</w:t>
      </w:r>
    </w:p>
  </w:footnote>
  <w:footnote w:id="5">
    <w:p w14:paraId="24BA3A4A" w14:textId="77777777" w:rsidR="009E6E82" w:rsidRPr="00E15A57" w:rsidRDefault="009E6E82" w:rsidP="000E7732">
      <w:pPr>
        <w:pStyle w:val="FootnoteText"/>
        <w:rPr>
          <w:sz w:val="18"/>
          <w:szCs w:val="18"/>
        </w:rPr>
      </w:pPr>
      <w:r w:rsidRPr="00E15A57">
        <w:rPr>
          <w:rStyle w:val="FootnoteReference"/>
          <w:sz w:val="18"/>
          <w:szCs w:val="18"/>
        </w:rPr>
        <w:footnoteRef/>
      </w:r>
      <w:r w:rsidRPr="00E15A57">
        <w:rPr>
          <w:sz w:val="18"/>
          <w:szCs w:val="18"/>
        </w:rPr>
        <w:t xml:space="preserve"> Limitation Act 1980 s.5 sets the time limit for actions founded on simple contracts (signed under hand) at six years</w:t>
      </w:r>
    </w:p>
  </w:footnote>
  <w:footnote w:id="6">
    <w:p w14:paraId="26E5117E" w14:textId="77777777" w:rsidR="00E66A89" w:rsidRPr="00E15A57" w:rsidRDefault="00E66A89">
      <w:pPr>
        <w:pStyle w:val="FootnoteText"/>
        <w:rPr>
          <w:sz w:val="18"/>
          <w:szCs w:val="18"/>
        </w:rPr>
      </w:pPr>
      <w:r w:rsidRPr="00E15A57">
        <w:rPr>
          <w:rStyle w:val="FootnoteReference"/>
          <w:sz w:val="18"/>
          <w:szCs w:val="18"/>
        </w:rPr>
        <w:footnoteRef/>
      </w:r>
      <w:r w:rsidRPr="00E15A57">
        <w:rPr>
          <w:sz w:val="18"/>
          <w:szCs w:val="18"/>
        </w:rPr>
        <w:t xml:space="preserve"> Limitation Act 1980 s.5 sets the time limit for actions founded on simple contracts (signed under hand) at six years</w:t>
      </w:r>
    </w:p>
  </w:footnote>
  <w:footnote w:id="7">
    <w:p w14:paraId="4F797927" w14:textId="77777777" w:rsidR="00E66A89" w:rsidRPr="00E15A57" w:rsidRDefault="00E66A89">
      <w:pPr>
        <w:pStyle w:val="FootnoteText"/>
        <w:rPr>
          <w:sz w:val="18"/>
          <w:szCs w:val="18"/>
        </w:rPr>
      </w:pPr>
      <w:r w:rsidRPr="00E15A57">
        <w:rPr>
          <w:rStyle w:val="FootnoteReference"/>
          <w:sz w:val="18"/>
          <w:szCs w:val="18"/>
        </w:rPr>
        <w:footnoteRef/>
      </w:r>
      <w:r w:rsidRPr="00E15A57">
        <w:rPr>
          <w:sz w:val="18"/>
          <w:szCs w:val="18"/>
        </w:rPr>
        <w:t xml:space="preserve"> Limitation Act 1980 s.5 sets the time limit for actions founded on simple contracts (signed under hand) at six years</w:t>
      </w:r>
    </w:p>
  </w:footnote>
  <w:footnote w:id="8">
    <w:p w14:paraId="3903D584" w14:textId="77777777" w:rsidR="00E66A89" w:rsidRPr="00E15A57" w:rsidRDefault="00E66A89">
      <w:pPr>
        <w:pStyle w:val="FootnoteText"/>
        <w:rPr>
          <w:sz w:val="18"/>
          <w:szCs w:val="18"/>
        </w:rPr>
      </w:pPr>
      <w:r w:rsidRPr="00E15A57">
        <w:rPr>
          <w:rStyle w:val="FootnoteReference"/>
          <w:sz w:val="18"/>
          <w:szCs w:val="18"/>
        </w:rPr>
        <w:footnoteRef/>
      </w:r>
      <w:r w:rsidRPr="00E15A57">
        <w:rPr>
          <w:sz w:val="18"/>
          <w:szCs w:val="18"/>
        </w:rPr>
        <w:t xml:space="preserve"> </w:t>
      </w:r>
      <w:r w:rsidRPr="00E15A57">
        <w:rPr>
          <w:i/>
          <w:sz w:val="18"/>
          <w:szCs w:val="18"/>
        </w:rPr>
        <w:t>What to keep</w:t>
      </w:r>
      <w:r w:rsidRPr="00E15A57">
        <w:rPr>
          <w:sz w:val="18"/>
          <w:szCs w:val="18"/>
        </w:rPr>
        <w:t xml:space="preserve"> is available at: </w:t>
      </w:r>
      <w:hyperlink r:id="rId2" w:history="1">
        <w:r w:rsidRPr="00E15A57">
          <w:rPr>
            <w:rStyle w:val="Hyperlink"/>
            <w:color w:val="0000CC"/>
            <w:sz w:val="18"/>
            <w:szCs w:val="18"/>
          </w:rPr>
          <w:t>https://www.gov.uk/government/publications/record-retention-and-disposition-schedules</w:t>
        </w:r>
      </w:hyperlink>
      <w:r w:rsidRPr="00E15A57">
        <w:rPr>
          <w:sz w:val="18"/>
          <w:szCs w:val="18"/>
        </w:rPr>
        <w:t xml:space="preserve"> </w:t>
      </w:r>
    </w:p>
  </w:footnote>
  <w:footnote w:id="9">
    <w:p w14:paraId="55DDAD0F" w14:textId="77777777" w:rsidR="00E66A89" w:rsidRPr="00734BCB" w:rsidRDefault="00E66A89">
      <w:pPr>
        <w:pStyle w:val="FootnoteText"/>
        <w:rPr>
          <w:sz w:val="18"/>
        </w:rPr>
      </w:pPr>
      <w:r w:rsidRPr="00734BCB">
        <w:rPr>
          <w:rStyle w:val="FootnoteReference"/>
          <w:sz w:val="18"/>
        </w:rPr>
        <w:footnoteRef/>
      </w:r>
      <w:r w:rsidRPr="00734BCB">
        <w:rPr>
          <w:sz w:val="18"/>
        </w:rPr>
        <w:t xml:space="preserve"> If the business identifies record types which need a new retention period, they should contact the DRO’s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83BF" w14:textId="77777777" w:rsidR="00F507D8" w:rsidRDefault="0028397F">
    <w:pPr>
      <w:pStyle w:val="Header"/>
    </w:pPr>
    <w:r w:rsidRPr="006D258B">
      <w:rPr>
        <w:noProof/>
      </w:rPr>
      <w:drawing>
        <wp:anchor distT="0" distB="0" distL="114300" distR="114300" simplePos="0" relativeHeight="251660288" behindDoc="1" locked="0" layoutInCell="0" allowOverlap="1" wp14:anchorId="5A36B3BF" wp14:editId="7F9A8A0A">
          <wp:simplePos x="0" y="0"/>
          <wp:positionH relativeFrom="page">
            <wp:posOffset>720090</wp:posOffset>
          </wp:positionH>
          <wp:positionV relativeFrom="page">
            <wp:posOffset>720090</wp:posOffset>
          </wp:positionV>
          <wp:extent cx="1331640" cy="1033920"/>
          <wp:effectExtent l="0" t="0" r="1905" b="0"/>
          <wp:wrapNone/>
          <wp:docPr id="26" name="Picture 26"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1640" cy="103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6AE91CC" wp14:editId="521C3C2A">
          <wp:simplePos x="723900" y="361950"/>
          <wp:positionH relativeFrom="page">
            <wp:align>left</wp:align>
          </wp:positionH>
          <wp:positionV relativeFrom="page">
            <wp:align>top</wp:align>
          </wp:positionV>
          <wp:extent cx="7560360" cy="10692360"/>
          <wp:effectExtent l="0" t="0" r="2540" b="0"/>
          <wp:wrapNone/>
          <wp:docPr id="1" name="Picture 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6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30F6F8"/>
    <w:lvl w:ilvl="0">
      <w:start w:val="1"/>
      <w:numFmt w:val="bullet"/>
      <w:pStyle w:val="ListBullet2"/>
      <w:lvlText w:val=""/>
      <w:lvlJc w:val="left"/>
      <w:pPr>
        <w:ind w:left="717" w:hanging="360"/>
      </w:pPr>
      <w:rPr>
        <w:rFonts w:ascii="Symbol" w:hAnsi="Symbol" w:hint="default"/>
        <w:color w:val="00B1EB"/>
      </w:rPr>
    </w:lvl>
  </w:abstractNum>
  <w:abstractNum w:abstractNumId="1" w15:restartNumberingAfterBreak="0">
    <w:nsid w:val="FFFFFF88"/>
    <w:multiLevelType w:val="singleLevel"/>
    <w:tmpl w:val="4CB2C80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FFFFFF89"/>
    <w:multiLevelType w:val="singleLevel"/>
    <w:tmpl w:val="5CCC8D44"/>
    <w:lvl w:ilvl="0">
      <w:start w:val="1"/>
      <w:numFmt w:val="bullet"/>
      <w:pStyle w:val="ListBullet"/>
      <w:lvlText w:val=""/>
      <w:lvlJc w:val="left"/>
      <w:pPr>
        <w:ind w:left="360" w:hanging="360"/>
      </w:pPr>
      <w:rPr>
        <w:rFonts w:ascii="Symbol" w:hAnsi="Symbol" w:hint="default"/>
        <w:color w:val="1D609D"/>
      </w:rPr>
    </w:lvl>
  </w:abstractNum>
  <w:abstractNum w:abstractNumId="3" w15:restartNumberingAfterBreak="0">
    <w:nsid w:val="0C2B0D05"/>
    <w:multiLevelType w:val="hybridMultilevel"/>
    <w:tmpl w:val="D7AA2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D4A7E"/>
    <w:multiLevelType w:val="hybridMultilevel"/>
    <w:tmpl w:val="2C88B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0F61A5"/>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974E3"/>
    <w:multiLevelType w:val="hybridMultilevel"/>
    <w:tmpl w:val="E91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12D8D"/>
    <w:multiLevelType w:val="multilevel"/>
    <w:tmpl w:val="4966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D7069"/>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907B61"/>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lvlOverride w:ilvl="0">
      <w:startOverride w:val="1"/>
    </w:lvlOverride>
  </w:num>
  <w:num w:numId="5">
    <w:abstractNumId w:val="0"/>
    <w:lvlOverride w:ilvl="0">
      <w:startOverride w:val="1"/>
    </w:lvlOverride>
  </w:num>
  <w:num w:numId="6">
    <w:abstractNumId w:val="3"/>
  </w:num>
  <w:num w:numId="7">
    <w:abstractNumId w:val="5"/>
  </w:num>
  <w:num w:numId="8">
    <w:abstractNumId w:val="4"/>
  </w:num>
  <w:num w:numId="9">
    <w:abstractNumId w:val="6"/>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CD"/>
    <w:rsid w:val="00022442"/>
    <w:rsid w:val="00090E40"/>
    <w:rsid w:val="00175D09"/>
    <w:rsid w:val="001A71CD"/>
    <w:rsid w:val="001B2A1F"/>
    <w:rsid w:val="001C0D98"/>
    <w:rsid w:val="00240F37"/>
    <w:rsid w:val="00274156"/>
    <w:rsid w:val="0028397F"/>
    <w:rsid w:val="00293CEB"/>
    <w:rsid w:val="002F075A"/>
    <w:rsid w:val="003355F1"/>
    <w:rsid w:val="003D27AC"/>
    <w:rsid w:val="00446DDB"/>
    <w:rsid w:val="0046787C"/>
    <w:rsid w:val="00474B58"/>
    <w:rsid w:val="00515316"/>
    <w:rsid w:val="00526855"/>
    <w:rsid w:val="00545B6C"/>
    <w:rsid w:val="00561A72"/>
    <w:rsid w:val="005C7D78"/>
    <w:rsid w:val="005E51D0"/>
    <w:rsid w:val="0062433C"/>
    <w:rsid w:val="0069460E"/>
    <w:rsid w:val="006B61D2"/>
    <w:rsid w:val="007A7B96"/>
    <w:rsid w:val="008114F6"/>
    <w:rsid w:val="008B2C35"/>
    <w:rsid w:val="00916276"/>
    <w:rsid w:val="009179CD"/>
    <w:rsid w:val="00932F7F"/>
    <w:rsid w:val="00990242"/>
    <w:rsid w:val="009A1CE1"/>
    <w:rsid w:val="009E6E82"/>
    <w:rsid w:val="00AC6247"/>
    <w:rsid w:val="00AD05F3"/>
    <w:rsid w:val="00AD52C7"/>
    <w:rsid w:val="00AE4DF7"/>
    <w:rsid w:val="00B4736D"/>
    <w:rsid w:val="00B91315"/>
    <w:rsid w:val="00BC4DBC"/>
    <w:rsid w:val="00BF23EA"/>
    <w:rsid w:val="00D50660"/>
    <w:rsid w:val="00E15A57"/>
    <w:rsid w:val="00E40474"/>
    <w:rsid w:val="00E40AEF"/>
    <w:rsid w:val="00E4123E"/>
    <w:rsid w:val="00E66A89"/>
    <w:rsid w:val="00F12B8B"/>
    <w:rsid w:val="00F507D8"/>
    <w:rsid w:val="00F6533F"/>
    <w:rsid w:val="00F66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79D984"/>
  <w15:chartTrackingRefBased/>
  <w15:docId w15:val="{3C8F4F98-AF89-462B-BC80-6FBAFB5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header" w:uiPriority="8"/>
    <w:lsdException w:name="footer" w:uiPriority="8"/>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8"/>
    <w:lsdException w:name="endnote reference" w:semiHidden="1" w:uiPriority="3"/>
    <w:lsdException w:name="endnote text" w:semiHidden="1" w:uiPriority="3"/>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8"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lsdException w:name="Salutation" w:semiHidden="1"/>
    <w:lsdException w:name="Date" w:semiHidden="1" w:uiPriority="8"/>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8"/>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8"/>
    <w:semiHidden/>
    <w:qFormat/>
    <w:rsid w:val="00F507D8"/>
    <w:pPr>
      <w:spacing w:after="240" w:line="276" w:lineRule="auto"/>
    </w:pPr>
    <w:rPr>
      <w:sz w:val="24"/>
    </w:rPr>
  </w:style>
  <w:style w:type="paragraph" w:styleId="Heading1">
    <w:name w:val="heading 1"/>
    <w:next w:val="BodyText"/>
    <w:link w:val="Heading1Char"/>
    <w:qFormat/>
    <w:rsid w:val="00F507D8"/>
    <w:pPr>
      <w:keepNext/>
      <w:keepLines/>
      <w:spacing w:before="480" w:after="480" w:line="240" w:lineRule="auto"/>
      <w:contextualSpacing/>
      <w:outlineLvl w:val="0"/>
    </w:pPr>
    <w:rPr>
      <w:rFonts w:asciiTheme="majorHAnsi" w:eastAsiaTheme="majorEastAsia" w:hAnsiTheme="majorHAnsi" w:cstheme="majorBidi"/>
      <w:b/>
      <w:color w:val="1D609D" w:themeColor="accent1"/>
      <w:sz w:val="48"/>
      <w:szCs w:val="32"/>
    </w:rPr>
  </w:style>
  <w:style w:type="paragraph" w:styleId="Heading2">
    <w:name w:val="heading 2"/>
    <w:next w:val="BodyText"/>
    <w:link w:val="Heading2Char"/>
    <w:qFormat/>
    <w:rsid w:val="00F507D8"/>
    <w:pPr>
      <w:keepNext/>
      <w:keepLines/>
      <w:spacing w:before="240" w:after="120" w:line="276" w:lineRule="auto"/>
      <w:outlineLvl w:val="1"/>
    </w:pPr>
    <w:rPr>
      <w:rFonts w:asciiTheme="majorHAnsi" w:eastAsiaTheme="majorEastAsia" w:hAnsiTheme="majorHAnsi" w:cstheme="majorBidi"/>
      <w:b/>
      <w:sz w:val="32"/>
      <w:szCs w:val="26"/>
    </w:rPr>
  </w:style>
  <w:style w:type="paragraph" w:styleId="Heading3">
    <w:name w:val="heading 3"/>
    <w:next w:val="BodyText"/>
    <w:link w:val="Heading3Char"/>
    <w:qFormat/>
    <w:rsid w:val="002F075A"/>
    <w:pPr>
      <w:keepNext/>
      <w:keepLines/>
      <w:spacing w:after="0" w:line="276" w:lineRule="auto"/>
      <w:contextualSpacing/>
      <w:outlineLvl w:val="2"/>
    </w:pPr>
    <w:rPr>
      <w:rFonts w:asciiTheme="majorHAnsi" w:eastAsiaTheme="majorEastAsia" w:hAnsiTheme="majorHAnsi" w:cstheme="majorBidi"/>
      <w:b/>
      <w:sz w:val="24"/>
      <w:szCs w:val="24"/>
    </w:rPr>
  </w:style>
  <w:style w:type="paragraph" w:styleId="Heading4">
    <w:name w:val="heading 4"/>
    <w:next w:val="BodyText"/>
    <w:link w:val="Heading4Char"/>
    <w:qFormat/>
    <w:rsid w:val="002F075A"/>
    <w:pPr>
      <w:keepNext/>
      <w:keepLines/>
      <w:spacing w:after="0" w:line="276" w:lineRule="auto"/>
      <w:contextualSpacing/>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BodyText"/>
    <w:link w:val="FootnoteTextChar"/>
    <w:qFormat/>
    <w:rsid w:val="00916276"/>
    <w:pPr>
      <w:spacing w:after="40" w:line="240" w:lineRule="auto"/>
      <w:ind w:left="284" w:hanging="284"/>
    </w:pPr>
    <w:rPr>
      <w:sz w:val="20"/>
      <w:szCs w:val="20"/>
    </w:rPr>
  </w:style>
  <w:style w:type="character" w:customStyle="1" w:styleId="FootnoteTextChar">
    <w:name w:val="Footnote Text Char"/>
    <w:basedOn w:val="DefaultParagraphFont"/>
    <w:link w:val="FootnoteText"/>
    <w:rsid w:val="00916276"/>
    <w:rPr>
      <w:sz w:val="20"/>
      <w:szCs w:val="20"/>
    </w:rPr>
  </w:style>
  <w:style w:type="character" w:styleId="FootnoteReference">
    <w:name w:val="footnote reference"/>
    <w:basedOn w:val="DefaultParagraphFont"/>
    <w:uiPriority w:val="99"/>
    <w:rsid w:val="00B91315"/>
    <w:rPr>
      <w:vertAlign w:val="superscript"/>
    </w:rPr>
  </w:style>
  <w:style w:type="paragraph" w:styleId="Title">
    <w:name w:val="Title"/>
    <w:next w:val="Subtitle"/>
    <w:link w:val="TitleChar"/>
    <w:uiPriority w:val="8"/>
    <w:semiHidden/>
    <w:qFormat/>
    <w:rsid w:val="00F507D8"/>
    <w:pPr>
      <w:spacing w:before="2940" w:after="0" w:line="240" w:lineRule="auto"/>
      <w:contextualSpacing/>
    </w:pPr>
    <w:rPr>
      <w:rFonts w:asciiTheme="majorHAnsi" w:eastAsiaTheme="majorEastAsia" w:hAnsiTheme="majorHAnsi" w:cstheme="majorBidi"/>
      <w:b/>
      <w:color w:val="1D609D" w:themeColor="accent1"/>
      <w:sz w:val="68"/>
      <w:szCs w:val="56"/>
    </w:rPr>
  </w:style>
  <w:style w:type="character" w:customStyle="1" w:styleId="TitleChar">
    <w:name w:val="Title Char"/>
    <w:basedOn w:val="DefaultParagraphFont"/>
    <w:link w:val="Title"/>
    <w:uiPriority w:val="8"/>
    <w:semiHidden/>
    <w:rsid w:val="00F507D8"/>
    <w:rPr>
      <w:rFonts w:asciiTheme="majorHAnsi" w:eastAsiaTheme="majorEastAsia" w:hAnsiTheme="majorHAnsi" w:cstheme="majorBidi"/>
      <w:b/>
      <w:color w:val="1D609D" w:themeColor="accent1"/>
      <w:sz w:val="68"/>
      <w:szCs w:val="56"/>
    </w:rPr>
  </w:style>
  <w:style w:type="paragraph" w:styleId="Subtitle">
    <w:name w:val="Subtitle"/>
    <w:next w:val="BodyText"/>
    <w:link w:val="SubtitleChar"/>
    <w:uiPriority w:val="8"/>
    <w:semiHidden/>
    <w:rsid w:val="00F507D8"/>
    <w:pPr>
      <w:numPr>
        <w:ilvl w:val="1"/>
      </w:numPr>
      <w:spacing w:after="0" w:line="240" w:lineRule="auto"/>
      <w:contextualSpacing/>
    </w:pPr>
    <w:rPr>
      <w:rFonts w:asciiTheme="majorHAnsi" w:eastAsiaTheme="minorEastAsia" w:hAnsiTheme="majorHAnsi"/>
      <w:b/>
      <w:color w:val="1D609D" w:themeColor="accent1"/>
      <w:sz w:val="48"/>
    </w:rPr>
  </w:style>
  <w:style w:type="character" w:customStyle="1" w:styleId="SubtitleChar">
    <w:name w:val="Subtitle Char"/>
    <w:basedOn w:val="DefaultParagraphFont"/>
    <w:link w:val="Subtitle"/>
    <w:uiPriority w:val="8"/>
    <w:semiHidden/>
    <w:rsid w:val="00F507D8"/>
    <w:rPr>
      <w:rFonts w:asciiTheme="majorHAnsi" w:eastAsiaTheme="minorEastAsia" w:hAnsiTheme="majorHAnsi"/>
      <w:b/>
      <w:color w:val="1D609D" w:themeColor="accent1"/>
      <w:sz w:val="48"/>
    </w:rPr>
  </w:style>
  <w:style w:type="character" w:styleId="FollowedHyperlink">
    <w:name w:val="FollowedHyperlink"/>
    <w:uiPriority w:val="8"/>
    <w:unhideWhenUsed/>
    <w:rsid w:val="00D50660"/>
    <w:rPr>
      <w:color w:val="00B1EB" w:themeColor="followedHyperlink"/>
      <w:u w:val="single"/>
    </w:rPr>
  </w:style>
  <w:style w:type="character" w:customStyle="1" w:styleId="Heading1Char">
    <w:name w:val="Heading 1 Char"/>
    <w:basedOn w:val="DefaultParagraphFont"/>
    <w:link w:val="Heading1"/>
    <w:rsid w:val="00F507D8"/>
    <w:rPr>
      <w:rFonts w:asciiTheme="majorHAnsi" w:eastAsiaTheme="majorEastAsia" w:hAnsiTheme="majorHAnsi" w:cstheme="majorBidi"/>
      <w:b/>
      <w:color w:val="1D609D" w:themeColor="accent1"/>
      <w:sz w:val="48"/>
      <w:szCs w:val="32"/>
    </w:rPr>
  </w:style>
  <w:style w:type="paragraph" w:styleId="TOCHeading">
    <w:name w:val="TOC Heading"/>
    <w:basedOn w:val="Heading1"/>
    <w:next w:val="BodyText"/>
    <w:uiPriority w:val="8"/>
    <w:semiHidden/>
    <w:rsid w:val="00AD05F3"/>
    <w:pPr>
      <w:outlineLvl w:val="9"/>
    </w:pPr>
  </w:style>
  <w:style w:type="character" w:customStyle="1" w:styleId="Heading2Char">
    <w:name w:val="Heading 2 Char"/>
    <w:basedOn w:val="DefaultParagraphFont"/>
    <w:link w:val="Heading2"/>
    <w:rsid w:val="00F507D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2F075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2F075A"/>
    <w:rPr>
      <w:rFonts w:asciiTheme="majorHAnsi" w:eastAsiaTheme="majorEastAsia" w:hAnsiTheme="majorHAnsi" w:cstheme="majorBidi"/>
      <w:i/>
      <w:iCs/>
      <w:sz w:val="24"/>
    </w:rPr>
  </w:style>
  <w:style w:type="paragraph" w:styleId="BodyText">
    <w:name w:val="Body Text"/>
    <w:link w:val="BodyTextChar"/>
    <w:uiPriority w:val="1"/>
    <w:qFormat/>
    <w:rsid w:val="002F075A"/>
    <w:pPr>
      <w:spacing w:after="240" w:line="276" w:lineRule="auto"/>
    </w:pPr>
    <w:rPr>
      <w:sz w:val="24"/>
    </w:rPr>
  </w:style>
  <w:style w:type="character" w:customStyle="1" w:styleId="BodyTextChar">
    <w:name w:val="Body Text Char"/>
    <w:basedOn w:val="DefaultParagraphFont"/>
    <w:link w:val="BodyText"/>
    <w:uiPriority w:val="1"/>
    <w:rsid w:val="002F075A"/>
    <w:rPr>
      <w:sz w:val="24"/>
    </w:rPr>
  </w:style>
  <w:style w:type="paragraph" w:styleId="BodyTextIndent">
    <w:name w:val="Body Text Indent"/>
    <w:basedOn w:val="BodyText"/>
    <w:link w:val="BodyTextIndentChar"/>
    <w:uiPriority w:val="1"/>
    <w:qFormat/>
    <w:rsid w:val="002F075A"/>
    <w:pPr>
      <w:ind w:left="357"/>
    </w:pPr>
  </w:style>
  <w:style w:type="character" w:customStyle="1" w:styleId="BodyTextIndentChar">
    <w:name w:val="Body Text Indent Char"/>
    <w:basedOn w:val="DefaultParagraphFont"/>
    <w:link w:val="BodyTextIndent"/>
    <w:uiPriority w:val="1"/>
    <w:rsid w:val="002F075A"/>
    <w:rPr>
      <w:sz w:val="24"/>
    </w:rPr>
  </w:style>
  <w:style w:type="paragraph" w:styleId="ListBullet">
    <w:name w:val="List Bullet"/>
    <w:basedOn w:val="BodyText"/>
    <w:uiPriority w:val="2"/>
    <w:qFormat/>
    <w:rsid w:val="00446DDB"/>
    <w:pPr>
      <w:numPr>
        <w:numId w:val="1"/>
      </w:numPr>
      <w:contextualSpacing/>
    </w:pPr>
  </w:style>
  <w:style w:type="paragraph" w:styleId="ListBullet2">
    <w:name w:val="List Bullet 2"/>
    <w:uiPriority w:val="2"/>
    <w:qFormat/>
    <w:rsid w:val="00446DDB"/>
    <w:pPr>
      <w:numPr>
        <w:numId w:val="2"/>
      </w:numPr>
      <w:spacing w:after="240" w:line="276" w:lineRule="auto"/>
      <w:contextualSpacing/>
    </w:pPr>
    <w:rPr>
      <w:sz w:val="24"/>
    </w:rPr>
  </w:style>
  <w:style w:type="paragraph" w:styleId="ListNumber">
    <w:name w:val="List Number"/>
    <w:basedOn w:val="BodyText"/>
    <w:uiPriority w:val="1"/>
    <w:qFormat/>
    <w:rsid w:val="002F075A"/>
    <w:pPr>
      <w:numPr>
        <w:numId w:val="3"/>
      </w:numPr>
    </w:pPr>
  </w:style>
  <w:style w:type="paragraph" w:styleId="Header">
    <w:name w:val="header"/>
    <w:basedOn w:val="BodyText"/>
    <w:link w:val="HeaderChar"/>
    <w:uiPriority w:val="8"/>
    <w:semiHidden/>
    <w:rsid w:val="009A1CE1"/>
    <w:pPr>
      <w:spacing w:after="0"/>
      <w:jc w:val="center"/>
    </w:pPr>
    <w:rPr>
      <w:sz w:val="18"/>
    </w:rPr>
  </w:style>
  <w:style w:type="character" w:customStyle="1" w:styleId="HeaderChar">
    <w:name w:val="Header Char"/>
    <w:basedOn w:val="DefaultParagraphFont"/>
    <w:link w:val="Header"/>
    <w:uiPriority w:val="8"/>
    <w:semiHidden/>
    <w:rsid w:val="00BC4DBC"/>
    <w:rPr>
      <w:sz w:val="18"/>
    </w:rPr>
  </w:style>
  <w:style w:type="paragraph" w:styleId="Footer">
    <w:name w:val="footer"/>
    <w:basedOn w:val="BodyText"/>
    <w:link w:val="FooterChar"/>
    <w:uiPriority w:val="8"/>
    <w:semiHidden/>
    <w:rsid w:val="00990242"/>
    <w:pPr>
      <w:spacing w:after="0" w:line="240" w:lineRule="auto"/>
      <w:jc w:val="center"/>
    </w:pPr>
    <w:rPr>
      <w:b/>
    </w:rPr>
  </w:style>
  <w:style w:type="character" w:customStyle="1" w:styleId="FooterChar">
    <w:name w:val="Footer Char"/>
    <w:basedOn w:val="DefaultParagraphFont"/>
    <w:link w:val="Footer"/>
    <w:uiPriority w:val="8"/>
    <w:semiHidden/>
    <w:rsid w:val="00BC4DBC"/>
    <w:rPr>
      <w:b/>
      <w:sz w:val="24"/>
    </w:rPr>
  </w:style>
  <w:style w:type="paragraph" w:styleId="TOC1">
    <w:name w:val="toc 1"/>
    <w:basedOn w:val="BodyText"/>
    <w:uiPriority w:val="39"/>
    <w:semiHidden/>
    <w:rsid w:val="003D27AC"/>
    <w:pPr>
      <w:tabs>
        <w:tab w:val="right" w:pos="9639"/>
      </w:tabs>
      <w:spacing w:before="240" w:after="120"/>
    </w:pPr>
    <w:rPr>
      <w:b/>
    </w:rPr>
  </w:style>
  <w:style w:type="paragraph" w:styleId="TOC2">
    <w:name w:val="toc 2"/>
    <w:basedOn w:val="TOC1"/>
    <w:next w:val="BodyText"/>
    <w:uiPriority w:val="39"/>
    <w:semiHidden/>
    <w:rsid w:val="003D27AC"/>
    <w:pPr>
      <w:spacing w:before="0"/>
    </w:pPr>
    <w:rPr>
      <w:b w:val="0"/>
    </w:rPr>
  </w:style>
  <w:style w:type="character" w:styleId="Hyperlink">
    <w:name w:val="Hyperlink"/>
    <w:unhideWhenUsed/>
    <w:rsid w:val="00990242"/>
    <w:rPr>
      <w:color w:val="00B1EB" w:themeColor="hyperlink"/>
      <w:u w:val="single"/>
    </w:rPr>
  </w:style>
  <w:style w:type="paragraph" w:customStyle="1" w:styleId="EmphasisHeading">
    <w:name w:val="Emphasis Heading"/>
    <w:basedOn w:val="BodyText"/>
    <w:next w:val="EmphasisText"/>
    <w:uiPriority w:val="3"/>
    <w:qFormat/>
    <w:rsid w:val="00E4123E"/>
    <w:pPr>
      <w:keepNext/>
      <w:keepLines/>
      <w:pBdr>
        <w:top w:val="single" w:sz="48" w:space="6" w:color="99E0F7"/>
        <w:left w:val="single" w:sz="48" w:space="4" w:color="99E0F7"/>
        <w:bottom w:val="single" w:sz="48" w:space="6" w:color="99E0F7"/>
        <w:right w:val="single" w:sz="48" w:space="4" w:color="99E0F7"/>
      </w:pBdr>
      <w:shd w:val="clear" w:color="auto" w:fill="99E0F7"/>
      <w:spacing w:before="240"/>
      <w:ind w:left="199"/>
    </w:pPr>
    <w:rPr>
      <w:b/>
      <w:color w:val="003057"/>
    </w:rPr>
  </w:style>
  <w:style w:type="paragraph" w:customStyle="1" w:styleId="EmphasisText">
    <w:name w:val="Emphasis Text"/>
    <w:basedOn w:val="BodyText"/>
    <w:uiPriority w:val="3"/>
    <w:qFormat/>
    <w:rsid w:val="00E4123E"/>
    <w:pPr>
      <w:keepLines/>
      <w:pBdr>
        <w:top w:val="single" w:sz="48" w:space="6" w:color="99E0F7"/>
        <w:left w:val="single" w:sz="48" w:space="4" w:color="99E0F7"/>
        <w:bottom w:val="single" w:sz="48" w:space="6" w:color="99E0F7"/>
        <w:right w:val="single" w:sz="48" w:space="4" w:color="99E0F7"/>
      </w:pBdr>
      <w:shd w:val="clear" w:color="auto" w:fill="99E0F7"/>
      <w:ind w:left="199"/>
    </w:pPr>
    <w:rPr>
      <w:color w:val="003057"/>
    </w:rPr>
  </w:style>
  <w:style w:type="table" w:styleId="TableGrid">
    <w:name w:val="Table Grid"/>
    <w:basedOn w:val="TableNormal"/>
    <w:uiPriority w:val="39"/>
    <w:rsid w:val="00E4123E"/>
    <w:pPr>
      <w:spacing w:after="0" w:line="240" w:lineRule="auto"/>
    </w:pPr>
    <w:tblPr>
      <w:tbl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blBorders>
      <w:tblCellMar>
        <w:top w:w="57" w:type="dxa"/>
        <w:left w:w="57" w:type="dxa"/>
        <w:bottom w:w="57" w:type="dxa"/>
        <w:right w:w="57" w:type="dxa"/>
      </w:tblCellMar>
    </w:tblPr>
    <w:tblStylePr w:type="firstRow">
      <w:pPr>
        <w:keepNext/>
        <w:keepLines/>
        <w:widowControl/>
        <w:wordWrap/>
      </w:pPr>
      <w:rPr>
        <w:b/>
        <w:color w:val="FFFFFF" w:themeColor="background1"/>
      </w:rPr>
      <w:tblPr/>
      <w:tcPr>
        <w:tc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l2br w:val="nil"/>
          <w:tr2bl w:val="nil"/>
        </w:tcBorders>
        <w:shd w:val="clear" w:color="auto" w:fill="1D609D" w:themeFill="accent1"/>
      </w:tcPr>
    </w:tblStylePr>
    <w:tblStylePr w:type="firstCol">
      <w:rPr>
        <w:b/>
        <w:i w:val="0"/>
      </w:rPr>
    </w:tblStylePr>
  </w:style>
  <w:style w:type="paragraph" w:customStyle="1" w:styleId="Covertext">
    <w:name w:val="Cover text"/>
    <w:basedOn w:val="BodyText"/>
    <w:uiPriority w:val="8"/>
    <w:semiHidden/>
    <w:qFormat/>
    <w:rsid w:val="00AE4DF7"/>
    <w:pPr>
      <w:spacing w:after="0"/>
    </w:pPr>
    <w:rPr>
      <w:color w:val="FFFFFF" w:themeColor="background1"/>
    </w:rPr>
  </w:style>
  <w:style w:type="character" w:styleId="UnresolvedMention">
    <w:name w:val="Unresolved Mention"/>
    <w:basedOn w:val="DefaultParagraphFont"/>
    <w:uiPriority w:val="99"/>
    <w:semiHidden/>
    <w:rsid w:val="00AD52C7"/>
    <w:rPr>
      <w:color w:val="808080"/>
      <w:shd w:val="clear" w:color="auto" w:fill="E6E6E6"/>
    </w:rPr>
  </w:style>
  <w:style w:type="character" w:styleId="CommentReference">
    <w:name w:val="annotation reference"/>
    <w:basedOn w:val="DefaultParagraphFont"/>
    <w:uiPriority w:val="99"/>
    <w:semiHidden/>
    <w:unhideWhenUsed/>
    <w:rsid w:val="00E66A89"/>
    <w:rPr>
      <w:sz w:val="16"/>
      <w:szCs w:val="16"/>
    </w:rPr>
  </w:style>
  <w:style w:type="paragraph" w:styleId="CommentText">
    <w:name w:val="annotation text"/>
    <w:basedOn w:val="Normal"/>
    <w:link w:val="CommentTextChar"/>
    <w:uiPriority w:val="99"/>
    <w:unhideWhenUsed/>
    <w:rsid w:val="00E66A89"/>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66A89"/>
    <w:rPr>
      <w:rFonts w:ascii="Arial" w:eastAsia="Times New Roman" w:hAnsi="Arial" w:cs="Times New Roman"/>
      <w:sz w:val="20"/>
      <w:szCs w:val="20"/>
    </w:rPr>
  </w:style>
  <w:style w:type="paragraph" w:styleId="ListParagraph">
    <w:name w:val="List Paragraph"/>
    <w:basedOn w:val="Normal"/>
    <w:uiPriority w:val="34"/>
    <w:qFormat/>
    <w:rsid w:val="00E66A89"/>
    <w:pPr>
      <w:spacing w:line="240" w:lineRule="auto"/>
      <w:ind w:left="720"/>
      <w:contextualSpacing/>
    </w:pPr>
    <w:rPr>
      <w:rFonts w:ascii="Arial" w:eastAsia="Times New Roman" w:hAnsi="Arial" w:cs="Times New Roman"/>
      <w:sz w:val="22"/>
      <w:szCs w:val="20"/>
    </w:rPr>
  </w:style>
  <w:style w:type="paragraph" w:styleId="BalloonText">
    <w:name w:val="Balloon Text"/>
    <w:basedOn w:val="Normal"/>
    <w:link w:val="BalloonTextChar"/>
    <w:uiPriority w:val="99"/>
    <w:semiHidden/>
    <w:rsid w:val="00E6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89"/>
    <w:rPr>
      <w:rFonts w:ascii="Segoe UI" w:hAnsi="Segoe UI" w:cs="Segoe UI"/>
      <w:sz w:val="18"/>
      <w:szCs w:val="18"/>
    </w:rPr>
  </w:style>
  <w:style w:type="character" w:customStyle="1" w:styleId="TextChar">
    <w:name w:val="Text Char"/>
    <w:link w:val="Text"/>
    <w:rsid w:val="00E66A89"/>
    <w:rPr>
      <w:rFonts w:ascii="Arial" w:hAnsi="Arial"/>
      <w:lang w:eastAsia="en-GB"/>
    </w:rPr>
  </w:style>
  <w:style w:type="paragraph" w:customStyle="1" w:styleId="Text">
    <w:name w:val="Text"/>
    <w:link w:val="TextChar"/>
    <w:qFormat/>
    <w:rsid w:val="00E66A89"/>
    <w:pPr>
      <w:spacing w:after="240" w:line="240" w:lineRule="auto"/>
    </w:pPr>
    <w:rPr>
      <w:rFonts w:ascii="Arial" w:hAnsi="Arial"/>
      <w:lang w:eastAsia="en-GB"/>
    </w:rPr>
  </w:style>
  <w:style w:type="paragraph" w:styleId="NormalWeb">
    <w:name w:val="Normal (Web)"/>
    <w:basedOn w:val="Normal"/>
    <w:rsid w:val="00E66A89"/>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rsid w:val="00F12B8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2B8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cord-retention-and-disposition-schedu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csa.org.uk/news/chair-of-the-inquiry-issues-guidance-on-destruction-of-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record-retention-and-disposition-schedules" TargetMode="External"/><Relationship Id="rId1" Type="http://schemas.openxmlformats.org/officeDocument/2006/relationships/hyperlink" Target="https://eur-lex.europa.eu/legal-content/EN/TXT/PDF/?uri=CELEX:32010L0064&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2" ma:contentTypeDescription="Create a new document." ma:contentTypeScope="" ma:versionID="917b73b32c1ef4c05e596a3250c1417d">
  <xsd:schema xmlns:xsd="http://www.w3.org/2001/XMLSchema" xmlns:xs="http://www.w3.org/2001/XMLSchema" xmlns:p="http://schemas.microsoft.com/office/2006/metadata/properties" xmlns:ns1="http://schemas.microsoft.com/sharepoint/v3" xmlns:ns3="2332c961-6f67-4d2a-9fad-b382164b977c" xmlns:ns4="d5354e63-dc31-42f4-b5be-47429dadf320" targetNamespace="http://schemas.microsoft.com/office/2006/metadata/properties" ma:root="true" ma:fieldsID="320bffe2f21ec08e5882bee321a2d46c" ns1:_="" ns3:_="" ns4:_="">
    <xsd:import namespace="http://schemas.microsoft.com/sharepoint/v3"/>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64559-17EE-489F-BDA0-28518495B229}">
  <ds:schemaRefs>
    <ds:schemaRef ds:uri="http://schemas.microsoft.com/sharepoint/v3/contenttype/forms"/>
  </ds:schemaRefs>
</ds:datastoreItem>
</file>

<file path=customXml/itemProps2.xml><?xml version="1.0" encoding="utf-8"?>
<ds:datastoreItem xmlns:ds="http://schemas.openxmlformats.org/officeDocument/2006/customXml" ds:itemID="{ECEF1448-CFE7-4B48-AFF8-CCD1266CA1F6}">
  <ds:schemaRefs>
    <ds:schemaRef ds:uri="http://schemas.microsoft.com/office/2006/documentManagement/types"/>
    <ds:schemaRef ds:uri="2332c961-6f67-4d2a-9fad-b382164b977c"/>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5354e63-dc31-42f4-b5be-47429dadf320"/>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BF1DF61-FA94-4A39-B7A0-5D772656A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0733D-1B29-4080-839D-5A56D7DA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Ministry of Justice</dc:creator>
  <cp:keywords>[Key words for search engines, separated by commas]</cp:keywords>
  <dc:description/>
  <cp:lastModifiedBy>Isaacs, Gordon</cp:lastModifiedBy>
  <cp:revision>3</cp:revision>
  <dcterms:created xsi:type="dcterms:W3CDTF">2019-10-04T12:59:00Z</dcterms:created>
  <dcterms:modified xsi:type="dcterms:W3CDTF">2019-10-29T13:01:00Z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